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396A03" w:rsidRDefault="005E0740" w:rsidP="005E074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4B95765-863A-40BB-86D6-F7F719451183" style="width:455.25pt;height:414pt">
            <v:imagedata r:id="rId11" o:title=""/>
          </v:shape>
        </w:pict>
      </w:r>
    </w:p>
    <w:p w:rsidR="00185C9B" w:rsidRPr="00396A03" w:rsidRDefault="00185C9B">
      <w:pPr>
        <w:rPr>
          <w:noProof/>
          <w:szCs w:val="24"/>
        </w:rPr>
        <w:sectPr w:rsidR="00185C9B" w:rsidRPr="00396A03" w:rsidSect="005E0740">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396A03" w:rsidRDefault="00396A03" w:rsidP="00396A03">
      <w:pPr>
        <w:pStyle w:val="Typedudocument"/>
        <w:rPr>
          <w:noProof/>
        </w:rPr>
      </w:pPr>
      <w:bookmarkStart w:id="0" w:name="_GoBack"/>
      <w:bookmarkEnd w:id="0"/>
      <w:r w:rsidRPr="00396A03">
        <w:rPr>
          <w:noProof/>
        </w:rPr>
        <w:lastRenderedPageBreak/>
        <w:t>РЕГЛАМЕНТ ЗА ИЗПЪЛНЕНИЕ (ЕС) .../… НА КОМИСИЯТА</w:t>
      </w:r>
    </w:p>
    <w:p w:rsidR="00185C9B" w:rsidRPr="00396A03" w:rsidRDefault="002E043B" w:rsidP="00396A03">
      <w:pPr>
        <w:pStyle w:val="Datedadoption"/>
        <w:rPr>
          <w:noProof/>
        </w:rPr>
      </w:pPr>
      <w:r>
        <w:rPr>
          <w:noProof/>
        </w:rPr>
        <w:t>от 29.11.2024 година</w:t>
      </w:r>
    </w:p>
    <w:p w:rsidR="00185C9B" w:rsidRPr="00396A03" w:rsidRDefault="00396A03" w:rsidP="00396A03">
      <w:pPr>
        <w:pStyle w:val="Titreobjet"/>
        <w:rPr>
          <w:noProof/>
        </w:rPr>
      </w:pPr>
      <w:r w:rsidRPr="00396A03">
        <w:rPr>
          <w:noProof/>
        </w:rPr>
        <w:t>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2021/451 на Комисията</w:t>
      </w:r>
    </w:p>
    <w:p w:rsidR="00185C9B" w:rsidRPr="00396A03" w:rsidRDefault="00396A03" w:rsidP="00396A03">
      <w:pPr>
        <w:pStyle w:val="IntrtEEE"/>
        <w:rPr>
          <w:noProof/>
        </w:rPr>
      </w:pPr>
      <w:r w:rsidRPr="00396A03">
        <w:rPr>
          <w:noProof/>
        </w:rPr>
        <w:t>(текст от значение за ЕИП)</w:t>
      </w:r>
    </w:p>
    <w:p w:rsidR="00185C9B" w:rsidRPr="00396A03" w:rsidRDefault="00185C9B" w:rsidP="004E1EF9">
      <w:pPr>
        <w:pStyle w:val="Institutionquiagit"/>
        <w:rPr>
          <w:noProof/>
          <w:szCs w:val="24"/>
        </w:rPr>
      </w:pPr>
      <w:r w:rsidRPr="00396A03">
        <w:rPr>
          <w:noProof/>
        </w:rPr>
        <w:t>ЕВРОПЕЙСКАТА КОМИСИЯ,</w:t>
      </w:r>
    </w:p>
    <w:p w:rsidR="00185C9B" w:rsidRPr="00396A03" w:rsidRDefault="00185C9B" w:rsidP="004E1EF9">
      <w:pPr>
        <w:rPr>
          <w:noProof/>
          <w:szCs w:val="24"/>
        </w:rPr>
      </w:pPr>
      <w:r w:rsidRPr="00396A03">
        <w:rPr>
          <w:noProof/>
        </w:rPr>
        <w:t>като взе предвид Договора за функционирането на Европейския съюз,</w:t>
      </w:r>
    </w:p>
    <w:p w:rsidR="00716EA9" w:rsidRPr="00396A03" w:rsidRDefault="00716EA9" w:rsidP="00716EA9">
      <w:pPr>
        <w:rPr>
          <w:noProof/>
          <w:szCs w:val="24"/>
        </w:rPr>
      </w:pPr>
      <w:r w:rsidRPr="00396A03">
        <w:rPr>
          <w:noProof/>
        </w:rPr>
        <w:t>като взе предвид Регламент (ЕС) № 575/2013 на Европейския парламент и на Съвета от 26 юни 2013 г. относно пруденциалните изисквания за кредитните институции и за изменение на Регламент (ЕС) № 648/2012</w:t>
      </w:r>
      <w:r w:rsidRPr="00396A03">
        <w:rPr>
          <w:rStyle w:val="FootnoteReference"/>
          <w:noProof/>
          <w:szCs w:val="24"/>
        </w:rPr>
        <w:footnoteReference w:id="2"/>
      </w:r>
      <w:r w:rsidRPr="00396A03">
        <w:rPr>
          <w:noProof/>
        </w:rPr>
        <w:t>, и по-специално член 415, параграф 3, трета алинея, член 415, параграф 3а, трета алинея, член 430, параграф 7, трета алинея и член 430, параграф 9, пета алинея от него,</w:t>
      </w:r>
    </w:p>
    <w:p w:rsidR="00716EA9" w:rsidRPr="00396A03" w:rsidRDefault="00716EA9" w:rsidP="00716EA9">
      <w:pPr>
        <w:rPr>
          <w:noProof/>
          <w:szCs w:val="24"/>
        </w:rPr>
      </w:pPr>
      <w:r w:rsidRPr="00396A03">
        <w:rPr>
          <w:noProof/>
        </w:rPr>
        <w:t>като има предвид, че:</w:t>
      </w:r>
    </w:p>
    <w:p w:rsidR="00716EA9" w:rsidRPr="00396A03" w:rsidRDefault="0073232A" w:rsidP="0073232A">
      <w:pPr>
        <w:pStyle w:val="ManualConsidrant"/>
        <w:rPr>
          <w:noProof/>
          <w:szCs w:val="24"/>
        </w:rPr>
      </w:pPr>
      <w:r w:rsidRPr="0073232A">
        <w:rPr>
          <w:noProof/>
        </w:rPr>
        <w:t>(1)</w:t>
      </w:r>
      <w:r w:rsidRPr="0073232A">
        <w:rPr>
          <w:noProof/>
        </w:rPr>
        <w:tab/>
      </w:r>
      <w:r w:rsidR="00716EA9" w:rsidRPr="00396A03">
        <w:rPr>
          <w:noProof/>
        </w:rPr>
        <w:t>С Регламент за изпълнение (ЕС) 2021/451 на Комисията</w:t>
      </w:r>
      <w:r w:rsidR="00716EA9" w:rsidRPr="00396A03">
        <w:rPr>
          <w:rStyle w:val="FootnoteReference"/>
          <w:noProof/>
          <w:szCs w:val="24"/>
        </w:rPr>
        <w:footnoteReference w:id="3"/>
      </w:r>
      <w:r w:rsidR="00716EA9" w:rsidRPr="00396A03">
        <w:rPr>
          <w:noProof/>
        </w:rPr>
        <w:t xml:space="preserve"> се установява, въз основа на членове 415 и 430 от Регламент (ЕС) № 575/2013, съгласувана рамка за докладване, включваща изисквания относно предоставянето на информация за собствените средства и капиталовите изисквания, финансова информация, която трябва да бъде предоставена в съответствие с Международните стандарти за финансово отчитане (МСФО) и общоприетите счетоводни принципи, информация за загубите, произтичащи от кредити, обезпечени с недвижими имоти, за големите експозиции, за отношението на ливъридж, за стабилното финансиране, за допълнителните показатели за наблюдение на ликвидността, за тежестите върху активи, информация за идентифицирането на глобалните системно значими институции (Г-СЗИ) и за определяне на нивата на буферите за Г-СЗИ, както и информация за лихвения риск в банковия портфейл. Регламент за изпълнение (ЕС) 2021/451 бе изменен няколко пъти вследствие на измененията на Регламент (ЕС) № 575/2013, приети с цел въвеждане, подобряване или адаптиране на елементите на пруденциалния надзор.</w:t>
      </w:r>
    </w:p>
    <w:p w:rsidR="00716EA9" w:rsidRPr="00396A03" w:rsidRDefault="0073232A" w:rsidP="0073232A">
      <w:pPr>
        <w:pStyle w:val="ManualConsidrant"/>
        <w:rPr>
          <w:noProof/>
          <w:szCs w:val="24"/>
        </w:rPr>
      </w:pPr>
      <w:r w:rsidRPr="0073232A">
        <w:rPr>
          <w:noProof/>
        </w:rPr>
        <w:t>(2)</w:t>
      </w:r>
      <w:r w:rsidRPr="0073232A">
        <w:rPr>
          <w:noProof/>
        </w:rPr>
        <w:tab/>
      </w:r>
      <w:r w:rsidR="00716EA9" w:rsidRPr="00396A03">
        <w:rPr>
          <w:noProof/>
        </w:rPr>
        <w:t>Регламент (ЕС) № 575/2013 беше изменен с Регламент (ЕС) 2024/1623 на Европейския парламент и на Съвета</w:t>
      </w:r>
      <w:r w:rsidR="00716EA9" w:rsidRPr="00396A03">
        <w:rPr>
          <w:rStyle w:val="FootnoteReference"/>
          <w:noProof/>
          <w:szCs w:val="24"/>
        </w:rPr>
        <w:footnoteReference w:id="4"/>
      </w:r>
      <w:r w:rsidR="00716EA9" w:rsidRPr="00396A03">
        <w:rPr>
          <w:noProof/>
        </w:rPr>
        <w:t xml:space="preserve"> с цел прилагане на окончателния набор от международни стандарти на Базелския комитет по банков надзор (Базел III). Тези изменения следва да бъдат отразени в рамката за докладване, която понастоящем е предвидена в Регламент за изпълнение (ЕС) 2021/451.</w:t>
      </w:r>
    </w:p>
    <w:p w:rsidR="00F470F0" w:rsidRPr="00396A03" w:rsidRDefault="0073232A" w:rsidP="0073232A">
      <w:pPr>
        <w:pStyle w:val="ManualConsidrant"/>
        <w:rPr>
          <w:noProof/>
          <w:szCs w:val="24"/>
        </w:rPr>
      </w:pPr>
      <w:r w:rsidRPr="0073232A">
        <w:rPr>
          <w:noProof/>
        </w:rPr>
        <w:t>(3)</w:t>
      </w:r>
      <w:r w:rsidRPr="0073232A">
        <w:rPr>
          <w:noProof/>
        </w:rPr>
        <w:tab/>
      </w:r>
      <w:r w:rsidR="00716EA9" w:rsidRPr="00396A03">
        <w:rPr>
          <w:noProof/>
        </w:rPr>
        <w:t>С оглед на измененията на Регламент (ЕС) № 575/2013 е необходимо да се преразгледат изискванията за докладване на собствените средства и капиталовите изисквания (долна граница на капиталовото изискване, кредитен риск и кредитен риск от контрагента, корекции на кредитната оценка, пазарен риск, операционен риск, покритие за загуби за необслужвани експозиции и криптоактиви), за докладване на информация за загубите, произтичащи от кредити, обезпечени с недвижими имоти, и за докладване на информация относно отношението на ливъридж.</w:t>
      </w:r>
    </w:p>
    <w:p w:rsidR="00716EA9" w:rsidRPr="00396A03" w:rsidRDefault="0073232A" w:rsidP="0073232A">
      <w:pPr>
        <w:pStyle w:val="ManualConsidrant"/>
        <w:rPr>
          <w:noProof/>
          <w:szCs w:val="24"/>
        </w:rPr>
      </w:pPr>
      <w:r w:rsidRPr="0073232A">
        <w:rPr>
          <w:noProof/>
        </w:rPr>
        <w:t>(4)</w:t>
      </w:r>
      <w:r w:rsidRPr="0073232A">
        <w:rPr>
          <w:noProof/>
        </w:rPr>
        <w:tab/>
      </w:r>
      <w:r w:rsidR="00375AD2" w:rsidRPr="00396A03">
        <w:rPr>
          <w:noProof/>
        </w:rPr>
        <w:t>Предвид големия брой промени, необходими за привеждане в действие на новите правила относно задълженията за докладване, е за предпочитане Регламент за изпълнение (ЕС) 2021/451 да бъде отменен и заменен, вместо да бъде само изменен, тъй като последното би затруднило изключително засегнатите стопански субекти да установяват кои изисквания за докладване се прилагат за тях.</w:t>
      </w:r>
    </w:p>
    <w:p w:rsidR="00716EA9" w:rsidRPr="00396A03" w:rsidRDefault="0073232A" w:rsidP="0073232A">
      <w:pPr>
        <w:pStyle w:val="ManualConsidrant"/>
        <w:rPr>
          <w:noProof/>
          <w:szCs w:val="24"/>
        </w:rPr>
      </w:pPr>
      <w:r w:rsidRPr="0073232A">
        <w:rPr>
          <w:noProof/>
        </w:rPr>
        <w:t>(5)</w:t>
      </w:r>
      <w:r w:rsidRPr="0073232A">
        <w:rPr>
          <w:noProof/>
        </w:rPr>
        <w:tab/>
      </w:r>
      <w:r w:rsidR="00D311FE" w:rsidRPr="00396A03">
        <w:rPr>
          <w:noProof/>
        </w:rPr>
        <w:t>С новите образци за капиталова адекватност следва да се предоставя информация за долната граница на капиталовите изисквания и коефициентите на капиталова адекватност, както и информация за въздействието на предвидените в член 465 от Регламент (ЕС) № 575/2013 преходни разпоредби за долната граница на капиталовото изискване. С докладваните данни следва да се предоставя информация относно въздействието на долната граница на капиталовото изискване и на преходните разпоредби, предвидени в член 465 от Регламент (ЕС) № 575/2013. Образците за групова платежоспособност следва да съдържат нова колона за докладване на информация относно корекцията на долната граница за субектите, за които се прилагат капиталови изисквания.</w:t>
      </w:r>
    </w:p>
    <w:p w:rsidR="00716EA9" w:rsidRPr="00396A03" w:rsidRDefault="0073232A" w:rsidP="0073232A">
      <w:pPr>
        <w:pStyle w:val="ManualConsidrant"/>
        <w:rPr>
          <w:noProof/>
          <w:szCs w:val="24"/>
        </w:rPr>
      </w:pPr>
      <w:r w:rsidRPr="0073232A">
        <w:rPr>
          <w:noProof/>
        </w:rPr>
        <w:t>(6)</w:t>
      </w:r>
      <w:r w:rsidRPr="0073232A">
        <w:rPr>
          <w:noProof/>
        </w:rPr>
        <w:tab/>
      </w:r>
      <w:r w:rsidR="00716EA9" w:rsidRPr="00396A03">
        <w:rPr>
          <w:noProof/>
        </w:rPr>
        <w:t>В образците за кредитен риск по стандартизирания подход (СП) следва да се отразят измененията в класификацията на експозициите и новите рискови тегла. Освен това те следва да отразят по-подробния подход, прилаган към експозициите, обезпечени с ипотеки върху недвижими имоти, както и промените в изчисляването на стойността на експозицията по задбалансовите позиции, които бяха въведени с Регламент (ЕС) 2024/1623 в Регламент (ЕС) № 575/2013.</w:t>
      </w:r>
    </w:p>
    <w:p w:rsidR="00716EA9" w:rsidRPr="00396A03" w:rsidRDefault="0073232A" w:rsidP="0073232A">
      <w:pPr>
        <w:pStyle w:val="ManualConsidrant"/>
        <w:rPr>
          <w:noProof/>
          <w:szCs w:val="24"/>
        </w:rPr>
      </w:pPr>
      <w:r w:rsidRPr="0073232A">
        <w:rPr>
          <w:noProof/>
        </w:rPr>
        <w:t>(7)</w:t>
      </w:r>
      <w:r w:rsidRPr="0073232A">
        <w:rPr>
          <w:noProof/>
        </w:rPr>
        <w:tab/>
      </w:r>
      <w:r w:rsidR="00716EA9" w:rsidRPr="00396A03">
        <w:rPr>
          <w:noProof/>
        </w:rPr>
        <w:t>Образците за кредитен риск по вътрешнорейтинговия подход следва да отразяват измененията в класификацията на експозициите, конкретно за ограничаване използването на експозиции към институции и големи предприятия по основния вътрешнорейтингов подход (ОВРП), и следва да предоставят информация относно новите класове експозиции, в т.ч. субекти от публичния сектор и регионални правителства или местни органи на властта. И накрая, в новите образци следва да се докладват както стандартните, така и собствено изчислените кредитни конверсионни коефициенти.</w:t>
      </w:r>
    </w:p>
    <w:p w:rsidR="00716EA9" w:rsidRPr="00396A03" w:rsidRDefault="0073232A" w:rsidP="0073232A">
      <w:pPr>
        <w:pStyle w:val="ManualConsidrant"/>
        <w:rPr>
          <w:noProof/>
          <w:szCs w:val="24"/>
        </w:rPr>
      </w:pPr>
      <w:r w:rsidRPr="0073232A">
        <w:rPr>
          <w:noProof/>
        </w:rPr>
        <w:t>(8)</w:t>
      </w:r>
      <w:r w:rsidRPr="0073232A">
        <w:rPr>
          <w:noProof/>
        </w:rPr>
        <w:tab/>
      </w:r>
      <w:r w:rsidR="00716EA9" w:rsidRPr="00396A03">
        <w:rPr>
          <w:noProof/>
        </w:rPr>
        <w:t>Новите образци за предоставяне на информация за загубите по необслужвани експозиции следва да отразяват промените в обхвата на експозициите, за които се прилагат изискванията за покритие на загубите, и промените в графика за провизиране.</w:t>
      </w:r>
    </w:p>
    <w:p w:rsidR="00716EA9" w:rsidRPr="00396A03" w:rsidRDefault="0073232A" w:rsidP="0073232A">
      <w:pPr>
        <w:pStyle w:val="ManualConsidrant"/>
        <w:rPr>
          <w:noProof/>
          <w:szCs w:val="24"/>
        </w:rPr>
      </w:pPr>
      <w:r w:rsidRPr="0073232A">
        <w:rPr>
          <w:noProof/>
        </w:rPr>
        <w:t>(9)</w:t>
      </w:r>
      <w:r w:rsidRPr="0073232A">
        <w:rPr>
          <w:noProof/>
        </w:rPr>
        <w:tab/>
      </w:r>
      <w:r w:rsidR="0033133E" w:rsidRPr="00396A03">
        <w:rPr>
          <w:noProof/>
        </w:rPr>
        <w:t>Новият образец за докладване следва да съдържа информация за експозициите към криптоактиви, за да се отрази тяхната обща рискова експозиция.</w:t>
      </w:r>
    </w:p>
    <w:p w:rsidR="00716EA9" w:rsidRPr="00396A03" w:rsidRDefault="0073232A" w:rsidP="0073232A">
      <w:pPr>
        <w:pStyle w:val="ManualConsidrant"/>
        <w:rPr>
          <w:noProof/>
          <w:szCs w:val="24"/>
        </w:rPr>
      </w:pPr>
      <w:r w:rsidRPr="0073232A">
        <w:rPr>
          <w:noProof/>
        </w:rPr>
        <w:t>(10)</w:t>
      </w:r>
      <w:r w:rsidRPr="0073232A">
        <w:rPr>
          <w:noProof/>
        </w:rPr>
        <w:tab/>
      </w:r>
      <w:r w:rsidR="00716EA9" w:rsidRPr="00396A03">
        <w:rPr>
          <w:noProof/>
        </w:rPr>
        <w:t>Докладването на обобщени данни за всеки национален пазар на недвижими имоти („IP Losses“) следва да бъде съобразено със специфичните задължения за докладване, предвидени в член 430а, параграф 1 от Регламент (ЕС) № 575/2013.</w:t>
      </w:r>
    </w:p>
    <w:p w:rsidR="00716EA9" w:rsidRPr="00396A03" w:rsidRDefault="0073232A" w:rsidP="0073232A">
      <w:pPr>
        <w:pStyle w:val="ManualConsidrant"/>
        <w:rPr>
          <w:noProof/>
          <w:szCs w:val="24"/>
        </w:rPr>
      </w:pPr>
      <w:r w:rsidRPr="0073232A">
        <w:rPr>
          <w:noProof/>
        </w:rPr>
        <w:t>(11)</w:t>
      </w:r>
      <w:r w:rsidRPr="0073232A">
        <w:rPr>
          <w:noProof/>
        </w:rPr>
        <w:tab/>
      </w:r>
      <w:r w:rsidR="00716EA9" w:rsidRPr="00396A03">
        <w:rPr>
          <w:noProof/>
        </w:rPr>
        <w:t>Докладването на корекциите на кредитната оценка (ККО) следва да отразява стандартизираните, основните и опростените подходи и да обхваща някои специфични изисквания за докладване на риска от ККО, които бяха въведени в дял VI от Регламент (ЕС) № 575/2013.</w:t>
      </w:r>
    </w:p>
    <w:p w:rsidR="00716EA9" w:rsidRPr="00396A03" w:rsidRDefault="0073232A" w:rsidP="0073232A">
      <w:pPr>
        <w:pStyle w:val="ManualConsidrant"/>
        <w:rPr>
          <w:noProof/>
          <w:szCs w:val="24"/>
        </w:rPr>
      </w:pPr>
      <w:r w:rsidRPr="0073232A">
        <w:rPr>
          <w:noProof/>
        </w:rPr>
        <w:t>(12)</w:t>
      </w:r>
      <w:r w:rsidRPr="0073232A">
        <w:rPr>
          <w:noProof/>
        </w:rPr>
        <w:tab/>
      </w:r>
      <w:r w:rsidR="00716EA9" w:rsidRPr="00396A03">
        <w:rPr>
          <w:noProof/>
        </w:rPr>
        <w:t xml:space="preserve">С Регламент (ЕС) 2024/1623 бе преразгледана рамката за разграничаване на търговския и банковия портфейл. Поради това образците за докладване следва да включват и информация за състава на търговския портфейл съобразно новите критерии, посочени в член 104 от Регламент (ЕС) № 575/2013. </w:t>
      </w:r>
    </w:p>
    <w:p w:rsidR="00716EA9" w:rsidRPr="00396A03" w:rsidRDefault="0073232A" w:rsidP="0073232A">
      <w:pPr>
        <w:pStyle w:val="ManualConsidrant"/>
        <w:rPr>
          <w:noProof/>
          <w:szCs w:val="24"/>
        </w:rPr>
      </w:pPr>
      <w:r w:rsidRPr="0073232A">
        <w:rPr>
          <w:noProof/>
        </w:rPr>
        <w:t>(13)</w:t>
      </w:r>
      <w:r w:rsidRPr="0073232A">
        <w:rPr>
          <w:noProof/>
        </w:rPr>
        <w:tab/>
      </w:r>
      <w:r w:rsidR="007051E2" w:rsidRPr="00396A03">
        <w:rPr>
          <w:noProof/>
        </w:rPr>
        <w:t>Необходимо е референтните дати на докладване по отношение на собствените средства, капиталовите изисквания и допълнителните изисквания за докладване на индивидуална и консолидирана основа да бъдат приведени в съответствие с датите за приключване на финансовата година.</w:t>
      </w:r>
    </w:p>
    <w:p w:rsidR="00716EA9" w:rsidRPr="00396A03" w:rsidRDefault="0073232A" w:rsidP="0073232A">
      <w:pPr>
        <w:pStyle w:val="ManualConsidrant"/>
        <w:rPr>
          <w:noProof/>
          <w:szCs w:val="24"/>
        </w:rPr>
      </w:pPr>
      <w:r w:rsidRPr="0073232A">
        <w:rPr>
          <w:noProof/>
        </w:rPr>
        <w:t>(14)</w:t>
      </w:r>
      <w:r w:rsidRPr="0073232A">
        <w:rPr>
          <w:noProof/>
        </w:rPr>
        <w:tab/>
      </w:r>
      <w:r w:rsidR="009522F9" w:rsidRPr="00396A03">
        <w:rPr>
          <w:noProof/>
        </w:rPr>
        <w:t xml:space="preserve">За да се даде възможност на институциите да изградят системите за докладване, необходими за спазване на задълженията за докладване, на субектите, които извършват дейностите на кредитна институция за първи път, следва да се предостави повече време за подаване на образците. </w:t>
      </w:r>
    </w:p>
    <w:p w:rsidR="002823A7" w:rsidRPr="00396A03" w:rsidRDefault="0073232A" w:rsidP="0073232A">
      <w:pPr>
        <w:pStyle w:val="ManualConsidrant"/>
        <w:rPr>
          <w:noProof/>
          <w:szCs w:val="24"/>
        </w:rPr>
      </w:pPr>
      <w:r w:rsidRPr="0073232A">
        <w:rPr>
          <w:noProof/>
        </w:rPr>
        <w:t>(15)</w:t>
      </w:r>
      <w:r w:rsidRPr="0073232A">
        <w:rPr>
          <w:noProof/>
        </w:rPr>
        <w:tab/>
      </w:r>
      <w:r w:rsidR="002823A7" w:rsidRPr="00396A03">
        <w:rPr>
          <w:noProof/>
        </w:rPr>
        <w:t>С Регламент (ЕС) 2024/1623 бе изменен член 430, параграф 7, първа алинея от Регламент (ЕС) № 575/2013 и бе въведено изискване Европейският банков орган (ЕБО) да разработи информационно-технологични (ИТ) решения, в т.ч. образци за докладване и указания, които да бъдат използвани от институциите с оглед спазване на изискванията за докладване по параграфи 1—4 от посочения член.</w:t>
      </w:r>
      <w:r w:rsidR="002823A7" w:rsidRPr="00396A03">
        <w:rPr>
          <w:noProof/>
          <w:color w:val="000000"/>
        </w:rPr>
        <w:t xml:space="preserve"> В тази връзка следва да бъдат ясно определени елементите на данните и информацията, които институциите трябва да докладват и които ЕБО следва да включи в съответните ИТ решения. </w:t>
      </w:r>
      <w:r w:rsidR="002823A7" w:rsidRPr="00396A03">
        <w:rPr>
          <w:noProof/>
        </w:rPr>
        <w:t>За да може ЕБО да разработи подходящи ИТ решения, структурата и представянето на тези единни формати не следва да бъдат задължителни, а ЕБО — да бъде задължен да възпроизвежда установените в приложението графично представяне и таблична структура.</w:t>
      </w:r>
      <w:r w:rsidR="002823A7" w:rsidRPr="00396A03">
        <w:rPr>
          <w:noProof/>
          <w:color w:val="000000"/>
        </w:rPr>
        <w:t xml:space="preserve"> </w:t>
      </w:r>
      <w:r w:rsidR="002823A7" w:rsidRPr="00396A03">
        <w:rPr>
          <w:noProof/>
        </w:rPr>
        <w:t>В частност, ЕБО следва да може да се отклонява от графичното представяне и табличната структура на образците за докладване, доколкото всички изисквани елементи на данните и информация са включени в това решение.</w:t>
      </w:r>
      <w:r w:rsidR="002823A7" w:rsidRPr="00396A03">
        <w:rPr>
          <w:noProof/>
          <w:color w:val="000000"/>
        </w:rPr>
        <w:t xml:space="preserve"> </w:t>
      </w:r>
    </w:p>
    <w:p w:rsidR="00716EA9" w:rsidRPr="00396A03" w:rsidRDefault="0073232A" w:rsidP="0073232A">
      <w:pPr>
        <w:pStyle w:val="ManualConsidrant"/>
        <w:rPr>
          <w:noProof/>
          <w:szCs w:val="24"/>
        </w:rPr>
      </w:pPr>
      <w:r w:rsidRPr="0073232A">
        <w:rPr>
          <w:noProof/>
        </w:rPr>
        <w:t>(16)</w:t>
      </w:r>
      <w:r w:rsidRPr="0073232A">
        <w:rPr>
          <w:noProof/>
        </w:rPr>
        <w:tab/>
      </w:r>
      <w:r w:rsidR="00716EA9" w:rsidRPr="00396A03">
        <w:rPr>
          <w:noProof/>
        </w:rPr>
        <w:t xml:space="preserve">За да се предостави достатъчно време на институциите да адаптират собствената си вътрешна система и да спазят изменените изисквания за докладване, е необходимо да се предвидят преходни разпоредби, с които се отлага датата на подаване на задължителната информация за първото тримесечие. </w:t>
      </w:r>
    </w:p>
    <w:p w:rsidR="008A53EE" w:rsidRPr="00396A03" w:rsidRDefault="0073232A" w:rsidP="0073232A">
      <w:pPr>
        <w:pStyle w:val="ManualConsidrant"/>
        <w:rPr>
          <w:noProof/>
          <w:szCs w:val="24"/>
        </w:rPr>
      </w:pPr>
      <w:r w:rsidRPr="0073232A">
        <w:rPr>
          <w:noProof/>
        </w:rPr>
        <w:t>(17)</w:t>
      </w:r>
      <w:r w:rsidRPr="0073232A">
        <w:rPr>
          <w:noProof/>
        </w:rPr>
        <w:tab/>
      </w:r>
      <w:r w:rsidR="008A53EE" w:rsidRPr="00396A03">
        <w:rPr>
          <w:noProof/>
        </w:rPr>
        <w:t>За да се приведе графикът на изискването за докладване, свързано със състава на търговския портфейл, в съответствие с графика за прилагане на изискванията за пазарен риск, предвидени в трета част, дял IV, глави 1а и 1б от Регламент (ЕС) № 575/2013, е необходимо да се предвиди преходна разпоредба, позволяваща по-късна първа референтна дата по отношение на това изискване за докладване.</w:t>
      </w:r>
    </w:p>
    <w:p w:rsidR="006427FA" w:rsidRPr="00396A03" w:rsidRDefault="0073232A" w:rsidP="0073232A">
      <w:pPr>
        <w:pStyle w:val="ManualConsidrant"/>
        <w:rPr>
          <w:noProof/>
          <w:szCs w:val="24"/>
        </w:rPr>
      </w:pPr>
      <w:r w:rsidRPr="0073232A">
        <w:rPr>
          <w:noProof/>
        </w:rPr>
        <w:t>(18)</w:t>
      </w:r>
      <w:r w:rsidRPr="0073232A">
        <w:rPr>
          <w:noProof/>
        </w:rPr>
        <w:tab/>
      </w:r>
      <w:r w:rsidR="006427FA" w:rsidRPr="00396A03">
        <w:rPr>
          <w:noProof/>
        </w:rPr>
        <w:t>Разпоредбите в настоящия регламент са тясно свързани, тъй като с тях се уреждат изискванията за докладване от страна на институциите. С оглед съгласуването на посочените разпоредби и осигуряването на възможност за цялостен поглед и лесен достъп до тях за лицата, които трябва да спазват произтичащите от тях задължения, е целесъобразно всички технически стандарти за изпълнение, изисквани по Регламент (ЕС) № 575/2013, да бъдат включени в един регламент.</w:t>
      </w:r>
    </w:p>
    <w:p w:rsidR="00716EA9" w:rsidRPr="00396A03" w:rsidRDefault="0073232A" w:rsidP="0073232A">
      <w:pPr>
        <w:pStyle w:val="ManualConsidrant"/>
        <w:rPr>
          <w:noProof/>
          <w:szCs w:val="24"/>
        </w:rPr>
      </w:pPr>
      <w:r w:rsidRPr="0073232A">
        <w:rPr>
          <w:noProof/>
        </w:rPr>
        <w:t>(19)</w:t>
      </w:r>
      <w:r w:rsidRPr="0073232A">
        <w:rPr>
          <w:noProof/>
        </w:rPr>
        <w:tab/>
      </w:r>
      <w:r w:rsidR="00716EA9" w:rsidRPr="00396A03">
        <w:rPr>
          <w:noProof/>
        </w:rPr>
        <w:t xml:space="preserve">Настоящият регламент е изготвен въз основа на проекта на технически стандарти за изпълнение, представен на Комисията от Европейския банков орган. </w:t>
      </w:r>
    </w:p>
    <w:p w:rsidR="00716EA9" w:rsidRPr="00396A03" w:rsidRDefault="0073232A" w:rsidP="0073232A">
      <w:pPr>
        <w:pStyle w:val="ManualConsidrant"/>
        <w:rPr>
          <w:noProof/>
          <w:szCs w:val="24"/>
        </w:rPr>
      </w:pPr>
      <w:r w:rsidRPr="0073232A">
        <w:rPr>
          <w:noProof/>
        </w:rPr>
        <w:t>(20)</w:t>
      </w:r>
      <w:r w:rsidRPr="0073232A">
        <w:rPr>
          <w:noProof/>
        </w:rPr>
        <w:tab/>
      </w:r>
      <w:r w:rsidR="00716EA9" w:rsidRPr="00396A03">
        <w:rPr>
          <w:noProof/>
        </w:rPr>
        <w:t>Европейският банков орган проведе открити обществени консултации по проекта на технически стандарти за изпълнение, въз основа на които е изготвен настоящият регламент, анализира потенциалните разходи и ползи и поиска становище от Групата на участниците от банковия сектор, създадена с член 37 от Регламент (ЕС) № 1093/2010 на Европейския парламент и на Съвета</w:t>
      </w:r>
      <w:r w:rsidR="00716EA9" w:rsidRPr="00396A03">
        <w:rPr>
          <w:rStyle w:val="FootnoteReference"/>
          <w:noProof/>
          <w:szCs w:val="24"/>
        </w:rPr>
        <w:footnoteReference w:id="5"/>
      </w:r>
      <w:r w:rsidR="00716EA9" w:rsidRPr="00396A03">
        <w:rPr>
          <w:noProof/>
        </w:rPr>
        <w:t>.</w:t>
      </w:r>
    </w:p>
    <w:p w:rsidR="003D2BEA" w:rsidRPr="00396A03" w:rsidRDefault="0073232A" w:rsidP="0073232A">
      <w:pPr>
        <w:pStyle w:val="ManualConsidrant"/>
        <w:rPr>
          <w:noProof/>
          <w:szCs w:val="24"/>
        </w:rPr>
      </w:pPr>
      <w:r w:rsidRPr="0073232A">
        <w:rPr>
          <w:noProof/>
        </w:rPr>
        <w:t>(21)</w:t>
      </w:r>
      <w:r w:rsidRPr="0073232A">
        <w:rPr>
          <w:noProof/>
        </w:rPr>
        <w:tab/>
      </w:r>
      <w:r w:rsidR="00716EA9" w:rsidRPr="00396A03">
        <w:rPr>
          <w:noProof/>
        </w:rPr>
        <w:t>За осигуряването на достатъчно време на институциите, за да се подготвят за докладването в съответствие с настоящия регламент, както и в съответствие с член 430, параграф 7 от Регламент (ЕС) № 575/2013 първата дата на прилагане следва да бъде шест месеца след датата на влизането му в сила.</w:t>
      </w:r>
    </w:p>
    <w:p w:rsidR="00716EA9" w:rsidRPr="00396A03" w:rsidRDefault="0073232A" w:rsidP="0073232A">
      <w:pPr>
        <w:pStyle w:val="ManualConsidrant"/>
        <w:rPr>
          <w:noProof/>
          <w:szCs w:val="24"/>
        </w:rPr>
      </w:pPr>
      <w:r w:rsidRPr="0073232A">
        <w:rPr>
          <w:noProof/>
        </w:rPr>
        <w:t>(22)</w:t>
      </w:r>
      <w:r w:rsidRPr="0073232A">
        <w:rPr>
          <w:noProof/>
        </w:rPr>
        <w:tab/>
      </w:r>
      <w:r w:rsidR="003D2BEA" w:rsidRPr="00396A03">
        <w:rPr>
          <w:noProof/>
        </w:rPr>
        <w:t xml:space="preserve">За да може преразгледаната рамка за докладване да бъде въведена възможно най-скоро, настоящият регламент следва да влезе в сила в деня след деня на публикуването му в </w:t>
      </w:r>
      <w:r w:rsidR="003D2BEA" w:rsidRPr="00396A03">
        <w:rPr>
          <w:i/>
          <w:iCs/>
          <w:noProof/>
        </w:rPr>
        <w:t>Официален вестник на Европейския съюз</w:t>
      </w:r>
      <w:r w:rsidR="003D2BEA" w:rsidRPr="00396A03">
        <w:rPr>
          <w:noProof/>
        </w:rPr>
        <w:t>,</w:t>
      </w:r>
    </w:p>
    <w:p w:rsidR="00185C9B" w:rsidRPr="00396A03" w:rsidRDefault="00185C9B" w:rsidP="004E1EF9">
      <w:pPr>
        <w:pStyle w:val="Formuledadoption"/>
        <w:rPr>
          <w:noProof/>
          <w:szCs w:val="24"/>
        </w:rPr>
      </w:pPr>
      <w:r w:rsidRPr="00396A03">
        <w:rPr>
          <w:noProof/>
        </w:rPr>
        <w:t>ПРИЕ НАСТОЯЩИЯ РЕГЛАМЕНТ:</w:t>
      </w:r>
    </w:p>
    <w:p w:rsidR="00185C9B" w:rsidRPr="00396A03" w:rsidRDefault="00185C9B" w:rsidP="00134C2F">
      <w:pPr>
        <w:pStyle w:val="Titrearticle"/>
        <w:spacing w:after="0"/>
        <w:rPr>
          <w:noProof/>
          <w:szCs w:val="24"/>
        </w:rPr>
      </w:pPr>
      <w:r w:rsidRPr="00396A03">
        <w:rPr>
          <w:noProof/>
        </w:rPr>
        <w:t>Член 1</w:t>
      </w:r>
    </w:p>
    <w:p w:rsidR="00716EA9" w:rsidRPr="00396A03" w:rsidRDefault="00716EA9" w:rsidP="00134C2F">
      <w:pPr>
        <w:pStyle w:val="Titrearticle"/>
        <w:spacing w:before="0"/>
        <w:rPr>
          <w:b/>
          <w:bCs/>
          <w:i w:val="0"/>
          <w:iCs/>
          <w:noProof/>
          <w:szCs w:val="24"/>
        </w:rPr>
      </w:pPr>
      <w:r w:rsidRPr="00396A03">
        <w:rPr>
          <w:b/>
          <w:i w:val="0"/>
          <w:noProof/>
        </w:rPr>
        <w:t>Подаване на информация</w:t>
      </w:r>
    </w:p>
    <w:p w:rsidR="00716EA9" w:rsidRPr="00396A03" w:rsidRDefault="00716EA9" w:rsidP="00C856B2">
      <w:pPr>
        <w:rPr>
          <w:noProof/>
        </w:rPr>
      </w:pPr>
      <w:r w:rsidRPr="00396A03">
        <w:rPr>
          <w:noProof/>
        </w:rPr>
        <w:t>С настоящия регламент се установяват единните формати за докладване, както и честотата и датите за докладването от страна на институциите пред техните компетентни органи в съответствие с член 415, параграфи 3 и 3а и член 430, параграфи 1—4, 7 и 9 от Регламент (ЕС) № 575/2013.</w:t>
      </w:r>
    </w:p>
    <w:p w:rsidR="00716EA9" w:rsidRPr="00396A03" w:rsidRDefault="00716EA9" w:rsidP="00716EA9">
      <w:pPr>
        <w:pStyle w:val="Titrearticle"/>
        <w:rPr>
          <w:noProof/>
          <w:szCs w:val="24"/>
        </w:rPr>
      </w:pPr>
      <w:r w:rsidRPr="00396A03">
        <w:rPr>
          <w:noProof/>
        </w:rPr>
        <w:t>Член 2</w:t>
      </w:r>
    </w:p>
    <w:p w:rsidR="00716EA9" w:rsidRPr="00396A03" w:rsidRDefault="00716EA9" w:rsidP="00F22954">
      <w:pPr>
        <w:pStyle w:val="Titrearticle"/>
        <w:spacing w:before="0"/>
        <w:rPr>
          <w:b/>
          <w:bCs/>
          <w:i w:val="0"/>
          <w:iCs/>
          <w:noProof/>
          <w:szCs w:val="24"/>
        </w:rPr>
      </w:pPr>
      <w:r w:rsidRPr="00396A03">
        <w:rPr>
          <w:b/>
          <w:i w:val="0"/>
          <w:noProof/>
        </w:rPr>
        <w:t>Референтни дати на докладване</w:t>
      </w:r>
    </w:p>
    <w:p w:rsidR="00716EA9" w:rsidRPr="00396A03" w:rsidRDefault="0073232A" w:rsidP="0073232A">
      <w:pPr>
        <w:pStyle w:val="ManualNumPar1"/>
        <w:rPr>
          <w:noProof/>
        </w:rPr>
      </w:pPr>
      <w:r w:rsidRPr="0073232A">
        <w:rPr>
          <w:noProof/>
        </w:rPr>
        <w:t>1.</w:t>
      </w:r>
      <w:r w:rsidRPr="0073232A">
        <w:rPr>
          <w:noProof/>
        </w:rPr>
        <w:tab/>
      </w:r>
      <w:r w:rsidR="00716EA9" w:rsidRPr="00396A03">
        <w:rPr>
          <w:noProof/>
        </w:rPr>
        <w:t>Институциите подават на компетентните органи актуалната към следните референтни дати информация, посочена в приложение I:</w:t>
      </w:r>
    </w:p>
    <w:p w:rsidR="00716EA9" w:rsidRPr="00396A03" w:rsidRDefault="002539D6" w:rsidP="002539D6">
      <w:pPr>
        <w:pStyle w:val="Point1"/>
        <w:rPr>
          <w:noProof/>
        </w:rPr>
      </w:pPr>
      <w:r>
        <w:rPr>
          <w:noProof/>
        </w:rPr>
        <w:t>а)</w:t>
      </w:r>
      <w:r>
        <w:rPr>
          <w:noProof/>
        </w:rPr>
        <w:tab/>
      </w:r>
      <w:r w:rsidR="00716EA9" w:rsidRPr="00396A03">
        <w:rPr>
          <w:noProof/>
        </w:rPr>
        <w:t>ежемесечно докладване: на последния ден от месеца;</w:t>
      </w:r>
    </w:p>
    <w:p w:rsidR="00716EA9" w:rsidRPr="00396A03" w:rsidRDefault="002539D6" w:rsidP="002539D6">
      <w:pPr>
        <w:pStyle w:val="Point1"/>
        <w:rPr>
          <w:noProof/>
        </w:rPr>
      </w:pPr>
      <w:r>
        <w:rPr>
          <w:noProof/>
        </w:rPr>
        <w:t>б)</w:t>
      </w:r>
      <w:r>
        <w:rPr>
          <w:noProof/>
        </w:rPr>
        <w:tab/>
      </w:r>
      <w:r w:rsidR="00716EA9" w:rsidRPr="00396A03">
        <w:rPr>
          <w:noProof/>
        </w:rPr>
        <w:t>тримесечно докладване: на 31 март, 30 юни, 30 септември и 31 декември;</w:t>
      </w:r>
    </w:p>
    <w:p w:rsidR="00716EA9" w:rsidRPr="00396A03" w:rsidRDefault="002539D6" w:rsidP="002539D6">
      <w:pPr>
        <w:pStyle w:val="Point1"/>
        <w:rPr>
          <w:noProof/>
        </w:rPr>
      </w:pPr>
      <w:r>
        <w:rPr>
          <w:noProof/>
        </w:rPr>
        <w:t>в)</w:t>
      </w:r>
      <w:r>
        <w:rPr>
          <w:noProof/>
        </w:rPr>
        <w:tab/>
      </w:r>
      <w:r w:rsidR="00716EA9" w:rsidRPr="00396A03">
        <w:rPr>
          <w:noProof/>
        </w:rPr>
        <w:t>шестмесечно докладване: на 30 юни и 31 декември;</w:t>
      </w:r>
    </w:p>
    <w:p w:rsidR="00716EA9" w:rsidRPr="00396A03" w:rsidRDefault="002539D6" w:rsidP="002539D6">
      <w:pPr>
        <w:pStyle w:val="Point1"/>
        <w:rPr>
          <w:noProof/>
        </w:rPr>
      </w:pPr>
      <w:r>
        <w:rPr>
          <w:noProof/>
        </w:rPr>
        <w:t>г)</w:t>
      </w:r>
      <w:r>
        <w:rPr>
          <w:noProof/>
        </w:rPr>
        <w:tab/>
      </w:r>
      <w:r w:rsidR="00716EA9" w:rsidRPr="00396A03">
        <w:rPr>
          <w:noProof/>
        </w:rPr>
        <w:t>годишно докладване: на 31 декември.</w:t>
      </w:r>
    </w:p>
    <w:p w:rsidR="00716EA9" w:rsidRPr="00396A03" w:rsidRDefault="0073232A" w:rsidP="0073232A">
      <w:pPr>
        <w:pStyle w:val="ManualNumPar1"/>
        <w:rPr>
          <w:noProof/>
        </w:rPr>
      </w:pPr>
      <w:r w:rsidRPr="0073232A">
        <w:rPr>
          <w:noProof/>
        </w:rPr>
        <w:t>2.</w:t>
      </w:r>
      <w:r w:rsidRPr="0073232A">
        <w:rPr>
          <w:noProof/>
        </w:rPr>
        <w:tab/>
      </w:r>
      <w:r w:rsidR="00A50DF2" w:rsidRPr="00396A03">
        <w:rPr>
          <w:noProof/>
        </w:rPr>
        <w:t>Институциите докладват финансовата информация, посочена в приложение I, в съответствие с МСФО и с националните счетоводни рамки, като съответният период се посочва кумулативно — от първия ден на счетоводната година до референтната дата на докладване.</w:t>
      </w:r>
    </w:p>
    <w:p w:rsidR="00716EA9" w:rsidRPr="00396A03" w:rsidRDefault="0073232A" w:rsidP="0073232A">
      <w:pPr>
        <w:pStyle w:val="ManualNumPar1"/>
        <w:rPr>
          <w:noProof/>
        </w:rPr>
      </w:pPr>
      <w:r w:rsidRPr="0073232A">
        <w:rPr>
          <w:noProof/>
        </w:rPr>
        <w:t>3.</w:t>
      </w:r>
      <w:r w:rsidRPr="0073232A">
        <w:rPr>
          <w:noProof/>
        </w:rPr>
        <w:tab/>
      </w:r>
      <w:r w:rsidR="00A50DF2" w:rsidRPr="00396A03">
        <w:rPr>
          <w:noProof/>
        </w:rPr>
        <w:t>Когато счетоводната година не съвпада с календарната година, институциите, на които съгласно националното право е разрешено да докладват финансовата си информация според годишното си счетоводно приключване, могат да коригират референтните дати на докладване, за да ги приведат в съответствие със счетоводната година, така че финансовата информация, информацията, докладвана съгласно член 8, и информацията за идентифицирането на глобалните системно значими институции (Г-СЗИ) и за определяне на нивата на буферите за Г-СЗИ да се докладват съответно на всеки 3, 6 или 12 месеца след края на счетоводната им година.</w:t>
      </w:r>
    </w:p>
    <w:p w:rsidR="00716EA9" w:rsidRPr="00396A03" w:rsidRDefault="00716EA9" w:rsidP="00716EA9">
      <w:pPr>
        <w:pStyle w:val="Titrearticle"/>
        <w:rPr>
          <w:noProof/>
          <w:szCs w:val="24"/>
        </w:rPr>
      </w:pPr>
      <w:r w:rsidRPr="00396A03">
        <w:rPr>
          <w:noProof/>
        </w:rPr>
        <w:t>Член 3</w:t>
      </w:r>
    </w:p>
    <w:p w:rsidR="00716EA9" w:rsidRPr="00396A03" w:rsidRDefault="00716EA9" w:rsidP="00F22954">
      <w:pPr>
        <w:pStyle w:val="Titrearticle"/>
        <w:spacing w:before="0"/>
        <w:rPr>
          <w:b/>
          <w:bCs/>
          <w:i w:val="0"/>
          <w:iCs/>
          <w:noProof/>
          <w:szCs w:val="24"/>
        </w:rPr>
      </w:pPr>
      <w:r w:rsidRPr="00396A03">
        <w:rPr>
          <w:b/>
          <w:i w:val="0"/>
          <w:noProof/>
        </w:rPr>
        <w:t>Дати на подаване на информацията</w:t>
      </w:r>
    </w:p>
    <w:p w:rsidR="00716EA9" w:rsidRPr="00396A03" w:rsidRDefault="0073232A" w:rsidP="0073232A">
      <w:pPr>
        <w:pStyle w:val="ManualNumPar1"/>
        <w:rPr>
          <w:noProof/>
        </w:rPr>
      </w:pPr>
      <w:r w:rsidRPr="0073232A">
        <w:rPr>
          <w:noProof/>
        </w:rPr>
        <w:t>1.</w:t>
      </w:r>
      <w:r w:rsidRPr="0073232A">
        <w:rPr>
          <w:noProof/>
        </w:rPr>
        <w:tab/>
      </w:r>
      <w:r w:rsidR="00716EA9" w:rsidRPr="00396A03">
        <w:rPr>
          <w:noProof/>
        </w:rPr>
        <w:t>Институциите подават информацията, посочена в приложение I, на компетентните органи до края на работния ден на следните дати:</w:t>
      </w:r>
    </w:p>
    <w:p w:rsidR="00716EA9" w:rsidRPr="00396A03" w:rsidRDefault="002539D6" w:rsidP="002539D6">
      <w:pPr>
        <w:pStyle w:val="Point1"/>
        <w:rPr>
          <w:noProof/>
        </w:rPr>
      </w:pPr>
      <w:r>
        <w:rPr>
          <w:noProof/>
        </w:rPr>
        <w:t>а)</w:t>
      </w:r>
      <w:r>
        <w:rPr>
          <w:noProof/>
        </w:rPr>
        <w:tab/>
      </w:r>
      <w:r w:rsidR="00716EA9" w:rsidRPr="00396A03">
        <w:rPr>
          <w:noProof/>
        </w:rPr>
        <w:t>ежемесечно докладване: на 15-ия календарен ден след референтната дата на докладване;</w:t>
      </w:r>
    </w:p>
    <w:p w:rsidR="00716EA9" w:rsidRPr="00396A03" w:rsidRDefault="002539D6" w:rsidP="002539D6">
      <w:pPr>
        <w:pStyle w:val="Point1"/>
        <w:rPr>
          <w:noProof/>
        </w:rPr>
      </w:pPr>
      <w:r>
        <w:rPr>
          <w:noProof/>
        </w:rPr>
        <w:t>б)</w:t>
      </w:r>
      <w:r>
        <w:rPr>
          <w:noProof/>
        </w:rPr>
        <w:tab/>
      </w:r>
      <w:r w:rsidR="00716EA9" w:rsidRPr="00396A03">
        <w:rPr>
          <w:noProof/>
        </w:rPr>
        <w:t>тримесечно докладване: на 12 май, 11 август, 11 ноември и 11 февруари;</w:t>
      </w:r>
    </w:p>
    <w:p w:rsidR="00716EA9" w:rsidRPr="00396A03" w:rsidRDefault="002539D6" w:rsidP="002539D6">
      <w:pPr>
        <w:pStyle w:val="Point1"/>
        <w:rPr>
          <w:noProof/>
        </w:rPr>
      </w:pPr>
      <w:r>
        <w:rPr>
          <w:noProof/>
        </w:rPr>
        <w:t>в)</w:t>
      </w:r>
      <w:r>
        <w:rPr>
          <w:noProof/>
        </w:rPr>
        <w:tab/>
      </w:r>
      <w:r w:rsidR="00716EA9" w:rsidRPr="00396A03">
        <w:rPr>
          <w:noProof/>
        </w:rPr>
        <w:t>шестмесечно докладване: на 11 август и 11 февруари;</w:t>
      </w:r>
    </w:p>
    <w:p w:rsidR="00716EA9" w:rsidRPr="00396A03" w:rsidRDefault="002539D6" w:rsidP="002539D6">
      <w:pPr>
        <w:pStyle w:val="Point1"/>
        <w:rPr>
          <w:noProof/>
        </w:rPr>
      </w:pPr>
      <w:r>
        <w:rPr>
          <w:noProof/>
        </w:rPr>
        <w:t>г)</w:t>
      </w:r>
      <w:r>
        <w:rPr>
          <w:noProof/>
        </w:rPr>
        <w:tab/>
      </w:r>
      <w:r w:rsidR="00716EA9" w:rsidRPr="00396A03">
        <w:rPr>
          <w:noProof/>
        </w:rPr>
        <w:t xml:space="preserve">годишно докладване: на 11 февруари. </w:t>
      </w:r>
    </w:p>
    <w:p w:rsidR="00716EA9" w:rsidRPr="00396A03" w:rsidRDefault="0073232A" w:rsidP="0073232A">
      <w:pPr>
        <w:pStyle w:val="ManualNumPar1"/>
        <w:rPr>
          <w:noProof/>
        </w:rPr>
      </w:pPr>
      <w:r w:rsidRPr="0073232A">
        <w:rPr>
          <w:noProof/>
        </w:rPr>
        <w:t>2.</w:t>
      </w:r>
      <w:r w:rsidRPr="0073232A">
        <w:rPr>
          <w:noProof/>
        </w:rPr>
        <w:tab/>
      </w:r>
      <w:r w:rsidR="00D637BD" w:rsidRPr="00396A03">
        <w:rPr>
          <w:noProof/>
        </w:rPr>
        <w:t>Когато датата на подаване на информацията съвпада с национален празник в държавата членка на получаващия доклада компетентен орган или със събота или неделя, съответните институции подават информацията на следващия работен ден.</w:t>
      </w:r>
    </w:p>
    <w:p w:rsidR="00716EA9" w:rsidRPr="00396A03" w:rsidRDefault="0073232A" w:rsidP="0073232A">
      <w:pPr>
        <w:pStyle w:val="ManualNumPar1"/>
        <w:rPr>
          <w:noProof/>
        </w:rPr>
      </w:pPr>
      <w:r w:rsidRPr="0073232A">
        <w:rPr>
          <w:noProof/>
        </w:rPr>
        <w:t>3.</w:t>
      </w:r>
      <w:r w:rsidRPr="0073232A">
        <w:rPr>
          <w:noProof/>
        </w:rPr>
        <w:tab/>
      </w:r>
      <w:r w:rsidR="00923761" w:rsidRPr="00396A03">
        <w:rPr>
          <w:noProof/>
        </w:rPr>
        <w:t>Институциите, които докладват финансовата информация, посочена в приложение I, информацията съгласно член 8 или информацията за идентифициране на Г-СЗИ и определяне на нивата на буфера за Г-СЗИ, като използват коригирани референтни дати на докладване според годишното си счетоводно приключване, както е посочено в член 2, параграф 3, могат да коригират датите на подаване на информация, така че да се запази същият срок на подаване между коригираните референтни дати на докладване.</w:t>
      </w:r>
    </w:p>
    <w:p w:rsidR="00716EA9" w:rsidRPr="00396A03" w:rsidRDefault="0073232A" w:rsidP="0073232A">
      <w:pPr>
        <w:pStyle w:val="ManualNumPar1"/>
        <w:rPr>
          <w:noProof/>
        </w:rPr>
      </w:pPr>
      <w:r w:rsidRPr="0073232A">
        <w:rPr>
          <w:noProof/>
        </w:rPr>
        <w:t>4.</w:t>
      </w:r>
      <w:r w:rsidRPr="0073232A">
        <w:rPr>
          <w:noProof/>
        </w:rPr>
        <w:tab/>
      </w:r>
      <w:r w:rsidR="00716EA9" w:rsidRPr="00396A03">
        <w:rPr>
          <w:noProof/>
        </w:rPr>
        <w:t>Институциите могат да подават неодитирани данни. Когато има отклонение между одитираните и подадените неодитирани данни, институциите подават коригираните одитирани данни без ненужно забавяне. Неодитирани са тези данни, за които няма становище от външен одитор, а одитирани са данните, проверени от външен одитор, който е изразил за тях одиторско становище.</w:t>
      </w:r>
    </w:p>
    <w:p w:rsidR="00716EA9" w:rsidRPr="00396A03" w:rsidRDefault="0073232A" w:rsidP="0073232A">
      <w:pPr>
        <w:pStyle w:val="ManualNumPar1"/>
        <w:rPr>
          <w:noProof/>
        </w:rPr>
      </w:pPr>
      <w:r w:rsidRPr="0073232A">
        <w:rPr>
          <w:noProof/>
        </w:rPr>
        <w:t>5.</w:t>
      </w:r>
      <w:r w:rsidRPr="0073232A">
        <w:rPr>
          <w:noProof/>
        </w:rPr>
        <w:tab/>
      </w:r>
      <w:r w:rsidR="00F22954" w:rsidRPr="00396A03">
        <w:rPr>
          <w:noProof/>
        </w:rPr>
        <w:t>Институциите подават на компетентните органи без ненужно забавяне всякакви други, различни от посочените в параграф 4, корекции в представените доклади.</w:t>
      </w:r>
    </w:p>
    <w:p w:rsidR="00716EA9" w:rsidRPr="00396A03" w:rsidRDefault="00716EA9" w:rsidP="00716EA9">
      <w:pPr>
        <w:pStyle w:val="Titrearticle"/>
        <w:rPr>
          <w:noProof/>
          <w:szCs w:val="24"/>
        </w:rPr>
      </w:pPr>
      <w:r w:rsidRPr="00396A03">
        <w:rPr>
          <w:noProof/>
        </w:rPr>
        <w:t>Член 4</w:t>
      </w:r>
    </w:p>
    <w:p w:rsidR="00716EA9" w:rsidRPr="00396A03" w:rsidRDefault="00716EA9" w:rsidP="00F22954">
      <w:pPr>
        <w:pStyle w:val="Titrearticle"/>
        <w:spacing w:before="0"/>
        <w:rPr>
          <w:b/>
          <w:bCs/>
          <w:i w:val="0"/>
          <w:iCs/>
          <w:noProof/>
          <w:szCs w:val="24"/>
        </w:rPr>
      </w:pPr>
      <w:r w:rsidRPr="00396A03">
        <w:rPr>
          <w:b/>
          <w:i w:val="0"/>
          <w:noProof/>
        </w:rPr>
        <w:t>Прагове на докладване — входни и изходни критерии</w:t>
      </w:r>
    </w:p>
    <w:p w:rsidR="00716EA9" w:rsidRPr="00396A03" w:rsidRDefault="0073232A" w:rsidP="0073232A">
      <w:pPr>
        <w:pStyle w:val="ManualNumPar1"/>
        <w:rPr>
          <w:noProof/>
        </w:rPr>
      </w:pPr>
      <w:r w:rsidRPr="0073232A">
        <w:rPr>
          <w:noProof/>
        </w:rPr>
        <w:t>1.</w:t>
      </w:r>
      <w:r w:rsidRPr="0073232A">
        <w:rPr>
          <w:noProof/>
        </w:rPr>
        <w:tab/>
      </w:r>
      <w:r w:rsidR="003F44DA" w:rsidRPr="00396A03">
        <w:rPr>
          <w:noProof/>
        </w:rPr>
        <w:t>Малките и несложни институции започват да докладват информацията, посочена в приложение I, на първата референтна дата на докладване след датата, на която са изпълнили критериите по член 4, параграф 1, точка 145 от Регламент (ЕС) № 575/2013. От първата референтна дата на докладване след датата, на която вече не отговарят на тези критерии, институциите спират да предоставят тази информация.</w:t>
      </w:r>
    </w:p>
    <w:p w:rsidR="00716EA9" w:rsidRPr="00396A03" w:rsidRDefault="0073232A" w:rsidP="0073232A">
      <w:pPr>
        <w:pStyle w:val="ManualNumPar1"/>
        <w:rPr>
          <w:noProof/>
        </w:rPr>
      </w:pPr>
      <w:r w:rsidRPr="0073232A">
        <w:rPr>
          <w:noProof/>
        </w:rPr>
        <w:t>2.</w:t>
      </w:r>
      <w:r w:rsidRPr="0073232A">
        <w:rPr>
          <w:noProof/>
        </w:rPr>
        <w:tab/>
      </w:r>
      <w:r w:rsidR="003F44DA" w:rsidRPr="00396A03">
        <w:rPr>
          <w:noProof/>
        </w:rPr>
        <w:t>Големите институции започват да докладват информацията, посочена в приложение I, на първата референтна дата на докладване след датата, на която са изпълнили критериите по член 4, параграф 1, точка 146 от Регламент (ЕС) № 575/2013. От първата референтна дата на докладване, на която вече не отговарят на тези критерии, институциите спират да предоставят тази информация.</w:t>
      </w:r>
    </w:p>
    <w:p w:rsidR="00716EA9" w:rsidRPr="00396A03" w:rsidRDefault="0073232A" w:rsidP="0073232A">
      <w:pPr>
        <w:pStyle w:val="ManualNumPar1"/>
        <w:rPr>
          <w:noProof/>
        </w:rPr>
      </w:pPr>
      <w:r w:rsidRPr="0073232A">
        <w:rPr>
          <w:noProof/>
        </w:rPr>
        <w:t>3.</w:t>
      </w:r>
      <w:r w:rsidRPr="0073232A">
        <w:rPr>
          <w:noProof/>
        </w:rPr>
        <w:tab/>
      </w:r>
      <w:r w:rsidR="00716EA9" w:rsidRPr="00396A03">
        <w:rPr>
          <w:noProof/>
        </w:rPr>
        <w:t>Институциите започват да предоставят посочената в приложение I информация, за която се прилагат праговете по член 5, параграф 2 и 3, член 6, параграфи 2 и 3, членове 11 и 12, член 15, параграф 2 — 5 и членове 17—20 от настоящия регламент, считано от референтната дата на докладване, следваща датата, на която тези прагове са били превишени на две последователни референтни дати на докладване. Институциите могат да прекратят докладването на информацията, за която се прилагат определените в посочените членове прагове, считано от референтната дата на докладване, следваща датата, на която съответните прагове не са били превишени на три последователни референтни дати на докладване.</w:t>
      </w:r>
    </w:p>
    <w:p w:rsidR="00716EA9" w:rsidRPr="00396A03" w:rsidRDefault="0073232A" w:rsidP="0073232A">
      <w:pPr>
        <w:pStyle w:val="ManualNumPar1"/>
        <w:rPr>
          <w:noProof/>
        </w:rPr>
      </w:pPr>
      <w:r w:rsidRPr="0073232A">
        <w:rPr>
          <w:noProof/>
        </w:rPr>
        <w:t>4.</w:t>
      </w:r>
      <w:r w:rsidRPr="0073232A">
        <w:rPr>
          <w:noProof/>
        </w:rPr>
        <w:tab/>
      </w:r>
      <w:r w:rsidR="00716EA9" w:rsidRPr="00396A03">
        <w:rPr>
          <w:noProof/>
        </w:rPr>
        <w:t xml:space="preserve">Чрез дерогация от параграф 3, институциите започват да докладват, когато през 6-те месеца, предхождащи референтната дата, е било изпълнено някое от следните условия: </w:t>
      </w:r>
    </w:p>
    <w:p w:rsidR="00716EA9" w:rsidRPr="00396A03" w:rsidRDefault="002539D6" w:rsidP="002539D6">
      <w:pPr>
        <w:pStyle w:val="Point1"/>
        <w:rPr>
          <w:noProof/>
          <w:color w:val="000000"/>
        </w:rPr>
      </w:pPr>
      <w:r>
        <w:rPr>
          <w:noProof/>
        </w:rPr>
        <w:t>а)</w:t>
      </w:r>
      <w:r>
        <w:rPr>
          <w:noProof/>
        </w:rPr>
        <w:tab/>
      </w:r>
      <w:r w:rsidR="00716EA9" w:rsidRPr="00396A03">
        <w:rPr>
          <w:noProof/>
        </w:rPr>
        <w:t>съответната институция е получила лиценз да започне дейността си като кредитна институция съгласно член 8 от Директива № 2013/36/ЕС на Европейския парламент и на Съвета</w:t>
      </w:r>
      <w:r w:rsidR="00716EA9" w:rsidRPr="00396A03">
        <w:rPr>
          <w:rStyle w:val="FootnoteReference"/>
          <w:rFonts w:eastAsia="Times New Roman"/>
          <w:bCs/>
          <w:noProof/>
          <w:szCs w:val="24"/>
          <w:lang w:eastAsia="fr-BE"/>
        </w:rPr>
        <w:footnoteReference w:id="6"/>
      </w:r>
      <w:r w:rsidR="00716EA9" w:rsidRPr="00396A03">
        <w:rPr>
          <w:noProof/>
        </w:rPr>
        <w:t>;</w:t>
      </w:r>
    </w:p>
    <w:p w:rsidR="00716EA9" w:rsidRPr="00396A03" w:rsidRDefault="002539D6" w:rsidP="002539D6">
      <w:pPr>
        <w:pStyle w:val="Point1"/>
        <w:rPr>
          <w:noProof/>
          <w:color w:val="000000"/>
        </w:rPr>
      </w:pPr>
      <w:r>
        <w:rPr>
          <w:noProof/>
        </w:rPr>
        <w:t>б)</w:t>
      </w:r>
      <w:r>
        <w:rPr>
          <w:noProof/>
        </w:rPr>
        <w:tab/>
      </w:r>
      <w:r w:rsidR="00716EA9" w:rsidRPr="00396A03">
        <w:rPr>
          <w:noProof/>
        </w:rPr>
        <w:t>институцията е инвестиционен посредник, спрямо който се прилага Регламент (ЕС) № 575/2013 поради превишаване на прага, определен в член 4, параграф 1, точка 1, буква б) от същия регламент, или по силата на решение на компетентния орган в съответствие с член 5 от Директива (ЕС) 2019/2034 на Европейския парламент и на Съвета</w:t>
      </w:r>
      <w:r w:rsidR="00716EA9" w:rsidRPr="00396A03">
        <w:rPr>
          <w:rStyle w:val="FootnoteReference"/>
          <w:rFonts w:eastAsia="Times New Roman"/>
          <w:bCs/>
          <w:noProof/>
          <w:szCs w:val="24"/>
          <w:lang w:eastAsia="fr-BE"/>
        </w:rPr>
        <w:footnoteReference w:id="7"/>
      </w:r>
      <w:r w:rsidR="00716EA9" w:rsidRPr="00396A03">
        <w:rPr>
          <w:noProof/>
        </w:rPr>
        <w:t>;</w:t>
      </w:r>
    </w:p>
    <w:p w:rsidR="00716EA9" w:rsidRPr="00396A03" w:rsidRDefault="002539D6" w:rsidP="002539D6">
      <w:pPr>
        <w:pStyle w:val="Point1"/>
        <w:rPr>
          <w:noProof/>
          <w:color w:val="000000"/>
        </w:rPr>
      </w:pPr>
      <w:r>
        <w:rPr>
          <w:noProof/>
        </w:rPr>
        <w:t>в)</w:t>
      </w:r>
      <w:r>
        <w:rPr>
          <w:noProof/>
        </w:rPr>
        <w:tab/>
      </w:r>
      <w:r w:rsidR="00716EA9" w:rsidRPr="00396A03">
        <w:rPr>
          <w:noProof/>
        </w:rPr>
        <w:t>институцията е субект, който е възникнал от сливането на най-малко две институции или от разделянето на институция на най-малко две институции.</w:t>
      </w:r>
    </w:p>
    <w:p w:rsidR="00716EA9" w:rsidRPr="00396A03" w:rsidRDefault="0073232A" w:rsidP="0073232A">
      <w:pPr>
        <w:pStyle w:val="ManualNumPar1"/>
        <w:rPr>
          <w:noProof/>
        </w:rPr>
      </w:pPr>
      <w:r w:rsidRPr="0073232A">
        <w:rPr>
          <w:noProof/>
        </w:rPr>
        <w:t>5.</w:t>
      </w:r>
      <w:r w:rsidRPr="0073232A">
        <w:rPr>
          <w:noProof/>
        </w:rPr>
        <w:tab/>
      </w:r>
      <w:r w:rsidR="00716EA9" w:rsidRPr="00396A03">
        <w:rPr>
          <w:noProof/>
        </w:rPr>
        <w:t>По отношение на докладването, за което се прилагат праговете по член 4, от страна на институциите, посочени в параграф 4, важи следното за първите две референтни дати:</w:t>
      </w:r>
    </w:p>
    <w:p w:rsidR="00716EA9" w:rsidRPr="00396A03" w:rsidRDefault="002539D6" w:rsidP="002539D6">
      <w:pPr>
        <w:pStyle w:val="Point1"/>
        <w:rPr>
          <w:noProof/>
        </w:rPr>
      </w:pPr>
      <w:r>
        <w:rPr>
          <w:noProof/>
        </w:rPr>
        <w:t>а)</w:t>
      </w:r>
      <w:r>
        <w:rPr>
          <w:noProof/>
        </w:rPr>
        <w:tab/>
      </w:r>
      <w:r w:rsidR="0050785B" w:rsidRPr="00396A03">
        <w:rPr>
          <w:noProof/>
        </w:rPr>
        <w:t>институциите, които вече надхвърлят съответния праг на първата референтна дата, докладват информацията, за която се прилага този праг, както на първата, така и на втората референтна дата;</w:t>
      </w:r>
    </w:p>
    <w:p w:rsidR="00716EA9" w:rsidRPr="00396A03" w:rsidRDefault="002539D6" w:rsidP="002539D6">
      <w:pPr>
        <w:pStyle w:val="Point1"/>
        <w:rPr>
          <w:noProof/>
        </w:rPr>
      </w:pPr>
      <w:r>
        <w:rPr>
          <w:noProof/>
        </w:rPr>
        <w:t>б)</w:t>
      </w:r>
      <w:r>
        <w:rPr>
          <w:noProof/>
        </w:rPr>
        <w:tab/>
      </w:r>
      <w:r w:rsidR="0050785B" w:rsidRPr="00396A03">
        <w:rPr>
          <w:noProof/>
        </w:rPr>
        <w:t>институциите, които надхвърлят съответния праг само на втората референтна дата, докладват информацията, за която се прилага този праг, на втората референтна дата;</w:t>
      </w:r>
    </w:p>
    <w:p w:rsidR="00716EA9" w:rsidRPr="00396A03" w:rsidRDefault="00716EA9" w:rsidP="00C856B2">
      <w:pPr>
        <w:pStyle w:val="Text1"/>
        <w:rPr>
          <w:noProof/>
        </w:rPr>
      </w:pPr>
      <w:r w:rsidRPr="00396A03">
        <w:rPr>
          <w:noProof/>
        </w:rPr>
        <w:t>Институциите, които на три последователни референтни дати на докладване не са превишили съответните прагове, посочени в букви а) и б), могат да прекратят докладването на информацията, за която се прилага прагът, на следващата референтна дата на докладване.</w:t>
      </w:r>
    </w:p>
    <w:p w:rsidR="00716EA9" w:rsidRPr="00396A03" w:rsidRDefault="00716EA9" w:rsidP="00E537F5">
      <w:pPr>
        <w:pStyle w:val="Titrearticle"/>
        <w:rPr>
          <w:noProof/>
          <w:szCs w:val="24"/>
        </w:rPr>
      </w:pPr>
      <w:r w:rsidRPr="00396A03">
        <w:rPr>
          <w:noProof/>
        </w:rPr>
        <w:t>Член 5</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собствените средства и капиталовите изисквания на индивидуална основа — тримесечно докладване</w:t>
      </w:r>
    </w:p>
    <w:p w:rsidR="00716EA9" w:rsidRPr="00396A03" w:rsidRDefault="0073232A" w:rsidP="0073232A">
      <w:pPr>
        <w:pStyle w:val="ManualNumPar1"/>
        <w:rPr>
          <w:noProof/>
        </w:rPr>
      </w:pPr>
      <w:r w:rsidRPr="0073232A">
        <w:rPr>
          <w:noProof/>
        </w:rPr>
        <w:t>1.</w:t>
      </w:r>
      <w:r w:rsidRPr="0073232A">
        <w:rPr>
          <w:noProof/>
        </w:rPr>
        <w:tab/>
      </w:r>
      <w:r w:rsidR="00BF6649" w:rsidRPr="00396A03">
        <w:rPr>
          <w:noProof/>
        </w:rPr>
        <w:t>Институциите, които докладват информация за собствените средства и капиталовите изисквания съгласно член 430, параграф 1, буква а) от Регламент (ЕС) № 575/2013 на индивидуална основа, подават на всеки три месеца тази информация съобразно раздел 1 „Докладване на информация за собствените средства и капиталовите изисквания“ на приложение I към настоящия регламент.</w:t>
      </w:r>
    </w:p>
    <w:p w:rsidR="00290C23" w:rsidRPr="00396A03" w:rsidRDefault="0073232A" w:rsidP="0073232A">
      <w:pPr>
        <w:pStyle w:val="ManualNumPar1"/>
        <w:rPr>
          <w:rFonts w:eastAsia="Times New Roman"/>
          <w:noProof/>
        </w:rPr>
      </w:pPr>
      <w:r w:rsidRPr="0073232A">
        <w:rPr>
          <w:noProof/>
        </w:rPr>
        <w:t>2.</w:t>
      </w:r>
      <w:r w:rsidRPr="0073232A">
        <w:rPr>
          <w:noProof/>
        </w:rPr>
        <w:tab/>
      </w:r>
      <w:r w:rsidR="00290C23" w:rsidRPr="00396A03">
        <w:rPr>
          <w:noProof/>
        </w:rPr>
        <w:t>Институциите подават информацията по образци C09.01 и C 09.02, по-специално информацията за географското разпределение на експозициите по държави, когато външните първоначални експозиции във всички „външни“ държави по всички класове експозиции, както са докладвани в ред 0850 на образец C 04.00, са по-големи или равни на 10 % от общите вътрешни и външни първоначални експозиции, както са докладвани в ред 0860 на образец C 04.00. За вътрешни се смятат експозициите, които са към контрагенти, намиращи се в държавата членка, в която е установена институцията.</w:t>
      </w:r>
    </w:p>
    <w:p w:rsidR="00290C23" w:rsidRPr="00396A03" w:rsidRDefault="0073232A" w:rsidP="0073232A">
      <w:pPr>
        <w:pStyle w:val="ManualNumPar1"/>
        <w:rPr>
          <w:rFonts w:eastAsia="Times New Roman"/>
          <w:noProof/>
        </w:rPr>
      </w:pPr>
      <w:r w:rsidRPr="0073232A">
        <w:rPr>
          <w:noProof/>
        </w:rPr>
        <w:t>3.</w:t>
      </w:r>
      <w:r w:rsidRPr="0073232A">
        <w:rPr>
          <w:noProof/>
        </w:rPr>
        <w:tab/>
      </w:r>
      <w:r w:rsidR="00290C23" w:rsidRPr="00396A03">
        <w:rPr>
          <w:noProof/>
        </w:rPr>
        <w:t>Институциите, които прилагат основния подход в съответствие с Делегиран регламент (ЕС) 2016/101 на Комисията</w:t>
      </w:r>
      <w:r w:rsidR="00797855" w:rsidRPr="00396A03">
        <w:rPr>
          <w:rStyle w:val="FootnoteReference"/>
          <w:rFonts w:eastAsia="Times New Roman"/>
          <w:noProof/>
          <w:lang w:eastAsia="en-GB" w:bidi="en-GB"/>
        </w:rPr>
        <w:footnoteReference w:id="8"/>
      </w:r>
      <w:r w:rsidR="00290C23" w:rsidRPr="00396A03">
        <w:rPr>
          <w:noProof/>
        </w:rPr>
        <w:t xml:space="preserve"> и които надвишават прага, посочен в член 4, параграф 1 от същия регламент, докладват информацията по образци C 32.03 и C 32.04.</w:t>
      </w:r>
    </w:p>
    <w:p w:rsidR="00716EA9" w:rsidRPr="00396A03" w:rsidRDefault="0073232A" w:rsidP="0073232A">
      <w:pPr>
        <w:pStyle w:val="ManualNumPar1"/>
        <w:rPr>
          <w:rFonts w:eastAsia="Times New Roman"/>
          <w:noProof/>
        </w:rPr>
      </w:pPr>
      <w:r w:rsidRPr="0073232A">
        <w:rPr>
          <w:noProof/>
        </w:rPr>
        <w:t>4.</w:t>
      </w:r>
      <w:r w:rsidRPr="0073232A">
        <w:rPr>
          <w:noProof/>
        </w:rPr>
        <w:tab/>
      </w:r>
      <w:r w:rsidR="00AB6D3F" w:rsidRPr="00396A03">
        <w:rPr>
          <w:noProof/>
        </w:rPr>
        <w:t>За изчисляването на капиталовите изисквания, посочени в член 92, параграф 4, буква б), подточки i) и буква в) и в член 92, параграф 5, букви б) и в) от Регламент (ЕС) № 575/2013, институциите подават до 31 декември 2025 г. информацията за капиталовите изисквания, свързани с пазарния риск, съгласно член 5, параграф 12 от Регламент за изпълнение (ЕС) 2021/451.</w:t>
      </w:r>
    </w:p>
    <w:p w:rsidR="00716EA9" w:rsidRPr="00396A03" w:rsidRDefault="00716EA9" w:rsidP="00E537F5">
      <w:pPr>
        <w:pStyle w:val="Titrearticle"/>
        <w:rPr>
          <w:noProof/>
          <w:szCs w:val="24"/>
        </w:rPr>
      </w:pPr>
      <w:r w:rsidRPr="00396A03">
        <w:rPr>
          <w:noProof/>
        </w:rPr>
        <w:t>Член 6</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собствените средства и капиталовите изисквания на индивидуална основа — шестмесечно докладване</w:t>
      </w:r>
    </w:p>
    <w:p w:rsidR="00716EA9" w:rsidRPr="00396A03" w:rsidRDefault="0073232A" w:rsidP="0073232A">
      <w:pPr>
        <w:pStyle w:val="ManualNumPar1"/>
        <w:rPr>
          <w:noProof/>
        </w:rPr>
      </w:pPr>
      <w:r w:rsidRPr="0073232A">
        <w:rPr>
          <w:noProof/>
        </w:rPr>
        <w:t>1.</w:t>
      </w:r>
      <w:r w:rsidRPr="0073232A">
        <w:rPr>
          <w:noProof/>
        </w:rPr>
        <w:tab/>
      </w:r>
      <w:r w:rsidR="00266139" w:rsidRPr="00396A03">
        <w:rPr>
          <w:noProof/>
        </w:rPr>
        <w:t>Институциите, които докладват информация за собствените средства и капиталовите изисквания съгласно член 430, параграф 1, буква а) от Регламент (ЕС) № 575/2013 на индивидуална основа, подават на всеки шест месеца тази информация съобразно раздел 1 „Докладване на информация за собствените средства и капиталовите изисквания“ на приложение I.</w:t>
      </w:r>
    </w:p>
    <w:p w:rsidR="00ED139D" w:rsidRPr="00396A03" w:rsidRDefault="0073232A" w:rsidP="0073232A">
      <w:pPr>
        <w:pStyle w:val="ManualNumPar1"/>
        <w:rPr>
          <w:noProof/>
        </w:rPr>
      </w:pPr>
      <w:r w:rsidRPr="0073232A">
        <w:rPr>
          <w:noProof/>
        </w:rPr>
        <w:t>2.</w:t>
      </w:r>
      <w:r w:rsidRPr="0073232A">
        <w:rPr>
          <w:noProof/>
        </w:rPr>
        <w:tab/>
      </w:r>
      <w:r w:rsidR="00ED139D" w:rsidRPr="00396A03">
        <w:rPr>
          <w:noProof/>
        </w:rPr>
        <w:t>Институциите подават информация за всички секюритизиращи експозиции съобразно образци C 14.00 и C 14.01 от раздел 1 „Докладване на информация за собствените средства и капиталовите изисквания“ на приложение I, освен когато са част от група в същата държава, в която подлежат на капиталови изисквания.</w:t>
      </w:r>
    </w:p>
    <w:p w:rsidR="003808D8" w:rsidRPr="00396A03" w:rsidRDefault="0073232A" w:rsidP="0073232A">
      <w:pPr>
        <w:pStyle w:val="ManualNumPar1"/>
        <w:rPr>
          <w:noProof/>
        </w:rPr>
      </w:pPr>
      <w:r w:rsidRPr="0073232A">
        <w:rPr>
          <w:noProof/>
        </w:rPr>
        <w:t>3.</w:t>
      </w:r>
      <w:r w:rsidRPr="0073232A">
        <w:rPr>
          <w:noProof/>
        </w:rPr>
        <w:tab/>
      </w:r>
      <w:r w:rsidR="003808D8" w:rsidRPr="00396A03">
        <w:rPr>
          <w:noProof/>
        </w:rPr>
        <w:t>Институциите подават информация за експозициите към държавни дългови инструменти, както следва:</w:t>
      </w:r>
    </w:p>
    <w:p w:rsidR="003808D8" w:rsidRPr="00396A03" w:rsidRDefault="002539D6" w:rsidP="002539D6">
      <w:pPr>
        <w:pStyle w:val="Point1"/>
        <w:rPr>
          <w:noProof/>
        </w:rPr>
      </w:pPr>
      <w:r>
        <w:rPr>
          <w:noProof/>
        </w:rPr>
        <w:t>а)</w:t>
      </w:r>
      <w:r>
        <w:rPr>
          <w:noProof/>
        </w:rPr>
        <w:tab/>
      </w:r>
      <w:r w:rsidR="003808D8" w:rsidRPr="00396A03">
        <w:rPr>
          <w:noProof/>
        </w:rPr>
        <w:t>когато съвкупната балансова стойност на финансовите активи от сектор на контрагента „Държавно управление“ е по-голяма или равна на 1 % от сбора на общата балансова стойност на „Дългови ценни книжа“ и „Кредити и аванси“, институциите подават информацията съобразно образец C 33.00;</w:t>
      </w:r>
    </w:p>
    <w:p w:rsidR="003808D8" w:rsidRPr="00396A03" w:rsidRDefault="002539D6" w:rsidP="002539D6">
      <w:pPr>
        <w:pStyle w:val="Point1"/>
        <w:rPr>
          <w:noProof/>
        </w:rPr>
      </w:pPr>
      <w:r>
        <w:rPr>
          <w:noProof/>
        </w:rPr>
        <w:t>б)</w:t>
      </w:r>
      <w:r>
        <w:rPr>
          <w:noProof/>
        </w:rPr>
        <w:tab/>
      </w:r>
      <w:r w:rsidR="003808D8" w:rsidRPr="00396A03">
        <w:rPr>
          <w:noProof/>
        </w:rPr>
        <w:t>когато стойността, докладвана за вътрешните експозиции на недериватни финансови активи съобразно ред 0010, колона 0010 от образец C 33.00, е по-малка от 90 % от стойността, докладвана за вътрешните и външните експозиции по същия елемент на данните, институциите, които отговарят на условието по буква а), подават информацията съобразно образец C 33.00, с пълна разбивка по държави;</w:t>
      </w:r>
    </w:p>
    <w:p w:rsidR="003808D8" w:rsidRPr="00396A03" w:rsidRDefault="002539D6" w:rsidP="002539D6">
      <w:pPr>
        <w:pStyle w:val="Point1"/>
        <w:rPr>
          <w:noProof/>
        </w:rPr>
      </w:pPr>
      <w:r>
        <w:rPr>
          <w:noProof/>
        </w:rPr>
        <w:t>в)</w:t>
      </w:r>
      <w:r>
        <w:rPr>
          <w:noProof/>
        </w:rPr>
        <w:tab/>
      </w:r>
      <w:r w:rsidR="003808D8" w:rsidRPr="00396A03">
        <w:rPr>
          <w:noProof/>
        </w:rPr>
        <w:t>институциите, които отговарят на условията по буква а), но не и по буква б), подават информацията по образец C 33.00, като експозициите са агрегирани:</w:t>
      </w:r>
    </w:p>
    <w:p w:rsidR="003808D8" w:rsidRPr="00396A03" w:rsidRDefault="003808D8" w:rsidP="00C856B2">
      <w:pPr>
        <w:pStyle w:val="Point2"/>
        <w:rPr>
          <w:noProof/>
        </w:rPr>
      </w:pPr>
      <w:r w:rsidRPr="00396A03">
        <w:rPr>
          <w:noProof/>
        </w:rPr>
        <w:t>i)</w:t>
      </w:r>
      <w:r w:rsidRPr="00396A03">
        <w:rPr>
          <w:noProof/>
        </w:rPr>
        <w:tab/>
        <w:t>на общо равнище; както и</w:t>
      </w:r>
    </w:p>
    <w:p w:rsidR="003808D8" w:rsidRPr="00396A03" w:rsidRDefault="003808D8" w:rsidP="00C856B2">
      <w:pPr>
        <w:pStyle w:val="Point2"/>
        <w:rPr>
          <w:noProof/>
        </w:rPr>
      </w:pPr>
      <w:r w:rsidRPr="00396A03">
        <w:rPr>
          <w:noProof/>
        </w:rPr>
        <w:t>ii)</w:t>
      </w:r>
      <w:r w:rsidRPr="00396A03">
        <w:rPr>
          <w:noProof/>
        </w:rPr>
        <w:tab/>
        <w:t>на вътрешно равнище.</w:t>
      </w:r>
    </w:p>
    <w:p w:rsidR="003808D8" w:rsidRPr="00396A03" w:rsidRDefault="0073232A" w:rsidP="0073232A">
      <w:pPr>
        <w:pStyle w:val="ManualNumPar1"/>
        <w:rPr>
          <w:noProof/>
        </w:rPr>
      </w:pPr>
      <w:r w:rsidRPr="0073232A">
        <w:rPr>
          <w:noProof/>
        </w:rPr>
        <w:t>4.</w:t>
      </w:r>
      <w:r w:rsidRPr="0073232A">
        <w:rPr>
          <w:noProof/>
        </w:rPr>
        <w:tab/>
      </w:r>
      <w:r w:rsidR="003808D8" w:rsidRPr="00396A03">
        <w:rPr>
          <w:noProof/>
        </w:rPr>
        <w:t>Институциите подават информацията за съществените загуби, свързани с операционния риск, както следва:</w:t>
      </w:r>
    </w:p>
    <w:p w:rsidR="003808D8" w:rsidRPr="00396A03" w:rsidRDefault="002539D6" w:rsidP="002539D6">
      <w:pPr>
        <w:pStyle w:val="Point1"/>
        <w:rPr>
          <w:noProof/>
        </w:rPr>
      </w:pPr>
      <w:r>
        <w:rPr>
          <w:noProof/>
        </w:rPr>
        <w:t>а)</w:t>
      </w:r>
      <w:r>
        <w:rPr>
          <w:noProof/>
        </w:rPr>
        <w:tab/>
      </w:r>
      <w:r w:rsidR="003808D8" w:rsidRPr="00396A03">
        <w:rPr>
          <w:noProof/>
        </w:rPr>
        <w:t>институциите, които през декември 2024 г. изчисляват капиталовите изисквания с оглед на операционния риск в съответствие с трета част, дял III, глава 4 от Регламент (ЕС) № 575/2013, продължават да докладват тази информация съобразно образци C 17.01 и C 17.02;</w:t>
      </w:r>
    </w:p>
    <w:p w:rsidR="003808D8" w:rsidRPr="00396A03" w:rsidRDefault="002539D6" w:rsidP="002539D6">
      <w:pPr>
        <w:pStyle w:val="Point1"/>
        <w:rPr>
          <w:noProof/>
        </w:rPr>
      </w:pPr>
      <w:r>
        <w:rPr>
          <w:noProof/>
        </w:rPr>
        <w:t>б)</w:t>
      </w:r>
      <w:r>
        <w:rPr>
          <w:noProof/>
        </w:rPr>
        <w:tab/>
      </w:r>
      <w:r w:rsidR="003808D8" w:rsidRPr="00396A03">
        <w:rPr>
          <w:noProof/>
        </w:rPr>
        <w:t>големите институции, които през декември 2024 г. изчисляват капиталовите изисквания с оглед на операционния риск в съответствие с трета част, дял III, глава 3 от Регламент (ЕС) № 575/2013, продължават да докладват тази информация съобразно образци C 17.01 и C 17.02;</w:t>
      </w:r>
    </w:p>
    <w:p w:rsidR="003808D8" w:rsidRPr="00396A03" w:rsidRDefault="002539D6" w:rsidP="002539D6">
      <w:pPr>
        <w:pStyle w:val="Point1"/>
        <w:rPr>
          <w:noProof/>
        </w:rPr>
      </w:pPr>
      <w:r>
        <w:rPr>
          <w:noProof/>
        </w:rPr>
        <w:t>в)</w:t>
      </w:r>
      <w:r>
        <w:rPr>
          <w:noProof/>
        </w:rPr>
        <w:tab/>
      </w:r>
      <w:r w:rsidR="003808D8" w:rsidRPr="00396A03">
        <w:rPr>
          <w:noProof/>
        </w:rPr>
        <w:t>институциите, които не са големи институции, които през декември 2024 г. изчисляват капиталовите изисквания с оглед на операционния риск в съответствие с трета част, дял III, глава 3 от Регламент (ЕС) № 575/2013, продължават да докладват следната информация:</w:t>
      </w:r>
    </w:p>
    <w:p w:rsidR="003808D8" w:rsidRPr="00396A03" w:rsidRDefault="003808D8" w:rsidP="00C856B2">
      <w:pPr>
        <w:pStyle w:val="Point2"/>
        <w:rPr>
          <w:noProof/>
        </w:rPr>
      </w:pPr>
      <w:r w:rsidRPr="00396A03">
        <w:rPr>
          <w:noProof/>
        </w:rPr>
        <w:t>i)</w:t>
      </w:r>
      <w:r w:rsidRPr="00396A03">
        <w:rPr>
          <w:noProof/>
        </w:rPr>
        <w:tab/>
        <w:t>информацията по образец C 17.01, колона 0080 за следните редове:</w:t>
      </w:r>
    </w:p>
    <w:p w:rsidR="003808D8" w:rsidRPr="00396A03" w:rsidRDefault="002539D6" w:rsidP="002539D6">
      <w:pPr>
        <w:pStyle w:val="Point3"/>
        <w:rPr>
          <w:noProof/>
        </w:rPr>
      </w:pPr>
      <w:r>
        <w:rPr>
          <w:noProof/>
        </w:rPr>
        <w:t>1)</w:t>
      </w:r>
      <w:r>
        <w:rPr>
          <w:noProof/>
        </w:rPr>
        <w:tab/>
      </w:r>
      <w:r w:rsidR="003808D8" w:rsidRPr="00396A03">
        <w:rPr>
          <w:noProof/>
        </w:rPr>
        <w:t>брой събития (нови събития) (ред 0910);</w:t>
      </w:r>
    </w:p>
    <w:p w:rsidR="003808D8" w:rsidRPr="00396A03" w:rsidRDefault="002539D6" w:rsidP="002539D6">
      <w:pPr>
        <w:pStyle w:val="Point3"/>
        <w:rPr>
          <w:noProof/>
        </w:rPr>
      </w:pPr>
      <w:r>
        <w:rPr>
          <w:noProof/>
        </w:rPr>
        <w:t>2)</w:t>
      </w:r>
      <w:r>
        <w:rPr>
          <w:noProof/>
        </w:rPr>
        <w:tab/>
      </w:r>
      <w:r w:rsidR="003808D8" w:rsidRPr="00396A03">
        <w:rPr>
          <w:noProof/>
        </w:rPr>
        <w:t>брутен размер на загубите (нови събития) (ред 0920);</w:t>
      </w:r>
    </w:p>
    <w:p w:rsidR="003808D8" w:rsidRPr="00396A03" w:rsidRDefault="002539D6" w:rsidP="002539D6">
      <w:pPr>
        <w:pStyle w:val="Point3"/>
        <w:rPr>
          <w:noProof/>
        </w:rPr>
      </w:pPr>
      <w:r>
        <w:rPr>
          <w:noProof/>
        </w:rPr>
        <w:t>3)</w:t>
      </w:r>
      <w:r>
        <w:rPr>
          <w:noProof/>
        </w:rPr>
        <w:tab/>
      </w:r>
      <w:r w:rsidR="003808D8" w:rsidRPr="00396A03">
        <w:rPr>
          <w:noProof/>
        </w:rPr>
        <w:t>брой водещи до загуби събития, подлежащи на корекции за загуби (ред 0930);</w:t>
      </w:r>
    </w:p>
    <w:p w:rsidR="003808D8" w:rsidRPr="00396A03" w:rsidRDefault="002539D6" w:rsidP="002539D6">
      <w:pPr>
        <w:pStyle w:val="Point3"/>
        <w:rPr>
          <w:noProof/>
        </w:rPr>
      </w:pPr>
      <w:r>
        <w:rPr>
          <w:noProof/>
        </w:rPr>
        <w:t>4)</w:t>
      </w:r>
      <w:r>
        <w:rPr>
          <w:noProof/>
        </w:rPr>
        <w:tab/>
      </w:r>
      <w:r w:rsidR="003808D8" w:rsidRPr="00396A03">
        <w:rPr>
          <w:noProof/>
        </w:rPr>
        <w:t>корекции за загуби, свързани с предходни периоди на докладване (ред 0940);</w:t>
      </w:r>
    </w:p>
    <w:p w:rsidR="003808D8" w:rsidRPr="00396A03" w:rsidRDefault="002539D6" w:rsidP="002539D6">
      <w:pPr>
        <w:pStyle w:val="Point3"/>
        <w:rPr>
          <w:noProof/>
        </w:rPr>
      </w:pPr>
      <w:r>
        <w:rPr>
          <w:noProof/>
        </w:rPr>
        <w:t>5)</w:t>
      </w:r>
      <w:r>
        <w:rPr>
          <w:noProof/>
        </w:rPr>
        <w:tab/>
      </w:r>
      <w:r w:rsidR="003808D8" w:rsidRPr="00396A03">
        <w:rPr>
          <w:noProof/>
        </w:rPr>
        <w:t>максимална единична загуба (ред 0950);</w:t>
      </w:r>
    </w:p>
    <w:p w:rsidR="003808D8" w:rsidRPr="00396A03" w:rsidRDefault="002539D6" w:rsidP="002539D6">
      <w:pPr>
        <w:pStyle w:val="Point3"/>
        <w:rPr>
          <w:noProof/>
        </w:rPr>
      </w:pPr>
      <w:r>
        <w:rPr>
          <w:noProof/>
        </w:rPr>
        <w:t>6)</w:t>
      </w:r>
      <w:r>
        <w:rPr>
          <w:noProof/>
        </w:rPr>
        <w:tab/>
      </w:r>
      <w:r w:rsidR="003808D8" w:rsidRPr="00396A03">
        <w:rPr>
          <w:noProof/>
        </w:rPr>
        <w:t>сбор от петте най-големи загуби (ред 0960);</w:t>
      </w:r>
    </w:p>
    <w:p w:rsidR="003808D8" w:rsidRPr="00396A03" w:rsidRDefault="002539D6" w:rsidP="002539D6">
      <w:pPr>
        <w:pStyle w:val="Point3"/>
        <w:rPr>
          <w:noProof/>
        </w:rPr>
      </w:pPr>
      <w:r>
        <w:rPr>
          <w:noProof/>
        </w:rPr>
        <w:t>7)</w:t>
      </w:r>
      <w:r>
        <w:rPr>
          <w:noProof/>
        </w:rPr>
        <w:tab/>
      </w:r>
      <w:r w:rsidR="003808D8" w:rsidRPr="00396A03">
        <w:rPr>
          <w:noProof/>
        </w:rPr>
        <w:t>общ размер на пряко възстановените загуби (с изключение на застраховане и други механизми за прехвърляне на риска) (ред 0970);</w:t>
      </w:r>
    </w:p>
    <w:p w:rsidR="003808D8" w:rsidRPr="00396A03" w:rsidRDefault="002539D6" w:rsidP="002539D6">
      <w:pPr>
        <w:pStyle w:val="Point3"/>
        <w:rPr>
          <w:noProof/>
        </w:rPr>
      </w:pPr>
      <w:r>
        <w:rPr>
          <w:noProof/>
        </w:rPr>
        <w:t>8)</w:t>
      </w:r>
      <w:r>
        <w:rPr>
          <w:noProof/>
        </w:rPr>
        <w:tab/>
      </w:r>
      <w:r w:rsidR="003808D8" w:rsidRPr="00396A03">
        <w:rPr>
          <w:noProof/>
        </w:rPr>
        <w:t>общ размер на възстановяванията от застраховане и други механизми за прехвърляне на риска (ред 0980);</w:t>
      </w:r>
    </w:p>
    <w:p w:rsidR="003808D8" w:rsidRPr="00396A03" w:rsidRDefault="003808D8" w:rsidP="00C856B2">
      <w:pPr>
        <w:pStyle w:val="Point2"/>
        <w:rPr>
          <w:noProof/>
        </w:rPr>
      </w:pPr>
      <w:r w:rsidRPr="00396A03">
        <w:rPr>
          <w:noProof/>
        </w:rPr>
        <w:t>ii)</w:t>
      </w:r>
      <w:r w:rsidRPr="00396A03">
        <w:rPr>
          <w:noProof/>
        </w:rPr>
        <w:tab/>
        <w:t>информацията по образец C 17.02;</w:t>
      </w:r>
    </w:p>
    <w:p w:rsidR="003808D8" w:rsidRPr="00396A03" w:rsidRDefault="002539D6" w:rsidP="002539D6">
      <w:pPr>
        <w:pStyle w:val="Point1"/>
        <w:rPr>
          <w:noProof/>
        </w:rPr>
      </w:pPr>
      <w:r>
        <w:rPr>
          <w:noProof/>
        </w:rPr>
        <w:t>г)</w:t>
      </w:r>
      <w:r>
        <w:rPr>
          <w:noProof/>
        </w:rPr>
        <w:tab/>
      </w:r>
      <w:r w:rsidR="003808D8" w:rsidRPr="00396A03">
        <w:rPr>
          <w:noProof/>
        </w:rPr>
        <w:t xml:space="preserve">институциите, посочени в буква в), могат да докладват пълния набор от информация в образци C 17.01 и C 17.02; </w:t>
      </w:r>
    </w:p>
    <w:p w:rsidR="003808D8" w:rsidRPr="00396A03" w:rsidRDefault="002539D6" w:rsidP="002539D6">
      <w:pPr>
        <w:pStyle w:val="Point1"/>
        <w:rPr>
          <w:noProof/>
        </w:rPr>
      </w:pPr>
      <w:r>
        <w:rPr>
          <w:noProof/>
        </w:rPr>
        <w:t>д)</w:t>
      </w:r>
      <w:r>
        <w:rPr>
          <w:noProof/>
        </w:rPr>
        <w:tab/>
      </w:r>
      <w:r w:rsidR="003808D8" w:rsidRPr="00396A03">
        <w:rPr>
          <w:noProof/>
        </w:rPr>
        <w:t>големите институции, които през декември 2024 г. изчисляват капиталовите изисквания с оглед на операционния риск в съответствие с трета част, дял III, глава 2 от Регламент (ЕС) № 575/2013, продължават да докладват информацията съобразно образци C 17.01 и C 17.02;</w:t>
      </w:r>
    </w:p>
    <w:p w:rsidR="003808D8" w:rsidRPr="00396A03" w:rsidRDefault="002539D6" w:rsidP="002539D6">
      <w:pPr>
        <w:pStyle w:val="Point1"/>
        <w:rPr>
          <w:noProof/>
        </w:rPr>
      </w:pPr>
      <w:r>
        <w:rPr>
          <w:noProof/>
        </w:rPr>
        <w:t>е)</w:t>
      </w:r>
      <w:r>
        <w:rPr>
          <w:noProof/>
        </w:rPr>
        <w:tab/>
      </w:r>
      <w:r w:rsidR="003808D8" w:rsidRPr="00396A03">
        <w:rPr>
          <w:noProof/>
        </w:rPr>
        <w:t>институции, различни от големите институции, които през декември 2024 г. изчисляват капиталовите изисквания с оглед на операционния риск в съответствие с трета част, дял III, глава 2 от Регламент (ЕС) № 575/2013, могат да продължат да докладват информацията съобразно образци C 17.01 и C 17.02.</w:t>
      </w:r>
    </w:p>
    <w:p w:rsidR="00716EA9" w:rsidRPr="00396A03" w:rsidRDefault="00716EA9" w:rsidP="00E537F5">
      <w:pPr>
        <w:pStyle w:val="Titrearticle"/>
        <w:rPr>
          <w:noProof/>
          <w:szCs w:val="24"/>
        </w:rPr>
      </w:pPr>
      <w:r w:rsidRPr="00396A03">
        <w:rPr>
          <w:noProof/>
        </w:rPr>
        <w:t>Член 7</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собствените средства и капиталовите изисквания на консолидирана основа</w:t>
      </w:r>
    </w:p>
    <w:p w:rsidR="00716EA9" w:rsidRPr="00396A03" w:rsidRDefault="00716EA9" w:rsidP="00C856B2">
      <w:pPr>
        <w:rPr>
          <w:noProof/>
        </w:rPr>
      </w:pPr>
      <w:r w:rsidRPr="00396A03">
        <w:rPr>
          <w:noProof/>
        </w:rPr>
        <w:t>Институциите, които докладват на консолидирана основа информация за собствените средства и капиталовите изисквания съгласно член 430, параграф 1, буква а) от Регламент (ЕС) № 575/2013, подават тази информация съобразно раздел 1 „Докладване на информация за собствените средства и капиталовите изисквания“ на приложение I към настоящия регламент, като съблюдават следното:</w:t>
      </w:r>
    </w:p>
    <w:p w:rsidR="00716EA9" w:rsidRPr="00396A03" w:rsidRDefault="002539D6" w:rsidP="002539D6">
      <w:pPr>
        <w:pStyle w:val="Point0"/>
        <w:rPr>
          <w:noProof/>
          <w:color w:val="000000"/>
        </w:rPr>
      </w:pPr>
      <w:r>
        <w:rPr>
          <w:noProof/>
        </w:rPr>
        <w:t>а)</w:t>
      </w:r>
      <w:r>
        <w:rPr>
          <w:noProof/>
        </w:rPr>
        <w:tab/>
      </w:r>
      <w:r w:rsidR="00716EA9" w:rsidRPr="00396A03">
        <w:rPr>
          <w:noProof/>
        </w:rPr>
        <w:t>посоченото в приложение I изискване за предоставяне на информация, с което се доуточнява честотата на докладването, изисквано съгласно членове 5 и 6 от настоящия регламент;</w:t>
      </w:r>
    </w:p>
    <w:p w:rsidR="00716EA9" w:rsidRPr="00396A03" w:rsidRDefault="002539D6" w:rsidP="002539D6">
      <w:pPr>
        <w:pStyle w:val="Point0"/>
        <w:rPr>
          <w:noProof/>
        </w:rPr>
      </w:pPr>
      <w:r>
        <w:rPr>
          <w:noProof/>
        </w:rPr>
        <w:t>б)</w:t>
      </w:r>
      <w:r>
        <w:rPr>
          <w:noProof/>
        </w:rPr>
        <w:tab/>
      </w:r>
      <w:r w:rsidR="00716EA9" w:rsidRPr="00396A03">
        <w:rPr>
          <w:noProof/>
        </w:rPr>
        <w:t>посоченото в приложение I изискване за предоставяне на информация, с което се доуточнява шестмесечното докладване за груповата платежоспособност по отношение на субектите, включени в обхвата на консолидацията.</w:t>
      </w:r>
    </w:p>
    <w:p w:rsidR="00716EA9" w:rsidRPr="00396A03" w:rsidRDefault="00716EA9" w:rsidP="00E537F5">
      <w:pPr>
        <w:pStyle w:val="Titrearticle"/>
        <w:rPr>
          <w:noProof/>
          <w:szCs w:val="24"/>
        </w:rPr>
      </w:pPr>
      <w:r w:rsidRPr="00396A03">
        <w:rPr>
          <w:noProof/>
        </w:rPr>
        <w:t>Член 8</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собствените средства и капиталовите изисквания — допълнителни изисквания за докладване на индивидуална и консолидирана основа</w:t>
      </w:r>
    </w:p>
    <w:p w:rsidR="00AB5213" w:rsidRPr="00396A03" w:rsidRDefault="0073232A" w:rsidP="0073232A">
      <w:pPr>
        <w:pStyle w:val="ManualNumPar1"/>
        <w:rPr>
          <w:noProof/>
        </w:rPr>
      </w:pPr>
      <w:r w:rsidRPr="0073232A">
        <w:rPr>
          <w:noProof/>
        </w:rPr>
        <w:t>1.</w:t>
      </w:r>
      <w:r w:rsidRPr="0073232A">
        <w:rPr>
          <w:noProof/>
        </w:rPr>
        <w:tab/>
      </w:r>
      <w:r w:rsidR="00716EA9" w:rsidRPr="00396A03">
        <w:rPr>
          <w:noProof/>
        </w:rPr>
        <w:t>Институциите, които оповестяват информацията, посочена в член 438, букви д) или з) или член 452, букви б), ж) или з) от Регламент (ЕС) № 575/2013 с честотата по член 433а или член 433в от същия регламент — на индивидуална или на консолидирана основа съгласно съответно член 6 или член 13 от същия регламент — подават информацията съобразно образци C 08.03, C 08.04, C08.05, C 08.05.01, C 08.06, C 08.07 и C 34.11 от раздел 1 „Докладване на информация за собствените средства и капиталовите изисквания“ на приложение I към настоящия регламент.</w:t>
      </w:r>
    </w:p>
    <w:p w:rsidR="00716EA9" w:rsidRPr="00396A03" w:rsidRDefault="0073232A" w:rsidP="0073232A">
      <w:pPr>
        <w:pStyle w:val="ManualNumPar1"/>
        <w:rPr>
          <w:noProof/>
        </w:rPr>
      </w:pPr>
      <w:r w:rsidRPr="0073232A">
        <w:rPr>
          <w:noProof/>
        </w:rPr>
        <w:t>2.</w:t>
      </w:r>
      <w:r w:rsidRPr="0073232A">
        <w:rPr>
          <w:noProof/>
        </w:rPr>
        <w:tab/>
      </w:r>
      <w:r w:rsidR="00716EA9" w:rsidRPr="00396A03">
        <w:rPr>
          <w:noProof/>
        </w:rPr>
        <w:t>Институциите, които оповестяват информацията, посочена в член 439, буква л) от Регламент (ЕС) № 575/2013 с честотата по съответно член 433а или член 433в от същия регламент — на индивидуална или на консолидирана основа съгласно съответно член 6 или член 13 от същия регламент — подават информацията съобразно образец C 34.07 от раздел 1 „Докладване на информация за собствените средства и капиталовите изисквания“ на приложение I към настоящия регламент.</w:t>
      </w:r>
    </w:p>
    <w:p w:rsidR="00716EA9" w:rsidRPr="00396A03" w:rsidRDefault="00716EA9" w:rsidP="00E537F5">
      <w:pPr>
        <w:pStyle w:val="Titrearticle"/>
        <w:rPr>
          <w:noProof/>
          <w:szCs w:val="24"/>
        </w:rPr>
      </w:pPr>
      <w:r w:rsidRPr="00396A03">
        <w:rPr>
          <w:noProof/>
        </w:rPr>
        <w:t>Член 9</w:t>
      </w:r>
    </w:p>
    <w:p w:rsidR="00716EA9" w:rsidRPr="00396A03" w:rsidRDefault="00716EA9" w:rsidP="00F22954">
      <w:pPr>
        <w:pStyle w:val="Titrearticle"/>
        <w:spacing w:before="0"/>
        <w:rPr>
          <w:b/>
          <w:bCs/>
          <w:i w:val="0"/>
          <w:iCs/>
          <w:noProof/>
          <w:szCs w:val="24"/>
        </w:rPr>
      </w:pPr>
      <w:r w:rsidRPr="00396A03">
        <w:rPr>
          <w:b/>
          <w:i w:val="0"/>
          <w:noProof/>
        </w:rPr>
        <w:t>Докладване на индивидуална основа на информация за собствените средства и капиталовите изисквания от инвестиционни посредници, които са обект на членове 95 и 96 от Регламент (ЕС) № 575/2013</w:t>
      </w:r>
    </w:p>
    <w:p w:rsidR="00716EA9" w:rsidRPr="00396A03" w:rsidRDefault="0073232A" w:rsidP="0073232A">
      <w:pPr>
        <w:pStyle w:val="ManualNumPar1"/>
        <w:rPr>
          <w:noProof/>
        </w:rPr>
      </w:pPr>
      <w:r w:rsidRPr="0073232A">
        <w:rPr>
          <w:noProof/>
        </w:rPr>
        <w:t>1.</w:t>
      </w:r>
      <w:r w:rsidRPr="0073232A">
        <w:rPr>
          <w:noProof/>
        </w:rPr>
        <w:tab/>
      </w:r>
      <w:r w:rsidR="000E2BE4" w:rsidRPr="00396A03">
        <w:rPr>
          <w:noProof/>
        </w:rPr>
        <w:t>Когато докладват информация за капиталовите изисквания съгласно член 430, параграф 1, буква а) от Регламент (ЕС) № 575/2013 на индивидуална основа, с изключение на информацията за отношението на ливъридж, инвестиционните посредници, които са обект на член 95 от Регламент (ЕС) № 575/2013 и прилагат преходните разпоредби по член 57, параграф 3 от Регламент (ЕС) 2019/2033, подават на всеки три месеца информацията съобразно образци C 01.00 — C 05.02 от раздел 1 „Докладване на информация за собствените средства и капиталовите изисквания“ на приложение I към настоящия регламент.</w:t>
      </w:r>
    </w:p>
    <w:p w:rsidR="00716EA9" w:rsidRPr="00396A03" w:rsidRDefault="0073232A" w:rsidP="0073232A">
      <w:pPr>
        <w:pStyle w:val="ManualNumPar1"/>
        <w:rPr>
          <w:noProof/>
        </w:rPr>
      </w:pPr>
      <w:r w:rsidRPr="0073232A">
        <w:rPr>
          <w:noProof/>
        </w:rPr>
        <w:t>2.</w:t>
      </w:r>
      <w:r w:rsidRPr="0073232A">
        <w:rPr>
          <w:noProof/>
        </w:rPr>
        <w:tab/>
      </w:r>
      <w:r w:rsidR="001D71A4" w:rsidRPr="00396A03">
        <w:rPr>
          <w:noProof/>
        </w:rPr>
        <w:t>Когато докладват информация за капиталовите изисквания съгласно член 430, параграф 1, буква а) от Регламент (ЕС) № 575/2013 на индивидуална основа, инвестиционните посредници, които са обект на член 96 от Регламент (ЕС) № 575/2013 и които прилагат преходните разпоредби по член 57, параграф 3 от Регламент (ЕС) 2019/2033, подават информацията, посочена в член 5, параграфи 1—4 и член 6, параграф 2 от настоящия регламент, с установената в тези членове честота и съобразно раздел 1 „Докладване на информация за собствените средства и капиталовите изисквания“ на приложение I към настоящия регламент.</w:t>
      </w:r>
    </w:p>
    <w:p w:rsidR="00716EA9" w:rsidRPr="00396A03" w:rsidRDefault="00716EA9" w:rsidP="00E537F5">
      <w:pPr>
        <w:pStyle w:val="Titrearticle"/>
        <w:rPr>
          <w:noProof/>
          <w:szCs w:val="24"/>
        </w:rPr>
      </w:pPr>
      <w:r w:rsidRPr="00396A03">
        <w:rPr>
          <w:noProof/>
        </w:rPr>
        <w:t>Член 10</w:t>
      </w:r>
    </w:p>
    <w:p w:rsidR="00716EA9" w:rsidRPr="00396A03" w:rsidRDefault="00716EA9" w:rsidP="00F22954">
      <w:pPr>
        <w:pStyle w:val="Titrearticle"/>
        <w:spacing w:before="0"/>
        <w:rPr>
          <w:b/>
          <w:bCs/>
          <w:i w:val="0"/>
          <w:iCs/>
          <w:noProof/>
          <w:szCs w:val="24"/>
        </w:rPr>
      </w:pPr>
      <w:r w:rsidRPr="00396A03">
        <w:rPr>
          <w:b/>
          <w:i w:val="0"/>
          <w:noProof/>
        </w:rPr>
        <w:t>Докладване на консолидирана основа на информация за собствените средства и капиталовите изисквания от групи, състоящи се единствено от инвестиционни посредници, които са обект на членове 95 и 96 от Регламент (ЕС) № 575/2013</w:t>
      </w:r>
    </w:p>
    <w:p w:rsidR="00716EA9" w:rsidRPr="00396A03" w:rsidRDefault="0073232A" w:rsidP="0073232A">
      <w:pPr>
        <w:pStyle w:val="ManualNumPar1"/>
        <w:rPr>
          <w:noProof/>
        </w:rPr>
      </w:pPr>
      <w:r w:rsidRPr="0073232A">
        <w:rPr>
          <w:noProof/>
        </w:rPr>
        <w:t>1.</w:t>
      </w:r>
      <w:r w:rsidRPr="0073232A">
        <w:rPr>
          <w:noProof/>
        </w:rPr>
        <w:tab/>
      </w:r>
      <w:r w:rsidR="00D44B55" w:rsidRPr="00396A03">
        <w:rPr>
          <w:noProof/>
        </w:rPr>
        <w:t>Когато докладват информация за капиталовите изисквания съгласно член 430, параграф 1, буква а) от Регламент (ЕС) № 575/2013 на консолидирана основа, с изключение на информацията за отношението на ливъридж, инвестиционните посредници от групи, състоящи се единствено от инвестиционни посредници, които прилагат преходните разпоредби по член 57, параграф 3 от Регламент (ЕС) 2019/2033 във връзка член 95 от Регламент (ЕС) № 575/2013, подават информацията съобразно раздел 1 „Докладване на информация за собствените средства и капиталовите изисквания“ на приложение I към настоящия регламент, както следва:</w:t>
      </w:r>
    </w:p>
    <w:p w:rsidR="00D61A8B" w:rsidRPr="00396A03" w:rsidRDefault="002539D6" w:rsidP="002539D6">
      <w:pPr>
        <w:pStyle w:val="Point1"/>
        <w:rPr>
          <w:noProof/>
        </w:rPr>
      </w:pPr>
      <w:r>
        <w:rPr>
          <w:noProof/>
        </w:rPr>
        <w:t>а)</w:t>
      </w:r>
      <w:r>
        <w:rPr>
          <w:noProof/>
        </w:rPr>
        <w:tab/>
      </w:r>
      <w:r w:rsidR="00D61A8B" w:rsidRPr="00396A03">
        <w:rPr>
          <w:noProof/>
        </w:rPr>
        <w:t>информацията за собствените средства и за капиталовите изисквания съобразно образци C 01.00 — C 05.02 от раздел 1 на приложение I към настоящия регламент — на всеки три месеца;</w:t>
      </w:r>
    </w:p>
    <w:p w:rsidR="00D61A8B" w:rsidRPr="00396A03" w:rsidRDefault="002539D6" w:rsidP="002539D6">
      <w:pPr>
        <w:pStyle w:val="Point1"/>
        <w:rPr>
          <w:noProof/>
        </w:rPr>
      </w:pPr>
      <w:r>
        <w:rPr>
          <w:noProof/>
        </w:rPr>
        <w:t>б)</w:t>
      </w:r>
      <w:r>
        <w:rPr>
          <w:noProof/>
        </w:rPr>
        <w:tab/>
      </w:r>
      <w:r w:rsidR="00D61A8B" w:rsidRPr="00396A03">
        <w:rPr>
          <w:noProof/>
        </w:rPr>
        <w:t>информацията за собствените средства и за капиталовите изисквания по отношение на субектите, включени в обхвата на консолидацията, съобразно образци C 06.01 — C 06.02 от раздел 1 на приложение I към настоящия регламент — на всеки шест месеца;</w:t>
      </w:r>
    </w:p>
    <w:p w:rsidR="00716EA9" w:rsidRPr="00396A03" w:rsidRDefault="0073232A" w:rsidP="0073232A">
      <w:pPr>
        <w:pStyle w:val="ManualNumPar1"/>
        <w:rPr>
          <w:noProof/>
        </w:rPr>
      </w:pPr>
      <w:r w:rsidRPr="0073232A">
        <w:rPr>
          <w:noProof/>
        </w:rPr>
        <w:t>2.</w:t>
      </w:r>
      <w:r w:rsidRPr="0073232A">
        <w:rPr>
          <w:noProof/>
        </w:rPr>
        <w:tab/>
      </w:r>
      <w:r w:rsidR="00EA1A16" w:rsidRPr="00396A03">
        <w:rPr>
          <w:noProof/>
        </w:rPr>
        <w:t>Когато докладват информация за капиталовите изисквания съгласно член 430, параграф 1, буква а) от Регламент (ЕС) № 575/2013 на консолидирана основа, инвестиционните посредници от групи, състоящи се единствено от инвестиционни посредници, които прилагат преходните разпоредби по член 57, параграф 3 от Регламент (ЕС) 2019/2033 във връзка член 96 от Регламент (ЕС) № 575/2013, подават информацията съобразно раздел 1 „Докладване на информация за собствените средства и капиталовите изисквания“ на приложение I към настоящия регламент, както следва:</w:t>
      </w:r>
    </w:p>
    <w:p w:rsidR="00AD54BA" w:rsidRPr="00396A03" w:rsidRDefault="002539D6" w:rsidP="002539D6">
      <w:pPr>
        <w:pStyle w:val="Point1"/>
        <w:rPr>
          <w:noProof/>
        </w:rPr>
      </w:pPr>
      <w:r>
        <w:rPr>
          <w:noProof/>
        </w:rPr>
        <w:t>а)</w:t>
      </w:r>
      <w:r>
        <w:rPr>
          <w:noProof/>
        </w:rPr>
        <w:tab/>
      </w:r>
      <w:r w:rsidR="00AD54BA" w:rsidRPr="00396A03">
        <w:rPr>
          <w:noProof/>
        </w:rPr>
        <w:t>информацията по член 5, параграфи 1—4 и член 6, параграф 2 от настоящия регламент — с установената в тези членове честота;</w:t>
      </w:r>
    </w:p>
    <w:p w:rsidR="00AD54BA" w:rsidRPr="00396A03" w:rsidRDefault="002539D6" w:rsidP="002539D6">
      <w:pPr>
        <w:pStyle w:val="Point1"/>
        <w:rPr>
          <w:noProof/>
        </w:rPr>
      </w:pPr>
      <w:r>
        <w:rPr>
          <w:noProof/>
        </w:rPr>
        <w:t>б)</w:t>
      </w:r>
      <w:r>
        <w:rPr>
          <w:noProof/>
        </w:rPr>
        <w:tab/>
      </w:r>
      <w:r w:rsidR="00AD54BA" w:rsidRPr="00396A03">
        <w:rPr>
          <w:noProof/>
        </w:rPr>
        <w:t>информацията по отношение на субектите, включени в обхвата на консолидацията, съобразно образци C 06.01 — C 06.02 от раздел 1 на приложение I към настоящия регламент — на всеки шест месеца;</w:t>
      </w:r>
    </w:p>
    <w:p w:rsidR="00716EA9" w:rsidRPr="00396A03" w:rsidRDefault="00716EA9" w:rsidP="00E537F5">
      <w:pPr>
        <w:pStyle w:val="Titrearticle"/>
        <w:rPr>
          <w:noProof/>
          <w:szCs w:val="24"/>
        </w:rPr>
      </w:pPr>
      <w:r w:rsidRPr="00396A03">
        <w:rPr>
          <w:noProof/>
        </w:rPr>
        <w:t>Член 11</w:t>
      </w:r>
    </w:p>
    <w:p w:rsidR="00716EA9" w:rsidRPr="00396A03" w:rsidRDefault="00716EA9" w:rsidP="00F22954">
      <w:pPr>
        <w:pStyle w:val="Titrearticle"/>
        <w:spacing w:before="0"/>
        <w:rPr>
          <w:b/>
          <w:bCs/>
          <w:i w:val="0"/>
          <w:iCs/>
          <w:noProof/>
          <w:szCs w:val="24"/>
        </w:rPr>
      </w:pPr>
      <w:r w:rsidRPr="00396A03">
        <w:rPr>
          <w:b/>
          <w:i w:val="0"/>
          <w:noProof/>
        </w:rPr>
        <w:t>Докладване на консолидирана основа на финансова информация от институциите, за които се прилага Регламент (ЕО) № 1606/2002 на Европейския парламент и на Съвета</w:t>
      </w:r>
      <w:r w:rsidRPr="00396A03">
        <w:rPr>
          <w:rStyle w:val="FootnoteReference"/>
          <w:i w:val="0"/>
          <w:iCs/>
          <w:noProof/>
          <w:szCs w:val="24"/>
        </w:rPr>
        <w:footnoteReference w:id="9"/>
      </w:r>
    </w:p>
    <w:p w:rsidR="00716EA9" w:rsidRPr="00396A03" w:rsidRDefault="00DE1415" w:rsidP="00EE077F">
      <w:pPr>
        <w:spacing w:before="100" w:beforeAutospacing="1" w:after="100" w:afterAutospacing="1"/>
        <w:rPr>
          <w:noProof/>
          <w:color w:val="000000"/>
          <w:szCs w:val="24"/>
        </w:rPr>
      </w:pPr>
      <w:r w:rsidRPr="00396A03">
        <w:rPr>
          <w:noProof/>
          <w:color w:val="000000"/>
        </w:rPr>
        <w:t>Институциите, които подават финансова информация на консолидирана основа в съответствие с член 430, параграф 3 или 4 от Регламент (ЕС) № 575/2013, подават тази информация съобразно раздел 2 „Предоставяне на финансова информация съгласно МСФО“ на приложение I към настоящия регламент със следната честота:</w:t>
      </w:r>
    </w:p>
    <w:p w:rsidR="00AD54BA" w:rsidRPr="00396A03" w:rsidRDefault="002539D6" w:rsidP="002539D6">
      <w:pPr>
        <w:pStyle w:val="Point0"/>
        <w:rPr>
          <w:noProof/>
        </w:rPr>
      </w:pPr>
      <w:r>
        <w:rPr>
          <w:noProof/>
        </w:rPr>
        <w:t>а)</w:t>
      </w:r>
      <w:r>
        <w:rPr>
          <w:noProof/>
        </w:rPr>
        <w:tab/>
      </w:r>
      <w:r w:rsidR="00AD54BA" w:rsidRPr="00396A03">
        <w:rPr>
          <w:noProof/>
        </w:rPr>
        <w:t>информацията по образци F 01.01 — F 19.00 от раздел 2 на приложение I към настоящия регламент — на всеки три месеца;</w:t>
      </w:r>
    </w:p>
    <w:p w:rsidR="00AD54BA" w:rsidRPr="00396A03" w:rsidRDefault="002539D6" w:rsidP="002539D6">
      <w:pPr>
        <w:pStyle w:val="Point0"/>
        <w:rPr>
          <w:noProof/>
        </w:rPr>
      </w:pPr>
      <w:r>
        <w:rPr>
          <w:noProof/>
        </w:rPr>
        <w:t>б)</w:t>
      </w:r>
      <w:r>
        <w:rPr>
          <w:noProof/>
        </w:rPr>
        <w:tab/>
      </w:r>
      <w:r w:rsidR="00AD54BA" w:rsidRPr="00396A03">
        <w:rPr>
          <w:noProof/>
        </w:rPr>
        <w:t>информацията по образци F 30.01 — F 31.02 от раздел 2 на приложение I към настоящия регламент — на всеки шест месеца;</w:t>
      </w:r>
    </w:p>
    <w:p w:rsidR="00AD54BA" w:rsidRPr="00396A03" w:rsidRDefault="002539D6" w:rsidP="002539D6">
      <w:pPr>
        <w:pStyle w:val="Point0"/>
        <w:rPr>
          <w:noProof/>
        </w:rPr>
      </w:pPr>
      <w:r>
        <w:rPr>
          <w:noProof/>
        </w:rPr>
        <w:t>в)</w:t>
      </w:r>
      <w:r>
        <w:rPr>
          <w:noProof/>
        </w:rPr>
        <w:tab/>
      </w:r>
      <w:r w:rsidR="00AD54BA" w:rsidRPr="00396A03">
        <w:rPr>
          <w:noProof/>
        </w:rPr>
        <w:t>информацията по образци F 40.01 — F 46.00 от раздел 2 на приложение I към настоящия регламент — веднъж годишно;</w:t>
      </w:r>
    </w:p>
    <w:p w:rsidR="00AD54BA" w:rsidRPr="00396A03" w:rsidRDefault="002539D6" w:rsidP="002539D6">
      <w:pPr>
        <w:pStyle w:val="Point0"/>
        <w:rPr>
          <w:noProof/>
        </w:rPr>
      </w:pPr>
      <w:r>
        <w:rPr>
          <w:noProof/>
        </w:rPr>
        <w:t>г)</w:t>
      </w:r>
      <w:r>
        <w:rPr>
          <w:noProof/>
        </w:rPr>
        <w:tab/>
      </w:r>
      <w:r w:rsidR="00AD54BA" w:rsidRPr="00396A03">
        <w:rPr>
          <w:noProof/>
        </w:rPr>
        <w:t>когато институцията превиши прага, предвиден в член 5, параграф 2, втора алинея от настоящия регламент, информацията по образци F 20.01 — F 20.07.1 от раздел 2 на приложение I към настоящия регламент — на всеки три месеца;</w:t>
      </w:r>
    </w:p>
    <w:p w:rsidR="00AD54BA" w:rsidRPr="00396A03" w:rsidRDefault="002539D6" w:rsidP="002539D6">
      <w:pPr>
        <w:pStyle w:val="Point0"/>
        <w:rPr>
          <w:noProof/>
        </w:rPr>
      </w:pPr>
      <w:r>
        <w:rPr>
          <w:noProof/>
        </w:rPr>
        <w:t>д)</w:t>
      </w:r>
      <w:r>
        <w:rPr>
          <w:noProof/>
        </w:rPr>
        <w:tab/>
      </w:r>
      <w:r w:rsidR="00AD54BA" w:rsidRPr="00396A03">
        <w:rPr>
          <w:noProof/>
        </w:rPr>
        <w:t>когато материалните активи, предмет на оперативен лизинг, са по-големи или равни на 10 % от общите материални активи, докладвани в съответствие с образец F 01.01 от раздел 2 на приложение I към настоящия регламент, информацията по образец F 21.00 от раздел 2 на приложение I към настоящия регламент — на всеки три месеца;</w:t>
      </w:r>
    </w:p>
    <w:p w:rsidR="00AD54BA" w:rsidRPr="00396A03" w:rsidRDefault="002539D6" w:rsidP="002539D6">
      <w:pPr>
        <w:pStyle w:val="Point0"/>
        <w:rPr>
          <w:noProof/>
        </w:rPr>
      </w:pPr>
      <w:r>
        <w:rPr>
          <w:noProof/>
        </w:rPr>
        <w:t>е)</w:t>
      </w:r>
      <w:r>
        <w:rPr>
          <w:noProof/>
        </w:rPr>
        <w:tab/>
      </w:r>
      <w:r w:rsidR="00AD54BA" w:rsidRPr="00396A03">
        <w:rPr>
          <w:noProof/>
        </w:rPr>
        <w:t>когато нетните приходи от такси и комисиони са по-големи или равни на 10 % от сбора на нетните приходи от такси и комисиони и нетния доход от лихви, докладвани в съответствие с образец F 02.00 от раздел 2 на приложение I към настоящия регламент, информацията по образци F 22.01 и F 22.02 от раздел 2 на приложение I към настоящия регламент — на всеки три месеца;</w:t>
      </w:r>
    </w:p>
    <w:p w:rsidR="00AD54BA" w:rsidRPr="00396A03" w:rsidRDefault="002539D6" w:rsidP="002539D6">
      <w:pPr>
        <w:pStyle w:val="Point0"/>
        <w:rPr>
          <w:noProof/>
        </w:rPr>
      </w:pPr>
      <w:r>
        <w:rPr>
          <w:noProof/>
        </w:rPr>
        <w:t>ж)</w:t>
      </w:r>
      <w:r>
        <w:rPr>
          <w:noProof/>
        </w:rPr>
        <w:tab/>
      </w:r>
      <w:r w:rsidR="00AD54BA" w:rsidRPr="00396A03">
        <w:rPr>
          <w:noProof/>
        </w:rPr>
        <w:t>информацията по образци F 23.01 — 26.00 от раздел 2 на приложение I към настоящия регламент — на всеки три месеца, когато са изпълнени следните две условия:</w:t>
      </w:r>
    </w:p>
    <w:p w:rsidR="00AD54BA" w:rsidRPr="00396A03" w:rsidRDefault="00AD54BA" w:rsidP="00C856B2">
      <w:pPr>
        <w:pStyle w:val="Point2"/>
        <w:rPr>
          <w:noProof/>
        </w:rPr>
      </w:pPr>
      <w:r w:rsidRPr="00396A03">
        <w:rPr>
          <w:noProof/>
        </w:rPr>
        <w:t>i)</w:t>
      </w:r>
      <w:r w:rsidRPr="00396A03">
        <w:rPr>
          <w:noProof/>
        </w:rPr>
        <w:tab/>
        <w:t>институцията не е малка и несложна институция;</w:t>
      </w:r>
    </w:p>
    <w:p w:rsidR="00AD54BA" w:rsidRPr="00396A03" w:rsidRDefault="00AD54BA" w:rsidP="00C856B2">
      <w:pPr>
        <w:pStyle w:val="Point2"/>
        <w:rPr>
          <w:noProof/>
        </w:rPr>
      </w:pPr>
      <w:r w:rsidRPr="00396A03">
        <w:rPr>
          <w:noProof/>
        </w:rPr>
        <w:t>ii)</w:t>
      </w:r>
      <w:r w:rsidRPr="00396A03">
        <w:rPr>
          <w:noProof/>
        </w:rPr>
        <w:tab/>
        <w:t>отношението между брутната балансова стойност на кредитите и авансите на институцията, попадащи в обхвата на член 47а, параграф 3 от Регламент (ЕС) № 575/2013, и общата брутна балансова стойност на кредитите и авансите, попадащи в обхвата на член 47а, параграф 1 от същия регламент, е равно на или по-голямо от 5 %;</w:t>
      </w:r>
    </w:p>
    <w:p w:rsidR="00AD54BA" w:rsidRPr="00396A03" w:rsidRDefault="002539D6" w:rsidP="002539D6">
      <w:pPr>
        <w:pStyle w:val="Point0"/>
        <w:rPr>
          <w:noProof/>
        </w:rPr>
      </w:pPr>
      <w:r>
        <w:rPr>
          <w:noProof/>
        </w:rPr>
        <w:t>з)</w:t>
      </w:r>
      <w:r>
        <w:rPr>
          <w:noProof/>
        </w:rPr>
        <w:tab/>
      </w:r>
      <w:r w:rsidR="00AD54BA" w:rsidRPr="00396A03">
        <w:rPr>
          <w:noProof/>
        </w:rPr>
        <w:t>когато са изпълнени и двете условия по буква ж) от настоящия параграф, информацията по образец F 47.00 от раздел 2 на приложение I към настоящия регламент — веднъж годишно.</w:t>
      </w:r>
    </w:p>
    <w:p w:rsidR="00AD54BA" w:rsidRPr="00396A03" w:rsidRDefault="00AD54BA" w:rsidP="00AD54BA">
      <w:pPr>
        <w:spacing w:before="100" w:beforeAutospacing="1" w:after="100" w:afterAutospacing="1"/>
        <w:rPr>
          <w:noProof/>
          <w:color w:val="000000"/>
          <w:szCs w:val="24"/>
        </w:rPr>
      </w:pPr>
      <w:r w:rsidRPr="00396A03">
        <w:rPr>
          <w:noProof/>
          <w:color w:val="000000"/>
        </w:rPr>
        <w:t>За целите на буква ж), подточка ii), кредитите и авансите, класифицирани като държани за продажба, паричните салда при централни банки, както и другите депозити на виждане не влизат нито в знаменателя, нито в числителя на отношението.</w:t>
      </w:r>
    </w:p>
    <w:p w:rsidR="00716EA9" w:rsidRPr="00396A03" w:rsidRDefault="00716EA9" w:rsidP="00E537F5">
      <w:pPr>
        <w:pStyle w:val="Titrearticle"/>
        <w:rPr>
          <w:noProof/>
          <w:szCs w:val="24"/>
        </w:rPr>
      </w:pPr>
      <w:r w:rsidRPr="00396A03">
        <w:rPr>
          <w:noProof/>
        </w:rPr>
        <w:t>Член 12</w:t>
      </w:r>
    </w:p>
    <w:p w:rsidR="00716EA9" w:rsidRPr="00396A03" w:rsidRDefault="00716EA9" w:rsidP="00F22954">
      <w:pPr>
        <w:pStyle w:val="Titrearticle"/>
        <w:spacing w:before="0"/>
        <w:rPr>
          <w:b/>
          <w:bCs/>
          <w:i w:val="0"/>
          <w:iCs/>
          <w:noProof/>
          <w:szCs w:val="24"/>
        </w:rPr>
      </w:pPr>
      <w:r w:rsidRPr="00396A03">
        <w:rPr>
          <w:b/>
          <w:i w:val="0"/>
          <w:noProof/>
        </w:rPr>
        <w:t>Докладване на консолидирана основа на финансова информация от институциите, които прилагат националните счетоводни рамки</w:t>
      </w:r>
    </w:p>
    <w:p w:rsidR="00AD54BA" w:rsidRPr="00396A03" w:rsidRDefault="00716EA9" w:rsidP="00DC37AE">
      <w:pPr>
        <w:spacing w:after="0"/>
        <w:rPr>
          <w:rFonts w:eastAsia="Times New Roman"/>
          <w:noProof/>
          <w:color w:val="000000"/>
          <w:szCs w:val="24"/>
        </w:rPr>
      </w:pPr>
      <w:r w:rsidRPr="00396A03">
        <w:rPr>
          <w:noProof/>
          <w:color w:val="000000"/>
        </w:rPr>
        <w:t>Когато в съответствие с член 430, параграф 4 от Регламент (ЕС) № 575/2013 компетентен орган е разширил обхвата на изискванията за предоставяне на финансова информация върху институции, установени в държава членка, институциите подават финансовата информация на консолидирана основа съобразно раздел 3 „Предоставяне на финансова информация съгласно общоприетите счетоводни принципи“ на приложение I към настоящия регламент със следната честота:</w:t>
      </w:r>
    </w:p>
    <w:p w:rsidR="00EE077F" w:rsidRPr="00396A03" w:rsidRDefault="002539D6" w:rsidP="002539D6">
      <w:pPr>
        <w:pStyle w:val="Point0"/>
        <w:rPr>
          <w:noProof/>
        </w:rPr>
      </w:pPr>
      <w:r>
        <w:rPr>
          <w:noProof/>
        </w:rPr>
        <w:t>а)</w:t>
      </w:r>
      <w:r>
        <w:rPr>
          <w:noProof/>
        </w:rPr>
        <w:tab/>
      </w:r>
      <w:r w:rsidR="00EE077F" w:rsidRPr="00396A03">
        <w:rPr>
          <w:noProof/>
        </w:rPr>
        <w:t>информацията по образци F 01.01 — F 19.00 от раздел 3 на приложение I към настоящия регламент — на всеки три месеца;</w:t>
      </w:r>
    </w:p>
    <w:p w:rsidR="00EE077F" w:rsidRPr="00396A03" w:rsidRDefault="002539D6" w:rsidP="002539D6">
      <w:pPr>
        <w:pStyle w:val="Point0"/>
        <w:rPr>
          <w:noProof/>
        </w:rPr>
      </w:pPr>
      <w:r>
        <w:rPr>
          <w:noProof/>
        </w:rPr>
        <w:t>б)</w:t>
      </w:r>
      <w:r>
        <w:rPr>
          <w:noProof/>
        </w:rPr>
        <w:tab/>
      </w:r>
      <w:r w:rsidR="00EE077F" w:rsidRPr="00396A03">
        <w:rPr>
          <w:noProof/>
        </w:rPr>
        <w:t>информацията по образци F 30.01 — F 31.02 от раздел 3 на приложение I към настоящия регламент — на всеки шест месеца;</w:t>
      </w:r>
    </w:p>
    <w:p w:rsidR="00EE077F" w:rsidRPr="00396A03" w:rsidRDefault="002539D6" w:rsidP="002539D6">
      <w:pPr>
        <w:pStyle w:val="Point0"/>
        <w:rPr>
          <w:rFonts w:eastAsia="Times New Roman"/>
          <w:noProof/>
        </w:rPr>
      </w:pPr>
      <w:r>
        <w:rPr>
          <w:noProof/>
        </w:rPr>
        <w:t>в)</w:t>
      </w:r>
      <w:r>
        <w:rPr>
          <w:noProof/>
        </w:rPr>
        <w:tab/>
      </w:r>
      <w:r w:rsidR="00EE077F" w:rsidRPr="00396A03">
        <w:rPr>
          <w:noProof/>
        </w:rPr>
        <w:t>информацията по образци F 40.01 — F 46.00 от раздел 3 на приложение I към настоящия регламент — веднъж годишно;</w:t>
      </w:r>
    </w:p>
    <w:p w:rsidR="00EE077F" w:rsidRPr="00396A03" w:rsidRDefault="002539D6" w:rsidP="002539D6">
      <w:pPr>
        <w:pStyle w:val="Point0"/>
        <w:rPr>
          <w:noProof/>
        </w:rPr>
      </w:pPr>
      <w:r>
        <w:rPr>
          <w:noProof/>
        </w:rPr>
        <w:t>г)</w:t>
      </w:r>
      <w:r>
        <w:rPr>
          <w:noProof/>
        </w:rPr>
        <w:tab/>
      </w:r>
      <w:r w:rsidR="00EE077F" w:rsidRPr="00396A03">
        <w:rPr>
          <w:noProof/>
        </w:rPr>
        <w:t>когато институцията превиши прага, предвиден в член 5, параграф 2, втора алинея от настоящия регламент, информацията по образци F 20.01 — F 20.07.1 от раздел 3 на приложение I към настоящия регламент — на всеки три месеца;</w:t>
      </w:r>
    </w:p>
    <w:p w:rsidR="00EE077F" w:rsidRPr="00396A03" w:rsidRDefault="002539D6" w:rsidP="002539D6">
      <w:pPr>
        <w:pStyle w:val="Point0"/>
        <w:rPr>
          <w:rFonts w:eastAsia="Times New Roman"/>
          <w:noProof/>
        </w:rPr>
      </w:pPr>
      <w:r>
        <w:rPr>
          <w:noProof/>
        </w:rPr>
        <w:t>д)</w:t>
      </w:r>
      <w:r>
        <w:rPr>
          <w:noProof/>
        </w:rPr>
        <w:tab/>
      </w:r>
      <w:r w:rsidR="00EE077F" w:rsidRPr="00396A03">
        <w:rPr>
          <w:noProof/>
        </w:rPr>
        <w:t>когато материалните активи, предмет на оперативен лизинг, са по-големи или равни на 10 % от общите материални активи, докладвани в съответствие с образец F 01.01 от раздел 3 на приложение I към настоящия регламент, информацията по образец F 21.00 от раздел 3 на приложение I към настоящия регламент — на всеки три месеца;</w:t>
      </w:r>
    </w:p>
    <w:p w:rsidR="00EE077F" w:rsidRPr="00396A03" w:rsidRDefault="002539D6" w:rsidP="002539D6">
      <w:pPr>
        <w:pStyle w:val="Point0"/>
        <w:rPr>
          <w:rFonts w:eastAsia="Times New Roman"/>
          <w:noProof/>
        </w:rPr>
      </w:pPr>
      <w:r>
        <w:rPr>
          <w:noProof/>
        </w:rPr>
        <w:t>е)</w:t>
      </w:r>
      <w:r>
        <w:rPr>
          <w:noProof/>
        </w:rPr>
        <w:tab/>
      </w:r>
      <w:r w:rsidR="00EE077F" w:rsidRPr="00396A03">
        <w:rPr>
          <w:noProof/>
        </w:rPr>
        <w:t>когато нетните приходи от такси и комисиони са по-големи или равни на 10 % от сбора на нетните приходи от такси и комисиони и нетния доход от лихви, докладвани в съответствие с образец F 02.00 от раздел 3 на приложение I към настоящия регламент, информацията по образци F 22.01 и F 22.02 от раздел 3 на приложение I към настоящия регламент — на всеки три месеца;</w:t>
      </w:r>
    </w:p>
    <w:p w:rsidR="00EE077F" w:rsidRPr="00396A03" w:rsidRDefault="002539D6" w:rsidP="002539D6">
      <w:pPr>
        <w:pStyle w:val="Point0"/>
        <w:rPr>
          <w:rFonts w:eastAsia="Times New Roman"/>
          <w:noProof/>
        </w:rPr>
      </w:pPr>
      <w:r>
        <w:rPr>
          <w:noProof/>
        </w:rPr>
        <w:t>ж)</w:t>
      </w:r>
      <w:r>
        <w:rPr>
          <w:noProof/>
        </w:rPr>
        <w:tab/>
      </w:r>
      <w:r w:rsidR="00EE077F" w:rsidRPr="00396A03">
        <w:rPr>
          <w:noProof/>
        </w:rPr>
        <w:t>информацията по образци F 23.01 — 26.00 от раздел 3 на приложение I към настоящия регламент — на всеки три месеца, когато са изпълнени следните две условия:</w:t>
      </w:r>
    </w:p>
    <w:p w:rsidR="00EE077F" w:rsidRPr="00396A03" w:rsidRDefault="00EE077F" w:rsidP="00C856B2">
      <w:pPr>
        <w:pStyle w:val="Point2"/>
        <w:rPr>
          <w:noProof/>
        </w:rPr>
      </w:pPr>
      <w:r w:rsidRPr="00396A03">
        <w:rPr>
          <w:noProof/>
        </w:rPr>
        <w:t>i)</w:t>
      </w:r>
      <w:r w:rsidRPr="00396A03">
        <w:rPr>
          <w:noProof/>
        </w:rPr>
        <w:tab/>
        <w:t>институцията не е малка или несложна институция;</w:t>
      </w:r>
    </w:p>
    <w:p w:rsidR="00EE077F" w:rsidRPr="00396A03" w:rsidRDefault="00EE077F" w:rsidP="00C856B2">
      <w:pPr>
        <w:pStyle w:val="Point2"/>
        <w:rPr>
          <w:noProof/>
        </w:rPr>
      </w:pPr>
      <w:r w:rsidRPr="00396A03">
        <w:rPr>
          <w:noProof/>
        </w:rPr>
        <w:t>ii)</w:t>
      </w:r>
      <w:r w:rsidRPr="00396A03">
        <w:rPr>
          <w:noProof/>
        </w:rPr>
        <w:tab/>
        <w:t>отношението на институцията по член 11, параграф 2, буква ж), подточка ii) към настоящия регламент е по-голямо или равно на 5 %;</w:t>
      </w:r>
    </w:p>
    <w:p w:rsidR="00EE077F" w:rsidRPr="00396A03" w:rsidRDefault="002539D6" w:rsidP="002539D6">
      <w:pPr>
        <w:pStyle w:val="Point0"/>
        <w:rPr>
          <w:noProof/>
        </w:rPr>
      </w:pPr>
      <w:r>
        <w:rPr>
          <w:noProof/>
        </w:rPr>
        <w:t>з)</w:t>
      </w:r>
      <w:r>
        <w:rPr>
          <w:noProof/>
        </w:rPr>
        <w:tab/>
      </w:r>
      <w:r w:rsidR="00EE077F" w:rsidRPr="00396A03">
        <w:rPr>
          <w:noProof/>
        </w:rPr>
        <w:t>когато са изпълнени и двете условия по буква ж) от настоящия параграф, информацията по образец F 47.00 от раздел 3 на приложение I към настоящия регламент — веднъж годишно.</w:t>
      </w:r>
    </w:p>
    <w:p w:rsidR="00716EA9" w:rsidRPr="00396A03" w:rsidRDefault="00716EA9" w:rsidP="00E537F5">
      <w:pPr>
        <w:pStyle w:val="Titrearticle"/>
        <w:rPr>
          <w:noProof/>
          <w:szCs w:val="24"/>
        </w:rPr>
      </w:pPr>
      <w:r w:rsidRPr="00396A03">
        <w:rPr>
          <w:noProof/>
        </w:rPr>
        <w:t>Член 13</w:t>
      </w:r>
    </w:p>
    <w:p w:rsidR="00716EA9" w:rsidRPr="00396A03" w:rsidRDefault="00716EA9" w:rsidP="00F22954">
      <w:pPr>
        <w:pStyle w:val="Titrearticle"/>
        <w:spacing w:before="0"/>
        <w:rPr>
          <w:b/>
          <w:bCs/>
          <w:i w:val="0"/>
          <w:iCs/>
          <w:noProof/>
          <w:szCs w:val="24"/>
        </w:rPr>
      </w:pPr>
      <w:r w:rsidRPr="00396A03">
        <w:rPr>
          <w:b/>
          <w:i w:val="0"/>
          <w:noProof/>
        </w:rPr>
        <w:t>Докладване на индивидуална и на консолидирана основа на информация за загубите, произтичащи от кредити, обезпечени с недвижими имоти, в съответствие с член 430а, параграф 1 от Регламент (ЕС) № 575/2013</w:t>
      </w:r>
    </w:p>
    <w:p w:rsidR="00716EA9" w:rsidRPr="00396A03" w:rsidRDefault="0073232A" w:rsidP="0073232A">
      <w:pPr>
        <w:pStyle w:val="ManualNumPar1"/>
        <w:rPr>
          <w:noProof/>
        </w:rPr>
      </w:pPr>
      <w:r w:rsidRPr="0073232A">
        <w:rPr>
          <w:noProof/>
        </w:rPr>
        <w:t>1.</w:t>
      </w:r>
      <w:r w:rsidRPr="0073232A">
        <w:rPr>
          <w:noProof/>
        </w:rPr>
        <w:tab/>
      </w:r>
      <w:r w:rsidR="00716EA9" w:rsidRPr="00396A03">
        <w:rPr>
          <w:noProof/>
        </w:rPr>
        <w:t>Институциите подават веднъж годишно обобщените данни, посочени в член 430а, параграф 1 от Регламент (ЕС) № 575/2013, на консолидирана основа съобразно раздел 4 „Докладване на информация за загубите, произтичащи от кредити, обезпечени с недвижими имоти“ на приложение I към настоящия регламент.</w:t>
      </w:r>
    </w:p>
    <w:p w:rsidR="00716EA9" w:rsidRPr="00396A03" w:rsidRDefault="0073232A" w:rsidP="0073232A">
      <w:pPr>
        <w:pStyle w:val="ManualNumPar1"/>
        <w:rPr>
          <w:noProof/>
        </w:rPr>
      </w:pPr>
      <w:r w:rsidRPr="0073232A">
        <w:rPr>
          <w:noProof/>
        </w:rPr>
        <w:t>2.</w:t>
      </w:r>
      <w:r w:rsidRPr="0073232A">
        <w:rPr>
          <w:noProof/>
        </w:rPr>
        <w:tab/>
      </w:r>
      <w:r w:rsidR="00716EA9" w:rsidRPr="00396A03">
        <w:rPr>
          <w:noProof/>
        </w:rPr>
        <w:t>Институциите подават веднъж годишно обобщените данни, посочени в член 430а, параграф 1 от Регламент (ЕС) № 575/2013, на индивидуална основа съобразно раздел 4 „Докладване на информация за загубите, произтичащи от кредити, обезпечени с недвижими имоти“ на приложение I към настоящия регламент.</w:t>
      </w:r>
    </w:p>
    <w:p w:rsidR="00716EA9" w:rsidRPr="00396A03" w:rsidRDefault="0073232A" w:rsidP="0073232A">
      <w:pPr>
        <w:pStyle w:val="ManualNumPar1"/>
        <w:rPr>
          <w:noProof/>
        </w:rPr>
      </w:pPr>
      <w:r w:rsidRPr="0073232A">
        <w:rPr>
          <w:noProof/>
        </w:rPr>
        <w:t>3.</w:t>
      </w:r>
      <w:r w:rsidRPr="0073232A">
        <w:rPr>
          <w:noProof/>
        </w:rPr>
        <w:tab/>
      </w:r>
      <w:r w:rsidR="00716EA9" w:rsidRPr="00396A03">
        <w:rPr>
          <w:noProof/>
        </w:rPr>
        <w:t>Когато институцията има клон в друга държава членка, този клон подава веднъж годишно до компетентния орган на приемащата държава членка обобщените данни, посочени в член 430а, параграф 1 от Регламент (ЕС) № 575/2013, съобразно раздел 4 „Докладване на информация за загубите, произтичащи от кредити, обезпечени с недвижими имоти“ на приложение I към настоящия регламент.</w:t>
      </w:r>
    </w:p>
    <w:p w:rsidR="00716EA9" w:rsidRPr="00396A03" w:rsidRDefault="00716EA9" w:rsidP="00E537F5">
      <w:pPr>
        <w:pStyle w:val="Titrearticle"/>
        <w:rPr>
          <w:noProof/>
          <w:szCs w:val="24"/>
        </w:rPr>
      </w:pPr>
      <w:r w:rsidRPr="00396A03">
        <w:rPr>
          <w:noProof/>
        </w:rPr>
        <w:t>Член 14</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големи експозиции както на индивидуална, така и на консолидирана основа</w:t>
      </w:r>
    </w:p>
    <w:p w:rsidR="00716EA9" w:rsidRPr="00396A03" w:rsidRDefault="00DE6B7D" w:rsidP="00716EA9">
      <w:pPr>
        <w:spacing w:after="0"/>
        <w:rPr>
          <w:noProof/>
          <w:color w:val="000000"/>
          <w:szCs w:val="24"/>
        </w:rPr>
      </w:pPr>
      <w:r w:rsidRPr="00396A03">
        <w:rPr>
          <w:noProof/>
          <w:color w:val="000000"/>
        </w:rPr>
        <w:t>Институциите, които докладват информацията, посочена в член 394 от Регламент (ЕС) № 575/2013, както на индивидуална, така и на консолидирана основа, подават тази информация на всеки три месеца съобразно раздел 5 „Докладване на големите експозиции и риска от концентрация“ на приложение I към настоящия регламент.</w:t>
      </w:r>
    </w:p>
    <w:p w:rsidR="00716EA9" w:rsidRPr="00396A03" w:rsidRDefault="00716EA9" w:rsidP="00E537F5">
      <w:pPr>
        <w:pStyle w:val="Titrearticle"/>
        <w:rPr>
          <w:noProof/>
          <w:szCs w:val="24"/>
        </w:rPr>
      </w:pPr>
      <w:r w:rsidRPr="00396A03">
        <w:rPr>
          <w:noProof/>
        </w:rPr>
        <w:t>Член 15</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отношението на ливъридж както на индивидуална, така и на консолидирана основа</w:t>
      </w:r>
    </w:p>
    <w:p w:rsidR="00675E5F" w:rsidRPr="00396A03" w:rsidRDefault="0073232A" w:rsidP="0073232A">
      <w:pPr>
        <w:pStyle w:val="ManualNumPar1"/>
        <w:rPr>
          <w:noProof/>
        </w:rPr>
      </w:pPr>
      <w:r w:rsidRPr="0073232A">
        <w:rPr>
          <w:noProof/>
        </w:rPr>
        <w:t>1.</w:t>
      </w:r>
      <w:r w:rsidRPr="0073232A">
        <w:rPr>
          <w:noProof/>
        </w:rPr>
        <w:tab/>
      </w:r>
      <w:r w:rsidR="004A4F90" w:rsidRPr="00396A03">
        <w:rPr>
          <w:noProof/>
        </w:rPr>
        <w:t>Институциите, които докладват информация за отношението на ливъридж съгласно посоченото в член 430, параграф 1, буква а) от Регламент (ЕС) № 575/2013, както на индивидуална, така и на консолидирана основа, подават тази информация на всеки три месеца съобразно раздел 6 „Докладване на ливъридж“ на приложение I към настоящия регламент. Само големите институции подават образец C 48.00 относно информацията за променливостта на отношението на ливъридж.</w:t>
      </w:r>
    </w:p>
    <w:p w:rsidR="00675E5F" w:rsidRPr="00396A03" w:rsidRDefault="0073232A" w:rsidP="0073232A">
      <w:pPr>
        <w:pStyle w:val="ManualNumPar1"/>
        <w:rPr>
          <w:noProof/>
        </w:rPr>
      </w:pPr>
      <w:r w:rsidRPr="0073232A">
        <w:rPr>
          <w:noProof/>
        </w:rPr>
        <w:t>2.</w:t>
      </w:r>
      <w:r w:rsidRPr="0073232A">
        <w:rPr>
          <w:noProof/>
        </w:rPr>
        <w:tab/>
      </w:r>
      <w:r w:rsidR="00675E5F" w:rsidRPr="00396A03">
        <w:rPr>
          <w:noProof/>
        </w:rPr>
        <w:t>Информацията по образец C 40.00, поле {r0410;c0010} относно общите активи се докладва само от:</w:t>
      </w:r>
    </w:p>
    <w:p w:rsidR="00675E5F" w:rsidRPr="00396A03" w:rsidRDefault="002539D6" w:rsidP="002539D6">
      <w:pPr>
        <w:pStyle w:val="Point1"/>
        <w:rPr>
          <w:noProof/>
        </w:rPr>
      </w:pPr>
      <w:r>
        <w:rPr>
          <w:noProof/>
        </w:rPr>
        <w:t>а)</w:t>
      </w:r>
      <w:r>
        <w:rPr>
          <w:noProof/>
        </w:rPr>
        <w:tab/>
      </w:r>
      <w:r w:rsidR="00675E5F" w:rsidRPr="00396A03">
        <w:rPr>
          <w:noProof/>
        </w:rPr>
        <w:t>големите институции, които са Г-СЗИ или са емитирали ценни книжа, допуснати до търговия на регулиран пазар — на всеки шест месеца;</w:t>
      </w:r>
    </w:p>
    <w:p w:rsidR="00675E5F" w:rsidRPr="00396A03" w:rsidRDefault="002539D6" w:rsidP="002539D6">
      <w:pPr>
        <w:pStyle w:val="Point1"/>
        <w:rPr>
          <w:noProof/>
        </w:rPr>
      </w:pPr>
      <w:r>
        <w:rPr>
          <w:noProof/>
        </w:rPr>
        <w:t>б)</w:t>
      </w:r>
      <w:r>
        <w:rPr>
          <w:noProof/>
        </w:rPr>
        <w:tab/>
      </w:r>
      <w:r w:rsidR="00675E5F" w:rsidRPr="00396A03">
        <w:rPr>
          <w:noProof/>
        </w:rPr>
        <w:t>големите институции, които не са Г-СЗИ и не са регистрирани на фондовата борса — веднъж годишно;</w:t>
      </w:r>
    </w:p>
    <w:p w:rsidR="00675E5F" w:rsidRPr="00396A03" w:rsidRDefault="002539D6" w:rsidP="002539D6">
      <w:pPr>
        <w:pStyle w:val="Point1"/>
        <w:rPr>
          <w:noProof/>
        </w:rPr>
      </w:pPr>
      <w:r>
        <w:rPr>
          <w:noProof/>
        </w:rPr>
        <w:t>в)</w:t>
      </w:r>
      <w:r>
        <w:rPr>
          <w:noProof/>
        </w:rPr>
        <w:tab/>
      </w:r>
      <w:r w:rsidR="00675E5F" w:rsidRPr="00396A03">
        <w:rPr>
          <w:noProof/>
        </w:rPr>
        <w:t>институциите, които не са големи институции, нито малки и несложни институции, но са емитирали ценни книжа, допуснати до търговия на регулиран пазар — веднъж годишно.</w:t>
      </w:r>
    </w:p>
    <w:p w:rsidR="00675E5F" w:rsidRPr="00396A03" w:rsidRDefault="0073232A" w:rsidP="0073232A">
      <w:pPr>
        <w:pStyle w:val="ManualNumPar1"/>
        <w:rPr>
          <w:noProof/>
        </w:rPr>
      </w:pPr>
      <w:r w:rsidRPr="0073232A">
        <w:rPr>
          <w:noProof/>
        </w:rPr>
        <w:t>3.</w:t>
      </w:r>
      <w:r w:rsidRPr="0073232A">
        <w:rPr>
          <w:noProof/>
        </w:rPr>
        <w:tab/>
      </w:r>
      <w:r w:rsidR="00675E5F" w:rsidRPr="00396A03">
        <w:rPr>
          <w:noProof/>
        </w:rPr>
        <w:t>Институциите докладват допълнителната информация за отношението на ливъридж съобразно образец C 40.00, полета {r0010;c0010}, {r0010;c0020}, {r0020;c0010}, {r0020;c0020}, {r0030;c0070}, {r0040;c0070}, {r0050;c0010}, {r0050;c0020}, {r0060;c0010}, {r0060;c0020} и {r0060;c0070}, когато е изпълнено поне едно от следните условия:</w:t>
      </w:r>
    </w:p>
    <w:p w:rsidR="00675E5F" w:rsidRPr="00396A03" w:rsidRDefault="002539D6" w:rsidP="002539D6">
      <w:pPr>
        <w:pStyle w:val="Point1"/>
        <w:rPr>
          <w:noProof/>
        </w:rPr>
      </w:pPr>
      <w:r>
        <w:rPr>
          <w:noProof/>
        </w:rPr>
        <w:t>а)</w:t>
      </w:r>
      <w:r>
        <w:rPr>
          <w:noProof/>
        </w:rPr>
        <w:tab/>
      </w:r>
      <w:r w:rsidR="00675E5F" w:rsidRPr="00396A03">
        <w:rPr>
          <w:noProof/>
        </w:rPr>
        <w:t>делът на дериватите, определен като мярката за дериватната експозиция, разделена на мярката за общата експозиция, е повече от 1,5 %;</w:t>
      </w:r>
    </w:p>
    <w:p w:rsidR="00675E5F" w:rsidRPr="00396A03" w:rsidRDefault="002539D6" w:rsidP="002539D6">
      <w:pPr>
        <w:pStyle w:val="Point1"/>
        <w:rPr>
          <w:noProof/>
        </w:rPr>
      </w:pPr>
      <w:r>
        <w:rPr>
          <w:noProof/>
        </w:rPr>
        <w:t>б)</w:t>
      </w:r>
      <w:r>
        <w:rPr>
          <w:noProof/>
        </w:rPr>
        <w:tab/>
      </w:r>
      <w:r w:rsidR="00675E5F" w:rsidRPr="00396A03">
        <w:rPr>
          <w:noProof/>
        </w:rPr>
        <w:t>делът на дериватите, определен като мярката за дериватната експозиция, разделена на мярката за общата експозиция, надхвърля 2 %;</w:t>
      </w:r>
    </w:p>
    <w:p w:rsidR="00675E5F" w:rsidRPr="00396A03" w:rsidRDefault="00797855" w:rsidP="001D2A25">
      <w:pPr>
        <w:pStyle w:val="Text1"/>
        <w:rPr>
          <w:noProof/>
        </w:rPr>
      </w:pPr>
      <w:r w:rsidRPr="00396A03">
        <w:rPr>
          <w:noProof/>
        </w:rPr>
        <w:t>Когато институцията отговаря само на условието по буква а) от първа алинея, се прилагат входните и изходните критерии по член 4, параграф 3 от настоящия регламент. Ако отговаря на условията както по буква а), така и по буква б) от първа алинея, институцията започва да докладва информация за отношението на ливъридж за референтната дата, следваща референтната дата на докладване, на която е превишила прага.</w:t>
      </w:r>
    </w:p>
    <w:p w:rsidR="00675E5F" w:rsidRPr="00396A03" w:rsidRDefault="0073232A" w:rsidP="0073232A">
      <w:pPr>
        <w:pStyle w:val="ManualNumPar1"/>
        <w:rPr>
          <w:noProof/>
        </w:rPr>
      </w:pPr>
      <w:r w:rsidRPr="0073232A">
        <w:rPr>
          <w:noProof/>
        </w:rPr>
        <w:t>4.</w:t>
      </w:r>
      <w:r w:rsidRPr="0073232A">
        <w:rPr>
          <w:noProof/>
        </w:rPr>
        <w:tab/>
      </w:r>
      <w:r w:rsidR="00675E5F" w:rsidRPr="00396A03">
        <w:rPr>
          <w:noProof/>
        </w:rPr>
        <w:t>Институциите, за които общата условна стойност на дериватите съобразно образец C 40.00, поле {r0010;c0070} надхвърля 10 000 милиона евро, докладват информацията, посочена в образец 40.00, полета {r0010;c0010}, {r0010;c0020}, {r0020;c0010}, {r0020;c0020}, {r0030;c0070}, {r0040;c0070}, {r0050;c0010}, {r0050;c0020}, {r0060;c0010}, {r0060;c0020}, и {r0060;c0070}, дори ако техният дял на дериватите не отговаря на условията, посочени в параграф 3.</w:t>
      </w:r>
    </w:p>
    <w:p w:rsidR="00675E5F" w:rsidRPr="00396A03" w:rsidRDefault="00675E5F" w:rsidP="00C856B2">
      <w:pPr>
        <w:pStyle w:val="Text1"/>
        <w:rPr>
          <w:noProof/>
        </w:rPr>
      </w:pPr>
      <w:r w:rsidRPr="00396A03">
        <w:rPr>
          <w:noProof/>
        </w:rPr>
        <w:t>За целите на първа алинея не се прилагат входните критерии по член 4, параграф 3 от настоящия регламент. Институциите започват да докладват информацията към референтната дата на докладване, следваща референтната дата на докладване, на която са превишили прага.</w:t>
      </w:r>
    </w:p>
    <w:p w:rsidR="00675E5F" w:rsidRPr="00396A03" w:rsidRDefault="0073232A" w:rsidP="0073232A">
      <w:pPr>
        <w:pStyle w:val="ManualNumPar1"/>
        <w:rPr>
          <w:noProof/>
        </w:rPr>
      </w:pPr>
      <w:r w:rsidRPr="0073232A">
        <w:rPr>
          <w:noProof/>
        </w:rPr>
        <w:t>5.</w:t>
      </w:r>
      <w:r w:rsidRPr="0073232A">
        <w:rPr>
          <w:noProof/>
        </w:rPr>
        <w:tab/>
      </w:r>
      <w:r w:rsidR="00675E5F" w:rsidRPr="00396A03">
        <w:rPr>
          <w:noProof/>
        </w:rPr>
        <w:t>Институциите докладват информацията, посочена в образец C 40.00, полета {r0020;c0075}, {r0050;c0075} и {r0050;c0085}, когато е изпълнено едно от следните условия:</w:t>
      </w:r>
    </w:p>
    <w:p w:rsidR="00675E5F" w:rsidRPr="00396A03" w:rsidRDefault="002539D6" w:rsidP="002539D6">
      <w:pPr>
        <w:pStyle w:val="Point1"/>
        <w:rPr>
          <w:noProof/>
        </w:rPr>
      </w:pPr>
      <w:r>
        <w:rPr>
          <w:noProof/>
        </w:rPr>
        <w:t>а)</w:t>
      </w:r>
      <w:r>
        <w:rPr>
          <w:noProof/>
        </w:rPr>
        <w:tab/>
      </w:r>
      <w:r w:rsidR="00675E5F" w:rsidRPr="00396A03">
        <w:rPr>
          <w:noProof/>
        </w:rPr>
        <w:t>обемът на кредитните деривати, определен в образец C 40.00 като {r0020;c0070} + {r0050;c0070}, надхвърля 300 млн. евро;</w:t>
      </w:r>
    </w:p>
    <w:p w:rsidR="00675E5F" w:rsidRPr="00396A03" w:rsidRDefault="002539D6" w:rsidP="002539D6">
      <w:pPr>
        <w:pStyle w:val="Point1"/>
        <w:rPr>
          <w:noProof/>
        </w:rPr>
      </w:pPr>
      <w:r>
        <w:rPr>
          <w:noProof/>
        </w:rPr>
        <w:t>а)</w:t>
      </w:r>
      <w:r>
        <w:rPr>
          <w:noProof/>
        </w:rPr>
        <w:tab/>
      </w:r>
      <w:r w:rsidR="00675E5F" w:rsidRPr="00396A03">
        <w:rPr>
          <w:noProof/>
        </w:rPr>
        <w:t>обемът на кредитните деривати, определен в образец C 40.00 като {r0020;c0070} + {r0050;c0070}, надхвърля 500 млн. евро;</w:t>
      </w:r>
    </w:p>
    <w:p w:rsidR="00716EA9" w:rsidRPr="00396A03" w:rsidRDefault="00745A2E" w:rsidP="001D2A25">
      <w:pPr>
        <w:pStyle w:val="Text1"/>
        <w:rPr>
          <w:noProof/>
        </w:rPr>
      </w:pPr>
      <w:r w:rsidRPr="00396A03">
        <w:rPr>
          <w:noProof/>
        </w:rPr>
        <w:t>Когато институцията отговаря само на условието по буква а) от първа алинея, се прилагат входните и изходните критерии по член 4, параграф 3 от настоящия регламент. Ако отговаря на условията както по буква а), така и по буква б) от първа алинея, институцията започва да докладва тази информация към референтната дата, следваща референтната дата на докладване, на която е превишила прага.</w:t>
      </w:r>
    </w:p>
    <w:p w:rsidR="00716EA9" w:rsidRPr="00396A03" w:rsidRDefault="00716EA9" w:rsidP="00E537F5">
      <w:pPr>
        <w:pStyle w:val="Titrearticle"/>
        <w:rPr>
          <w:noProof/>
          <w:szCs w:val="24"/>
        </w:rPr>
      </w:pPr>
      <w:r w:rsidRPr="00396A03">
        <w:rPr>
          <w:noProof/>
        </w:rPr>
        <w:t>Член 16</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ликвидното покритие както на индивидуална, така и на консолидирана основа</w:t>
      </w:r>
    </w:p>
    <w:p w:rsidR="00716EA9" w:rsidRPr="00396A03" w:rsidRDefault="0073232A" w:rsidP="0073232A">
      <w:pPr>
        <w:pStyle w:val="ManualNumPar1"/>
        <w:rPr>
          <w:noProof/>
        </w:rPr>
      </w:pPr>
      <w:r w:rsidRPr="0073232A">
        <w:rPr>
          <w:noProof/>
        </w:rPr>
        <w:t>1.</w:t>
      </w:r>
      <w:r w:rsidRPr="0073232A">
        <w:rPr>
          <w:noProof/>
        </w:rPr>
        <w:tab/>
      </w:r>
      <w:r w:rsidR="000056CB" w:rsidRPr="00396A03">
        <w:rPr>
          <w:noProof/>
        </w:rPr>
        <w:t>Институциите, които докладват ликвидното си покритие, както е посочено в член 412 от Регламент (ЕС) № 575/2013 и както се изисква с член 430, параграф 1, буква г) от същия регламент, както на индивидуална, така и на консолидирана основа, подават тази информация на всеки месец съобразно раздел 10 „Докладване на ликвидността“ на приложение I към настоящия регламент.</w:t>
      </w:r>
    </w:p>
    <w:p w:rsidR="00716EA9" w:rsidRPr="00396A03" w:rsidRDefault="0073232A" w:rsidP="0073232A">
      <w:pPr>
        <w:pStyle w:val="ManualNumPar1"/>
        <w:rPr>
          <w:noProof/>
        </w:rPr>
      </w:pPr>
      <w:r w:rsidRPr="0073232A">
        <w:rPr>
          <w:noProof/>
        </w:rPr>
        <w:t>2.</w:t>
      </w:r>
      <w:r w:rsidRPr="0073232A">
        <w:rPr>
          <w:noProof/>
        </w:rPr>
        <w:tab/>
      </w:r>
      <w:r w:rsidR="00716EA9" w:rsidRPr="00396A03">
        <w:rPr>
          <w:noProof/>
        </w:rPr>
        <w:t>За целите на докладването на информацията, предвидена в раздел 10 „Докладване на ликвидно покритие“ от приложение I към настоящия регламент, институциите вземат предвид информацията, подадена към референтната дата, и информацията за паричните потоци в рамките на 30 календарни дни след референтната дата.</w:t>
      </w:r>
    </w:p>
    <w:p w:rsidR="00716EA9" w:rsidRPr="00396A03" w:rsidRDefault="00716EA9" w:rsidP="00E537F5">
      <w:pPr>
        <w:pStyle w:val="Titrearticle"/>
        <w:rPr>
          <w:noProof/>
          <w:szCs w:val="24"/>
        </w:rPr>
      </w:pPr>
      <w:r w:rsidRPr="00396A03">
        <w:rPr>
          <w:noProof/>
        </w:rPr>
        <w:t>Член 17</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стабилното финансиране както на индивидуална, така и на консолидирана основа</w:t>
      </w:r>
    </w:p>
    <w:p w:rsidR="00716EA9" w:rsidRPr="00396A03" w:rsidRDefault="00D62A44" w:rsidP="00BA7013">
      <w:pPr>
        <w:rPr>
          <w:noProof/>
          <w:color w:val="000000"/>
          <w:szCs w:val="24"/>
        </w:rPr>
      </w:pPr>
      <w:r w:rsidRPr="00396A03">
        <w:rPr>
          <w:noProof/>
        </w:rPr>
        <w:t>Институциите, които докладват изискваното от тях стабилно финансиране, както е посочено в член 413 от Регламент (ЕС) № 575/2013 и както се изисква с член 430, параграф 1, буква г) от същия регламент, както на индивидуална, така и на консолидирана основа, подават тази информация на всеки три месеца съобразно раздел 7 „Докладване на стабилното финансиране“ на приложение I към настоящия регламент, както следва:</w:t>
      </w:r>
    </w:p>
    <w:p w:rsidR="00C26E6A" w:rsidRPr="00396A03" w:rsidRDefault="002539D6" w:rsidP="002539D6">
      <w:pPr>
        <w:pStyle w:val="Point0"/>
        <w:rPr>
          <w:noProof/>
        </w:rPr>
      </w:pPr>
      <w:r>
        <w:rPr>
          <w:noProof/>
        </w:rPr>
        <w:t>а)</w:t>
      </w:r>
      <w:r>
        <w:rPr>
          <w:noProof/>
        </w:rPr>
        <w:tab/>
      </w:r>
      <w:r w:rsidR="00C26E6A" w:rsidRPr="00396A03">
        <w:rPr>
          <w:noProof/>
        </w:rPr>
        <w:t>малките и несложни институции, които са избрали да изчисляват отношението си на нетното стабилно финансиране, като използват методологията, предвидена в шеста част, дял IV, глави 6 и 7 от Регламент (ЕС) № 575/2013, с предварителното разрешение на компетентния им орган в съответствие с член 428аи от същият регламент, подават образци C 82 и C 83;</w:t>
      </w:r>
    </w:p>
    <w:p w:rsidR="00C26E6A" w:rsidRPr="00396A03" w:rsidRDefault="002539D6" w:rsidP="002539D6">
      <w:pPr>
        <w:pStyle w:val="Point0"/>
        <w:rPr>
          <w:noProof/>
        </w:rPr>
      </w:pPr>
      <w:r>
        <w:rPr>
          <w:noProof/>
        </w:rPr>
        <w:t>б)</w:t>
      </w:r>
      <w:r>
        <w:rPr>
          <w:noProof/>
        </w:rPr>
        <w:tab/>
      </w:r>
      <w:r w:rsidR="00C26E6A" w:rsidRPr="00396A03">
        <w:rPr>
          <w:noProof/>
        </w:rPr>
        <w:t>институциите, различни от посочените в буква а), подават образци C 80 и C 81;</w:t>
      </w:r>
    </w:p>
    <w:p w:rsidR="00C26E6A" w:rsidRPr="00396A03" w:rsidRDefault="002539D6" w:rsidP="002539D6">
      <w:pPr>
        <w:pStyle w:val="Point0"/>
        <w:rPr>
          <w:noProof/>
        </w:rPr>
      </w:pPr>
      <w:r>
        <w:rPr>
          <w:noProof/>
        </w:rPr>
        <w:t>в)</w:t>
      </w:r>
      <w:r>
        <w:rPr>
          <w:noProof/>
        </w:rPr>
        <w:tab/>
      </w:r>
      <w:r w:rsidR="00C26E6A" w:rsidRPr="00396A03">
        <w:rPr>
          <w:noProof/>
        </w:rPr>
        <w:t>всички институции подават образец C 84.</w:t>
      </w:r>
    </w:p>
    <w:p w:rsidR="00716EA9" w:rsidRPr="00396A03" w:rsidRDefault="00716EA9" w:rsidP="00E537F5">
      <w:pPr>
        <w:pStyle w:val="Titrearticle"/>
        <w:rPr>
          <w:noProof/>
          <w:szCs w:val="24"/>
        </w:rPr>
      </w:pPr>
      <w:r w:rsidRPr="00396A03">
        <w:rPr>
          <w:noProof/>
        </w:rPr>
        <w:t>Член 18</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допълнителните показатели за наблюдение на ликвидността както на индивидуална, така и на консолидирана основа</w:t>
      </w:r>
    </w:p>
    <w:p w:rsidR="00716EA9" w:rsidRPr="00396A03" w:rsidRDefault="00D538F2" w:rsidP="007643C7">
      <w:pPr>
        <w:tabs>
          <w:tab w:val="left" w:pos="567"/>
        </w:tabs>
        <w:spacing w:before="100" w:beforeAutospacing="1" w:after="100" w:afterAutospacing="1"/>
        <w:rPr>
          <w:noProof/>
          <w:color w:val="000000"/>
          <w:szCs w:val="24"/>
        </w:rPr>
      </w:pPr>
      <w:r w:rsidRPr="00396A03">
        <w:rPr>
          <w:noProof/>
        </w:rPr>
        <w:t>Институциите, които докладват информация за допълнителните показатели за наблюдение на ликвидността, както е посочено в член 415, параграф 3, буква б) от Регламент (ЕС) № 575/2013 и както се изисква с член 430, параграф 1, буква г) от същия регламент, както на индивидуална, така и на консолидирана основа, подават тази информация съобразно раздел 9 „Докладване на допълнителните показатели за наблюдение на ликвидността“ на приложение I към настоящия регламент със следната честота:</w:t>
      </w:r>
    </w:p>
    <w:p w:rsidR="00F5752D" w:rsidRPr="00396A03" w:rsidRDefault="002539D6" w:rsidP="002539D6">
      <w:pPr>
        <w:pStyle w:val="Point0"/>
        <w:rPr>
          <w:noProof/>
        </w:rPr>
      </w:pPr>
      <w:r>
        <w:rPr>
          <w:noProof/>
        </w:rPr>
        <w:t>а)</w:t>
      </w:r>
      <w:r>
        <w:rPr>
          <w:noProof/>
        </w:rPr>
        <w:tab/>
      </w:r>
      <w:r w:rsidR="00F5752D" w:rsidRPr="00396A03">
        <w:rPr>
          <w:noProof/>
        </w:rPr>
        <w:t>големите институции подават информацията по образци C 66.01 и C 67.00 — C 71.00 от раздел 9 на приложение I към настоящия регламент — всеки месец;</w:t>
      </w:r>
    </w:p>
    <w:p w:rsidR="00F5752D" w:rsidRPr="00396A03" w:rsidRDefault="002539D6" w:rsidP="002539D6">
      <w:pPr>
        <w:pStyle w:val="Point0"/>
        <w:rPr>
          <w:noProof/>
        </w:rPr>
      </w:pPr>
      <w:r>
        <w:rPr>
          <w:noProof/>
        </w:rPr>
        <w:t>б)</w:t>
      </w:r>
      <w:r>
        <w:rPr>
          <w:noProof/>
        </w:rPr>
        <w:tab/>
      </w:r>
      <w:r w:rsidR="00F5752D" w:rsidRPr="00396A03">
        <w:rPr>
          <w:noProof/>
        </w:rPr>
        <w:t>малките и несложни институции подават информацията по образци C 66.0, C 67.00 и C 71.00 от раздел 9 на приложение I към настоящия регламент — на всеки три месеца;</w:t>
      </w:r>
    </w:p>
    <w:p w:rsidR="00F5752D" w:rsidRPr="00396A03" w:rsidRDefault="002539D6" w:rsidP="002539D6">
      <w:pPr>
        <w:pStyle w:val="Point0"/>
        <w:rPr>
          <w:noProof/>
        </w:rPr>
      </w:pPr>
      <w:r>
        <w:rPr>
          <w:noProof/>
        </w:rPr>
        <w:t>в)</w:t>
      </w:r>
      <w:r>
        <w:rPr>
          <w:noProof/>
        </w:rPr>
        <w:tab/>
      </w:r>
      <w:r w:rsidR="00F5752D" w:rsidRPr="00396A03">
        <w:rPr>
          <w:noProof/>
        </w:rPr>
        <w:t>институциите, които не са нито големи институции, нито малки и несложни институции, подават информацията по образци C 66.01 — C 69.00 и C 71.00 от раздел 9 на приложение I към настоящия регламент — всеки месец.</w:t>
      </w:r>
    </w:p>
    <w:p w:rsidR="00716EA9" w:rsidRPr="00396A03" w:rsidRDefault="00716EA9" w:rsidP="00E537F5">
      <w:pPr>
        <w:pStyle w:val="Titrearticle"/>
        <w:rPr>
          <w:noProof/>
          <w:szCs w:val="24"/>
        </w:rPr>
      </w:pPr>
      <w:r w:rsidRPr="00396A03">
        <w:rPr>
          <w:noProof/>
        </w:rPr>
        <w:t>Член 19</w:t>
      </w:r>
    </w:p>
    <w:p w:rsidR="00716EA9" w:rsidRPr="00396A03" w:rsidRDefault="00716EA9" w:rsidP="00F22954">
      <w:pPr>
        <w:pStyle w:val="Titrearticle"/>
        <w:spacing w:before="0"/>
        <w:rPr>
          <w:b/>
          <w:bCs/>
          <w:i w:val="0"/>
          <w:iCs/>
          <w:noProof/>
          <w:szCs w:val="24"/>
        </w:rPr>
      </w:pPr>
      <w:r w:rsidRPr="00396A03">
        <w:rPr>
          <w:b/>
          <w:i w:val="0"/>
          <w:noProof/>
        </w:rPr>
        <w:t>Докладване на информация за тежестите върху активи както на индивидуална, така и на консолидирана основа</w:t>
      </w:r>
    </w:p>
    <w:p w:rsidR="001D2A25" w:rsidRPr="00396A03" w:rsidRDefault="0073232A" w:rsidP="0073232A">
      <w:pPr>
        <w:pStyle w:val="ManualNumPar1"/>
        <w:rPr>
          <w:noProof/>
        </w:rPr>
      </w:pPr>
      <w:r w:rsidRPr="0073232A">
        <w:rPr>
          <w:noProof/>
        </w:rPr>
        <w:t>1.</w:t>
      </w:r>
      <w:r w:rsidRPr="0073232A">
        <w:rPr>
          <w:noProof/>
        </w:rPr>
        <w:tab/>
      </w:r>
      <w:r w:rsidR="00716EA9" w:rsidRPr="00396A03">
        <w:rPr>
          <w:noProof/>
        </w:rPr>
        <w:t>Институциите, които докладват степента на обремененост на активите, както е посочено в член 430, параграф 1, буква ж) от Регламент (ЕС) № 575/2013, както на индивидуална, така и на консолидирана основа, подават тази информация съобразно раздел 8 „Докладване на тежестите върху активи“ на приложение I към настоящия регламент със следната честота:</w:t>
      </w:r>
    </w:p>
    <w:p w:rsidR="00F5752D" w:rsidRPr="00396A03" w:rsidRDefault="002539D6" w:rsidP="002539D6">
      <w:pPr>
        <w:pStyle w:val="Point1"/>
        <w:rPr>
          <w:noProof/>
        </w:rPr>
      </w:pPr>
      <w:r>
        <w:rPr>
          <w:noProof/>
        </w:rPr>
        <w:t>а)</w:t>
      </w:r>
      <w:r>
        <w:rPr>
          <w:noProof/>
        </w:rPr>
        <w:tab/>
      </w:r>
      <w:r w:rsidR="00F5752D" w:rsidRPr="00396A03">
        <w:rPr>
          <w:noProof/>
        </w:rPr>
        <w:t>информацията по образци F 32.01 — F 33.00 и F35.00 от раздел 8 на приложение I към настоящия регламент — на всеки три месеца;</w:t>
      </w:r>
    </w:p>
    <w:p w:rsidR="00F5752D" w:rsidRPr="00396A03" w:rsidRDefault="002539D6" w:rsidP="002539D6">
      <w:pPr>
        <w:pStyle w:val="Point1"/>
        <w:rPr>
          <w:noProof/>
        </w:rPr>
      </w:pPr>
      <w:r>
        <w:rPr>
          <w:noProof/>
        </w:rPr>
        <w:t>б)</w:t>
      </w:r>
      <w:r>
        <w:rPr>
          <w:noProof/>
        </w:rPr>
        <w:tab/>
      </w:r>
      <w:r w:rsidR="00F5752D" w:rsidRPr="00396A03">
        <w:rPr>
          <w:noProof/>
        </w:rPr>
        <w:t>информацията по образец F 34.00 от раздел 8 на приложение I към настоящия регламент — веднъж годишно;</w:t>
      </w:r>
    </w:p>
    <w:p w:rsidR="00F5752D" w:rsidRPr="00396A03" w:rsidRDefault="002539D6" w:rsidP="002539D6">
      <w:pPr>
        <w:pStyle w:val="Point1"/>
        <w:rPr>
          <w:noProof/>
        </w:rPr>
      </w:pPr>
      <w:r>
        <w:rPr>
          <w:noProof/>
        </w:rPr>
        <w:t>в)</w:t>
      </w:r>
      <w:r>
        <w:rPr>
          <w:noProof/>
        </w:rPr>
        <w:tab/>
      </w:r>
      <w:r w:rsidR="00F5752D" w:rsidRPr="00396A03">
        <w:rPr>
          <w:noProof/>
        </w:rPr>
        <w:t>информацията по образци F 36.01 и F 36.02 от раздел 8 на приложение I към настоящия регламент — на всеки шест месеца.</w:t>
      </w:r>
    </w:p>
    <w:p w:rsidR="0083639F" w:rsidRPr="00396A03" w:rsidRDefault="0073232A" w:rsidP="0073232A">
      <w:pPr>
        <w:pStyle w:val="ManualNumPar1"/>
        <w:rPr>
          <w:noProof/>
        </w:rPr>
      </w:pPr>
      <w:r w:rsidRPr="0073232A">
        <w:rPr>
          <w:noProof/>
        </w:rPr>
        <w:t>2.</w:t>
      </w:r>
      <w:r w:rsidRPr="0073232A">
        <w:rPr>
          <w:noProof/>
        </w:rPr>
        <w:tab/>
      </w:r>
      <w:r w:rsidR="00745A2E" w:rsidRPr="00396A03">
        <w:rPr>
          <w:noProof/>
        </w:rPr>
        <w:t>Институциите подават посочената в параграф 1 информация, както следва:</w:t>
      </w:r>
    </w:p>
    <w:p w:rsidR="0083639F" w:rsidRPr="00396A03" w:rsidRDefault="002539D6" w:rsidP="002539D6">
      <w:pPr>
        <w:pStyle w:val="Point1"/>
        <w:rPr>
          <w:noProof/>
        </w:rPr>
      </w:pPr>
      <w:r>
        <w:rPr>
          <w:noProof/>
        </w:rPr>
        <w:t>а)</w:t>
      </w:r>
      <w:r>
        <w:rPr>
          <w:noProof/>
        </w:rPr>
        <w:tab/>
      </w:r>
      <w:r w:rsidR="0083639F" w:rsidRPr="00396A03">
        <w:rPr>
          <w:noProof/>
        </w:rPr>
        <w:t>институциите подават информацията по част А от раздел 8 „Докладване на тежестите върху активи“;</w:t>
      </w:r>
    </w:p>
    <w:p w:rsidR="0083639F" w:rsidRPr="00396A03" w:rsidRDefault="002539D6" w:rsidP="002539D6">
      <w:pPr>
        <w:pStyle w:val="Point1"/>
        <w:rPr>
          <w:noProof/>
        </w:rPr>
      </w:pPr>
      <w:r>
        <w:rPr>
          <w:noProof/>
        </w:rPr>
        <w:t>б)</w:t>
      </w:r>
      <w:r>
        <w:rPr>
          <w:noProof/>
        </w:rPr>
        <w:tab/>
      </w:r>
      <w:r w:rsidR="0083639F" w:rsidRPr="00396A03">
        <w:rPr>
          <w:noProof/>
        </w:rPr>
        <w:t>големите институциите подават информацията по части Б, В и Д от раздел 8 „Докладване на тежестите върху активи“;</w:t>
      </w:r>
    </w:p>
    <w:p w:rsidR="0083639F" w:rsidRPr="00396A03" w:rsidRDefault="002539D6" w:rsidP="002539D6">
      <w:pPr>
        <w:pStyle w:val="Point1"/>
        <w:rPr>
          <w:noProof/>
        </w:rPr>
      </w:pPr>
      <w:r>
        <w:rPr>
          <w:noProof/>
        </w:rPr>
        <w:t>в)</w:t>
      </w:r>
      <w:r>
        <w:rPr>
          <w:noProof/>
        </w:rPr>
        <w:tab/>
      </w:r>
      <w:r w:rsidR="0083639F" w:rsidRPr="00396A03">
        <w:rPr>
          <w:noProof/>
        </w:rPr>
        <w:t>институциите, които не са нито големи институции, нито малки и несложни институции, подават информацията по части Б, В и Д от раздел 8 „Докладване на тежестите върху активи“, когато равнището на тежестите върху активи на институцията, определено като (Балансова стойност на обременените с тежести активи и обезпечения)/(Общо активи и обезпечения), е по-голямо или равно на 15 %;</w:t>
      </w:r>
    </w:p>
    <w:p w:rsidR="0083639F" w:rsidRPr="00396A03" w:rsidRDefault="002539D6" w:rsidP="002539D6">
      <w:pPr>
        <w:pStyle w:val="Point1"/>
        <w:rPr>
          <w:noProof/>
        </w:rPr>
      </w:pPr>
      <w:r>
        <w:rPr>
          <w:noProof/>
        </w:rPr>
        <w:t>г)</w:t>
      </w:r>
      <w:r>
        <w:rPr>
          <w:noProof/>
        </w:rPr>
        <w:tab/>
      </w:r>
      <w:r w:rsidR="0083639F" w:rsidRPr="00396A03">
        <w:rPr>
          <w:noProof/>
        </w:rPr>
        <w:t>институциите докладват информацията по част Г от раздел 8 „Докладване на тежестите върху активи“, само когато емитират облигациите, посочени в член 52, параграф 4, първа алинея от Директива № 2009/65/ЕО на Европейския парламент и на Съвета</w:t>
      </w:r>
      <w:r w:rsidR="00745A2E" w:rsidRPr="00396A03">
        <w:rPr>
          <w:rStyle w:val="FootnoteReference"/>
          <w:noProof/>
          <w:szCs w:val="24"/>
        </w:rPr>
        <w:footnoteReference w:id="10"/>
      </w:r>
      <w:r w:rsidR="0083639F" w:rsidRPr="00396A03">
        <w:rPr>
          <w:noProof/>
        </w:rPr>
        <w:t>.</w:t>
      </w:r>
    </w:p>
    <w:p w:rsidR="00716EA9" w:rsidRPr="00396A03" w:rsidRDefault="00716EA9" w:rsidP="00E537F5">
      <w:pPr>
        <w:pStyle w:val="Titrearticle"/>
        <w:rPr>
          <w:noProof/>
          <w:szCs w:val="24"/>
        </w:rPr>
      </w:pPr>
      <w:r w:rsidRPr="00396A03">
        <w:rPr>
          <w:noProof/>
        </w:rPr>
        <w:t>Член 20</w:t>
      </w:r>
    </w:p>
    <w:p w:rsidR="00716EA9" w:rsidRPr="00396A03" w:rsidRDefault="00716EA9" w:rsidP="0066303A">
      <w:pPr>
        <w:pStyle w:val="Titrearticle"/>
        <w:spacing w:before="0"/>
        <w:rPr>
          <w:b/>
          <w:bCs/>
          <w:i w:val="0"/>
          <w:iCs/>
          <w:noProof/>
          <w:szCs w:val="24"/>
        </w:rPr>
      </w:pPr>
      <w:r w:rsidRPr="00396A03">
        <w:rPr>
          <w:b/>
          <w:i w:val="0"/>
          <w:noProof/>
        </w:rPr>
        <w:t>Докладване на допълнителна информация за целите на определянето на Г-СЗИ и присъждането на нивата на буфера за Г-СЗИ</w:t>
      </w:r>
    </w:p>
    <w:p w:rsidR="00716EA9" w:rsidRPr="00396A03" w:rsidRDefault="0073232A" w:rsidP="0073232A">
      <w:pPr>
        <w:pStyle w:val="ManualNumPar1"/>
        <w:rPr>
          <w:noProof/>
        </w:rPr>
      </w:pPr>
      <w:r w:rsidRPr="0073232A">
        <w:rPr>
          <w:noProof/>
        </w:rPr>
        <w:t>1.</w:t>
      </w:r>
      <w:r w:rsidRPr="0073232A">
        <w:rPr>
          <w:noProof/>
        </w:rPr>
        <w:tab/>
      </w:r>
      <w:r w:rsidR="00716EA9" w:rsidRPr="00396A03">
        <w:rPr>
          <w:noProof/>
        </w:rPr>
        <w:t>Когато докладват допълнителната информация за определянето на Г-СЗИ и присъждането на нивата на буфера за Г-СЗИ съгласно член 131 от Директива 2013/36/ЕС, институциите майки от ЕС, финансовите холдинги майки от ЕС и финансовите холдинги майки със смесена дейност от ЕС подават на всеки три месеца на консолидирана основа информацията по раздел 11 „Докладване на допълнителна информация за целите на определянето на Г-СЗИ и присъждането на нивата на буфера за Г-СЗИ“ от I приложение към настоящия регламент, когато са изпълнени следните две условия:</w:t>
      </w:r>
    </w:p>
    <w:p w:rsidR="00AB5213" w:rsidRPr="00396A03" w:rsidRDefault="002539D6" w:rsidP="002539D6">
      <w:pPr>
        <w:pStyle w:val="Point1"/>
        <w:rPr>
          <w:noProof/>
        </w:rPr>
      </w:pPr>
      <w:r>
        <w:rPr>
          <w:noProof/>
        </w:rPr>
        <w:t>а)</w:t>
      </w:r>
      <w:r>
        <w:rPr>
          <w:noProof/>
        </w:rPr>
        <w:tab/>
      </w:r>
      <w:r w:rsidR="00AB5213" w:rsidRPr="00396A03">
        <w:rPr>
          <w:noProof/>
        </w:rPr>
        <w:t>мярката за общата експозиция на групата, включително дъщерните застрахователни предприятия, надхвърля или е равна на 125 000 000 000 евро;</w:t>
      </w:r>
    </w:p>
    <w:p w:rsidR="00AB5213" w:rsidRPr="00396A03" w:rsidRDefault="002539D6" w:rsidP="002539D6">
      <w:pPr>
        <w:pStyle w:val="Point1"/>
        <w:rPr>
          <w:noProof/>
        </w:rPr>
      </w:pPr>
      <w:r>
        <w:rPr>
          <w:noProof/>
        </w:rPr>
        <w:t>б)</w:t>
      </w:r>
      <w:r>
        <w:rPr>
          <w:noProof/>
        </w:rPr>
        <w:tab/>
      </w:r>
      <w:r w:rsidR="00AB5213" w:rsidRPr="00396A03">
        <w:rPr>
          <w:noProof/>
        </w:rPr>
        <w:t>институцията майка от ЕС или някое от нейните дъщерни предприятия или клон, управляван от институцията майка или от дъщерно предприятие, се намира в участваща държава членка съгласно посоченото в член 4 от Регламент (ЕС) № 806/2014 на Европейския парламент и на Съвета</w:t>
      </w:r>
      <w:r w:rsidR="00AB5213" w:rsidRPr="00C44142">
        <w:rPr>
          <w:rStyle w:val="FootnoteReference"/>
          <w:noProof/>
          <w:lang w:eastAsia="fr-BE"/>
        </w:rPr>
        <w:footnoteReference w:id="11"/>
      </w:r>
      <w:r w:rsidR="00AB5213" w:rsidRPr="00396A03">
        <w:rPr>
          <w:noProof/>
        </w:rPr>
        <w:t>.</w:t>
      </w:r>
    </w:p>
    <w:p w:rsidR="00716EA9" w:rsidRPr="00396A03" w:rsidRDefault="0073232A" w:rsidP="0073232A">
      <w:pPr>
        <w:pStyle w:val="ManualNumPar1"/>
        <w:rPr>
          <w:noProof/>
        </w:rPr>
      </w:pPr>
      <w:r w:rsidRPr="0073232A">
        <w:rPr>
          <w:noProof/>
        </w:rPr>
        <w:t>2.</w:t>
      </w:r>
      <w:r w:rsidRPr="0073232A">
        <w:rPr>
          <w:noProof/>
        </w:rPr>
        <w:tab/>
      </w:r>
      <w:r w:rsidR="00557F8A" w:rsidRPr="00396A03">
        <w:rPr>
          <w:noProof/>
        </w:rPr>
        <w:t>Когато докладват допълнителната информация за определянето на Г-СЗИ и присъждането на нивата на буфера за Г-СЗИ съгласно член 131 от Директива 2013/36/ЕС, институциите подават на всеки три месеца на индивидуална основа информацията по раздел 11 „Докладване на допълнителна информация за целите на определянето на Г-СЗИ и присъждането на нивата на буфера за Г-СЗИ“ от приложение I към настоящия регламент, когато са изпълнени всички посочени по-долу условия:</w:t>
      </w:r>
    </w:p>
    <w:p w:rsidR="00AB5213" w:rsidRPr="00396A03" w:rsidRDefault="002539D6" w:rsidP="002539D6">
      <w:pPr>
        <w:pStyle w:val="Point1"/>
        <w:rPr>
          <w:noProof/>
        </w:rPr>
      </w:pPr>
      <w:r>
        <w:rPr>
          <w:noProof/>
        </w:rPr>
        <w:t>а)</w:t>
      </w:r>
      <w:r>
        <w:rPr>
          <w:noProof/>
        </w:rPr>
        <w:tab/>
      </w:r>
      <w:r w:rsidR="00AB5213" w:rsidRPr="00396A03">
        <w:rPr>
          <w:noProof/>
        </w:rPr>
        <w:t>мярката за общата експозиция на институцията е равна на или надвишава 125 000 000 000 евро;</w:t>
      </w:r>
    </w:p>
    <w:p w:rsidR="00AB5213" w:rsidRPr="00396A03" w:rsidRDefault="002539D6" w:rsidP="002539D6">
      <w:pPr>
        <w:pStyle w:val="Point1"/>
        <w:rPr>
          <w:noProof/>
        </w:rPr>
      </w:pPr>
      <w:r>
        <w:rPr>
          <w:noProof/>
        </w:rPr>
        <w:t>б)</w:t>
      </w:r>
      <w:r>
        <w:rPr>
          <w:noProof/>
        </w:rPr>
        <w:tab/>
      </w:r>
      <w:r w:rsidR="00AB5213" w:rsidRPr="00396A03">
        <w:rPr>
          <w:noProof/>
        </w:rPr>
        <w:t>институцията се намира в участваща държава членка съгласно посоченото в член 4 от Регламент (ЕС) № 806/2014;</w:t>
      </w:r>
    </w:p>
    <w:p w:rsidR="00AB5213" w:rsidRPr="00396A03" w:rsidRDefault="002539D6" w:rsidP="002539D6">
      <w:pPr>
        <w:pStyle w:val="Point1"/>
        <w:rPr>
          <w:noProof/>
        </w:rPr>
      </w:pPr>
      <w:r>
        <w:rPr>
          <w:noProof/>
        </w:rPr>
        <w:t>в)</w:t>
      </w:r>
      <w:r>
        <w:rPr>
          <w:noProof/>
        </w:rPr>
        <w:tab/>
      </w:r>
      <w:r w:rsidR="00AB5213" w:rsidRPr="00396A03">
        <w:rPr>
          <w:noProof/>
        </w:rPr>
        <w:t>институцията не е част от група, която подлежи на консолидиран надзор („самостоятелна институция“).</w:t>
      </w:r>
    </w:p>
    <w:p w:rsidR="00716EA9" w:rsidRPr="00396A03" w:rsidRDefault="0073232A" w:rsidP="0073232A">
      <w:pPr>
        <w:pStyle w:val="ManualNumPar1"/>
        <w:rPr>
          <w:noProof/>
        </w:rPr>
      </w:pPr>
      <w:r w:rsidRPr="0073232A">
        <w:rPr>
          <w:noProof/>
        </w:rPr>
        <w:t>3.</w:t>
      </w:r>
      <w:r w:rsidRPr="0073232A">
        <w:rPr>
          <w:noProof/>
        </w:rPr>
        <w:tab/>
      </w:r>
      <w:r w:rsidR="00716EA9" w:rsidRPr="00396A03">
        <w:rPr>
          <w:noProof/>
        </w:rPr>
        <w:t>Чрез дерогация от член 3, параграф 1, буква б) институциите подават информацията, посочена в параграфи 1 и 2 от настоящия член, до края на работния ден на следните дати: 1 юли, 1 октомври, 2 януари и 1 април.</w:t>
      </w:r>
    </w:p>
    <w:p w:rsidR="00716EA9" w:rsidRPr="00396A03" w:rsidRDefault="0073232A" w:rsidP="0073232A">
      <w:pPr>
        <w:pStyle w:val="ManualNumPar1"/>
        <w:rPr>
          <w:noProof/>
        </w:rPr>
      </w:pPr>
      <w:r w:rsidRPr="0073232A">
        <w:rPr>
          <w:noProof/>
        </w:rPr>
        <w:t>4.</w:t>
      </w:r>
      <w:r w:rsidRPr="0073232A">
        <w:rPr>
          <w:noProof/>
        </w:rPr>
        <w:tab/>
      </w:r>
      <w:r w:rsidR="00716EA9" w:rsidRPr="00396A03">
        <w:rPr>
          <w:noProof/>
        </w:rPr>
        <w:t>Чрез дерогация от член 4, по отношение на праговете, посочени в параграф 1, буква а) и параграф 2, буква а) от настоящия член, се прилага следното:</w:t>
      </w:r>
    </w:p>
    <w:p w:rsidR="00AB5213" w:rsidRPr="00396A03" w:rsidRDefault="002539D6" w:rsidP="002539D6">
      <w:pPr>
        <w:pStyle w:val="Point1"/>
        <w:rPr>
          <w:noProof/>
        </w:rPr>
      </w:pPr>
      <w:r>
        <w:rPr>
          <w:noProof/>
        </w:rPr>
        <w:t>а)</w:t>
      </w:r>
      <w:r>
        <w:rPr>
          <w:noProof/>
        </w:rPr>
        <w:tab/>
      </w:r>
      <w:r w:rsidR="00AB5213" w:rsidRPr="00396A03">
        <w:rPr>
          <w:noProof/>
        </w:rPr>
        <w:t>институцията майка от ЕС, финансовият холдинг майка от ЕС, финансовият холдинг майка със смесена дейност от ЕС или самостоятелната институция незабавно започва да докладва посочената в параграфи 1 и 2 информация съгласно настоящия член, когато мярката за експозицията с оглед на отношението на ливъридж надвишава посочения праг, считано от края на счетоводната година, и докладва тази информация най-малко за края на тази счетоводна година и за следващите три референтните дати за тримесечно докладване;</w:t>
      </w:r>
    </w:p>
    <w:p w:rsidR="00AB5213" w:rsidRPr="00396A03" w:rsidRDefault="002539D6" w:rsidP="002539D6">
      <w:pPr>
        <w:pStyle w:val="Point1"/>
        <w:rPr>
          <w:noProof/>
        </w:rPr>
      </w:pPr>
      <w:r>
        <w:rPr>
          <w:noProof/>
        </w:rPr>
        <w:t>б)</w:t>
      </w:r>
      <w:r>
        <w:rPr>
          <w:noProof/>
        </w:rPr>
        <w:tab/>
      </w:r>
      <w:r w:rsidR="00AB5213" w:rsidRPr="00396A03">
        <w:rPr>
          <w:noProof/>
        </w:rPr>
        <w:t>институцията майка от ЕС, финансовият холдинг майка от ЕС, финансовият холдинг майка със смесена дейност от ЕС или самостоятелната институция незабавно спира да докладва посочената в параграфи 1 и 2 информация съгласно настоящия член, когато мярката за експозицията с оглед на отношението на ливъридж падне под посочения праг, считано от края на счетоводната им година.</w:t>
      </w:r>
    </w:p>
    <w:p w:rsidR="00716EA9" w:rsidRPr="00396A03" w:rsidRDefault="00716EA9" w:rsidP="00E537F5">
      <w:pPr>
        <w:pStyle w:val="Titrearticle"/>
        <w:rPr>
          <w:noProof/>
          <w:szCs w:val="24"/>
        </w:rPr>
      </w:pPr>
      <w:r w:rsidRPr="00396A03">
        <w:rPr>
          <w:noProof/>
        </w:rPr>
        <w:t>Член 21</w:t>
      </w:r>
    </w:p>
    <w:p w:rsidR="00716EA9" w:rsidRPr="00396A03" w:rsidRDefault="00716EA9" w:rsidP="0066303A">
      <w:pPr>
        <w:pStyle w:val="Titrearticle"/>
        <w:spacing w:before="0"/>
        <w:rPr>
          <w:b/>
          <w:bCs/>
          <w:i w:val="0"/>
          <w:iCs/>
          <w:noProof/>
          <w:szCs w:val="24"/>
        </w:rPr>
      </w:pPr>
      <w:bookmarkStart w:id="2" w:name="_Hlk175233444"/>
      <w:r w:rsidRPr="00396A03">
        <w:rPr>
          <w:b/>
          <w:i w:val="0"/>
          <w:noProof/>
        </w:rPr>
        <w:t>Докладване на информация за лихвения риск в банковия портфейл както на индивидуална, така и на консолидирана основа</w:t>
      </w:r>
    </w:p>
    <w:p w:rsidR="00716EA9" w:rsidRPr="00396A03" w:rsidRDefault="000B3834" w:rsidP="00716EA9">
      <w:pPr>
        <w:rPr>
          <w:rFonts w:eastAsia="Times New Roman"/>
          <w:noProof/>
          <w:color w:val="000000" w:themeColor="text1"/>
          <w:szCs w:val="24"/>
        </w:rPr>
      </w:pPr>
      <w:r w:rsidRPr="00396A03">
        <w:rPr>
          <w:noProof/>
        </w:rPr>
        <w:t>Институциите, които докладват информация за лихвения риск в банковия портфейл в съответствие с член 84, параграф 5, член 84, параграф 6 и член 98, параграф 5а от Директива 2013/36/ЕС както на индивидуална, така и на консолидирана основа, подават посочената в тези членове информация съобразно раздел 12 „Докладване за лихвения риск в банковия портфейл“ от приложение I към настоящия регламент със следната честота:</w:t>
      </w:r>
    </w:p>
    <w:p w:rsidR="00F5752D" w:rsidRPr="00396A03" w:rsidRDefault="002539D6" w:rsidP="002539D6">
      <w:pPr>
        <w:pStyle w:val="Point0"/>
        <w:rPr>
          <w:noProof/>
        </w:rPr>
      </w:pPr>
      <w:r>
        <w:rPr>
          <w:noProof/>
        </w:rPr>
        <w:t>а)</w:t>
      </w:r>
      <w:r>
        <w:rPr>
          <w:noProof/>
        </w:rPr>
        <w:tab/>
      </w:r>
      <w:r w:rsidR="00247A56" w:rsidRPr="00396A03">
        <w:rPr>
          <w:noProof/>
        </w:rPr>
        <w:t>всички институции: образец J 01.00 от раздел 12 на приложение I — на всеки три месеца;</w:t>
      </w:r>
    </w:p>
    <w:p w:rsidR="00F5752D" w:rsidRPr="00396A03" w:rsidRDefault="002539D6" w:rsidP="002539D6">
      <w:pPr>
        <w:pStyle w:val="Point0"/>
        <w:rPr>
          <w:noProof/>
        </w:rPr>
      </w:pPr>
      <w:r>
        <w:rPr>
          <w:noProof/>
        </w:rPr>
        <w:t>б)</w:t>
      </w:r>
      <w:r>
        <w:rPr>
          <w:noProof/>
        </w:rPr>
        <w:tab/>
      </w:r>
      <w:r w:rsidR="00247A56" w:rsidRPr="00396A03">
        <w:rPr>
          <w:noProof/>
        </w:rPr>
        <w:t>големи институции: образци J 02.00, J 05.00 и J 08.00 от раздел 12 на приложение I — на всеки три месеца;</w:t>
      </w:r>
    </w:p>
    <w:p w:rsidR="00F5752D" w:rsidRPr="00396A03" w:rsidRDefault="002539D6" w:rsidP="002539D6">
      <w:pPr>
        <w:pStyle w:val="Point0"/>
        <w:rPr>
          <w:noProof/>
        </w:rPr>
      </w:pPr>
      <w:r>
        <w:rPr>
          <w:noProof/>
        </w:rPr>
        <w:t>в)</w:t>
      </w:r>
      <w:r>
        <w:rPr>
          <w:noProof/>
        </w:rPr>
        <w:tab/>
      </w:r>
      <w:r w:rsidR="00247A56" w:rsidRPr="00396A03">
        <w:rPr>
          <w:noProof/>
        </w:rPr>
        <w:t>институции, които не са нито големи институции, нито малки и несложни институции: образци J 03.00 и J 06.00 от раздел 12 на приложение I — на всеки три месеца;</w:t>
      </w:r>
    </w:p>
    <w:p w:rsidR="00F5752D" w:rsidRPr="00396A03" w:rsidRDefault="002539D6" w:rsidP="002539D6">
      <w:pPr>
        <w:pStyle w:val="Point0"/>
        <w:rPr>
          <w:noProof/>
        </w:rPr>
      </w:pPr>
      <w:r>
        <w:rPr>
          <w:noProof/>
        </w:rPr>
        <w:t>г)</w:t>
      </w:r>
      <w:r>
        <w:rPr>
          <w:noProof/>
        </w:rPr>
        <w:tab/>
      </w:r>
      <w:r w:rsidR="00247A56" w:rsidRPr="00396A03">
        <w:rPr>
          <w:noProof/>
        </w:rPr>
        <w:t>малки и несложни институции: образци J 04.00 и J 07.00 от раздел 12 на приложение I — на всеки три месеца;</w:t>
      </w:r>
    </w:p>
    <w:p w:rsidR="00F5752D" w:rsidRPr="00396A03" w:rsidRDefault="002539D6" w:rsidP="002539D6">
      <w:pPr>
        <w:pStyle w:val="Point0"/>
        <w:rPr>
          <w:noProof/>
        </w:rPr>
      </w:pPr>
      <w:r>
        <w:rPr>
          <w:noProof/>
        </w:rPr>
        <w:t>д)</w:t>
      </w:r>
      <w:r>
        <w:rPr>
          <w:noProof/>
        </w:rPr>
        <w:tab/>
      </w:r>
      <w:r w:rsidR="00247A56" w:rsidRPr="00396A03">
        <w:rPr>
          <w:noProof/>
        </w:rPr>
        <w:t>институции, които не са нито големи институции, нито малки и несложни институции, и малки и несложни институции: образец J 09.00 от раздел 12 на приложение I — на всеки три месеца;</w:t>
      </w:r>
    </w:p>
    <w:p w:rsidR="00F5752D" w:rsidRPr="00396A03" w:rsidRDefault="002539D6" w:rsidP="002539D6">
      <w:pPr>
        <w:pStyle w:val="Point0"/>
        <w:rPr>
          <w:noProof/>
        </w:rPr>
      </w:pPr>
      <w:r>
        <w:rPr>
          <w:noProof/>
        </w:rPr>
        <w:t>е)</w:t>
      </w:r>
      <w:r>
        <w:rPr>
          <w:noProof/>
        </w:rPr>
        <w:tab/>
      </w:r>
      <w:r w:rsidR="00247A56" w:rsidRPr="00396A03">
        <w:rPr>
          <w:noProof/>
        </w:rPr>
        <w:t>големи институции: образци J 10.01 и J 10.02 от раздел 12 на приложение I — веднъж годишно;</w:t>
      </w:r>
    </w:p>
    <w:p w:rsidR="00F5752D" w:rsidRPr="00396A03" w:rsidRDefault="002539D6" w:rsidP="002539D6">
      <w:pPr>
        <w:pStyle w:val="Point0"/>
        <w:rPr>
          <w:noProof/>
        </w:rPr>
      </w:pPr>
      <w:r>
        <w:rPr>
          <w:noProof/>
        </w:rPr>
        <w:t>ж)</w:t>
      </w:r>
      <w:r>
        <w:rPr>
          <w:noProof/>
        </w:rPr>
        <w:tab/>
      </w:r>
      <w:r w:rsidR="00247A56" w:rsidRPr="00396A03">
        <w:rPr>
          <w:noProof/>
        </w:rPr>
        <w:t>институции, които не са нито големи институции, нито малки и несложни институции, и малки и несложни институции: образци J 11.01 и J 11.02 от раздел 12 на приложение I — веднъж годишно;</w:t>
      </w:r>
    </w:p>
    <w:bookmarkEnd w:id="2"/>
    <w:p w:rsidR="002823A7" w:rsidRPr="00396A03" w:rsidRDefault="002823A7" w:rsidP="0017149C">
      <w:pPr>
        <w:pStyle w:val="Titrearticle"/>
        <w:tabs>
          <w:tab w:val="left" w:pos="567"/>
        </w:tabs>
        <w:rPr>
          <w:noProof/>
          <w:szCs w:val="24"/>
        </w:rPr>
      </w:pPr>
      <w:r w:rsidRPr="00396A03">
        <w:rPr>
          <w:noProof/>
        </w:rPr>
        <w:t>Член 22</w:t>
      </w:r>
    </w:p>
    <w:p w:rsidR="002823A7" w:rsidRPr="00396A03" w:rsidRDefault="002823A7" w:rsidP="0017149C">
      <w:pPr>
        <w:pStyle w:val="Titrearticle"/>
        <w:tabs>
          <w:tab w:val="left" w:pos="567"/>
        </w:tabs>
        <w:spacing w:before="0"/>
        <w:rPr>
          <w:rFonts w:eastAsia="Times New Roman"/>
          <w:noProof/>
          <w:szCs w:val="24"/>
        </w:rPr>
      </w:pPr>
      <w:r w:rsidRPr="00396A03">
        <w:rPr>
          <w:b/>
          <w:i w:val="0"/>
          <w:noProof/>
        </w:rPr>
        <w:t>ИТ решения, образци за докладване и указания</w:t>
      </w:r>
    </w:p>
    <w:p w:rsidR="002823A7" w:rsidRPr="00396A03" w:rsidRDefault="0073232A" w:rsidP="0073232A">
      <w:pPr>
        <w:pStyle w:val="ManualNumPar1"/>
        <w:rPr>
          <w:rFonts w:eastAsia="Times New Roman"/>
          <w:noProof/>
          <w:szCs w:val="24"/>
        </w:rPr>
      </w:pPr>
      <w:r w:rsidRPr="0073232A">
        <w:rPr>
          <w:noProof/>
        </w:rPr>
        <w:t>1.</w:t>
      </w:r>
      <w:r w:rsidRPr="0073232A">
        <w:rPr>
          <w:noProof/>
        </w:rPr>
        <w:tab/>
      </w:r>
      <w:r w:rsidR="001B3873" w:rsidRPr="00396A03">
        <w:rPr>
          <w:noProof/>
        </w:rPr>
        <w:t xml:space="preserve">ЕБО гарантира, че ИТ решения, в т.ч. образците за докладване и указанията, разработени съгласно член 430, параграф 7 от Регламент (ЕС) № 575/2013, удовлетворяват във всеки един момент единните формати за оповестяването, установени в настоящия регламент, и включват всички елементи на данните и информация, изброени в приложение I към настоящия регламент. </w:t>
      </w:r>
    </w:p>
    <w:p w:rsidR="002823A7" w:rsidRPr="00396A03" w:rsidRDefault="0073232A" w:rsidP="0073232A">
      <w:pPr>
        <w:pStyle w:val="ManualNumPar1"/>
        <w:rPr>
          <w:rFonts w:eastAsia="Times New Roman"/>
          <w:noProof/>
          <w:szCs w:val="24"/>
        </w:rPr>
      </w:pPr>
      <w:r w:rsidRPr="0073232A">
        <w:rPr>
          <w:noProof/>
        </w:rPr>
        <w:t>2.</w:t>
      </w:r>
      <w:r w:rsidRPr="0073232A">
        <w:rPr>
          <w:noProof/>
        </w:rPr>
        <w:tab/>
      </w:r>
      <w:r w:rsidR="002823A7" w:rsidRPr="00396A03">
        <w:rPr>
          <w:noProof/>
        </w:rPr>
        <w:t>ЕБО предоставя на уебсайта си достъп до ИТ решения, образците за докладване и указанията, посочени в параграф 1. ЕБО непрекъснато актуализира тези ИТ решения и ги предоставя на всички официални езици.</w:t>
      </w:r>
    </w:p>
    <w:p w:rsidR="00716EA9" w:rsidRPr="00396A03" w:rsidRDefault="00716EA9" w:rsidP="00E537F5">
      <w:pPr>
        <w:pStyle w:val="Titrearticle"/>
        <w:rPr>
          <w:noProof/>
          <w:szCs w:val="24"/>
        </w:rPr>
      </w:pPr>
      <w:r w:rsidRPr="00396A03">
        <w:rPr>
          <w:noProof/>
        </w:rPr>
        <w:t>Член 23</w:t>
      </w:r>
    </w:p>
    <w:p w:rsidR="00716EA9" w:rsidRPr="00396A03" w:rsidRDefault="00716EA9" w:rsidP="002A7D3F">
      <w:pPr>
        <w:pStyle w:val="Titrearticle"/>
        <w:spacing w:before="0"/>
        <w:rPr>
          <w:b/>
          <w:bCs/>
          <w:i w:val="0"/>
          <w:iCs/>
          <w:noProof/>
          <w:szCs w:val="24"/>
        </w:rPr>
      </w:pPr>
      <w:r w:rsidRPr="00396A03">
        <w:rPr>
          <w:b/>
          <w:i w:val="0"/>
          <w:noProof/>
        </w:rPr>
        <w:t>Формати за обмен на данни и информация, придружаваща подаването на данни</w:t>
      </w:r>
    </w:p>
    <w:p w:rsidR="00716EA9" w:rsidRPr="00396A03" w:rsidRDefault="0073232A" w:rsidP="0073232A">
      <w:pPr>
        <w:pStyle w:val="ManualNumPar1"/>
        <w:rPr>
          <w:noProof/>
        </w:rPr>
      </w:pPr>
      <w:r w:rsidRPr="0073232A">
        <w:rPr>
          <w:noProof/>
        </w:rPr>
        <w:t>1.</w:t>
      </w:r>
      <w:r w:rsidRPr="0073232A">
        <w:rPr>
          <w:noProof/>
        </w:rPr>
        <w:tab/>
      </w:r>
      <w:r w:rsidR="00716EA9" w:rsidRPr="00396A03">
        <w:rPr>
          <w:noProof/>
        </w:rPr>
        <w:t>Институциите подават информацията, изисквана съгласно настоящия регламент, във форматите за обмен на данни и начините на представяне, установени от компетентните органи, спазват определението за данни в информационния модел и посочените в ИТ решения формули за валидиране, достъпни на уебсайта на ЕБО, и съблюдават следните изисквания:</w:t>
      </w:r>
    </w:p>
    <w:p w:rsidR="00716EA9" w:rsidRPr="00396A03" w:rsidRDefault="002539D6" w:rsidP="002539D6">
      <w:pPr>
        <w:pStyle w:val="Point1"/>
        <w:rPr>
          <w:noProof/>
        </w:rPr>
      </w:pPr>
      <w:r>
        <w:rPr>
          <w:noProof/>
        </w:rPr>
        <w:t>а)</w:t>
      </w:r>
      <w:r>
        <w:rPr>
          <w:noProof/>
        </w:rPr>
        <w:tab/>
      </w:r>
      <w:r w:rsidR="00712164" w:rsidRPr="00396A03">
        <w:rPr>
          <w:noProof/>
        </w:rPr>
        <w:t>не включват в подаваните данни информация, която не се изисква или не е приложима;</w:t>
      </w:r>
    </w:p>
    <w:p w:rsidR="00716EA9" w:rsidRPr="00396A03" w:rsidRDefault="002539D6" w:rsidP="002539D6">
      <w:pPr>
        <w:pStyle w:val="Point1"/>
        <w:rPr>
          <w:noProof/>
        </w:rPr>
      </w:pPr>
      <w:r>
        <w:rPr>
          <w:noProof/>
        </w:rPr>
        <w:t>б)</w:t>
      </w:r>
      <w:r>
        <w:rPr>
          <w:noProof/>
        </w:rPr>
        <w:tab/>
      </w:r>
      <w:r w:rsidR="00712164" w:rsidRPr="00396A03">
        <w:rPr>
          <w:noProof/>
        </w:rPr>
        <w:t>подават числените стойности, както следва:</w:t>
      </w:r>
    </w:p>
    <w:p w:rsidR="00716EA9" w:rsidRPr="00396A03" w:rsidRDefault="00716EA9" w:rsidP="00C856B2">
      <w:pPr>
        <w:pStyle w:val="Point2"/>
        <w:rPr>
          <w:noProof/>
        </w:rPr>
      </w:pPr>
      <w:r w:rsidRPr="00396A03">
        <w:rPr>
          <w:noProof/>
        </w:rPr>
        <w:t>i)</w:t>
      </w:r>
      <w:r w:rsidRPr="00396A03">
        <w:rPr>
          <w:noProof/>
        </w:rPr>
        <w:tab/>
        <w:t>докладват данните от вид „паричен“ с минимална точност до десет хиляди единици;</w:t>
      </w:r>
    </w:p>
    <w:p w:rsidR="00716EA9" w:rsidRPr="00396A03" w:rsidRDefault="00716EA9" w:rsidP="00C856B2">
      <w:pPr>
        <w:pStyle w:val="Point2"/>
        <w:rPr>
          <w:noProof/>
        </w:rPr>
      </w:pPr>
      <w:r w:rsidRPr="00396A03">
        <w:rPr>
          <w:noProof/>
        </w:rPr>
        <w:t>ii)</w:t>
      </w:r>
      <w:r w:rsidRPr="00396A03">
        <w:rPr>
          <w:noProof/>
        </w:rPr>
        <w:tab/>
        <w:t>представят данните от тип „процент“ за единица с минимална точност до четири десетични знака;</w:t>
      </w:r>
    </w:p>
    <w:p w:rsidR="00716EA9" w:rsidRPr="00396A03" w:rsidRDefault="00716EA9" w:rsidP="00C856B2">
      <w:pPr>
        <w:pStyle w:val="Point2"/>
        <w:rPr>
          <w:noProof/>
        </w:rPr>
      </w:pPr>
      <w:r w:rsidRPr="00396A03">
        <w:rPr>
          <w:noProof/>
        </w:rPr>
        <w:t>iii)</w:t>
      </w:r>
      <w:r w:rsidRPr="00396A03">
        <w:rPr>
          <w:noProof/>
        </w:rPr>
        <w:tab/>
        <w:t>докладват данните от тип „цяло число“ без десетични знаци с точност до единици;</w:t>
      </w:r>
    </w:p>
    <w:p w:rsidR="00716EA9" w:rsidRPr="00396A03" w:rsidRDefault="002539D6" w:rsidP="002539D6">
      <w:pPr>
        <w:pStyle w:val="Point1"/>
        <w:rPr>
          <w:noProof/>
        </w:rPr>
      </w:pPr>
      <w:r>
        <w:rPr>
          <w:noProof/>
        </w:rPr>
        <w:t>в)</w:t>
      </w:r>
      <w:r>
        <w:rPr>
          <w:noProof/>
        </w:rPr>
        <w:tab/>
      </w:r>
      <w:r w:rsidR="000F605E" w:rsidRPr="00396A03">
        <w:rPr>
          <w:noProof/>
        </w:rPr>
        <w:t>обозначават институциите и застрахователните предприятия единствено с техния идентификационен код на правния субект (ИКПС);</w:t>
      </w:r>
    </w:p>
    <w:p w:rsidR="00716EA9" w:rsidRPr="00396A03" w:rsidRDefault="002539D6" w:rsidP="002539D6">
      <w:pPr>
        <w:pStyle w:val="Point1"/>
        <w:rPr>
          <w:noProof/>
        </w:rPr>
      </w:pPr>
      <w:r>
        <w:rPr>
          <w:noProof/>
        </w:rPr>
        <w:t>г)</w:t>
      </w:r>
      <w:r>
        <w:rPr>
          <w:noProof/>
        </w:rPr>
        <w:tab/>
      </w:r>
      <w:r w:rsidR="000F605E" w:rsidRPr="00396A03">
        <w:rPr>
          <w:noProof/>
        </w:rPr>
        <w:t>за обозначаването на юридическите лица и контрагентите, които не са институции и застрахователни предприятия, се използва техният ИКПС, когато има такъв.</w:t>
      </w:r>
    </w:p>
    <w:p w:rsidR="00716EA9" w:rsidRPr="00396A03" w:rsidRDefault="0073232A" w:rsidP="0073232A">
      <w:pPr>
        <w:pStyle w:val="ManualNumPar1"/>
        <w:rPr>
          <w:noProof/>
        </w:rPr>
      </w:pPr>
      <w:r w:rsidRPr="0073232A">
        <w:rPr>
          <w:noProof/>
        </w:rPr>
        <w:t>2.</w:t>
      </w:r>
      <w:r w:rsidRPr="0073232A">
        <w:rPr>
          <w:noProof/>
        </w:rPr>
        <w:tab/>
      </w:r>
      <w:r w:rsidR="00716EA9" w:rsidRPr="00396A03">
        <w:rPr>
          <w:noProof/>
        </w:rPr>
        <w:t>Заедно с подадената информация институциите подават следното:</w:t>
      </w:r>
    </w:p>
    <w:p w:rsidR="00716EA9" w:rsidRPr="00396A03" w:rsidRDefault="002539D6" w:rsidP="002539D6">
      <w:pPr>
        <w:pStyle w:val="Point1"/>
        <w:rPr>
          <w:noProof/>
        </w:rPr>
      </w:pPr>
      <w:r>
        <w:rPr>
          <w:noProof/>
        </w:rPr>
        <w:t>а)</w:t>
      </w:r>
      <w:r>
        <w:rPr>
          <w:noProof/>
        </w:rPr>
        <w:tab/>
      </w:r>
      <w:r w:rsidR="00712164" w:rsidRPr="00396A03">
        <w:rPr>
          <w:noProof/>
        </w:rPr>
        <w:t>референтната дата на докладване и референтния период на докладване;</w:t>
      </w:r>
    </w:p>
    <w:p w:rsidR="00716EA9" w:rsidRPr="00396A03" w:rsidRDefault="002539D6" w:rsidP="002539D6">
      <w:pPr>
        <w:pStyle w:val="Point1"/>
        <w:rPr>
          <w:noProof/>
        </w:rPr>
      </w:pPr>
      <w:r>
        <w:rPr>
          <w:noProof/>
        </w:rPr>
        <w:t>б)</w:t>
      </w:r>
      <w:r>
        <w:rPr>
          <w:noProof/>
        </w:rPr>
        <w:tab/>
      </w:r>
      <w:r w:rsidR="00712164" w:rsidRPr="00396A03">
        <w:rPr>
          <w:noProof/>
        </w:rPr>
        <w:t>отчетната валута;</w:t>
      </w:r>
    </w:p>
    <w:p w:rsidR="00716EA9" w:rsidRPr="00396A03" w:rsidRDefault="002539D6" w:rsidP="002539D6">
      <w:pPr>
        <w:pStyle w:val="Point1"/>
        <w:rPr>
          <w:noProof/>
        </w:rPr>
      </w:pPr>
      <w:r>
        <w:rPr>
          <w:noProof/>
        </w:rPr>
        <w:t>в)</w:t>
      </w:r>
      <w:r>
        <w:rPr>
          <w:noProof/>
        </w:rPr>
        <w:tab/>
      </w:r>
      <w:r w:rsidR="00712164" w:rsidRPr="00396A03">
        <w:rPr>
          <w:noProof/>
        </w:rPr>
        <w:t>счетоводния стандарт;</w:t>
      </w:r>
    </w:p>
    <w:p w:rsidR="00716EA9" w:rsidRPr="00396A03" w:rsidRDefault="002539D6" w:rsidP="002539D6">
      <w:pPr>
        <w:pStyle w:val="Point1"/>
        <w:rPr>
          <w:noProof/>
        </w:rPr>
      </w:pPr>
      <w:r>
        <w:rPr>
          <w:noProof/>
        </w:rPr>
        <w:t>г)</w:t>
      </w:r>
      <w:r>
        <w:rPr>
          <w:noProof/>
        </w:rPr>
        <w:tab/>
      </w:r>
      <w:r w:rsidR="00712164" w:rsidRPr="00396A03">
        <w:rPr>
          <w:noProof/>
        </w:rPr>
        <w:t>идентификационния код на правния субект (ИКПС) на докладващата институция;</w:t>
      </w:r>
    </w:p>
    <w:p w:rsidR="00716EA9" w:rsidRPr="00396A03" w:rsidRDefault="002539D6" w:rsidP="002539D6">
      <w:pPr>
        <w:pStyle w:val="Point1"/>
        <w:rPr>
          <w:noProof/>
        </w:rPr>
      </w:pPr>
      <w:r>
        <w:rPr>
          <w:noProof/>
        </w:rPr>
        <w:t>д)</w:t>
      </w:r>
      <w:r>
        <w:rPr>
          <w:noProof/>
        </w:rPr>
        <w:tab/>
      </w:r>
      <w:r w:rsidR="00712164" w:rsidRPr="00396A03">
        <w:rPr>
          <w:noProof/>
        </w:rPr>
        <w:t>обхвата на консолидацията.</w:t>
      </w:r>
    </w:p>
    <w:p w:rsidR="00716EA9" w:rsidRPr="00396A03" w:rsidRDefault="00716EA9" w:rsidP="00E537F5">
      <w:pPr>
        <w:pStyle w:val="Titrearticle"/>
        <w:rPr>
          <w:noProof/>
          <w:szCs w:val="24"/>
        </w:rPr>
      </w:pPr>
      <w:r w:rsidRPr="00396A03">
        <w:rPr>
          <w:noProof/>
        </w:rPr>
        <w:t>Член 24</w:t>
      </w:r>
    </w:p>
    <w:p w:rsidR="00716EA9" w:rsidRPr="00396A03" w:rsidRDefault="00716EA9" w:rsidP="002A7D3F">
      <w:pPr>
        <w:pStyle w:val="Titrearticle"/>
        <w:spacing w:before="0"/>
        <w:rPr>
          <w:b/>
          <w:bCs/>
          <w:i w:val="0"/>
          <w:iCs/>
          <w:noProof/>
          <w:szCs w:val="24"/>
        </w:rPr>
      </w:pPr>
      <w:r w:rsidRPr="00396A03">
        <w:rPr>
          <w:b/>
          <w:i w:val="0"/>
          <w:noProof/>
        </w:rPr>
        <w:t>Преходни разпоредби</w:t>
      </w:r>
    </w:p>
    <w:p w:rsidR="00716EA9" w:rsidRPr="00396A03" w:rsidRDefault="0073232A" w:rsidP="0073232A">
      <w:pPr>
        <w:pStyle w:val="ManualNumPar1"/>
        <w:rPr>
          <w:noProof/>
        </w:rPr>
      </w:pPr>
      <w:r w:rsidRPr="0073232A">
        <w:rPr>
          <w:noProof/>
        </w:rPr>
        <w:t>1.</w:t>
      </w:r>
      <w:r w:rsidRPr="0073232A">
        <w:rPr>
          <w:noProof/>
        </w:rPr>
        <w:tab/>
      </w:r>
      <w:r w:rsidR="00716EA9" w:rsidRPr="00396A03">
        <w:rPr>
          <w:noProof/>
        </w:rPr>
        <w:t>Информацията, която по силата на членове 5, 7—10 и 15 от настоящия регламент се докладва на всеки три месеца и чиято референтна дата е 31 март 2025 г., се подава най-късно на 30 юни 2025 г.</w:t>
      </w:r>
    </w:p>
    <w:p w:rsidR="00716EA9" w:rsidRPr="00396A03" w:rsidRDefault="0073232A" w:rsidP="0073232A">
      <w:pPr>
        <w:pStyle w:val="ManualNumPar1"/>
        <w:rPr>
          <w:noProof/>
        </w:rPr>
      </w:pPr>
      <w:r w:rsidRPr="0073232A">
        <w:rPr>
          <w:noProof/>
        </w:rPr>
        <w:t>2.</w:t>
      </w:r>
      <w:r w:rsidRPr="0073232A">
        <w:rPr>
          <w:noProof/>
        </w:rPr>
        <w:tab/>
      </w:r>
      <w:r w:rsidR="00AE3B0A" w:rsidRPr="00396A03">
        <w:rPr>
          <w:noProof/>
        </w:rPr>
        <w:t>Първата референтна дата за докладваната съгласно член 5 от настоящия регламент информация за състава на търговския портфейл и за прекласифициранията между портфейли е последният работен ден от тримесечието, през което алтернативните подходи по трета част, дял IV, глави 1а и 1б от Регламент (ЕС) № 575/2013 стават приложими за изчисляването на капиталовите изисквания, посочени в член 92, параграф 4, буква б), подточки i) и в) и член 92, параграф 5, букви б) и в) от същия регламент.</w:t>
      </w:r>
    </w:p>
    <w:p w:rsidR="00716EA9" w:rsidRPr="00396A03" w:rsidRDefault="00716EA9" w:rsidP="00745A2E">
      <w:pPr>
        <w:pStyle w:val="Titrearticle"/>
        <w:spacing w:before="120" w:after="0"/>
        <w:rPr>
          <w:noProof/>
          <w:szCs w:val="24"/>
        </w:rPr>
      </w:pPr>
      <w:r w:rsidRPr="00396A03">
        <w:rPr>
          <w:noProof/>
        </w:rPr>
        <w:t>Член 25</w:t>
      </w:r>
    </w:p>
    <w:p w:rsidR="00096030" w:rsidRPr="00396A03" w:rsidRDefault="004B3787" w:rsidP="00C856B2">
      <w:pPr>
        <w:pStyle w:val="Text1"/>
        <w:jc w:val="center"/>
        <w:rPr>
          <w:noProof/>
        </w:rPr>
      </w:pPr>
      <w:r w:rsidRPr="00396A03">
        <w:rPr>
          <w:b/>
          <w:noProof/>
        </w:rPr>
        <w:t>Отмяна на Регламент за изпълнение (ЕС) 2021/451</w:t>
      </w:r>
    </w:p>
    <w:p w:rsidR="00FB327E" w:rsidRPr="00396A03" w:rsidRDefault="0073232A" w:rsidP="0073232A">
      <w:pPr>
        <w:pStyle w:val="ManualNumPar1"/>
        <w:rPr>
          <w:noProof/>
        </w:rPr>
      </w:pPr>
      <w:r w:rsidRPr="0073232A">
        <w:rPr>
          <w:noProof/>
        </w:rPr>
        <w:t>1.</w:t>
      </w:r>
      <w:r w:rsidRPr="0073232A">
        <w:rPr>
          <w:noProof/>
        </w:rPr>
        <w:tab/>
      </w:r>
      <w:r w:rsidR="00FB327E" w:rsidRPr="00396A03">
        <w:rPr>
          <w:noProof/>
        </w:rPr>
        <w:t xml:space="preserve">Регламент за изпълнение (ЕС) 2021/451 престава да се прилага от 1 януари 2025 г., с изключение на член 5, параграф 12 и приложение I, образци 18—24 и приложение II, част II, точки 5.1—5.7. Член 15 от Регламент за изпълнение (ЕС) 2021/451 продължава да се прилага до 31 декември 2025 г. само за целите на член 5, параграф 4 от настоящия регламент. </w:t>
      </w:r>
    </w:p>
    <w:p w:rsidR="00FB327E" w:rsidRPr="00396A03" w:rsidRDefault="0073232A" w:rsidP="0073232A">
      <w:pPr>
        <w:pStyle w:val="ManualNumPar1"/>
        <w:rPr>
          <w:noProof/>
        </w:rPr>
      </w:pPr>
      <w:r w:rsidRPr="0073232A">
        <w:rPr>
          <w:noProof/>
        </w:rPr>
        <w:t>2.</w:t>
      </w:r>
      <w:r w:rsidRPr="0073232A">
        <w:rPr>
          <w:noProof/>
        </w:rPr>
        <w:tab/>
      </w:r>
      <w:r w:rsidR="00FB327E" w:rsidRPr="00396A03">
        <w:rPr>
          <w:noProof/>
        </w:rPr>
        <w:t xml:space="preserve">Регламент за изпълнение (ЕС) 2021/451 се отменя, считано от 31 декември 2025 г. </w:t>
      </w:r>
    </w:p>
    <w:p w:rsidR="00FB327E" w:rsidRPr="00396A03" w:rsidRDefault="0073232A" w:rsidP="0073232A">
      <w:pPr>
        <w:pStyle w:val="ManualNumPar1"/>
        <w:rPr>
          <w:noProof/>
        </w:rPr>
      </w:pPr>
      <w:r w:rsidRPr="0073232A">
        <w:rPr>
          <w:noProof/>
        </w:rPr>
        <w:t>3.</w:t>
      </w:r>
      <w:r w:rsidRPr="0073232A">
        <w:rPr>
          <w:noProof/>
        </w:rPr>
        <w:tab/>
      </w:r>
      <w:r w:rsidR="00FB327E" w:rsidRPr="00396A03">
        <w:rPr>
          <w:noProof/>
        </w:rPr>
        <w:t>Позоваванията на отменения регламент се считат за позовавания на настоящия регламент и се четат съгласно таблицата на съответствието в приложение II.</w:t>
      </w:r>
    </w:p>
    <w:p w:rsidR="00E537F5" w:rsidRPr="00396A03" w:rsidRDefault="00E537F5" w:rsidP="00E537F5">
      <w:pPr>
        <w:pStyle w:val="Titrearticle"/>
        <w:rPr>
          <w:noProof/>
          <w:szCs w:val="24"/>
        </w:rPr>
      </w:pPr>
      <w:r w:rsidRPr="00396A03">
        <w:rPr>
          <w:noProof/>
        </w:rPr>
        <w:t>Член 26</w:t>
      </w:r>
    </w:p>
    <w:p w:rsidR="00E537F5" w:rsidRPr="00396A03" w:rsidRDefault="00E537F5" w:rsidP="0056622A">
      <w:pPr>
        <w:pStyle w:val="Titrearticle"/>
        <w:spacing w:before="0"/>
        <w:rPr>
          <w:b/>
          <w:bCs/>
          <w:i w:val="0"/>
          <w:iCs/>
          <w:noProof/>
          <w:szCs w:val="24"/>
        </w:rPr>
      </w:pPr>
      <w:r w:rsidRPr="00396A03">
        <w:rPr>
          <w:b/>
          <w:i w:val="0"/>
          <w:noProof/>
        </w:rPr>
        <w:t>Влизане в сила и прилагане</w:t>
      </w:r>
    </w:p>
    <w:p w:rsidR="00E537F5" w:rsidRPr="00396A03" w:rsidRDefault="00E537F5" w:rsidP="00E537F5">
      <w:pPr>
        <w:spacing w:before="100" w:beforeAutospacing="1" w:after="100" w:afterAutospacing="1"/>
        <w:rPr>
          <w:noProof/>
          <w:color w:val="000000"/>
          <w:szCs w:val="24"/>
        </w:rPr>
      </w:pPr>
      <w:r w:rsidRPr="00396A03">
        <w:rPr>
          <w:noProof/>
          <w:color w:val="000000"/>
        </w:rPr>
        <w:t xml:space="preserve">Настоящият регламент влиза в сила в деня след деня на публикуването му в </w:t>
      </w:r>
      <w:r w:rsidRPr="00396A03">
        <w:rPr>
          <w:i/>
          <w:iCs/>
          <w:noProof/>
          <w:color w:val="000000"/>
        </w:rPr>
        <w:t>Официален вестник на Европейския съюз</w:t>
      </w:r>
      <w:r w:rsidRPr="00396A03">
        <w:rPr>
          <w:noProof/>
          <w:color w:val="000000"/>
        </w:rPr>
        <w:t>.</w:t>
      </w:r>
    </w:p>
    <w:p w:rsidR="00E537F5" w:rsidRPr="00396A03" w:rsidRDefault="00E537F5" w:rsidP="00E537F5">
      <w:pPr>
        <w:spacing w:before="100" w:beforeAutospacing="1" w:after="100" w:afterAutospacing="1"/>
        <w:rPr>
          <w:noProof/>
          <w:color w:val="000000"/>
          <w:szCs w:val="24"/>
        </w:rPr>
      </w:pPr>
      <w:r w:rsidRPr="00396A03">
        <w:rPr>
          <w:noProof/>
          <w:color w:val="000000"/>
        </w:rPr>
        <w:t>Той се прилага от [до Службата за публикации: моля, въведете датата — 6 месеца след датата на влизане в сила].</w:t>
      </w:r>
    </w:p>
    <w:p w:rsidR="00E537F5" w:rsidRPr="00396A03" w:rsidRDefault="00E537F5" w:rsidP="00E537F5">
      <w:pPr>
        <w:spacing w:before="100" w:beforeAutospacing="1" w:after="100" w:afterAutospacing="1"/>
        <w:rPr>
          <w:noProof/>
          <w:szCs w:val="24"/>
        </w:rPr>
      </w:pPr>
      <w:r w:rsidRPr="00396A03">
        <w:rPr>
          <w:noProof/>
          <w:color w:val="000000"/>
        </w:rPr>
        <w:t>Настоящият регламент е задължителен в своята цялост и се прилага пряко във всички държави членки.</w:t>
      </w:r>
    </w:p>
    <w:p w:rsidR="00185C9B" w:rsidRPr="00396A03" w:rsidRDefault="002E043B" w:rsidP="00401957">
      <w:pPr>
        <w:pStyle w:val="Fait"/>
        <w:rPr>
          <w:noProof/>
        </w:rPr>
      </w:pPr>
      <w:r>
        <w:rPr>
          <w:noProof/>
        </w:rPr>
        <w:t>Съставено в Брюксел на 29.11.2024 година.</w:t>
      </w:r>
    </w:p>
    <w:p w:rsidR="00185C9B" w:rsidRPr="00396A03" w:rsidRDefault="00185C9B" w:rsidP="00401957">
      <w:pPr>
        <w:pStyle w:val="Institutionquisigne"/>
        <w:rPr>
          <w:noProof/>
          <w:szCs w:val="24"/>
        </w:rPr>
      </w:pPr>
      <w:r w:rsidRPr="00396A03">
        <w:rPr>
          <w:noProof/>
        </w:rPr>
        <w:tab/>
        <w:t>За Комисията</w:t>
      </w:r>
    </w:p>
    <w:p w:rsidR="00185C9B" w:rsidRPr="00396A03" w:rsidRDefault="00B638EF" w:rsidP="00185C9B">
      <w:pPr>
        <w:pStyle w:val="Personnequisigne"/>
        <w:rPr>
          <w:noProof/>
          <w:szCs w:val="24"/>
        </w:rPr>
      </w:pPr>
      <w:r>
        <w:rPr>
          <w:noProof/>
        </w:rPr>
        <w:tab/>
        <w:t>Председател</w:t>
      </w:r>
      <w:r>
        <w:rPr>
          <w:noProof/>
        </w:rPr>
        <w:br/>
      </w:r>
      <w:r>
        <w:rPr>
          <w:noProof/>
        </w:rPr>
        <w:tab/>
        <w:t>Ursula VON DER LEYEN</w:t>
      </w:r>
    </w:p>
    <w:sectPr w:rsidR="00185C9B" w:rsidRPr="00396A03" w:rsidSect="005E0740">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740" w:rsidRPr="005E0740" w:rsidRDefault="005E0740" w:rsidP="005E0740">
    <w:pPr>
      <w:pStyle w:val="Footer"/>
      <w:rPr>
        <w:rFonts w:ascii="Arial" w:hAnsi="Arial" w:cs="Arial"/>
        <w:b/>
        <w:sz w:val="48"/>
      </w:rPr>
    </w:pPr>
    <w:r w:rsidRPr="005E0740">
      <w:rPr>
        <w:rFonts w:ascii="Arial" w:hAnsi="Arial" w:cs="Arial"/>
        <w:b/>
        <w:sz w:val="48"/>
      </w:rPr>
      <w:t>BG</w:t>
    </w:r>
    <w:r w:rsidRPr="005E0740">
      <w:rPr>
        <w:rFonts w:ascii="Arial" w:hAnsi="Arial" w:cs="Arial"/>
        <w:b/>
        <w:sz w:val="48"/>
      </w:rPr>
      <w:tab/>
    </w:r>
    <w:r w:rsidRPr="005E0740">
      <w:rPr>
        <w:rFonts w:ascii="Arial" w:hAnsi="Arial" w:cs="Arial"/>
        <w:b/>
        <w:sz w:val="48"/>
      </w:rPr>
      <w:tab/>
    </w:r>
    <w:r w:rsidRPr="005E0740">
      <w:tab/>
    </w:r>
    <w:r w:rsidRPr="005E0740">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740" w:rsidRPr="005E0740" w:rsidRDefault="005E0740" w:rsidP="005E0740">
    <w:pPr>
      <w:pStyle w:val="Footer"/>
      <w:rPr>
        <w:rFonts w:ascii="Arial" w:hAnsi="Arial" w:cs="Arial"/>
        <w:b/>
        <w:sz w:val="48"/>
      </w:rPr>
    </w:pPr>
    <w:r w:rsidRPr="005E0740">
      <w:rPr>
        <w:rFonts w:ascii="Arial" w:hAnsi="Arial" w:cs="Arial"/>
        <w:b/>
        <w:sz w:val="48"/>
      </w:rPr>
      <w:t>BG</w:t>
    </w:r>
    <w:r w:rsidRPr="005E0740">
      <w:rPr>
        <w:rFonts w:ascii="Arial" w:hAnsi="Arial" w:cs="Arial"/>
        <w:b/>
        <w:sz w:val="48"/>
      </w:rPr>
      <w:tab/>
    </w:r>
    <w:r w:rsidRPr="005E0740">
      <w:rPr>
        <w:rFonts w:ascii="Arial" w:hAnsi="Arial" w:cs="Arial"/>
        <w:b/>
        <w:sz w:val="48"/>
      </w:rPr>
      <w:tab/>
    </w:r>
    <w:r w:rsidRPr="005E0740">
      <w:tab/>
    </w:r>
    <w:r w:rsidRPr="005E0740">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740" w:rsidRDefault="005E07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740" w:rsidRPr="005E0740" w:rsidRDefault="005E0740" w:rsidP="005E0740">
    <w:pPr>
      <w:pStyle w:val="Footer"/>
      <w:rPr>
        <w:rFonts w:ascii="Arial" w:hAnsi="Arial" w:cs="Arial"/>
        <w:b/>
        <w:sz w:val="48"/>
      </w:rPr>
    </w:pPr>
    <w:r w:rsidRPr="005E0740">
      <w:rPr>
        <w:rFonts w:ascii="Arial" w:hAnsi="Arial" w:cs="Arial"/>
        <w:b/>
        <w:sz w:val="48"/>
      </w:rPr>
      <w:t>BG</w:t>
    </w:r>
    <w:r w:rsidRPr="005E0740">
      <w:rPr>
        <w:rFonts w:ascii="Arial" w:hAnsi="Arial" w:cs="Arial"/>
        <w:b/>
        <w:sz w:val="48"/>
      </w:rPr>
      <w:tab/>
    </w:r>
    <w:r>
      <w:fldChar w:fldCharType="begin"/>
    </w:r>
    <w:r>
      <w:instrText xml:space="preserve"> PAGE  \* MERGEFORMAT </w:instrText>
    </w:r>
    <w:r>
      <w:fldChar w:fldCharType="separate"/>
    </w:r>
    <w:r w:rsidR="00401957">
      <w:rPr>
        <w:noProof/>
      </w:rPr>
      <w:t>21</w:t>
    </w:r>
    <w:r>
      <w:fldChar w:fldCharType="end"/>
    </w:r>
    <w:r>
      <w:tab/>
    </w:r>
    <w:r w:rsidRPr="005E0740">
      <w:tab/>
    </w:r>
    <w:r w:rsidRPr="005E0740">
      <w:rPr>
        <w:rFonts w:ascii="Arial" w:hAnsi="Arial" w:cs="Arial"/>
        <w:b/>
        <w:sz w:val="48"/>
      </w:rPr>
      <w:t>BG</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740" w:rsidRDefault="005E0740" w:rsidP="005E0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ОВ L 176, 27.6.2013 г., стр. 1., ELI: http://data.europa.eu/eli/reg/2013/575/oj.</w:t>
      </w:r>
    </w:p>
  </w:footnote>
  <w:footnote w:id="3">
    <w:p w:rsidR="00716EA9" w:rsidRPr="003B5B26" w:rsidRDefault="00716EA9" w:rsidP="00716EA9">
      <w:pPr>
        <w:pStyle w:val="FootnoteText"/>
      </w:pPr>
      <w:r>
        <w:rPr>
          <w:rStyle w:val="FootnoteReference"/>
        </w:rPr>
        <w:footnoteRef/>
      </w:r>
      <w:r>
        <w:tab/>
        <w:t>Регламент за изпълнение (ЕС) 2021/451 на Комисията от 17 декември 2020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(ОВ L 97, 19.3.2021 г., стр. 1, ELI: http://data.europa.eu/eli/reg_impl/2021/451/oj).</w:t>
      </w:r>
    </w:p>
  </w:footnote>
  <w:footnote w:id="4">
    <w:p w:rsidR="00716EA9" w:rsidRPr="00332EF3" w:rsidRDefault="00716EA9" w:rsidP="00716EA9">
      <w:pPr>
        <w:pStyle w:val="FootnoteText"/>
      </w:pPr>
      <w:r>
        <w:rPr>
          <w:rStyle w:val="FootnoteReference"/>
        </w:rPr>
        <w:footnoteRef/>
      </w:r>
      <w:r>
        <w:tab/>
        <w:t>Регламент (ЕС) 2024/1623 на Европейския парламент и на Съвета от 31 май 2024 г. за изменение на Регламент (ЕС) № 575/2013 по отношение на изискванията за кредитен риск, риск от корекция на кредитната оценка, операционен риск и пазарен риск, както и за долна граница на капиталовото изискване (ОВ L, 19.6.2024 г., ELI: </w:t>
      </w:r>
      <w:hyperlink r:id="rId1" w:tgtFrame="_blank" w:tooltip="Gives access to this document through its ELI URI."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(OВ L 331, 15.12.2010 г., стр. 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за изменение на Директива 2002/87/ЕО и за отмяна на директиви 2006/48/ЕО и 2006/49/ЕО (ОВ L 176, 27.6.2013 г., стр. 338, ELI: </w:t>
      </w:r>
      <w:hyperlink r:id="rId2" w:tooltip="Gives access to this document through its ELI URI."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Директива (ЕС) 2019/2034</w:t>
      </w:r>
      <w:bookmarkStart w:id="1" w:name="_Hlk172136107"/>
      <w:r>
        <w:rPr>
          <w:color w:val="333333"/>
          <w:shd w:val="clear" w:color="auto" w:fill="FFFFFF"/>
        </w:rPr>
        <w:t xml:space="preserve"> на Европейския парламент и на Съвета</w:t>
      </w:r>
      <w:bookmarkEnd w:id="1"/>
      <w:r>
        <w:rPr>
          <w:color w:val="333333"/>
          <w:shd w:val="clear" w:color="auto" w:fill="FFFFFF"/>
        </w:rPr>
        <w:t xml:space="preserve"> от 27 ноември 2019 година относно пруденциалния надзор върху инвестиционните посредници и за изменение на директиви 2002/87/ЕО, 2009/65/ЕО, 2011/61/ЕС, 2013/36/ЕС, 2014/59/ЕС и 2014/65/ЕС (ОВ L 314, 5.12.2019 г., стр. 64</w:t>
      </w:r>
      <w:r>
        <w:t xml:space="preserve">, </w:t>
      </w:r>
      <w:r>
        <w:rPr>
          <w:color w:val="333333"/>
          <w:shd w:val="clear" w:color="auto" w:fill="FFFFFF"/>
        </w:rPr>
        <w:t>ELI: </w:t>
      </w:r>
      <w:hyperlink r:id="rId3" w:tooltip="Gives access to this document through its ELI URI."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sidRPr="00C44142">
        <w:rPr>
          <w:rStyle w:val="FootnoteReference"/>
        </w:rPr>
        <w:footnoteRef/>
      </w:r>
      <w:r w:rsidR="00C44142">
        <w:tab/>
      </w:r>
      <w:r>
        <w:t>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пруденциална оценка съгласно член 105, параграф 14 (ОВ L 21, 28.1.2016 г., стр.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Регламент (ЕО) № 1606/2002 на Европейския парламент и на Съвета от 19 юли 2002 г. за прилагането на международните счетоводни стандарти (OB L 243, 11.9.2002 г., стр.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Директива 2009/65/ЕО на Европейския парламент и на Съвета от 13 юли 2009 година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(преработен текст) (ОВ L 302, 17.11.2009 г., стр. 32,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Регламент (ЕС) № 806/2014 на Европейския парламент и на Съвета от 15 юли 2014 г. за установяването на еднообразни правила и еднообразна процедура за преструктурирането на кредитни институции и някои инвестиционни посредници в рамките на Единния механизъм за преструктуриране и Единния фонд за преструктуриране и за изменение на Регламент (ЕС) № 1093/2010 (</w:t>
      </w:r>
      <w:r>
        <w:rPr>
          <w:rStyle w:val="Emphasis"/>
          <w:color w:val="333333"/>
          <w:shd w:val="clear" w:color="auto" w:fill="FFFFFF"/>
        </w:rPr>
        <w:t>ОВ L 225, 30.7.2014 г., стр. 1</w:t>
      </w:r>
      <w:r>
        <w:rPr>
          <w:color w:val="333333"/>
          <w:shd w:val="clear" w:color="auto" w:fill="FFFFFF"/>
        </w:rPr>
        <w:t>, 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740" w:rsidRDefault="005E0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740" w:rsidRDefault="005E0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0:1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4B95765-863A-40BB-86D6-F7F719451183"/>
    <w:docVar w:name="LW_COVERPAGE_TYPE" w:val="1"/>
    <w:docVar w:name="LW_CROSSREFERENCE" w:val="&lt;UNUSED&gt;"/>
    <w:docVar w:name="LW_DATE.ADOPT.CP" w:val="\u1086?\u1090? 29.11.2024 \u1075?\u1086?\u1076?\u1080?\u1085?\u1072?"/>
    <w:docVar w:name="LW_DATE.ADOPT.CP_DATEFORMAT" w:val="\u1086?\u1090? %DATE% \u1075?\u1086?\u1076?\u1080?\u1085?\u1072?"/>
    <w:docVar w:name="LW_DATE.ADOPT.CP_ISODATE" w:val="2024-11-29"/>
    <w:docVar w:name="LW_DocType" w:val="COM"/>
    <w:docVar w:name="LW_EMISSION" w:val="29.11.2024"/>
    <w:docVar w:name="LW_EMISSION_ISODATE" w:val="2024-11-29"/>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79?\u1072? \u1086?\u1087?\u1088?\u1077?\u1076?\u1077?\u1083?\u1103?\u1085?\u1077? \u1085?\u1072? \u1090?\u1077?\u1093?\u1085?\u1080?\u1095?\u1077?\u1089?\u1082?\u1080?\u1090?\u1077? \u1089?\u1090?\u1072?\u1085?\u1076?\u1072?\u1088?\u1090?\u1080? \u1079?\u1072? \u1080?\u1079?\u1087?\u1098?\u1083?\u1085?\u1077?\u1085?\u1080?\u1077? \u1079?\u1072? \u1087?\u1088?\u1080?\u1083?\u1072?\u1075?\u1072?\u1085?\u1077?\u1090?\u1086? \u1085?\u1072? \u1056?\u1077?\u1075?\u1083?\u1072?\u1084?\u1077?\u1085?\u1090? (\u1045?\u1057?) \u8470? 575/2013 \u1085?\u1072? \u1045?\u1074?\u1088?\u1086?\u1087?\u1077?\u1081?\u1089?\u1082?\u1080?\u1103? \u1087?\u1072?\u1088?\u1083?\u1072?\u1084?\u1077?\u1085?\u1090? \u1080? \u1085?\u1072? \u1057?\u1098?\u1074?\u1077?\u1090?\u1072? \u1087?\u1086? \u1086?\u1090?\u1085?\u1086?\u1096?\u1077?\u1085?\u1080?\u1077? \u1085?\u1072? \u1087?\u1088?\u1077?\u1076?\u1086?\u1089?\u1090?\u1072?\u1074?\u1103?\u1085?\u1077?\u1090?\u1086? \u1085?\u1072? \u1080?\u1085?\u1092?\u1086?\u1088?\u1084?\u1072?\u1094?\u1080?\u1103? \u1086?\u1090? \u1080?\u1085?\u1089?\u1090?\u1080?\u1090?\u1091?\u1094?\u1080?\u1080?\u1090?\u1077? \u1085?\u1072? \u1085?\u1072?\u1076?\u1079?\u1086?\u1088?\u1085?\u1080?\u1090?\u1077? \u1086?\u1088?\u1075?\u1072?\u1085?\u1080? \u1080? \u1079?\u1072? \u1086?\u1090?\u1084?\u1103?\u1085?\u1072? \u1085?\u1072? \u1056?\u1077?\u1075?\u1083?\u1072?\u1084?\u1077?\u1085?\u1090? \u1079?\u1072? \u1080?\u1079?\u1087?\u1098?\u1083?\u1085?\u1077?\u1085?\u1080?\u1077? (\u1045?\u1057?) 2021/451 \u1085?\u1072? \u1050?\u1086?\u1084?\u1080?\u1089?\u1080?\u1103?\u1090?\u1072?"/>
    <w:docVar w:name="LW_TYPE.DOC.CP" w:val="\u1056?\u1045?\u1043?\u1051?\u1040?\u1052?\u1045?\u1053?\u1058? \u1047?\u1040? \u1048?\u1047?\u1055?\u1066?\u1051?\u1053?\u1045?\u1053?\u1048?\u1045? (\u1045?\u1057?) .../\u8230? \u1053?\u1040? \u1050?\u1054?\u1052?\u1048?\u1057?\u1048?\u1071?\u1058?\u104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316C"/>
    <w:rsid w:val="000F4553"/>
    <w:rsid w:val="000F605E"/>
    <w:rsid w:val="001013A3"/>
    <w:rsid w:val="00103EBB"/>
    <w:rsid w:val="00104B3F"/>
    <w:rsid w:val="00107851"/>
    <w:rsid w:val="001138ED"/>
    <w:rsid w:val="001146F1"/>
    <w:rsid w:val="00114D77"/>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39D6"/>
    <w:rsid w:val="00254791"/>
    <w:rsid w:val="002553B0"/>
    <w:rsid w:val="00256265"/>
    <w:rsid w:val="0025706D"/>
    <w:rsid w:val="00260A30"/>
    <w:rsid w:val="002612F8"/>
    <w:rsid w:val="002622C6"/>
    <w:rsid w:val="002632D6"/>
    <w:rsid w:val="00266139"/>
    <w:rsid w:val="00270F1F"/>
    <w:rsid w:val="00274D6E"/>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043B"/>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03"/>
    <w:rsid w:val="00396ACD"/>
    <w:rsid w:val="00397F7B"/>
    <w:rsid w:val="003A0727"/>
    <w:rsid w:val="003A6B2D"/>
    <w:rsid w:val="003B423F"/>
    <w:rsid w:val="003B5FFE"/>
    <w:rsid w:val="003B7444"/>
    <w:rsid w:val="003D0F78"/>
    <w:rsid w:val="003D2BEA"/>
    <w:rsid w:val="003D338D"/>
    <w:rsid w:val="003D411A"/>
    <w:rsid w:val="003D5853"/>
    <w:rsid w:val="003D5F9A"/>
    <w:rsid w:val="003E4FF2"/>
    <w:rsid w:val="003E6001"/>
    <w:rsid w:val="003E7E9B"/>
    <w:rsid w:val="003F3A18"/>
    <w:rsid w:val="003F44DA"/>
    <w:rsid w:val="00401957"/>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104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0740"/>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2DF0"/>
    <w:rsid w:val="006937B3"/>
    <w:rsid w:val="00694B39"/>
    <w:rsid w:val="0069739B"/>
    <w:rsid w:val="006A234A"/>
    <w:rsid w:val="006A25A8"/>
    <w:rsid w:val="006A4410"/>
    <w:rsid w:val="006A58E0"/>
    <w:rsid w:val="006A61F4"/>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266D3"/>
    <w:rsid w:val="007312BD"/>
    <w:rsid w:val="0073232A"/>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C6533"/>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3065"/>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B78F2"/>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38E7"/>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2376"/>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E58CD"/>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5E33"/>
    <w:rsid w:val="00B46CF9"/>
    <w:rsid w:val="00B47406"/>
    <w:rsid w:val="00B55A25"/>
    <w:rsid w:val="00B62075"/>
    <w:rsid w:val="00B638EF"/>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4414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E6E6A"/>
    <w:rsid w:val="00CF184E"/>
    <w:rsid w:val="00CF366F"/>
    <w:rsid w:val="00CF432C"/>
    <w:rsid w:val="00CF5A9C"/>
    <w:rsid w:val="00D0700C"/>
    <w:rsid w:val="00D10EE2"/>
    <w:rsid w:val="00D11277"/>
    <w:rsid w:val="00D14967"/>
    <w:rsid w:val="00D26913"/>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1142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B59CF"/>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bg-BG"/>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bg-BG"/>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5E0740"/>
    <w:rPr>
      <w:rFonts w:ascii="Times New Roman" w:hAnsi="Times New Roman" w:cs="Times New Roman"/>
      <w:sz w:val="24"/>
      <w:lang w:val="bg-BG"/>
    </w:rPr>
  </w:style>
  <w:style w:type="character" w:customStyle="1" w:styleId="FooterChar">
    <w:name w:val="Footer Char"/>
    <w:basedOn w:val="DefaultParagraphFont"/>
    <w:link w:val="Footer"/>
    <w:uiPriority w:val="99"/>
    <w:rsid w:val="005E0740"/>
    <w:rPr>
      <w:rFonts w:ascii="Times New Roman" w:hAnsi="Times New Roman" w:cs="Times New Roman"/>
      <w:sz w:val="24"/>
      <w:lang w:val="bg-BG"/>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bg-BG"/>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bg-BG"/>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bg-BG"/>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bg-BG"/>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bg-BG"/>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bg-BG"/>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bg-BG"/>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E074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E0740"/>
    <w:pPr>
      <w:spacing w:before="0"/>
      <w:jc w:val="right"/>
    </w:pPr>
    <w:rPr>
      <w:sz w:val="28"/>
    </w:rPr>
  </w:style>
  <w:style w:type="paragraph" w:customStyle="1" w:styleId="FooterSensitivity">
    <w:name w:val="Footer Sensitivity"/>
    <w:basedOn w:val="Normal"/>
    <w:rsid w:val="005E074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5E0740"/>
    <w:pPr>
      <w:tabs>
        <w:tab w:val="center" w:pos="4535"/>
        <w:tab w:val="right" w:pos="9071"/>
      </w:tabs>
      <w:spacing w:before="0"/>
    </w:pPr>
  </w:style>
  <w:style w:type="paragraph" w:customStyle="1" w:styleId="HeaderLandscape">
    <w:name w:val="HeaderLandscape"/>
    <w:basedOn w:val="Normal"/>
    <w:rsid w:val="005E0740"/>
    <w:pPr>
      <w:tabs>
        <w:tab w:val="center" w:pos="7285"/>
        <w:tab w:val="right" w:pos="14003"/>
      </w:tabs>
      <w:spacing w:before="0"/>
    </w:pPr>
  </w:style>
  <w:style w:type="paragraph" w:styleId="Footer">
    <w:name w:val="footer"/>
    <w:basedOn w:val="Normal"/>
    <w:link w:val="FooterChar"/>
    <w:uiPriority w:val="99"/>
    <w:unhideWhenUsed/>
    <w:rsid w:val="005E0740"/>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E0740"/>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E109F5-EDEA-4AFC-859C-07FC0F2BB3F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45</TotalTime>
  <Pages>15</Pages>
  <Words>7575</Words>
  <Characters>43180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50654</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43</cp:revision>
  <dcterms:created xsi:type="dcterms:W3CDTF">2024-11-08T11:56:00Z</dcterms:created>
  <dcterms:modified xsi:type="dcterms:W3CDTF">2024-12-03T15:50:00Z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