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3320DB" w:rsidRDefault="00093033" w:rsidP="00093033">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D19E91D-7ADA-46AF-968F-A4B1F99AE81B" style="width:455.25pt;height:399pt">
            <v:imagedata r:id="rId11" o:title=""/>
          </v:shape>
        </w:pict>
      </w:r>
    </w:p>
    <w:p w:rsidR="00185C9B" w:rsidRPr="003320DB" w:rsidRDefault="00185C9B">
      <w:pPr>
        <w:rPr>
          <w:noProof/>
          <w:szCs w:val="24"/>
        </w:rPr>
        <w:sectPr w:rsidR="00185C9B" w:rsidRPr="003320DB" w:rsidSect="00093033">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3320DB" w:rsidRDefault="003320DB" w:rsidP="003320DB">
      <w:pPr>
        <w:pStyle w:val="Typedudocument"/>
        <w:rPr>
          <w:noProof/>
        </w:rPr>
      </w:pPr>
      <w:bookmarkStart w:id="0" w:name="_GoBack"/>
      <w:bookmarkEnd w:id="0"/>
      <w:r w:rsidRPr="003320DB">
        <w:rPr>
          <w:noProof/>
        </w:rPr>
        <w:lastRenderedPageBreak/>
        <w:t>VYKONÁVACIE NARIADENIE KOMISIE (EÚ) …/...</w:t>
      </w:r>
    </w:p>
    <w:p w:rsidR="00185C9B" w:rsidRPr="003320DB" w:rsidRDefault="00A61D35" w:rsidP="003320DB">
      <w:pPr>
        <w:pStyle w:val="Datedadoption"/>
        <w:rPr>
          <w:noProof/>
        </w:rPr>
      </w:pPr>
      <w:r>
        <w:rPr>
          <w:noProof/>
        </w:rPr>
        <w:t>z 29. 11. 2024,</w:t>
      </w:r>
    </w:p>
    <w:p w:rsidR="00185C9B" w:rsidRPr="003320DB" w:rsidRDefault="003320DB" w:rsidP="003320DB">
      <w:pPr>
        <w:pStyle w:val="Titreobjet"/>
        <w:rPr>
          <w:noProof/>
        </w:rPr>
      </w:pPr>
      <w:r w:rsidRPr="003320DB">
        <w:rPr>
          <w:noProof/>
        </w:rPr>
        <w:t>ktorým sa stanovujú vykonávacie technické predpisy na uplatňovanie nariadenia Európskeho parlamentu a Rady (EÚ) č. 575/2013, pokiaľ ide o vykazovanie inštitúciami na účely dohľadu, a ktorým sa zrušuje vykonávacie nariadenie Komisie (EÚ) 2021/451</w:t>
      </w:r>
    </w:p>
    <w:p w:rsidR="00185C9B" w:rsidRPr="003320DB" w:rsidRDefault="003320DB" w:rsidP="003320DB">
      <w:pPr>
        <w:pStyle w:val="IntrtEEE"/>
        <w:rPr>
          <w:noProof/>
        </w:rPr>
      </w:pPr>
      <w:r w:rsidRPr="003320DB">
        <w:rPr>
          <w:noProof/>
        </w:rPr>
        <w:t>(Text s významom pre EHP)</w:t>
      </w:r>
    </w:p>
    <w:p w:rsidR="00185C9B" w:rsidRPr="003320DB" w:rsidRDefault="00185C9B" w:rsidP="004E1EF9">
      <w:pPr>
        <w:pStyle w:val="Institutionquiagit"/>
        <w:rPr>
          <w:noProof/>
          <w:szCs w:val="24"/>
        </w:rPr>
      </w:pPr>
      <w:r w:rsidRPr="003320DB">
        <w:rPr>
          <w:noProof/>
        </w:rPr>
        <w:t>EURÓPSKA KOMISIA,</w:t>
      </w:r>
    </w:p>
    <w:p w:rsidR="00185C9B" w:rsidRPr="003320DB" w:rsidRDefault="00185C9B" w:rsidP="004E1EF9">
      <w:pPr>
        <w:rPr>
          <w:noProof/>
          <w:szCs w:val="24"/>
        </w:rPr>
      </w:pPr>
      <w:r w:rsidRPr="003320DB">
        <w:rPr>
          <w:noProof/>
        </w:rPr>
        <w:t>so zreteľom na Zmluvu</w:t>
      </w:r>
      <w:r w:rsidR="003320DB">
        <w:rPr>
          <w:noProof/>
        </w:rPr>
        <w:t xml:space="preserve"> o </w:t>
      </w:r>
      <w:r w:rsidRPr="003320DB">
        <w:rPr>
          <w:noProof/>
        </w:rPr>
        <w:t>fungovaní Európskej únie,</w:t>
      </w:r>
    </w:p>
    <w:p w:rsidR="00716EA9" w:rsidRPr="003320DB" w:rsidRDefault="00716EA9" w:rsidP="00716EA9">
      <w:pPr>
        <w:rPr>
          <w:noProof/>
          <w:szCs w:val="24"/>
        </w:rPr>
      </w:pPr>
      <w:r w:rsidRPr="003320DB">
        <w:rPr>
          <w:noProof/>
        </w:rPr>
        <w:t>so zreteľom na nariadenie Európskeho parlamentu</w:t>
      </w:r>
      <w:r w:rsidR="003320DB">
        <w:rPr>
          <w:noProof/>
        </w:rPr>
        <w:t xml:space="preserve"> a </w:t>
      </w:r>
      <w:r w:rsidRPr="003320DB">
        <w:rPr>
          <w:noProof/>
        </w:rPr>
        <w:t xml:space="preserve">Rady (EÚ) </w:t>
      </w:r>
      <w:r w:rsidR="003320DB">
        <w:rPr>
          <w:noProof/>
        </w:rPr>
        <w:t>č. </w:t>
      </w:r>
      <w:r w:rsidRPr="003320DB">
        <w:rPr>
          <w:noProof/>
        </w:rPr>
        <w:t>575/2013</w:t>
      </w:r>
      <w:r w:rsidR="003320DB">
        <w:rPr>
          <w:noProof/>
        </w:rPr>
        <w:t xml:space="preserve"> z </w:t>
      </w:r>
      <w:r w:rsidRPr="003320DB">
        <w:rPr>
          <w:noProof/>
        </w:rPr>
        <w:t>26</w:t>
      </w:r>
      <w:r w:rsidR="003320DB">
        <w:rPr>
          <w:noProof/>
        </w:rPr>
        <w:t>. júna</w:t>
      </w:r>
      <w:r w:rsidRPr="003320DB">
        <w:rPr>
          <w:noProof/>
        </w:rPr>
        <w:t xml:space="preserve"> 2013</w:t>
      </w:r>
      <w:r w:rsidR="003320DB">
        <w:rPr>
          <w:noProof/>
        </w:rPr>
        <w:t xml:space="preserve"> o </w:t>
      </w:r>
      <w:r w:rsidRPr="003320DB">
        <w:rPr>
          <w:noProof/>
        </w:rPr>
        <w:t>prudenciálnych požiadavkách na úverové inštitúcie</w:t>
      </w:r>
      <w:r w:rsidR="003320DB">
        <w:rPr>
          <w:noProof/>
        </w:rPr>
        <w:t xml:space="preserve"> a o </w:t>
      </w:r>
      <w:r w:rsidRPr="003320DB">
        <w:rPr>
          <w:noProof/>
        </w:rPr>
        <w:t xml:space="preserve">zmene nariadenia (EÚ) </w:t>
      </w:r>
      <w:r w:rsidR="003320DB">
        <w:rPr>
          <w:noProof/>
        </w:rPr>
        <w:t>č. </w:t>
      </w:r>
      <w:r w:rsidRPr="003320DB">
        <w:rPr>
          <w:noProof/>
        </w:rPr>
        <w:t>648/2012</w:t>
      </w:r>
      <w:r w:rsidRPr="003320DB">
        <w:rPr>
          <w:rStyle w:val="FootnoteReference"/>
          <w:noProof/>
          <w:szCs w:val="24"/>
        </w:rPr>
        <w:footnoteReference w:id="2"/>
      </w:r>
      <w:r w:rsidRPr="003320DB">
        <w:rPr>
          <w:noProof/>
        </w:rPr>
        <w:t>,</w:t>
      </w:r>
      <w:r w:rsidR="003320DB">
        <w:rPr>
          <w:noProof/>
        </w:rPr>
        <w:t xml:space="preserve"> a </w:t>
      </w:r>
      <w:r w:rsidRPr="003320DB">
        <w:rPr>
          <w:noProof/>
        </w:rPr>
        <w:t>najmä na jeho článok 415 ods. 3 tretí pododsek, článok 415 ods. 3a tretí pododsek, článok 430 ods. 7 tretí pododsek</w:t>
      </w:r>
      <w:r w:rsidR="003320DB">
        <w:rPr>
          <w:noProof/>
        </w:rPr>
        <w:t xml:space="preserve"> a </w:t>
      </w:r>
      <w:r w:rsidRPr="003320DB">
        <w:rPr>
          <w:noProof/>
        </w:rPr>
        <w:t>článok 430 ods. 9 piaty pododsek,</w:t>
      </w:r>
    </w:p>
    <w:p w:rsidR="00716EA9" w:rsidRPr="003320DB" w:rsidRDefault="00716EA9" w:rsidP="00716EA9">
      <w:pPr>
        <w:rPr>
          <w:noProof/>
          <w:szCs w:val="24"/>
        </w:rPr>
      </w:pPr>
      <w:r w:rsidRPr="003320DB">
        <w:rPr>
          <w:noProof/>
        </w:rPr>
        <w:t>keďže:</w:t>
      </w:r>
    </w:p>
    <w:p w:rsidR="00716EA9" w:rsidRPr="003320DB" w:rsidRDefault="00612F20" w:rsidP="00612F20">
      <w:pPr>
        <w:pStyle w:val="ManualConsidrant"/>
        <w:rPr>
          <w:noProof/>
          <w:szCs w:val="24"/>
        </w:rPr>
      </w:pPr>
      <w:r w:rsidRPr="00612F20">
        <w:rPr>
          <w:noProof/>
        </w:rPr>
        <w:t>(1)</w:t>
      </w:r>
      <w:r w:rsidRPr="00612F20">
        <w:rPr>
          <w:noProof/>
        </w:rPr>
        <w:tab/>
      </w:r>
      <w:r w:rsidR="00716EA9" w:rsidRPr="003320DB">
        <w:rPr>
          <w:noProof/>
        </w:rPr>
        <w:t>Vykonávacím nariadením Komisie (EÚ) 2021/451</w:t>
      </w:r>
      <w:r w:rsidR="00716EA9" w:rsidRPr="003320DB">
        <w:rPr>
          <w:rStyle w:val="FootnoteReference"/>
          <w:noProof/>
          <w:szCs w:val="24"/>
        </w:rPr>
        <w:footnoteReference w:id="3"/>
      </w:r>
      <w:r w:rsidR="00716EA9" w:rsidRPr="003320DB">
        <w:rPr>
          <w:noProof/>
        </w:rPr>
        <w:t xml:space="preserve"> sa na základe článkov 415</w:t>
      </w:r>
      <w:r w:rsidR="003320DB">
        <w:rPr>
          <w:noProof/>
        </w:rPr>
        <w:t xml:space="preserve"> a </w:t>
      </w:r>
      <w:r w:rsidR="00716EA9" w:rsidRPr="003320DB">
        <w:rPr>
          <w:noProof/>
        </w:rPr>
        <w:t xml:space="preserve">430 nariadenia (EÚ) </w:t>
      </w:r>
      <w:r w:rsidR="003320DB">
        <w:rPr>
          <w:noProof/>
        </w:rPr>
        <w:t>č. </w:t>
      </w:r>
      <w:r w:rsidR="00716EA9" w:rsidRPr="003320DB">
        <w:rPr>
          <w:noProof/>
        </w:rPr>
        <w:t>575/2013 stanovuje ucelený rámec vykazovania vrátane požiadaviek týkajúcich sa poskytovania informácií</w:t>
      </w:r>
      <w:r w:rsidR="003320DB">
        <w:rPr>
          <w:noProof/>
        </w:rPr>
        <w:t xml:space="preserve"> o </w:t>
      </w:r>
      <w:r w:rsidR="00716EA9" w:rsidRPr="003320DB">
        <w:rPr>
          <w:noProof/>
        </w:rPr>
        <w:t>vlastných zdrojoch</w:t>
      </w:r>
      <w:r w:rsidR="003320DB">
        <w:rPr>
          <w:noProof/>
        </w:rPr>
        <w:t xml:space="preserve"> a </w:t>
      </w:r>
      <w:r w:rsidR="00716EA9" w:rsidRPr="003320DB">
        <w:rPr>
          <w:noProof/>
        </w:rPr>
        <w:t>požiadavkách na vlastné zdroje, finančných informácií, ktoré sa musia poskytovať</w:t>
      </w:r>
      <w:r w:rsidR="003320DB">
        <w:rPr>
          <w:noProof/>
        </w:rPr>
        <w:t xml:space="preserve"> v </w:t>
      </w:r>
      <w:r w:rsidR="00716EA9" w:rsidRPr="003320DB">
        <w:rPr>
          <w:noProof/>
        </w:rPr>
        <w:t>súlade</w:t>
      </w:r>
      <w:r w:rsidR="003320DB">
        <w:rPr>
          <w:noProof/>
        </w:rPr>
        <w:t xml:space="preserve"> s </w:t>
      </w:r>
      <w:r w:rsidR="00716EA9" w:rsidRPr="003320DB">
        <w:rPr>
          <w:noProof/>
        </w:rPr>
        <w:t>medzinárodnými štandardmi finančného výkazníctva (IFRS)</w:t>
      </w:r>
      <w:r w:rsidR="003320DB">
        <w:rPr>
          <w:noProof/>
        </w:rPr>
        <w:t xml:space="preserve"> a </w:t>
      </w:r>
      <w:r w:rsidR="00716EA9" w:rsidRPr="003320DB">
        <w:rPr>
          <w:noProof/>
        </w:rPr>
        <w:t>všeobecne uznávanými účtovnými zásadami (GAAP), informácií</w:t>
      </w:r>
      <w:r w:rsidR="003320DB">
        <w:rPr>
          <w:noProof/>
        </w:rPr>
        <w:t xml:space="preserve"> o </w:t>
      </w:r>
      <w:r w:rsidR="00716EA9" w:rsidRPr="003320DB">
        <w:rPr>
          <w:noProof/>
        </w:rPr>
        <w:t>stratách pochádzajúcich</w:t>
      </w:r>
      <w:r w:rsidR="003320DB">
        <w:rPr>
          <w:noProof/>
        </w:rPr>
        <w:t xml:space="preserve"> z </w:t>
      </w:r>
      <w:r w:rsidR="00716EA9" w:rsidRPr="003320DB">
        <w:rPr>
          <w:noProof/>
        </w:rPr>
        <w:t>úverov zabezpečených kolaterálom vo forme nehnuteľného majetku, veľkej majetkovej angažovanosti, ukazovateli finančnej páky, stabilnom financovaní, dodatočných ukazovateľoch na sledovanie likvidity</w:t>
      </w:r>
      <w:r w:rsidR="003320DB">
        <w:rPr>
          <w:noProof/>
        </w:rPr>
        <w:t xml:space="preserve"> a o </w:t>
      </w:r>
      <w:r w:rsidR="00716EA9" w:rsidRPr="003320DB">
        <w:rPr>
          <w:noProof/>
        </w:rPr>
        <w:t>zaťaženosti aktív, ako aj informácie na identifikáciu globálnych systémovo významných inštitúcií (G-SII)</w:t>
      </w:r>
      <w:r w:rsidR="003320DB">
        <w:rPr>
          <w:noProof/>
        </w:rPr>
        <w:t xml:space="preserve"> a </w:t>
      </w:r>
      <w:r w:rsidR="00716EA9" w:rsidRPr="003320DB">
        <w:rPr>
          <w:noProof/>
        </w:rPr>
        <w:t>priraďovanie mier vankúša pre G-SII či informácie</w:t>
      </w:r>
      <w:r w:rsidR="003320DB">
        <w:rPr>
          <w:noProof/>
        </w:rPr>
        <w:t xml:space="preserve"> o </w:t>
      </w:r>
      <w:r w:rsidR="00716EA9" w:rsidRPr="003320DB">
        <w:rPr>
          <w:noProof/>
        </w:rPr>
        <w:t>úrokovom riziku</w:t>
      </w:r>
      <w:r w:rsidR="003320DB">
        <w:rPr>
          <w:noProof/>
        </w:rPr>
        <w:t xml:space="preserve"> v </w:t>
      </w:r>
      <w:r w:rsidR="00716EA9" w:rsidRPr="003320DB">
        <w:rPr>
          <w:noProof/>
        </w:rPr>
        <w:t>bankovej knihe. Vykonávacie nariadenie (EÚ) 2021/451 bolo niekoľkokrát zmenené</w:t>
      </w:r>
      <w:r w:rsidR="003320DB">
        <w:rPr>
          <w:noProof/>
        </w:rPr>
        <w:t xml:space="preserve"> v </w:t>
      </w:r>
      <w:r w:rsidR="00716EA9" w:rsidRPr="003320DB">
        <w:rPr>
          <w:noProof/>
        </w:rPr>
        <w:t xml:space="preserve">nadväznosti na zmeny nariadenia (EÚ) </w:t>
      </w:r>
      <w:r w:rsidR="003320DB">
        <w:rPr>
          <w:noProof/>
        </w:rPr>
        <w:t>č. </w:t>
      </w:r>
      <w:r w:rsidR="00716EA9" w:rsidRPr="003320DB">
        <w:rPr>
          <w:noProof/>
        </w:rPr>
        <w:t>575/2013, ktoré boli prijaté</w:t>
      </w:r>
      <w:r w:rsidR="003320DB">
        <w:rPr>
          <w:noProof/>
        </w:rPr>
        <w:t xml:space="preserve"> s </w:t>
      </w:r>
      <w:r w:rsidR="00716EA9" w:rsidRPr="003320DB">
        <w:rPr>
          <w:noProof/>
        </w:rPr>
        <w:t>cieľom zaviesť, ďalej rozvíjať alebo upravovať prudenciálne prvky.</w:t>
      </w:r>
    </w:p>
    <w:p w:rsidR="00716EA9" w:rsidRPr="003320DB" w:rsidRDefault="00612F20" w:rsidP="00612F20">
      <w:pPr>
        <w:pStyle w:val="ManualConsidrant"/>
        <w:rPr>
          <w:noProof/>
          <w:szCs w:val="24"/>
        </w:rPr>
      </w:pPr>
      <w:r w:rsidRPr="00612F20">
        <w:rPr>
          <w:noProof/>
        </w:rPr>
        <w:t>(2)</w:t>
      </w:r>
      <w:r w:rsidRPr="00612F20">
        <w:rPr>
          <w:noProof/>
        </w:rPr>
        <w:tab/>
      </w:r>
      <w:r w:rsidR="00716EA9" w:rsidRPr="003320DB">
        <w:rPr>
          <w:noProof/>
        </w:rPr>
        <w:t xml:space="preserve">Nariadenie (EÚ) </w:t>
      </w:r>
      <w:r w:rsidR="003320DB">
        <w:rPr>
          <w:noProof/>
        </w:rPr>
        <w:t>č. </w:t>
      </w:r>
      <w:r w:rsidR="00716EA9" w:rsidRPr="003320DB">
        <w:rPr>
          <w:noProof/>
        </w:rPr>
        <w:t>575/2013 bolo zmenené nariadením Európskeho parlamentu</w:t>
      </w:r>
      <w:r w:rsidR="003320DB">
        <w:rPr>
          <w:noProof/>
        </w:rPr>
        <w:t xml:space="preserve"> a </w:t>
      </w:r>
      <w:r w:rsidR="00716EA9" w:rsidRPr="003320DB">
        <w:rPr>
          <w:noProof/>
        </w:rPr>
        <w:t>Rady (EÚ) 2024/1623</w:t>
      </w:r>
      <w:r w:rsidR="00716EA9" w:rsidRPr="003320DB">
        <w:rPr>
          <w:rStyle w:val="FootnoteReference"/>
          <w:noProof/>
          <w:szCs w:val="24"/>
        </w:rPr>
        <w:footnoteReference w:id="4"/>
      </w:r>
      <w:r w:rsidR="003320DB">
        <w:rPr>
          <w:noProof/>
        </w:rPr>
        <w:t xml:space="preserve"> s </w:t>
      </w:r>
      <w:r w:rsidR="00716EA9" w:rsidRPr="003320DB">
        <w:rPr>
          <w:noProof/>
        </w:rPr>
        <w:t>cieľom implementovať konečný súbor medzinárodných noriem Bazilejského výboru pre bankový dohľad (Bazilej III). Uvedené zmeny by sa mali zohľadniť</w:t>
      </w:r>
      <w:r w:rsidR="003320DB">
        <w:rPr>
          <w:noProof/>
        </w:rPr>
        <w:t xml:space="preserve"> v </w:t>
      </w:r>
      <w:r w:rsidR="00716EA9" w:rsidRPr="003320DB">
        <w:rPr>
          <w:noProof/>
        </w:rPr>
        <w:t>rámci vykazovania, ktorý je</w:t>
      </w:r>
      <w:r w:rsidR="003320DB">
        <w:rPr>
          <w:noProof/>
        </w:rPr>
        <w:t xml:space="preserve"> v </w:t>
      </w:r>
      <w:r w:rsidR="00716EA9" w:rsidRPr="003320DB">
        <w:rPr>
          <w:noProof/>
        </w:rPr>
        <w:t>súčasnosti stanovený vo vykonávacom nariadení (EÚ) 2021/451.</w:t>
      </w:r>
    </w:p>
    <w:p w:rsidR="00F470F0" w:rsidRPr="003320DB" w:rsidRDefault="00612F20" w:rsidP="00612F20">
      <w:pPr>
        <w:pStyle w:val="ManualConsidrant"/>
        <w:rPr>
          <w:noProof/>
          <w:szCs w:val="24"/>
        </w:rPr>
      </w:pPr>
      <w:r w:rsidRPr="00612F20">
        <w:rPr>
          <w:noProof/>
        </w:rPr>
        <w:t>(3)</w:t>
      </w:r>
      <w:r w:rsidRPr="00612F20">
        <w:rPr>
          <w:noProof/>
        </w:rPr>
        <w:tab/>
      </w:r>
      <w:r w:rsidR="00716EA9" w:rsidRPr="003320DB">
        <w:rPr>
          <w:noProof/>
        </w:rPr>
        <w:t xml:space="preserve">Vzhľadom na zmeny nariadenia (EÚ) </w:t>
      </w:r>
      <w:r w:rsidR="003320DB">
        <w:rPr>
          <w:noProof/>
        </w:rPr>
        <w:t>č. </w:t>
      </w:r>
      <w:r w:rsidR="00716EA9" w:rsidRPr="003320DB">
        <w:rPr>
          <w:noProof/>
        </w:rPr>
        <w:t>575/2013 treba zrevidovať požiadavky na vykazovanie vlastných zdrojov</w:t>
      </w:r>
      <w:r w:rsidR="003320DB">
        <w:rPr>
          <w:noProof/>
        </w:rPr>
        <w:t xml:space="preserve"> a </w:t>
      </w:r>
      <w:r w:rsidR="00716EA9" w:rsidRPr="003320DB">
        <w:rPr>
          <w:noProof/>
        </w:rPr>
        <w:t>požiadavky na vlastné zdroje (spodná hranica pre výstupné hodnoty, kreditné riziko</w:t>
      </w:r>
      <w:r w:rsidR="003320DB">
        <w:rPr>
          <w:noProof/>
        </w:rPr>
        <w:t xml:space="preserve"> a </w:t>
      </w:r>
      <w:r w:rsidR="00716EA9" w:rsidRPr="003320DB">
        <w:rPr>
          <w:noProof/>
        </w:rPr>
        <w:t>kreditné riziko protistrany, úpravy ocenenia pohľadávok, trhové riziko, operačné riziko, krytie strát problémových expozícií, ako aj kryptoaktíva), požiadavky na vykazovanie informácií</w:t>
      </w:r>
      <w:r w:rsidR="003320DB">
        <w:rPr>
          <w:noProof/>
        </w:rPr>
        <w:t xml:space="preserve"> o </w:t>
      </w:r>
      <w:r w:rsidR="00716EA9" w:rsidRPr="003320DB">
        <w:rPr>
          <w:noProof/>
        </w:rPr>
        <w:t>stratách pochádzajúcich</w:t>
      </w:r>
      <w:r w:rsidR="003320DB">
        <w:rPr>
          <w:noProof/>
        </w:rPr>
        <w:t xml:space="preserve"> z </w:t>
      </w:r>
      <w:r w:rsidR="00716EA9" w:rsidRPr="003320DB">
        <w:rPr>
          <w:noProof/>
        </w:rPr>
        <w:t>úverov zabezpečených kolaterálom vo forme nehnuteľného majetku, ako aj na vykazovanie informácií</w:t>
      </w:r>
      <w:r w:rsidR="003320DB">
        <w:rPr>
          <w:noProof/>
        </w:rPr>
        <w:t xml:space="preserve"> o </w:t>
      </w:r>
      <w:r w:rsidR="00716EA9" w:rsidRPr="003320DB">
        <w:rPr>
          <w:noProof/>
        </w:rPr>
        <w:t>ukazovateli finančnej páky.</w:t>
      </w:r>
    </w:p>
    <w:p w:rsidR="00716EA9" w:rsidRPr="003320DB" w:rsidRDefault="00612F20" w:rsidP="00612F20">
      <w:pPr>
        <w:pStyle w:val="ManualConsidrant"/>
        <w:rPr>
          <w:noProof/>
          <w:szCs w:val="24"/>
        </w:rPr>
      </w:pPr>
      <w:r w:rsidRPr="00612F20">
        <w:rPr>
          <w:noProof/>
        </w:rPr>
        <w:t>(4)</w:t>
      </w:r>
      <w:r w:rsidRPr="00612F20">
        <w:rPr>
          <w:noProof/>
        </w:rPr>
        <w:tab/>
      </w:r>
      <w:r w:rsidR="00375AD2" w:rsidRPr="003320DB">
        <w:rPr>
          <w:noProof/>
        </w:rPr>
        <w:t>Vzhľadom na veľký počet zmien, ktoré sú potrebné na nadobudnutie účinnosti nových pravidiel týkajúcich sa povinností vykazovania, je vhodnejšie zrušiť</w:t>
      </w:r>
      <w:r w:rsidR="003320DB">
        <w:rPr>
          <w:noProof/>
        </w:rPr>
        <w:t xml:space="preserve"> a </w:t>
      </w:r>
      <w:r w:rsidR="00375AD2" w:rsidRPr="003320DB">
        <w:rPr>
          <w:noProof/>
        </w:rPr>
        <w:t>nahradiť vykonávacie nariadenie (EÚ) 2021/451, než len zmeniť uvedené vykonávacie nariadenie, keďže takáto zmena by pre dotknuté hospodárske subjekty znamenala, že by bolo mimoriadne namáhavé zistiť, ktoré požiadavky na podávanie správ sa na ne vzťahujú.</w:t>
      </w:r>
    </w:p>
    <w:p w:rsidR="00716EA9" w:rsidRPr="003320DB" w:rsidRDefault="00612F20" w:rsidP="00612F20">
      <w:pPr>
        <w:pStyle w:val="ManualConsidrant"/>
        <w:rPr>
          <w:noProof/>
          <w:szCs w:val="24"/>
        </w:rPr>
      </w:pPr>
      <w:r w:rsidRPr="00612F20">
        <w:rPr>
          <w:noProof/>
        </w:rPr>
        <w:t>(5)</w:t>
      </w:r>
      <w:r w:rsidRPr="00612F20">
        <w:rPr>
          <w:noProof/>
        </w:rPr>
        <w:tab/>
      </w:r>
      <w:r w:rsidR="00D311FE" w:rsidRPr="003320DB">
        <w:rPr>
          <w:noProof/>
        </w:rPr>
        <w:t>V nových vzoroch pre kapitálovú primeranosť by sa malo stanoviť vykazovanie informácií</w:t>
      </w:r>
      <w:r w:rsidR="003320DB">
        <w:rPr>
          <w:noProof/>
        </w:rPr>
        <w:t xml:space="preserve"> o </w:t>
      </w:r>
      <w:r w:rsidR="00D311FE" w:rsidRPr="003320DB">
        <w:rPr>
          <w:noProof/>
        </w:rPr>
        <w:t>spodnej hranici pre výstupné hodnoty</w:t>
      </w:r>
      <w:r w:rsidR="003320DB">
        <w:rPr>
          <w:noProof/>
        </w:rPr>
        <w:t xml:space="preserve"> v </w:t>
      </w:r>
      <w:r w:rsidR="00D311FE" w:rsidRPr="003320DB">
        <w:rPr>
          <w:noProof/>
        </w:rPr>
        <w:t>požiadavkách na vlastné zdroje</w:t>
      </w:r>
      <w:r w:rsidR="003320DB">
        <w:rPr>
          <w:noProof/>
        </w:rPr>
        <w:t xml:space="preserve"> a </w:t>
      </w:r>
      <w:r w:rsidR="00D311FE" w:rsidRPr="003320DB">
        <w:rPr>
          <w:noProof/>
        </w:rPr>
        <w:t>podieloch kapitálu,</w:t>
      </w:r>
      <w:r w:rsidR="003320DB">
        <w:rPr>
          <w:noProof/>
        </w:rPr>
        <w:t xml:space="preserve"> a </w:t>
      </w:r>
      <w:r w:rsidR="00D311FE" w:rsidRPr="003320DB">
        <w:rPr>
          <w:noProof/>
        </w:rPr>
        <w:t>najmä vykazovanie informácií</w:t>
      </w:r>
      <w:r w:rsidR="003320DB">
        <w:rPr>
          <w:noProof/>
        </w:rPr>
        <w:t xml:space="preserve"> o </w:t>
      </w:r>
      <w:r w:rsidR="00D311FE" w:rsidRPr="003320DB">
        <w:rPr>
          <w:noProof/>
        </w:rPr>
        <w:t>vplyve prechodných ustanovení pre spodnú hranicu pre výstupné hodnoty stanovených</w:t>
      </w:r>
      <w:r w:rsidR="003320DB">
        <w:rPr>
          <w:noProof/>
        </w:rPr>
        <w:t xml:space="preserve"> v </w:t>
      </w:r>
      <w:r w:rsidR="00D311FE" w:rsidRPr="003320DB">
        <w:rPr>
          <w:noProof/>
        </w:rPr>
        <w:t xml:space="preserve">článku 465 nariadenia (EÚ) </w:t>
      </w:r>
      <w:r w:rsidR="003320DB">
        <w:rPr>
          <w:noProof/>
        </w:rPr>
        <w:t>č. </w:t>
      </w:r>
      <w:r w:rsidR="00D311FE" w:rsidRPr="003320DB">
        <w:rPr>
          <w:noProof/>
        </w:rPr>
        <w:t>575/2013 Údaje</w:t>
      </w:r>
      <w:r w:rsidR="003320DB">
        <w:rPr>
          <w:noProof/>
        </w:rPr>
        <w:t xml:space="preserve"> o </w:t>
      </w:r>
      <w:r w:rsidR="00D311FE" w:rsidRPr="003320DB">
        <w:rPr>
          <w:noProof/>
        </w:rPr>
        <w:t>vykazovaní by mali byť základom pre vykazovanie informácií</w:t>
      </w:r>
      <w:r w:rsidR="003320DB">
        <w:rPr>
          <w:noProof/>
        </w:rPr>
        <w:t xml:space="preserve"> o </w:t>
      </w:r>
      <w:r w:rsidR="00D311FE" w:rsidRPr="003320DB">
        <w:rPr>
          <w:noProof/>
        </w:rPr>
        <w:t>vplyve spodnej hranice pre výstupné hodnoty</w:t>
      </w:r>
      <w:r w:rsidR="003320DB">
        <w:rPr>
          <w:noProof/>
        </w:rPr>
        <w:t xml:space="preserve"> a </w:t>
      </w:r>
      <w:r w:rsidR="00D311FE" w:rsidRPr="003320DB">
        <w:rPr>
          <w:noProof/>
        </w:rPr>
        <w:t>prechodných ustanovení stanovených</w:t>
      </w:r>
      <w:r w:rsidR="003320DB">
        <w:rPr>
          <w:noProof/>
        </w:rPr>
        <w:t xml:space="preserve"> v </w:t>
      </w:r>
      <w:r w:rsidR="00D311FE" w:rsidRPr="003320DB">
        <w:rPr>
          <w:noProof/>
        </w:rPr>
        <w:t xml:space="preserve">článku 465 nariadenia (EÚ) </w:t>
      </w:r>
      <w:r w:rsidR="003320DB">
        <w:rPr>
          <w:noProof/>
        </w:rPr>
        <w:t>č. </w:t>
      </w:r>
      <w:r w:rsidR="00D311FE" w:rsidRPr="003320DB">
        <w:rPr>
          <w:noProof/>
        </w:rPr>
        <w:t>575/2013. Vzory pre skupinovú solventnosť by mali obsahovať nový stĺpec na vykazovanie informácií</w:t>
      </w:r>
      <w:r w:rsidR="003320DB">
        <w:rPr>
          <w:noProof/>
        </w:rPr>
        <w:t xml:space="preserve"> o </w:t>
      </w:r>
      <w:r w:rsidR="00D311FE" w:rsidRPr="003320DB">
        <w:rPr>
          <w:noProof/>
        </w:rPr>
        <w:t>úprave spodnej hranice pre subjekty, na ktoré sa vzťahujú požiadavky na vlastné zdroje.</w:t>
      </w:r>
    </w:p>
    <w:p w:rsidR="00716EA9" w:rsidRPr="003320DB" w:rsidRDefault="00612F20" w:rsidP="00612F20">
      <w:pPr>
        <w:pStyle w:val="ManualConsidrant"/>
        <w:rPr>
          <w:noProof/>
          <w:szCs w:val="24"/>
        </w:rPr>
      </w:pPr>
      <w:r w:rsidRPr="00612F20">
        <w:rPr>
          <w:noProof/>
        </w:rPr>
        <w:t>(6)</w:t>
      </w:r>
      <w:r w:rsidRPr="00612F20">
        <w:rPr>
          <w:noProof/>
        </w:rPr>
        <w:tab/>
      </w:r>
      <w:r w:rsidR="00716EA9" w:rsidRPr="003320DB">
        <w:rPr>
          <w:noProof/>
        </w:rPr>
        <w:t>Vzory pre kreditné riziko</w:t>
      </w:r>
      <w:r w:rsidR="003320DB">
        <w:rPr>
          <w:noProof/>
        </w:rPr>
        <w:t xml:space="preserve"> v </w:t>
      </w:r>
      <w:r w:rsidR="00716EA9" w:rsidRPr="003320DB">
        <w:rPr>
          <w:noProof/>
        </w:rPr>
        <w:t>prípade štandardizovaného prístupu („SA“) by mali odzrkadľovať zmeny klasifikácie tried expozícií</w:t>
      </w:r>
      <w:r w:rsidR="003320DB">
        <w:rPr>
          <w:noProof/>
        </w:rPr>
        <w:t xml:space="preserve"> a </w:t>
      </w:r>
      <w:r w:rsidR="00716EA9" w:rsidRPr="003320DB">
        <w:rPr>
          <w:noProof/>
        </w:rPr>
        <w:t xml:space="preserve">nových rizikových váh. Mali by odzrkadľovať aj podrobnejší prístup uplatňovaný na expozície zabezpečené hypotékami na nehnuteľný majetok, ako aj niektoré zmeny vo výpočte hodnoty expozície podsúvahových položiek, ktoré boli všetky do nariadenia (EÚ) </w:t>
      </w:r>
      <w:r w:rsidR="003320DB">
        <w:rPr>
          <w:noProof/>
        </w:rPr>
        <w:t>č. </w:t>
      </w:r>
      <w:r w:rsidR="00716EA9" w:rsidRPr="003320DB">
        <w:rPr>
          <w:noProof/>
        </w:rPr>
        <w:t>575/2013 zavedené nariadením (EÚ) 2024/1623.</w:t>
      </w:r>
    </w:p>
    <w:p w:rsidR="00716EA9" w:rsidRPr="003320DB" w:rsidRDefault="00612F20" w:rsidP="00612F20">
      <w:pPr>
        <w:pStyle w:val="ManualConsidrant"/>
        <w:rPr>
          <w:noProof/>
          <w:szCs w:val="24"/>
        </w:rPr>
      </w:pPr>
      <w:r w:rsidRPr="00612F20">
        <w:rPr>
          <w:noProof/>
        </w:rPr>
        <w:t>(7)</w:t>
      </w:r>
      <w:r w:rsidRPr="00612F20">
        <w:rPr>
          <w:noProof/>
        </w:rPr>
        <w:tab/>
      </w:r>
      <w:r w:rsidR="00716EA9" w:rsidRPr="003320DB">
        <w:rPr>
          <w:noProof/>
        </w:rPr>
        <w:t>Vzory pre kreditné riziko</w:t>
      </w:r>
      <w:r w:rsidR="003320DB">
        <w:rPr>
          <w:noProof/>
        </w:rPr>
        <w:t xml:space="preserve"> v </w:t>
      </w:r>
      <w:r w:rsidR="00716EA9" w:rsidRPr="003320DB">
        <w:rPr>
          <w:noProof/>
        </w:rPr>
        <w:t>prípade IRB by mali odzrkadľovať zmeny klasifikácie tried expozícií, konkrétne</w:t>
      </w:r>
      <w:r w:rsidR="003320DB">
        <w:rPr>
          <w:noProof/>
        </w:rPr>
        <w:t xml:space="preserve"> s </w:t>
      </w:r>
      <w:r w:rsidR="00716EA9" w:rsidRPr="003320DB">
        <w:rPr>
          <w:noProof/>
        </w:rPr>
        <w:t>cieľom obmedziť používanie expozícií inštitúcií</w:t>
      </w:r>
      <w:r w:rsidR="003320DB">
        <w:rPr>
          <w:noProof/>
        </w:rPr>
        <w:t xml:space="preserve"> a </w:t>
      </w:r>
      <w:r w:rsidR="00716EA9" w:rsidRPr="003320DB">
        <w:rPr>
          <w:noProof/>
        </w:rPr>
        <w:t>veľkých podnikateľských subjektov</w:t>
      </w:r>
      <w:r w:rsidR="003320DB">
        <w:rPr>
          <w:noProof/>
        </w:rPr>
        <w:t xml:space="preserve"> v </w:t>
      </w:r>
      <w:r w:rsidR="00716EA9" w:rsidRPr="003320DB">
        <w:rPr>
          <w:noProof/>
        </w:rPr>
        <w:t>rámci základného prístupu IRB („F-IRB“), pričom by mali stanoviť vykazovanie informácií</w:t>
      </w:r>
      <w:r w:rsidR="003320DB">
        <w:rPr>
          <w:noProof/>
        </w:rPr>
        <w:t xml:space="preserve"> o </w:t>
      </w:r>
      <w:r w:rsidR="00716EA9" w:rsidRPr="003320DB">
        <w:rPr>
          <w:noProof/>
        </w:rPr>
        <w:t>nových triedach expozícií vrátane subjektov verejného sektora (PSE)</w:t>
      </w:r>
      <w:r w:rsidR="003320DB">
        <w:rPr>
          <w:noProof/>
        </w:rPr>
        <w:t xml:space="preserve"> a </w:t>
      </w:r>
      <w:r w:rsidR="00716EA9" w:rsidRPr="003320DB">
        <w:rPr>
          <w:noProof/>
        </w:rPr>
        <w:t>regionálnych vlád alebo miestnych orgánov (RGLA).</w:t>
      </w:r>
      <w:r w:rsidR="003320DB">
        <w:rPr>
          <w:noProof/>
        </w:rPr>
        <w:t xml:space="preserve"> V </w:t>
      </w:r>
      <w:r w:rsidR="00716EA9" w:rsidRPr="003320DB">
        <w:rPr>
          <w:noProof/>
        </w:rPr>
        <w:t>nových vzoroch by sa napokon malo stanoviť vykazovanie štandardného aj vlastného výpočtu konverzných faktorov úverov.</w:t>
      </w:r>
    </w:p>
    <w:p w:rsidR="00716EA9" w:rsidRPr="003320DB" w:rsidRDefault="00612F20" w:rsidP="00612F20">
      <w:pPr>
        <w:pStyle w:val="ManualConsidrant"/>
        <w:rPr>
          <w:noProof/>
          <w:szCs w:val="24"/>
        </w:rPr>
      </w:pPr>
      <w:r w:rsidRPr="00612F20">
        <w:rPr>
          <w:noProof/>
        </w:rPr>
        <w:t>(8)</w:t>
      </w:r>
      <w:r w:rsidRPr="00612F20">
        <w:rPr>
          <w:noProof/>
        </w:rPr>
        <w:tab/>
      </w:r>
      <w:r w:rsidR="00716EA9" w:rsidRPr="003320DB">
        <w:rPr>
          <w:noProof/>
        </w:rPr>
        <w:t>Nové vzory pre vykazovanie informácií</w:t>
      </w:r>
      <w:r w:rsidR="003320DB">
        <w:rPr>
          <w:noProof/>
        </w:rPr>
        <w:t xml:space="preserve"> o </w:t>
      </w:r>
      <w:r w:rsidR="00716EA9" w:rsidRPr="003320DB">
        <w:rPr>
          <w:noProof/>
        </w:rPr>
        <w:t>krytí strát pri problémových expozíciách by mali odzrkadľovať zmeny rozsahu expozícií, na ktoré sa vzťahujú požiadavky na krytie strát,</w:t>
      </w:r>
      <w:r w:rsidR="003320DB">
        <w:rPr>
          <w:noProof/>
        </w:rPr>
        <w:t xml:space="preserve"> a </w:t>
      </w:r>
      <w:r w:rsidR="00716EA9" w:rsidRPr="003320DB">
        <w:rPr>
          <w:noProof/>
        </w:rPr>
        <w:t>zmeny harmonogramu tvorby rezerv.</w:t>
      </w:r>
    </w:p>
    <w:p w:rsidR="00716EA9" w:rsidRPr="003320DB" w:rsidRDefault="00612F20" w:rsidP="00612F20">
      <w:pPr>
        <w:pStyle w:val="ManualConsidrant"/>
        <w:rPr>
          <w:noProof/>
          <w:szCs w:val="24"/>
        </w:rPr>
      </w:pPr>
      <w:r w:rsidRPr="00612F20">
        <w:rPr>
          <w:noProof/>
        </w:rPr>
        <w:t>(9)</w:t>
      </w:r>
      <w:r w:rsidRPr="00612F20">
        <w:rPr>
          <w:noProof/>
        </w:rPr>
        <w:tab/>
      </w:r>
      <w:r w:rsidR="0033133E" w:rsidRPr="003320DB">
        <w:rPr>
          <w:noProof/>
        </w:rPr>
        <w:t>V novom vzore pre vykazovanie by sa malo stanoviť vykazovanie informácií</w:t>
      </w:r>
      <w:r w:rsidR="003320DB">
        <w:rPr>
          <w:noProof/>
        </w:rPr>
        <w:t xml:space="preserve"> o </w:t>
      </w:r>
      <w:r w:rsidR="0033133E" w:rsidRPr="003320DB">
        <w:rPr>
          <w:noProof/>
        </w:rPr>
        <w:t>expozíciách voči kryptoaktívam, aby sa odzrkadľovali celkové hodnoty rizikových expozícií pre uvedené expozície.</w:t>
      </w:r>
    </w:p>
    <w:p w:rsidR="00716EA9" w:rsidRPr="003320DB" w:rsidRDefault="00612F20" w:rsidP="00612F20">
      <w:pPr>
        <w:pStyle w:val="ManualConsidrant"/>
        <w:rPr>
          <w:noProof/>
          <w:szCs w:val="24"/>
        </w:rPr>
      </w:pPr>
      <w:r w:rsidRPr="00612F20">
        <w:rPr>
          <w:noProof/>
        </w:rPr>
        <w:t>(10)</w:t>
      </w:r>
      <w:r w:rsidRPr="00612F20">
        <w:rPr>
          <w:noProof/>
        </w:rPr>
        <w:tab/>
      </w:r>
      <w:r w:rsidR="00716EA9" w:rsidRPr="003320DB">
        <w:rPr>
          <w:noProof/>
        </w:rPr>
        <w:t>Pri vykazovaní súhrnných údajov za každý vnútroštátny trh</w:t>
      </w:r>
      <w:r w:rsidR="003320DB">
        <w:rPr>
          <w:noProof/>
        </w:rPr>
        <w:t xml:space="preserve"> s </w:t>
      </w:r>
      <w:r w:rsidR="00716EA9" w:rsidRPr="003320DB">
        <w:rPr>
          <w:noProof/>
        </w:rPr>
        <w:t>nehnuteľným majetkom („IP Losses“) by sa mali odzrkadľovať nové osobitné povinnosti vykazovania stanovené</w:t>
      </w:r>
      <w:r w:rsidR="003320DB">
        <w:rPr>
          <w:noProof/>
        </w:rPr>
        <w:t xml:space="preserve"> v </w:t>
      </w:r>
      <w:r w:rsidR="00716EA9" w:rsidRPr="003320DB">
        <w:rPr>
          <w:noProof/>
        </w:rPr>
        <w:t xml:space="preserve">článku 430a ods. 1 nariadenia (EÚ) </w:t>
      </w:r>
      <w:r w:rsidR="003320DB">
        <w:rPr>
          <w:noProof/>
        </w:rPr>
        <w:t>č. </w:t>
      </w:r>
      <w:r w:rsidR="00716EA9" w:rsidRPr="003320DB">
        <w:rPr>
          <w:noProof/>
        </w:rPr>
        <w:t>575/2013.</w:t>
      </w:r>
    </w:p>
    <w:p w:rsidR="00716EA9" w:rsidRPr="003320DB" w:rsidRDefault="00612F20" w:rsidP="00612F20">
      <w:pPr>
        <w:pStyle w:val="ManualConsidrant"/>
        <w:rPr>
          <w:noProof/>
          <w:szCs w:val="24"/>
        </w:rPr>
      </w:pPr>
      <w:r w:rsidRPr="00612F20">
        <w:rPr>
          <w:noProof/>
        </w:rPr>
        <w:t>(11)</w:t>
      </w:r>
      <w:r w:rsidRPr="00612F20">
        <w:rPr>
          <w:noProof/>
        </w:rPr>
        <w:tab/>
      </w:r>
      <w:r w:rsidR="00716EA9" w:rsidRPr="003320DB">
        <w:rPr>
          <w:noProof/>
        </w:rPr>
        <w:t>Vykazovanie úprav ocenenia pohľadávok („CVA“) by malo odrážať štandardizované, základné</w:t>
      </w:r>
      <w:r w:rsidR="003320DB">
        <w:rPr>
          <w:noProof/>
        </w:rPr>
        <w:t xml:space="preserve"> a </w:t>
      </w:r>
      <w:r w:rsidR="00716EA9" w:rsidRPr="003320DB">
        <w:rPr>
          <w:noProof/>
        </w:rPr>
        <w:t>zjednodušené prístupy</w:t>
      </w:r>
      <w:r w:rsidR="003320DB">
        <w:rPr>
          <w:noProof/>
        </w:rPr>
        <w:t xml:space="preserve"> a </w:t>
      </w:r>
      <w:r w:rsidR="00716EA9" w:rsidRPr="003320DB">
        <w:rPr>
          <w:noProof/>
        </w:rPr>
        <w:t>malo by zahŕňať niektoré osobitné požiadavky na vykazovanie rizika úpravy ocenenia pohľadávok, ktoré boli všetky zavedené</w:t>
      </w:r>
      <w:r w:rsidR="003320DB">
        <w:rPr>
          <w:noProof/>
        </w:rPr>
        <w:t xml:space="preserve"> v </w:t>
      </w:r>
      <w:r w:rsidR="00716EA9" w:rsidRPr="003320DB">
        <w:rPr>
          <w:noProof/>
        </w:rPr>
        <w:t xml:space="preserve">hlave VI nariadenia (EÚ) </w:t>
      </w:r>
      <w:r w:rsidR="003320DB">
        <w:rPr>
          <w:noProof/>
        </w:rPr>
        <w:t>č. </w:t>
      </w:r>
      <w:r w:rsidR="00716EA9" w:rsidRPr="003320DB">
        <w:rPr>
          <w:noProof/>
        </w:rPr>
        <w:t>575/2013.</w:t>
      </w:r>
    </w:p>
    <w:p w:rsidR="003320DB" w:rsidRDefault="00612F20" w:rsidP="00612F20">
      <w:pPr>
        <w:pStyle w:val="ManualConsidrant"/>
        <w:rPr>
          <w:noProof/>
        </w:rPr>
      </w:pPr>
      <w:r w:rsidRPr="00612F20">
        <w:rPr>
          <w:noProof/>
        </w:rPr>
        <w:t>(12)</w:t>
      </w:r>
      <w:r w:rsidRPr="00612F20">
        <w:rPr>
          <w:noProof/>
        </w:rPr>
        <w:tab/>
      </w:r>
      <w:r w:rsidR="00716EA9" w:rsidRPr="003320DB">
        <w:rPr>
          <w:noProof/>
        </w:rPr>
        <w:t>Nariadením (EÚ) 2024/1623 sa revidoval rámec pre hranicu medzi obchodnou</w:t>
      </w:r>
      <w:r w:rsidR="003320DB">
        <w:rPr>
          <w:noProof/>
        </w:rPr>
        <w:t xml:space="preserve"> a </w:t>
      </w:r>
      <w:r w:rsidR="00716EA9" w:rsidRPr="003320DB">
        <w:rPr>
          <w:noProof/>
        </w:rPr>
        <w:t>neobchodnou knihou. Vo vzoroch na vykazovanie by sa preto malo stanoviť aj vykazovanie informácií</w:t>
      </w:r>
      <w:r w:rsidR="003320DB">
        <w:rPr>
          <w:noProof/>
        </w:rPr>
        <w:t xml:space="preserve"> o </w:t>
      </w:r>
      <w:r w:rsidR="00716EA9" w:rsidRPr="003320DB">
        <w:rPr>
          <w:noProof/>
        </w:rPr>
        <w:t>zložení obchodnej knihy, pokiaľ ide</w:t>
      </w:r>
      <w:r w:rsidR="003320DB">
        <w:rPr>
          <w:noProof/>
        </w:rPr>
        <w:t xml:space="preserve"> o </w:t>
      </w:r>
      <w:r w:rsidR="00716EA9" w:rsidRPr="003320DB">
        <w:rPr>
          <w:noProof/>
        </w:rPr>
        <w:t>nové kritériá stanovené</w:t>
      </w:r>
      <w:r w:rsidR="003320DB">
        <w:rPr>
          <w:noProof/>
        </w:rPr>
        <w:t xml:space="preserve"> v </w:t>
      </w:r>
      <w:r w:rsidR="00716EA9" w:rsidRPr="003320DB">
        <w:rPr>
          <w:noProof/>
        </w:rPr>
        <w:t xml:space="preserve">článku 104 nariadenia (EÚ) </w:t>
      </w:r>
      <w:r w:rsidR="003320DB">
        <w:rPr>
          <w:noProof/>
        </w:rPr>
        <w:t>č. </w:t>
      </w:r>
      <w:r w:rsidR="00716EA9" w:rsidRPr="003320DB">
        <w:rPr>
          <w:noProof/>
        </w:rPr>
        <w:t>575/2013</w:t>
      </w:r>
      <w:r w:rsidR="003320DB">
        <w:rPr>
          <w:noProof/>
        </w:rPr>
        <w:t>.</w:t>
      </w:r>
    </w:p>
    <w:p w:rsidR="00716EA9" w:rsidRPr="003320DB" w:rsidRDefault="00612F20" w:rsidP="00612F20">
      <w:pPr>
        <w:pStyle w:val="ManualConsidrant"/>
        <w:rPr>
          <w:noProof/>
          <w:szCs w:val="24"/>
        </w:rPr>
      </w:pPr>
      <w:r w:rsidRPr="00612F20">
        <w:rPr>
          <w:noProof/>
        </w:rPr>
        <w:t>(13)</w:t>
      </w:r>
      <w:r w:rsidRPr="00612F20">
        <w:rPr>
          <w:noProof/>
        </w:rPr>
        <w:tab/>
      </w:r>
      <w:r w:rsidR="007051E2" w:rsidRPr="003320DB">
        <w:rPr>
          <w:noProof/>
        </w:rPr>
        <w:t>Treba zosúladiť referenčné dátumy vykazovania týkajúce sa vlastných zdrojov, požiadaviek na vlastné zdroje</w:t>
      </w:r>
      <w:r w:rsidR="003320DB">
        <w:rPr>
          <w:noProof/>
        </w:rPr>
        <w:t xml:space="preserve"> a </w:t>
      </w:r>
      <w:r w:rsidR="007051E2" w:rsidRPr="003320DB">
        <w:rPr>
          <w:noProof/>
        </w:rPr>
        <w:t>dodatočných požiadaviek na vykazovanie na individuálnom</w:t>
      </w:r>
      <w:r w:rsidR="003320DB">
        <w:rPr>
          <w:noProof/>
        </w:rPr>
        <w:t xml:space="preserve"> a </w:t>
      </w:r>
      <w:r w:rsidR="007051E2" w:rsidRPr="003320DB">
        <w:rPr>
          <w:noProof/>
        </w:rPr>
        <w:t>konsolidovanom základe</w:t>
      </w:r>
      <w:r w:rsidR="003320DB">
        <w:rPr>
          <w:noProof/>
        </w:rPr>
        <w:t xml:space="preserve"> s </w:t>
      </w:r>
      <w:r w:rsidR="007051E2" w:rsidRPr="003320DB">
        <w:rPr>
          <w:noProof/>
        </w:rPr>
        <w:t>údajmi ku koncu finančného roka.</w:t>
      </w:r>
    </w:p>
    <w:p w:rsidR="003320DB" w:rsidRDefault="00612F20" w:rsidP="00612F20">
      <w:pPr>
        <w:pStyle w:val="ManualConsidrant"/>
        <w:rPr>
          <w:noProof/>
        </w:rPr>
      </w:pPr>
      <w:r w:rsidRPr="00612F20">
        <w:rPr>
          <w:noProof/>
        </w:rPr>
        <w:t>(14)</w:t>
      </w:r>
      <w:r w:rsidRPr="00612F20">
        <w:rPr>
          <w:noProof/>
        </w:rPr>
        <w:tab/>
      </w:r>
      <w:r w:rsidR="009522F9" w:rsidRPr="003320DB">
        <w:rPr>
          <w:noProof/>
        </w:rPr>
        <w:t>S cieľom umožniť inštitúciám zriadiť systémy vykazovania potrebné na plnenie povinností vykazovania by subjekty, ktoré sa prvýkrát zapájajú do činností úverovej inštitúcie, mali mať viac času na predloženie vzorov</w:t>
      </w:r>
      <w:r w:rsidR="003320DB">
        <w:rPr>
          <w:noProof/>
        </w:rPr>
        <w:t>.</w:t>
      </w:r>
    </w:p>
    <w:p w:rsidR="003320DB" w:rsidRDefault="00612F20" w:rsidP="00612F20">
      <w:pPr>
        <w:pStyle w:val="ManualConsidrant"/>
        <w:rPr>
          <w:noProof/>
        </w:rPr>
      </w:pPr>
      <w:r w:rsidRPr="00612F20">
        <w:rPr>
          <w:noProof/>
        </w:rPr>
        <w:t>(15)</w:t>
      </w:r>
      <w:r w:rsidRPr="00612F20">
        <w:rPr>
          <w:noProof/>
        </w:rPr>
        <w:tab/>
      </w:r>
      <w:r w:rsidR="002823A7" w:rsidRPr="003320DB">
        <w:rPr>
          <w:noProof/>
        </w:rPr>
        <w:t xml:space="preserve">Nariadením (EÚ) 2024/1623 sa zmenil článok 430 ods. 7 prvý pododsek nariadenia (EÚ) </w:t>
      </w:r>
      <w:r w:rsidR="003320DB">
        <w:rPr>
          <w:noProof/>
        </w:rPr>
        <w:t>č. </w:t>
      </w:r>
      <w:r w:rsidR="002823A7" w:rsidRPr="003320DB">
        <w:rPr>
          <w:noProof/>
        </w:rPr>
        <w:t>575/2013</w:t>
      </w:r>
      <w:r w:rsidR="003320DB">
        <w:rPr>
          <w:noProof/>
        </w:rPr>
        <w:t xml:space="preserve"> a </w:t>
      </w:r>
      <w:r w:rsidR="002823A7" w:rsidRPr="003320DB">
        <w:rPr>
          <w:noProof/>
        </w:rPr>
        <w:t>zaviedla sa požiadavka, aby orgán EBA vypracoval IT riešenia vrátane vzorov</w:t>
      </w:r>
      <w:r w:rsidR="003320DB">
        <w:rPr>
          <w:noProof/>
        </w:rPr>
        <w:t xml:space="preserve"> a </w:t>
      </w:r>
      <w:r w:rsidR="002823A7" w:rsidRPr="003320DB">
        <w:rPr>
          <w:noProof/>
        </w:rPr>
        <w:t>pokynov na vykazovanie, ktoré majú inštitúcie používať na plnenie povinností vykazovania stanovených</w:t>
      </w:r>
      <w:r w:rsidR="003320DB">
        <w:rPr>
          <w:noProof/>
        </w:rPr>
        <w:t xml:space="preserve"> v </w:t>
      </w:r>
      <w:r w:rsidR="002823A7" w:rsidRPr="003320DB">
        <w:rPr>
          <w:noProof/>
        </w:rPr>
        <w:t>odsekoch 1 až 4 uvedeného článku.</w:t>
      </w:r>
      <w:r w:rsidR="002823A7" w:rsidRPr="003320DB">
        <w:rPr>
          <w:noProof/>
          <w:color w:val="000000"/>
        </w:rPr>
        <w:t xml:space="preserve"> Údajové body</w:t>
      </w:r>
      <w:r w:rsidR="003320DB">
        <w:rPr>
          <w:noProof/>
          <w:color w:val="000000"/>
        </w:rPr>
        <w:t xml:space="preserve"> a </w:t>
      </w:r>
      <w:r w:rsidR="002823A7" w:rsidRPr="003320DB">
        <w:rPr>
          <w:noProof/>
          <w:color w:val="000000"/>
        </w:rPr>
        <w:t>informácie, ktoré musia inštitúcie vykazovať</w:t>
      </w:r>
      <w:r w:rsidR="003320DB">
        <w:rPr>
          <w:noProof/>
          <w:color w:val="000000"/>
        </w:rPr>
        <w:t xml:space="preserve"> a </w:t>
      </w:r>
      <w:r w:rsidR="002823A7" w:rsidRPr="003320DB">
        <w:rPr>
          <w:noProof/>
          <w:color w:val="000000"/>
        </w:rPr>
        <w:t xml:space="preserve">ktoré by mal orgán EBA zahrnúť do príslušných IT riešení, by sa preto mali špecifikovať dostatočne jasne. </w:t>
      </w:r>
      <w:r w:rsidR="002823A7" w:rsidRPr="003320DB">
        <w:rPr>
          <w:noProof/>
        </w:rPr>
        <w:t>Aby sa orgánu EBA umožnilo vyvinúť vhodné IT riešenia, by tieto jednotné formáty vykazovania nemali byť záväzné, pokiaľ ide</w:t>
      </w:r>
      <w:r w:rsidR="003320DB">
        <w:rPr>
          <w:noProof/>
        </w:rPr>
        <w:t xml:space="preserve"> o </w:t>
      </w:r>
      <w:r w:rsidR="002823A7" w:rsidRPr="003320DB">
        <w:rPr>
          <w:noProof/>
        </w:rPr>
        <w:t>ich štruktúru</w:t>
      </w:r>
      <w:r w:rsidR="003320DB">
        <w:rPr>
          <w:noProof/>
        </w:rPr>
        <w:t xml:space="preserve"> a </w:t>
      </w:r>
      <w:r w:rsidR="002823A7" w:rsidRPr="003320DB">
        <w:rPr>
          <w:noProof/>
        </w:rPr>
        <w:t>znázornenie, keďže orgán EBA by nemal byť povinný kopírovať grafickú prezentáciu</w:t>
      </w:r>
      <w:r w:rsidR="003320DB">
        <w:rPr>
          <w:noProof/>
        </w:rPr>
        <w:t xml:space="preserve"> a </w:t>
      </w:r>
      <w:r w:rsidR="002823A7" w:rsidRPr="003320DB">
        <w:rPr>
          <w:noProof/>
        </w:rPr>
        <w:t>tabuľkovú štruktúru stanovenú</w:t>
      </w:r>
      <w:r w:rsidR="003320DB">
        <w:rPr>
          <w:noProof/>
        </w:rPr>
        <w:t xml:space="preserve"> v </w:t>
      </w:r>
      <w:r w:rsidR="002823A7" w:rsidRPr="003320DB">
        <w:rPr>
          <w:noProof/>
        </w:rPr>
        <w:t>prílohe.</w:t>
      </w:r>
      <w:r w:rsidR="002823A7" w:rsidRPr="003320DB">
        <w:rPr>
          <w:noProof/>
          <w:color w:val="000000"/>
        </w:rPr>
        <w:t xml:space="preserve"> </w:t>
      </w:r>
      <w:r w:rsidR="002823A7" w:rsidRPr="003320DB">
        <w:rPr>
          <w:noProof/>
        </w:rPr>
        <w:t>Orgán EBA by mal mať najmä možnosť odchýliť sa od grafickej prezentácie</w:t>
      </w:r>
      <w:r w:rsidR="003320DB">
        <w:rPr>
          <w:noProof/>
        </w:rPr>
        <w:t xml:space="preserve"> a </w:t>
      </w:r>
      <w:r w:rsidR="002823A7" w:rsidRPr="003320DB">
        <w:rPr>
          <w:noProof/>
        </w:rPr>
        <w:t>tabuľkovej štruktúry vzorov na vykazovanie informácií, pokiaľ sú do daného IT riešenia zahrnuté všetky požadované údajové body</w:t>
      </w:r>
      <w:r w:rsidR="003320DB">
        <w:rPr>
          <w:noProof/>
        </w:rPr>
        <w:t xml:space="preserve"> a </w:t>
      </w:r>
      <w:r w:rsidR="002823A7" w:rsidRPr="003320DB">
        <w:rPr>
          <w:noProof/>
        </w:rPr>
        <w:t>informácie</w:t>
      </w:r>
      <w:r w:rsidR="003320DB">
        <w:rPr>
          <w:noProof/>
        </w:rPr>
        <w:t>.</w:t>
      </w:r>
    </w:p>
    <w:p w:rsidR="003320DB" w:rsidRDefault="00612F20" w:rsidP="00612F20">
      <w:pPr>
        <w:pStyle w:val="ManualConsidrant"/>
        <w:rPr>
          <w:noProof/>
        </w:rPr>
      </w:pPr>
      <w:r w:rsidRPr="00612F20">
        <w:rPr>
          <w:noProof/>
        </w:rPr>
        <w:t>(16)</w:t>
      </w:r>
      <w:r w:rsidRPr="00612F20">
        <w:rPr>
          <w:noProof/>
        </w:rPr>
        <w:tab/>
      </w:r>
      <w:r w:rsidR="00716EA9" w:rsidRPr="003320DB">
        <w:rPr>
          <w:noProof/>
        </w:rPr>
        <w:t>Aby sa inštitúciám poskytol dostatočný čas na prispôsobenie vlastného interného systému</w:t>
      </w:r>
      <w:r w:rsidR="003320DB">
        <w:rPr>
          <w:noProof/>
        </w:rPr>
        <w:t xml:space="preserve"> a </w:t>
      </w:r>
      <w:r w:rsidR="00716EA9" w:rsidRPr="003320DB">
        <w:rPr>
          <w:noProof/>
        </w:rPr>
        <w:t>na splnenie revidovaných požiadaviek na vykazovanie, treba stanoviť prechodné ustanovenia, ktorými sa odloží dátum zasielania</w:t>
      </w:r>
      <w:r w:rsidR="003320DB">
        <w:rPr>
          <w:noProof/>
        </w:rPr>
        <w:t xml:space="preserve"> v </w:t>
      </w:r>
      <w:r w:rsidR="00716EA9" w:rsidRPr="003320DB">
        <w:rPr>
          <w:noProof/>
        </w:rPr>
        <w:t>súvislosti</w:t>
      </w:r>
      <w:r w:rsidR="003320DB">
        <w:rPr>
          <w:noProof/>
        </w:rPr>
        <w:t xml:space="preserve"> s </w:t>
      </w:r>
      <w:r w:rsidR="00716EA9" w:rsidRPr="003320DB">
        <w:rPr>
          <w:noProof/>
        </w:rPr>
        <w:t>vykazovaním, pokiaľ ide</w:t>
      </w:r>
      <w:r w:rsidR="003320DB">
        <w:rPr>
          <w:noProof/>
        </w:rPr>
        <w:t xml:space="preserve"> o </w:t>
      </w:r>
      <w:r w:rsidR="00716EA9" w:rsidRPr="003320DB">
        <w:rPr>
          <w:noProof/>
        </w:rPr>
        <w:t>prvú štvrťročnú povinnosť vykazovania</w:t>
      </w:r>
      <w:r w:rsidR="003320DB">
        <w:rPr>
          <w:noProof/>
        </w:rPr>
        <w:t>.</w:t>
      </w:r>
    </w:p>
    <w:p w:rsidR="008A53EE" w:rsidRPr="003320DB" w:rsidRDefault="00612F20" w:rsidP="00612F20">
      <w:pPr>
        <w:pStyle w:val="ManualConsidrant"/>
        <w:rPr>
          <w:noProof/>
          <w:szCs w:val="24"/>
        </w:rPr>
      </w:pPr>
      <w:r w:rsidRPr="00612F20">
        <w:rPr>
          <w:noProof/>
        </w:rPr>
        <w:t>(17)</w:t>
      </w:r>
      <w:r w:rsidRPr="00612F20">
        <w:rPr>
          <w:noProof/>
        </w:rPr>
        <w:tab/>
      </w:r>
      <w:r w:rsidR="008A53EE" w:rsidRPr="003320DB">
        <w:rPr>
          <w:noProof/>
        </w:rPr>
        <w:t>V záujme zosúladenia harmonogramu požiadavky na vykazovanie týkajúcej sa zloženia obchodnej knihy</w:t>
      </w:r>
      <w:r w:rsidR="003320DB">
        <w:rPr>
          <w:noProof/>
        </w:rPr>
        <w:t xml:space="preserve"> s </w:t>
      </w:r>
      <w:r w:rsidR="008A53EE" w:rsidRPr="003320DB">
        <w:rPr>
          <w:noProof/>
        </w:rPr>
        <w:t>harmonogramom uplatňovania požiadaviek na trhové riziko stanoveným</w:t>
      </w:r>
      <w:r w:rsidR="003320DB">
        <w:rPr>
          <w:noProof/>
        </w:rPr>
        <w:t xml:space="preserve"> v </w:t>
      </w:r>
      <w:r w:rsidR="008A53EE" w:rsidRPr="003320DB">
        <w:rPr>
          <w:noProof/>
        </w:rPr>
        <w:t>tretej časti hlave IV kapitolách 1a</w:t>
      </w:r>
      <w:r w:rsidR="003320DB">
        <w:rPr>
          <w:noProof/>
        </w:rPr>
        <w:t xml:space="preserve"> a </w:t>
      </w:r>
      <w:r w:rsidR="008A53EE" w:rsidRPr="003320DB">
        <w:rPr>
          <w:noProof/>
        </w:rPr>
        <w:t xml:space="preserve">1b nariadenia (EÚ) </w:t>
      </w:r>
      <w:r w:rsidR="003320DB">
        <w:rPr>
          <w:noProof/>
        </w:rPr>
        <w:t>č. </w:t>
      </w:r>
      <w:r w:rsidR="008A53EE" w:rsidRPr="003320DB">
        <w:rPr>
          <w:noProof/>
        </w:rPr>
        <w:t>575/2013 treba stanoviť prechodné ustanovenie, aby sa umožnil neskorší prvý referenčný dátum uvedenej požiadavky na vykazovanie.</w:t>
      </w:r>
    </w:p>
    <w:p w:rsidR="006427FA" w:rsidRPr="003320DB" w:rsidRDefault="00612F20" w:rsidP="00612F20">
      <w:pPr>
        <w:pStyle w:val="ManualConsidrant"/>
        <w:rPr>
          <w:noProof/>
          <w:szCs w:val="24"/>
        </w:rPr>
      </w:pPr>
      <w:r w:rsidRPr="00612F20">
        <w:rPr>
          <w:noProof/>
        </w:rPr>
        <w:t>(18)</w:t>
      </w:r>
      <w:r w:rsidRPr="00612F20">
        <w:rPr>
          <w:noProof/>
        </w:rPr>
        <w:tab/>
      </w:r>
      <w:r w:rsidR="006427FA" w:rsidRPr="003320DB">
        <w:rPr>
          <w:noProof/>
        </w:rPr>
        <w:t>Ustanovenia</w:t>
      </w:r>
      <w:r w:rsidR="003320DB">
        <w:rPr>
          <w:noProof/>
        </w:rPr>
        <w:t xml:space="preserve"> v </w:t>
      </w:r>
      <w:r w:rsidR="006427FA" w:rsidRPr="003320DB">
        <w:rPr>
          <w:noProof/>
        </w:rPr>
        <w:t>tomto nariadení sú úzko prepojené, keďže súvisia</w:t>
      </w:r>
      <w:r w:rsidR="003320DB">
        <w:rPr>
          <w:noProof/>
        </w:rPr>
        <w:t xml:space="preserve"> s </w:t>
      </w:r>
      <w:r w:rsidR="006427FA" w:rsidRPr="003320DB">
        <w:rPr>
          <w:noProof/>
        </w:rPr>
        <w:t>požiadavkami na vykazovanie pre inštitúcie. Na účely zabezpečenia súdržnosti medzi uvedenými ustanoveniami</w:t>
      </w:r>
      <w:r w:rsidR="003320DB">
        <w:rPr>
          <w:noProof/>
        </w:rPr>
        <w:t xml:space="preserve"> a s </w:t>
      </w:r>
      <w:r w:rsidR="006427FA" w:rsidRPr="003320DB">
        <w:rPr>
          <w:noProof/>
        </w:rPr>
        <w:t>cieľom umožniť komplexný prehľad</w:t>
      </w:r>
      <w:r w:rsidR="003320DB">
        <w:rPr>
          <w:noProof/>
        </w:rPr>
        <w:t xml:space="preserve"> a </w:t>
      </w:r>
      <w:r w:rsidR="006427FA" w:rsidRPr="003320DB">
        <w:rPr>
          <w:noProof/>
        </w:rPr>
        <w:t>kompaktný prístup</w:t>
      </w:r>
      <w:r w:rsidR="003320DB">
        <w:rPr>
          <w:noProof/>
        </w:rPr>
        <w:t xml:space="preserve"> k </w:t>
      </w:r>
      <w:r w:rsidR="006427FA" w:rsidRPr="003320DB">
        <w:rPr>
          <w:noProof/>
        </w:rPr>
        <w:t xml:space="preserve">nim pre osoby, ktoré podliehajú uvedeným povinnostiam, je vhodné všetky súvisiace vykonávacie technické predpisy vyžadované nariadením (EÚ) </w:t>
      </w:r>
      <w:r w:rsidR="003320DB">
        <w:rPr>
          <w:noProof/>
        </w:rPr>
        <w:t>č. </w:t>
      </w:r>
      <w:r w:rsidR="006427FA" w:rsidRPr="003320DB">
        <w:rPr>
          <w:noProof/>
        </w:rPr>
        <w:t>575/2013 začleniť do jedného nariadenia.</w:t>
      </w:r>
    </w:p>
    <w:p w:rsidR="003320DB" w:rsidRDefault="00612F20" w:rsidP="00612F20">
      <w:pPr>
        <w:pStyle w:val="ManualConsidrant"/>
        <w:rPr>
          <w:noProof/>
        </w:rPr>
      </w:pPr>
      <w:r w:rsidRPr="00612F20">
        <w:rPr>
          <w:noProof/>
        </w:rPr>
        <w:t>(19)</w:t>
      </w:r>
      <w:r w:rsidRPr="00612F20">
        <w:rPr>
          <w:noProof/>
        </w:rPr>
        <w:tab/>
      </w:r>
      <w:r w:rsidR="00716EA9" w:rsidRPr="003320DB">
        <w:rPr>
          <w:noProof/>
        </w:rPr>
        <w:t>Toto nariadenie vychádza</w:t>
      </w:r>
      <w:r w:rsidR="003320DB">
        <w:rPr>
          <w:noProof/>
        </w:rPr>
        <w:t xml:space="preserve"> z </w:t>
      </w:r>
      <w:r w:rsidR="00716EA9" w:rsidRPr="003320DB">
        <w:rPr>
          <w:noProof/>
        </w:rPr>
        <w:t>návrhu vykonávacích technických predpisov, ktorý Komisii predložil Európsky orgán pre bankovníctvo</w:t>
      </w:r>
      <w:r w:rsidR="003320DB">
        <w:rPr>
          <w:noProof/>
        </w:rPr>
        <w:t>.</w:t>
      </w:r>
    </w:p>
    <w:p w:rsidR="00716EA9" w:rsidRPr="003320DB" w:rsidRDefault="00612F20" w:rsidP="00612F20">
      <w:pPr>
        <w:pStyle w:val="ManualConsidrant"/>
        <w:rPr>
          <w:noProof/>
          <w:szCs w:val="24"/>
        </w:rPr>
      </w:pPr>
      <w:r w:rsidRPr="00612F20">
        <w:rPr>
          <w:noProof/>
        </w:rPr>
        <w:t>(20)</w:t>
      </w:r>
      <w:r w:rsidRPr="00612F20">
        <w:rPr>
          <w:noProof/>
        </w:rPr>
        <w:tab/>
      </w:r>
      <w:r w:rsidR="00716EA9" w:rsidRPr="003320DB">
        <w:rPr>
          <w:noProof/>
        </w:rPr>
        <w:t>Európsky orgán pre bankovníctvo vykonal otvorené verejné konzultácie</w:t>
      </w:r>
      <w:r w:rsidR="003320DB">
        <w:rPr>
          <w:noProof/>
        </w:rPr>
        <w:t xml:space="preserve"> k </w:t>
      </w:r>
      <w:r w:rsidR="00716EA9" w:rsidRPr="003320DB">
        <w:rPr>
          <w:noProof/>
        </w:rPr>
        <w:t>návrhu vykonávacích technických predpisov,</w:t>
      </w:r>
      <w:r w:rsidR="003320DB">
        <w:rPr>
          <w:noProof/>
        </w:rPr>
        <w:t xml:space="preserve"> z </w:t>
      </w:r>
      <w:r w:rsidR="00716EA9" w:rsidRPr="003320DB">
        <w:rPr>
          <w:noProof/>
        </w:rPr>
        <w:t>ktorého vychádza toto nariadenie, analyzoval možné súvisiace náklady</w:t>
      </w:r>
      <w:r w:rsidR="003320DB">
        <w:rPr>
          <w:noProof/>
        </w:rPr>
        <w:t xml:space="preserve"> a </w:t>
      </w:r>
      <w:r w:rsidR="00716EA9" w:rsidRPr="003320DB">
        <w:rPr>
          <w:noProof/>
        </w:rPr>
        <w:t>prínosy</w:t>
      </w:r>
      <w:r w:rsidR="003320DB">
        <w:rPr>
          <w:noProof/>
        </w:rPr>
        <w:t xml:space="preserve"> a </w:t>
      </w:r>
      <w:r w:rsidR="00716EA9" w:rsidRPr="003320DB">
        <w:rPr>
          <w:noProof/>
        </w:rPr>
        <w:t>požiadal</w:t>
      </w:r>
      <w:r w:rsidR="003320DB">
        <w:rPr>
          <w:noProof/>
        </w:rPr>
        <w:t xml:space="preserve"> o </w:t>
      </w:r>
      <w:r w:rsidR="00716EA9" w:rsidRPr="003320DB">
        <w:rPr>
          <w:noProof/>
        </w:rPr>
        <w:t>poradenstvo Skupinu zainteresovaných strán</w:t>
      </w:r>
      <w:r w:rsidR="003320DB">
        <w:rPr>
          <w:noProof/>
        </w:rPr>
        <w:t xml:space="preserve"> v </w:t>
      </w:r>
      <w:r w:rsidR="00716EA9" w:rsidRPr="003320DB">
        <w:rPr>
          <w:noProof/>
        </w:rPr>
        <w:t>bankovníctve vytvorenú</w:t>
      </w:r>
      <w:r w:rsidR="003320DB">
        <w:rPr>
          <w:noProof/>
        </w:rPr>
        <w:t xml:space="preserve"> v </w:t>
      </w:r>
      <w:r w:rsidR="00716EA9" w:rsidRPr="003320DB">
        <w:rPr>
          <w:noProof/>
        </w:rPr>
        <w:t>súlade</w:t>
      </w:r>
      <w:r w:rsidR="003320DB">
        <w:rPr>
          <w:noProof/>
        </w:rPr>
        <w:t xml:space="preserve"> s </w:t>
      </w:r>
      <w:r w:rsidR="00716EA9" w:rsidRPr="003320DB">
        <w:rPr>
          <w:noProof/>
        </w:rPr>
        <w:t>článkom 37 nariadenia Európskeho parlamentu</w:t>
      </w:r>
      <w:r w:rsidR="003320DB">
        <w:rPr>
          <w:noProof/>
        </w:rPr>
        <w:t xml:space="preserve"> a </w:t>
      </w:r>
      <w:r w:rsidR="00716EA9" w:rsidRPr="003320DB">
        <w:rPr>
          <w:noProof/>
        </w:rPr>
        <w:t xml:space="preserve">Rady (EÚ) </w:t>
      </w:r>
      <w:r w:rsidR="003320DB">
        <w:rPr>
          <w:noProof/>
        </w:rPr>
        <w:t>č. </w:t>
      </w:r>
      <w:r w:rsidR="00716EA9" w:rsidRPr="003320DB">
        <w:rPr>
          <w:noProof/>
        </w:rPr>
        <w:t>1093/2010</w:t>
      </w:r>
      <w:r w:rsidR="00716EA9" w:rsidRPr="003320DB">
        <w:rPr>
          <w:rStyle w:val="FootnoteReference"/>
          <w:noProof/>
          <w:szCs w:val="24"/>
        </w:rPr>
        <w:footnoteReference w:id="5"/>
      </w:r>
      <w:r w:rsidR="00716EA9" w:rsidRPr="003320DB">
        <w:rPr>
          <w:noProof/>
        </w:rPr>
        <w:t>.</w:t>
      </w:r>
    </w:p>
    <w:p w:rsidR="003D2BEA" w:rsidRPr="003320DB" w:rsidRDefault="00612F20" w:rsidP="00612F20">
      <w:pPr>
        <w:pStyle w:val="ManualConsidrant"/>
        <w:rPr>
          <w:noProof/>
          <w:szCs w:val="24"/>
        </w:rPr>
      </w:pPr>
      <w:r w:rsidRPr="00612F20">
        <w:rPr>
          <w:noProof/>
        </w:rPr>
        <w:t>(21)</w:t>
      </w:r>
      <w:r w:rsidRPr="00612F20">
        <w:rPr>
          <w:noProof/>
        </w:rPr>
        <w:tab/>
      </w:r>
      <w:r w:rsidR="00716EA9" w:rsidRPr="003320DB">
        <w:rPr>
          <w:noProof/>
        </w:rPr>
        <w:t>Aby sa inštitúciám poskytol dostatočný čas na prípravu na vykazovanie</w:t>
      </w:r>
      <w:r w:rsidR="003320DB">
        <w:rPr>
          <w:noProof/>
        </w:rPr>
        <w:t xml:space="preserve"> v </w:t>
      </w:r>
      <w:r w:rsidR="00716EA9" w:rsidRPr="003320DB">
        <w:rPr>
          <w:noProof/>
        </w:rPr>
        <w:t>súlade</w:t>
      </w:r>
      <w:r w:rsidR="003320DB">
        <w:rPr>
          <w:noProof/>
        </w:rPr>
        <w:t xml:space="preserve"> s </w:t>
      </w:r>
      <w:r w:rsidR="00716EA9" w:rsidRPr="003320DB">
        <w:rPr>
          <w:noProof/>
        </w:rPr>
        <w:t>týmto nariadením</w:t>
      </w:r>
      <w:r w:rsidR="003320DB">
        <w:rPr>
          <w:noProof/>
        </w:rPr>
        <w:t xml:space="preserve"> a v </w:t>
      </w:r>
      <w:r w:rsidR="00716EA9" w:rsidRPr="003320DB">
        <w:rPr>
          <w:noProof/>
        </w:rPr>
        <w:t>súlade</w:t>
      </w:r>
      <w:r w:rsidR="003320DB">
        <w:rPr>
          <w:noProof/>
        </w:rPr>
        <w:t xml:space="preserve"> s </w:t>
      </w:r>
      <w:r w:rsidR="00716EA9" w:rsidRPr="003320DB">
        <w:rPr>
          <w:noProof/>
        </w:rPr>
        <w:t xml:space="preserve">článkom 430 ods. 7 nariadenia (EÚ) </w:t>
      </w:r>
      <w:r w:rsidR="003320DB">
        <w:rPr>
          <w:noProof/>
        </w:rPr>
        <w:t>č. </w:t>
      </w:r>
      <w:r w:rsidR="00716EA9" w:rsidRPr="003320DB">
        <w:rPr>
          <w:noProof/>
        </w:rPr>
        <w:t>575/2013, by sa prvý dátum uplatňovania mal stanoviť šesť mesiacov po dátume nadobudnutia účinnosti.</w:t>
      </w:r>
    </w:p>
    <w:p w:rsidR="00716EA9" w:rsidRPr="003320DB" w:rsidRDefault="00612F20" w:rsidP="00612F20">
      <w:pPr>
        <w:pStyle w:val="ManualConsidrant"/>
        <w:rPr>
          <w:noProof/>
          <w:szCs w:val="24"/>
        </w:rPr>
      </w:pPr>
      <w:r w:rsidRPr="00612F20">
        <w:rPr>
          <w:noProof/>
        </w:rPr>
        <w:t>(22)</w:t>
      </w:r>
      <w:r w:rsidRPr="00612F20">
        <w:rPr>
          <w:noProof/>
        </w:rPr>
        <w:tab/>
      </w:r>
      <w:r w:rsidR="003D2BEA" w:rsidRPr="003320DB">
        <w:rPr>
          <w:noProof/>
        </w:rPr>
        <w:t>S cieľom čo najskôr revidovať zavedený rámec vykazovania, by toto nariadenie malo nadobudnúť účinnosť dňom nasledujúcim po jeho uverejnení</w:t>
      </w:r>
      <w:r w:rsidR="003320DB">
        <w:rPr>
          <w:noProof/>
        </w:rPr>
        <w:t xml:space="preserve"> v </w:t>
      </w:r>
      <w:r w:rsidR="003D2BEA" w:rsidRPr="003320DB">
        <w:rPr>
          <w:i/>
          <w:noProof/>
        </w:rPr>
        <w:t>Úradnom vestníku Európskej únie</w:t>
      </w:r>
      <w:r w:rsidR="003D2BEA" w:rsidRPr="003320DB">
        <w:rPr>
          <w:noProof/>
        </w:rPr>
        <w:t>,</w:t>
      </w:r>
    </w:p>
    <w:p w:rsidR="00185C9B" w:rsidRPr="003320DB" w:rsidRDefault="00185C9B" w:rsidP="004E1EF9">
      <w:pPr>
        <w:pStyle w:val="Formuledadoption"/>
        <w:rPr>
          <w:noProof/>
          <w:szCs w:val="24"/>
        </w:rPr>
      </w:pPr>
      <w:r w:rsidRPr="003320DB">
        <w:rPr>
          <w:noProof/>
        </w:rPr>
        <w:t>PRIJALA TOTO NARIADENIE:</w:t>
      </w:r>
    </w:p>
    <w:p w:rsidR="00185C9B" w:rsidRPr="003320DB" w:rsidRDefault="00185C9B" w:rsidP="00134C2F">
      <w:pPr>
        <w:pStyle w:val="Titrearticle"/>
        <w:spacing w:after="0"/>
        <w:rPr>
          <w:noProof/>
          <w:szCs w:val="24"/>
        </w:rPr>
      </w:pPr>
      <w:r w:rsidRPr="003320DB">
        <w:rPr>
          <w:noProof/>
        </w:rPr>
        <w:t>Článok 1</w:t>
      </w:r>
    </w:p>
    <w:p w:rsidR="00716EA9" w:rsidRPr="003320DB" w:rsidRDefault="00716EA9" w:rsidP="00134C2F">
      <w:pPr>
        <w:pStyle w:val="Titrearticle"/>
        <w:spacing w:before="0"/>
        <w:rPr>
          <w:b/>
          <w:bCs/>
          <w:i w:val="0"/>
          <w:iCs/>
          <w:noProof/>
          <w:szCs w:val="24"/>
        </w:rPr>
      </w:pPr>
      <w:r w:rsidRPr="003320DB">
        <w:rPr>
          <w:b/>
          <w:i w:val="0"/>
          <w:noProof/>
        </w:rPr>
        <w:t>Predkladanie informácií</w:t>
      </w:r>
    </w:p>
    <w:p w:rsidR="00716EA9" w:rsidRPr="003320DB" w:rsidRDefault="00716EA9" w:rsidP="00C856B2">
      <w:pPr>
        <w:rPr>
          <w:noProof/>
        </w:rPr>
      </w:pPr>
      <w:r w:rsidRPr="003320DB">
        <w:rPr>
          <w:noProof/>
        </w:rPr>
        <w:t>Týmto nariadením sa stanovujú jednotné formáty, frekvencia</w:t>
      </w:r>
      <w:r w:rsidR="003320DB">
        <w:rPr>
          <w:noProof/>
        </w:rPr>
        <w:t xml:space="preserve"> a </w:t>
      </w:r>
      <w:r w:rsidRPr="003320DB">
        <w:rPr>
          <w:noProof/>
        </w:rPr>
        <w:t>dátumy vykazovania, pokiaľ ide</w:t>
      </w:r>
      <w:r w:rsidR="003320DB">
        <w:rPr>
          <w:noProof/>
        </w:rPr>
        <w:t xml:space="preserve"> o </w:t>
      </w:r>
      <w:r w:rsidRPr="003320DB">
        <w:rPr>
          <w:noProof/>
        </w:rPr>
        <w:t>vykazovanie inštitúciami pre ich príslušné orgány</w:t>
      </w:r>
      <w:r w:rsidR="003320DB">
        <w:rPr>
          <w:noProof/>
        </w:rPr>
        <w:t xml:space="preserve"> v </w:t>
      </w:r>
      <w:r w:rsidRPr="003320DB">
        <w:rPr>
          <w:noProof/>
        </w:rPr>
        <w:t>súlade</w:t>
      </w:r>
      <w:r w:rsidR="003320DB">
        <w:rPr>
          <w:noProof/>
        </w:rPr>
        <w:t xml:space="preserve"> s </w:t>
      </w:r>
      <w:r w:rsidRPr="003320DB">
        <w:rPr>
          <w:noProof/>
        </w:rPr>
        <w:t>článkom 415 ods. 3</w:t>
      </w:r>
      <w:r w:rsidR="003320DB">
        <w:rPr>
          <w:noProof/>
        </w:rPr>
        <w:t xml:space="preserve"> a </w:t>
      </w:r>
      <w:r w:rsidRPr="003320DB">
        <w:rPr>
          <w:noProof/>
        </w:rPr>
        <w:t xml:space="preserve">3a nariadenia (EÚ) </w:t>
      </w:r>
      <w:r w:rsidR="003320DB">
        <w:rPr>
          <w:noProof/>
        </w:rPr>
        <w:t>č. </w:t>
      </w:r>
      <w:r w:rsidRPr="003320DB">
        <w:rPr>
          <w:noProof/>
        </w:rPr>
        <w:t>575/2013</w:t>
      </w:r>
      <w:r w:rsidR="003320DB">
        <w:rPr>
          <w:noProof/>
        </w:rPr>
        <w:t xml:space="preserve"> a </w:t>
      </w:r>
      <w:r w:rsidRPr="003320DB">
        <w:rPr>
          <w:noProof/>
        </w:rPr>
        <w:t>článkom 430 ods. 1 až 4</w:t>
      </w:r>
      <w:r w:rsidR="003320DB">
        <w:rPr>
          <w:noProof/>
        </w:rPr>
        <w:t xml:space="preserve"> a </w:t>
      </w:r>
      <w:r w:rsidRPr="003320DB">
        <w:rPr>
          <w:noProof/>
        </w:rPr>
        <w:t>ods. 7</w:t>
      </w:r>
      <w:r w:rsidR="003320DB">
        <w:rPr>
          <w:noProof/>
        </w:rPr>
        <w:t xml:space="preserve"> a </w:t>
      </w:r>
      <w:r w:rsidRPr="003320DB">
        <w:rPr>
          <w:noProof/>
        </w:rPr>
        <w:t>9 uvedeného nariadenia.</w:t>
      </w:r>
    </w:p>
    <w:p w:rsidR="00716EA9" w:rsidRPr="003320DB" w:rsidRDefault="00716EA9" w:rsidP="00716EA9">
      <w:pPr>
        <w:pStyle w:val="Titrearticle"/>
        <w:rPr>
          <w:noProof/>
          <w:szCs w:val="24"/>
        </w:rPr>
      </w:pPr>
      <w:r w:rsidRPr="003320DB">
        <w:rPr>
          <w:noProof/>
        </w:rPr>
        <w:t>Článok 2</w:t>
      </w:r>
    </w:p>
    <w:p w:rsidR="00716EA9" w:rsidRPr="003320DB" w:rsidRDefault="00716EA9" w:rsidP="00F22954">
      <w:pPr>
        <w:pStyle w:val="Titrearticle"/>
        <w:spacing w:before="0"/>
        <w:rPr>
          <w:b/>
          <w:bCs/>
          <w:i w:val="0"/>
          <w:iCs/>
          <w:noProof/>
          <w:szCs w:val="24"/>
        </w:rPr>
      </w:pPr>
      <w:r w:rsidRPr="003320DB">
        <w:rPr>
          <w:b/>
          <w:i w:val="0"/>
          <w:noProof/>
        </w:rPr>
        <w:t>Referenčné dátumy vykazovania</w:t>
      </w:r>
    </w:p>
    <w:p w:rsidR="00716EA9" w:rsidRPr="003320DB" w:rsidRDefault="00612F20" w:rsidP="00612F20">
      <w:pPr>
        <w:pStyle w:val="ManualNumPar1"/>
        <w:rPr>
          <w:noProof/>
        </w:rPr>
      </w:pPr>
      <w:r w:rsidRPr="00612F20">
        <w:rPr>
          <w:noProof/>
        </w:rPr>
        <w:t>1.</w:t>
      </w:r>
      <w:r w:rsidRPr="00612F20">
        <w:rPr>
          <w:noProof/>
        </w:rPr>
        <w:tab/>
      </w:r>
      <w:r w:rsidR="00716EA9" w:rsidRPr="003320DB">
        <w:rPr>
          <w:noProof/>
        </w:rPr>
        <w:t>Inštitúcie predkladajú príslušným orgánom informácie uvedené</w:t>
      </w:r>
      <w:r w:rsidR="003320DB">
        <w:rPr>
          <w:noProof/>
        </w:rPr>
        <w:t xml:space="preserve"> v </w:t>
      </w:r>
      <w:r w:rsidR="00716EA9" w:rsidRPr="003320DB">
        <w:rPr>
          <w:noProof/>
        </w:rPr>
        <w:t>prílohe I platné</w:t>
      </w:r>
      <w:r w:rsidR="003320DB">
        <w:rPr>
          <w:noProof/>
        </w:rPr>
        <w:t xml:space="preserve"> k </w:t>
      </w:r>
      <w:r w:rsidR="00716EA9" w:rsidRPr="003320DB">
        <w:rPr>
          <w:noProof/>
        </w:rPr>
        <w:t>týmto referenčným dátumom vykazovania:</w:t>
      </w:r>
    </w:p>
    <w:p w:rsidR="00716EA9" w:rsidRPr="003320DB" w:rsidRDefault="003320DB" w:rsidP="003320DB">
      <w:pPr>
        <w:pStyle w:val="Point1"/>
        <w:rPr>
          <w:noProof/>
        </w:rPr>
      </w:pPr>
      <w:r>
        <w:rPr>
          <w:noProof/>
        </w:rPr>
        <w:t>a)</w:t>
      </w:r>
      <w:r>
        <w:rPr>
          <w:noProof/>
        </w:rPr>
        <w:tab/>
      </w:r>
      <w:r w:rsidR="00716EA9" w:rsidRPr="003320DB">
        <w:rPr>
          <w:noProof/>
        </w:rPr>
        <w:t>mesačné vykazovanie: posledný deň každého mesiaca;</w:t>
      </w:r>
    </w:p>
    <w:p w:rsidR="00716EA9" w:rsidRPr="003320DB" w:rsidRDefault="003320DB" w:rsidP="003320DB">
      <w:pPr>
        <w:pStyle w:val="Point1"/>
        <w:rPr>
          <w:noProof/>
        </w:rPr>
      </w:pPr>
      <w:r>
        <w:rPr>
          <w:noProof/>
        </w:rPr>
        <w:t>b)</w:t>
      </w:r>
      <w:r>
        <w:rPr>
          <w:noProof/>
        </w:rPr>
        <w:tab/>
      </w:r>
      <w:r w:rsidR="00716EA9" w:rsidRPr="003320DB">
        <w:rPr>
          <w:noProof/>
        </w:rPr>
        <w:t>štvrťročné vykazovanie: 31. marec, 30. jún, 30. september</w:t>
      </w:r>
      <w:r>
        <w:rPr>
          <w:noProof/>
        </w:rPr>
        <w:t xml:space="preserve"> a </w:t>
      </w:r>
      <w:r w:rsidR="00716EA9" w:rsidRPr="003320DB">
        <w:rPr>
          <w:noProof/>
        </w:rPr>
        <w:t>31. december;</w:t>
      </w:r>
    </w:p>
    <w:p w:rsidR="00716EA9" w:rsidRPr="003320DB" w:rsidRDefault="003320DB" w:rsidP="003320DB">
      <w:pPr>
        <w:pStyle w:val="Point1"/>
        <w:rPr>
          <w:noProof/>
        </w:rPr>
      </w:pPr>
      <w:r>
        <w:rPr>
          <w:noProof/>
        </w:rPr>
        <w:t>c)</w:t>
      </w:r>
      <w:r>
        <w:rPr>
          <w:noProof/>
        </w:rPr>
        <w:tab/>
      </w:r>
      <w:r w:rsidR="00716EA9" w:rsidRPr="003320DB">
        <w:rPr>
          <w:noProof/>
        </w:rPr>
        <w:t>polročné vykazovanie: 30. jún</w:t>
      </w:r>
      <w:r>
        <w:rPr>
          <w:noProof/>
        </w:rPr>
        <w:t xml:space="preserve"> a </w:t>
      </w:r>
      <w:r w:rsidR="00716EA9" w:rsidRPr="003320DB">
        <w:rPr>
          <w:noProof/>
        </w:rPr>
        <w:t>31. december;</w:t>
      </w:r>
    </w:p>
    <w:p w:rsidR="00716EA9" w:rsidRPr="003320DB" w:rsidRDefault="003320DB" w:rsidP="003320DB">
      <w:pPr>
        <w:pStyle w:val="Point1"/>
        <w:rPr>
          <w:noProof/>
        </w:rPr>
      </w:pPr>
      <w:r>
        <w:rPr>
          <w:noProof/>
        </w:rPr>
        <w:t>d)</w:t>
      </w:r>
      <w:r>
        <w:rPr>
          <w:noProof/>
        </w:rPr>
        <w:tab/>
      </w:r>
      <w:r w:rsidR="00716EA9" w:rsidRPr="003320DB">
        <w:rPr>
          <w:noProof/>
        </w:rPr>
        <w:t>ročné vykazovanie: 31. december.</w:t>
      </w:r>
    </w:p>
    <w:p w:rsidR="00716EA9" w:rsidRPr="003320DB" w:rsidRDefault="00612F20" w:rsidP="00612F20">
      <w:pPr>
        <w:pStyle w:val="ManualNumPar1"/>
        <w:rPr>
          <w:noProof/>
        </w:rPr>
      </w:pPr>
      <w:r w:rsidRPr="00612F20">
        <w:rPr>
          <w:noProof/>
        </w:rPr>
        <w:t>2.</w:t>
      </w:r>
      <w:r w:rsidRPr="00612F20">
        <w:rPr>
          <w:noProof/>
        </w:rPr>
        <w:tab/>
      </w:r>
      <w:r w:rsidR="00A50DF2" w:rsidRPr="003320DB">
        <w:rPr>
          <w:noProof/>
        </w:rPr>
        <w:t>Inštitúcie vykazujú finančné informácie uvedené</w:t>
      </w:r>
      <w:r w:rsidR="003320DB">
        <w:rPr>
          <w:noProof/>
        </w:rPr>
        <w:t xml:space="preserve"> v </w:t>
      </w:r>
      <w:r w:rsidR="00A50DF2" w:rsidRPr="003320DB">
        <w:rPr>
          <w:noProof/>
        </w:rPr>
        <w:t>prílohe I</w:t>
      </w:r>
      <w:r w:rsidR="003320DB">
        <w:rPr>
          <w:noProof/>
        </w:rPr>
        <w:t xml:space="preserve"> v </w:t>
      </w:r>
      <w:r w:rsidR="00A50DF2" w:rsidRPr="003320DB">
        <w:rPr>
          <w:noProof/>
        </w:rPr>
        <w:t>súlade so štandardmi IFRS</w:t>
      </w:r>
      <w:r w:rsidR="003320DB">
        <w:rPr>
          <w:noProof/>
        </w:rPr>
        <w:t xml:space="preserve"> a s </w:t>
      </w:r>
      <w:r w:rsidR="00A50DF2" w:rsidRPr="003320DB">
        <w:rPr>
          <w:noProof/>
        </w:rPr>
        <w:t>národnými účtovnými rámcami, pričom kumulatívne odkazujú na určité obdobie od prvého dňa finančného roka do referenčného dátumu.</w:t>
      </w:r>
    </w:p>
    <w:p w:rsidR="00716EA9" w:rsidRPr="003320DB" w:rsidRDefault="00612F20" w:rsidP="00612F20">
      <w:pPr>
        <w:pStyle w:val="ManualNumPar1"/>
        <w:rPr>
          <w:noProof/>
        </w:rPr>
      </w:pPr>
      <w:r w:rsidRPr="00612F20">
        <w:rPr>
          <w:noProof/>
        </w:rPr>
        <w:t>3.</w:t>
      </w:r>
      <w:r w:rsidRPr="00612F20">
        <w:rPr>
          <w:noProof/>
        </w:rPr>
        <w:tab/>
      </w:r>
      <w:r w:rsidR="00A50DF2" w:rsidRPr="003320DB">
        <w:rPr>
          <w:noProof/>
        </w:rPr>
        <w:t>Inštitúcie, ktoré majú podľa vnútroštátnych právnych predpisov povolenie vykazovať svoje finančné informácie na základe konca svojho finančného roka, môžu upraviť referenčné dátumy vykazovania, ak sa uvedený koniec finančného roka odchyľuje od konca kalendárneho roka, aby zosúladili tieto dátumy</w:t>
      </w:r>
      <w:r w:rsidR="003320DB">
        <w:rPr>
          <w:noProof/>
        </w:rPr>
        <w:t xml:space="preserve"> s </w:t>
      </w:r>
      <w:r w:rsidR="00A50DF2" w:rsidRPr="003320DB">
        <w:rPr>
          <w:noProof/>
        </w:rPr>
        <w:t>koncom finančného roka tak, aby sa finančné informácie, ako aj informácie vykazované</w:t>
      </w:r>
      <w:r w:rsidR="003320DB">
        <w:rPr>
          <w:noProof/>
        </w:rPr>
        <w:t xml:space="preserve"> v </w:t>
      </w:r>
      <w:r w:rsidR="00A50DF2" w:rsidRPr="003320DB">
        <w:rPr>
          <w:noProof/>
        </w:rPr>
        <w:t>súlade</w:t>
      </w:r>
      <w:r w:rsidR="003320DB">
        <w:rPr>
          <w:noProof/>
        </w:rPr>
        <w:t xml:space="preserve"> s </w:t>
      </w:r>
      <w:r w:rsidR="00A50DF2" w:rsidRPr="003320DB">
        <w:rPr>
          <w:noProof/>
        </w:rPr>
        <w:t>článkom 8</w:t>
      </w:r>
      <w:r w:rsidR="003320DB">
        <w:rPr>
          <w:noProof/>
        </w:rPr>
        <w:t xml:space="preserve"> a </w:t>
      </w:r>
      <w:r w:rsidR="00A50DF2" w:rsidRPr="003320DB">
        <w:rPr>
          <w:noProof/>
        </w:rPr>
        <w:t>informácie na identifikáciu globálnych systémovo významných inštitúcií (G-SII)</w:t>
      </w:r>
      <w:r w:rsidR="003320DB">
        <w:rPr>
          <w:noProof/>
        </w:rPr>
        <w:t xml:space="preserve"> a </w:t>
      </w:r>
      <w:r w:rsidR="00A50DF2" w:rsidRPr="003320DB">
        <w:rPr>
          <w:noProof/>
        </w:rPr>
        <w:t>priraďovanie mier vankúša pre G-SII vykazovali každých 3, 6 alebo 12 mesiacov od konca ich finančného roka.</w:t>
      </w:r>
    </w:p>
    <w:p w:rsidR="00716EA9" w:rsidRPr="003320DB" w:rsidRDefault="00716EA9" w:rsidP="00716EA9">
      <w:pPr>
        <w:pStyle w:val="Titrearticle"/>
        <w:rPr>
          <w:noProof/>
          <w:szCs w:val="24"/>
        </w:rPr>
      </w:pPr>
      <w:r w:rsidRPr="003320DB">
        <w:rPr>
          <w:noProof/>
        </w:rPr>
        <w:t>Článok 3</w:t>
      </w:r>
    </w:p>
    <w:p w:rsidR="00716EA9" w:rsidRPr="003320DB" w:rsidRDefault="00716EA9" w:rsidP="00F22954">
      <w:pPr>
        <w:pStyle w:val="Titrearticle"/>
        <w:spacing w:before="0"/>
        <w:rPr>
          <w:b/>
          <w:bCs/>
          <w:i w:val="0"/>
          <w:iCs/>
          <w:noProof/>
          <w:szCs w:val="24"/>
        </w:rPr>
      </w:pPr>
      <w:r w:rsidRPr="003320DB">
        <w:rPr>
          <w:b/>
          <w:i w:val="0"/>
          <w:noProof/>
        </w:rPr>
        <w:t>Dátumy zasielania</w:t>
      </w:r>
      <w:r w:rsidR="003320DB">
        <w:rPr>
          <w:b/>
          <w:i w:val="0"/>
          <w:noProof/>
        </w:rPr>
        <w:t xml:space="preserve"> v </w:t>
      </w:r>
      <w:r w:rsidRPr="003320DB">
        <w:rPr>
          <w:b/>
          <w:i w:val="0"/>
          <w:noProof/>
        </w:rPr>
        <w:t>súvislosti</w:t>
      </w:r>
      <w:r w:rsidR="003320DB">
        <w:rPr>
          <w:b/>
          <w:i w:val="0"/>
          <w:noProof/>
        </w:rPr>
        <w:t xml:space="preserve"> s </w:t>
      </w:r>
      <w:r w:rsidRPr="003320DB">
        <w:rPr>
          <w:b/>
          <w:i w:val="0"/>
          <w:noProof/>
        </w:rPr>
        <w:t>vykazovaním</w:t>
      </w:r>
    </w:p>
    <w:p w:rsidR="00716EA9" w:rsidRPr="003320DB" w:rsidRDefault="00612F20" w:rsidP="00612F20">
      <w:pPr>
        <w:pStyle w:val="ManualNumPar1"/>
        <w:rPr>
          <w:noProof/>
        </w:rPr>
      </w:pPr>
      <w:r w:rsidRPr="00612F20">
        <w:rPr>
          <w:noProof/>
        </w:rPr>
        <w:t>1.</w:t>
      </w:r>
      <w:r w:rsidRPr="00612F20">
        <w:rPr>
          <w:noProof/>
        </w:rPr>
        <w:tab/>
      </w:r>
      <w:r w:rsidR="00716EA9" w:rsidRPr="003320DB">
        <w:rPr>
          <w:noProof/>
        </w:rPr>
        <w:t>Inštitúcie predkladajú príslušným orgánom informácie uvedené</w:t>
      </w:r>
      <w:r w:rsidR="003320DB">
        <w:rPr>
          <w:noProof/>
        </w:rPr>
        <w:t xml:space="preserve"> v </w:t>
      </w:r>
      <w:r w:rsidR="00716EA9" w:rsidRPr="003320DB">
        <w:rPr>
          <w:noProof/>
        </w:rPr>
        <w:t>prílohe I do konca pracovnej doby</w:t>
      </w:r>
      <w:r w:rsidR="003320DB">
        <w:rPr>
          <w:noProof/>
        </w:rPr>
        <w:t xml:space="preserve"> v </w:t>
      </w:r>
      <w:r w:rsidR="00716EA9" w:rsidRPr="003320DB">
        <w:rPr>
          <w:noProof/>
        </w:rPr>
        <w:t>týchto dátumoch zasielania</w:t>
      </w:r>
      <w:r w:rsidR="003320DB">
        <w:rPr>
          <w:noProof/>
        </w:rPr>
        <w:t xml:space="preserve"> v </w:t>
      </w:r>
      <w:r w:rsidR="00716EA9" w:rsidRPr="003320DB">
        <w:rPr>
          <w:noProof/>
        </w:rPr>
        <w:t>súvislosti</w:t>
      </w:r>
      <w:r w:rsidR="003320DB">
        <w:rPr>
          <w:noProof/>
        </w:rPr>
        <w:t xml:space="preserve"> s </w:t>
      </w:r>
      <w:r w:rsidR="00716EA9" w:rsidRPr="003320DB">
        <w:rPr>
          <w:noProof/>
        </w:rPr>
        <w:t>vykazovaním:</w:t>
      </w:r>
    </w:p>
    <w:p w:rsidR="00716EA9" w:rsidRPr="003320DB" w:rsidRDefault="003320DB" w:rsidP="003320DB">
      <w:pPr>
        <w:pStyle w:val="Point1"/>
        <w:rPr>
          <w:noProof/>
        </w:rPr>
      </w:pPr>
      <w:r>
        <w:rPr>
          <w:noProof/>
        </w:rPr>
        <w:t>a)</w:t>
      </w:r>
      <w:r>
        <w:rPr>
          <w:noProof/>
        </w:rPr>
        <w:tab/>
      </w:r>
      <w:r w:rsidR="00716EA9" w:rsidRPr="003320DB">
        <w:rPr>
          <w:noProof/>
        </w:rPr>
        <w:t>mesačné vykazovanie: 15. kalendárny deň po referenčnom dátume vykazovania;</w:t>
      </w:r>
    </w:p>
    <w:p w:rsidR="00716EA9" w:rsidRPr="003320DB" w:rsidRDefault="003320DB" w:rsidP="003320DB">
      <w:pPr>
        <w:pStyle w:val="Point1"/>
        <w:rPr>
          <w:noProof/>
        </w:rPr>
      </w:pPr>
      <w:r>
        <w:rPr>
          <w:noProof/>
        </w:rPr>
        <w:t>b)</w:t>
      </w:r>
      <w:r>
        <w:rPr>
          <w:noProof/>
        </w:rPr>
        <w:tab/>
      </w:r>
      <w:r w:rsidR="00716EA9" w:rsidRPr="003320DB">
        <w:rPr>
          <w:noProof/>
        </w:rPr>
        <w:t>štvrťročné vykazovanie: 12. máj, 11. august, 11. november</w:t>
      </w:r>
      <w:r>
        <w:rPr>
          <w:noProof/>
        </w:rPr>
        <w:t xml:space="preserve"> a </w:t>
      </w:r>
      <w:r w:rsidR="00716EA9" w:rsidRPr="003320DB">
        <w:rPr>
          <w:noProof/>
        </w:rPr>
        <w:t>11. február;</w:t>
      </w:r>
    </w:p>
    <w:p w:rsidR="00716EA9" w:rsidRPr="003320DB" w:rsidRDefault="003320DB" w:rsidP="003320DB">
      <w:pPr>
        <w:pStyle w:val="Point1"/>
        <w:rPr>
          <w:noProof/>
        </w:rPr>
      </w:pPr>
      <w:r>
        <w:rPr>
          <w:noProof/>
        </w:rPr>
        <w:t>c)</w:t>
      </w:r>
      <w:r>
        <w:rPr>
          <w:noProof/>
        </w:rPr>
        <w:tab/>
      </w:r>
      <w:r w:rsidR="00716EA9" w:rsidRPr="003320DB">
        <w:rPr>
          <w:noProof/>
        </w:rPr>
        <w:t>polročné vykazovanie: 11. august</w:t>
      </w:r>
      <w:r>
        <w:rPr>
          <w:noProof/>
        </w:rPr>
        <w:t xml:space="preserve"> a </w:t>
      </w:r>
      <w:r w:rsidR="00716EA9" w:rsidRPr="003320DB">
        <w:rPr>
          <w:noProof/>
        </w:rPr>
        <w:t>11. február;</w:t>
      </w:r>
    </w:p>
    <w:p w:rsidR="003320DB" w:rsidRDefault="003320DB" w:rsidP="003320DB">
      <w:pPr>
        <w:pStyle w:val="Point1"/>
        <w:rPr>
          <w:noProof/>
        </w:rPr>
      </w:pPr>
      <w:r>
        <w:rPr>
          <w:noProof/>
        </w:rPr>
        <w:t>d)</w:t>
      </w:r>
      <w:r>
        <w:rPr>
          <w:noProof/>
        </w:rPr>
        <w:tab/>
      </w:r>
      <w:r w:rsidR="00716EA9" w:rsidRPr="003320DB">
        <w:rPr>
          <w:noProof/>
        </w:rPr>
        <w:t>ročné vykazovanie: 11. február</w:t>
      </w:r>
      <w:r>
        <w:rPr>
          <w:noProof/>
        </w:rPr>
        <w:t>.</w:t>
      </w:r>
    </w:p>
    <w:p w:rsidR="00716EA9" w:rsidRPr="003320DB" w:rsidRDefault="00612F20" w:rsidP="00612F20">
      <w:pPr>
        <w:pStyle w:val="ManualNumPar1"/>
        <w:rPr>
          <w:noProof/>
        </w:rPr>
      </w:pPr>
      <w:r w:rsidRPr="00612F20">
        <w:rPr>
          <w:noProof/>
        </w:rPr>
        <w:t>2.</w:t>
      </w:r>
      <w:r w:rsidRPr="00612F20">
        <w:rPr>
          <w:noProof/>
        </w:rPr>
        <w:tab/>
      </w:r>
      <w:r w:rsidR="00D637BD" w:rsidRPr="003320DB">
        <w:rPr>
          <w:noProof/>
        </w:rPr>
        <w:t>Ak pripadá</w:t>
      </w:r>
      <w:r w:rsidR="003320DB">
        <w:rPr>
          <w:noProof/>
        </w:rPr>
        <w:t xml:space="preserve"> v </w:t>
      </w:r>
      <w:r w:rsidR="00D637BD" w:rsidRPr="003320DB">
        <w:rPr>
          <w:noProof/>
        </w:rPr>
        <w:t>členskom štáte príslušného orgánu, ktorému sa výkaz má poskytnúť, dátum zasielania</w:t>
      </w:r>
      <w:r w:rsidR="003320DB">
        <w:rPr>
          <w:noProof/>
        </w:rPr>
        <w:t xml:space="preserve"> v </w:t>
      </w:r>
      <w:r w:rsidR="00D637BD" w:rsidRPr="003320DB">
        <w:rPr>
          <w:noProof/>
        </w:rPr>
        <w:t>súvislosti</w:t>
      </w:r>
      <w:r w:rsidR="003320DB">
        <w:rPr>
          <w:noProof/>
        </w:rPr>
        <w:t xml:space="preserve"> s </w:t>
      </w:r>
      <w:r w:rsidR="00D637BD" w:rsidRPr="003320DB">
        <w:rPr>
          <w:noProof/>
        </w:rPr>
        <w:t>vykazovaním na štátny sviatok alebo na sobotu či nedeľu, predmetné inštitúcie predkladajú údaje</w:t>
      </w:r>
      <w:r w:rsidR="003320DB">
        <w:rPr>
          <w:noProof/>
        </w:rPr>
        <w:t xml:space="preserve"> v </w:t>
      </w:r>
      <w:r w:rsidR="00D637BD" w:rsidRPr="003320DB">
        <w:rPr>
          <w:noProof/>
        </w:rPr>
        <w:t>nasledujúci pracovný deň.</w:t>
      </w:r>
    </w:p>
    <w:p w:rsidR="00716EA9" w:rsidRPr="003320DB" w:rsidRDefault="00612F20" w:rsidP="00612F20">
      <w:pPr>
        <w:pStyle w:val="ManualNumPar1"/>
        <w:rPr>
          <w:noProof/>
        </w:rPr>
      </w:pPr>
      <w:r w:rsidRPr="00612F20">
        <w:rPr>
          <w:noProof/>
        </w:rPr>
        <w:t>3.</w:t>
      </w:r>
      <w:r w:rsidRPr="00612F20">
        <w:rPr>
          <w:noProof/>
        </w:rPr>
        <w:tab/>
      </w:r>
      <w:r w:rsidR="00923761" w:rsidRPr="003320DB">
        <w:rPr>
          <w:noProof/>
        </w:rPr>
        <w:t>Inštitúcie, ktoré vykazujú finančné informácie uvedené</w:t>
      </w:r>
      <w:r w:rsidR="003320DB">
        <w:rPr>
          <w:noProof/>
        </w:rPr>
        <w:t xml:space="preserve"> v </w:t>
      </w:r>
      <w:r w:rsidR="00923761" w:rsidRPr="003320DB">
        <w:rPr>
          <w:noProof/>
        </w:rPr>
        <w:t>prílohe I alebo informácie vykazované</w:t>
      </w:r>
      <w:r w:rsidR="003320DB">
        <w:rPr>
          <w:noProof/>
        </w:rPr>
        <w:t xml:space="preserve"> v </w:t>
      </w:r>
      <w:r w:rsidR="00923761" w:rsidRPr="003320DB">
        <w:rPr>
          <w:noProof/>
        </w:rPr>
        <w:t>súlade</w:t>
      </w:r>
      <w:r w:rsidR="003320DB">
        <w:rPr>
          <w:noProof/>
        </w:rPr>
        <w:t xml:space="preserve"> s </w:t>
      </w:r>
      <w:r w:rsidR="00923761" w:rsidRPr="003320DB">
        <w:rPr>
          <w:noProof/>
        </w:rPr>
        <w:t>článkom 8 alebo informácie na účely identifikovania G-SII</w:t>
      </w:r>
      <w:r w:rsidR="003320DB">
        <w:rPr>
          <w:noProof/>
        </w:rPr>
        <w:t xml:space="preserve"> a </w:t>
      </w:r>
      <w:r w:rsidR="00923761" w:rsidRPr="003320DB">
        <w:rPr>
          <w:noProof/>
        </w:rPr>
        <w:t>priraďovania mier vankúša pre G-SII</w:t>
      </w:r>
      <w:r w:rsidR="003320DB">
        <w:rPr>
          <w:noProof/>
        </w:rPr>
        <w:t xml:space="preserve"> s </w:t>
      </w:r>
      <w:r w:rsidR="00923761" w:rsidRPr="003320DB">
        <w:rPr>
          <w:noProof/>
        </w:rPr>
        <w:t>použitím upravených referenčných dátumov vykazovania na základe konca ich finančného roka, ako sa stanovuje</w:t>
      </w:r>
      <w:r w:rsidR="003320DB">
        <w:rPr>
          <w:noProof/>
        </w:rPr>
        <w:t xml:space="preserve"> v </w:t>
      </w:r>
      <w:r w:rsidR="00923761" w:rsidRPr="003320DB">
        <w:rPr>
          <w:noProof/>
        </w:rPr>
        <w:t>článku 2 ods. 3, môžu upraviť dátumy zasielania</w:t>
      </w:r>
      <w:r w:rsidR="003320DB">
        <w:rPr>
          <w:noProof/>
        </w:rPr>
        <w:t xml:space="preserve"> v </w:t>
      </w:r>
      <w:r w:rsidR="00923761" w:rsidRPr="003320DB">
        <w:rPr>
          <w:noProof/>
        </w:rPr>
        <w:t>súvislosti</w:t>
      </w:r>
      <w:r w:rsidR="003320DB">
        <w:rPr>
          <w:noProof/>
        </w:rPr>
        <w:t xml:space="preserve"> s </w:t>
      </w:r>
      <w:r w:rsidR="00923761" w:rsidRPr="003320DB">
        <w:rPr>
          <w:noProof/>
        </w:rPr>
        <w:t>vykazovaním tak, aby sa zachovalo rovnaké obdobie zasielania</w:t>
      </w:r>
      <w:r w:rsidR="003320DB">
        <w:rPr>
          <w:noProof/>
        </w:rPr>
        <w:t xml:space="preserve"> v </w:t>
      </w:r>
      <w:r w:rsidR="00923761" w:rsidRPr="003320DB">
        <w:rPr>
          <w:noProof/>
        </w:rPr>
        <w:t>súvislosti</w:t>
      </w:r>
      <w:r w:rsidR="003320DB">
        <w:rPr>
          <w:noProof/>
        </w:rPr>
        <w:t xml:space="preserve"> s </w:t>
      </w:r>
      <w:r w:rsidR="00923761" w:rsidRPr="003320DB">
        <w:rPr>
          <w:noProof/>
        </w:rPr>
        <w:t>vykazovaním od upraveného referenčného dátumu vykazovania.</w:t>
      </w:r>
    </w:p>
    <w:p w:rsidR="00716EA9" w:rsidRPr="003320DB" w:rsidRDefault="00612F20" w:rsidP="00612F20">
      <w:pPr>
        <w:pStyle w:val="ManualNumPar1"/>
        <w:rPr>
          <w:noProof/>
        </w:rPr>
      </w:pPr>
      <w:r w:rsidRPr="00612F20">
        <w:rPr>
          <w:noProof/>
        </w:rPr>
        <w:t>4.</w:t>
      </w:r>
      <w:r w:rsidRPr="00612F20">
        <w:rPr>
          <w:noProof/>
        </w:rPr>
        <w:tab/>
      </w:r>
      <w:r w:rsidR="00716EA9" w:rsidRPr="003320DB">
        <w:rPr>
          <w:noProof/>
        </w:rPr>
        <w:t>Inštitúcie môžu predkladať neauditované údaje. Ak sa auditované údaje líšia od predložených neauditovaných údajov, inštitúcie bez zbytočného odkladu predkladajú revidované, auditované údaje. Neauditované údaje sú údaje, ku ktorým externý audítor neposkytol stanovisko, pričom auditované údaje sú údaje podrobené auditu externým audítorom, ktorý vyjadril audítorský výrok.</w:t>
      </w:r>
    </w:p>
    <w:p w:rsidR="00716EA9" w:rsidRPr="003320DB" w:rsidRDefault="00612F20" w:rsidP="00612F20">
      <w:pPr>
        <w:pStyle w:val="ManualNumPar1"/>
        <w:rPr>
          <w:noProof/>
        </w:rPr>
      </w:pPr>
      <w:r w:rsidRPr="00612F20">
        <w:rPr>
          <w:noProof/>
        </w:rPr>
        <w:t>5.</w:t>
      </w:r>
      <w:r w:rsidRPr="00612F20">
        <w:rPr>
          <w:noProof/>
        </w:rPr>
        <w:tab/>
      </w:r>
      <w:r w:rsidR="00F22954" w:rsidRPr="003320DB">
        <w:rPr>
          <w:noProof/>
        </w:rPr>
        <w:t>Inštitúcie bez zbytočného odkladu predkladajú príslušným orgánom iné opravy predložených správ, než sú opravy uvedené</w:t>
      </w:r>
      <w:r w:rsidR="003320DB">
        <w:rPr>
          <w:noProof/>
        </w:rPr>
        <w:t xml:space="preserve"> v </w:t>
      </w:r>
      <w:r w:rsidR="00F22954" w:rsidRPr="003320DB">
        <w:rPr>
          <w:noProof/>
        </w:rPr>
        <w:t>odseku 4.</w:t>
      </w:r>
    </w:p>
    <w:p w:rsidR="00716EA9" w:rsidRPr="003320DB" w:rsidRDefault="00716EA9" w:rsidP="00716EA9">
      <w:pPr>
        <w:pStyle w:val="Titrearticle"/>
        <w:rPr>
          <w:noProof/>
          <w:szCs w:val="24"/>
        </w:rPr>
      </w:pPr>
      <w:r w:rsidRPr="003320DB">
        <w:rPr>
          <w:noProof/>
        </w:rPr>
        <w:t>Článok 4</w:t>
      </w:r>
    </w:p>
    <w:p w:rsidR="00716EA9" w:rsidRPr="003320DB" w:rsidRDefault="00716EA9" w:rsidP="00F22954">
      <w:pPr>
        <w:pStyle w:val="Titrearticle"/>
        <w:spacing w:before="0"/>
        <w:rPr>
          <w:b/>
          <w:bCs/>
          <w:i w:val="0"/>
          <w:iCs/>
          <w:noProof/>
          <w:szCs w:val="24"/>
        </w:rPr>
      </w:pPr>
      <w:r w:rsidRPr="003320DB">
        <w:rPr>
          <w:b/>
          <w:i w:val="0"/>
          <w:noProof/>
        </w:rPr>
        <w:t>Prahové hodnoty pre vykazovanie – kritériá vstupu</w:t>
      </w:r>
      <w:r w:rsidR="003320DB">
        <w:rPr>
          <w:b/>
          <w:i w:val="0"/>
          <w:noProof/>
        </w:rPr>
        <w:t xml:space="preserve"> a </w:t>
      </w:r>
      <w:r w:rsidRPr="003320DB">
        <w:rPr>
          <w:b/>
          <w:i w:val="0"/>
          <w:noProof/>
        </w:rPr>
        <w:t>výstupu</w:t>
      </w:r>
    </w:p>
    <w:p w:rsidR="00716EA9" w:rsidRPr="003320DB" w:rsidRDefault="00612F20" w:rsidP="00612F20">
      <w:pPr>
        <w:pStyle w:val="ManualNumPar1"/>
        <w:rPr>
          <w:noProof/>
        </w:rPr>
      </w:pPr>
      <w:r w:rsidRPr="00612F20">
        <w:rPr>
          <w:noProof/>
        </w:rPr>
        <w:t>1.</w:t>
      </w:r>
      <w:r w:rsidRPr="00612F20">
        <w:rPr>
          <w:noProof/>
        </w:rPr>
        <w:tab/>
      </w:r>
      <w:r w:rsidR="003F44DA" w:rsidRPr="003320DB">
        <w:rPr>
          <w:noProof/>
        </w:rPr>
        <w:t>Malé</w:t>
      </w:r>
      <w:r w:rsidR="003320DB">
        <w:rPr>
          <w:noProof/>
        </w:rPr>
        <w:t xml:space="preserve"> a </w:t>
      </w:r>
      <w:r w:rsidR="003F44DA" w:rsidRPr="003320DB">
        <w:rPr>
          <w:noProof/>
        </w:rPr>
        <w:t>menej zložité inštitúcie začínajú vykazovať informácie uvedené</w:t>
      </w:r>
      <w:r w:rsidR="003320DB">
        <w:rPr>
          <w:noProof/>
        </w:rPr>
        <w:t xml:space="preserve"> v </w:t>
      </w:r>
      <w:r w:rsidR="003F44DA" w:rsidRPr="003320DB">
        <w:rPr>
          <w:noProof/>
        </w:rPr>
        <w:t>prílohe I</w:t>
      </w:r>
      <w:r w:rsidR="003320DB">
        <w:rPr>
          <w:noProof/>
        </w:rPr>
        <w:t xml:space="preserve"> k </w:t>
      </w:r>
      <w:r w:rsidR="003F44DA" w:rsidRPr="003320DB">
        <w:rPr>
          <w:noProof/>
        </w:rPr>
        <w:t>prvému referenčnému dátumu vykazovania nasledujúcemu po dátume, ku ktorému tieto inštitúcie splnili kritériá stanovené</w:t>
      </w:r>
      <w:r w:rsidR="003320DB">
        <w:rPr>
          <w:noProof/>
        </w:rPr>
        <w:t xml:space="preserve"> v </w:t>
      </w:r>
      <w:r w:rsidR="003F44DA" w:rsidRPr="003320DB">
        <w:rPr>
          <w:noProof/>
        </w:rPr>
        <w:t xml:space="preserve">článku 4 ods. 1 bode 145 nariadenia (EÚ) </w:t>
      </w:r>
      <w:r w:rsidR="003320DB">
        <w:rPr>
          <w:noProof/>
        </w:rPr>
        <w:t>č. </w:t>
      </w:r>
      <w:r w:rsidR="003F44DA" w:rsidRPr="003320DB">
        <w:rPr>
          <w:noProof/>
        </w:rPr>
        <w:t>575/2013. Inštitúcie, ktoré už nespĺňajú uvedené kritériá, prestanú vykazovať uvedené informácie</w:t>
      </w:r>
      <w:r w:rsidR="003320DB">
        <w:rPr>
          <w:noProof/>
        </w:rPr>
        <w:t xml:space="preserve"> k </w:t>
      </w:r>
      <w:r w:rsidR="003F44DA" w:rsidRPr="003320DB">
        <w:rPr>
          <w:noProof/>
        </w:rPr>
        <w:t>prvému referenčnému dátumu vykazovania nasledujúcemu po dátume, ku ktorému už uvedené kritériá nespĺňajú.</w:t>
      </w:r>
    </w:p>
    <w:p w:rsidR="00716EA9" w:rsidRPr="003320DB" w:rsidRDefault="00612F20" w:rsidP="00612F20">
      <w:pPr>
        <w:pStyle w:val="ManualNumPar1"/>
        <w:rPr>
          <w:noProof/>
        </w:rPr>
      </w:pPr>
      <w:r w:rsidRPr="00612F20">
        <w:rPr>
          <w:noProof/>
        </w:rPr>
        <w:t>2.</w:t>
      </w:r>
      <w:r w:rsidRPr="00612F20">
        <w:rPr>
          <w:noProof/>
        </w:rPr>
        <w:tab/>
      </w:r>
      <w:r w:rsidR="003F44DA" w:rsidRPr="003320DB">
        <w:rPr>
          <w:noProof/>
        </w:rPr>
        <w:t>Veľké inštitúcie začínajú vykazovať informácie uvedené</w:t>
      </w:r>
      <w:r w:rsidR="003320DB">
        <w:rPr>
          <w:noProof/>
        </w:rPr>
        <w:t xml:space="preserve"> v </w:t>
      </w:r>
      <w:r w:rsidR="003F44DA" w:rsidRPr="003320DB">
        <w:rPr>
          <w:noProof/>
        </w:rPr>
        <w:t>prílohe I</w:t>
      </w:r>
      <w:r w:rsidR="003320DB">
        <w:rPr>
          <w:noProof/>
        </w:rPr>
        <w:t xml:space="preserve"> k </w:t>
      </w:r>
      <w:r w:rsidR="003F44DA" w:rsidRPr="003320DB">
        <w:rPr>
          <w:noProof/>
        </w:rPr>
        <w:t>prvému referenčnému dátumu vykazovania nasledujúcemu po dátume, ku ktorému tieto inštitúcie splnili kritériá stanovené</w:t>
      </w:r>
      <w:r w:rsidR="003320DB">
        <w:rPr>
          <w:noProof/>
        </w:rPr>
        <w:t xml:space="preserve"> v </w:t>
      </w:r>
      <w:r w:rsidR="003F44DA" w:rsidRPr="003320DB">
        <w:rPr>
          <w:noProof/>
        </w:rPr>
        <w:t xml:space="preserve">článku 4 ods. 1 bode 146 nariadenia (EÚ) </w:t>
      </w:r>
      <w:r w:rsidR="003320DB">
        <w:rPr>
          <w:noProof/>
        </w:rPr>
        <w:t>č. </w:t>
      </w:r>
      <w:r w:rsidR="003F44DA" w:rsidRPr="003320DB">
        <w:rPr>
          <w:noProof/>
        </w:rPr>
        <w:t>575/2013. Inštitúcie, ktoré už nespĺňajú uvedené kritériá, prestanú vykazovať predmetné informácie</w:t>
      </w:r>
      <w:r w:rsidR="003320DB">
        <w:rPr>
          <w:noProof/>
        </w:rPr>
        <w:t xml:space="preserve"> k </w:t>
      </w:r>
      <w:r w:rsidR="003F44DA" w:rsidRPr="003320DB">
        <w:rPr>
          <w:noProof/>
        </w:rPr>
        <w:t>prvému referenčnému dátumu vykazovania, ku ktorému už uvedené kritériá nespĺňajú.</w:t>
      </w:r>
    </w:p>
    <w:p w:rsidR="00716EA9" w:rsidRPr="003320DB" w:rsidRDefault="00612F20" w:rsidP="00612F20">
      <w:pPr>
        <w:pStyle w:val="ManualNumPar1"/>
        <w:rPr>
          <w:noProof/>
        </w:rPr>
      </w:pPr>
      <w:r w:rsidRPr="00612F20">
        <w:rPr>
          <w:noProof/>
        </w:rPr>
        <w:t>3.</w:t>
      </w:r>
      <w:r w:rsidRPr="00612F20">
        <w:rPr>
          <w:noProof/>
        </w:rPr>
        <w:tab/>
      </w:r>
      <w:r w:rsidR="00716EA9" w:rsidRPr="003320DB">
        <w:rPr>
          <w:noProof/>
        </w:rPr>
        <w:t>Inštitúcie začínajú vykazovať informácie uvedené</w:t>
      </w:r>
      <w:r w:rsidR="003320DB">
        <w:rPr>
          <w:noProof/>
        </w:rPr>
        <w:t xml:space="preserve"> v </w:t>
      </w:r>
      <w:r w:rsidR="00716EA9" w:rsidRPr="003320DB">
        <w:rPr>
          <w:noProof/>
        </w:rPr>
        <w:t>prílohe I, na ktoré sa vzťahujú prahové hodnoty stanovené</w:t>
      </w:r>
      <w:r w:rsidR="003320DB">
        <w:rPr>
          <w:noProof/>
        </w:rPr>
        <w:t xml:space="preserve"> v </w:t>
      </w:r>
      <w:r w:rsidR="00716EA9" w:rsidRPr="003320DB">
        <w:rPr>
          <w:noProof/>
        </w:rPr>
        <w:t>článku 5 ods. 2</w:t>
      </w:r>
      <w:r w:rsidR="003320DB">
        <w:rPr>
          <w:noProof/>
        </w:rPr>
        <w:t xml:space="preserve"> a </w:t>
      </w:r>
      <w:r w:rsidR="00716EA9" w:rsidRPr="003320DB">
        <w:rPr>
          <w:noProof/>
        </w:rPr>
        <w:t>3, článku 6 ods. 2</w:t>
      </w:r>
      <w:r w:rsidR="003320DB">
        <w:rPr>
          <w:noProof/>
        </w:rPr>
        <w:t xml:space="preserve"> a </w:t>
      </w:r>
      <w:r w:rsidR="00716EA9" w:rsidRPr="003320DB">
        <w:rPr>
          <w:noProof/>
        </w:rPr>
        <w:t>3, článkoch 11</w:t>
      </w:r>
      <w:r w:rsidR="003320DB">
        <w:rPr>
          <w:noProof/>
        </w:rPr>
        <w:t xml:space="preserve"> a </w:t>
      </w:r>
      <w:r w:rsidR="00716EA9" w:rsidRPr="003320DB">
        <w:rPr>
          <w:noProof/>
        </w:rPr>
        <w:t>12, článku 15 ods. 2 až 5</w:t>
      </w:r>
      <w:r w:rsidR="003320DB">
        <w:rPr>
          <w:noProof/>
        </w:rPr>
        <w:t xml:space="preserve"> a </w:t>
      </w:r>
      <w:r w:rsidR="00716EA9" w:rsidRPr="003320DB">
        <w:rPr>
          <w:noProof/>
        </w:rPr>
        <w:t>článkoch 17 až 20 tohto nariadenia,</w:t>
      </w:r>
      <w:r w:rsidR="003320DB">
        <w:rPr>
          <w:noProof/>
        </w:rPr>
        <w:t xml:space="preserve"> k </w:t>
      </w:r>
      <w:r w:rsidR="00716EA9" w:rsidRPr="003320DB">
        <w:rPr>
          <w:noProof/>
        </w:rPr>
        <w:t>referenčnému dátumu vykazovania nasledujúcemu po dátume, ku ktorému boli uvedené prahové hodnoty prekročené</w:t>
      </w:r>
      <w:r w:rsidR="003320DB">
        <w:rPr>
          <w:noProof/>
        </w:rPr>
        <w:t xml:space="preserve"> k </w:t>
      </w:r>
      <w:r w:rsidR="00716EA9" w:rsidRPr="003320DB">
        <w:rPr>
          <w:noProof/>
        </w:rPr>
        <w:t>dvom po sebe nasledujúcim referenčným dátumom vykazovania. Inštitúcie môžu ukončiť vykazovanie informácií, na ktoré sa vzťahujú prahové hodnoty stanovené</w:t>
      </w:r>
      <w:r w:rsidR="003320DB">
        <w:rPr>
          <w:noProof/>
        </w:rPr>
        <w:t xml:space="preserve"> v </w:t>
      </w:r>
      <w:r w:rsidR="00716EA9" w:rsidRPr="003320DB">
        <w:rPr>
          <w:noProof/>
        </w:rPr>
        <w:t>tomto nariadení</w:t>
      </w:r>
      <w:r w:rsidR="003320DB">
        <w:rPr>
          <w:noProof/>
        </w:rPr>
        <w:t xml:space="preserve"> k </w:t>
      </w:r>
      <w:r w:rsidR="00716EA9" w:rsidRPr="003320DB">
        <w:rPr>
          <w:noProof/>
        </w:rPr>
        <w:t>referenčnému dátumu vykazovania nasledujúcemu po dátume, ku ktorému klesli pod príslušné prahové hodnoty</w:t>
      </w:r>
      <w:r w:rsidR="003320DB">
        <w:rPr>
          <w:noProof/>
        </w:rPr>
        <w:t xml:space="preserve"> k </w:t>
      </w:r>
      <w:r w:rsidR="00716EA9" w:rsidRPr="003320DB">
        <w:rPr>
          <w:noProof/>
        </w:rPr>
        <w:t>trom po sebe nasledujúcim referenčným dátumom vykazovania.</w:t>
      </w:r>
    </w:p>
    <w:p w:rsidR="003320DB" w:rsidRDefault="00612F20" w:rsidP="00612F20">
      <w:pPr>
        <w:pStyle w:val="ManualNumPar1"/>
        <w:rPr>
          <w:noProof/>
        </w:rPr>
      </w:pPr>
      <w:r w:rsidRPr="00612F20">
        <w:rPr>
          <w:noProof/>
        </w:rPr>
        <w:t>4.</w:t>
      </w:r>
      <w:r w:rsidRPr="00612F20">
        <w:rPr>
          <w:noProof/>
        </w:rPr>
        <w:tab/>
      </w:r>
      <w:r w:rsidR="00716EA9" w:rsidRPr="003320DB">
        <w:rPr>
          <w:noProof/>
        </w:rPr>
        <w:t>Odchylne od odseku 3 inštitúcie začínajú vykazovať informácie, ak počas šiestich mesiacov predchádzajúcich referenčnému dátumu spĺňajú ktorúkoľvek</w:t>
      </w:r>
      <w:r w:rsidR="003320DB">
        <w:rPr>
          <w:noProof/>
        </w:rPr>
        <w:t xml:space="preserve"> z </w:t>
      </w:r>
      <w:r w:rsidR="00716EA9" w:rsidRPr="003320DB">
        <w:rPr>
          <w:noProof/>
        </w:rPr>
        <w:t>týchto podmienok</w:t>
      </w:r>
      <w:r w:rsidR="003320DB">
        <w:rPr>
          <w:noProof/>
        </w:rPr>
        <w:t>:</w:t>
      </w:r>
    </w:p>
    <w:p w:rsidR="00716EA9" w:rsidRPr="003320DB" w:rsidRDefault="003320DB" w:rsidP="003320DB">
      <w:pPr>
        <w:pStyle w:val="Point1"/>
        <w:rPr>
          <w:noProof/>
          <w:color w:val="000000"/>
        </w:rPr>
      </w:pPr>
      <w:r>
        <w:rPr>
          <w:noProof/>
        </w:rPr>
        <w:t>a)</w:t>
      </w:r>
      <w:r>
        <w:rPr>
          <w:noProof/>
        </w:rPr>
        <w:tab/>
      </w:r>
      <w:r w:rsidR="00716EA9" w:rsidRPr="003320DB">
        <w:rPr>
          <w:noProof/>
        </w:rPr>
        <w:t>dotknutej inštitúcii bolo udelené povolenie začať svoju činnosť ako úverová inštitúcia podľa článku 8 smernice Európskeho parlamentu</w:t>
      </w:r>
      <w:r>
        <w:rPr>
          <w:noProof/>
        </w:rPr>
        <w:t xml:space="preserve"> a </w:t>
      </w:r>
      <w:r w:rsidR="00716EA9" w:rsidRPr="003320DB">
        <w:rPr>
          <w:noProof/>
        </w:rPr>
        <w:t>Rady 2013/36/EÚ</w:t>
      </w:r>
      <w:r w:rsidR="00716EA9" w:rsidRPr="003320DB">
        <w:rPr>
          <w:rStyle w:val="FootnoteReference"/>
          <w:rFonts w:eastAsia="Times New Roman"/>
          <w:bCs/>
          <w:noProof/>
          <w:szCs w:val="24"/>
          <w:lang w:eastAsia="fr-BE"/>
        </w:rPr>
        <w:footnoteReference w:id="6"/>
      </w:r>
      <w:r w:rsidR="00716EA9" w:rsidRPr="003320DB">
        <w:rPr>
          <w:noProof/>
        </w:rPr>
        <w:t>;</w:t>
      </w:r>
    </w:p>
    <w:p w:rsidR="00716EA9" w:rsidRPr="003320DB" w:rsidRDefault="003320DB" w:rsidP="003320DB">
      <w:pPr>
        <w:pStyle w:val="Point1"/>
        <w:rPr>
          <w:noProof/>
          <w:color w:val="000000"/>
        </w:rPr>
      </w:pPr>
      <w:r>
        <w:rPr>
          <w:noProof/>
        </w:rPr>
        <w:t>b)</w:t>
      </w:r>
      <w:r>
        <w:rPr>
          <w:noProof/>
        </w:rPr>
        <w:tab/>
      </w:r>
      <w:r w:rsidR="00716EA9" w:rsidRPr="003320DB">
        <w:rPr>
          <w:noProof/>
        </w:rPr>
        <w:t xml:space="preserve">inštitúcia je investičnou spoločnosťou, na ktorú sa vzťahuje nariadenie (EÚ) </w:t>
      </w:r>
      <w:r>
        <w:rPr>
          <w:noProof/>
        </w:rPr>
        <w:t>č. </w:t>
      </w:r>
      <w:r w:rsidR="00716EA9" w:rsidRPr="003320DB">
        <w:rPr>
          <w:noProof/>
        </w:rPr>
        <w:t>575/2013</w:t>
      </w:r>
      <w:r>
        <w:rPr>
          <w:noProof/>
        </w:rPr>
        <w:t xml:space="preserve"> z </w:t>
      </w:r>
      <w:r w:rsidR="00716EA9" w:rsidRPr="003320DB">
        <w:rPr>
          <w:noProof/>
        </w:rPr>
        <w:t>dôvodu prekročenia prahovej hodnoty stanovenej</w:t>
      </w:r>
      <w:r>
        <w:rPr>
          <w:noProof/>
        </w:rPr>
        <w:t xml:space="preserve"> v </w:t>
      </w:r>
      <w:r w:rsidR="00716EA9" w:rsidRPr="003320DB">
        <w:rPr>
          <w:noProof/>
        </w:rPr>
        <w:t>článku 4 ods. 1 bode 1 písm. b) uvedeného nariadenia alebo na základe rozhodnutia príslušného orgánu</w:t>
      </w:r>
      <w:r>
        <w:rPr>
          <w:noProof/>
        </w:rPr>
        <w:t xml:space="preserve"> v </w:t>
      </w:r>
      <w:r w:rsidR="00716EA9" w:rsidRPr="003320DB">
        <w:rPr>
          <w:noProof/>
        </w:rPr>
        <w:t>súlade</w:t>
      </w:r>
      <w:r>
        <w:rPr>
          <w:noProof/>
        </w:rPr>
        <w:t xml:space="preserve"> s </w:t>
      </w:r>
      <w:r w:rsidR="00716EA9" w:rsidRPr="003320DB">
        <w:rPr>
          <w:noProof/>
        </w:rPr>
        <w:t>článkom 5 smernice Európskeho parlamentu</w:t>
      </w:r>
      <w:r>
        <w:rPr>
          <w:noProof/>
        </w:rPr>
        <w:t xml:space="preserve"> a </w:t>
      </w:r>
      <w:r w:rsidR="00716EA9" w:rsidRPr="003320DB">
        <w:rPr>
          <w:noProof/>
        </w:rPr>
        <w:t>Rady (EÚ) 2019/2034</w:t>
      </w:r>
      <w:r w:rsidR="00716EA9" w:rsidRPr="003320DB">
        <w:rPr>
          <w:rStyle w:val="FootnoteReference"/>
          <w:rFonts w:eastAsia="Times New Roman"/>
          <w:bCs/>
          <w:noProof/>
          <w:szCs w:val="24"/>
          <w:lang w:eastAsia="fr-BE"/>
        </w:rPr>
        <w:footnoteReference w:id="7"/>
      </w:r>
      <w:r w:rsidR="00716EA9" w:rsidRPr="003320DB">
        <w:rPr>
          <w:noProof/>
        </w:rPr>
        <w:t>;</w:t>
      </w:r>
    </w:p>
    <w:p w:rsidR="00716EA9" w:rsidRPr="003320DB" w:rsidRDefault="003320DB" w:rsidP="003320DB">
      <w:pPr>
        <w:pStyle w:val="Point1"/>
        <w:rPr>
          <w:noProof/>
          <w:color w:val="000000"/>
        </w:rPr>
      </w:pPr>
      <w:r>
        <w:rPr>
          <w:noProof/>
        </w:rPr>
        <w:t>c)</w:t>
      </w:r>
      <w:r>
        <w:rPr>
          <w:noProof/>
        </w:rPr>
        <w:tab/>
      </w:r>
      <w:r w:rsidR="00716EA9" w:rsidRPr="003320DB">
        <w:rPr>
          <w:noProof/>
        </w:rPr>
        <w:t>inštitúcia je subjektom, ktorý je výsledkom zlúčenia alebo splynutia najmenej dvoch inštitúcií alebo rozdelenia inštitúcie na najmenej dve inštitúcie.</w:t>
      </w:r>
    </w:p>
    <w:p w:rsidR="00716EA9" w:rsidRPr="003320DB" w:rsidRDefault="00612F20" w:rsidP="00612F20">
      <w:pPr>
        <w:pStyle w:val="ManualNumPar1"/>
        <w:rPr>
          <w:noProof/>
        </w:rPr>
      </w:pPr>
      <w:r w:rsidRPr="00612F20">
        <w:rPr>
          <w:noProof/>
        </w:rPr>
        <w:t>5.</w:t>
      </w:r>
      <w:r w:rsidRPr="00612F20">
        <w:rPr>
          <w:noProof/>
        </w:rPr>
        <w:tab/>
      </w:r>
      <w:r w:rsidR="00716EA9" w:rsidRPr="003320DB">
        <w:rPr>
          <w:noProof/>
        </w:rPr>
        <w:t>V prípade inštitúcií uvedených</w:t>
      </w:r>
      <w:r w:rsidR="003320DB">
        <w:rPr>
          <w:noProof/>
        </w:rPr>
        <w:t xml:space="preserve"> v </w:t>
      </w:r>
      <w:r w:rsidR="00716EA9" w:rsidRPr="003320DB">
        <w:rPr>
          <w:noProof/>
        </w:rPr>
        <w:t>odseku 4 sa</w:t>
      </w:r>
      <w:r w:rsidR="003320DB">
        <w:rPr>
          <w:noProof/>
        </w:rPr>
        <w:t xml:space="preserve"> v </w:t>
      </w:r>
      <w:r w:rsidR="00716EA9" w:rsidRPr="003320DB">
        <w:rPr>
          <w:noProof/>
        </w:rPr>
        <w:t>súvislosti</w:t>
      </w:r>
      <w:r w:rsidR="003320DB">
        <w:rPr>
          <w:noProof/>
        </w:rPr>
        <w:t xml:space="preserve"> s </w:t>
      </w:r>
      <w:r w:rsidR="00716EA9" w:rsidRPr="003320DB">
        <w:rPr>
          <w:noProof/>
        </w:rPr>
        <w:t>ich vykazovaním, na ktoré sa vzťahujú prahové hodnoty stanovené</w:t>
      </w:r>
      <w:r w:rsidR="003320DB">
        <w:rPr>
          <w:noProof/>
        </w:rPr>
        <w:t xml:space="preserve"> v </w:t>
      </w:r>
      <w:r w:rsidR="00716EA9" w:rsidRPr="003320DB">
        <w:rPr>
          <w:noProof/>
        </w:rPr>
        <w:t>článku 4 pre prvé dva referenčné dátumy, uplatňuje toto:</w:t>
      </w:r>
    </w:p>
    <w:p w:rsidR="00716EA9" w:rsidRPr="003320DB" w:rsidRDefault="003320DB" w:rsidP="003320DB">
      <w:pPr>
        <w:pStyle w:val="Point1"/>
        <w:rPr>
          <w:noProof/>
        </w:rPr>
      </w:pPr>
      <w:r>
        <w:rPr>
          <w:noProof/>
        </w:rPr>
        <w:t>a)</w:t>
      </w:r>
      <w:r>
        <w:rPr>
          <w:noProof/>
        </w:rPr>
        <w:tab/>
      </w:r>
      <w:r w:rsidR="0050785B" w:rsidRPr="003320DB">
        <w:rPr>
          <w:noProof/>
        </w:rPr>
        <w:t>inštitúcie, ktoré prekračujú príslušnú prahovú hodnotu už</w:t>
      </w:r>
      <w:r>
        <w:rPr>
          <w:noProof/>
        </w:rPr>
        <w:t xml:space="preserve"> k </w:t>
      </w:r>
      <w:r w:rsidR="0050785B" w:rsidRPr="003320DB">
        <w:rPr>
          <w:noProof/>
        </w:rPr>
        <w:t>prvému referenčnému dátumu, vykazujú informácie, na ktoré sa vzťahuje uvedená prahová hodnota,</w:t>
      </w:r>
      <w:r>
        <w:rPr>
          <w:noProof/>
        </w:rPr>
        <w:t xml:space="preserve"> k </w:t>
      </w:r>
      <w:r w:rsidR="0050785B" w:rsidRPr="003320DB">
        <w:rPr>
          <w:noProof/>
        </w:rPr>
        <w:t>prvému aj</w:t>
      </w:r>
      <w:r>
        <w:rPr>
          <w:noProof/>
        </w:rPr>
        <w:t xml:space="preserve"> k </w:t>
      </w:r>
      <w:r w:rsidR="0050785B" w:rsidRPr="003320DB">
        <w:rPr>
          <w:noProof/>
        </w:rPr>
        <w:t>druhému referenčnému dátumu;</w:t>
      </w:r>
    </w:p>
    <w:p w:rsidR="00716EA9" w:rsidRPr="003320DB" w:rsidRDefault="003320DB" w:rsidP="003320DB">
      <w:pPr>
        <w:pStyle w:val="Point1"/>
        <w:rPr>
          <w:noProof/>
        </w:rPr>
      </w:pPr>
      <w:r>
        <w:rPr>
          <w:noProof/>
        </w:rPr>
        <w:t>b)</w:t>
      </w:r>
      <w:r>
        <w:rPr>
          <w:noProof/>
        </w:rPr>
        <w:tab/>
      </w:r>
      <w:r w:rsidR="0050785B" w:rsidRPr="003320DB">
        <w:rPr>
          <w:noProof/>
        </w:rPr>
        <w:t>inštitúcie, ktoré prekračujú príslušnú prahovú hodnotu len</w:t>
      </w:r>
      <w:r>
        <w:rPr>
          <w:noProof/>
        </w:rPr>
        <w:t xml:space="preserve"> k </w:t>
      </w:r>
      <w:r w:rsidR="0050785B" w:rsidRPr="003320DB">
        <w:rPr>
          <w:noProof/>
        </w:rPr>
        <w:t>druhému referenčnému dátumu, vykazujú informácie, na ktoré sa vzťahuje uvedená prahová hodnota,</w:t>
      </w:r>
      <w:r>
        <w:rPr>
          <w:noProof/>
        </w:rPr>
        <w:t xml:space="preserve"> k </w:t>
      </w:r>
      <w:r w:rsidR="0050785B" w:rsidRPr="003320DB">
        <w:rPr>
          <w:noProof/>
        </w:rPr>
        <w:t>druhému referenčnému dátumu;</w:t>
      </w:r>
    </w:p>
    <w:p w:rsidR="00716EA9" w:rsidRPr="003320DB" w:rsidRDefault="00716EA9" w:rsidP="00C856B2">
      <w:pPr>
        <w:pStyle w:val="Text1"/>
        <w:rPr>
          <w:noProof/>
        </w:rPr>
      </w:pPr>
      <w:r w:rsidRPr="003320DB">
        <w:rPr>
          <w:noProof/>
        </w:rPr>
        <w:t>Inštitúcie, ktoré klesli pod príslušné prahové hodnoty uvedené</w:t>
      </w:r>
      <w:r w:rsidR="003320DB">
        <w:rPr>
          <w:noProof/>
        </w:rPr>
        <w:t xml:space="preserve"> v </w:t>
      </w:r>
      <w:r w:rsidRPr="003320DB">
        <w:rPr>
          <w:noProof/>
        </w:rPr>
        <w:t>písmenách a)</w:t>
      </w:r>
      <w:r w:rsidR="003320DB">
        <w:rPr>
          <w:noProof/>
        </w:rPr>
        <w:t xml:space="preserve"> a </w:t>
      </w:r>
      <w:r w:rsidRPr="003320DB">
        <w:rPr>
          <w:noProof/>
        </w:rPr>
        <w:t>b)</w:t>
      </w:r>
      <w:r w:rsidR="003320DB">
        <w:rPr>
          <w:noProof/>
        </w:rPr>
        <w:t xml:space="preserve"> k </w:t>
      </w:r>
      <w:r w:rsidRPr="003320DB">
        <w:rPr>
          <w:noProof/>
        </w:rPr>
        <w:t>trom po sebe nasledujúcim referenčným dátumom vykazovania, môžu ukončiť vykazovanie informácií, na ktoré sa vzťahuje prahová hodnota,</w:t>
      </w:r>
      <w:r w:rsidR="003320DB">
        <w:rPr>
          <w:noProof/>
        </w:rPr>
        <w:t xml:space="preserve"> k </w:t>
      </w:r>
      <w:r w:rsidRPr="003320DB">
        <w:rPr>
          <w:noProof/>
        </w:rPr>
        <w:t>ďalšiemu referenčnému dátumu vykazovania.</w:t>
      </w:r>
    </w:p>
    <w:p w:rsidR="00716EA9" w:rsidRPr="003320DB" w:rsidRDefault="00716EA9" w:rsidP="00E537F5">
      <w:pPr>
        <w:pStyle w:val="Titrearticle"/>
        <w:rPr>
          <w:noProof/>
          <w:szCs w:val="24"/>
        </w:rPr>
      </w:pPr>
      <w:r w:rsidRPr="003320DB">
        <w:rPr>
          <w:noProof/>
        </w:rPr>
        <w:t>Článok 5</w:t>
      </w:r>
    </w:p>
    <w:p w:rsidR="00716EA9" w:rsidRPr="003320DB" w:rsidRDefault="00716EA9" w:rsidP="00F22954">
      <w:pPr>
        <w:pStyle w:val="Titrearticle"/>
        <w:spacing w:before="0"/>
        <w:rPr>
          <w:b/>
          <w:bCs/>
          <w:i w:val="0"/>
          <w:iCs/>
          <w:noProof/>
          <w:szCs w:val="24"/>
        </w:rPr>
      </w:pPr>
      <w:r w:rsidRPr="003320DB">
        <w:rPr>
          <w:b/>
          <w:i w:val="0"/>
          <w:noProof/>
        </w:rPr>
        <w:t>Vykazovanie vlastných zdrojov</w:t>
      </w:r>
      <w:r w:rsidR="003320DB">
        <w:rPr>
          <w:b/>
          <w:i w:val="0"/>
          <w:noProof/>
        </w:rPr>
        <w:t xml:space="preserve"> a </w:t>
      </w:r>
      <w:r w:rsidRPr="003320DB">
        <w:rPr>
          <w:b/>
          <w:i w:val="0"/>
          <w:noProof/>
        </w:rPr>
        <w:t>požiadaviek na vlastné zdroje na individuálnom základe – štvrťročné vykazovanie</w:t>
      </w:r>
    </w:p>
    <w:p w:rsidR="00716EA9" w:rsidRPr="003320DB" w:rsidRDefault="00612F20" w:rsidP="00612F20">
      <w:pPr>
        <w:pStyle w:val="ManualNumPar1"/>
        <w:rPr>
          <w:noProof/>
        </w:rPr>
      </w:pPr>
      <w:r w:rsidRPr="00612F20">
        <w:rPr>
          <w:noProof/>
        </w:rPr>
        <w:t>1.</w:t>
      </w:r>
      <w:r w:rsidRPr="00612F20">
        <w:rPr>
          <w:noProof/>
        </w:rPr>
        <w:tab/>
      </w:r>
      <w:r w:rsidR="00BF6649" w:rsidRPr="003320DB">
        <w:rPr>
          <w:noProof/>
        </w:rPr>
        <w:t>Inštitúcie, ktoré vykazujú informácie</w:t>
      </w:r>
      <w:r w:rsidR="003320DB">
        <w:rPr>
          <w:noProof/>
        </w:rPr>
        <w:t xml:space="preserve"> o </w:t>
      </w:r>
      <w:r w:rsidR="00BF6649" w:rsidRPr="003320DB">
        <w:rPr>
          <w:noProof/>
        </w:rPr>
        <w:t>vlastných zdrojoch</w:t>
      </w:r>
      <w:r w:rsidR="003320DB">
        <w:rPr>
          <w:noProof/>
        </w:rPr>
        <w:t xml:space="preserve"> a </w:t>
      </w:r>
      <w:r w:rsidR="00BF6649" w:rsidRPr="003320DB">
        <w:rPr>
          <w:noProof/>
        </w:rPr>
        <w:t>požiadavkách na vlastné zdroje, ako sa vyžaduje</w:t>
      </w:r>
      <w:r w:rsidR="003320DB">
        <w:rPr>
          <w:noProof/>
        </w:rPr>
        <w:t xml:space="preserve"> v </w:t>
      </w:r>
      <w:r w:rsidR="00BF6649" w:rsidRPr="003320DB">
        <w:rPr>
          <w:noProof/>
        </w:rPr>
        <w:t xml:space="preserve">článku 430 ods. 1 písm. a) nariadenia (EÚ) </w:t>
      </w:r>
      <w:r w:rsidR="003320DB">
        <w:rPr>
          <w:noProof/>
        </w:rPr>
        <w:t>č. </w:t>
      </w:r>
      <w:r w:rsidR="00BF6649" w:rsidRPr="003320DB">
        <w:rPr>
          <w:noProof/>
        </w:rPr>
        <w:t>575/2013 na individuálnom základe, predkladajú tieto informácie, ako sú uvedené</w:t>
      </w:r>
      <w:r w:rsidR="003320DB">
        <w:rPr>
          <w:noProof/>
        </w:rPr>
        <w:t xml:space="preserve"> v </w:t>
      </w:r>
      <w:r w:rsidR="00BF6649" w:rsidRPr="003320DB">
        <w:rPr>
          <w:noProof/>
        </w:rPr>
        <w:t>oddiele 1 „Vykazovanie vlastných zdrojov</w:t>
      </w:r>
      <w:r w:rsidR="003320DB">
        <w:rPr>
          <w:noProof/>
        </w:rPr>
        <w:t xml:space="preserve"> a </w:t>
      </w:r>
      <w:r w:rsidR="00BF6649" w:rsidRPr="003320DB">
        <w:rPr>
          <w:noProof/>
        </w:rPr>
        <w:t>požiadaviek na vlastné zdroje na individuálnom základe“ prílohy I</w:t>
      </w:r>
      <w:r w:rsidR="003320DB">
        <w:rPr>
          <w:noProof/>
        </w:rPr>
        <w:t xml:space="preserve"> k </w:t>
      </w:r>
      <w:r w:rsidR="00BF6649" w:rsidRPr="003320DB">
        <w:rPr>
          <w:noProof/>
        </w:rPr>
        <w:t>tomuto nariadeniu, štvrťročne.</w:t>
      </w:r>
    </w:p>
    <w:p w:rsidR="00290C23" w:rsidRPr="003320DB" w:rsidRDefault="00612F20" w:rsidP="00612F20">
      <w:pPr>
        <w:pStyle w:val="ManualNumPar1"/>
        <w:rPr>
          <w:rFonts w:eastAsia="Times New Roman"/>
          <w:noProof/>
        </w:rPr>
      </w:pPr>
      <w:r w:rsidRPr="00612F20">
        <w:rPr>
          <w:noProof/>
        </w:rPr>
        <w:t>2.</w:t>
      </w:r>
      <w:r w:rsidRPr="00612F20">
        <w:rPr>
          <w:noProof/>
        </w:rPr>
        <w:tab/>
      </w:r>
      <w:r w:rsidR="00290C23" w:rsidRPr="003320DB">
        <w:rPr>
          <w:noProof/>
        </w:rPr>
        <w:t>Inštitúcie predkladajú informácie uvedené vo vzoroch C 09.01</w:t>
      </w:r>
      <w:r w:rsidR="003320DB">
        <w:rPr>
          <w:noProof/>
        </w:rPr>
        <w:t xml:space="preserve"> a </w:t>
      </w:r>
      <w:r w:rsidR="00290C23" w:rsidRPr="003320DB">
        <w:rPr>
          <w:noProof/>
        </w:rPr>
        <w:t>C 09.02,</w:t>
      </w:r>
      <w:r w:rsidR="003320DB">
        <w:rPr>
          <w:noProof/>
        </w:rPr>
        <w:t xml:space="preserve"> a </w:t>
      </w:r>
      <w:r w:rsidR="00290C23" w:rsidRPr="003320DB">
        <w:rPr>
          <w:noProof/>
        </w:rPr>
        <w:t>najmä informácie</w:t>
      </w:r>
      <w:r w:rsidR="003320DB">
        <w:rPr>
          <w:noProof/>
        </w:rPr>
        <w:t xml:space="preserve"> o </w:t>
      </w:r>
      <w:r w:rsidR="00290C23" w:rsidRPr="003320DB">
        <w:rPr>
          <w:noProof/>
        </w:rPr>
        <w:t>geografickom rozdelení expozícií podľa krajiny, ak sa zahraničné pôvodné expozície vo všetkých zahraničných krajinách vo všetkých triedach expozícií vykazované</w:t>
      </w:r>
      <w:r w:rsidR="003320DB">
        <w:rPr>
          <w:noProof/>
        </w:rPr>
        <w:t xml:space="preserve"> v </w:t>
      </w:r>
      <w:r w:rsidR="00290C23" w:rsidRPr="003320DB">
        <w:rPr>
          <w:noProof/>
        </w:rPr>
        <w:t>súlade so vzorom C 04.00 riadkom 0850 rovnajú alebo sú vyššie ako 10</w:t>
      </w:r>
      <w:r w:rsidR="003320DB">
        <w:rPr>
          <w:noProof/>
        </w:rPr>
        <w:t> %</w:t>
      </w:r>
      <w:r w:rsidR="00290C23" w:rsidRPr="003320DB">
        <w:rPr>
          <w:noProof/>
        </w:rPr>
        <w:t xml:space="preserve"> celkových domácich</w:t>
      </w:r>
      <w:r w:rsidR="003320DB">
        <w:rPr>
          <w:noProof/>
        </w:rPr>
        <w:t xml:space="preserve"> a </w:t>
      </w:r>
      <w:r w:rsidR="00290C23" w:rsidRPr="003320DB">
        <w:rPr>
          <w:noProof/>
        </w:rPr>
        <w:t>zahraničných pôvodných expozícií vykázaných</w:t>
      </w:r>
      <w:r w:rsidR="003320DB">
        <w:rPr>
          <w:noProof/>
        </w:rPr>
        <w:t xml:space="preserve"> v </w:t>
      </w:r>
      <w:r w:rsidR="00290C23" w:rsidRPr="003320DB">
        <w:rPr>
          <w:noProof/>
        </w:rPr>
        <w:t>súlade so vzorom C 04.00 riadkom 0860. Expozície sa považujú za domáce, keď ide</w:t>
      </w:r>
      <w:r w:rsidR="003320DB">
        <w:rPr>
          <w:noProof/>
        </w:rPr>
        <w:t xml:space="preserve"> o </w:t>
      </w:r>
      <w:r w:rsidR="00290C23" w:rsidRPr="003320DB">
        <w:rPr>
          <w:noProof/>
        </w:rPr>
        <w:t>expozície voči protistranám sídliacim</w:t>
      </w:r>
      <w:r w:rsidR="003320DB">
        <w:rPr>
          <w:noProof/>
        </w:rPr>
        <w:t xml:space="preserve"> v </w:t>
      </w:r>
      <w:r w:rsidR="00290C23" w:rsidRPr="003320DB">
        <w:rPr>
          <w:noProof/>
        </w:rPr>
        <w:t>členskom štáte,</w:t>
      </w:r>
      <w:r w:rsidR="003320DB">
        <w:rPr>
          <w:noProof/>
        </w:rPr>
        <w:t xml:space="preserve"> v </w:t>
      </w:r>
      <w:r w:rsidR="00290C23" w:rsidRPr="003320DB">
        <w:rPr>
          <w:noProof/>
        </w:rPr>
        <w:t>ktorom je inštitúcia usadená.</w:t>
      </w:r>
    </w:p>
    <w:p w:rsidR="00290C23" w:rsidRPr="003320DB" w:rsidRDefault="00612F20" w:rsidP="00612F20">
      <w:pPr>
        <w:pStyle w:val="ManualNumPar1"/>
        <w:rPr>
          <w:rFonts w:eastAsia="Times New Roman"/>
          <w:noProof/>
        </w:rPr>
      </w:pPr>
      <w:r w:rsidRPr="00612F20">
        <w:rPr>
          <w:noProof/>
        </w:rPr>
        <w:t>3.</w:t>
      </w:r>
      <w:r w:rsidRPr="00612F20">
        <w:rPr>
          <w:noProof/>
        </w:rPr>
        <w:tab/>
      </w:r>
      <w:r w:rsidR="00290C23" w:rsidRPr="003320DB">
        <w:rPr>
          <w:noProof/>
        </w:rPr>
        <w:t>Inštitúcie, ktoré uplatňujú základný prístup</w:t>
      </w:r>
      <w:r w:rsidR="003320DB">
        <w:rPr>
          <w:noProof/>
        </w:rPr>
        <w:t xml:space="preserve"> v </w:t>
      </w:r>
      <w:r w:rsidR="00290C23" w:rsidRPr="003320DB">
        <w:rPr>
          <w:noProof/>
        </w:rPr>
        <w:t>súlade</w:t>
      </w:r>
      <w:r w:rsidR="003320DB">
        <w:rPr>
          <w:noProof/>
        </w:rPr>
        <w:t xml:space="preserve"> s </w:t>
      </w:r>
      <w:r w:rsidR="00290C23" w:rsidRPr="003320DB">
        <w:rPr>
          <w:noProof/>
        </w:rPr>
        <w:t>delegovaným nariadením Komisie (EÚ) 2016/101</w:t>
      </w:r>
      <w:r w:rsidR="00290C23" w:rsidRPr="003320DB">
        <w:rPr>
          <w:rStyle w:val="FootnoteReference"/>
          <w:rFonts w:eastAsia="Times New Roman"/>
          <w:noProof/>
          <w:lang w:eastAsia="en-GB" w:bidi="en-GB"/>
        </w:rPr>
        <w:footnoteReference w:id="8"/>
      </w:r>
      <w:r w:rsidR="003320DB">
        <w:rPr>
          <w:noProof/>
        </w:rPr>
        <w:t xml:space="preserve"> a </w:t>
      </w:r>
      <w:r w:rsidR="00290C23" w:rsidRPr="003320DB">
        <w:rPr>
          <w:noProof/>
        </w:rPr>
        <w:t>ktoré prekračujú prahovú hodnotu uvedenú</w:t>
      </w:r>
      <w:r w:rsidR="003320DB">
        <w:rPr>
          <w:noProof/>
        </w:rPr>
        <w:t xml:space="preserve"> v </w:t>
      </w:r>
      <w:r w:rsidR="00290C23" w:rsidRPr="003320DB">
        <w:rPr>
          <w:noProof/>
        </w:rPr>
        <w:t>článku 4 ods. 1 uvedeného nariadenia, vykazujú informácie uvedené vo vzoroch C 32.03</w:t>
      </w:r>
      <w:r w:rsidR="003320DB">
        <w:rPr>
          <w:noProof/>
        </w:rPr>
        <w:t xml:space="preserve"> a </w:t>
      </w:r>
      <w:r w:rsidR="00290C23" w:rsidRPr="003320DB">
        <w:rPr>
          <w:noProof/>
        </w:rPr>
        <w:t>C 32.04.</w:t>
      </w:r>
    </w:p>
    <w:p w:rsidR="00716EA9" w:rsidRPr="003320DB" w:rsidRDefault="00612F20" w:rsidP="00612F20">
      <w:pPr>
        <w:pStyle w:val="ManualNumPar1"/>
        <w:rPr>
          <w:rFonts w:eastAsia="Times New Roman"/>
          <w:noProof/>
        </w:rPr>
      </w:pPr>
      <w:r w:rsidRPr="00612F20">
        <w:rPr>
          <w:noProof/>
        </w:rPr>
        <w:t>4.</w:t>
      </w:r>
      <w:r w:rsidRPr="00612F20">
        <w:rPr>
          <w:noProof/>
        </w:rPr>
        <w:tab/>
      </w:r>
      <w:r w:rsidR="00AB6D3F" w:rsidRPr="003320DB">
        <w:rPr>
          <w:noProof/>
        </w:rPr>
        <w:t>Na výpočet požiadaviek na vlastné zdroje uvedených</w:t>
      </w:r>
      <w:r w:rsidR="003320DB">
        <w:rPr>
          <w:noProof/>
        </w:rPr>
        <w:t xml:space="preserve"> v </w:t>
      </w:r>
      <w:r w:rsidR="00AB6D3F" w:rsidRPr="003320DB">
        <w:rPr>
          <w:noProof/>
        </w:rPr>
        <w:t>článku 92 ods. 4 písm. b) bodoch i)</w:t>
      </w:r>
      <w:r w:rsidR="003320DB">
        <w:rPr>
          <w:noProof/>
        </w:rPr>
        <w:t xml:space="preserve"> a </w:t>
      </w:r>
      <w:r w:rsidR="00AB6D3F" w:rsidRPr="003320DB">
        <w:rPr>
          <w:noProof/>
        </w:rPr>
        <w:t>c)</w:t>
      </w:r>
      <w:r w:rsidR="003320DB">
        <w:rPr>
          <w:noProof/>
        </w:rPr>
        <w:t xml:space="preserve"> a </w:t>
      </w:r>
      <w:r w:rsidR="00AB6D3F" w:rsidRPr="003320DB">
        <w:rPr>
          <w:noProof/>
        </w:rPr>
        <w:t>článku 92 ods. 5 písm. b)</w:t>
      </w:r>
      <w:r w:rsidR="003320DB">
        <w:rPr>
          <w:noProof/>
        </w:rPr>
        <w:t xml:space="preserve"> a </w:t>
      </w:r>
      <w:r w:rsidR="00AB6D3F" w:rsidRPr="003320DB">
        <w:rPr>
          <w:noProof/>
        </w:rPr>
        <w:t xml:space="preserve">c) nariadenia (EÚ) </w:t>
      </w:r>
      <w:r w:rsidR="003320DB">
        <w:rPr>
          <w:noProof/>
        </w:rPr>
        <w:t>č. </w:t>
      </w:r>
      <w:r w:rsidR="00AB6D3F" w:rsidRPr="003320DB">
        <w:rPr>
          <w:noProof/>
        </w:rPr>
        <w:t>575/2013 inštitúcie do 31</w:t>
      </w:r>
      <w:r w:rsidR="003320DB">
        <w:rPr>
          <w:noProof/>
        </w:rPr>
        <w:t>. decembra</w:t>
      </w:r>
      <w:r w:rsidR="00AB6D3F" w:rsidRPr="003320DB">
        <w:rPr>
          <w:noProof/>
        </w:rPr>
        <w:t xml:space="preserve"> 2025 predkladajú informácie</w:t>
      </w:r>
      <w:r w:rsidR="003320DB">
        <w:rPr>
          <w:noProof/>
        </w:rPr>
        <w:t xml:space="preserve"> o </w:t>
      </w:r>
      <w:r w:rsidR="00AB6D3F" w:rsidRPr="003320DB">
        <w:rPr>
          <w:noProof/>
        </w:rPr>
        <w:t>požiadavkách na vlastné zdroje týkajúce sa trhového rizika</w:t>
      </w:r>
      <w:r w:rsidR="003320DB">
        <w:rPr>
          <w:noProof/>
        </w:rPr>
        <w:t xml:space="preserve"> v </w:t>
      </w:r>
      <w:r w:rsidR="00AB6D3F" w:rsidRPr="003320DB">
        <w:rPr>
          <w:noProof/>
        </w:rPr>
        <w:t>súlade</w:t>
      </w:r>
      <w:r w:rsidR="003320DB">
        <w:rPr>
          <w:noProof/>
        </w:rPr>
        <w:t xml:space="preserve"> s </w:t>
      </w:r>
      <w:r w:rsidR="00AB6D3F" w:rsidRPr="003320DB">
        <w:rPr>
          <w:noProof/>
        </w:rPr>
        <w:t>článkom 5 ods. 12 vykonávacieho nariadenia (EÚ) 2021/451.</w:t>
      </w:r>
    </w:p>
    <w:p w:rsidR="00716EA9" w:rsidRPr="003320DB" w:rsidRDefault="00716EA9" w:rsidP="00E537F5">
      <w:pPr>
        <w:pStyle w:val="Titrearticle"/>
        <w:rPr>
          <w:noProof/>
          <w:szCs w:val="24"/>
        </w:rPr>
      </w:pPr>
      <w:r w:rsidRPr="003320DB">
        <w:rPr>
          <w:noProof/>
        </w:rPr>
        <w:t>Článok 6</w:t>
      </w:r>
    </w:p>
    <w:p w:rsidR="00716EA9" w:rsidRPr="003320DB" w:rsidRDefault="00716EA9" w:rsidP="00F22954">
      <w:pPr>
        <w:pStyle w:val="Titrearticle"/>
        <w:spacing w:before="0"/>
        <w:rPr>
          <w:b/>
          <w:bCs/>
          <w:i w:val="0"/>
          <w:iCs/>
          <w:noProof/>
          <w:szCs w:val="24"/>
        </w:rPr>
      </w:pPr>
      <w:r w:rsidRPr="003320DB">
        <w:rPr>
          <w:b/>
          <w:i w:val="0"/>
          <w:noProof/>
        </w:rPr>
        <w:t>Vykazovanie vlastných zdrojov</w:t>
      </w:r>
      <w:r w:rsidR="003320DB">
        <w:rPr>
          <w:b/>
          <w:i w:val="0"/>
          <w:noProof/>
        </w:rPr>
        <w:t xml:space="preserve"> a </w:t>
      </w:r>
      <w:r w:rsidRPr="003320DB">
        <w:rPr>
          <w:b/>
          <w:i w:val="0"/>
          <w:noProof/>
        </w:rPr>
        <w:t>požiadaviek na vlastné zdroje na individuálnom základe – polročné vykazovanie</w:t>
      </w:r>
    </w:p>
    <w:p w:rsidR="00716EA9" w:rsidRPr="003320DB" w:rsidRDefault="00612F20" w:rsidP="00612F20">
      <w:pPr>
        <w:pStyle w:val="ManualNumPar1"/>
        <w:rPr>
          <w:noProof/>
        </w:rPr>
      </w:pPr>
      <w:r w:rsidRPr="00612F20">
        <w:rPr>
          <w:noProof/>
        </w:rPr>
        <w:t>1.</w:t>
      </w:r>
      <w:r w:rsidRPr="00612F20">
        <w:rPr>
          <w:noProof/>
        </w:rPr>
        <w:tab/>
      </w:r>
      <w:r w:rsidR="00266139" w:rsidRPr="003320DB">
        <w:rPr>
          <w:noProof/>
        </w:rPr>
        <w:t>Inštitúcie, ktoré vykazujú informácie</w:t>
      </w:r>
      <w:r w:rsidR="003320DB">
        <w:rPr>
          <w:noProof/>
        </w:rPr>
        <w:t xml:space="preserve"> o </w:t>
      </w:r>
      <w:r w:rsidR="00266139" w:rsidRPr="003320DB">
        <w:rPr>
          <w:noProof/>
        </w:rPr>
        <w:t>vlastných zdrojoch</w:t>
      </w:r>
      <w:r w:rsidR="003320DB">
        <w:rPr>
          <w:noProof/>
        </w:rPr>
        <w:t xml:space="preserve"> a </w:t>
      </w:r>
      <w:r w:rsidR="00266139" w:rsidRPr="003320DB">
        <w:rPr>
          <w:noProof/>
        </w:rPr>
        <w:t>požiadavkách na vlastné zdroje, ako sa vyžaduje</w:t>
      </w:r>
      <w:r w:rsidR="003320DB">
        <w:rPr>
          <w:noProof/>
        </w:rPr>
        <w:t xml:space="preserve"> v </w:t>
      </w:r>
      <w:r w:rsidR="00266139" w:rsidRPr="003320DB">
        <w:rPr>
          <w:noProof/>
        </w:rPr>
        <w:t xml:space="preserve">článku 430 ods. 1 písm. a) nariadenia (EÚ) </w:t>
      </w:r>
      <w:r w:rsidR="003320DB">
        <w:rPr>
          <w:noProof/>
        </w:rPr>
        <w:t>č. </w:t>
      </w:r>
      <w:r w:rsidR="00266139" w:rsidRPr="003320DB">
        <w:rPr>
          <w:noProof/>
        </w:rPr>
        <w:t>575/2013, na individuálnom základe, predkladajú tieto informácie, ako sú uvedené</w:t>
      </w:r>
      <w:r w:rsidR="003320DB">
        <w:rPr>
          <w:noProof/>
        </w:rPr>
        <w:t xml:space="preserve"> v </w:t>
      </w:r>
      <w:r w:rsidR="00266139" w:rsidRPr="003320DB">
        <w:rPr>
          <w:noProof/>
        </w:rPr>
        <w:t>oddiele 1 „Vykazovanie vlastných zdrojov</w:t>
      </w:r>
      <w:r w:rsidR="003320DB">
        <w:rPr>
          <w:noProof/>
        </w:rPr>
        <w:t xml:space="preserve"> a </w:t>
      </w:r>
      <w:r w:rsidR="00266139" w:rsidRPr="003320DB">
        <w:rPr>
          <w:noProof/>
        </w:rPr>
        <w:t>požiadaviek na vlastné zdroje na individuálnom základe“ prílohy I</w:t>
      </w:r>
      <w:r w:rsidR="003320DB">
        <w:rPr>
          <w:noProof/>
        </w:rPr>
        <w:t xml:space="preserve"> k </w:t>
      </w:r>
      <w:r w:rsidR="00266139" w:rsidRPr="003320DB">
        <w:rPr>
          <w:noProof/>
        </w:rPr>
        <w:t>tomuto nariadeniu, polročne.</w:t>
      </w:r>
    </w:p>
    <w:p w:rsidR="00ED139D" w:rsidRPr="003320DB" w:rsidRDefault="00612F20" w:rsidP="00612F20">
      <w:pPr>
        <w:pStyle w:val="ManualNumPar1"/>
        <w:rPr>
          <w:noProof/>
        </w:rPr>
      </w:pPr>
      <w:r w:rsidRPr="00612F20">
        <w:rPr>
          <w:noProof/>
        </w:rPr>
        <w:t>2.</w:t>
      </w:r>
      <w:r w:rsidRPr="00612F20">
        <w:rPr>
          <w:noProof/>
        </w:rPr>
        <w:tab/>
      </w:r>
      <w:r w:rsidR="00ED139D" w:rsidRPr="003320DB">
        <w:rPr>
          <w:noProof/>
        </w:rPr>
        <w:t>Inštitúcie predkladajú informácie</w:t>
      </w:r>
      <w:r w:rsidR="003320DB">
        <w:rPr>
          <w:noProof/>
        </w:rPr>
        <w:t xml:space="preserve"> o </w:t>
      </w:r>
      <w:r w:rsidR="00ED139D" w:rsidRPr="003320DB">
        <w:rPr>
          <w:noProof/>
        </w:rPr>
        <w:t>všetkých sekuritizačných expozíciách uvedené</w:t>
      </w:r>
      <w:r w:rsidR="003320DB">
        <w:rPr>
          <w:noProof/>
        </w:rPr>
        <w:t xml:space="preserve"> v </w:t>
      </w:r>
      <w:r w:rsidR="00ED139D" w:rsidRPr="003320DB">
        <w:rPr>
          <w:noProof/>
        </w:rPr>
        <w:t>oddiele 1 „Vykazovanie vlastných zdrojov</w:t>
      </w:r>
      <w:r w:rsidR="003320DB">
        <w:rPr>
          <w:noProof/>
        </w:rPr>
        <w:t xml:space="preserve"> a </w:t>
      </w:r>
      <w:r w:rsidR="00ED139D" w:rsidRPr="003320DB">
        <w:rPr>
          <w:noProof/>
        </w:rPr>
        <w:t>požiadaviek na vlastné zdroje na individuálnom základe“ prílohy I, vo vzoroch C 14.00</w:t>
      </w:r>
      <w:r w:rsidR="003320DB">
        <w:rPr>
          <w:noProof/>
        </w:rPr>
        <w:t xml:space="preserve"> a </w:t>
      </w:r>
      <w:r w:rsidR="00ED139D" w:rsidRPr="003320DB">
        <w:rPr>
          <w:noProof/>
        </w:rPr>
        <w:t>C 14.01 okrem prípadov, ak sú súčasťou skupiny</w:t>
      </w:r>
      <w:r w:rsidR="003320DB">
        <w:rPr>
          <w:noProof/>
        </w:rPr>
        <w:t xml:space="preserve"> v </w:t>
      </w:r>
      <w:r w:rsidR="00ED139D" w:rsidRPr="003320DB">
        <w:rPr>
          <w:noProof/>
        </w:rPr>
        <w:t>rovnakej krajine,</w:t>
      </w:r>
      <w:r w:rsidR="003320DB">
        <w:rPr>
          <w:noProof/>
        </w:rPr>
        <w:t xml:space="preserve"> v </w:t>
      </w:r>
      <w:r w:rsidR="00ED139D" w:rsidRPr="003320DB">
        <w:rPr>
          <w:noProof/>
        </w:rPr>
        <w:t>ktorej podliehajú požiadavkám na vlastné zdroje.</w:t>
      </w:r>
    </w:p>
    <w:p w:rsidR="003808D8" w:rsidRPr="003320DB" w:rsidRDefault="00612F20" w:rsidP="00612F20">
      <w:pPr>
        <w:pStyle w:val="ManualNumPar1"/>
        <w:rPr>
          <w:noProof/>
        </w:rPr>
      </w:pPr>
      <w:r w:rsidRPr="00612F20">
        <w:rPr>
          <w:noProof/>
        </w:rPr>
        <w:t>3.</w:t>
      </w:r>
      <w:r w:rsidRPr="00612F20">
        <w:rPr>
          <w:noProof/>
        </w:rPr>
        <w:tab/>
      </w:r>
      <w:r w:rsidR="003808D8" w:rsidRPr="003320DB">
        <w:rPr>
          <w:noProof/>
        </w:rPr>
        <w:t>Inštitúcie predkladajú informácie</w:t>
      </w:r>
      <w:r w:rsidR="003320DB">
        <w:rPr>
          <w:noProof/>
        </w:rPr>
        <w:t xml:space="preserve"> o </w:t>
      </w:r>
      <w:r w:rsidR="003808D8" w:rsidRPr="003320DB">
        <w:rPr>
          <w:noProof/>
        </w:rPr>
        <w:t>expozíciách voči štátnym dlhopisom takto:</w:t>
      </w:r>
    </w:p>
    <w:p w:rsidR="003808D8" w:rsidRPr="003320DB" w:rsidRDefault="003320DB" w:rsidP="003320DB">
      <w:pPr>
        <w:pStyle w:val="Point1"/>
        <w:rPr>
          <w:noProof/>
        </w:rPr>
      </w:pPr>
      <w:r>
        <w:rPr>
          <w:noProof/>
        </w:rPr>
        <w:t>a)</w:t>
      </w:r>
      <w:r>
        <w:rPr>
          <w:noProof/>
        </w:rPr>
        <w:tab/>
      </w:r>
      <w:r w:rsidR="003808D8" w:rsidRPr="003320DB">
        <w:rPr>
          <w:noProof/>
        </w:rPr>
        <w:t>ak sa súhrnná účtovná hodnota finančných aktív zo sektora protistrany „Orgány verejnej správy“ rovná alebo je vyššia ako 1</w:t>
      </w:r>
      <w:r>
        <w:rPr>
          <w:noProof/>
        </w:rPr>
        <w:t> %</w:t>
      </w:r>
      <w:r w:rsidR="003808D8" w:rsidRPr="003320DB">
        <w:rPr>
          <w:noProof/>
        </w:rPr>
        <w:t xml:space="preserve"> súčtu celkovej účtovnej hodnoty pre „Dlhové cenné papiere“</w:t>
      </w:r>
      <w:r>
        <w:rPr>
          <w:noProof/>
        </w:rPr>
        <w:t xml:space="preserve"> a </w:t>
      </w:r>
      <w:r w:rsidR="003808D8" w:rsidRPr="003320DB">
        <w:rPr>
          <w:noProof/>
        </w:rPr>
        <w:t>„Úvery</w:t>
      </w:r>
      <w:r>
        <w:rPr>
          <w:noProof/>
        </w:rPr>
        <w:t xml:space="preserve"> a </w:t>
      </w:r>
      <w:r w:rsidR="003808D8" w:rsidRPr="003320DB">
        <w:rPr>
          <w:noProof/>
        </w:rPr>
        <w:t>preddavky“, inštitúcie predkladajú informácie uvedené vo vzore C 33.00;</w:t>
      </w:r>
    </w:p>
    <w:p w:rsidR="003808D8" w:rsidRPr="003320DB" w:rsidRDefault="003320DB" w:rsidP="003320DB">
      <w:pPr>
        <w:pStyle w:val="Point1"/>
        <w:rPr>
          <w:noProof/>
        </w:rPr>
      </w:pPr>
      <w:r>
        <w:rPr>
          <w:noProof/>
        </w:rPr>
        <w:t>b)</w:t>
      </w:r>
      <w:r>
        <w:rPr>
          <w:noProof/>
        </w:rPr>
        <w:tab/>
      </w:r>
      <w:r w:rsidR="003808D8" w:rsidRPr="003320DB">
        <w:rPr>
          <w:noProof/>
        </w:rPr>
        <w:t>ak je hodnota vykázaná pre domáce expozície nederivátových finančných aktív, ako je uvedené vo vzore C 33.00</w:t>
      </w:r>
      <w:r>
        <w:rPr>
          <w:noProof/>
        </w:rPr>
        <w:t xml:space="preserve"> v </w:t>
      </w:r>
      <w:r w:rsidR="003808D8" w:rsidRPr="003320DB">
        <w:rPr>
          <w:noProof/>
        </w:rPr>
        <w:t>riadku 0010 stĺpci 0010, nižšia ako 90</w:t>
      </w:r>
      <w:r>
        <w:rPr>
          <w:noProof/>
        </w:rPr>
        <w:t> %</w:t>
      </w:r>
      <w:r w:rsidR="003808D8" w:rsidRPr="003320DB">
        <w:rPr>
          <w:noProof/>
        </w:rPr>
        <w:t xml:space="preserve"> hodnoty vykázanej pre domáce</w:t>
      </w:r>
      <w:r>
        <w:rPr>
          <w:noProof/>
        </w:rPr>
        <w:t xml:space="preserve"> a </w:t>
      </w:r>
      <w:r w:rsidR="003808D8" w:rsidRPr="003320DB">
        <w:rPr>
          <w:noProof/>
        </w:rPr>
        <w:t>zahraničné expozície pre rovnaké údajové body, inštitúcie, ktoré spĺňajú podmienku uvedenú</w:t>
      </w:r>
      <w:r>
        <w:rPr>
          <w:noProof/>
        </w:rPr>
        <w:t xml:space="preserve"> v </w:t>
      </w:r>
      <w:r w:rsidR="003808D8" w:rsidRPr="003320DB">
        <w:rPr>
          <w:noProof/>
        </w:rPr>
        <w:t>písmene a), predkladajú informácie uvedené vo vzore C 33.00</w:t>
      </w:r>
      <w:r>
        <w:rPr>
          <w:noProof/>
        </w:rPr>
        <w:t xml:space="preserve"> s </w:t>
      </w:r>
      <w:r w:rsidR="003808D8" w:rsidRPr="003320DB">
        <w:rPr>
          <w:noProof/>
        </w:rPr>
        <w:t>úplným rozčlenením podľa krajín;</w:t>
      </w:r>
    </w:p>
    <w:p w:rsidR="003808D8" w:rsidRPr="003320DB" w:rsidRDefault="003320DB" w:rsidP="003320DB">
      <w:pPr>
        <w:pStyle w:val="Point1"/>
        <w:rPr>
          <w:noProof/>
        </w:rPr>
      </w:pPr>
      <w:r>
        <w:rPr>
          <w:noProof/>
        </w:rPr>
        <w:t>c)</w:t>
      </w:r>
      <w:r>
        <w:rPr>
          <w:noProof/>
        </w:rPr>
        <w:tab/>
      </w:r>
      <w:r w:rsidR="003808D8" w:rsidRPr="003320DB">
        <w:rPr>
          <w:noProof/>
        </w:rPr>
        <w:t>inštitúcie, ktoré spĺňajú podmienky uvedené</w:t>
      </w:r>
      <w:r>
        <w:rPr>
          <w:noProof/>
        </w:rPr>
        <w:t xml:space="preserve"> v </w:t>
      </w:r>
      <w:r w:rsidR="003808D8" w:rsidRPr="003320DB">
        <w:rPr>
          <w:noProof/>
        </w:rPr>
        <w:t>písmene a)</w:t>
      </w:r>
      <w:r>
        <w:rPr>
          <w:noProof/>
        </w:rPr>
        <w:t xml:space="preserve"> a </w:t>
      </w:r>
      <w:r w:rsidR="003808D8" w:rsidRPr="003320DB">
        <w:rPr>
          <w:noProof/>
        </w:rPr>
        <w:t>nespĺňajú podmienku uvedenú</w:t>
      </w:r>
      <w:r>
        <w:rPr>
          <w:noProof/>
        </w:rPr>
        <w:t xml:space="preserve"> v </w:t>
      </w:r>
      <w:r w:rsidR="003808D8" w:rsidRPr="003320DB">
        <w:rPr>
          <w:noProof/>
        </w:rPr>
        <w:t>písmene b), predkladajú informácie uvedené vo vzore C 33.00</w:t>
      </w:r>
      <w:r>
        <w:rPr>
          <w:noProof/>
        </w:rPr>
        <w:t xml:space="preserve"> s </w:t>
      </w:r>
      <w:r w:rsidR="003808D8" w:rsidRPr="003320DB">
        <w:rPr>
          <w:noProof/>
        </w:rPr>
        <w:t>expozíciami agregovanými na:</w:t>
      </w:r>
    </w:p>
    <w:p w:rsidR="003808D8" w:rsidRPr="003320DB" w:rsidRDefault="003808D8" w:rsidP="00C856B2">
      <w:pPr>
        <w:pStyle w:val="Point2"/>
        <w:rPr>
          <w:noProof/>
        </w:rPr>
      </w:pPr>
      <w:r w:rsidRPr="003320DB">
        <w:rPr>
          <w:noProof/>
        </w:rPr>
        <w:t>i)</w:t>
      </w:r>
      <w:r w:rsidRPr="003320DB">
        <w:rPr>
          <w:noProof/>
        </w:rPr>
        <w:tab/>
        <w:t>celkovej úrovni a</w:t>
      </w:r>
    </w:p>
    <w:p w:rsidR="003808D8" w:rsidRPr="003320DB" w:rsidRDefault="003808D8" w:rsidP="00C856B2">
      <w:pPr>
        <w:pStyle w:val="Point2"/>
        <w:rPr>
          <w:noProof/>
        </w:rPr>
      </w:pPr>
      <w:r w:rsidRPr="003320DB">
        <w:rPr>
          <w:noProof/>
        </w:rPr>
        <w:t>ii)</w:t>
      </w:r>
      <w:r w:rsidRPr="003320DB">
        <w:rPr>
          <w:noProof/>
        </w:rPr>
        <w:tab/>
        <w:t>domácej úrovni.</w:t>
      </w:r>
    </w:p>
    <w:p w:rsidR="003808D8" w:rsidRPr="003320DB" w:rsidRDefault="00612F20" w:rsidP="00612F20">
      <w:pPr>
        <w:pStyle w:val="ManualNumPar1"/>
        <w:rPr>
          <w:noProof/>
        </w:rPr>
      </w:pPr>
      <w:r w:rsidRPr="00612F20">
        <w:rPr>
          <w:noProof/>
        </w:rPr>
        <w:t>4.</w:t>
      </w:r>
      <w:r w:rsidRPr="00612F20">
        <w:rPr>
          <w:noProof/>
        </w:rPr>
        <w:tab/>
      </w:r>
      <w:r w:rsidR="003808D8" w:rsidRPr="003320DB">
        <w:rPr>
          <w:noProof/>
        </w:rPr>
        <w:t>Inštitúcie predkladajú informácie</w:t>
      </w:r>
      <w:r w:rsidR="003320DB">
        <w:rPr>
          <w:noProof/>
        </w:rPr>
        <w:t xml:space="preserve"> o </w:t>
      </w:r>
      <w:r w:rsidR="003808D8" w:rsidRPr="003320DB">
        <w:rPr>
          <w:noProof/>
        </w:rPr>
        <w:t>významných stratách súvisiacich</w:t>
      </w:r>
      <w:r w:rsidR="003320DB">
        <w:rPr>
          <w:noProof/>
        </w:rPr>
        <w:t xml:space="preserve"> s </w:t>
      </w:r>
      <w:r w:rsidR="003808D8" w:rsidRPr="003320DB">
        <w:rPr>
          <w:noProof/>
        </w:rPr>
        <w:t>operačným rizikom takto:</w:t>
      </w:r>
    </w:p>
    <w:p w:rsidR="003808D8" w:rsidRPr="003320DB" w:rsidRDefault="003320DB" w:rsidP="003320DB">
      <w:pPr>
        <w:pStyle w:val="Point1"/>
        <w:rPr>
          <w:noProof/>
        </w:rPr>
      </w:pPr>
      <w:r>
        <w:rPr>
          <w:noProof/>
        </w:rPr>
        <w:t>a)</w:t>
      </w:r>
      <w:r>
        <w:rPr>
          <w:noProof/>
        </w:rPr>
        <w:tab/>
      </w:r>
      <w:r w:rsidR="003808D8" w:rsidRPr="003320DB">
        <w:rPr>
          <w:noProof/>
        </w:rPr>
        <w:t>inštitúcie, ktoré vypočítavajú</w:t>
      </w:r>
      <w:r>
        <w:rPr>
          <w:noProof/>
        </w:rPr>
        <w:t xml:space="preserve"> v </w:t>
      </w:r>
      <w:r w:rsidR="003808D8" w:rsidRPr="003320DB">
        <w:rPr>
          <w:noProof/>
        </w:rPr>
        <w:t>decembri 2024 požiadavky na vlastné zdroje súvisiace</w:t>
      </w:r>
      <w:r>
        <w:rPr>
          <w:noProof/>
        </w:rPr>
        <w:t xml:space="preserve"> s </w:t>
      </w:r>
      <w:r w:rsidR="003808D8" w:rsidRPr="003320DB">
        <w:rPr>
          <w:noProof/>
        </w:rPr>
        <w:t>operačným rizikom</w:t>
      </w:r>
      <w:r>
        <w:rPr>
          <w:noProof/>
        </w:rPr>
        <w:t xml:space="preserve"> v </w:t>
      </w:r>
      <w:r w:rsidR="003808D8" w:rsidRPr="003320DB">
        <w:rPr>
          <w:noProof/>
        </w:rPr>
        <w:t>súlade</w:t>
      </w:r>
      <w:r>
        <w:rPr>
          <w:noProof/>
        </w:rPr>
        <w:t xml:space="preserve"> s </w:t>
      </w:r>
      <w:r w:rsidR="003808D8" w:rsidRPr="003320DB">
        <w:rPr>
          <w:noProof/>
        </w:rPr>
        <w:t xml:space="preserve">treťou časťou hlavou III kapitolou 4 nariadenia (EÚ) </w:t>
      </w:r>
      <w:r>
        <w:rPr>
          <w:noProof/>
        </w:rPr>
        <w:t>č. </w:t>
      </w:r>
      <w:r w:rsidR="003808D8" w:rsidRPr="003320DB">
        <w:rPr>
          <w:noProof/>
        </w:rPr>
        <w:t>575/2013, naďalej vykazujú tieto informácie uvedené vo vzoroch C 17.01</w:t>
      </w:r>
      <w:r>
        <w:rPr>
          <w:noProof/>
        </w:rPr>
        <w:t xml:space="preserve"> a </w:t>
      </w:r>
      <w:r w:rsidR="003808D8" w:rsidRPr="003320DB">
        <w:rPr>
          <w:noProof/>
        </w:rPr>
        <w:t>C 17.02;</w:t>
      </w:r>
    </w:p>
    <w:p w:rsidR="003808D8" w:rsidRPr="003320DB" w:rsidRDefault="003320DB" w:rsidP="003320DB">
      <w:pPr>
        <w:pStyle w:val="Point1"/>
        <w:rPr>
          <w:noProof/>
        </w:rPr>
      </w:pPr>
      <w:r>
        <w:rPr>
          <w:noProof/>
        </w:rPr>
        <w:t>b)</w:t>
      </w:r>
      <w:r>
        <w:rPr>
          <w:noProof/>
        </w:rPr>
        <w:tab/>
      </w:r>
      <w:r w:rsidR="003808D8" w:rsidRPr="003320DB">
        <w:rPr>
          <w:noProof/>
        </w:rPr>
        <w:t>veľké inštitúcie, ktoré vypočítavajú</w:t>
      </w:r>
      <w:r>
        <w:rPr>
          <w:noProof/>
        </w:rPr>
        <w:t xml:space="preserve"> v </w:t>
      </w:r>
      <w:r w:rsidR="003808D8" w:rsidRPr="003320DB">
        <w:rPr>
          <w:noProof/>
        </w:rPr>
        <w:t>decembri 2024 požiadavky na vlastné zdroje súvisiace</w:t>
      </w:r>
      <w:r>
        <w:rPr>
          <w:noProof/>
        </w:rPr>
        <w:t xml:space="preserve"> s </w:t>
      </w:r>
      <w:r w:rsidR="003808D8" w:rsidRPr="003320DB">
        <w:rPr>
          <w:noProof/>
        </w:rPr>
        <w:t>operačným rizikom</w:t>
      </w:r>
      <w:r>
        <w:rPr>
          <w:noProof/>
        </w:rPr>
        <w:t xml:space="preserve"> v </w:t>
      </w:r>
      <w:r w:rsidR="003808D8" w:rsidRPr="003320DB">
        <w:rPr>
          <w:noProof/>
        </w:rPr>
        <w:t>súlade</w:t>
      </w:r>
      <w:r>
        <w:rPr>
          <w:noProof/>
        </w:rPr>
        <w:t xml:space="preserve"> s </w:t>
      </w:r>
      <w:r w:rsidR="003808D8" w:rsidRPr="003320DB">
        <w:rPr>
          <w:noProof/>
        </w:rPr>
        <w:t xml:space="preserve">treťou časťou hlavou III kapitolou 3 nariadenia (EÚ) </w:t>
      </w:r>
      <w:r>
        <w:rPr>
          <w:noProof/>
        </w:rPr>
        <w:t>č. </w:t>
      </w:r>
      <w:r w:rsidR="003808D8" w:rsidRPr="003320DB">
        <w:rPr>
          <w:noProof/>
        </w:rPr>
        <w:t>575/2013, naďalej vykazujú tieto informácie uvedené vo vzoroch C 17.01</w:t>
      </w:r>
      <w:r>
        <w:rPr>
          <w:noProof/>
        </w:rPr>
        <w:t xml:space="preserve"> a </w:t>
      </w:r>
      <w:r w:rsidR="003808D8" w:rsidRPr="003320DB">
        <w:rPr>
          <w:noProof/>
        </w:rPr>
        <w:t>C 17.02;</w:t>
      </w:r>
    </w:p>
    <w:p w:rsidR="003808D8" w:rsidRPr="003320DB" w:rsidRDefault="003320DB" w:rsidP="003320DB">
      <w:pPr>
        <w:pStyle w:val="Point1"/>
        <w:rPr>
          <w:noProof/>
        </w:rPr>
      </w:pPr>
      <w:r>
        <w:rPr>
          <w:noProof/>
        </w:rPr>
        <w:t>c)</w:t>
      </w:r>
      <w:r>
        <w:rPr>
          <w:noProof/>
        </w:rPr>
        <w:tab/>
      </w:r>
      <w:r w:rsidR="003808D8" w:rsidRPr="003320DB">
        <w:rPr>
          <w:noProof/>
        </w:rPr>
        <w:t>inštitúcie iné ako veľké inštitúcie, ktoré vypočítavajú</w:t>
      </w:r>
      <w:r>
        <w:rPr>
          <w:noProof/>
        </w:rPr>
        <w:t xml:space="preserve"> v </w:t>
      </w:r>
      <w:r w:rsidR="003808D8" w:rsidRPr="003320DB">
        <w:rPr>
          <w:noProof/>
        </w:rPr>
        <w:t>decembri 2024 požiadavky na vlastné zdroje súvisiace</w:t>
      </w:r>
      <w:r>
        <w:rPr>
          <w:noProof/>
        </w:rPr>
        <w:t xml:space="preserve"> s </w:t>
      </w:r>
      <w:r w:rsidR="003808D8" w:rsidRPr="003320DB">
        <w:rPr>
          <w:noProof/>
        </w:rPr>
        <w:t>operačným rizikom</w:t>
      </w:r>
      <w:r>
        <w:rPr>
          <w:noProof/>
        </w:rPr>
        <w:t xml:space="preserve"> v </w:t>
      </w:r>
      <w:r w:rsidR="003808D8" w:rsidRPr="003320DB">
        <w:rPr>
          <w:noProof/>
        </w:rPr>
        <w:t>súlade</w:t>
      </w:r>
      <w:r>
        <w:rPr>
          <w:noProof/>
        </w:rPr>
        <w:t xml:space="preserve"> s </w:t>
      </w:r>
      <w:r w:rsidR="003808D8" w:rsidRPr="003320DB">
        <w:rPr>
          <w:noProof/>
        </w:rPr>
        <w:t xml:space="preserve">treťou časťou hlavou III kapitolou 3 nariadenia (EÚ) </w:t>
      </w:r>
      <w:r>
        <w:rPr>
          <w:noProof/>
        </w:rPr>
        <w:t>č. </w:t>
      </w:r>
      <w:r w:rsidR="003808D8" w:rsidRPr="003320DB">
        <w:rPr>
          <w:noProof/>
        </w:rPr>
        <w:t>575/2013, naďalej vykazujú tieto informácie:</w:t>
      </w:r>
    </w:p>
    <w:p w:rsidR="003808D8" w:rsidRPr="003320DB" w:rsidRDefault="003808D8" w:rsidP="00C856B2">
      <w:pPr>
        <w:pStyle w:val="Point2"/>
        <w:rPr>
          <w:noProof/>
        </w:rPr>
      </w:pPr>
      <w:r w:rsidRPr="003320DB">
        <w:rPr>
          <w:noProof/>
        </w:rPr>
        <w:t>i)</w:t>
      </w:r>
      <w:r w:rsidRPr="003320DB">
        <w:rPr>
          <w:noProof/>
        </w:rPr>
        <w:tab/>
        <w:t>informácie uvedené vo vzore C 17.01</w:t>
      </w:r>
      <w:r w:rsidR="003320DB">
        <w:rPr>
          <w:noProof/>
        </w:rPr>
        <w:t xml:space="preserve"> v </w:t>
      </w:r>
      <w:r w:rsidRPr="003320DB">
        <w:rPr>
          <w:noProof/>
        </w:rPr>
        <w:t>stĺpci 0080 pre tieto riadky:</w:t>
      </w:r>
    </w:p>
    <w:p w:rsidR="003808D8" w:rsidRPr="003320DB" w:rsidRDefault="003320DB" w:rsidP="003320DB">
      <w:pPr>
        <w:pStyle w:val="Point3"/>
        <w:rPr>
          <w:noProof/>
        </w:rPr>
      </w:pPr>
      <w:r>
        <w:rPr>
          <w:noProof/>
        </w:rPr>
        <w:t>1.</w:t>
      </w:r>
      <w:r>
        <w:rPr>
          <w:noProof/>
        </w:rPr>
        <w:tab/>
      </w:r>
      <w:r w:rsidR="003808D8" w:rsidRPr="003320DB">
        <w:rPr>
          <w:noProof/>
        </w:rPr>
        <w:t>počet udalostí (nové udalosti) (riadok 0910);</w:t>
      </w:r>
    </w:p>
    <w:p w:rsidR="003808D8" w:rsidRPr="003320DB" w:rsidRDefault="003320DB" w:rsidP="003320DB">
      <w:pPr>
        <w:pStyle w:val="Point3"/>
        <w:rPr>
          <w:noProof/>
        </w:rPr>
      </w:pPr>
      <w:r>
        <w:rPr>
          <w:noProof/>
        </w:rPr>
        <w:t>2.</w:t>
      </w:r>
      <w:r>
        <w:rPr>
          <w:noProof/>
        </w:rPr>
        <w:tab/>
      </w:r>
      <w:r w:rsidR="003808D8" w:rsidRPr="003320DB">
        <w:rPr>
          <w:noProof/>
        </w:rPr>
        <w:t>hrubá výška straty (nové udalosti) (riadok 0920);</w:t>
      </w:r>
    </w:p>
    <w:p w:rsidR="003808D8" w:rsidRPr="003320DB" w:rsidRDefault="003320DB" w:rsidP="003320DB">
      <w:pPr>
        <w:pStyle w:val="Point3"/>
        <w:rPr>
          <w:noProof/>
        </w:rPr>
      </w:pPr>
      <w:r>
        <w:rPr>
          <w:noProof/>
        </w:rPr>
        <w:t>3.</w:t>
      </w:r>
      <w:r>
        <w:rPr>
          <w:noProof/>
        </w:rPr>
        <w:tab/>
      </w:r>
      <w:r w:rsidR="003808D8" w:rsidRPr="003320DB">
        <w:rPr>
          <w:noProof/>
        </w:rPr>
        <w:t>počet udalostí podliehajúcich stratovým úpravám (riadok 0930);</w:t>
      </w:r>
    </w:p>
    <w:p w:rsidR="003808D8" w:rsidRPr="003320DB" w:rsidRDefault="003320DB" w:rsidP="003320DB">
      <w:pPr>
        <w:pStyle w:val="Point3"/>
        <w:rPr>
          <w:noProof/>
        </w:rPr>
      </w:pPr>
      <w:r>
        <w:rPr>
          <w:noProof/>
        </w:rPr>
        <w:t>4.</w:t>
      </w:r>
      <w:r>
        <w:rPr>
          <w:noProof/>
        </w:rPr>
        <w:tab/>
      </w:r>
      <w:r w:rsidR="003808D8" w:rsidRPr="003320DB">
        <w:rPr>
          <w:noProof/>
        </w:rPr>
        <w:t>stratové úpravy týkajúce sa predchádzajúcich vykazovaných období (riadok 0940);</w:t>
      </w:r>
    </w:p>
    <w:p w:rsidR="003808D8" w:rsidRPr="003320DB" w:rsidRDefault="003320DB" w:rsidP="003320DB">
      <w:pPr>
        <w:pStyle w:val="Point3"/>
        <w:rPr>
          <w:noProof/>
        </w:rPr>
      </w:pPr>
      <w:r>
        <w:rPr>
          <w:noProof/>
        </w:rPr>
        <w:t>5.</w:t>
      </w:r>
      <w:r>
        <w:rPr>
          <w:noProof/>
        </w:rPr>
        <w:tab/>
      </w:r>
      <w:r w:rsidR="003808D8" w:rsidRPr="003320DB">
        <w:rPr>
          <w:noProof/>
        </w:rPr>
        <w:t>maximálna samostatná strata (riadok 0950);</w:t>
      </w:r>
    </w:p>
    <w:p w:rsidR="003808D8" w:rsidRPr="003320DB" w:rsidRDefault="003320DB" w:rsidP="003320DB">
      <w:pPr>
        <w:pStyle w:val="Point3"/>
        <w:rPr>
          <w:noProof/>
        </w:rPr>
      </w:pPr>
      <w:r>
        <w:rPr>
          <w:noProof/>
        </w:rPr>
        <w:t>6.</w:t>
      </w:r>
      <w:r>
        <w:rPr>
          <w:noProof/>
        </w:rPr>
        <w:tab/>
      </w:r>
      <w:r w:rsidR="003808D8" w:rsidRPr="003320DB">
        <w:rPr>
          <w:noProof/>
        </w:rPr>
        <w:t>súčet piatich najväčších strát (riadok 0960);</w:t>
      </w:r>
    </w:p>
    <w:p w:rsidR="003808D8" w:rsidRPr="003320DB" w:rsidRDefault="003320DB" w:rsidP="003320DB">
      <w:pPr>
        <w:pStyle w:val="Point3"/>
        <w:rPr>
          <w:noProof/>
        </w:rPr>
      </w:pPr>
      <w:r>
        <w:rPr>
          <w:noProof/>
        </w:rPr>
        <w:t>7.</w:t>
      </w:r>
      <w:r>
        <w:rPr>
          <w:noProof/>
        </w:rPr>
        <w:tab/>
      </w:r>
      <w:r w:rsidR="003808D8" w:rsidRPr="003320DB">
        <w:rPr>
          <w:noProof/>
        </w:rPr>
        <w:t>celková priama náhrada straty (okrem poistenia</w:t>
      </w:r>
      <w:r>
        <w:rPr>
          <w:noProof/>
        </w:rPr>
        <w:t xml:space="preserve"> a </w:t>
      </w:r>
      <w:r w:rsidR="003808D8" w:rsidRPr="003320DB">
        <w:rPr>
          <w:noProof/>
        </w:rPr>
        <w:t>iných mechanizmov prenosu rizika) (riadok 0970);</w:t>
      </w:r>
    </w:p>
    <w:p w:rsidR="003808D8" w:rsidRPr="003320DB" w:rsidRDefault="003320DB" w:rsidP="003320DB">
      <w:pPr>
        <w:pStyle w:val="Point3"/>
        <w:rPr>
          <w:noProof/>
        </w:rPr>
      </w:pPr>
      <w:r>
        <w:rPr>
          <w:noProof/>
        </w:rPr>
        <w:t>8.</w:t>
      </w:r>
      <w:r>
        <w:rPr>
          <w:noProof/>
        </w:rPr>
        <w:tab/>
      </w:r>
      <w:r w:rsidR="003808D8" w:rsidRPr="003320DB">
        <w:rPr>
          <w:noProof/>
        </w:rPr>
        <w:t>celkové náhrady</w:t>
      </w:r>
      <w:r>
        <w:rPr>
          <w:noProof/>
        </w:rPr>
        <w:t xml:space="preserve"> z </w:t>
      </w:r>
      <w:r w:rsidR="003808D8" w:rsidRPr="003320DB">
        <w:rPr>
          <w:noProof/>
        </w:rPr>
        <w:t>poistenia</w:t>
      </w:r>
      <w:r>
        <w:rPr>
          <w:noProof/>
        </w:rPr>
        <w:t xml:space="preserve"> a </w:t>
      </w:r>
      <w:r w:rsidR="003808D8" w:rsidRPr="003320DB">
        <w:rPr>
          <w:noProof/>
        </w:rPr>
        <w:t>iných mechanizmov prenosu rizika (riadok 0980);</w:t>
      </w:r>
    </w:p>
    <w:p w:rsidR="003808D8" w:rsidRPr="003320DB" w:rsidRDefault="003808D8" w:rsidP="00C856B2">
      <w:pPr>
        <w:pStyle w:val="Point2"/>
        <w:rPr>
          <w:noProof/>
        </w:rPr>
      </w:pPr>
      <w:r w:rsidRPr="003320DB">
        <w:rPr>
          <w:noProof/>
        </w:rPr>
        <w:t>ii)</w:t>
      </w:r>
      <w:r w:rsidRPr="003320DB">
        <w:rPr>
          <w:noProof/>
        </w:rPr>
        <w:tab/>
        <w:t>informácie uvedené vo vzore C 17.02;</w:t>
      </w:r>
    </w:p>
    <w:p w:rsidR="003320DB" w:rsidRDefault="003320DB" w:rsidP="003320DB">
      <w:pPr>
        <w:pStyle w:val="Point1"/>
        <w:rPr>
          <w:noProof/>
        </w:rPr>
      </w:pPr>
      <w:r>
        <w:rPr>
          <w:noProof/>
        </w:rPr>
        <w:t>d)</w:t>
      </w:r>
      <w:r>
        <w:rPr>
          <w:noProof/>
        </w:rPr>
        <w:tab/>
      </w:r>
      <w:r w:rsidR="003808D8" w:rsidRPr="003320DB">
        <w:rPr>
          <w:noProof/>
        </w:rPr>
        <w:t>inštitúcie uvedené</w:t>
      </w:r>
      <w:r>
        <w:rPr>
          <w:noProof/>
        </w:rPr>
        <w:t xml:space="preserve"> v </w:t>
      </w:r>
      <w:r w:rsidR="003808D8" w:rsidRPr="003320DB">
        <w:rPr>
          <w:noProof/>
        </w:rPr>
        <w:t>písmene c) môžu vykazovať úplný súbor informácií uvedených vo vzoroch C 17.01</w:t>
      </w:r>
      <w:r>
        <w:rPr>
          <w:noProof/>
        </w:rPr>
        <w:t xml:space="preserve"> a </w:t>
      </w:r>
      <w:r w:rsidR="003808D8" w:rsidRPr="003320DB">
        <w:rPr>
          <w:noProof/>
        </w:rPr>
        <w:t>C 17.02</w:t>
      </w:r>
      <w:r>
        <w:rPr>
          <w:noProof/>
        </w:rPr>
        <w:t>;</w:t>
      </w:r>
    </w:p>
    <w:p w:rsidR="003808D8" w:rsidRPr="003320DB" w:rsidRDefault="003320DB" w:rsidP="003320DB">
      <w:pPr>
        <w:pStyle w:val="Point1"/>
        <w:rPr>
          <w:noProof/>
        </w:rPr>
      </w:pPr>
      <w:r>
        <w:rPr>
          <w:noProof/>
        </w:rPr>
        <w:t>e)</w:t>
      </w:r>
      <w:r>
        <w:rPr>
          <w:noProof/>
        </w:rPr>
        <w:tab/>
      </w:r>
      <w:r w:rsidR="003808D8" w:rsidRPr="003320DB">
        <w:rPr>
          <w:noProof/>
        </w:rPr>
        <w:t>veľké inštitúcie, ktoré vypočítavajú</w:t>
      </w:r>
      <w:r>
        <w:rPr>
          <w:noProof/>
        </w:rPr>
        <w:t xml:space="preserve"> v </w:t>
      </w:r>
      <w:r w:rsidR="003808D8" w:rsidRPr="003320DB">
        <w:rPr>
          <w:noProof/>
        </w:rPr>
        <w:t>decembri 2024 požiadavky na vlastné zdroje súvisiace</w:t>
      </w:r>
      <w:r>
        <w:rPr>
          <w:noProof/>
        </w:rPr>
        <w:t xml:space="preserve"> s </w:t>
      </w:r>
      <w:r w:rsidR="003808D8" w:rsidRPr="003320DB">
        <w:rPr>
          <w:noProof/>
        </w:rPr>
        <w:t>operačným rizikom</w:t>
      </w:r>
      <w:r>
        <w:rPr>
          <w:noProof/>
        </w:rPr>
        <w:t xml:space="preserve"> v </w:t>
      </w:r>
      <w:r w:rsidR="003808D8" w:rsidRPr="003320DB">
        <w:rPr>
          <w:noProof/>
        </w:rPr>
        <w:t>súlade</w:t>
      </w:r>
      <w:r>
        <w:rPr>
          <w:noProof/>
        </w:rPr>
        <w:t xml:space="preserve"> s </w:t>
      </w:r>
      <w:r w:rsidR="003808D8" w:rsidRPr="003320DB">
        <w:rPr>
          <w:noProof/>
        </w:rPr>
        <w:t xml:space="preserve">treťou časťou hlavou III kapitolou 2 nariadenia (EÚ) </w:t>
      </w:r>
      <w:r>
        <w:rPr>
          <w:noProof/>
        </w:rPr>
        <w:t>č. </w:t>
      </w:r>
      <w:r w:rsidR="003808D8" w:rsidRPr="003320DB">
        <w:rPr>
          <w:noProof/>
        </w:rPr>
        <w:t>575/2013, naďalej vykazujú informácie uvedené vo vzoroch C 17.01</w:t>
      </w:r>
      <w:r>
        <w:rPr>
          <w:noProof/>
        </w:rPr>
        <w:t xml:space="preserve"> a </w:t>
      </w:r>
      <w:r w:rsidR="003808D8" w:rsidRPr="003320DB">
        <w:rPr>
          <w:noProof/>
        </w:rPr>
        <w:t>C 17.02;</w:t>
      </w:r>
    </w:p>
    <w:p w:rsidR="003808D8" w:rsidRPr="003320DB" w:rsidRDefault="003320DB" w:rsidP="003320DB">
      <w:pPr>
        <w:pStyle w:val="Point1"/>
        <w:rPr>
          <w:noProof/>
        </w:rPr>
      </w:pPr>
      <w:r>
        <w:rPr>
          <w:noProof/>
        </w:rPr>
        <w:t>f)</w:t>
      </w:r>
      <w:r>
        <w:rPr>
          <w:noProof/>
        </w:rPr>
        <w:tab/>
      </w:r>
      <w:r w:rsidR="003808D8" w:rsidRPr="003320DB">
        <w:rPr>
          <w:noProof/>
        </w:rPr>
        <w:t>inštitúcie iné ako veľké inštitúcie, ktoré vypočítavajú</w:t>
      </w:r>
      <w:r>
        <w:rPr>
          <w:noProof/>
        </w:rPr>
        <w:t xml:space="preserve"> v </w:t>
      </w:r>
      <w:r w:rsidR="003808D8" w:rsidRPr="003320DB">
        <w:rPr>
          <w:noProof/>
        </w:rPr>
        <w:t>decembri 2024 požiadavky na vlastné zdroje súvisiace</w:t>
      </w:r>
      <w:r>
        <w:rPr>
          <w:noProof/>
        </w:rPr>
        <w:t xml:space="preserve"> s </w:t>
      </w:r>
      <w:r w:rsidR="003808D8" w:rsidRPr="003320DB">
        <w:rPr>
          <w:noProof/>
        </w:rPr>
        <w:t>operačným rizikom</w:t>
      </w:r>
      <w:r>
        <w:rPr>
          <w:noProof/>
        </w:rPr>
        <w:t xml:space="preserve"> v </w:t>
      </w:r>
      <w:r w:rsidR="003808D8" w:rsidRPr="003320DB">
        <w:rPr>
          <w:noProof/>
        </w:rPr>
        <w:t>súlade</w:t>
      </w:r>
      <w:r>
        <w:rPr>
          <w:noProof/>
        </w:rPr>
        <w:t xml:space="preserve"> s </w:t>
      </w:r>
      <w:r w:rsidR="003808D8" w:rsidRPr="003320DB">
        <w:rPr>
          <w:noProof/>
        </w:rPr>
        <w:t xml:space="preserve">treťou časťou hlavou III kapitolou 2 nariadenia (EÚ) </w:t>
      </w:r>
      <w:r>
        <w:rPr>
          <w:noProof/>
        </w:rPr>
        <w:t>č. </w:t>
      </w:r>
      <w:r w:rsidR="003808D8" w:rsidRPr="003320DB">
        <w:rPr>
          <w:noProof/>
        </w:rPr>
        <w:t>575/2013, môžu naďalej vykazovať informácie uvedené vo vzoroch C 17.01</w:t>
      </w:r>
      <w:r>
        <w:rPr>
          <w:noProof/>
        </w:rPr>
        <w:t xml:space="preserve"> a </w:t>
      </w:r>
      <w:r w:rsidR="003808D8" w:rsidRPr="003320DB">
        <w:rPr>
          <w:noProof/>
        </w:rPr>
        <w:t>C 17.02.</w:t>
      </w:r>
    </w:p>
    <w:p w:rsidR="00716EA9" w:rsidRPr="003320DB" w:rsidRDefault="00716EA9" w:rsidP="00E537F5">
      <w:pPr>
        <w:pStyle w:val="Titrearticle"/>
        <w:rPr>
          <w:noProof/>
          <w:szCs w:val="24"/>
        </w:rPr>
      </w:pPr>
      <w:r w:rsidRPr="003320DB">
        <w:rPr>
          <w:noProof/>
        </w:rPr>
        <w:t>Článok 7</w:t>
      </w:r>
    </w:p>
    <w:p w:rsidR="00716EA9" w:rsidRPr="003320DB" w:rsidRDefault="00716EA9" w:rsidP="00F22954">
      <w:pPr>
        <w:pStyle w:val="Titrearticle"/>
        <w:spacing w:before="0"/>
        <w:rPr>
          <w:b/>
          <w:bCs/>
          <w:i w:val="0"/>
          <w:iCs/>
          <w:noProof/>
          <w:szCs w:val="24"/>
        </w:rPr>
      </w:pPr>
      <w:r w:rsidRPr="003320DB">
        <w:rPr>
          <w:b/>
          <w:i w:val="0"/>
          <w:noProof/>
        </w:rPr>
        <w:t>Vykazovanie vlastných zdrojov</w:t>
      </w:r>
      <w:r w:rsidR="003320DB">
        <w:rPr>
          <w:b/>
          <w:i w:val="0"/>
          <w:noProof/>
        </w:rPr>
        <w:t xml:space="preserve"> a </w:t>
      </w:r>
      <w:r w:rsidRPr="003320DB">
        <w:rPr>
          <w:b/>
          <w:i w:val="0"/>
          <w:noProof/>
        </w:rPr>
        <w:t>požiadaviek na vlastné zdroje na konsolidovanom základe</w:t>
      </w:r>
    </w:p>
    <w:p w:rsidR="00716EA9" w:rsidRPr="003320DB" w:rsidRDefault="00716EA9" w:rsidP="00C856B2">
      <w:pPr>
        <w:rPr>
          <w:noProof/>
        </w:rPr>
      </w:pPr>
      <w:r w:rsidRPr="003320DB">
        <w:rPr>
          <w:noProof/>
        </w:rPr>
        <w:t>Inštitúcie, ktoré vykazujú informácie</w:t>
      </w:r>
      <w:r w:rsidR="003320DB">
        <w:rPr>
          <w:noProof/>
        </w:rPr>
        <w:t xml:space="preserve"> o </w:t>
      </w:r>
      <w:r w:rsidRPr="003320DB">
        <w:rPr>
          <w:noProof/>
        </w:rPr>
        <w:t>vlastných zdrojoch</w:t>
      </w:r>
      <w:r w:rsidR="003320DB">
        <w:rPr>
          <w:noProof/>
        </w:rPr>
        <w:t xml:space="preserve"> a </w:t>
      </w:r>
      <w:r w:rsidRPr="003320DB">
        <w:rPr>
          <w:noProof/>
        </w:rPr>
        <w:t>požiadavkách na vlastné zdroje, ako sa vyžaduje</w:t>
      </w:r>
      <w:r w:rsidR="003320DB">
        <w:rPr>
          <w:noProof/>
        </w:rPr>
        <w:t xml:space="preserve"> v </w:t>
      </w:r>
      <w:r w:rsidRPr="003320DB">
        <w:rPr>
          <w:noProof/>
        </w:rPr>
        <w:t xml:space="preserve">článku 430 ods. 1 písm. a) nariadenia (EÚ) </w:t>
      </w:r>
      <w:r w:rsidR="003320DB">
        <w:rPr>
          <w:noProof/>
        </w:rPr>
        <w:t>č. </w:t>
      </w:r>
      <w:r w:rsidRPr="003320DB">
        <w:rPr>
          <w:noProof/>
        </w:rPr>
        <w:t>575/2013, na konsolidovanom základe, predkladajú tieto informácie, ako sú uvedené</w:t>
      </w:r>
      <w:r w:rsidR="003320DB">
        <w:rPr>
          <w:noProof/>
        </w:rPr>
        <w:t xml:space="preserve"> v </w:t>
      </w:r>
      <w:r w:rsidRPr="003320DB">
        <w:rPr>
          <w:noProof/>
        </w:rPr>
        <w:t>oddiele 1 „Vykazovanie vlastných zdrojov</w:t>
      </w:r>
      <w:r w:rsidR="003320DB">
        <w:rPr>
          <w:noProof/>
        </w:rPr>
        <w:t xml:space="preserve"> a </w:t>
      </w:r>
      <w:r w:rsidRPr="003320DB">
        <w:rPr>
          <w:noProof/>
        </w:rPr>
        <w:t>požiadaviek na vlastné zdroje na individuálnom základe“ prílohy I</w:t>
      </w:r>
      <w:r w:rsidR="003320DB">
        <w:rPr>
          <w:noProof/>
        </w:rPr>
        <w:t xml:space="preserve"> k </w:t>
      </w:r>
      <w:r w:rsidRPr="003320DB">
        <w:rPr>
          <w:noProof/>
        </w:rPr>
        <w:t>tomuto nariadeniu, takto:</w:t>
      </w:r>
    </w:p>
    <w:p w:rsidR="00716EA9" w:rsidRPr="003320DB" w:rsidRDefault="003320DB" w:rsidP="003320DB">
      <w:pPr>
        <w:pStyle w:val="Point0"/>
        <w:rPr>
          <w:noProof/>
          <w:color w:val="000000"/>
        </w:rPr>
      </w:pPr>
      <w:r>
        <w:rPr>
          <w:noProof/>
        </w:rPr>
        <w:t>a)</w:t>
      </w:r>
      <w:r>
        <w:rPr>
          <w:noProof/>
        </w:rPr>
        <w:tab/>
      </w:r>
      <w:r w:rsidR="00716EA9" w:rsidRPr="003320DB">
        <w:rPr>
          <w:noProof/>
        </w:rPr>
        <w:t>požiadavku na informácie stanovenú</w:t>
      </w:r>
      <w:r>
        <w:rPr>
          <w:noProof/>
        </w:rPr>
        <w:t xml:space="preserve"> v </w:t>
      </w:r>
      <w:r w:rsidR="00716EA9" w:rsidRPr="003320DB">
        <w:rPr>
          <w:noProof/>
        </w:rPr>
        <w:t>prílohe I,</w:t>
      </w:r>
      <w:r>
        <w:rPr>
          <w:noProof/>
        </w:rPr>
        <w:t xml:space="preserve"> v </w:t>
      </w:r>
      <w:r w:rsidR="00716EA9" w:rsidRPr="003320DB">
        <w:rPr>
          <w:noProof/>
        </w:rPr>
        <w:t>ktorej sa bližšie spresňuje vykazovanie informácií požadované podľa článkov 5</w:t>
      </w:r>
      <w:r>
        <w:rPr>
          <w:noProof/>
        </w:rPr>
        <w:t xml:space="preserve"> a </w:t>
      </w:r>
      <w:r w:rsidR="00716EA9" w:rsidRPr="003320DB">
        <w:rPr>
          <w:noProof/>
        </w:rPr>
        <w:t>6 tohto nariadenia,</w:t>
      </w:r>
      <w:r>
        <w:rPr>
          <w:noProof/>
        </w:rPr>
        <w:t xml:space="preserve"> s </w:t>
      </w:r>
      <w:r w:rsidR="00716EA9" w:rsidRPr="003320DB">
        <w:rPr>
          <w:noProof/>
        </w:rPr>
        <w:t>frekvenciou, ktorá je</w:t>
      </w:r>
      <w:r>
        <w:rPr>
          <w:noProof/>
        </w:rPr>
        <w:t xml:space="preserve"> v </w:t>
      </w:r>
      <w:r w:rsidR="00716EA9" w:rsidRPr="003320DB">
        <w:rPr>
          <w:noProof/>
        </w:rPr>
        <w:t>nich uvedená;</w:t>
      </w:r>
    </w:p>
    <w:p w:rsidR="00716EA9" w:rsidRPr="003320DB" w:rsidRDefault="003320DB" w:rsidP="003320DB">
      <w:pPr>
        <w:pStyle w:val="Point0"/>
        <w:rPr>
          <w:noProof/>
        </w:rPr>
      </w:pPr>
      <w:r>
        <w:rPr>
          <w:noProof/>
        </w:rPr>
        <w:t>b)</w:t>
      </w:r>
      <w:r>
        <w:rPr>
          <w:noProof/>
        </w:rPr>
        <w:tab/>
      </w:r>
      <w:r w:rsidR="00716EA9" w:rsidRPr="003320DB">
        <w:rPr>
          <w:noProof/>
        </w:rPr>
        <w:t>požiadavku na informácie stanovenú</w:t>
      </w:r>
      <w:r>
        <w:rPr>
          <w:noProof/>
        </w:rPr>
        <w:t xml:space="preserve"> v </w:t>
      </w:r>
      <w:r w:rsidR="00716EA9" w:rsidRPr="003320DB">
        <w:rPr>
          <w:noProof/>
        </w:rPr>
        <w:t>prílohe I,</w:t>
      </w:r>
      <w:r>
        <w:rPr>
          <w:noProof/>
        </w:rPr>
        <w:t xml:space="preserve"> v </w:t>
      </w:r>
      <w:r w:rsidR="00716EA9" w:rsidRPr="003320DB">
        <w:rPr>
          <w:noProof/>
        </w:rPr>
        <w:t>ktorej sa bližšie špecifikuje vykazovanie informácií týkajúce sa skupinovej solventnosti, pokiaľ ide</w:t>
      </w:r>
      <w:r>
        <w:rPr>
          <w:noProof/>
        </w:rPr>
        <w:t xml:space="preserve"> o </w:t>
      </w:r>
      <w:r w:rsidR="00716EA9" w:rsidRPr="003320DB">
        <w:rPr>
          <w:noProof/>
        </w:rPr>
        <w:t>subjekty zahrnuté do rozsahu konsolidácie, polročne.</w:t>
      </w:r>
    </w:p>
    <w:p w:rsidR="00716EA9" w:rsidRPr="003320DB" w:rsidRDefault="00716EA9" w:rsidP="00E537F5">
      <w:pPr>
        <w:pStyle w:val="Titrearticle"/>
        <w:rPr>
          <w:noProof/>
          <w:szCs w:val="24"/>
        </w:rPr>
      </w:pPr>
      <w:r w:rsidRPr="003320DB">
        <w:rPr>
          <w:noProof/>
        </w:rPr>
        <w:t>Článok 8</w:t>
      </w:r>
    </w:p>
    <w:p w:rsidR="00716EA9" w:rsidRPr="003320DB" w:rsidRDefault="00716EA9" w:rsidP="00F22954">
      <w:pPr>
        <w:pStyle w:val="Titrearticle"/>
        <w:spacing w:before="0"/>
        <w:rPr>
          <w:b/>
          <w:bCs/>
          <w:i w:val="0"/>
          <w:iCs/>
          <w:noProof/>
          <w:szCs w:val="24"/>
        </w:rPr>
      </w:pPr>
      <w:r w:rsidRPr="003320DB">
        <w:rPr>
          <w:b/>
          <w:i w:val="0"/>
          <w:noProof/>
        </w:rPr>
        <w:t>Vykazovanie vlastných zdrojov</w:t>
      </w:r>
      <w:r w:rsidR="003320DB">
        <w:rPr>
          <w:b/>
          <w:i w:val="0"/>
          <w:noProof/>
        </w:rPr>
        <w:t xml:space="preserve"> a </w:t>
      </w:r>
      <w:r w:rsidRPr="003320DB">
        <w:rPr>
          <w:b/>
          <w:i w:val="0"/>
          <w:noProof/>
        </w:rPr>
        <w:t>požiadaviek na vlastné zdroje – dodatočné požiadavky na vykazovanie na individuálnom</w:t>
      </w:r>
      <w:r w:rsidR="003320DB">
        <w:rPr>
          <w:b/>
          <w:i w:val="0"/>
          <w:noProof/>
        </w:rPr>
        <w:t xml:space="preserve"> a </w:t>
      </w:r>
      <w:r w:rsidRPr="003320DB">
        <w:rPr>
          <w:b/>
          <w:i w:val="0"/>
          <w:noProof/>
        </w:rPr>
        <w:t>konsolidovanom základe</w:t>
      </w:r>
    </w:p>
    <w:p w:rsidR="00AB5213" w:rsidRPr="003320DB" w:rsidRDefault="00612F20" w:rsidP="00612F20">
      <w:pPr>
        <w:pStyle w:val="ManualNumPar1"/>
        <w:rPr>
          <w:noProof/>
        </w:rPr>
      </w:pPr>
      <w:r w:rsidRPr="00612F20">
        <w:rPr>
          <w:noProof/>
        </w:rPr>
        <w:t>1.</w:t>
      </w:r>
      <w:r w:rsidRPr="00612F20">
        <w:rPr>
          <w:noProof/>
        </w:rPr>
        <w:tab/>
      </w:r>
      <w:r w:rsidR="00716EA9" w:rsidRPr="003320DB">
        <w:rPr>
          <w:noProof/>
        </w:rPr>
        <w:t>Inštitúcie, ktoré majú zverejňovať informácie uvedené</w:t>
      </w:r>
      <w:r w:rsidR="003320DB">
        <w:rPr>
          <w:noProof/>
        </w:rPr>
        <w:t xml:space="preserve"> v </w:t>
      </w:r>
      <w:r w:rsidR="00716EA9" w:rsidRPr="003320DB">
        <w:rPr>
          <w:noProof/>
        </w:rPr>
        <w:t xml:space="preserve">článku 438 písm. e) alebo h) alebo článku 452 písm. b), g) alebo h) nariadenia (EÚ) </w:t>
      </w:r>
      <w:r w:rsidR="003320DB">
        <w:rPr>
          <w:noProof/>
        </w:rPr>
        <w:t>č. </w:t>
      </w:r>
      <w:r w:rsidR="00716EA9" w:rsidRPr="003320DB">
        <w:rPr>
          <w:noProof/>
        </w:rPr>
        <w:t>575/2013</w:t>
      </w:r>
      <w:r w:rsidR="003320DB">
        <w:rPr>
          <w:noProof/>
        </w:rPr>
        <w:t xml:space="preserve"> s </w:t>
      </w:r>
      <w:r w:rsidR="00716EA9" w:rsidRPr="003320DB">
        <w:rPr>
          <w:noProof/>
        </w:rPr>
        <w:t>frekvenciou stanovenou</w:t>
      </w:r>
      <w:r w:rsidR="003320DB">
        <w:rPr>
          <w:noProof/>
        </w:rPr>
        <w:t xml:space="preserve"> v </w:t>
      </w:r>
      <w:r w:rsidR="00716EA9" w:rsidRPr="003320DB">
        <w:rPr>
          <w:noProof/>
        </w:rPr>
        <w:t>článku 433a alebo článku 433c uvedeného nariadenia na individuálnom základe</w:t>
      </w:r>
      <w:r w:rsidR="003320DB">
        <w:rPr>
          <w:noProof/>
        </w:rPr>
        <w:t xml:space="preserve"> v </w:t>
      </w:r>
      <w:r w:rsidR="00716EA9" w:rsidRPr="003320DB">
        <w:rPr>
          <w:noProof/>
        </w:rPr>
        <w:t>súlade</w:t>
      </w:r>
      <w:r w:rsidR="003320DB">
        <w:rPr>
          <w:noProof/>
        </w:rPr>
        <w:t xml:space="preserve"> s </w:t>
      </w:r>
      <w:r w:rsidR="00716EA9" w:rsidRPr="003320DB">
        <w:rPr>
          <w:noProof/>
        </w:rPr>
        <w:t>článkom 6 uvedeného nariadenia alebo prípadne na konsolidovanom základe</w:t>
      </w:r>
      <w:r w:rsidR="003320DB">
        <w:rPr>
          <w:noProof/>
        </w:rPr>
        <w:t xml:space="preserve"> v </w:t>
      </w:r>
      <w:r w:rsidR="00716EA9" w:rsidRPr="003320DB">
        <w:rPr>
          <w:noProof/>
        </w:rPr>
        <w:t>súlade</w:t>
      </w:r>
      <w:r w:rsidR="003320DB">
        <w:rPr>
          <w:noProof/>
        </w:rPr>
        <w:t xml:space="preserve"> s </w:t>
      </w:r>
      <w:r w:rsidR="00716EA9" w:rsidRPr="003320DB">
        <w:rPr>
          <w:noProof/>
        </w:rPr>
        <w:t>článkom 13 uvedeného nariadenia predkladajú informácie uvedené vo vzoroch C 08.03, C 08.04, C 08.05, C 08.05.01, C 08.06, C 08.07</w:t>
      </w:r>
      <w:r w:rsidR="003320DB">
        <w:rPr>
          <w:noProof/>
        </w:rPr>
        <w:t xml:space="preserve"> a </w:t>
      </w:r>
      <w:r w:rsidR="00716EA9" w:rsidRPr="003320DB">
        <w:rPr>
          <w:noProof/>
        </w:rPr>
        <w:t>C 34.11 oddielu 1 „Vykazovanie vlastných zdrojov</w:t>
      </w:r>
      <w:r w:rsidR="003320DB">
        <w:rPr>
          <w:noProof/>
        </w:rPr>
        <w:t xml:space="preserve"> a </w:t>
      </w:r>
      <w:r w:rsidR="00716EA9" w:rsidRPr="003320DB">
        <w:rPr>
          <w:noProof/>
        </w:rPr>
        <w:t>požiadaviek na vlastné zdroje“ prílohy I</w:t>
      </w:r>
      <w:r w:rsidR="003320DB">
        <w:rPr>
          <w:noProof/>
        </w:rPr>
        <w:t xml:space="preserve"> k </w:t>
      </w:r>
      <w:r w:rsidR="00716EA9" w:rsidRPr="003320DB">
        <w:rPr>
          <w:noProof/>
        </w:rPr>
        <w:t>tomuto nariadeniu.</w:t>
      </w:r>
    </w:p>
    <w:p w:rsidR="00716EA9" w:rsidRPr="003320DB" w:rsidRDefault="00612F20" w:rsidP="00612F20">
      <w:pPr>
        <w:pStyle w:val="ManualNumPar1"/>
        <w:rPr>
          <w:noProof/>
        </w:rPr>
      </w:pPr>
      <w:r w:rsidRPr="00612F20">
        <w:rPr>
          <w:noProof/>
        </w:rPr>
        <w:t>2.</w:t>
      </w:r>
      <w:r w:rsidRPr="00612F20">
        <w:rPr>
          <w:noProof/>
        </w:rPr>
        <w:tab/>
      </w:r>
      <w:r w:rsidR="00716EA9" w:rsidRPr="003320DB">
        <w:rPr>
          <w:noProof/>
        </w:rPr>
        <w:t>Inštitúcie, ktoré majú zverejňovať informácie uvedené</w:t>
      </w:r>
      <w:r w:rsidR="003320DB">
        <w:rPr>
          <w:noProof/>
        </w:rPr>
        <w:t xml:space="preserve"> v </w:t>
      </w:r>
      <w:r w:rsidR="00716EA9" w:rsidRPr="003320DB">
        <w:rPr>
          <w:noProof/>
        </w:rPr>
        <w:t xml:space="preserve">článku 439 písm. l) nariadenia (EÚ) </w:t>
      </w:r>
      <w:r w:rsidR="003320DB">
        <w:rPr>
          <w:noProof/>
        </w:rPr>
        <w:t>č. </w:t>
      </w:r>
      <w:r w:rsidR="00716EA9" w:rsidRPr="003320DB">
        <w:rPr>
          <w:noProof/>
        </w:rPr>
        <w:t>575/2013</w:t>
      </w:r>
      <w:r w:rsidR="003320DB">
        <w:rPr>
          <w:noProof/>
        </w:rPr>
        <w:t xml:space="preserve"> s </w:t>
      </w:r>
      <w:r w:rsidR="00716EA9" w:rsidRPr="003320DB">
        <w:rPr>
          <w:noProof/>
        </w:rPr>
        <w:t>frekvenciou stanovenou</w:t>
      </w:r>
      <w:r w:rsidR="003320DB">
        <w:rPr>
          <w:noProof/>
        </w:rPr>
        <w:t xml:space="preserve"> v </w:t>
      </w:r>
      <w:r w:rsidR="00716EA9" w:rsidRPr="003320DB">
        <w:rPr>
          <w:noProof/>
        </w:rPr>
        <w:t>článku 433a alebo prípadne článku 433c uvedeného nariadenia na individuálnom základe</w:t>
      </w:r>
      <w:r w:rsidR="003320DB">
        <w:rPr>
          <w:noProof/>
        </w:rPr>
        <w:t xml:space="preserve"> v </w:t>
      </w:r>
      <w:r w:rsidR="00716EA9" w:rsidRPr="003320DB">
        <w:rPr>
          <w:noProof/>
        </w:rPr>
        <w:t>súlade</w:t>
      </w:r>
      <w:r w:rsidR="003320DB">
        <w:rPr>
          <w:noProof/>
        </w:rPr>
        <w:t xml:space="preserve"> s </w:t>
      </w:r>
      <w:r w:rsidR="00716EA9" w:rsidRPr="003320DB">
        <w:rPr>
          <w:noProof/>
        </w:rPr>
        <w:t>článkom 6 uvedeného nariadenia alebo prípadne na konsolidovanom základe</w:t>
      </w:r>
      <w:r w:rsidR="003320DB">
        <w:rPr>
          <w:noProof/>
        </w:rPr>
        <w:t xml:space="preserve"> v </w:t>
      </w:r>
      <w:r w:rsidR="00716EA9" w:rsidRPr="003320DB">
        <w:rPr>
          <w:noProof/>
        </w:rPr>
        <w:t>súlade</w:t>
      </w:r>
      <w:r w:rsidR="003320DB">
        <w:rPr>
          <w:noProof/>
        </w:rPr>
        <w:t xml:space="preserve"> s </w:t>
      </w:r>
      <w:r w:rsidR="00716EA9" w:rsidRPr="003320DB">
        <w:rPr>
          <w:noProof/>
        </w:rPr>
        <w:t>článkom 13 uvedeného nariadenia, predkladajú informácie uvedené vo vzore C 34.07 oddielu 1 „Vykazovanie vlastných zdrojov</w:t>
      </w:r>
      <w:r w:rsidR="003320DB">
        <w:rPr>
          <w:noProof/>
        </w:rPr>
        <w:t xml:space="preserve"> a </w:t>
      </w:r>
      <w:r w:rsidR="00716EA9" w:rsidRPr="003320DB">
        <w:rPr>
          <w:noProof/>
        </w:rPr>
        <w:t>požiadaviek na vlastné zdroje“ prílohy I</w:t>
      </w:r>
      <w:r w:rsidR="003320DB">
        <w:rPr>
          <w:noProof/>
        </w:rPr>
        <w:t xml:space="preserve"> k </w:t>
      </w:r>
      <w:r w:rsidR="00716EA9" w:rsidRPr="003320DB">
        <w:rPr>
          <w:noProof/>
        </w:rPr>
        <w:t>tomuto nariadeniu.</w:t>
      </w:r>
    </w:p>
    <w:p w:rsidR="00716EA9" w:rsidRPr="003320DB" w:rsidRDefault="00716EA9" w:rsidP="00E537F5">
      <w:pPr>
        <w:pStyle w:val="Titrearticle"/>
        <w:rPr>
          <w:noProof/>
          <w:szCs w:val="24"/>
        </w:rPr>
      </w:pPr>
      <w:r w:rsidRPr="003320DB">
        <w:rPr>
          <w:noProof/>
        </w:rPr>
        <w:t>Článok 9</w:t>
      </w:r>
    </w:p>
    <w:p w:rsidR="00716EA9" w:rsidRPr="003320DB" w:rsidRDefault="00716EA9" w:rsidP="00F22954">
      <w:pPr>
        <w:pStyle w:val="Titrearticle"/>
        <w:spacing w:before="0"/>
        <w:rPr>
          <w:b/>
          <w:bCs/>
          <w:i w:val="0"/>
          <w:iCs/>
          <w:noProof/>
          <w:szCs w:val="24"/>
        </w:rPr>
      </w:pPr>
      <w:r w:rsidRPr="003320DB">
        <w:rPr>
          <w:b/>
          <w:i w:val="0"/>
          <w:noProof/>
        </w:rPr>
        <w:t>Vykazovanie vlastných zdrojov</w:t>
      </w:r>
      <w:r w:rsidR="003320DB">
        <w:rPr>
          <w:b/>
          <w:i w:val="0"/>
          <w:noProof/>
        </w:rPr>
        <w:t xml:space="preserve"> a </w:t>
      </w:r>
      <w:r w:rsidRPr="003320DB">
        <w:rPr>
          <w:b/>
          <w:i w:val="0"/>
          <w:noProof/>
        </w:rPr>
        <w:t>požiadaviek na vlastné zdroje voči investičným spoločnostiam, na ktoré sa vzťahujú články 95</w:t>
      </w:r>
      <w:r w:rsidR="003320DB">
        <w:rPr>
          <w:b/>
          <w:i w:val="0"/>
          <w:noProof/>
        </w:rPr>
        <w:t xml:space="preserve"> a </w:t>
      </w:r>
      <w:r w:rsidRPr="003320DB">
        <w:rPr>
          <w:b/>
          <w:i w:val="0"/>
          <w:noProof/>
        </w:rPr>
        <w:t xml:space="preserve">96 nariadenia (EÚ) </w:t>
      </w:r>
      <w:r w:rsidR="003320DB">
        <w:rPr>
          <w:b/>
          <w:i w:val="0"/>
          <w:noProof/>
        </w:rPr>
        <w:t>č. </w:t>
      </w:r>
      <w:r w:rsidRPr="003320DB">
        <w:rPr>
          <w:b/>
          <w:i w:val="0"/>
          <w:noProof/>
        </w:rPr>
        <w:t>575/2013, na individuálnom základe</w:t>
      </w:r>
    </w:p>
    <w:p w:rsidR="00716EA9" w:rsidRPr="003320DB" w:rsidRDefault="00612F20" w:rsidP="00612F20">
      <w:pPr>
        <w:pStyle w:val="ManualNumPar1"/>
        <w:rPr>
          <w:noProof/>
        </w:rPr>
      </w:pPr>
      <w:r w:rsidRPr="00612F20">
        <w:rPr>
          <w:noProof/>
        </w:rPr>
        <w:t>1.</w:t>
      </w:r>
      <w:r w:rsidRPr="00612F20">
        <w:rPr>
          <w:noProof/>
        </w:rPr>
        <w:tab/>
      </w:r>
      <w:r w:rsidR="000E2BE4" w:rsidRPr="003320DB">
        <w:rPr>
          <w:noProof/>
        </w:rPr>
        <w:t xml:space="preserve">Investičné spoločnosti, na ktoré sa vzťahuje článok 95 nariadenia (EÚ) </w:t>
      </w:r>
      <w:r w:rsidR="003320DB">
        <w:rPr>
          <w:noProof/>
        </w:rPr>
        <w:t>č. </w:t>
      </w:r>
      <w:r w:rsidR="000E2BE4" w:rsidRPr="003320DB">
        <w:rPr>
          <w:noProof/>
        </w:rPr>
        <w:t>575/2013</w:t>
      </w:r>
      <w:r w:rsidR="003320DB">
        <w:rPr>
          <w:noProof/>
        </w:rPr>
        <w:t xml:space="preserve"> a </w:t>
      </w:r>
      <w:r w:rsidR="000E2BE4" w:rsidRPr="003320DB">
        <w:rPr>
          <w:noProof/>
        </w:rPr>
        <w:t>ktoré uplatňujú prechodné ustanovenia stanovené</w:t>
      </w:r>
      <w:r w:rsidR="003320DB">
        <w:rPr>
          <w:noProof/>
        </w:rPr>
        <w:t xml:space="preserve"> v </w:t>
      </w:r>
      <w:r w:rsidR="000E2BE4" w:rsidRPr="003320DB">
        <w:rPr>
          <w:noProof/>
        </w:rPr>
        <w:t>článku 57 ods. 3 nariadenia (EÚ) 2019/2033, keď vykazujú informácie</w:t>
      </w:r>
      <w:r w:rsidR="003320DB">
        <w:rPr>
          <w:noProof/>
        </w:rPr>
        <w:t xml:space="preserve"> o </w:t>
      </w:r>
      <w:r w:rsidR="000E2BE4" w:rsidRPr="003320DB">
        <w:rPr>
          <w:noProof/>
        </w:rPr>
        <w:t>požiadavkách na vlastné zdroje, ako sa vyžaduje</w:t>
      </w:r>
      <w:r w:rsidR="003320DB">
        <w:rPr>
          <w:noProof/>
        </w:rPr>
        <w:t xml:space="preserve"> v </w:t>
      </w:r>
      <w:r w:rsidR="000E2BE4" w:rsidRPr="003320DB">
        <w:rPr>
          <w:noProof/>
        </w:rPr>
        <w:t xml:space="preserve">článku 430 ods. 1 písm. a) nariadenia (EÚ) </w:t>
      </w:r>
      <w:r w:rsidR="003320DB">
        <w:rPr>
          <w:noProof/>
        </w:rPr>
        <w:t>č. </w:t>
      </w:r>
      <w:r w:rsidR="000E2BE4" w:rsidRPr="003320DB">
        <w:rPr>
          <w:noProof/>
        </w:rPr>
        <w:t>575/2013, na individuálnom základe,</w:t>
      </w:r>
      <w:r w:rsidR="003320DB">
        <w:rPr>
          <w:noProof/>
        </w:rPr>
        <w:t xml:space="preserve"> s </w:t>
      </w:r>
      <w:r w:rsidR="000E2BE4" w:rsidRPr="003320DB">
        <w:rPr>
          <w:noProof/>
        </w:rPr>
        <w:t>výnimkou informácií</w:t>
      </w:r>
      <w:r w:rsidR="003320DB">
        <w:rPr>
          <w:noProof/>
        </w:rPr>
        <w:t xml:space="preserve"> o </w:t>
      </w:r>
      <w:r w:rsidR="000E2BE4" w:rsidRPr="003320DB">
        <w:rPr>
          <w:noProof/>
        </w:rPr>
        <w:t>ukazovateli finančnej páky, predkladajú informácie uvedené vo vzoroch C 01.00 až C 05.02 oddielu 1 „Vykazovanie vlastných zdrojov</w:t>
      </w:r>
      <w:r w:rsidR="003320DB">
        <w:rPr>
          <w:noProof/>
        </w:rPr>
        <w:t xml:space="preserve"> a </w:t>
      </w:r>
      <w:r w:rsidR="000E2BE4" w:rsidRPr="003320DB">
        <w:rPr>
          <w:noProof/>
        </w:rPr>
        <w:t>požiadaviek na vlastné zdroje“ prílohy I</w:t>
      </w:r>
      <w:r w:rsidR="003320DB">
        <w:rPr>
          <w:noProof/>
        </w:rPr>
        <w:t xml:space="preserve"> k </w:t>
      </w:r>
      <w:r w:rsidR="000E2BE4" w:rsidRPr="003320DB">
        <w:rPr>
          <w:noProof/>
        </w:rPr>
        <w:t>tomuto nariadeniu štvrťročne.</w:t>
      </w:r>
    </w:p>
    <w:p w:rsidR="00716EA9" w:rsidRPr="003320DB" w:rsidRDefault="00612F20" w:rsidP="00612F20">
      <w:pPr>
        <w:pStyle w:val="ManualNumPar1"/>
        <w:rPr>
          <w:noProof/>
        </w:rPr>
      </w:pPr>
      <w:r w:rsidRPr="00612F20">
        <w:rPr>
          <w:noProof/>
        </w:rPr>
        <w:t>2.</w:t>
      </w:r>
      <w:r w:rsidRPr="00612F20">
        <w:rPr>
          <w:noProof/>
        </w:rPr>
        <w:tab/>
      </w:r>
      <w:r w:rsidR="001D71A4" w:rsidRPr="003320DB">
        <w:rPr>
          <w:noProof/>
        </w:rPr>
        <w:t xml:space="preserve">Investičné spoločnosti, na ktoré sa vzťahuje článok 96 nariadenia (EÚ) </w:t>
      </w:r>
      <w:r w:rsidR="003320DB">
        <w:rPr>
          <w:noProof/>
        </w:rPr>
        <w:t>č. </w:t>
      </w:r>
      <w:r w:rsidR="001D71A4" w:rsidRPr="003320DB">
        <w:rPr>
          <w:noProof/>
        </w:rPr>
        <w:t>575/2013</w:t>
      </w:r>
      <w:r w:rsidR="003320DB">
        <w:rPr>
          <w:noProof/>
        </w:rPr>
        <w:t xml:space="preserve"> a </w:t>
      </w:r>
      <w:r w:rsidR="001D71A4" w:rsidRPr="003320DB">
        <w:rPr>
          <w:noProof/>
        </w:rPr>
        <w:t>ktoré uplatňujú prechodné ustanovenia stanovené</w:t>
      </w:r>
      <w:r w:rsidR="003320DB">
        <w:rPr>
          <w:noProof/>
        </w:rPr>
        <w:t xml:space="preserve"> v </w:t>
      </w:r>
      <w:r w:rsidR="001D71A4" w:rsidRPr="003320DB">
        <w:rPr>
          <w:noProof/>
        </w:rPr>
        <w:t>článku 57 ods. 3 nariadenia (EÚ) 2019/2033, keď vykazujú informácie</w:t>
      </w:r>
      <w:r w:rsidR="003320DB">
        <w:rPr>
          <w:noProof/>
        </w:rPr>
        <w:t xml:space="preserve"> o </w:t>
      </w:r>
      <w:r w:rsidR="001D71A4" w:rsidRPr="003320DB">
        <w:rPr>
          <w:noProof/>
        </w:rPr>
        <w:t>požiadavkách na vlastné zdroje, ako sa vyžaduje</w:t>
      </w:r>
      <w:r w:rsidR="003320DB">
        <w:rPr>
          <w:noProof/>
        </w:rPr>
        <w:t xml:space="preserve"> v </w:t>
      </w:r>
      <w:r w:rsidR="001D71A4" w:rsidRPr="003320DB">
        <w:rPr>
          <w:noProof/>
        </w:rPr>
        <w:t xml:space="preserve">článku 430 ods. 1 písm. a) nariadenia (EÚ) </w:t>
      </w:r>
      <w:r w:rsidR="003320DB">
        <w:rPr>
          <w:noProof/>
        </w:rPr>
        <w:t>č. </w:t>
      </w:r>
      <w:r w:rsidR="001D71A4" w:rsidRPr="003320DB">
        <w:rPr>
          <w:noProof/>
        </w:rPr>
        <w:t>575/2013, na individuálnom základe, predkladajú informácie uvedené</w:t>
      </w:r>
      <w:r w:rsidR="003320DB">
        <w:rPr>
          <w:noProof/>
        </w:rPr>
        <w:t xml:space="preserve"> v </w:t>
      </w:r>
      <w:r w:rsidR="001D71A4" w:rsidRPr="003320DB">
        <w:rPr>
          <w:noProof/>
        </w:rPr>
        <w:t>článku 5 ods. 1 až 4</w:t>
      </w:r>
      <w:r w:rsidR="003320DB">
        <w:rPr>
          <w:noProof/>
        </w:rPr>
        <w:t xml:space="preserve"> a </w:t>
      </w:r>
      <w:r w:rsidR="001D71A4" w:rsidRPr="003320DB">
        <w:rPr>
          <w:noProof/>
        </w:rPr>
        <w:t>článku 6 ods. 2 uvedeného nariadenia</w:t>
      </w:r>
      <w:r w:rsidR="003320DB">
        <w:rPr>
          <w:noProof/>
        </w:rPr>
        <w:t xml:space="preserve"> s </w:t>
      </w:r>
      <w:r w:rsidR="001D71A4" w:rsidRPr="003320DB">
        <w:rPr>
          <w:noProof/>
        </w:rPr>
        <w:t>frekvenciou stanovenou</w:t>
      </w:r>
      <w:r w:rsidR="003320DB">
        <w:rPr>
          <w:noProof/>
        </w:rPr>
        <w:t xml:space="preserve"> v </w:t>
      </w:r>
      <w:r w:rsidR="001D71A4" w:rsidRPr="003320DB">
        <w:rPr>
          <w:noProof/>
        </w:rPr>
        <w:t>uvedených článkoch, ako sa stanovuje</w:t>
      </w:r>
      <w:r w:rsidR="003320DB">
        <w:rPr>
          <w:noProof/>
        </w:rPr>
        <w:t xml:space="preserve"> v </w:t>
      </w:r>
      <w:r w:rsidR="001D71A4" w:rsidRPr="003320DB">
        <w:rPr>
          <w:noProof/>
        </w:rPr>
        <w:t>oddiele 1 „Vykazovanie vlastných zdrojov</w:t>
      </w:r>
      <w:r w:rsidR="003320DB">
        <w:rPr>
          <w:noProof/>
        </w:rPr>
        <w:t xml:space="preserve"> a </w:t>
      </w:r>
      <w:r w:rsidR="001D71A4" w:rsidRPr="003320DB">
        <w:rPr>
          <w:noProof/>
        </w:rPr>
        <w:t>požiadaviek na vlastné zdroje“ prílohy I</w:t>
      </w:r>
      <w:r w:rsidR="003320DB">
        <w:rPr>
          <w:noProof/>
        </w:rPr>
        <w:t xml:space="preserve"> k </w:t>
      </w:r>
      <w:r w:rsidR="001D71A4" w:rsidRPr="003320DB">
        <w:rPr>
          <w:noProof/>
        </w:rPr>
        <w:t>tomuto nariadeniu.</w:t>
      </w:r>
    </w:p>
    <w:p w:rsidR="00716EA9" w:rsidRPr="003320DB" w:rsidRDefault="00716EA9" w:rsidP="00E537F5">
      <w:pPr>
        <w:pStyle w:val="Titrearticle"/>
        <w:rPr>
          <w:noProof/>
          <w:szCs w:val="24"/>
        </w:rPr>
      </w:pPr>
      <w:r w:rsidRPr="003320DB">
        <w:rPr>
          <w:noProof/>
        </w:rPr>
        <w:t>Článok 10</w:t>
      </w:r>
    </w:p>
    <w:p w:rsidR="00716EA9" w:rsidRPr="003320DB" w:rsidRDefault="00716EA9" w:rsidP="00F22954">
      <w:pPr>
        <w:pStyle w:val="Titrearticle"/>
        <w:spacing w:before="0"/>
        <w:rPr>
          <w:b/>
          <w:bCs/>
          <w:i w:val="0"/>
          <w:iCs/>
          <w:noProof/>
          <w:szCs w:val="24"/>
        </w:rPr>
      </w:pPr>
      <w:r w:rsidRPr="003320DB">
        <w:rPr>
          <w:b/>
          <w:i w:val="0"/>
          <w:noProof/>
        </w:rPr>
        <w:t>Vykazovanie vlastných zdrojov</w:t>
      </w:r>
      <w:r w:rsidR="003320DB">
        <w:rPr>
          <w:b/>
          <w:i w:val="0"/>
          <w:noProof/>
        </w:rPr>
        <w:t xml:space="preserve"> a </w:t>
      </w:r>
      <w:r w:rsidRPr="003320DB">
        <w:rPr>
          <w:b/>
          <w:i w:val="0"/>
          <w:noProof/>
        </w:rPr>
        <w:t>požiadaviek na vlastné zdroje pre skupiny, ktoré pozostávajú len</w:t>
      </w:r>
      <w:r w:rsidR="003320DB">
        <w:rPr>
          <w:b/>
          <w:i w:val="0"/>
          <w:noProof/>
        </w:rPr>
        <w:t xml:space="preserve"> z </w:t>
      </w:r>
      <w:r w:rsidRPr="003320DB">
        <w:rPr>
          <w:b/>
          <w:i w:val="0"/>
          <w:noProof/>
        </w:rPr>
        <w:t>investičných spoločností, na ktoré sa vzťahujú články 95</w:t>
      </w:r>
      <w:r w:rsidR="003320DB">
        <w:rPr>
          <w:b/>
          <w:i w:val="0"/>
          <w:noProof/>
        </w:rPr>
        <w:t xml:space="preserve"> a </w:t>
      </w:r>
      <w:r w:rsidRPr="003320DB">
        <w:rPr>
          <w:b/>
          <w:i w:val="0"/>
          <w:noProof/>
        </w:rPr>
        <w:t xml:space="preserve">96 nariadenia (EÚ) </w:t>
      </w:r>
      <w:r w:rsidR="003320DB">
        <w:rPr>
          <w:b/>
          <w:i w:val="0"/>
          <w:noProof/>
        </w:rPr>
        <w:t>č. </w:t>
      </w:r>
      <w:r w:rsidRPr="003320DB">
        <w:rPr>
          <w:b/>
          <w:i w:val="0"/>
          <w:noProof/>
        </w:rPr>
        <w:t>575/2013, na konsolidovanom základe</w:t>
      </w:r>
    </w:p>
    <w:p w:rsidR="00716EA9" w:rsidRPr="003320DB" w:rsidRDefault="00612F20" w:rsidP="00612F20">
      <w:pPr>
        <w:pStyle w:val="ManualNumPar1"/>
        <w:rPr>
          <w:noProof/>
        </w:rPr>
      </w:pPr>
      <w:r w:rsidRPr="00612F20">
        <w:rPr>
          <w:noProof/>
        </w:rPr>
        <w:t>1.</w:t>
      </w:r>
      <w:r w:rsidRPr="00612F20">
        <w:rPr>
          <w:noProof/>
        </w:rPr>
        <w:tab/>
      </w:r>
      <w:r w:rsidR="00D44B55" w:rsidRPr="003320DB">
        <w:rPr>
          <w:noProof/>
        </w:rPr>
        <w:t>Investičné spoločnosti skupín, ktoré pozostávajú len</w:t>
      </w:r>
      <w:r w:rsidR="003320DB">
        <w:rPr>
          <w:noProof/>
        </w:rPr>
        <w:t xml:space="preserve"> z </w:t>
      </w:r>
      <w:r w:rsidR="00D44B55" w:rsidRPr="003320DB">
        <w:rPr>
          <w:noProof/>
        </w:rPr>
        <w:t>investičných spoločností, ktoré uplatňujú prechodné ustanovenia stanovené</w:t>
      </w:r>
      <w:r w:rsidR="003320DB">
        <w:rPr>
          <w:noProof/>
        </w:rPr>
        <w:t xml:space="preserve"> v </w:t>
      </w:r>
      <w:r w:rsidR="00D44B55" w:rsidRPr="003320DB">
        <w:rPr>
          <w:noProof/>
        </w:rPr>
        <w:t>článku 57 ods. 3 nariadenia (EÚ) 2019/2033</w:t>
      </w:r>
      <w:r w:rsidR="003320DB">
        <w:rPr>
          <w:noProof/>
        </w:rPr>
        <w:t xml:space="preserve"> s </w:t>
      </w:r>
      <w:r w:rsidR="00D44B55" w:rsidRPr="003320DB">
        <w:rPr>
          <w:noProof/>
        </w:rPr>
        <w:t xml:space="preserve">odkazom na článok 95 nariadenia (EÚ) </w:t>
      </w:r>
      <w:r w:rsidR="003320DB">
        <w:rPr>
          <w:noProof/>
        </w:rPr>
        <w:t>č. </w:t>
      </w:r>
      <w:r w:rsidR="00D44B55" w:rsidRPr="003320DB">
        <w:rPr>
          <w:noProof/>
        </w:rPr>
        <w:t>575/2013, keď vykazujú informácie</w:t>
      </w:r>
      <w:r w:rsidR="003320DB">
        <w:rPr>
          <w:noProof/>
        </w:rPr>
        <w:t xml:space="preserve"> o </w:t>
      </w:r>
      <w:r w:rsidR="00D44B55" w:rsidRPr="003320DB">
        <w:rPr>
          <w:noProof/>
        </w:rPr>
        <w:t>požiadavkách na vlastné zdroje, ako sa vyžaduje</w:t>
      </w:r>
      <w:r w:rsidR="003320DB">
        <w:rPr>
          <w:noProof/>
        </w:rPr>
        <w:t xml:space="preserve"> v </w:t>
      </w:r>
      <w:r w:rsidR="00D44B55" w:rsidRPr="003320DB">
        <w:rPr>
          <w:noProof/>
        </w:rPr>
        <w:t xml:space="preserve">článku 430 ods. 1 písm. a) nariadenia (EÚ) </w:t>
      </w:r>
      <w:r w:rsidR="003320DB">
        <w:rPr>
          <w:noProof/>
        </w:rPr>
        <w:t>č. </w:t>
      </w:r>
      <w:r w:rsidR="00D44B55" w:rsidRPr="003320DB">
        <w:rPr>
          <w:noProof/>
        </w:rPr>
        <w:t>575/2013, na konsolidovanom základe,</w:t>
      </w:r>
      <w:r w:rsidR="003320DB">
        <w:rPr>
          <w:noProof/>
        </w:rPr>
        <w:t xml:space="preserve"> s </w:t>
      </w:r>
      <w:r w:rsidR="00D44B55" w:rsidRPr="003320DB">
        <w:rPr>
          <w:noProof/>
        </w:rPr>
        <w:t>výnimkou informácií</w:t>
      </w:r>
      <w:r w:rsidR="003320DB">
        <w:rPr>
          <w:noProof/>
        </w:rPr>
        <w:t xml:space="preserve"> o </w:t>
      </w:r>
      <w:r w:rsidR="00D44B55" w:rsidRPr="003320DB">
        <w:rPr>
          <w:noProof/>
        </w:rPr>
        <w:t>ukazovateli finančnej páky, predkladajú informácie uvedené</w:t>
      </w:r>
      <w:r w:rsidR="003320DB">
        <w:rPr>
          <w:noProof/>
        </w:rPr>
        <w:t xml:space="preserve"> v </w:t>
      </w:r>
      <w:r w:rsidR="00D44B55" w:rsidRPr="003320DB">
        <w:rPr>
          <w:noProof/>
        </w:rPr>
        <w:t>oddiele 1 „Vykazovanie vlastných zdrojov</w:t>
      </w:r>
      <w:r w:rsidR="003320DB">
        <w:rPr>
          <w:noProof/>
        </w:rPr>
        <w:t xml:space="preserve"> a </w:t>
      </w:r>
      <w:r w:rsidR="00D44B55" w:rsidRPr="003320DB">
        <w:rPr>
          <w:noProof/>
        </w:rPr>
        <w:t>požiadaviek na vlastné zdroje“ prílohy I</w:t>
      </w:r>
      <w:r w:rsidR="003320DB">
        <w:rPr>
          <w:noProof/>
        </w:rPr>
        <w:t xml:space="preserve"> k </w:t>
      </w:r>
      <w:r w:rsidR="00D44B55" w:rsidRPr="003320DB">
        <w:rPr>
          <w:noProof/>
        </w:rPr>
        <w:t>tomuto nariadeniu takto:</w:t>
      </w:r>
    </w:p>
    <w:p w:rsidR="00D61A8B" w:rsidRPr="003320DB" w:rsidRDefault="003320DB" w:rsidP="003320DB">
      <w:pPr>
        <w:pStyle w:val="Point1"/>
        <w:rPr>
          <w:noProof/>
        </w:rPr>
      </w:pPr>
      <w:r>
        <w:rPr>
          <w:noProof/>
        </w:rPr>
        <w:t>a)</w:t>
      </w:r>
      <w:r>
        <w:rPr>
          <w:noProof/>
        </w:rPr>
        <w:tab/>
      </w:r>
      <w:r w:rsidR="00D61A8B" w:rsidRPr="003320DB">
        <w:rPr>
          <w:noProof/>
        </w:rPr>
        <w:t>informácie</w:t>
      </w:r>
      <w:r>
        <w:rPr>
          <w:noProof/>
        </w:rPr>
        <w:t xml:space="preserve"> o </w:t>
      </w:r>
      <w:r w:rsidR="00D61A8B" w:rsidRPr="003320DB">
        <w:rPr>
          <w:noProof/>
        </w:rPr>
        <w:t>vlastných zdrojoch</w:t>
      </w:r>
      <w:r>
        <w:rPr>
          <w:noProof/>
        </w:rPr>
        <w:t xml:space="preserve"> a </w:t>
      </w:r>
      <w:r w:rsidR="00D61A8B" w:rsidRPr="003320DB">
        <w:rPr>
          <w:noProof/>
        </w:rPr>
        <w:t>požiadavkách na vlastné zdroje uvedené vo vzoroch C 01.00 až C 05.02 oddielu 1 prílohy I tohto nariadenia štvrťročne;</w:t>
      </w:r>
    </w:p>
    <w:p w:rsidR="00D61A8B" w:rsidRPr="003320DB" w:rsidRDefault="003320DB" w:rsidP="003320DB">
      <w:pPr>
        <w:pStyle w:val="Point1"/>
        <w:rPr>
          <w:noProof/>
        </w:rPr>
      </w:pPr>
      <w:r>
        <w:rPr>
          <w:noProof/>
        </w:rPr>
        <w:t>b)</w:t>
      </w:r>
      <w:r>
        <w:rPr>
          <w:noProof/>
        </w:rPr>
        <w:tab/>
      </w:r>
      <w:r w:rsidR="00D61A8B" w:rsidRPr="003320DB">
        <w:rPr>
          <w:noProof/>
        </w:rPr>
        <w:t>informácie</w:t>
      </w:r>
      <w:r>
        <w:rPr>
          <w:noProof/>
        </w:rPr>
        <w:t xml:space="preserve"> o </w:t>
      </w:r>
      <w:r w:rsidR="00D61A8B" w:rsidRPr="003320DB">
        <w:rPr>
          <w:noProof/>
        </w:rPr>
        <w:t>vlastných zdrojoch</w:t>
      </w:r>
      <w:r>
        <w:rPr>
          <w:noProof/>
        </w:rPr>
        <w:t xml:space="preserve"> a </w:t>
      </w:r>
      <w:r w:rsidR="00D61A8B" w:rsidRPr="003320DB">
        <w:rPr>
          <w:noProof/>
        </w:rPr>
        <w:t>požiadavkách na vlastné zdroje, pokiaľ ide</w:t>
      </w:r>
      <w:r>
        <w:rPr>
          <w:noProof/>
        </w:rPr>
        <w:t xml:space="preserve"> o </w:t>
      </w:r>
      <w:r w:rsidR="00D61A8B" w:rsidRPr="003320DB">
        <w:rPr>
          <w:noProof/>
        </w:rPr>
        <w:t>subjekty zahrnuté do rozsahu konsolidácie, ako sa uvádza vo vzoroch C 06.01</w:t>
      </w:r>
      <w:r>
        <w:rPr>
          <w:noProof/>
        </w:rPr>
        <w:t xml:space="preserve"> a </w:t>
      </w:r>
      <w:r w:rsidR="00D61A8B" w:rsidRPr="003320DB">
        <w:rPr>
          <w:noProof/>
        </w:rPr>
        <w:t>C 06.02 oddielu 1 prílohy I tohto nariadenia polročne.</w:t>
      </w:r>
    </w:p>
    <w:p w:rsidR="00716EA9" w:rsidRPr="003320DB" w:rsidRDefault="00612F20" w:rsidP="00612F20">
      <w:pPr>
        <w:pStyle w:val="ManualNumPar1"/>
        <w:rPr>
          <w:noProof/>
        </w:rPr>
      </w:pPr>
      <w:r w:rsidRPr="00612F20">
        <w:rPr>
          <w:noProof/>
        </w:rPr>
        <w:t>2.</w:t>
      </w:r>
      <w:r w:rsidRPr="00612F20">
        <w:rPr>
          <w:noProof/>
        </w:rPr>
        <w:tab/>
      </w:r>
      <w:r w:rsidR="00EA1A16" w:rsidRPr="003320DB">
        <w:rPr>
          <w:noProof/>
        </w:rPr>
        <w:t>Investičné spoločnosti skupín, ktoré pozostávajú len</w:t>
      </w:r>
      <w:r w:rsidR="003320DB">
        <w:rPr>
          <w:noProof/>
        </w:rPr>
        <w:t xml:space="preserve"> z </w:t>
      </w:r>
      <w:r w:rsidR="00EA1A16" w:rsidRPr="003320DB">
        <w:rPr>
          <w:noProof/>
        </w:rPr>
        <w:t>investičných spoločností, ktoré uplatňujú prechodné ustanovenia stanovené</w:t>
      </w:r>
      <w:r w:rsidR="003320DB">
        <w:rPr>
          <w:noProof/>
        </w:rPr>
        <w:t xml:space="preserve"> v </w:t>
      </w:r>
      <w:r w:rsidR="00EA1A16" w:rsidRPr="003320DB">
        <w:rPr>
          <w:noProof/>
        </w:rPr>
        <w:t>článku 57 ods. 3 nariadenia (EÚ) 2019/2033</w:t>
      </w:r>
      <w:r w:rsidR="003320DB">
        <w:rPr>
          <w:noProof/>
        </w:rPr>
        <w:t xml:space="preserve"> s </w:t>
      </w:r>
      <w:r w:rsidR="00EA1A16" w:rsidRPr="003320DB">
        <w:rPr>
          <w:noProof/>
        </w:rPr>
        <w:t xml:space="preserve">odkazom na článok 96 nariadenia (EÚ) </w:t>
      </w:r>
      <w:r w:rsidR="003320DB">
        <w:rPr>
          <w:noProof/>
        </w:rPr>
        <w:t>č. </w:t>
      </w:r>
      <w:r w:rsidR="00EA1A16" w:rsidRPr="003320DB">
        <w:rPr>
          <w:noProof/>
        </w:rPr>
        <w:t>575/2013, keď vykazujú informácie</w:t>
      </w:r>
      <w:r w:rsidR="003320DB">
        <w:rPr>
          <w:noProof/>
        </w:rPr>
        <w:t xml:space="preserve"> o </w:t>
      </w:r>
      <w:r w:rsidR="00EA1A16" w:rsidRPr="003320DB">
        <w:rPr>
          <w:noProof/>
        </w:rPr>
        <w:t>požiadavkách na vlastné zdroje, ako sa vyžaduje</w:t>
      </w:r>
      <w:r w:rsidR="003320DB">
        <w:rPr>
          <w:noProof/>
        </w:rPr>
        <w:t xml:space="preserve"> v </w:t>
      </w:r>
      <w:r w:rsidR="00EA1A16" w:rsidRPr="003320DB">
        <w:rPr>
          <w:noProof/>
        </w:rPr>
        <w:t xml:space="preserve">článku 430 ods. 1 písm. a) nariadenia (EÚ) </w:t>
      </w:r>
      <w:r w:rsidR="003320DB">
        <w:rPr>
          <w:noProof/>
        </w:rPr>
        <w:t>č. </w:t>
      </w:r>
      <w:r w:rsidR="00EA1A16" w:rsidRPr="003320DB">
        <w:rPr>
          <w:noProof/>
        </w:rPr>
        <w:t>575/2013, na konsolidovanom základe, predkladajú informácie uvedené</w:t>
      </w:r>
      <w:r w:rsidR="003320DB">
        <w:rPr>
          <w:noProof/>
        </w:rPr>
        <w:t xml:space="preserve"> v </w:t>
      </w:r>
      <w:r w:rsidR="00EA1A16" w:rsidRPr="003320DB">
        <w:rPr>
          <w:noProof/>
        </w:rPr>
        <w:t>oddiele 1 „Vykazovanie vlastných zdrojov</w:t>
      </w:r>
      <w:r w:rsidR="003320DB">
        <w:rPr>
          <w:noProof/>
        </w:rPr>
        <w:t xml:space="preserve"> a </w:t>
      </w:r>
      <w:r w:rsidR="00EA1A16" w:rsidRPr="003320DB">
        <w:rPr>
          <w:noProof/>
        </w:rPr>
        <w:t>požiadaviek na vlastné zdroje“ prílohy I</w:t>
      </w:r>
      <w:r w:rsidR="003320DB">
        <w:rPr>
          <w:noProof/>
        </w:rPr>
        <w:t xml:space="preserve"> k </w:t>
      </w:r>
      <w:r w:rsidR="00EA1A16" w:rsidRPr="003320DB">
        <w:rPr>
          <w:noProof/>
        </w:rPr>
        <w:t>tomuto nariadeniu takto:</w:t>
      </w:r>
    </w:p>
    <w:p w:rsidR="00AD54BA" w:rsidRPr="003320DB" w:rsidRDefault="003320DB" w:rsidP="003320DB">
      <w:pPr>
        <w:pStyle w:val="Point1"/>
        <w:rPr>
          <w:noProof/>
        </w:rPr>
      </w:pPr>
      <w:r>
        <w:rPr>
          <w:noProof/>
        </w:rPr>
        <w:t>a)</w:t>
      </w:r>
      <w:r>
        <w:rPr>
          <w:noProof/>
        </w:rPr>
        <w:tab/>
      </w:r>
      <w:r w:rsidR="00AD54BA" w:rsidRPr="003320DB">
        <w:rPr>
          <w:noProof/>
        </w:rPr>
        <w:t>informácie uvedené</w:t>
      </w:r>
      <w:r>
        <w:rPr>
          <w:noProof/>
        </w:rPr>
        <w:t xml:space="preserve"> v </w:t>
      </w:r>
      <w:r w:rsidR="00AD54BA" w:rsidRPr="003320DB">
        <w:rPr>
          <w:noProof/>
        </w:rPr>
        <w:t>článku 5 ods. 1 až 4</w:t>
      </w:r>
      <w:r>
        <w:rPr>
          <w:noProof/>
        </w:rPr>
        <w:t xml:space="preserve"> a v </w:t>
      </w:r>
      <w:r w:rsidR="00AD54BA" w:rsidRPr="003320DB">
        <w:rPr>
          <w:noProof/>
        </w:rPr>
        <w:t>článku 6 ods. 2 tohto nariadenia</w:t>
      </w:r>
      <w:r>
        <w:rPr>
          <w:noProof/>
        </w:rPr>
        <w:t xml:space="preserve"> s </w:t>
      </w:r>
      <w:r w:rsidR="00AD54BA" w:rsidRPr="003320DB">
        <w:rPr>
          <w:noProof/>
        </w:rPr>
        <w:t>frekvenciou stanovenou</w:t>
      </w:r>
      <w:r>
        <w:rPr>
          <w:noProof/>
        </w:rPr>
        <w:t xml:space="preserve"> v </w:t>
      </w:r>
      <w:r w:rsidR="00AD54BA" w:rsidRPr="003320DB">
        <w:rPr>
          <w:noProof/>
        </w:rPr>
        <w:t>uvedených článkoch;</w:t>
      </w:r>
    </w:p>
    <w:p w:rsidR="00AD54BA" w:rsidRPr="003320DB" w:rsidRDefault="003320DB" w:rsidP="003320DB">
      <w:pPr>
        <w:pStyle w:val="Point1"/>
        <w:rPr>
          <w:noProof/>
        </w:rPr>
      </w:pPr>
      <w:r>
        <w:rPr>
          <w:noProof/>
        </w:rPr>
        <w:t>b)</w:t>
      </w:r>
      <w:r>
        <w:rPr>
          <w:noProof/>
        </w:rPr>
        <w:tab/>
      </w:r>
      <w:r w:rsidR="00AD54BA" w:rsidRPr="003320DB">
        <w:rPr>
          <w:noProof/>
        </w:rPr>
        <w:t>informácie, pokiaľ ide</w:t>
      </w:r>
      <w:r>
        <w:rPr>
          <w:noProof/>
        </w:rPr>
        <w:t xml:space="preserve"> o </w:t>
      </w:r>
      <w:r w:rsidR="00AD54BA" w:rsidRPr="003320DB">
        <w:rPr>
          <w:noProof/>
        </w:rPr>
        <w:t>subjekty zahrnuté do rozsahu konsolidácie, ako sa uvádza vo vzoroch C 06.01</w:t>
      </w:r>
      <w:r>
        <w:rPr>
          <w:noProof/>
        </w:rPr>
        <w:t xml:space="preserve"> a </w:t>
      </w:r>
      <w:r w:rsidR="00AD54BA" w:rsidRPr="003320DB">
        <w:rPr>
          <w:noProof/>
        </w:rPr>
        <w:t>C 06.02 oddielu 1 prílohy I tohto nariadenia polročne.</w:t>
      </w:r>
    </w:p>
    <w:p w:rsidR="00716EA9" w:rsidRPr="003320DB" w:rsidRDefault="00716EA9" w:rsidP="00E537F5">
      <w:pPr>
        <w:pStyle w:val="Titrearticle"/>
        <w:rPr>
          <w:noProof/>
          <w:szCs w:val="24"/>
        </w:rPr>
      </w:pPr>
      <w:r w:rsidRPr="003320DB">
        <w:rPr>
          <w:noProof/>
        </w:rPr>
        <w:t>Článok 11</w:t>
      </w:r>
    </w:p>
    <w:p w:rsidR="00716EA9" w:rsidRPr="003320DB" w:rsidRDefault="00716EA9" w:rsidP="00F22954">
      <w:pPr>
        <w:pStyle w:val="Titrearticle"/>
        <w:spacing w:before="0"/>
        <w:rPr>
          <w:b/>
          <w:bCs/>
          <w:i w:val="0"/>
          <w:iCs/>
          <w:noProof/>
          <w:szCs w:val="24"/>
        </w:rPr>
      </w:pPr>
      <w:r w:rsidRPr="003320DB">
        <w:rPr>
          <w:b/>
          <w:i w:val="0"/>
          <w:noProof/>
        </w:rPr>
        <w:t>Vykazovanie finančných informácií na konsolidovanom základe pre inštitúcie, na ktoré sa vzťahuje nariadenie Európskeho parlamentu</w:t>
      </w:r>
      <w:r w:rsidR="003320DB">
        <w:rPr>
          <w:b/>
          <w:i w:val="0"/>
          <w:noProof/>
        </w:rPr>
        <w:t xml:space="preserve"> a </w:t>
      </w:r>
      <w:r w:rsidRPr="003320DB">
        <w:rPr>
          <w:b/>
          <w:i w:val="0"/>
          <w:noProof/>
        </w:rPr>
        <w:t xml:space="preserve">Rady (ES) </w:t>
      </w:r>
      <w:r w:rsidR="003320DB">
        <w:rPr>
          <w:b/>
          <w:i w:val="0"/>
          <w:noProof/>
        </w:rPr>
        <w:t>č. </w:t>
      </w:r>
      <w:r w:rsidRPr="003320DB">
        <w:rPr>
          <w:b/>
          <w:i w:val="0"/>
          <w:noProof/>
        </w:rPr>
        <w:t>1606/2002</w:t>
      </w:r>
      <w:r w:rsidRPr="003320DB">
        <w:rPr>
          <w:rStyle w:val="FootnoteReference"/>
          <w:i w:val="0"/>
          <w:iCs/>
          <w:noProof/>
          <w:szCs w:val="24"/>
        </w:rPr>
        <w:footnoteReference w:id="9"/>
      </w:r>
    </w:p>
    <w:p w:rsidR="00716EA9" w:rsidRPr="003320DB" w:rsidRDefault="00DE1415" w:rsidP="00EE077F">
      <w:pPr>
        <w:spacing w:before="100" w:beforeAutospacing="1" w:after="100" w:afterAutospacing="1"/>
        <w:rPr>
          <w:noProof/>
          <w:color w:val="000000"/>
          <w:szCs w:val="24"/>
        </w:rPr>
      </w:pPr>
      <w:r w:rsidRPr="003320DB">
        <w:rPr>
          <w:noProof/>
          <w:color w:val="000000"/>
        </w:rPr>
        <w:t>Inštitúcie, ktoré predkladajú finančné informácie na konsolidovanom základe</w:t>
      </w:r>
      <w:r w:rsidR="003320DB">
        <w:rPr>
          <w:noProof/>
          <w:color w:val="000000"/>
        </w:rPr>
        <w:t xml:space="preserve"> v </w:t>
      </w:r>
      <w:r w:rsidRPr="003320DB">
        <w:rPr>
          <w:noProof/>
          <w:color w:val="000000"/>
        </w:rPr>
        <w:t>súlade</w:t>
      </w:r>
      <w:r w:rsidR="003320DB">
        <w:rPr>
          <w:noProof/>
          <w:color w:val="000000"/>
        </w:rPr>
        <w:t xml:space="preserve"> s </w:t>
      </w:r>
      <w:r w:rsidRPr="003320DB">
        <w:rPr>
          <w:noProof/>
          <w:color w:val="000000"/>
        </w:rPr>
        <w:t xml:space="preserve">článkom 430 ods. 3 alebo 4 nariadenia (EÚ) </w:t>
      </w:r>
      <w:r w:rsidR="003320DB">
        <w:rPr>
          <w:noProof/>
          <w:color w:val="000000"/>
        </w:rPr>
        <w:t>č. </w:t>
      </w:r>
      <w:r w:rsidRPr="003320DB">
        <w:rPr>
          <w:noProof/>
          <w:color w:val="000000"/>
        </w:rPr>
        <w:t>575/2013, predkladajú uvedené informácie, ako sa uvádza</w:t>
      </w:r>
      <w:r w:rsidR="003320DB">
        <w:rPr>
          <w:noProof/>
          <w:color w:val="000000"/>
        </w:rPr>
        <w:t xml:space="preserve"> v </w:t>
      </w:r>
      <w:r w:rsidRPr="003320DB">
        <w:rPr>
          <w:noProof/>
          <w:color w:val="000000"/>
        </w:rPr>
        <w:t>oddiele 2 „Vykazovanie finančných informácií podľa štandardov IFRS“ prílohy I</w:t>
      </w:r>
      <w:r w:rsidR="003320DB">
        <w:rPr>
          <w:noProof/>
          <w:color w:val="000000"/>
        </w:rPr>
        <w:t xml:space="preserve"> k </w:t>
      </w:r>
      <w:r w:rsidRPr="003320DB">
        <w:rPr>
          <w:noProof/>
          <w:color w:val="000000"/>
        </w:rPr>
        <w:t>tomuto nariadeniu</w:t>
      </w:r>
      <w:r w:rsidR="003320DB">
        <w:rPr>
          <w:noProof/>
          <w:color w:val="000000"/>
        </w:rPr>
        <w:t xml:space="preserve"> s </w:t>
      </w:r>
      <w:r w:rsidRPr="003320DB">
        <w:rPr>
          <w:noProof/>
          <w:color w:val="000000"/>
        </w:rPr>
        <w:t>touto frekvenciou:</w:t>
      </w:r>
    </w:p>
    <w:p w:rsidR="00AD54BA" w:rsidRPr="003320DB" w:rsidRDefault="003320DB" w:rsidP="003320DB">
      <w:pPr>
        <w:pStyle w:val="Point0"/>
        <w:rPr>
          <w:noProof/>
        </w:rPr>
      </w:pPr>
      <w:r>
        <w:rPr>
          <w:noProof/>
        </w:rPr>
        <w:t>a)</w:t>
      </w:r>
      <w:r>
        <w:rPr>
          <w:noProof/>
        </w:rPr>
        <w:tab/>
      </w:r>
      <w:r w:rsidR="00AD54BA" w:rsidRPr="003320DB">
        <w:rPr>
          <w:noProof/>
        </w:rPr>
        <w:t>informácie uvedené vo vzoroch F 01.01 až F 19.00 oddielu 2 prílohy I</w:t>
      </w:r>
      <w:r>
        <w:rPr>
          <w:noProof/>
        </w:rPr>
        <w:t xml:space="preserve"> k </w:t>
      </w:r>
      <w:r w:rsidR="00AD54BA" w:rsidRPr="003320DB">
        <w:rPr>
          <w:noProof/>
        </w:rPr>
        <w:t>tomuto nariadenia štvrťročne;</w:t>
      </w:r>
    </w:p>
    <w:p w:rsidR="00AD54BA" w:rsidRPr="003320DB" w:rsidRDefault="003320DB" w:rsidP="003320DB">
      <w:pPr>
        <w:pStyle w:val="Point0"/>
        <w:rPr>
          <w:noProof/>
        </w:rPr>
      </w:pPr>
      <w:r>
        <w:rPr>
          <w:noProof/>
        </w:rPr>
        <w:t>b)</w:t>
      </w:r>
      <w:r>
        <w:rPr>
          <w:noProof/>
        </w:rPr>
        <w:tab/>
      </w:r>
      <w:r w:rsidR="00AD54BA" w:rsidRPr="003320DB">
        <w:rPr>
          <w:noProof/>
        </w:rPr>
        <w:t>informácie uvedené vo vzoroch F 30.01 až F 31.02 oddielu 2 prílohy I</w:t>
      </w:r>
      <w:r>
        <w:rPr>
          <w:noProof/>
        </w:rPr>
        <w:t xml:space="preserve"> k </w:t>
      </w:r>
      <w:r w:rsidR="00AD54BA" w:rsidRPr="003320DB">
        <w:rPr>
          <w:noProof/>
        </w:rPr>
        <w:t>tomuto nariadenia polročne;</w:t>
      </w:r>
    </w:p>
    <w:p w:rsidR="00AD54BA" w:rsidRPr="003320DB" w:rsidRDefault="003320DB" w:rsidP="003320DB">
      <w:pPr>
        <w:pStyle w:val="Point0"/>
        <w:rPr>
          <w:noProof/>
        </w:rPr>
      </w:pPr>
      <w:r>
        <w:rPr>
          <w:noProof/>
        </w:rPr>
        <w:t>c)</w:t>
      </w:r>
      <w:r>
        <w:rPr>
          <w:noProof/>
        </w:rPr>
        <w:tab/>
      </w:r>
      <w:r w:rsidR="00AD54BA" w:rsidRPr="003320DB">
        <w:rPr>
          <w:noProof/>
        </w:rPr>
        <w:t>informácie uvedené vo vzoroch F 40.01 až F 46.00 oddielu 2 prílohy I</w:t>
      </w:r>
      <w:r>
        <w:rPr>
          <w:noProof/>
        </w:rPr>
        <w:t xml:space="preserve"> k </w:t>
      </w:r>
      <w:r w:rsidR="00AD54BA" w:rsidRPr="003320DB">
        <w:rPr>
          <w:noProof/>
        </w:rPr>
        <w:t>tomuto nariadenia ročne;</w:t>
      </w:r>
    </w:p>
    <w:p w:rsidR="00AD54BA" w:rsidRPr="003320DB" w:rsidRDefault="003320DB" w:rsidP="003320DB">
      <w:pPr>
        <w:pStyle w:val="Point0"/>
        <w:rPr>
          <w:noProof/>
        </w:rPr>
      </w:pPr>
      <w:r>
        <w:rPr>
          <w:noProof/>
        </w:rPr>
        <w:t>d)</w:t>
      </w:r>
      <w:r>
        <w:rPr>
          <w:noProof/>
        </w:rPr>
        <w:tab/>
      </w:r>
      <w:r w:rsidR="00AD54BA" w:rsidRPr="003320DB">
        <w:rPr>
          <w:noProof/>
        </w:rPr>
        <w:t>informácie uvedené vo vzoroch F 20.01 až F 20.07.1 oddielu 2 prílohy I</w:t>
      </w:r>
      <w:r>
        <w:rPr>
          <w:noProof/>
        </w:rPr>
        <w:t xml:space="preserve"> k </w:t>
      </w:r>
      <w:r w:rsidR="00AD54BA" w:rsidRPr="003320DB">
        <w:rPr>
          <w:noProof/>
        </w:rPr>
        <w:t>tomuto nariadeniu štvrťročne, ak inštitúcia prekročí prahovú hodnotu stanovenú</w:t>
      </w:r>
      <w:r>
        <w:rPr>
          <w:noProof/>
        </w:rPr>
        <w:t xml:space="preserve"> v </w:t>
      </w:r>
      <w:r w:rsidR="00AD54BA" w:rsidRPr="003320DB">
        <w:rPr>
          <w:noProof/>
        </w:rPr>
        <w:t>článku 5 ods. 2 druhom pododseku tohto nariadenia;</w:t>
      </w:r>
    </w:p>
    <w:p w:rsidR="00AD54BA" w:rsidRPr="003320DB" w:rsidRDefault="003320DB" w:rsidP="003320DB">
      <w:pPr>
        <w:pStyle w:val="Point0"/>
        <w:rPr>
          <w:noProof/>
        </w:rPr>
      </w:pPr>
      <w:r>
        <w:rPr>
          <w:noProof/>
        </w:rPr>
        <w:t>e)</w:t>
      </w:r>
      <w:r>
        <w:rPr>
          <w:noProof/>
        </w:rPr>
        <w:tab/>
      </w:r>
      <w:r w:rsidR="00AD54BA" w:rsidRPr="003320DB">
        <w:rPr>
          <w:noProof/>
        </w:rPr>
        <w:t>informácie uvedené vo vzore F 21.00 oddielu 2 prílohy I</w:t>
      </w:r>
      <w:r>
        <w:rPr>
          <w:noProof/>
        </w:rPr>
        <w:t xml:space="preserve"> k </w:t>
      </w:r>
      <w:r w:rsidR="00AD54BA" w:rsidRPr="003320DB">
        <w:rPr>
          <w:noProof/>
        </w:rPr>
        <w:t>tomuto nariadeniu štvrťročne, ak sa hmotné aktíva, ktoré sú predmetom operatívneho lízingu, rovnajú alebo sú vyššie ako 10</w:t>
      </w:r>
      <w:r>
        <w:rPr>
          <w:noProof/>
        </w:rPr>
        <w:t> %</w:t>
      </w:r>
      <w:r w:rsidR="00AD54BA" w:rsidRPr="003320DB">
        <w:rPr>
          <w:noProof/>
        </w:rPr>
        <w:t xml:space="preserve"> celkových hmotných aktív vykázaných</w:t>
      </w:r>
      <w:r>
        <w:rPr>
          <w:noProof/>
        </w:rPr>
        <w:t xml:space="preserve"> v </w:t>
      </w:r>
      <w:r w:rsidR="00AD54BA" w:rsidRPr="003320DB">
        <w:rPr>
          <w:noProof/>
        </w:rPr>
        <w:t>súlade so vzorom F 01.01 oddielu 2 prílohy I</w:t>
      </w:r>
      <w:r>
        <w:rPr>
          <w:noProof/>
        </w:rPr>
        <w:t xml:space="preserve"> k </w:t>
      </w:r>
      <w:r w:rsidR="00AD54BA" w:rsidRPr="003320DB">
        <w:rPr>
          <w:noProof/>
        </w:rPr>
        <w:t>tomuto nariadeniu;</w:t>
      </w:r>
    </w:p>
    <w:p w:rsidR="00AD54BA" w:rsidRPr="003320DB" w:rsidRDefault="003320DB" w:rsidP="003320DB">
      <w:pPr>
        <w:pStyle w:val="Point0"/>
        <w:rPr>
          <w:noProof/>
        </w:rPr>
      </w:pPr>
      <w:r>
        <w:rPr>
          <w:noProof/>
        </w:rPr>
        <w:t>f)</w:t>
      </w:r>
      <w:r>
        <w:rPr>
          <w:noProof/>
        </w:rPr>
        <w:tab/>
      </w:r>
      <w:r w:rsidR="00AD54BA" w:rsidRPr="003320DB">
        <w:rPr>
          <w:noProof/>
        </w:rPr>
        <w:t>informácie uvedené vo vzore F 22.01</w:t>
      </w:r>
      <w:r>
        <w:rPr>
          <w:noProof/>
        </w:rPr>
        <w:t xml:space="preserve"> a </w:t>
      </w:r>
      <w:r w:rsidR="00AD54BA" w:rsidRPr="003320DB">
        <w:rPr>
          <w:noProof/>
        </w:rPr>
        <w:t>F 22.02 oddielu 2 prílohy I</w:t>
      </w:r>
      <w:r>
        <w:rPr>
          <w:noProof/>
        </w:rPr>
        <w:t xml:space="preserve"> k </w:t>
      </w:r>
      <w:r w:rsidR="00AD54BA" w:rsidRPr="003320DB">
        <w:rPr>
          <w:noProof/>
        </w:rPr>
        <w:t>tomuto nariadeniu štvrťročne, ak sa čistý príjem</w:t>
      </w:r>
      <w:r>
        <w:rPr>
          <w:noProof/>
        </w:rPr>
        <w:t xml:space="preserve"> z </w:t>
      </w:r>
      <w:r w:rsidR="00AD54BA" w:rsidRPr="003320DB">
        <w:rPr>
          <w:noProof/>
        </w:rPr>
        <w:t>poplatkov</w:t>
      </w:r>
      <w:r>
        <w:rPr>
          <w:noProof/>
        </w:rPr>
        <w:t xml:space="preserve"> a </w:t>
      </w:r>
      <w:r w:rsidR="00AD54BA" w:rsidRPr="003320DB">
        <w:rPr>
          <w:noProof/>
        </w:rPr>
        <w:t>provízií rovná alebo je vyšší ako 10</w:t>
      </w:r>
      <w:r>
        <w:rPr>
          <w:noProof/>
        </w:rPr>
        <w:t> %</w:t>
      </w:r>
      <w:r w:rsidR="00AD54BA" w:rsidRPr="003320DB">
        <w:rPr>
          <w:noProof/>
        </w:rPr>
        <w:t xml:space="preserve"> súčtu čistého príjmu</w:t>
      </w:r>
      <w:r>
        <w:rPr>
          <w:noProof/>
        </w:rPr>
        <w:t xml:space="preserve"> z </w:t>
      </w:r>
      <w:r w:rsidR="00AD54BA" w:rsidRPr="003320DB">
        <w:rPr>
          <w:noProof/>
        </w:rPr>
        <w:t>poplatkov</w:t>
      </w:r>
      <w:r>
        <w:rPr>
          <w:noProof/>
        </w:rPr>
        <w:t xml:space="preserve"> a </w:t>
      </w:r>
      <w:r w:rsidR="00AD54BA" w:rsidRPr="003320DB">
        <w:rPr>
          <w:noProof/>
        </w:rPr>
        <w:t>provízií</w:t>
      </w:r>
      <w:r>
        <w:rPr>
          <w:noProof/>
        </w:rPr>
        <w:t xml:space="preserve"> a </w:t>
      </w:r>
      <w:r w:rsidR="00AD54BA" w:rsidRPr="003320DB">
        <w:rPr>
          <w:noProof/>
        </w:rPr>
        <w:t>čistých úrokových výnosov vykázaných</w:t>
      </w:r>
      <w:r>
        <w:rPr>
          <w:noProof/>
        </w:rPr>
        <w:t xml:space="preserve"> v </w:t>
      </w:r>
      <w:r w:rsidR="00AD54BA" w:rsidRPr="003320DB">
        <w:rPr>
          <w:noProof/>
        </w:rPr>
        <w:t>súlade so vzorom F 02.00 oddielu 2 prílohy I</w:t>
      </w:r>
      <w:r>
        <w:rPr>
          <w:noProof/>
        </w:rPr>
        <w:t xml:space="preserve"> k </w:t>
      </w:r>
      <w:r w:rsidR="00AD54BA" w:rsidRPr="003320DB">
        <w:rPr>
          <w:noProof/>
        </w:rPr>
        <w:t>tomuto nariadeniu;</w:t>
      </w:r>
    </w:p>
    <w:p w:rsidR="00AD54BA" w:rsidRPr="003320DB" w:rsidRDefault="003320DB" w:rsidP="003320DB">
      <w:pPr>
        <w:pStyle w:val="Point0"/>
        <w:rPr>
          <w:noProof/>
        </w:rPr>
      </w:pPr>
      <w:r>
        <w:rPr>
          <w:noProof/>
        </w:rPr>
        <w:t>g)</w:t>
      </w:r>
      <w:r>
        <w:rPr>
          <w:noProof/>
        </w:rPr>
        <w:tab/>
      </w:r>
      <w:r w:rsidR="00AD54BA" w:rsidRPr="003320DB">
        <w:rPr>
          <w:noProof/>
        </w:rPr>
        <w:t>informácie uvedené vo vzoroch F 23.01 až F 26.00 oddielu 2 prílohy I</w:t>
      </w:r>
      <w:r>
        <w:rPr>
          <w:noProof/>
        </w:rPr>
        <w:t xml:space="preserve"> k </w:t>
      </w:r>
      <w:r w:rsidR="00AD54BA" w:rsidRPr="003320DB">
        <w:rPr>
          <w:noProof/>
        </w:rPr>
        <w:t>tomuto nariadeniu štvrťročne, ak sú splnené obidve tieto podmienky:</w:t>
      </w:r>
    </w:p>
    <w:p w:rsidR="00AD54BA" w:rsidRPr="003320DB" w:rsidRDefault="00AD54BA" w:rsidP="00C856B2">
      <w:pPr>
        <w:pStyle w:val="Point2"/>
        <w:rPr>
          <w:noProof/>
        </w:rPr>
      </w:pPr>
      <w:r w:rsidRPr="003320DB">
        <w:rPr>
          <w:noProof/>
        </w:rPr>
        <w:t>i)</w:t>
      </w:r>
      <w:r w:rsidRPr="003320DB">
        <w:rPr>
          <w:noProof/>
        </w:rPr>
        <w:tab/>
        <w:t>inštitúcia nie je malá</w:t>
      </w:r>
      <w:r w:rsidR="003320DB">
        <w:rPr>
          <w:noProof/>
        </w:rPr>
        <w:t xml:space="preserve"> a </w:t>
      </w:r>
      <w:r w:rsidRPr="003320DB">
        <w:rPr>
          <w:noProof/>
        </w:rPr>
        <w:t>menej zložitá inštitúcia;</w:t>
      </w:r>
    </w:p>
    <w:p w:rsidR="00AD54BA" w:rsidRPr="003320DB" w:rsidRDefault="00AD54BA" w:rsidP="00C856B2">
      <w:pPr>
        <w:pStyle w:val="Point2"/>
        <w:rPr>
          <w:noProof/>
        </w:rPr>
      </w:pPr>
      <w:r w:rsidRPr="003320DB">
        <w:rPr>
          <w:noProof/>
        </w:rPr>
        <w:t>ii)</w:t>
      </w:r>
      <w:r w:rsidRPr="003320DB">
        <w:rPr>
          <w:noProof/>
        </w:rPr>
        <w:tab/>
        <w:t>pomer medzi hrubou účtovnou hodnotou úverov</w:t>
      </w:r>
      <w:r w:rsidR="003320DB">
        <w:rPr>
          <w:noProof/>
        </w:rPr>
        <w:t xml:space="preserve"> a </w:t>
      </w:r>
      <w:r w:rsidRPr="003320DB">
        <w:rPr>
          <w:noProof/>
        </w:rPr>
        <w:t xml:space="preserve">preddavkov inštitúcie, na ktoré sa vzťahuje článok 47a ods. 3 nariadenia (EÚ) </w:t>
      </w:r>
      <w:r w:rsidR="003320DB">
        <w:rPr>
          <w:noProof/>
        </w:rPr>
        <w:t>č. </w:t>
      </w:r>
      <w:r w:rsidRPr="003320DB">
        <w:rPr>
          <w:noProof/>
        </w:rPr>
        <w:t>575/2013,</w:t>
      </w:r>
      <w:r w:rsidR="003320DB">
        <w:rPr>
          <w:noProof/>
        </w:rPr>
        <w:t xml:space="preserve"> a </w:t>
      </w:r>
      <w:r w:rsidRPr="003320DB">
        <w:rPr>
          <w:noProof/>
        </w:rPr>
        <w:t>celkovou hrubou účtovnou hodnotou úverov</w:t>
      </w:r>
      <w:r w:rsidR="003320DB">
        <w:rPr>
          <w:noProof/>
        </w:rPr>
        <w:t xml:space="preserve"> a </w:t>
      </w:r>
      <w:r w:rsidRPr="003320DB">
        <w:rPr>
          <w:noProof/>
        </w:rPr>
        <w:t>preddavkov, na ktoré sa vzťahuje článok 47a ods. 1 uvedeného nariadenia, sa rovná alebo je vyšší ako 5</w:t>
      </w:r>
      <w:r w:rsidR="003320DB">
        <w:rPr>
          <w:noProof/>
        </w:rPr>
        <w:t> %</w:t>
      </w:r>
      <w:r w:rsidRPr="003320DB">
        <w:rPr>
          <w:noProof/>
        </w:rPr>
        <w:t>;</w:t>
      </w:r>
    </w:p>
    <w:p w:rsidR="00AD54BA" w:rsidRPr="003320DB" w:rsidRDefault="003320DB" w:rsidP="003320DB">
      <w:pPr>
        <w:pStyle w:val="Point0"/>
        <w:rPr>
          <w:noProof/>
        </w:rPr>
      </w:pPr>
      <w:r>
        <w:rPr>
          <w:noProof/>
        </w:rPr>
        <w:t>h)</w:t>
      </w:r>
      <w:r>
        <w:rPr>
          <w:noProof/>
        </w:rPr>
        <w:tab/>
      </w:r>
      <w:r w:rsidR="00AD54BA" w:rsidRPr="003320DB">
        <w:rPr>
          <w:noProof/>
        </w:rPr>
        <w:t>informácie uvedené vo vzore F 47.00 oddielu 2 prílohy I</w:t>
      </w:r>
      <w:r>
        <w:rPr>
          <w:noProof/>
        </w:rPr>
        <w:t xml:space="preserve"> k </w:t>
      </w:r>
      <w:r w:rsidR="00AD54BA" w:rsidRPr="003320DB">
        <w:rPr>
          <w:noProof/>
        </w:rPr>
        <w:t>tomuto nariadeniu ročne, ak sú splnené obidve podmienky stanovené</w:t>
      </w:r>
      <w:r>
        <w:rPr>
          <w:noProof/>
        </w:rPr>
        <w:t xml:space="preserve"> v </w:t>
      </w:r>
      <w:r w:rsidR="00AD54BA" w:rsidRPr="003320DB">
        <w:rPr>
          <w:noProof/>
        </w:rPr>
        <w:t>písmene g) tohto odseku.</w:t>
      </w:r>
    </w:p>
    <w:p w:rsidR="00AD54BA" w:rsidRPr="003320DB" w:rsidRDefault="00AD54BA" w:rsidP="00AD54BA">
      <w:pPr>
        <w:spacing w:before="100" w:beforeAutospacing="1" w:after="100" w:afterAutospacing="1"/>
        <w:rPr>
          <w:noProof/>
          <w:color w:val="000000"/>
          <w:szCs w:val="24"/>
        </w:rPr>
      </w:pPr>
      <w:r w:rsidRPr="003320DB">
        <w:rPr>
          <w:noProof/>
          <w:color w:val="000000"/>
        </w:rPr>
        <w:t>Na účely písmena g) bodu ii) tento pomer nezahŕňa</w:t>
      </w:r>
      <w:r w:rsidR="003320DB">
        <w:rPr>
          <w:noProof/>
          <w:color w:val="000000"/>
        </w:rPr>
        <w:t xml:space="preserve"> v </w:t>
      </w:r>
      <w:r w:rsidRPr="003320DB">
        <w:rPr>
          <w:noProof/>
          <w:color w:val="000000"/>
        </w:rPr>
        <w:t>menovateli ani čitateli úvery</w:t>
      </w:r>
      <w:r w:rsidR="003320DB">
        <w:rPr>
          <w:noProof/>
          <w:color w:val="000000"/>
        </w:rPr>
        <w:t xml:space="preserve"> a </w:t>
      </w:r>
      <w:r w:rsidRPr="003320DB">
        <w:rPr>
          <w:noProof/>
          <w:color w:val="000000"/>
        </w:rPr>
        <w:t>preddavky klasifikované ako držané na predaj, pokladničné zostatky</w:t>
      </w:r>
      <w:r w:rsidR="003320DB">
        <w:rPr>
          <w:noProof/>
          <w:color w:val="000000"/>
        </w:rPr>
        <w:t xml:space="preserve"> v </w:t>
      </w:r>
      <w:r w:rsidRPr="003320DB">
        <w:rPr>
          <w:noProof/>
          <w:color w:val="000000"/>
        </w:rPr>
        <w:t>centrálnych bankách</w:t>
      </w:r>
      <w:r w:rsidR="003320DB">
        <w:rPr>
          <w:noProof/>
          <w:color w:val="000000"/>
        </w:rPr>
        <w:t xml:space="preserve"> a </w:t>
      </w:r>
      <w:r w:rsidRPr="003320DB">
        <w:rPr>
          <w:noProof/>
          <w:color w:val="000000"/>
        </w:rPr>
        <w:t>ostatné vklady splatné na požiadanie.</w:t>
      </w:r>
    </w:p>
    <w:p w:rsidR="00716EA9" w:rsidRPr="003320DB" w:rsidRDefault="00716EA9" w:rsidP="00E537F5">
      <w:pPr>
        <w:pStyle w:val="Titrearticle"/>
        <w:rPr>
          <w:noProof/>
          <w:szCs w:val="24"/>
        </w:rPr>
      </w:pPr>
      <w:r w:rsidRPr="003320DB">
        <w:rPr>
          <w:noProof/>
        </w:rPr>
        <w:t>Článok 12</w:t>
      </w:r>
    </w:p>
    <w:p w:rsidR="00716EA9" w:rsidRPr="003320DB" w:rsidRDefault="00716EA9" w:rsidP="00F22954">
      <w:pPr>
        <w:pStyle w:val="Titrearticle"/>
        <w:spacing w:before="0"/>
        <w:rPr>
          <w:b/>
          <w:bCs/>
          <w:i w:val="0"/>
          <w:iCs/>
          <w:noProof/>
          <w:szCs w:val="24"/>
        </w:rPr>
      </w:pPr>
      <w:r w:rsidRPr="003320DB">
        <w:rPr>
          <w:b/>
          <w:i w:val="0"/>
          <w:noProof/>
        </w:rPr>
        <w:t>Vykazovanie finančných informácií na konsolidovanom základe pre inštitúcie uplatňujúce národné účtovné rámce</w:t>
      </w:r>
    </w:p>
    <w:p w:rsidR="00AD54BA" w:rsidRPr="003320DB" w:rsidRDefault="00716EA9" w:rsidP="00DC37AE">
      <w:pPr>
        <w:spacing w:after="0"/>
        <w:rPr>
          <w:rFonts w:eastAsia="Times New Roman"/>
          <w:noProof/>
          <w:color w:val="000000"/>
          <w:szCs w:val="24"/>
        </w:rPr>
      </w:pPr>
      <w:r w:rsidRPr="003320DB">
        <w:rPr>
          <w:noProof/>
          <w:color w:val="000000"/>
        </w:rPr>
        <w:t>Ak príslušný orgán rozšíril požiadavky na vykazovanie finančných informácií na inštitúcie usadené</w:t>
      </w:r>
      <w:r w:rsidR="003320DB">
        <w:rPr>
          <w:noProof/>
          <w:color w:val="000000"/>
        </w:rPr>
        <w:t xml:space="preserve"> v </w:t>
      </w:r>
      <w:r w:rsidRPr="003320DB">
        <w:rPr>
          <w:noProof/>
          <w:color w:val="000000"/>
        </w:rPr>
        <w:t>členskom štáte</w:t>
      </w:r>
      <w:r w:rsidR="003320DB">
        <w:rPr>
          <w:noProof/>
          <w:color w:val="000000"/>
        </w:rPr>
        <w:t xml:space="preserve"> v </w:t>
      </w:r>
      <w:r w:rsidRPr="003320DB">
        <w:rPr>
          <w:noProof/>
          <w:color w:val="000000"/>
        </w:rPr>
        <w:t>súlade</w:t>
      </w:r>
      <w:r w:rsidR="003320DB">
        <w:rPr>
          <w:noProof/>
          <w:color w:val="000000"/>
        </w:rPr>
        <w:t xml:space="preserve"> s </w:t>
      </w:r>
      <w:r w:rsidRPr="003320DB">
        <w:rPr>
          <w:noProof/>
          <w:color w:val="000000"/>
        </w:rPr>
        <w:t xml:space="preserve">článkom 430 ods. 4 nariadenia (EÚ) </w:t>
      </w:r>
      <w:r w:rsidR="003320DB">
        <w:rPr>
          <w:noProof/>
          <w:color w:val="000000"/>
        </w:rPr>
        <w:t>č. </w:t>
      </w:r>
      <w:r w:rsidRPr="003320DB">
        <w:rPr>
          <w:noProof/>
          <w:color w:val="000000"/>
        </w:rPr>
        <w:t>575/2013, inštitúcie predkladajú finančné informácie na konsolidovanom základe, ako sú uvedené</w:t>
      </w:r>
      <w:r w:rsidR="003320DB">
        <w:rPr>
          <w:noProof/>
          <w:color w:val="000000"/>
        </w:rPr>
        <w:t xml:space="preserve"> v </w:t>
      </w:r>
      <w:r w:rsidRPr="003320DB">
        <w:rPr>
          <w:noProof/>
          <w:color w:val="000000"/>
        </w:rPr>
        <w:t>oddiele 3 „Vykazovanie finančných informácií podľa GAAP“ prílohy I</w:t>
      </w:r>
      <w:r w:rsidR="003320DB">
        <w:rPr>
          <w:noProof/>
          <w:color w:val="000000"/>
        </w:rPr>
        <w:t xml:space="preserve"> k </w:t>
      </w:r>
      <w:r w:rsidRPr="003320DB">
        <w:rPr>
          <w:noProof/>
          <w:color w:val="000000"/>
        </w:rPr>
        <w:t>tomuto nariadeniu,</w:t>
      </w:r>
      <w:r w:rsidR="003320DB">
        <w:rPr>
          <w:noProof/>
          <w:color w:val="000000"/>
        </w:rPr>
        <w:t xml:space="preserve"> s </w:t>
      </w:r>
      <w:r w:rsidRPr="003320DB">
        <w:rPr>
          <w:noProof/>
          <w:color w:val="000000"/>
        </w:rPr>
        <w:t>touto frekvenciou:</w:t>
      </w:r>
    </w:p>
    <w:p w:rsidR="00EE077F" w:rsidRPr="003320DB" w:rsidRDefault="003320DB" w:rsidP="003320DB">
      <w:pPr>
        <w:pStyle w:val="Point0"/>
        <w:rPr>
          <w:noProof/>
        </w:rPr>
      </w:pPr>
      <w:r>
        <w:rPr>
          <w:noProof/>
        </w:rPr>
        <w:t>a)</w:t>
      </w:r>
      <w:r>
        <w:rPr>
          <w:noProof/>
        </w:rPr>
        <w:tab/>
      </w:r>
      <w:r w:rsidR="00EE077F" w:rsidRPr="003320DB">
        <w:rPr>
          <w:noProof/>
        </w:rPr>
        <w:t>informácie uvedené vo vzoroch F 01.01 až F 19.00 oddielu 3 prílohy I</w:t>
      </w:r>
      <w:r>
        <w:rPr>
          <w:noProof/>
        </w:rPr>
        <w:t xml:space="preserve"> k </w:t>
      </w:r>
      <w:r w:rsidR="00EE077F" w:rsidRPr="003320DB">
        <w:rPr>
          <w:noProof/>
        </w:rPr>
        <w:t>tomuto nariadenia štvrťročne;</w:t>
      </w:r>
    </w:p>
    <w:p w:rsidR="00EE077F" w:rsidRPr="003320DB" w:rsidRDefault="003320DB" w:rsidP="003320DB">
      <w:pPr>
        <w:pStyle w:val="Point0"/>
        <w:rPr>
          <w:noProof/>
        </w:rPr>
      </w:pPr>
      <w:r>
        <w:rPr>
          <w:noProof/>
        </w:rPr>
        <w:t>b)</w:t>
      </w:r>
      <w:r>
        <w:rPr>
          <w:noProof/>
        </w:rPr>
        <w:tab/>
      </w:r>
      <w:r w:rsidR="00EE077F" w:rsidRPr="003320DB">
        <w:rPr>
          <w:noProof/>
        </w:rPr>
        <w:t>informácie uvedené vo vzoroch F 30.01 až F 31.02 oddielu 3 prílohy I</w:t>
      </w:r>
      <w:r>
        <w:rPr>
          <w:noProof/>
        </w:rPr>
        <w:t xml:space="preserve"> k </w:t>
      </w:r>
      <w:r w:rsidR="00EE077F" w:rsidRPr="003320DB">
        <w:rPr>
          <w:noProof/>
        </w:rPr>
        <w:t>tomuto nariadenia polročne;</w:t>
      </w:r>
    </w:p>
    <w:p w:rsidR="00EE077F" w:rsidRPr="003320DB" w:rsidRDefault="003320DB" w:rsidP="003320DB">
      <w:pPr>
        <w:pStyle w:val="Point0"/>
        <w:rPr>
          <w:rFonts w:eastAsia="Times New Roman"/>
          <w:noProof/>
        </w:rPr>
      </w:pPr>
      <w:r>
        <w:rPr>
          <w:noProof/>
        </w:rPr>
        <w:t>c)</w:t>
      </w:r>
      <w:r>
        <w:rPr>
          <w:noProof/>
        </w:rPr>
        <w:tab/>
      </w:r>
      <w:r w:rsidR="00EE077F" w:rsidRPr="003320DB">
        <w:rPr>
          <w:noProof/>
        </w:rPr>
        <w:t>informácie uvedené vo vzoroch F 40.01 až F 46.00 oddielu 3 prílohy I</w:t>
      </w:r>
      <w:r>
        <w:rPr>
          <w:noProof/>
        </w:rPr>
        <w:t xml:space="preserve"> k </w:t>
      </w:r>
      <w:r w:rsidR="00EE077F" w:rsidRPr="003320DB">
        <w:rPr>
          <w:noProof/>
        </w:rPr>
        <w:t>tomuto nariadenia ročne;</w:t>
      </w:r>
    </w:p>
    <w:p w:rsidR="00EE077F" w:rsidRPr="003320DB" w:rsidRDefault="003320DB" w:rsidP="003320DB">
      <w:pPr>
        <w:pStyle w:val="Point0"/>
        <w:rPr>
          <w:noProof/>
        </w:rPr>
      </w:pPr>
      <w:r>
        <w:rPr>
          <w:noProof/>
        </w:rPr>
        <w:t>d)</w:t>
      </w:r>
      <w:r>
        <w:rPr>
          <w:noProof/>
        </w:rPr>
        <w:tab/>
      </w:r>
      <w:r w:rsidR="00EE077F" w:rsidRPr="003320DB">
        <w:rPr>
          <w:noProof/>
        </w:rPr>
        <w:t>informácie uvedené vo vzoroch F 20.01 až F 20.07.1 oddielu 3 prílohy I</w:t>
      </w:r>
      <w:r>
        <w:rPr>
          <w:noProof/>
        </w:rPr>
        <w:t xml:space="preserve"> k </w:t>
      </w:r>
      <w:r w:rsidR="00EE077F" w:rsidRPr="003320DB">
        <w:rPr>
          <w:noProof/>
        </w:rPr>
        <w:t>tomuto nariadeniu štvrťročne, ak inštitúcia prekročí prahovú hodnotu stanovenú</w:t>
      </w:r>
      <w:r>
        <w:rPr>
          <w:noProof/>
        </w:rPr>
        <w:t xml:space="preserve"> v </w:t>
      </w:r>
      <w:r w:rsidR="00EE077F" w:rsidRPr="003320DB">
        <w:rPr>
          <w:noProof/>
        </w:rPr>
        <w:t>článku 5 ods. 2 druhom pododseku tohto nariadenia;</w:t>
      </w:r>
    </w:p>
    <w:p w:rsidR="00EE077F" w:rsidRPr="003320DB" w:rsidRDefault="003320DB" w:rsidP="003320DB">
      <w:pPr>
        <w:pStyle w:val="Point0"/>
        <w:rPr>
          <w:rFonts w:eastAsia="Times New Roman"/>
          <w:noProof/>
        </w:rPr>
      </w:pPr>
      <w:r>
        <w:rPr>
          <w:noProof/>
        </w:rPr>
        <w:t>e)</w:t>
      </w:r>
      <w:r>
        <w:rPr>
          <w:noProof/>
        </w:rPr>
        <w:tab/>
      </w:r>
      <w:r w:rsidR="00EE077F" w:rsidRPr="003320DB">
        <w:rPr>
          <w:noProof/>
        </w:rPr>
        <w:t>informácie uvedené vo vzore F 21.00 oddielu 3 prílohy I</w:t>
      </w:r>
      <w:r>
        <w:rPr>
          <w:noProof/>
        </w:rPr>
        <w:t xml:space="preserve"> k </w:t>
      </w:r>
      <w:r w:rsidR="00EE077F" w:rsidRPr="003320DB">
        <w:rPr>
          <w:noProof/>
        </w:rPr>
        <w:t>tomuto nariadeniu štvrťročne, ak sa hmotné aktíva, ktoré sú predmetom operatívneho lízingu, rovnajú alebo sú vyššie ako 10</w:t>
      </w:r>
      <w:r>
        <w:rPr>
          <w:noProof/>
        </w:rPr>
        <w:t> %</w:t>
      </w:r>
      <w:r w:rsidR="00EE077F" w:rsidRPr="003320DB">
        <w:rPr>
          <w:noProof/>
        </w:rPr>
        <w:t xml:space="preserve"> celkových hmotných aktív vykázaných</w:t>
      </w:r>
      <w:r>
        <w:rPr>
          <w:noProof/>
        </w:rPr>
        <w:t xml:space="preserve"> v </w:t>
      </w:r>
      <w:r w:rsidR="00EE077F" w:rsidRPr="003320DB">
        <w:rPr>
          <w:noProof/>
        </w:rPr>
        <w:t>súlade so vzorom F 01.01 oddielu 3 prílohy I</w:t>
      </w:r>
      <w:r>
        <w:rPr>
          <w:noProof/>
        </w:rPr>
        <w:t xml:space="preserve"> k </w:t>
      </w:r>
      <w:r w:rsidR="00EE077F" w:rsidRPr="003320DB">
        <w:rPr>
          <w:noProof/>
        </w:rPr>
        <w:t>tomuto nariadeniu;</w:t>
      </w:r>
    </w:p>
    <w:p w:rsidR="00EE077F" w:rsidRPr="003320DB" w:rsidRDefault="003320DB" w:rsidP="003320DB">
      <w:pPr>
        <w:pStyle w:val="Point0"/>
        <w:rPr>
          <w:rFonts w:eastAsia="Times New Roman"/>
          <w:noProof/>
        </w:rPr>
      </w:pPr>
      <w:r>
        <w:rPr>
          <w:noProof/>
        </w:rPr>
        <w:t>f)</w:t>
      </w:r>
      <w:r>
        <w:rPr>
          <w:noProof/>
        </w:rPr>
        <w:tab/>
      </w:r>
      <w:r w:rsidR="00EE077F" w:rsidRPr="003320DB">
        <w:rPr>
          <w:noProof/>
        </w:rPr>
        <w:t>informácie uvedené vo vzore F 22.01</w:t>
      </w:r>
      <w:r>
        <w:rPr>
          <w:noProof/>
        </w:rPr>
        <w:t xml:space="preserve"> a </w:t>
      </w:r>
      <w:r w:rsidR="00EE077F" w:rsidRPr="003320DB">
        <w:rPr>
          <w:noProof/>
        </w:rPr>
        <w:t>F 22.02 oddielu 3 prílohy I</w:t>
      </w:r>
      <w:r>
        <w:rPr>
          <w:noProof/>
        </w:rPr>
        <w:t xml:space="preserve"> k </w:t>
      </w:r>
      <w:r w:rsidR="00EE077F" w:rsidRPr="003320DB">
        <w:rPr>
          <w:noProof/>
        </w:rPr>
        <w:t>tomuto nariadeniu štvrťročne, ak sa čistý príjem</w:t>
      </w:r>
      <w:r>
        <w:rPr>
          <w:noProof/>
        </w:rPr>
        <w:t xml:space="preserve"> z </w:t>
      </w:r>
      <w:r w:rsidR="00EE077F" w:rsidRPr="003320DB">
        <w:rPr>
          <w:noProof/>
        </w:rPr>
        <w:t>poplatkov</w:t>
      </w:r>
      <w:r>
        <w:rPr>
          <w:noProof/>
        </w:rPr>
        <w:t xml:space="preserve"> a </w:t>
      </w:r>
      <w:r w:rsidR="00EE077F" w:rsidRPr="003320DB">
        <w:rPr>
          <w:noProof/>
        </w:rPr>
        <w:t>provízií rovná alebo je vyšší ako 10</w:t>
      </w:r>
      <w:r>
        <w:rPr>
          <w:noProof/>
        </w:rPr>
        <w:t> %</w:t>
      </w:r>
      <w:r w:rsidR="00EE077F" w:rsidRPr="003320DB">
        <w:rPr>
          <w:noProof/>
        </w:rPr>
        <w:t xml:space="preserve"> súčtu čistého príjmu</w:t>
      </w:r>
      <w:r>
        <w:rPr>
          <w:noProof/>
        </w:rPr>
        <w:t xml:space="preserve"> z </w:t>
      </w:r>
      <w:r w:rsidR="00EE077F" w:rsidRPr="003320DB">
        <w:rPr>
          <w:noProof/>
        </w:rPr>
        <w:t>poplatkov</w:t>
      </w:r>
      <w:r>
        <w:rPr>
          <w:noProof/>
        </w:rPr>
        <w:t xml:space="preserve"> a </w:t>
      </w:r>
      <w:r w:rsidR="00EE077F" w:rsidRPr="003320DB">
        <w:rPr>
          <w:noProof/>
        </w:rPr>
        <w:t>provízií</w:t>
      </w:r>
      <w:r>
        <w:rPr>
          <w:noProof/>
        </w:rPr>
        <w:t xml:space="preserve"> a </w:t>
      </w:r>
      <w:r w:rsidR="00EE077F" w:rsidRPr="003320DB">
        <w:rPr>
          <w:noProof/>
        </w:rPr>
        <w:t>čistých úrokových výnosov vykázaných</w:t>
      </w:r>
      <w:r>
        <w:rPr>
          <w:noProof/>
        </w:rPr>
        <w:t xml:space="preserve"> v </w:t>
      </w:r>
      <w:r w:rsidR="00EE077F" w:rsidRPr="003320DB">
        <w:rPr>
          <w:noProof/>
        </w:rPr>
        <w:t>súlade so vzorom F 02.00 oddielu 3 prílohy I</w:t>
      </w:r>
      <w:r>
        <w:rPr>
          <w:noProof/>
        </w:rPr>
        <w:t xml:space="preserve"> k </w:t>
      </w:r>
      <w:r w:rsidR="00EE077F" w:rsidRPr="003320DB">
        <w:rPr>
          <w:noProof/>
        </w:rPr>
        <w:t>tomuto nariadeniu;</w:t>
      </w:r>
    </w:p>
    <w:p w:rsidR="00EE077F" w:rsidRPr="003320DB" w:rsidRDefault="003320DB" w:rsidP="003320DB">
      <w:pPr>
        <w:pStyle w:val="Point0"/>
        <w:rPr>
          <w:rFonts w:eastAsia="Times New Roman"/>
          <w:noProof/>
        </w:rPr>
      </w:pPr>
      <w:r>
        <w:rPr>
          <w:noProof/>
        </w:rPr>
        <w:t>g)</w:t>
      </w:r>
      <w:r>
        <w:rPr>
          <w:noProof/>
        </w:rPr>
        <w:tab/>
      </w:r>
      <w:r w:rsidR="00EE077F" w:rsidRPr="003320DB">
        <w:rPr>
          <w:noProof/>
        </w:rPr>
        <w:t>informácie uvedené vo vzoroch F 23.01 až F 26.00 oddielu 3 prílohy I</w:t>
      </w:r>
      <w:r>
        <w:rPr>
          <w:noProof/>
        </w:rPr>
        <w:t xml:space="preserve"> k </w:t>
      </w:r>
      <w:r w:rsidR="00EE077F" w:rsidRPr="003320DB">
        <w:rPr>
          <w:noProof/>
        </w:rPr>
        <w:t>tomuto nariadeniu štvrťročne, ak sú splnené obidve tieto podmienky:</w:t>
      </w:r>
    </w:p>
    <w:p w:rsidR="00EE077F" w:rsidRPr="003320DB" w:rsidRDefault="00EE077F" w:rsidP="00C856B2">
      <w:pPr>
        <w:pStyle w:val="Point2"/>
        <w:rPr>
          <w:noProof/>
        </w:rPr>
      </w:pPr>
      <w:r w:rsidRPr="003320DB">
        <w:rPr>
          <w:noProof/>
        </w:rPr>
        <w:t>i)</w:t>
      </w:r>
      <w:r w:rsidRPr="003320DB">
        <w:rPr>
          <w:noProof/>
        </w:rPr>
        <w:tab/>
        <w:t>inštitúcia nie je malá alebo menej zložitá;</w:t>
      </w:r>
    </w:p>
    <w:p w:rsidR="00EE077F" w:rsidRPr="003320DB" w:rsidRDefault="00EE077F" w:rsidP="00C856B2">
      <w:pPr>
        <w:pStyle w:val="Point2"/>
        <w:rPr>
          <w:noProof/>
        </w:rPr>
      </w:pPr>
      <w:r w:rsidRPr="003320DB">
        <w:rPr>
          <w:noProof/>
        </w:rPr>
        <w:t>ii)</w:t>
      </w:r>
      <w:r w:rsidRPr="003320DB">
        <w:rPr>
          <w:noProof/>
        </w:rPr>
        <w:tab/>
        <w:t>pomer inštitúcie uvedený</w:t>
      </w:r>
      <w:r w:rsidR="003320DB">
        <w:rPr>
          <w:noProof/>
        </w:rPr>
        <w:t xml:space="preserve"> v </w:t>
      </w:r>
      <w:r w:rsidRPr="003320DB">
        <w:rPr>
          <w:noProof/>
        </w:rPr>
        <w:t>článku 11 ods. 2 písm. g) bode ii) tohto nariadeniu sa rovná alebo je vyšší ako 5</w:t>
      </w:r>
      <w:r w:rsidR="003320DB">
        <w:rPr>
          <w:noProof/>
        </w:rPr>
        <w:t> %</w:t>
      </w:r>
      <w:r w:rsidRPr="003320DB">
        <w:rPr>
          <w:noProof/>
        </w:rPr>
        <w:t>;</w:t>
      </w:r>
    </w:p>
    <w:p w:rsidR="00EE077F" w:rsidRPr="003320DB" w:rsidRDefault="003320DB" w:rsidP="003320DB">
      <w:pPr>
        <w:pStyle w:val="Point0"/>
        <w:rPr>
          <w:noProof/>
        </w:rPr>
      </w:pPr>
      <w:r>
        <w:rPr>
          <w:noProof/>
        </w:rPr>
        <w:t>h)</w:t>
      </w:r>
      <w:r>
        <w:rPr>
          <w:noProof/>
        </w:rPr>
        <w:tab/>
      </w:r>
      <w:r w:rsidR="00EE077F" w:rsidRPr="003320DB">
        <w:rPr>
          <w:noProof/>
        </w:rPr>
        <w:t>informácie uvedené vo vzore F 47.00 oddielu 3 prílohy I</w:t>
      </w:r>
      <w:r>
        <w:rPr>
          <w:noProof/>
        </w:rPr>
        <w:t xml:space="preserve"> k </w:t>
      </w:r>
      <w:r w:rsidR="00EE077F" w:rsidRPr="003320DB">
        <w:rPr>
          <w:noProof/>
        </w:rPr>
        <w:t>tomuto nariadeniu ročne, ak sú splnené obidve podmienky stanovené</w:t>
      </w:r>
      <w:r>
        <w:rPr>
          <w:noProof/>
        </w:rPr>
        <w:t xml:space="preserve"> v </w:t>
      </w:r>
      <w:r w:rsidR="00EE077F" w:rsidRPr="003320DB">
        <w:rPr>
          <w:noProof/>
        </w:rPr>
        <w:t>písmene g) tohto odseku.</w:t>
      </w:r>
    </w:p>
    <w:p w:rsidR="00716EA9" w:rsidRPr="003320DB" w:rsidRDefault="00716EA9" w:rsidP="00E537F5">
      <w:pPr>
        <w:pStyle w:val="Titrearticle"/>
        <w:rPr>
          <w:noProof/>
          <w:szCs w:val="24"/>
        </w:rPr>
      </w:pPr>
      <w:r w:rsidRPr="003320DB">
        <w:rPr>
          <w:noProof/>
        </w:rPr>
        <w:t>Článok 13</w:t>
      </w:r>
    </w:p>
    <w:p w:rsidR="00716EA9" w:rsidRPr="003320DB" w:rsidRDefault="00716EA9" w:rsidP="00F22954">
      <w:pPr>
        <w:pStyle w:val="Titrearticle"/>
        <w:spacing w:before="0"/>
        <w:rPr>
          <w:b/>
          <w:bCs/>
          <w:i w:val="0"/>
          <w:iCs/>
          <w:noProof/>
          <w:szCs w:val="24"/>
        </w:rPr>
      </w:pPr>
      <w:r w:rsidRPr="003320DB">
        <w:rPr>
          <w:b/>
          <w:i w:val="0"/>
          <w:noProof/>
        </w:rPr>
        <w:t>Vykazovanie strát pochádzajúcich</w:t>
      </w:r>
      <w:r w:rsidR="003320DB">
        <w:rPr>
          <w:b/>
          <w:i w:val="0"/>
          <w:noProof/>
        </w:rPr>
        <w:t xml:space="preserve"> z </w:t>
      </w:r>
      <w:r w:rsidRPr="003320DB">
        <w:rPr>
          <w:b/>
          <w:i w:val="0"/>
          <w:noProof/>
        </w:rPr>
        <w:t>úverov zabezpečených kolaterálom vo forme nehnuteľného majetku</w:t>
      </w:r>
      <w:r w:rsidR="003320DB">
        <w:rPr>
          <w:b/>
          <w:i w:val="0"/>
          <w:noProof/>
        </w:rPr>
        <w:t xml:space="preserve"> v </w:t>
      </w:r>
      <w:r w:rsidRPr="003320DB">
        <w:rPr>
          <w:b/>
          <w:i w:val="0"/>
          <w:noProof/>
        </w:rPr>
        <w:t>súlade</w:t>
      </w:r>
      <w:r w:rsidR="003320DB">
        <w:rPr>
          <w:b/>
          <w:i w:val="0"/>
          <w:noProof/>
        </w:rPr>
        <w:t xml:space="preserve"> s </w:t>
      </w:r>
      <w:r w:rsidRPr="003320DB">
        <w:rPr>
          <w:b/>
          <w:i w:val="0"/>
          <w:noProof/>
        </w:rPr>
        <w:t xml:space="preserve">článkom 430a ods. 1 nariadenia (EÚ) </w:t>
      </w:r>
      <w:r w:rsidR="003320DB">
        <w:rPr>
          <w:b/>
          <w:i w:val="0"/>
          <w:noProof/>
        </w:rPr>
        <w:t>č. </w:t>
      </w:r>
      <w:r w:rsidRPr="003320DB">
        <w:rPr>
          <w:b/>
          <w:i w:val="0"/>
          <w:noProof/>
        </w:rPr>
        <w:t>575/2013 na individuálnom</w:t>
      </w:r>
      <w:r w:rsidR="003320DB">
        <w:rPr>
          <w:b/>
          <w:i w:val="0"/>
          <w:noProof/>
        </w:rPr>
        <w:t xml:space="preserve"> a </w:t>
      </w:r>
      <w:r w:rsidRPr="003320DB">
        <w:rPr>
          <w:b/>
          <w:i w:val="0"/>
          <w:noProof/>
        </w:rPr>
        <w:t>konsolidovanom základe</w:t>
      </w:r>
    </w:p>
    <w:p w:rsidR="00716EA9" w:rsidRPr="003320DB" w:rsidRDefault="00612F20" w:rsidP="00612F20">
      <w:pPr>
        <w:pStyle w:val="ManualNumPar1"/>
        <w:rPr>
          <w:noProof/>
        </w:rPr>
      </w:pPr>
      <w:r w:rsidRPr="00612F20">
        <w:rPr>
          <w:noProof/>
        </w:rPr>
        <w:t>1.</w:t>
      </w:r>
      <w:r w:rsidRPr="00612F20">
        <w:rPr>
          <w:noProof/>
        </w:rPr>
        <w:tab/>
      </w:r>
      <w:r w:rsidR="00716EA9" w:rsidRPr="003320DB">
        <w:rPr>
          <w:noProof/>
        </w:rPr>
        <w:t>Inštitúcie predkladajú súhrnné údaje uvedené</w:t>
      </w:r>
      <w:r w:rsidR="003320DB">
        <w:rPr>
          <w:noProof/>
        </w:rPr>
        <w:t xml:space="preserve"> v </w:t>
      </w:r>
      <w:r w:rsidR="00716EA9" w:rsidRPr="003320DB">
        <w:rPr>
          <w:noProof/>
        </w:rPr>
        <w:t xml:space="preserve">článku 430a ods. 1 nariadenia (EÚ) </w:t>
      </w:r>
      <w:r w:rsidR="003320DB">
        <w:rPr>
          <w:noProof/>
        </w:rPr>
        <w:t>č. </w:t>
      </w:r>
      <w:r w:rsidR="00716EA9" w:rsidRPr="003320DB">
        <w:rPr>
          <w:noProof/>
        </w:rPr>
        <w:t>575/2013 na konsolidovanom základe, ako sa uvádza</w:t>
      </w:r>
      <w:r w:rsidR="003320DB">
        <w:rPr>
          <w:noProof/>
        </w:rPr>
        <w:t xml:space="preserve"> v </w:t>
      </w:r>
      <w:r w:rsidR="00716EA9" w:rsidRPr="003320DB">
        <w:rPr>
          <w:noProof/>
        </w:rPr>
        <w:t>oddiele 4 „Vykazovanie informácií</w:t>
      </w:r>
      <w:r w:rsidR="003320DB">
        <w:rPr>
          <w:noProof/>
        </w:rPr>
        <w:t xml:space="preserve"> o </w:t>
      </w:r>
      <w:r w:rsidR="00716EA9" w:rsidRPr="003320DB">
        <w:rPr>
          <w:noProof/>
        </w:rPr>
        <w:t>stratách pochádzajúcich</w:t>
      </w:r>
      <w:r w:rsidR="003320DB">
        <w:rPr>
          <w:noProof/>
        </w:rPr>
        <w:t xml:space="preserve"> z </w:t>
      </w:r>
      <w:r w:rsidR="00716EA9" w:rsidRPr="003320DB">
        <w:rPr>
          <w:noProof/>
        </w:rPr>
        <w:t>úverov zabezpečených kolaterálom vo forme nehnuteľného majetku“ prílohy I</w:t>
      </w:r>
      <w:r w:rsidR="003320DB">
        <w:rPr>
          <w:noProof/>
        </w:rPr>
        <w:t xml:space="preserve"> k </w:t>
      </w:r>
      <w:r w:rsidR="00716EA9" w:rsidRPr="003320DB">
        <w:rPr>
          <w:noProof/>
        </w:rPr>
        <w:t>tomuto nariadeniu ročne.</w:t>
      </w:r>
    </w:p>
    <w:p w:rsidR="00716EA9" w:rsidRPr="003320DB" w:rsidRDefault="00612F20" w:rsidP="00612F20">
      <w:pPr>
        <w:pStyle w:val="ManualNumPar1"/>
        <w:rPr>
          <w:noProof/>
        </w:rPr>
      </w:pPr>
      <w:r w:rsidRPr="00612F20">
        <w:rPr>
          <w:noProof/>
        </w:rPr>
        <w:t>2.</w:t>
      </w:r>
      <w:r w:rsidRPr="00612F20">
        <w:rPr>
          <w:noProof/>
        </w:rPr>
        <w:tab/>
      </w:r>
      <w:r w:rsidR="00716EA9" w:rsidRPr="003320DB">
        <w:rPr>
          <w:noProof/>
        </w:rPr>
        <w:t>Inštitúcie predkladajú súhrnné údaje uvedené</w:t>
      </w:r>
      <w:r w:rsidR="003320DB">
        <w:rPr>
          <w:noProof/>
        </w:rPr>
        <w:t xml:space="preserve"> v </w:t>
      </w:r>
      <w:r w:rsidR="00716EA9" w:rsidRPr="003320DB">
        <w:rPr>
          <w:noProof/>
        </w:rPr>
        <w:t xml:space="preserve">článku 430a ods. 1 nariadenia (EÚ) </w:t>
      </w:r>
      <w:r w:rsidR="003320DB">
        <w:rPr>
          <w:noProof/>
        </w:rPr>
        <w:t>č. </w:t>
      </w:r>
      <w:r w:rsidR="00716EA9" w:rsidRPr="003320DB">
        <w:rPr>
          <w:noProof/>
        </w:rPr>
        <w:t>575/2013 na individuálnom základe, ako sa uvádza</w:t>
      </w:r>
      <w:r w:rsidR="003320DB">
        <w:rPr>
          <w:noProof/>
        </w:rPr>
        <w:t xml:space="preserve"> v </w:t>
      </w:r>
      <w:r w:rsidR="00716EA9" w:rsidRPr="003320DB">
        <w:rPr>
          <w:noProof/>
        </w:rPr>
        <w:t>oddiele 4 „Vykazovanie informácií</w:t>
      </w:r>
      <w:r w:rsidR="003320DB">
        <w:rPr>
          <w:noProof/>
        </w:rPr>
        <w:t xml:space="preserve"> o </w:t>
      </w:r>
      <w:r w:rsidR="00716EA9" w:rsidRPr="003320DB">
        <w:rPr>
          <w:noProof/>
        </w:rPr>
        <w:t>stratách pochádzajúcich</w:t>
      </w:r>
      <w:r w:rsidR="003320DB">
        <w:rPr>
          <w:noProof/>
        </w:rPr>
        <w:t xml:space="preserve"> z </w:t>
      </w:r>
      <w:r w:rsidR="00716EA9" w:rsidRPr="003320DB">
        <w:rPr>
          <w:noProof/>
        </w:rPr>
        <w:t>úverov zabezpečených kolaterálom vo forme nehnuteľného majetku“ prílohy I</w:t>
      </w:r>
      <w:r w:rsidR="003320DB">
        <w:rPr>
          <w:noProof/>
        </w:rPr>
        <w:t xml:space="preserve"> k </w:t>
      </w:r>
      <w:r w:rsidR="00716EA9" w:rsidRPr="003320DB">
        <w:rPr>
          <w:noProof/>
        </w:rPr>
        <w:t>tomuto nariadeniu ročne.</w:t>
      </w:r>
    </w:p>
    <w:p w:rsidR="00716EA9" w:rsidRPr="003320DB" w:rsidRDefault="00612F20" w:rsidP="00612F20">
      <w:pPr>
        <w:pStyle w:val="ManualNumPar1"/>
        <w:rPr>
          <w:noProof/>
        </w:rPr>
      </w:pPr>
      <w:r w:rsidRPr="00612F20">
        <w:rPr>
          <w:noProof/>
        </w:rPr>
        <w:t>3.</w:t>
      </w:r>
      <w:r w:rsidRPr="00612F20">
        <w:rPr>
          <w:noProof/>
        </w:rPr>
        <w:tab/>
      </w:r>
      <w:r w:rsidR="00716EA9" w:rsidRPr="003320DB">
        <w:rPr>
          <w:noProof/>
        </w:rPr>
        <w:t>Ak má inštitúcia pobočku</w:t>
      </w:r>
      <w:r w:rsidR="003320DB">
        <w:rPr>
          <w:noProof/>
        </w:rPr>
        <w:t xml:space="preserve"> v </w:t>
      </w:r>
      <w:r w:rsidR="00716EA9" w:rsidRPr="003320DB">
        <w:rPr>
          <w:noProof/>
        </w:rPr>
        <w:t>inom členskom štáte, táto pobočka predkladá príslušnému orgánu hostiteľského členského štátu súhrnné údaje uvedené</w:t>
      </w:r>
      <w:r w:rsidR="003320DB">
        <w:rPr>
          <w:noProof/>
        </w:rPr>
        <w:t xml:space="preserve"> v </w:t>
      </w:r>
      <w:r w:rsidR="00716EA9" w:rsidRPr="003320DB">
        <w:rPr>
          <w:noProof/>
        </w:rPr>
        <w:t xml:space="preserve">článku 430a ods. 1 nariadenia (EÚ) </w:t>
      </w:r>
      <w:r w:rsidR="003320DB">
        <w:rPr>
          <w:noProof/>
        </w:rPr>
        <w:t>č. </w:t>
      </w:r>
      <w:r w:rsidR="00716EA9" w:rsidRPr="003320DB">
        <w:rPr>
          <w:noProof/>
        </w:rPr>
        <w:t>575/2013, ako sa uvádza</w:t>
      </w:r>
      <w:r w:rsidR="003320DB">
        <w:rPr>
          <w:noProof/>
        </w:rPr>
        <w:t xml:space="preserve"> v </w:t>
      </w:r>
      <w:r w:rsidR="00716EA9" w:rsidRPr="003320DB">
        <w:rPr>
          <w:noProof/>
        </w:rPr>
        <w:t>oddiele 4 „Vykazovanie informácií</w:t>
      </w:r>
      <w:r w:rsidR="003320DB">
        <w:rPr>
          <w:noProof/>
        </w:rPr>
        <w:t xml:space="preserve"> o </w:t>
      </w:r>
      <w:r w:rsidR="00716EA9" w:rsidRPr="003320DB">
        <w:rPr>
          <w:noProof/>
        </w:rPr>
        <w:t>stratách pochádzajúcich</w:t>
      </w:r>
      <w:r w:rsidR="003320DB">
        <w:rPr>
          <w:noProof/>
        </w:rPr>
        <w:t xml:space="preserve"> z </w:t>
      </w:r>
      <w:r w:rsidR="00716EA9" w:rsidRPr="003320DB">
        <w:rPr>
          <w:noProof/>
        </w:rPr>
        <w:t>úverov zabezpečených kolaterálom vo forme nehnuteľného majetku“ prílohy I</w:t>
      </w:r>
      <w:r w:rsidR="003320DB">
        <w:rPr>
          <w:noProof/>
        </w:rPr>
        <w:t xml:space="preserve"> k </w:t>
      </w:r>
      <w:r w:rsidR="00716EA9" w:rsidRPr="003320DB">
        <w:rPr>
          <w:noProof/>
        </w:rPr>
        <w:t>tomuto nariadeniu, ročne.</w:t>
      </w:r>
    </w:p>
    <w:p w:rsidR="00716EA9" w:rsidRPr="003320DB" w:rsidRDefault="00716EA9" w:rsidP="00E537F5">
      <w:pPr>
        <w:pStyle w:val="Titrearticle"/>
        <w:rPr>
          <w:noProof/>
          <w:szCs w:val="24"/>
        </w:rPr>
      </w:pPr>
      <w:r w:rsidRPr="003320DB">
        <w:rPr>
          <w:noProof/>
        </w:rPr>
        <w:t>Článok 14</w:t>
      </w:r>
    </w:p>
    <w:p w:rsidR="00716EA9" w:rsidRPr="003320DB" w:rsidRDefault="00716EA9" w:rsidP="00F22954">
      <w:pPr>
        <w:pStyle w:val="Titrearticle"/>
        <w:spacing w:before="0"/>
        <w:rPr>
          <w:b/>
          <w:bCs/>
          <w:i w:val="0"/>
          <w:iCs/>
          <w:noProof/>
          <w:szCs w:val="24"/>
        </w:rPr>
      </w:pPr>
      <w:r w:rsidRPr="003320DB">
        <w:rPr>
          <w:b/>
          <w:i w:val="0"/>
          <w:noProof/>
        </w:rPr>
        <w:t>Vykazovanie veľkej majetkovej angažovanosti na individuálnom aj konsolidovanom základe</w:t>
      </w:r>
    </w:p>
    <w:p w:rsidR="00716EA9" w:rsidRPr="003320DB" w:rsidRDefault="00DE6B7D" w:rsidP="00716EA9">
      <w:pPr>
        <w:spacing w:after="0"/>
        <w:rPr>
          <w:noProof/>
          <w:color w:val="000000"/>
          <w:szCs w:val="24"/>
        </w:rPr>
      </w:pPr>
      <w:r w:rsidRPr="003320DB">
        <w:rPr>
          <w:noProof/>
          <w:color w:val="000000"/>
        </w:rPr>
        <w:t>Inštitúcie, ktoré vykazujú informácie uvedené</w:t>
      </w:r>
      <w:r w:rsidR="003320DB">
        <w:rPr>
          <w:noProof/>
          <w:color w:val="000000"/>
        </w:rPr>
        <w:t xml:space="preserve"> v </w:t>
      </w:r>
      <w:r w:rsidRPr="003320DB">
        <w:rPr>
          <w:noProof/>
          <w:color w:val="000000"/>
        </w:rPr>
        <w:t xml:space="preserve">článku 394 nariadenia (EÚ) </w:t>
      </w:r>
      <w:r w:rsidR="003320DB">
        <w:rPr>
          <w:noProof/>
          <w:color w:val="000000"/>
        </w:rPr>
        <w:t>č. </w:t>
      </w:r>
      <w:r w:rsidRPr="003320DB">
        <w:rPr>
          <w:noProof/>
          <w:color w:val="000000"/>
        </w:rPr>
        <w:t>575/2013 na individuálnom aj konsolidovanom základe, predkladajú tieto informácie, ako sa uvádza</w:t>
      </w:r>
      <w:r w:rsidR="003320DB">
        <w:rPr>
          <w:noProof/>
          <w:color w:val="000000"/>
        </w:rPr>
        <w:t xml:space="preserve"> v </w:t>
      </w:r>
      <w:r w:rsidRPr="003320DB">
        <w:rPr>
          <w:noProof/>
          <w:color w:val="000000"/>
        </w:rPr>
        <w:t>oddiele 5 „Vykazovanie veľkej majetkovej angažovanosti</w:t>
      </w:r>
      <w:r w:rsidR="003320DB">
        <w:rPr>
          <w:noProof/>
          <w:color w:val="000000"/>
        </w:rPr>
        <w:t xml:space="preserve"> a </w:t>
      </w:r>
      <w:r w:rsidRPr="003320DB">
        <w:rPr>
          <w:noProof/>
          <w:color w:val="000000"/>
        </w:rPr>
        <w:t>rizika koncentrácie“ prílohy I</w:t>
      </w:r>
      <w:r w:rsidR="003320DB">
        <w:rPr>
          <w:noProof/>
          <w:color w:val="000000"/>
        </w:rPr>
        <w:t xml:space="preserve"> k </w:t>
      </w:r>
      <w:r w:rsidRPr="003320DB">
        <w:rPr>
          <w:noProof/>
          <w:color w:val="000000"/>
        </w:rPr>
        <w:t>tomuto nariadeniu, ročne.</w:t>
      </w:r>
    </w:p>
    <w:p w:rsidR="00716EA9" w:rsidRPr="003320DB" w:rsidRDefault="00716EA9" w:rsidP="00E537F5">
      <w:pPr>
        <w:pStyle w:val="Titrearticle"/>
        <w:rPr>
          <w:noProof/>
          <w:szCs w:val="24"/>
        </w:rPr>
      </w:pPr>
      <w:r w:rsidRPr="003320DB">
        <w:rPr>
          <w:noProof/>
        </w:rPr>
        <w:t>Článok 15</w:t>
      </w:r>
    </w:p>
    <w:p w:rsidR="00716EA9" w:rsidRPr="003320DB" w:rsidRDefault="00716EA9" w:rsidP="00F22954">
      <w:pPr>
        <w:pStyle w:val="Titrearticle"/>
        <w:spacing w:before="0"/>
        <w:rPr>
          <w:b/>
          <w:bCs/>
          <w:i w:val="0"/>
          <w:iCs/>
          <w:noProof/>
          <w:szCs w:val="24"/>
        </w:rPr>
      </w:pPr>
      <w:r w:rsidRPr="003320DB">
        <w:rPr>
          <w:b/>
          <w:i w:val="0"/>
          <w:noProof/>
        </w:rPr>
        <w:t>Vykazovanie ukazovateľa finančnej páky na individuálnom aj konsolidovanom základe</w:t>
      </w:r>
    </w:p>
    <w:p w:rsidR="00675E5F" w:rsidRPr="003320DB" w:rsidRDefault="00612F20" w:rsidP="00612F20">
      <w:pPr>
        <w:pStyle w:val="ManualNumPar1"/>
        <w:rPr>
          <w:noProof/>
        </w:rPr>
      </w:pPr>
      <w:r w:rsidRPr="00612F20">
        <w:rPr>
          <w:noProof/>
        </w:rPr>
        <w:t>1.</w:t>
      </w:r>
      <w:r w:rsidRPr="00612F20">
        <w:rPr>
          <w:noProof/>
        </w:rPr>
        <w:tab/>
      </w:r>
      <w:r w:rsidR="004A4F90" w:rsidRPr="003320DB">
        <w:rPr>
          <w:noProof/>
        </w:rPr>
        <w:t>Inštitúcie, ktoré vykazujú ukazovateľ finančnej páky uvedený</w:t>
      </w:r>
      <w:r w:rsidR="003320DB">
        <w:rPr>
          <w:noProof/>
        </w:rPr>
        <w:t xml:space="preserve"> v </w:t>
      </w:r>
      <w:r w:rsidR="004A4F90" w:rsidRPr="003320DB">
        <w:rPr>
          <w:noProof/>
        </w:rPr>
        <w:t xml:space="preserve">článku 430 ods. 1 písm. a) nariadenia (EÚ) </w:t>
      </w:r>
      <w:r w:rsidR="003320DB">
        <w:rPr>
          <w:noProof/>
        </w:rPr>
        <w:t>č. </w:t>
      </w:r>
      <w:r w:rsidR="004A4F90" w:rsidRPr="003320DB">
        <w:rPr>
          <w:noProof/>
        </w:rPr>
        <w:t>575/2013 na individuálnom aj konsolidovanom základe, predkladajú tieto informácie, ako sa uvádza</w:t>
      </w:r>
      <w:r w:rsidR="003320DB">
        <w:rPr>
          <w:noProof/>
        </w:rPr>
        <w:t xml:space="preserve"> v </w:t>
      </w:r>
      <w:r w:rsidR="004A4F90" w:rsidRPr="003320DB">
        <w:rPr>
          <w:noProof/>
        </w:rPr>
        <w:t>oddiele 6 „Vykazovanie finančnej páky“ prílohy I</w:t>
      </w:r>
      <w:r w:rsidR="003320DB">
        <w:rPr>
          <w:noProof/>
        </w:rPr>
        <w:t xml:space="preserve"> k </w:t>
      </w:r>
      <w:r w:rsidR="004A4F90" w:rsidRPr="003320DB">
        <w:rPr>
          <w:noProof/>
        </w:rPr>
        <w:t>tomuto nariadeniu, ročne. Vzor C 48.00 týkajúci sa informácií</w:t>
      </w:r>
      <w:r w:rsidR="003320DB">
        <w:rPr>
          <w:noProof/>
        </w:rPr>
        <w:t xml:space="preserve"> o </w:t>
      </w:r>
      <w:r w:rsidR="004A4F90" w:rsidRPr="003320DB">
        <w:rPr>
          <w:noProof/>
        </w:rPr>
        <w:t>volatilite ukazovateľa finančnej páky predkladajú len veľké inštitúcie.</w:t>
      </w:r>
    </w:p>
    <w:p w:rsidR="00675E5F" w:rsidRPr="003320DB" w:rsidRDefault="00612F20" w:rsidP="00612F20">
      <w:pPr>
        <w:pStyle w:val="ManualNumPar1"/>
        <w:rPr>
          <w:noProof/>
        </w:rPr>
      </w:pPr>
      <w:r w:rsidRPr="00612F20">
        <w:rPr>
          <w:noProof/>
        </w:rPr>
        <w:t>2.</w:t>
      </w:r>
      <w:r w:rsidRPr="00612F20">
        <w:rPr>
          <w:noProof/>
        </w:rPr>
        <w:tab/>
      </w:r>
      <w:r w:rsidR="00675E5F" w:rsidRPr="003320DB">
        <w:rPr>
          <w:noProof/>
        </w:rPr>
        <w:t>Informácie uvedené vo vzore C 40.00, bunke {r0410;c0010} týkajúce sa celkových aktív vykazujú len:</w:t>
      </w:r>
    </w:p>
    <w:p w:rsidR="00675E5F" w:rsidRPr="003320DB" w:rsidRDefault="003320DB" w:rsidP="003320DB">
      <w:pPr>
        <w:pStyle w:val="Point1"/>
        <w:rPr>
          <w:noProof/>
        </w:rPr>
      </w:pPr>
      <w:r>
        <w:rPr>
          <w:noProof/>
        </w:rPr>
        <w:t>a)</w:t>
      </w:r>
      <w:r>
        <w:rPr>
          <w:noProof/>
        </w:rPr>
        <w:tab/>
      </w:r>
      <w:r w:rsidR="00675E5F" w:rsidRPr="003320DB">
        <w:rPr>
          <w:noProof/>
        </w:rPr>
        <w:t>veľké inštitúcie, ktoré sú buď G-SII, alebo emitovali cenné papiere, ktoré sú prijaté na obchodovanie na regulovanom trhu, polročne;</w:t>
      </w:r>
    </w:p>
    <w:p w:rsidR="00675E5F" w:rsidRPr="003320DB" w:rsidRDefault="003320DB" w:rsidP="003320DB">
      <w:pPr>
        <w:pStyle w:val="Point1"/>
        <w:rPr>
          <w:noProof/>
        </w:rPr>
      </w:pPr>
      <w:r>
        <w:rPr>
          <w:noProof/>
        </w:rPr>
        <w:t>b)</w:t>
      </w:r>
      <w:r>
        <w:rPr>
          <w:noProof/>
        </w:rPr>
        <w:tab/>
      </w:r>
      <w:r w:rsidR="00675E5F" w:rsidRPr="003320DB">
        <w:rPr>
          <w:noProof/>
        </w:rPr>
        <w:t>veľké inštitúcie iné ako G-SII, ktoré nie sú kótovanými inštitúciami, ročne;</w:t>
      </w:r>
    </w:p>
    <w:p w:rsidR="00675E5F" w:rsidRPr="003320DB" w:rsidRDefault="003320DB" w:rsidP="003320DB">
      <w:pPr>
        <w:pStyle w:val="Point1"/>
        <w:rPr>
          <w:noProof/>
        </w:rPr>
      </w:pPr>
      <w:r>
        <w:rPr>
          <w:noProof/>
        </w:rPr>
        <w:t>c)</w:t>
      </w:r>
      <w:r>
        <w:rPr>
          <w:noProof/>
        </w:rPr>
        <w:tab/>
      </w:r>
      <w:r w:rsidR="00675E5F" w:rsidRPr="003320DB">
        <w:rPr>
          <w:noProof/>
        </w:rPr>
        <w:t>inštitúcie iné ako veľké inštitúcie</w:t>
      </w:r>
      <w:r>
        <w:rPr>
          <w:noProof/>
        </w:rPr>
        <w:t xml:space="preserve"> a </w:t>
      </w:r>
      <w:r w:rsidR="00675E5F" w:rsidRPr="003320DB">
        <w:rPr>
          <w:noProof/>
        </w:rPr>
        <w:t>malé</w:t>
      </w:r>
      <w:r>
        <w:rPr>
          <w:noProof/>
        </w:rPr>
        <w:t xml:space="preserve"> a </w:t>
      </w:r>
      <w:r w:rsidR="00675E5F" w:rsidRPr="003320DB">
        <w:rPr>
          <w:noProof/>
        </w:rPr>
        <w:t>menej zložité inštitúcie, ktoré emitovali cenné papiere prijaté na obchodovanie na regulovanom trhu, ročne.</w:t>
      </w:r>
    </w:p>
    <w:p w:rsidR="00675E5F" w:rsidRPr="003320DB" w:rsidRDefault="00612F20" w:rsidP="00612F20">
      <w:pPr>
        <w:pStyle w:val="ManualNumPar1"/>
        <w:rPr>
          <w:noProof/>
        </w:rPr>
      </w:pPr>
      <w:r w:rsidRPr="00612F20">
        <w:rPr>
          <w:noProof/>
        </w:rPr>
        <w:t>3.</w:t>
      </w:r>
      <w:r w:rsidRPr="00612F20">
        <w:rPr>
          <w:noProof/>
        </w:rPr>
        <w:tab/>
      </w:r>
      <w:r w:rsidR="00675E5F" w:rsidRPr="003320DB">
        <w:rPr>
          <w:noProof/>
        </w:rPr>
        <w:t>Inštitúcie vykazujú dodatočné informácie</w:t>
      </w:r>
      <w:r w:rsidR="003320DB">
        <w:rPr>
          <w:noProof/>
        </w:rPr>
        <w:t xml:space="preserve"> o </w:t>
      </w:r>
      <w:r w:rsidR="00675E5F" w:rsidRPr="003320DB">
        <w:rPr>
          <w:noProof/>
        </w:rPr>
        <w:t>ukazovateli finančnej páky, ako sa uvádza vo vzore C 40.00 bunkách {r0010;c0010}, {r0010;c0020}, {r0020;c0010}, {r0020;c0020}, {r0030;c0070}, {r0040;c0070}, {r0050;c0010}, {r0050;c0020}, {r0060;c0010}, {r0060;c0020}</w:t>
      </w:r>
      <w:r w:rsidR="003320DB">
        <w:rPr>
          <w:noProof/>
        </w:rPr>
        <w:t xml:space="preserve"> a </w:t>
      </w:r>
      <w:r w:rsidR="00675E5F" w:rsidRPr="003320DB">
        <w:rPr>
          <w:noProof/>
        </w:rPr>
        <w:t>{r0060;c0070}, ak je splnená aspoň jedna</w:t>
      </w:r>
      <w:r w:rsidR="003320DB">
        <w:rPr>
          <w:noProof/>
        </w:rPr>
        <w:t xml:space="preserve"> z </w:t>
      </w:r>
      <w:r w:rsidR="00675E5F" w:rsidRPr="003320DB">
        <w:rPr>
          <w:noProof/>
        </w:rPr>
        <w:t>týchto podmienok:</w:t>
      </w:r>
    </w:p>
    <w:p w:rsidR="00675E5F" w:rsidRPr="003320DB" w:rsidRDefault="003320DB" w:rsidP="003320DB">
      <w:pPr>
        <w:pStyle w:val="Point1"/>
        <w:rPr>
          <w:noProof/>
        </w:rPr>
      </w:pPr>
      <w:r>
        <w:rPr>
          <w:noProof/>
        </w:rPr>
        <w:t>a)</w:t>
      </w:r>
      <w:r>
        <w:rPr>
          <w:noProof/>
        </w:rPr>
        <w:tab/>
      </w:r>
      <w:r w:rsidR="00675E5F" w:rsidRPr="003320DB">
        <w:rPr>
          <w:noProof/>
        </w:rPr>
        <w:t>podiel derivátu určený ako veľkosť derivátovej expozície vydelená veľkosťou celkovej expozície je viac ako 1,5</w:t>
      </w:r>
      <w:r>
        <w:rPr>
          <w:noProof/>
        </w:rPr>
        <w:t> %</w:t>
      </w:r>
      <w:r w:rsidR="00675E5F" w:rsidRPr="003320DB">
        <w:rPr>
          <w:noProof/>
        </w:rPr>
        <w:t>;</w:t>
      </w:r>
    </w:p>
    <w:p w:rsidR="00675E5F" w:rsidRPr="003320DB" w:rsidRDefault="003320DB" w:rsidP="003320DB">
      <w:pPr>
        <w:pStyle w:val="Point1"/>
        <w:rPr>
          <w:noProof/>
        </w:rPr>
      </w:pPr>
      <w:r>
        <w:rPr>
          <w:noProof/>
        </w:rPr>
        <w:t>b)</w:t>
      </w:r>
      <w:r>
        <w:rPr>
          <w:noProof/>
        </w:rPr>
        <w:tab/>
      </w:r>
      <w:r w:rsidR="00675E5F" w:rsidRPr="003320DB">
        <w:rPr>
          <w:noProof/>
        </w:rPr>
        <w:t>podiel derivátu určený ako veľkosť derivátovej expozície vydelená veľkosťou celkovej expozície prekročí 2</w:t>
      </w:r>
      <w:r>
        <w:rPr>
          <w:noProof/>
        </w:rPr>
        <w:t> %</w:t>
      </w:r>
      <w:r w:rsidR="00675E5F" w:rsidRPr="003320DB">
        <w:rPr>
          <w:noProof/>
        </w:rPr>
        <w:t>.</w:t>
      </w:r>
    </w:p>
    <w:p w:rsidR="00675E5F" w:rsidRPr="003320DB" w:rsidRDefault="00797855" w:rsidP="001D2A25">
      <w:pPr>
        <w:pStyle w:val="Text1"/>
        <w:rPr>
          <w:noProof/>
        </w:rPr>
      </w:pPr>
      <w:r w:rsidRPr="003320DB">
        <w:rPr>
          <w:noProof/>
        </w:rPr>
        <w:t>Ak inštitúcia spĺňa len podmienku uvedenú</w:t>
      </w:r>
      <w:r w:rsidR="003320DB">
        <w:rPr>
          <w:noProof/>
        </w:rPr>
        <w:t xml:space="preserve"> v </w:t>
      </w:r>
      <w:r w:rsidRPr="003320DB">
        <w:rPr>
          <w:noProof/>
        </w:rPr>
        <w:t>prvom pododseku písmene a), uplatňujú sa kritériá vstupu</w:t>
      </w:r>
      <w:r w:rsidR="003320DB">
        <w:rPr>
          <w:noProof/>
        </w:rPr>
        <w:t xml:space="preserve"> a </w:t>
      </w:r>
      <w:r w:rsidRPr="003320DB">
        <w:rPr>
          <w:noProof/>
        </w:rPr>
        <w:t>výstupu stanovené</w:t>
      </w:r>
      <w:r w:rsidR="003320DB">
        <w:rPr>
          <w:noProof/>
        </w:rPr>
        <w:t xml:space="preserve"> v </w:t>
      </w:r>
      <w:r w:rsidRPr="003320DB">
        <w:rPr>
          <w:noProof/>
        </w:rPr>
        <w:t>článku 4 ods. 3 tohto nariadenia. Inštitúcia, ktorá spĺňa podmienky stanovené</w:t>
      </w:r>
      <w:r w:rsidR="003320DB">
        <w:rPr>
          <w:noProof/>
        </w:rPr>
        <w:t xml:space="preserve"> v </w:t>
      </w:r>
      <w:r w:rsidRPr="003320DB">
        <w:rPr>
          <w:noProof/>
        </w:rPr>
        <w:t>prvom pododseku písm. a) aj b), začína vykazovať informácie</w:t>
      </w:r>
      <w:r w:rsidR="003320DB">
        <w:rPr>
          <w:noProof/>
        </w:rPr>
        <w:t xml:space="preserve"> o </w:t>
      </w:r>
      <w:r w:rsidRPr="003320DB">
        <w:rPr>
          <w:noProof/>
        </w:rPr>
        <w:t>ukazovateli finančnej páky</w:t>
      </w:r>
      <w:r w:rsidR="003320DB">
        <w:rPr>
          <w:noProof/>
        </w:rPr>
        <w:t xml:space="preserve"> k </w:t>
      </w:r>
      <w:r w:rsidRPr="003320DB">
        <w:rPr>
          <w:noProof/>
        </w:rPr>
        <w:t>referenčnému dátumu nasledujúcemu po referenčnom dátume vykazovania, ku ktorému prekročila prahovú hodnotu.</w:t>
      </w:r>
    </w:p>
    <w:p w:rsidR="00675E5F" w:rsidRPr="003320DB" w:rsidRDefault="00612F20" w:rsidP="00612F20">
      <w:pPr>
        <w:pStyle w:val="ManualNumPar1"/>
        <w:rPr>
          <w:noProof/>
        </w:rPr>
      </w:pPr>
      <w:r w:rsidRPr="00612F20">
        <w:rPr>
          <w:noProof/>
        </w:rPr>
        <w:t>4.</w:t>
      </w:r>
      <w:r w:rsidRPr="00612F20">
        <w:rPr>
          <w:noProof/>
        </w:rPr>
        <w:tab/>
      </w:r>
      <w:r w:rsidR="00675E5F" w:rsidRPr="003320DB">
        <w:rPr>
          <w:noProof/>
        </w:rPr>
        <w:t>Inštitúcie,</w:t>
      </w:r>
      <w:r w:rsidR="003320DB">
        <w:rPr>
          <w:noProof/>
        </w:rPr>
        <w:t xml:space="preserve"> v </w:t>
      </w:r>
      <w:r w:rsidR="00675E5F" w:rsidRPr="003320DB">
        <w:rPr>
          <w:noProof/>
        </w:rPr>
        <w:t>prípade ktorých celková pomyselná hodnota derivátov uvedených vo vzore C 40.00 bunke {r0010;c0070} presahuje 10 000 miliónov EUR, vykazujú informácie uvedené vo vzore C 40.00 bunkách {r0010;c0010}, {r0010;c0020}, {r0020;c0010}, {r0020;c0020}, {r0030;c0070}, {r0040;c0070}, {r0050;c0010}, {r0050;c0020}, {r0060;c0010}, {r0060;c0020}</w:t>
      </w:r>
      <w:r w:rsidR="003320DB">
        <w:rPr>
          <w:noProof/>
        </w:rPr>
        <w:t xml:space="preserve"> a </w:t>
      </w:r>
      <w:r w:rsidR="00675E5F" w:rsidRPr="003320DB">
        <w:rPr>
          <w:noProof/>
        </w:rPr>
        <w:t>{r0060;c0070}, aj keď ich podiel derivátov nespĺňa podmienky stanovené</w:t>
      </w:r>
      <w:r w:rsidR="003320DB">
        <w:rPr>
          <w:noProof/>
        </w:rPr>
        <w:t xml:space="preserve"> v </w:t>
      </w:r>
      <w:r w:rsidR="00675E5F" w:rsidRPr="003320DB">
        <w:rPr>
          <w:noProof/>
        </w:rPr>
        <w:t>odseku 3.</w:t>
      </w:r>
    </w:p>
    <w:p w:rsidR="00675E5F" w:rsidRPr="003320DB" w:rsidRDefault="00675E5F" w:rsidP="00C856B2">
      <w:pPr>
        <w:pStyle w:val="Text1"/>
        <w:rPr>
          <w:noProof/>
        </w:rPr>
      </w:pPr>
      <w:r w:rsidRPr="003320DB">
        <w:rPr>
          <w:noProof/>
        </w:rPr>
        <w:t>Na účely prvého pododseku tohto odseku sa kritériá vstupu stanovené</w:t>
      </w:r>
      <w:r w:rsidR="003320DB">
        <w:rPr>
          <w:noProof/>
        </w:rPr>
        <w:t xml:space="preserve"> v </w:t>
      </w:r>
      <w:r w:rsidRPr="003320DB">
        <w:rPr>
          <w:noProof/>
        </w:rPr>
        <w:t>článku 4 ods. 3 tohto nariadenia neuplatňujú. Inštitúcie začínajú vykazovať informácie</w:t>
      </w:r>
      <w:r w:rsidR="003320DB">
        <w:rPr>
          <w:noProof/>
        </w:rPr>
        <w:t xml:space="preserve"> k </w:t>
      </w:r>
      <w:r w:rsidRPr="003320DB">
        <w:rPr>
          <w:noProof/>
        </w:rPr>
        <w:t>ďalšiemu referenčnému dátumu vykazovania, ak prekročili prahovú hodnotu</w:t>
      </w:r>
      <w:r w:rsidR="003320DB">
        <w:rPr>
          <w:noProof/>
        </w:rPr>
        <w:t xml:space="preserve"> k </w:t>
      </w:r>
      <w:r w:rsidRPr="003320DB">
        <w:rPr>
          <w:noProof/>
        </w:rPr>
        <w:t>jednému referenčnému dátumu vykazovania.</w:t>
      </w:r>
    </w:p>
    <w:p w:rsidR="00675E5F" w:rsidRPr="003320DB" w:rsidRDefault="00612F20" w:rsidP="00612F20">
      <w:pPr>
        <w:pStyle w:val="ManualNumPar1"/>
        <w:rPr>
          <w:noProof/>
        </w:rPr>
      </w:pPr>
      <w:r w:rsidRPr="00612F20">
        <w:rPr>
          <w:noProof/>
        </w:rPr>
        <w:t>5.</w:t>
      </w:r>
      <w:r w:rsidRPr="00612F20">
        <w:rPr>
          <w:noProof/>
        </w:rPr>
        <w:tab/>
      </w:r>
      <w:r w:rsidR="00675E5F" w:rsidRPr="003320DB">
        <w:rPr>
          <w:noProof/>
        </w:rPr>
        <w:t>Inštitúcie vykazujú informácie uvedené vo vzore C 40.00 bunkách {r0020;c0075}, {r0050;c0075}</w:t>
      </w:r>
      <w:r w:rsidR="003320DB">
        <w:rPr>
          <w:noProof/>
        </w:rPr>
        <w:t xml:space="preserve"> a </w:t>
      </w:r>
      <w:r w:rsidR="00675E5F" w:rsidRPr="003320DB">
        <w:rPr>
          <w:noProof/>
        </w:rPr>
        <w:t>{r0050;c0085}, ak je splnená jedna</w:t>
      </w:r>
      <w:r w:rsidR="003320DB">
        <w:rPr>
          <w:noProof/>
        </w:rPr>
        <w:t xml:space="preserve"> z </w:t>
      </w:r>
      <w:r w:rsidR="00675E5F" w:rsidRPr="003320DB">
        <w:rPr>
          <w:noProof/>
        </w:rPr>
        <w:t>týchto podmienok:</w:t>
      </w:r>
    </w:p>
    <w:p w:rsidR="00675E5F" w:rsidRPr="003320DB" w:rsidRDefault="003320DB" w:rsidP="003320DB">
      <w:pPr>
        <w:pStyle w:val="Point1"/>
        <w:rPr>
          <w:noProof/>
        </w:rPr>
      </w:pPr>
      <w:r>
        <w:rPr>
          <w:noProof/>
        </w:rPr>
        <w:t>a)</w:t>
      </w:r>
      <w:r>
        <w:rPr>
          <w:noProof/>
        </w:rPr>
        <w:tab/>
      </w:r>
      <w:r w:rsidR="00675E5F" w:rsidRPr="003320DB">
        <w:rPr>
          <w:noProof/>
        </w:rPr>
        <w:t>objem kreditných derivátov uvedený vo vzore C 40.00 ako {r0020;c0070} + {r0050;c0070}, presahuje 300 miliónov EUR;</w:t>
      </w:r>
    </w:p>
    <w:p w:rsidR="00675E5F" w:rsidRPr="003320DB" w:rsidRDefault="003320DB" w:rsidP="003320DB">
      <w:pPr>
        <w:pStyle w:val="Point1"/>
        <w:rPr>
          <w:noProof/>
        </w:rPr>
      </w:pPr>
      <w:r>
        <w:rPr>
          <w:noProof/>
        </w:rPr>
        <w:t>a)</w:t>
      </w:r>
      <w:r>
        <w:rPr>
          <w:noProof/>
        </w:rPr>
        <w:tab/>
      </w:r>
      <w:r w:rsidR="00675E5F" w:rsidRPr="003320DB">
        <w:rPr>
          <w:noProof/>
        </w:rPr>
        <w:t>objem kreditných derivátov uvedený vo vzore C 40.00 ako {r0020;c0070} + {r0050;c0070}, presahuje 500 miliónov EUR.</w:t>
      </w:r>
    </w:p>
    <w:p w:rsidR="00716EA9" w:rsidRPr="003320DB" w:rsidRDefault="00745A2E" w:rsidP="001D2A25">
      <w:pPr>
        <w:pStyle w:val="Text1"/>
        <w:rPr>
          <w:noProof/>
        </w:rPr>
      </w:pPr>
      <w:r w:rsidRPr="003320DB">
        <w:rPr>
          <w:noProof/>
        </w:rPr>
        <w:t>Ak inštitúcia spĺňa len podmienku uvedenú</w:t>
      </w:r>
      <w:r w:rsidR="003320DB">
        <w:rPr>
          <w:noProof/>
        </w:rPr>
        <w:t xml:space="preserve"> v </w:t>
      </w:r>
      <w:r w:rsidRPr="003320DB">
        <w:rPr>
          <w:noProof/>
        </w:rPr>
        <w:t>prvom pododseku písmene a), uplatňujú sa kritériá vstupu</w:t>
      </w:r>
      <w:r w:rsidR="003320DB">
        <w:rPr>
          <w:noProof/>
        </w:rPr>
        <w:t xml:space="preserve"> a </w:t>
      </w:r>
      <w:r w:rsidRPr="003320DB">
        <w:rPr>
          <w:noProof/>
        </w:rPr>
        <w:t>výstupu stanovené</w:t>
      </w:r>
      <w:r w:rsidR="003320DB">
        <w:rPr>
          <w:noProof/>
        </w:rPr>
        <w:t xml:space="preserve"> v </w:t>
      </w:r>
      <w:r w:rsidRPr="003320DB">
        <w:rPr>
          <w:noProof/>
        </w:rPr>
        <w:t>článku 4 ods. 3 tohto nariadenia. Inštitúcia, ktorá spĺňa podmienky stanovené</w:t>
      </w:r>
      <w:r w:rsidR="003320DB">
        <w:rPr>
          <w:noProof/>
        </w:rPr>
        <w:t xml:space="preserve"> v </w:t>
      </w:r>
      <w:r w:rsidRPr="003320DB">
        <w:rPr>
          <w:noProof/>
        </w:rPr>
        <w:t>prvom pododseku písm. a) aj b), začína vykazovať uvedené informácie</w:t>
      </w:r>
      <w:r w:rsidR="003320DB">
        <w:rPr>
          <w:noProof/>
        </w:rPr>
        <w:t xml:space="preserve"> k </w:t>
      </w:r>
      <w:r w:rsidRPr="003320DB">
        <w:rPr>
          <w:noProof/>
        </w:rPr>
        <w:t>referenčnému dátumu nasledujúcemu po referenčnom dátume vykazovania, ku ktorému prekročila prahovú hodnotu.</w:t>
      </w:r>
    </w:p>
    <w:p w:rsidR="00716EA9" w:rsidRPr="003320DB" w:rsidRDefault="00716EA9" w:rsidP="00E537F5">
      <w:pPr>
        <w:pStyle w:val="Titrearticle"/>
        <w:rPr>
          <w:noProof/>
          <w:szCs w:val="24"/>
        </w:rPr>
      </w:pPr>
      <w:r w:rsidRPr="003320DB">
        <w:rPr>
          <w:noProof/>
        </w:rPr>
        <w:t>Článok 16</w:t>
      </w:r>
    </w:p>
    <w:p w:rsidR="00716EA9" w:rsidRPr="003320DB" w:rsidRDefault="00716EA9" w:rsidP="00F22954">
      <w:pPr>
        <w:pStyle w:val="Titrearticle"/>
        <w:spacing w:before="0"/>
        <w:rPr>
          <w:b/>
          <w:bCs/>
          <w:i w:val="0"/>
          <w:iCs/>
          <w:noProof/>
          <w:szCs w:val="24"/>
        </w:rPr>
      </w:pPr>
      <w:r w:rsidRPr="003320DB">
        <w:rPr>
          <w:b/>
          <w:i w:val="0"/>
          <w:noProof/>
        </w:rPr>
        <w:t>Vykazovanie krytia likvidity na individuálnom aj konsolidovanom základe</w:t>
      </w:r>
    </w:p>
    <w:p w:rsidR="00716EA9" w:rsidRPr="003320DB" w:rsidRDefault="00612F20" w:rsidP="00612F20">
      <w:pPr>
        <w:pStyle w:val="ManualNumPar1"/>
        <w:rPr>
          <w:noProof/>
        </w:rPr>
      </w:pPr>
      <w:r w:rsidRPr="00612F20">
        <w:rPr>
          <w:noProof/>
        </w:rPr>
        <w:t>1.</w:t>
      </w:r>
      <w:r w:rsidRPr="00612F20">
        <w:rPr>
          <w:noProof/>
        </w:rPr>
        <w:tab/>
      </w:r>
      <w:r w:rsidR="000056CB" w:rsidRPr="003320DB">
        <w:rPr>
          <w:noProof/>
        </w:rPr>
        <w:t>Inštitúcie, ktoré vykazujú krytie likvidity uvedené</w:t>
      </w:r>
      <w:r w:rsidR="003320DB">
        <w:rPr>
          <w:noProof/>
        </w:rPr>
        <w:t xml:space="preserve"> v </w:t>
      </w:r>
      <w:r w:rsidR="000056CB" w:rsidRPr="003320DB">
        <w:rPr>
          <w:noProof/>
        </w:rPr>
        <w:t xml:space="preserve">článku 412 nariadenia (EÚ) </w:t>
      </w:r>
      <w:r w:rsidR="003320DB">
        <w:rPr>
          <w:noProof/>
        </w:rPr>
        <w:t>č. </w:t>
      </w:r>
      <w:r w:rsidR="000056CB" w:rsidRPr="003320DB">
        <w:rPr>
          <w:noProof/>
        </w:rPr>
        <w:t>575/2013,</w:t>
      </w:r>
      <w:r w:rsidR="003320DB">
        <w:rPr>
          <w:noProof/>
        </w:rPr>
        <w:t xml:space="preserve"> a </w:t>
      </w:r>
      <w:r w:rsidR="000056CB" w:rsidRPr="003320DB">
        <w:rPr>
          <w:noProof/>
        </w:rPr>
        <w:t>ako sa vyžaduje</w:t>
      </w:r>
      <w:r w:rsidR="003320DB">
        <w:rPr>
          <w:noProof/>
        </w:rPr>
        <w:t xml:space="preserve"> v </w:t>
      </w:r>
      <w:r w:rsidR="000056CB" w:rsidRPr="003320DB">
        <w:rPr>
          <w:noProof/>
        </w:rPr>
        <w:t>článku 430 ods. 1 písm. d) uvedeného nariadenia, na individuálnom aj konsolidovanom základe, predkladajú uvedené informácie, ako sa uvádza</w:t>
      </w:r>
      <w:r w:rsidR="003320DB">
        <w:rPr>
          <w:noProof/>
        </w:rPr>
        <w:t xml:space="preserve"> v </w:t>
      </w:r>
      <w:r w:rsidR="000056CB" w:rsidRPr="003320DB">
        <w:rPr>
          <w:noProof/>
        </w:rPr>
        <w:t>oddiele 10 „Vykazovanie krytia likvidity“ prílohy I</w:t>
      </w:r>
      <w:r w:rsidR="003320DB">
        <w:rPr>
          <w:noProof/>
        </w:rPr>
        <w:t xml:space="preserve"> k </w:t>
      </w:r>
      <w:r w:rsidR="000056CB" w:rsidRPr="003320DB">
        <w:rPr>
          <w:noProof/>
        </w:rPr>
        <w:t>tomuto nariadeniu, mesačne.</w:t>
      </w:r>
    </w:p>
    <w:p w:rsidR="00716EA9" w:rsidRPr="003320DB" w:rsidRDefault="00612F20" w:rsidP="00612F20">
      <w:pPr>
        <w:pStyle w:val="ManualNumPar1"/>
        <w:rPr>
          <w:noProof/>
        </w:rPr>
      </w:pPr>
      <w:r w:rsidRPr="00612F20">
        <w:rPr>
          <w:noProof/>
        </w:rPr>
        <w:t>2.</w:t>
      </w:r>
      <w:r w:rsidRPr="00612F20">
        <w:rPr>
          <w:noProof/>
        </w:rPr>
        <w:tab/>
      </w:r>
      <w:r w:rsidR="00716EA9" w:rsidRPr="003320DB">
        <w:rPr>
          <w:noProof/>
        </w:rPr>
        <w:t>Na účely vykazovania informácií stanovených</w:t>
      </w:r>
      <w:r w:rsidR="003320DB">
        <w:rPr>
          <w:noProof/>
        </w:rPr>
        <w:t xml:space="preserve"> v </w:t>
      </w:r>
      <w:r w:rsidR="00716EA9" w:rsidRPr="003320DB">
        <w:rPr>
          <w:noProof/>
        </w:rPr>
        <w:t>oddiele 10 „Vykazovanie krytia likvidity“ prílohy I</w:t>
      </w:r>
      <w:r w:rsidR="003320DB">
        <w:rPr>
          <w:noProof/>
        </w:rPr>
        <w:t xml:space="preserve"> k </w:t>
      </w:r>
      <w:r w:rsidR="00716EA9" w:rsidRPr="003320DB">
        <w:rPr>
          <w:noProof/>
        </w:rPr>
        <w:t>tomuto nariadeniu inštitúcie zohľadňujú informácie predložené</w:t>
      </w:r>
      <w:r w:rsidR="003320DB">
        <w:rPr>
          <w:noProof/>
        </w:rPr>
        <w:t xml:space="preserve"> k </w:t>
      </w:r>
      <w:r w:rsidR="00716EA9" w:rsidRPr="003320DB">
        <w:rPr>
          <w:noProof/>
        </w:rPr>
        <w:t>referenčnému dátumu</w:t>
      </w:r>
      <w:r w:rsidR="003320DB">
        <w:rPr>
          <w:noProof/>
        </w:rPr>
        <w:t xml:space="preserve"> a </w:t>
      </w:r>
      <w:r w:rsidR="00716EA9" w:rsidRPr="003320DB">
        <w:rPr>
          <w:noProof/>
        </w:rPr>
        <w:t>informácie</w:t>
      </w:r>
      <w:r w:rsidR="003320DB">
        <w:rPr>
          <w:noProof/>
        </w:rPr>
        <w:t xml:space="preserve"> o </w:t>
      </w:r>
      <w:r w:rsidR="00716EA9" w:rsidRPr="003320DB">
        <w:rPr>
          <w:noProof/>
        </w:rPr>
        <w:t>peňažných tokoch počas 30 kalendárnych dní po referenčnom dátume.</w:t>
      </w:r>
    </w:p>
    <w:p w:rsidR="00716EA9" w:rsidRPr="003320DB" w:rsidRDefault="00716EA9" w:rsidP="00E537F5">
      <w:pPr>
        <w:pStyle w:val="Titrearticle"/>
        <w:rPr>
          <w:noProof/>
          <w:szCs w:val="24"/>
        </w:rPr>
      </w:pPr>
      <w:r w:rsidRPr="003320DB">
        <w:rPr>
          <w:noProof/>
        </w:rPr>
        <w:t>Článok 17</w:t>
      </w:r>
    </w:p>
    <w:p w:rsidR="00716EA9" w:rsidRPr="003320DB" w:rsidRDefault="00716EA9" w:rsidP="00F22954">
      <w:pPr>
        <w:pStyle w:val="Titrearticle"/>
        <w:spacing w:before="0"/>
        <w:rPr>
          <w:b/>
          <w:bCs/>
          <w:i w:val="0"/>
          <w:iCs/>
          <w:noProof/>
          <w:szCs w:val="24"/>
        </w:rPr>
      </w:pPr>
      <w:r w:rsidRPr="003320DB">
        <w:rPr>
          <w:b/>
          <w:i w:val="0"/>
          <w:noProof/>
        </w:rPr>
        <w:t>Vykazovanie stabilného financovania na individuálnom aj konsolidovanom základe</w:t>
      </w:r>
    </w:p>
    <w:p w:rsidR="00716EA9" w:rsidRPr="003320DB" w:rsidRDefault="00D62A44" w:rsidP="00BA7013">
      <w:pPr>
        <w:rPr>
          <w:noProof/>
          <w:color w:val="000000"/>
          <w:szCs w:val="24"/>
        </w:rPr>
      </w:pPr>
      <w:r w:rsidRPr="003320DB">
        <w:rPr>
          <w:noProof/>
        </w:rPr>
        <w:t>Inštitúcie, ktoré vykazujú svoju požiadavku na stabilné financovanie uvedenú</w:t>
      </w:r>
      <w:r w:rsidR="003320DB">
        <w:rPr>
          <w:noProof/>
        </w:rPr>
        <w:t xml:space="preserve"> v </w:t>
      </w:r>
      <w:r w:rsidRPr="003320DB">
        <w:rPr>
          <w:noProof/>
        </w:rPr>
        <w:t xml:space="preserve">článku 413 nariadenia (EÚ) </w:t>
      </w:r>
      <w:r w:rsidR="003320DB">
        <w:rPr>
          <w:noProof/>
        </w:rPr>
        <w:t>č. </w:t>
      </w:r>
      <w:r w:rsidRPr="003320DB">
        <w:rPr>
          <w:noProof/>
        </w:rPr>
        <w:t>575/2013,</w:t>
      </w:r>
      <w:r w:rsidR="003320DB">
        <w:rPr>
          <w:noProof/>
        </w:rPr>
        <w:t xml:space="preserve"> a </w:t>
      </w:r>
      <w:r w:rsidRPr="003320DB">
        <w:rPr>
          <w:noProof/>
        </w:rPr>
        <w:t>ako sa vyžaduje</w:t>
      </w:r>
      <w:r w:rsidR="003320DB">
        <w:rPr>
          <w:noProof/>
        </w:rPr>
        <w:t xml:space="preserve"> v </w:t>
      </w:r>
      <w:r w:rsidRPr="003320DB">
        <w:rPr>
          <w:noProof/>
        </w:rPr>
        <w:t>článku 430 ods. 1 písm. d) uvedeného nariadenia, na individuálnom aj konsolidovanom základe, predkladajú uvedené informácie, ako sa uvádza</w:t>
      </w:r>
      <w:r w:rsidR="003320DB">
        <w:rPr>
          <w:noProof/>
        </w:rPr>
        <w:t xml:space="preserve"> v </w:t>
      </w:r>
      <w:r w:rsidRPr="003320DB">
        <w:rPr>
          <w:noProof/>
        </w:rPr>
        <w:t>oddiele 7 „Vykazovanie stabilného financovania“ prílohy I</w:t>
      </w:r>
      <w:r w:rsidR="003320DB">
        <w:rPr>
          <w:noProof/>
        </w:rPr>
        <w:t xml:space="preserve"> k </w:t>
      </w:r>
      <w:r w:rsidRPr="003320DB">
        <w:rPr>
          <w:noProof/>
        </w:rPr>
        <w:t>tomuto nariadeniu, štvrťročne,</w:t>
      </w:r>
      <w:r w:rsidR="003320DB">
        <w:rPr>
          <w:noProof/>
        </w:rPr>
        <w:t xml:space="preserve"> a </w:t>
      </w:r>
      <w:r w:rsidRPr="003320DB">
        <w:rPr>
          <w:noProof/>
        </w:rPr>
        <w:t>to takto:</w:t>
      </w:r>
    </w:p>
    <w:p w:rsidR="00C26E6A" w:rsidRPr="003320DB" w:rsidRDefault="003320DB" w:rsidP="003320DB">
      <w:pPr>
        <w:pStyle w:val="Point0"/>
        <w:rPr>
          <w:noProof/>
        </w:rPr>
      </w:pPr>
      <w:r>
        <w:rPr>
          <w:noProof/>
        </w:rPr>
        <w:t>a)</w:t>
      </w:r>
      <w:r>
        <w:rPr>
          <w:noProof/>
        </w:rPr>
        <w:tab/>
      </w:r>
      <w:r w:rsidR="00C26E6A" w:rsidRPr="003320DB">
        <w:rPr>
          <w:noProof/>
        </w:rPr>
        <w:t>malé</w:t>
      </w:r>
      <w:r>
        <w:rPr>
          <w:noProof/>
        </w:rPr>
        <w:t xml:space="preserve"> a </w:t>
      </w:r>
      <w:r w:rsidR="00C26E6A" w:rsidRPr="003320DB">
        <w:rPr>
          <w:noProof/>
        </w:rPr>
        <w:t>menej zložité inštitúcie, ktoré sa rozhodli vypočítať svoj ukazovateľ čistého stabilného financovania (NSFR)</w:t>
      </w:r>
      <w:r>
        <w:rPr>
          <w:noProof/>
        </w:rPr>
        <w:t xml:space="preserve"> s </w:t>
      </w:r>
      <w:r w:rsidR="00C26E6A" w:rsidRPr="003320DB">
        <w:rPr>
          <w:noProof/>
        </w:rPr>
        <w:t>použitím metodiky stanovenej</w:t>
      </w:r>
      <w:r>
        <w:rPr>
          <w:noProof/>
        </w:rPr>
        <w:t xml:space="preserve"> v </w:t>
      </w:r>
      <w:r w:rsidR="00C26E6A" w:rsidRPr="003320DB">
        <w:rPr>
          <w:noProof/>
        </w:rPr>
        <w:t>šiestej časti hlave IV kapitolách 6</w:t>
      </w:r>
      <w:r>
        <w:rPr>
          <w:noProof/>
        </w:rPr>
        <w:t xml:space="preserve"> a </w:t>
      </w:r>
      <w:r w:rsidR="00C26E6A" w:rsidRPr="003320DB">
        <w:rPr>
          <w:noProof/>
        </w:rPr>
        <w:t xml:space="preserve">7 nariadenia (EÚ) </w:t>
      </w:r>
      <w:r>
        <w:rPr>
          <w:noProof/>
        </w:rPr>
        <w:t>č. </w:t>
      </w:r>
      <w:r w:rsidR="00C26E6A" w:rsidRPr="003320DB">
        <w:rPr>
          <w:noProof/>
        </w:rPr>
        <w:t>575/2013,</w:t>
      </w:r>
      <w:r>
        <w:rPr>
          <w:noProof/>
        </w:rPr>
        <w:t xml:space="preserve"> s </w:t>
      </w:r>
      <w:r w:rsidR="00C26E6A" w:rsidRPr="003320DB">
        <w:rPr>
          <w:noProof/>
        </w:rPr>
        <w:t>predchádzajúcim súhlasom svojho príslušného orgánu</w:t>
      </w:r>
      <w:r>
        <w:rPr>
          <w:noProof/>
        </w:rPr>
        <w:t xml:space="preserve"> v </w:t>
      </w:r>
      <w:r w:rsidR="00C26E6A" w:rsidRPr="003320DB">
        <w:rPr>
          <w:noProof/>
        </w:rPr>
        <w:t>súlade</w:t>
      </w:r>
      <w:r>
        <w:rPr>
          <w:noProof/>
        </w:rPr>
        <w:t xml:space="preserve"> s </w:t>
      </w:r>
      <w:r w:rsidR="00C26E6A" w:rsidRPr="003320DB">
        <w:rPr>
          <w:noProof/>
        </w:rPr>
        <w:t>článkom 428ai uvedeného nariadenia, predkladajú vzory C 82</w:t>
      </w:r>
      <w:r>
        <w:rPr>
          <w:noProof/>
        </w:rPr>
        <w:t xml:space="preserve"> a </w:t>
      </w:r>
      <w:r w:rsidR="00C26E6A" w:rsidRPr="003320DB">
        <w:rPr>
          <w:noProof/>
        </w:rPr>
        <w:t>C 83;</w:t>
      </w:r>
    </w:p>
    <w:p w:rsidR="00C26E6A" w:rsidRPr="003320DB" w:rsidRDefault="003320DB" w:rsidP="003320DB">
      <w:pPr>
        <w:pStyle w:val="Point0"/>
        <w:rPr>
          <w:noProof/>
        </w:rPr>
      </w:pPr>
      <w:r>
        <w:rPr>
          <w:noProof/>
        </w:rPr>
        <w:t>b)</w:t>
      </w:r>
      <w:r>
        <w:rPr>
          <w:noProof/>
        </w:rPr>
        <w:tab/>
      </w:r>
      <w:r w:rsidR="00C26E6A" w:rsidRPr="003320DB">
        <w:rPr>
          <w:noProof/>
        </w:rPr>
        <w:t>inštitúcie iné ako inštitúcie uvedené</w:t>
      </w:r>
      <w:r>
        <w:rPr>
          <w:noProof/>
        </w:rPr>
        <w:t xml:space="preserve"> v </w:t>
      </w:r>
      <w:r w:rsidR="00C26E6A" w:rsidRPr="003320DB">
        <w:rPr>
          <w:noProof/>
        </w:rPr>
        <w:t>písmene a) predkladajú vzory C 80</w:t>
      </w:r>
      <w:r>
        <w:rPr>
          <w:noProof/>
        </w:rPr>
        <w:t xml:space="preserve"> a </w:t>
      </w:r>
      <w:r w:rsidR="00C26E6A" w:rsidRPr="003320DB">
        <w:rPr>
          <w:noProof/>
        </w:rPr>
        <w:t>C 81;</w:t>
      </w:r>
    </w:p>
    <w:p w:rsidR="00C26E6A" w:rsidRPr="003320DB" w:rsidRDefault="003320DB" w:rsidP="003320DB">
      <w:pPr>
        <w:pStyle w:val="Point0"/>
        <w:rPr>
          <w:noProof/>
        </w:rPr>
      </w:pPr>
      <w:r>
        <w:rPr>
          <w:noProof/>
        </w:rPr>
        <w:t>c)</w:t>
      </w:r>
      <w:r>
        <w:rPr>
          <w:noProof/>
        </w:rPr>
        <w:tab/>
      </w:r>
      <w:r w:rsidR="00C26E6A" w:rsidRPr="003320DB">
        <w:rPr>
          <w:noProof/>
        </w:rPr>
        <w:t>všetky inštitúcie predkladajú vzor C 84.</w:t>
      </w:r>
    </w:p>
    <w:p w:rsidR="00716EA9" w:rsidRPr="003320DB" w:rsidRDefault="00716EA9" w:rsidP="00E537F5">
      <w:pPr>
        <w:pStyle w:val="Titrearticle"/>
        <w:rPr>
          <w:noProof/>
          <w:szCs w:val="24"/>
        </w:rPr>
      </w:pPr>
      <w:r w:rsidRPr="003320DB">
        <w:rPr>
          <w:noProof/>
        </w:rPr>
        <w:t>Článok 18</w:t>
      </w:r>
    </w:p>
    <w:p w:rsidR="00716EA9" w:rsidRPr="003320DB" w:rsidRDefault="00716EA9" w:rsidP="00F22954">
      <w:pPr>
        <w:pStyle w:val="Titrearticle"/>
        <w:spacing w:before="0"/>
        <w:rPr>
          <w:b/>
          <w:bCs/>
          <w:i w:val="0"/>
          <w:iCs/>
          <w:noProof/>
          <w:szCs w:val="24"/>
        </w:rPr>
      </w:pPr>
      <w:r w:rsidRPr="003320DB">
        <w:rPr>
          <w:b/>
          <w:i w:val="0"/>
          <w:noProof/>
        </w:rPr>
        <w:t>Vykazovanie dodatočných ukazovateľov na sledovanie likvidity na individuálnom aj konsolidovanom základe</w:t>
      </w:r>
    </w:p>
    <w:p w:rsidR="00716EA9" w:rsidRPr="003320DB" w:rsidRDefault="00D538F2" w:rsidP="007643C7">
      <w:pPr>
        <w:tabs>
          <w:tab w:val="left" w:pos="567"/>
        </w:tabs>
        <w:spacing w:before="100" w:beforeAutospacing="1" w:after="100" w:afterAutospacing="1"/>
        <w:rPr>
          <w:noProof/>
          <w:color w:val="000000"/>
          <w:szCs w:val="24"/>
        </w:rPr>
      </w:pPr>
      <w:r w:rsidRPr="003320DB">
        <w:rPr>
          <w:noProof/>
        </w:rPr>
        <w:t>Inštitúcie, ktoré vykazujú informácie</w:t>
      </w:r>
      <w:r w:rsidR="003320DB">
        <w:rPr>
          <w:noProof/>
        </w:rPr>
        <w:t xml:space="preserve"> o </w:t>
      </w:r>
      <w:r w:rsidRPr="003320DB">
        <w:rPr>
          <w:noProof/>
        </w:rPr>
        <w:t>dodatočných ukazovateľoch na sledovanie likvidity uvedené</w:t>
      </w:r>
      <w:r w:rsidR="003320DB">
        <w:rPr>
          <w:noProof/>
        </w:rPr>
        <w:t xml:space="preserve"> v </w:t>
      </w:r>
      <w:r w:rsidRPr="003320DB">
        <w:rPr>
          <w:noProof/>
        </w:rPr>
        <w:t xml:space="preserve">článku 415 ods. 3 písm. b) nariadenia (EÚ) </w:t>
      </w:r>
      <w:r w:rsidR="003320DB">
        <w:rPr>
          <w:noProof/>
        </w:rPr>
        <w:t>č. </w:t>
      </w:r>
      <w:r w:rsidRPr="003320DB">
        <w:rPr>
          <w:noProof/>
        </w:rPr>
        <w:t>575/2013,</w:t>
      </w:r>
      <w:r w:rsidR="003320DB">
        <w:rPr>
          <w:noProof/>
        </w:rPr>
        <w:t xml:space="preserve"> a </w:t>
      </w:r>
      <w:r w:rsidRPr="003320DB">
        <w:rPr>
          <w:noProof/>
        </w:rPr>
        <w:t>ako sa vyžaduje</w:t>
      </w:r>
      <w:r w:rsidR="003320DB">
        <w:rPr>
          <w:noProof/>
        </w:rPr>
        <w:t xml:space="preserve"> v </w:t>
      </w:r>
      <w:r w:rsidRPr="003320DB">
        <w:rPr>
          <w:noProof/>
        </w:rPr>
        <w:t>článku 430 ods. 1 písm. d) uvedeného nariadenia, na individuálnom aj konsolidovanom základe, predkladajú uvedené informácie, ako sa uvádza</w:t>
      </w:r>
      <w:r w:rsidR="003320DB">
        <w:rPr>
          <w:noProof/>
        </w:rPr>
        <w:t xml:space="preserve"> v </w:t>
      </w:r>
      <w:r w:rsidRPr="003320DB">
        <w:rPr>
          <w:noProof/>
        </w:rPr>
        <w:t>oddiele 9 „Vykazovanie dodatočných ukazovateľov na sledovanie likvidity“ prílohy I</w:t>
      </w:r>
      <w:r w:rsidR="003320DB">
        <w:rPr>
          <w:noProof/>
        </w:rPr>
        <w:t xml:space="preserve"> k </w:t>
      </w:r>
      <w:r w:rsidRPr="003320DB">
        <w:rPr>
          <w:noProof/>
        </w:rPr>
        <w:t>tomuto nariadeniu,</w:t>
      </w:r>
      <w:r w:rsidR="003320DB">
        <w:rPr>
          <w:noProof/>
        </w:rPr>
        <w:t xml:space="preserve"> s </w:t>
      </w:r>
      <w:r w:rsidRPr="003320DB">
        <w:rPr>
          <w:noProof/>
        </w:rPr>
        <w:t>touto frekvenciou:</w:t>
      </w:r>
    </w:p>
    <w:p w:rsidR="00F5752D" w:rsidRPr="003320DB" w:rsidRDefault="003320DB" w:rsidP="003320DB">
      <w:pPr>
        <w:pStyle w:val="Point0"/>
        <w:rPr>
          <w:noProof/>
        </w:rPr>
      </w:pPr>
      <w:r>
        <w:rPr>
          <w:noProof/>
        </w:rPr>
        <w:t>a)</w:t>
      </w:r>
      <w:r>
        <w:rPr>
          <w:noProof/>
        </w:rPr>
        <w:tab/>
      </w:r>
      <w:r w:rsidR="00F5752D" w:rsidRPr="003320DB">
        <w:rPr>
          <w:noProof/>
        </w:rPr>
        <w:t>veľké inštitúcie predkladajú informácie uvedené vo vzoroch C 66.01</w:t>
      </w:r>
      <w:r>
        <w:rPr>
          <w:noProof/>
        </w:rPr>
        <w:t xml:space="preserve"> a </w:t>
      </w:r>
      <w:r w:rsidR="00F5752D" w:rsidRPr="003320DB">
        <w:rPr>
          <w:noProof/>
        </w:rPr>
        <w:t>C 67.00 až C 71.00 oddielu 9 prílohy I</w:t>
      </w:r>
      <w:r>
        <w:rPr>
          <w:noProof/>
        </w:rPr>
        <w:t xml:space="preserve"> k </w:t>
      </w:r>
      <w:r w:rsidR="00F5752D" w:rsidRPr="003320DB">
        <w:rPr>
          <w:noProof/>
        </w:rPr>
        <w:t>tomuto nariadenia, mesačne;</w:t>
      </w:r>
    </w:p>
    <w:p w:rsidR="00F5752D" w:rsidRPr="003320DB" w:rsidRDefault="003320DB" w:rsidP="003320DB">
      <w:pPr>
        <w:pStyle w:val="Point0"/>
        <w:rPr>
          <w:noProof/>
        </w:rPr>
      </w:pPr>
      <w:r>
        <w:rPr>
          <w:noProof/>
        </w:rPr>
        <w:t>b)</w:t>
      </w:r>
      <w:r>
        <w:rPr>
          <w:noProof/>
        </w:rPr>
        <w:tab/>
      </w:r>
      <w:r w:rsidR="00F5752D" w:rsidRPr="003320DB">
        <w:rPr>
          <w:noProof/>
        </w:rPr>
        <w:t>malé</w:t>
      </w:r>
      <w:r>
        <w:rPr>
          <w:noProof/>
        </w:rPr>
        <w:t xml:space="preserve"> a </w:t>
      </w:r>
      <w:r w:rsidR="00F5752D" w:rsidRPr="003320DB">
        <w:rPr>
          <w:noProof/>
        </w:rPr>
        <w:t>menej zložité inštitúcie predkladajú informácie uvedené vo vzoroch C 66.0, C 67.00</w:t>
      </w:r>
      <w:r>
        <w:rPr>
          <w:noProof/>
        </w:rPr>
        <w:t xml:space="preserve"> a </w:t>
      </w:r>
      <w:r w:rsidR="00F5752D" w:rsidRPr="003320DB">
        <w:rPr>
          <w:noProof/>
        </w:rPr>
        <w:t>C 71.00 oddielu 9 prílohy I</w:t>
      </w:r>
      <w:r>
        <w:rPr>
          <w:noProof/>
        </w:rPr>
        <w:t xml:space="preserve"> k </w:t>
      </w:r>
      <w:r w:rsidR="00F5752D" w:rsidRPr="003320DB">
        <w:rPr>
          <w:noProof/>
        </w:rPr>
        <w:t>tomuto nariadenia, štvrťročne;</w:t>
      </w:r>
    </w:p>
    <w:p w:rsidR="00F5752D" w:rsidRPr="003320DB" w:rsidRDefault="003320DB" w:rsidP="003320DB">
      <w:pPr>
        <w:pStyle w:val="Point0"/>
        <w:rPr>
          <w:noProof/>
        </w:rPr>
      </w:pPr>
      <w:r>
        <w:rPr>
          <w:noProof/>
        </w:rPr>
        <w:t>c)</w:t>
      </w:r>
      <w:r>
        <w:rPr>
          <w:noProof/>
        </w:rPr>
        <w:tab/>
      </w:r>
      <w:r w:rsidR="00F5752D" w:rsidRPr="003320DB">
        <w:rPr>
          <w:noProof/>
        </w:rPr>
        <w:t>inštitúcie, ktoré nie sú ani veľkými inštitúciami, ani malými</w:t>
      </w:r>
      <w:r>
        <w:rPr>
          <w:noProof/>
        </w:rPr>
        <w:t xml:space="preserve"> a </w:t>
      </w:r>
      <w:r w:rsidR="00F5752D" w:rsidRPr="003320DB">
        <w:rPr>
          <w:noProof/>
        </w:rPr>
        <w:t>menej zložitými inštitúciami, predkladajú informácie uvedené vo vzoroch C 66.01 až C 69.00</w:t>
      </w:r>
      <w:r>
        <w:rPr>
          <w:noProof/>
        </w:rPr>
        <w:t xml:space="preserve"> a </w:t>
      </w:r>
      <w:r w:rsidR="00F5752D" w:rsidRPr="003320DB">
        <w:rPr>
          <w:noProof/>
        </w:rPr>
        <w:t>C 71.00 oddielu 9 prílohy I</w:t>
      </w:r>
      <w:r>
        <w:rPr>
          <w:noProof/>
        </w:rPr>
        <w:t xml:space="preserve"> k </w:t>
      </w:r>
      <w:r w:rsidR="00F5752D" w:rsidRPr="003320DB">
        <w:rPr>
          <w:noProof/>
        </w:rPr>
        <w:t>tomuto nariadenia, mesačne.</w:t>
      </w:r>
    </w:p>
    <w:p w:rsidR="00716EA9" w:rsidRPr="003320DB" w:rsidRDefault="00716EA9" w:rsidP="00E537F5">
      <w:pPr>
        <w:pStyle w:val="Titrearticle"/>
        <w:rPr>
          <w:noProof/>
          <w:szCs w:val="24"/>
        </w:rPr>
      </w:pPr>
      <w:r w:rsidRPr="003320DB">
        <w:rPr>
          <w:noProof/>
        </w:rPr>
        <w:t>Článok 19</w:t>
      </w:r>
    </w:p>
    <w:p w:rsidR="00716EA9" w:rsidRPr="003320DB" w:rsidRDefault="00716EA9" w:rsidP="00F22954">
      <w:pPr>
        <w:pStyle w:val="Titrearticle"/>
        <w:spacing w:before="0"/>
        <w:rPr>
          <w:b/>
          <w:bCs/>
          <w:i w:val="0"/>
          <w:iCs/>
          <w:noProof/>
          <w:szCs w:val="24"/>
        </w:rPr>
      </w:pPr>
      <w:r w:rsidRPr="003320DB">
        <w:rPr>
          <w:b/>
          <w:i w:val="0"/>
          <w:noProof/>
        </w:rPr>
        <w:t>Vykazovanie zaťaženosti aktív na individuálnom aj konsolidovanom základe</w:t>
      </w:r>
    </w:p>
    <w:p w:rsidR="001D2A25" w:rsidRPr="003320DB" w:rsidRDefault="00612F20" w:rsidP="00612F20">
      <w:pPr>
        <w:pStyle w:val="ManualNumPar1"/>
        <w:rPr>
          <w:noProof/>
        </w:rPr>
      </w:pPr>
      <w:r w:rsidRPr="00612F20">
        <w:rPr>
          <w:noProof/>
        </w:rPr>
        <w:t>1.</w:t>
      </w:r>
      <w:r w:rsidRPr="00612F20">
        <w:rPr>
          <w:noProof/>
        </w:rPr>
        <w:tab/>
      </w:r>
      <w:r w:rsidR="00716EA9" w:rsidRPr="003320DB">
        <w:rPr>
          <w:noProof/>
        </w:rPr>
        <w:t>Inštitúcie, ktoré vykazujú úroveň zaťaženosti aktív uvedenú</w:t>
      </w:r>
      <w:r w:rsidR="003320DB">
        <w:rPr>
          <w:noProof/>
        </w:rPr>
        <w:t xml:space="preserve"> v </w:t>
      </w:r>
      <w:r w:rsidR="00716EA9" w:rsidRPr="003320DB">
        <w:rPr>
          <w:noProof/>
        </w:rPr>
        <w:t xml:space="preserve">článku 430 ods. 1 písm. g) nariadenia (EÚ) </w:t>
      </w:r>
      <w:r w:rsidR="003320DB">
        <w:rPr>
          <w:noProof/>
        </w:rPr>
        <w:t>č. </w:t>
      </w:r>
      <w:r w:rsidR="00716EA9" w:rsidRPr="003320DB">
        <w:rPr>
          <w:noProof/>
        </w:rPr>
        <w:t>575/2013 na individuálnom aj konsolidovanom základe, predkladajú tieto informácie, ako sa uvádza</w:t>
      </w:r>
      <w:r w:rsidR="003320DB">
        <w:rPr>
          <w:noProof/>
        </w:rPr>
        <w:t xml:space="preserve"> v </w:t>
      </w:r>
      <w:r w:rsidR="00716EA9" w:rsidRPr="003320DB">
        <w:rPr>
          <w:noProof/>
        </w:rPr>
        <w:t>oddiele 8 „Vykazovanie zaťaženosti aktív“ prílohy I</w:t>
      </w:r>
      <w:r w:rsidR="003320DB">
        <w:rPr>
          <w:noProof/>
        </w:rPr>
        <w:t xml:space="preserve"> k </w:t>
      </w:r>
      <w:r w:rsidR="00716EA9" w:rsidRPr="003320DB">
        <w:rPr>
          <w:noProof/>
        </w:rPr>
        <w:t>tomuto nariadeniu,</w:t>
      </w:r>
      <w:r w:rsidR="003320DB">
        <w:rPr>
          <w:noProof/>
        </w:rPr>
        <w:t xml:space="preserve"> s </w:t>
      </w:r>
      <w:r w:rsidR="00716EA9" w:rsidRPr="003320DB">
        <w:rPr>
          <w:noProof/>
        </w:rPr>
        <w:t>touto frekvenciou:</w:t>
      </w:r>
    </w:p>
    <w:p w:rsidR="00F5752D" w:rsidRPr="003320DB" w:rsidRDefault="003320DB" w:rsidP="003320DB">
      <w:pPr>
        <w:pStyle w:val="Point1"/>
        <w:rPr>
          <w:noProof/>
        </w:rPr>
      </w:pPr>
      <w:r>
        <w:rPr>
          <w:noProof/>
        </w:rPr>
        <w:t>a)</w:t>
      </w:r>
      <w:r>
        <w:rPr>
          <w:noProof/>
        </w:rPr>
        <w:tab/>
      </w:r>
      <w:r w:rsidR="00F5752D" w:rsidRPr="003320DB">
        <w:rPr>
          <w:noProof/>
        </w:rPr>
        <w:t>informácie uvedené vo vzoroch F 32.01 až F 33.00</w:t>
      </w:r>
      <w:r>
        <w:rPr>
          <w:noProof/>
        </w:rPr>
        <w:t xml:space="preserve"> a </w:t>
      </w:r>
      <w:r w:rsidR="00F5752D" w:rsidRPr="003320DB">
        <w:rPr>
          <w:noProof/>
        </w:rPr>
        <w:t>F 35.00 oddielu 8 prílohy I</w:t>
      </w:r>
      <w:r>
        <w:rPr>
          <w:noProof/>
        </w:rPr>
        <w:t xml:space="preserve"> k </w:t>
      </w:r>
      <w:r w:rsidR="00F5752D" w:rsidRPr="003320DB">
        <w:rPr>
          <w:noProof/>
        </w:rPr>
        <w:t>tomuto nariadenia štvrťročne;</w:t>
      </w:r>
    </w:p>
    <w:p w:rsidR="00F5752D" w:rsidRPr="003320DB" w:rsidRDefault="003320DB" w:rsidP="003320DB">
      <w:pPr>
        <w:pStyle w:val="Point1"/>
        <w:rPr>
          <w:noProof/>
        </w:rPr>
      </w:pPr>
      <w:r>
        <w:rPr>
          <w:noProof/>
        </w:rPr>
        <w:t>b)</w:t>
      </w:r>
      <w:r>
        <w:rPr>
          <w:noProof/>
        </w:rPr>
        <w:tab/>
      </w:r>
      <w:r w:rsidR="00F5752D" w:rsidRPr="003320DB">
        <w:rPr>
          <w:noProof/>
        </w:rPr>
        <w:t>informácie uvedené vo vzore F 34.00 oddielu 8 prílohy I</w:t>
      </w:r>
      <w:r>
        <w:rPr>
          <w:noProof/>
        </w:rPr>
        <w:t xml:space="preserve"> k </w:t>
      </w:r>
      <w:r w:rsidR="00F5752D" w:rsidRPr="003320DB">
        <w:rPr>
          <w:noProof/>
        </w:rPr>
        <w:t>tomuto nariadenia ročne;</w:t>
      </w:r>
    </w:p>
    <w:p w:rsidR="00F5752D" w:rsidRPr="003320DB" w:rsidRDefault="003320DB" w:rsidP="003320DB">
      <w:pPr>
        <w:pStyle w:val="Point1"/>
        <w:rPr>
          <w:noProof/>
        </w:rPr>
      </w:pPr>
      <w:r>
        <w:rPr>
          <w:noProof/>
        </w:rPr>
        <w:t>c)</w:t>
      </w:r>
      <w:r>
        <w:rPr>
          <w:noProof/>
        </w:rPr>
        <w:tab/>
      </w:r>
      <w:r w:rsidR="00F5752D" w:rsidRPr="003320DB">
        <w:rPr>
          <w:noProof/>
        </w:rPr>
        <w:t>informácie uvedené vo vzoroch F 36.01</w:t>
      </w:r>
      <w:r>
        <w:rPr>
          <w:noProof/>
        </w:rPr>
        <w:t xml:space="preserve"> a </w:t>
      </w:r>
      <w:r w:rsidR="00F5752D" w:rsidRPr="003320DB">
        <w:rPr>
          <w:noProof/>
        </w:rPr>
        <w:t>F 36.02 oddielu 8 prílohy I</w:t>
      </w:r>
      <w:r>
        <w:rPr>
          <w:noProof/>
        </w:rPr>
        <w:t xml:space="preserve"> k </w:t>
      </w:r>
      <w:r w:rsidR="00F5752D" w:rsidRPr="003320DB">
        <w:rPr>
          <w:noProof/>
        </w:rPr>
        <w:t>tomuto nariadenia polročne.</w:t>
      </w:r>
    </w:p>
    <w:p w:rsidR="0083639F" w:rsidRPr="003320DB" w:rsidRDefault="00612F20" w:rsidP="00612F20">
      <w:pPr>
        <w:pStyle w:val="ManualNumPar1"/>
        <w:rPr>
          <w:noProof/>
        </w:rPr>
      </w:pPr>
      <w:r w:rsidRPr="00612F20">
        <w:rPr>
          <w:noProof/>
        </w:rPr>
        <w:t>2.</w:t>
      </w:r>
      <w:r w:rsidRPr="00612F20">
        <w:rPr>
          <w:noProof/>
        </w:rPr>
        <w:tab/>
      </w:r>
      <w:r w:rsidR="00745A2E" w:rsidRPr="003320DB">
        <w:rPr>
          <w:noProof/>
        </w:rPr>
        <w:t>Inštitúcie predkladajú informácie uvedené</w:t>
      </w:r>
      <w:r w:rsidR="003320DB">
        <w:rPr>
          <w:noProof/>
        </w:rPr>
        <w:t xml:space="preserve"> v </w:t>
      </w:r>
      <w:r w:rsidR="00745A2E" w:rsidRPr="003320DB">
        <w:rPr>
          <w:noProof/>
        </w:rPr>
        <w:t>odseku 1 takto:</w:t>
      </w:r>
    </w:p>
    <w:p w:rsidR="0083639F" w:rsidRPr="003320DB" w:rsidRDefault="003320DB" w:rsidP="003320DB">
      <w:pPr>
        <w:pStyle w:val="Point1"/>
        <w:rPr>
          <w:noProof/>
        </w:rPr>
      </w:pPr>
      <w:r>
        <w:rPr>
          <w:noProof/>
        </w:rPr>
        <w:t>a)</w:t>
      </w:r>
      <w:r>
        <w:rPr>
          <w:noProof/>
        </w:rPr>
        <w:tab/>
      </w:r>
      <w:r w:rsidR="0083639F" w:rsidRPr="003320DB">
        <w:rPr>
          <w:noProof/>
        </w:rPr>
        <w:t>inštitúcie predkladajú informácie uvedené</w:t>
      </w:r>
      <w:r>
        <w:rPr>
          <w:noProof/>
        </w:rPr>
        <w:t xml:space="preserve"> v </w:t>
      </w:r>
      <w:r w:rsidR="0083639F" w:rsidRPr="003320DB">
        <w:rPr>
          <w:noProof/>
        </w:rPr>
        <w:t>oddiele 8 časti A „Vykazovanie zaťaženosti aktív“;</w:t>
      </w:r>
    </w:p>
    <w:p w:rsidR="0083639F" w:rsidRPr="003320DB" w:rsidRDefault="003320DB" w:rsidP="003320DB">
      <w:pPr>
        <w:pStyle w:val="Point1"/>
        <w:rPr>
          <w:noProof/>
        </w:rPr>
      </w:pPr>
      <w:r>
        <w:rPr>
          <w:noProof/>
        </w:rPr>
        <w:t>b)</w:t>
      </w:r>
      <w:r>
        <w:rPr>
          <w:noProof/>
        </w:rPr>
        <w:tab/>
      </w:r>
      <w:r w:rsidR="0083639F" w:rsidRPr="003320DB">
        <w:rPr>
          <w:noProof/>
        </w:rPr>
        <w:t>veľké inštitúcie predkladajú informácie uvedené</w:t>
      </w:r>
      <w:r>
        <w:rPr>
          <w:noProof/>
        </w:rPr>
        <w:t xml:space="preserve"> v </w:t>
      </w:r>
      <w:r w:rsidR="0083639F" w:rsidRPr="003320DB">
        <w:rPr>
          <w:noProof/>
        </w:rPr>
        <w:t>oddiele 8 častiach B, C</w:t>
      </w:r>
      <w:r>
        <w:rPr>
          <w:noProof/>
        </w:rPr>
        <w:t xml:space="preserve"> a </w:t>
      </w:r>
      <w:r w:rsidR="0083639F" w:rsidRPr="003320DB">
        <w:rPr>
          <w:noProof/>
        </w:rPr>
        <w:t>E „Vykazovanie zaťaženosti aktív“;</w:t>
      </w:r>
    </w:p>
    <w:p w:rsidR="0083639F" w:rsidRPr="003320DB" w:rsidRDefault="003320DB" w:rsidP="003320DB">
      <w:pPr>
        <w:pStyle w:val="Point1"/>
        <w:rPr>
          <w:noProof/>
        </w:rPr>
      </w:pPr>
      <w:r>
        <w:rPr>
          <w:noProof/>
        </w:rPr>
        <w:t>c)</w:t>
      </w:r>
      <w:r>
        <w:rPr>
          <w:noProof/>
        </w:rPr>
        <w:tab/>
      </w:r>
      <w:r w:rsidR="0083639F" w:rsidRPr="003320DB">
        <w:rPr>
          <w:noProof/>
        </w:rPr>
        <w:t>inštitúcie, ktoré nie sú ani veľkými inštitúciami, ani malými</w:t>
      </w:r>
      <w:r>
        <w:rPr>
          <w:noProof/>
        </w:rPr>
        <w:t xml:space="preserve"> a </w:t>
      </w:r>
      <w:r w:rsidR="0083639F" w:rsidRPr="003320DB">
        <w:rPr>
          <w:noProof/>
        </w:rPr>
        <w:t>menej zložitými inštitúciami, predkladajú informácie uvedené</w:t>
      </w:r>
      <w:r>
        <w:rPr>
          <w:noProof/>
        </w:rPr>
        <w:t xml:space="preserve"> v </w:t>
      </w:r>
      <w:r w:rsidR="0083639F" w:rsidRPr="003320DB">
        <w:rPr>
          <w:noProof/>
        </w:rPr>
        <w:t>častiach B, C</w:t>
      </w:r>
      <w:r>
        <w:rPr>
          <w:noProof/>
        </w:rPr>
        <w:t xml:space="preserve"> a </w:t>
      </w:r>
      <w:r w:rsidR="0083639F" w:rsidRPr="003320DB">
        <w:rPr>
          <w:noProof/>
        </w:rPr>
        <w:t>E oddielu 8 „Vykazovanie zaťaženosti aktív“, ak sa úroveň zaťaženosti aktív inštitúcie uvedená ako (účtovná hodnota zaťažených aktív</w:t>
      </w:r>
      <w:r>
        <w:rPr>
          <w:noProof/>
        </w:rPr>
        <w:t xml:space="preserve"> a </w:t>
      </w:r>
      <w:r w:rsidR="0083639F" w:rsidRPr="003320DB">
        <w:rPr>
          <w:noProof/>
        </w:rPr>
        <w:t>kolaterál)/(celkové aktíva</w:t>
      </w:r>
      <w:r>
        <w:rPr>
          <w:noProof/>
        </w:rPr>
        <w:t xml:space="preserve"> a </w:t>
      </w:r>
      <w:r w:rsidR="0083639F" w:rsidRPr="003320DB">
        <w:rPr>
          <w:noProof/>
        </w:rPr>
        <w:t>kolaterál) rovná alebo je vyššia ako 15</w:t>
      </w:r>
      <w:r>
        <w:rPr>
          <w:noProof/>
        </w:rPr>
        <w:t> %</w:t>
      </w:r>
      <w:r w:rsidR="0083639F" w:rsidRPr="003320DB">
        <w:rPr>
          <w:noProof/>
        </w:rPr>
        <w:t>;</w:t>
      </w:r>
    </w:p>
    <w:p w:rsidR="0083639F" w:rsidRPr="003320DB" w:rsidRDefault="003320DB" w:rsidP="003320DB">
      <w:pPr>
        <w:pStyle w:val="Point1"/>
        <w:rPr>
          <w:noProof/>
        </w:rPr>
      </w:pPr>
      <w:r>
        <w:rPr>
          <w:noProof/>
        </w:rPr>
        <w:t>d)</w:t>
      </w:r>
      <w:r>
        <w:rPr>
          <w:noProof/>
        </w:rPr>
        <w:tab/>
      </w:r>
      <w:r w:rsidR="0083639F" w:rsidRPr="003320DB">
        <w:rPr>
          <w:noProof/>
        </w:rPr>
        <w:t>inštitúcie vykazujú informácie uvedené</w:t>
      </w:r>
      <w:r>
        <w:rPr>
          <w:noProof/>
        </w:rPr>
        <w:t xml:space="preserve"> v </w:t>
      </w:r>
      <w:r w:rsidR="0083639F" w:rsidRPr="003320DB">
        <w:rPr>
          <w:noProof/>
        </w:rPr>
        <w:t>časti D oddielu 8 „Vykazovanie zaťaženosti aktív“, len ak emitujú dlhopisy uvedené</w:t>
      </w:r>
      <w:r>
        <w:rPr>
          <w:noProof/>
        </w:rPr>
        <w:t xml:space="preserve"> v </w:t>
      </w:r>
      <w:r w:rsidR="0083639F" w:rsidRPr="003320DB">
        <w:rPr>
          <w:noProof/>
        </w:rPr>
        <w:t>článku 52 ods. 4 prvom pododseku smernice Európskeho parlamentu</w:t>
      </w:r>
      <w:r>
        <w:rPr>
          <w:noProof/>
        </w:rPr>
        <w:t xml:space="preserve"> a </w:t>
      </w:r>
      <w:r w:rsidR="0083639F" w:rsidRPr="003320DB">
        <w:rPr>
          <w:noProof/>
        </w:rPr>
        <w:t>Rady 2009/65/ES</w:t>
      </w:r>
      <w:r w:rsidR="0083639F" w:rsidRPr="003320DB">
        <w:rPr>
          <w:rStyle w:val="FootnoteReference"/>
          <w:noProof/>
          <w:szCs w:val="24"/>
        </w:rPr>
        <w:footnoteReference w:id="10"/>
      </w:r>
      <w:r w:rsidR="0083639F" w:rsidRPr="003320DB">
        <w:rPr>
          <w:noProof/>
        </w:rPr>
        <w:t>.</w:t>
      </w:r>
    </w:p>
    <w:p w:rsidR="00716EA9" w:rsidRPr="003320DB" w:rsidRDefault="00716EA9" w:rsidP="00E537F5">
      <w:pPr>
        <w:pStyle w:val="Titrearticle"/>
        <w:rPr>
          <w:noProof/>
          <w:szCs w:val="24"/>
        </w:rPr>
      </w:pPr>
      <w:r w:rsidRPr="003320DB">
        <w:rPr>
          <w:noProof/>
        </w:rPr>
        <w:t>Článok 20</w:t>
      </w:r>
    </w:p>
    <w:p w:rsidR="00716EA9" w:rsidRPr="003320DB" w:rsidRDefault="00716EA9" w:rsidP="0066303A">
      <w:pPr>
        <w:pStyle w:val="Titrearticle"/>
        <w:spacing w:before="0"/>
        <w:rPr>
          <w:b/>
          <w:bCs/>
          <w:i w:val="0"/>
          <w:iCs/>
          <w:noProof/>
          <w:szCs w:val="24"/>
        </w:rPr>
      </w:pPr>
      <w:r w:rsidRPr="003320DB">
        <w:rPr>
          <w:b/>
          <w:i w:val="0"/>
          <w:noProof/>
        </w:rPr>
        <w:t>Dodatočné vykazovanie na účely identifikácie G-SII</w:t>
      </w:r>
      <w:r w:rsidR="003320DB">
        <w:rPr>
          <w:b/>
          <w:i w:val="0"/>
          <w:noProof/>
        </w:rPr>
        <w:t xml:space="preserve"> a </w:t>
      </w:r>
      <w:r w:rsidRPr="003320DB">
        <w:rPr>
          <w:b/>
          <w:i w:val="0"/>
          <w:noProof/>
        </w:rPr>
        <w:t>priraďovania mier vankúša pre G-SII</w:t>
      </w:r>
    </w:p>
    <w:p w:rsidR="00716EA9" w:rsidRPr="003320DB" w:rsidRDefault="00612F20" w:rsidP="00612F20">
      <w:pPr>
        <w:pStyle w:val="ManualNumPar1"/>
        <w:rPr>
          <w:noProof/>
        </w:rPr>
      </w:pPr>
      <w:r w:rsidRPr="00612F20">
        <w:rPr>
          <w:noProof/>
        </w:rPr>
        <w:t>1.</w:t>
      </w:r>
      <w:r w:rsidRPr="00612F20">
        <w:rPr>
          <w:noProof/>
        </w:rPr>
        <w:tab/>
      </w:r>
      <w:r w:rsidR="00716EA9" w:rsidRPr="003320DB">
        <w:rPr>
          <w:noProof/>
        </w:rPr>
        <w:t>Pri vykazovaní doplňujúcich informácií na účely identifikácie G-SII</w:t>
      </w:r>
      <w:r w:rsidR="003320DB">
        <w:rPr>
          <w:noProof/>
        </w:rPr>
        <w:t xml:space="preserve"> a </w:t>
      </w:r>
      <w:r w:rsidR="00716EA9" w:rsidRPr="003320DB">
        <w:rPr>
          <w:noProof/>
        </w:rPr>
        <w:t>priraďovania mier vankúša G-SII podľa článku 131 smernice 2013/36/EÚ materské inštitúcie</w:t>
      </w:r>
      <w:r w:rsidR="003320DB">
        <w:rPr>
          <w:noProof/>
        </w:rPr>
        <w:t xml:space="preserve"> v </w:t>
      </w:r>
      <w:r w:rsidR="00716EA9" w:rsidRPr="003320DB">
        <w:rPr>
          <w:noProof/>
        </w:rPr>
        <w:t>EÚ, materské finančné holdingové spoločnosti</w:t>
      </w:r>
      <w:r w:rsidR="003320DB">
        <w:rPr>
          <w:noProof/>
        </w:rPr>
        <w:t xml:space="preserve"> v </w:t>
      </w:r>
      <w:r w:rsidR="00716EA9" w:rsidRPr="003320DB">
        <w:rPr>
          <w:noProof/>
        </w:rPr>
        <w:t>EÚ</w:t>
      </w:r>
      <w:r w:rsidR="003320DB">
        <w:rPr>
          <w:noProof/>
        </w:rPr>
        <w:t xml:space="preserve"> a </w:t>
      </w:r>
      <w:r w:rsidR="00716EA9" w:rsidRPr="003320DB">
        <w:rPr>
          <w:noProof/>
        </w:rPr>
        <w:t>materské zmiešané finančné holdingové spoločnosti</w:t>
      </w:r>
      <w:r w:rsidR="003320DB">
        <w:rPr>
          <w:noProof/>
        </w:rPr>
        <w:t xml:space="preserve"> v </w:t>
      </w:r>
      <w:r w:rsidR="00716EA9" w:rsidRPr="003320DB">
        <w:rPr>
          <w:noProof/>
        </w:rPr>
        <w:t>EÚ predkladajú informácie uvedené</w:t>
      </w:r>
      <w:r w:rsidR="003320DB">
        <w:rPr>
          <w:noProof/>
        </w:rPr>
        <w:t xml:space="preserve"> v </w:t>
      </w:r>
      <w:r w:rsidR="00716EA9" w:rsidRPr="003320DB">
        <w:rPr>
          <w:noProof/>
        </w:rPr>
        <w:t>oddiele 11 „Dodatočné vykazovanie na účely identifikácie G-SII</w:t>
      </w:r>
      <w:r w:rsidR="003320DB">
        <w:rPr>
          <w:noProof/>
        </w:rPr>
        <w:t xml:space="preserve"> a </w:t>
      </w:r>
      <w:r w:rsidR="00716EA9" w:rsidRPr="003320DB">
        <w:rPr>
          <w:noProof/>
        </w:rPr>
        <w:t>priraďovania mier vankúša pre G-SII“ prílohy I</w:t>
      </w:r>
      <w:r w:rsidR="003320DB">
        <w:rPr>
          <w:noProof/>
        </w:rPr>
        <w:t xml:space="preserve"> k </w:t>
      </w:r>
      <w:r w:rsidR="00716EA9" w:rsidRPr="003320DB">
        <w:rPr>
          <w:noProof/>
        </w:rPr>
        <w:t>tomuto nariadeniu na konsolidovanom základe štvrťročne, ak sú splnené obidve tieto podmienky:</w:t>
      </w:r>
    </w:p>
    <w:p w:rsidR="00AB5213" w:rsidRPr="003320DB" w:rsidRDefault="003320DB" w:rsidP="003320DB">
      <w:pPr>
        <w:pStyle w:val="Point1"/>
        <w:rPr>
          <w:noProof/>
        </w:rPr>
      </w:pPr>
      <w:r>
        <w:rPr>
          <w:noProof/>
        </w:rPr>
        <w:t>a)</w:t>
      </w:r>
      <w:r>
        <w:rPr>
          <w:noProof/>
        </w:rPr>
        <w:tab/>
      </w:r>
      <w:r w:rsidR="00AB5213" w:rsidRPr="003320DB">
        <w:rPr>
          <w:noProof/>
        </w:rPr>
        <w:t>veľkosť celkovej expozície skupiny vrátane poisťovacích dcérskych spoločností sa rovná 125 000 000 000 EUR alebo je vyššia;</w:t>
      </w:r>
    </w:p>
    <w:p w:rsidR="00AB5213" w:rsidRPr="003320DB" w:rsidRDefault="003320DB" w:rsidP="003320DB">
      <w:pPr>
        <w:pStyle w:val="Point1"/>
        <w:rPr>
          <w:noProof/>
        </w:rPr>
      </w:pPr>
      <w:r>
        <w:rPr>
          <w:noProof/>
        </w:rPr>
        <w:t>b)</w:t>
      </w:r>
      <w:r>
        <w:rPr>
          <w:noProof/>
        </w:rPr>
        <w:tab/>
      </w:r>
      <w:r w:rsidR="00AB5213" w:rsidRPr="003320DB">
        <w:rPr>
          <w:noProof/>
        </w:rPr>
        <w:t>materská spoločnosť</w:t>
      </w:r>
      <w:r>
        <w:rPr>
          <w:noProof/>
        </w:rPr>
        <w:t xml:space="preserve"> v </w:t>
      </w:r>
      <w:r w:rsidR="00AB5213" w:rsidRPr="003320DB">
        <w:rPr>
          <w:noProof/>
        </w:rPr>
        <w:t>EÚ alebo ktorákoľvek</w:t>
      </w:r>
      <w:r>
        <w:rPr>
          <w:noProof/>
        </w:rPr>
        <w:t xml:space="preserve"> z </w:t>
      </w:r>
      <w:r w:rsidR="00AB5213" w:rsidRPr="003320DB">
        <w:rPr>
          <w:noProof/>
        </w:rPr>
        <w:t>jej dcérskych spoločností alebo ktorákoľvek pobočka prevádzkovaná materskou spoločnosťou alebo dcérskou spoločnosťou sa nachádza</w:t>
      </w:r>
      <w:r>
        <w:rPr>
          <w:noProof/>
        </w:rPr>
        <w:t xml:space="preserve"> v </w:t>
      </w:r>
      <w:r w:rsidR="00AB5213" w:rsidRPr="003320DB">
        <w:rPr>
          <w:noProof/>
        </w:rPr>
        <w:t>zúčastnenom členskom štáte, ako sa uvádza</w:t>
      </w:r>
      <w:r>
        <w:rPr>
          <w:noProof/>
        </w:rPr>
        <w:t xml:space="preserve"> v </w:t>
      </w:r>
      <w:r w:rsidR="00AB5213" w:rsidRPr="003320DB">
        <w:rPr>
          <w:noProof/>
        </w:rPr>
        <w:t>článku 4 nariadenia Európskeho parlamentu</w:t>
      </w:r>
      <w:r>
        <w:rPr>
          <w:noProof/>
        </w:rPr>
        <w:t xml:space="preserve"> a </w:t>
      </w:r>
      <w:r w:rsidR="00AB5213" w:rsidRPr="003320DB">
        <w:rPr>
          <w:noProof/>
        </w:rPr>
        <w:t xml:space="preserve">Rady (EÚ) </w:t>
      </w:r>
      <w:r>
        <w:rPr>
          <w:noProof/>
        </w:rPr>
        <w:t>č. </w:t>
      </w:r>
      <w:r w:rsidR="00AB5213" w:rsidRPr="003320DB">
        <w:rPr>
          <w:noProof/>
        </w:rPr>
        <w:t>806/2014</w:t>
      </w:r>
      <w:r w:rsidR="00AB5213" w:rsidRPr="00EA0CC5">
        <w:rPr>
          <w:rStyle w:val="FootnoteReference"/>
          <w:noProof/>
          <w:lang w:eastAsia="fr-BE"/>
        </w:rPr>
        <w:footnoteReference w:id="11"/>
      </w:r>
      <w:r w:rsidR="00AB5213" w:rsidRPr="003320DB">
        <w:rPr>
          <w:noProof/>
        </w:rPr>
        <w:t>.</w:t>
      </w:r>
    </w:p>
    <w:p w:rsidR="00716EA9" w:rsidRPr="003320DB" w:rsidRDefault="00612F20" w:rsidP="00612F20">
      <w:pPr>
        <w:pStyle w:val="ManualNumPar1"/>
        <w:rPr>
          <w:noProof/>
        </w:rPr>
      </w:pPr>
      <w:r w:rsidRPr="00612F20">
        <w:rPr>
          <w:noProof/>
        </w:rPr>
        <w:t>2.</w:t>
      </w:r>
      <w:r w:rsidRPr="00612F20">
        <w:rPr>
          <w:noProof/>
        </w:rPr>
        <w:tab/>
      </w:r>
      <w:r w:rsidR="00557F8A" w:rsidRPr="003320DB">
        <w:rPr>
          <w:noProof/>
        </w:rPr>
        <w:t>Pri vykazovaní doplňujúcich informácií na účely identifikácie G-SII</w:t>
      </w:r>
      <w:r w:rsidR="003320DB">
        <w:rPr>
          <w:noProof/>
        </w:rPr>
        <w:t xml:space="preserve"> a </w:t>
      </w:r>
      <w:r w:rsidR="00557F8A" w:rsidRPr="003320DB">
        <w:rPr>
          <w:noProof/>
        </w:rPr>
        <w:t>priraďovania mier kapitálového vankúša G-SII podľa článku 131 smernice 2013/36/EÚ inštitúcie predkladajú informácie uvedené</w:t>
      </w:r>
      <w:r w:rsidR="003320DB">
        <w:rPr>
          <w:noProof/>
        </w:rPr>
        <w:t xml:space="preserve"> v </w:t>
      </w:r>
      <w:r w:rsidR="00557F8A" w:rsidRPr="003320DB">
        <w:rPr>
          <w:noProof/>
        </w:rPr>
        <w:t>oddiele 11 „Dodatočné vykazovanie na účely identifikácie G-SII</w:t>
      </w:r>
      <w:r w:rsidR="003320DB">
        <w:rPr>
          <w:noProof/>
        </w:rPr>
        <w:t xml:space="preserve"> a </w:t>
      </w:r>
      <w:r w:rsidR="00557F8A" w:rsidRPr="003320DB">
        <w:rPr>
          <w:noProof/>
        </w:rPr>
        <w:t>priraďovania mier vankúša pre G-SII“ prílohy I</w:t>
      </w:r>
      <w:r w:rsidR="003320DB">
        <w:rPr>
          <w:noProof/>
        </w:rPr>
        <w:t xml:space="preserve"> k </w:t>
      </w:r>
      <w:r w:rsidR="00557F8A" w:rsidRPr="003320DB">
        <w:rPr>
          <w:noProof/>
        </w:rPr>
        <w:t>tomuto nariadeniu na individuálnom základe štvrťročne, ak sú splnené všetky tieto podmienky:</w:t>
      </w:r>
    </w:p>
    <w:p w:rsidR="00AB5213" w:rsidRPr="003320DB" w:rsidRDefault="003320DB" w:rsidP="003320DB">
      <w:pPr>
        <w:pStyle w:val="Point1"/>
        <w:rPr>
          <w:noProof/>
        </w:rPr>
      </w:pPr>
      <w:r>
        <w:rPr>
          <w:noProof/>
        </w:rPr>
        <w:t>a)</w:t>
      </w:r>
      <w:r>
        <w:rPr>
          <w:noProof/>
        </w:rPr>
        <w:tab/>
      </w:r>
      <w:r w:rsidR="00AB5213" w:rsidRPr="003320DB">
        <w:rPr>
          <w:noProof/>
        </w:rPr>
        <w:t>veľkosť celkovej expozície inštitúcie sa rovná 125 000 000 000 EUR alebo je vyššia;</w:t>
      </w:r>
    </w:p>
    <w:p w:rsidR="00AB5213" w:rsidRPr="003320DB" w:rsidRDefault="003320DB" w:rsidP="003320DB">
      <w:pPr>
        <w:pStyle w:val="Point1"/>
        <w:rPr>
          <w:noProof/>
        </w:rPr>
      </w:pPr>
      <w:r>
        <w:rPr>
          <w:noProof/>
        </w:rPr>
        <w:t>b)</w:t>
      </w:r>
      <w:r>
        <w:rPr>
          <w:noProof/>
        </w:rPr>
        <w:tab/>
      </w:r>
      <w:r w:rsidR="00AB5213" w:rsidRPr="003320DB">
        <w:rPr>
          <w:noProof/>
        </w:rPr>
        <w:t>inštitúcia sa nachádza</w:t>
      </w:r>
      <w:r>
        <w:rPr>
          <w:noProof/>
        </w:rPr>
        <w:t xml:space="preserve"> v </w:t>
      </w:r>
      <w:r w:rsidR="00AB5213" w:rsidRPr="003320DB">
        <w:rPr>
          <w:noProof/>
        </w:rPr>
        <w:t>zúčastnenom členskom štáte, ako sa uvádza</w:t>
      </w:r>
      <w:r>
        <w:rPr>
          <w:noProof/>
        </w:rPr>
        <w:t xml:space="preserve"> v </w:t>
      </w:r>
      <w:r w:rsidR="00AB5213" w:rsidRPr="003320DB">
        <w:rPr>
          <w:noProof/>
        </w:rPr>
        <w:t xml:space="preserve">článku 4 nariadenia (EÚ) </w:t>
      </w:r>
      <w:r>
        <w:rPr>
          <w:noProof/>
        </w:rPr>
        <w:t>č. </w:t>
      </w:r>
      <w:r w:rsidR="00AB5213" w:rsidRPr="003320DB">
        <w:rPr>
          <w:noProof/>
        </w:rPr>
        <w:t>806/2014;</w:t>
      </w:r>
    </w:p>
    <w:p w:rsidR="00AB5213" w:rsidRPr="003320DB" w:rsidRDefault="003320DB" w:rsidP="003320DB">
      <w:pPr>
        <w:pStyle w:val="Point1"/>
        <w:rPr>
          <w:noProof/>
        </w:rPr>
      </w:pPr>
      <w:r>
        <w:rPr>
          <w:noProof/>
        </w:rPr>
        <w:t>c)</w:t>
      </w:r>
      <w:r>
        <w:rPr>
          <w:noProof/>
        </w:rPr>
        <w:tab/>
      </w:r>
      <w:r w:rsidR="00AB5213" w:rsidRPr="003320DB">
        <w:rPr>
          <w:noProof/>
        </w:rPr>
        <w:t>inštitúcia nie je súčasťou skupiny, ktorá podlieha konsolidovanému dohľadu („samostatná inštitúcia“).</w:t>
      </w:r>
    </w:p>
    <w:p w:rsidR="00716EA9" w:rsidRPr="003320DB" w:rsidRDefault="00612F20" w:rsidP="00612F20">
      <w:pPr>
        <w:pStyle w:val="ManualNumPar1"/>
        <w:rPr>
          <w:noProof/>
        </w:rPr>
      </w:pPr>
      <w:r w:rsidRPr="00612F20">
        <w:rPr>
          <w:noProof/>
        </w:rPr>
        <w:t>3.</w:t>
      </w:r>
      <w:r w:rsidRPr="00612F20">
        <w:rPr>
          <w:noProof/>
        </w:rPr>
        <w:tab/>
      </w:r>
      <w:r w:rsidR="00716EA9" w:rsidRPr="003320DB">
        <w:rPr>
          <w:noProof/>
        </w:rPr>
        <w:t>Odchylne od článku 3 ods. 1 písm. b) inštitúcie predkladajú informácie uvedené</w:t>
      </w:r>
      <w:r w:rsidR="003320DB">
        <w:rPr>
          <w:noProof/>
        </w:rPr>
        <w:t xml:space="preserve"> v </w:t>
      </w:r>
      <w:r w:rsidR="00716EA9" w:rsidRPr="003320DB">
        <w:rPr>
          <w:noProof/>
        </w:rPr>
        <w:t>odsekoch 1</w:t>
      </w:r>
      <w:r w:rsidR="003320DB">
        <w:rPr>
          <w:noProof/>
        </w:rPr>
        <w:t xml:space="preserve"> a </w:t>
      </w:r>
      <w:r w:rsidR="00716EA9" w:rsidRPr="003320DB">
        <w:rPr>
          <w:noProof/>
        </w:rPr>
        <w:t>2 tohto článku do konca pracovnej doby</w:t>
      </w:r>
      <w:r w:rsidR="003320DB">
        <w:rPr>
          <w:noProof/>
        </w:rPr>
        <w:t xml:space="preserve"> k </w:t>
      </w:r>
      <w:r w:rsidR="00716EA9" w:rsidRPr="003320DB">
        <w:rPr>
          <w:noProof/>
        </w:rPr>
        <w:t>týmto dátumom zasielania</w:t>
      </w:r>
      <w:r w:rsidR="003320DB">
        <w:rPr>
          <w:noProof/>
        </w:rPr>
        <w:t xml:space="preserve"> v </w:t>
      </w:r>
      <w:r w:rsidR="00716EA9" w:rsidRPr="003320DB">
        <w:rPr>
          <w:noProof/>
        </w:rPr>
        <w:t>súvislosti</w:t>
      </w:r>
      <w:r w:rsidR="003320DB">
        <w:rPr>
          <w:noProof/>
        </w:rPr>
        <w:t xml:space="preserve"> s </w:t>
      </w:r>
      <w:r w:rsidR="00716EA9" w:rsidRPr="003320DB">
        <w:rPr>
          <w:noProof/>
        </w:rPr>
        <w:t>vykazovaním: 1. júl, 1. október, 2. január</w:t>
      </w:r>
      <w:r w:rsidR="003320DB">
        <w:rPr>
          <w:noProof/>
        </w:rPr>
        <w:t xml:space="preserve"> a </w:t>
      </w:r>
      <w:r w:rsidR="00716EA9" w:rsidRPr="003320DB">
        <w:rPr>
          <w:noProof/>
        </w:rPr>
        <w:t>1. apríl.</w:t>
      </w:r>
    </w:p>
    <w:p w:rsidR="00716EA9" w:rsidRPr="003320DB" w:rsidRDefault="00612F20" w:rsidP="00612F20">
      <w:pPr>
        <w:pStyle w:val="ManualNumPar1"/>
        <w:rPr>
          <w:noProof/>
        </w:rPr>
      </w:pPr>
      <w:r w:rsidRPr="00612F20">
        <w:rPr>
          <w:noProof/>
        </w:rPr>
        <w:t>4.</w:t>
      </w:r>
      <w:r w:rsidRPr="00612F20">
        <w:rPr>
          <w:noProof/>
        </w:rPr>
        <w:tab/>
      </w:r>
      <w:r w:rsidR="00716EA9" w:rsidRPr="003320DB">
        <w:rPr>
          <w:noProof/>
        </w:rPr>
        <w:t>Odchylne od článku 4 sa</w:t>
      </w:r>
      <w:r w:rsidR="003320DB">
        <w:rPr>
          <w:noProof/>
        </w:rPr>
        <w:t xml:space="preserve"> v </w:t>
      </w:r>
      <w:r w:rsidR="00716EA9" w:rsidRPr="003320DB">
        <w:rPr>
          <w:noProof/>
        </w:rPr>
        <w:t>súvislosti</w:t>
      </w:r>
      <w:r w:rsidR="003320DB">
        <w:rPr>
          <w:noProof/>
        </w:rPr>
        <w:t xml:space="preserve"> s </w:t>
      </w:r>
      <w:r w:rsidR="00716EA9" w:rsidRPr="003320DB">
        <w:rPr>
          <w:noProof/>
        </w:rPr>
        <w:t>prahovými hodnotami uvedenými</w:t>
      </w:r>
      <w:r w:rsidR="003320DB">
        <w:rPr>
          <w:noProof/>
        </w:rPr>
        <w:t xml:space="preserve"> v </w:t>
      </w:r>
      <w:r w:rsidR="00716EA9" w:rsidRPr="003320DB">
        <w:rPr>
          <w:noProof/>
        </w:rPr>
        <w:t>odseku 1 písm. a)</w:t>
      </w:r>
      <w:r w:rsidR="003320DB">
        <w:rPr>
          <w:noProof/>
        </w:rPr>
        <w:t xml:space="preserve"> a v </w:t>
      </w:r>
      <w:r w:rsidR="00716EA9" w:rsidRPr="003320DB">
        <w:rPr>
          <w:noProof/>
        </w:rPr>
        <w:t>odseku 2 písm. a) tohto článku uplatňujú tieto pravidlá:</w:t>
      </w:r>
    </w:p>
    <w:p w:rsidR="00AB5213" w:rsidRPr="003320DB" w:rsidRDefault="003320DB" w:rsidP="003320DB">
      <w:pPr>
        <w:pStyle w:val="Point1"/>
        <w:rPr>
          <w:noProof/>
        </w:rPr>
      </w:pPr>
      <w:r>
        <w:rPr>
          <w:noProof/>
        </w:rPr>
        <w:t>a)</w:t>
      </w:r>
      <w:r>
        <w:rPr>
          <w:noProof/>
        </w:rPr>
        <w:tab/>
      </w:r>
      <w:r w:rsidR="00AB5213" w:rsidRPr="003320DB">
        <w:rPr>
          <w:noProof/>
        </w:rPr>
        <w:t>materská inštitúcia</w:t>
      </w:r>
      <w:r>
        <w:rPr>
          <w:noProof/>
        </w:rPr>
        <w:t xml:space="preserve"> v </w:t>
      </w:r>
      <w:r w:rsidR="00AB5213" w:rsidRPr="003320DB">
        <w:rPr>
          <w:noProof/>
        </w:rPr>
        <w:t>EÚ, materská finančná holdingová spoločnosť</w:t>
      </w:r>
      <w:r>
        <w:rPr>
          <w:noProof/>
        </w:rPr>
        <w:t xml:space="preserve"> v </w:t>
      </w:r>
      <w:r w:rsidR="00AB5213" w:rsidRPr="003320DB">
        <w:rPr>
          <w:noProof/>
        </w:rPr>
        <w:t>EÚ, materská zmiešaná finančná holdingová spoločnosť</w:t>
      </w:r>
      <w:r>
        <w:rPr>
          <w:noProof/>
        </w:rPr>
        <w:t xml:space="preserve"> v </w:t>
      </w:r>
      <w:r w:rsidR="00AB5213" w:rsidRPr="003320DB">
        <w:rPr>
          <w:noProof/>
        </w:rPr>
        <w:t>EÚ alebo prípadne samostatná inštitúcia začne bezodkladne vykazovať informácie uvedené</w:t>
      </w:r>
      <w:r>
        <w:rPr>
          <w:noProof/>
        </w:rPr>
        <w:t xml:space="preserve"> v </w:t>
      </w:r>
      <w:r w:rsidR="00AB5213" w:rsidRPr="003320DB">
        <w:rPr>
          <w:noProof/>
        </w:rPr>
        <w:t>odsekoch 1</w:t>
      </w:r>
      <w:r>
        <w:rPr>
          <w:noProof/>
        </w:rPr>
        <w:t xml:space="preserve"> a </w:t>
      </w:r>
      <w:r w:rsidR="00AB5213" w:rsidRPr="003320DB">
        <w:rPr>
          <w:noProof/>
        </w:rPr>
        <w:t>2</w:t>
      </w:r>
      <w:r>
        <w:rPr>
          <w:noProof/>
        </w:rPr>
        <w:t xml:space="preserve"> v </w:t>
      </w:r>
      <w:r w:rsidR="00AB5213" w:rsidRPr="003320DB">
        <w:rPr>
          <w:noProof/>
        </w:rPr>
        <w:t>súlade</w:t>
      </w:r>
      <w:r>
        <w:rPr>
          <w:noProof/>
        </w:rPr>
        <w:t xml:space="preserve"> s </w:t>
      </w:r>
      <w:r w:rsidR="00AB5213" w:rsidRPr="003320DB">
        <w:rPr>
          <w:noProof/>
        </w:rPr>
        <w:t>týmto článkom, ak jej veľkosť expozície ukazovateľa finančnej páky presahuje stanovenú prahovú hodnotu ku koncu finančného roka,</w:t>
      </w:r>
      <w:r>
        <w:rPr>
          <w:noProof/>
        </w:rPr>
        <w:t xml:space="preserve"> a </w:t>
      </w:r>
      <w:r w:rsidR="00AB5213" w:rsidRPr="003320DB">
        <w:rPr>
          <w:noProof/>
        </w:rPr>
        <w:t>uvedené informácie vykazuje ku koncu daného finančného roka</w:t>
      </w:r>
      <w:r>
        <w:rPr>
          <w:noProof/>
        </w:rPr>
        <w:t xml:space="preserve"> a k </w:t>
      </w:r>
      <w:r w:rsidR="00AB5213" w:rsidRPr="003320DB">
        <w:rPr>
          <w:noProof/>
        </w:rPr>
        <w:t>nasledujúcim trom štvrťročným referenčným dátumom;</w:t>
      </w:r>
    </w:p>
    <w:p w:rsidR="00AB5213" w:rsidRPr="003320DB" w:rsidRDefault="003320DB" w:rsidP="003320DB">
      <w:pPr>
        <w:pStyle w:val="Point1"/>
        <w:rPr>
          <w:noProof/>
        </w:rPr>
      </w:pPr>
      <w:r>
        <w:rPr>
          <w:noProof/>
        </w:rPr>
        <w:t>b)</w:t>
      </w:r>
      <w:r>
        <w:rPr>
          <w:noProof/>
        </w:rPr>
        <w:tab/>
      </w:r>
      <w:r w:rsidR="00AB5213" w:rsidRPr="003320DB">
        <w:rPr>
          <w:noProof/>
        </w:rPr>
        <w:t>materská inštitúcia</w:t>
      </w:r>
      <w:r>
        <w:rPr>
          <w:noProof/>
        </w:rPr>
        <w:t xml:space="preserve"> v </w:t>
      </w:r>
      <w:r w:rsidR="00AB5213" w:rsidRPr="003320DB">
        <w:rPr>
          <w:noProof/>
        </w:rPr>
        <w:t>EÚ, materská finančná holdingová spoločnosť</w:t>
      </w:r>
      <w:r>
        <w:rPr>
          <w:noProof/>
        </w:rPr>
        <w:t xml:space="preserve"> v </w:t>
      </w:r>
      <w:r w:rsidR="00AB5213" w:rsidRPr="003320DB">
        <w:rPr>
          <w:noProof/>
        </w:rPr>
        <w:t>EÚ, materská zmiešaná finančná holdingová spoločnosť</w:t>
      </w:r>
      <w:r>
        <w:rPr>
          <w:noProof/>
        </w:rPr>
        <w:t xml:space="preserve"> v </w:t>
      </w:r>
      <w:r w:rsidR="00AB5213" w:rsidRPr="003320DB">
        <w:rPr>
          <w:noProof/>
        </w:rPr>
        <w:t>EÚ alebo prípadne samostatná inštitúcia okamžite prestane vykazovať informácie uvedené</w:t>
      </w:r>
      <w:r>
        <w:rPr>
          <w:noProof/>
        </w:rPr>
        <w:t xml:space="preserve"> v </w:t>
      </w:r>
      <w:r w:rsidR="00AB5213" w:rsidRPr="003320DB">
        <w:rPr>
          <w:noProof/>
        </w:rPr>
        <w:t>odsekoch 1</w:t>
      </w:r>
      <w:r>
        <w:rPr>
          <w:noProof/>
        </w:rPr>
        <w:t xml:space="preserve"> a </w:t>
      </w:r>
      <w:r w:rsidR="00AB5213" w:rsidRPr="003320DB">
        <w:rPr>
          <w:noProof/>
        </w:rPr>
        <w:t>2</w:t>
      </w:r>
      <w:r>
        <w:rPr>
          <w:noProof/>
        </w:rPr>
        <w:t xml:space="preserve"> v </w:t>
      </w:r>
      <w:r w:rsidR="00AB5213" w:rsidRPr="003320DB">
        <w:rPr>
          <w:noProof/>
        </w:rPr>
        <w:t>súlade</w:t>
      </w:r>
      <w:r>
        <w:rPr>
          <w:noProof/>
        </w:rPr>
        <w:t xml:space="preserve"> s </w:t>
      </w:r>
      <w:r w:rsidR="00AB5213" w:rsidRPr="003320DB">
        <w:rPr>
          <w:noProof/>
        </w:rPr>
        <w:t>týmto článkom, ak jej veľkosť expozície ukazovateľa finančnej páky klesne ku koncu jej finančného roka pod stanovenú prahovú hodnotu.</w:t>
      </w:r>
    </w:p>
    <w:p w:rsidR="00716EA9" w:rsidRPr="003320DB" w:rsidRDefault="00716EA9" w:rsidP="00E537F5">
      <w:pPr>
        <w:pStyle w:val="Titrearticle"/>
        <w:rPr>
          <w:noProof/>
          <w:szCs w:val="24"/>
        </w:rPr>
      </w:pPr>
      <w:r w:rsidRPr="003320DB">
        <w:rPr>
          <w:noProof/>
        </w:rPr>
        <w:t>Článok 21</w:t>
      </w:r>
    </w:p>
    <w:p w:rsidR="00716EA9" w:rsidRPr="003320DB" w:rsidRDefault="00716EA9" w:rsidP="0066303A">
      <w:pPr>
        <w:pStyle w:val="Titrearticle"/>
        <w:spacing w:before="0"/>
        <w:rPr>
          <w:b/>
          <w:bCs/>
          <w:i w:val="0"/>
          <w:iCs/>
          <w:noProof/>
          <w:szCs w:val="24"/>
        </w:rPr>
      </w:pPr>
      <w:bookmarkStart w:id="2" w:name="_Hlk175233444"/>
      <w:r w:rsidRPr="003320DB">
        <w:rPr>
          <w:b/>
          <w:i w:val="0"/>
          <w:noProof/>
        </w:rPr>
        <w:t>Vykazovanie úrokového rizika</w:t>
      </w:r>
      <w:r w:rsidR="003320DB">
        <w:rPr>
          <w:b/>
          <w:i w:val="0"/>
          <w:noProof/>
        </w:rPr>
        <w:t xml:space="preserve"> v </w:t>
      </w:r>
      <w:r w:rsidRPr="003320DB">
        <w:rPr>
          <w:b/>
          <w:i w:val="0"/>
          <w:noProof/>
        </w:rPr>
        <w:t>bankovej knihe na individuálnom aj konsolidovanom základe</w:t>
      </w:r>
    </w:p>
    <w:p w:rsidR="00716EA9" w:rsidRPr="003320DB" w:rsidRDefault="000B3834" w:rsidP="00716EA9">
      <w:pPr>
        <w:rPr>
          <w:rFonts w:eastAsia="Times New Roman"/>
          <w:noProof/>
          <w:color w:val="000000" w:themeColor="text1"/>
          <w:szCs w:val="24"/>
        </w:rPr>
      </w:pPr>
      <w:r w:rsidRPr="003320DB">
        <w:rPr>
          <w:noProof/>
        </w:rPr>
        <w:t>Inštitúcie, ktoré vykazujú informácie</w:t>
      </w:r>
      <w:r w:rsidR="003320DB">
        <w:rPr>
          <w:noProof/>
        </w:rPr>
        <w:t xml:space="preserve"> o </w:t>
      </w:r>
      <w:r w:rsidRPr="003320DB">
        <w:rPr>
          <w:noProof/>
        </w:rPr>
        <w:t>úrokovom riziku</w:t>
      </w:r>
      <w:r w:rsidR="003320DB">
        <w:rPr>
          <w:noProof/>
        </w:rPr>
        <w:t xml:space="preserve"> v </w:t>
      </w:r>
      <w:r w:rsidRPr="003320DB">
        <w:rPr>
          <w:noProof/>
        </w:rPr>
        <w:t>bankovej knihe</w:t>
      </w:r>
      <w:r w:rsidR="003320DB">
        <w:rPr>
          <w:noProof/>
        </w:rPr>
        <w:t xml:space="preserve"> v </w:t>
      </w:r>
      <w:r w:rsidRPr="003320DB">
        <w:rPr>
          <w:noProof/>
        </w:rPr>
        <w:t>súlade</w:t>
      </w:r>
      <w:r w:rsidR="003320DB">
        <w:rPr>
          <w:noProof/>
        </w:rPr>
        <w:t xml:space="preserve"> s </w:t>
      </w:r>
      <w:r w:rsidRPr="003320DB">
        <w:rPr>
          <w:noProof/>
        </w:rPr>
        <w:t>článkom 84 ods. 5, článkom 84 ods. 6</w:t>
      </w:r>
      <w:r w:rsidR="003320DB">
        <w:rPr>
          <w:noProof/>
        </w:rPr>
        <w:t xml:space="preserve"> a </w:t>
      </w:r>
      <w:r w:rsidRPr="003320DB">
        <w:rPr>
          <w:noProof/>
        </w:rPr>
        <w:t>článkom 98 ods. 5a smernice 2013/36/EÚ na individuálnom aj konsolidovanom základe, predkladajú informácie uvedené</w:t>
      </w:r>
      <w:r w:rsidR="003320DB">
        <w:rPr>
          <w:noProof/>
        </w:rPr>
        <w:t xml:space="preserve"> v </w:t>
      </w:r>
      <w:r w:rsidRPr="003320DB">
        <w:rPr>
          <w:noProof/>
        </w:rPr>
        <w:t>uvedených článkoch, ako sa uvádza</w:t>
      </w:r>
      <w:r w:rsidR="003320DB">
        <w:rPr>
          <w:noProof/>
        </w:rPr>
        <w:t xml:space="preserve"> v </w:t>
      </w:r>
      <w:r w:rsidRPr="003320DB">
        <w:rPr>
          <w:noProof/>
        </w:rPr>
        <w:t>oddiele 12 „Vykazovanie úrokového rizika</w:t>
      </w:r>
      <w:r w:rsidR="003320DB">
        <w:rPr>
          <w:noProof/>
        </w:rPr>
        <w:t xml:space="preserve"> v </w:t>
      </w:r>
      <w:r w:rsidRPr="003320DB">
        <w:rPr>
          <w:noProof/>
        </w:rPr>
        <w:t>bankovej knihe“ prílohy I</w:t>
      </w:r>
      <w:r w:rsidR="003320DB">
        <w:rPr>
          <w:noProof/>
        </w:rPr>
        <w:t xml:space="preserve"> k </w:t>
      </w:r>
      <w:r w:rsidRPr="003320DB">
        <w:rPr>
          <w:noProof/>
        </w:rPr>
        <w:t>tomuto nariadeniu,</w:t>
      </w:r>
      <w:r w:rsidR="003320DB">
        <w:rPr>
          <w:noProof/>
        </w:rPr>
        <w:t xml:space="preserve"> s </w:t>
      </w:r>
      <w:r w:rsidRPr="003320DB">
        <w:rPr>
          <w:noProof/>
        </w:rPr>
        <w:t>touto frekvenciou:</w:t>
      </w:r>
    </w:p>
    <w:p w:rsidR="00F5752D" w:rsidRPr="003320DB" w:rsidRDefault="003320DB" w:rsidP="003320DB">
      <w:pPr>
        <w:pStyle w:val="Point0"/>
        <w:rPr>
          <w:noProof/>
        </w:rPr>
      </w:pPr>
      <w:r>
        <w:rPr>
          <w:noProof/>
        </w:rPr>
        <w:t>a)</w:t>
      </w:r>
      <w:r>
        <w:rPr>
          <w:noProof/>
        </w:rPr>
        <w:tab/>
      </w:r>
      <w:r w:rsidR="00247A56" w:rsidRPr="003320DB">
        <w:rPr>
          <w:noProof/>
        </w:rPr>
        <w:t>všetky inštitúcie: vzor J 01.00 oddielu 12 prílohy I štvrťročne;</w:t>
      </w:r>
    </w:p>
    <w:p w:rsidR="00F5752D" w:rsidRPr="003320DB" w:rsidRDefault="003320DB" w:rsidP="003320DB">
      <w:pPr>
        <w:pStyle w:val="Point0"/>
        <w:rPr>
          <w:noProof/>
        </w:rPr>
      </w:pPr>
      <w:r>
        <w:rPr>
          <w:noProof/>
        </w:rPr>
        <w:t>b)</w:t>
      </w:r>
      <w:r>
        <w:rPr>
          <w:noProof/>
        </w:rPr>
        <w:tab/>
      </w:r>
      <w:r w:rsidR="00247A56" w:rsidRPr="003320DB">
        <w:rPr>
          <w:noProof/>
        </w:rPr>
        <w:t>veľké inštitúcie: vzory J 02.00, J 05.00</w:t>
      </w:r>
      <w:r>
        <w:rPr>
          <w:noProof/>
        </w:rPr>
        <w:t xml:space="preserve"> a </w:t>
      </w:r>
      <w:r w:rsidR="00247A56" w:rsidRPr="003320DB">
        <w:rPr>
          <w:noProof/>
        </w:rPr>
        <w:t>J 08.00 oddielu 12 prílohy I štvrťročne;</w:t>
      </w:r>
    </w:p>
    <w:p w:rsidR="00F5752D" w:rsidRPr="003320DB" w:rsidRDefault="003320DB" w:rsidP="003320DB">
      <w:pPr>
        <w:pStyle w:val="Point0"/>
        <w:rPr>
          <w:noProof/>
        </w:rPr>
      </w:pPr>
      <w:r>
        <w:rPr>
          <w:noProof/>
        </w:rPr>
        <w:t>c)</w:t>
      </w:r>
      <w:r>
        <w:rPr>
          <w:noProof/>
        </w:rPr>
        <w:tab/>
      </w:r>
      <w:r w:rsidR="00247A56" w:rsidRPr="003320DB">
        <w:rPr>
          <w:noProof/>
        </w:rPr>
        <w:t>inštitúcie, ktoré nie sú ani veľkými inštitúciami, ani malými</w:t>
      </w:r>
      <w:r>
        <w:rPr>
          <w:noProof/>
        </w:rPr>
        <w:t xml:space="preserve"> a </w:t>
      </w:r>
      <w:r w:rsidR="00247A56" w:rsidRPr="003320DB">
        <w:rPr>
          <w:noProof/>
        </w:rPr>
        <w:t>menej zložitými inštitúciami: vzory J 03.00</w:t>
      </w:r>
      <w:r>
        <w:rPr>
          <w:noProof/>
        </w:rPr>
        <w:t xml:space="preserve"> a </w:t>
      </w:r>
      <w:r w:rsidR="00247A56" w:rsidRPr="003320DB">
        <w:rPr>
          <w:noProof/>
        </w:rPr>
        <w:t>J 06.00 oddielu 12 prílohy I štvrťročne;</w:t>
      </w:r>
    </w:p>
    <w:p w:rsidR="00F5752D" w:rsidRPr="003320DB" w:rsidRDefault="003320DB" w:rsidP="003320DB">
      <w:pPr>
        <w:pStyle w:val="Point0"/>
        <w:rPr>
          <w:noProof/>
        </w:rPr>
      </w:pPr>
      <w:r>
        <w:rPr>
          <w:noProof/>
        </w:rPr>
        <w:t>d)</w:t>
      </w:r>
      <w:r>
        <w:rPr>
          <w:noProof/>
        </w:rPr>
        <w:tab/>
      </w:r>
      <w:r w:rsidR="00247A56" w:rsidRPr="003320DB">
        <w:rPr>
          <w:noProof/>
        </w:rPr>
        <w:t>malé</w:t>
      </w:r>
      <w:r>
        <w:rPr>
          <w:noProof/>
        </w:rPr>
        <w:t xml:space="preserve"> a </w:t>
      </w:r>
      <w:r w:rsidR="00247A56" w:rsidRPr="003320DB">
        <w:rPr>
          <w:noProof/>
        </w:rPr>
        <w:t>menej zložité inštitúcie: vzory J 04.00</w:t>
      </w:r>
      <w:r>
        <w:rPr>
          <w:noProof/>
        </w:rPr>
        <w:t xml:space="preserve"> a </w:t>
      </w:r>
      <w:r w:rsidR="00247A56" w:rsidRPr="003320DB">
        <w:rPr>
          <w:noProof/>
        </w:rPr>
        <w:t>J 07.00 oddielu 12 prílohy I štvrťročne;</w:t>
      </w:r>
    </w:p>
    <w:p w:rsidR="00F5752D" w:rsidRPr="003320DB" w:rsidRDefault="003320DB" w:rsidP="003320DB">
      <w:pPr>
        <w:pStyle w:val="Point0"/>
        <w:rPr>
          <w:noProof/>
        </w:rPr>
      </w:pPr>
      <w:r>
        <w:rPr>
          <w:noProof/>
        </w:rPr>
        <w:t>e)</w:t>
      </w:r>
      <w:r>
        <w:rPr>
          <w:noProof/>
        </w:rPr>
        <w:tab/>
      </w:r>
      <w:r w:rsidR="00247A56" w:rsidRPr="003320DB">
        <w:rPr>
          <w:noProof/>
        </w:rPr>
        <w:t>inštitúcie, ktoré nie sú ani veľkými inštitúciami, ani malými</w:t>
      </w:r>
      <w:r>
        <w:rPr>
          <w:noProof/>
        </w:rPr>
        <w:t xml:space="preserve"> a </w:t>
      </w:r>
      <w:r w:rsidR="00247A56" w:rsidRPr="003320DB">
        <w:rPr>
          <w:noProof/>
        </w:rPr>
        <w:t>menej zložitými inštitúciami,</w:t>
      </w:r>
      <w:r>
        <w:rPr>
          <w:noProof/>
        </w:rPr>
        <w:t xml:space="preserve"> a </w:t>
      </w:r>
      <w:r w:rsidR="00247A56" w:rsidRPr="003320DB">
        <w:rPr>
          <w:noProof/>
        </w:rPr>
        <w:t>malé</w:t>
      </w:r>
      <w:r>
        <w:rPr>
          <w:noProof/>
        </w:rPr>
        <w:t xml:space="preserve"> a </w:t>
      </w:r>
      <w:r w:rsidR="00247A56" w:rsidRPr="003320DB">
        <w:rPr>
          <w:noProof/>
        </w:rPr>
        <w:t>menej zložité inštitúcie: vzor J 09.00 oddielu 12 prílohy I štvrťročne;</w:t>
      </w:r>
    </w:p>
    <w:p w:rsidR="00F5752D" w:rsidRPr="003320DB" w:rsidRDefault="003320DB" w:rsidP="003320DB">
      <w:pPr>
        <w:pStyle w:val="Point0"/>
        <w:rPr>
          <w:noProof/>
        </w:rPr>
      </w:pPr>
      <w:r>
        <w:rPr>
          <w:noProof/>
        </w:rPr>
        <w:t>f)</w:t>
      </w:r>
      <w:r>
        <w:rPr>
          <w:noProof/>
        </w:rPr>
        <w:tab/>
      </w:r>
      <w:r w:rsidR="00247A56" w:rsidRPr="003320DB">
        <w:rPr>
          <w:noProof/>
        </w:rPr>
        <w:t>veľké inštitúcie: vzory J 10.01</w:t>
      </w:r>
      <w:r>
        <w:rPr>
          <w:noProof/>
        </w:rPr>
        <w:t xml:space="preserve"> a </w:t>
      </w:r>
      <w:r w:rsidR="00247A56" w:rsidRPr="003320DB">
        <w:rPr>
          <w:noProof/>
        </w:rPr>
        <w:t>J 10.02 oddielu 12 prílohy I ročne;</w:t>
      </w:r>
    </w:p>
    <w:p w:rsidR="00F5752D" w:rsidRPr="003320DB" w:rsidRDefault="003320DB" w:rsidP="003320DB">
      <w:pPr>
        <w:pStyle w:val="Point0"/>
        <w:rPr>
          <w:noProof/>
        </w:rPr>
      </w:pPr>
      <w:r>
        <w:rPr>
          <w:noProof/>
        </w:rPr>
        <w:t>g)</w:t>
      </w:r>
      <w:r>
        <w:rPr>
          <w:noProof/>
        </w:rPr>
        <w:tab/>
      </w:r>
      <w:r w:rsidR="00247A56" w:rsidRPr="003320DB">
        <w:rPr>
          <w:noProof/>
        </w:rPr>
        <w:t>inštitúcie, ktoré nie sú ani veľkými inštitúciami, ani malými</w:t>
      </w:r>
      <w:r>
        <w:rPr>
          <w:noProof/>
        </w:rPr>
        <w:t xml:space="preserve"> a </w:t>
      </w:r>
      <w:r w:rsidR="00247A56" w:rsidRPr="003320DB">
        <w:rPr>
          <w:noProof/>
        </w:rPr>
        <w:t>menej zložitými inštitúciami,</w:t>
      </w:r>
      <w:r>
        <w:rPr>
          <w:noProof/>
        </w:rPr>
        <w:t xml:space="preserve"> a </w:t>
      </w:r>
      <w:r w:rsidR="00247A56" w:rsidRPr="003320DB">
        <w:rPr>
          <w:noProof/>
        </w:rPr>
        <w:t>malé</w:t>
      </w:r>
      <w:r>
        <w:rPr>
          <w:noProof/>
        </w:rPr>
        <w:t xml:space="preserve"> a </w:t>
      </w:r>
      <w:r w:rsidR="00247A56" w:rsidRPr="003320DB">
        <w:rPr>
          <w:noProof/>
        </w:rPr>
        <w:t>menej zložité inštitúcie: vzory J 11.01</w:t>
      </w:r>
      <w:r>
        <w:rPr>
          <w:noProof/>
        </w:rPr>
        <w:t xml:space="preserve"> a </w:t>
      </w:r>
      <w:r w:rsidR="00247A56" w:rsidRPr="003320DB">
        <w:rPr>
          <w:noProof/>
        </w:rPr>
        <w:t>J 11.02 oddielu 12 prílohy I ročne.</w:t>
      </w:r>
    </w:p>
    <w:bookmarkEnd w:id="2"/>
    <w:p w:rsidR="002823A7" w:rsidRPr="003320DB" w:rsidRDefault="002823A7" w:rsidP="0017149C">
      <w:pPr>
        <w:pStyle w:val="Titrearticle"/>
        <w:tabs>
          <w:tab w:val="left" w:pos="567"/>
        </w:tabs>
        <w:rPr>
          <w:noProof/>
          <w:szCs w:val="24"/>
        </w:rPr>
      </w:pPr>
      <w:r w:rsidRPr="003320DB">
        <w:rPr>
          <w:noProof/>
        </w:rPr>
        <w:t>Článok 22</w:t>
      </w:r>
    </w:p>
    <w:p w:rsidR="002823A7" w:rsidRPr="003320DB" w:rsidRDefault="002823A7" w:rsidP="0017149C">
      <w:pPr>
        <w:pStyle w:val="Titrearticle"/>
        <w:tabs>
          <w:tab w:val="left" w:pos="567"/>
        </w:tabs>
        <w:spacing w:before="0"/>
        <w:rPr>
          <w:rFonts w:eastAsia="Times New Roman"/>
          <w:noProof/>
          <w:szCs w:val="24"/>
        </w:rPr>
      </w:pPr>
      <w:r w:rsidRPr="003320DB">
        <w:rPr>
          <w:b/>
          <w:i w:val="0"/>
          <w:noProof/>
        </w:rPr>
        <w:t>IT riešenia, vzory</w:t>
      </w:r>
      <w:r w:rsidR="003320DB">
        <w:rPr>
          <w:b/>
          <w:i w:val="0"/>
          <w:noProof/>
        </w:rPr>
        <w:t xml:space="preserve"> a </w:t>
      </w:r>
      <w:r w:rsidRPr="003320DB">
        <w:rPr>
          <w:b/>
          <w:i w:val="0"/>
          <w:noProof/>
        </w:rPr>
        <w:t>pokyny na vykazovanie</w:t>
      </w:r>
    </w:p>
    <w:p w:rsidR="003320DB" w:rsidRDefault="00612F20" w:rsidP="00612F20">
      <w:pPr>
        <w:pStyle w:val="ManualNumPar1"/>
        <w:rPr>
          <w:noProof/>
        </w:rPr>
      </w:pPr>
      <w:r w:rsidRPr="00612F20">
        <w:rPr>
          <w:noProof/>
        </w:rPr>
        <w:t>1.</w:t>
      </w:r>
      <w:r w:rsidRPr="00612F20">
        <w:rPr>
          <w:noProof/>
        </w:rPr>
        <w:tab/>
      </w:r>
      <w:r w:rsidR="001B3873" w:rsidRPr="003320DB">
        <w:rPr>
          <w:noProof/>
        </w:rPr>
        <w:t>Orgán EBA zabezpečuje, aby IT riešenia – vrátane vzorov</w:t>
      </w:r>
      <w:r w:rsidR="003320DB">
        <w:rPr>
          <w:noProof/>
        </w:rPr>
        <w:t xml:space="preserve"> a </w:t>
      </w:r>
      <w:r w:rsidR="001B3873" w:rsidRPr="003320DB">
        <w:rPr>
          <w:noProof/>
        </w:rPr>
        <w:t xml:space="preserve">pokynov na vykazovanie – vypracované podľa článku 430 ods. 7 nariadenia (EÚ) </w:t>
      </w:r>
      <w:r w:rsidR="003320DB">
        <w:rPr>
          <w:noProof/>
        </w:rPr>
        <w:t>č. </w:t>
      </w:r>
      <w:r w:rsidR="001B3873" w:rsidRPr="003320DB">
        <w:rPr>
          <w:noProof/>
        </w:rPr>
        <w:t>575/2013 boli nepretržite</w:t>
      </w:r>
      <w:r w:rsidR="003320DB">
        <w:rPr>
          <w:noProof/>
        </w:rPr>
        <w:t xml:space="preserve"> v </w:t>
      </w:r>
      <w:r w:rsidR="001B3873" w:rsidRPr="003320DB">
        <w:rPr>
          <w:noProof/>
        </w:rPr>
        <w:t>súlade</w:t>
      </w:r>
      <w:r w:rsidR="003320DB">
        <w:rPr>
          <w:noProof/>
        </w:rPr>
        <w:t xml:space="preserve"> s </w:t>
      </w:r>
      <w:r w:rsidR="001B3873" w:rsidRPr="003320DB">
        <w:rPr>
          <w:noProof/>
        </w:rPr>
        <w:t>jednotnými formátmi vykazovania stanovenými</w:t>
      </w:r>
      <w:r w:rsidR="003320DB">
        <w:rPr>
          <w:noProof/>
        </w:rPr>
        <w:t xml:space="preserve"> v </w:t>
      </w:r>
      <w:r w:rsidR="001B3873" w:rsidRPr="003320DB">
        <w:rPr>
          <w:noProof/>
        </w:rPr>
        <w:t>tomto nariadení</w:t>
      </w:r>
      <w:r w:rsidR="003320DB">
        <w:rPr>
          <w:noProof/>
        </w:rPr>
        <w:t xml:space="preserve"> a </w:t>
      </w:r>
      <w:r w:rsidR="001B3873" w:rsidRPr="003320DB">
        <w:rPr>
          <w:noProof/>
        </w:rPr>
        <w:t>zahŕňali všetky údajové body</w:t>
      </w:r>
      <w:r w:rsidR="003320DB">
        <w:rPr>
          <w:noProof/>
        </w:rPr>
        <w:t xml:space="preserve"> a </w:t>
      </w:r>
      <w:r w:rsidR="001B3873" w:rsidRPr="003320DB">
        <w:rPr>
          <w:noProof/>
        </w:rPr>
        <w:t>informácie uvedené</w:t>
      </w:r>
      <w:r w:rsidR="003320DB">
        <w:rPr>
          <w:noProof/>
        </w:rPr>
        <w:t xml:space="preserve"> v </w:t>
      </w:r>
      <w:r w:rsidR="001B3873" w:rsidRPr="003320DB">
        <w:rPr>
          <w:noProof/>
        </w:rPr>
        <w:t>prílohe I</w:t>
      </w:r>
      <w:r w:rsidR="003320DB">
        <w:rPr>
          <w:noProof/>
        </w:rPr>
        <w:t xml:space="preserve"> k </w:t>
      </w:r>
      <w:r w:rsidR="001B3873" w:rsidRPr="003320DB">
        <w:rPr>
          <w:noProof/>
        </w:rPr>
        <w:t>tomuto nariadeniu</w:t>
      </w:r>
      <w:r w:rsidR="003320DB">
        <w:rPr>
          <w:noProof/>
        </w:rPr>
        <w:t>.</w:t>
      </w:r>
    </w:p>
    <w:p w:rsidR="002823A7" w:rsidRPr="003320DB" w:rsidRDefault="00612F20" w:rsidP="00612F20">
      <w:pPr>
        <w:pStyle w:val="ManualNumPar1"/>
        <w:rPr>
          <w:rFonts w:eastAsia="Times New Roman"/>
          <w:noProof/>
          <w:szCs w:val="24"/>
        </w:rPr>
      </w:pPr>
      <w:r w:rsidRPr="00612F20">
        <w:rPr>
          <w:noProof/>
        </w:rPr>
        <w:t>2.</w:t>
      </w:r>
      <w:r w:rsidRPr="00612F20">
        <w:rPr>
          <w:noProof/>
        </w:rPr>
        <w:tab/>
      </w:r>
      <w:r w:rsidR="002823A7" w:rsidRPr="003320DB">
        <w:rPr>
          <w:noProof/>
        </w:rPr>
        <w:t>Orgán EBA sprístupní na svojom webovom sídle IT riešenia, vzory</w:t>
      </w:r>
      <w:r w:rsidR="003320DB">
        <w:rPr>
          <w:noProof/>
        </w:rPr>
        <w:t xml:space="preserve"> a </w:t>
      </w:r>
      <w:r w:rsidR="002823A7" w:rsidRPr="003320DB">
        <w:rPr>
          <w:noProof/>
        </w:rPr>
        <w:t>pokyny na vykazovanie uvedené</w:t>
      </w:r>
      <w:r w:rsidR="003320DB">
        <w:rPr>
          <w:noProof/>
        </w:rPr>
        <w:t xml:space="preserve"> v </w:t>
      </w:r>
      <w:r w:rsidR="002823A7" w:rsidRPr="003320DB">
        <w:rPr>
          <w:noProof/>
        </w:rPr>
        <w:t>odseku 1. Orgán EBA aktualizuje uvedené IT riešenia</w:t>
      </w:r>
      <w:r w:rsidR="003320DB">
        <w:rPr>
          <w:noProof/>
        </w:rPr>
        <w:t xml:space="preserve"> a </w:t>
      </w:r>
      <w:r w:rsidR="002823A7" w:rsidRPr="003320DB">
        <w:rPr>
          <w:noProof/>
        </w:rPr>
        <w:t>sprístupňuje ich vo všetkých úradných jazykoch.</w:t>
      </w:r>
    </w:p>
    <w:p w:rsidR="00716EA9" w:rsidRPr="003320DB" w:rsidRDefault="00716EA9" w:rsidP="00E537F5">
      <w:pPr>
        <w:pStyle w:val="Titrearticle"/>
        <w:rPr>
          <w:noProof/>
          <w:szCs w:val="24"/>
        </w:rPr>
      </w:pPr>
      <w:r w:rsidRPr="003320DB">
        <w:rPr>
          <w:noProof/>
        </w:rPr>
        <w:t>Článok 23</w:t>
      </w:r>
    </w:p>
    <w:p w:rsidR="00716EA9" w:rsidRPr="003320DB" w:rsidRDefault="00716EA9" w:rsidP="002A7D3F">
      <w:pPr>
        <w:pStyle w:val="Titrearticle"/>
        <w:spacing w:before="0"/>
        <w:rPr>
          <w:b/>
          <w:bCs/>
          <w:i w:val="0"/>
          <w:iCs/>
          <w:noProof/>
          <w:szCs w:val="24"/>
        </w:rPr>
      </w:pPr>
      <w:r w:rsidRPr="003320DB">
        <w:rPr>
          <w:b/>
          <w:i w:val="0"/>
          <w:noProof/>
        </w:rPr>
        <w:t>Formáty výmeny údajov</w:t>
      </w:r>
      <w:r w:rsidR="003320DB">
        <w:rPr>
          <w:b/>
          <w:i w:val="0"/>
          <w:noProof/>
        </w:rPr>
        <w:t xml:space="preserve"> a </w:t>
      </w:r>
      <w:r w:rsidRPr="003320DB">
        <w:rPr>
          <w:b/>
          <w:i w:val="0"/>
          <w:noProof/>
        </w:rPr>
        <w:t>sprievodné informácie</w:t>
      </w:r>
      <w:r w:rsidR="003320DB">
        <w:rPr>
          <w:b/>
          <w:i w:val="0"/>
          <w:noProof/>
        </w:rPr>
        <w:t xml:space="preserve"> k </w:t>
      </w:r>
      <w:r w:rsidRPr="003320DB">
        <w:rPr>
          <w:b/>
          <w:i w:val="0"/>
          <w:noProof/>
        </w:rPr>
        <w:t>predkladaným údajom</w:t>
      </w:r>
    </w:p>
    <w:p w:rsidR="00716EA9" w:rsidRPr="003320DB" w:rsidRDefault="00612F20" w:rsidP="00612F20">
      <w:pPr>
        <w:pStyle w:val="ManualNumPar1"/>
        <w:rPr>
          <w:noProof/>
        </w:rPr>
      </w:pPr>
      <w:r w:rsidRPr="00612F20">
        <w:rPr>
          <w:noProof/>
        </w:rPr>
        <w:t>1.</w:t>
      </w:r>
      <w:r w:rsidRPr="00612F20">
        <w:rPr>
          <w:noProof/>
        </w:rPr>
        <w:tab/>
      </w:r>
      <w:r w:rsidR="00716EA9" w:rsidRPr="003320DB">
        <w:rPr>
          <w:noProof/>
        </w:rPr>
        <w:t>Inštitúcie predkladajú informácie, ktoré sa majú predkladať podľa tohto nariadenia, vo formátoch na výmenu údajov</w:t>
      </w:r>
      <w:r w:rsidR="003320DB">
        <w:rPr>
          <w:noProof/>
        </w:rPr>
        <w:t xml:space="preserve"> a v </w:t>
      </w:r>
      <w:r w:rsidR="00716EA9" w:rsidRPr="003320DB">
        <w:rPr>
          <w:noProof/>
        </w:rPr>
        <w:t>podobe spresnenej príslušnými orgánmi, pričom dodržiavajú vymedzenie údajových bodov obsiahnutých</w:t>
      </w:r>
      <w:r w:rsidR="003320DB">
        <w:rPr>
          <w:noProof/>
        </w:rPr>
        <w:t xml:space="preserve"> v </w:t>
      </w:r>
      <w:r w:rsidR="00716EA9" w:rsidRPr="003320DB">
        <w:rPr>
          <w:noProof/>
        </w:rPr>
        <w:t>modeli údajových bodov</w:t>
      </w:r>
      <w:r w:rsidR="003320DB">
        <w:rPr>
          <w:noProof/>
        </w:rPr>
        <w:t xml:space="preserve"> a </w:t>
      </w:r>
      <w:r w:rsidR="00716EA9" w:rsidRPr="003320DB">
        <w:rPr>
          <w:noProof/>
        </w:rPr>
        <w:t>vzorce pre validáciu uvedené</w:t>
      </w:r>
      <w:r w:rsidR="003320DB">
        <w:rPr>
          <w:noProof/>
        </w:rPr>
        <w:t xml:space="preserve"> v </w:t>
      </w:r>
      <w:r w:rsidR="00716EA9" w:rsidRPr="003320DB">
        <w:rPr>
          <w:noProof/>
        </w:rPr>
        <w:t>IT riešeniach, ktoré sú sprístupnené na webovom sídle orgánu EBA,</w:t>
      </w:r>
      <w:r w:rsidR="003320DB">
        <w:rPr>
          <w:noProof/>
        </w:rPr>
        <w:t xml:space="preserve"> a </w:t>
      </w:r>
      <w:r w:rsidR="00716EA9" w:rsidRPr="003320DB">
        <w:rPr>
          <w:noProof/>
        </w:rPr>
        <w:t>dodržiavajú tieto špecifikácie:</w:t>
      </w:r>
    </w:p>
    <w:p w:rsidR="00716EA9" w:rsidRPr="003320DB" w:rsidRDefault="003320DB" w:rsidP="003320DB">
      <w:pPr>
        <w:pStyle w:val="Point1"/>
        <w:rPr>
          <w:noProof/>
        </w:rPr>
      </w:pPr>
      <w:r>
        <w:rPr>
          <w:noProof/>
        </w:rPr>
        <w:t>a)</w:t>
      </w:r>
      <w:r>
        <w:rPr>
          <w:noProof/>
        </w:rPr>
        <w:tab/>
      </w:r>
      <w:r w:rsidR="00712164" w:rsidRPr="003320DB">
        <w:rPr>
          <w:noProof/>
        </w:rPr>
        <w:t>do predkladaných údajov nezahŕňajú informácie, ktoré sa nevyžadujú alebo neuplatňujú;</w:t>
      </w:r>
    </w:p>
    <w:p w:rsidR="00716EA9" w:rsidRPr="003320DB" w:rsidRDefault="003320DB" w:rsidP="003320DB">
      <w:pPr>
        <w:pStyle w:val="Point1"/>
        <w:rPr>
          <w:noProof/>
        </w:rPr>
      </w:pPr>
      <w:r>
        <w:rPr>
          <w:noProof/>
        </w:rPr>
        <w:t>b)</w:t>
      </w:r>
      <w:r>
        <w:rPr>
          <w:noProof/>
        </w:rPr>
        <w:tab/>
      </w:r>
      <w:r w:rsidR="00712164" w:rsidRPr="003320DB">
        <w:rPr>
          <w:noProof/>
        </w:rPr>
        <w:t>číselné hodnoty predkladajú takto:</w:t>
      </w:r>
    </w:p>
    <w:p w:rsidR="00716EA9" w:rsidRPr="003320DB" w:rsidRDefault="00716EA9" w:rsidP="00C856B2">
      <w:pPr>
        <w:pStyle w:val="Point2"/>
        <w:rPr>
          <w:noProof/>
        </w:rPr>
      </w:pPr>
      <w:r w:rsidRPr="003320DB">
        <w:rPr>
          <w:noProof/>
        </w:rPr>
        <w:t>i)</w:t>
      </w:r>
      <w:r w:rsidRPr="003320DB">
        <w:rPr>
          <w:noProof/>
        </w:rPr>
        <w:tab/>
        <w:t>údajové body vykazujú</w:t>
      </w:r>
      <w:r w:rsidR="003320DB">
        <w:rPr>
          <w:noProof/>
        </w:rPr>
        <w:t xml:space="preserve"> s </w:t>
      </w:r>
      <w:r w:rsidRPr="003320DB">
        <w:rPr>
          <w:noProof/>
        </w:rPr>
        <w:t>druhom údajov „peňažné“</w:t>
      </w:r>
      <w:r w:rsidR="003320DB">
        <w:rPr>
          <w:noProof/>
        </w:rPr>
        <w:t xml:space="preserve"> s </w:t>
      </w:r>
      <w:r w:rsidRPr="003320DB">
        <w:rPr>
          <w:noProof/>
        </w:rPr>
        <w:t>minimálnou presnosťou zodpovedajúcou desaťtisícom jednotiek;</w:t>
      </w:r>
    </w:p>
    <w:p w:rsidR="00716EA9" w:rsidRPr="003320DB" w:rsidRDefault="00716EA9" w:rsidP="00C856B2">
      <w:pPr>
        <w:pStyle w:val="Point2"/>
        <w:rPr>
          <w:noProof/>
        </w:rPr>
      </w:pPr>
      <w:r w:rsidRPr="003320DB">
        <w:rPr>
          <w:noProof/>
        </w:rPr>
        <w:t>ii)</w:t>
      </w:r>
      <w:r w:rsidRPr="003320DB">
        <w:rPr>
          <w:noProof/>
        </w:rPr>
        <w:tab/>
        <w:t>údajové body vyjadrujú</w:t>
      </w:r>
      <w:r w:rsidR="003320DB">
        <w:rPr>
          <w:noProof/>
        </w:rPr>
        <w:t xml:space="preserve"> s </w:t>
      </w:r>
      <w:r w:rsidRPr="003320DB">
        <w:rPr>
          <w:noProof/>
        </w:rPr>
        <w:t>druhom údajov „percentuálny podiel“ podľa jednotky</w:t>
      </w:r>
      <w:r w:rsidR="003320DB">
        <w:rPr>
          <w:noProof/>
        </w:rPr>
        <w:t xml:space="preserve"> s </w:t>
      </w:r>
      <w:r w:rsidRPr="003320DB">
        <w:rPr>
          <w:noProof/>
        </w:rPr>
        <w:t>minimálnou presnosťou zodpovedajúcou štyrom desatinným miestam;</w:t>
      </w:r>
    </w:p>
    <w:p w:rsidR="00716EA9" w:rsidRPr="003320DB" w:rsidRDefault="00716EA9" w:rsidP="00C856B2">
      <w:pPr>
        <w:pStyle w:val="Point2"/>
        <w:rPr>
          <w:noProof/>
        </w:rPr>
      </w:pPr>
      <w:r w:rsidRPr="003320DB">
        <w:rPr>
          <w:noProof/>
        </w:rPr>
        <w:t>iii)</w:t>
      </w:r>
      <w:r w:rsidRPr="003320DB">
        <w:rPr>
          <w:noProof/>
        </w:rPr>
        <w:tab/>
        <w:t>pri vykazovaní údajových bodov</w:t>
      </w:r>
      <w:r w:rsidR="003320DB">
        <w:rPr>
          <w:noProof/>
        </w:rPr>
        <w:t xml:space="preserve"> s </w:t>
      </w:r>
      <w:r w:rsidRPr="003320DB">
        <w:rPr>
          <w:noProof/>
        </w:rPr>
        <w:t>dátovým typom „celé číslo“ nepoužívajú desatinné miesta</w:t>
      </w:r>
      <w:r w:rsidR="003320DB">
        <w:rPr>
          <w:noProof/>
        </w:rPr>
        <w:t xml:space="preserve"> a </w:t>
      </w:r>
      <w:r w:rsidRPr="003320DB">
        <w:rPr>
          <w:noProof/>
        </w:rPr>
        <w:t>používajú presnosť zodpovedajúcu jednotkám;</w:t>
      </w:r>
    </w:p>
    <w:p w:rsidR="00716EA9" w:rsidRPr="003320DB" w:rsidRDefault="003320DB" w:rsidP="003320DB">
      <w:pPr>
        <w:pStyle w:val="Point1"/>
        <w:rPr>
          <w:noProof/>
        </w:rPr>
      </w:pPr>
      <w:r>
        <w:rPr>
          <w:noProof/>
        </w:rPr>
        <w:t>c)</w:t>
      </w:r>
      <w:r>
        <w:rPr>
          <w:noProof/>
        </w:rPr>
        <w:tab/>
      </w:r>
      <w:r w:rsidR="000F605E" w:rsidRPr="003320DB">
        <w:rPr>
          <w:noProof/>
        </w:rPr>
        <w:t>inštitúcie</w:t>
      </w:r>
      <w:r>
        <w:rPr>
          <w:noProof/>
        </w:rPr>
        <w:t xml:space="preserve"> a </w:t>
      </w:r>
      <w:r w:rsidR="000F605E" w:rsidRPr="003320DB">
        <w:rPr>
          <w:noProof/>
        </w:rPr>
        <w:t>poisťovne identifikujú výlučne ich identifikátorom právneho subjektu (LEI);</w:t>
      </w:r>
    </w:p>
    <w:p w:rsidR="00716EA9" w:rsidRPr="003320DB" w:rsidRDefault="003320DB" w:rsidP="003320DB">
      <w:pPr>
        <w:pStyle w:val="Point1"/>
        <w:rPr>
          <w:noProof/>
        </w:rPr>
      </w:pPr>
      <w:r>
        <w:rPr>
          <w:noProof/>
        </w:rPr>
        <w:t>d)</w:t>
      </w:r>
      <w:r>
        <w:rPr>
          <w:noProof/>
        </w:rPr>
        <w:tab/>
      </w:r>
      <w:r w:rsidR="000F605E" w:rsidRPr="003320DB">
        <w:rPr>
          <w:noProof/>
        </w:rPr>
        <w:t>právne subjekty</w:t>
      </w:r>
      <w:r>
        <w:rPr>
          <w:noProof/>
        </w:rPr>
        <w:t xml:space="preserve"> a </w:t>
      </w:r>
      <w:r w:rsidR="000F605E" w:rsidRPr="003320DB">
        <w:rPr>
          <w:noProof/>
        </w:rPr>
        <w:t>protistrany, ktoré nie sú inštitúciami</w:t>
      </w:r>
      <w:r>
        <w:rPr>
          <w:noProof/>
        </w:rPr>
        <w:t xml:space="preserve"> a </w:t>
      </w:r>
      <w:r w:rsidR="000F605E" w:rsidRPr="003320DB">
        <w:rPr>
          <w:noProof/>
        </w:rPr>
        <w:t>poisťovňami, identifikujú na základe ich LEI, ak je</w:t>
      </w:r>
      <w:r>
        <w:rPr>
          <w:noProof/>
        </w:rPr>
        <w:t xml:space="preserve"> k </w:t>
      </w:r>
      <w:r w:rsidR="000F605E" w:rsidRPr="003320DB">
        <w:rPr>
          <w:noProof/>
        </w:rPr>
        <w:t>dispozícii.</w:t>
      </w:r>
    </w:p>
    <w:p w:rsidR="00716EA9" w:rsidRPr="003320DB" w:rsidRDefault="00612F20" w:rsidP="00612F20">
      <w:pPr>
        <w:pStyle w:val="ManualNumPar1"/>
        <w:rPr>
          <w:noProof/>
        </w:rPr>
      </w:pPr>
      <w:r w:rsidRPr="00612F20">
        <w:rPr>
          <w:noProof/>
        </w:rPr>
        <w:t>2.</w:t>
      </w:r>
      <w:r w:rsidRPr="00612F20">
        <w:rPr>
          <w:noProof/>
        </w:rPr>
        <w:tab/>
      </w:r>
      <w:r w:rsidR="00716EA9" w:rsidRPr="003320DB">
        <w:rPr>
          <w:noProof/>
        </w:rPr>
        <w:t>Inštitúcie</w:t>
      </w:r>
      <w:r w:rsidR="003320DB">
        <w:rPr>
          <w:noProof/>
        </w:rPr>
        <w:t xml:space="preserve"> k </w:t>
      </w:r>
      <w:r w:rsidR="00716EA9" w:rsidRPr="003320DB">
        <w:rPr>
          <w:noProof/>
        </w:rPr>
        <w:t>predloženým informáciám predložia tieto informácie:</w:t>
      </w:r>
    </w:p>
    <w:p w:rsidR="00716EA9" w:rsidRPr="003320DB" w:rsidRDefault="003320DB" w:rsidP="003320DB">
      <w:pPr>
        <w:pStyle w:val="Point1"/>
        <w:rPr>
          <w:noProof/>
        </w:rPr>
      </w:pPr>
      <w:r>
        <w:rPr>
          <w:noProof/>
        </w:rPr>
        <w:t>a)</w:t>
      </w:r>
      <w:r>
        <w:rPr>
          <w:noProof/>
        </w:rPr>
        <w:tab/>
      </w:r>
      <w:r w:rsidR="00712164" w:rsidRPr="003320DB">
        <w:rPr>
          <w:noProof/>
        </w:rPr>
        <w:t>referenčný dátum oznamovania</w:t>
      </w:r>
      <w:r>
        <w:rPr>
          <w:noProof/>
        </w:rPr>
        <w:t xml:space="preserve"> a </w:t>
      </w:r>
      <w:r w:rsidR="00712164" w:rsidRPr="003320DB">
        <w:rPr>
          <w:noProof/>
        </w:rPr>
        <w:t>referenčné obdobie;</w:t>
      </w:r>
    </w:p>
    <w:p w:rsidR="00716EA9" w:rsidRPr="003320DB" w:rsidRDefault="003320DB" w:rsidP="003320DB">
      <w:pPr>
        <w:pStyle w:val="Point1"/>
        <w:rPr>
          <w:noProof/>
        </w:rPr>
      </w:pPr>
      <w:r>
        <w:rPr>
          <w:noProof/>
        </w:rPr>
        <w:t>b)</w:t>
      </w:r>
      <w:r>
        <w:rPr>
          <w:noProof/>
        </w:rPr>
        <w:tab/>
      </w:r>
      <w:r w:rsidR="00712164" w:rsidRPr="003320DB">
        <w:rPr>
          <w:noProof/>
        </w:rPr>
        <w:t>menu oznamovania;</w:t>
      </w:r>
    </w:p>
    <w:p w:rsidR="00716EA9" w:rsidRPr="003320DB" w:rsidRDefault="003320DB" w:rsidP="003320DB">
      <w:pPr>
        <w:pStyle w:val="Point1"/>
        <w:rPr>
          <w:noProof/>
        </w:rPr>
      </w:pPr>
      <w:r>
        <w:rPr>
          <w:noProof/>
        </w:rPr>
        <w:t>c)</w:t>
      </w:r>
      <w:r>
        <w:rPr>
          <w:noProof/>
        </w:rPr>
        <w:tab/>
      </w:r>
      <w:r w:rsidR="00712164" w:rsidRPr="003320DB">
        <w:rPr>
          <w:noProof/>
        </w:rPr>
        <w:t>účtovný štandard;</w:t>
      </w:r>
    </w:p>
    <w:p w:rsidR="00716EA9" w:rsidRPr="003320DB" w:rsidRDefault="003320DB" w:rsidP="003320DB">
      <w:pPr>
        <w:pStyle w:val="Point1"/>
        <w:rPr>
          <w:noProof/>
        </w:rPr>
      </w:pPr>
      <w:r>
        <w:rPr>
          <w:noProof/>
        </w:rPr>
        <w:t>d)</w:t>
      </w:r>
      <w:r>
        <w:rPr>
          <w:noProof/>
        </w:rPr>
        <w:tab/>
      </w:r>
      <w:r w:rsidR="00712164" w:rsidRPr="003320DB">
        <w:rPr>
          <w:noProof/>
        </w:rPr>
        <w:t>identifikátor právneho subjektu (LEI) vykazujúcej inštitúcie;</w:t>
      </w:r>
    </w:p>
    <w:p w:rsidR="00716EA9" w:rsidRPr="003320DB" w:rsidRDefault="003320DB" w:rsidP="003320DB">
      <w:pPr>
        <w:pStyle w:val="Point1"/>
        <w:rPr>
          <w:noProof/>
        </w:rPr>
      </w:pPr>
      <w:r>
        <w:rPr>
          <w:noProof/>
        </w:rPr>
        <w:t>e)</w:t>
      </w:r>
      <w:r>
        <w:rPr>
          <w:noProof/>
        </w:rPr>
        <w:tab/>
      </w:r>
      <w:r w:rsidR="00712164" w:rsidRPr="003320DB">
        <w:rPr>
          <w:noProof/>
        </w:rPr>
        <w:t>rozsah konsolidácie.</w:t>
      </w:r>
    </w:p>
    <w:p w:rsidR="00716EA9" w:rsidRPr="003320DB" w:rsidRDefault="00716EA9" w:rsidP="00E537F5">
      <w:pPr>
        <w:pStyle w:val="Titrearticle"/>
        <w:rPr>
          <w:noProof/>
          <w:szCs w:val="24"/>
        </w:rPr>
      </w:pPr>
      <w:r w:rsidRPr="003320DB">
        <w:rPr>
          <w:noProof/>
        </w:rPr>
        <w:t>Článok 24</w:t>
      </w:r>
    </w:p>
    <w:p w:rsidR="00716EA9" w:rsidRPr="003320DB" w:rsidRDefault="00716EA9" w:rsidP="002A7D3F">
      <w:pPr>
        <w:pStyle w:val="Titrearticle"/>
        <w:spacing w:before="0"/>
        <w:rPr>
          <w:b/>
          <w:bCs/>
          <w:i w:val="0"/>
          <w:iCs/>
          <w:noProof/>
          <w:szCs w:val="24"/>
        </w:rPr>
      </w:pPr>
      <w:r w:rsidRPr="003320DB">
        <w:rPr>
          <w:b/>
          <w:i w:val="0"/>
          <w:noProof/>
        </w:rPr>
        <w:t>Prechodné ustanovenia</w:t>
      </w:r>
    </w:p>
    <w:p w:rsidR="00716EA9" w:rsidRPr="003320DB" w:rsidRDefault="00612F20" w:rsidP="00612F20">
      <w:pPr>
        <w:pStyle w:val="ManualNumPar1"/>
        <w:rPr>
          <w:noProof/>
        </w:rPr>
      </w:pPr>
      <w:r w:rsidRPr="00612F20">
        <w:rPr>
          <w:noProof/>
        </w:rPr>
        <w:t>1.</w:t>
      </w:r>
      <w:r w:rsidRPr="00612F20">
        <w:rPr>
          <w:noProof/>
        </w:rPr>
        <w:tab/>
      </w:r>
      <w:r w:rsidR="00716EA9" w:rsidRPr="003320DB">
        <w:rPr>
          <w:noProof/>
        </w:rPr>
        <w:t>Dátumom zasielania</w:t>
      </w:r>
      <w:r w:rsidR="003320DB">
        <w:rPr>
          <w:noProof/>
        </w:rPr>
        <w:t xml:space="preserve"> v </w:t>
      </w:r>
      <w:r w:rsidR="00716EA9" w:rsidRPr="003320DB">
        <w:rPr>
          <w:noProof/>
        </w:rPr>
        <w:t>súvislosti</w:t>
      </w:r>
      <w:r w:rsidR="003320DB">
        <w:rPr>
          <w:noProof/>
        </w:rPr>
        <w:t xml:space="preserve"> s </w:t>
      </w:r>
      <w:r w:rsidR="00716EA9" w:rsidRPr="003320DB">
        <w:rPr>
          <w:noProof/>
        </w:rPr>
        <w:t>vykazovaním</w:t>
      </w:r>
      <w:r w:rsidR="003320DB">
        <w:rPr>
          <w:noProof/>
        </w:rPr>
        <w:t xml:space="preserve"> v </w:t>
      </w:r>
      <w:r w:rsidR="00716EA9" w:rsidRPr="003320DB">
        <w:rPr>
          <w:noProof/>
        </w:rPr>
        <w:t>prípade údajov vykazovaných štvrťročne, pokiaľ ide</w:t>
      </w:r>
      <w:r w:rsidR="003320DB">
        <w:rPr>
          <w:noProof/>
        </w:rPr>
        <w:t xml:space="preserve"> o </w:t>
      </w:r>
      <w:r w:rsidR="00716EA9" w:rsidRPr="003320DB">
        <w:rPr>
          <w:noProof/>
        </w:rPr>
        <w:t>referenčný dátum 31. marec 2025, je pre informácie, ktoré sa majú vykazovať podľa článkov 5, 7 až 10</w:t>
      </w:r>
      <w:r w:rsidR="003320DB">
        <w:rPr>
          <w:noProof/>
        </w:rPr>
        <w:t xml:space="preserve"> a </w:t>
      </w:r>
      <w:r w:rsidR="00716EA9" w:rsidRPr="003320DB">
        <w:rPr>
          <w:noProof/>
        </w:rPr>
        <w:t>15 tohto nariadenia, najneskôr 30. jún 2025.</w:t>
      </w:r>
    </w:p>
    <w:p w:rsidR="00716EA9" w:rsidRPr="003320DB" w:rsidRDefault="00612F20" w:rsidP="00612F20">
      <w:pPr>
        <w:pStyle w:val="ManualNumPar1"/>
        <w:rPr>
          <w:noProof/>
        </w:rPr>
      </w:pPr>
      <w:r w:rsidRPr="00612F20">
        <w:rPr>
          <w:noProof/>
        </w:rPr>
        <w:t>2.</w:t>
      </w:r>
      <w:r w:rsidRPr="00612F20">
        <w:rPr>
          <w:noProof/>
        </w:rPr>
        <w:tab/>
      </w:r>
      <w:r w:rsidR="00AE3B0A" w:rsidRPr="003320DB">
        <w:rPr>
          <w:noProof/>
        </w:rPr>
        <w:t>Prvým referenčným dátumom pre informácie, ktoré sa majú vykazovať</w:t>
      </w:r>
      <w:r w:rsidR="003320DB">
        <w:rPr>
          <w:noProof/>
        </w:rPr>
        <w:t xml:space="preserve"> o </w:t>
      </w:r>
      <w:r w:rsidR="00AE3B0A" w:rsidRPr="003320DB">
        <w:rPr>
          <w:noProof/>
        </w:rPr>
        <w:t>zložení obchodnej knihy</w:t>
      </w:r>
      <w:r w:rsidR="003320DB">
        <w:rPr>
          <w:noProof/>
        </w:rPr>
        <w:t xml:space="preserve"> a </w:t>
      </w:r>
      <w:r w:rsidR="00AE3B0A" w:rsidRPr="003320DB">
        <w:rPr>
          <w:noProof/>
        </w:rPr>
        <w:t>reklasifikáciách medzi knihami podľa článku 5 tohto nariadenia, je posledný pracovný deň štvrťroka,</w:t>
      </w:r>
      <w:r w:rsidR="003320DB">
        <w:rPr>
          <w:noProof/>
        </w:rPr>
        <w:t xml:space="preserve"> v </w:t>
      </w:r>
      <w:r w:rsidR="00AE3B0A" w:rsidRPr="003320DB">
        <w:rPr>
          <w:noProof/>
        </w:rPr>
        <w:t>ktorom sa na výpočet požiadaviek na vlastné zdroje uvedených</w:t>
      </w:r>
      <w:r w:rsidR="003320DB">
        <w:rPr>
          <w:noProof/>
        </w:rPr>
        <w:t xml:space="preserve"> v </w:t>
      </w:r>
      <w:r w:rsidR="00AE3B0A" w:rsidRPr="003320DB">
        <w:rPr>
          <w:noProof/>
        </w:rPr>
        <w:t>článku 92 ods. 4 písm. b) bodoch i)</w:t>
      </w:r>
      <w:r w:rsidR="003320DB">
        <w:rPr>
          <w:noProof/>
        </w:rPr>
        <w:t xml:space="preserve"> a </w:t>
      </w:r>
      <w:r w:rsidR="00AE3B0A" w:rsidRPr="003320DB">
        <w:rPr>
          <w:noProof/>
        </w:rPr>
        <w:t>c)</w:t>
      </w:r>
      <w:r w:rsidR="003320DB">
        <w:rPr>
          <w:noProof/>
        </w:rPr>
        <w:t xml:space="preserve"> a </w:t>
      </w:r>
      <w:r w:rsidR="00AE3B0A" w:rsidRPr="003320DB">
        <w:rPr>
          <w:noProof/>
        </w:rPr>
        <w:t>článku 92 ods. 5 písm. b)</w:t>
      </w:r>
      <w:r w:rsidR="003320DB">
        <w:rPr>
          <w:noProof/>
        </w:rPr>
        <w:t xml:space="preserve"> a </w:t>
      </w:r>
      <w:r w:rsidR="00AE3B0A" w:rsidRPr="003320DB">
        <w:rPr>
          <w:noProof/>
        </w:rPr>
        <w:t xml:space="preserve">c) nariadenia (EÚ) </w:t>
      </w:r>
      <w:r w:rsidR="003320DB">
        <w:rPr>
          <w:noProof/>
        </w:rPr>
        <w:t>č. </w:t>
      </w:r>
      <w:r w:rsidR="00AE3B0A" w:rsidRPr="003320DB">
        <w:rPr>
          <w:noProof/>
        </w:rPr>
        <w:t>575/2013 začnú uplatňovať alternatívne prístupy stanovené</w:t>
      </w:r>
      <w:r w:rsidR="003320DB">
        <w:rPr>
          <w:noProof/>
        </w:rPr>
        <w:t xml:space="preserve"> v </w:t>
      </w:r>
      <w:r w:rsidR="00AE3B0A" w:rsidRPr="003320DB">
        <w:rPr>
          <w:noProof/>
        </w:rPr>
        <w:t>tretej časti hlave IV kapitolách 1a</w:t>
      </w:r>
      <w:r w:rsidR="003320DB">
        <w:rPr>
          <w:noProof/>
        </w:rPr>
        <w:t xml:space="preserve"> a </w:t>
      </w:r>
      <w:r w:rsidR="00AE3B0A" w:rsidRPr="003320DB">
        <w:rPr>
          <w:noProof/>
        </w:rPr>
        <w:t>1b uvedeného nariadenia.</w:t>
      </w:r>
    </w:p>
    <w:p w:rsidR="00716EA9" w:rsidRPr="003320DB" w:rsidRDefault="00716EA9" w:rsidP="00745A2E">
      <w:pPr>
        <w:pStyle w:val="Titrearticle"/>
        <w:spacing w:before="120" w:after="0"/>
        <w:rPr>
          <w:noProof/>
          <w:szCs w:val="24"/>
        </w:rPr>
      </w:pPr>
      <w:r w:rsidRPr="003320DB">
        <w:rPr>
          <w:noProof/>
        </w:rPr>
        <w:t>Článok 25</w:t>
      </w:r>
    </w:p>
    <w:p w:rsidR="00096030" w:rsidRPr="003320DB" w:rsidRDefault="004B3787" w:rsidP="00C856B2">
      <w:pPr>
        <w:pStyle w:val="Text1"/>
        <w:jc w:val="center"/>
        <w:rPr>
          <w:noProof/>
        </w:rPr>
      </w:pPr>
      <w:r w:rsidRPr="003320DB">
        <w:rPr>
          <w:b/>
          <w:noProof/>
        </w:rPr>
        <w:t>Zrušenie vykonávacieho nariadenia (EÚ) 2021/451</w:t>
      </w:r>
    </w:p>
    <w:p w:rsidR="003320DB" w:rsidRDefault="00612F20" w:rsidP="00612F20">
      <w:pPr>
        <w:pStyle w:val="ManualNumPar1"/>
        <w:rPr>
          <w:noProof/>
        </w:rPr>
      </w:pPr>
      <w:r w:rsidRPr="00612F20">
        <w:rPr>
          <w:noProof/>
        </w:rPr>
        <w:t>1.</w:t>
      </w:r>
      <w:r w:rsidRPr="00612F20">
        <w:rPr>
          <w:noProof/>
        </w:rPr>
        <w:tab/>
      </w:r>
      <w:r w:rsidR="00FB327E" w:rsidRPr="003320DB">
        <w:rPr>
          <w:noProof/>
        </w:rPr>
        <w:t>Vykonávacie nariadenie (EÚ) 2021/451 sa prestáva uplatňovať od 1</w:t>
      </w:r>
      <w:r w:rsidR="003320DB">
        <w:rPr>
          <w:noProof/>
        </w:rPr>
        <w:t>. januára</w:t>
      </w:r>
      <w:r w:rsidR="00FB327E" w:rsidRPr="003320DB">
        <w:rPr>
          <w:noProof/>
        </w:rPr>
        <w:t xml:space="preserve"> 2025</w:t>
      </w:r>
      <w:r w:rsidR="003320DB">
        <w:rPr>
          <w:noProof/>
        </w:rPr>
        <w:t xml:space="preserve"> s </w:t>
      </w:r>
      <w:r w:rsidR="00FB327E" w:rsidRPr="003320DB">
        <w:rPr>
          <w:noProof/>
        </w:rPr>
        <w:t>výnimkou článku 5 ods. 12</w:t>
      </w:r>
      <w:r w:rsidR="003320DB">
        <w:rPr>
          <w:noProof/>
        </w:rPr>
        <w:t xml:space="preserve"> a </w:t>
      </w:r>
      <w:r w:rsidR="00FB327E" w:rsidRPr="003320DB">
        <w:rPr>
          <w:noProof/>
        </w:rPr>
        <w:t>prílohy I, vzorov 18 až 24, ako aj prílohy II, časti II bodov 5.1 až 5.7. Článok 15 vykonávacieho nariadenia (EÚ) 2021/451 sa naďalej uplatňuje do 31</w:t>
      </w:r>
      <w:r w:rsidR="003320DB">
        <w:rPr>
          <w:noProof/>
        </w:rPr>
        <w:t>. decembra</w:t>
      </w:r>
      <w:r w:rsidR="00FB327E" w:rsidRPr="003320DB">
        <w:rPr>
          <w:noProof/>
        </w:rPr>
        <w:t xml:space="preserve"> 2025 len na účely článku 5 ods. 4 tohto nariadenia</w:t>
      </w:r>
      <w:r w:rsidR="003320DB">
        <w:rPr>
          <w:noProof/>
        </w:rPr>
        <w:t>.</w:t>
      </w:r>
    </w:p>
    <w:p w:rsidR="003320DB" w:rsidRDefault="00612F20" w:rsidP="00612F20">
      <w:pPr>
        <w:pStyle w:val="ManualNumPar1"/>
        <w:rPr>
          <w:noProof/>
        </w:rPr>
      </w:pPr>
      <w:r w:rsidRPr="00612F20">
        <w:rPr>
          <w:noProof/>
        </w:rPr>
        <w:t>2.</w:t>
      </w:r>
      <w:r w:rsidRPr="00612F20">
        <w:rPr>
          <w:noProof/>
        </w:rPr>
        <w:tab/>
      </w:r>
      <w:r w:rsidR="00FB327E" w:rsidRPr="003320DB">
        <w:rPr>
          <w:noProof/>
        </w:rPr>
        <w:t>Vykonávacie nariadenie (EÚ) 2021/451 sa zrušuje</w:t>
      </w:r>
      <w:r w:rsidR="003320DB">
        <w:rPr>
          <w:noProof/>
        </w:rPr>
        <w:t xml:space="preserve"> s </w:t>
      </w:r>
      <w:r w:rsidR="00FB327E" w:rsidRPr="003320DB">
        <w:rPr>
          <w:noProof/>
        </w:rPr>
        <w:t>účinnosťou od 31</w:t>
      </w:r>
      <w:r w:rsidR="003320DB">
        <w:rPr>
          <w:noProof/>
        </w:rPr>
        <w:t>. decembra</w:t>
      </w:r>
      <w:r w:rsidR="00FB327E" w:rsidRPr="003320DB">
        <w:rPr>
          <w:noProof/>
        </w:rPr>
        <w:t xml:space="preserve"> 2025</w:t>
      </w:r>
      <w:r w:rsidR="003320DB">
        <w:rPr>
          <w:noProof/>
        </w:rPr>
        <w:t>.</w:t>
      </w:r>
    </w:p>
    <w:p w:rsidR="00FB327E" w:rsidRPr="003320DB" w:rsidRDefault="00612F20" w:rsidP="00612F20">
      <w:pPr>
        <w:pStyle w:val="ManualNumPar1"/>
        <w:rPr>
          <w:noProof/>
        </w:rPr>
      </w:pPr>
      <w:r w:rsidRPr="00612F20">
        <w:rPr>
          <w:noProof/>
        </w:rPr>
        <w:t>3.</w:t>
      </w:r>
      <w:r w:rsidRPr="00612F20">
        <w:rPr>
          <w:noProof/>
        </w:rPr>
        <w:tab/>
      </w:r>
      <w:r w:rsidR="00FB327E" w:rsidRPr="003320DB">
        <w:rPr>
          <w:noProof/>
        </w:rPr>
        <w:t>Odkazy na zrušené nariadenie sa považujú za odkazy na toto nariadenie</w:t>
      </w:r>
      <w:r w:rsidR="003320DB">
        <w:rPr>
          <w:noProof/>
        </w:rPr>
        <w:t xml:space="preserve"> a </w:t>
      </w:r>
      <w:r w:rsidR="00FB327E" w:rsidRPr="003320DB">
        <w:rPr>
          <w:noProof/>
        </w:rPr>
        <w:t>znejú</w:t>
      </w:r>
      <w:r w:rsidR="003320DB">
        <w:rPr>
          <w:noProof/>
        </w:rPr>
        <w:t xml:space="preserve"> v </w:t>
      </w:r>
      <w:r w:rsidR="00FB327E" w:rsidRPr="003320DB">
        <w:rPr>
          <w:noProof/>
        </w:rPr>
        <w:t>súlade</w:t>
      </w:r>
      <w:r w:rsidR="003320DB">
        <w:rPr>
          <w:noProof/>
        </w:rPr>
        <w:t xml:space="preserve"> s </w:t>
      </w:r>
      <w:r w:rsidR="00FB327E" w:rsidRPr="003320DB">
        <w:rPr>
          <w:noProof/>
        </w:rPr>
        <w:t>tabuľkou zhody uvedenou</w:t>
      </w:r>
      <w:r w:rsidR="003320DB">
        <w:rPr>
          <w:noProof/>
        </w:rPr>
        <w:t xml:space="preserve"> v </w:t>
      </w:r>
      <w:r w:rsidR="00FB327E" w:rsidRPr="003320DB">
        <w:rPr>
          <w:noProof/>
        </w:rPr>
        <w:t>prílohe II.</w:t>
      </w:r>
    </w:p>
    <w:p w:rsidR="00E537F5" w:rsidRPr="003320DB" w:rsidRDefault="00E537F5" w:rsidP="00E537F5">
      <w:pPr>
        <w:pStyle w:val="Titrearticle"/>
        <w:rPr>
          <w:noProof/>
          <w:szCs w:val="24"/>
        </w:rPr>
      </w:pPr>
      <w:r w:rsidRPr="003320DB">
        <w:rPr>
          <w:noProof/>
        </w:rPr>
        <w:t>Článok 26</w:t>
      </w:r>
    </w:p>
    <w:p w:rsidR="00E537F5" w:rsidRPr="003320DB" w:rsidRDefault="00E537F5" w:rsidP="0056622A">
      <w:pPr>
        <w:pStyle w:val="Titrearticle"/>
        <w:spacing w:before="0"/>
        <w:rPr>
          <w:b/>
          <w:bCs/>
          <w:i w:val="0"/>
          <w:iCs/>
          <w:noProof/>
          <w:szCs w:val="24"/>
        </w:rPr>
      </w:pPr>
      <w:r w:rsidRPr="003320DB">
        <w:rPr>
          <w:b/>
          <w:i w:val="0"/>
          <w:noProof/>
        </w:rPr>
        <w:t>Nadobudnutie účinnosti</w:t>
      </w:r>
      <w:r w:rsidR="003320DB">
        <w:rPr>
          <w:b/>
          <w:i w:val="0"/>
          <w:noProof/>
        </w:rPr>
        <w:t xml:space="preserve"> a </w:t>
      </w:r>
      <w:r w:rsidRPr="003320DB">
        <w:rPr>
          <w:b/>
          <w:i w:val="0"/>
          <w:noProof/>
        </w:rPr>
        <w:t>uplatňovanie</w:t>
      </w:r>
    </w:p>
    <w:p w:rsidR="00E537F5" w:rsidRPr="003320DB" w:rsidRDefault="00E537F5" w:rsidP="00E537F5">
      <w:pPr>
        <w:spacing w:before="100" w:beforeAutospacing="1" w:after="100" w:afterAutospacing="1"/>
        <w:rPr>
          <w:noProof/>
          <w:color w:val="000000"/>
          <w:szCs w:val="24"/>
        </w:rPr>
      </w:pPr>
      <w:r w:rsidRPr="003320DB">
        <w:rPr>
          <w:noProof/>
          <w:color w:val="000000"/>
        </w:rPr>
        <w:t>Toto nariadenie nadobúda účinnosť dňom nasledujúcim po jeho uverejnení</w:t>
      </w:r>
      <w:r w:rsidR="003320DB">
        <w:rPr>
          <w:noProof/>
          <w:color w:val="000000"/>
        </w:rPr>
        <w:t xml:space="preserve"> v </w:t>
      </w:r>
      <w:r w:rsidRPr="003320DB">
        <w:rPr>
          <w:i/>
          <w:noProof/>
          <w:color w:val="000000"/>
        </w:rPr>
        <w:t>Úradnom vestníku Európskej únie</w:t>
      </w:r>
      <w:r w:rsidRPr="003320DB">
        <w:rPr>
          <w:noProof/>
          <w:color w:val="000000"/>
        </w:rPr>
        <w:t>.</w:t>
      </w:r>
    </w:p>
    <w:p w:rsidR="00E537F5" w:rsidRPr="003320DB" w:rsidRDefault="00E537F5" w:rsidP="00E537F5">
      <w:pPr>
        <w:spacing w:before="100" w:beforeAutospacing="1" w:after="100" w:afterAutospacing="1"/>
        <w:rPr>
          <w:noProof/>
          <w:color w:val="000000"/>
          <w:szCs w:val="24"/>
        </w:rPr>
      </w:pPr>
      <w:r w:rsidRPr="003320DB">
        <w:rPr>
          <w:noProof/>
          <w:color w:val="000000"/>
        </w:rPr>
        <w:t>Uplatňuje sa od [Úrad pre publikácie – vložte dátum: 6 mesiacov po dátume nadobudnutia účinnosti tohto nariadenia]</w:t>
      </w:r>
    </w:p>
    <w:p w:rsidR="00E537F5" w:rsidRPr="003320DB" w:rsidRDefault="00E537F5" w:rsidP="00E537F5">
      <w:pPr>
        <w:spacing w:before="100" w:beforeAutospacing="1" w:after="100" w:afterAutospacing="1"/>
        <w:rPr>
          <w:noProof/>
          <w:szCs w:val="24"/>
        </w:rPr>
      </w:pPr>
      <w:r w:rsidRPr="003320DB">
        <w:rPr>
          <w:noProof/>
          <w:color w:val="000000"/>
        </w:rPr>
        <w:t>Toto nariadenie je záväzné</w:t>
      </w:r>
      <w:r w:rsidR="003320DB">
        <w:rPr>
          <w:noProof/>
          <w:color w:val="000000"/>
        </w:rPr>
        <w:t xml:space="preserve"> v </w:t>
      </w:r>
      <w:r w:rsidRPr="003320DB">
        <w:rPr>
          <w:noProof/>
          <w:color w:val="000000"/>
        </w:rPr>
        <w:t>celom rozsahu</w:t>
      </w:r>
      <w:r w:rsidR="003320DB">
        <w:rPr>
          <w:noProof/>
          <w:color w:val="000000"/>
        </w:rPr>
        <w:t xml:space="preserve"> a </w:t>
      </w:r>
      <w:r w:rsidRPr="003320DB">
        <w:rPr>
          <w:noProof/>
          <w:color w:val="000000"/>
        </w:rPr>
        <w:t>priamo uplatniteľné vo všetkých členských štátoch.</w:t>
      </w:r>
    </w:p>
    <w:p w:rsidR="00185C9B" w:rsidRPr="003320DB" w:rsidRDefault="00A61D35" w:rsidP="005B4749">
      <w:pPr>
        <w:pStyle w:val="Fait"/>
        <w:rPr>
          <w:noProof/>
        </w:rPr>
      </w:pPr>
      <w:r>
        <w:rPr>
          <w:noProof/>
        </w:rPr>
        <w:t>V Bruseli 29. 11. 2024</w:t>
      </w:r>
    </w:p>
    <w:p w:rsidR="00185C9B" w:rsidRPr="003320DB" w:rsidRDefault="00185C9B" w:rsidP="005B4749">
      <w:pPr>
        <w:pStyle w:val="Institutionquisigne"/>
        <w:rPr>
          <w:noProof/>
          <w:szCs w:val="24"/>
        </w:rPr>
      </w:pPr>
      <w:r w:rsidRPr="003320DB">
        <w:rPr>
          <w:noProof/>
        </w:rPr>
        <w:tab/>
        <w:t>Za Komisiu</w:t>
      </w:r>
    </w:p>
    <w:p w:rsidR="00185C9B" w:rsidRPr="003320DB" w:rsidRDefault="00C3481D" w:rsidP="00185C9B">
      <w:pPr>
        <w:pStyle w:val="Personnequisigne"/>
        <w:rPr>
          <w:noProof/>
          <w:szCs w:val="24"/>
        </w:rPr>
      </w:pPr>
      <w:r>
        <w:rPr>
          <w:noProof/>
        </w:rPr>
        <w:tab/>
        <w:t>predsedníčka</w:t>
      </w:r>
      <w:r>
        <w:rPr>
          <w:noProof/>
        </w:rPr>
        <w:br/>
      </w:r>
      <w:r>
        <w:rPr>
          <w:noProof/>
        </w:rPr>
        <w:tab/>
        <w:t>Ursula VON DER LEYEN</w:t>
      </w:r>
    </w:p>
    <w:sectPr w:rsidR="00185C9B" w:rsidRPr="003320DB" w:rsidSect="00093033">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033" w:rsidRPr="00093033" w:rsidRDefault="00093033" w:rsidP="00093033">
    <w:pPr>
      <w:pStyle w:val="Footer"/>
      <w:rPr>
        <w:rFonts w:ascii="Arial" w:hAnsi="Arial" w:cs="Arial"/>
        <w:b/>
        <w:sz w:val="48"/>
      </w:rPr>
    </w:pPr>
    <w:r w:rsidRPr="00093033">
      <w:rPr>
        <w:rFonts w:ascii="Arial" w:hAnsi="Arial" w:cs="Arial"/>
        <w:b/>
        <w:sz w:val="48"/>
      </w:rPr>
      <w:t>SK</w:t>
    </w:r>
    <w:r w:rsidRPr="00093033">
      <w:rPr>
        <w:rFonts w:ascii="Arial" w:hAnsi="Arial" w:cs="Arial"/>
        <w:b/>
        <w:sz w:val="48"/>
      </w:rPr>
      <w:tab/>
    </w:r>
    <w:r w:rsidRPr="00093033">
      <w:rPr>
        <w:rFonts w:ascii="Arial" w:hAnsi="Arial" w:cs="Arial"/>
        <w:b/>
        <w:sz w:val="48"/>
      </w:rPr>
      <w:tab/>
    </w:r>
    <w:r w:rsidRPr="00093033">
      <w:tab/>
    </w:r>
    <w:r w:rsidRPr="00093033">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033" w:rsidRPr="00093033" w:rsidRDefault="00093033" w:rsidP="00093033">
    <w:pPr>
      <w:pStyle w:val="Footer"/>
      <w:rPr>
        <w:rFonts w:ascii="Arial" w:hAnsi="Arial" w:cs="Arial"/>
        <w:b/>
        <w:sz w:val="48"/>
      </w:rPr>
    </w:pPr>
    <w:r w:rsidRPr="00093033">
      <w:rPr>
        <w:rFonts w:ascii="Arial" w:hAnsi="Arial" w:cs="Arial"/>
        <w:b/>
        <w:sz w:val="48"/>
      </w:rPr>
      <w:t>SK</w:t>
    </w:r>
    <w:r w:rsidRPr="00093033">
      <w:rPr>
        <w:rFonts w:ascii="Arial" w:hAnsi="Arial" w:cs="Arial"/>
        <w:b/>
        <w:sz w:val="48"/>
      </w:rPr>
      <w:tab/>
    </w:r>
    <w:r w:rsidRPr="00093033">
      <w:rPr>
        <w:rFonts w:ascii="Arial" w:hAnsi="Arial" w:cs="Arial"/>
        <w:b/>
        <w:sz w:val="48"/>
      </w:rPr>
      <w:tab/>
    </w:r>
    <w:r w:rsidRPr="00093033">
      <w:tab/>
    </w:r>
    <w:r w:rsidRPr="00093033">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033" w:rsidRDefault="000930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033" w:rsidRPr="00093033" w:rsidRDefault="00093033" w:rsidP="00093033">
    <w:pPr>
      <w:pStyle w:val="Footer"/>
      <w:rPr>
        <w:rFonts w:ascii="Arial" w:hAnsi="Arial" w:cs="Arial"/>
        <w:b/>
        <w:sz w:val="48"/>
      </w:rPr>
    </w:pPr>
    <w:r w:rsidRPr="00093033">
      <w:rPr>
        <w:rFonts w:ascii="Arial" w:hAnsi="Arial" w:cs="Arial"/>
        <w:b/>
        <w:sz w:val="48"/>
      </w:rPr>
      <w:t>SK</w:t>
    </w:r>
    <w:r w:rsidRPr="00093033">
      <w:rPr>
        <w:rFonts w:ascii="Arial" w:hAnsi="Arial" w:cs="Arial"/>
        <w:b/>
        <w:sz w:val="48"/>
      </w:rPr>
      <w:tab/>
    </w:r>
    <w:r>
      <w:fldChar w:fldCharType="begin"/>
    </w:r>
    <w:r>
      <w:instrText xml:space="preserve"> PAGE  \* MERGEFORMAT </w:instrText>
    </w:r>
    <w:r>
      <w:fldChar w:fldCharType="separate"/>
    </w:r>
    <w:r w:rsidR="00A7155B">
      <w:rPr>
        <w:noProof/>
      </w:rPr>
      <w:t>1</w:t>
    </w:r>
    <w:r>
      <w:fldChar w:fldCharType="end"/>
    </w:r>
    <w:r>
      <w:tab/>
    </w:r>
    <w:r w:rsidRPr="00093033">
      <w:tab/>
    </w:r>
    <w:r w:rsidRPr="00093033">
      <w:rPr>
        <w:rFonts w:ascii="Arial" w:hAnsi="Arial" w:cs="Arial"/>
        <w:b/>
        <w:sz w:val="48"/>
      </w:rPr>
      <w:t>SK</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033" w:rsidRDefault="00093033" w:rsidP="00093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3320DB" w:rsidRDefault="00716EA9" w:rsidP="00716EA9">
      <w:pPr>
        <w:pStyle w:val="FootnoteText"/>
      </w:pPr>
      <w:r w:rsidRPr="003320DB">
        <w:rPr>
          <w:rStyle w:val="FootnoteReference"/>
        </w:rPr>
        <w:footnoteRef/>
      </w:r>
      <w:r w:rsidRPr="003320DB">
        <w:tab/>
        <w:t>Ú. v. EÚ L 176, 27.6.2013, s. 1, ELI: http://data.europa.eu/eli/reg/2013/575/oj.</w:t>
      </w:r>
    </w:p>
  </w:footnote>
  <w:footnote w:id="3">
    <w:p w:rsidR="00716EA9" w:rsidRPr="003320DB" w:rsidRDefault="00716EA9" w:rsidP="00716EA9">
      <w:pPr>
        <w:pStyle w:val="FootnoteText"/>
      </w:pPr>
      <w:r w:rsidRPr="003320DB">
        <w:rPr>
          <w:rStyle w:val="FootnoteReference"/>
        </w:rPr>
        <w:footnoteRef/>
      </w:r>
      <w:r w:rsidRPr="003320DB">
        <w:tab/>
        <w:t>Vykonávacie nariadenie Komisie (EÚ) 2021/451 zo 17</w:t>
      </w:r>
      <w:r w:rsidR="003320DB">
        <w:t>. decembra</w:t>
      </w:r>
      <w:r w:rsidRPr="003320DB">
        <w:t xml:space="preserve"> 2020, ktorým sa stanovujú vykonávacie technické predpisy na uplatňovanie nariadenia Európskeho parlamentu</w:t>
      </w:r>
      <w:r w:rsidR="003320DB">
        <w:t xml:space="preserve"> a </w:t>
      </w:r>
      <w:r w:rsidRPr="003320DB">
        <w:t xml:space="preserve">Rady (EÚ) </w:t>
      </w:r>
      <w:r w:rsidR="003320DB">
        <w:t>č. </w:t>
      </w:r>
      <w:r w:rsidRPr="003320DB">
        <w:t>575/2013, pokiaľ ide</w:t>
      </w:r>
      <w:r w:rsidR="003320DB">
        <w:t xml:space="preserve"> o </w:t>
      </w:r>
      <w:r w:rsidRPr="003320DB">
        <w:t>vykazovanie inštitúciami na účely dohľadu,</w:t>
      </w:r>
      <w:r w:rsidR="003320DB">
        <w:t xml:space="preserve"> a </w:t>
      </w:r>
      <w:r w:rsidRPr="003320DB">
        <w:t xml:space="preserve">ktorým sa zrušuje vykonávacie nariadenie (EÚ) </w:t>
      </w:r>
      <w:r w:rsidR="003320DB">
        <w:t>č. </w:t>
      </w:r>
      <w:r w:rsidRPr="003320DB">
        <w:t>680/2014 (Ú. v. EÚ L 97, 19.3.2021, s. 1, ELI: http://data.europa.eu/eli/reg_impl/2021/451/oj).</w:t>
      </w:r>
    </w:p>
  </w:footnote>
  <w:footnote w:id="4">
    <w:p w:rsidR="00716EA9" w:rsidRPr="003320DB" w:rsidRDefault="00716EA9" w:rsidP="00716EA9">
      <w:pPr>
        <w:pStyle w:val="FootnoteText"/>
      </w:pPr>
      <w:r w:rsidRPr="003320DB">
        <w:rPr>
          <w:rStyle w:val="FootnoteReference"/>
        </w:rPr>
        <w:footnoteRef/>
      </w:r>
      <w:r w:rsidRPr="003320DB">
        <w:tab/>
        <w:t>Nariadenie Európskeho parlamentu</w:t>
      </w:r>
      <w:r w:rsidR="003320DB">
        <w:t xml:space="preserve"> a </w:t>
      </w:r>
      <w:r w:rsidRPr="003320DB">
        <w:t>Rady (EÚ) 2024/1623</w:t>
      </w:r>
      <w:r w:rsidR="003320DB">
        <w:t xml:space="preserve"> z </w:t>
      </w:r>
      <w:r w:rsidRPr="003320DB">
        <w:t>31</w:t>
      </w:r>
      <w:r w:rsidR="003320DB">
        <w:t>. mája</w:t>
      </w:r>
      <w:r w:rsidRPr="003320DB">
        <w:t xml:space="preserve"> 2024, ktorým sa mení nariadenie (EÚ) </w:t>
      </w:r>
      <w:r w:rsidR="003320DB">
        <w:t>č. </w:t>
      </w:r>
      <w:r w:rsidRPr="003320DB">
        <w:t>575/2013, pokiaľ ide</w:t>
      </w:r>
      <w:r w:rsidR="003320DB">
        <w:t xml:space="preserve"> o </w:t>
      </w:r>
      <w:r w:rsidRPr="003320DB">
        <w:t>požiadavky na kreditné riziko, riziko úpravy ocenenia pohľadávky, operačné riziko, trhové riziko</w:t>
      </w:r>
      <w:r w:rsidR="003320DB">
        <w:t xml:space="preserve"> a </w:t>
      </w:r>
      <w:r w:rsidRPr="003320DB">
        <w:t xml:space="preserve">spodnú hranicu pre výstupné hodnoty (Ú. v. EÚ L 2024/1623, 19.6.2024, ELI: </w:t>
      </w:r>
      <w:hyperlink r:id="rId1" w:tgtFrame="_blank" w:tooltip="Umožňuje prístup k tomuto dokumentu prostredníctvom identifikátorov ELI a URI." w:history="1">
        <w:r w:rsidRPr="003320DB">
          <w:t>http://data.europa.eu/eli/reg/2024/1623/oj</w:t>
        </w:r>
      </w:hyperlink>
      <w:r w:rsidRPr="003320DB">
        <w:t>).</w:t>
      </w:r>
    </w:p>
  </w:footnote>
  <w:footnote w:id="5">
    <w:p w:rsidR="00716EA9" w:rsidRPr="003320DB" w:rsidRDefault="00716EA9" w:rsidP="00716EA9">
      <w:pPr>
        <w:pStyle w:val="FootnoteText"/>
      </w:pPr>
      <w:r w:rsidRPr="003320DB">
        <w:rPr>
          <w:rStyle w:val="FootnoteReference"/>
        </w:rPr>
        <w:footnoteRef/>
      </w:r>
      <w:r w:rsidRPr="003320DB">
        <w:tab/>
        <w:t>Nariadenie Európskeho parlamentu</w:t>
      </w:r>
      <w:r w:rsidR="003320DB">
        <w:t xml:space="preserve"> a </w:t>
      </w:r>
      <w:r w:rsidRPr="003320DB">
        <w:t xml:space="preserve">Rady (EÚ) </w:t>
      </w:r>
      <w:r w:rsidR="003320DB">
        <w:t>č. </w:t>
      </w:r>
      <w:r w:rsidRPr="003320DB">
        <w:t>1093/2010</w:t>
      </w:r>
      <w:r w:rsidR="003320DB">
        <w:t xml:space="preserve"> z </w:t>
      </w:r>
      <w:r w:rsidRPr="003320DB">
        <w:t>24</w:t>
      </w:r>
      <w:r w:rsidR="003320DB">
        <w:t>. novembra</w:t>
      </w:r>
      <w:r w:rsidRPr="003320DB">
        <w:t xml:space="preserve"> 2010, ktorým sa zriaďuje Európsky orgán dohľadu (Európsky orgán pre bankovníctvo)</w:t>
      </w:r>
      <w:r w:rsidR="003320DB">
        <w:t xml:space="preserve"> a </w:t>
      </w:r>
      <w:r w:rsidRPr="003320DB">
        <w:t>ktorým sa mení</w:t>
      </w:r>
      <w:r w:rsidR="003320DB">
        <w:t xml:space="preserve"> a </w:t>
      </w:r>
      <w:r w:rsidRPr="003320DB">
        <w:t xml:space="preserve">dopĺňa rozhodnutie </w:t>
      </w:r>
      <w:r w:rsidR="003320DB">
        <w:t>č. </w:t>
      </w:r>
      <w:r w:rsidRPr="003320DB">
        <w:t>716/2009/ES</w:t>
      </w:r>
      <w:r w:rsidR="003320DB">
        <w:t xml:space="preserve"> a </w:t>
      </w:r>
      <w:r w:rsidRPr="003320DB">
        <w:t>zrušuje rozhodnutie Komisie 2009/78/ES (Ú. v. EÚ L 331, 15.12.2010, s. 12, ELI: http://data.europa.eu/eli/reg/2010/1093/oj).</w:t>
      </w:r>
    </w:p>
  </w:footnote>
  <w:footnote w:id="6">
    <w:p w:rsidR="00716EA9" w:rsidRPr="003320DB" w:rsidRDefault="00716EA9" w:rsidP="00716EA9">
      <w:pPr>
        <w:pStyle w:val="FootnoteText"/>
      </w:pPr>
      <w:r w:rsidRPr="003320DB">
        <w:rPr>
          <w:rStyle w:val="FootnoteReference"/>
        </w:rPr>
        <w:footnoteRef/>
      </w:r>
      <w:r w:rsidRPr="003320DB">
        <w:tab/>
      </w:r>
      <w:r w:rsidRPr="003320DB">
        <w:rPr>
          <w:color w:val="333333"/>
          <w:shd w:val="clear" w:color="auto" w:fill="FFFFFF"/>
        </w:rPr>
        <w:t>Smernica Európskeho parlamentu</w:t>
      </w:r>
      <w:r w:rsidR="003320DB">
        <w:rPr>
          <w:color w:val="333333"/>
          <w:shd w:val="clear" w:color="auto" w:fill="FFFFFF"/>
        </w:rPr>
        <w:t xml:space="preserve"> a </w:t>
      </w:r>
      <w:r w:rsidRPr="003320DB">
        <w:rPr>
          <w:color w:val="333333"/>
          <w:shd w:val="clear" w:color="auto" w:fill="FFFFFF"/>
        </w:rPr>
        <w:t>Rady 2013/36/EÚ</w:t>
      </w:r>
      <w:r w:rsidR="003320DB">
        <w:rPr>
          <w:color w:val="333333"/>
          <w:shd w:val="clear" w:color="auto" w:fill="FFFFFF"/>
        </w:rPr>
        <w:t xml:space="preserve"> z </w:t>
      </w:r>
      <w:r w:rsidRPr="003320DB">
        <w:rPr>
          <w:color w:val="333333"/>
          <w:shd w:val="clear" w:color="auto" w:fill="FFFFFF"/>
        </w:rPr>
        <w:t>26</w:t>
      </w:r>
      <w:r w:rsidR="003320DB">
        <w:rPr>
          <w:color w:val="333333"/>
          <w:shd w:val="clear" w:color="auto" w:fill="FFFFFF"/>
        </w:rPr>
        <w:t>. júna</w:t>
      </w:r>
      <w:r w:rsidRPr="003320DB">
        <w:rPr>
          <w:color w:val="333333"/>
          <w:shd w:val="clear" w:color="auto" w:fill="FFFFFF"/>
        </w:rPr>
        <w:t xml:space="preserve"> 2013</w:t>
      </w:r>
      <w:r w:rsidR="003320DB">
        <w:rPr>
          <w:color w:val="333333"/>
          <w:shd w:val="clear" w:color="auto" w:fill="FFFFFF"/>
        </w:rPr>
        <w:t xml:space="preserve"> o </w:t>
      </w:r>
      <w:r w:rsidRPr="003320DB">
        <w:rPr>
          <w:color w:val="333333"/>
          <w:shd w:val="clear" w:color="auto" w:fill="FFFFFF"/>
        </w:rPr>
        <w:t>prístupe</w:t>
      </w:r>
      <w:r w:rsidR="003320DB">
        <w:rPr>
          <w:color w:val="333333"/>
          <w:shd w:val="clear" w:color="auto" w:fill="FFFFFF"/>
        </w:rPr>
        <w:t xml:space="preserve"> k </w:t>
      </w:r>
      <w:r w:rsidRPr="003320DB">
        <w:rPr>
          <w:color w:val="333333"/>
          <w:shd w:val="clear" w:color="auto" w:fill="FFFFFF"/>
        </w:rPr>
        <w:t>činnosti úverových inštitúcií</w:t>
      </w:r>
      <w:r w:rsidR="003320DB">
        <w:rPr>
          <w:color w:val="333333"/>
          <w:shd w:val="clear" w:color="auto" w:fill="FFFFFF"/>
        </w:rPr>
        <w:t xml:space="preserve"> a </w:t>
      </w:r>
      <w:r w:rsidRPr="003320DB">
        <w:rPr>
          <w:color w:val="333333"/>
          <w:shd w:val="clear" w:color="auto" w:fill="FFFFFF"/>
        </w:rPr>
        <w:t>prudenciálnom dohľade nad úverovými inštitúciami,</w:t>
      </w:r>
      <w:r w:rsidR="003320DB">
        <w:rPr>
          <w:color w:val="333333"/>
          <w:shd w:val="clear" w:color="auto" w:fill="FFFFFF"/>
        </w:rPr>
        <w:t xml:space="preserve"> o </w:t>
      </w:r>
      <w:r w:rsidRPr="003320DB">
        <w:rPr>
          <w:color w:val="333333"/>
          <w:shd w:val="clear" w:color="auto" w:fill="FFFFFF"/>
        </w:rPr>
        <w:t>zmene smernice 2002/87/ES</w:t>
      </w:r>
      <w:r w:rsidR="003320DB">
        <w:rPr>
          <w:color w:val="333333"/>
          <w:shd w:val="clear" w:color="auto" w:fill="FFFFFF"/>
        </w:rPr>
        <w:t xml:space="preserve"> a o </w:t>
      </w:r>
      <w:r w:rsidRPr="003320DB">
        <w:rPr>
          <w:color w:val="333333"/>
          <w:shd w:val="clear" w:color="auto" w:fill="FFFFFF"/>
        </w:rPr>
        <w:t>zrušení smerníc 2006/48/ES</w:t>
      </w:r>
      <w:r w:rsidR="003320DB">
        <w:rPr>
          <w:color w:val="333333"/>
          <w:shd w:val="clear" w:color="auto" w:fill="FFFFFF"/>
        </w:rPr>
        <w:t xml:space="preserve"> a </w:t>
      </w:r>
      <w:r w:rsidRPr="003320DB">
        <w:rPr>
          <w:color w:val="333333"/>
          <w:shd w:val="clear" w:color="auto" w:fill="FFFFFF"/>
        </w:rPr>
        <w:t>2006/49/ES (Ú. v. EÚ L 176, 27.6.2013, s. 338, ELI:</w:t>
      </w:r>
      <w:r w:rsidRPr="003320DB">
        <w:t xml:space="preserve"> </w:t>
      </w:r>
      <w:hyperlink r:id="rId2" w:tooltip="Umožňuje prístup k tomuto dokumentu prostredníctvom identifikátorov ELI a URI." w:history="1">
        <w:r w:rsidRPr="003320DB">
          <w:rPr>
            <w:color w:val="333333"/>
          </w:rPr>
          <w:t>http://data.europa.eu/eli/dir/2013/36/oj</w:t>
        </w:r>
      </w:hyperlink>
      <w:r w:rsidRPr="003320DB">
        <w:rPr>
          <w:color w:val="333333"/>
          <w:shd w:val="clear" w:color="auto" w:fill="FFFFFF"/>
        </w:rPr>
        <w:t>).</w:t>
      </w:r>
    </w:p>
  </w:footnote>
  <w:footnote w:id="7">
    <w:p w:rsidR="00716EA9" w:rsidRPr="003320DB" w:rsidRDefault="00716EA9" w:rsidP="00716EA9">
      <w:pPr>
        <w:pStyle w:val="FootnoteText"/>
      </w:pPr>
      <w:r w:rsidRPr="003320DB">
        <w:rPr>
          <w:rStyle w:val="FootnoteReference"/>
        </w:rPr>
        <w:footnoteRef/>
      </w:r>
      <w:r w:rsidRPr="003320DB">
        <w:tab/>
      </w:r>
      <w:r w:rsidRPr="003320DB">
        <w:rPr>
          <w:color w:val="333333"/>
          <w:shd w:val="clear" w:color="auto" w:fill="FFFFFF"/>
        </w:rPr>
        <w:t xml:space="preserve">Smernica </w:t>
      </w:r>
      <w:bookmarkStart w:id="1" w:name="_Hlk172136107"/>
      <w:r w:rsidRPr="003320DB">
        <w:rPr>
          <w:color w:val="333333"/>
          <w:shd w:val="clear" w:color="auto" w:fill="FFFFFF"/>
        </w:rPr>
        <w:t>Európskeho parlamentu</w:t>
      </w:r>
      <w:r w:rsidR="003320DB">
        <w:rPr>
          <w:color w:val="333333"/>
          <w:shd w:val="clear" w:color="auto" w:fill="FFFFFF"/>
        </w:rPr>
        <w:t xml:space="preserve"> a </w:t>
      </w:r>
      <w:r w:rsidRPr="003320DB">
        <w:rPr>
          <w:color w:val="333333"/>
          <w:shd w:val="clear" w:color="auto" w:fill="FFFFFF"/>
        </w:rPr>
        <w:t>Rady</w:t>
      </w:r>
      <w:bookmarkEnd w:id="1"/>
      <w:r w:rsidRPr="003320DB">
        <w:rPr>
          <w:color w:val="333333"/>
          <w:shd w:val="clear" w:color="auto" w:fill="FFFFFF"/>
        </w:rPr>
        <w:t xml:space="preserve"> (EÚ) 2019/2034</w:t>
      </w:r>
      <w:r w:rsidR="003320DB">
        <w:t xml:space="preserve"> z </w:t>
      </w:r>
      <w:r w:rsidRPr="003320DB">
        <w:rPr>
          <w:color w:val="333333"/>
          <w:shd w:val="clear" w:color="auto" w:fill="FFFFFF"/>
        </w:rPr>
        <w:t>27</w:t>
      </w:r>
      <w:r w:rsidR="003320DB">
        <w:rPr>
          <w:color w:val="333333"/>
          <w:shd w:val="clear" w:color="auto" w:fill="FFFFFF"/>
        </w:rPr>
        <w:t>. novembra</w:t>
      </w:r>
      <w:r w:rsidRPr="003320DB">
        <w:rPr>
          <w:color w:val="333333"/>
          <w:shd w:val="clear" w:color="auto" w:fill="FFFFFF"/>
        </w:rPr>
        <w:t xml:space="preserve"> 2019</w:t>
      </w:r>
      <w:r w:rsidR="003320DB">
        <w:rPr>
          <w:color w:val="333333"/>
          <w:shd w:val="clear" w:color="auto" w:fill="FFFFFF"/>
        </w:rPr>
        <w:t xml:space="preserve"> o </w:t>
      </w:r>
      <w:r w:rsidRPr="003320DB">
        <w:rPr>
          <w:color w:val="333333"/>
          <w:shd w:val="clear" w:color="auto" w:fill="FFFFFF"/>
        </w:rPr>
        <w:t>prudenciálnom dohľade nad investičnými spoločnosťami</w:t>
      </w:r>
      <w:r w:rsidR="003320DB">
        <w:rPr>
          <w:color w:val="333333"/>
          <w:shd w:val="clear" w:color="auto" w:fill="FFFFFF"/>
        </w:rPr>
        <w:t xml:space="preserve"> a o </w:t>
      </w:r>
      <w:r w:rsidRPr="003320DB">
        <w:rPr>
          <w:color w:val="333333"/>
          <w:shd w:val="clear" w:color="auto" w:fill="FFFFFF"/>
        </w:rPr>
        <w:t>zmene smerníc 2002/87/ES, 2009/65/ES, 2011/61/EÚ, 2013/36/EÚ, 2014/59/EÚ</w:t>
      </w:r>
      <w:r w:rsidR="003320DB">
        <w:rPr>
          <w:color w:val="333333"/>
          <w:shd w:val="clear" w:color="auto" w:fill="FFFFFF"/>
        </w:rPr>
        <w:t xml:space="preserve"> a </w:t>
      </w:r>
      <w:r w:rsidRPr="003320DB">
        <w:rPr>
          <w:color w:val="333333"/>
          <w:shd w:val="clear" w:color="auto" w:fill="FFFFFF"/>
        </w:rPr>
        <w:t>2014/65/EÚ (Ú. v. EÚ </w:t>
      </w:r>
      <w:r w:rsidRPr="003320DB">
        <w:t xml:space="preserve">L 314, 5.12.2019, s. 64, </w:t>
      </w:r>
      <w:r w:rsidRPr="003320DB">
        <w:rPr>
          <w:color w:val="333333"/>
          <w:shd w:val="clear" w:color="auto" w:fill="FFFFFF"/>
        </w:rPr>
        <w:t>ELI:</w:t>
      </w:r>
      <w:r w:rsidRPr="003320DB">
        <w:t xml:space="preserve"> </w:t>
      </w:r>
      <w:hyperlink r:id="rId3" w:tooltip="Umožňuje prístup k tomuto dokumentu prostredníctvom identifikátorov ELI a URI." w:history="1">
        <w:r w:rsidRPr="003320DB">
          <w:rPr>
            <w:color w:val="333333"/>
          </w:rPr>
          <w:t>http://data.europa.eu/eli/dir/2019/2034/oj</w:t>
        </w:r>
      </w:hyperlink>
      <w:r w:rsidRPr="003320DB">
        <w:rPr>
          <w:color w:val="333333"/>
          <w:shd w:val="clear" w:color="auto" w:fill="FFFFFF"/>
        </w:rPr>
        <w:t>).</w:t>
      </w:r>
    </w:p>
  </w:footnote>
  <w:footnote w:id="8">
    <w:p w:rsidR="00797855" w:rsidRPr="003320DB" w:rsidRDefault="00797855" w:rsidP="00C856B2">
      <w:pPr>
        <w:pStyle w:val="FootnoteText"/>
      </w:pPr>
      <w:r w:rsidRPr="003320DB">
        <w:rPr>
          <w:rStyle w:val="FootnoteReference"/>
        </w:rPr>
        <w:footnoteRef/>
      </w:r>
      <w:r w:rsidRPr="003320DB">
        <w:tab/>
        <w:t>Delegované nariadenie Komisie (EÚ) 2016/101</w:t>
      </w:r>
      <w:r w:rsidR="003320DB">
        <w:t xml:space="preserve"> z </w:t>
      </w:r>
      <w:r w:rsidRPr="003320DB">
        <w:t>26</w:t>
      </w:r>
      <w:r w:rsidR="003320DB">
        <w:t>. októbra</w:t>
      </w:r>
      <w:r w:rsidRPr="003320DB">
        <w:t xml:space="preserve"> 2015, ktorým sa dopĺňa nariadenie Európskeho parlamentu</w:t>
      </w:r>
      <w:r w:rsidR="003320DB">
        <w:t xml:space="preserve"> a </w:t>
      </w:r>
      <w:r w:rsidRPr="003320DB">
        <w:t xml:space="preserve">Rady (EÚ) </w:t>
      </w:r>
      <w:r w:rsidR="003320DB">
        <w:t>č. </w:t>
      </w:r>
      <w:r w:rsidRPr="003320DB">
        <w:t>575/2013, pokiaľ ide</w:t>
      </w:r>
      <w:r w:rsidR="003320DB">
        <w:t xml:space="preserve"> o </w:t>
      </w:r>
      <w:r w:rsidRPr="003320DB">
        <w:t>regulačné technické predpisy týkajúce sa obozretného oceňovania podľa článku 105 ods. 14 (Ú. v. EÚ L 21, 28.1.2016, s. 54, ELI: http://data.europa.eu/eli/reg_del/2016/101/oj).</w:t>
      </w:r>
    </w:p>
  </w:footnote>
  <w:footnote w:id="9">
    <w:p w:rsidR="00716EA9" w:rsidRPr="003320DB" w:rsidRDefault="00716EA9" w:rsidP="00716EA9">
      <w:pPr>
        <w:pStyle w:val="FootnoteText"/>
      </w:pPr>
      <w:r w:rsidRPr="003320DB">
        <w:rPr>
          <w:rStyle w:val="FootnoteReference"/>
        </w:rPr>
        <w:footnoteRef/>
      </w:r>
      <w:r w:rsidRPr="003320DB">
        <w:tab/>
      </w:r>
      <w:r w:rsidRPr="003320DB">
        <w:rPr>
          <w:color w:val="333333"/>
          <w:shd w:val="clear" w:color="auto" w:fill="FFFFFF"/>
        </w:rPr>
        <w:t>Nariadenie Európskeho parlamentu</w:t>
      </w:r>
      <w:r w:rsidR="003320DB">
        <w:rPr>
          <w:color w:val="333333"/>
          <w:shd w:val="clear" w:color="auto" w:fill="FFFFFF"/>
        </w:rPr>
        <w:t xml:space="preserve"> a </w:t>
      </w:r>
      <w:r w:rsidRPr="003320DB">
        <w:rPr>
          <w:color w:val="333333"/>
          <w:shd w:val="clear" w:color="auto" w:fill="FFFFFF"/>
        </w:rPr>
        <w:t xml:space="preserve">Rady (ES) </w:t>
      </w:r>
      <w:r w:rsidR="003320DB">
        <w:rPr>
          <w:color w:val="333333"/>
          <w:shd w:val="clear" w:color="auto" w:fill="FFFFFF"/>
        </w:rPr>
        <w:t>č. </w:t>
      </w:r>
      <w:r w:rsidRPr="003320DB">
        <w:rPr>
          <w:color w:val="333333"/>
          <w:shd w:val="clear" w:color="auto" w:fill="FFFFFF"/>
        </w:rPr>
        <w:t>1606/2002</w:t>
      </w:r>
      <w:r w:rsidR="003320DB">
        <w:rPr>
          <w:color w:val="333333"/>
          <w:shd w:val="clear" w:color="auto" w:fill="FFFFFF"/>
        </w:rPr>
        <w:t xml:space="preserve"> z </w:t>
      </w:r>
      <w:r w:rsidRPr="003320DB">
        <w:rPr>
          <w:color w:val="333333"/>
          <w:shd w:val="clear" w:color="auto" w:fill="FFFFFF"/>
        </w:rPr>
        <w:t>19</w:t>
      </w:r>
      <w:r w:rsidR="003320DB">
        <w:rPr>
          <w:color w:val="333333"/>
          <w:shd w:val="clear" w:color="auto" w:fill="FFFFFF"/>
        </w:rPr>
        <w:t>. júla</w:t>
      </w:r>
      <w:r w:rsidRPr="003320DB">
        <w:rPr>
          <w:color w:val="333333"/>
          <w:shd w:val="clear" w:color="auto" w:fill="FFFFFF"/>
        </w:rPr>
        <w:t xml:space="preserve"> 2002</w:t>
      </w:r>
      <w:r w:rsidR="003320DB">
        <w:rPr>
          <w:color w:val="333333"/>
          <w:shd w:val="clear" w:color="auto" w:fill="FFFFFF"/>
        </w:rPr>
        <w:t xml:space="preserve"> o </w:t>
      </w:r>
      <w:r w:rsidRPr="003320DB">
        <w:rPr>
          <w:color w:val="333333"/>
          <w:shd w:val="clear" w:color="auto" w:fill="FFFFFF"/>
        </w:rPr>
        <w:t>uplatňovaní medzinárodných účtovných noriem (Ú. v. ES L 243, 11.9.2002, s. 1, ELI: http://data.europa.eu/eli/reg/2002/1606/oj).</w:t>
      </w:r>
    </w:p>
  </w:footnote>
  <w:footnote w:id="10">
    <w:p w:rsidR="00745A2E" w:rsidRPr="003320DB" w:rsidRDefault="00745A2E" w:rsidP="00C856B2">
      <w:pPr>
        <w:pStyle w:val="FootnoteText"/>
      </w:pPr>
      <w:r w:rsidRPr="003320DB">
        <w:rPr>
          <w:rStyle w:val="FootnoteReference"/>
        </w:rPr>
        <w:footnoteRef/>
      </w:r>
      <w:r w:rsidRPr="003320DB">
        <w:tab/>
        <w:t>Smernica Európskeho parlamentu</w:t>
      </w:r>
      <w:r w:rsidR="003320DB">
        <w:t xml:space="preserve"> a </w:t>
      </w:r>
      <w:r w:rsidRPr="003320DB">
        <w:t>Rady 2009/65/ES</w:t>
      </w:r>
      <w:r w:rsidR="003320DB">
        <w:t xml:space="preserve"> z </w:t>
      </w:r>
      <w:r w:rsidRPr="003320DB">
        <w:t>13</w:t>
      </w:r>
      <w:r w:rsidR="003320DB">
        <w:t>. júla</w:t>
      </w:r>
      <w:r w:rsidRPr="003320DB">
        <w:t xml:space="preserve"> 2009</w:t>
      </w:r>
      <w:r w:rsidR="003320DB">
        <w:t xml:space="preserve"> o </w:t>
      </w:r>
      <w:r w:rsidRPr="003320DB">
        <w:t>koordinácii zákonov, iných právnych predpisov</w:t>
      </w:r>
      <w:r w:rsidR="003320DB">
        <w:t xml:space="preserve"> a </w:t>
      </w:r>
      <w:r w:rsidRPr="003320DB">
        <w:t>správnych opatrení týkajúcich sa podnikov kolektívneho investovania do prevoditeľných cenných papierov (PKIPCP) (prepracované znenie) (Ú. v. EÚ L 302, 17.11.2009, s. 32, ELI: http://data.europa.eu/eli/dir/2009/65/oj).</w:t>
      </w:r>
    </w:p>
  </w:footnote>
  <w:footnote w:id="11">
    <w:p w:rsidR="00AB5213" w:rsidRPr="003320DB" w:rsidRDefault="00AB5213" w:rsidP="00AB5213">
      <w:pPr>
        <w:pStyle w:val="FootnoteText"/>
      </w:pPr>
      <w:r w:rsidRPr="003320DB">
        <w:rPr>
          <w:rStyle w:val="FootnoteReference"/>
        </w:rPr>
        <w:footnoteRef/>
      </w:r>
      <w:r w:rsidRPr="003320DB">
        <w:tab/>
      </w:r>
      <w:r w:rsidRPr="003320DB">
        <w:rPr>
          <w:color w:val="333333"/>
          <w:shd w:val="clear" w:color="auto" w:fill="FFFFFF"/>
        </w:rPr>
        <w:t xml:space="preserve">Nariadenie Európskeho parlamentu A Rady (EÚ) </w:t>
      </w:r>
      <w:r w:rsidR="003320DB">
        <w:rPr>
          <w:color w:val="333333"/>
          <w:shd w:val="clear" w:color="auto" w:fill="FFFFFF"/>
        </w:rPr>
        <w:t>č. </w:t>
      </w:r>
      <w:r w:rsidRPr="003320DB">
        <w:rPr>
          <w:color w:val="333333"/>
          <w:shd w:val="clear" w:color="auto" w:fill="FFFFFF"/>
        </w:rPr>
        <w:t>806/2014</w:t>
      </w:r>
      <w:r w:rsidR="003320DB">
        <w:rPr>
          <w:color w:val="333333"/>
          <w:shd w:val="clear" w:color="auto" w:fill="FFFFFF"/>
        </w:rPr>
        <w:t xml:space="preserve"> z </w:t>
      </w:r>
      <w:r w:rsidRPr="003320DB">
        <w:rPr>
          <w:color w:val="333333"/>
          <w:shd w:val="clear" w:color="auto" w:fill="FFFFFF"/>
        </w:rPr>
        <w:t>15</w:t>
      </w:r>
      <w:r w:rsidR="003320DB">
        <w:rPr>
          <w:color w:val="333333"/>
          <w:shd w:val="clear" w:color="auto" w:fill="FFFFFF"/>
        </w:rPr>
        <w:t>. júla</w:t>
      </w:r>
      <w:r w:rsidRPr="003320DB">
        <w:rPr>
          <w:color w:val="333333"/>
          <w:shd w:val="clear" w:color="auto" w:fill="FFFFFF"/>
        </w:rPr>
        <w:t xml:space="preserve"> 2014, ktorým sa stanovujú jednotné pravidlá</w:t>
      </w:r>
      <w:r w:rsidR="003320DB">
        <w:rPr>
          <w:color w:val="333333"/>
          <w:shd w:val="clear" w:color="auto" w:fill="FFFFFF"/>
        </w:rPr>
        <w:t xml:space="preserve"> a </w:t>
      </w:r>
      <w:r w:rsidRPr="003320DB">
        <w:rPr>
          <w:color w:val="333333"/>
          <w:shd w:val="clear" w:color="auto" w:fill="FFFFFF"/>
        </w:rPr>
        <w:t>jednotný postup riešenia krízových situácií úverových inštitúcií</w:t>
      </w:r>
      <w:r w:rsidR="003320DB">
        <w:rPr>
          <w:color w:val="333333"/>
          <w:shd w:val="clear" w:color="auto" w:fill="FFFFFF"/>
        </w:rPr>
        <w:t xml:space="preserve"> a </w:t>
      </w:r>
      <w:r w:rsidRPr="003320DB">
        <w:rPr>
          <w:color w:val="333333"/>
          <w:shd w:val="clear" w:color="auto" w:fill="FFFFFF"/>
        </w:rPr>
        <w:t>určitých investičných spoločností</w:t>
      </w:r>
      <w:r w:rsidR="003320DB">
        <w:rPr>
          <w:color w:val="333333"/>
          <w:shd w:val="clear" w:color="auto" w:fill="FFFFFF"/>
        </w:rPr>
        <w:t xml:space="preserve"> v </w:t>
      </w:r>
      <w:r w:rsidRPr="003320DB">
        <w:rPr>
          <w:color w:val="333333"/>
          <w:shd w:val="clear" w:color="auto" w:fill="FFFFFF"/>
        </w:rPr>
        <w:t>rámci jednotného mechanizmu riešenia krízových situácií</w:t>
      </w:r>
      <w:r w:rsidR="003320DB">
        <w:rPr>
          <w:color w:val="333333"/>
          <w:shd w:val="clear" w:color="auto" w:fill="FFFFFF"/>
        </w:rPr>
        <w:t xml:space="preserve"> a </w:t>
      </w:r>
      <w:r w:rsidRPr="003320DB">
        <w:rPr>
          <w:color w:val="333333"/>
          <w:shd w:val="clear" w:color="auto" w:fill="FFFFFF"/>
        </w:rPr>
        <w:t>jednotného fondu na riešenie krízových situácií</w:t>
      </w:r>
      <w:r w:rsidR="003320DB">
        <w:rPr>
          <w:color w:val="333333"/>
          <w:shd w:val="clear" w:color="auto" w:fill="FFFFFF"/>
        </w:rPr>
        <w:t xml:space="preserve"> a </w:t>
      </w:r>
      <w:r w:rsidRPr="003320DB">
        <w:rPr>
          <w:color w:val="333333"/>
          <w:shd w:val="clear" w:color="auto" w:fill="FFFFFF"/>
        </w:rPr>
        <w:t xml:space="preserve">ktorým sa mení nariadenie (EÚ) </w:t>
      </w:r>
      <w:r w:rsidR="003320DB">
        <w:rPr>
          <w:color w:val="333333"/>
          <w:shd w:val="clear" w:color="auto" w:fill="FFFFFF"/>
        </w:rPr>
        <w:t>č. </w:t>
      </w:r>
      <w:r w:rsidRPr="003320DB">
        <w:rPr>
          <w:color w:val="333333"/>
          <w:shd w:val="clear" w:color="auto" w:fill="FFFFFF"/>
        </w:rPr>
        <w:t>1093/2010 (</w:t>
      </w:r>
      <w:r w:rsidRPr="003320DB">
        <w:rPr>
          <w:rStyle w:val="Emphasis"/>
          <w:i w:val="0"/>
          <w:color w:val="333333"/>
          <w:shd w:val="clear" w:color="auto" w:fill="FFFFFF"/>
        </w:rPr>
        <w:t>Ú. v. EÚ L 225, 30.7.2014, s. 1</w:t>
      </w:r>
      <w:r w:rsidRPr="003320DB">
        <w:rPr>
          <w:color w:val="333333"/>
          <w:shd w:val="clear" w:color="auto" w:fill="FFFFFF"/>
        </w:rPr>
        <w:t>, ELI:</w:t>
      </w:r>
      <w:r w:rsidRPr="003320DB">
        <w:rPr>
          <w:shd w:val="clear" w:color="auto" w:fill="FFFFFF"/>
        </w:rPr>
        <w:t xml:space="preserve"> http://data.europa.eu/eli/reg/2014/806/oj</w:t>
      </w:r>
      <w:r w:rsidRPr="003320D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033" w:rsidRDefault="00093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033" w:rsidRDefault="000930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8:3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D19E91D-7ADA-46AF-968F-A4B1F99AE81B"/>
    <w:docVar w:name="LW_COVERPAGE_TYPE" w:val="1"/>
    <w:docVar w:name="LW_CROSSREFERENCE" w:val="&lt;UNUSED&gt;"/>
    <w:docVar w:name="LW_DATE.ADOPT.CP" w:val="z 29. 11. 2024,"/>
    <w:docVar w:name="LW_DATE.ADOPT.CP_DATEFORMAT" w:val="z %DATE%,"/>
    <w:docVar w:name="LW_DATE.ADOPT.CP_ISODATE" w:val="2024-11-29"/>
    <w:docVar w:name="LW_DocType" w:val="COM"/>
    <w:docVar w:name="LW_EMISSION" w:val="29. 11. 2024"/>
    <w:docVar w:name="LW_EMISSION_ISODATE" w:val="2024-11-29"/>
    <w:docVar w:name="LW_EMISSION_LOCATION" w:val="BRX"/>
    <w:docVar w:name="LW_EMISSION_PREFIX" w:val="V Bruseli"/>
    <w:docVar w:name="LW_EMISSION_SUFFIX" w:val=" "/>
    <w:docVar w:name="LW_ID_DOCMODEL" w:val="SJ-004"/>
    <w:docVar w:name="LW_ID_DOCSIGNATURE" w:val="SJ-004"/>
    <w:docVar w:name="LW_ID_DOCSTRUCTURE" w:val="COM/AA"/>
    <w:docVar w:name="LW_ID_DOCTYPE" w:val="SJ-004"/>
    <w:docVar w:name="LW_INTERETEEE.CP" w:val="(Text s významom pre EHP)"/>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orým sa stanovujú vykonávacie technické predpisy na uplat\u328?ovanie nariadenia Európskeho parlamentu a Rady (EÚ) \u269?. 575/2013, pokia\u318? ide o vykazovanie in\u353?titúciami na ú\u269?ely doh\u318?adu, a ktorým sa zru\u353?uje vykonávacie nariadenie Komisie (EÚ) 2021/451"/>
    <w:docVar w:name="LW_TYPE.DOC.CP" w:val="VYKONÁVACIE NARIADENIE KOMISIE (EÚ) \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0BD8"/>
    <w:rsid w:val="0004265D"/>
    <w:rsid w:val="00054698"/>
    <w:rsid w:val="00063140"/>
    <w:rsid w:val="00063B91"/>
    <w:rsid w:val="0007406B"/>
    <w:rsid w:val="00090CF8"/>
    <w:rsid w:val="00093033"/>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0F6D09"/>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4D39"/>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7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20DB"/>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1A0D"/>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02F9"/>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4749"/>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2F20"/>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4E70"/>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9773F"/>
    <w:rsid w:val="008A0DDB"/>
    <w:rsid w:val="008A1AAC"/>
    <w:rsid w:val="008A53EE"/>
    <w:rsid w:val="008B158E"/>
    <w:rsid w:val="008B57C8"/>
    <w:rsid w:val="008C205C"/>
    <w:rsid w:val="008D4069"/>
    <w:rsid w:val="008D53CD"/>
    <w:rsid w:val="008D5A0B"/>
    <w:rsid w:val="008E0267"/>
    <w:rsid w:val="008E2694"/>
    <w:rsid w:val="008E613C"/>
    <w:rsid w:val="008F241F"/>
    <w:rsid w:val="008F42CF"/>
    <w:rsid w:val="00903919"/>
    <w:rsid w:val="00912A7E"/>
    <w:rsid w:val="00912B9C"/>
    <w:rsid w:val="0092082A"/>
    <w:rsid w:val="00921097"/>
    <w:rsid w:val="009216F5"/>
    <w:rsid w:val="00923761"/>
    <w:rsid w:val="0092399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31B76"/>
    <w:rsid w:val="00A4180A"/>
    <w:rsid w:val="00A41976"/>
    <w:rsid w:val="00A42949"/>
    <w:rsid w:val="00A50DF2"/>
    <w:rsid w:val="00A565C7"/>
    <w:rsid w:val="00A60700"/>
    <w:rsid w:val="00A611CA"/>
    <w:rsid w:val="00A61D35"/>
    <w:rsid w:val="00A639F3"/>
    <w:rsid w:val="00A64E55"/>
    <w:rsid w:val="00A678AE"/>
    <w:rsid w:val="00A7155B"/>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08CE"/>
    <w:rsid w:val="00BA287E"/>
    <w:rsid w:val="00BA571D"/>
    <w:rsid w:val="00BA7013"/>
    <w:rsid w:val="00BA7B51"/>
    <w:rsid w:val="00BB2DDF"/>
    <w:rsid w:val="00BB40B1"/>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E45"/>
    <w:rsid w:val="00C23DB8"/>
    <w:rsid w:val="00C26E6A"/>
    <w:rsid w:val="00C32879"/>
    <w:rsid w:val="00C32A28"/>
    <w:rsid w:val="00C32BE3"/>
    <w:rsid w:val="00C33595"/>
    <w:rsid w:val="00C34339"/>
    <w:rsid w:val="00C3481D"/>
    <w:rsid w:val="00C37160"/>
    <w:rsid w:val="00C3731F"/>
    <w:rsid w:val="00C417A6"/>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14ACF"/>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2BC"/>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0BE9"/>
    <w:rsid w:val="00EA0CC5"/>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93D"/>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sk-SK"/>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sk-SK"/>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093033"/>
    <w:rPr>
      <w:rFonts w:ascii="Times New Roman" w:hAnsi="Times New Roman" w:cs="Times New Roman"/>
      <w:sz w:val="24"/>
      <w:lang w:val="sk-SK"/>
    </w:rPr>
  </w:style>
  <w:style w:type="character" w:customStyle="1" w:styleId="FooterChar">
    <w:name w:val="Footer Char"/>
    <w:basedOn w:val="DefaultParagraphFont"/>
    <w:link w:val="Footer"/>
    <w:uiPriority w:val="99"/>
    <w:rsid w:val="00093033"/>
    <w:rPr>
      <w:rFonts w:ascii="Times New Roman" w:hAnsi="Times New Roman" w:cs="Times New Roman"/>
      <w:sz w:val="24"/>
      <w:lang w:val="sk-S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k-SK"/>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k-SK"/>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k-SK"/>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k-SK"/>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k-SK"/>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k-SK"/>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k-SK"/>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9303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93033"/>
    <w:pPr>
      <w:spacing w:before="0"/>
      <w:jc w:val="right"/>
    </w:pPr>
    <w:rPr>
      <w:sz w:val="28"/>
    </w:rPr>
  </w:style>
  <w:style w:type="paragraph" w:customStyle="1" w:styleId="FooterSensitivity">
    <w:name w:val="Footer Sensitivity"/>
    <w:basedOn w:val="Normal"/>
    <w:rsid w:val="0009303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093033"/>
    <w:pPr>
      <w:tabs>
        <w:tab w:val="center" w:pos="4535"/>
        <w:tab w:val="right" w:pos="9071"/>
      </w:tabs>
      <w:spacing w:before="0"/>
    </w:pPr>
  </w:style>
  <w:style w:type="paragraph" w:customStyle="1" w:styleId="HeaderLandscape">
    <w:name w:val="HeaderLandscape"/>
    <w:basedOn w:val="Normal"/>
    <w:rsid w:val="00093033"/>
    <w:pPr>
      <w:tabs>
        <w:tab w:val="center" w:pos="7285"/>
        <w:tab w:val="right" w:pos="14003"/>
      </w:tabs>
      <w:spacing w:before="0"/>
    </w:pPr>
  </w:style>
  <w:style w:type="paragraph" w:styleId="Footer">
    <w:name w:val="footer"/>
    <w:basedOn w:val="Normal"/>
    <w:link w:val="FooterChar"/>
    <w:uiPriority w:val="99"/>
    <w:unhideWhenUsed/>
    <w:rsid w:val="00093033"/>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093033"/>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4.xml><?xml version="1.0" encoding="utf-8"?>
<ds:datastoreItem xmlns:ds="http://schemas.openxmlformats.org/officeDocument/2006/customXml" ds:itemID="{C895D77C-F93B-43BD-AD72-56DBD0A3C55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41</TotalTime>
  <Pages>14</Pages>
  <Words>7297</Words>
  <Characters>41596</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48796</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40</cp:revision>
  <dcterms:created xsi:type="dcterms:W3CDTF">2024-11-08T11:56:00Z</dcterms:created>
  <dcterms:modified xsi:type="dcterms:W3CDTF">2024-12-03T15:48:00Z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