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7D12CE" w:rsidRDefault="00A7117B" w:rsidP="00A7117B">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622CF2FC-E2DB-4372-85CF-8551DF81CCCC" style="width:455.25pt;height:399pt">
            <v:imagedata r:id="rId11" o:title=""/>
          </v:shape>
        </w:pict>
      </w:r>
    </w:p>
    <w:p w:rsidR="00185C9B" w:rsidRPr="007D12CE" w:rsidRDefault="00185C9B">
      <w:pPr>
        <w:rPr>
          <w:noProof/>
          <w:szCs w:val="24"/>
        </w:rPr>
        <w:sectPr w:rsidR="00185C9B" w:rsidRPr="007D12CE" w:rsidSect="00A7117B">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7D12CE" w:rsidRDefault="007D12CE" w:rsidP="007D12CE">
      <w:pPr>
        <w:pStyle w:val="Typedudocument"/>
        <w:rPr>
          <w:noProof/>
        </w:rPr>
      </w:pPr>
      <w:bookmarkStart w:id="0" w:name="_GoBack"/>
      <w:bookmarkEnd w:id="0"/>
      <w:r w:rsidRPr="007D12CE">
        <w:rPr>
          <w:noProof/>
        </w:rPr>
        <w:lastRenderedPageBreak/>
        <w:t>KOMISIJAS ĪSTENOŠANAS REGULA (ES) …/..</w:t>
      </w:r>
    </w:p>
    <w:p w:rsidR="00185C9B" w:rsidRPr="007D12CE" w:rsidRDefault="00EA6B90" w:rsidP="007D12CE">
      <w:pPr>
        <w:pStyle w:val="Datedadoption"/>
        <w:rPr>
          <w:noProof/>
        </w:rPr>
      </w:pPr>
      <w:r>
        <w:rPr>
          <w:noProof/>
        </w:rPr>
        <w:t>(29.11.2024),</w:t>
      </w:r>
    </w:p>
    <w:p w:rsidR="00185C9B" w:rsidRPr="007D12CE" w:rsidRDefault="007D12CE" w:rsidP="007D12CE">
      <w:pPr>
        <w:pStyle w:val="Titreobjet"/>
        <w:rPr>
          <w:noProof/>
        </w:rPr>
      </w:pPr>
      <w:r w:rsidRPr="007D12CE">
        <w:rPr>
          <w:noProof/>
        </w:rPr>
        <w:t>ar ko nosaka īstenošanas tehniskos standartus Eiropas Parlamenta un Padomes Regulas (ES) Nr. 575/2013 piemērošanai attiecībā uz iestāžu sniegtajiem uzraudzības pārskatiem un atceļ Komisijas Īstenošanas regulu (ES) 2021/451</w:t>
      </w:r>
    </w:p>
    <w:p w:rsidR="00185C9B" w:rsidRPr="007D12CE" w:rsidRDefault="007D12CE" w:rsidP="007D12CE">
      <w:pPr>
        <w:pStyle w:val="IntrtEEE"/>
        <w:rPr>
          <w:noProof/>
        </w:rPr>
      </w:pPr>
      <w:r w:rsidRPr="007D12CE">
        <w:rPr>
          <w:noProof/>
        </w:rPr>
        <w:t>(Dokuments attiecas uz EEZ)</w:t>
      </w:r>
    </w:p>
    <w:p w:rsidR="00185C9B" w:rsidRPr="007D12CE" w:rsidRDefault="00185C9B" w:rsidP="004E1EF9">
      <w:pPr>
        <w:pStyle w:val="Institutionquiagit"/>
        <w:rPr>
          <w:noProof/>
          <w:szCs w:val="24"/>
        </w:rPr>
      </w:pPr>
      <w:r w:rsidRPr="007D12CE">
        <w:rPr>
          <w:noProof/>
        </w:rPr>
        <w:t>EIROPAS KOMISIJA,</w:t>
      </w:r>
    </w:p>
    <w:p w:rsidR="00185C9B" w:rsidRPr="007D12CE" w:rsidRDefault="00185C9B" w:rsidP="004E1EF9">
      <w:pPr>
        <w:rPr>
          <w:noProof/>
          <w:szCs w:val="24"/>
        </w:rPr>
      </w:pPr>
      <w:r w:rsidRPr="007D12CE">
        <w:rPr>
          <w:noProof/>
        </w:rPr>
        <w:t>ņemot vērā Līgumu par Eiropas Savienības darbību,</w:t>
      </w:r>
    </w:p>
    <w:p w:rsidR="00716EA9" w:rsidRPr="007D12CE" w:rsidRDefault="00716EA9" w:rsidP="00716EA9">
      <w:pPr>
        <w:rPr>
          <w:noProof/>
          <w:szCs w:val="24"/>
        </w:rPr>
      </w:pPr>
      <w:r w:rsidRPr="007D12CE">
        <w:rPr>
          <w:noProof/>
        </w:rPr>
        <w:t>ņemot vērā Eiropas Parlamenta un Padomes Regulu (ES) Nr. 575/2013 (2013. gada 26. jūnijs) par prudenciālajām prasībām attiecībā uz kredītiestādēm un ieguldījumu brokeru sabiedrībām, un ar ko groza Regulu (ES) Nr. 648/2012</w:t>
      </w:r>
      <w:r w:rsidRPr="007D12CE">
        <w:rPr>
          <w:rStyle w:val="FootnoteReference"/>
          <w:noProof/>
          <w:szCs w:val="24"/>
        </w:rPr>
        <w:footnoteReference w:id="2"/>
      </w:r>
      <w:r w:rsidRPr="007D12CE">
        <w:rPr>
          <w:noProof/>
        </w:rPr>
        <w:t>, un jo īpaši tās 415. panta 3. punkta trešo daļu, 415. panta 3.a punkta trešo daļu, 430. panta 7. punkta trešo daļu un 430. panta 9. punkta piekto daļu,</w:t>
      </w:r>
    </w:p>
    <w:p w:rsidR="00716EA9" w:rsidRPr="007D12CE" w:rsidRDefault="00716EA9" w:rsidP="00716EA9">
      <w:pPr>
        <w:rPr>
          <w:noProof/>
          <w:szCs w:val="24"/>
        </w:rPr>
      </w:pPr>
      <w:r w:rsidRPr="007D12CE">
        <w:rPr>
          <w:noProof/>
        </w:rPr>
        <w:t>tā kā:</w:t>
      </w:r>
    </w:p>
    <w:p w:rsidR="00716EA9" w:rsidRPr="007D12CE" w:rsidRDefault="00A9725E" w:rsidP="00A9725E">
      <w:pPr>
        <w:pStyle w:val="ManualConsidrant"/>
        <w:rPr>
          <w:noProof/>
          <w:szCs w:val="24"/>
        </w:rPr>
      </w:pPr>
      <w:r w:rsidRPr="00A9725E">
        <w:rPr>
          <w:noProof/>
        </w:rPr>
        <w:t>(1)</w:t>
      </w:r>
      <w:r w:rsidRPr="00A9725E">
        <w:rPr>
          <w:noProof/>
        </w:rPr>
        <w:tab/>
      </w:r>
      <w:r w:rsidR="00716EA9" w:rsidRPr="007D12CE">
        <w:rPr>
          <w:noProof/>
        </w:rPr>
        <w:t>Ar Komisijas Īstenošanas regulu (ES) 2021/451</w:t>
      </w:r>
      <w:r w:rsidR="00716EA9" w:rsidRPr="007D12CE">
        <w:rPr>
          <w:rStyle w:val="FootnoteReference"/>
          <w:noProof/>
          <w:szCs w:val="24"/>
        </w:rPr>
        <w:footnoteReference w:id="3"/>
      </w:r>
      <w:r w:rsidR="00716EA9" w:rsidRPr="007D12CE">
        <w:rPr>
          <w:noProof/>
        </w:rPr>
        <w:t>, pamatojoties uz Regulas (ES) Nr. 575/2013 415. un 430. pantu, nosaka saskaņotu pārskatu sniegšanas sistēmu, tostarp prasības attiecībā uz informācijas sniegšanu par pašu kapitālu un pašu kapitāla prasībām, finanšu informāciju, kas jāsniedz saskaņā ar starptautiskajiem finanšu pārskatu standartiem (SFPS) un vispārpieņemtiem grāmatvedības principiem (</w:t>
      </w:r>
      <w:r w:rsidR="00716EA9" w:rsidRPr="007D12CE">
        <w:rPr>
          <w:i/>
          <w:iCs/>
          <w:noProof/>
        </w:rPr>
        <w:t>GAAP</w:t>
      </w:r>
      <w:r w:rsidR="00716EA9" w:rsidRPr="007D12CE">
        <w:rPr>
          <w:noProof/>
        </w:rPr>
        <w:t>), informāciju par zaudējumiem, kas izriet no aizdevumiem, kuri nodrošināti ar nekustamo īpašumu, informāciju par lieliem riska darījumiem, sviras rādītāju, stabilu finansējumu, likviditātes novērtēšanas papildu rādītājiem, aktīvu apgrūtinājumiem, informāciju globāli sistēmiski nozīmīgu iestāžu (G-SNI) identificēšanai un G-SNI rezervju normu piešķiršanai un informāciju par procentu likmju risku banku portfelī. Īstenošanas regula (ES) Nr. 2021/451 ir vairākkārt grozīta pēc grozījumiem Regulā (ES) Nr. 575/2013, kuri tika pieņemti, lai ieviestu, pilnveidotu vai pielāgotu prudenciālos elementus.</w:t>
      </w:r>
    </w:p>
    <w:p w:rsidR="00716EA9" w:rsidRPr="007D12CE" w:rsidRDefault="00A9725E" w:rsidP="00A9725E">
      <w:pPr>
        <w:pStyle w:val="ManualConsidrant"/>
        <w:rPr>
          <w:noProof/>
          <w:szCs w:val="24"/>
        </w:rPr>
      </w:pPr>
      <w:r w:rsidRPr="00A9725E">
        <w:rPr>
          <w:noProof/>
        </w:rPr>
        <w:t>(2)</w:t>
      </w:r>
      <w:r w:rsidRPr="00A9725E">
        <w:rPr>
          <w:noProof/>
        </w:rPr>
        <w:tab/>
      </w:r>
      <w:r w:rsidR="00716EA9" w:rsidRPr="007D12CE">
        <w:rPr>
          <w:noProof/>
        </w:rPr>
        <w:t>Regula (ES) Nr. 575/2013 tika grozīta ar Eiropas Parlamenta un Padomes Regulu (ES) 2024/1623</w:t>
      </w:r>
      <w:r w:rsidR="00716EA9" w:rsidRPr="007D12CE">
        <w:rPr>
          <w:rStyle w:val="FootnoteReference"/>
          <w:noProof/>
          <w:szCs w:val="24"/>
        </w:rPr>
        <w:footnoteReference w:id="4"/>
      </w:r>
      <w:r w:rsidR="00716EA9" w:rsidRPr="007D12CE">
        <w:rPr>
          <w:noProof/>
        </w:rPr>
        <w:t>, lai īstenotu Bāzeles Banku uzraudzības komitejas (Bāzele III) starptautisko standartu galīgo kopumu. Minētie grozījumi būtu jāatspoguļo ziņošanas satvarā, kas patlaban noteikts Īstenošanas regulā (ES) 2021/451.</w:t>
      </w:r>
    </w:p>
    <w:p w:rsidR="00F470F0" w:rsidRPr="007D12CE" w:rsidRDefault="00A9725E" w:rsidP="00A9725E">
      <w:pPr>
        <w:pStyle w:val="ManualConsidrant"/>
        <w:rPr>
          <w:noProof/>
          <w:szCs w:val="24"/>
        </w:rPr>
      </w:pPr>
      <w:r w:rsidRPr="00A9725E">
        <w:rPr>
          <w:noProof/>
        </w:rPr>
        <w:t>(3)</w:t>
      </w:r>
      <w:r w:rsidRPr="00A9725E">
        <w:rPr>
          <w:noProof/>
        </w:rPr>
        <w:tab/>
      </w:r>
      <w:r w:rsidR="00716EA9" w:rsidRPr="007D12CE">
        <w:rPr>
          <w:noProof/>
        </w:rPr>
        <w:t xml:space="preserve">Ņemot vērā grozījumus Regulā (ES) Nr. 575/2013, ir jāpārskata prasības attiecībā uz pārskatu sniegšanu par pašu kapitālu un pašu kapitāla prasībām (riska darījumu </w:t>
      </w:r>
      <w:r w:rsidR="00716EA9" w:rsidRPr="007D12CE">
        <w:rPr>
          <w:noProof/>
        </w:rPr>
        <w:lastRenderedPageBreak/>
        <w:t>vērtības minimālā robežvērtība, kredītrisks un darījuma partnera kredītrisks, kredīta vērtības korekcijas, tirgus risks, operacionālais risks, ienākumus nenesošu riska darījumu un kriptoaktīvu zaudējumu segums), informācijas sniegšanu par zaudējumiem, kas izriet no aizdevumiem, kuri nodrošināti ar nekustamo īpašumu, un informācijas sniegšanu par sviras rādītāju.</w:t>
      </w:r>
    </w:p>
    <w:p w:rsidR="00716EA9" w:rsidRPr="007D12CE" w:rsidRDefault="00A9725E" w:rsidP="00A9725E">
      <w:pPr>
        <w:pStyle w:val="ManualConsidrant"/>
        <w:rPr>
          <w:noProof/>
          <w:szCs w:val="24"/>
        </w:rPr>
      </w:pPr>
      <w:r w:rsidRPr="00A9725E">
        <w:rPr>
          <w:noProof/>
        </w:rPr>
        <w:t>(4)</w:t>
      </w:r>
      <w:r w:rsidRPr="00A9725E">
        <w:rPr>
          <w:noProof/>
        </w:rPr>
        <w:tab/>
      </w:r>
      <w:r w:rsidR="00375AD2" w:rsidRPr="007D12CE">
        <w:rPr>
          <w:noProof/>
        </w:rPr>
        <w:t>Ņemot vērā to, ka ir daudz izmaiņu, kas vajadzīgas, lai īstenotu jaunos noteikumus par pārskatu sniegšanas pienākumiem, ir vēlams Īstenošanas regulu (ES) 2021/451 atcelt un aizstāt, nevis tikai grozīt minēto īstenošanas regulu, jo šāds grozījums attiecīgajiem uzņēmējiem ļoti apgrūtinātu iespēju noskaidrot to, kuras pārskatu sniegšanas prasības tiem ir piemērojamas.</w:t>
      </w:r>
    </w:p>
    <w:p w:rsidR="00716EA9" w:rsidRPr="007D12CE" w:rsidRDefault="00A9725E" w:rsidP="00A9725E">
      <w:pPr>
        <w:pStyle w:val="ManualConsidrant"/>
        <w:rPr>
          <w:noProof/>
          <w:szCs w:val="24"/>
        </w:rPr>
      </w:pPr>
      <w:r w:rsidRPr="00A9725E">
        <w:rPr>
          <w:noProof/>
        </w:rPr>
        <w:t>(5)</w:t>
      </w:r>
      <w:r w:rsidRPr="00A9725E">
        <w:rPr>
          <w:noProof/>
        </w:rPr>
        <w:tab/>
      </w:r>
      <w:r w:rsidR="00D311FE" w:rsidRPr="007D12CE">
        <w:rPr>
          <w:noProof/>
        </w:rPr>
        <w:t>Jaunajās kapitāla pietiekamības veidnēs būtu jāparedz informācijas sniegšana par pašu kapitāla minimālo robežvērtību pašu kapitāla prasībās un kapitāla rādītājos un jo īpaši informācijas sniegšana par Regulas (ES) Nr. 575/2013 465. pantā noteikto pārejas noteikumu ietekmi uz pašu kapitāla minimālo robežvērtību. Pārskatu sniegšanas datiem būtu jānodrošina informācijas sniegšana par ietekmi, ko rada pašu kapitāla minimālā robežvērtība un Regulas (ES) Nr. 575/2013 465. pantā paredzētie pārejas noteikumi. Grupas maksātspējas veidnēs būtu jāiekļauj jauna sleja, kurā uzrāda informāciju par minimālās robežvērtības korekciju sabiedrībām, uz kurām attiecas pašu kapitāla prasības.</w:t>
      </w:r>
    </w:p>
    <w:p w:rsidR="00716EA9" w:rsidRPr="007D12CE" w:rsidRDefault="00A9725E" w:rsidP="00A9725E">
      <w:pPr>
        <w:pStyle w:val="ManualConsidrant"/>
        <w:rPr>
          <w:noProof/>
          <w:szCs w:val="24"/>
        </w:rPr>
      </w:pPr>
      <w:r w:rsidRPr="00A9725E">
        <w:rPr>
          <w:noProof/>
        </w:rPr>
        <w:t>(6)</w:t>
      </w:r>
      <w:r w:rsidRPr="00A9725E">
        <w:rPr>
          <w:noProof/>
        </w:rPr>
        <w:tab/>
      </w:r>
      <w:r w:rsidR="00716EA9" w:rsidRPr="007D12CE">
        <w:rPr>
          <w:noProof/>
        </w:rPr>
        <w:t>Kredītriska veidnēs standartizētajai pieejai (SP) būtu jāatspoguļo grozījumi riska darījumu kategoriju klasifikācijā un jaunās riska pakāpes. Turklāt tām būtu jāatspoguļo detalizētāka pieeja, ko piemēro riska darījumiem, kuri nodrošināti ar nekustamā īpašuma hipotēku, un būtu jāatspoguļo dažas izmaiņas ārpusbilances posteņu riska darījumu vērtības aprēķināšanā, kuras visas Regulā (ES) Nr. 575/2013 tika ieviestas ar Regulu (ES) 2024/1623.</w:t>
      </w:r>
    </w:p>
    <w:p w:rsidR="00716EA9" w:rsidRPr="007D12CE" w:rsidRDefault="00A9725E" w:rsidP="00A9725E">
      <w:pPr>
        <w:pStyle w:val="ManualConsidrant"/>
        <w:rPr>
          <w:noProof/>
          <w:szCs w:val="24"/>
        </w:rPr>
      </w:pPr>
      <w:r w:rsidRPr="00A9725E">
        <w:rPr>
          <w:noProof/>
        </w:rPr>
        <w:t>(7)</w:t>
      </w:r>
      <w:r w:rsidRPr="00A9725E">
        <w:rPr>
          <w:noProof/>
        </w:rPr>
        <w:tab/>
      </w:r>
      <w:r w:rsidR="00716EA9" w:rsidRPr="007D12CE">
        <w:rPr>
          <w:noProof/>
        </w:rPr>
        <w:t>IRB kredītriska veidnēs būtu jāatspoguļo grozījumi riska darījumu kategoriju klasifikācijā, proti, lai ierobežotu iestāžu un lielu komercsabiedrību riska darījumus saskaņā ar IRB pamatpieeju (“FIRB”), un būtu jāparedz informācijas sniegšana par jaunām riska darījumu kategorijām, tostarp ar publiskā sektora struktūrām (</w:t>
      </w:r>
      <w:r w:rsidR="00716EA9" w:rsidRPr="007D12CE">
        <w:rPr>
          <w:i/>
          <w:iCs/>
          <w:noProof/>
        </w:rPr>
        <w:t>PSE</w:t>
      </w:r>
      <w:r w:rsidR="00716EA9" w:rsidRPr="007D12CE">
        <w:rPr>
          <w:noProof/>
        </w:rPr>
        <w:t>) un reģionālajām pašvaldībām vai vietējām pašpārvaldēm (</w:t>
      </w:r>
      <w:r w:rsidR="00716EA9" w:rsidRPr="007D12CE">
        <w:rPr>
          <w:i/>
          <w:iCs/>
          <w:noProof/>
        </w:rPr>
        <w:t>RGLA</w:t>
      </w:r>
      <w:r w:rsidR="00716EA9" w:rsidRPr="007D12CE">
        <w:rPr>
          <w:noProof/>
        </w:rPr>
        <w:t>). Visbeidzot, jaunajās veidnēs būtu jāparedz pārskatu sniegšana gan par standarta, gan par pašu aprēķina kredīta korekcijas pakāpēm.</w:t>
      </w:r>
    </w:p>
    <w:p w:rsidR="00716EA9" w:rsidRPr="007D12CE" w:rsidRDefault="00A9725E" w:rsidP="00A9725E">
      <w:pPr>
        <w:pStyle w:val="ManualConsidrant"/>
        <w:rPr>
          <w:noProof/>
          <w:szCs w:val="24"/>
        </w:rPr>
      </w:pPr>
      <w:r w:rsidRPr="00A9725E">
        <w:rPr>
          <w:noProof/>
        </w:rPr>
        <w:t>(8)</w:t>
      </w:r>
      <w:r w:rsidRPr="00A9725E">
        <w:rPr>
          <w:noProof/>
        </w:rPr>
        <w:tab/>
      </w:r>
      <w:r w:rsidR="00716EA9" w:rsidRPr="007D12CE">
        <w:rPr>
          <w:noProof/>
        </w:rPr>
        <w:t>Jaunajās veidnēs informācijas sniegšanai par ienākumus nenesošu riska darījumu zaudējumu segumu būtu jāatspoguļo izmaiņas to riska darījumu tvērumā, uz kuriem attiecas zaudējumu seguma prasības, un izmaiņas uzkrājumu grafikā.</w:t>
      </w:r>
    </w:p>
    <w:p w:rsidR="00716EA9" w:rsidRPr="007D12CE" w:rsidRDefault="00A9725E" w:rsidP="00A9725E">
      <w:pPr>
        <w:pStyle w:val="ManualConsidrant"/>
        <w:rPr>
          <w:noProof/>
          <w:szCs w:val="24"/>
        </w:rPr>
      </w:pPr>
      <w:r w:rsidRPr="00A9725E">
        <w:rPr>
          <w:noProof/>
        </w:rPr>
        <w:t>(9)</w:t>
      </w:r>
      <w:r w:rsidRPr="00A9725E">
        <w:rPr>
          <w:noProof/>
        </w:rPr>
        <w:tab/>
      </w:r>
      <w:r w:rsidR="0033133E" w:rsidRPr="007D12CE">
        <w:rPr>
          <w:noProof/>
        </w:rPr>
        <w:t>Jaunajā pārskatu sniegšanas veidnē būtu jāparedz informācijas sniegšana par riska darījumiem ar kriptoaktīviem, lai atspoguļotu šo riska darījumu kopējās riska darījumu vērtības.</w:t>
      </w:r>
    </w:p>
    <w:p w:rsidR="00716EA9" w:rsidRPr="007D12CE" w:rsidRDefault="00A9725E" w:rsidP="00A9725E">
      <w:pPr>
        <w:pStyle w:val="ManualConsidrant"/>
        <w:rPr>
          <w:noProof/>
          <w:szCs w:val="24"/>
        </w:rPr>
      </w:pPr>
      <w:r w:rsidRPr="00A9725E">
        <w:rPr>
          <w:noProof/>
        </w:rPr>
        <w:t>(10)</w:t>
      </w:r>
      <w:r w:rsidRPr="00A9725E">
        <w:rPr>
          <w:noProof/>
        </w:rPr>
        <w:tab/>
      </w:r>
      <w:r w:rsidR="00716EA9" w:rsidRPr="007D12CE">
        <w:rPr>
          <w:noProof/>
        </w:rPr>
        <w:t>Sniedzot apkopotos datus par katru valsts nekustamā īpašuma tirgu (“</w:t>
      </w:r>
      <w:r w:rsidR="00716EA9" w:rsidRPr="007D12CE">
        <w:rPr>
          <w:i/>
          <w:iCs/>
          <w:noProof/>
        </w:rPr>
        <w:t>IP</w:t>
      </w:r>
      <w:r w:rsidR="00716EA9" w:rsidRPr="007D12CE">
        <w:rPr>
          <w:noProof/>
        </w:rPr>
        <w:t xml:space="preserve"> zaudējumi”), būtu jāatspoguļo jaunie īpašie pārskatu sniegšanas pienākumi, kas noteikti Regulas (ES) Nr. 575/2013 430.a panta 1. punktā.</w:t>
      </w:r>
    </w:p>
    <w:p w:rsidR="00716EA9" w:rsidRPr="007D12CE" w:rsidRDefault="00A9725E" w:rsidP="00A9725E">
      <w:pPr>
        <w:pStyle w:val="ManualConsidrant"/>
        <w:rPr>
          <w:noProof/>
          <w:szCs w:val="24"/>
        </w:rPr>
      </w:pPr>
      <w:r w:rsidRPr="00A9725E">
        <w:rPr>
          <w:noProof/>
        </w:rPr>
        <w:t>(11)</w:t>
      </w:r>
      <w:r w:rsidRPr="00A9725E">
        <w:rPr>
          <w:noProof/>
        </w:rPr>
        <w:tab/>
      </w:r>
      <w:r w:rsidR="00716EA9" w:rsidRPr="007D12CE">
        <w:rPr>
          <w:noProof/>
        </w:rPr>
        <w:t>Sniedzot informāciju par kredīta vērtības korekcijām (</w:t>
      </w:r>
      <w:r w:rsidR="00716EA9" w:rsidRPr="007D12CE">
        <w:rPr>
          <w:i/>
          <w:iCs/>
          <w:noProof/>
        </w:rPr>
        <w:t>CVA</w:t>
      </w:r>
      <w:r w:rsidR="00716EA9" w:rsidRPr="007D12CE">
        <w:rPr>
          <w:noProof/>
        </w:rPr>
        <w:t xml:space="preserve">), būtu jāatspoguļo standartizētās, pamata un vienkāršotās pieejas un jāietver dažas īpašas pārskatu sniegšanas prasības par </w:t>
      </w:r>
      <w:r w:rsidR="00716EA9" w:rsidRPr="007D12CE">
        <w:rPr>
          <w:i/>
          <w:iCs/>
          <w:noProof/>
        </w:rPr>
        <w:t>CVA</w:t>
      </w:r>
      <w:r w:rsidR="00716EA9" w:rsidRPr="007D12CE">
        <w:rPr>
          <w:noProof/>
        </w:rPr>
        <w:t xml:space="preserve"> risku, kuras visas tika ieviestas Regulas (ES) Nr. 575/2013 VI sadaļā.</w:t>
      </w:r>
    </w:p>
    <w:p w:rsidR="00716EA9" w:rsidRPr="007D12CE" w:rsidRDefault="00A9725E" w:rsidP="00A9725E">
      <w:pPr>
        <w:pStyle w:val="ManualConsidrant"/>
        <w:rPr>
          <w:noProof/>
          <w:szCs w:val="24"/>
        </w:rPr>
      </w:pPr>
      <w:r w:rsidRPr="00A9725E">
        <w:rPr>
          <w:noProof/>
        </w:rPr>
        <w:t>(12)</w:t>
      </w:r>
      <w:r w:rsidRPr="00A9725E">
        <w:rPr>
          <w:noProof/>
        </w:rPr>
        <w:tab/>
      </w:r>
      <w:r w:rsidR="00716EA9" w:rsidRPr="007D12CE">
        <w:rPr>
          <w:noProof/>
        </w:rPr>
        <w:t xml:space="preserve">Ar Regulu (ES) 2024/1623 tika pārskatīts regulējums attiecībā uz robežu starp tirdzniecības portfeli un netirdzniecības portfeli. Tāpēc pārskatu veidnēs būtu jāparedz arī informācijas sniegšana par tirdzniecības portfeļa sastāvu attiecībā uz jaunajiem kritērijiem, kas noteikti Regulas (ES) Nr. 575/2013 104. pantā. </w:t>
      </w:r>
    </w:p>
    <w:p w:rsidR="00716EA9" w:rsidRPr="007D12CE" w:rsidRDefault="00A9725E" w:rsidP="00A9725E">
      <w:pPr>
        <w:pStyle w:val="ManualConsidrant"/>
        <w:rPr>
          <w:noProof/>
          <w:szCs w:val="24"/>
        </w:rPr>
      </w:pPr>
      <w:r w:rsidRPr="00A9725E">
        <w:rPr>
          <w:noProof/>
        </w:rPr>
        <w:t>(13)</w:t>
      </w:r>
      <w:r w:rsidRPr="00A9725E">
        <w:rPr>
          <w:noProof/>
        </w:rPr>
        <w:tab/>
      </w:r>
      <w:r w:rsidR="007051E2" w:rsidRPr="007D12CE">
        <w:rPr>
          <w:noProof/>
        </w:rPr>
        <w:t>Pārskatu sniegšanas atsauces datumi attiecībā uz pašu kapitālu, pašu kapitāla prasībām un papildu pārskatu sniegšanas prasībām individuālā un konsolidētā līmenī ir jāsaskaņo ar finanšu gada beigu datumiem.</w:t>
      </w:r>
    </w:p>
    <w:p w:rsidR="00716EA9" w:rsidRPr="007D12CE" w:rsidRDefault="00A9725E" w:rsidP="00A9725E">
      <w:pPr>
        <w:pStyle w:val="ManualConsidrant"/>
        <w:rPr>
          <w:noProof/>
          <w:szCs w:val="24"/>
        </w:rPr>
      </w:pPr>
      <w:r w:rsidRPr="00A9725E">
        <w:rPr>
          <w:noProof/>
        </w:rPr>
        <w:t>(14)</w:t>
      </w:r>
      <w:r w:rsidRPr="00A9725E">
        <w:rPr>
          <w:noProof/>
        </w:rPr>
        <w:tab/>
      </w:r>
      <w:r w:rsidR="009522F9" w:rsidRPr="007D12CE">
        <w:rPr>
          <w:noProof/>
        </w:rPr>
        <w:t xml:space="preserve">Lai iestādes varētu izveidot pārskatu sniegšanas sistēmas, kas vajadzīgas pārskatu sniegšanas pienākumu izpildei, sabiedrībām, kas pirmo reizi iesaistās kredītiestādes darbībās, būtu jādod vairāk laika veidņu iesniegšanai. </w:t>
      </w:r>
    </w:p>
    <w:p w:rsidR="002823A7" w:rsidRPr="007D12CE" w:rsidRDefault="00A9725E" w:rsidP="00A9725E">
      <w:pPr>
        <w:pStyle w:val="ManualConsidrant"/>
        <w:rPr>
          <w:noProof/>
          <w:szCs w:val="24"/>
        </w:rPr>
      </w:pPr>
      <w:r w:rsidRPr="00A9725E">
        <w:rPr>
          <w:noProof/>
        </w:rPr>
        <w:t>(15)</w:t>
      </w:r>
      <w:r w:rsidRPr="00A9725E">
        <w:rPr>
          <w:noProof/>
        </w:rPr>
        <w:tab/>
      </w:r>
      <w:r w:rsidR="002823A7" w:rsidRPr="007D12CE">
        <w:rPr>
          <w:noProof/>
        </w:rPr>
        <w:t>Ar Regulu (ES) 2024/1623 tika grozīta Regulas (ES) Nr. 575/2013 430. panta 7. punkta pirmā daļa un ieviesta prasība EBI izstrādāt IT risinājumus, tostarp pārskatu sniegšanas veidnes un norādījumus, kas iestādēm jāizmanto, lai izpildītu pārskatu sniegšanas prasības, kuras noteiktas minētā panta 1. līdz 4. punktā.</w:t>
      </w:r>
      <w:r w:rsidR="002823A7" w:rsidRPr="007D12CE">
        <w:rPr>
          <w:noProof/>
          <w:color w:val="000000"/>
        </w:rPr>
        <w:t xml:space="preserve"> Attiecīgi pietiekami skaidri būtu jāprecizē datu punkti un informācija, kas iestādēm jāsniedz un kas EBI būtu jāiekļauj attiecīgajos IT risinājumos. </w:t>
      </w:r>
      <w:r w:rsidR="002823A7" w:rsidRPr="007D12CE">
        <w:rPr>
          <w:noProof/>
        </w:rPr>
        <w:t>Lai EBI varētu izstrādāt piemērotus IT risinājumus, minētajiem vienotajiem pārskatu sniegšanas formātiem nevajadzētu būt saistošiem attiecībā uz to struktūru un attēlojumu, jo EBI nevajadzētu būt pienākumam atkārtot pielikumā noteikto grafisko attēlojumu un tabulas struktūru.</w:t>
      </w:r>
      <w:r w:rsidR="002823A7" w:rsidRPr="007D12CE">
        <w:rPr>
          <w:noProof/>
          <w:color w:val="000000"/>
        </w:rPr>
        <w:t xml:space="preserve"> </w:t>
      </w:r>
      <w:r w:rsidR="002823A7" w:rsidRPr="007D12CE">
        <w:rPr>
          <w:noProof/>
        </w:rPr>
        <w:t>EBI jo īpaši vajadzētu būt iespējai atkāpties no pārskatu sniegšanas veidņu grafiskā attēlojuma un tabulas struktūras, ja IT risinājumā ir iekļauti visi nepieciešamie datu punkti un informācija.</w:t>
      </w:r>
      <w:r w:rsidR="002823A7" w:rsidRPr="007D12CE">
        <w:rPr>
          <w:noProof/>
          <w:color w:val="000000"/>
        </w:rPr>
        <w:t xml:space="preserve"> </w:t>
      </w:r>
    </w:p>
    <w:p w:rsidR="00716EA9" w:rsidRPr="007D12CE" w:rsidRDefault="00A9725E" w:rsidP="00A9725E">
      <w:pPr>
        <w:pStyle w:val="ManualConsidrant"/>
        <w:rPr>
          <w:noProof/>
          <w:szCs w:val="24"/>
        </w:rPr>
      </w:pPr>
      <w:r w:rsidRPr="00A9725E">
        <w:rPr>
          <w:noProof/>
        </w:rPr>
        <w:t>(16)</w:t>
      </w:r>
      <w:r w:rsidRPr="00A9725E">
        <w:rPr>
          <w:noProof/>
        </w:rPr>
        <w:tab/>
      </w:r>
      <w:r w:rsidR="00716EA9" w:rsidRPr="007D12CE">
        <w:rPr>
          <w:noProof/>
        </w:rPr>
        <w:t xml:space="preserve">Lai iestādēm dotu pietiekami daudz laika pielāgot savu iekšējo sistēmu un izpildīt pārskatītās pārskatu sniegšanas prasības, ir jāparedz pārejas noteikumi, ar ko atliek pārskatu sniegšanas pienākuma pirmā ceturkšņa nosūtīšanas datumu. </w:t>
      </w:r>
    </w:p>
    <w:p w:rsidR="008A53EE" w:rsidRPr="007D12CE" w:rsidRDefault="00A9725E" w:rsidP="00A9725E">
      <w:pPr>
        <w:pStyle w:val="ManualConsidrant"/>
        <w:rPr>
          <w:noProof/>
          <w:szCs w:val="24"/>
        </w:rPr>
      </w:pPr>
      <w:r w:rsidRPr="00A9725E">
        <w:rPr>
          <w:noProof/>
        </w:rPr>
        <w:t>(17)</w:t>
      </w:r>
      <w:r w:rsidRPr="00A9725E">
        <w:rPr>
          <w:noProof/>
        </w:rPr>
        <w:tab/>
      </w:r>
      <w:r w:rsidR="008A53EE" w:rsidRPr="007D12CE">
        <w:rPr>
          <w:noProof/>
        </w:rPr>
        <w:t>Lai ar tirdzniecības portfeļa sastāvu saistītās pārskatu sniegšanas prasības grafiku saskaņotu ar tirgus riska prasību piemērošanas grafiku, kas noteikts Regulas (ES) Nr. 575/2013 Trešās daļas IV sadaļas 1.a un 1.b nodaļā, ir jānosaka pārejas noteikums, ar ko atļauj noteikt vēlāku minētās pārskatu sniegšanas prasības pirmo atsauces datumu.</w:t>
      </w:r>
    </w:p>
    <w:p w:rsidR="006427FA" w:rsidRPr="007D12CE" w:rsidRDefault="00A9725E" w:rsidP="00A9725E">
      <w:pPr>
        <w:pStyle w:val="ManualConsidrant"/>
        <w:rPr>
          <w:noProof/>
          <w:szCs w:val="24"/>
        </w:rPr>
      </w:pPr>
      <w:r w:rsidRPr="00A9725E">
        <w:rPr>
          <w:noProof/>
        </w:rPr>
        <w:t>(18)</w:t>
      </w:r>
      <w:r w:rsidRPr="00A9725E">
        <w:rPr>
          <w:noProof/>
        </w:rPr>
        <w:tab/>
      </w:r>
      <w:r w:rsidR="006427FA" w:rsidRPr="007D12CE">
        <w:rPr>
          <w:noProof/>
        </w:rPr>
        <w:t>Šīs regulas noteikumi ir savstarpēji cieši saistīti, jo tie attiecas uz iestāžu pārskatu sniegšanas prasībām. Lai nodrošinātu saskaņotību starp šiem noteikumiem un sekmētu to, ka personām, uz kurām attiecas šie pienākumi, ir iespējams tos visaptveroši pārskatīt un viegli tiem piekļūt, ir lietderīgi visus Regulā (ES) Nr. 575/2013 paredzētos saistītos īstenošanas tehniskos standartus iekļaut vienā regulā.</w:t>
      </w:r>
    </w:p>
    <w:p w:rsidR="00716EA9" w:rsidRPr="007D12CE" w:rsidRDefault="00A9725E" w:rsidP="00A9725E">
      <w:pPr>
        <w:pStyle w:val="ManualConsidrant"/>
        <w:rPr>
          <w:noProof/>
          <w:szCs w:val="24"/>
        </w:rPr>
      </w:pPr>
      <w:r w:rsidRPr="00A9725E">
        <w:rPr>
          <w:noProof/>
        </w:rPr>
        <w:t>(19)</w:t>
      </w:r>
      <w:r w:rsidRPr="00A9725E">
        <w:rPr>
          <w:noProof/>
        </w:rPr>
        <w:tab/>
      </w:r>
      <w:r w:rsidR="00716EA9" w:rsidRPr="007D12CE">
        <w:rPr>
          <w:noProof/>
        </w:rPr>
        <w:t xml:space="preserve">Šīs regulas pamatā ir īstenošanas tehnisko standartu projekts, ko Komisijai iesniegusi Eiropas Banku iestāde. </w:t>
      </w:r>
    </w:p>
    <w:p w:rsidR="00716EA9" w:rsidRPr="007D12CE" w:rsidRDefault="00A9725E" w:rsidP="00A9725E">
      <w:pPr>
        <w:pStyle w:val="ManualConsidrant"/>
        <w:rPr>
          <w:noProof/>
          <w:szCs w:val="24"/>
        </w:rPr>
      </w:pPr>
      <w:r w:rsidRPr="00A9725E">
        <w:rPr>
          <w:noProof/>
        </w:rPr>
        <w:t>(20)</w:t>
      </w:r>
      <w:r w:rsidRPr="00A9725E">
        <w:rPr>
          <w:noProof/>
        </w:rPr>
        <w:tab/>
      </w:r>
      <w:r w:rsidR="00716EA9" w:rsidRPr="007D12CE">
        <w:rPr>
          <w:noProof/>
        </w:rPr>
        <w:t>Eiropas Banku iestāde ir veikusi atklātu sabiedrisko apspriešanu par īstenošanas tehnisko standartu projektu, kas ir šīs regulas pamatā, izvērtējusi potenciālās saistītās izmaksas un ieguvumus un pieprasījusi saskaņā ar Eiropas Parlamenta un Padomes Regulas (ES) Nr. 1093/2010</w:t>
      </w:r>
      <w:r w:rsidR="00716EA9" w:rsidRPr="007D12CE">
        <w:rPr>
          <w:rStyle w:val="FootnoteReference"/>
          <w:noProof/>
          <w:szCs w:val="24"/>
        </w:rPr>
        <w:footnoteReference w:id="5"/>
      </w:r>
      <w:r w:rsidR="00716EA9" w:rsidRPr="007D12CE">
        <w:rPr>
          <w:noProof/>
        </w:rPr>
        <w:t xml:space="preserve"> 37. pantu izveidotās Banku nozares ieinteresēto personu grupas konsultāciju.</w:t>
      </w:r>
    </w:p>
    <w:p w:rsidR="003D2BEA" w:rsidRPr="007D12CE" w:rsidRDefault="00A9725E" w:rsidP="00A9725E">
      <w:pPr>
        <w:pStyle w:val="ManualConsidrant"/>
        <w:rPr>
          <w:noProof/>
          <w:szCs w:val="24"/>
        </w:rPr>
      </w:pPr>
      <w:r w:rsidRPr="00A9725E">
        <w:rPr>
          <w:noProof/>
        </w:rPr>
        <w:t>(21)</w:t>
      </w:r>
      <w:r w:rsidRPr="00A9725E">
        <w:rPr>
          <w:noProof/>
        </w:rPr>
        <w:tab/>
      </w:r>
      <w:r w:rsidR="00716EA9" w:rsidRPr="007D12CE">
        <w:rPr>
          <w:noProof/>
        </w:rPr>
        <w:t>Lai iestādēm dotu pietiekami daudz laika sagatavoties pārskatu sniegšanai saskaņā ar šo regulu un saskaņā ar Regulas (ES) Nr. 575/2013 430. panta 7. punktu, pirmais piemērošanas datums būtu jānosaka sešus mēnešus pēc spēkā stāšanās dienas.</w:t>
      </w:r>
    </w:p>
    <w:p w:rsidR="00716EA9" w:rsidRPr="007D12CE" w:rsidRDefault="00A9725E" w:rsidP="00A9725E">
      <w:pPr>
        <w:pStyle w:val="ManualConsidrant"/>
        <w:rPr>
          <w:noProof/>
          <w:szCs w:val="24"/>
        </w:rPr>
      </w:pPr>
      <w:r w:rsidRPr="00A9725E">
        <w:rPr>
          <w:noProof/>
        </w:rPr>
        <w:t>(22)</w:t>
      </w:r>
      <w:r w:rsidRPr="00A9725E">
        <w:rPr>
          <w:noProof/>
        </w:rPr>
        <w:tab/>
      </w:r>
      <w:r w:rsidR="003D2BEA" w:rsidRPr="007D12CE">
        <w:rPr>
          <w:noProof/>
        </w:rPr>
        <w:t xml:space="preserve">Lai iespējami drīz nodrošinātu to, ka ir ieviests pārskatītais pārskatu sniegšanas satvars, šai regulai būtu jāstājas spēkā nākamajā dienā pēc tās publicēšanas </w:t>
      </w:r>
      <w:r w:rsidR="003D2BEA" w:rsidRPr="007D12CE">
        <w:rPr>
          <w:i/>
          <w:iCs/>
          <w:noProof/>
        </w:rPr>
        <w:t>Eiropas Savienības Oficiālajā Vēstnesī</w:t>
      </w:r>
      <w:r w:rsidR="003D2BEA" w:rsidRPr="007D12CE">
        <w:rPr>
          <w:noProof/>
        </w:rPr>
        <w:t>,</w:t>
      </w:r>
    </w:p>
    <w:p w:rsidR="00185C9B" w:rsidRPr="007D12CE" w:rsidRDefault="00185C9B" w:rsidP="004E1EF9">
      <w:pPr>
        <w:pStyle w:val="Formuledadoption"/>
        <w:rPr>
          <w:noProof/>
          <w:szCs w:val="24"/>
        </w:rPr>
      </w:pPr>
      <w:r w:rsidRPr="007D12CE">
        <w:rPr>
          <w:noProof/>
        </w:rPr>
        <w:t>IR PIEŅĒMUSI ŠO REGULU.</w:t>
      </w:r>
    </w:p>
    <w:p w:rsidR="00185C9B" w:rsidRPr="007D12CE" w:rsidRDefault="00185C9B" w:rsidP="00134C2F">
      <w:pPr>
        <w:pStyle w:val="Titrearticle"/>
        <w:spacing w:after="0"/>
        <w:rPr>
          <w:noProof/>
          <w:szCs w:val="24"/>
        </w:rPr>
      </w:pPr>
      <w:r w:rsidRPr="007D12CE">
        <w:rPr>
          <w:noProof/>
        </w:rPr>
        <w:t>1. pants</w:t>
      </w:r>
    </w:p>
    <w:p w:rsidR="00716EA9" w:rsidRPr="007D12CE" w:rsidRDefault="00716EA9" w:rsidP="00134C2F">
      <w:pPr>
        <w:pStyle w:val="Titrearticle"/>
        <w:spacing w:before="0"/>
        <w:rPr>
          <w:b/>
          <w:bCs/>
          <w:i w:val="0"/>
          <w:iCs/>
          <w:noProof/>
          <w:szCs w:val="24"/>
        </w:rPr>
      </w:pPr>
      <w:r w:rsidRPr="007D12CE">
        <w:rPr>
          <w:b/>
          <w:i w:val="0"/>
          <w:noProof/>
        </w:rPr>
        <w:t>Informācijas iesniegšana</w:t>
      </w:r>
    </w:p>
    <w:p w:rsidR="00716EA9" w:rsidRPr="007D12CE" w:rsidRDefault="00716EA9" w:rsidP="00C856B2">
      <w:pPr>
        <w:rPr>
          <w:noProof/>
        </w:rPr>
      </w:pPr>
      <w:r w:rsidRPr="007D12CE">
        <w:rPr>
          <w:noProof/>
        </w:rPr>
        <w:t>Šajā regulā ir noteikti vienoti pārskatu sniegšanas formāti, biežums un datumi iestāžu pārskatu sniegšanai to kompetentajām iestādēm saskaņā ar Regulas (ES) Nr. 575/2013 415. panta 3. un 3.a punktu un minētās regulas 430. panta 1.–4. punktu un 7. un 9. punktu.</w:t>
      </w:r>
    </w:p>
    <w:p w:rsidR="00716EA9" w:rsidRPr="007D12CE" w:rsidRDefault="00716EA9" w:rsidP="00716EA9">
      <w:pPr>
        <w:pStyle w:val="Titrearticle"/>
        <w:rPr>
          <w:noProof/>
          <w:szCs w:val="24"/>
        </w:rPr>
      </w:pPr>
      <w:r w:rsidRPr="007D12CE">
        <w:rPr>
          <w:noProof/>
        </w:rPr>
        <w:t>2. pants</w:t>
      </w:r>
    </w:p>
    <w:p w:rsidR="00716EA9" w:rsidRPr="007D12CE" w:rsidRDefault="00716EA9" w:rsidP="00F22954">
      <w:pPr>
        <w:pStyle w:val="Titrearticle"/>
        <w:spacing w:before="0"/>
        <w:rPr>
          <w:b/>
          <w:bCs/>
          <w:i w:val="0"/>
          <w:iCs/>
          <w:noProof/>
          <w:szCs w:val="24"/>
        </w:rPr>
      </w:pPr>
      <w:r w:rsidRPr="007D12CE">
        <w:rPr>
          <w:b/>
          <w:i w:val="0"/>
          <w:noProof/>
        </w:rPr>
        <w:t>Pārskatu atsauces datumi</w:t>
      </w:r>
    </w:p>
    <w:p w:rsidR="00716EA9" w:rsidRPr="007D12CE" w:rsidRDefault="00A9725E" w:rsidP="00A9725E">
      <w:pPr>
        <w:pStyle w:val="ManualNumPar1"/>
        <w:rPr>
          <w:noProof/>
        </w:rPr>
      </w:pPr>
      <w:r w:rsidRPr="00A9725E">
        <w:rPr>
          <w:noProof/>
        </w:rPr>
        <w:t>1.</w:t>
      </w:r>
      <w:r w:rsidRPr="00A9725E">
        <w:rPr>
          <w:noProof/>
        </w:rPr>
        <w:tab/>
      </w:r>
      <w:r w:rsidR="00716EA9" w:rsidRPr="007D12CE">
        <w:rPr>
          <w:noProof/>
        </w:rPr>
        <w:t>Iestādes kompetentajām iestādēm sniedz I pielikumā minēto informāciju, kāda tā ir šādos pārskatu atsauces datumos:</w:t>
      </w:r>
    </w:p>
    <w:p w:rsidR="00716EA9" w:rsidRPr="007D12CE" w:rsidRDefault="00A9725E" w:rsidP="00A9725E">
      <w:pPr>
        <w:pStyle w:val="Point1"/>
        <w:rPr>
          <w:noProof/>
        </w:rPr>
      </w:pPr>
      <w:r w:rsidRPr="00A9725E">
        <w:rPr>
          <w:noProof/>
        </w:rPr>
        <w:t>(a)</w:t>
      </w:r>
      <w:r w:rsidRPr="00A9725E">
        <w:rPr>
          <w:noProof/>
        </w:rPr>
        <w:tab/>
      </w:r>
      <w:r w:rsidR="00716EA9" w:rsidRPr="007D12CE">
        <w:rPr>
          <w:noProof/>
        </w:rPr>
        <w:t>mēneša pārskatus – katra mēneša pēdējā dienā;</w:t>
      </w:r>
    </w:p>
    <w:p w:rsidR="00716EA9" w:rsidRPr="007D12CE" w:rsidRDefault="00A9725E" w:rsidP="00A9725E">
      <w:pPr>
        <w:pStyle w:val="Point1"/>
        <w:rPr>
          <w:noProof/>
        </w:rPr>
      </w:pPr>
      <w:r w:rsidRPr="00A9725E">
        <w:rPr>
          <w:noProof/>
        </w:rPr>
        <w:t>(b)</w:t>
      </w:r>
      <w:r w:rsidRPr="00A9725E">
        <w:rPr>
          <w:noProof/>
        </w:rPr>
        <w:tab/>
      </w:r>
      <w:r w:rsidR="00716EA9" w:rsidRPr="007D12CE">
        <w:rPr>
          <w:noProof/>
        </w:rPr>
        <w:t>ceturkšņa pārskatus – 31. martā, 30. jūnijā, 30. septembrī un 31. decembrī;</w:t>
      </w:r>
    </w:p>
    <w:p w:rsidR="00716EA9" w:rsidRPr="007D12CE" w:rsidRDefault="00A9725E" w:rsidP="00A9725E">
      <w:pPr>
        <w:pStyle w:val="Point1"/>
        <w:rPr>
          <w:noProof/>
        </w:rPr>
      </w:pPr>
      <w:r w:rsidRPr="00A9725E">
        <w:rPr>
          <w:noProof/>
        </w:rPr>
        <w:t>(c)</w:t>
      </w:r>
      <w:r w:rsidRPr="00A9725E">
        <w:rPr>
          <w:noProof/>
        </w:rPr>
        <w:tab/>
      </w:r>
      <w:r w:rsidR="00716EA9" w:rsidRPr="007D12CE">
        <w:rPr>
          <w:noProof/>
        </w:rPr>
        <w:t>pusgada pārskatus – 30. jūnijā un 31. decembrī;</w:t>
      </w:r>
    </w:p>
    <w:p w:rsidR="00716EA9" w:rsidRPr="007D12CE" w:rsidRDefault="00A9725E" w:rsidP="00A9725E">
      <w:pPr>
        <w:pStyle w:val="Point1"/>
        <w:rPr>
          <w:noProof/>
        </w:rPr>
      </w:pPr>
      <w:r w:rsidRPr="00A9725E">
        <w:rPr>
          <w:noProof/>
        </w:rPr>
        <w:t>(d)</w:t>
      </w:r>
      <w:r w:rsidRPr="00A9725E">
        <w:rPr>
          <w:noProof/>
        </w:rPr>
        <w:tab/>
      </w:r>
      <w:r w:rsidR="00716EA9" w:rsidRPr="007D12CE">
        <w:rPr>
          <w:noProof/>
        </w:rPr>
        <w:t>gada pārskatus – 31. decembrī.</w:t>
      </w:r>
    </w:p>
    <w:p w:rsidR="00716EA9" w:rsidRPr="007D12CE" w:rsidRDefault="00A9725E" w:rsidP="00A9725E">
      <w:pPr>
        <w:pStyle w:val="ManualNumPar1"/>
        <w:rPr>
          <w:noProof/>
        </w:rPr>
      </w:pPr>
      <w:r w:rsidRPr="00A9725E">
        <w:rPr>
          <w:noProof/>
        </w:rPr>
        <w:t>2.</w:t>
      </w:r>
      <w:r w:rsidRPr="00A9725E">
        <w:rPr>
          <w:noProof/>
        </w:rPr>
        <w:tab/>
      </w:r>
      <w:r w:rsidR="00A50DF2" w:rsidRPr="007D12CE">
        <w:rPr>
          <w:noProof/>
        </w:rPr>
        <w:t>Iestādes sniedz finanšu informāciju, kas minēta I pielikumā, saskaņā ar SFPS un valsts grāmatvedības regulējumiem un atsaucoties uz konkrētu periodu kumulatīvi no grāmatvedības gada pirmās dienas līdz atsauces datumam.</w:t>
      </w:r>
    </w:p>
    <w:p w:rsidR="00716EA9" w:rsidRPr="007D12CE" w:rsidRDefault="00A9725E" w:rsidP="00A9725E">
      <w:pPr>
        <w:pStyle w:val="ManualNumPar1"/>
        <w:rPr>
          <w:noProof/>
        </w:rPr>
      </w:pPr>
      <w:r w:rsidRPr="00A9725E">
        <w:rPr>
          <w:noProof/>
        </w:rPr>
        <w:t>3.</w:t>
      </w:r>
      <w:r w:rsidRPr="00A9725E">
        <w:rPr>
          <w:noProof/>
        </w:rPr>
        <w:tab/>
      </w:r>
      <w:r w:rsidR="00A50DF2" w:rsidRPr="007D12CE">
        <w:rPr>
          <w:noProof/>
        </w:rPr>
        <w:t>Iestādes, kurām saskaņā ar valsts tiesību aktiem ir atļauts sniegt savu finanšu informāciju, pamatojoties uz grāmatvedības gada beigām, kuras atšķiras no kalendārā gada beigām, var koriģēt pārskatu atsauces datumus, lai šos datumus saskaņotu ar grāmatvedības gada beigām tā, lai finanšu informāciju, tas ir, informāciju, kas paziņota saskaņā ar 8. pantu, un informāciju globāli sistēmiski nozīmīgu iestāžu (G-SNI) identificēšanai un G-SNI rezervju normu piešķiršanai sniegtu attiecīgi reizi 3, 6 vai 12 mēnešos no to grāmatvedības gada beigām.</w:t>
      </w:r>
    </w:p>
    <w:p w:rsidR="00716EA9" w:rsidRPr="007D12CE" w:rsidRDefault="00716EA9" w:rsidP="00716EA9">
      <w:pPr>
        <w:pStyle w:val="Titrearticle"/>
        <w:rPr>
          <w:noProof/>
          <w:szCs w:val="24"/>
        </w:rPr>
      </w:pPr>
      <w:r w:rsidRPr="007D12CE">
        <w:rPr>
          <w:noProof/>
        </w:rPr>
        <w:t>3. pants</w:t>
      </w:r>
    </w:p>
    <w:p w:rsidR="00716EA9" w:rsidRPr="007D12CE" w:rsidRDefault="00716EA9" w:rsidP="00F22954">
      <w:pPr>
        <w:pStyle w:val="Titrearticle"/>
        <w:spacing w:before="0"/>
        <w:rPr>
          <w:b/>
          <w:bCs/>
          <w:i w:val="0"/>
          <w:iCs/>
          <w:noProof/>
          <w:szCs w:val="24"/>
        </w:rPr>
      </w:pPr>
      <w:r w:rsidRPr="007D12CE">
        <w:rPr>
          <w:b/>
          <w:i w:val="0"/>
          <w:noProof/>
        </w:rPr>
        <w:t>Pārskatu nosūtīšanas datumi</w:t>
      </w:r>
    </w:p>
    <w:p w:rsidR="00716EA9" w:rsidRPr="007D12CE" w:rsidRDefault="00A9725E" w:rsidP="00A9725E">
      <w:pPr>
        <w:pStyle w:val="ManualNumPar1"/>
        <w:rPr>
          <w:noProof/>
        </w:rPr>
      </w:pPr>
      <w:r w:rsidRPr="00A9725E">
        <w:rPr>
          <w:noProof/>
        </w:rPr>
        <w:t>1.</w:t>
      </w:r>
      <w:r w:rsidRPr="00A9725E">
        <w:rPr>
          <w:noProof/>
        </w:rPr>
        <w:tab/>
      </w:r>
      <w:r w:rsidR="00716EA9" w:rsidRPr="007D12CE">
        <w:rPr>
          <w:noProof/>
        </w:rPr>
        <w:t>Iestādes sniedz kompetentajām iestādēm I pielikumā minēto informāciju līdz darba dienas beigām šādos nosūtīšanas datumos:</w:t>
      </w:r>
    </w:p>
    <w:p w:rsidR="00716EA9" w:rsidRPr="007D12CE" w:rsidRDefault="00A9725E" w:rsidP="00A9725E">
      <w:pPr>
        <w:pStyle w:val="Point1"/>
        <w:rPr>
          <w:noProof/>
        </w:rPr>
      </w:pPr>
      <w:r w:rsidRPr="00A9725E">
        <w:rPr>
          <w:noProof/>
        </w:rPr>
        <w:t>(a)</w:t>
      </w:r>
      <w:r w:rsidRPr="00A9725E">
        <w:rPr>
          <w:noProof/>
        </w:rPr>
        <w:tab/>
      </w:r>
      <w:r w:rsidR="00716EA9" w:rsidRPr="007D12CE">
        <w:rPr>
          <w:noProof/>
        </w:rPr>
        <w:t>mēneša pārskatus – 15. kalendārajā dienā pēc pārskatu atsauces datuma;</w:t>
      </w:r>
    </w:p>
    <w:p w:rsidR="00716EA9" w:rsidRPr="007D12CE" w:rsidRDefault="00A9725E" w:rsidP="00A9725E">
      <w:pPr>
        <w:pStyle w:val="Point1"/>
        <w:rPr>
          <w:noProof/>
        </w:rPr>
      </w:pPr>
      <w:r w:rsidRPr="00A9725E">
        <w:rPr>
          <w:noProof/>
        </w:rPr>
        <w:t>(b)</w:t>
      </w:r>
      <w:r w:rsidRPr="00A9725E">
        <w:rPr>
          <w:noProof/>
        </w:rPr>
        <w:tab/>
      </w:r>
      <w:r w:rsidR="00716EA9" w:rsidRPr="007D12CE">
        <w:rPr>
          <w:noProof/>
        </w:rPr>
        <w:t>ceturkšņa pārskatus – 12. maijā, 11. augustā, 11. novembrī un 11. februārī;</w:t>
      </w:r>
    </w:p>
    <w:p w:rsidR="00716EA9" w:rsidRPr="007D12CE" w:rsidRDefault="00A9725E" w:rsidP="00A9725E">
      <w:pPr>
        <w:pStyle w:val="Point1"/>
        <w:rPr>
          <w:noProof/>
        </w:rPr>
      </w:pPr>
      <w:r w:rsidRPr="00A9725E">
        <w:rPr>
          <w:noProof/>
        </w:rPr>
        <w:t>(c)</w:t>
      </w:r>
      <w:r w:rsidRPr="00A9725E">
        <w:rPr>
          <w:noProof/>
        </w:rPr>
        <w:tab/>
      </w:r>
      <w:r w:rsidR="00716EA9" w:rsidRPr="007D12CE">
        <w:rPr>
          <w:noProof/>
        </w:rPr>
        <w:t>pusgada pārskatus – 11. augustā un 11. februārī;</w:t>
      </w:r>
    </w:p>
    <w:p w:rsidR="00716EA9" w:rsidRPr="007D12CE" w:rsidRDefault="00A9725E" w:rsidP="00A9725E">
      <w:pPr>
        <w:pStyle w:val="Point1"/>
        <w:rPr>
          <w:noProof/>
        </w:rPr>
      </w:pPr>
      <w:r w:rsidRPr="00A9725E">
        <w:rPr>
          <w:noProof/>
        </w:rPr>
        <w:t>(d)</w:t>
      </w:r>
      <w:r w:rsidRPr="00A9725E">
        <w:rPr>
          <w:noProof/>
        </w:rPr>
        <w:tab/>
      </w:r>
      <w:r w:rsidR="00716EA9" w:rsidRPr="007D12CE">
        <w:rPr>
          <w:noProof/>
        </w:rPr>
        <w:t xml:space="preserve">gada pārskatus – 11. februārī. </w:t>
      </w:r>
    </w:p>
    <w:p w:rsidR="00716EA9" w:rsidRPr="007D12CE" w:rsidRDefault="00A9725E" w:rsidP="00A9725E">
      <w:pPr>
        <w:pStyle w:val="ManualNumPar1"/>
        <w:rPr>
          <w:noProof/>
        </w:rPr>
      </w:pPr>
      <w:r w:rsidRPr="00A9725E">
        <w:rPr>
          <w:noProof/>
        </w:rPr>
        <w:t>2.</w:t>
      </w:r>
      <w:r w:rsidRPr="00A9725E">
        <w:rPr>
          <w:noProof/>
        </w:rPr>
        <w:tab/>
      </w:r>
      <w:r w:rsidR="00D637BD" w:rsidRPr="007D12CE">
        <w:rPr>
          <w:noProof/>
        </w:rPr>
        <w:t>Ja nosūtīšanas datums ir brīvdiena tās kompetentās iestādes dalībvalstī, kurai pārskats ir sniedzams, vai arī sestdiena vai svētdiena, attiecīgās iestādes datus sniedz nākamajā darba dienā.</w:t>
      </w:r>
    </w:p>
    <w:p w:rsidR="00716EA9" w:rsidRPr="007D12CE" w:rsidRDefault="00A9725E" w:rsidP="00A9725E">
      <w:pPr>
        <w:pStyle w:val="ManualNumPar1"/>
        <w:rPr>
          <w:noProof/>
        </w:rPr>
      </w:pPr>
      <w:r w:rsidRPr="00A9725E">
        <w:rPr>
          <w:noProof/>
        </w:rPr>
        <w:t>3.</w:t>
      </w:r>
      <w:r w:rsidRPr="00A9725E">
        <w:rPr>
          <w:noProof/>
        </w:rPr>
        <w:tab/>
      </w:r>
      <w:r w:rsidR="00923761" w:rsidRPr="007D12CE">
        <w:rPr>
          <w:noProof/>
        </w:rPr>
        <w:t>Iestādes, kas sniedz I pielikumā minēto finanšu informāciju, vai informāciju, kas paziņota saskaņā ar 8. pantu, vai informāciju G-SNI identificēšanai un G-SNI rezervju normu piešķiršanai, izmantojot koriģētus pārskatu atsauces datumus, pamatojoties uz to grāmatvedības gada beigām, kā noteikts 2. panta 3. punktā, var koriģēt nosūtīšanas datumus tā, lai tiktu saglabāts tas pats nosūtīšanas periods no koriģētā pārskata atsauces datuma.</w:t>
      </w:r>
    </w:p>
    <w:p w:rsidR="00716EA9" w:rsidRPr="007D12CE" w:rsidRDefault="00A9725E" w:rsidP="00A9725E">
      <w:pPr>
        <w:pStyle w:val="ManualNumPar1"/>
        <w:rPr>
          <w:noProof/>
        </w:rPr>
      </w:pPr>
      <w:r w:rsidRPr="00A9725E">
        <w:rPr>
          <w:noProof/>
        </w:rPr>
        <w:t>4.</w:t>
      </w:r>
      <w:r w:rsidRPr="00A9725E">
        <w:rPr>
          <w:noProof/>
        </w:rPr>
        <w:tab/>
      </w:r>
      <w:r w:rsidR="00716EA9" w:rsidRPr="007D12CE">
        <w:rPr>
          <w:noProof/>
        </w:rPr>
        <w:t>Iestādes var iesniegt nerevidētus datus. Ja revidētie dati atšķiras no iesniegtajiem nerevidētajiem datiem, iestādes bez liekas kavēšanās iesniedz pārskatītos revidētos datus. Nerevidēti dati ir dati, par kuriem nav sniegts ārēja revidenta atzinums, savukārt revidēti dati ir dati, kuru revīziju ir veicis ārējs revidents, kas sniedz revīzijas atzinumu.</w:t>
      </w:r>
    </w:p>
    <w:p w:rsidR="00716EA9" w:rsidRPr="007D12CE" w:rsidRDefault="00A9725E" w:rsidP="00A9725E">
      <w:pPr>
        <w:pStyle w:val="ManualNumPar1"/>
        <w:rPr>
          <w:noProof/>
        </w:rPr>
      </w:pPr>
      <w:r w:rsidRPr="00A9725E">
        <w:rPr>
          <w:noProof/>
        </w:rPr>
        <w:t>5.</w:t>
      </w:r>
      <w:r w:rsidRPr="00A9725E">
        <w:rPr>
          <w:noProof/>
        </w:rPr>
        <w:tab/>
      </w:r>
      <w:r w:rsidR="00F22954" w:rsidRPr="007D12CE">
        <w:rPr>
          <w:noProof/>
        </w:rPr>
        <w:t>Iestāde bez liekas kavēšanās iesniedz kompetentajām iestādēm citus labojumus iesniegtajos ziņojumos, kas nav 4. punktā minētie labojumi.</w:t>
      </w:r>
    </w:p>
    <w:p w:rsidR="00716EA9" w:rsidRPr="007D12CE" w:rsidRDefault="00716EA9" w:rsidP="00716EA9">
      <w:pPr>
        <w:pStyle w:val="Titrearticle"/>
        <w:rPr>
          <w:noProof/>
          <w:szCs w:val="24"/>
        </w:rPr>
      </w:pPr>
      <w:r w:rsidRPr="007D12CE">
        <w:rPr>
          <w:noProof/>
        </w:rPr>
        <w:t>4. pants</w:t>
      </w:r>
    </w:p>
    <w:p w:rsidR="00716EA9" w:rsidRPr="007D12CE" w:rsidRDefault="00716EA9" w:rsidP="00F22954">
      <w:pPr>
        <w:pStyle w:val="Titrearticle"/>
        <w:spacing w:before="0"/>
        <w:rPr>
          <w:b/>
          <w:bCs/>
          <w:i w:val="0"/>
          <w:iCs/>
          <w:noProof/>
          <w:szCs w:val="24"/>
        </w:rPr>
      </w:pPr>
      <w:r w:rsidRPr="007D12CE">
        <w:rPr>
          <w:b/>
          <w:i w:val="0"/>
          <w:noProof/>
        </w:rPr>
        <w:t>Pārskatu sniegšanas robežvērtības – iekļaušanas un izslēgšanas kritēriji</w:t>
      </w:r>
    </w:p>
    <w:p w:rsidR="00716EA9" w:rsidRPr="007D12CE" w:rsidRDefault="00A9725E" w:rsidP="00A9725E">
      <w:pPr>
        <w:pStyle w:val="ManualNumPar1"/>
        <w:rPr>
          <w:noProof/>
        </w:rPr>
      </w:pPr>
      <w:r w:rsidRPr="00A9725E">
        <w:rPr>
          <w:noProof/>
        </w:rPr>
        <w:t>1.</w:t>
      </w:r>
      <w:r w:rsidRPr="00A9725E">
        <w:rPr>
          <w:noProof/>
        </w:rPr>
        <w:tab/>
      </w:r>
      <w:r w:rsidR="003F44DA" w:rsidRPr="007D12CE">
        <w:rPr>
          <w:noProof/>
        </w:rPr>
        <w:t>Mazas un nesarežģītas iestādes sāk sniegt I pielikumā minēto informāciju pirmajā pārskatu atsauces datumā pēc dienas, kurā minētās iestādes ir izpildījušas Regulas (ES) Nr. 575/2013 4. panta 1. punkta 145) apakšpunktā noteiktos kritērijus. Iestādes, kas vairs neatbilst minētajiem kritērijiem, pārtrauc sniegt minēto informāciju pirmajā pārskatu atsauces datumā pēc datuma, kurā tās vairs neatbilst minētajiem kritērijiem.</w:t>
      </w:r>
    </w:p>
    <w:p w:rsidR="00716EA9" w:rsidRPr="007D12CE" w:rsidRDefault="00A9725E" w:rsidP="00A9725E">
      <w:pPr>
        <w:pStyle w:val="ManualNumPar1"/>
        <w:rPr>
          <w:noProof/>
        </w:rPr>
      </w:pPr>
      <w:r w:rsidRPr="00A9725E">
        <w:rPr>
          <w:noProof/>
        </w:rPr>
        <w:t>2.</w:t>
      </w:r>
      <w:r w:rsidRPr="00A9725E">
        <w:rPr>
          <w:noProof/>
        </w:rPr>
        <w:tab/>
      </w:r>
      <w:r w:rsidR="003F44DA" w:rsidRPr="007D12CE">
        <w:rPr>
          <w:noProof/>
        </w:rPr>
        <w:t>Lielas iestādes sāk sniegt I pielikumā minēto informāciju pirmajā pārskatu atsauces datumā pēc dienas, kad iestādes ir izpildījušas Regulas (ES) Nr. 575/2013 4. panta 1. punkta 146) apakšpunktā noteiktos kritērijus. Iestādes, kas vairs neatbilst minētajiem kritērijiem, pārtrauc sniegt minēto informāciju pirmajā pārskata atsauces datumā, kurā tās vairs neatbilst minētajiem kritērijiem.</w:t>
      </w:r>
    </w:p>
    <w:p w:rsidR="00716EA9" w:rsidRPr="007D12CE" w:rsidRDefault="00A9725E" w:rsidP="00A9725E">
      <w:pPr>
        <w:pStyle w:val="ManualNumPar1"/>
        <w:rPr>
          <w:noProof/>
        </w:rPr>
      </w:pPr>
      <w:r w:rsidRPr="00A9725E">
        <w:rPr>
          <w:noProof/>
        </w:rPr>
        <w:t>3.</w:t>
      </w:r>
      <w:r w:rsidRPr="00A9725E">
        <w:rPr>
          <w:noProof/>
        </w:rPr>
        <w:tab/>
      </w:r>
      <w:r w:rsidR="00716EA9" w:rsidRPr="007D12CE">
        <w:rPr>
          <w:noProof/>
        </w:rPr>
        <w:t>Iestādes sāk sniegt I pielikumā minēto informāciju, ievērojot robežvērtības, kas noteiktas šīs regulas 5. panta 2. un 3. punktā, 6. panta 2. un 3. punktā, 11. un 12. pantā, 15. panta 2.–5. punktā un 17.–20. pantā, pārskatu atsauces datumā pēc dienas, kad šīs robežvērtības ir pārsniegtas divos secīgos pārskatu atsauces datumos. Iestādes var pārtraukt sniegt informāciju, uz kuru attiecas minētajos pantos noteiktās robežvērtības, pārskatu atsauces datumā pēc dienas, kad tās nav pārsniegušas attiecīgās robežvērtības trijos secīgos pārskatu atsauces datumos.</w:t>
      </w:r>
    </w:p>
    <w:p w:rsidR="00716EA9" w:rsidRPr="007D12CE" w:rsidRDefault="00A9725E" w:rsidP="00A9725E">
      <w:pPr>
        <w:pStyle w:val="ManualNumPar1"/>
        <w:rPr>
          <w:noProof/>
        </w:rPr>
      </w:pPr>
      <w:r w:rsidRPr="00A9725E">
        <w:rPr>
          <w:noProof/>
        </w:rPr>
        <w:t>4.</w:t>
      </w:r>
      <w:r w:rsidRPr="00A9725E">
        <w:rPr>
          <w:noProof/>
        </w:rPr>
        <w:tab/>
      </w:r>
      <w:r w:rsidR="00716EA9" w:rsidRPr="007D12CE">
        <w:rPr>
          <w:noProof/>
        </w:rPr>
        <w:t xml:space="preserve">Atkāpjoties no 3. punkta, iestādes sāk sniegt pārskatus, ja sešu mēnešu laikā pirms atsauces datuma tās atbilst kādam no šādiem nosacījumiem: </w:t>
      </w:r>
    </w:p>
    <w:p w:rsidR="00716EA9" w:rsidRPr="007D12CE" w:rsidRDefault="00A9725E" w:rsidP="00A9725E">
      <w:pPr>
        <w:pStyle w:val="Point1"/>
        <w:rPr>
          <w:noProof/>
          <w:color w:val="000000"/>
        </w:rPr>
      </w:pPr>
      <w:r w:rsidRPr="00A9725E">
        <w:rPr>
          <w:noProof/>
        </w:rPr>
        <w:t>(a)</w:t>
      </w:r>
      <w:r w:rsidRPr="00A9725E">
        <w:rPr>
          <w:noProof/>
        </w:rPr>
        <w:tab/>
      </w:r>
      <w:r w:rsidR="00716EA9" w:rsidRPr="007D12CE">
        <w:rPr>
          <w:noProof/>
        </w:rPr>
        <w:t>attiecīgajai iestādei ir atļauts sākt kredītiestādes darbību saskaņā ar Eiropas Parlamenta un Padomes Direktīvas 2013/36/ES</w:t>
      </w:r>
      <w:r w:rsidR="00716EA9" w:rsidRPr="007D12CE">
        <w:rPr>
          <w:rStyle w:val="FootnoteReference"/>
          <w:rFonts w:eastAsia="Times New Roman"/>
          <w:bCs/>
          <w:noProof/>
          <w:szCs w:val="24"/>
          <w:lang w:eastAsia="fr-BE"/>
        </w:rPr>
        <w:footnoteReference w:id="6"/>
      </w:r>
      <w:r w:rsidR="00716EA9" w:rsidRPr="007D12CE">
        <w:rPr>
          <w:noProof/>
        </w:rPr>
        <w:t xml:space="preserve"> 8. pantu;</w:t>
      </w:r>
    </w:p>
    <w:p w:rsidR="00716EA9" w:rsidRPr="007D12CE" w:rsidRDefault="00A9725E" w:rsidP="00A9725E">
      <w:pPr>
        <w:pStyle w:val="Point1"/>
        <w:rPr>
          <w:noProof/>
          <w:color w:val="000000"/>
        </w:rPr>
      </w:pPr>
      <w:r w:rsidRPr="00A9725E">
        <w:rPr>
          <w:noProof/>
        </w:rPr>
        <w:t>(b)</w:t>
      </w:r>
      <w:r w:rsidRPr="00A9725E">
        <w:rPr>
          <w:noProof/>
        </w:rPr>
        <w:tab/>
      </w:r>
      <w:r w:rsidR="00716EA9" w:rsidRPr="007D12CE">
        <w:rPr>
          <w:noProof/>
        </w:rPr>
        <w:t>iestāde ir ieguldījumu brokeru sabiedrība, uz kuru attiecas Regula (ES) Nr. 575/2013, ja tā pārsniedz minētās regulas 4. panta 1. punkta 1) apakšpunkta b) punktā noteikto robežvērtību, vai saskaņā ar kompetentās iestādes lēmumu atbilstīgi Eiropas Parlamenta un Padomes Direktīvas (ES) 2019/2034</w:t>
      </w:r>
      <w:r w:rsidR="00716EA9" w:rsidRPr="007D12CE">
        <w:rPr>
          <w:rStyle w:val="FootnoteReference"/>
          <w:rFonts w:eastAsia="Times New Roman"/>
          <w:bCs/>
          <w:noProof/>
          <w:szCs w:val="24"/>
          <w:lang w:eastAsia="fr-BE"/>
        </w:rPr>
        <w:footnoteReference w:id="7"/>
      </w:r>
      <w:r w:rsidR="00716EA9" w:rsidRPr="007D12CE">
        <w:rPr>
          <w:noProof/>
        </w:rPr>
        <w:t xml:space="preserve"> 5. pantam;</w:t>
      </w:r>
    </w:p>
    <w:p w:rsidR="00716EA9" w:rsidRPr="007D12CE" w:rsidRDefault="00A9725E" w:rsidP="00A9725E">
      <w:pPr>
        <w:pStyle w:val="Point1"/>
        <w:rPr>
          <w:noProof/>
          <w:color w:val="000000"/>
        </w:rPr>
      </w:pPr>
      <w:r w:rsidRPr="00A9725E">
        <w:rPr>
          <w:noProof/>
        </w:rPr>
        <w:t>(c)</w:t>
      </w:r>
      <w:r w:rsidRPr="00A9725E">
        <w:rPr>
          <w:noProof/>
        </w:rPr>
        <w:tab/>
      </w:r>
      <w:r w:rsidR="00716EA9" w:rsidRPr="007D12CE">
        <w:rPr>
          <w:noProof/>
        </w:rPr>
        <w:t>iestāde ir vienība, kas izriet no vismaz divu iestāžu apvienošanās vai iestādes sadalīšanas vismaz divās iestādēs.</w:t>
      </w:r>
    </w:p>
    <w:p w:rsidR="00716EA9" w:rsidRPr="007D12CE" w:rsidRDefault="00A9725E" w:rsidP="00A9725E">
      <w:pPr>
        <w:pStyle w:val="ManualNumPar1"/>
        <w:rPr>
          <w:noProof/>
        </w:rPr>
      </w:pPr>
      <w:r w:rsidRPr="00A9725E">
        <w:rPr>
          <w:noProof/>
        </w:rPr>
        <w:t>5.</w:t>
      </w:r>
      <w:r w:rsidRPr="00A9725E">
        <w:rPr>
          <w:noProof/>
        </w:rPr>
        <w:tab/>
      </w:r>
      <w:r w:rsidR="00716EA9" w:rsidRPr="007D12CE">
        <w:rPr>
          <w:noProof/>
        </w:rPr>
        <w:t>Šā panta 4. punktā minētajām iestādēm attiecībā uz to pārskatu sniegšanu, uz kuriem attiecas 4. pantā noteiktās robežvērtības, pirmajos divos atsauces datumos piemēro šādus noteikumus:</w:t>
      </w:r>
    </w:p>
    <w:p w:rsidR="00716EA9" w:rsidRPr="007D12CE" w:rsidRDefault="00A9725E" w:rsidP="00A9725E">
      <w:pPr>
        <w:pStyle w:val="Point1"/>
        <w:rPr>
          <w:noProof/>
        </w:rPr>
      </w:pPr>
      <w:r w:rsidRPr="00A9725E">
        <w:rPr>
          <w:noProof/>
        </w:rPr>
        <w:t>(a)</w:t>
      </w:r>
      <w:r w:rsidRPr="00A9725E">
        <w:rPr>
          <w:noProof/>
        </w:rPr>
        <w:tab/>
      </w:r>
      <w:r w:rsidR="0050785B" w:rsidRPr="007D12CE">
        <w:rPr>
          <w:noProof/>
        </w:rPr>
        <w:t>iestādes, kas pārsniedz attiecīgo robežvērtību jau pirmajā atsauces datumā, sniedz informāciju, uz kuru attiecas minētā robežvērtība, gan par pirmo, gan otro atsauces datumu;</w:t>
      </w:r>
    </w:p>
    <w:p w:rsidR="00716EA9" w:rsidRPr="007D12CE" w:rsidRDefault="00A9725E" w:rsidP="00A9725E">
      <w:pPr>
        <w:pStyle w:val="Point1"/>
        <w:rPr>
          <w:noProof/>
        </w:rPr>
      </w:pPr>
      <w:r w:rsidRPr="00A9725E">
        <w:rPr>
          <w:noProof/>
        </w:rPr>
        <w:t>(b)</w:t>
      </w:r>
      <w:r w:rsidRPr="00A9725E">
        <w:rPr>
          <w:noProof/>
        </w:rPr>
        <w:tab/>
      </w:r>
      <w:r w:rsidR="0050785B" w:rsidRPr="007D12CE">
        <w:rPr>
          <w:noProof/>
        </w:rPr>
        <w:t>iestādes, kas pārsniedz attiecīgo robežvērtību tikai otrajā atsauces datumā, sniedz informāciju, uz kuru attiecas minētā robežvērtība, otrajā atsauces datumā.</w:t>
      </w:r>
    </w:p>
    <w:p w:rsidR="00716EA9" w:rsidRPr="007D12CE" w:rsidRDefault="00716EA9" w:rsidP="00C856B2">
      <w:pPr>
        <w:pStyle w:val="Text1"/>
        <w:rPr>
          <w:noProof/>
        </w:rPr>
      </w:pPr>
      <w:r w:rsidRPr="007D12CE">
        <w:rPr>
          <w:noProof/>
        </w:rPr>
        <w:t>Iestādes, kas trijos secīgos pārskatu atsauces datumos nav sasniegušas a) un b) apakšpunktā minētās attiecīgās robežvērtības, nākamajā pārskata atsauces datumā var pārtraukt sniegt informāciju, uz kuru attiecas minētā robežvērtība.</w:t>
      </w:r>
    </w:p>
    <w:p w:rsidR="00716EA9" w:rsidRPr="007D12CE" w:rsidRDefault="00716EA9" w:rsidP="00E537F5">
      <w:pPr>
        <w:pStyle w:val="Titrearticle"/>
        <w:rPr>
          <w:noProof/>
          <w:szCs w:val="24"/>
        </w:rPr>
      </w:pPr>
      <w:r w:rsidRPr="007D12CE">
        <w:rPr>
          <w:noProof/>
        </w:rPr>
        <w:t>5. pants</w:t>
      </w:r>
    </w:p>
    <w:p w:rsidR="00716EA9" w:rsidRPr="007D12CE" w:rsidRDefault="00716EA9" w:rsidP="00F22954">
      <w:pPr>
        <w:pStyle w:val="Titrearticle"/>
        <w:spacing w:before="0"/>
        <w:rPr>
          <w:b/>
          <w:bCs/>
          <w:i w:val="0"/>
          <w:iCs/>
          <w:noProof/>
          <w:szCs w:val="24"/>
        </w:rPr>
      </w:pPr>
      <w:r w:rsidRPr="007D12CE">
        <w:rPr>
          <w:b/>
          <w:i w:val="0"/>
          <w:noProof/>
        </w:rPr>
        <w:t>Pārskatu sniegšana individuālā līmenī par pašu kapitālu un pašu kapitāla prasībām – ceturkšņa pārskati</w:t>
      </w:r>
    </w:p>
    <w:p w:rsidR="00716EA9" w:rsidRPr="007D12CE" w:rsidRDefault="00A9725E" w:rsidP="00A9725E">
      <w:pPr>
        <w:pStyle w:val="ManualNumPar1"/>
        <w:rPr>
          <w:noProof/>
        </w:rPr>
      </w:pPr>
      <w:r w:rsidRPr="00A9725E">
        <w:rPr>
          <w:noProof/>
        </w:rPr>
        <w:t>1.</w:t>
      </w:r>
      <w:r w:rsidRPr="00A9725E">
        <w:rPr>
          <w:noProof/>
        </w:rPr>
        <w:tab/>
      </w:r>
      <w:r w:rsidR="00BF6649" w:rsidRPr="007D12CE">
        <w:rPr>
          <w:noProof/>
        </w:rPr>
        <w:t>Iestādes, kas individuāli sniedz informāciju par pašu kapitālu un pašu kapitāla prasībām, kā noteikts Regulas (ES) Nr. 575/2013 430. panta 1. punkta a) apakšpunktā, reizi ceturksnī sniedz šo informāciju, kā noteikts šīs regulas I pielikuma 1. iedaļā “Pārskatu sniegšana par pašu kapitālu un pašu kapitāla prasībām”.</w:t>
      </w:r>
    </w:p>
    <w:p w:rsidR="00290C23" w:rsidRPr="007D12CE" w:rsidRDefault="00A9725E" w:rsidP="00A9725E">
      <w:pPr>
        <w:pStyle w:val="ManualNumPar1"/>
        <w:rPr>
          <w:rFonts w:eastAsia="Times New Roman"/>
          <w:noProof/>
        </w:rPr>
      </w:pPr>
      <w:r w:rsidRPr="00A9725E">
        <w:rPr>
          <w:noProof/>
        </w:rPr>
        <w:t>2.</w:t>
      </w:r>
      <w:r w:rsidRPr="00A9725E">
        <w:rPr>
          <w:noProof/>
        </w:rPr>
        <w:tab/>
      </w:r>
      <w:r w:rsidR="00290C23" w:rsidRPr="007D12CE">
        <w:rPr>
          <w:noProof/>
        </w:rPr>
        <w:t>Iestādes iesniedz C09.01. un C 09.02. veidnē noteikto informāciju un jo īpaši informāciju par riska darījumu ģeogrāfisko sadalījumu pa valstīm, ja sākotnējie riska darījumi ārpus dalībvalsts visās valstīs, kuras nav dalībvalstis, visās riska darījumu kategorijās, kas uzrādīti saskaņā ar C 04.00. veidnes 0850. rindu, ir vienādi ar vai lielāki par 10 % no sākotnējiem riska darījumiem dalībvalstī un ārpus dalībvalsts, kas uzrādīti saskaņā ar C 04.00. veidnes 0860. rindu. Riska darījumus uzskata par riska darījumiem dalībvalstī, ja tie ir riska darījumi ar darījumu partneriem, kas atrodas tajā dalībvalstī, kurā iestāde veic uzņēmējdarbību.</w:t>
      </w:r>
    </w:p>
    <w:p w:rsidR="00290C23" w:rsidRPr="007D12CE" w:rsidRDefault="00A9725E" w:rsidP="00A9725E">
      <w:pPr>
        <w:pStyle w:val="ManualNumPar1"/>
        <w:rPr>
          <w:rFonts w:eastAsia="Times New Roman"/>
          <w:noProof/>
        </w:rPr>
      </w:pPr>
      <w:r w:rsidRPr="00A9725E">
        <w:rPr>
          <w:noProof/>
        </w:rPr>
        <w:t>3.</w:t>
      </w:r>
      <w:r w:rsidRPr="00A9725E">
        <w:rPr>
          <w:noProof/>
        </w:rPr>
        <w:tab/>
      </w:r>
      <w:r w:rsidR="00290C23" w:rsidRPr="007D12CE">
        <w:rPr>
          <w:noProof/>
        </w:rPr>
        <w:t>Iestādes, kas piemēro pamatpieeju saskaņā ar Komisijas Deleģēto regulu (ES) 2016/101</w:t>
      </w:r>
      <w:r w:rsidR="00797855" w:rsidRPr="007D12CE">
        <w:rPr>
          <w:rStyle w:val="FootnoteReference"/>
          <w:rFonts w:eastAsia="Times New Roman"/>
          <w:noProof/>
          <w:lang w:eastAsia="en-GB" w:bidi="en-GB"/>
        </w:rPr>
        <w:footnoteReference w:id="8"/>
      </w:r>
      <w:r w:rsidR="00290C23" w:rsidRPr="007D12CE">
        <w:rPr>
          <w:noProof/>
        </w:rPr>
        <w:t xml:space="preserve"> un kas pārsniedz minētās regulas 4. panta 1. punktā minēto robežvērtību, uzrāda C 32.03. un C 32.04. veidnē norādīto informāciju.</w:t>
      </w:r>
    </w:p>
    <w:p w:rsidR="00716EA9" w:rsidRPr="007D12CE" w:rsidRDefault="00A9725E" w:rsidP="00A9725E">
      <w:pPr>
        <w:pStyle w:val="ManualNumPar1"/>
        <w:rPr>
          <w:rFonts w:eastAsia="Times New Roman"/>
          <w:noProof/>
        </w:rPr>
      </w:pPr>
      <w:r w:rsidRPr="00A9725E">
        <w:rPr>
          <w:noProof/>
        </w:rPr>
        <w:t>4.</w:t>
      </w:r>
      <w:r w:rsidRPr="00A9725E">
        <w:rPr>
          <w:noProof/>
        </w:rPr>
        <w:tab/>
      </w:r>
      <w:r w:rsidR="00AB6D3F" w:rsidRPr="007D12CE">
        <w:rPr>
          <w:noProof/>
        </w:rPr>
        <w:t>Lai aprēķinātu pašu kapitāla prasības, kas minētas Regulas (ES) Nr. 575/2013 92. panta 4. punkta b) apakšpunkta i) punktā un c) apakšpunktā un 92. panta 5. punkta b) un c) apakšpunktā, iestādes līdz 2025. gada 31. decembrim iesniedz informāciju par pašu kapitāla prasībām attiecībā uz tirgus risku saskaņā ar Īstenošanas regulas (ES) 2021/451 5. panta 12. punktu.</w:t>
      </w:r>
    </w:p>
    <w:p w:rsidR="00716EA9" w:rsidRPr="007D12CE" w:rsidRDefault="00716EA9" w:rsidP="00E537F5">
      <w:pPr>
        <w:pStyle w:val="Titrearticle"/>
        <w:rPr>
          <w:noProof/>
          <w:szCs w:val="24"/>
        </w:rPr>
      </w:pPr>
      <w:r w:rsidRPr="007D12CE">
        <w:rPr>
          <w:noProof/>
        </w:rPr>
        <w:t>6. pants</w:t>
      </w:r>
    </w:p>
    <w:p w:rsidR="00716EA9" w:rsidRPr="007D12CE" w:rsidRDefault="00716EA9" w:rsidP="00F22954">
      <w:pPr>
        <w:pStyle w:val="Titrearticle"/>
        <w:spacing w:before="0"/>
        <w:rPr>
          <w:b/>
          <w:bCs/>
          <w:i w:val="0"/>
          <w:iCs/>
          <w:noProof/>
          <w:szCs w:val="24"/>
        </w:rPr>
      </w:pPr>
      <w:r w:rsidRPr="007D12CE">
        <w:rPr>
          <w:b/>
          <w:i w:val="0"/>
          <w:noProof/>
        </w:rPr>
        <w:t>Pārskatu sniegšana individuālā līmenī par pašu kapitālu un pašu kapitāla prasībām – pusgada pārskati</w:t>
      </w:r>
    </w:p>
    <w:p w:rsidR="00716EA9" w:rsidRPr="007D12CE" w:rsidRDefault="00A9725E" w:rsidP="00A9725E">
      <w:pPr>
        <w:pStyle w:val="ManualNumPar1"/>
        <w:rPr>
          <w:noProof/>
        </w:rPr>
      </w:pPr>
      <w:r w:rsidRPr="00A9725E">
        <w:rPr>
          <w:noProof/>
        </w:rPr>
        <w:t>1.</w:t>
      </w:r>
      <w:r w:rsidRPr="00A9725E">
        <w:rPr>
          <w:noProof/>
        </w:rPr>
        <w:tab/>
      </w:r>
      <w:r w:rsidR="00266139" w:rsidRPr="007D12CE">
        <w:rPr>
          <w:noProof/>
        </w:rPr>
        <w:t>Iestādes, kas individuāli sniedz informāciju par pašu kapitālu un pašu kapitāla prasībām, kā noteikts Regulas (ES) Nr. 575/2013 430. panta 1. punkta a) apakšpunktā, reizi pusgadā iesniedz šo informāciju, kā noteikts I pielikuma 1. iedaļā “Pārskatu sniegšana par pašu kapitālu un pašu kapitāla prasībām”.</w:t>
      </w:r>
    </w:p>
    <w:p w:rsidR="00ED139D" w:rsidRPr="007D12CE" w:rsidRDefault="00A9725E" w:rsidP="00A9725E">
      <w:pPr>
        <w:pStyle w:val="ManualNumPar1"/>
        <w:rPr>
          <w:noProof/>
        </w:rPr>
      </w:pPr>
      <w:r w:rsidRPr="00A9725E">
        <w:rPr>
          <w:noProof/>
        </w:rPr>
        <w:t>2.</w:t>
      </w:r>
      <w:r w:rsidRPr="00A9725E">
        <w:rPr>
          <w:noProof/>
        </w:rPr>
        <w:tab/>
      </w:r>
      <w:r w:rsidR="00ED139D" w:rsidRPr="007D12CE">
        <w:rPr>
          <w:noProof/>
        </w:rPr>
        <w:t>Iestādes iesniedz informāciju par visiem vērtspapīrošanas riska darījumiem, kā noteikts I pielikuma 1. iedaļas “Pārskatu sniegšana par pašu kapitālu un pašu kapitāla prasībām” C 14.00. un C 14.01. veidnēs, izņemot gadījumus, kad tās pieder pie grupas tajā pašā valstī, kurā uz tām attiecas pašu kapitāla prasības.</w:t>
      </w:r>
    </w:p>
    <w:p w:rsidR="003808D8" w:rsidRPr="007D12CE" w:rsidRDefault="00A9725E" w:rsidP="00A9725E">
      <w:pPr>
        <w:pStyle w:val="ManualNumPar1"/>
        <w:rPr>
          <w:noProof/>
        </w:rPr>
      </w:pPr>
      <w:r w:rsidRPr="00A9725E">
        <w:rPr>
          <w:noProof/>
        </w:rPr>
        <w:t>3.</w:t>
      </w:r>
      <w:r w:rsidRPr="00A9725E">
        <w:rPr>
          <w:noProof/>
        </w:rPr>
        <w:tab/>
      </w:r>
      <w:r w:rsidR="003808D8" w:rsidRPr="007D12CE">
        <w:rPr>
          <w:noProof/>
        </w:rPr>
        <w:t>Iestādes informāciju par riska darījumiem ar valsti iesniedz šādi:</w:t>
      </w:r>
    </w:p>
    <w:p w:rsidR="003808D8" w:rsidRPr="007D12CE" w:rsidRDefault="00A9725E" w:rsidP="00A9725E">
      <w:pPr>
        <w:pStyle w:val="Point1"/>
        <w:rPr>
          <w:noProof/>
        </w:rPr>
      </w:pPr>
      <w:r w:rsidRPr="00A9725E">
        <w:rPr>
          <w:noProof/>
        </w:rPr>
        <w:t>(a)</w:t>
      </w:r>
      <w:r w:rsidRPr="00A9725E">
        <w:rPr>
          <w:noProof/>
        </w:rPr>
        <w:tab/>
      </w:r>
      <w:r w:rsidR="003808D8" w:rsidRPr="007D12CE">
        <w:rPr>
          <w:noProof/>
        </w:rPr>
        <w:t>ja darījuma partnera sektora “Vispārējās valdības” finanšu aktīvu kopējā uzskaites vērtība ir vienāda ar vai lielāka par 1 % no “Parāda vērtspapīri” un “Aizdevumi un avansi” kopējās uzskaites vērtības, iestādes iesniedz C 33.00. veidnē noteikto informāciju;</w:t>
      </w:r>
    </w:p>
    <w:p w:rsidR="003808D8" w:rsidRPr="007D12CE" w:rsidRDefault="00A9725E" w:rsidP="00A9725E">
      <w:pPr>
        <w:pStyle w:val="Point1"/>
        <w:rPr>
          <w:noProof/>
        </w:rPr>
      </w:pPr>
      <w:r w:rsidRPr="00A9725E">
        <w:rPr>
          <w:noProof/>
        </w:rPr>
        <w:t>(b)</w:t>
      </w:r>
      <w:r w:rsidRPr="00A9725E">
        <w:rPr>
          <w:noProof/>
        </w:rPr>
        <w:tab/>
      </w:r>
      <w:r w:rsidR="003808D8" w:rsidRPr="007D12CE">
        <w:rPr>
          <w:noProof/>
        </w:rPr>
        <w:t>ja vērtība, kura norādīta par riska darījumiem dalībvalstī ar neatvasinātiem finanšu aktīviem, kā noteikts C 33.00. veidnes 0010. slejas 0010. rindā, ir mazāka par 90 % no vērtības, kas norādīta par riska darījumiem dalībvalstī un ārpus dalībvalsts attiecībā uz to pašu datu punktu, iestādes, kuras atbilst a) apakšpunktā minētajam nosacījumam, iesniedz C 33.00. veidnē noteikto informāciju, norādot pilnīgu sadalījumu pa valstīm;</w:t>
      </w:r>
    </w:p>
    <w:p w:rsidR="003808D8" w:rsidRPr="007D12CE" w:rsidRDefault="00A9725E" w:rsidP="00A9725E">
      <w:pPr>
        <w:pStyle w:val="Point1"/>
        <w:rPr>
          <w:noProof/>
        </w:rPr>
      </w:pPr>
      <w:r w:rsidRPr="00A9725E">
        <w:rPr>
          <w:noProof/>
        </w:rPr>
        <w:t>(c)</w:t>
      </w:r>
      <w:r w:rsidRPr="00A9725E">
        <w:rPr>
          <w:noProof/>
        </w:rPr>
        <w:tab/>
      </w:r>
      <w:r w:rsidR="003808D8" w:rsidRPr="007D12CE">
        <w:rPr>
          <w:noProof/>
        </w:rPr>
        <w:t>iestādes, kas atbilst a) apakšpunktā minētajam nosacījumam, bet neatbilst b) apakšpunktā minētajam nosacījumam, iesniedz C 33.00. veidnē noteikto informāciju, riska darījumus apkopojot šādi:</w:t>
      </w:r>
    </w:p>
    <w:p w:rsidR="003808D8" w:rsidRPr="007D12CE" w:rsidRDefault="003808D8" w:rsidP="00C856B2">
      <w:pPr>
        <w:pStyle w:val="Point2"/>
        <w:rPr>
          <w:noProof/>
        </w:rPr>
      </w:pPr>
      <w:r w:rsidRPr="007D12CE">
        <w:rPr>
          <w:noProof/>
        </w:rPr>
        <w:t>i)</w:t>
      </w:r>
      <w:r w:rsidRPr="007D12CE">
        <w:rPr>
          <w:noProof/>
        </w:rPr>
        <w:tab/>
        <w:t>kopējā līmenī; kā arī</w:t>
      </w:r>
    </w:p>
    <w:p w:rsidR="003808D8" w:rsidRPr="007D12CE" w:rsidRDefault="003808D8" w:rsidP="00C856B2">
      <w:pPr>
        <w:pStyle w:val="Point2"/>
        <w:rPr>
          <w:noProof/>
        </w:rPr>
      </w:pPr>
      <w:r w:rsidRPr="007D12CE">
        <w:rPr>
          <w:noProof/>
        </w:rPr>
        <w:t>ii)</w:t>
      </w:r>
      <w:r w:rsidRPr="007D12CE">
        <w:rPr>
          <w:noProof/>
        </w:rPr>
        <w:tab/>
        <w:t>dalībvalsts līmenī.</w:t>
      </w:r>
    </w:p>
    <w:p w:rsidR="003808D8" w:rsidRPr="007D12CE" w:rsidRDefault="00A9725E" w:rsidP="00A9725E">
      <w:pPr>
        <w:pStyle w:val="ManualNumPar1"/>
        <w:rPr>
          <w:noProof/>
        </w:rPr>
      </w:pPr>
      <w:r w:rsidRPr="00A9725E">
        <w:rPr>
          <w:noProof/>
        </w:rPr>
        <w:t>4.</w:t>
      </w:r>
      <w:r w:rsidRPr="00A9725E">
        <w:rPr>
          <w:noProof/>
        </w:rPr>
        <w:tab/>
      </w:r>
      <w:r w:rsidR="003808D8" w:rsidRPr="007D12CE">
        <w:rPr>
          <w:noProof/>
        </w:rPr>
        <w:t>Iestādes informāciju par būtiskiem zaudējumiem, kas saistīti ar operacionālo risku, iesniedz šādi:</w:t>
      </w:r>
    </w:p>
    <w:p w:rsidR="003808D8" w:rsidRPr="007D12CE" w:rsidRDefault="00A9725E" w:rsidP="00A9725E">
      <w:pPr>
        <w:pStyle w:val="Point1"/>
        <w:rPr>
          <w:noProof/>
        </w:rPr>
      </w:pPr>
      <w:r w:rsidRPr="00A9725E">
        <w:rPr>
          <w:noProof/>
        </w:rPr>
        <w:t>(a)</w:t>
      </w:r>
      <w:r w:rsidRPr="00A9725E">
        <w:rPr>
          <w:noProof/>
        </w:rPr>
        <w:tab/>
      </w:r>
      <w:r w:rsidR="003808D8" w:rsidRPr="007D12CE">
        <w:rPr>
          <w:noProof/>
        </w:rPr>
        <w:t>iestādes, kas pašu kapitāla prasības saistībā ar operacionālo risku aprēķina 2024. gada decembrī saskaņā ar Regulas (ES) Nr. 575/2013 trešās daļas III sadaļas 4. nodaļu, turpina sniegt C 17.01. un C 17.02. veidnē noteikto informāciju;</w:t>
      </w:r>
    </w:p>
    <w:p w:rsidR="003808D8" w:rsidRPr="007D12CE" w:rsidRDefault="00A9725E" w:rsidP="00A9725E">
      <w:pPr>
        <w:pStyle w:val="Point1"/>
        <w:rPr>
          <w:noProof/>
        </w:rPr>
      </w:pPr>
      <w:r w:rsidRPr="00A9725E">
        <w:rPr>
          <w:noProof/>
        </w:rPr>
        <w:t>(b)</w:t>
      </w:r>
      <w:r w:rsidRPr="00A9725E">
        <w:rPr>
          <w:noProof/>
        </w:rPr>
        <w:tab/>
      </w:r>
      <w:r w:rsidR="003808D8" w:rsidRPr="007D12CE">
        <w:rPr>
          <w:noProof/>
        </w:rPr>
        <w:t>lielas iestādes, kas pašu kapitāla prasības saistībā ar operacionālo risku aprēķina 2024. gada decembrī saskaņā ar Regulas (ES) Nr. 575/2013 trešās daļas III sadaļas 3. nodaļu, turpina sniegt C 17.01. un C 17.02. veidnē noteikto informāciju;</w:t>
      </w:r>
    </w:p>
    <w:p w:rsidR="003808D8" w:rsidRPr="007D12CE" w:rsidRDefault="00A9725E" w:rsidP="00A9725E">
      <w:pPr>
        <w:pStyle w:val="Point1"/>
        <w:rPr>
          <w:noProof/>
        </w:rPr>
      </w:pPr>
      <w:r w:rsidRPr="00A9725E">
        <w:rPr>
          <w:noProof/>
        </w:rPr>
        <w:t>(c)</w:t>
      </w:r>
      <w:r w:rsidRPr="00A9725E">
        <w:rPr>
          <w:noProof/>
        </w:rPr>
        <w:tab/>
      </w:r>
      <w:r w:rsidR="003808D8" w:rsidRPr="007D12CE">
        <w:rPr>
          <w:noProof/>
        </w:rPr>
        <w:t>iestādes, kas nav lielas iestādes un kas pašu kapitāla prasības saistībā ar operacionālo risku aprēķina 2024. gada decembrī saskaņā ar Regulas (ES) Nr. 575/2013 trešās daļas III sadaļas 3. nodaļu, turpina sniegt šādu informāciju:</w:t>
      </w:r>
    </w:p>
    <w:p w:rsidR="003808D8" w:rsidRPr="007D12CE" w:rsidRDefault="003808D8" w:rsidP="00C856B2">
      <w:pPr>
        <w:pStyle w:val="Point2"/>
        <w:rPr>
          <w:noProof/>
        </w:rPr>
      </w:pPr>
      <w:r w:rsidRPr="007D12CE">
        <w:rPr>
          <w:noProof/>
        </w:rPr>
        <w:t>i)</w:t>
      </w:r>
      <w:r w:rsidRPr="007D12CE">
        <w:rPr>
          <w:noProof/>
        </w:rPr>
        <w:tab/>
        <w:t>C 17.01. veidnes 0080. slejā noteikto informāciju par šādām rindām:</w:t>
      </w:r>
    </w:p>
    <w:p w:rsidR="003808D8" w:rsidRPr="007D12CE" w:rsidRDefault="00A9725E" w:rsidP="00A9725E">
      <w:pPr>
        <w:pStyle w:val="Point3"/>
        <w:rPr>
          <w:noProof/>
        </w:rPr>
      </w:pPr>
      <w:r w:rsidRPr="00A9725E">
        <w:rPr>
          <w:noProof/>
        </w:rPr>
        <w:t>(1)</w:t>
      </w:r>
      <w:r w:rsidRPr="00A9725E">
        <w:rPr>
          <w:noProof/>
        </w:rPr>
        <w:tab/>
      </w:r>
      <w:r w:rsidR="003808D8" w:rsidRPr="007D12CE">
        <w:rPr>
          <w:noProof/>
        </w:rPr>
        <w:t>notikumu skaits (jauni notikumi) (0910. rinda);</w:t>
      </w:r>
    </w:p>
    <w:p w:rsidR="003808D8" w:rsidRPr="007D12CE" w:rsidRDefault="00A9725E" w:rsidP="00A9725E">
      <w:pPr>
        <w:pStyle w:val="Point3"/>
        <w:rPr>
          <w:noProof/>
        </w:rPr>
      </w:pPr>
      <w:r w:rsidRPr="00A9725E">
        <w:rPr>
          <w:noProof/>
        </w:rPr>
        <w:t>(2)</w:t>
      </w:r>
      <w:r w:rsidRPr="00A9725E">
        <w:rPr>
          <w:noProof/>
        </w:rPr>
        <w:tab/>
      </w:r>
      <w:r w:rsidR="003808D8" w:rsidRPr="007D12CE">
        <w:rPr>
          <w:noProof/>
        </w:rPr>
        <w:t>bruto zaudējumu summa (jauni notikumi) (0920. rinda);</w:t>
      </w:r>
    </w:p>
    <w:p w:rsidR="003808D8" w:rsidRPr="007D12CE" w:rsidRDefault="00A9725E" w:rsidP="00A9725E">
      <w:pPr>
        <w:pStyle w:val="Point3"/>
        <w:rPr>
          <w:noProof/>
        </w:rPr>
      </w:pPr>
      <w:r w:rsidRPr="00A9725E">
        <w:rPr>
          <w:noProof/>
        </w:rPr>
        <w:t>(3)</w:t>
      </w:r>
      <w:r w:rsidRPr="00A9725E">
        <w:rPr>
          <w:noProof/>
        </w:rPr>
        <w:tab/>
      </w:r>
      <w:r w:rsidR="003808D8" w:rsidRPr="007D12CE">
        <w:rPr>
          <w:noProof/>
        </w:rPr>
        <w:t>to notikumu skaits, uz kuriem attiecas zaudējumu korekcijas (0930. rinda);</w:t>
      </w:r>
    </w:p>
    <w:p w:rsidR="003808D8" w:rsidRPr="007D12CE" w:rsidRDefault="00A9725E" w:rsidP="00A9725E">
      <w:pPr>
        <w:pStyle w:val="Point3"/>
        <w:rPr>
          <w:noProof/>
        </w:rPr>
      </w:pPr>
      <w:r w:rsidRPr="00A9725E">
        <w:rPr>
          <w:noProof/>
        </w:rPr>
        <w:t>(4)</w:t>
      </w:r>
      <w:r w:rsidRPr="00A9725E">
        <w:rPr>
          <w:noProof/>
        </w:rPr>
        <w:tab/>
      </w:r>
      <w:r w:rsidR="003808D8" w:rsidRPr="007D12CE">
        <w:rPr>
          <w:noProof/>
        </w:rPr>
        <w:t>zaudējumu korekcijas, kuras attiecas uz iepriekšējiem pārskata periodiem (0940. rinda);</w:t>
      </w:r>
    </w:p>
    <w:p w:rsidR="003808D8" w:rsidRPr="007D12CE" w:rsidRDefault="00A9725E" w:rsidP="00A9725E">
      <w:pPr>
        <w:pStyle w:val="Point3"/>
        <w:rPr>
          <w:noProof/>
        </w:rPr>
      </w:pPr>
      <w:r w:rsidRPr="00A9725E">
        <w:rPr>
          <w:noProof/>
        </w:rPr>
        <w:t>(5)</w:t>
      </w:r>
      <w:r w:rsidRPr="00A9725E">
        <w:rPr>
          <w:noProof/>
        </w:rPr>
        <w:tab/>
      </w:r>
      <w:r w:rsidR="003808D8" w:rsidRPr="007D12CE">
        <w:rPr>
          <w:noProof/>
        </w:rPr>
        <w:t>maksimālais atsevišķais zaudējums (0950. rinda);</w:t>
      </w:r>
    </w:p>
    <w:p w:rsidR="003808D8" w:rsidRPr="007D12CE" w:rsidRDefault="00A9725E" w:rsidP="00A9725E">
      <w:pPr>
        <w:pStyle w:val="Point3"/>
        <w:rPr>
          <w:noProof/>
        </w:rPr>
      </w:pPr>
      <w:r w:rsidRPr="00A9725E">
        <w:rPr>
          <w:noProof/>
        </w:rPr>
        <w:t>(6)</w:t>
      </w:r>
      <w:r w:rsidRPr="00A9725E">
        <w:rPr>
          <w:noProof/>
        </w:rPr>
        <w:tab/>
      </w:r>
      <w:r w:rsidR="003808D8" w:rsidRPr="007D12CE">
        <w:rPr>
          <w:noProof/>
        </w:rPr>
        <w:t>piecu lielāko zaudējumu summa (0960. rinda);</w:t>
      </w:r>
    </w:p>
    <w:p w:rsidR="003808D8" w:rsidRPr="007D12CE" w:rsidRDefault="00A9725E" w:rsidP="00A9725E">
      <w:pPr>
        <w:pStyle w:val="Point3"/>
        <w:rPr>
          <w:noProof/>
        </w:rPr>
      </w:pPr>
      <w:r w:rsidRPr="00A9725E">
        <w:rPr>
          <w:noProof/>
        </w:rPr>
        <w:t>(7)</w:t>
      </w:r>
      <w:r w:rsidRPr="00A9725E">
        <w:rPr>
          <w:noProof/>
        </w:rPr>
        <w:tab/>
      </w:r>
      <w:r w:rsidR="003808D8" w:rsidRPr="007D12CE">
        <w:rPr>
          <w:noProof/>
        </w:rPr>
        <w:t>tiešo zaudējumu atlīdzinājumu kopsumma (izņemot apdrošināšanu un citus riska pārvešanas mehānismus) (0970. rinda);</w:t>
      </w:r>
    </w:p>
    <w:p w:rsidR="003808D8" w:rsidRPr="007D12CE" w:rsidRDefault="00A9725E" w:rsidP="00A9725E">
      <w:pPr>
        <w:pStyle w:val="Point3"/>
        <w:rPr>
          <w:noProof/>
        </w:rPr>
      </w:pPr>
      <w:r w:rsidRPr="00A9725E">
        <w:rPr>
          <w:noProof/>
        </w:rPr>
        <w:t>(8)</w:t>
      </w:r>
      <w:r w:rsidRPr="00A9725E">
        <w:rPr>
          <w:noProof/>
        </w:rPr>
        <w:tab/>
      </w:r>
      <w:r w:rsidR="003808D8" w:rsidRPr="007D12CE">
        <w:rPr>
          <w:noProof/>
        </w:rPr>
        <w:t>atlīdzinājumu kopsumma no apdrošināšanas un citiem riska pārvešanas mehānismiem (0980. rinda);</w:t>
      </w:r>
    </w:p>
    <w:p w:rsidR="003808D8" w:rsidRPr="007D12CE" w:rsidRDefault="003808D8" w:rsidP="00C856B2">
      <w:pPr>
        <w:pStyle w:val="Point2"/>
        <w:rPr>
          <w:noProof/>
        </w:rPr>
      </w:pPr>
      <w:r w:rsidRPr="007D12CE">
        <w:rPr>
          <w:noProof/>
        </w:rPr>
        <w:t>ii)</w:t>
      </w:r>
      <w:r w:rsidRPr="007D12CE">
        <w:rPr>
          <w:noProof/>
        </w:rPr>
        <w:tab/>
        <w:t>C 17.02. veidnē norādīto informāciju;</w:t>
      </w:r>
    </w:p>
    <w:p w:rsidR="003808D8" w:rsidRPr="007D12CE" w:rsidRDefault="00A9725E" w:rsidP="00A9725E">
      <w:pPr>
        <w:pStyle w:val="Point1"/>
        <w:rPr>
          <w:noProof/>
        </w:rPr>
      </w:pPr>
      <w:r w:rsidRPr="00A9725E">
        <w:rPr>
          <w:noProof/>
        </w:rPr>
        <w:t>(d)</w:t>
      </w:r>
      <w:r w:rsidRPr="00A9725E">
        <w:rPr>
          <w:noProof/>
        </w:rPr>
        <w:tab/>
      </w:r>
      <w:r w:rsidR="003808D8" w:rsidRPr="007D12CE">
        <w:rPr>
          <w:noProof/>
        </w:rPr>
        <w:t xml:space="preserve">iestādes, kas minētas c) apakšpunktā, var sniegt pārskatu par visu C 17.01. un C 17.02. veidnē noteikto informācijas kopumu; </w:t>
      </w:r>
    </w:p>
    <w:p w:rsidR="003808D8" w:rsidRPr="007D12CE" w:rsidRDefault="00A9725E" w:rsidP="00A9725E">
      <w:pPr>
        <w:pStyle w:val="Point1"/>
        <w:rPr>
          <w:noProof/>
        </w:rPr>
      </w:pPr>
      <w:r w:rsidRPr="00A9725E">
        <w:rPr>
          <w:noProof/>
        </w:rPr>
        <w:t>(e)</w:t>
      </w:r>
      <w:r w:rsidRPr="00A9725E">
        <w:rPr>
          <w:noProof/>
        </w:rPr>
        <w:tab/>
      </w:r>
      <w:r w:rsidR="003808D8" w:rsidRPr="007D12CE">
        <w:rPr>
          <w:noProof/>
        </w:rPr>
        <w:t>lielas iestādes, kas pašu kapitāla prasības saistībā ar operacionālo risku aprēķina 2024. gada decembrī saskaņā ar Regulas (ES) Nr. 575/2013 trešās daļas III sadaļas 2. nodaļu, turpina sniegt C 17.01. un C 17.02. veidnē noteikto informāciju;</w:t>
      </w:r>
    </w:p>
    <w:p w:rsidR="003808D8" w:rsidRPr="007D12CE" w:rsidRDefault="00A9725E" w:rsidP="00A9725E">
      <w:pPr>
        <w:pStyle w:val="Point1"/>
        <w:rPr>
          <w:noProof/>
        </w:rPr>
      </w:pPr>
      <w:r w:rsidRPr="00A9725E">
        <w:rPr>
          <w:noProof/>
        </w:rPr>
        <w:t>(f)</w:t>
      </w:r>
      <w:r w:rsidRPr="00A9725E">
        <w:rPr>
          <w:noProof/>
        </w:rPr>
        <w:tab/>
      </w:r>
      <w:r w:rsidR="003808D8" w:rsidRPr="007D12CE">
        <w:rPr>
          <w:noProof/>
        </w:rPr>
        <w:t>iestādes, kas nav lielas iestādes un kas pašu kapitāla prasības saistībā ar operacionālo risku aprēķina 2024. gada decembrī saskaņā ar Regulas (ES) Nr. 575/2013 trešās daļas III sadaļas 2. nodaļu, var turpināt sniegt C 17.01. un C 17.02. veidnē noteikto informāciju.</w:t>
      </w:r>
    </w:p>
    <w:p w:rsidR="00716EA9" w:rsidRPr="007D12CE" w:rsidRDefault="00716EA9" w:rsidP="00E537F5">
      <w:pPr>
        <w:pStyle w:val="Titrearticle"/>
        <w:rPr>
          <w:noProof/>
          <w:szCs w:val="24"/>
        </w:rPr>
      </w:pPr>
      <w:r w:rsidRPr="007D12CE">
        <w:rPr>
          <w:noProof/>
        </w:rPr>
        <w:t>7. pants</w:t>
      </w:r>
    </w:p>
    <w:p w:rsidR="00716EA9" w:rsidRPr="007D12CE" w:rsidRDefault="00716EA9" w:rsidP="00F22954">
      <w:pPr>
        <w:pStyle w:val="Titrearticle"/>
        <w:spacing w:before="0"/>
        <w:rPr>
          <w:b/>
          <w:bCs/>
          <w:i w:val="0"/>
          <w:iCs/>
          <w:noProof/>
          <w:szCs w:val="24"/>
        </w:rPr>
      </w:pPr>
      <w:r w:rsidRPr="007D12CE">
        <w:rPr>
          <w:b/>
          <w:i w:val="0"/>
          <w:noProof/>
        </w:rPr>
        <w:t>Pārskatu sniegšana konsolidētā līmenī par pašu kapitālu un pašu kapitāla prasībām</w:t>
      </w:r>
    </w:p>
    <w:p w:rsidR="00716EA9" w:rsidRPr="007D12CE" w:rsidRDefault="00716EA9" w:rsidP="00C856B2">
      <w:pPr>
        <w:rPr>
          <w:noProof/>
        </w:rPr>
      </w:pPr>
      <w:r w:rsidRPr="007D12CE">
        <w:rPr>
          <w:noProof/>
        </w:rPr>
        <w:t>Iestādes, kas konsolidēti sniedz informāciju par pašu kapitālu un pašu kapitāla prasībām, kā noteikts Regulas (ES) Nr. 575/2013 430. panta 1. punkta a) apakšpunktā, šo informāciju, kā noteikts šīs regulas I pielikuma 1. iedaļā “Pārskatu sniegšana par pašu kapitālu un pašu kapitāla prasībām”, iesniedz šādi:</w:t>
      </w:r>
    </w:p>
    <w:p w:rsidR="00716EA9" w:rsidRPr="007D12CE" w:rsidRDefault="00A9725E" w:rsidP="00A9725E">
      <w:pPr>
        <w:pStyle w:val="Point0"/>
        <w:rPr>
          <w:noProof/>
          <w:color w:val="000000"/>
        </w:rPr>
      </w:pPr>
      <w:r w:rsidRPr="00A9725E">
        <w:rPr>
          <w:noProof/>
        </w:rPr>
        <w:t>(a)</w:t>
      </w:r>
      <w:r w:rsidRPr="00A9725E">
        <w:rPr>
          <w:noProof/>
        </w:rPr>
        <w:tab/>
      </w:r>
      <w:r w:rsidR="00716EA9" w:rsidRPr="007D12CE">
        <w:rPr>
          <w:noProof/>
        </w:rPr>
        <w:t>I pielikumā noteikto informācijas prasību, kurā sīkāk precizēta saskaņā ar šīs regulas 5. un 6. pantu prasītā pārskatu sniegšana, izpilda ar tajos norādīto regularitāti;</w:t>
      </w:r>
    </w:p>
    <w:p w:rsidR="00716EA9" w:rsidRPr="007D12CE" w:rsidRDefault="00A9725E" w:rsidP="00A9725E">
      <w:pPr>
        <w:pStyle w:val="Point0"/>
        <w:rPr>
          <w:noProof/>
        </w:rPr>
      </w:pPr>
      <w:r w:rsidRPr="00A9725E">
        <w:rPr>
          <w:noProof/>
        </w:rPr>
        <w:t>(b)</w:t>
      </w:r>
      <w:r w:rsidRPr="00A9725E">
        <w:rPr>
          <w:noProof/>
        </w:rPr>
        <w:tab/>
      </w:r>
      <w:r w:rsidR="00716EA9" w:rsidRPr="007D12CE">
        <w:rPr>
          <w:noProof/>
        </w:rPr>
        <w:t>I pielikumā noteikto informācijas prasību, kurā sīkāk precizēta pārskatu sniegšana par grupas maksātspēju attiecībā uz sabiedrībām, kas iekļautas konsolidācijas tvērumā, izpilda reizi pusgadā.</w:t>
      </w:r>
    </w:p>
    <w:p w:rsidR="00716EA9" w:rsidRPr="007D12CE" w:rsidRDefault="00716EA9" w:rsidP="00E537F5">
      <w:pPr>
        <w:pStyle w:val="Titrearticle"/>
        <w:rPr>
          <w:noProof/>
          <w:szCs w:val="24"/>
        </w:rPr>
      </w:pPr>
      <w:r w:rsidRPr="007D12CE">
        <w:rPr>
          <w:noProof/>
        </w:rPr>
        <w:t>8. pants</w:t>
      </w:r>
    </w:p>
    <w:p w:rsidR="00716EA9" w:rsidRPr="007D12CE" w:rsidRDefault="00716EA9" w:rsidP="00F22954">
      <w:pPr>
        <w:pStyle w:val="Titrearticle"/>
        <w:spacing w:before="0"/>
        <w:rPr>
          <w:b/>
          <w:bCs/>
          <w:i w:val="0"/>
          <w:iCs/>
          <w:noProof/>
          <w:szCs w:val="24"/>
        </w:rPr>
      </w:pPr>
      <w:r w:rsidRPr="007D12CE">
        <w:rPr>
          <w:b/>
          <w:i w:val="0"/>
          <w:noProof/>
        </w:rPr>
        <w:t>Pārskatu sniegšana par pašu kapitālu un pašu kapitāla prasībām – papildu pārskatu sniegšanas prasības individuālā un konsolidētā līmenī</w:t>
      </w:r>
    </w:p>
    <w:p w:rsidR="00AB5213" w:rsidRPr="007D12CE" w:rsidRDefault="00A9725E" w:rsidP="00A9725E">
      <w:pPr>
        <w:pStyle w:val="ManualNumPar1"/>
        <w:rPr>
          <w:noProof/>
        </w:rPr>
      </w:pPr>
      <w:r w:rsidRPr="00A9725E">
        <w:rPr>
          <w:noProof/>
        </w:rPr>
        <w:t>1.</w:t>
      </w:r>
      <w:r w:rsidRPr="00A9725E">
        <w:rPr>
          <w:noProof/>
        </w:rPr>
        <w:tab/>
      </w:r>
      <w:r w:rsidR="00716EA9" w:rsidRPr="007D12CE">
        <w:rPr>
          <w:noProof/>
        </w:rPr>
        <w:t>Iestādes, kurām jāatklāj Regulas (ES) Nr. 575/2013 438. panta e) vai h) punktā vai 452. panta b), g) vai h) punktā minētā informācija ar regularitāti, kas noteikta minētās regulas 433.a vai 433.c pantā, individuāli saskaņā ar minētās regulas 6. pantu vai konsolidēti saskaņā ar minētās regulas 13. pantu, attiecīgā gadījumā iesniedz informāciju, kas norādīta šīs regulas I pielikuma 1. iedaļas “Pārskatu sniegšana par pašu kapitālu un pašu kapitāla prasībām” C 08.03., C 08.04, C 08.05., C 08.05.01., C 08.06., C 08.07. un C 34.11. veidnēs.</w:t>
      </w:r>
    </w:p>
    <w:p w:rsidR="00716EA9" w:rsidRPr="007D12CE" w:rsidRDefault="00A9725E" w:rsidP="00A9725E">
      <w:pPr>
        <w:pStyle w:val="ManualNumPar1"/>
        <w:rPr>
          <w:noProof/>
        </w:rPr>
      </w:pPr>
      <w:r w:rsidRPr="00A9725E">
        <w:rPr>
          <w:noProof/>
        </w:rPr>
        <w:t>2.</w:t>
      </w:r>
      <w:r w:rsidRPr="00A9725E">
        <w:rPr>
          <w:noProof/>
        </w:rPr>
        <w:tab/>
      </w:r>
      <w:r w:rsidR="00716EA9" w:rsidRPr="007D12CE">
        <w:rPr>
          <w:noProof/>
        </w:rPr>
        <w:t>Iestādes, kurām Regulas (ES) Nr. 575/2013 439. panta l) punktā minētā informācija jāatklāj attiecīgi ar minētās regulas 433.a vai 433.c pantā noteikto regularitāti, individuāli saskaņā ar minētās regulas 6. pantu vai attiecīgā gadījumā konsolidēti saskaņā ar minētās regulas 13. pantu, iesniedz šīs regulas I pielikuma 1. iedaļas “Pārskatu sniegšana par pašu kapitālu un pašu kapitālu” C 34.07. veidnē noteikto informāciju.</w:t>
      </w:r>
    </w:p>
    <w:p w:rsidR="00716EA9" w:rsidRPr="007D12CE" w:rsidRDefault="00716EA9" w:rsidP="00E537F5">
      <w:pPr>
        <w:pStyle w:val="Titrearticle"/>
        <w:rPr>
          <w:noProof/>
          <w:szCs w:val="24"/>
        </w:rPr>
      </w:pPr>
      <w:r w:rsidRPr="007D12CE">
        <w:rPr>
          <w:noProof/>
        </w:rPr>
        <w:t>9. pants</w:t>
      </w:r>
    </w:p>
    <w:p w:rsidR="00716EA9" w:rsidRPr="007D12CE" w:rsidRDefault="00716EA9" w:rsidP="00F22954">
      <w:pPr>
        <w:pStyle w:val="Titrearticle"/>
        <w:spacing w:before="0"/>
        <w:rPr>
          <w:b/>
          <w:bCs/>
          <w:i w:val="0"/>
          <w:iCs/>
          <w:noProof/>
          <w:szCs w:val="24"/>
        </w:rPr>
      </w:pPr>
      <w:r w:rsidRPr="007D12CE">
        <w:rPr>
          <w:b/>
          <w:i w:val="0"/>
          <w:noProof/>
        </w:rPr>
        <w:t>Pārskatu sniegšana individuālā līmenī par pašu kapitālu un pašu kapitāla prasībām, ko veic ieguldījumu brokeru sabiedrības, uz kurām attiecas Regulas (ES) Nr. 575/2013 95. un 96. pants</w:t>
      </w:r>
    </w:p>
    <w:p w:rsidR="00716EA9" w:rsidRPr="007D12CE" w:rsidRDefault="00A9725E" w:rsidP="00A9725E">
      <w:pPr>
        <w:pStyle w:val="ManualNumPar1"/>
        <w:rPr>
          <w:noProof/>
        </w:rPr>
      </w:pPr>
      <w:r w:rsidRPr="00A9725E">
        <w:rPr>
          <w:noProof/>
        </w:rPr>
        <w:t>1.</w:t>
      </w:r>
      <w:r w:rsidRPr="00A9725E">
        <w:rPr>
          <w:noProof/>
        </w:rPr>
        <w:tab/>
      </w:r>
      <w:r w:rsidR="000E2BE4" w:rsidRPr="007D12CE">
        <w:rPr>
          <w:noProof/>
        </w:rPr>
        <w:t>Ieguldījumu brokeru sabiedrības, uz kurām attiecas Regulas (ES) Nr. 575/2013 95. pants un kuras piemēro Regulas (ES) 2019/2033 57. panta 3. punktā izklāstītos pārejas noteikumus, sniedzot informāciju par pašu kapitāla prasībām, kā noteikts Regulas (ES) Nr. 575/2013 430. panta 1. punkta a) apakšpunktā, individuāli, izņemot informāciju par sviras rādītāju, reizi ceturksnī iesniedz informāciju, kas precizēta šīs regulas I pielikuma 1. iedaļas “Pārskatu sniegšana par pašu kapitālu un pašu kapitāla prasībām” C 01.00 līdz C 05.02. veidnēs.</w:t>
      </w:r>
    </w:p>
    <w:p w:rsidR="00716EA9" w:rsidRPr="007D12CE" w:rsidRDefault="00A9725E" w:rsidP="00A9725E">
      <w:pPr>
        <w:pStyle w:val="ManualNumPar1"/>
        <w:rPr>
          <w:noProof/>
        </w:rPr>
      </w:pPr>
      <w:r w:rsidRPr="00A9725E">
        <w:rPr>
          <w:noProof/>
        </w:rPr>
        <w:t>2.</w:t>
      </w:r>
      <w:r w:rsidRPr="00A9725E">
        <w:rPr>
          <w:noProof/>
        </w:rPr>
        <w:tab/>
      </w:r>
      <w:r w:rsidR="001D71A4" w:rsidRPr="007D12CE">
        <w:rPr>
          <w:noProof/>
        </w:rPr>
        <w:t>Ieguldījumu brokeru sabiedrības, uz kurām attiecas Regulas (ES) Nr. 575/2013 96. pants un kuras piemēro Regulas (ES) 2019/2033 57. panta 3. punktā izklāstītos pārejas noteikumus, sniedzot informāciju par pašu kapitāla prasībām, kā noteikts Regulas (ES) Nr. 575/2013 430. panta 1. punkta a) apakšpunktā, individuāli iesniedz šīs regulas 5. panta 1.–4. punktā un 6. panta 2. punktā minēto informāciju ar minētajos pantos noteikto regularitāti, kā norādīts šīs regulas I pielikuma 1. iedaļā “Pārskatu sniegšana par pašu kapitālu un pašu kapitāla prasībām”.</w:t>
      </w:r>
    </w:p>
    <w:p w:rsidR="00716EA9" w:rsidRPr="007D12CE" w:rsidRDefault="00716EA9" w:rsidP="00E537F5">
      <w:pPr>
        <w:pStyle w:val="Titrearticle"/>
        <w:rPr>
          <w:noProof/>
          <w:szCs w:val="24"/>
        </w:rPr>
      </w:pPr>
      <w:r w:rsidRPr="007D12CE">
        <w:rPr>
          <w:noProof/>
        </w:rPr>
        <w:t>10. pants</w:t>
      </w:r>
    </w:p>
    <w:p w:rsidR="00716EA9" w:rsidRPr="007D12CE" w:rsidRDefault="00716EA9" w:rsidP="00F22954">
      <w:pPr>
        <w:pStyle w:val="Titrearticle"/>
        <w:spacing w:before="0"/>
        <w:rPr>
          <w:b/>
          <w:bCs/>
          <w:i w:val="0"/>
          <w:iCs/>
          <w:noProof/>
          <w:szCs w:val="24"/>
        </w:rPr>
      </w:pPr>
      <w:r w:rsidRPr="007D12CE">
        <w:rPr>
          <w:b/>
          <w:i w:val="0"/>
          <w:noProof/>
        </w:rPr>
        <w:t>Pārskatu sniegšana konsolidētā līmenī par pašu kapitālu un pašu kapitāla prasībām, ko veic grupas, kuras sastāv tikai no ieguldījumu brokeru sabiedrībām, uz kurām attiecas Regulas (ES) Nr. 575/2013 95. un 96. pants</w:t>
      </w:r>
    </w:p>
    <w:p w:rsidR="00716EA9" w:rsidRPr="007D12CE" w:rsidRDefault="00A9725E" w:rsidP="00A9725E">
      <w:pPr>
        <w:pStyle w:val="ManualNumPar1"/>
        <w:rPr>
          <w:noProof/>
        </w:rPr>
      </w:pPr>
      <w:r w:rsidRPr="00A9725E">
        <w:rPr>
          <w:noProof/>
        </w:rPr>
        <w:t>1.</w:t>
      </w:r>
      <w:r w:rsidRPr="00A9725E">
        <w:rPr>
          <w:noProof/>
        </w:rPr>
        <w:tab/>
      </w:r>
      <w:r w:rsidR="00D44B55" w:rsidRPr="007D12CE">
        <w:rPr>
          <w:noProof/>
        </w:rPr>
        <w:t>Ieguldījumu brokeru sabiedrību grupas, kuras sastāv tikai no ieguldījumu brokeru sabiedrībām, kas piemēro Regulas (ES) 2019/2033 57. panta 3. punktā izklāstītos pārejas noteikumus, atsaucoties uz Regulas (ES) Nr. 575/2013 95. pantu, kad tās sniedz informāciju par pašu kapitāla prasībām, kā noteikts Regulas (ES) Nr. 575/2013 430. panta 1. punkta a) apakšpunktā, konsolidēti, izņemot informāciju par sviras rādītāju, iesniedz informāciju, kā noteikts šīs regulas I pielikuma 1. iedaļā “Pārskatu sniegšana par pašu kapitālu un pašu kapitāla prasībām”, šādi:</w:t>
      </w:r>
    </w:p>
    <w:p w:rsidR="00D61A8B" w:rsidRPr="007D12CE" w:rsidRDefault="00A9725E" w:rsidP="00A9725E">
      <w:pPr>
        <w:pStyle w:val="Point1"/>
        <w:rPr>
          <w:noProof/>
        </w:rPr>
      </w:pPr>
      <w:r w:rsidRPr="00A9725E">
        <w:rPr>
          <w:noProof/>
        </w:rPr>
        <w:t>(a)</w:t>
      </w:r>
      <w:r w:rsidRPr="00A9725E">
        <w:rPr>
          <w:noProof/>
        </w:rPr>
        <w:tab/>
      </w:r>
      <w:r w:rsidR="00D61A8B" w:rsidRPr="007D12CE">
        <w:rPr>
          <w:noProof/>
        </w:rPr>
        <w:t>informāciju par pašu kapitālu un pašu kapitāla prasībām, kā noteikts šīs regulas I pielikuma 1. iedaļas C 01.00. līdz C 05.02. veidnē, – reizi ceturksnī;</w:t>
      </w:r>
    </w:p>
    <w:p w:rsidR="00D61A8B" w:rsidRPr="007D12CE" w:rsidRDefault="00A9725E" w:rsidP="00A9725E">
      <w:pPr>
        <w:pStyle w:val="Point1"/>
        <w:rPr>
          <w:noProof/>
        </w:rPr>
      </w:pPr>
      <w:r w:rsidRPr="00A9725E">
        <w:rPr>
          <w:noProof/>
        </w:rPr>
        <w:t>(b)</w:t>
      </w:r>
      <w:r w:rsidRPr="00A9725E">
        <w:rPr>
          <w:noProof/>
        </w:rPr>
        <w:tab/>
      </w:r>
      <w:r w:rsidR="00D61A8B" w:rsidRPr="007D12CE">
        <w:rPr>
          <w:noProof/>
        </w:rPr>
        <w:t>informāciju par pašu kapitālu un pašu kapitāla prasībām attiecībā uz sabiedrībām, kas iekļautas konsolidācijas tvērumā, kā noteikts šīs regulas I pielikuma 1. iedaļas C 06.01. un C 06.02. veidnē, – reizi pusgadā.</w:t>
      </w:r>
    </w:p>
    <w:p w:rsidR="00716EA9" w:rsidRPr="007D12CE" w:rsidRDefault="00A9725E" w:rsidP="00A9725E">
      <w:pPr>
        <w:pStyle w:val="ManualNumPar1"/>
        <w:rPr>
          <w:noProof/>
        </w:rPr>
      </w:pPr>
      <w:r w:rsidRPr="00A9725E">
        <w:rPr>
          <w:noProof/>
        </w:rPr>
        <w:t>2.</w:t>
      </w:r>
      <w:r w:rsidRPr="00A9725E">
        <w:rPr>
          <w:noProof/>
        </w:rPr>
        <w:tab/>
      </w:r>
      <w:r w:rsidR="00EA1A16" w:rsidRPr="007D12CE">
        <w:rPr>
          <w:noProof/>
        </w:rPr>
        <w:t>Ieguldījumu brokeru sabiedrību grupas, kuras sastāv tikai no ieguldījumu brokeru sabiedrībām, kas piemēro Regulas (ES) 2019/2033 57. panta 3. punktā izklāstītos pārejas noteikumus, atsaucoties uz Regulas (ES) Nr. 575/2013 96. pantu, kad tās sniedz informāciju par pašu kapitāla prasībām, kā noteikts Regulas (ES) Nr. 575/2013 430. panta 1. punkta a) apakšpunktā, konsolidēti iesniedz informāciju, kā noteikts šīs regulas I pielikuma 1. iedaļā “Pārskatu sniegšana par pašu kapitālu un pašu kapitāla prasībām”, šādi:</w:t>
      </w:r>
    </w:p>
    <w:p w:rsidR="00AD54BA" w:rsidRPr="007D12CE" w:rsidRDefault="00A9725E" w:rsidP="00A9725E">
      <w:pPr>
        <w:pStyle w:val="Point1"/>
        <w:rPr>
          <w:noProof/>
        </w:rPr>
      </w:pPr>
      <w:r w:rsidRPr="00A9725E">
        <w:rPr>
          <w:noProof/>
        </w:rPr>
        <w:t>(a)</w:t>
      </w:r>
      <w:r w:rsidRPr="00A9725E">
        <w:rPr>
          <w:noProof/>
        </w:rPr>
        <w:tab/>
      </w:r>
      <w:r w:rsidR="00AD54BA" w:rsidRPr="007D12CE">
        <w:rPr>
          <w:noProof/>
        </w:rPr>
        <w:t>informāciju, kas noteikta šīs regulas 5. panta 1. līdz 4. punktā un 6. panta 2. punktā, – ar minētajos pantos noteikto regularitāti;</w:t>
      </w:r>
    </w:p>
    <w:p w:rsidR="00AD54BA" w:rsidRPr="007D12CE" w:rsidRDefault="00A9725E" w:rsidP="00A9725E">
      <w:pPr>
        <w:pStyle w:val="Point1"/>
        <w:rPr>
          <w:noProof/>
        </w:rPr>
      </w:pPr>
      <w:r w:rsidRPr="00A9725E">
        <w:rPr>
          <w:noProof/>
        </w:rPr>
        <w:t>(b)</w:t>
      </w:r>
      <w:r w:rsidRPr="00A9725E">
        <w:rPr>
          <w:noProof/>
        </w:rPr>
        <w:tab/>
      </w:r>
      <w:r w:rsidR="00AD54BA" w:rsidRPr="007D12CE">
        <w:rPr>
          <w:noProof/>
        </w:rPr>
        <w:t>informāciju attiecībā uz sabiedrībām, kas iekļautas konsolidācijas tvērumā, kā noteikts šīs regulas I pielikuma 1. iedaļas C 06.01. un C 06.02. veidnē, – reizi pusgadā.</w:t>
      </w:r>
    </w:p>
    <w:p w:rsidR="00716EA9" w:rsidRPr="007D12CE" w:rsidRDefault="00716EA9" w:rsidP="00E537F5">
      <w:pPr>
        <w:pStyle w:val="Titrearticle"/>
        <w:rPr>
          <w:noProof/>
          <w:szCs w:val="24"/>
        </w:rPr>
      </w:pPr>
      <w:r w:rsidRPr="007D12CE">
        <w:rPr>
          <w:noProof/>
        </w:rPr>
        <w:t>11. pants</w:t>
      </w:r>
    </w:p>
    <w:p w:rsidR="00716EA9" w:rsidRPr="007D12CE" w:rsidRDefault="00716EA9" w:rsidP="00F22954">
      <w:pPr>
        <w:pStyle w:val="Titrearticle"/>
        <w:spacing w:before="0"/>
        <w:rPr>
          <w:b/>
          <w:bCs/>
          <w:i w:val="0"/>
          <w:iCs/>
          <w:noProof/>
          <w:szCs w:val="24"/>
        </w:rPr>
      </w:pPr>
      <w:r w:rsidRPr="007D12CE">
        <w:rPr>
          <w:b/>
          <w:i w:val="0"/>
          <w:noProof/>
        </w:rPr>
        <w:t>Pārskatu sniegšana par finanšu informāciju konsolidētā līmenī, ko veic iestādes, uz kurām attiecas Eiropas Parlamenta un Padomes Regula (EK) Nr. 1606/2002</w:t>
      </w:r>
      <w:r w:rsidRPr="007D12CE">
        <w:rPr>
          <w:rStyle w:val="FootnoteReference"/>
          <w:i w:val="0"/>
          <w:iCs/>
          <w:noProof/>
          <w:szCs w:val="24"/>
        </w:rPr>
        <w:footnoteReference w:id="9"/>
      </w:r>
    </w:p>
    <w:p w:rsidR="00716EA9" w:rsidRPr="007D12CE" w:rsidRDefault="00DE1415" w:rsidP="00EE077F">
      <w:pPr>
        <w:spacing w:before="100" w:beforeAutospacing="1" w:after="100" w:afterAutospacing="1"/>
        <w:rPr>
          <w:noProof/>
          <w:color w:val="000000"/>
          <w:szCs w:val="24"/>
        </w:rPr>
      </w:pPr>
      <w:r w:rsidRPr="007D12CE">
        <w:rPr>
          <w:noProof/>
          <w:color w:val="000000"/>
        </w:rPr>
        <w:t>Iestādes, kas iesniedz finanšu informāciju konsolidēti saskaņā ar Regulas (ES) Nr. 575/2013 430. panta 3. vai 4. punktu, iesniedz šo informāciju, kā noteikts šīs regulas I pielikuma 2. iedaļā “Pārskatu sniegšana par finanšu informāciju saskaņā ar SFPS”, ar šādu regularitāti:</w:t>
      </w:r>
    </w:p>
    <w:p w:rsidR="00AD54BA" w:rsidRPr="007D12CE" w:rsidRDefault="00A9725E" w:rsidP="00A9725E">
      <w:pPr>
        <w:pStyle w:val="Point0"/>
        <w:rPr>
          <w:noProof/>
        </w:rPr>
      </w:pPr>
      <w:r w:rsidRPr="00A9725E">
        <w:rPr>
          <w:noProof/>
        </w:rPr>
        <w:t>(a)</w:t>
      </w:r>
      <w:r w:rsidRPr="00A9725E">
        <w:rPr>
          <w:noProof/>
        </w:rPr>
        <w:tab/>
      </w:r>
      <w:r w:rsidR="00AD54BA" w:rsidRPr="007D12CE">
        <w:rPr>
          <w:noProof/>
        </w:rPr>
        <w:t>informāciju, kas norādīta šīs regulas I pielikuma 2. iedaļas F 01.01. līdz F 19.00. veidnē, – reizi ceturksnī;</w:t>
      </w:r>
    </w:p>
    <w:p w:rsidR="00AD54BA" w:rsidRPr="007D12CE" w:rsidRDefault="00A9725E" w:rsidP="00A9725E">
      <w:pPr>
        <w:pStyle w:val="Point0"/>
        <w:rPr>
          <w:noProof/>
        </w:rPr>
      </w:pPr>
      <w:r w:rsidRPr="00A9725E">
        <w:rPr>
          <w:noProof/>
        </w:rPr>
        <w:t>(b)</w:t>
      </w:r>
      <w:r w:rsidRPr="00A9725E">
        <w:rPr>
          <w:noProof/>
        </w:rPr>
        <w:tab/>
      </w:r>
      <w:r w:rsidR="00AD54BA" w:rsidRPr="007D12CE">
        <w:rPr>
          <w:noProof/>
        </w:rPr>
        <w:t>informāciju, kas norādīta šīs regulas I pielikuma 2. iedaļas F 30.01. līdz F 31.02. veidnē, – reizi pusgadā;</w:t>
      </w:r>
    </w:p>
    <w:p w:rsidR="00AD54BA" w:rsidRPr="007D12CE" w:rsidRDefault="00A9725E" w:rsidP="00A9725E">
      <w:pPr>
        <w:pStyle w:val="Point0"/>
        <w:rPr>
          <w:noProof/>
        </w:rPr>
      </w:pPr>
      <w:r w:rsidRPr="00A9725E">
        <w:rPr>
          <w:noProof/>
        </w:rPr>
        <w:t>(c)</w:t>
      </w:r>
      <w:r w:rsidRPr="00A9725E">
        <w:rPr>
          <w:noProof/>
        </w:rPr>
        <w:tab/>
      </w:r>
      <w:r w:rsidR="00AD54BA" w:rsidRPr="007D12CE">
        <w:rPr>
          <w:noProof/>
        </w:rPr>
        <w:t>informāciju, kas norādīta šīs regulas I pielikuma 2. iedaļas F 40.01. līdz F 46.00. veidnē, – reizi gadā;</w:t>
      </w:r>
    </w:p>
    <w:p w:rsidR="00AD54BA" w:rsidRPr="007D12CE" w:rsidRDefault="00A9725E" w:rsidP="00A9725E">
      <w:pPr>
        <w:pStyle w:val="Point0"/>
        <w:rPr>
          <w:noProof/>
        </w:rPr>
      </w:pPr>
      <w:r w:rsidRPr="00A9725E">
        <w:rPr>
          <w:noProof/>
        </w:rPr>
        <w:t>(d)</w:t>
      </w:r>
      <w:r w:rsidRPr="00A9725E">
        <w:rPr>
          <w:noProof/>
        </w:rPr>
        <w:tab/>
      </w:r>
      <w:r w:rsidR="00AD54BA" w:rsidRPr="007D12CE">
        <w:rPr>
          <w:noProof/>
        </w:rPr>
        <w:t>informāciju, kas norādīta šīs regulas I pielikuma 2. iedaļas F 20.01. līdz F 20.07.1. veidnē, iesniedz reizi ceturksnī, ja iestāde pārsniedz šīs regulas 5. panta 2. punkta otrajā daļā noteikto robežvērtību;</w:t>
      </w:r>
    </w:p>
    <w:p w:rsidR="00AD54BA" w:rsidRPr="007D12CE" w:rsidRDefault="00A9725E" w:rsidP="00A9725E">
      <w:pPr>
        <w:pStyle w:val="Point0"/>
        <w:rPr>
          <w:noProof/>
        </w:rPr>
      </w:pPr>
      <w:r w:rsidRPr="00A9725E">
        <w:rPr>
          <w:noProof/>
        </w:rPr>
        <w:t>(e)</w:t>
      </w:r>
      <w:r w:rsidRPr="00A9725E">
        <w:rPr>
          <w:noProof/>
        </w:rPr>
        <w:tab/>
      </w:r>
      <w:r w:rsidR="00AD54BA" w:rsidRPr="007D12CE">
        <w:rPr>
          <w:noProof/>
        </w:rPr>
        <w:t>informāciju, kas norādīta šīs regulas I pielikuma 2. iedaļas F 21.00. veidnē, iesniedz reizi ceturksnī, ja materiālie aktīvi, uz kuriem attiecas operatīvā noma, ir 10 % vai vairāk no kopējiem materiālajiem aktīviem, kas uzrādīti saskaņā ar šīs regulas I pielikuma 2. iedaļas F 01.01. veidni;</w:t>
      </w:r>
    </w:p>
    <w:p w:rsidR="00AD54BA" w:rsidRPr="007D12CE" w:rsidRDefault="00A9725E" w:rsidP="00A9725E">
      <w:pPr>
        <w:pStyle w:val="Point0"/>
        <w:rPr>
          <w:noProof/>
        </w:rPr>
      </w:pPr>
      <w:r w:rsidRPr="00A9725E">
        <w:rPr>
          <w:noProof/>
        </w:rPr>
        <w:t>(f)</w:t>
      </w:r>
      <w:r w:rsidRPr="00A9725E">
        <w:rPr>
          <w:noProof/>
        </w:rPr>
        <w:tab/>
      </w:r>
      <w:r w:rsidR="00AD54BA" w:rsidRPr="007D12CE">
        <w:rPr>
          <w:noProof/>
        </w:rPr>
        <w:t>informāciju, kas norādīta šīs regulas I pielikuma 2. iedaļas F 22.01. un F 22.02. veidnē, iesniedz reizi ceturksnī, ja neto ienākumi no maksām un komisijas naudām ir vienādi ar vai lielāki par 10 % no summas, kuru veido neto ienākumi no maksām un komisijas naudām un neto procentu ienākumi, kas uzrādīti saskaņā ar šīs regulas I pielikuma 2. iedaļas F 02.00. veidni;</w:t>
      </w:r>
    </w:p>
    <w:p w:rsidR="00AD54BA" w:rsidRPr="007D12CE" w:rsidRDefault="00A9725E" w:rsidP="00A9725E">
      <w:pPr>
        <w:pStyle w:val="Point0"/>
        <w:rPr>
          <w:noProof/>
        </w:rPr>
      </w:pPr>
      <w:r w:rsidRPr="00A9725E">
        <w:rPr>
          <w:noProof/>
        </w:rPr>
        <w:t>(g)</w:t>
      </w:r>
      <w:r w:rsidRPr="00A9725E">
        <w:rPr>
          <w:noProof/>
        </w:rPr>
        <w:tab/>
      </w:r>
      <w:r w:rsidR="00AD54BA" w:rsidRPr="007D12CE">
        <w:rPr>
          <w:noProof/>
        </w:rPr>
        <w:t>Informāciju, kas norādīta šīs regulas I pielikuma 2. iedaļas F 23.01. līdz 26.00. veidnē, iesniedz reizi ceturksnī, ja ir izpildīti abi turpmāk minētie nosacījumi:</w:t>
      </w:r>
    </w:p>
    <w:p w:rsidR="00AD54BA" w:rsidRPr="007D12CE" w:rsidRDefault="00AD54BA" w:rsidP="00C856B2">
      <w:pPr>
        <w:pStyle w:val="Point2"/>
        <w:rPr>
          <w:noProof/>
        </w:rPr>
      </w:pPr>
      <w:r w:rsidRPr="007D12CE">
        <w:rPr>
          <w:noProof/>
        </w:rPr>
        <w:t>i)</w:t>
      </w:r>
      <w:r w:rsidRPr="007D12CE">
        <w:rPr>
          <w:noProof/>
        </w:rPr>
        <w:tab/>
        <w:t>iestāde nav maza un nesarežģīta iestāde;</w:t>
      </w:r>
    </w:p>
    <w:p w:rsidR="00AD54BA" w:rsidRPr="007D12CE" w:rsidRDefault="00AD54BA" w:rsidP="00C856B2">
      <w:pPr>
        <w:pStyle w:val="Point2"/>
        <w:rPr>
          <w:noProof/>
        </w:rPr>
      </w:pPr>
      <w:r w:rsidRPr="007D12CE">
        <w:rPr>
          <w:noProof/>
        </w:rPr>
        <w:t>ii)</w:t>
      </w:r>
      <w:r w:rsidRPr="007D12CE">
        <w:rPr>
          <w:noProof/>
        </w:rPr>
        <w:tab/>
        <w:t>attiecība starp iestādes to aizdevumu un avansu bruto uzskaites vērtību, uz kuriem attiecas Regulas (ES) Nr. 575/2013 47.a panta 3. punkts, un to aizdevumu un avansu kopējo bruto uzskaites vērtību, uz kuriem attiecas minētās regulas 47.a panta 1. punkts, ir vienāda ar vai lielāka par 5 %;</w:t>
      </w:r>
    </w:p>
    <w:p w:rsidR="00AD54BA" w:rsidRPr="007D12CE" w:rsidRDefault="00A9725E" w:rsidP="00A9725E">
      <w:pPr>
        <w:pStyle w:val="Point0"/>
        <w:rPr>
          <w:noProof/>
        </w:rPr>
      </w:pPr>
      <w:r w:rsidRPr="00A9725E">
        <w:rPr>
          <w:noProof/>
        </w:rPr>
        <w:t>(h)</w:t>
      </w:r>
      <w:r w:rsidRPr="00A9725E">
        <w:rPr>
          <w:noProof/>
        </w:rPr>
        <w:tab/>
      </w:r>
      <w:r w:rsidR="00AD54BA" w:rsidRPr="007D12CE">
        <w:rPr>
          <w:noProof/>
        </w:rPr>
        <w:t>informāciju, kas norādīta šīs regulas I pielikuma 2. iedaļas F 47.00. veidnē, iesniedz reizi gadā, ja ir izpildīti abi šā punkta g) apakšpunkta nosacījumi.</w:t>
      </w:r>
    </w:p>
    <w:p w:rsidR="00AD54BA" w:rsidRPr="007D12CE" w:rsidRDefault="00AD54BA" w:rsidP="00AD54BA">
      <w:pPr>
        <w:spacing w:before="100" w:beforeAutospacing="1" w:after="100" w:afterAutospacing="1"/>
        <w:rPr>
          <w:noProof/>
          <w:color w:val="000000"/>
          <w:szCs w:val="24"/>
        </w:rPr>
      </w:pPr>
      <w:r w:rsidRPr="007D12CE">
        <w:rPr>
          <w:noProof/>
          <w:color w:val="000000"/>
        </w:rPr>
        <w:t>Šā punkta g) apakšpunkta ii) punkta vajadzībām minētajā attiecībā ne saucējā, ne skaitītājā neiekļauj aizdevumus un avansus, kas klasificēti kā turēti pārdošanai, naudas atlikumus centrālajās bankās un citus pieprasījuma noguldījumus.</w:t>
      </w:r>
    </w:p>
    <w:p w:rsidR="00716EA9" w:rsidRPr="007D12CE" w:rsidRDefault="00716EA9" w:rsidP="00E537F5">
      <w:pPr>
        <w:pStyle w:val="Titrearticle"/>
        <w:rPr>
          <w:noProof/>
          <w:szCs w:val="24"/>
        </w:rPr>
      </w:pPr>
      <w:r w:rsidRPr="007D12CE">
        <w:rPr>
          <w:noProof/>
        </w:rPr>
        <w:t>12. pants</w:t>
      </w:r>
    </w:p>
    <w:p w:rsidR="00716EA9" w:rsidRPr="007D12CE" w:rsidRDefault="00716EA9" w:rsidP="00F22954">
      <w:pPr>
        <w:pStyle w:val="Titrearticle"/>
        <w:spacing w:before="0"/>
        <w:rPr>
          <w:b/>
          <w:bCs/>
          <w:i w:val="0"/>
          <w:iCs/>
          <w:noProof/>
          <w:szCs w:val="24"/>
        </w:rPr>
      </w:pPr>
      <w:r w:rsidRPr="007D12CE">
        <w:rPr>
          <w:b/>
          <w:i w:val="0"/>
          <w:noProof/>
        </w:rPr>
        <w:t>Pārskatu sniegšana par finanšu informāciju konsolidētā līmenī, ko veic iestādes, kas piemēro valstu grāmatvedības regulējumus</w:t>
      </w:r>
    </w:p>
    <w:p w:rsidR="00AD54BA" w:rsidRPr="007D12CE" w:rsidRDefault="00716EA9" w:rsidP="00DC37AE">
      <w:pPr>
        <w:spacing w:after="0"/>
        <w:rPr>
          <w:rFonts w:eastAsia="Times New Roman"/>
          <w:noProof/>
          <w:color w:val="000000"/>
          <w:szCs w:val="24"/>
        </w:rPr>
      </w:pPr>
      <w:r w:rsidRPr="007D12CE">
        <w:rPr>
          <w:noProof/>
          <w:color w:val="000000"/>
        </w:rPr>
        <w:t>Ja kompetentā iestāde saskaņā ar Regulas (ES) Nr. 575/2013 430. panta 4. punktu ir attiecinājusi finanšu informācijas pārskatu sniegšanas prasības uz iestādēm, kas veic uzņēmējdarbību dalībvalstī, iestādes konsolidētā līmenī iesniedz finanšu informāciju, kā noteikts šīs regulas I pielikuma 3. iedaļā “Pārskatu sniegšana par finanšu informāciju saskaņā ar vispārpieņemtiem grāmatvedības principiem”, ar šādu regularitāti:</w:t>
      </w:r>
    </w:p>
    <w:p w:rsidR="00EE077F" w:rsidRPr="007D12CE" w:rsidRDefault="00A9725E" w:rsidP="00A9725E">
      <w:pPr>
        <w:pStyle w:val="Point0"/>
        <w:rPr>
          <w:noProof/>
        </w:rPr>
      </w:pPr>
      <w:r w:rsidRPr="00A9725E">
        <w:rPr>
          <w:noProof/>
        </w:rPr>
        <w:t>(a)</w:t>
      </w:r>
      <w:r w:rsidRPr="00A9725E">
        <w:rPr>
          <w:noProof/>
        </w:rPr>
        <w:tab/>
      </w:r>
      <w:r w:rsidR="00EE077F" w:rsidRPr="007D12CE">
        <w:rPr>
          <w:noProof/>
        </w:rPr>
        <w:t>informāciju, kas norādīta šīs regulas I pielikuma 3. iedaļas F 01.01. līdz F 19.00. veidnē, – reizi ceturksnī;</w:t>
      </w:r>
    </w:p>
    <w:p w:rsidR="00EE077F" w:rsidRPr="007D12CE" w:rsidRDefault="00A9725E" w:rsidP="00A9725E">
      <w:pPr>
        <w:pStyle w:val="Point0"/>
        <w:rPr>
          <w:noProof/>
        </w:rPr>
      </w:pPr>
      <w:r w:rsidRPr="00A9725E">
        <w:rPr>
          <w:noProof/>
        </w:rPr>
        <w:t>(b)</w:t>
      </w:r>
      <w:r w:rsidRPr="00A9725E">
        <w:rPr>
          <w:noProof/>
        </w:rPr>
        <w:tab/>
      </w:r>
      <w:r w:rsidR="00EE077F" w:rsidRPr="007D12CE">
        <w:rPr>
          <w:noProof/>
        </w:rPr>
        <w:t>informāciju, kas norādīta šīs regulas I pielikuma 3. iedaļas F 30.01. līdz F 31.02. veidnē, – reizi pusgadā;</w:t>
      </w:r>
    </w:p>
    <w:p w:rsidR="00EE077F" w:rsidRPr="007D12CE" w:rsidRDefault="00A9725E" w:rsidP="00A9725E">
      <w:pPr>
        <w:pStyle w:val="Point0"/>
        <w:rPr>
          <w:rFonts w:eastAsia="Times New Roman"/>
          <w:noProof/>
        </w:rPr>
      </w:pPr>
      <w:r w:rsidRPr="00A9725E">
        <w:rPr>
          <w:noProof/>
        </w:rPr>
        <w:t>(c)</w:t>
      </w:r>
      <w:r w:rsidRPr="00A9725E">
        <w:rPr>
          <w:noProof/>
        </w:rPr>
        <w:tab/>
      </w:r>
      <w:r w:rsidR="00EE077F" w:rsidRPr="007D12CE">
        <w:rPr>
          <w:noProof/>
        </w:rPr>
        <w:t>informāciju, kas norādīta šīs regulas I pielikuma 3. iedaļas F 40.01. līdz F 46.00. veidnē, – reizi gadā;</w:t>
      </w:r>
    </w:p>
    <w:p w:rsidR="00EE077F" w:rsidRPr="007D12CE" w:rsidRDefault="00A9725E" w:rsidP="00A9725E">
      <w:pPr>
        <w:pStyle w:val="Point0"/>
        <w:rPr>
          <w:noProof/>
        </w:rPr>
      </w:pPr>
      <w:r w:rsidRPr="00A9725E">
        <w:rPr>
          <w:noProof/>
        </w:rPr>
        <w:t>(d)</w:t>
      </w:r>
      <w:r w:rsidRPr="00A9725E">
        <w:rPr>
          <w:noProof/>
        </w:rPr>
        <w:tab/>
      </w:r>
      <w:r w:rsidR="00EE077F" w:rsidRPr="007D12CE">
        <w:rPr>
          <w:noProof/>
        </w:rPr>
        <w:t>informāciju, kas norādīta šīs regulas I pielikuma 3. iedaļas F 20.01. līdz F 20.07.1. veidnē, iesniedz reizi ceturksnī, ja iestāde pārsniedz šīs regulas 5. panta 2. punkta otrajā daļā noteikto robežvērtību;</w:t>
      </w:r>
    </w:p>
    <w:p w:rsidR="00EE077F" w:rsidRPr="007D12CE" w:rsidRDefault="00A9725E" w:rsidP="00A9725E">
      <w:pPr>
        <w:pStyle w:val="Point0"/>
        <w:rPr>
          <w:rFonts w:eastAsia="Times New Roman"/>
          <w:noProof/>
        </w:rPr>
      </w:pPr>
      <w:r w:rsidRPr="00A9725E">
        <w:rPr>
          <w:noProof/>
        </w:rPr>
        <w:t>(e)</w:t>
      </w:r>
      <w:r w:rsidRPr="00A9725E">
        <w:rPr>
          <w:noProof/>
        </w:rPr>
        <w:tab/>
      </w:r>
      <w:r w:rsidR="00EE077F" w:rsidRPr="007D12CE">
        <w:rPr>
          <w:noProof/>
        </w:rPr>
        <w:t>informāciju, kas norādīta šīs regulas I pielikuma 3. iedaļas F 21.00. veidnē, iesniedz reizi ceturksnī, ja materiālie aktīvi, uz kuriem attiecas operatīvā noma, ir 10 % vai vairāk no kopējiem materiālajiem aktīviem, kas uzrādīti saskaņā ar šīs regulas I pielikuma 3. iedaļas F 01.01. veidni;</w:t>
      </w:r>
    </w:p>
    <w:p w:rsidR="00EE077F" w:rsidRPr="007D12CE" w:rsidRDefault="00A9725E" w:rsidP="00A9725E">
      <w:pPr>
        <w:pStyle w:val="Point0"/>
        <w:rPr>
          <w:rFonts w:eastAsia="Times New Roman"/>
          <w:noProof/>
        </w:rPr>
      </w:pPr>
      <w:r w:rsidRPr="00A9725E">
        <w:rPr>
          <w:noProof/>
        </w:rPr>
        <w:t>(f)</w:t>
      </w:r>
      <w:r w:rsidRPr="00A9725E">
        <w:rPr>
          <w:noProof/>
        </w:rPr>
        <w:tab/>
      </w:r>
      <w:r w:rsidR="00EE077F" w:rsidRPr="007D12CE">
        <w:rPr>
          <w:noProof/>
        </w:rPr>
        <w:t>informāciju, kas norādīta šīs regulas I pielikuma 3. iedaļas F 22.01. un F 22.02. veidnē, iesniedz reizi ceturksnī, ja neto ienākumi no maksām un komisijas naudām ir vienādi ar vai lielāki par 10 % no summas, kuru veido neto ienākumi no maksām un komisijas naudām un neto procentu ienākumi, kas uzrādīti saskaņā ar šīs regulas I pielikuma 3. iedaļas F 02.00. veidni;</w:t>
      </w:r>
    </w:p>
    <w:p w:rsidR="00EE077F" w:rsidRPr="007D12CE" w:rsidRDefault="00A9725E" w:rsidP="00A9725E">
      <w:pPr>
        <w:pStyle w:val="Point0"/>
        <w:rPr>
          <w:rFonts w:eastAsia="Times New Roman"/>
          <w:noProof/>
        </w:rPr>
      </w:pPr>
      <w:r w:rsidRPr="00A9725E">
        <w:rPr>
          <w:noProof/>
        </w:rPr>
        <w:t>(g)</w:t>
      </w:r>
      <w:r w:rsidRPr="00A9725E">
        <w:rPr>
          <w:noProof/>
        </w:rPr>
        <w:tab/>
      </w:r>
      <w:r w:rsidR="00EE077F" w:rsidRPr="007D12CE">
        <w:rPr>
          <w:noProof/>
        </w:rPr>
        <w:t>Informāciju, kas norādīta šīs regulas I pielikuma 3. iedaļas F 23.01. līdz 26.00. veidnē, iesniedz reizi ceturksnī, ja ir izpildīti abi turpmāk minētie nosacījumi:</w:t>
      </w:r>
    </w:p>
    <w:p w:rsidR="00EE077F" w:rsidRPr="007D12CE" w:rsidRDefault="00EE077F" w:rsidP="00C856B2">
      <w:pPr>
        <w:pStyle w:val="Point2"/>
        <w:rPr>
          <w:noProof/>
        </w:rPr>
      </w:pPr>
      <w:r w:rsidRPr="007D12CE">
        <w:rPr>
          <w:noProof/>
        </w:rPr>
        <w:t>i)</w:t>
      </w:r>
      <w:r w:rsidRPr="007D12CE">
        <w:rPr>
          <w:noProof/>
        </w:rPr>
        <w:tab/>
        <w:t>iestāde nav maza vai nesarežģīta iestāde;</w:t>
      </w:r>
    </w:p>
    <w:p w:rsidR="00EE077F" w:rsidRPr="007D12CE" w:rsidRDefault="00EE077F" w:rsidP="00C856B2">
      <w:pPr>
        <w:pStyle w:val="Point2"/>
        <w:rPr>
          <w:noProof/>
        </w:rPr>
      </w:pPr>
      <w:r w:rsidRPr="007D12CE">
        <w:rPr>
          <w:noProof/>
        </w:rPr>
        <w:t>ii)</w:t>
      </w:r>
      <w:r w:rsidRPr="007D12CE">
        <w:rPr>
          <w:noProof/>
        </w:rPr>
        <w:tab/>
        <w:t>iestādes attiecība, kas noteikta šīs regulas 11. panta 2. punkta g) apakšpunkta ii) punktā, ir vienāda ar vai lielāka par 5 %;</w:t>
      </w:r>
    </w:p>
    <w:p w:rsidR="00EE077F" w:rsidRPr="007D12CE" w:rsidRDefault="00A9725E" w:rsidP="00A9725E">
      <w:pPr>
        <w:pStyle w:val="Point0"/>
        <w:rPr>
          <w:noProof/>
        </w:rPr>
      </w:pPr>
      <w:r w:rsidRPr="00A9725E">
        <w:rPr>
          <w:noProof/>
        </w:rPr>
        <w:t>(h)</w:t>
      </w:r>
      <w:r w:rsidRPr="00A9725E">
        <w:rPr>
          <w:noProof/>
        </w:rPr>
        <w:tab/>
      </w:r>
      <w:r w:rsidR="00EE077F" w:rsidRPr="007D12CE">
        <w:rPr>
          <w:noProof/>
        </w:rPr>
        <w:t>informāciju, kas norādīta šīs regulas I pielikuma 3. iedaļas F 47.00. veidnē, iesniedz reizi gadā, ja ir izpildīti abi šā punkta g) apakšpunkta nosacījumi.</w:t>
      </w:r>
    </w:p>
    <w:p w:rsidR="00716EA9" w:rsidRPr="007D12CE" w:rsidRDefault="00716EA9" w:rsidP="00E537F5">
      <w:pPr>
        <w:pStyle w:val="Titrearticle"/>
        <w:rPr>
          <w:noProof/>
          <w:szCs w:val="24"/>
        </w:rPr>
      </w:pPr>
      <w:r w:rsidRPr="007D12CE">
        <w:rPr>
          <w:noProof/>
        </w:rPr>
        <w:t>13. pants</w:t>
      </w:r>
    </w:p>
    <w:p w:rsidR="00716EA9" w:rsidRPr="007D12CE" w:rsidRDefault="00716EA9" w:rsidP="00F22954">
      <w:pPr>
        <w:pStyle w:val="Titrearticle"/>
        <w:spacing w:before="0"/>
        <w:rPr>
          <w:b/>
          <w:bCs/>
          <w:i w:val="0"/>
          <w:iCs/>
          <w:noProof/>
          <w:szCs w:val="24"/>
        </w:rPr>
      </w:pPr>
      <w:r w:rsidRPr="007D12CE">
        <w:rPr>
          <w:b/>
          <w:i w:val="0"/>
          <w:noProof/>
        </w:rPr>
        <w:t>Pārskatu sniegšana saskaņā ar Regulas (ES) Nr. 575/2013 430.a panta 1. punktu individuālā un konsolidētā līmenī par zaudējumiem no kredītiem, kas nodrošināti ar nekustamo īpašumu</w:t>
      </w:r>
    </w:p>
    <w:p w:rsidR="00716EA9" w:rsidRPr="007D12CE" w:rsidRDefault="00A9725E" w:rsidP="00A9725E">
      <w:pPr>
        <w:pStyle w:val="ManualNumPar1"/>
        <w:rPr>
          <w:noProof/>
        </w:rPr>
      </w:pPr>
      <w:r w:rsidRPr="00A9725E">
        <w:rPr>
          <w:noProof/>
        </w:rPr>
        <w:t>1.</w:t>
      </w:r>
      <w:r w:rsidRPr="00A9725E">
        <w:rPr>
          <w:noProof/>
        </w:rPr>
        <w:tab/>
      </w:r>
      <w:r w:rsidR="00716EA9" w:rsidRPr="007D12CE">
        <w:rPr>
          <w:noProof/>
        </w:rPr>
        <w:t>Iestādes reizi gadā iesniedz Regulas (ES) Nr. 575/2013 430.a panta 1. punktā minētos apkopotos datus konsolidēti, kā noteikts I pielikuma 4. iedaļā “Pārskatu sniegšana par informāciju par zaudējumiem no kredītiem, kas nodrošināti ar nekustamo īpašumu”.</w:t>
      </w:r>
    </w:p>
    <w:p w:rsidR="00716EA9" w:rsidRPr="007D12CE" w:rsidRDefault="00A9725E" w:rsidP="00A9725E">
      <w:pPr>
        <w:pStyle w:val="ManualNumPar1"/>
        <w:rPr>
          <w:noProof/>
        </w:rPr>
      </w:pPr>
      <w:r w:rsidRPr="00A9725E">
        <w:rPr>
          <w:noProof/>
        </w:rPr>
        <w:t>2.</w:t>
      </w:r>
      <w:r w:rsidRPr="00A9725E">
        <w:rPr>
          <w:noProof/>
        </w:rPr>
        <w:tab/>
      </w:r>
      <w:r w:rsidR="00716EA9" w:rsidRPr="007D12CE">
        <w:rPr>
          <w:noProof/>
        </w:rPr>
        <w:t>Iestādes reizi gadā iesniedz Regulas (ES) Nr. 575/2013 430.a panta 1. punktā minētos apkopotos datus individuāli, kā noteikts šīs regulas I pielikuma 4. iedaļā “Pārskatu sniegšana par informāciju par zaudējumiem no kredītiem, kas nodrošināti ar nekustamo īpašumu”.</w:t>
      </w:r>
    </w:p>
    <w:p w:rsidR="00716EA9" w:rsidRPr="007D12CE" w:rsidRDefault="00A9725E" w:rsidP="00A9725E">
      <w:pPr>
        <w:pStyle w:val="ManualNumPar1"/>
        <w:rPr>
          <w:noProof/>
        </w:rPr>
      </w:pPr>
      <w:r w:rsidRPr="00A9725E">
        <w:rPr>
          <w:noProof/>
        </w:rPr>
        <w:t>3.</w:t>
      </w:r>
      <w:r w:rsidRPr="00A9725E">
        <w:rPr>
          <w:noProof/>
        </w:rPr>
        <w:tab/>
      </w:r>
      <w:r w:rsidR="00716EA9" w:rsidRPr="007D12CE">
        <w:rPr>
          <w:noProof/>
        </w:rPr>
        <w:t>Ja iestādei ir filiāle citā dalībvalstī, minētā filiāle reizi gadā iesniedz uzņēmējas dalībvalsts kompetentajai iestādei Regulas (ES) Nr. 575/2013 430.a panta 1. punktā minētos apkopotos datus, kā noteikts šīs regulas I pielikuma 4. iedaļā “Pārskatu sniegšana par informāciju par zaudējumiem no kredītiem, kas nodrošināti ar nekustamo īpašumu”.</w:t>
      </w:r>
    </w:p>
    <w:p w:rsidR="00716EA9" w:rsidRPr="007D12CE" w:rsidRDefault="00716EA9" w:rsidP="00E537F5">
      <w:pPr>
        <w:pStyle w:val="Titrearticle"/>
        <w:rPr>
          <w:noProof/>
          <w:szCs w:val="24"/>
        </w:rPr>
      </w:pPr>
      <w:r w:rsidRPr="007D12CE">
        <w:rPr>
          <w:noProof/>
        </w:rPr>
        <w:t>14. pants</w:t>
      </w:r>
    </w:p>
    <w:p w:rsidR="00716EA9" w:rsidRPr="007D12CE" w:rsidRDefault="00716EA9" w:rsidP="00F22954">
      <w:pPr>
        <w:pStyle w:val="Titrearticle"/>
        <w:spacing w:before="0"/>
        <w:rPr>
          <w:b/>
          <w:bCs/>
          <w:i w:val="0"/>
          <w:iCs/>
          <w:noProof/>
          <w:szCs w:val="24"/>
        </w:rPr>
      </w:pPr>
      <w:r w:rsidRPr="007D12CE">
        <w:rPr>
          <w:b/>
          <w:i w:val="0"/>
          <w:noProof/>
        </w:rPr>
        <w:t>Pārskatu sniegšana gan individuālā, gan konsolidētā līmenī par lieliem riska darījumiem</w:t>
      </w:r>
    </w:p>
    <w:p w:rsidR="00716EA9" w:rsidRPr="007D12CE" w:rsidRDefault="00DE6B7D" w:rsidP="00716EA9">
      <w:pPr>
        <w:spacing w:after="0"/>
        <w:rPr>
          <w:noProof/>
          <w:color w:val="000000"/>
          <w:szCs w:val="24"/>
        </w:rPr>
      </w:pPr>
      <w:r w:rsidRPr="007D12CE">
        <w:rPr>
          <w:noProof/>
          <w:color w:val="000000"/>
        </w:rPr>
        <w:t>Iestādes, kas gan individuāli, gan konsolidēti sniedz Regulas (ES) Nr. 575/2013 394. pantā minēto informāciju, reizi ceturksnī iesniedz minēto informāciju, kā noteikts šīs regulas I pielikuma 5. iedaļā “Pārskatu sniegšana par lieliem riska darījumiem un koncentrācijas risku”.</w:t>
      </w:r>
    </w:p>
    <w:p w:rsidR="00716EA9" w:rsidRPr="007D12CE" w:rsidRDefault="00716EA9" w:rsidP="00E537F5">
      <w:pPr>
        <w:pStyle w:val="Titrearticle"/>
        <w:rPr>
          <w:noProof/>
          <w:szCs w:val="24"/>
        </w:rPr>
      </w:pPr>
      <w:r w:rsidRPr="007D12CE">
        <w:rPr>
          <w:noProof/>
        </w:rPr>
        <w:t>15. pants</w:t>
      </w:r>
    </w:p>
    <w:p w:rsidR="00716EA9" w:rsidRPr="007D12CE" w:rsidRDefault="00716EA9" w:rsidP="00F22954">
      <w:pPr>
        <w:pStyle w:val="Titrearticle"/>
        <w:spacing w:before="0"/>
        <w:rPr>
          <w:b/>
          <w:bCs/>
          <w:i w:val="0"/>
          <w:iCs/>
          <w:noProof/>
          <w:szCs w:val="24"/>
        </w:rPr>
      </w:pPr>
      <w:r w:rsidRPr="007D12CE">
        <w:rPr>
          <w:b/>
          <w:i w:val="0"/>
          <w:noProof/>
        </w:rPr>
        <w:t>Pārskatu sniegšana gan individuālā, gan konsolidētā līmenī par sviras rādītāju</w:t>
      </w:r>
    </w:p>
    <w:p w:rsidR="00675E5F" w:rsidRPr="007D12CE" w:rsidRDefault="00A9725E" w:rsidP="00A9725E">
      <w:pPr>
        <w:pStyle w:val="ManualNumPar1"/>
        <w:rPr>
          <w:noProof/>
        </w:rPr>
      </w:pPr>
      <w:r w:rsidRPr="00A9725E">
        <w:rPr>
          <w:noProof/>
        </w:rPr>
        <w:t>1.</w:t>
      </w:r>
      <w:r w:rsidRPr="00A9725E">
        <w:rPr>
          <w:noProof/>
        </w:rPr>
        <w:tab/>
      </w:r>
      <w:r w:rsidR="004A4F90" w:rsidRPr="007D12CE">
        <w:rPr>
          <w:noProof/>
        </w:rPr>
        <w:t>Iestādes, kas gan individuāli, gan konsolidēti sniedz informāciju par savu sviras rādītāju, kā noteikts Regulas (ES) Nr. 575/2013 430. panta 1. punkta a) apakšpunktā, reizi ceturksnī iesniedz šo informāciju, kā noteikts šīs regulas I pielikuma 6. iedaļā “Pārskatu sniegšana par sviras rādītāju”. Tikai lielas iestādes iesniedz C 48.00. veidni par informāciju par sviras rādītāja svārstīgumu.</w:t>
      </w:r>
    </w:p>
    <w:p w:rsidR="00675E5F" w:rsidRPr="007D12CE" w:rsidRDefault="00A9725E" w:rsidP="00A9725E">
      <w:pPr>
        <w:pStyle w:val="ManualNumPar1"/>
        <w:rPr>
          <w:noProof/>
        </w:rPr>
      </w:pPr>
      <w:r w:rsidRPr="00A9725E">
        <w:rPr>
          <w:noProof/>
        </w:rPr>
        <w:t>2.</w:t>
      </w:r>
      <w:r w:rsidRPr="00A9725E">
        <w:rPr>
          <w:noProof/>
        </w:rPr>
        <w:tab/>
      </w:r>
      <w:r w:rsidR="00675E5F" w:rsidRPr="007D12CE">
        <w:rPr>
          <w:noProof/>
        </w:rPr>
        <w:t>40.00. veidnes {r0410;c0010} šūnā noteikto informāciju par kopējiem aktīviem iesniedz tikai:</w:t>
      </w:r>
    </w:p>
    <w:p w:rsidR="00675E5F" w:rsidRPr="007D12CE" w:rsidRDefault="00A9725E" w:rsidP="00A9725E">
      <w:pPr>
        <w:pStyle w:val="Point1"/>
        <w:rPr>
          <w:noProof/>
        </w:rPr>
      </w:pPr>
      <w:r w:rsidRPr="00A9725E">
        <w:rPr>
          <w:noProof/>
        </w:rPr>
        <w:t>(a)</w:t>
      </w:r>
      <w:r w:rsidRPr="00A9725E">
        <w:rPr>
          <w:noProof/>
        </w:rPr>
        <w:tab/>
      </w:r>
      <w:r w:rsidR="00675E5F" w:rsidRPr="007D12CE">
        <w:rPr>
          <w:noProof/>
        </w:rPr>
        <w:t>lielas iestādes, kas ir G-SNI vai kas ir emitējušas vērtspapīrus, kuri ir pielaisti tirdzniecībai regulētā tirgū, – reizi pusgadā;</w:t>
      </w:r>
    </w:p>
    <w:p w:rsidR="00675E5F" w:rsidRPr="007D12CE" w:rsidRDefault="00A9725E" w:rsidP="00A9725E">
      <w:pPr>
        <w:pStyle w:val="Point1"/>
        <w:rPr>
          <w:noProof/>
        </w:rPr>
      </w:pPr>
      <w:r w:rsidRPr="00A9725E">
        <w:rPr>
          <w:noProof/>
        </w:rPr>
        <w:t>(b)</w:t>
      </w:r>
      <w:r w:rsidRPr="00A9725E">
        <w:rPr>
          <w:noProof/>
        </w:rPr>
        <w:tab/>
      </w:r>
      <w:r w:rsidR="00675E5F" w:rsidRPr="007D12CE">
        <w:rPr>
          <w:noProof/>
        </w:rPr>
        <w:t>lielas iestādes, kas nav G-SNI un kas nav biržas sarakstā iekļautas iestādes, – reizi gadā;</w:t>
      </w:r>
    </w:p>
    <w:p w:rsidR="00675E5F" w:rsidRPr="007D12CE" w:rsidRDefault="00A9725E" w:rsidP="00A9725E">
      <w:pPr>
        <w:pStyle w:val="Point1"/>
        <w:rPr>
          <w:noProof/>
        </w:rPr>
      </w:pPr>
      <w:r w:rsidRPr="00A9725E">
        <w:rPr>
          <w:noProof/>
        </w:rPr>
        <w:t>(c)</w:t>
      </w:r>
      <w:r w:rsidRPr="00A9725E">
        <w:rPr>
          <w:noProof/>
        </w:rPr>
        <w:tab/>
      </w:r>
      <w:r w:rsidR="00675E5F" w:rsidRPr="007D12CE">
        <w:rPr>
          <w:noProof/>
        </w:rPr>
        <w:t>iestādes, kas nav lielas iestādes, un mazas un nesarežģītas iestādes, kas ir emitējušas vērtspapīrus, kuri ir pielaisti tirdzniecībai regulētā tirgū, – reizi gadā.</w:t>
      </w:r>
    </w:p>
    <w:p w:rsidR="00675E5F" w:rsidRPr="007D12CE" w:rsidRDefault="00A9725E" w:rsidP="00A9725E">
      <w:pPr>
        <w:pStyle w:val="ManualNumPar1"/>
        <w:rPr>
          <w:noProof/>
        </w:rPr>
      </w:pPr>
      <w:r w:rsidRPr="00A9725E">
        <w:rPr>
          <w:noProof/>
        </w:rPr>
        <w:t>3.</w:t>
      </w:r>
      <w:r w:rsidRPr="00A9725E">
        <w:rPr>
          <w:noProof/>
        </w:rPr>
        <w:tab/>
      </w:r>
      <w:r w:rsidR="00675E5F" w:rsidRPr="007D12CE">
        <w:rPr>
          <w:noProof/>
        </w:rPr>
        <w:t>Iestādes uzrāda papildu informāciju par sviras rādītāju, kā norādīts C 40.00. veidnē, šūnās {r0010;c0010}, {r0010;c0020}, {r0020;c0010}, {r0020;c0020}, {r0030;c0070}, {r0040;c0070}, {r0050;c0010}, {r0050;c0020}, {r0060;c0010}, {r0060;c0020}, un {r0060;c0070}, ja ir izpildīts vismaz viens no šādiem nosacījumiem:</w:t>
      </w:r>
    </w:p>
    <w:p w:rsidR="00675E5F" w:rsidRPr="007D12CE" w:rsidRDefault="00A9725E" w:rsidP="00A9725E">
      <w:pPr>
        <w:pStyle w:val="Point1"/>
        <w:rPr>
          <w:noProof/>
        </w:rPr>
      </w:pPr>
      <w:r w:rsidRPr="00A9725E">
        <w:rPr>
          <w:noProof/>
        </w:rPr>
        <w:t>(a)</w:t>
      </w:r>
      <w:r w:rsidRPr="00A9725E">
        <w:rPr>
          <w:noProof/>
        </w:rPr>
        <w:tab/>
      </w:r>
      <w:r w:rsidR="00675E5F" w:rsidRPr="007D12CE">
        <w:rPr>
          <w:noProof/>
        </w:rPr>
        <w:t>atvasināto instrumentu daļa, kas noteikta kā atvasināto instrumentu riska darījuma mērs, dalīta ar kopējās riska darījumu vērtības mēru, ir lielāka par 1,5 %;</w:t>
      </w:r>
    </w:p>
    <w:p w:rsidR="00675E5F" w:rsidRPr="007D12CE" w:rsidRDefault="00A9725E" w:rsidP="00A9725E">
      <w:pPr>
        <w:pStyle w:val="Point1"/>
        <w:rPr>
          <w:noProof/>
        </w:rPr>
      </w:pPr>
      <w:r w:rsidRPr="00A9725E">
        <w:rPr>
          <w:noProof/>
        </w:rPr>
        <w:t>(b)</w:t>
      </w:r>
      <w:r w:rsidRPr="00A9725E">
        <w:rPr>
          <w:noProof/>
        </w:rPr>
        <w:tab/>
      </w:r>
      <w:r w:rsidR="00675E5F" w:rsidRPr="007D12CE">
        <w:rPr>
          <w:noProof/>
        </w:rPr>
        <w:t>atvasināto instrumentu daļa, kas noteikta kā atvasināto instrumentu riska darījuma mērs, dalīta ar kopējās riska darījumu vērtības mēru, pārsniedz 2 %.</w:t>
      </w:r>
    </w:p>
    <w:p w:rsidR="00675E5F" w:rsidRPr="007D12CE" w:rsidRDefault="00797855" w:rsidP="001D2A25">
      <w:pPr>
        <w:pStyle w:val="Text1"/>
        <w:rPr>
          <w:noProof/>
        </w:rPr>
      </w:pPr>
      <w:r w:rsidRPr="007D12CE">
        <w:rPr>
          <w:noProof/>
        </w:rPr>
        <w:t>Ja iestāde atbilst tikai pirmās daļas a) apakšpunkta nosacījumam, piemēro šīs regulas 4. panta 3. punktā noteiktos iekļaušanas un izslēgšanas kritērijus. Iestāde, kas atbilst pirmās daļas a) un b) apakšpunktā izklāstītajiem nosacījumiem, sāk iesniegt informāciju par sviras rādītāju atsauces datumā pēc pārskatu atsauces datuma, kurā tā pārsniedza minēto robežvērtību.</w:t>
      </w:r>
    </w:p>
    <w:p w:rsidR="00675E5F" w:rsidRPr="007D12CE" w:rsidRDefault="00A9725E" w:rsidP="00A9725E">
      <w:pPr>
        <w:pStyle w:val="ManualNumPar1"/>
        <w:rPr>
          <w:noProof/>
        </w:rPr>
      </w:pPr>
      <w:r w:rsidRPr="00A9725E">
        <w:rPr>
          <w:noProof/>
        </w:rPr>
        <w:t>4.</w:t>
      </w:r>
      <w:r w:rsidRPr="00A9725E">
        <w:rPr>
          <w:noProof/>
        </w:rPr>
        <w:tab/>
      </w:r>
      <w:r w:rsidR="00675E5F" w:rsidRPr="007D12CE">
        <w:rPr>
          <w:noProof/>
        </w:rPr>
        <w:t>Iestādes, kurām atvasināto instrumentu kopējā nosacītā vērtība, kā norādīts C 40.00. veidnes šūnā {r0010;c0070}, pārsniedz 10 000 miljonus EUR, uzrāda informāciju, kas minēta 40.00. veidnē, šūnās {r0010;c0010}, {r0010;c0020}, {r0020;c0010}, {r0020;c0020}, {r0030;c0070}, {r0040;c0070}, {r0050;c0010}, {r0050;c0020}, {r0060;c0010}, {r0060;c0020}, un {r0060;c0070}, arī tad, ja to atvasināto instrumentu īpatsvars neatbilst 3. punktā izklāstītajiem nosacījumiem.</w:t>
      </w:r>
    </w:p>
    <w:p w:rsidR="00675E5F" w:rsidRPr="007D12CE" w:rsidRDefault="00675E5F" w:rsidP="00C856B2">
      <w:pPr>
        <w:pStyle w:val="Text1"/>
        <w:rPr>
          <w:noProof/>
        </w:rPr>
      </w:pPr>
      <w:r w:rsidRPr="007D12CE">
        <w:rPr>
          <w:noProof/>
        </w:rPr>
        <w:t>Šā punkta pirmās daļas vajadzībām nepiemēro šīs regulas 4. panta 3. punktā noteiktos iekļaušanas kritērijus. Iestādes sāk iesniegt informāciju no nākamā pārskatu atsauces datuma, ja tās ir pārsniegušas attiecīgo robežvērtību vienā pārskatu atsauces datumā.</w:t>
      </w:r>
    </w:p>
    <w:p w:rsidR="00675E5F" w:rsidRPr="007D12CE" w:rsidRDefault="00A9725E" w:rsidP="00A9725E">
      <w:pPr>
        <w:pStyle w:val="ManualNumPar1"/>
        <w:rPr>
          <w:noProof/>
        </w:rPr>
      </w:pPr>
      <w:r w:rsidRPr="00A9725E">
        <w:rPr>
          <w:noProof/>
        </w:rPr>
        <w:t>5.</w:t>
      </w:r>
      <w:r w:rsidRPr="00A9725E">
        <w:rPr>
          <w:noProof/>
        </w:rPr>
        <w:tab/>
      </w:r>
      <w:r w:rsidR="00675E5F" w:rsidRPr="007D12CE">
        <w:rPr>
          <w:noProof/>
        </w:rPr>
        <w:t>Iestādes sniedz informāciju, kas minēta C 40.00. veidnē, šūnās {r0020;c0075}, {r0050;c0075} un {r0050;c0085}, ja ir izpildīts viens no šādiem nosacījumiem:</w:t>
      </w:r>
    </w:p>
    <w:p w:rsidR="00675E5F" w:rsidRPr="007D12CE" w:rsidRDefault="00A9725E" w:rsidP="00A9725E">
      <w:pPr>
        <w:pStyle w:val="Point1"/>
        <w:rPr>
          <w:noProof/>
        </w:rPr>
      </w:pPr>
      <w:r w:rsidRPr="00A9725E">
        <w:rPr>
          <w:noProof/>
        </w:rPr>
        <w:t>(a)</w:t>
      </w:r>
      <w:r w:rsidRPr="00A9725E">
        <w:rPr>
          <w:noProof/>
        </w:rPr>
        <w:tab/>
      </w:r>
      <w:r w:rsidR="00675E5F" w:rsidRPr="007D12CE">
        <w:rPr>
          <w:noProof/>
        </w:rPr>
        <w:t>kredītu atvasināto instrumentu apjoms, kas C 40.00. veidnē ir norādīts kā{r0020;c0070} + {r0050;c0070}, pārsniedz 300 miljonus EUR;</w:t>
      </w:r>
    </w:p>
    <w:p w:rsidR="00675E5F" w:rsidRPr="007D12CE" w:rsidRDefault="00A9725E" w:rsidP="00A9725E">
      <w:pPr>
        <w:pStyle w:val="Point1"/>
        <w:rPr>
          <w:noProof/>
        </w:rPr>
      </w:pPr>
      <w:r w:rsidRPr="00A9725E">
        <w:rPr>
          <w:noProof/>
        </w:rPr>
        <w:t>(a)</w:t>
      </w:r>
      <w:r w:rsidRPr="00A9725E">
        <w:rPr>
          <w:noProof/>
        </w:rPr>
        <w:tab/>
      </w:r>
      <w:r w:rsidR="00675E5F" w:rsidRPr="007D12CE">
        <w:rPr>
          <w:noProof/>
        </w:rPr>
        <w:t>kredītu atvasināto instrumentu apjoms, kas C 40.00. veidnē ir norādīts kā {r0020;c0070} + {r0050;c0070}, pārsniedz 500 miljonus EUR.</w:t>
      </w:r>
    </w:p>
    <w:p w:rsidR="00716EA9" w:rsidRPr="007D12CE" w:rsidRDefault="00745A2E" w:rsidP="001D2A25">
      <w:pPr>
        <w:pStyle w:val="Text1"/>
        <w:rPr>
          <w:noProof/>
        </w:rPr>
      </w:pPr>
      <w:r w:rsidRPr="007D12CE">
        <w:rPr>
          <w:noProof/>
        </w:rPr>
        <w:t>Ja iestāde atbilst tikai pirmās daļas a) apakšpunkta nosacījumam, piemēro šīs regulas 4. panta 3. punktā noteiktos iekļaušanas un izslēgšanas kritērijus. Iestāde, kas atbilst pirmās daļas a) un b) apakšpunktā izklāstītajiem nosacījumiem, sāk iesniegt minēto informāciju atsauces datumā pēc pārskatu atsauces datuma, kurā tā pārsniedza minēto robežvērtību.</w:t>
      </w:r>
    </w:p>
    <w:p w:rsidR="00716EA9" w:rsidRPr="007D12CE" w:rsidRDefault="00716EA9" w:rsidP="00E537F5">
      <w:pPr>
        <w:pStyle w:val="Titrearticle"/>
        <w:rPr>
          <w:noProof/>
          <w:szCs w:val="24"/>
        </w:rPr>
      </w:pPr>
      <w:r w:rsidRPr="007D12CE">
        <w:rPr>
          <w:noProof/>
        </w:rPr>
        <w:t>16. pants</w:t>
      </w:r>
    </w:p>
    <w:p w:rsidR="00716EA9" w:rsidRPr="007D12CE" w:rsidRDefault="00716EA9" w:rsidP="00F22954">
      <w:pPr>
        <w:pStyle w:val="Titrearticle"/>
        <w:spacing w:before="0"/>
        <w:rPr>
          <w:b/>
          <w:bCs/>
          <w:i w:val="0"/>
          <w:iCs/>
          <w:noProof/>
          <w:szCs w:val="24"/>
        </w:rPr>
      </w:pPr>
      <w:r w:rsidRPr="007D12CE">
        <w:rPr>
          <w:b/>
          <w:i w:val="0"/>
          <w:noProof/>
        </w:rPr>
        <w:t>Pārskatu sniegšana gan individuālā, gan konsolidētā līmenī par likviditātes segumu</w:t>
      </w:r>
    </w:p>
    <w:p w:rsidR="00716EA9" w:rsidRPr="007D12CE" w:rsidRDefault="00A9725E" w:rsidP="00A9725E">
      <w:pPr>
        <w:pStyle w:val="ManualNumPar1"/>
        <w:rPr>
          <w:noProof/>
        </w:rPr>
      </w:pPr>
      <w:r w:rsidRPr="00A9725E">
        <w:rPr>
          <w:noProof/>
        </w:rPr>
        <w:t>1.</w:t>
      </w:r>
      <w:r w:rsidRPr="00A9725E">
        <w:rPr>
          <w:noProof/>
        </w:rPr>
        <w:tab/>
      </w:r>
      <w:r w:rsidR="000056CB" w:rsidRPr="007D12CE">
        <w:rPr>
          <w:noProof/>
        </w:rPr>
        <w:t>Iestādes, kas gan individuāli, gan konsolidēti sniedz Regulas (ES) Nr. 575/2013 412. pantā minēto informāciju par likviditātes segumu, kā pieprasīts minētās regulas 430. panta 1. punkta d) apakšpunktā, reizi mēnesī iesniedz minēto informāciju, kā noteikts šīs regulas I pielikuma 10. iedaļā “Pārskatu sniegšana par likviditātes segumu”.</w:t>
      </w:r>
    </w:p>
    <w:p w:rsidR="00716EA9" w:rsidRPr="007D12CE" w:rsidRDefault="00A9725E" w:rsidP="00A9725E">
      <w:pPr>
        <w:pStyle w:val="ManualNumPar1"/>
        <w:rPr>
          <w:noProof/>
        </w:rPr>
      </w:pPr>
      <w:r w:rsidRPr="00A9725E">
        <w:rPr>
          <w:noProof/>
        </w:rPr>
        <w:t>2.</w:t>
      </w:r>
      <w:r w:rsidRPr="00A9725E">
        <w:rPr>
          <w:noProof/>
        </w:rPr>
        <w:tab/>
      </w:r>
      <w:r w:rsidR="00716EA9" w:rsidRPr="007D12CE">
        <w:rPr>
          <w:noProof/>
        </w:rPr>
        <w:t>Lai sniegtu informāciju, kas noteikta šīs regulas I pielikuma 10. iedaļā “Pārskatu sniegšana par likviditātes segumu”, iestādes ņem vērā informāciju, kas iesniegta par atsauces datumu, un informāciju par naudas plūsmām 30 kalendāro dienu laikā pēc atsauces datuma.</w:t>
      </w:r>
    </w:p>
    <w:p w:rsidR="00716EA9" w:rsidRPr="007D12CE" w:rsidRDefault="00716EA9" w:rsidP="00E537F5">
      <w:pPr>
        <w:pStyle w:val="Titrearticle"/>
        <w:rPr>
          <w:noProof/>
          <w:szCs w:val="24"/>
        </w:rPr>
      </w:pPr>
      <w:r w:rsidRPr="007D12CE">
        <w:rPr>
          <w:noProof/>
        </w:rPr>
        <w:t>17. pants</w:t>
      </w:r>
    </w:p>
    <w:p w:rsidR="00716EA9" w:rsidRPr="007D12CE" w:rsidRDefault="00716EA9" w:rsidP="00F22954">
      <w:pPr>
        <w:pStyle w:val="Titrearticle"/>
        <w:spacing w:before="0"/>
        <w:rPr>
          <w:b/>
          <w:bCs/>
          <w:i w:val="0"/>
          <w:iCs/>
          <w:noProof/>
          <w:szCs w:val="24"/>
        </w:rPr>
      </w:pPr>
      <w:r w:rsidRPr="007D12CE">
        <w:rPr>
          <w:b/>
          <w:i w:val="0"/>
          <w:noProof/>
        </w:rPr>
        <w:t>Pārskatu sniegšana gan individuālā, gan konsolidētā līmenī par stabilu finansējumu</w:t>
      </w:r>
    </w:p>
    <w:p w:rsidR="00716EA9" w:rsidRPr="007D12CE" w:rsidRDefault="00D62A44" w:rsidP="00BA7013">
      <w:pPr>
        <w:rPr>
          <w:noProof/>
          <w:color w:val="000000"/>
          <w:szCs w:val="24"/>
        </w:rPr>
      </w:pPr>
      <w:r w:rsidRPr="007D12CE">
        <w:rPr>
          <w:noProof/>
        </w:rPr>
        <w:t>Iestādes, kas gan individuāli, gan konsolidēti sniedz Regulas (ES) Nr. 575/2013 413. pantā minēto informāciju par atbilstību stabila finansējuma prasībai, kā pieprasīts minētās regulas 430. panta 1. punkta d) apakšpunktā, reizi ceturksnī iesniedz minēto informāciju, kā noteikts šīs regulas I pielikuma 7. iedaļā “Pārskatu sniegšana par stabilu finansējumu”, šādi:</w:t>
      </w:r>
    </w:p>
    <w:p w:rsidR="00C26E6A" w:rsidRPr="007D12CE" w:rsidRDefault="00A9725E" w:rsidP="00A9725E">
      <w:pPr>
        <w:pStyle w:val="Point0"/>
        <w:rPr>
          <w:noProof/>
        </w:rPr>
      </w:pPr>
      <w:r w:rsidRPr="00A9725E">
        <w:rPr>
          <w:noProof/>
        </w:rPr>
        <w:t>(a)</w:t>
      </w:r>
      <w:r w:rsidRPr="00A9725E">
        <w:rPr>
          <w:noProof/>
        </w:rPr>
        <w:tab/>
      </w:r>
      <w:r w:rsidR="00C26E6A" w:rsidRPr="007D12CE">
        <w:rPr>
          <w:noProof/>
        </w:rPr>
        <w:t>mazas un nesarežģītas iestādes, kas izvēlējušās aprēķināt savu neto stabila finansējuma rādītāju (NSFR), izmantojot Regulas (ES) Nr. 575/2013 sestās daļas IV sadaļas 6. un 7. nodaļā izklāstīto metodiku, saņēmušas iepriekšēju atļauju no kompetentās iestādes saskaņā ar minētās regulas 428.ai pantu, iesniedz C 82 un C 83. veidnes;</w:t>
      </w:r>
    </w:p>
    <w:p w:rsidR="00C26E6A" w:rsidRPr="007D12CE" w:rsidRDefault="00A9725E" w:rsidP="00A9725E">
      <w:pPr>
        <w:pStyle w:val="Point0"/>
        <w:rPr>
          <w:noProof/>
        </w:rPr>
      </w:pPr>
      <w:r w:rsidRPr="00A9725E">
        <w:rPr>
          <w:noProof/>
        </w:rPr>
        <w:t>(b)</w:t>
      </w:r>
      <w:r w:rsidRPr="00A9725E">
        <w:rPr>
          <w:noProof/>
        </w:rPr>
        <w:tab/>
      </w:r>
      <w:r w:rsidR="00C26E6A" w:rsidRPr="007D12CE">
        <w:rPr>
          <w:noProof/>
        </w:rPr>
        <w:t>iestādes, kas nav minētas a) apakšpunktā, iesniedz C 80 un C 81.veidnes;</w:t>
      </w:r>
    </w:p>
    <w:p w:rsidR="00C26E6A" w:rsidRPr="007D12CE" w:rsidRDefault="00A9725E" w:rsidP="00A9725E">
      <w:pPr>
        <w:pStyle w:val="Point0"/>
        <w:rPr>
          <w:noProof/>
        </w:rPr>
      </w:pPr>
      <w:r w:rsidRPr="00A9725E">
        <w:rPr>
          <w:noProof/>
        </w:rPr>
        <w:t>(c)</w:t>
      </w:r>
      <w:r w:rsidRPr="00A9725E">
        <w:rPr>
          <w:noProof/>
        </w:rPr>
        <w:tab/>
      </w:r>
      <w:r w:rsidR="00C26E6A" w:rsidRPr="007D12CE">
        <w:rPr>
          <w:noProof/>
        </w:rPr>
        <w:t>visas iestādes iesniedz C 84. veidni.</w:t>
      </w:r>
    </w:p>
    <w:p w:rsidR="00716EA9" w:rsidRPr="007D12CE" w:rsidRDefault="00716EA9" w:rsidP="00E537F5">
      <w:pPr>
        <w:pStyle w:val="Titrearticle"/>
        <w:rPr>
          <w:noProof/>
          <w:szCs w:val="24"/>
        </w:rPr>
      </w:pPr>
      <w:r w:rsidRPr="007D12CE">
        <w:rPr>
          <w:noProof/>
        </w:rPr>
        <w:t>18. pants</w:t>
      </w:r>
    </w:p>
    <w:p w:rsidR="00716EA9" w:rsidRPr="007D12CE" w:rsidRDefault="00716EA9" w:rsidP="00F22954">
      <w:pPr>
        <w:pStyle w:val="Titrearticle"/>
        <w:spacing w:before="0"/>
        <w:rPr>
          <w:b/>
          <w:bCs/>
          <w:i w:val="0"/>
          <w:iCs/>
          <w:noProof/>
          <w:szCs w:val="24"/>
        </w:rPr>
      </w:pPr>
      <w:r w:rsidRPr="007D12CE">
        <w:rPr>
          <w:b/>
          <w:i w:val="0"/>
          <w:noProof/>
        </w:rPr>
        <w:t>Pārskatu sniegšana gan individuālā, gan konsolidētā līmenī par likviditātes novērtēšanas papildu rādītājiem</w:t>
      </w:r>
    </w:p>
    <w:p w:rsidR="00716EA9" w:rsidRPr="007D12CE" w:rsidRDefault="00D538F2" w:rsidP="007643C7">
      <w:pPr>
        <w:tabs>
          <w:tab w:val="left" w:pos="567"/>
        </w:tabs>
        <w:spacing w:before="100" w:beforeAutospacing="1" w:after="100" w:afterAutospacing="1"/>
        <w:rPr>
          <w:noProof/>
          <w:color w:val="000000"/>
          <w:szCs w:val="24"/>
        </w:rPr>
      </w:pPr>
      <w:r w:rsidRPr="007D12CE">
        <w:rPr>
          <w:noProof/>
        </w:rPr>
        <w:t>Iestādes, kas gan individuāli, gan konsolidēti sniedz Regulas (ES) Nr. 575/2013 415. panta 3. punkta b) apakšpunktā minēto informāciju par likviditātes novērtēšanas papildu rādītājiem, kā pieprasīts minētās regulas 430. panta 1. punkta d) apakšpunktā, sniedz minēto informāciju, kā noteikts šīs regulas I pielikuma 9. iedaļā “Pārskatu sniegšana par likviditātes novērtēšanas papildu rādītājiem”, ar šādu regularitāti:</w:t>
      </w:r>
    </w:p>
    <w:p w:rsidR="00F5752D" w:rsidRPr="007D12CE" w:rsidRDefault="00A9725E" w:rsidP="00A9725E">
      <w:pPr>
        <w:pStyle w:val="Point0"/>
        <w:rPr>
          <w:noProof/>
        </w:rPr>
      </w:pPr>
      <w:r w:rsidRPr="00A9725E">
        <w:rPr>
          <w:noProof/>
        </w:rPr>
        <w:t>(a)</w:t>
      </w:r>
      <w:r w:rsidRPr="00A9725E">
        <w:rPr>
          <w:noProof/>
        </w:rPr>
        <w:tab/>
      </w:r>
      <w:r w:rsidR="00F5752D" w:rsidRPr="007D12CE">
        <w:rPr>
          <w:noProof/>
        </w:rPr>
        <w:t>lielas iestādes šīs regulas I pielikuma 9. iedaļas C 66.01. veidnē un C 67.00. līdz C 71.00. veidnē norādīto informāciju iesniedz reizi mēnesi;</w:t>
      </w:r>
    </w:p>
    <w:p w:rsidR="00F5752D" w:rsidRPr="007D12CE" w:rsidRDefault="00A9725E" w:rsidP="00A9725E">
      <w:pPr>
        <w:pStyle w:val="Point0"/>
        <w:rPr>
          <w:noProof/>
        </w:rPr>
      </w:pPr>
      <w:r w:rsidRPr="00A9725E">
        <w:rPr>
          <w:noProof/>
        </w:rPr>
        <w:t>(b)</w:t>
      </w:r>
      <w:r w:rsidRPr="00A9725E">
        <w:rPr>
          <w:noProof/>
        </w:rPr>
        <w:tab/>
      </w:r>
      <w:r w:rsidR="00F5752D" w:rsidRPr="007D12CE">
        <w:rPr>
          <w:noProof/>
        </w:rPr>
        <w:t>mazas un nesarežģītas iestādes šīs regulas I pielikuma 9. iedaļas C 66.0, C 67.00. un C 71.00. veidnēs norādīto informāciju sniedz reizi ceturksnī;</w:t>
      </w:r>
    </w:p>
    <w:p w:rsidR="00F5752D" w:rsidRPr="007D12CE" w:rsidRDefault="00A9725E" w:rsidP="00A9725E">
      <w:pPr>
        <w:pStyle w:val="Point0"/>
        <w:rPr>
          <w:noProof/>
        </w:rPr>
      </w:pPr>
      <w:r w:rsidRPr="00A9725E">
        <w:rPr>
          <w:noProof/>
        </w:rPr>
        <w:t>(c)</w:t>
      </w:r>
      <w:r w:rsidRPr="00A9725E">
        <w:rPr>
          <w:noProof/>
        </w:rPr>
        <w:tab/>
      </w:r>
      <w:r w:rsidR="00F5752D" w:rsidRPr="007D12CE">
        <w:rPr>
          <w:noProof/>
        </w:rPr>
        <w:t>iestādes, kas nav ne lielas iestādes, ne mazas un nesarežģītas iestādes, šīs regulas I pielikuma 9. iedaļas C 66.01. līdz C 69.00. un C 71.00. veidnēs norādīto informāciju sniedz reizi mēnesī.</w:t>
      </w:r>
    </w:p>
    <w:p w:rsidR="00716EA9" w:rsidRPr="007D12CE" w:rsidRDefault="00716EA9" w:rsidP="00E537F5">
      <w:pPr>
        <w:pStyle w:val="Titrearticle"/>
        <w:rPr>
          <w:noProof/>
          <w:szCs w:val="24"/>
        </w:rPr>
      </w:pPr>
      <w:r w:rsidRPr="007D12CE">
        <w:rPr>
          <w:noProof/>
        </w:rPr>
        <w:t>19. pants</w:t>
      </w:r>
    </w:p>
    <w:p w:rsidR="00716EA9" w:rsidRPr="007D12CE" w:rsidRDefault="00716EA9" w:rsidP="00F22954">
      <w:pPr>
        <w:pStyle w:val="Titrearticle"/>
        <w:spacing w:before="0"/>
        <w:rPr>
          <w:b/>
          <w:bCs/>
          <w:i w:val="0"/>
          <w:iCs/>
          <w:noProof/>
          <w:szCs w:val="24"/>
        </w:rPr>
      </w:pPr>
      <w:r w:rsidRPr="007D12CE">
        <w:rPr>
          <w:b/>
          <w:i w:val="0"/>
          <w:noProof/>
        </w:rPr>
        <w:t>Pārskatu sniegšana gan individuālā, gan konsolidētā līmenī par aktīvu apgrūtinājumiem</w:t>
      </w:r>
    </w:p>
    <w:p w:rsidR="001D2A25" w:rsidRPr="007D12CE" w:rsidRDefault="00A9725E" w:rsidP="00A9725E">
      <w:pPr>
        <w:pStyle w:val="ManualNumPar1"/>
        <w:rPr>
          <w:noProof/>
        </w:rPr>
      </w:pPr>
      <w:r w:rsidRPr="00A9725E">
        <w:rPr>
          <w:noProof/>
        </w:rPr>
        <w:t>1.</w:t>
      </w:r>
      <w:r w:rsidRPr="00A9725E">
        <w:rPr>
          <w:noProof/>
        </w:rPr>
        <w:tab/>
      </w:r>
      <w:r w:rsidR="00716EA9" w:rsidRPr="007D12CE">
        <w:rPr>
          <w:noProof/>
        </w:rPr>
        <w:t>Iestādes, kas gan individuāli, gan konsolidēti sniedz informāciju par aktīvu apgrūtinājuma līmeni, kā noteikts Regulas (ES) Nr. 575/2013 430. panta 1. punkta g) apakšpunktā, sniedz šo informāciju, kā noteikts šīs regulas I pielikuma 8. iedaļā “Pārskatu sniegšana par aktīvu apgrūtinājumu”, ar šādu regularitāti:</w:t>
      </w:r>
    </w:p>
    <w:p w:rsidR="00F5752D" w:rsidRPr="007D12CE" w:rsidRDefault="00A9725E" w:rsidP="00A9725E">
      <w:pPr>
        <w:pStyle w:val="Point1"/>
        <w:rPr>
          <w:noProof/>
        </w:rPr>
      </w:pPr>
      <w:r w:rsidRPr="00A9725E">
        <w:rPr>
          <w:noProof/>
        </w:rPr>
        <w:t>(a)</w:t>
      </w:r>
      <w:r w:rsidRPr="00A9725E">
        <w:rPr>
          <w:noProof/>
        </w:rPr>
        <w:tab/>
      </w:r>
      <w:r w:rsidR="00F5752D" w:rsidRPr="007D12CE">
        <w:rPr>
          <w:noProof/>
        </w:rPr>
        <w:t>šīs regulas I pielikuma 8. iedaļas F 32.01. līdz F 33.00. veidnē un F35.00. veidnē norādīto informāciju sniedz reizi ceturksnī;</w:t>
      </w:r>
    </w:p>
    <w:p w:rsidR="00F5752D" w:rsidRPr="007D12CE" w:rsidRDefault="00A9725E" w:rsidP="00A9725E">
      <w:pPr>
        <w:pStyle w:val="Point1"/>
        <w:rPr>
          <w:noProof/>
        </w:rPr>
      </w:pPr>
      <w:r w:rsidRPr="00A9725E">
        <w:rPr>
          <w:noProof/>
        </w:rPr>
        <w:t>(b)</w:t>
      </w:r>
      <w:r w:rsidRPr="00A9725E">
        <w:rPr>
          <w:noProof/>
        </w:rPr>
        <w:tab/>
      </w:r>
      <w:r w:rsidR="00F5752D" w:rsidRPr="007D12CE">
        <w:rPr>
          <w:noProof/>
        </w:rPr>
        <w:t>šīs regulas I pielikuma 8. iedaļas F 34.00. veidnē norādīto informāciju sniedz reizi gadā;</w:t>
      </w:r>
    </w:p>
    <w:p w:rsidR="00F5752D" w:rsidRPr="007D12CE" w:rsidRDefault="00A9725E" w:rsidP="00A9725E">
      <w:pPr>
        <w:pStyle w:val="Point1"/>
        <w:rPr>
          <w:noProof/>
        </w:rPr>
      </w:pPr>
      <w:r w:rsidRPr="00A9725E">
        <w:rPr>
          <w:noProof/>
        </w:rPr>
        <w:t>(c)</w:t>
      </w:r>
      <w:r w:rsidRPr="00A9725E">
        <w:rPr>
          <w:noProof/>
        </w:rPr>
        <w:tab/>
      </w:r>
      <w:r w:rsidR="00F5752D" w:rsidRPr="007D12CE">
        <w:rPr>
          <w:noProof/>
        </w:rPr>
        <w:t>šīs regulas I pielikuma 8. iedaļas F 36.01. un F 36.02. veidnē norādīto informāciju sniedz reizi pusgadā.</w:t>
      </w:r>
    </w:p>
    <w:p w:rsidR="0083639F" w:rsidRPr="007D12CE" w:rsidRDefault="00A9725E" w:rsidP="00A9725E">
      <w:pPr>
        <w:pStyle w:val="ManualNumPar1"/>
        <w:rPr>
          <w:noProof/>
        </w:rPr>
      </w:pPr>
      <w:r w:rsidRPr="00A9725E">
        <w:rPr>
          <w:noProof/>
        </w:rPr>
        <w:t>2.</w:t>
      </w:r>
      <w:r w:rsidRPr="00A9725E">
        <w:rPr>
          <w:noProof/>
        </w:rPr>
        <w:tab/>
      </w:r>
      <w:r w:rsidR="00745A2E" w:rsidRPr="007D12CE">
        <w:rPr>
          <w:noProof/>
        </w:rPr>
        <w:t>Iestādes 1. punktā minēto informāciju iesniedz šādi:</w:t>
      </w:r>
    </w:p>
    <w:p w:rsidR="0083639F" w:rsidRPr="007D12CE" w:rsidRDefault="00A9725E" w:rsidP="00A9725E">
      <w:pPr>
        <w:pStyle w:val="Point1"/>
        <w:rPr>
          <w:noProof/>
        </w:rPr>
      </w:pPr>
      <w:r w:rsidRPr="00A9725E">
        <w:rPr>
          <w:noProof/>
        </w:rPr>
        <w:t>(a)</w:t>
      </w:r>
      <w:r w:rsidRPr="00A9725E">
        <w:rPr>
          <w:noProof/>
        </w:rPr>
        <w:tab/>
      </w:r>
      <w:r w:rsidR="0083639F" w:rsidRPr="007D12CE">
        <w:rPr>
          <w:noProof/>
        </w:rPr>
        <w:t>iestādes sniedz informāciju, kas norādīta 8. iedaļas “Ziņošana par aktīvu apgrūtinājumiem” A daļā;</w:t>
      </w:r>
    </w:p>
    <w:p w:rsidR="0083639F" w:rsidRPr="007D12CE" w:rsidRDefault="00A9725E" w:rsidP="00A9725E">
      <w:pPr>
        <w:pStyle w:val="Point1"/>
        <w:rPr>
          <w:noProof/>
        </w:rPr>
      </w:pPr>
      <w:r w:rsidRPr="00A9725E">
        <w:rPr>
          <w:noProof/>
        </w:rPr>
        <w:t>(b)</w:t>
      </w:r>
      <w:r w:rsidRPr="00A9725E">
        <w:rPr>
          <w:noProof/>
        </w:rPr>
        <w:tab/>
      </w:r>
      <w:r w:rsidR="0083639F" w:rsidRPr="007D12CE">
        <w:rPr>
          <w:noProof/>
        </w:rPr>
        <w:t>lielas iestādes sniedz informāciju, kas norādīta 8. iedaļas “Ziņojumi par aktīvu apgrūtinājumiem” B, C un E daļā;</w:t>
      </w:r>
    </w:p>
    <w:p w:rsidR="0083639F" w:rsidRPr="007D12CE" w:rsidRDefault="00A9725E" w:rsidP="00A9725E">
      <w:pPr>
        <w:pStyle w:val="Point1"/>
        <w:rPr>
          <w:noProof/>
        </w:rPr>
      </w:pPr>
      <w:r w:rsidRPr="00A9725E">
        <w:rPr>
          <w:noProof/>
        </w:rPr>
        <w:t>(c)</w:t>
      </w:r>
      <w:r w:rsidRPr="00A9725E">
        <w:rPr>
          <w:noProof/>
        </w:rPr>
        <w:tab/>
      </w:r>
      <w:r w:rsidR="0083639F" w:rsidRPr="007D12CE">
        <w:rPr>
          <w:noProof/>
        </w:rPr>
        <w:t>iestādes, kas nav ne lielas iestādes, ne mazas un nesarežģītas iestādes, iesniedz 8. iedaļas “Pārskats par aktīvu apgrūtinājumiem” B, C un E daļā norādīto informāciju, ja iestādes aktīvu apgrūtinājuma līmenis, kas norādīts kā (apgrūtināto aktīvu un nodrošinājuma uzskaites summa)/(aktīvi un nodrošinājums kopā), ir 15 % vai lielāks;</w:t>
      </w:r>
    </w:p>
    <w:p w:rsidR="0083639F" w:rsidRPr="007D12CE" w:rsidRDefault="00A9725E" w:rsidP="00A9725E">
      <w:pPr>
        <w:pStyle w:val="Point1"/>
        <w:rPr>
          <w:noProof/>
        </w:rPr>
      </w:pPr>
      <w:r w:rsidRPr="00A9725E">
        <w:rPr>
          <w:noProof/>
        </w:rPr>
        <w:t>(d)</w:t>
      </w:r>
      <w:r w:rsidRPr="00A9725E">
        <w:rPr>
          <w:noProof/>
        </w:rPr>
        <w:tab/>
      </w:r>
      <w:r w:rsidR="0083639F" w:rsidRPr="007D12CE">
        <w:rPr>
          <w:noProof/>
        </w:rPr>
        <w:t>iestādes 8. iedaļas “Pārskats par aktīvu apgrūtinājumiem” D daļā noteikto informāciju iesniedz tikai tad, ja tās emitē obligācijas, kas minētas Eiropas Parlamenta un Padomes Direktīvas 2009/65/EK</w:t>
      </w:r>
      <w:r w:rsidR="00745A2E" w:rsidRPr="007D12CE">
        <w:rPr>
          <w:rStyle w:val="FootnoteReference"/>
          <w:noProof/>
          <w:szCs w:val="24"/>
        </w:rPr>
        <w:footnoteReference w:id="10"/>
      </w:r>
      <w:r w:rsidR="0083639F" w:rsidRPr="007D12CE">
        <w:rPr>
          <w:noProof/>
        </w:rPr>
        <w:t xml:space="preserve"> 52. panta 4. punkta pirmajā daļā.</w:t>
      </w:r>
    </w:p>
    <w:p w:rsidR="00716EA9" w:rsidRPr="007D12CE" w:rsidRDefault="00716EA9" w:rsidP="00E537F5">
      <w:pPr>
        <w:pStyle w:val="Titrearticle"/>
        <w:rPr>
          <w:noProof/>
          <w:szCs w:val="24"/>
        </w:rPr>
      </w:pPr>
      <w:r w:rsidRPr="007D12CE">
        <w:rPr>
          <w:noProof/>
        </w:rPr>
        <w:t>20. pants</w:t>
      </w:r>
    </w:p>
    <w:p w:rsidR="00716EA9" w:rsidRPr="007D12CE" w:rsidRDefault="00716EA9" w:rsidP="0066303A">
      <w:pPr>
        <w:pStyle w:val="Titrearticle"/>
        <w:spacing w:before="0"/>
        <w:rPr>
          <w:b/>
          <w:bCs/>
          <w:i w:val="0"/>
          <w:iCs/>
          <w:noProof/>
          <w:szCs w:val="24"/>
        </w:rPr>
      </w:pPr>
      <w:r w:rsidRPr="007D12CE">
        <w:rPr>
          <w:b/>
          <w:i w:val="0"/>
          <w:noProof/>
        </w:rPr>
        <w:t>Papildu pārskatu sniegšana nolūkā identificēt G-SNI un piešķirt G-SNI rezervju normas</w:t>
      </w:r>
    </w:p>
    <w:p w:rsidR="00716EA9" w:rsidRPr="007D12CE" w:rsidRDefault="00A9725E" w:rsidP="00A9725E">
      <w:pPr>
        <w:pStyle w:val="ManualNumPar1"/>
        <w:rPr>
          <w:noProof/>
        </w:rPr>
      </w:pPr>
      <w:r w:rsidRPr="00A9725E">
        <w:rPr>
          <w:noProof/>
        </w:rPr>
        <w:t>1.</w:t>
      </w:r>
      <w:r w:rsidRPr="00A9725E">
        <w:rPr>
          <w:noProof/>
        </w:rPr>
        <w:tab/>
      </w:r>
      <w:r w:rsidR="00716EA9" w:rsidRPr="007D12CE">
        <w:rPr>
          <w:noProof/>
        </w:rPr>
        <w:t>Iesniedzot papildinformāciju, lai identificētu G-SNI un piešķirtu G-SNI rezervju normas saskaņā ar Direktīvas 2013/36/ES 131. pantu, ES mātes iestādes, ES mātes finanšu pārvaldītājsabiedrības un ES mātes jauktas finanšu pārvaldītājsabiedrības konsolidēti reizi ceturksnī sniedz šīs regulas I pielikuma 11. iedaļā “Papildu pārskatu sniegšana nolūkā identificēt G-SNI un piešķirt G-SNI rezervju normas” noteikto informāciju, ja ir izpildīti abi turpmāk minētie nosacījumi:</w:t>
      </w:r>
    </w:p>
    <w:p w:rsidR="00AB5213" w:rsidRPr="007D12CE" w:rsidRDefault="00A9725E" w:rsidP="00A9725E">
      <w:pPr>
        <w:pStyle w:val="Point1"/>
        <w:rPr>
          <w:noProof/>
        </w:rPr>
      </w:pPr>
      <w:r w:rsidRPr="00A9725E">
        <w:rPr>
          <w:noProof/>
        </w:rPr>
        <w:t>(a)</w:t>
      </w:r>
      <w:r w:rsidRPr="00A9725E">
        <w:rPr>
          <w:noProof/>
        </w:rPr>
        <w:tab/>
      </w:r>
      <w:r w:rsidR="00AB5213" w:rsidRPr="007D12CE">
        <w:rPr>
          <w:noProof/>
        </w:rPr>
        <w:t>attiecīgās grupas, tostarp apdrošināšanas meitasuzņēmumu, kopējās riska darījumu vērtības mērs ir vienāds ar vai lielāks par 125 000 000 000 EUR;</w:t>
      </w:r>
    </w:p>
    <w:p w:rsidR="00AB5213" w:rsidRPr="007D12CE" w:rsidRDefault="00A9725E" w:rsidP="00A9725E">
      <w:pPr>
        <w:pStyle w:val="Point1"/>
        <w:rPr>
          <w:noProof/>
        </w:rPr>
      </w:pPr>
      <w:r w:rsidRPr="00A9725E">
        <w:rPr>
          <w:noProof/>
        </w:rPr>
        <w:t>(b)</w:t>
      </w:r>
      <w:r w:rsidRPr="00A9725E">
        <w:rPr>
          <w:noProof/>
        </w:rPr>
        <w:tab/>
      </w:r>
      <w:r w:rsidR="00AB5213" w:rsidRPr="007D12CE">
        <w:rPr>
          <w:noProof/>
        </w:rPr>
        <w:t>ES mātesuzņēmums vai jebkurš tā meitasuzņēmums, vai jebkura tā filiāle, ko pārvalda mātesuzņēmums vai meitasuzņēmums, atrodas iesaistītajā dalībvalstī, kā minēts Eiropas Parlamenta un Padomes Regulas (ES) Nr. 806/2014</w:t>
      </w:r>
      <w:r w:rsidR="00AB5213" w:rsidRPr="00DF5315">
        <w:rPr>
          <w:rStyle w:val="FootnoteReference"/>
          <w:noProof/>
          <w:lang w:eastAsia="fr-BE"/>
        </w:rPr>
        <w:footnoteReference w:id="11"/>
      </w:r>
      <w:r w:rsidR="00AB5213" w:rsidRPr="007D12CE">
        <w:rPr>
          <w:noProof/>
        </w:rPr>
        <w:t xml:space="preserve"> 4. pantā.</w:t>
      </w:r>
    </w:p>
    <w:p w:rsidR="00716EA9" w:rsidRPr="007D12CE" w:rsidRDefault="00A9725E" w:rsidP="00A9725E">
      <w:pPr>
        <w:pStyle w:val="ManualNumPar1"/>
        <w:rPr>
          <w:noProof/>
        </w:rPr>
      </w:pPr>
      <w:r w:rsidRPr="00A9725E">
        <w:rPr>
          <w:noProof/>
        </w:rPr>
        <w:t>2.</w:t>
      </w:r>
      <w:r w:rsidRPr="00A9725E">
        <w:rPr>
          <w:noProof/>
        </w:rPr>
        <w:tab/>
      </w:r>
      <w:r w:rsidR="00557F8A" w:rsidRPr="007D12CE">
        <w:rPr>
          <w:noProof/>
        </w:rPr>
        <w:t>Iesniedzot papildinformāciju nolūkā identificēt G-SNI un piešķirt G-SNI rezervju normas saskaņā ar Direktīvas 2013/36/ES 131. pantu, iestādes individuāli reizi ceturksnī sniedz šīs regulas I pielikuma 11. iedaļā “Papildu pārskatu sniegšana nolūkā identificēt G-SNI un piešķirt G-SNI rezervju normas” noteikto informāciju, ja ir izpildīti visi turpmāk minētie nosacījumi:</w:t>
      </w:r>
    </w:p>
    <w:p w:rsidR="00AB5213" w:rsidRPr="007D12CE" w:rsidRDefault="00A9725E" w:rsidP="00A9725E">
      <w:pPr>
        <w:pStyle w:val="Point1"/>
        <w:rPr>
          <w:noProof/>
        </w:rPr>
      </w:pPr>
      <w:r w:rsidRPr="00A9725E">
        <w:rPr>
          <w:noProof/>
        </w:rPr>
        <w:t>(a)</w:t>
      </w:r>
      <w:r w:rsidRPr="00A9725E">
        <w:rPr>
          <w:noProof/>
        </w:rPr>
        <w:tab/>
      </w:r>
      <w:r w:rsidR="00AB5213" w:rsidRPr="007D12CE">
        <w:rPr>
          <w:noProof/>
        </w:rPr>
        <w:t>attiecīgās iestādes kopējās riska darījumu vērtības mērs ir vienāds ar 125 000 000 000 EUR vai lielāks par to;</w:t>
      </w:r>
    </w:p>
    <w:p w:rsidR="00AB5213" w:rsidRPr="007D12CE" w:rsidRDefault="00A9725E" w:rsidP="00A9725E">
      <w:pPr>
        <w:pStyle w:val="Point1"/>
        <w:rPr>
          <w:noProof/>
        </w:rPr>
      </w:pPr>
      <w:r w:rsidRPr="00A9725E">
        <w:rPr>
          <w:noProof/>
        </w:rPr>
        <w:t>(b)</w:t>
      </w:r>
      <w:r w:rsidRPr="00A9725E">
        <w:rPr>
          <w:noProof/>
        </w:rPr>
        <w:tab/>
      </w:r>
      <w:r w:rsidR="00AB5213" w:rsidRPr="007D12CE">
        <w:rPr>
          <w:noProof/>
        </w:rPr>
        <w:t>iestāde atrodas iesaistītajā dalībvalstī, kā minēts Regulas (ES) Nr. 806/2014 4. pantā;</w:t>
      </w:r>
    </w:p>
    <w:p w:rsidR="00AB5213" w:rsidRPr="007D12CE" w:rsidRDefault="00A9725E" w:rsidP="00A9725E">
      <w:pPr>
        <w:pStyle w:val="Point1"/>
        <w:rPr>
          <w:noProof/>
        </w:rPr>
      </w:pPr>
      <w:r w:rsidRPr="00A9725E">
        <w:rPr>
          <w:noProof/>
        </w:rPr>
        <w:t>(c)</w:t>
      </w:r>
      <w:r w:rsidRPr="00A9725E">
        <w:rPr>
          <w:noProof/>
        </w:rPr>
        <w:tab/>
      </w:r>
      <w:r w:rsidR="00AB5213" w:rsidRPr="007D12CE">
        <w:rPr>
          <w:noProof/>
        </w:rPr>
        <w:t>iestāde nav daļa no grupas, uz kuru attiecas konsolidētā uzraudzība (“atsevišķa iestāde”).</w:t>
      </w:r>
    </w:p>
    <w:p w:rsidR="00716EA9" w:rsidRPr="007D12CE" w:rsidRDefault="00A9725E" w:rsidP="00A9725E">
      <w:pPr>
        <w:pStyle w:val="ManualNumPar1"/>
        <w:rPr>
          <w:noProof/>
        </w:rPr>
      </w:pPr>
      <w:r w:rsidRPr="00A9725E">
        <w:rPr>
          <w:noProof/>
        </w:rPr>
        <w:t>3.</w:t>
      </w:r>
      <w:r w:rsidRPr="00A9725E">
        <w:rPr>
          <w:noProof/>
        </w:rPr>
        <w:tab/>
      </w:r>
      <w:r w:rsidR="00716EA9" w:rsidRPr="007D12CE">
        <w:rPr>
          <w:noProof/>
        </w:rPr>
        <w:t>Atkāpjoties no 3. panta 1. punkta b) apakšpunkta, iestādes šā panta 1. un 2. punktā minēto informāciju iesniedz līdz darbdienas beigām šādos nosūtīšanas datumos: 1. jūlijā, 1. oktobrī, 2. janvārī un 1. aprīlī.</w:t>
      </w:r>
    </w:p>
    <w:p w:rsidR="00716EA9" w:rsidRPr="007D12CE" w:rsidRDefault="00A9725E" w:rsidP="00A9725E">
      <w:pPr>
        <w:pStyle w:val="ManualNumPar1"/>
        <w:rPr>
          <w:noProof/>
        </w:rPr>
      </w:pPr>
      <w:r w:rsidRPr="00A9725E">
        <w:rPr>
          <w:noProof/>
        </w:rPr>
        <w:t>4.</w:t>
      </w:r>
      <w:r w:rsidRPr="00A9725E">
        <w:rPr>
          <w:noProof/>
        </w:rPr>
        <w:tab/>
      </w:r>
      <w:r w:rsidR="00716EA9" w:rsidRPr="007D12CE">
        <w:rPr>
          <w:noProof/>
        </w:rPr>
        <w:t>Atkāpjoties no 4. panta, šā panta 1. punkta a) apakšpunktā un 2. punkta a) apakšpunktā noteiktajām robežvērtībām piemēro šādus noteikumus:</w:t>
      </w:r>
    </w:p>
    <w:p w:rsidR="00AB5213" w:rsidRPr="007D12CE" w:rsidRDefault="00A9725E" w:rsidP="00A9725E">
      <w:pPr>
        <w:pStyle w:val="Point1"/>
        <w:rPr>
          <w:noProof/>
        </w:rPr>
      </w:pPr>
      <w:r w:rsidRPr="00A9725E">
        <w:rPr>
          <w:noProof/>
        </w:rPr>
        <w:t>(a)</w:t>
      </w:r>
      <w:r w:rsidRPr="00A9725E">
        <w:rPr>
          <w:noProof/>
        </w:rPr>
        <w:tab/>
      </w:r>
      <w:r w:rsidR="00AB5213" w:rsidRPr="007D12CE">
        <w:rPr>
          <w:noProof/>
        </w:rPr>
        <w:t>ES mātes iestāde, ES mātes finanšu pārvaldītājsabiedrība, ES mātes jaukta finanšu pārvaldītājsabiedrība vai attiecīgi atsevišķa iestāde nekavējoties sāk sniegt 1. un 2. punktā minēto informāciju saskaņā ar šo pantu, ja tās riska darījumu vērtības mērs sviras rādītāja aprēķina nolūkā grāmatvedības gada beigās pārsniedz noteikto robežvērtību, un sniedz šo informāciju vismaz par minētā grāmatvedības gada beigām un turpmākajiem trim ceturkšņa atsauces datumiem;</w:t>
      </w:r>
    </w:p>
    <w:p w:rsidR="00AB5213" w:rsidRPr="007D12CE" w:rsidRDefault="00A9725E" w:rsidP="00A9725E">
      <w:pPr>
        <w:pStyle w:val="Point1"/>
        <w:rPr>
          <w:noProof/>
        </w:rPr>
      </w:pPr>
      <w:r w:rsidRPr="00A9725E">
        <w:rPr>
          <w:noProof/>
        </w:rPr>
        <w:t>(b)</w:t>
      </w:r>
      <w:r w:rsidRPr="00A9725E">
        <w:rPr>
          <w:noProof/>
        </w:rPr>
        <w:tab/>
      </w:r>
      <w:r w:rsidR="00AB5213" w:rsidRPr="007D12CE">
        <w:rPr>
          <w:noProof/>
        </w:rPr>
        <w:t>ES mātes iestāde, ES mātes finanšu pārvaldītājsabiedrība, ES mātes jaukta finanšu pārvaldītājsabiedrība vai attiecīgi atsevišķa iestāde nekavējoties pārtrauc sniegt 1. un 2. punktā minēto informāciju saskaņā ar šo pantu, ja tās riska darījumu vērtības mērs sviras rādītāja aprēķina nolūkā grāmatvedības gada beigās ir mazāks par noteikto robežvērtību.</w:t>
      </w:r>
    </w:p>
    <w:p w:rsidR="00716EA9" w:rsidRPr="007D12CE" w:rsidRDefault="00716EA9" w:rsidP="00E537F5">
      <w:pPr>
        <w:pStyle w:val="Titrearticle"/>
        <w:rPr>
          <w:noProof/>
          <w:szCs w:val="24"/>
        </w:rPr>
      </w:pPr>
      <w:r w:rsidRPr="007D12CE">
        <w:rPr>
          <w:noProof/>
        </w:rPr>
        <w:t>21. pants</w:t>
      </w:r>
    </w:p>
    <w:p w:rsidR="00716EA9" w:rsidRPr="007D12CE" w:rsidRDefault="00716EA9" w:rsidP="0066303A">
      <w:pPr>
        <w:pStyle w:val="Titrearticle"/>
        <w:spacing w:before="0"/>
        <w:rPr>
          <w:b/>
          <w:bCs/>
          <w:i w:val="0"/>
          <w:iCs/>
          <w:noProof/>
          <w:szCs w:val="24"/>
        </w:rPr>
      </w:pPr>
      <w:bookmarkStart w:id="2" w:name="_Hlk175233444"/>
      <w:r w:rsidRPr="007D12CE">
        <w:rPr>
          <w:b/>
          <w:i w:val="0"/>
          <w:noProof/>
        </w:rPr>
        <w:t>Pārskatu sniegšana gan individuālā, gan konsolidētā līmenī par procentu likmju risku banku portfelī</w:t>
      </w:r>
    </w:p>
    <w:p w:rsidR="00716EA9" w:rsidRPr="007D12CE" w:rsidRDefault="000B3834" w:rsidP="00716EA9">
      <w:pPr>
        <w:rPr>
          <w:rFonts w:eastAsia="Times New Roman"/>
          <w:noProof/>
          <w:color w:val="000000" w:themeColor="text1"/>
          <w:szCs w:val="24"/>
        </w:rPr>
      </w:pPr>
      <w:r w:rsidRPr="007D12CE">
        <w:rPr>
          <w:noProof/>
        </w:rPr>
        <w:t>Iestādes, kas sniedz informāciju par procentu likmju risku banku portfelī saskaņā ar Direktīvas 2013/36/ES 84. panta 5. punktu, 84. panta 6. punktu un 98. panta 5.a punktu gan individuāli, gan konsolidēti iesniedz minētajos pantos minēto informāciju, kā noteikts šīs regulas I pielikuma 12. iedaļā “Ziņošana par procentu likmju risku banku portfelī” ar šādu regularitāti:</w:t>
      </w:r>
    </w:p>
    <w:p w:rsidR="00F5752D" w:rsidRPr="007D12CE" w:rsidRDefault="00A9725E" w:rsidP="00A9725E">
      <w:pPr>
        <w:pStyle w:val="Point0"/>
        <w:rPr>
          <w:noProof/>
        </w:rPr>
      </w:pPr>
      <w:r w:rsidRPr="00A9725E">
        <w:rPr>
          <w:noProof/>
        </w:rPr>
        <w:t>(a)</w:t>
      </w:r>
      <w:r w:rsidRPr="00A9725E">
        <w:rPr>
          <w:noProof/>
        </w:rPr>
        <w:tab/>
      </w:r>
      <w:r w:rsidR="00247A56" w:rsidRPr="007D12CE">
        <w:rPr>
          <w:noProof/>
        </w:rPr>
        <w:t>visas iestādes: I pielikuma 12. iedaļas J 01.00. veidni – reizi ceturksnī;</w:t>
      </w:r>
    </w:p>
    <w:p w:rsidR="00F5752D" w:rsidRPr="007D12CE" w:rsidRDefault="00A9725E" w:rsidP="00A9725E">
      <w:pPr>
        <w:pStyle w:val="Point0"/>
        <w:rPr>
          <w:noProof/>
        </w:rPr>
      </w:pPr>
      <w:r w:rsidRPr="00A9725E">
        <w:rPr>
          <w:noProof/>
        </w:rPr>
        <w:t>(b)</w:t>
      </w:r>
      <w:r w:rsidRPr="00A9725E">
        <w:rPr>
          <w:noProof/>
        </w:rPr>
        <w:tab/>
      </w:r>
      <w:r w:rsidR="00247A56" w:rsidRPr="007D12CE">
        <w:rPr>
          <w:noProof/>
        </w:rPr>
        <w:t>lielas iestādes: I pielikuma 12. iedaļas veidnes J 02.00., J 05.00. un J 08.00. – reizi ceturksnī;</w:t>
      </w:r>
    </w:p>
    <w:p w:rsidR="00F5752D" w:rsidRPr="007D12CE" w:rsidRDefault="00A9725E" w:rsidP="00A9725E">
      <w:pPr>
        <w:pStyle w:val="Point0"/>
        <w:rPr>
          <w:noProof/>
        </w:rPr>
      </w:pPr>
      <w:r w:rsidRPr="00A9725E">
        <w:rPr>
          <w:noProof/>
        </w:rPr>
        <w:t>(c)</w:t>
      </w:r>
      <w:r w:rsidRPr="00A9725E">
        <w:rPr>
          <w:noProof/>
        </w:rPr>
        <w:tab/>
      </w:r>
      <w:r w:rsidR="00247A56" w:rsidRPr="007D12CE">
        <w:rPr>
          <w:noProof/>
        </w:rPr>
        <w:t>iestādes, kas nav ne lielas iestādes, ne mazas un nesarežģītas iestādes: I pielikuma 12. iedaļas J 03.00. veidni un J 06.00. veidni – reizi ceturksnī;</w:t>
      </w:r>
    </w:p>
    <w:p w:rsidR="00F5752D" w:rsidRPr="007D12CE" w:rsidRDefault="00A9725E" w:rsidP="00A9725E">
      <w:pPr>
        <w:pStyle w:val="Point0"/>
        <w:rPr>
          <w:noProof/>
        </w:rPr>
      </w:pPr>
      <w:r w:rsidRPr="00A9725E">
        <w:rPr>
          <w:noProof/>
        </w:rPr>
        <w:t>(d)</w:t>
      </w:r>
      <w:r w:rsidRPr="00A9725E">
        <w:rPr>
          <w:noProof/>
        </w:rPr>
        <w:tab/>
      </w:r>
      <w:r w:rsidR="00247A56" w:rsidRPr="007D12CE">
        <w:rPr>
          <w:noProof/>
        </w:rPr>
        <w:t>mazas un nesarežģītas iestādes: I pielikuma 12. iedaļas J 04.00. veidni un J 07.00. veidni – reizi ceturksnī;</w:t>
      </w:r>
    </w:p>
    <w:p w:rsidR="00F5752D" w:rsidRPr="007D12CE" w:rsidRDefault="00A9725E" w:rsidP="00A9725E">
      <w:pPr>
        <w:pStyle w:val="Point0"/>
        <w:rPr>
          <w:noProof/>
        </w:rPr>
      </w:pPr>
      <w:r w:rsidRPr="00A9725E">
        <w:rPr>
          <w:noProof/>
        </w:rPr>
        <w:t>(e)</w:t>
      </w:r>
      <w:r w:rsidRPr="00A9725E">
        <w:rPr>
          <w:noProof/>
        </w:rPr>
        <w:tab/>
      </w:r>
      <w:r w:rsidR="00247A56" w:rsidRPr="007D12CE">
        <w:rPr>
          <w:noProof/>
        </w:rPr>
        <w:t>iestādes, kas nav ne lielas iestādes, ne mazas un nesarežģītas iestādes, un mazas un nesarežģītas iestādes: I pielikuma 12. iedaļas J 09.00. veidni – reizi ceturksnī;</w:t>
      </w:r>
    </w:p>
    <w:p w:rsidR="00F5752D" w:rsidRPr="007D12CE" w:rsidRDefault="00A9725E" w:rsidP="00A9725E">
      <w:pPr>
        <w:pStyle w:val="Point0"/>
        <w:rPr>
          <w:noProof/>
        </w:rPr>
      </w:pPr>
      <w:r w:rsidRPr="00A9725E">
        <w:rPr>
          <w:noProof/>
        </w:rPr>
        <w:t>(f)</w:t>
      </w:r>
      <w:r w:rsidRPr="00A9725E">
        <w:rPr>
          <w:noProof/>
        </w:rPr>
        <w:tab/>
      </w:r>
      <w:r w:rsidR="00247A56" w:rsidRPr="007D12CE">
        <w:rPr>
          <w:noProof/>
        </w:rPr>
        <w:t>lielas iestādes: I pielikuma 12. iedaļas J 10.01. veidni un J 10.02. veidni – reizi gadā;</w:t>
      </w:r>
    </w:p>
    <w:p w:rsidR="00F5752D" w:rsidRPr="007D12CE" w:rsidRDefault="00A9725E" w:rsidP="00A9725E">
      <w:pPr>
        <w:pStyle w:val="Point0"/>
        <w:rPr>
          <w:noProof/>
        </w:rPr>
      </w:pPr>
      <w:r w:rsidRPr="00A9725E">
        <w:rPr>
          <w:noProof/>
        </w:rPr>
        <w:t>(g)</w:t>
      </w:r>
      <w:r w:rsidRPr="00A9725E">
        <w:rPr>
          <w:noProof/>
        </w:rPr>
        <w:tab/>
      </w:r>
      <w:r w:rsidR="00247A56" w:rsidRPr="007D12CE">
        <w:rPr>
          <w:noProof/>
        </w:rPr>
        <w:t>iestādes, kas nav ne lielas iestādes, ne mazas un nesarežģītas iestādes, un mazas un nesarežģītas iestādes: I pielikuma 12. iedaļas J 11.01. veidni un J 11.02. veidni – reizi gadā.</w:t>
      </w:r>
    </w:p>
    <w:bookmarkEnd w:id="2"/>
    <w:p w:rsidR="002823A7" w:rsidRPr="007D12CE" w:rsidRDefault="002823A7" w:rsidP="0017149C">
      <w:pPr>
        <w:pStyle w:val="Titrearticle"/>
        <w:tabs>
          <w:tab w:val="left" w:pos="567"/>
        </w:tabs>
        <w:rPr>
          <w:noProof/>
          <w:szCs w:val="24"/>
        </w:rPr>
      </w:pPr>
      <w:r w:rsidRPr="007D12CE">
        <w:rPr>
          <w:noProof/>
        </w:rPr>
        <w:t>22. pants</w:t>
      </w:r>
    </w:p>
    <w:p w:rsidR="002823A7" w:rsidRPr="007D12CE" w:rsidRDefault="002823A7" w:rsidP="0017149C">
      <w:pPr>
        <w:pStyle w:val="Titrearticle"/>
        <w:tabs>
          <w:tab w:val="left" w:pos="567"/>
        </w:tabs>
        <w:spacing w:before="0"/>
        <w:rPr>
          <w:rFonts w:eastAsia="Times New Roman"/>
          <w:noProof/>
          <w:szCs w:val="24"/>
        </w:rPr>
      </w:pPr>
      <w:r w:rsidRPr="007D12CE">
        <w:rPr>
          <w:b/>
          <w:i w:val="0"/>
          <w:noProof/>
        </w:rPr>
        <w:t>IT risinājumi, pārskatu sniegšanas veidnes un norādījumi</w:t>
      </w:r>
    </w:p>
    <w:p w:rsidR="002823A7" w:rsidRPr="007D12CE" w:rsidRDefault="00A9725E" w:rsidP="00A9725E">
      <w:pPr>
        <w:pStyle w:val="ManualNumPar1"/>
        <w:rPr>
          <w:rFonts w:eastAsia="Times New Roman"/>
          <w:noProof/>
          <w:szCs w:val="24"/>
        </w:rPr>
      </w:pPr>
      <w:r w:rsidRPr="00A9725E">
        <w:rPr>
          <w:noProof/>
        </w:rPr>
        <w:t>1.</w:t>
      </w:r>
      <w:r w:rsidRPr="00A9725E">
        <w:rPr>
          <w:noProof/>
        </w:rPr>
        <w:tab/>
      </w:r>
      <w:r w:rsidR="001B3873" w:rsidRPr="007D12CE">
        <w:rPr>
          <w:noProof/>
        </w:rPr>
        <w:t xml:space="preserve">EBI nodrošina, ka IT risinājumi, tostarp pārskatu sniegšanas veidnes un norādījumi, kas izstrādāti saskaņā ar Regulas (ES) Nr. 575/2013 430. panta 7. punktu, vienmēr atbilst vienotajiem pārskatu sniegšanas formātiem, kas noteikti šajā regulā, un ietver visus šīs regulas I pielikumā uzskaitītos datu punktus un informāciju. </w:t>
      </w:r>
    </w:p>
    <w:p w:rsidR="002823A7" w:rsidRPr="007D12CE" w:rsidRDefault="00A9725E" w:rsidP="00A9725E">
      <w:pPr>
        <w:pStyle w:val="ManualNumPar1"/>
        <w:rPr>
          <w:rFonts w:eastAsia="Times New Roman"/>
          <w:noProof/>
          <w:szCs w:val="24"/>
        </w:rPr>
      </w:pPr>
      <w:r w:rsidRPr="00A9725E">
        <w:rPr>
          <w:noProof/>
        </w:rPr>
        <w:t>2.</w:t>
      </w:r>
      <w:r w:rsidRPr="00A9725E">
        <w:rPr>
          <w:noProof/>
        </w:rPr>
        <w:tab/>
      </w:r>
      <w:r w:rsidR="002823A7" w:rsidRPr="007D12CE">
        <w:rPr>
          <w:noProof/>
        </w:rPr>
        <w:t>EBI savā tīmekļa vietnē dara pieejamus 1. punktā minētos IT risinājumus, pārskatu veidnes un norādījumus. EBI regulāri atjaunina minētos IT risinājumus un dara tos pieejamus visās oficiālajās valodās.</w:t>
      </w:r>
    </w:p>
    <w:p w:rsidR="00716EA9" w:rsidRPr="007D12CE" w:rsidRDefault="00716EA9" w:rsidP="00E537F5">
      <w:pPr>
        <w:pStyle w:val="Titrearticle"/>
        <w:rPr>
          <w:noProof/>
          <w:szCs w:val="24"/>
        </w:rPr>
      </w:pPr>
      <w:r w:rsidRPr="007D12CE">
        <w:rPr>
          <w:noProof/>
        </w:rPr>
        <w:t>23. pants</w:t>
      </w:r>
    </w:p>
    <w:p w:rsidR="00716EA9" w:rsidRPr="007D12CE" w:rsidRDefault="00716EA9" w:rsidP="002A7D3F">
      <w:pPr>
        <w:pStyle w:val="Titrearticle"/>
        <w:spacing w:before="0"/>
        <w:rPr>
          <w:b/>
          <w:bCs/>
          <w:i w:val="0"/>
          <w:iCs/>
          <w:noProof/>
          <w:szCs w:val="24"/>
        </w:rPr>
      </w:pPr>
      <w:r w:rsidRPr="007D12CE">
        <w:rPr>
          <w:b/>
          <w:i w:val="0"/>
          <w:noProof/>
        </w:rPr>
        <w:t>Datu apmaiņas formāti un pārskatiem pievienojamā informācija</w:t>
      </w:r>
    </w:p>
    <w:p w:rsidR="00716EA9" w:rsidRPr="007D12CE" w:rsidRDefault="00A9725E" w:rsidP="00A9725E">
      <w:pPr>
        <w:pStyle w:val="ManualNumPar1"/>
        <w:rPr>
          <w:noProof/>
        </w:rPr>
      </w:pPr>
      <w:r w:rsidRPr="00A9725E">
        <w:rPr>
          <w:noProof/>
        </w:rPr>
        <w:t>1.</w:t>
      </w:r>
      <w:r w:rsidRPr="00A9725E">
        <w:rPr>
          <w:noProof/>
        </w:rPr>
        <w:tab/>
      </w:r>
      <w:r w:rsidR="00716EA9" w:rsidRPr="007D12CE">
        <w:rPr>
          <w:noProof/>
        </w:rPr>
        <w:t>Iestādes iesniedz informāciju, kas saskaņā ar šo regulu jāiesniedz datu apmaiņas formātos un atveidojumos, kurus noteikušas kompetentās iestādes, ievēro datu punktu modeļa datu punktu definīcijas un validācijas formulas, kas minētas EBA pielikumā sniegtajos IT risinājumos, kā arī panāk atbilstību šādām specifikācijām:</w:t>
      </w:r>
    </w:p>
    <w:p w:rsidR="00716EA9" w:rsidRPr="007D12CE" w:rsidRDefault="00A9725E" w:rsidP="00A9725E">
      <w:pPr>
        <w:pStyle w:val="Point1"/>
        <w:rPr>
          <w:noProof/>
        </w:rPr>
      </w:pPr>
      <w:r w:rsidRPr="00A9725E">
        <w:rPr>
          <w:noProof/>
        </w:rPr>
        <w:t>(a)</w:t>
      </w:r>
      <w:r w:rsidRPr="00A9725E">
        <w:rPr>
          <w:noProof/>
        </w:rPr>
        <w:tab/>
      </w:r>
      <w:r w:rsidR="00712164" w:rsidRPr="007D12CE">
        <w:rPr>
          <w:noProof/>
        </w:rPr>
        <w:t>datu iesniegumā tās neiekļauj informāciju, kas nav prasīta vai nav piemērojama;</w:t>
      </w:r>
    </w:p>
    <w:p w:rsidR="00716EA9" w:rsidRPr="007D12CE" w:rsidRDefault="00A9725E" w:rsidP="00A9725E">
      <w:pPr>
        <w:pStyle w:val="Point1"/>
        <w:rPr>
          <w:noProof/>
        </w:rPr>
      </w:pPr>
      <w:r w:rsidRPr="00A9725E">
        <w:rPr>
          <w:noProof/>
        </w:rPr>
        <w:t>(b)</w:t>
      </w:r>
      <w:r w:rsidRPr="00A9725E">
        <w:rPr>
          <w:noProof/>
        </w:rPr>
        <w:tab/>
      </w:r>
      <w:r w:rsidR="00712164" w:rsidRPr="007D12CE">
        <w:rPr>
          <w:noProof/>
        </w:rPr>
        <w:t>skaitliskās vērtības tās iesniedz šādi:</w:t>
      </w:r>
    </w:p>
    <w:p w:rsidR="00716EA9" w:rsidRPr="007D12CE" w:rsidRDefault="00716EA9" w:rsidP="00C856B2">
      <w:pPr>
        <w:pStyle w:val="Point2"/>
        <w:rPr>
          <w:noProof/>
        </w:rPr>
      </w:pPr>
      <w:r w:rsidRPr="007D12CE">
        <w:rPr>
          <w:noProof/>
        </w:rPr>
        <w:t>i)</w:t>
      </w:r>
      <w:r w:rsidRPr="007D12CE">
        <w:rPr>
          <w:noProof/>
        </w:rPr>
        <w:tab/>
        <w:t>tās iesniedz datu punktus ar datu tipu “monetārs”, izmantojot minimuma precizitāti, kas ir vienāda ar desmit tūkstošiem vienību;</w:t>
      </w:r>
    </w:p>
    <w:p w:rsidR="00716EA9" w:rsidRPr="007D12CE" w:rsidRDefault="00716EA9" w:rsidP="00C856B2">
      <w:pPr>
        <w:pStyle w:val="Point2"/>
        <w:rPr>
          <w:noProof/>
        </w:rPr>
      </w:pPr>
      <w:r w:rsidRPr="007D12CE">
        <w:rPr>
          <w:noProof/>
        </w:rPr>
        <w:t>ii)</w:t>
      </w:r>
      <w:r w:rsidRPr="007D12CE">
        <w:rPr>
          <w:noProof/>
        </w:rPr>
        <w:tab/>
        <w:t>tās izsaka datu punktus ar datu tipu “procenti” relatīvajās vienībās ar minimuma precizitāti, kas ir četri cipari aiz komata;</w:t>
      </w:r>
    </w:p>
    <w:p w:rsidR="00716EA9" w:rsidRPr="007D12CE" w:rsidRDefault="00716EA9" w:rsidP="00C856B2">
      <w:pPr>
        <w:pStyle w:val="Point2"/>
        <w:rPr>
          <w:noProof/>
        </w:rPr>
      </w:pPr>
      <w:r w:rsidRPr="007D12CE">
        <w:rPr>
          <w:noProof/>
        </w:rPr>
        <w:t>iii)</w:t>
      </w:r>
      <w:r w:rsidRPr="007D12CE">
        <w:rPr>
          <w:noProof/>
        </w:rPr>
        <w:tab/>
        <w:t>ziņojot datu punktus ar datu tipu “vesels skaitlis”, tās neizmanto decimāldaļas un izmanto precizitāti, kas līdzvērtīga vienībām;</w:t>
      </w:r>
    </w:p>
    <w:p w:rsidR="00716EA9" w:rsidRPr="007D12CE" w:rsidRDefault="00A9725E" w:rsidP="00A9725E">
      <w:pPr>
        <w:pStyle w:val="Point1"/>
        <w:rPr>
          <w:noProof/>
        </w:rPr>
      </w:pPr>
      <w:r w:rsidRPr="00A9725E">
        <w:rPr>
          <w:noProof/>
        </w:rPr>
        <w:t>(c)</w:t>
      </w:r>
      <w:r w:rsidRPr="00A9725E">
        <w:rPr>
          <w:noProof/>
        </w:rPr>
        <w:tab/>
      </w:r>
      <w:r w:rsidR="000F605E" w:rsidRPr="007D12CE">
        <w:rPr>
          <w:noProof/>
        </w:rPr>
        <w:t>tās identificē iestādes un apdrošināšanas sabiedrības tikai pēc to juridiskās personas identifikatora (</w:t>
      </w:r>
      <w:r w:rsidR="000F605E" w:rsidRPr="007D12CE">
        <w:rPr>
          <w:i/>
          <w:iCs/>
          <w:noProof/>
        </w:rPr>
        <w:t>LEI</w:t>
      </w:r>
      <w:r w:rsidR="000F605E" w:rsidRPr="007D12CE">
        <w:rPr>
          <w:noProof/>
        </w:rPr>
        <w:t>);</w:t>
      </w:r>
    </w:p>
    <w:p w:rsidR="00716EA9" w:rsidRPr="007D12CE" w:rsidRDefault="00A9725E" w:rsidP="00A9725E">
      <w:pPr>
        <w:pStyle w:val="Point1"/>
        <w:rPr>
          <w:noProof/>
        </w:rPr>
      </w:pPr>
      <w:r w:rsidRPr="00A9725E">
        <w:rPr>
          <w:noProof/>
        </w:rPr>
        <w:t>(d)</w:t>
      </w:r>
      <w:r w:rsidRPr="00A9725E">
        <w:rPr>
          <w:noProof/>
        </w:rPr>
        <w:tab/>
      </w:r>
      <w:r w:rsidR="000F605E" w:rsidRPr="007D12CE">
        <w:rPr>
          <w:noProof/>
        </w:rPr>
        <w:t xml:space="preserve">tiesību subjektus un darījumu partnerus, kas nav iestādes un apdrošināšanas sabiedrības, tās identificē pēc to </w:t>
      </w:r>
      <w:r w:rsidR="000F605E" w:rsidRPr="007D12CE">
        <w:rPr>
          <w:i/>
          <w:iCs/>
          <w:noProof/>
        </w:rPr>
        <w:t>LEI</w:t>
      </w:r>
      <w:r w:rsidR="000F605E" w:rsidRPr="007D12CE">
        <w:rPr>
          <w:noProof/>
        </w:rPr>
        <w:t>, ja tas ir pieejams.</w:t>
      </w:r>
    </w:p>
    <w:p w:rsidR="00716EA9" w:rsidRPr="007D12CE" w:rsidRDefault="00A9725E" w:rsidP="00A9725E">
      <w:pPr>
        <w:pStyle w:val="ManualNumPar1"/>
        <w:rPr>
          <w:noProof/>
        </w:rPr>
      </w:pPr>
      <w:r w:rsidRPr="00A9725E">
        <w:rPr>
          <w:noProof/>
        </w:rPr>
        <w:t>2.</w:t>
      </w:r>
      <w:r w:rsidRPr="00A9725E">
        <w:rPr>
          <w:noProof/>
        </w:rPr>
        <w:tab/>
      </w:r>
      <w:r w:rsidR="00716EA9" w:rsidRPr="007D12CE">
        <w:rPr>
          <w:noProof/>
        </w:rPr>
        <w:t>Iestādes kopā ar iesniegto informāciju iesniedz šādu informāciju:</w:t>
      </w:r>
    </w:p>
    <w:p w:rsidR="00716EA9" w:rsidRPr="007D12CE" w:rsidRDefault="00A9725E" w:rsidP="00A9725E">
      <w:pPr>
        <w:pStyle w:val="Point1"/>
        <w:rPr>
          <w:noProof/>
        </w:rPr>
      </w:pPr>
      <w:r w:rsidRPr="00A9725E">
        <w:rPr>
          <w:noProof/>
        </w:rPr>
        <w:t>(a)</w:t>
      </w:r>
      <w:r w:rsidRPr="00A9725E">
        <w:rPr>
          <w:noProof/>
        </w:rPr>
        <w:tab/>
      </w:r>
      <w:r w:rsidR="00712164" w:rsidRPr="007D12CE">
        <w:rPr>
          <w:noProof/>
        </w:rPr>
        <w:t>ziņošanas atsauces datums un atsauces periods;</w:t>
      </w:r>
    </w:p>
    <w:p w:rsidR="00716EA9" w:rsidRPr="007D12CE" w:rsidRDefault="00A9725E" w:rsidP="00A9725E">
      <w:pPr>
        <w:pStyle w:val="Point1"/>
        <w:rPr>
          <w:noProof/>
        </w:rPr>
      </w:pPr>
      <w:r w:rsidRPr="00A9725E">
        <w:rPr>
          <w:noProof/>
        </w:rPr>
        <w:t>(b)</w:t>
      </w:r>
      <w:r w:rsidRPr="00A9725E">
        <w:rPr>
          <w:noProof/>
        </w:rPr>
        <w:tab/>
      </w:r>
      <w:r w:rsidR="00712164" w:rsidRPr="007D12CE">
        <w:rPr>
          <w:noProof/>
        </w:rPr>
        <w:t>ziņošanas valūta;</w:t>
      </w:r>
    </w:p>
    <w:p w:rsidR="00716EA9" w:rsidRPr="007D12CE" w:rsidRDefault="00A9725E" w:rsidP="00A9725E">
      <w:pPr>
        <w:pStyle w:val="Point1"/>
        <w:rPr>
          <w:noProof/>
        </w:rPr>
      </w:pPr>
      <w:r w:rsidRPr="00A9725E">
        <w:rPr>
          <w:noProof/>
        </w:rPr>
        <w:t>(c)</w:t>
      </w:r>
      <w:r w:rsidRPr="00A9725E">
        <w:rPr>
          <w:noProof/>
        </w:rPr>
        <w:tab/>
      </w:r>
      <w:r w:rsidR="00712164" w:rsidRPr="007D12CE">
        <w:rPr>
          <w:noProof/>
        </w:rPr>
        <w:t>grāmatvedības standarts;</w:t>
      </w:r>
    </w:p>
    <w:p w:rsidR="00716EA9" w:rsidRPr="007D12CE" w:rsidRDefault="00A9725E" w:rsidP="00A9725E">
      <w:pPr>
        <w:pStyle w:val="Point1"/>
        <w:rPr>
          <w:noProof/>
        </w:rPr>
      </w:pPr>
      <w:r w:rsidRPr="00A9725E">
        <w:rPr>
          <w:noProof/>
        </w:rPr>
        <w:t>(d)</w:t>
      </w:r>
      <w:r w:rsidRPr="00A9725E">
        <w:rPr>
          <w:noProof/>
        </w:rPr>
        <w:tab/>
      </w:r>
      <w:r w:rsidR="00712164" w:rsidRPr="007D12CE">
        <w:rPr>
          <w:noProof/>
        </w:rPr>
        <w:t>pārskatu sniedzošās iestādes tiesību subjekta identifikators (</w:t>
      </w:r>
      <w:r w:rsidR="00712164" w:rsidRPr="007D12CE">
        <w:rPr>
          <w:i/>
          <w:iCs/>
          <w:noProof/>
        </w:rPr>
        <w:t>LEI</w:t>
      </w:r>
      <w:r w:rsidR="00712164" w:rsidRPr="007D12CE">
        <w:rPr>
          <w:noProof/>
        </w:rPr>
        <w:t>);</w:t>
      </w:r>
    </w:p>
    <w:p w:rsidR="00716EA9" w:rsidRPr="007D12CE" w:rsidRDefault="00A9725E" w:rsidP="00A9725E">
      <w:pPr>
        <w:pStyle w:val="Point1"/>
        <w:rPr>
          <w:noProof/>
        </w:rPr>
      </w:pPr>
      <w:r w:rsidRPr="00A9725E">
        <w:rPr>
          <w:noProof/>
        </w:rPr>
        <w:t>(e)</w:t>
      </w:r>
      <w:r w:rsidRPr="00A9725E">
        <w:rPr>
          <w:noProof/>
        </w:rPr>
        <w:tab/>
      </w:r>
      <w:r w:rsidR="00712164" w:rsidRPr="007D12CE">
        <w:rPr>
          <w:noProof/>
        </w:rPr>
        <w:t>konsolidācijas tvērums.</w:t>
      </w:r>
    </w:p>
    <w:p w:rsidR="00716EA9" w:rsidRPr="007D12CE" w:rsidRDefault="00716EA9" w:rsidP="00E537F5">
      <w:pPr>
        <w:pStyle w:val="Titrearticle"/>
        <w:rPr>
          <w:noProof/>
          <w:szCs w:val="24"/>
        </w:rPr>
      </w:pPr>
      <w:r w:rsidRPr="007D12CE">
        <w:rPr>
          <w:noProof/>
        </w:rPr>
        <w:t>24. pants</w:t>
      </w:r>
    </w:p>
    <w:p w:rsidR="00716EA9" w:rsidRPr="007D12CE" w:rsidRDefault="00716EA9" w:rsidP="002A7D3F">
      <w:pPr>
        <w:pStyle w:val="Titrearticle"/>
        <w:spacing w:before="0"/>
        <w:rPr>
          <w:b/>
          <w:bCs/>
          <w:i w:val="0"/>
          <w:iCs/>
          <w:noProof/>
          <w:szCs w:val="24"/>
        </w:rPr>
      </w:pPr>
      <w:r w:rsidRPr="007D12CE">
        <w:rPr>
          <w:b/>
          <w:i w:val="0"/>
          <w:noProof/>
        </w:rPr>
        <w:t>Pārejas noteikumi</w:t>
      </w:r>
    </w:p>
    <w:p w:rsidR="00716EA9" w:rsidRPr="007D12CE" w:rsidRDefault="00A9725E" w:rsidP="00A9725E">
      <w:pPr>
        <w:pStyle w:val="ManualNumPar1"/>
        <w:rPr>
          <w:noProof/>
        </w:rPr>
      </w:pPr>
      <w:r w:rsidRPr="00A9725E">
        <w:rPr>
          <w:noProof/>
        </w:rPr>
        <w:t>1.</w:t>
      </w:r>
      <w:r w:rsidRPr="00A9725E">
        <w:rPr>
          <w:noProof/>
        </w:rPr>
        <w:tab/>
      </w:r>
      <w:r w:rsidR="00716EA9" w:rsidRPr="007D12CE">
        <w:rPr>
          <w:noProof/>
        </w:rPr>
        <w:t>Nosūtīšanas datums informācijai, kura ir jāsniedz reizi ceturksnī, saistībā ar atsauces datumu – 2025. gada 31. marts – attiecībā uz informāciju, kas sniedzama saskaņā ar šīs regulas 5., 7. līdz 10. un 15. pantu, ir vēlākais 2025. gada 30. jūnijs.</w:t>
      </w:r>
    </w:p>
    <w:p w:rsidR="00716EA9" w:rsidRPr="007D12CE" w:rsidRDefault="00A9725E" w:rsidP="00A9725E">
      <w:pPr>
        <w:pStyle w:val="ManualNumPar1"/>
        <w:rPr>
          <w:noProof/>
        </w:rPr>
      </w:pPr>
      <w:r w:rsidRPr="00A9725E">
        <w:rPr>
          <w:noProof/>
        </w:rPr>
        <w:t>2.</w:t>
      </w:r>
      <w:r w:rsidRPr="00A9725E">
        <w:rPr>
          <w:noProof/>
        </w:rPr>
        <w:tab/>
      </w:r>
      <w:r w:rsidR="00AE3B0A" w:rsidRPr="007D12CE">
        <w:rPr>
          <w:noProof/>
        </w:rPr>
        <w:t>Pirmais atsauces datums informācijai, kas jāsniedz par tirdzniecības portfeļa sastāvu, un pārklasificēšanai starp portfeļiem saskaņā ar šīs regulas 5. pantu ir tā ceturkšņa pēdējā darbdiena, kurā Regulas (ES) Nr. 575/2013 Trešās daļas IV sadaļas 1.a un 1.b nodaļā noteiktās alternatīvās pieejas kļūst piemērojamas minētās regulas 92. panta 4. punkta b) apakšpunkta i) punktā un c) apakšpunktā un 92. panta 5. punkta b) un c) apakšpunktā minēto pašu kapitāla prasību aprēķināšanai.</w:t>
      </w:r>
    </w:p>
    <w:p w:rsidR="00716EA9" w:rsidRPr="007D12CE" w:rsidRDefault="00716EA9" w:rsidP="00745A2E">
      <w:pPr>
        <w:pStyle w:val="Titrearticle"/>
        <w:spacing w:before="120" w:after="0"/>
        <w:rPr>
          <w:noProof/>
          <w:szCs w:val="24"/>
        </w:rPr>
      </w:pPr>
      <w:r w:rsidRPr="007D12CE">
        <w:rPr>
          <w:noProof/>
        </w:rPr>
        <w:t>25. pants</w:t>
      </w:r>
    </w:p>
    <w:p w:rsidR="00096030" w:rsidRPr="007D12CE" w:rsidRDefault="004B3787" w:rsidP="00C856B2">
      <w:pPr>
        <w:pStyle w:val="Text1"/>
        <w:jc w:val="center"/>
        <w:rPr>
          <w:noProof/>
        </w:rPr>
      </w:pPr>
      <w:r w:rsidRPr="007D12CE">
        <w:rPr>
          <w:b/>
          <w:noProof/>
        </w:rPr>
        <w:t>Īstenošanas regulas (ES) 2021/451 atcelšana</w:t>
      </w:r>
    </w:p>
    <w:p w:rsidR="00FB327E" w:rsidRPr="007D12CE" w:rsidRDefault="00A9725E" w:rsidP="00A9725E">
      <w:pPr>
        <w:pStyle w:val="ManualNumPar1"/>
        <w:rPr>
          <w:noProof/>
        </w:rPr>
      </w:pPr>
      <w:r w:rsidRPr="00A9725E">
        <w:rPr>
          <w:noProof/>
        </w:rPr>
        <w:t>1.</w:t>
      </w:r>
      <w:r w:rsidRPr="00A9725E">
        <w:rPr>
          <w:noProof/>
        </w:rPr>
        <w:tab/>
      </w:r>
      <w:r w:rsidR="00FB327E" w:rsidRPr="007D12CE">
        <w:rPr>
          <w:noProof/>
        </w:rPr>
        <w:t xml:space="preserve">Īstenošanas regulu (ES) 2021/451 beidz piemērot no 2025. gada 1. janvāra, izņemot 5. panta 12. punktu un I pielikumu, 18.–24. veidni un II pielikuma II daļas 5.1.–5.7. punktu. Īstenošanas regulas (ES) 2021/451 15. pantu turpina piemērot līdz 2025. gada 31. decembrim tikai šīs regulas 5. panta 4. punkta nolūkos. </w:t>
      </w:r>
    </w:p>
    <w:p w:rsidR="00FB327E" w:rsidRPr="007D12CE" w:rsidRDefault="00A9725E" w:rsidP="00A9725E">
      <w:pPr>
        <w:pStyle w:val="ManualNumPar1"/>
        <w:rPr>
          <w:noProof/>
        </w:rPr>
      </w:pPr>
      <w:r w:rsidRPr="00A9725E">
        <w:rPr>
          <w:noProof/>
        </w:rPr>
        <w:t>2.</w:t>
      </w:r>
      <w:r w:rsidRPr="00A9725E">
        <w:rPr>
          <w:noProof/>
        </w:rPr>
        <w:tab/>
      </w:r>
      <w:r w:rsidR="00FB327E" w:rsidRPr="007D12CE">
        <w:rPr>
          <w:noProof/>
        </w:rPr>
        <w:t xml:space="preserve">Īstenošanas regulu (ES) 2021/451 atceļ no 2025. gada 31. decembra. </w:t>
      </w:r>
    </w:p>
    <w:p w:rsidR="00FB327E" w:rsidRPr="007D12CE" w:rsidRDefault="00A9725E" w:rsidP="00A9725E">
      <w:pPr>
        <w:pStyle w:val="ManualNumPar1"/>
        <w:rPr>
          <w:noProof/>
        </w:rPr>
      </w:pPr>
      <w:r w:rsidRPr="00A9725E">
        <w:rPr>
          <w:noProof/>
        </w:rPr>
        <w:t>3.</w:t>
      </w:r>
      <w:r w:rsidRPr="00A9725E">
        <w:rPr>
          <w:noProof/>
        </w:rPr>
        <w:tab/>
      </w:r>
      <w:r w:rsidR="00FB327E" w:rsidRPr="007D12CE">
        <w:rPr>
          <w:noProof/>
        </w:rPr>
        <w:t>Atsauces uz atcelto regulu uzskata par atsaucēm uz šo regulu, un tās lasa saskaņā ar atbilstības tabulu II pielikumā.</w:t>
      </w:r>
    </w:p>
    <w:p w:rsidR="00E537F5" w:rsidRPr="007D12CE" w:rsidRDefault="00E537F5" w:rsidP="00E537F5">
      <w:pPr>
        <w:pStyle w:val="Titrearticle"/>
        <w:rPr>
          <w:noProof/>
          <w:szCs w:val="24"/>
        </w:rPr>
      </w:pPr>
      <w:r w:rsidRPr="007D12CE">
        <w:rPr>
          <w:noProof/>
        </w:rPr>
        <w:t>26. pants</w:t>
      </w:r>
    </w:p>
    <w:p w:rsidR="00E537F5" w:rsidRPr="007D12CE" w:rsidRDefault="00E537F5" w:rsidP="0056622A">
      <w:pPr>
        <w:pStyle w:val="Titrearticle"/>
        <w:spacing w:before="0"/>
        <w:rPr>
          <w:b/>
          <w:bCs/>
          <w:i w:val="0"/>
          <w:iCs/>
          <w:noProof/>
          <w:szCs w:val="24"/>
        </w:rPr>
      </w:pPr>
      <w:r w:rsidRPr="007D12CE">
        <w:rPr>
          <w:b/>
          <w:i w:val="0"/>
          <w:noProof/>
        </w:rPr>
        <w:t>Stāšanās spēkā un piemērošana</w:t>
      </w:r>
    </w:p>
    <w:p w:rsidR="00E537F5" w:rsidRPr="007D12CE" w:rsidRDefault="00E537F5" w:rsidP="00E537F5">
      <w:pPr>
        <w:spacing w:before="100" w:beforeAutospacing="1" w:after="100" w:afterAutospacing="1"/>
        <w:rPr>
          <w:noProof/>
          <w:color w:val="000000"/>
          <w:szCs w:val="24"/>
        </w:rPr>
      </w:pPr>
      <w:r w:rsidRPr="007D12CE">
        <w:rPr>
          <w:noProof/>
          <w:color w:val="000000"/>
        </w:rPr>
        <w:t xml:space="preserve">Šī regula stājas spēkā nākamajā dienā pēc tās publicēšanas </w:t>
      </w:r>
      <w:r w:rsidRPr="007D12CE">
        <w:rPr>
          <w:i/>
          <w:noProof/>
          <w:color w:val="000000"/>
        </w:rPr>
        <w:t>Eiropas Savienības Oficiālajā Vēstnesī</w:t>
      </w:r>
      <w:r w:rsidRPr="007D12CE">
        <w:rPr>
          <w:noProof/>
          <w:color w:val="000000"/>
        </w:rPr>
        <w:t>.</w:t>
      </w:r>
    </w:p>
    <w:p w:rsidR="00E537F5" w:rsidRPr="007D12CE" w:rsidRDefault="00E537F5" w:rsidP="00E537F5">
      <w:pPr>
        <w:spacing w:before="100" w:beforeAutospacing="1" w:after="100" w:afterAutospacing="1"/>
        <w:rPr>
          <w:noProof/>
          <w:color w:val="000000"/>
          <w:szCs w:val="24"/>
        </w:rPr>
      </w:pPr>
      <w:r w:rsidRPr="007D12CE">
        <w:rPr>
          <w:noProof/>
          <w:color w:val="000000"/>
        </w:rPr>
        <w:t>To piemēro no [PB, lūgums ievietot datumu, kurā aprit 6 mēneši pēc šīs regulas spēkā stāšanās datuma].</w:t>
      </w:r>
    </w:p>
    <w:p w:rsidR="00E537F5" w:rsidRPr="007D12CE" w:rsidRDefault="00E537F5" w:rsidP="00E537F5">
      <w:pPr>
        <w:spacing w:before="100" w:beforeAutospacing="1" w:after="100" w:afterAutospacing="1"/>
        <w:rPr>
          <w:noProof/>
          <w:szCs w:val="24"/>
        </w:rPr>
      </w:pPr>
      <w:r w:rsidRPr="007D12CE">
        <w:rPr>
          <w:noProof/>
          <w:color w:val="000000"/>
        </w:rPr>
        <w:t>Šī regula uzliek saistības kopumā un ir tieši piemērojama visās dalībvalstīs.</w:t>
      </w:r>
    </w:p>
    <w:p w:rsidR="00185C9B" w:rsidRPr="007D12CE" w:rsidRDefault="00EA6B90" w:rsidP="00522319">
      <w:pPr>
        <w:pStyle w:val="Fait"/>
        <w:rPr>
          <w:noProof/>
        </w:rPr>
      </w:pPr>
      <w:r>
        <w:rPr>
          <w:noProof/>
        </w:rPr>
        <w:t>Briselē, 29.11.2024</w:t>
      </w:r>
    </w:p>
    <w:p w:rsidR="00185C9B" w:rsidRPr="007D12CE" w:rsidRDefault="00185C9B" w:rsidP="00522319">
      <w:pPr>
        <w:pStyle w:val="Institutionquisigne"/>
        <w:rPr>
          <w:noProof/>
          <w:szCs w:val="24"/>
        </w:rPr>
      </w:pPr>
      <w:r w:rsidRPr="007D12CE">
        <w:rPr>
          <w:noProof/>
        </w:rPr>
        <w:tab/>
        <w:t>Komisijas vārdā–</w:t>
      </w:r>
    </w:p>
    <w:p w:rsidR="00185C9B" w:rsidRPr="007D12CE" w:rsidRDefault="00C01BD0" w:rsidP="00185C9B">
      <w:pPr>
        <w:pStyle w:val="Personnequisigne"/>
        <w:rPr>
          <w:noProof/>
          <w:szCs w:val="24"/>
        </w:rPr>
      </w:pPr>
      <w:r>
        <w:rPr>
          <w:noProof/>
        </w:rPr>
        <w:tab/>
        <w:t>priekšsēdētāja</w:t>
      </w:r>
      <w:r>
        <w:rPr>
          <w:noProof/>
        </w:rPr>
        <w:br/>
      </w:r>
      <w:r>
        <w:rPr>
          <w:noProof/>
        </w:rPr>
        <w:tab/>
        <w:t>Ursula VON DER LEYEN</w:t>
      </w:r>
    </w:p>
    <w:sectPr w:rsidR="00185C9B" w:rsidRPr="007D12CE" w:rsidSect="00A7117B">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7B" w:rsidRPr="00A7117B" w:rsidRDefault="00A7117B" w:rsidP="00A7117B">
    <w:pPr>
      <w:pStyle w:val="Footer"/>
      <w:rPr>
        <w:rFonts w:ascii="Arial" w:hAnsi="Arial" w:cs="Arial"/>
        <w:b/>
        <w:sz w:val="48"/>
      </w:rPr>
    </w:pPr>
    <w:r w:rsidRPr="00A7117B">
      <w:rPr>
        <w:rFonts w:ascii="Arial" w:hAnsi="Arial" w:cs="Arial"/>
        <w:b/>
        <w:sz w:val="48"/>
      </w:rPr>
      <w:t>LV</w:t>
    </w:r>
    <w:r w:rsidRPr="00A7117B">
      <w:rPr>
        <w:rFonts w:ascii="Arial" w:hAnsi="Arial" w:cs="Arial"/>
        <w:b/>
        <w:sz w:val="48"/>
      </w:rPr>
      <w:tab/>
    </w:r>
    <w:r w:rsidRPr="00A7117B">
      <w:rPr>
        <w:rFonts w:ascii="Arial" w:hAnsi="Arial" w:cs="Arial"/>
        <w:b/>
        <w:sz w:val="48"/>
      </w:rPr>
      <w:tab/>
    </w:r>
    <w:r w:rsidRPr="00A7117B">
      <w:tab/>
    </w:r>
    <w:r w:rsidRPr="00A7117B">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7B" w:rsidRPr="00A7117B" w:rsidRDefault="00A7117B" w:rsidP="00A7117B">
    <w:pPr>
      <w:pStyle w:val="Footer"/>
      <w:rPr>
        <w:rFonts w:ascii="Arial" w:hAnsi="Arial" w:cs="Arial"/>
        <w:b/>
        <w:sz w:val="48"/>
      </w:rPr>
    </w:pPr>
    <w:r w:rsidRPr="00A7117B">
      <w:rPr>
        <w:rFonts w:ascii="Arial" w:hAnsi="Arial" w:cs="Arial"/>
        <w:b/>
        <w:sz w:val="48"/>
      </w:rPr>
      <w:t>LV</w:t>
    </w:r>
    <w:r w:rsidRPr="00A7117B">
      <w:rPr>
        <w:rFonts w:ascii="Arial" w:hAnsi="Arial" w:cs="Arial"/>
        <w:b/>
        <w:sz w:val="48"/>
      </w:rPr>
      <w:tab/>
    </w:r>
    <w:r w:rsidRPr="00A7117B">
      <w:rPr>
        <w:rFonts w:ascii="Arial" w:hAnsi="Arial" w:cs="Arial"/>
        <w:b/>
        <w:sz w:val="48"/>
      </w:rPr>
      <w:tab/>
    </w:r>
    <w:r w:rsidRPr="00A7117B">
      <w:tab/>
    </w:r>
    <w:r w:rsidRPr="00A7117B">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7B" w:rsidRDefault="00A711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7B" w:rsidRPr="00A7117B" w:rsidRDefault="00A7117B" w:rsidP="00A7117B">
    <w:pPr>
      <w:pStyle w:val="Footer"/>
      <w:rPr>
        <w:rFonts w:ascii="Arial" w:hAnsi="Arial" w:cs="Arial"/>
        <w:b/>
        <w:sz w:val="48"/>
      </w:rPr>
    </w:pPr>
    <w:r w:rsidRPr="00A7117B">
      <w:rPr>
        <w:rFonts w:ascii="Arial" w:hAnsi="Arial" w:cs="Arial"/>
        <w:b/>
        <w:sz w:val="48"/>
      </w:rPr>
      <w:t>LV</w:t>
    </w:r>
    <w:r w:rsidRPr="00A7117B">
      <w:rPr>
        <w:rFonts w:ascii="Arial" w:hAnsi="Arial" w:cs="Arial"/>
        <w:b/>
        <w:sz w:val="48"/>
      </w:rPr>
      <w:tab/>
    </w:r>
    <w:r>
      <w:fldChar w:fldCharType="begin"/>
    </w:r>
    <w:r>
      <w:instrText xml:space="preserve"> PAGE  \* MERGEFORMAT </w:instrText>
    </w:r>
    <w:r>
      <w:fldChar w:fldCharType="separate"/>
    </w:r>
    <w:r w:rsidR="00522319">
      <w:rPr>
        <w:noProof/>
      </w:rPr>
      <w:t>19</w:t>
    </w:r>
    <w:r>
      <w:fldChar w:fldCharType="end"/>
    </w:r>
    <w:r>
      <w:tab/>
    </w:r>
    <w:r w:rsidRPr="00A7117B">
      <w:tab/>
    </w:r>
    <w:r w:rsidRPr="00A7117B">
      <w:rPr>
        <w:rFonts w:ascii="Arial" w:hAnsi="Arial" w:cs="Arial"/>
        <w:b/>
        <w:sz w:val="48"/>
      </w:rPr>
      <w:t>LV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7B" w:rsidRDefault="00A7117B" w:rsidP="00A71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pPr>
      <w:r>
        <w:rPr>
          <w:rStyle w:val="FootnoteReference"/>
        </w:rPr>
        <w:footnoteRef/>
      </w:r>
      <w:r>
        <w:tab/>
        <w:t>OV L 176, 27.6.2013., 1. lpp., ELI: http://data.europa.eu/eli/reg/2013/575/oj.</w:t>
      </w:r>
    </w:p>
  </w:footnote>
  <w:footnote w:id="3">
    <w:p w:rsidR="00716EA9" w:rsidRPr="003B5B26" w:rsidRDefault="00716EA9" w:rsidP="00716EA9">
      <w:pPr>
        <w:pStyle w:val="FootnoteText"/>
      </w:pPr>
      <w:r>
        <w:rPr>
          <w:rStyle w:val="FootnoteReference"/>
        </w:rPr>
        <w:footnoteRef/>
      </w:r>
      <w:r>
        <w:tab/>
        <w:t>Komisijas Īstenošanas regula (ES) 2021/451 (2020. gada 17. decembris), ar ko nosaka īstenošanas tehniskos standartus Eiropas Parlamenta un Padomes Regulas (ES) Nr. 575/2013 piemērošanai attiecībā uz iestāžu sniegtajiem uzraudzības pārskatiem un atceļ Īstenošanas regulu (ES) Nr. 680/2014 (OV L 97, 19.3.2021., 1. lpp.). ELI: http://data.europa.eu/eli/reg_impl/2021/451/oj).</w:t>
      </w:r>
    </w:p>
  </w:footnote>
  <w:footnote w:id="4">
    <w:p w:rsidR="00716EA9" w:rsidRPr="00332EF3" w:rsidRDefault="00716EA9" w:rsidP="00716EA9">
      <w:pPr>
        <w:pStyle w:val="FootnoteText"/>
      </w:pPr>
      <w:r>
        <w:rPr>
          <w:rStyle w:val="FootnoteReference"/>
        </w:rPr>
        <w:footnoteRef/>
      </w:r>
      <w:r>
        <w:tab/>
        <w:t>Eiropas Parlamenta un Padomes Regula (ES) 2024/1623 (2024. gada 31. maijs), ar ko Regulu (ES) Nr. 575/2013 groza attiecībā uz prasībām kredītriskam, kredīta vērtības korekcijas riskam, operacionālajam riskam, tirgus riskam un riska darījumu vērtības minimālajai robežvērtībai (OV L, 19.6.2024., ELI: </w:t>
      </w:r>
      <w:hyperlink r:id="rId1" w:tgtFrame="_blank" w:tooltip="Nodrošina piekļuvi šim dokumentam pēc tā ELI URI." w:history="1">
        <w:r>
          <w:t>http://data.europa.eu/eli/reg/2024/1623/oj</w:t>
        </w:r>
      </w:hyperlink>
      <w:r>
        <w:t>).</w:t>
      </w:r>
    </w:p>
  </w:footnote>
  <w:footnote w:id="5">
    <w:p w:rsidR="00716EA9" w:rsidRPr="00635B40" w:rsidRDefault="00716EA9" w:rsidP="00716EA9">
      <w:pPr>
        <w:pStyle w:val="FootnoteText"/>
      </w:pPr>
      <w:r>
        <w:rPr>
          <w:rStyle w:val="FootnoteReference"/>
        </w:rPr>
        <w:footnoteRef/>
      </w:r>
      <w:r>
        <w:tab/>
        <w:t>Eiropas Parlamenta un Padomes Regula (ES) Nr. 1093/2010 (2010. gada 24. novembris), ar ko izveido Eiropas Uzraudzības iestādi (Eiropas Banku iestādi), groza Lēmumu Nr. 716/2009/EK un atceļ Komisijas Lēmumu 2009/78/EK (OV L 331, 15.12.2010., 12. lpp., ELI: http://data.europa.eu/eli/reg/2010/1093/oj</w:t>
      </w:r>
    </w:p>
  </w:footnote>
  <w:footnote w:id="6">
    <w:p w:rsidR="00716EA9" w:rsidRPr="001222BC" w:rsidRDefault="00716EA9" w:rsidP="00716EA9">
      <w:pPr>
        <w:pStyle w:val="FootnoteText"/>
      </w:pPr>
      <w:r>
        <w:rPr>
          <w:rStyle w:val="FootnoteReference"/>
        </w:rPr>
        <w:footnoteRef/>
      </w:r>
      <w:r>
        <w:tab/>
      </w:r>
      <w:r>
        <w:rPr>
          <w:color w:val="333333"/>
          <w:shd w:val="clear" w:color="auto" w:fill="FFFFFF"/>
        </w:rPr>
        <w:t>Eiropas Parlamenta un Padomes Direktīva 2013/36/ES (2013. gada 26. jūnijs) par piekļuvi kredītiestāžu darbībai un kredītiestāžu prudenciālo uzraudzību, ar ko groza Direktīvu 2002/87/EK un atceļ Direktīvas 2006/48/EK un 2006/49/EK (OV L 176, 27.6.2013., 338. lpp., ELI: </w:t>
      </w:r>
      <w:hyperlink r:id="rId2" w:tooltip="Nodrošina piekļuvi šim dokumentam pēc tā ELI URI." w:history="1">
        <w:r>
          <w:rPr>
            <w:color w:val="333333"/>
          </w:rPr>
          <w:t>http://data.europa.eu/eli/dir/2013/36/oj</w:t>
        </w:r>
      </w:hyperlink>
      <w:r>
        <w:rPr>
          <w:color w:val="333333"/>
          <w:shd w:val="clear" w:color="auto" w:fill="FFFFFF"/>
        </w:rPr>
        <w:t>).</w:t>
      </w:r>
    </w:p>
  </w:footnote>
  <w:footnote w:id="7">
    <w:p w:rsidR="00716EA9" w:rsidRPr="001222BC" w:rsidRDefault="00716EA9" w:rsidP="00716EA9">
      <w:pPr>
        <w:pStyle w:val="FootnoteText"/>
      </w:pPr>
      <w:r>
        <w:rPr>
          <w:rStyle w:val="FootnoteReference"/>
        </w:rPr>
        <w:footnoteRef/>
      </w:r>
      <w:r>
        <w:tab/>
      </w:r>
      <w:r>
        <w:rPr>
          <w:color w:val="333333"/>
          <w:shd w:val="clear" w:color="auto" w:fill="FFFFFF"/>
        </w:rPr>
        <w:t>Eiropas Parlamenta un Padomes Direktīva (ES) 2019/2034</w:t>
      </w:r>
      <w:bookmarkStart w:id="1" w:name="_Hlk172136107"/>
      <w:bookmarkEnd w:id="1"/>
      <w:r>
        <w:t xml:space="preserve"> (2019. gada 27. novembris) par ieguldījumu brokeru sabiedrību prudenciālo uzraudzību un ar ko groza Direktīvas 2002/87/EK, 2009/65/EK, 2011/61/ES, 2013/36/ES, 2014/59/ES un 2014/65/ES (OV L 314, 5.12.2019., 64. lpp.ELI:</w:t>
      </w:r>
      <w:r>
        <w:rPr>
          <w:color w:val="333333"/>
          <w:shd w:val="clear" w:color="auto" w:fill="FFFFFF"/>
        </w:rPr>
        <w:t> </w:t>
      </w:r>
      <w:hyperlink r:id="rId3" w:tooltip="Nodrošina piekļuvi šim dokumentam pēc tā ELI URI." w:history="1">
        <w:r>
          <w:rPr>
            <w:color w:val="333333"/>
          </w:rPr>
          <w:t>http://data.europa.eu/eli/dir/2019/2034/oj</w:t>
        </w:r>
      </w:hyperlink>
      <w:r>
        <w:rPr>
          <w:color w:val="333333"/>
          <w:shd w:val="clear" w:color="auto" w:fill="FFFFFF"/>
        </w:rPr>
        <w:t>).</w:t>
      </w:r>
    </w:p>
  </w:footnote>
  <w:footnote w:id="8">
    <w:p w:rsidR="00797855" w:rsidRPr="00797855" w:rsidRDefault="00797855" w:rsidP="00C856B2">
      <w:pPr>
        <w:pStyle w:val="FootnoteText"/>
      </w:pPr>
      <w:r>
        <w:rPr>
          <w:rStyle w:val="FootnoteReference"/>
        </w:rPr>
        <w:footnoteRef/>
      </w:r>
      <w:r>
        <w:tab/>
        <w:t>Komisijas Deleģētā regula (ES) 2016/101 (2015. gada 26. oktobris), ar ko papildina Eiropas Parlamenta un Padomes Regulu (ES) Nr. 575/2013 attiecībā uz piesardzīgas vērtēšanas regulatīviem tehniskajiem standartiem saskaņā ar 105. panta 14. punktu (OV L 21, 28.1.2016., 54. lpp.,ELI: http://data.europa.eu/eli/reg/2016/101/oj).</w:t>
      </w:r>
    </w:p>
  </w:footnote>
  <w:footnote w:id="9">
    <w:p w:rsidR="00716EA9" w:rsidRPr="00745490" w:rsidRDefault="00716EA9" w:rsidP="00716EA9">
      <w:pPr>
        <w:pStyle w:val="FootnoteText"/>
      </w:pPr>
      <w:r>
        <w:rPr>
          <w:rStyle w:val="FootnoteReference"/>
        </w:rPr>
        <w:footnoteRef/>
      </w:r>
      <w:r>
        <w:tab/>
      </w:r>
      <w:r>
        <w:rPr>
          <w:color w:val="333333"/>
          <w:shd w:val="clear" w:color="auto" w:fill="FFFFFF"/>
        </w:rPr>
        <w:t>Eiropas Parlamenta un Padomes Regula (EK) Nr. 1606/2002 (2002. gada 19. jūlijs) par starptautisko grāmatvedības standartu piemērošanu (OV L 243, 11.9.2002., 1. lpp., ELI: </w:t>
      </w:r>
      <w:r>
        <w:rPr>
          <w:shd w:val="clear" w:color="auto" w:fill="FFFFFF"/>
        </w:rPr>
        <w:t>http://data.europa.eu/eli/reg/2002/1606/oj</w:t>
      </w:r>
      <w:r>
        <w:t>).</w:t>
      </w:r>
    </w:p>
  </w:footnote>
  <w:footnote w:id="10">
    <w:p w:rsidR="00745A2E" w:rsidRPr="00745A2E" w:rsidRDefault="00745A2E" w:rsidP="00C856B2">
      <w:pPr>
        <w:pStyle w:val="FootnoteText"/>
      </w:pPr>
      <w:r>
        <w:rPr>
          <w:rStyle w:val="FootnoteReference"/>
        </w:rPr>
        <w:footnoteRef/>
      </w:r>
      <w:r>
        <w:tab/>
        <w:t>Eiropas Parlamenta un Padomes Direktīva 2009/65/EK (2009. gada 13. jūlijs) par normatīvo un administratīvo aktu koordināciju attiecībā uz pārvedamu vērtspapīru kolektīvo ieguldījumu uzņēmumiem (PVKIU) (pārstrādāta redakcija) (OV L 302, 17.11.2009., 32. lpp., ELI: http://data.europa.eu/eli/dir/2009/65/oj).</w:t>
      </w:r>
    </w:p>
  </w:footnote>
  <w:footnote w:id="11">
    <w:p w:rsidR="00AB5213" w:rsidRPr="009F43FA" w:rsidRDefault="00AB5213" w:rsidP="00AB5213">
      <w:pPr>
        <w:pStyle w:val="FootnoteText"/>
      </w:pPr>
      <w:r>
        <w:rPr>
          <w:rStyle w:val="FootnoteReference"/>
        </w:rPr>
        <w:footnoteRef/>
      </w:r>
      <w:r>
        <w:tab/>
      </w:r>
      <w:r>
        <w:rPr>
          <w:color w:val="333333"/>
          <w:shd w:val="clear" w:color="auto" w:fill="FFFFFF"/>
        </w:rPr>
        <w:t>Eiropas Parlamenta un Padomes Regula (ES) Nr. 806/2014 (2014. gada 15. jūlijs), ar ko izveido vienādus noteikumus un vienotu procedūru kredītiestāžu un noteiktu ieguldījumu brokeru sabiedrību noregulējumam, izmantojot vienotu noregulējuma mehānismu un vienotu noregulējuma fondu, un groza Regulu (ES) Nr. 1093/2010 (</w:t>
      </w:r>
      <w:r>
        <w:rPr>
          <w:rStyle w:val="Emphasis"/>
          <w:i w:val="0"/>
          <w:iCs w:val="0"/>
          <w:color w:val="333333"/>
          <w:shd w:val="clear" w:color="auto" w:fill="FFFFFF"/>
        </w:rPr>
        <w:t>OV L 225, 30.7.2014., 1. lpp.,</w:t>
      </w:r>
      <w:r>
        <w:rPr>
          <w:color w:val="333333"/>
          <w:shd w:val="clear" w:color="auto" w:fill="FFFFFF"/>
        </w:rPr>
        <w:t xml:space="preserve"> ELI: </w:t>
      </w:r>
      <w:r>
        <w:rPr>
          <w:shd w:val="clear" w:color="auto" w:fill="FFFFFF"/>
        </w:rPr>
        <w:t>http://data.europa.eu/eli/reg/2014/806/oj</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7B" w:rsidRDefault="00A71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7B" w:rsidRDefault="00A711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53:5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622CF2FC-E2DB-4372-85CF-8551DF81CCCC"/>
    <w:docVar w:name="LW_COVERPAGE_TYPE" w:val="1"/>
    <w:docVar w:name="LW_CROSSREFERENCE" w:val="&lt;UNUSED&gt;"/>
    <w:docVar w:name="LW_DATE.ADOPT.CP" w:val="(29.11.2024),"/>
    <w:docVar w:name="LW_DATE.ADOPT.CP_DATEFORMAT" w:val="(%DATE%),"/>
    <w:docVar w:name="LW_DATE.ADOPT.CP_ISODATE" w:val="2024-11-29"/>
    <w:docVar w:name="LW_DocType" w:val="COM"/>
    <w:docVar w:name="LW_EMISSION" w:val="29.11.2024"/>
    <w:docVar w:name="LW_EMISSION_ISODATE" w:val="2024-11-29"/>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o nosaka \u299?steno\u353?anas tehniskos standartus Eiropas Parlamenta un Padomes Regulas (ES) Nr. 575/2013 piem\u275?ro\u353?anai attiec\u299?b\u257? uz iest\u257?\u382?u sniegtajiem uzraudz\u299?bas p\u257?rskatiem un atce\u316? Komisijas \u298?steno\u353?anas regulu (ES) 2021/451"/>
    <w:docVar w:name="LW_TYPE.DOC.CP" w:val="KOMISIJAS \u298?STENO\u352?ANAS REGULA (ES) \u823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49DA"/>
    <w:rsid w:val="000B5F14"/>
    <w:rsid w:val="000B6359"/>
    <w:rsid w:val="000B7A7D"/>
    <w:rsid w:val="000D0FBD"/>
    <w:rsid w:val="000D218A"/>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2C8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C7993"/>
    <w:rsid w:val="002E7649"/>
    <w:rsid w:val="002F5DF7"/>
    <w:rsid w:val="0030362C"/>
    <w:rsid w:val="0031277F"/>
    <w:rsid w:val="003147CF"/>
    <w:rsid w:val="00316878"/>
    <w:rsid w:val="003168F4"/>
    <w:rsid w:val="00316ABB"/>
    <w:rsid w:val="00325BE5"/>
    <w:rsid w:val="00325C87"/>
    <w:rsid w:val="003306BD"/>
    <w:rsid w:val="0033133E"/>
    <w:rsid w:val="0033438F"/>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A64AC"/>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2319"/>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74751"/>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279D6"/>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1631"/>
    <w:rsid w:val="007A521E"/>
    <w:rsid w:val="007B2DC3"/>
    <w:rsid w:val="007B328E"/>
    <w:rsid w:val="007B33F1"/>
    <w:rsid w:val="007B3500"/>
    <w:rsid w:val="007C118A"/>
    <w:rsid w:val="007C2C98"/>
    <w:rsid w:val="007D0861"/>
    <w:rsid w:val="007D08AC"/>
    <w:rsid w:val="007D08DC"/>
    <w:rsid w:val="007D12CE"/>
    <w:rsid w:val="007D28C9"/>
    <w:rsid w:val="007D7D1F"/>
    <w:rsid w:val="007E010B"/>
    <w:rsid w:val="007E3A18"/>
    <w:rsid w:val="007E489F"/>
    <w:rsid w:val="007E5A60"/>
    <w:rsid w:val="007E662C"/>
    <w:rsid w:val="007F0C5D"/>
    <w:rsid w:val="007F5EE6"/>
    <w:rsid w:val="00801517"/>
    <w:rsid w:val="008029E7"/>
    <w:rsid w:val="00802FC2"/>
    <w:rsid w:val="00805DFE"/>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671F7"/>
    <w:rsid w:val="00872F95"/>
    <w:rsid w:val="00875C3C"/>
    <w:rsid w:val="0088235A"/>
    <w:rsid w:val="0089773F"/>
    <w:rsid w:val="008A0DDB"/>
    <w:rsid w:val="008A1AAC"/>
    <w:rsid w:val="008A53EE"/>
    <w:rsid w:val="008B158E"/>
    <w:rsid w:val="008B57C8"/>
    <w:rsid w:val="008C205C"/>
    <w:rsid w:val="008D4069"/>
    <w:rsid w:val="008D53CD"/>
    <w:rsid w:val="008D5A0B"/>
    <w:rsid w:val="008E2694"/>
    <w:rsid w:val="008E613C"/>
    <w:rsid w:val="008F241F"/>
    <w:rsid w:val="008F42CF"/>
    <w:rsid w:val="00903919"/>
    <w:rsid w:val="00903976"/>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F50D2"/>
    <w:rsid w:val="009F7AE0"/>
    <w:rsid w:val="00A007ED"/>
    <w:rsid w:val="00A0651D"/>
    <w:rsid w:val="00A12B9F"/>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117B"/>
    <w:rsid w:val="00A76462"/>
    <w:rsid w:val="00A776DA"/>
    <w:rsid w:val="00A8524F"/>
    <w:rsid w:val="00A904EB"/>
    <w:rsid w:val="00A93792"/>
    <w:rsid w:val="00A93F42"/>
    <w:rsid w:val="00A9455A"/>
    <w:rsid w:val="00A964E2"/>
    <w:rsid w:val="00A9725E"/>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1BD0"/>
    <w:rsid w:val="00C02E45"/>
    <w:rsid w:val="00C23DB8"/>
    <w:rsid w:val="00C26E6A"/>
    <w:rsid w:val="00C32879"/>
    <w:rsid w:val="00C32A28"/>
    <w:rsid w:val="00C32BE3"/>
    <w:rsid w:val="00C33595"/>
    <w:rsid w:val="00C34339"/>
    <w:rsid w:val="00C37160"/>
    <w:rsid w:val="00C3731F"/>
    <w:rsid w:val="00C42B32"/>
    <w:rsid w:val="00C53A24"/>
    <w:rsid w:val="00C567C8"/>
    <w:rsid w:val="00C57698"/>
    <w:rsid w:val="00C57DA8"/>
    <w:rsid w:val="00C61EAD"/>
    <w:rsid w:val="00C62414"/>
    <w:rsid w:val="00C67CBC"/>
    <w:rsid w:val="00C701C9"/>
    <w:rsid w:val="00C7125C"/>
    <w:rsid w:val="00C83B23"/>
    <w:rsid w:val="00C84427"/>
    <w:rsid w:val="00C856B2"/>
    <w:rsid w:val="00C85783"/>
    <w:rsid w:val="00C86651"/>
    <w:rsid w:val="00C92528"/>
    <w:rsid w:val="00C928AC"/>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5315"/>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A6B90"/>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26060"/>
    <w:rsid w:val="00F36C39"/>
    <w:rsid w:val="00F400DD"/>
    <w:rsid w:val="00F41A35"/>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E1BCC"/>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lv-LV"/>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lv-LV"/>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A7117B"/>
    <w:rPr>
      <w:rFonts w:ascii="Times New Roman" w:hAnsi="Times New Roman" w:cs="Times New Roman"/>
      <w:sz w:val="24"/>
      <w:lang w:val="lv-LV"/>
    </w:rPr>
  </w:style>
  <w:style w:type="character" w:customStyle="1" w:styleId="FooterChar">
    <w:name w:val="Footer Char"/>
    <w:basedOn w:val="DefaultParagraphFont"/>
    <w:link w:val="Footer"/>
    <w:uiPriority w:val="99"/>
    <w:rsid w:val="00A7117B"/>
    <w:rPr>
      <w:rFonts w:ascii="Times New Roman" w:hAnsi="Times New Roman" w:cs="Times New Roman"/>
      <w:sz w:val="24"/>
      <w:lang w:val="lv-LV"/>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lv-LV"/>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lv-LV"/>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lv-LV"/>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lv-LV"/>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lv-LV"/>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lv-LV"/>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lv-LV"/>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A7117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A7117B"/>
    <w:pPr>
      <w:spacing w:before="0"/>
      <w:jc w:val="right"/>
    </w:pPr>
    <w:rPr>
      <w:sz w:val="28"/>
    </w:rPr>
  </w:style>
  <w:style w:type="paragraph" w:customStyle="1" w:styleId="FooterSensitivity">
    <w:name w:val="Footer Sensitivity"/>
    <w:basedOn w:val="Normal"/>
    <w:rsid w:val="00A7117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A7117B"/>
    <w:pPr>
      <w:tabs>
        <w:tab w:val="center" w:pos="4535"/>
        <w:tab w:val="right" w:pos="9071"/>
      </w:tabs>
      <w:spacing w:before="0"/>
    </w:pPr>
  </w:style>
  <w:style w:type="paragraph" w:customStyle="1" w:styleId="HeaderLandscape">
    <w:name w:val="HeaderLandscape"/>
    <w:basedOn w:val="Normal"/>
    <w:rsid w:val="00A7117B"/>
    <w:pPr>
      <w:tabs>
        <w:tab w:val="center" w:pos="7285"/>
        <w:tab w:val="right" w:pos="14003"/>
      </w:tabs>
      <w:spacing w:before="0"/>
    </w:pPr>
  </w:style>
  <w:style w:type="paragraph" w:styleId="Footer">
    <w:name w:val="footer"/>
    <w:basedOn w:val="Normal"/>
    <w:link w:val="FooterChar"/>
    <w:uiPriority w:val="99"/>
    <w:unhideWhenUsed/>
    <w:rsid w:val="00A7117B"/>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A7117B"/>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3.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4.xml><?xml version="1.0" encoding="utf-8"?>
<ds:datastoreItem xmlns:ds="http://schemas.openxmlformats.org/officeDocument/2006/customXml" ds:itemID="{9B2670B5-6B6D-43A2-993F-6BC172E9CEB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39</TotalTime>
  <Pages>15</Pages>
  <Words>7134</Words>
  <Characters>40664</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47703</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40</cp:revision>
  <dcterms:created xsi:type="dcterms:W3CDTF">2024-11-08T11:56:00Z</dcterms:created>
  <dcterms:modified xsi:type="dcterms:W3CDTF">2024-12-03T15:53:00Z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