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EC02E1" w:rsidRDefault="00616808" w:rsidP="00616808">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F86D196E-B2CC-4631-A959-393C0F132CBB" style="width:455.25pt;height:399pt">
            <v:imagedata r:id="rId11" o:title=""/>
          </v:shape>
        </w:pict>
      </w:r>
    </w:p>
    <w:p w:rsidR="00185C9B" w:rsidRPr="00EC02E1" w:rsidRDefault="00185C9B">
      <w:pPr>
        <w:rPr>
          <w:noProof/>
          <w:szCs w:val="24"/>
        </w:rPr>
        <w:sectPr w:rsidR="00185C9B" w:rsidRPr="00EC02E1" w:rsidSect="00616808">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EC02E1" w:rsidRDefault="00EC02E1" w:rsidP="00EC02E1">
      <w:pPr>
        <w:pStyle w:val="Typedudocument"/>
        <w:rPr>
          <w:noProof/>
        </w:rPr>
      </w:pPr>
      <w:bookmarkStart w:id="0" w:name="_GoBack"/>
      <w:bookmarkEnd w:id="0"/>
      <w:r w:rsidRPr="00EC02E1">
        <w:rPr>
          <w:noProof/>
        </w:rPr>
        <w:lastRenderedPageBreak/>
        <w:t>KOMMISSIONENS GENOMFÖRANDEFÖRORDNING (EU) …/…</w:t>
      </w:r>
    </w:p>
    <w:p w:rsidR="00185C9B" w:rsidRPr="00EC02E1" w:rsidRDefault="00740A0C" w:rsidP="00EC02E1">
      <w:pPr>
        <w:pStyle w:val="Datedadoption"/>
        <w:rPr>
          <w:noProof/>
        </w:rPr>
      </w:pPr>
      <w:r>
        <w:rPr>
          <w:noProof/>
        </w:rPr>
        <w:t>av den 29.11.2024</w:t>
      </w:r>
    </w:p>
    <w:p w:rsidR="00185C9B" w:rsidRPr="00EC02E1" w:rsidRDefault="00EC02E1" w:rsidP="00EC02E1">
      <w:pPr>
        <w:pStyle w:val="Titreobjet"/>
        <w:rPr>
          <w:noProof/>
        </w:rPr>
      </w:pPr>
      <w:r w:rsidRPr="00EC02E1">
        <w:rPr>
          <w:noProof/>
        </w:rPr>
        <w:t>om tekniska genomförandestandarder för tillämpningen av Europaparlamentets och rådets förordning (EU) nr 575/2013 vad gäller instituts tillsynsrapportering och om upphävande av kommissionens genomförandeförordning (EU) 2021/451</w:t>
      </w:r>
    </w:p>
    <w:p w:rsidR="00185C9B" w:rsidRPr="00EC02E1" w:rsidRDefault="00EC02E1" w:rsidP="00EC02E1">
      <w:pPr>
        <w:pStyle w:val="IntrtEEE"/>
        <w:rPr>
          <w:noProof/>
        </w:rPr>
      </w:pPr>
      <w:r w:rsidRPr="00EC02E1">
        <w:rPr>
          <w:noProof/>
        </w:rPr>
        <w:t>(Text av betydelse för EES)</w:t>
      </w:r>
    </w:p>
    <w:p w:rsidR="00185C9B" w:rsidRPr="00EC02E1" w:rsidRDefault="00185C9B" w:rsidP="004E1EF9">
      <w:pPr>
        <w:pStyle w:val="Institutionquiagit"/>
        <w:rPr>
          <w:noProof/>
          <w:szCs w:val="24"/>
        </w:rPr>
      </w:pPr>
      <w:r w:rsidRPr="00EC02E1">
        <w:rPr>
          <w:noProof/>
        </w:rPr>
        <w:t>EUROPEISKA KOMMISSIONEN HAR ANTAGIT DENNA FÖRORDNING</w:t>
      </w:r>
    </w:p>
    <w:p w:rsidR="00185C9B" w:rsidRPr="00EC02E1" w:rsidRDefault="00185C9B" w:rsidP="004E1EF9">
      <w:pPr>
        <w:rPr>
          <w:noProof/>
          <w:szCs w:val="24"/>
        </w:rPr>
      </w:pPr>
      <w:r w:rsidRPr="00EC02E1">
        <w:rPr>
          <w:noProof/>
          <w:color w:val="000000"/>
        </w:rPr>
        <w:t>med beaktande av fördraget om Europeiska unionens funktionssätt</w:t>
      </w:r>
      <w:r w:rsidRPr="00EC02E1">
        <w:rPr>
          <w:noProof/>
        </w:rPr>
        <w:t>,</w:t>
      </w:r>
    </w:p>
    <w:p w:rsidR="00716EA9" w:rsidRPr="00EC02E1" w:rsidRDefault="00716EA9" w:rsidP="00716EA9">
      <w:pPr>
        <w:rPr>
          <w:noProof/>
          <w:szCs w:val="24"/>
        </w:rPr>
      </w:pPr>
      <w:r w:rsidRPr="00EC02E1">
        <w:rPr>
          <w:noProof/>
        </w:rPr>
        <w:t>med beaktande av Europaparlamentets och rådets förordning (EU) nr 575/2013 av den 26 juni 2013 om tillsynskrav för kreditinstitut och om ändring av förordning (EU) nr 648/2012</w:t>
      </w:r>
      <w:r w:rsidRPr="00EC02E1">
        <w:rPr>
          <w:rStyle w:val="FootnoteReference"/>
          <w:noProof/>
          <w:szCs w:val="24"/>
        </w:rPr>
        <w:footnoteReference w:id="2"/>
      </w:r>
      <w:r w:rsidRPr="00EC02E1">
        <w:rPr>
          <w:noProof/>
        </w:rPr>
        <w:t>, särskilt artikel 415.3 tredje stycket, artikel 415.3a tredje stycket, artikel 430.7 tredje stycket och artikel 430.9 femte stycket, och</w:t>
      </w:r>
    </w:p>
    <w:p w:rsidR="00716EA9" w:rsidRPr="00EC02E1" w:rsidRDefault="00716EA9" w:rsidP="00716EA9">
      <w:pPr>
        <w:rPr>
          <w:noProof/>
          <w:szCs w:val="24"/>
        </w:rPr>
      </w:pPr>
      <w:r w:rsidRPr="00EC02E1">
        <w:rPr>
          <w:noProof/>
        </w:rPr>
        <w:t>av följande skäl:</w:t>
      </w:r>
    </w:p>
    <w:p w:rsidR="00716EA9" w:rsidRPr="00EC02E1" w:rsidRDefault="006D0A49" w:rsidP="006D0A49">
      <w:pPr>
        <w:pStyle w:val="ManualConsidrant"/>
        <w:rPr>
          <w:noProof/>
          <w:szCs w:val="24"/>
        </w:rPr>
      </w:pPr>
      <w:r w:rsidRPr="006D0A49">
        <w:rPr>
          <w:noProof/>
        </w:rPr>
        <w:t>(1)</w:t>
      </w:r>
      <w:r w:rsidRPr="006D0A49">
        <w:rPr>
          <w:noProof/>
        </w:rPr>
        <w:tab/>
      </w:r>
      <w:r w:rsidR="00716EA9" w:rsidRPr="00EC02E1">
        <w:rPr>
          <w:noProof/>
        </w:rPr>
        <w:t>I kommissionens genomförandeförordning (EU) 2021/451</w:t>
      </w:r>
      <w:r w:rsidR="00716EA9" w:rsidRPr="00EC02E1">
        <w:rPr>
          <w:rStyle w:val="FootnoteReference"/>
          <w:noProof/>
          <w:szCs w:val="24"/>
        </w:rPr>
        <w:footnoteReference w:id="3"/>
      </w:r>
      <w:r w:rsidR="00716EA9" w:rsidRPr="00EC02E1">
        <w:rPr>
          <w:noProof/>
        </w:rPr>
        <w:t xml:space="preserve"> fastställs, på grundval av artiklarna 415 och 430 i förordning (EU) nr 575/2013, en enhetlig rapporteringsram, inbegripet krav avseende rapportering av information om kapitalbas och kapitalbaskrav, finansiell information som behöver lämnas i enlighet med International Financial Reporting Standards (IFRS) och god redovisningssed (GAAP), information om förluster från utlåning där säkerhet ställts genom fast egendom, stora exponeringar, bruttosoliditetsgrad, stabil finansiering, ytterligare likviditetsövervakningsmått och tillgångsinteckning, information i syfte att identifiera globala systemviktiga institut och tilldela buffertvärden för globala systemviktiga institut och information om ränterisk utanför handelslagret. Genomförandeförordning (EU) 2021/451 har ändrats flera gånger till följd av de ändringar av förordning (EU) nr 575/2013 som antagits för att införa, vidareutveckla eller anpassa inslag i tillsynen.</w:t>
      </w:r>
    </w:p>
    <w:p w:rsidR="00716EA9" w:rsidRPr="00EC02E1" w:rsidRDefault="006D0A49" w:rsidP="006D0A49">
      <w:pPr>
        <w:pStyle w:val="ManualConsidrant"/>
        <w:rPr>
          <w:noProof/>
          <w:szCs w:val="24"/>
        </w:rPr>
      </w:pPr>
      <w:r w:rsidRPr="006D0A49">
        <w:rPr>
          <w:noProof/>
        </w:rPr>
        <w:t>(2)</w:t>
      </w:r>
      <w:r w:rsidRPr="006D0A49">
        <w:rPr>
          <w:noProof/>
        </w:rPr>
        <w:tab/>
      </w:r>
      <w:r w:rsidR="00716EA9" w:rsidRPr="00EC02E1">
        <w:rPr>
          <w:noProof/>
        </w:rPr>
        <w:t>Förordning (EU) nr 575/2013 ändrades genom Europaparlamentets och rådets förordning (EU) 2024/1623</w:t>
      </w:r>
      <w:r w:rsidR="00716EA9" w:rsidRPr="00EC02E1">
        <w:rPr>
          <w:rStyle w:val="FootnoteReference"/>
          <w:noProof/>
          <w:szCs w:val="24"/>
        </w:rPr>
        <w:footnoteReference w:id="4"/>
      </w:r>
      <w:r w:rsidR="00716EA9" w:rsidRPr="00EC02E1">
        <w:rPr>
          <w:noProof/>
        </w:rPr>
        <w:t xml:space="preserve"> för att genomföra den slutliga uppsättningen internationella standarder från Baselkommittén för banktillsyn (</w:t>
      </w:r>
      <w:r w:rsidR="00716EA9" w:rsidRPr="00EC02E1">
        <w:rPr>
          <w:i/>
          <w:noProof/>
        </w:rPr>
        <w:t>Basel III</w:t>
      </w:r>
      <w:r w:rsidR="00716EA9" w:rsidRPr="00EC02E1">
        <w:rPr>
          <w:noProof/>
        </w:rPr>
        <w:t>). Dessa ändringar bör återspeglas i den rapporteringsram som för närvarande anges i genomförandeförordning (EU) 2021/451.</w:t>
      </w:r>
    </w:p>
    <w:p w:rsidR="00F470F0" w:rsidRPr="00EC02E1" w:rsidRDefault="006D0A49" w:rsidP="006D0A49">
      <w:pPr>
        <w:pStyle w:val="ManualConsidrant"/>
        <w:rPr>
          <w:noProof/>
          <w:szCs w:val="24"/>
        </w:rPr>
      </w:pPr>
      <w:r w:rsidRPr="006D0A49">
        <w:rPr>
          <w:noProof/>
        </w:rPr>
        <w:t>(3)</w:t>
      </w:r>
      <w:r w:rsidRPr="006D0A49">
        <w:rPr>
          <w:noProof/>
        </w:rPr>
        <w:tab/>
      </w:r>
      <w:r w:rsidR="00716EA9" w:rsidRPr="00EC02E1">
        <w:rPr>
          <w:noProof/>
        </w:rPr>
        <w:t>Med tanke på ändringarna av förordning (EU) nr 575/2013 är det nödvändigt att se över kraven för rapportering av kapitalbas och kapitalbaskrav (golv för riskvägda tillgångar, kreditrisk och motpartskreditrisk, kreditvärdighetsjusteringar, marknadsrisk, operativ risk, förlusttäckning för nödlidande exponeringar och kryptotillgångar), för rapportering av information om förluster från utlåning där säkerhet ställts genom fast egendom och för rapportering av information om bruttosoliditetsgrad.</w:t>
      </w:r>
    </w:p>
    <w:p w:rsidR="00716EA9" w:rsidRPr="00EC02E1" w:rsidRDefault="006D0A49" w:rsidP="006D0A49">
      <w:pPr>
        <w:pStyle w:val="ManualConsidrant"/>
        <w:rPr>
          <w:noProof/>
          <w:szCs w:val="24"/>
        </w:rPr>
      </w:pPr>
      <w:r w:rsidRPr="006D0A49">
        <w:rPr>
          <w:noProof/>
        </w:rPr>
        <w:t>(4)</w:t>
      </w:r>
      <w:r w:rsidRPr="006D0A49">
        <w:rPr>
          <w:noProof/>
        </w:rPr>
        <w:tab/>
      </w:r>
      <w:r w:rsidR="00375AD2" w:rsidRPr="00EC02E1">
        <w:rPr>
          <w:noProof/>
        </w:rPr>
        <w:t>Med tanke på det stora antal ändringar som krävs för att ge verkan åt de nya reglerna om rapporteringsskyldigheter är det bättre att upphäva och ersätta genomförandeförordning (EU) 2021/451, snarare än att bara ändra den genomförandeförordningen, eftersom en sådan ändring skulle göra det extremt besvärligt för de berörda ekonomiska aktörerna att ta reda på vilka rapporteringskrav som gäller för dem.</w:t>
      </w:r>
    </w:p>
    <w:p w:rsidR="00716EA9" w:rsidRPr="00EC02E1" w:rsidRDefault="006D0A49" w:rsidP="006D0A49">
      <w:pPr>
        <w:pStyle w:val="ManualConsidrant"/>
        <w:rPr>
          <w:noProof/>
          <w:szCs w:val="24"/>
        </w:rPr>
      </w:pPr>
      <w:r w:rsidRPr="006D0A49">
        <w:rPr>
          <w:noProof/>
        </w:rPr>
        <w:t>(5)</w:t>
      </w:r>
      <w:r w:rsidRPr="006D0A49">
        <w:rPr>
          <w:noProof/>
        </w:rPr>
        <w:tab/>
      </w:r>
      <w:r w:rsidR="00D311FE" w:rsidRPr="00EC02E1">
        <w:rPr>
          <w:noProof/>
        </w:rPr>
        <w:t>De nya mallarna för kapitaltäckning bör möjliggöra rapportering av information om golvet för riskvägda tillgångar i kapitalbaskraven och kapitalrelationer, i synnerhet information om effekten av de övergångsbestämmelser för golvet för riskvägda tillgångar som anges i artikel 465 i förordning (EU) nr 575/2013. De rapporterade uppgifterna bör inbegripa information om effekten av golvet för riskvägda tillgångar och av de övergångsbestämmelser som anges i artikel 465 i förordning (EU) nr 575/2013. Mallarna för solvens på gruppnivå bör innehålla en ny kolumn för rapportering av information om justeringen till följd av golvet för enheter som omfattas av kapitalbaskrav.</w:t>
      </w:r>
    </w:p>
    <w:p w:rsidR="00716EA9" w:rsidRPr="00EC02E1" w:rsidRDefault="006D0A49" w:rsidP="006D0A49">
      <w:pPr>
        <w:pStyle w:val="ManualConsidrant"/>
        <w:rPr>
          <w:noProof/>
          <w:szCs w:val="24"/>
        </w:rPr>
      </w:pPr>
      <w:r w:rsidRPr="006D0A49">
        <w:rPr>
          <w:noProof/>
        </w:rPr>
        <w:t>(6)</w:t>
      </w:r>
      <w:r w:rsidRPr="006D0A49">
        <w:rPr>
          <w:noProof/>
        </w:rPr>
        <w:tab/>
      </w:r>
      <w:r w:rsidR="00716EA9" w:rsidRPr="00EC02E1">
        <w:rPr>
          <w:noProof/>
        </w:rPr>
        <w:t>Kreditriskmallarna för schablonmetoden bör återspegla ändringar av klassificeringen av exponeringsklasser och nya riskvikter. Dessutom bör de återspegla den mer detaljerade metod som tillämpas på exponeringar som är säkrade genom panträtt i fast egendom och återspegla vissa förändringar i beräkningen av exponeringsvärdet för poster utanför balansräkningen, som alla införts i förordning (EU) nr 575/2013 genom förordning (EU) 2024/1623.</w:t>
      </w:r>
    </w:p>
    <w:p w:rsidR="00716EA9" w:rsidRPr="00EC02E1" w:rsidRDefault="006D0A49" w:rsidP="006D0A49">
      <w:pPr>
        <w:pStyle w:val="ManualConsidrant"/>
        <w:rPr>
          <w:noProof/>
          <w:szCs w:val="24"/>
        </w:rPr>
      </w:pPr>
      <w:r w:rsidRPr="006D0A49">
        <w:rPr>
          <w:noProof/>
        </w:rPr>
        <w:t>(7)</w:t>
      </w:r>
      <w:r w:rsidRPr="006D0A49">
        <w:rPr>
          <w:noProof/>
        </w:rPr>
        <w:tab/>
      </w:r>
      <w:r w:rsidR="00716EA9" w:rsidRPr="00EC02E1">
        <w:rPr>
          <w:noProof/>
        </w:rPr>
        <w:t>Kreditriskmallarna för internmetoden bör återspegla ändringar av klassificeringen av exponeringsklasser, nämligen för att begränsa användningen av exponeringar mot institut och stora företag enligt den grundläggande internmetoden, och bör möjliggöra rapportering av information om nya exponeringsklasser, inbegripet offentliga organ och delstatliga eller lokala självstyrelseorgan och myndigheter. Slutligen bör de nya mallarna möjliggöra rapportering av både schablonberäkningar och egna beräkningar av kreditkonverteringsfaktorer.</w:t>
      </w:r>
    </w:p>
    <w:p w:rsidR="00716EA9" w:rsidRPr="00EC02E1" w:rsidRDefault="006D0A49" w:rsidP="006D0A49">
      <w:pPr>
        <w:pStyle w:val="ManualConsidrant"/>
        <w:rPr>
          <w:noProof/>
          <w:szCs w:val="24"/>
        </w:rPr>
      </w:pPr>
      <w:r w:rsidRPr="006D0A49">
        <w:rPr>
          <w:noProof/>
        </w:rPr>
        <w:t>(8)</w:t>
      </w:r>
      <w:r w:rsidRPr="006D0A49">
        <w:rPr>
          <w:noProof/>
        </w:rPr>
        <w:tab/>
      </w:r>
      <w:r w:rsidR="00716EA9" w:rsidRPr="00EC02E1">
        <w:rPr>
          <w:noProof/>
        </w:rPr>
        <w:t>De nya mallarna för rapportering av information om förlusttäckning för nödlidande exponeringar bör återspegla förändringar i omfattningen av de exponeringar som omfattas av förlusttäckningskraven och förändringar i tidsplanen för avsättningar.</w:t>
      </w:r>
    </w:p>
    <w:p w:rsidR="00716EA9" w:rsidRPr="00EC02E1" w:rsidRDefault="006D0A49" w:rsidP="006D0A49">
      <w:pPr>
        <w:pStyle w:val="ManualConsidrant"/>
        <w:rPr>
          <w:noProof/>
          <w:szCs w:val="24"/>
        </w:rPr>
      </w:pPr>
      <w:r w:rsidRPr="006D0A49">
        <w:rPr>
          <w:noProof/>
        </w:rPr>
        <w:t>(9)</w:t>
      </w:r>
      <w:r w:rsidRPr="006D0A49">
        <w:rPr>
          <w:noProof/>
        </w:rPr>
        <w:tab/>
      </w:r>
      <w:r w:rsidR="0033133E" w:rsidRPr="00EC02E1">
        <w:rPr>
          <w:noProof/>
        </w:rPr>
        <w:t>En ny rapporteringsmall bör möjliggöra rapportering av information om exponeringar mot kryptotillgångar, för att återspegla de totala riskvägda exponeringsbeloppen för sådana exponeringar.</w:t>
      </w:r>
    </w:p>
    <w:p w:rsidR="00716EA9" w:rsidRPr="00EC02E1" w:rsidRDefault="006D0A49" w:rsidP="006D0A49">
      <w:pPr>
        <w:pStyle w:val="ManualConsidrant"/>
        <w:rPr>
          <w:noProof/>
          <w:szCs w:val="24"/>
        </w:rPr>
      </w:pPr>
      <w:r w:rsidRPr="006D0A49">
        <w:rPr>
          <w:noProof/>
        </w:rPr>
        <w:t>(10)</w:t>
      </w:r>
      <w:r w:rsidRPr="006D0A49">
        <w:rPr>
          <w:noProof/>
        </w:rPr>
        <w:tab/>
      </w:r>
      <w:r w:rsidR="00716EA9" w:rsidRPr="00EC02E1">
        <w:rPr>
          <w:noProof/>
        </w:rPr>
        <w:t>Rapporteringen av aggregerade uppgifter för varje nationell fastighetsmarknad (”förluster på fast egendom”) bör återspegla de nya särskilda rapporteringsskyldigheter som anges i artikel 430a.1 i förordning (EU) nr 575/2013.</w:t>
      </w:r>
    </w:p>
    <w:p w:rsidR="00716EA9" w:rsidRPr="00EC02E1" w:rsidRDefault="006D0A49" w:rsidP="006D0A49">
      <w:pPr>
        <w:pStyle w:val="ManualConsidrant"/>
        <w:rPr>
          <w:noProof/>
          <w:szCs w:val="24"/>
        </w:rPr>
      </w:pPr>
      <w:r w:rsidRPr="006D0A49">
        <w:rPr>
          <w:noProof/>
        </w:rPr>
        <w:t>(11)</w:t>
      </w:r>
      <w:r w:rsidRPr="006D0A49">
        <w:rPr>
          <w:noProof/>
        </w:rPr>
        <w:tab/>
      </w:r>
      <w:r w:rsidR="00716EA9" w:rsidRPr="00EC02E1">
        <w:rPr>
          <w:noProof/>
        </w:rPr>
        <w:t>Rapporteringen av kreditvärdighetsjusteringar bör återspegla schablonmetoden och den grundläggande och förenklade metoden och bör fånga upp vissa särskilda rapporteringskrav om kreditvärdighetsjusteringsrisk, som alla införts i avdelning VI i förordning (EU) nr 575/2013.</w:t>
      </w:r>
    </w:p>
    <w:p w:rsidR="00716EA9" w:rsidRPr="00EC02E1" w:rsidRDefault="006D0A49" w:rsidP="006D0A49">
      <w:pPr>
        <w:pStyle w:val="ManualConsidrant"/>
        <w:rPr>
          <w:noProof/>
          <w:szCs w:val="24"/>
        </w:rPr>
      </w:pPr>
      <w:r w:rsidRPr="006D0A49">
        <w:rPr>
          <w:noProof/>
        </w:rPr>
        <w:t>(12)</w:t>
      </w:r>
      <w:r w:rsidRPr="006D0A49">
        <w:rPr>
          <w:noProof/>
        </w:rPr>
        <w:tab/>
      </w:r>
      <w:r w:rsidR="00716EA9" w:rsidRPr="00EC02E1">
        <w:rPr>
          <w:noProof/>
        </w:rPr>
        <w:t xml:space="preserve">Genom förordning (EU) 2024/1623 reviderades reglerna för gränsen mellan positioner i handelslagret respektive utanför handelslagret. Rapporteringsmallarna bör därför även möjliggöra rapportering av information om handelslagrets sammansättning med avseende på de nya kriterier som anges i artikel 104 i förordning (EU) nr 575/2013. </w:t>
      </w:r>
    </w:p>
    <w:p w:rsidR="00716EA9" w:rsidRPr="00EC02E1" w:rsidRDefault="006D0A49" w:rsidP="006D0A49">
      <w:pPr>
        <w:pStyle w:val="ManualConsidrant"/>
        <w:rPr>
          <w:noProof/>
          <w:szCs w:val="24"/>
        </w:rPr>
      </w:pPr>
      <w:r w:rsidRPr="006D0A49">
        <w:rPr>
          <w:noProof/>
        </w:rPr>
        <w:t>(13)</w:t>
      </w:r>
      <w:r w:rsidRPr="006D0A49">
        <w:rPr>
          <w:noProof/>
        </w:rPr>
        <w:tab/>
      </w:r>
      <w:r w:rsidR="007051E2" w:rsidRPr="00EC02E1">
        <w:rPr>
          <w:noProof/>
        </w:rPr>
        <w:t>Det är nödvändigt att anpassa rapporteringsreferensdatumen för kapitalbas, kapitalbaskrav och ytterligare rapporteringskrav på individuell nivå och gruppnivå till räkenskapsårets slutdatum.</w:t>
      </w:r>
    </w:p>
    <w:p w:rsidR="00716EA9" w:rsidRPr="00EC02E1" w:rsidRDefault="006D0A49" w:rsidP="006D0A49">
      <w:pPr>
        <w:pStyle w:val="ManualConsidrant"/>
        <w:rPr>
          <w:noProof/>
          <w:szCs w:val="24"/>
        </w:rPr>
      </w:pPr>
      <w:r w:rsidRPr="006D0A49">
        <w:rPr>
          <w:noProof/>
        </w:rPr>
        <w:t>(14)</w:t>
      </w:r>
      <w:r w:rsidRPr="006D0A49">
        <w:rPr>
          <w:noProof/>
        </w:rPr>
        <w:tab/>
      </w:r>
      <w:r w:rsidR="009522F9" w:rsidRPr="00EC02E1">
        <w:rPr>
          <w:noProof/>
        </w:rPr>
        <w:t xml:space="preserve">För att göra det möjligt för institut att inrätta de rapporteringssystem som krävs för att fullgöra rapporteringsskyldigheterna bör enheter som bedriver verksamhet i ett kreditinstitut för första gången ges mer tid att lämna in mallarna. </w:t>
      </w:r>
    </w:p>
    <w:p w:rsidR="002823A7" w:rsidRPr="00EC02E1" w:rsidRDefault="006D0A49" w:rsidP="006D0A49">
      <w:pPr>
        <w:pStyle w:val="ManualConsidrant"/>
        <w:rPr>
          <w:noProof/>
          <w:szCs w:val="24"/>
        </w:rPr>
      </w:pPr>
      <w:r w:rsidRPr="006D0A49">
        <w:rPr>
          <w:noProof/>
        </w:rPr>
        <w:t>(15)</w:t>
      </w:r>
      <w:r w:rsidRPr="006D0A49">
        <w:rPr>
          <w:noProof/>
        </w:rPr>
        <w:tab/>
      </w:r>
      <w:r w:rsidR="002823A7" w:rsidRPr="00EC02E1">
        <w:rPr>
          <w:noProof/>
        </w:rPr>
        <w:t>Genom förordning (EU) 2024/1623 ändrades artikel 430.7 första stycket i förordning (EU) nr 575/2013 och infördes ett krav på att EBA ska utarbeta it-lösningar, inklusive rapporteringsmallar och instruktioner, som instituten ska använda för att fullgöra rapporteringsskyldigheterna enligt punkterna 1–4 i den artikeln.</w:t>
      </w:r>
      <w:r w:rsidR="002823A7" w:rsidRPr="00EC02E1">
        <w:rPr>
          <w:noProof/>
          <w:color w:val="000000"/>
        </w:rPr>
        <w:t xml:space="preserve"> Därför bör de datapunkter och den information som instituten måste rapportera och som EBA bör inkludera i de berörda it-lösningarna specificeras tillräckligt tydligt. </w:t>
      </w:r>
      <w:r w:rsidR="002823A7" w:rsidRPr="00EC02E1">
        <w:rPr>
          <w:noProof/>
        </w:rPr>
        <w:t>För att EBA ska kunna utarbeta lämpliga it-lösningar bör dessa enhetliga rapporteringsformat inte vara bindande när det gäller deras struktur och utformning, eftersom EBA inte bör vara skyldigt att kopiera den grafiska utformning och tabellstruktur som anges i bilagan.</w:t>
      </w:r>
      <w:r w:rsidR="002823A7" w:rsidRPr="00EC02E1">
        <w:rPr>
          <w:noProof/>
          <w:color w:val="000000"/>
        </w:rPr>
        <w:t xml:space="preserve"> </w:t>
      </w:r>
      <w:r w:rsidR="002823A7" w:rsidRPr="00EC02E1">
        <w:rPr>
          <w:noProof/>
        </w:rPr>
        <w:t>EBA bör i synnerhet kunna avvika från den grafiska utformningen och tabellstrukturen i rapporteringsmallarna så länge som alla datapunkter och all information som krävs ingår i it-lösningen.</w:t>
      </w:r>
      <w:r w:rsidR="002823A7" w:rsidRPr="00EC02E1">
        <w:rPr>
          <w:noProof/>
          <w:color w:val="000000"/>
        </w:rPr>
        <w:t xml:space="preserve"> </w:t>
      </w:r>
    </w:p>
    <w:p w:rsidR="00716EA9" w:rsidRPr="00EC02E1" w:rsidRDefault="006D0A49" w:rsidP="006D0A49">
      <w:pPr>
        <w:pStyle w:val="ManualConsidrant"/>
        <w:rPr>
          <w:noProof/>
          <w:szCs w:val="24"/>
        </w:rPr>
      </w:pPr>
      <w:r w:rsidRPr="006D0A49">
        <w:rPr>
          <w:noProof/>
        </w:rPr>
        <w:t>(16)</w:t>
      </w:r>
      <w:r w:rsidRPr="006D0A49">
        <w:rPr>
          <w:noProof/>
        </w:rPr>
        <w:tab/>
      </w:r>
      <w:r w:rsidR="00716EA9" w:rsidRPr="00EC02E1">
        <w:rPr>
          <w:noProof/>
        </w:rPr>
        <w:t xml:space="preserve">För att ge instituten tillräckligt med tid för att anpassa sina egna interna system och fullgöra de reviderade rapporteringskraven måste övergångsbestämmelser som senarelägger överföringsdatumet för den första kvartalsrapporteringen fastställas. </w:t>
      </w:r>
    </w:p>
    <w:p w:rsidR="008A53EE" w:rsidRPr="00EC02E1" w:rsidRDefault="006D0A49" w:rsidP="006D0A49">
      <w:pPr>
        <w:pStyle w:val="ManualConsidrant"/>
        <w:rPr>
          <w:noProof/>
          <w:szCs w:val="24"/>
        </w:rPr>
      </w:pPr>
      <w:r w:rsidRPr="006D0A49">
        <w:rPr>
          <w:noProof/>
        </w:rPr>
        <w:t>(17)</w:t>
      </w:r>
      <w:r w:rsidRPr="006D0A49">
        <w:rPr>
          <w:noProof/>
        </w:rPr>
        <w:tab/>
      </w:r>
      <w:r w:rsidR="008A53EE" w:rsidRPr="00EC02E1">
        <w:rPr>
          <w:noProof/>
        </w:rPr>
        <w:t>För att anpassa tidsplanen för rapporteringskravet avseende handelslagrets sammansättning till tidsplanen för tillämpning av de marknadsriskkrav som anges i del tre avdelning IV kapitlen 1a och 1b i förordning (EU) nr 575/2013, är det nödvändigt att fastställa en övergångsbestämmelse som medger ett senare första referensdatum för det rapporteringskravet.</w:t>
      </w:r>
    </w:p>
    <w:p w:rsidR="006427FA" w:rsidRPr="00EC02E1" w:rsidRDefault="006D0A49" w:rsidP="006D0A49">
      <w:pPr>
        <w:pStyle w:val="ManualConsidrant"/>
        <w:rPr>
          <w:noProof/>
          <w:szCs w:val="24"/>
        </w:rPr>
      </w:pPr>
      <w:r w:rsidRPr="006D0A49">
        <w:rPr>
          <w:noProof/>
        </w:rPr>
        <w:t>(18)</w:t>
      </w:r>
      <w:r w:rsidRPr="006D0A49">
        <w:rPr>
          <w:noProof/>
        </w:rPr>
        <w:tab/>
      </w:r>
      <w:r w:rsidR="006427FA" w:rsidRPr="00EC02E1">
        <w:rPr>
          <w:noProof/>
        </w:rPr>
        <w:t>Det finns starka kopplingar mellan de olika bestämmelserna i denna förordning, eftersom de handlar om institutens rapporteringskrav. För att säkerställa att dessa bestämmelser är enhetliga och göra det lättare för de personer som åläggs dessa skyldigheter att få överblick över och hitta dem på ett och samma ställe, bör alla relaterade tekniska genomförandestandarder som krävs enligt förordning (EU) nr 575/2013 samlas i en enda förordning.</w:t>
      </w:r>
    </w:p>
    <w:p w:rsidR="00716EA9" w:rsidRPr="00EC02E1" w:rsidRDefault="006D0A49" w:rsidP="006D0A49">
      <w:pPr>
        <w:pStyle w:val="ManualConsidrant"/>
        <w:rPr>
          <w:noProof/>
          <w:szCs w:val="24"/>
        </w:rPr>
      </w:pPr>
      <w:r w:rsidRPr="006D0A49">
        <w:rPr>
          <w:noProof/>
        </w:rPr>
        <w:t>(19)</w:t>
      </w:r>
      <w:r w:rsidRPr="006D0A49">
        <w:rPr>
          <w:noProof/>
        </w:rPr>
        <w:tab/>
      </w:r>
      <w:r w:rsidR="00716EA9" w:rsidRPr="00EC02E1">
        <w:rPr>
          <w:noProof/>
        </w:rPr>
        <w:t xml:space="preserve">Denna förordning grundar sig på det förslag till tekniska genomförandestandarder som Europeiska bankmyndigheten har lagt fram för kommissionen. </w:t>
      </w:r>
    </w:p>
    <w:p w:rsidR="00716EA9" w:rsidRPr="00EC02E1" w:rsidRDefault="006D0A49" w:rsidP="006D0A49">
      <w:pPr>
        <w:pStyle w:val="ManualConsidrant"/>
        <w:rPr>
          <w:noProof/>
          <w:szCs w:val="24"/>
        </w:rPr>
      </w:pPr>
      <w:r w:rsidRPr="006D0A49">
        <w:rPr>
          <w:noProof/>
        </w:rPr>
        <w:t>(20)</w:t>
      </w:r>
      <w:r w:rsidRPr="006D0A49">
        <w:rPr>
          <w:noProof/>
        </w:rPr>
        <w:tab/>
      </w:r>
      <w:r w:rsidR="00716EA9" w:rsidRPr="00EC02E1">
        <w:rPr>
          <w:noProof/>
        </w:rPr>
        <w:t>Europeiska bankmyndigheten har anordnat öppna offentliga samråd om det förslag till tekniska genomförandestandarder som den här förordningen grundas på, gjort en analys av möjliga kostnader och fördelar samt begärt råd från den bankintressentgrupp som inrättats i enlighet med artikel 37 i Europaparlamentets och rådets förordning (EU) nr 1093/2010</w:t>
      </w:r>
      <w:r w:rsidR="00716EA9" w:rsidRPr="00EC02E1">
        <w:rPr>
          <w:rStyle w:val="FootnoteReference"/>
          <w:noProof/>
          <w:szCs w:val="24"/>
        </w:rPr>
        <w:footnoteReference w:id="5"/>
      </w:r>
      <w:r w:rsidR="00716EA9" w:rsidRPr="00EC02E1">
        <w:rPr>
          <w:noProof/>
        </w:rPr>
        <w:t>.</w:t>
      </w:r>
    </w:p>
    <w:p w:rsidR="003D2BEA" w:rsidRPr="00EC02E1" w:rsidRDefault="006D0A49" w:rsidP="006D0A49">
      <w:pPr>
        <w:pStyle w:val="ManualConsidrant"/>
        <w:rPr>
          <w:noProof/>
          <w:szCs w:val="24"/>
        </w:rPr>
      </w:pPr>
      <w:r w:rsidRPr="006D0A49">
        <w:rPr>
          <w:noProof/>
        </w:rPr>
        <w:t>(21)</w:t>
      </w:r>
      <w:r w:rsidRPr="006D0A49">
        <w:rPr>
          <w:noProof/>
        </w:rPr>
        <w:tab/>
      </w:r>
      <w:r w:rsidR="00716EA9" w:rsidRPr="00EC02E1">
        <w:rPr>
          <w:noProof/>
        </w:rPr>
        <w:t>För att ge instituten tillräckligt med tid för att förbereda sig för rapportering i enlighet med denna förordning och i enlighet med artikel 430.7 i förordning (EU) nr 575/2013 bör den första tillämpningsdagen infalla sex månader efter dagen för ikraftträdandet.</w:t>
      </w:r>
    </w:p>
    <w:p w:rsidR="00716EA9" w:rsidRPr="00EC02E1" w:rsidRDefault="006D0A49" w:rsidP="006D0A49">
      <w:pPr>
        <w:pStyle w:val="ManualConsidrant"/>
        <w:rPr>
          <w:noProof/>
          <w:szCs w:val="24"/>
        </w:rPr>
      </w:pPr>
      <w:r w:rsidRPr="006D0A49">
        <w:rPr>
          <w:noProof/>
        </w:rPr>
        <w:t>(22)</w:t>
      </w:r>
      <w:r w:rsidRPr="006D0A49">
        <w:rPr>
          <w:noProof/>
        </w:rPr>
        <w:tab/>
      </w:r>
      <w:r w:rsidR="003D2BEA" w:rsidRPr="00EC02E1">
        <w:rPr>
          <w:noProof/>
        </w:rPr>
        <w:t xml:space="preserve">För att få den reviderade rapporteringsramen på plats så snart som möjligt bör denna förordning träda i kraft dagen efter det att den har offentliggjorts i </w:t>
      </w:r>
      <w:r w:rsidR="003D2BEA" w:rsidRPr="00EC02E1">
        <w:rPr>
          <w:i/>
          <w:noProof/>
        </w:rPr>
        <w:t>Europeiska unionens officiella tidning</w:t>
      </w:r>
      <w:r w:rsidR="003D2BEA" w:rsidRPr="00EC02E1">
        <w:rPr>
          <w:noProof/>
        </w:rPr>
        <w:t>.</w:t>
      </w:r>
    </w:p>
    <w:p w:rsidR="00185C9B" w:rsidRPr="00EC02E1" w:rsidRDefault="00185C9B" w:rsidP="004E1EF9">
      <w:pPr>
        <w:pStyle w:val="Formuledadoption"/>
        <w:rPr>
          <w:noProof/>
          <w:szCs w:val="24"/>
        </w:rPr>
      </w:pPr>
      <w:r w:rsidRPr="00EC02E1">
        <w:rPr>
          <w:noProof/>
        </w:rPr>
        <w:t>HÄRIGENOM FÖRESKRIVS FÖLJANDE.</w:t>
      </w:r>
    </w:p>
    <w:p w:rsidR="00185C9B" w:rsidRPr="00EC02E1" w:rsidRDefault="00185C9B" w:rsidP="00134C2F">
      <w:pPr>
        <w:pStyle w:val="Titrearticle"/>
        <w:spacing w:after="0"/>
        <w:rPr>
          <w:noProof/>
          <w:szCs w:val="24"/>
        </w:rPr>
      </w:pPr>
      <w:r w:rsidRPr="00EC02E1">
        <w:rPr>
          <w:noProof/>
        </w:rPr>
        <w:t>Artikel 1</w:t>
      </w:r>
    </w:p>
    <w:p w:rsidR="00716EA9" w:rsidRPr="00EC02E1" w:rsidRDefault="00716EA9" w:rsidP="00134C2F">
      <w:pPr>
        <w:pStyle w:val="Titrearticle"/>
        <w:spacing w:before="0"/>
        <w:rPr>
          <w:b/>
          <w:bCs/>
          <w:i w:val="0"/>
          <w:iCs/>
          <w:noProof/>
          <w:szCs w:val="24"/>
        </w:rPr>
      </w:pPr>
      <w:r w:rsidRPr="00EC02E1">
        <w:rPr>
          <w:b/>
          <w:i w:val="0"/>
          <w:noProof/>
        </w:rPr>
        <w:t>Inlämnande av information</w:t>
      </w:r>
    </w:p>
    <w:p w:rsidR="00716EA9" w:rsidRPr="00EC02E1" w:rsidRDefault="00716EA9" w:rsidP="00C856B2">
      <w:pPr>
        <w:rPr>
          <w:noProof/>
        </w:rPr>
      </w:pPr>
      <w:r w:rsidRPr="00EC02E1">
        <w:rPr>
          <w:noProof/>
        </w:rPr>
        <w:t>I denna förordning fastställs enhetliga format för rapportering, rapporteringsfrekvens och rapporteringsdatum för institutens rapportering till sina behöriga myndigheter i enlighet med artikel 415.3, artikel 415.3a, artikel 430.1–430.4, artikel 430.7 och artikel 430.9 i förordning (EU) nr 575/2013.</w:t>
      </w:r>
    </w:p>
    <w:p w:rsidR="00716EA9" w:rsidRPr="00EC02E1" w:rsidRDefault="00716EA9" w:rsidP="00716EA9">
      <w:pPr>
        <w:pStyle w:val="Titrearticle"/>
        <w:rPr>
          <w:noProof/>
          <w:szCs w:val="24"/>
        </w:rPr>
      </w:pPr>
      <w:r w:rsidRPr="00EC02E1">
        <w:rPr>
          <w:noProof/>
        </w:rPr>
        <w:t>Artikel 2</w:t>
      </w:r>
    </w:p>
    <w:p w:rsidR="00716EA9" w:rsidRPr="00EC02E1" w:rsidRDefault="00716EA9" w:rsidP="00F22954">
      <w:pPr>
        <w:pStyle w:val="Titrearticle"/>
        <w:spacing w:before="0"/>
        <w:rPr>
          <w:b/>
          <w:bCs/>
          <w:i w:val="0"/>
          <w:iCs/>
          <w:noProof/>
          <w:szCs w:val="24"/>
        </w:rPr>
      </w:pPr>
      <w:r w:rsidRPr="00EC02E1">
        <w:rPr>
          <w:b/>
          <w:i w:val="0"/>
          <w:noProof/>
        </w:rPr>
        <w:t>Rapporteringsreferensdatum</w:t>
      </w:r>
    </w:p>
    <w:p w:rsidR="00716EA9" w:rsidRPr="00EC02E1" w:rsidRDefault="006D0A49" w:rsidP="006D0A49">
      <w:pPr>
        <w:pStyle w:val="ManualNumPar1"/>
        <w:rPr>
          <w:noProof/>
        </w:rPr>
      </w:pPr>
      <w:r w:rsidRPr="006D0A49">
        <w:rPr>
          <w:noProof/>
        </w:rPr>
        <w:t>1.</w:t>
      </w:r>
      <w:r w:rsidRPr="006D0A49">
        <w:rPr>
          <w:noProof/>
        </w:rPr>
        <w:tab/>
      </w:r>
      <w:r w:rsidR="00716EA9" w:rsidRPr="00EC02E1">
        <w:rPr>
          <w:noProof/>
        </w:rPr>
        <w:t>Instituten ska lämna den information som avses i bilaga I till de behöriga myndigheterna om situationen per följande rapporteringsreferensdatum:</w:t>
      </w:r>
    </w:p>
    <w:p w:rsidR="00716EA9" w:rsidRPr="00EC02E1" w:rsidRDefault="006D0A49" w:rsidP="006D0A49">
      <w:pPr>
        <w:pStyle w:val="Point1"/>
        <w:rPr>
          <w:noProof/>
        </w:rPr>
      </w:pPr>
      <w:r w:rsidRPr="006D0A49">
        <w:rPr>
          <w:noProof/>
        </w:rPr>
        <w:t>(a)</w:t>
      </w:r>
      <w:r w:rsidRPr="006D0A49">
        <w:rPr>
          <w:noProof/>
        </w:rPr>
        <w:tab/>
      </w:r>
      <w:r w:rsidR="00716EA9" w:rsidRPr="00EC02E1">
        <w:rPr>
          <w:noProof/>
        </w:rPr>
        <w:t>Månadsrapportering: sista dagen i varje månad.</w:t>
      </w:r>
    </w:p>
    <w:p w:rsidR="00716EA9" w:rsidRPr="00EC02E1" w:rsidRDefault="006D0A49" w:rsidP="006D0A49">
      <w:pPr>
        <w:pStyle w:val="Point1"/>
        <w:rPr>
          <w:noProof/>
        </w:rPr>
      </w:pPr>
      <w:r w:rsidRPr="006D0A49">
        <w:rPr>
          <w:noProof/>
        </w:rPr>
        <w:t>(b)</w:t>
      </w:r>
      <w:r w:rsidRPr="006D0A49">
        <w:rPr>
          <w:noProof/>
        </w:rPr>
        <w:tab/>
      </w:r>
      <w:r w:rsidR="00716EA9" w:rsidRPr="00EC02E1">
        <w:rPr>
          <w:noProof/>
        </w:rPr>
        <w:t>Kvartalsrapportering: 31 mars, 30 juni, 30 september och 31 december.</w:t>
      </w:r>
    </w:p>
    <w:p w:rsidR="00716EA9" w:rsidRPr="00EC02E1" w:rsidRDefault="006D0A49" w:rsidP="006D0A49">
      <w:pPr>
        <w:pStyle w:val="Point1"/>
        <w:rPr>
          <w:noProof/>
        </w:rPr>
      </w:pPr>
      <w:r w:rsidRPr="006D0A49">
        <w:rPr>
          <w:noProof/>
        </w:rPr>
        <w:t>(c)</w:t>
      </w:r>
      <w:r w:rsidRPr="006D0A49">
        <w:rPr>
          <w:noProof/>
        </w:rPr>
        <w:tab/>
      </w:r>
      <w:r w:rsidR="00716EA9" w:rsidRPr="00EC02E1">
        <w:rPr>
          <w:noProof/>
        </w:rPr>
        <w:t>Halvårsrapportering: 30 juni och 31 december.</w:t>
      </w:r>
    </w:p>
    <w:p w:rsidR="00716EA9" w:rsidRPr="00EC02E1" w:rsidRDefault="006D0A49" w:rsidP="006D0A49">
      <w:pPr>
        <w:pStyle w:val="Point1"/>
        <w:rPr>
          <w:noProof/>
        </w:rPr>
      </w:pPr>
      <w:r w:rsidRPr="006D0A49">
        <w:rPr>
          <w:noProof/>
        </w:rPr>
        <w:t>(d)</w:t>
      </w:r>
      <w:r w:rsidRPr="006D0A49">
        <w:rPr>
          <w:noProof/>
        </w:rPr>
        <w:tab/>
      </w:r>
      <w:r w:rsidR="00716EA9" w:rsidRPr="00EC02E1">
        <w:rPr>
          <w:noProof/>
        </w:rPr>
        <w:t>Årsrapportering: 31 december.</w:t>
      </w:r>
    </w:p>
    <w:p w:rsidR="00716EA9" w:rsidRPr="00EC02E1" w:rsidRDefault="006D0A49" w:rsidP="006D0A49">
      <w:pPr>
        <w:pStyle w:val="ManualNumPar1"/>
        <w:rPr>
          <w:noProof/>
        </w:rPr>
      </w:pPr>
      <w:r w:rsidRPr="006D0A49">
        <w:rPr>
          <w:noProof/>
        </w:rPr>
        <w:t>2.</w:t>
      </w:r>
      <w:r w:rsidRPr="006D0A49">
        <w:rPr>
          <w:noProof/>
        </w:rPr>
        <w:tab/>
      </w:r>
      <w:r w:rsidR="00A50DF2" w:rsidRPr="00EC02E1">
        <w:rPr>
          <w:noProof/>
        </w:rPr>
        <w:t>Instituten ska rapportera den finansiella information som avses i bilaga I i enlighet med IFRS och nationella redovisningsregler och för en viss period kumulativt från räkenskapsårets första dag till referensdatumet.</w:t>
      </w:r>
    </w:p>
    <w:p w:rsidR="00716EA9" w:rsidRPr="00EC02E1" w:rsidRDefault="006D0A49" w:rsidP="006D0A49">
      <w:pPr>
        <w:pStyle w:val="ManualNumPar1"/>
        <w:rPr>
          <w:noProof/>
        </w:rPr>
      </w:pPr>
      <w:r w:rsidRPr="006D0A49">
        <w:rPr>
          <w:noProof/>
        </w:rPr>
        <w:t>3.</w:t>
      </w:r>
      <w:r w:rsidRPr="006D0A49">
        <w:rPr>
          <w:noProof/>
        </w:rPr>
        <w:tab/>
      </w:r>
      <w:r w:rsidR="00A50DF2" w:rsidRPr="00EC02E1">
        <w:rPr>
          <w:noProof/>
        </w:rPr>
        <w:t>Institut som enligt nationell lagstiftning får rapportera sin finansiella information på grundval av sitt räkenskapsårs utgång, och om det räkenskapsårets utgång avviker från kalenderårets utgång, får justera rapporteringsreferensdatumen för att anpassa dem till räkenskapsårets utgång, så att den finansiella informationen, den information som rapporteras i enlighet med artikel 8 och informationen för identifiering av globala systemviktiga institut och tilldelningen av buffertvärden för globala systemviktiga institut rapporteras var tredje, sjätte respektive tolfte månad från utgången av deras räkenskapsår.</w:t>
      </w:r>
    </w:p>
    <w:p w:rsidR="00716EA9" w:rsidRPr="00EC02E1" w:rsidRDefault="00716EA9" w:rsidP="00716EA9">
      <w:pPr>
        <w:pStyle w:val="Titrearticle"/>
        <w:rPr>
          <w:noProof/>
          <w:szCs w:val="24"/>
        </w:rPr>
      </w:pPr>
      <w:r w:rsidRPr="00EC02E1">
        <w:rPr>
          <w:noProof/>
        </w:rPr>
        <w:t>Artikel 3</w:t>
      </w:r>
    </w:p>
    <w:p w:rsidR="00716EA9" w:rsidRPr="00EC02E1" w:rsidRDefault="00716EA9" w:rsidP="00F22954">
      <w:pPr>
        <w:pStyle w:val="Titrearticle"/>
        <w:spacing w:before="0"/>
        <w:rPr>
          <w:b/>
          <w:bCs/>
          <w:i w:val="0"/>
          <w:iCs/>
          <w:noProof/>
          <w:szCs w:val="24"/>
        </w:rPr>
      </w:pPr>
      <w:r w:rsidRPr="00EC02E1">
        <w:rPr>
          <w:b/>
          <w:i w:val="0"/>
          <w:noProof/>
        </w:rPr>
        <w:t>Rapportöverföringsdatum</w:t>
      </w:r>
    </w:p>
    <w:p w:rsidR="00716EA9" w:rsidRPr="00EC02E1" w:rsidRDefault="006D0A49" w:rsidP="006D0A49">
      <w:pPr>
        <w:pStyle w:val="ManualNumPar1"/>
        <w:rPr>
          <w:noProof/>
        </w:rPr>
      </w:pPr>
      <w:r w:rsidRPr="006D0A49">
        <w:rPr>
          <w:noProof/>
        </w:rPr>
        <w:t>1.</w:t>
      </w:r>
      <w:r w:rsidRPr="006D0A49">
        <w:rPr>
          <w:noProof/>
        </w:rPr>
        <w:tab/>
      </w:r>
      <w:r w:rsidR="00716EA9" w:rsidRPr="00EC02E1">
        <w:rPr>
          <w:noProof/>
        </w:rPr>
        <w:t>Instituten ska lämna den information som avses i bilaga I till de behöriga myndigheterna senast vid utgången av arbetsdagen på följande överföringsdatum:</w:t>
      </w:r>
    </w:p>
    <w:p w:rsidR="00716EA9" w:rsidRPr="00EC02E1" w:rsidRDefault="006D0A49" w:rsidP="006D0A49">
      <w:pPr>
        <w:pStyle w:val="Point1"/>
        <w:rPr>
          <w:noProof/>
        </w:rPr>
      </w:pPr>
      <w:r w:rsidRPr="006D0A49">
        <w:rPr>
          <w:noProof/>
        </w:rPr>
        <w:t>(a)</w:t>
      </w:r>
      <w:r w:rsidRPr="006D0A49">
        <w:rPr>
          <w:noProof/>
        </w:rPr>
        <w:tab/>
      </w:r>
      <w:r w:rsidR="00716EA9" w:rsidRPr="00EC02E1">
        <w:rPr>
          <w:noProof/>
        </w:rPr>
        <w:t>Månadsrapportering: femtonde kalenderdagen efter rapporteringsreferensdatumet.</w:t>
      </w:r>
    </w:p>
    <w:p w:rsidR="00716EA9" w:rsidRPr="00EC02E1" w:rsidRDefault="006D0A49" w:rsidP="006D0A49">
      <w:pPr>
        <w:pStyle w:val="Point1"/>
        <w:rPr>
          <w:noProof/>
        </w:rPr>
      </w:pPr>
      <w:r w:rsidRPr="006D0A49">
        <w:rPr>
          <w:noProof/>
        </w:rPr>
        <w:t>(b)</w:t>
      </w:r>
      <w:r w:rsidRPr="006D0A49">
        <w:rPr>
          <w:noProof/>
        </w:rPr>
        <w:tab/>
      </w:r>
      <w:r w:rsidR="00716EA9" w:rsidRPr="00EC02E1">
        <w:rPr>
          <w:noProof/>
        </w:rPr>
        <w:t>Kvartalsrapportering: 12 maj, 11 augusti, 11 november och 11 februari.</w:t>
      </w:r>
    </w:p>
    <w:p w:rsidR="00716EA9" w:rsidRPr="00EC02E1" w:rsidRDefault="006D0A49" w:rsidP="006D0A49">
      <w:pPr>
        <w:pStyle w:val="Point1"/>
        <w:rPr>
          <w:noProof/>
        </w:rPr>
      </w:pPr>
      <w:r w:rsidRPr="006D0A49">
        <w:rPr>
          <w:noProof/>
        </w:rPr>
        <w:t>(c)</w:t>
      </w:r>
      <w:r w:rsidRPr="006D0A49">
        <w:rPr>
          <w:noProof/>
        </w:rPr>
        <w:tab/>
      </w:r>
      <w:r w:rsidR="00716EA9" w:rsidRPr="00EC02E1">
        <w:rPr>
          <w:noProof/>
        </w:rPr>
        <w:t>Halvårsrapportering: 11 augusti och 11 februari.</w:t>
      </w:r>
    </w:p>
    <w:p w:rsidR="00716EA9" w:rsidRPr="00EC02E1" w:rsidRDefault="006D0A49" w:rsidP="006D0A49">
      <w:pPr>
        <w:pStyle w:val="Point1"/>
        <w:rPr>
          <w:noProof/>
        </w:rPr>
      </w:pPr>
      <w:r w:rsidRPr="006D0A49">
        <w:rPr>
          <w:noProof/>
        </w:rPr>
        <w:t>(d)</w:t>
      </w:r>
      <w:r w:rsidRPr="006D0A49">
        <w:rPr>
          <w:noProof/>
        </w:rPr>
        <w:tab/>
      </w:r>
      <w:r w:rsidR="00716EA9" w:rsidRPr="00EC02E1">
        <w:rPr>
          <w:noProof/>
        </w:rPr>
        <w:t xml:space="preserve">Årsrapportering: 11 februari. </w:t>
      </w:r>
    </w:p>
    <w:p w:rsidR="00716EA9" w:rsidRPr="00EC02E1" w:rsidRDefault="006D0A49" w:rsidP="006D0A49">
      <w:pPr>
        <w:pStyle w:val="ManualNumPar1"/>
        <w:rPr>
          <w:noProof/>
        </w:rPr>
      </w:pPr>
      <w:r w:rsidRPr="006D0A49">
        <w:rPr>
          <w:noProof/>
        </w:rPr>
        <w:t>2.</w:t>
      </w:r>
      <w:r w:rsidRPr="006D0A49">
        <w:rPr>
          <w:noProof/>
        </w:rPr>
        <w:tab/>
      </w:r>
      <w:r w:rsidR="00D637BD" w:rsidRPr="00EC02E1">
        <w:rPr>
          <w:noProof/>
        </w:rPr>
        <w:t>Om överföringsdatumet är en allmän helgdag i medlemsstaten för den behöriga myndighet som rapporten ska lämnas till, eller är en lördag eller söndag, ska de berörda instituten lämna uppgifterna närmast följande arbetsdag.</w:t>
      </w:r>
    </w:p>
    <w:p w:rsidR="00716EA9" w:rsidRPr="00EC02E1" w:rsidRDefault="006D0A49" w:rsidP="006D0A49">
      <w:pPr>
        <w:pStyle w:val="ManualNumPar1"/>
        <w:rPr>
          <w:noProof/>
        </w:rPr>
      </w:pPr>
      <w:r w:rsidRPr="006D0A49">
        <w:rPr>
          <w:noProof/>
        </w:rPr>
        <w:t>3.</w:t>
      </w:r>
      <w:r w:rsidRPr="006D0A49">
        <w:rPr>
          <w:noProof/>
        </w:rPr>
        <w:tab/>
      </w:r>
      <w:r w:rsidR="00923761" w:rsidRPr="00EC02E1">
        <w:rPr>
          <w:noProof/>
        </w:rPr>
        <w:t>Institut som rapporterar den finansiella information som avses i bilaga I, eller den information som ska rapporteras i enlighet med artikel 8, eller information för identifiering av globala systemviktiga institut och tilldelning av buffertvärden för globala systemviktiga institut med användning av justerade rapporteringsreferensdatum baserat på deras räkenskapsårs utgång enligt artikel 2.3, får justera överföringsdatumen så att överföringsperioden från det justerade rapporteringsreferensdatumet blir densamma.</w:t>
      </w:r>
    </w:p>
    <w:p w:rsidR="00716EA9" w:rsidRPr="00EC02E1" w:rsidRDefault="006D0A49" w:rsidP="006D0A49">
      <w:pPr>
        <w:pStyle w:val="ManualNumPar1"/>
        <w:rPr>
          <w:noProof/>
        </w:rPr>
      </w:pPr>
      <w:r w:rsidRPr="006D0A49">
        <w:rPr>
          <w:noProof/>
        </w:rPr>
        <w:t>4.</w:t>
      </w:r>
      <w:r w:rsidRPr="006D0A49">
        <w:rPr>
          <w:noProof/>
        </w:rPr>
        <w:tab/>
      </w:r>
      <w:r w:rsidR="00716EA9" w:rsidRPr="00EC02E1">
        <w:rPr>
          <w:noProof/>
        </w:rPr>
        <w:t>Instituten får lämna oreviderade uppgifter. Om reviderade uppgifter avviker från lämnade oreviderade uppgifter ska instituten utan onödigt dröjsmål lämna de ändrade reviderade uppgifterna. Oreviderade uppgifter är uppgifter som inte har blivit föremål för ett uttalande från en extern revisor, medan reviderade uppgifter är uppgifter som har granskats av en extern revisor som har lämnat ett revisionsuttalande.</w:t>
      </w:r>
    </w:p>
    <w:p w:rsidR="00716EA9" w:rsidRPr="00EC02E1" w:rsidRDefault="006D0A49" w:rsidP="006D0A49">
      <w:pPr>
        <w:pStyle w:val="ManualNumPar1"/>
        <w:rPr>
          <w:noProof/>
        </w:rPr>
      </w:pPr>
      <w:r w:rsidRPr="006D0A49">
        <w:rPr>
          <w:noProof/>
        </w:rPr>
        <w:t>5.</w:t>
      </w:r>
      <w:r w:rsidRPr="006D0A49">
        <w:rPr>
          <w:noProof/>
        </w:rPr>
        <w:tab/>
      </w:r>
      <w:r w:rsidR="00F22954" w:rsidRPr="00EC02E1">
        <w:rPr>
          <w:noProof/>
        </w:rPr>
        <w:t>Instituten ska till de behöriga myndigheterna utan onödigt dröjsmål lämna andra rättelser av de lämnade rapporterna än de rättelser som avses i punkt 4.</w:t>
      </w:r>
    </w:p>
    <w:p w:rsidR="00716EA9" w:rsidRPr="00EC02E1" w:rsidRDefault="00716EA9" w:rsidP="00716EA9">
      <w:pPr>
        <w:pStyle w:val="Titrearticle"/>
        <w:rPr>
          <w:noProof/>
          <w:szCs w:val="24"/>
        </w:rPr>
      </w:pPr>
      <w:r w:rsidRPr="00EC02E1">
        <w:rPr>
          <w:noProof/>
        </w:rPr>
        <w:t>Artikel 4</w:t>
      </w:r>
    </w:p>
    <w:p w:rsidR="00716EA9" w:rsidRPr="00EC02E1" w:rsidRDefault="00716EA9" w:rsidP="00F22954">
      <w:pPr>
        <w:pStyle w:val="Titrearticle"/>
        <w:spacing w:before="0"/>
        <w:rPr>
          <w:b/>
          <w:bCs/>
          <w:i w:val="0"/>
          <w:iCs/>
          <w:noProof/>
          <w:szCs w:val="24"/>
        </w:rPr>
      </w:pPr>
      <w:r w:rsidRPr="00EC02E1">
        <w:rPr>
          <w:b/>
          <w:i w:val="0"/>
          <w:noProof/>
        </w:rPr>
        <w:t>Tröskelvärden för rapportering – kriterier för inträde och utträde</w:t>
      </w:r>
    </w:p>
    <w:p w:rsidR="00716EA9" w:rsidRPr="00EC02E1" w:rsidRDefault="006D0A49" w:rsidP="006D0A49">
      <w:pPr>
        <w:pStyle w:val="ManualNumPar1"/>
        <w:rPr>
          <w:noProof/>
        </w:rPr>
      </w:pPr>
      <w:r w:rsidRPr="006D0A49">
        <w:rPr>
          <w:noProof/>
        </w:rPr>
        <w:t>1.</w:t>
      </w:r>
      <w:r w:rsidRPr="006D0A49">
        <w:rPr>
          <w:noProof/>
        </w:rPr>
        <w:tab/>
      </w:r>
      <w:r w:rsidR="003F44DA" w:rsidRPr="00EC02E1">
        <w:rPr>
          <w:noProof/>
        </w:rPr>
        <w:t>Små och icke-komplexa institut ska börja rapportera den information som avses i bilaga I på det första rapporteringsreferensdatumet efter den dag då dessa institut uppfyller kriterierna i artikel 4.1.145 i förordning (EU) nr 575/2013. Institut som inte längre uppfyller dessa kriterier ska upphöra att rapportera den informationen på det första rapporteringsreferensdatumet efter den dag då de inte längre uppfyller dessa kriterier.</w:t>
      </w:r>
    </w:p>
    <w:p w:rsidR="00716EA9" w:rsidRPr="00EC02E1" w:rsidRDefault="006D0A49" w:rsidP="006D0A49">
      <w:pPr>
        <w:pStyle w:val="ManualNumPar1"/>
        <w:rPr>
          <w:noProof/>
        </w:rPr>
      </w:pPr>
      <w:r w:rsidRPr="006D0A49">
        <w:rPr>
          <w:noProof/>
        </w:rPr>
        <w:t>2.</w:t>
      </w:r>
      <w:r w:rsidRPr="006D0A49">
        <w:rPr>
          <w:noProof/>
        </w:rPr>
        <w:tab/>
      </w:r>
      <w:r w:rsidR="003F44DA" w:rsidRPr="00EC02E1">
        <w:rPr>
          <w:noProof/>
        </w:rPr>
        <w:t>Stora institut ska börja rapportera den information som avses i bilaga I på det första rapporteringsreferensdatumet efter den dag då instituten uppfyller kriterierna i artikel 4.1.146 i förordning (EU) nr 575/2013. Institut som inte längre uppfyller dessa kriterier ska upphöra att rapportera den informationen på det första rapporteringsreferensdatum då de inte längre uppfyller dessa kriterier.</w:t>
      </w:r>
    </w:p>
    <w:p w:rsidR="00716EA9" w:rsidRPr="00EC02E1" w:rsidRDefault="006D0A49" w:rsidP="006D0A49">
      <w:pPr>
        <w:pStyle w:val="ManualNumPar1"/>
        <w:rPr>
          <w:noProof/>
        </w:rPr>
      </w:pPr>
      <w:r w:rsidRPr="006D0A49">
        <w:rPr>
          <w:noProof/>
        </w:rPr>
        <w:t>3.</w:t>
      </w:r>
      <w:r w:rsidRPr="006D0A49">
        <w:rPr>
          <w:noProof/>
        </w:rPr>
        <w:tab/>
      </w:r>
      <w:r w:rsidR="00716EA9" w:rsidRPr="00EC02E1">
        <w:rPr>
          <w:noProof/>
        </w:rPr>
        <w:t>Institut ska börja rapportera den information som avses i bilaga I och som omfattas av de tröskelvärden som anges i artikel 5.2 och 5.3, artikel 6.2 och 6.3, artiklarna 11 och 12, artikel 15.2–15.5 och artiklarna 17–20 i denna förordning på det rapporteringsreferensdatum som följer efter den dag då dessa tröskelvärden har överskridits vid två på varandra följande rapporteringsreferensdatum. Instituten får upphöra att rapportera den information som omfattas av de tröskelvärden som anges i de artiklarna på det rapporteringsreferensdatum som följer efter den dag då de har underskridit de relevanta tröskelvärdena vid tre på varandra följande rapporteringsreferensdatum.</w:t>
      </w:r>
    </w:p>
    <w:p w:rsidR="00716EA9" w:rsidRPr="00EC02E1" w:rsidRDefault="006D0A49" w:rsidP="006D0A49">
      <w:pPr>
        <w:pStyle w:val="ManualNumPar1"/>
        <w:rPr>
          <w:noProof/>
        </w:rPr>
      </w:pPr>
      <w:r w:rsidRPr="006D0A49">
        <w:rPr>
          <w:noProof/>
        </w:rPr>
        <w:t>4.</w:t>
      </w:r>
      <w:r w:rsidRPr="006D0A49">
        <w:rPr>
          <w:noProof/>
        </w:rPr>
        <w:tab/>
      </w:r>
      <w:r w:rsidR="00716EA9" w:rsidRPr="00EC02E1">
        <w:rPr>
          <w:noProof/>
        </w:rPr>
        <w:t xml:space="preserve">Genom undantag från punkt 3 ska instituten börja rapportera om de uppfyller något av följande villkor under de sex månader som föregår referensdatumet: </w:t>
      </w:r>
    </w:p>
    <w:p w:rsidR="00716EA9" w:rsidRPr="00EC02E1" w:rsidRDefault="006D0A49" w:rsidP="006D0A49">
      <w:pPr>
        <w:pStyle w:val="Point1"/>
        <w:rPr>
          <w:noProof/>
          <w:color w:val="000000"/>
        </w:rPr>
      </w:pPr>
      <w:r w:rsidRPr="006D0A49">
        <w:rPr>
          <w:noProof/>
        </w:rPr>
        <w:t>(a)</w:t>
      </w:r>
      <w:r w:rsidRPr="006D0A49">
        <w:rPr>
          <w:noProof/>
        </w:rPr>
        <w:tab/>
      </w:r>
      <w:r w:rsidR="00716EA9" w:rsidRPr="00EC02E1">
        <w:rPr>
          <w:noProof/>
        </w:rPr>
        <w:t>Det berörda institutet har auktoriserats att inleda sin verksamhet som kreditinstitut i enlighet med artikel 8 i Europaparlamentets och rådets direktiv 2013/36/EU</w:t>
      </w:r>
      <w:r w:rsidR="00716EA9" w:rsidRPr="00EC02E1">
        <w:rPr>
          <w:rStyle w:val="FootnoteReference"/>
          <w:rFonts w:eastAsia="Times New Roman"/>
          <w:bCs/>
          <w:noProof/>
          <w:szCs w:val="24"/>
          <w:lang w:eastAsia="fr-BE"/>
        </w:rPr>
        <w:footnoteReference w:id="6"/>
      </w:r>
      <w:r w:rsidR="00716EA9" w:rsidRPr="00EC02E1">
        <w:rPr>
          <w:noProof/>
        </w:rPr>
        <w:t>.</w:t>
      </w:r>
    </w:p>
    <w:p w:rsidR="00716EA9" w:rsidRPr="00EC02E1" w:rsidRDefault="006D0A49" w:rsidP="006D0A49">
      <w:pPr>
        <w:pStyle w:val="Point1"/>
        <w:rPr>
          <w:noProof/>
          <w:color w:val="000000"/>
        </w:rPr>
      </w:pPr>
      <w:r w:rsidRPr="006D0A49">
        <w:rPr>
          <w:noProof/>
        </w:rPr>
        <w:t>(b)</w:t>
      </w:r>
      <w:r w:rsidRPr="006D0A49">
        <w:rPr>
          <w:noProof/>
        </w:rPr>
        <w:tab/>
      </w:r>
      <w:r w:rsidR="00716EA9" w:rsidRPr="00EC02E1">
        <w:rPr>
          <w:noProof/>
        </w:rPr>
        <w:t>Institutet är ett värdepappersföretag som omfattas av förordning (EU) nr 575/2013 genom att överskrida det tröskelvärde som anges i artikel 4.1.1 b i den förordningen eller genom ett beslut av den behöriga myndigheten i enlighet med artikel 5 i Europaparlamentets och rådets direktiv (EU) 2019/2034</w:t>
      </w:r>
      <w:r w:rsidR="00716EA9" w:rsidRPr="00EC02E1">
        <w:rPr>
          <w:rStyle w:val="FootnoteReference"/>
          <w:rFonts w:eastAsia="Times New Roman"/>
          <w:bCs/>
          <w:noProof/>
          <w:szCs w:val="24"/>
          <w:lang w:eastAsia="fr-BE"/>
        </w:rPr>
        <w:footnoteReference w:id="7"/>
      </w:r>
      <w:r w:rsidR="00716EA9" w:rsidRPr="00EC02E1">
        <w:rPr>
          <w:noProof/>
        </w:rPr>
        <w:t>.</w:t>
      </w:r>
    </w:p>
    <w:p w:rsidR="00716EA9" w:rsidRPr="00EC02E1" w:rsidRDefault="006D0A49" w:rsidP="006D0A49">
      <w:pPr>
        <w:pStyle w:val="Point1"/>
        <w:rPr>
          <w:noProof/>
          <w:color w:val="000000"/>
        </w:rPr>
      </w:pPr>
      <w:r w:rsidRPr="006D0A49">
        <w:rPr>
          <w:noProof/>
        </w:rPr>
        <w:t>(c)</w:t>
      </w:r>
      <w:r w:rsidRPr="006D0A49">
        <w:rPr>
          <w:noProof/>
        </w:rPr>
        <w:tab/>
      </w:r>
      <w:r w:rsidR="00716EA9" w:rsidRPr="00EC02E1">
        <w:rPr>
          <w:noProof/>
        </w:rPr>
        <w:t>Institutet är en enhet som uppstår antingen genom fusion av minst två institut eller genom uppdelning av ett institut i minst två institut.</w:t>
      </w:r>
    </w:p>
    <w:p w:rsidR="00716EA9" w:rsidRPr="00EC02E1" w:rsidRDefault="006D0A49" w:rsidP="006D0A49">
      <w:pPr>
        <w:pStyle w:val="ManualNumPar1"/>
        <w:rPr>
          <w:noProof/>
        </w:rPr>
      </w:pPr>
      <w:r w:rsidRPr="006D0A49">
        <w:rPr>
          <w:noProof/>
        </w:rPr>
        <w:t>5.</w:t>
      </w:r>
      <w:r w:rsidRPr="006D0A49">
        <w:rPr>
          <w:noProof/>
        </w:rPr>
        <w:tab/>
      </w:r>
      <w:r w:rsidR="00716EA9" w:rsidRPr="00EC02E1">
        <w:rPr>
          <w:noProof/>
        </w:rPr>
        <w:t>När det gäller de institut som avses i punkt 4 ska följande gälla för deras rapportering som omfattas av de tröskelvärden som anges i artikel 4 för de två första referensdatumen:</w:t>
      </w:r>
    </w:p>
    <w:p w:rsidR="00716EA9" w:rsidRPr="00EC02E1" w:rsidRDefault="006D0A49" w:rsidP="006D0A49">
      <w:pPr>
        <w:pStyle w:val="Point1"/>
        <w:rPr>
          <w:noProof/>
        </w:rPr>
      </w:pPr>
      <w:r w:rsidRPr="006D0A49">
        <w:rPr>
          <w:noProof/>
        </w:rPr>
        <w:t>(a)</w:t>
      </w:r>
      <w:r w:rsidRPr="006D0A49">
        <w:rPr>
          <w:noProof/>
        </w:rPr>
        <w:tab/>
      </w:r>
      <w:r w:rsidR="0050785B" w:rsidRPr="00EC02E1">
        <w:rPr>
          <w:noProof/>
        </w:rPr>
        <w:t>Institut som överskrider det berörda tröskelvärdet redan på det första referensdatumet ska rapportera den information som omfattas av det tröskelvärdet både för det första och det andra referensdatumet.</w:t>
      </w:r>
    </w:p>
    <w:p w:rsidR="00716EA9" w:rsidRPr="00EC02E1" w:rsidRDefault="006D0A49" w:rsidP="006D0A49">
      <w:pPr>
        <w:pStyle w:val="Point1"/>
        <w:rPr>
          <w:noProof/>
        </w:rPr>
      </w:pPr>
      <w:r w:rsidRPr="006D0A49">
        <w:rPr>
          <w:noProof/>
        </w:rPr>
        <w:t>(b)</w:t>
      </w:r>
      <w:r w:rsidRPr="006D0A49">
        <w:rPr>
          <w:noProof/>
        </w:rPr>
        <w:tab/>
      </w:r>
      <w:r w:rsidR="0050785B" w:rsidRPr="00EC02E1">
        <w:rPr>
          <w:noProof/>
        </w:rPr>
        <w:t>Institut som överskrider det berörda tröskelvärdet först på det andra referensdatumet ska rapportera den information som omfattas av det tröskelvärdet för det andra referensdatumet.</w:t>
      </w:r>
    </w:p>
    <w:p w:rsidR="00716EA9" w:rsidRPr="00EC02E1" w:rsidRDefault="00716EA9" w:rsidP="00C856B2">
      <w:pPr>
        <w:pStyle w:val="Text1"/>
        <w:rPr>
          <w:noProof/>
        </w:rPr>
      </w:pPr>
      <w:r w:rsidRPr="00EC02E1">
        <w:rPr>
          <w:noProof/>
        </w:rPr>
        <w:t>Institut som har underskridit de berörda tröskelvärden som avses i leden a och b på tre på varandra följande rapporteringsreferensdatum får upphöra att rapportera information som omfattas av tröskelvärdet för nästa rapporteringsreferensdatum.</w:t>
      </w:r>
    </w:p>
    <w:p w:rsidR="00716EA9" w:rsidRPr="00EC02E1" w:rsidRDefault="00716EA9" w:rsidP="00E537F5">
      <w:pPr>
        <w:pStyle w:val="Titrearticle"/>
        <w:rPr>
          <w:noProof/>
          <w:szCs w:val="24"/>
        </w:rPr>
      </w:pPr>
      <w:r w:rsidRPr="00EC02E1">
        <w:rPr>
          <w:noProof/>
        </w:rPr>
        <w:t>Artikel 5</w:t>
      </w:r>
    </w:p>
    <w:p w:rsidR="00716EA9" w:rsidRPr="00EC02E1" w:rsidRDefault="00716EA9" w:rsidP="00F22954">
      <w:pPr>
        <w:pStyle w:val="Titrearticle"/>
        <w:spacing w:before="0"/>
        <w:rPr>
          <w:b/>
          <w:bCs/>
          <w:i w:val="0"/>
          <w:iCs/>
          <w:noProof/>
          <w:szCs w:val="24"/>
        </w:rPr>
      </w:pPr>
      <w:r w:rsidRPr="00EC02E1">
        <w:rPr>
          <w:b/>
          <w:i w:val="0"/>
          <w:noProof/>
        </w:rPr>
        <w:t>Rapportering av information om kapitalbas och kapitalbaskrav på individuell nivå – kvartalsrapportering</w:t>
      </w:r>
    </w:p>
    <w:p w:rsidR="00716EA9" w:rsidRPr="00EC02E1" w:rsidRDefault="006D0A49" w:rsidP="006D0A49">
      <w:pPr>
        <w:pStyle w:val="ManualNumPar1"/>
        <w:rPr>
          <w:noProof/>
        </w:rPr>
      </w:pPr>
      <w:r w:rsidRPr="006D0A49">
        <w:rPr>
          <w:noProof/>
        </w:rPr>
        <w:t>1.</w:t>
      </w:r>
      <w:r w:rsidRPr="006D0A49">
        <w:rPr>
          <w:noProof/>
        </w:rPr>
        <w:tab/>
      </w:r>
      <w:r w:rsidR="00BF6649" w:rsidRPr="00EC02E1">
        <w:rPr>
          <w:noProof/>
        </w:rPr>
        <w:t>Institut som rapporterar information om kapitalbas och kapitalbaskrav i enlighet med artikel 430.1 a i förordning (EU) nr 575/2013 på individuell nivå ska kvartalsvis lämna sådan information enligt specifikationerna i avsnitt 1 – ”Rapportering av kapitalbas och kapitalbaskrav” i bilaga I till den här förordningen.</w:t>
      </w:r>
    </w:p>
    <w:p w:rsidR="00290C23" w:rsidRPr="00EC02E1" w:rsidRDefault="006D0A49" w:rsidP="006D0A49">
      <w:pPr>
        <w:pStyle w:val="ManualNumPar1"/>
        <w:rPr>
          <w:rFonts w:eastAsia="Times New Roman"/>
          <w:noProof/>
        </w:rPr>
      </w:pPr>
      <w:r w:rsidRPr="006D0A49">
        <w:rPr>
          <w:noProof/>
        </w:rPr>
        <w:t>2.</w:t>
      </w:r>
      <w:r w:rsidRPr="006D0A49">
        <w:rPr>
          <w:noProof/>
        </w:rPr>
        <w:tab/>
      </w:r>
      <w:r w:rsidR="00290C23" w:rsidRPr="00EC02E1">
        <w:rPr>
          <w:noProof/>
        </w:rPr>
        <w:t>Instituten ska lämna den information som specificeras i mallarna C 09.01 och C 09.02, särskilt informationen om den geografiska fördelningen av exponeringar per land, i de fall icke-inhemska ursprungliga exponeringar i alla ”icke-inhemska” länder i samtliga exponeringsklasser, rapporterade i enlighet med mall C 04.00 rad 0850, minst motsvarar 10 % av de sammanlagda inhemska och icke-inhemska ursprungliga exponeringar som rapporteras i enlighet med mall C 04.00 rad 0860. Exponeringar ska betraktas som inhemska när de utgör exponeringar mot motparter belägna i samma medlemsstat som den där institutet är etablerat.</w:t>
      </w:r>
    </w:p>
    <w:p w:rsidR="00290C23" w:rsidRPr="00EC02E1" w:rsidRDefault="006D0A49" w:rsidP="006D0A49">
      <w:pPr>
        <w:pStyle w:val="ManualNumPar1"/>
        <w:rPr>
          <w:rFonts w:eastAsia="Times New Roman"/>
          <w:noProof/>
        </w:rPr>
      </w:pPr>
      <w:r w:rsidRPr="006D0A49">
        <w:rPr>
          <w:noProof/>
        </w:rPr>
        <w:t>3.</w:t>
      </w:r>
      <w:r w:rsidRPr="006D0A49">
        <w:rPr>
          <w:noProof/>
        </w:rPr>
        <w:tab/>
      </w:r>
      <w:r w:rsidR="00290C23" w:rsidRPr="00EC02E1">
        <w:rPr>
          <w:noProof/>
        </w:rPr>
        <w:t>Institut som tillämpar huvudmetoden i enlighet med kommissionens delegerade förordning (EU) 2016/101</w:t>
      </w:r>
      <w:r w:rsidR="00797855" w:rsidRPr="00EC02E1">
        <w:rPr>
          <w:rStyle w:val="FootnoteReference"/>
          <w:rFonts w:eastAsia="Times New Roman"/>
          <w:noProof/>
          <w:lang w:eastAsia="en-GB" w:bidi="en-GB"/>
        </w:rPr>
        <w:footnoteReference w:id="8"/>
      </w:r>
      <w:r w:rsidR="00290C23" w:rsidRPr="00EC02E1">
        <w:rPr>
          <w:noProof/>
        </w:rPr>
        <w:t xml:space="preserve"> och som överskrider det tröskelvärde som avses i artikel 4.1 i den förordningen ska rapportera den information som specificeras i mallarna C 32.03 och C 32.04.</w:t>
      </w:r>
    </w:p>
    <w:p w:rsidR="00716EA9" w:rsidRPr="00EC02E1" w:rsidRDefault="006D0A49" w:rsidP="006D0A49">
      <w:pPr>
        <w:pStyle w:val="ManualNumPar1"/>
        <w:rPr>
          <w:rFonts w:eastAsia="Times New Roman"/>
          <w:noProof/>
        </w:rPr>
      </w:pPr>
      <w:r w:rsidRPr="006D0A49">
        <w:rPr>
          <w:noProof/>
        </w:rPr>
        <w:t>4.</w:t>
      </w:r>
      <w:r w:rsidRPr="006D0A49">
        <w:rPr>
          <w:noProof/>
        </w:rPr>
        <w:tab/>
      </w:r>
      <w:r w:rsidR="00AB6D3F" w:rsidRPr="00EC02E1">
        <w:rPr>
          <w:noProof/>
        </w:rPr>
        <w:t>Vid beräkningen av de kapitalbaskrav som avses i artikel 92.4 b i och c och artikel 92.5 b och c i förordning (EU) nr 575/2013 ska instituten till och med den 31 december 2025 lämna information om kapitalbaskrav avseende marknadsrisk i enlighet med artikel 5.12 i genomförandeförordning (EU) 2021/451.</w:t>
      </w:r>
    </w:p>
    <w:p w:rsidR="00716EA9" w:rsidRPr="00EC02E1" w:rsidRDefault="00716EA9" w:rsidP="00E537F5">
      <w:pPr>
        <w:pStyle w:val="Titrearticle"/>
        <w:rPr>
          <w:noProof/>
          <w:szCs w:val="24"/>
        </w:rPr>
      </w:pPr>
      <w:r w:rsidRPr="00EC02E1">
        <w:rPr>
          <w:noProof/>
        </w:rPr>
        <w:t>Artikel 6</w:t>
      </w:r>
    </w:p>
    <w:p w:rsidR="00716EA9" w:rsidRPr="00EC02E1" w:rsidRDefault="00716EA9" w:rsidP="00F22954">
      <w:pPr>
        <w:pStyle w:val="Titrearticle"/>
        <w:spacing w:before="0"/>
        <w:rPr>
          <w:b/>
          <w:bCs/>
          <w:i w:val="0"/>
          <w:iCs/>
          <w:noProof/>
          <w:szCs w:val="24"/>
        </w:rPr>
      </w:pPr>
      <w:r w:rsidRPr="00EC02E1">
        <w:rPr>
          <w:b/>
          <w:i w:val="0"/>
          <w:noProof/>
        </w:rPr>
        <w:t>Rapportering av information om kapitalbas och kapitalbaskrav på individuell nivå – halvårsrapportering</w:t>
      </w:r>
    </w:p>
    <w:p w:rsidR="00716EA9" w:rsidRPr="00EC02E1" w:rsidRDefault="006D0A49" w:rsidP="006D0A49">
      <w:pPr>
        <w:pStyle w:val="ManualNumPar1"/>
        <w:rPr>
          <w:noProof/>
        </w:rPr>
      </w:pPr>
      <w:r w:rsidRPr="006D0A49">
        <w:rPr>
          <w:noProof/>
        </w:rPr>
        <w:t>1.</w:t>
      </w:r>
      <w:r w:rsidRPr="006D0A49">
        <w:rPr>
          <w:noProof/>
        </w:rPr>
        <w:tab/>
      </w:r>
      <w:r w:rsidR="00266139" w:rsidRPr="00EC02E1">
        <w:rPr>
          <w:noProof/>
        </w:rPr>
        <w:t>Institut som rapporterar information om kapitalbas och kapitalbaskrav i enlighet med artikel 430.1 a i förordning (EU) nr 575/2013 på individuell nivå ska halvårsvis lämna sådan information enligt specifikationerna i avsnitt 1 – ”Rapportering av kapitalbas och kapitalbaskrav” i bilaga I.</w:t>
      </w:r>
    </w:p>
    <w:p w:rsidR="00ED139D" w:rsidRPr="00EC02E1" w:rsidRDefault="006D0A49" w:rsidP="006D0A49">
      <w:pPr>
        <w:pStyle w:val="ManualNumPar1"/>
        <w:rPr>
          <w:noProof/>
        </w:rPr>
      </w:pPr>
      <w:r w:rsidRPr="006D0A49">
        <w:rPr>
          <w:noProof/>
        </w:rPr>
        <w:t>2.</w:t>
      </w:r>
      <w:r w:rsidRPr="006D0A49">
        <w:rPr>
          <w:noProof/>
        </w:rPr>
        <w:tab/>
      </w:r>
      <w:r w:rsidR="00ED139D" w:rsidRPr="00EC02E1">
        <w:rPr>
          <w:noProof/>
        </w:rPr>
        <w:t>Instituten ska lämna information om samtliga värdepapperiseringsexponeringar enligt specifikationerna i avsnitt 1 – ”Rapportering av kapitalbas och kapitalbaskrav” i bilaga I, mallarna C 14.00 och C 14.01, utom när de ingår i en grupp i samma land som det i vilket de omfattas av kapitalbaskrav.</w:t>
      </w:r>
    </w:p>
    <w:p w:rsidR="003808D8" w:rsidRPr="00EC02E1" w:rsidRDefault="006D0A49" w:rsidP="006D0A49">
      <w:pPr>
        <w:pStyle w:val="ManualNumPar1"/>
        <w:rPr>
          <w:noProof/>
        </w:rPr>
      </w:pPr>
      <w:r w:rsidRPr="006D0A49">
        <w:rPr>
          <w:noProof/>
        </w:rPr>
        <w:t>3.</w:t>
      </w:r>
      <w:r w:rsidRPr="006D0A49">
        <w:rPr>
          <w:noProof/>
        </w:rPr>
        <w:tab/>
      </w:r>
      <w:r w:rsidR="003808D8" w:rsidRPr="00EC02E1">
        <w:rPr>
          <w:noProof/>
        </w:rPr>
        <w:t>Instituten ska lämna information om exponeringar i statspapper enligt följande:</w:t>
      </w:r>
    </w:p>
    <w:p w:rsidR="003808D8" w:rsidRPr="00EC02E1" w:rsidRDefault="006D0A49" w:rsidP="006D0A49">
      <w:pPr>
        <w:pStyle w:val="Point1"/>
        <w:rPr>
          <w:noProof/>
        </w:rPr>
      </w:pPr>
      <w:r w:rsidRPr="006D0A49">
        <w:rPr>
          <w:noProof/>
        </w:rPr>
        <w:t>(a)</w:t>
      </w:r>
      <w:r w:rsidRPr="006D0A49">
        <w:rPr>
          <w:noProof/>
        </w:rPr>
        <w:tab/>
      </w:r>
      <w:r w:rsidR="003808D8" w:rsidRPr="00EC02E1">
        <w:rPr>
          <w:noProof/>
        </w:rPr>
        <w:t>Om det aggregerade redovisade värdet av finansiella tillgångar från motpartssektorn ”Offentlig sektor” minst motsvarar 1 % av summan av det totala redovisade värdet av ”Räntebärande värdepapper” och ”Lån och förskott”, ska instituten lämna sådan information enligt specifikationerna i mall C 33.00.</w:t>
      </w:r>
    </w:p>
    <w:p w:rsidR="003808D8" w:rsidRPr="00EC02E1" w:rsidRDefault="006D0A49" w:rsidP="006D0A49">
      <w:pPr>
        <w:pStyle w:val="Point1"/>
        <w:rPr>
          <w:noProof/>
        </w:rPr>
      </w:pPr>
      <w:r w:rsidRPr="006D0A49">
        <w:rPr>
          <w:noProof/>
        </w:rPr>
        <w:t>(b)</w:t>
      </w:r>
      <w:r w:rsidRPr="006D0A49">
        <w:rPr>
          <w:noProof/>
        </w:rPr>
        <w:tab/>
      </w:r>
      <w:r w:rsidR="003808D8" w:rsidRPr="00EC02E1">
        <w:rPr>
          <w:noProof/>
        </w:rPr>
        <w:t>Om det värde som rapporteras för inhemska exponeringar för finansiella tillgångar som inte är derivat enligt specifikationerna i rad 0010 kolumn 0010 i mall C 33.00 motsvarar mindre än 90 % av det värde som rapporteras för inhemska och icke-inhemska exponeringar för samma datapunkt, ska institut som uppfyller villkoret i led a lämna sådan information enligt specifikationerna i mall C 33.00, med en fullständig uppdelning per land.</w:t>
      </w:r>
    </w:p>
    <w:p w:rsidR="003808D8" w:rsidRPr="00EC02E1" w:rsidRDefault="006D0A49" w:rsidP="006D0A49">
      <w:pPr>
        <w:pStyle w:val="Point1"/>
        <w:rPr>
          <w:noProof/>
        </w:rPr>
      </w:pPr>
      <w:r w:rsidRPr="006D0A49">
        <w:rPr>
          <w:noProof/>
        </w:rPr>
        <w:t>(c)</w:t>
      </w:r>
      <w:r w:rsidRPr="006D0A49">
        <w:rPr>
          <w:noProof/>
        </w:rPr>
        <w:tab/>
      </w:r>
      <w:r w:rsidR="003808D8" w:rsidRPr="00EC02E1">
        <w:rPr>
          <w:noProof/>
        </w:rPr>
        <w:t>Institut som uppfyller villkoret i led a och som inte uppfyller villkoret i led b ska lämna sådan information enligt specifikationerna i mall C 33.00, med exponeringar aggregerade på</w:t>
      </w:r>
    </w:p>
    <w:p w:rsidR="003808D8" w:rsidRPr="00EC02E1" w:rsidRDefault="003808D8" w:rsidP="00C856B2">
      <w:pPr>
        <w:pStyle w:val="Point2"/>
        <w:rPr>
          <w:noProof/>
        </w:rPr>
      </w:pPr>
      <w:r w:rsidRPr="00EC02E1">
        <w:rPr>
          <w:noProof/>
        </w:rPr>
        <w:t>i)</w:t>
      </w:r>
      <w:r w:rsidRPr="00EC02E1">
        <w:rPr>
          <w:noProof/>
        </w:rPr>
        <w:tab/>
        <w:t>total nivå, och</w:t>
      </w:r>
    </w:p>
    <w:p w:rsidR="003808D8" w:rsidRPr="00EC02E1" w:rsidRDefault="003808D8" w:rsidP="00C856B2">
      <w:pPr>
        <w:pStyle w:val="Point2"/>
        <w:rPr>
          <w:noProof/>
        </w:rPr>
      </w:pPr>
      <w:r w:rsidRPr="00EC02E1">
        <w:rPr>
          <w:noProof/>
        </w:rPr>
        <w:t>ii)</w:t>
      </w:r>
      <w:r w:rsidRPr="00EC02E1">
        <w:rPr>
          <w:noProof/>
        </w:rPr>
        <w:tab/>
        <w:t>inhemsk nivå.</w:t>
      </w:r>
    </w:p>
    <w:p w:rsidR="003808D8" w:rsidRPr="00EC02E1" w:rsidRDefault="006D0A49" w:rsidP="006D0A49">
      <w:pPr>
        <w:pStyle w:val="ManualNumPar1"/>
        <w:rPr>
          <w:noProof/>
        </w:rPr>
      </w:pPr>
      <w:r w:rsidRPr="006D0A49">
        <w:rPr>
          <w:noProof/>
        </w:rPr>
        <w:t>4.</w:t>
      </w:r>
      <w:r w:rsidRPr="006D0A49">
        <w:rPr>
          <w:noProof/>
        </w:rPr>
        <w:tab/>
      </w:r>
      <w:r w:rsidR="003808D8" w:rsidRPr="00EC02E1">
        <w:rPr>
          <w:noProof/>
        </w:rPr>
        <w:t>Instituten ska lämna information om väsentliga förluster i samband med operativ risk enligt följande:</w:t>
      </w:r>
    </w:p>
    <w:p w:rsidR="003808D8" w:rsidRPr="00EC02E1" w:rsidRDefault="006D0A49" w:rsidP="006D0A49">
      <w:pPr>
        <w:pStyle w:val="Point1"/>
        <w:rPr>
          <w:noProof/>
        </w:rPr>
      </w:pPr>
      <w:r w:rsidRPr="006D0A49">
        <w:rPr>
          <w:noProof/>
        </w:rPr>
        <w:t>(a)</w:t>
      </w:r>
      <w:r w:rsidRPr="006D0A49">
        <w:rPr>
          <w:noProof/>
        </w:rPr>
        <w:tab/>
      </w:r>
      <w:r w:rsidR="003808D8" w:rsidRPr="00EC02E1">
        <w:rPr>
          <w:noProof/>
        </w:rPr>
        <w:t>Institut som i december 2024 beräknar kapitalbaskrav i samband med operativ risk i enlighet med del tre avdelning III kapitel 4 i förordning (EU) nr 575/2013 ska fortsätta att rapportera sådan information enligt specifikationerna i mallarna C 17.01 och C 17.02.</w:t>
      </w:r>
    </w:p>
    <w:p w:rsidR="003808D8" w:rsidRPr="00EC02E1" w:rsidRDefault="006D0A49" w:rsidP="006D0A49">
      <w:pPr>
        <w:pStyle w:val="Point1"/>
        <w:rPr>
          <w:noProof/>
        </w:rPr>
      </w:pPr>
      <w:r w:rsidRPr="006D0A49">
        <w:rPr>
          <w:noProof/>
        </w:rPr>
        <w:t>(b)</w:t>
      </w:r>
      <w:r w:rsidRPr="006D0A49">
        <w:rPr>
          <w:noProof/>
        </w:rPr>
        <w:tab/>
      </w:r>
      <w:r w:rsidR="003808D8" w:rsidRPr="00EC02E1">
        <w:rPr>
          <w:noProof/>
        </w:rPr>
        <w:t>Stora institut som i december 2024 beräknar kapitalbaskrav i samband med operativ risk i enlighet med del tre avdelning III kapitel 3 i förordning (EU) nr 575/2013 ska fortsätta att rapportera sådan information enligt specifikationerna i mallarna C 17.01 och C 17.02.</w:t>
      </w:r>
    </w:p>
    <w:p w:rsidR="003808D8" w:rsidRPr="00EC02E1" w:rsidRDefault="006D0A49" w:rsidP="006D0A49">
      <w:pPr>
        <w:pStyle w:val="Point1"/>
        <w:rPr>
          <w:noProof/>
        </w:rPr>
      </w:pPr>
      <w:r w:rsidRPr="006D0A49">
        <w:rPr>
          <w:noProof/>
        </w:rPr>
        <w:t>(c)</w:t>
      </w:r>
      <w:r w:rsidRPr="006D0A49">
        <w:rPr>
          <w:noProof/>
        </w:rPr>
        <w:tab/>
      </w:r>
      <w:r w:rsidR="003808D8" w:rsidRPr="00EC02E1">
        <w:rPr>
          <w:noProof/>
        </w:rPr>
        <w:t>Institut som inte är stora institut och som i december 2024 beräknar kapitalbaskrav i samband med operativ risk i enlighet med del tre avdelning III kapitel 3 i förordning (EU) nr 575/2013 ska fortsätta att rapportera följande information:</w:t>
      </w:r>
    </w:p>
    <w:p w:rsidR="003808D8" w:rsidRPr="00EC02E1" w:rsidRDefault="003808D8" w:rsidP="00C856B2">
      <w:pPr>
        <w:pStyle w:val="Point2"/>
        <w:rPr>
          <w:noProof/>
        </w:rPr>
      </w:pPr>
      <w:r w:rsidRPr="00EC02E1">
        <w:rPr>
          <w:noProof/>
        </w:rPr>
        <w:t>i)</w:t>
      </w:r>
      <w:r w:rsidRPr="00EC02E1">
        <w:rPr>
          <w:noProof/>
        </w:rPr>
        <w:tab/>
        <w:t>Den information som specificeras i mall C 17.01 kolumn 0080, för följande rader:</w:t>
      </w:r>
    </w:p>
    <w:p w:rsidR="003808D8" w:rsidRPr="00EC02E1" w:rsidRDefault="006D0A49" w:rsidP="006D0A49">
      <w:pPr>
        <w:pStyle w:val="Point3"/>
        <w:rPr>
          <w:noProof/>
        </w:rPr>
      </w:pPr>
      <w:r w:rsidRPr="006D0A49">
        <w:rPr>
          <w:noProof/>
        </w:rPr>
        <w:t>(1)</w:t>
      </w:r>
      <w:r w:rsidRPr="006D0A49">
        <w:rPr>
          <w:noProof/>
        </w:rPr>
        <w:tab/>
      </w:r>
      <w:r w:rsidR="003808D8" w:rsidRPr="00EC02E1">
        <w:rPr>
          <w:noProof/>
        </w:rPr>
        <w:t>Antal händelser (nya händelser) (rad 0910).</w:t>
      </w:r>
    </w:p>
    <w:p w:rsidR="003808D8" w:rsidRPr="00EC02E1" w:rsidRDefault="006D0A49" w:rsidP="006D0A49">
      <w:pPr>
        <w:pStyle w:val="Point3"/>
        <w:rPr>
          <w:noProof/>
        </w:rPr>
      </w:pPr>
      <w:r w:rsidRPr="006D0A49">
        <w:rPr>
          <w:noProof/>
        </w:rPr>
        <w:t>(2)</w:t>
      </w:r>
      <w:r w:rsidRPr="006D0A49">
        <w:rPr>
          <w:noProof/>
        </w:rPr>
        <w:tab/>
      </w:r>
      <w:r w:rsidR="003808D8" w:rsidRPr="00EC02E1">
        <w:rPr>
          <w:noProof/>
        </w:rPr>
        <w:t>Bruttoförlustbelopp (nya händelser) (rad 0920).</w:t>
      </w:r>
    </w:p>
    <w:p w:rsidR="003808D8" w:rsidRPr="00EC02E1" w:rsidRDefault="006D0A49" w:rsidP="006D0A49">
      <w:pPr>
        <w:pStyle w:val="Point3"/>
        <w:rPr>
          <w:noProof/>
        </w:rPr>
      </w:pPr>
      <w:r w:rsidRPr="006D0A49">
        <w:rPr>
          <w:noProof/>
        </w:rPr>
        <w:t>(3)</w:t>
      </w:r>
      <w:r w:rsidRPr="006D0A49">
        <w:rPr>
          <w:noProof/>
        </w:rPr>
        <w:tab/>
      </w:r>
      <w:r w:rsidR="003808D8" w:rsidRPr="00EC02E1">
        <w:rPr>
          <w:noProof/>
        </w:rPr>
        <w:t>Antal händelser som är föremål för förlustkorrigeringar (rad 0930).</w:t>
      </w:r>
    </w:p>
    <w:p w:rsidR="003808D8" w:rsidRPr="00EC02E1" w:rsidRDefault="006D0A49" w:rsidP="006D0A49">
      <w:pPr>
        <w:pStyle w:val="Point3"/>
        <w:rPr>
          <w:noProof/>
        </w:rPr>
      </w:pPr>
      <w:r w:rsidRPr="006D0A49">
        <w:rPr>
          <w:noProof/>
        </w:rPr>
        <w:t>(4)</w:t>
      </w:r>
      <w:r w:rsidRPr="006D0A49">
        <w:rPr>
          <w:noProof/>
        </w:rPr>
        <w:tab/>
      </w:r>
      <w:r w:rsidR="003808D8" w:rsidRPr="00EC02E1">
        <w:rPr>
          <w:noProof/>
        </w:rPr>
        <w:t>Förlustkorrigeringar som avser tidigare rapporteringsperioder (rad 0940).</w:t>
      </w:r>
    </w:p>
    <w:p w:rsidR="003808D8" w:rsidRPr="00EC02E1" w:rsidRDefault="006D0A49" w:rsidP="006D0A49">
      <w:pPr>
        <w:pStyle w:val="Point3"/>
        <w:rPr>
          <w:noProof/>
        </w:rPr>
      </w:pPr>
      <w:r w:rsidRPr="006D0A49">
        <w:rPr>
          <w:noProof/>
        </w:rPr>
        <w:t>(5)</w:t>
      </w:r>
      <w:r w:rsidRPr="006D0A49">
        <w:rPr>
          <w:noProof/>
        </w:rPr>
        <w:tab/>
      </w:r>
      <w:r w:rsidR="003808D8" w:rsidRPr="00EC02E1">
        <w:rPr>
          <w:noProof/>
        </w:rPr>
        <w:t>Största enskilda förlust (rad 0950).</w:t>
      </w:r>
    </w:p>
    <w:p w:rsidR="003808D8" w:rsidRPr="00EC02E1" w:rsidRDefault="006D0A49" w:rsidP="006D0A49">
      <w:pPr>
        <w:pStyle w:val="Point3"/>
        <w:rPr>
          <w:noProof/>
        </w:rPr>
      </w:pPr>
      <w:r w:rsidRPr="006D0A49">
        <w:rPr>
          <w:noProof/>
        </w:rPr>
        <w:t>(6)</w:t>
      </w:r>
      <w:r w:rsidRPr="006D0A49">
        <w:rPr>
          <w:noProof/>
        </w:rPr>
        <w:tab/>
      </w:r>
      <w:r w:rsidR="003808D8" w:rsidRPr="00EC02E1">
        <w:rPr>
          <w:noProof/>
        </w:rPr>
        <w:t>Summan av de fem största förlusterna (rad 0960).</w:t>
      </w:r>
    </w:p>
    <w:p w:rsidR="003808D8" w:rsidRPr="00EC02E1" w:rsidRDefault="006D0A49" w:rsidP="006D0A49">
      <w:pPr>
        <w:pStyle w:val="Point3"/>
        <w:rPr>
          <w:noProof/>
        </w:rPr>
      </w:pPr>
      <w:r w:rsidRPr="006D0A49">
        <w:rPr>
          <w:noProof/>
        </w:rPr>
        <w:t>(7)</w:t>
      </w:r>
      <w:r w:rsidRPr="006D0A49">
        <w:rPr>
          <w:noProof/>
        </w:rPr>
        <w:tab/>
      </w:r>
      <w:r w:rsidR="003808D8" w:rsidRPr="00EC02E1">
        <w:rPr>
          <w:noProof/>
        </w:rPr>
        <w:t>Total direkt återvinning av förluster (utom försäkringar och andra mekanismer för risköverföring) (rad 0970).</w:t>
      </w:r>
    </w:p>
    <w:p w:rsidR="003808D8" w:rsidRPr="00EC02E1" w:rsidRDefault="006D0A49" w:rsidP="006D0A49">
      <w:pPr>
        <w:pStyle w:val="Point3"/>
        <w:rPr>
          <w:noProof/>
        </w:rPr>
      </w:pPr>
      <w:r w:rsidRPr="006D0A49">
        <w:rPr>
          <w:noProof/>
        </w:rPr>
        <w:t>(8)</w:t>
      </w:r>
      <w:r w:rsidRPr="006D0A49">
        <w:rPr>
          <w:noProof/>
        </w:rPr>
        <w:tab/>
      </w:r>
      <w:r w:rsidR="003808D8" w:rsidRPr="00EC02E1">
        <w:rPr>
          <w:noProof/>
        </w:rPr>
        <w:t>Total återvinning från försäkringar och andra mekanismer för risköverföring (rad 0980).</w:t>
      </w:r>
    </w:p>
    <w:p w:rsidR="003808D8" w:rsidRPr="00EC02E1" w:rsidRDefault="003808D8" w:rsidP="00C856B2">
      <w:pPr>
        <w:pStyle w:val="Point2"/>
        <w:rPr>
          <w:noProof/>
        </w:rPr>
      </w:pPr>
      <w:r w:rsidRPr="00EC02E1">
        <w:rPr>
          <w:noProof/>
        </w:rPr>
        <w:t>ii)</w:t>
      </w:r>
      <w:r w:rsidRPr="00EC02E1">
        <w:rPr>
          <w:noProof/>
        </w:rPr>
        <w:tab/>
        <w:t>Den information som specificeras i mall C 17.02.</w:t>
      </w:r>
    </w:p>
    <w:p w:rsidR="003808D8" w:rsidRPr="00EC02E1" w:rsidRDefault="006D0A49" w:rsidP="006D0A49">
      <w:pPr>
        <w:pStyle w:val="Point1"/>
        <w:rPr>
          <w:noProof/>
        </w:rPr>
      </w:pPr>
      <w:r w:rsidRPr="006D0A49">
        <w:rPr>
          <w:noProof/>
        </w:rPr>
        <w:t>(d)</w:t>
      </w:r>
      <w:r w:rsidRPr="006D0A49">
        <w:rPr>
          <w:noProof/>
        </w:rPr>
        <w:tab/>
      </w:r>
      <w:r w:rsidR="003808D8" w:rsidRPr="00EC02E1">
        <w:rPr>
          <w:noProof/>
        </w:rPr>
        <w:t xml:space="preserve">Institut som avses i led c får rapportera all den information som specificeras i mallarna C 17.01 och C 17.02. </w:t>
      </w:r>
    </w:p>
    <w:p w:rsidR="003808D8" w:rsidRPr="00EC02E1" w:rsidRDefault="006D0A49" w:rsidP="006D0A49">
      <w:pPr>
        <w:pStyle w:val="Point1"/>
        <w:rPr>
          <w:noProof/>
        </w:rPr>
      </w:pPr>
      <w:r w:rsidRPr="006D0A49">
        <w:rPr>
          <w:noProof/>
        </w:rPr>
        <w:t>(e)</w:t>
      </w:r>
      <w:r w:rsidRPr="006D0A49">
        <w:rPr>
          <w:noProof/>
        </w:rPr>
        <w:tab/>
      </w:r>
      <w:r w:rsidR="003808D8" w:rsidRPr="00EC02E1">
        <w:rPr>
          <w:noProof/>
        </w:rPr>
        <w:t>Stora institut som i december 2024 beräknar kapitalbaskrav i samband med operativ risk i enlighet med del tre avdelning III kapitel 2 i förordning (EU) nr 575/2013 ska fortsätta att rapportera sådan information enligt specifikationerna i mallarna C 17.01 och C 17.02.</w:t>
      </w:r>
    </w:p>
    <w:p w:rsidR="003808D8" w:rsidRPr="00EC02E1" w:rsidRDefault="006D0A49" w:rsidP="006D0A49">
      <w:pPr>
        <w:pStyle w:val="Point1"/>
        <w:rPr>
          <w:noProof/>
        </w:rPr>
      </w:pPr>
      <w:r w:rsidRPr="006D0A49">
        <w:rPr>
          <w:noProof/>
        </w:rPr>
        <w:t>(f)</w:t>
      </w:r>
      <w:r w:rsidRPr="006D0A49">
        <w:rPr>
          <w:noProof/>
        </w:rPr>
        <w:tab/>
      </w:r>
      <w:r w:rsidR="003808D8" w:rsidRPr="00EC02E1">
        <w:rPr>
          <w:noProof/>
        </w:rPr>
        <w:t>Institut som inte är stora institut och som i december 2024 beräknar kapitalbaskrav i samband med operativ risk i enlighet med del tre avdelning III kapitel 2 i förordning (EU) nr 575/2013 får fortsätta att rapportera sådan information enligt specifikationerna i mallarna C 17.01 och C 17.02.</w:t>
      </w:r>
    </w:p>
    <w:p w:rsidR="00716EA9" w:rsidRPr="00EC02E1" w:rsidRDefault="00716EA9" w:rsidP="00E537F5">
      <w:pPr>
        <w:pStyle w:val="Titrearticle"/>
        <w:rPr>
          <w:noProof/>
          <w:szCs w:val="24"/>
        </w:rPr>
      </w:pPr>
      <w:r w:rsidRPr="00EC02E1">
        <w:rPr>
          <w:noProof/>
        </w:rPr>
        <w:t>Artikel 7</w:t>
      </w:r>
    </w:p>
    <w:p w:rsidR="00716EA9" w:rsidRPr="00EC02E1" w:rsidRDefault="00716EA9" w:rsidP="00F22954">
      <w:pPr>
        <w:pStyle w:val="Titrearticle"/>
        <w:spacing w:before="0"/>
        <w:rPr>
          <w:b/>
          <w:bCs/>
          <w:i w:val="0"/>
          <w:iCs/>
          <w:noProof/>
          <w:szCs w:val="24"/>
        </w:rPr>
      </w:pPr>
      <w:r w:rsidRPr="00EC02E1">
        <w:rPr>
          <w:b/>
          <w:i w:val="0"/>
          <w:noProof/>
        </w:rPr>
        <w:t>Rapportering av information om kapitalbas och kapitalbaskrav på gruppnivå</w:t>
      </w:r>
    </w:p>
    <w:p w:rsidR="00716EA9" w:rsidRPr="00EC02E1" w:rsidRDefault="00716EA9" w:rsidP="00C856B2">
      <w:pPr>
        <w:rPr>
          <w:noProof/>
        </w:rPr>
      </w:pPr>
      <w:r w:rsidRPr="00EC02E1">
        <w:rPr>
          <w:noProof/>
        </w:rPr>
        <w:t>Institut som rapporterar information om kapitalbas och kapitalbaskrav i enlighet med artikel 430.1 a i förordning (EU) nr 575/2013 på gruppnivå ska lämna sådan information enligt specifikationerna i avsnitt 1 – ”Rapportering av kapitalbas och kapitalbaskrav” i bilaga I till den här förordningen och enligt följande:</w:t>
      </w:r>
    </w:p>
    <w:p w:rsidR="00716EA9" w:rsidRPr="00EC02E1" w:rsidRDefault="006D0A49" w:rsidP="006D0A49">
      <w:pPr>
        <w:pStyle w:val="Point0"/>
        <w:rPr>
          <w:noProof/>
          <w:color w:val="000000"/>
        </w:rPr>
      </w:pPr>
      <w:r w:rsidRPr="006D0A49">
        <w:rPr>
          <w:noProof/>
        </w:rPr>
        <w:t>(a)</w:t>
      </w:r>
      <w:r w:rsidRPr="006D0A49">
        <w:rPr>
          <w:noProof/>
        </w:rPr>
        <w:tab/>
      </w:r>
      <w:r w:rsidR="00716EA9" w:rsidRPr="00EC02E1">
        <w:rPr>
          <w:noProof/>
        </w:rPr>
        <w:t>Det informationskrav enligt bilaga I som ytterligare specificerar den rapportering som krävs enligt artiklarna 5 och 6 i denna förordning och med den frekvens som anges där.</w:t>
      </w:r>
    </w:p>
    <w:p w:rsidR="00716EA9" w:rsidRPr="00EC02E1" w:rsidRDefault="006D0A49" w:rsidP="006D0A49">
      <w:pPr>
        <w:pStyle w:val="Point0"/>
        <w:rPr>
          <w:noProof/>
        </w:rPr>
      </w:pPr>
      <w:r w:rsidRPr="006D0A49">
        <w:rPr>
          <w:noProof/>
        </w:rPr>
        <w:t>(b)</w:t>
      </w:r>
      <w:r w:rsidRPr="006D0A49">
        <w:rPr>
          <w:noProof/>
        </w:rPr>
        <w:tab/>
      </w:r>
      <w:r w:rsidR="00716EA9" w:rsidRPr="00EC02E1">
        <w:rPr>
          <w:noProof/>
        </w:rPr>
        <w:t>Det informationskrav enligt bilaga I som ytterligare specificerar rapporteringen om solvens på gruppnivå när det gäller enheter som ingår i konsolideringen, som ska ske halvårsvis.</w:t>
      </w:r>
    </w:p>
    <w:p w:rsidR="00716EA9" w:rsidRPr="00EC02E1" w:rsidRDefault="00716EA9" w:rsidP="00E537F5">
      <w:pPr>
        <w:pStyle w:val="Titrearticle"/>
        <w:rPr>
          <w:noProof/>
          <w:szCs w:val="24"/>
        </w:rPr>
      </w:pPr>
      <w:r w:rsidRPr="00EC02E1">
        <w:rPr>
          <w:noProof/>
        </w:rPr>
        <w:t>Artikel 8</w:t>
      </w:r>
    </w:p>
    <w:p w:rsidR="00716EA9" w:rsidRPr="00EC02E1" w:rsidRDefault="00716EA9" w:rsidP="00F22954">
      <w:pPr>
        <w:pStyle w:val="Titrearticle"/>
        <w:spacing w:before="0"/>
        <w:rPr>
          <w:b/>
          <w:bCs/>
          <w:i w:val="0"/>
          <w:iCs/>
          <w:noProof/>
          <w:szCs w:val="24"/>
        </w:rPr>
      </w:pPr>
      <w:r w:rsidRPr="00EC02E1">
        <w:rPr>
          <w:b/>
          <w:i w:val="0"/>
          <w:noProof/>
        </w:rPr>
        <w:t>Rapportering av information om kapitalbas och kapitalbaskrav – krav på ytterligare rapportering på individuell nivå och gruppnivå</w:t>
      </w:r>
    </w:p>
    <w:p w:rsidR="00AB5213" w:rsidRPr="00EC02E1" w:rsidRDefault="006D0A49" w:rsidP="006D0A49">
      <w:pPr>
        <w:pStyle w:val="ManualNumPar1"/>
        <w:rPr>
          <w:noProof/>
        </w:rPr>
      </w:pPr>
      <w:r w:rsidRPr="006D0A49">
        <w:rPr>
          <w:noProof/>
        </w:rPr>
        <w:t>1.</w:t>
      </w:r>
      <w:r w:rsidRPr="006D0A49">
        <w:rPr>
          <w:noProof/>
        </w:rPr>
        <w:tab/>
      </w:r>
      <w:r w:rsidR="00716EA9" w:rsidRPr="00EC02E1">
        <w:rPr>
          <w:noProof/>
        </w:rPr>
        <w:t>Institut som ska offentliggöra den information som avses i artikel 438 e eller h eller artikel 452 b, g eller h i förordning (EU) nr 575/2013 med den frekvens som anges i artikel 433a eller artikel 433c i den förordningen, på individuell nivå i enlighet med artikel 6 i den förordningen eller på gruppnivå i enlighet med artikel 13 i den förordningen, beroende på vad som är tillämpligt, ska lämna sådan information enligt specifikationerna i mallarna C 08.03, C 08.04, C 08.05, C 08.05.01, C 08.06, C 08.07 och C 34.11 i avsnitt 1 – ”Rapportering av kapitalbas och kapitalbaskrav” i bilaga I till den här förordningen.</w:t>
      </w:r>
    </w:p>
    <w:p w:rsidR="00716EA9" w:rsidRPr="00EC02E1" w:rsidRDefault="006D0A49" w:rsidP="006D0A49">
      <w:pPr>
        <w:pStyle w:val="ManualNumPar1"/>
        <w:rPr>
          <w:noProof/>
        </w:rPr>
      </w:pPr>
      <w:r w:rsidRPr="006D0A49">
        <w:rPr>
          <w:noProof/>
        </w:rPr>
        <w:t>2.</w:t>
      </w:r>
      <w:r w:rsidRPr="006D0A49">
        <w:rPr>
          <w:noProof/>
        </w:rPr>
        <w:tab/>
      </w:r>
      <w:r w:rsidR="00716EA9" w:rsidRPr="00EC02E1">
        <w:rPr>
          <w:noProof/>
        </w:rPr>
        <w:t>Institut som ska offentliggöra den information som avses i artikel 439 l i förordning (EU) nr 575/2013 med den frekvens som anges i artikel 433a eller i tillämpliga fall artikel 433c i den förordningen, på individuell nivå i enlighet med artikel 6 i den förordningen eller på gruppnivå i enlighet med artikel 13 i den förordningen, beroende på vad som är tillämpligt, ska lämna sådan information enligt specifikationerna i mall C 34.07 i avsnitt 1 – ”Rapportering av kapitalbas och kapitalbaskrav” i bilaga I till den här förordningen.</w:t>
      </w:r>
    </w:p>
    <w:p w:rsidR="00716EA9" w:rsidRPr="00EC02E1" w:rsidRDefault="00716EA9" w:rsidP="00E537F5">
      <w:pPr>
        <w:pStyle w:val="Titrearticle"/>
        <w:rPr>
          <w:noProof/>
          <w:szCs w:val="24"/>
        </w:rPr>
      </w:pPr>
      <w:r w:rsidRPr="00EC02E1">
        <w:rPr>
          <w:noProof/>
        </w:rPr>
        <w:t>Artikel 9</w:t>
      </w:r>
    </w:p>
    <w:p w:rsidR="00716EA9" w:rsidRPr="00EC02E1" w:rsidRDefault="00716EA9" w:rsidP="00F22954">
      <w:pPr>
        <w:pStyle w:val="Titrearticle"/>
        <w:spacing w:before="0"/>
        <w:rPr>
          <w:b/>
          <w:bCs/>
          <w:i w:val="0"/>
          <w:iCs/>
          <w:noProof/>
          <w:szCs w:val="24"/>
        </w:rPr>
      </w:pPr>
      <w:r w:rsidRPr="00EC02E1">
        <w:rPr>
          <w:b/>
          <w:i w:val="0"/>
          <w:noProof/>
        </w:rPr>
        <w:t>Rapportering av information om kapitalbas och kapitalbaskrav för värdepappersföretag som omfattas av artiklarna 95 och 96 i förordning (EU) nr 575/2013 på individuell nivå</w:t>
      </w:r>
    </w:p>
    <w:p w:rsidR="00716EA9" w:rsidRPr="00EC02E1" w:rsidRDefault="006D0A49" w:rsidP="006D0A49">
      <w:pPr>
        <w:pStyle w:val="ManualNumPar1"/>
        <w:rPr>
          <w:noProof/>
        </w:rPr>
      </w:pPr>
      <w:r w:rsidRPr="006D0A49">
        <w:rPr>
          <w:noProof/>
        </w:rPr>
        <w:t>1.</w:t>
      </w:r>
      <w:r w:rsidRPr="006D0A49">
        <w:rPr>
          <w:noProof/>
        </w:rPr>
        <w:tab/>
      </w:r>
      <w:r w:rsidR="000E2BE4" w:rsidRPr="00EC02E1">
        <w:rPr>
          <w:noProof/>
        </w:rPr>
        <w:t>Värdepappersföretag som omfattas av artikel 95 i förordning (EU) nr 575/2013 och som tillämpar övergångsbestämmelserna i artikel 57.3 i förordning (EU) 2019/2033 ska, när de rapporterar information om kapitalbaskrav i enlighet med artikel 430.1 a i förordning (EU) nr 575/2013 på individuell nivå, med undantag för information om bruttosoliditetsgrad, lämna sådan information enligt specifikationerna i mallarna C 01.00–C 05.02 i avsnitt 1 – ”Rapportering av kapitalbas och kapitalbaskrav” i bilaga I till den förordningen kvartalsvis.</w:t>
      </w:r>
    </w:p>
    <w:p w:rsidR="00716EA9" w:rsidRPr="00EC02E1" w:rsidRDefault="006D0A49" w:rsidP="006D0A49">
      <w:pPr>
        <w:pStyle w:val="ManualNumPar1"/>
        <w:rPr>
          <w:noProof/>
        </w:rPr>
      </w:pPr>
      <w:r w:rsidRPr="006D0A49">
        <w:rPr>
          <w:noProof/>
        </w:rPr>
        <w:t>2.</w:t>
      </w:r>
      <w:r w:rsidRPr="006D0A49">
        <w:rPr>
          <w:noProof/>
        </w:rPr>
        <w:tab/>
      </w:r>
      <w:r w:rsidR="001D71A4" w:rsidRPr="00EC02E1">
        <w:rPr>
          <w:noProof/>
        </w:rPr>
        <w:t>Värdepappersföretag som omfattas av artikel 96 i förordning (EU) nr 575/2013 och som tillämpar övergångsbestämmelserna i artikel 57.3 i förordning (EU) 2019/2033 ska, när de rapporterar information om kapitalbaskrav i enlighet med artikel 430.1 a i förordning (EU) nr 575/2013 på individuell nivå, lämna den information som avses i artikel 5.1–5.4 och artikel 6.2 i denna förordning med den frekvens som anges i de artiklarna och enligt specifikationerna i avsnitt 1 – ”Rapportering av kapitalbas och kapitalbaskrav” i bilaga I till den förordningen.</w:t>
      </w:r>
    </w:p>
    <w:p w:rsidR="00716EA9" w:rsidRPr="00EC02E1" w:rsidRDefault="00716EA9" w:rsidP="00E537F5">
      <w:pPr>
        <w:pStyle w:val="Titrearticle"/>
        <w:rPr>
          <w:noProof/>
          <w:szCs w:val="24"/>
        </w:rPr>
      </w:pPr>
      <w:r w:rsidRPr="00EC02E1">
        <w:rPr>
          <w:noProof/>
        </w:rPr>
        <w:t>Artikel 10</w:t>
      </w:r>
    </w:p>
    <w:p w:rsidR="00716EA9" w:rsidRPr="00EC02E1" w:rsidRDefault="00716EA9" w:rsidP="00F22954">
      <w:pPr>
        <w:pStyle w:val="Titrearticle"/>
        <w:spacing w:before="0"/>
        <w:rPr>
          <w:b/>
          <w:bCs/>
          <w:i w:val="0"/>
          <w:iCs/>
          <w:noProof/>
          <w:szCs w:val="24"/>
        </w:rPr>
      </w:pPr>
      <w:r w:rsidRPr="00EC02E1">
        <w:rPr>
          <w:b/>
          <w:i w:val="0"/>
          <w:noProof/>
        </w:rPr>
        <w:t>Rapportering av information om kapitalbas och kapitalbaskrav för grupper som endast består av värdepappersföretag som omfattas av artiklarna 95 och 96 i förordning (EU) nr 575/2013 på gruppnivå</w:t>
      </w:r>
    </w:p>
    <w:p w:rsidR="00716EA9" w:rsidRPr="00EC02E1" w:rsidRDefault="006D0A49" w:rsidP="006D0A49">
      <w:pPr>
        <w:pStyle w:val="ManualNumPar1"/>
        <w:rPr>
          <w:noProof/>
        </w:rPr>
      </w:pPr>
      <w:r w:rsidRPr="006D0A49">
        <w:rPr>
          <w:noProof/>
        </w:rPr>
        <w:t>1.</w:t>
      </w:r>
      <w:r w:rsidRPr="006D0A49">
        <w:rPr>
          <w:noProof/>
        </w:rPr>
        <w:tab/>
      </w:r>
      <w:r w:rsidR="00D44B55" w:rsidRPr="00EC02E1">
        <w:rPr>
          <w:noProof/>
        </w:rPr>
        <w:t>Värdepappersföretag i grupper som endast består av värdepappersföretag som tillämpar övergångsbestämmelserna i artikel 57.3 i förordning (EU) 2019/2033 med hänvisning till artikel 95 i förordning (EU) nr 575/2013 ska, när de rapporterar information om kapitalbaskrav i enlighet med artikel 430.1 a i förordning (EU) nr 575/2013 på gruppnivå, med undantag för information om bruttosoliditetsgrad, lämna sådan information enligt specifikationerna i avsnitt 1 – ”Rapportering av kapitalbas och kapitalbaskrav” i bilaga I till den här förordningen och enligt följande:</w:t>
      </w:r>
    </w:p>
    <w:p w:rsidR="00D61A8B" w:rsidRPr="00EC02E1" w:rsidRDefault="006D0A49" w:rsidP="006D0A49">
      <w:pPr>
        <w:pStyle w:val="Point1"/>
        <w:rPr>
          <w:noProof/>
        </w:rPr>
      </w:pPr>
      <w:r w:rsidRPr="006D0A49">
        <w:rPr>
          <w:noProof/>
        </w:rPr>
        <w:t>(a)</w:t>
      </w:r>
      <w:r w:rsidRPr="006D0A49">
        <w:rPr>
          <w:noProof/>
        </w:rPr>
        <w:tab/>
      </w:r>
      <w:r w:rsidR="00D61A8B" w:rsidRPr="00EC02E1">
        <w:rPr>
          <w:noProof/>
        </w:rPr>
        <w:t>Kvartalsvis när det gäller information om kapitalbas och kapitalbaskrav och enligt specifikationerna i mallarna C 01.00–C 05.02 i avsnitt 1 i bilaga I till den här förordningen.</w:t>
      </w:r>
    </w:p>
    <w:p w:rsidR="00D61A8B" w:rsidRPr="00EC02E1" w:rsidRDefault="006D0A49" w:rsidP="006D0A49">
      <w:pPr>
        <w:pStyle w:val="Point1"/>
        <w:rPr>
          <w:noProof/>
        </w:rPr>
      </w:pPr>
      <w:r w:rsidRPr="006D0A49">
        <w:rPr>
          <w:noProof/>
        </w:rPr>
        <w:t>(b)</w:t>
      </w:r>
      <w:r w:rsidRPr="006D0A49">
        <w:rPr>
          <w:noProof/>
        </w:rPr>
        <w:tab/>
      </w:r>
      <w:r w:rsidR="00D61A8B" w:rsidRPr="00EC02E1">
        <w:rPr>
          <w:noProof/>
        </w:rPr>
        <w:t>Halvårsvis när det gäller information om kapitalbas och kapitalbaskrav för enheter som ingår i konsolideringen och enligt specifikationerna i mallarna C 06.01 och C 06.02 i avsnitt 1 i bilaga I till den här förordningen.</w:t>
      </w:r>
    </w:p>
    <w:p w:rsidR="00716EA9" w:rsidRPr="00EC02E1" w:rsidRDefault="006D0A49" w:rsidP="006D0A49">
      <w:pPr>
        <w:pStyle w:val="ManualNumPar1"/>
        <w:rPr>
          <w:noProof/>
        </w:rPr>
      </w:pPr>
      <w:r w:rsidRPr="006D0A49">
        <w:rPr>
          <w:noProof/>
        </w:rPr>
        <w:t>2.</w:t>
      </w:r>
      <w:r w:rsidRPr="006D0A49">
        <w:rPr>
          <w:noProof/>
        </w:rPr>
        <w:tab/>
      </w:r>
      <w:r w:rsidR="00EA1A16" w:rsidRPr="00EC02E1">
        <w:rPr>
          <w:noProof/>
        </w:rPr>
        <w:t>Värdepappersföretag i grupper som endast består av värdepappersföretag som tillämpar övergångsbestämmelserna i artikel 57.3 i förordning (EU) 2019/2033 med hänvisning till artikel 96 i förordning (EU) nr 575/2013 ska, när de rapporterar information om kapitalbaskrav i enlighet med artikel 430.1 a i förordning (EU) nr 575/2013 på gruppnivå, lämna sådan information enligt specifikationerna i avsnitt 1 – ”Rapportering av kapitalbas och kapitalbaskrav” i bilaga I till den här förordningen och enligt följande:</w:t>
      </w:r>
    </w:p>
    <w:p w:rsidR="00AD54BA" w:rsidRPr="00EC02E1" w:rsidRDefault="006D0A49" w:rsidP="006D0A49">
      <w:pPr>
        <w:pStyle w:val="Point1"/>
        <w:rPr>
          <w:noProof/>
        </w:rPr>
      </w:pPr>
      <w:r w:rsidRPr="006D0A49">
        <w:rPr>
          <w:noProof/>
        </w:rPr>
        <w:t>(a)</w:t>
      </w:r>
      <w:r w:rsidRPr="006D0A49">
        <w:rPr>
          <w:noProof/>
        </w:rPr>
        <w:tab/>
      </w:r>
      <w:r w:rsidR="00AD54BA" w:rsidRPr="00EC02E1">
        <w:rPr>
          <w:noProof/>
        </w:rPr>
        <w:t>Den information som specificeras i artikel 5.1–5.4 och artikel 6.2 i denna förordning med den frekvens som anges i dessa artiklar.</w:t>
      </w:r>
    </w:p>
    <w:p w:rsidR="00AD54BA" w:rsidRPr="00EC02E1" w:rsidRDefault="006D0A49" w:rsidP="006D0A49">
      <w:pPr>
        <w:pStyle w:val="Point1"/>
        <w:rPr>
          <w:noProof/>
        </w:rPr>
      </w:pPr>
      <w:r w:rsidRPr="006D0A49">
        <w:rPr>
          <w:noProof/>
        </w:rPr>
        <w:t>(b)</w:t>
      </w:r>
      <w:r w:rsidRPr="006D0A49">
        <w:rPr>
          <w:noProof/>
        </w:rPr>
        <w:tab/>
      </w:r>
      <w:r w:rsidR="00AD54BA" w:rsidRPr="00EC02E1">
        <w:rPr>
          <w:noProof/>
        </w:rPr>
        <w:t>Halvårsvis när det gäller information för enheter som ingår i konsolideringen och enligt specifikationerna i mallarna C 06.01 och C 06.02 i avsnitt 1 i bilaga I till den här förordningen.</w:t>
      </w:r>
    </w:p>
    <w:p w:rsidR="00716EA9" w:rsidRPr="00EC02E1" w:rsidRDefault="00716EA9" w:rsidP="00E537F5">
      <w:pPr>
        <w:pStyle w:val="Titrearticle"/>
        <w:rPr>
          <w:noProof/>
          <w:szCs w:val="24"/>
        </w:rPr>
      </w:pPr>
      <w:r w:rsidRPr="00EC02E1">
        <w:rPr>
          <w:noProof/>
        </w:rPr>
        <w:t>Artikel 11</w:t>
      </w:r>
    </w:p>
    <w:p w:rsidR="00716EA9" w:rsidRPr="00EC02E1" w:rsidRDefault="00716EA9" w:rsidP="00F22954">
      <w:pPr>
        <w:pStyle w:val="Titrearticle"/>
        <w:spacing w:before="0"/>
        <w:rPr>
          <w:b/>
          <w:bCs/>
          <w:i w:val="0"/>
          <w:iCs/>
          <w:noProof/>
          <w:szCs w:val="24"/>
        </w:rPr>
      </w:pPr>
      <w:r w:rsidRPr="00EC02E1">
        <w:rPr>
          <w:b/>
          <w:i w:val="0"/>
          <w:noProof/>
        </w:rPr>
        <w:t>Rapportering av finansiell information på gruppnivå för institut som omfattas av Europaparlamentets och rådets förordning (EG) nr 1606/2002</w:t>
      </w:r>
      <w:r w:rsidRPr="00EC02E1">
        <w:rPr>
          <w:rStyle w:val="FootnoteReference"/>
          <w:i w:val="0"/>
          <w:iCs/>
          <w:noProof/>
          <w:szCs w:val="24"/>
        </w:rPr>
        <w:footnoteReference w:id="9"/>
      </w:r>
    </w:p>
    <w:p w:rsidR="00716EA9" w:rsidRPr="00EC02E1" w:rsidRDefault="00DE1415" w:rsidP="00EE077F">
      <w:pPr>
        <w:spacing w:before="100" w:beforeAutospacing="1" w:after="100" w:afterAutospacing="1"/>
        <w:rPr>
          <w:noProof/>
          <w:color w:val="000000"/>
          <w:szCs w:val="24"/>
        </w:rPr>
      </w:pPr>
      <w:r w:rsidRPr="00EC02E1">
        <w:rPr>
          <w:noProof/>
          <w:color w:val="000000"/>
        </w:rPr>
        <w:t>Institut som lämnar finansiell information på gruppnivå i enlighet med artikel 430.3 eller 430.4 i förordning (EU) nr 575/2013 ska lämna sådan information enligt specifikationerna i avsnitt 2 – ”Rapportering av finansiell information enligt IFRS” i bilaga I till den här förordningen med följande frekvens:</w:t>
      </w:r>
    </w:p>
    <w:p w:rsidR="00AD54BA" w:rsidRPr="00EC02E1" w:rsidRDefault="006D0A49" w:rsidP="006D0A49">
      <w:pPr>
        <w:pStyle w:val="Point0"/>
        <w:rPr>
          <w:noProof/>
        </w:rPr>
      </w:pPr>
      <w:r w:rsidRPr="006D0A49">
        <w:rPr>
          <w:noProof/>
        </w:rPr>
        <w:t>(a)</w:t>
      </w:r>
      <w:r w:rsidRPr="006D0A49">
        <w:rPr>
          <w:noProof/>
        </w:rPr>
        <w:tab/>
      </w:r>
      <w:r w:rsidR="00AD54BA" w:rsidRPr="00EC02E1">
        <w:rPr>
          <w:noProof/>
        </w:rPr>
        <w:t>Kvartalsvis när det gäller den information som specificeras i mallarna F 01.01–F 19.00 i avsnitt 2 i bilaga I till den här förordningen.</w:t>
      </w:r>
    </w:p>
    <w:p w:rsidR="00AD54BA" w:rsidRPr="00EC02E1" w:rsidRDefault="006D0A49" w:rsidP="006D0A49">
      <w:pPr>
        <w:pStyle w:val="Point0"/>
        <w:rPr>
          <w:noProof/>
        </w:rPr>
      </w:pPr>
      <w:r w:rsidRPr="006D0A49">
        <w:rPr>
          <w:noProof/>
        </w:rPr>
        <w:t>(b)</w:t>
      </w:r>
      <w:r w:rsidRPr="006D0A49">
        <w:rPr>
          <w:noProof/>
        </w:rPr>
        <w:tab/>
      </w:r>
      <w:r w:rsidR="00AD54BA" w:rsidRPr="00EC02E1">
        <w:rPr>
          <w:noProof/>
        </w:rPr>
        <w:t>Halvårsvis när det gäller den information som specificeras i mallarna F 30.01–F 31.02 i avsnitt 2 i bilaga I till den här förordningen.</w:t>
      </w:r>
    </w:p>
    <w:p w:rsidR="00AD54BA" w:rsidRPr="00EC02E1" w:rsidRDefault="006D0A49" w:rsidP="006D0A49">
      <w:pPr>
        <w:pStyle w:val="Point0"/>
        <w:rPr>
          <w:noProof/>
        </w:rPr>
      </w:pPr>
      <w:r w:rsidRPr="006D0A49">
        <w:rPr>
          <w:noProof/>
        </w:rPr>
        <w:t>(c)</w:t>
      </w:r>
      <w:r w:rsidRPr="006D0A49">
        <w:rPr>
          <w:noProof/>
        </w:rPr>
        <w:tab/>
      </w:r>
      <w:r w:rsidR="00AD54BA" w:rsidRPr="00EC02E1">
        <w:rPr>
          <w:noProof/>
        </w:rPr>
        <w:t>Årsvis när det gäller den information som specificeras i mallarna F 40.01–F 46.00 i avsnitt 2 i bilaga I till den här förordningen.</w:t>
      </w:r>
    </w:p>
    <w:p w:rsidR="00AD54BA" w:rsidRPr="00EC02E1" w:rsidRDefault="006D0A49" w:rsidP="006D0A49">
      <w:pPr>
        <w:pStyle w:val="Point0"/>
        <w:rPr>
          <w:noProof/>
        </w:rPr>
      </w:pPr>
      <w:r w:rsidRPr="006D0A49">
        <w:rPr>
          <w:noProof/>
        </w:rPr>
        <w:t>(d)</w:t>
      </w:r>
      <w:r w:rsidRPr="006D0A49">
        <w:rPr>
          <w:noProof/>
        </w:rPr>
        <w:tab/>
      </w:r>
      <w:r w:rsidR="00AD54BA" w:rsidRPr="00EC02E1">
        <w:rPr>
          <w:noProof/>
        </w:rPr>
        <w:t>Kvartalsvis när det gäller den information som specificeras i mallarna F 20.01–F 20.07.1 i avsnitt 2 i bilaga I till den här förordningen, om institutet överskrider det tröskelvärde som anges i artikel 5.2 andra stycket i denna förordning.</w:t>
      </w:r>
    </w:p>
    <w:p w:rsidR="00AD54BA" w:rsidRPr="00EC02E1" w:rsidRDefault="006D0A49" w:rsidP="006D0A49">
      <w:pPr>
        <w:pStyle w:val="Point0"/>
        <w:rPr>
          <w:noProof/>
        </w:rPr>
      </w:pPr>
      <w:r w:rsidRPr="006D0A49">
        <w:rPr>
          <w:noProof/>
        </w:rPr>
        <w:t>(e)</w:t>
      </w:r>
      <w:r w:rsidRPr="006D0A49">
        <w:rPr>
          <w:noProof/>
        </w:rPr>
        <w:tab/>
      </w:r>
      <w:r w:rsidR="00AD54BA" w:rsidRPr="00EC02E1">
        <w:rPr>
          <w:noProof/>
        </w:rPr>
        <w:t>Kvartalsvis när det gäller den information som specificeras i mall F 21.00 i avsnitt 2 i bilaga I till den här förordningen, om materiella tillgångar som omfattas av operationella leasingavtal minst motsvarar 10 % av de sammanlagda materiella tillgångar som rapporteras i enlighet med mall F 01.01 i avsnitt 2 i bilaga I till den här förordningen.</w:t>
      </w:r>
    </w:p>
    <w:p w:rsidR="00AD54BA" w:rsidRPr="00EC02E1" w:rsidRDefault="006D0A49" w:rsidP="006D0A49">
      <w:pPr>
        <w:pStyle w:val="Point0"/>
        <w:rPr>
          <w:noProof/>
        </w:rPr>
      </w:pPr>
      <w:r w:rsidRPr="006D0A49">
        <w:rPr>
          <w:noProof/>
        </w:rPr>
        <w:t>(f)</w:t>
      </w:r>
      <w:r w:rsidRPr="006D0A49">
        <w:rPr>
          <w:noProof/>
        </w:rPr>
        <w:tab/>
      </w:r>
      <w:r w:rsidR="00AD54BA" w:rsidRPr="00EC02E1">
        <w:rPr>
          <w:noProof/>
        </w:rPr>
        <w:t>Kvartalsvis när det gäller den information som specificeras i mallarna F 22.01 och F 22.02 i avsnitt 2 i bilaga I till den här förordningen, om avgifts- och provisionsintäkter netto minst motsvarar 10 % av den summa av avgifts- och provisionsintäkter netto och nettoränteintäkter som rapporteras i enlighet med mall F 02.00 i avsnitt 2 i bilaga I till den här förordningen.</w:t>
      </w:r>
    </w:p>
    <w:p w:rsidR="00AD54BA" w:rsidRPr="00EC02E1" w:rsidRDefault="006D0A49" w:rsidP="006D0A49">
      <w:pPr>
        <w:pStyle w:val="Point0"/>
        <w:rPr>
          <w:noProof/>
        </w:rPr>
      </w:pPr>
      <w:r w:rsidRPr="006D0A49">
        <w:rPr>
          <w:noProof/>
        </w:rPr>
        <w:t>(g)</w:t>
      </w:r>
      <w:r w:rsidRPr="006D0A49">
        <w:rPr>
          <w:noProof/>
        </w:rPr>
        <w:tab/>
      </w:r>
      <w:r w:rsidR="00AD54BA" w:rsidRPr="00EC02E1">
        <w:rPr>
          <w:noProof/>
        </w:rPr>
        <w:t>Kvartalsvis när det gäller den information som specificeras i mallarna F 23.01–F 26.00 i avsnitt 2 i bilaga I till den här förordningen, om båda följande villkor är uppfyllda:</w:t>
      </w:r>
    </w:p>
    <w:p w:rsidR="00AD54BA" w:rsidRPr="00EC02E1" w:rsidRDefault="00AD54BA" w:rsidP="00C856B2">
      <w:pPr>
        <w:pStyle w:val="Point2"/>
        <w:rPr>
          <w:noProof/>
        </w:rPr>
      </w:pPr>
      <w:r w:rsidRPr="00EC02E1">
        <w:rPr>
          <w:noProof/>
        </w:rPr>
        <w:t>i)</w:t>
      </w:r>
      <w:r w:rsidRPr="00EC02E1">
        <w:rPr>
          <w:noProof/>
        </w:rPr>
        <w:tab/>
        <w:t>Institutet är inte ett litet och icke-komplext institut.</w:t>
      </w:r>
    </w:p>
    <w:p w:rsidR="00AD54BA" w:rsidRPr="00EC02E1" w:rsidRDefault="00AD54BA" w:rsidP="00C856B2">
      <w:pPr>
        <w:pStyle w:val="Point2"/>
        <w:rPr>
          <w:noProof/>
        </w:rPr>
      </w:pPr>
      <w:r w:rsidRPr="00EC02E1">
        <w:rPr>
          <w:noProof/>
        </w:rPr>
        <w:t>ii)</w:t>
      </w:r>
      <w:r w:rsidRPr="00EC02E1">
        <w:rPr>
          <w:noProof/>
        </w:rPr>
        <w:tab/>
        <w:t>Kvoten mellan institutets redovisade bruttovärde av lån och förskott som omfattas av artikel 47a.3 i förordning (EU) nr 575/2013 och det sammanlagda redovisade bruttovärdet av lån och förskott som omfattas av artikel 47a.1 i den förordningen är minst 5 %.</w:t>
      </w:r>
    </w:p>
    <w:p w:rsidR="00AD54BA" w:rsidRPr="00EC02E1" w:rsidRDefault="006D0A49" w:rsidP="006D0A49">
      <w:pPr>
        <w:pStyle w:val="Point0"/>
        <w:rPr>
          <w:noProof/>
        </w:rPr>
      </w:pPr>
      <w:r w:rsidRPr="006D0A49">
        <w:rPr>
          <w:noProof/>
        </w:rPr>
        <w:t>(h)</w:t>
      </w:r>
      <w:r w:rsidRPr="006D0A49">
        <w:rPr>
          <w:noProof/>
        </w:rPr>
        <w:tab/>
      </w:r>
      <w:r w:rsidR="00AD54BA" w:rsidRPr="00EC02E1">
        <w:rPr>
          <w:noProof/>
        </w:rPr>
        <w:t>Årsvis när det gäller den information som specificeras i mall F 47.00 i avsnitt 2 i bilaga I till den här förordningen, om båda villkoren i led g i detta stycke är uppfyllda.</w:t>
      </w:r>
    </w:p>
    <w:p w:rsidR="00AD54BA" w:rsidRPr="00EC02E1" w:rsidRDefault="00AD54BA" w:rsidP="00AD54BA">
      <w:pPr>
        <w:spacing w:before="100" w:beforeAutospacing="1" w:after="100" w:afterAutospacing="1"/>
        <w:rPr>
          <w:noProof/>
          <w:color w:val="000000"/>
          <w:szCs w:val="24"/>
        </w:rPr>
      </w:pPr>
      <w:r w:rsidRPr="00EC02E1">
        <w:rPr>
          <w:noProof/>
          <w:color w:val="000000"/>
        </w:rPr>
        <w:t>Vid tillämpning av led g ii ska kvoten inte omfatta lån och förskott som klassificeras som innehav för försäljning, kassabehållning hos centralbanker och annan avistainlåning i vare sig nämnaren eller täljaren.</w:t>
      </w:r>
    </w:p>
    <w:p w:rsidR="00716EA9" w:rsidRPr="00EC02E1" w:rsidRDefault="00716EA9" w:rsidP="00E537F5">
      <w:pPr>
        <w:pStyle w:val="Titrearticle"/>
        <w:rPr>
          <w:noProof/>
          <w:szCs w:val="24"/>
        </w:rPr>
      </w:pPr>
      <w:r w:rsidRPr="00EC02E1">
        <w:rPr>
          <w:noProof/>
        </w:rPr>
        <w:t>Artikel 12</w:t>
      </w:r>
    </w:p>
    <w:p w:rsidR="00716EA9" w:rsidRPr="00EC02E1" w:rsidRDefault="00716EA9" w:rsidP="00F22954">
      <w:pPr>
        <w:pStyle w:val="Titrearticle"/>
        <w:spacing w:before="0"/>
        <w:rPr>
          <w:b/>
          <w:bCs/>
          <w:i w:val="0"/>
          <w:iCs/>
          <w:noProof/>
          <w:szCs w:val="24"/>
        </w:rPr>
      </w:pPr>
      <w:r w:rsidRPr="00EC02E1">
        <w:rPr>
          <w:b/>
          <w:i w:val="0"/>
          <w:noProof/>
        </w:rPr>
        <w:t>Rapportering av finansiell information på gruppnivå för institut som tillämpar nationella redovisningsregler</w:t>
      </w:r>
    </w:p>
    <w:p w:rsidR="00AD54BA" w:rsidRPr="00EC02E1" w:rsidRDefault="00716EA9" w:rsidP="00DC37AE">
      <w:pPr>
        <w:spacing w:after="0"/>
        <w:rPr>
          <w:rFonts w:eastAsia="Times New Roman"/>
          <w:noProof/>
          <w:color w:val="000000"/>
          <w:szCs w:val="24"/>
        </w:rPr>
      </w:pPr>
      <w:r w:rsidRPr="00EC02E1">
        <w:rPr>
          <w:noProof/>
          <w:color w:val="000000"/>
        </w:rPr>
        <w:t>Om en behörig myndighet har utvidgat kraven på rapportering av finansiell information till att även gälla institut som är etablerade i en medlemsstat i enlighet med artikel 430.4 i förordning (EU) nr 575/2013, ska instituten lämna sådan finansiell information på gruppnivå enligt specifikationerna i avsnitt 3 – ”Rapportering av finansiell information enligt nationella redovisningsregler” i bilaga I till den här förordningen med följande frekvens:</w:t>
      </w:r>
    </w:p>
    <w:p w:rsidR="00EE077F" w:rsidRPr="00EC02E1" w:rsidRDefault="006D0A49" w:rsidP="006D0A49">
      <w:pPr>
        <w:pStyle w:val="Point0"/>
        <w:rPr>
          <w:noProof/>
        </w:rPr>
      </w:pPr>
      <w:r w:rsidRPr="006D0A49">
        <w:rPr>
          <w:noProof/>
        </w:rPr>
        <w:t>(a)</w:t>
      </w:r>
      <w:r w:rsidRPr="006D0A49">
        <w:rPr>
          <w:noProof/>
        </w:rPr>
        <w:tab/>
      </w:r>
      <w:r w:rsidR="00EE077F" w:rsidRPr="00EC02E1">
        <w:rPr>
          <w:noProof/>
        </w:rPr>
        <w:t>Kvartalsvis när det gäller den information som specificeras i mallarna F 01.01–F 19.00 i avsnitt 3 i bilaga I till den här förordningen.</w:t>
      </w:r>
    </w:p>
    <w:p w:rsidR="00EE077F" w:rsidRPr="00EC02E1" w:rsidRDefault="006D0A49" w:rsidP="006D0A49">
      <w:pPr>
        <w:pStyle w:val="Point0"/>
        <w:rPr>
          <w:noProof/>
        </w:rPr>
      </w:pPr>
      <w:r w:rsidRPr="006D0A49">
        <w:rPr>
          <w:noProof/>
        </w:rPr>
        <w:t>(b)</w:t>
      </w:r>
      <w:r w:rsidRPr="006D0A49">
        <w:rPr>
          <w:noProof/>
        </w:rPr>
        <w:tab/>
      </w:r>
      <w:r w:rsidR="00EE077F" w:rsidRPr="00EC02E1">
        <w:rPr>
          <w:noProof/>
        </w:rPr>
        <w:t>Halvårsvis när det gäller den information som specificeras i mallarna F 30.01–F 31.02 i avsnitt 3 i bilaga I till den här förordningen.</w:t>
      </w:r>
    </w:p>
    <w:p w:rsidR="00EE077F" w:rsidRPr="00EC02E1" w:rsidRDefault="006D0A49" w:rsidP="006D0A49">
      <w:pPr>
        <w:pStyle w:val="Point0"/>
        <w:rPr>
          <w:rFonts w:eastAsia="Times New Roman"/>
          <w:noProof/>
        </w:rPr>
      </w:pPr>
      <w:r w:rsidRPr="006D0A49">
        <w:rPr>
          <w:noProof/>
        </w:rPr>
        <w:t>(c)</w:t>
      </w:r>
      <w:r w:rsidRPr="006D0A49">
        <w:rPr>
          <w:noProof/>
        </w:rPr>
        <w:tab/>
      </w:r>
      <w:r w:rsidR="00EE077F" w:rsidRPr="00EC02E1">
        <w:rPr>
          <w:noProof/>
        </w:rPr>
        <w:t>Årsvis när det gäller den information som specificeras i mallarna F 40.01–F 46.00 i avsnitt 3 i bilaga I till den här förordningen.</w:t>
      </w:r>
    </w:p>
    <w:p w:rsidR="00EE077F" w:rsidRPr="00EC02E1" w:rsidRDefault="006D0A49" w:rsidP="006D0A49">
      <w:pPr>
        <w:pStyle w:val="Point0"/>
        <w:rPr>
          <w:noProof/>
        </w:rPr>
      </w:pPr>
      <w:r w:rsidRPr="006D0A49">
        <w:rPr>
          <w:noProof/>
        </w:rPr>
        <w:t>(d)</w:t>
      </w:r>
      <w:r w:rsidRPr="006D0A49">
        <w:rPr>
          <w:noProof/>
        </w:rPr>
        <w:tab/>
      </w:r>
      <w:r w:rsidR="00EE077F" w:rsidRPr="00EC02E1">
        <w:rPr>
          <w:noProof/>
        </w:rPr>
        <w:t>Kvartalsvis när det gäller den information som specificeras i mallarna F 20.01–F 20.07.1 i avsnitt 3 i bilaga I till den här förordningen, om institutet överskrider det tröskelvärde som anges i artikel 5.2 andra stycket i denna förordning.</w:t>
      </w:r>
    </w:p>
    <w:p w:rsidR="00EE077F" w:rsidRPr="00EC02E1" w:rsidRDefault="006D0A49" w:rsidP="006D0A49">
      <w:pPr>
        <w:pStyle w:val="Point0"/>
        <w:rPr>
          <w:rFonts w:eastAsia="Times New Roman"/>
          <w:noProof/>
        </w:rPr>
      </w:pPr>
      <w:r w:rsidRPr="006D0A49">
        <w:rPr>
          <w:noProof/>
        </w:rPr>
        <w:t>(e)</w:t>
      </w:r>
      <w:r w:rsidRPr="006D0A49">
        <w:rPr>
          <w:noProof/>
        </w:rPr>
        <w:tab/>
      </w:r>
      <w:r w:rsidR="00EE077F" w:rsidRPr="00EC02E1">
        <w:rPr>
          <w:noProof/>
        </w:rPr>
        <w:t>Kvartalsvis när det gäller den information som specificeras i mall F 21.00 i avsnitt 3 i bilaga I till den här förordningen, om materiella tillgångar som omfattas av operationella leasingavtal minst motsvarar 10 % av de sammanlagda materiella tillgångar som rapporteras i enlighet med mall F 01.01 i avsnitt 3 i bilaga I till den här förordningen.</w:t>
      </w:r>
    </w:p>
    <w:p w:rsidR="00EE077F" w:rsidRPr="00EC02E1" w:rsidRDefault="006D0A49" w:rsidP="006D0A49">
      <w:pPr>
        <w:pStyle w:val="Point0"/>
        <w:rPr>
          <w:rFonts w:eastAsia="Times New Roman"/>
          <w:noProof/>
        </w:rPr>
      </w:pPr>
      <w:r w:rsidRPr="006D0A49">
        <w:rPr>
          <w:noProof/>
        </w:rPr>
        <w:t>(f)</w:t>
      </w:r>
      <w:r w:rsidRPr="006D0A49">
        <w:rPr>
          <w:noProof/>
        </w:rPr>
        <w:tab/>
      </w:r>
      <w:r w:rsidR="00EE077F" w:rsidRPr="00EC02E1">
        <w:rPr>
          <w:noProof/>
        </w:rPr>
        <w:t>Kvartalsvis när det gäller den information som specificeras i mallarna F 22.01 och F 22.02 i avsnitt 3 i bilaga I till den här förordningen, om avgifts- och provisionsintäkter netto minst motsvarar 10 % av den summa av avgifts- och provisionsintäkter netto och nettoränteintäkter som rapporteras i enlighet med mall F 02.00 i avsnitt 3 i bilaga I till den här förordningen.</w:t>
      </w:r>
    </w:p>
    <w:p w:rsidR="00EE077F" w:rsidRPr="00EC02E1" w:rsidRDefault="006D0A49" w:rsidP="006D0A49">
      <w:pPr>
        <w:pStyle w:val="Point0"/>
        <w:rPr>
          <w:rFonts w:eastAsia="Times New Roman"/>
          <w:noProof/>
        </w:rPr>
      </w:pPr>
      <w:r w:rsidRPr="006D0A49">
        <w:rPr>
          <w:noProof/>
        </w:rPr>
        <w:t>(g)</w:t>
      </w:r>
      <w:r w:rsidRPr="006D0A49">
        <w:rPr>
          <w:noProof/>
        </w:rPr>
        <w:tab/>
      </w:r>
      <w:r w:rsidR="00EE077F" w:rsidRPr="00EC02E1">
        <w:rPr>
          <w:noProof/>
        </w:rPr>
        <w:t>Kvartalsvis när det gäller den information som specificeras i mallarna F 23.01–F 26.00 i avsnitt 3 i bilaga I till den här förordningen, om båda följande villkor är uppfyllda:</w:t>
      </w:r>
    </w:p>
    <w:p w:rsidR="00EE077F" w:rsidRPr="00EC02E1" w:rsidRDefault="00EE077F" w:rsidP="00C856B2">
      <w:pPr>
        <w:pStyle w:val="Point2"/>
        <w:rPr>
          <w:noProof/>
        </w:rPr>
      </w:pPr>
      <w:r w:rsidRPr="00EC02E1">
        <w:rPr>
          <w:noProof/>
        </w:rPr>
        <w:t>i)</w:t>
      </w:r>
      <w:r w:rsidRPr="00EC02E1">
        <w:rPr>
          <w:noProof/>
        </w:rPr>
        <w:tab/>
        <w:t>Institutet är inte ett litet eller icke-komplext institut.</w:t>
      </w:r>
    </w:p>
    <w:p w:rsidR="00EE077F" w:rsidRPr="00EC02E1" w:rsidRDefault="00EE077F" w:rsidP="00C856B2">
      <w:pPr>
        <w:pStyle w:val="Point2"/>
        <w:rPr>
          <w:noProof/>
        </w:rPr>
      </w:pPr>
      <w:r w:rsidRPr="00EC02E1">
        <w:rPr>
          <w:noProof/>
        </w:rPr>
        <w:t>ii)</w:t>
      </w:r>
      <w:r w:rsidRPr="00EC02E1">
        <w:rPr>
          <w:noProof/>
        </w:rPr>
        <w:tab/>
        <w:t>Institutets kvot enligt artikel 11 g ii i denna förordning är minst 5 %.</w:t>
      </w:r>
    </w:p>
    <w:p w:rsidR="00EE077F" w:rsidRPr="00EC02E1" w:rsidRDefault="006D0A49" w:rsidP="006D0A49">
      <w:pPr>
        <w:pStyle w:val="Point0"/>
        <w:rPr>
          <w:noProof/>
        </w:rPr>
      </w:pPr>
      <w:r w:rsidRPr="006D0A49">
        <w:rPr>
          <w:noProof/>
        </w:rPr>
        <w:t>(h)</w:t>
      </w:r>
      <w:r w:rsidRPr="006D0A49">
        <w:rPr>
          <w:noProof/>
        </w:rPr>
        <w:tab/>
      </w:r>
      <w:r w:rsidR="00EE077F" w:rsidRPr="00EC02E1">
        <w:rPr>
          <w:noProof/>
        </w:rPr>
        <w:t>Årsvis när det gäller den information som specificeras i mall F 47.00 i avsnitt 3 i bilaga I till den här förordningen, om båda villkoren i led g i detta stycke är uppfyllda.</w:t>
      </w:r>
    </w:p>
    <w:p w:rsidR="00716EA9" w:rsidRPr="00EC02E1" w:rsidRDefault="00716EA9" w:rsidP="00E537F5">
      <w:pPr>
        <w:pStyle w:val="Titrearticle"/>
        <w:rPr>
          <w:noProof/>
          <w:szCs w:val="24"/>
        </w:rPr>
      </w:pPr>
      <w:r w:rsidRPr="00EC02E1">
        <w:rPr>
          <w:noProof/>
        </w:rPr>
        <w:t>Artikel 13</w:t>
      </w:r>
    </w:p>
    <w:p w:rsidR="00716EA9" w:rsidRPr="00EC02E1" w:rsidRDefault="00716EA9" w:rsidP="00F22954">
      <w:pPr>
        <w:pStyle w:val="Titrearticle"/>
        <w:spacing w:before="0"/>
        <w:rPr>
          <w:b/>
          <w:bCs/>
          <w:i w:val="0"/>
          <w:iCs/>
          <w:noProof/>
          <w:szCs w:val="24"/>
        </w:rPr>
      </w:pPr>
      <w:r w:rsidRPr="00EC02E1">
        <w:rPr>
          <w:b/>
          <w:i w:val="0"/>
          <w:noProof/>
        </w:rPr>
        <w:t>Rapportering i enlighet med artikel 430a.1 i förordning (EU) nr 575/2013 på individuell nivå och gruppnivå av förluster från utlåning där säkerhet ställts genom fast egendom</w:t>
      </w:r>
    </w:p>
    <w:p w:rsidR="00716EA9" w:rsidRPr="00EC02E1" w:rsidRDefault="006D0A49" w:rsidP="006D0A49">
      <w:pPr>
        <w:pStyle w:val="ManualNumPar1"/>
        <w:rPr>
          <w:noProof/>
        </w:rPr>
      </w:pPr>
      <w:r w:rsidRPr="006D0A49">
        <w:rPr>
          <w:noProof/>
        </w:rPr>
        <w:t>1.</w:t>
      </w:r>
      <w:r w:rsidRPr="006D0A49">
        <w:rPr>
          <w:noProof/>
        </w:rPr>
        <w:tab/>
      </w:r>
      <w:r w:rsidR="00716EA9" w:rsidRPr="00EC02E1">
        <w:rPr>
          <w:noProof/>
        </w:rPr>
        <w:t>Instituten ska på gruppnivå och årsvis lämna de aggregerade uppgifter som avses i artikel 430a.1 i förordning (EU) nr 575/2013 enligt specifikationerna i avsnitt 4 – ”Rapportering av information om förluster från utlåning där säkerhet ställts genom fast egendom” i bilaga I till den här förordningen.</w:t>
      </w:r>
    </w:p>
    <w:p w:rsidR="00716EA9" w:rsidRPr="00EC02E1" w:rsidRDefault="006D0A49" w:rsidP="006D0A49">
      <w:pPr>
        <w:pStyle w:val="ManualNumPar1"/>
        <w:rPr>
          <w:noProof/>
        </w:rPr>
      </w:pPr>
      <w:r w:rsidRPr="006D0A49">
        <w:rPr>
          <w:noProof/>
        </w:rPr>
        <w:t>2.</w:t>
      </w:r>
      <w:r w:rsidRPr="006D0A49">
        <w:rPr>
          <w:noProof/>
        </w:rPr>
        <w:tab/>
      </w:r>
      <w:r w:rsidR="00716EA9" w:rsidRPr="00EC02E1">
        <w:rPr>
          <w:noProof/>
        </w:rPr>
        <w:t>Instituten ska på individuell nivå och årsvis lämna de aggregerade uppgifter som avses i artikel 430a.1 i förordning (EU) nr 575/2013 enligt specifikationerna i avsnitt 4 – ”Rapportering av information om förluster från utlåning där säkerhet ställts genom fast egendom” i bilaga I till den här förordningen.</w:t>
      </w:r>
    </w:p>
    <w:p w:rsidR="00716EA9" w:rsidRPr="00EC02E1" w:rsidRDefault="006D0A49" w:rsidP="006D0A49">
      <w:pPr>
        <w:pStyle w:val="ManualNumPar1"/>
        <w:rPr>
          <w:noProof/>
        </w:rPr>
      </w:pPr>
      <w:r w:rsidRPr="006D0A49">
        <w:rPr>
          <w:noProof/>
        </w:rPr>
        <w:t>3.</w:t>
      </w:r>
      <w:r w:rsidRPr="006D0A49">
        <w:rPr>
          <w:noProof/>
        </w:rPr>
        <w:tab/>
      </w:r>
      <w:r w:rsidR="00716EA9" w:rsidRPr="00EC02E1">
        <w:rPr>
          <w:noProof/>
        </w:rPr>
        <w:t>Om ett institut har en filial i en annan medlemsstat ska filialen årsvis till den behöriga myndigheten i värdmedlemsstaten lämna de aggregerade uppgifter som avses i artikel 430a.1 i förordning (EU) nr 575/2013 enligt specifikationerna i avsnitt 4 – ”Rapportering av information om förluster från utlåning där säkerhet ställts genom fast egendom” i bilaga I till den här förordningen.</w:t>
      </w:r>
    </w:p>
    <w:p w:rsidR="00716EA9" w:rsidRPr="00EC02E1" w:rsidRDefault="00716EA9" w:rsidP="00E537F5">
      <w:pPr>
        <w:pStyle w:val="Titrearticle"/>
        <w:rPr>
          <w:noProof/>
          <w:szCs w:val="24"/>
        </w:rPr>
      </w:pPr>
      <w:r w:rsidRPr="00EC02E1">
        <w:rPr>
          <w:noProof/>
        </w:rPr>
        <w:t>Artikel 14</w:t>
      </w:r>
    </w:p>
    <w:p w:rsidR="00716EA9" w:rsidRPr="00EC02E1" w:rsidRDefault="00716EA9" w:rsidP="00F22954">
      <w:pPr>
        <w:pStyle w:val="Titrearticle"/>
        <w:spacing w:before="0"/>
        <w:rPr>
          <w:b/>
          <w:bCs/>
          <w:i w:val="0"/>
          <w:iCs/>
          <w:noProof/>
          <w:szCs w:val="24"/>
        </w:rPr>
      </w:pPr>
      <w:r w:rsidRPr="00EC02E1">
        <w:rPr>
          <w:b/>
          <w:i w:val="0"/>
          <w:noProof/>
        </w:rPr>
        <w:t>Rapportering av information om stora exponeringar på både individuell nivå och gruppnivå</w:t>
      </w:r>
    </w:p>
    <w:p w:rsidR="00716EA9" w:rsidRPr="00EC02E1" w:rsidRDefault="00DE6B7D" w:rsidP="00716EA9">
      <w:pPr>
        <w:spacing w:after="0"/>
        <w:rPr>
          <w:noProof/>
          <w:color w:val="000000"/>
          <w:szCs w:val="24"/>
        </w:rPr>
      </w:pPr>
      <w:r w:rsidRPr="00EC02E1">
        <w:rPr>
          <w:noProof/>
          <w:color w:val="000000"/>
        </w:rPr>
        <w:t>Institut som rapporterar den information som avses i artikel 394 i förordning (EU) nr 575/2013 på både individuell nivå och gruppnivå ska kvartalsvis lämna sådan information enligt specifikationerna i avsnitt 5 – ”Rapportering av stora exponeringar och koncentrationsrisk” i bilaga I till den här förordningen.</w:t>
      </w:r>
    </w:p>
    <w:p w:rsidR="00716EA9" w:rsidRPr="00EC02E1" w:rsidRDefault="00716EA9" w:rsidP="00E537F5">
      <w:pPr>
        <w:pStyle w:val="Titrearticle"/>
        <w:rPr>
          <w:noProof/>
          <w:szCs w:val="24"/>
        </w:rPr>
      </w:pPr>
      <w:r w:rsidRPr="00EC02E1">
        <w:rPr>
          <w:noProof/>
        </w:rPr>
        <w:t>Artikel 15</w:t>
      </w:r>
    </w:p>
    <w:p w:rsidR="00716EA9" w:rsidRPr="00EC02E1" w:rsidRDefault="00716EA9" w:rsidP="00F22954">
      <w:pPr>
        <w:pStyle w:val="Titrearticle"/>
        <w:spacing w:before="0"/>
        <w:rPr>
          <w:b/>
          <w:bCs/>
          <w:i w:val="0"/>
          <w:iCs/>
          <w:noProof/>
          <w:szCs w:val="24"/>
        </w:rPr>
      </w:pPr>
      <w:r w:rsidRPr="00EC02E1">
        <w:rPr>
          <w:b/>
          <w:i w:val="0"/>
          <w:noProof/>
        </w:rPr>
        <w:t>Rapportering av information om bruttosoliditetsgrad på både individuell nivå och gruppnivå</w:t>
      </w:r>
    </w:p>
    <w:p w:rsidR="00675E5F" w:rsidRPr="00EC02E1" w:rsidRDefault="006D0A49" w:rsidP="006D0A49">
      <w:pPr>
        <w:pStyle w:val="ManualNumPar1"/>
        <w:rPr>
          <w:noProof/>
        </w:rPr>
      </w:pPr>
      <w:r w:rsidRPr="006D0A49">
        <w:rPr>
          <w:noProof/>
        </w:rPr>
        <w:t>1.</w:t>
      </w:r>
      <w:r w:rsidRPr="006D0A49">
        <w:rPr>
          <w:noProof/>
        </w:rPr>
        <w:tab/>
      </w:r>
      <w:r w:rsidR="004A4F90" w:rsidRPr="00EC02E1">
        <w:rPr>
          <w:noProof/>
        </w:rPr>
        <w:t>Institut som rapporterar om sin bruttosoliditetsgrad enligt artikel 430.1 a i förordning (EU) nr 575/2013 på både individuell nivå och gruppnivå ska kvartalsvis lämna sådan information enligt specifikationerna i avsnitt 6 – ”Rapportering av bruttosoliditetsgrad” i bilaga I till den här förordningen. Endast stora institut ska lämna mall C 48.00 med information om bruttosoliditetsgradens volatilitet.</w:t>
      </w:r>
    </w:p>
    <w:p w:rsidR="00675E5F" w:rsidRPr="00EC02E1" w:rsidRDefault="006D0A49" w:rsidP="006D0A49">
      <w:pPr>
        <w:pStyle w:val="ManualNumPar1"/>
        <w:rPr>
          <w:noProof/>
        </w:rPr>
      </w:pPr>
      <w:r w:rsidRPr="006D0A49">
        <w:rPr>
          <w:noProof/>
        </w:rPr>
        <w:t>2.</w:t>
      </w:r>
      <w:r w:rsidRPr="006D0A49">
        <w:rPr>
          <w:noProof/>
        </w:rPr>
        <w:tab/>
      </w:r>
      <w:r w:rsidR="00675E5F" w:rsidRPr="00EC02E1">
        <w:rPr>
          <w:noProof/>
        </w:rPr>
        <w:t>Den information som specificeras i mall C 40.00, cell {r0410;c0010}, angående totala tillgångar ska rapporteras endast av</w:t>
      </w:r>
    </w:p>
    <w:p w:rsidR="00675E5F" w:rsidRPr="00EC02E1" w:rsidRDefault="006D0A49" w:rsidP="006D0A49">
      <w:pPr>
        <w:pStyle w:val="Point1"/>
        <w:rPr>
          <w:noProof/>
        </w:rPr>
      </w:pPr>
      <w:r w:rsidRPr="006D0A49">
        <w:rPr>
          <w:noProof/>
        </w:rPr>
        <w:t>(a)</w:t>
      </w:r>
      <w:r w:rsidRPr="006D0A49">
        <w:rPr>
          <w:noProof/>
        </w:rPr>
        <w:tab/>
      </w:r>
      <w:r w:rsidR="00675E5F" w:rsidRPr="00EC02E1">
        <w:rPr>
          <w:noProof/>
        </w:rPr>
        <w:t>stora institut som antingen är globala systemviktiga institut eller som har emitterat värdepapper som är upptagna till handel på en reglerad marknad, med halvårsvis frekvens,</w:t>
      </w:r>
    </w:p>
    <w:p w:rsidR="00675E5F" w:rsidRPr="00EC02E1" w:rsidRDefault="006D0A49" w:rsidP="006D0A49">
      <w:pPr>
        <w:pStyle w:val="Point1"/>
        <w:rPr>
          <w:noProof/>
        </w:rPr>
      </w:pPr>
      <w:r w:rsidRPr="006D0A49">
        <w:rPr>
          <w:noProof/>
        </w:rPr>
        <w:t>(b)</w:t>
      </w:r>
      <w:r w:rsidRPr="006D0A49">
        <w:rPr>
          <w:noProof/>
        </w:rPr>
        <w:tab/>
      </w:r>
      <w:r w:rsidR="00675E5F" w:rsidRPr="00EC02E1">
        <w:rPr>
          <w:noProof/>
        </w:rPr>
        <w:t>stora institut som inte är globala systemviktiga institut och som inte är börsnoterade, med årsvis frekvens,</w:t>
      </w:r>
    </w:p>
    <w:p w:rsidR="00675E5F" w:rsidRPr="00EC02E1" w:rsidRDefault="006D0A49" w:rsidP="006D0A49">
      <w:pPr>
        <w:pStyle w:val="Point1"/>
        <w:rPr>
          <w:noProof/>
        </w:rPr>
      </w:pPr>
      <w:r w:rsidRPr="006D0A49">
        <w:rPr>
          <w:noProof/>
        </w:rPr>
        <w:t>(c)</w:t>
      </w:r>
      <w:r w:rsidRPr="006D0A49">
        <w:rPr>
          <w:noProof/>
        </w:rPr>
        <w:tab/>
      </w:r>
      <w:r w:rsidR="00675E5F" w:rsidRPr="00EC02E1">
        <w:rPr>
          <w:noProof/>
        </w:rPr>
        <w:t>andra institut än stora institut och små och icke-komplexa institut som har emitterat värdepapper som är upptagna till handel på en reglerad marknad, med årsvis frekvens.</w:t>
      </w:r>
    </w:p>
    <w:p w:rsidR="00675E5F" w:rsidRPr="00EC02E1" w:rsidRDefault="006D0A49" w:rsidP="006D0A49">
      <w:pPr>
        <w:pStyle w:val="ManualNumPar1"/>
        <w:rPr>
          <w:noProof/>
        </w:rPr>
      </w:pPr>
      <w:r w:rsidRPr="006D0A49">
        <w:rPr>
          <w:noProof/>
        </w:rPr>
        <w:t>3.</w:t>
      </w:r>
      <w:r w:rsidRPr="006D0A49">
        <w:rPr>
          <w:noProof/>
        </w:rPr>
        <w:tab/>
      </w:r>
      <w:r w:rsidR="00675E5F" w:rsidRPr="00EC02E1">
        <w:rPr>
          <w:noProof/>
        </w:rPr>
        <w:t>Instituten ska rapportera ytterligare information om bruttosoliditetsgrad enligt specifikationerna i mall C 40.00, cellerna {r0010;c0010}, {r0010;c0020}, {r0020;c0010}, {r0020;c0020}, {r0030;c0070}, {r0040;c0070}, {r0050;c0010}, {r0050;c0020}, {r0060;c0010}, {r0060;c0020} och {r0060;c0070}, om minst ett av följande villkor är uppfyllt:</w:t>
      </w:r>
    </w:p>
    <w:p w:rsidR="00675E5F" w:rsidRPr="00EC02E1" w:rsidRDefault="006D0A49" w:rsidP="006D0A49">
      <w:pPr>
        <w:pStyle w:val="Point1"/>
        <w:rPr>
          <w:noProof/>
        </w:rPr>
      </w:pPr>
      <w:r w:rsidRPr="006D0A49">
        <w:rPr>
          <w:noProof/>
        </w:rPr>
        <w:t>(a)</w:t>
      </w:r>
      <w:r w:rsidRPr="006D0A49">
        <w:rPr>
          <w:noProof/>
        </w:rPr>
        <w:tab/>
      </w:r>
      <w:r w:rsidR="00675E5F" w:rsidRPr="00EC02E1">
        <w:rPr>
          <w:noProof/>
        </w:rPr>
        <w:t>Den andel derivat som specificeras som derivatexponeringsmåttet dividerat med det totala exponeringsmåttet är mer än 1,5 %.</w:t>
      </w:r>
    </w:p>
    <w:p w:rsidR="00675E5F" w:rsidRPr="00EC02E1" w:rsidRDefault="006D0A49" w:rsidP="006D0A49">
      <w:pPr>
        <w:pStyle w:val="Point1"/>
        <w:rPr>
          <w:noProof/>
        </w:rPr>
      </w:pPr>
      <w:r w:rsidRPr="006D0A49">
        <w:rPr>
          <w:noProof/>
        </w:rPr>
        <w:t>(b)</w:t>
      </w:r>
      <w:r w:rsidRPr="006D0A49">
        <w:rPr>
          <w:noProof/>
        </w:rPr>
        <w:tab/>
      </w:r>
      <w:r w:rsidR="00675E5F" w:rsidRPr="00EC02E1">
        <w:rPr>
          <w:noProof/>
        </w:rPr>
        <w:t>Den andel derivat som specificeras som derivatexponeringsmåttet dividerat med det totala exponeringsmåttet är mer än 2 %.</w:t>
      </w:r>
    </w:p>
    <w:p w:rsidR="00675E5F" w:rsidRPr="00EC02E1" w:rsidRDefault="00797855" w:rsidP="001D2A25">
      <w:pPr>
        <w:pStyle w:val="Text1"/>
        <w:rPr>
          <w:noProof/>
        </w:rPr>
      </w:pPr>
      <w:r w:rsidRPr="00EC02E1">
        <w:rPr>
          <w:noProof/>
        </w:rPr>
        <w:t>Om ett institut endast uppfyller villkoret i första stycket a ska kriterierna för inträde och utträde enligt artikel 4.3 i denna förordning tillämpas. Ett institut som uppfyller villkoren i både led a och led b i första stycket ska börja rapportera information om bruttosoliditetsgraden för referensdatumet efter det rapporteringsreferensdatum då institutet överskrider tröskelvärdet.</w:t>
      </w:r>
    </w:p>
    <w:p w:rsidR="00675E5F" w:rsidRPr="00EC02E1" w:rsidRDefault="006D0A49" w:rsidP="006D0A49">
      <w:pPr>
        <w:pStyle w:val="ManualNumPar1"/>
        <w:rPr>
          <w:noProof/>
        </w:rPr>
      </w:pPr>
      <w:r w:rsidRPr="006D0A49">
        <w:rPr>
          <w:noProof/>
        </w:rPr>
        <w:t>4.</w:t>
      </w:r>
      <w:r w:rsidRPr="006D0A49">
        <w:rPr>
          <w:noProof/>
        </w:rPr>
        <w:tab/>
      </w:r>
      <w:r w:rsidR="00675E5F" w:rsidRPr="00EC02E1">
        <w:rPr>
          <w:noProof/>
        </w:rPr>
        <w:t>Institut för vilka det totala teoretiska värdet av derivat enligt specifikationerna i mall C 40.00, cell {r0010;c0070}, överskrider 10 000 miljoner EUR, ska rapportera den information som avses i mall C 40.00, cellerna {r0010;c0010}, {r0010;c0020}, {r0020;c0010}, {r0020;c0020}, {r0030;c0070}, {r0040;c0070}, {r0050;c0010}, {r0050;c0020}, {r0060;c0010}, {r0060;c0020} och {r0060;c0070}, även om deras andel derivat inte uppfyller de villkor som anges i punkt 3.</w:t>
      </w:r>
    </w:p>
    <w:p w:rsidR="00675E5F" w:rsidRPr="00EC02E1" w:rsidRDefault="00675E5F" w:rsidP="00C856B2">
      <w:pPr>
        <w:pStyle w:val="Text1"/>
        <w:rPr>
          <w:noProof/>
        </w:rPr>
      </w:pPr>
      <w:r w:rsidRPr="00EC02E1">
        <w:rPr>
          <w:noProof/>
        </w:rPr>
        <w:t>Vid tillämpning av första stycket ska kriterierna för inträde enligt artikel 4.3 i denna förordning inte tillämpas. Instituten ska börja rapportera informationen från och med nästa rapporteringsreferensdatum om de har överskridit tröskelvärdet vid ett rapporteringsreferensdatum.</w:t>
      </w:r>
    </w:p>
    <w:p w:rsidR="00675E5F" w:rsidRPr="00EC02E1" w:rsidRDefault="006D0A49" w:rsidP="006D0A49">
      <w:pPr>
        <w:pStyle w:val="ManualNumPar1"/>
        <w:rPr>
          <w:noProof/>
        </w:rPr>
      </w:pPr>
      <w:r w:rsidRPr="006D0A49">
        <w:rPr>
          <w:noProof/>
        </w:rPr>
        <w:t>5.</w:t>
      </w:r>
      <w:r w:rsidRPr="006D0A49">
        <w:rPr>
          <w:noProof/>
        </w:rPr>
        <w:tab/>
      </w:r>
      <w:r w:rsidR="00675E5F" w:rsidRPr="00EC02E1">
        <w:rPr>
          <w:noProof/>
        </w:rPr>
        <w:t>Instituten ska rapportera den information som avses i mall C 40.00, cellerna {r0020;c0075}, {r0050;c0075} och {r0050;c0085}, om ett av följande villkor är uppfyllt:</w:t>
      </w:r>
    </w:p>
    <w:p w:rsidR="00675E5F" w:rsidRPr="00EC02E1" w:rsidRDefault="006D0A49" w:rsidP="006D0A49">
      <w:pPr>
        <w:pStyle w:val="Point1"/>
        <w:rPr>
          <w:noProof/>
        </w:rPr>
      </w:pPr>
      <w:r w:rsidRPr="006D0A49">
        <w:rPr>
          <w:noProof/>
        </w:rPr>
        <w:t>(a)</w:t>
      </w:r>
      <w:r w:rsidRPr="006D0A49">
        <w:rPr>
          <w:noProof/>
        </w:rPr>
        <w:tab/>
      </w:r>
      <w:r w:rsidR="00675E5F" w:rsidRPr="00EC02E1">
        <w:rPr>
          <w:noProof/>
        </w:rPr>
        <w:t>Den volym av kreditderivat som specificeras i mall C 40.00, som {r0020;c0070} + {r0050;c0070}, överskrider 300 miljoner EUR.</w:t>
      </w:r>
    </w:p>
    <w:p w:rsidR="00675E5F" w:rsidRPr="00EC02E1" w:rsidRDefault="006D0A49" w:rsidP="006D0A49">
      <w:pPr>
        <w:pStyle w:val="Point1"/>
        <w:rPr>
          <w:noProof/>
        </w:rPr>
      </w:pPr>
      <w:r w:rsidRPr="006D0A49">
        <w:rPr>
          <w:noProof/>
        </w:rPr>
        <w:t>(a)</w:t>
      </w:r>
      <w:r w:rsidRPr="006D0A49">
        <w:rPr>
          <w:noProof/>
        </w:rPr>
        <w:tab/>
      </w:r>
      <w:r w:rsidR="00675E5F" w:rsidRPr="00EC02E1">
        <w:rPr>
          <w:noProof/>
        </w:rPr>
        <w:t>Den volym av kreditderivat som specificeras i mall C 40.00, som {r0020;c0070} + {r0050;c0070}, överskrider 500 miljoner EUR.</w:t>
      </w:r>
    </w:p>
    <w:p w:rsidR="00716EA9" w:rsidRPr="00EC02E1" w:rsidRDefault="00745A2E" w:rsidP="001D2A25">
      <w:pPr>
        <w:pStyle w:val="Text1"/>
        <w:rPr>
          <w:noProof/>
        </w:rPr>
      </w:pPr>
      <w:r w:rsidRPr="00EC02E1">
        <w:rPr>
          <w:noProof/>
        </w:rPr>
        <w:t>Om ett institut endast uppfyller villkoret i första stycket a ska kriterierna för inträde och utträde enligt artikel 4.3 i denna förordning tillämpas. Ett institut som uppfyller villkoren i både led a och led b i första stycket ska börja rapportera den informationen för referensdatumet efter det rapporteringsreferensdatum då institutet överskrider tröskelvärdet.</w:t>
      </w:r>
    </w:p>
    <w:p w:rsidR="00716EA9" w:rsidRPr="00EC02E1" w:rsidRDefault="00716EA9" w:rsidP="00E537F5">
      <w:pPr>
        <w:pStyle w:val="Titrearticle"/>
        <w:rPr>
          <w:noProof/>
          <w:szCs w:val="24"/>
        </w:rPr>
      </w:pPr>
      <w:r w:rsidRPr="00EC02E1">
        <w:rPr>
          <w:noProof/>
        </w:rPr>
        <w:t>Artikel 16</w:t>
      </w:r>
    </w:p>
    <w:p w:rsidR="00716EA9" w:rsidRPr="00EC02E1" w:rsidRDefault="00716EA9" w:rsidP="00F22954">
      <w:pPr>
        <w:pStyle w:val="Titrearticle"/>
        <w:spacing w:before="0"/>
        <w:rPr>
          <w:b/>
          <w:bCs/>
          <w:i w:val="0"/>
          <w:iCs/>
          <w:noProof/>
          <w:szCs w:val="24"/>
        </w:rPr>
      </w:pPr>
      <w:r w:rsidRPr="00EC02E1">
        <w:rPr>
          <w:b/>
          <w:i w:val="0"/>
          <w:noProof/>
        </w:rPr>
        <w:t>Rapportering av information om likviditetstäckningen på både individuell nivå och gruppnivå</w:t>
      </w:r>
    </w:p>
    <w:p w:rsidR="00716EA9" w:rsidRPr="00EC02E1" w:rsidRDefault="006D0A49" w:rsidP="006D0A49">
      <w:pPr>
        <w:pStyle w:val="ManualNumPar1"/>
        <w:rPr>
          <w:noProof/>
        </w:rPr>
      </w:pPr>
      <w:r w:rsidRPr="006D0A49">
        <w:rPr>
          <w:noProof/>
        </w:rPr>
        <w:t>1.</w:t>
      </w:r>
      <w:r w:rsidRPr="006D0A49">
        <w:rPr>
          <w:noProof/>
        </w:rPr>
        <w:tab/>
      </w:r>
      <w:r w:rsidR="000056CB" w:rsidRPr="00EC02E1">
        <w:rPr>
          <w:noProof/>
        </w:rPr>
        <w:t>Institut som rapporterar om sin likviditetstäckning enligt artikel 412 i förordning (EU) nr 575/2013 och i enlighet med artikel 430.1 d i den förordningen på både individuell nivå och gruppnivå ska månadsvis lämna sådan information enligt specifikationerna i avsnitt 10 – ”Rapportering av likviditetstäckningen” i bilaga I till den här förordningen.</w:t>
      </w:r>
    </w:p>
    <w:p w:rsidR="00716EA9" w:rsidRPr="00EC02E1" w:rsidRDefault="006D0A49" w:rsidP="006D0A49">
      <w:pPr>
        <w:pStyle w:val="ManualNumPar1"/>
        <w:rPr>
          <w:noProof/>
        </w:rPr>
      </w:pPr>
      <w:r w:rsidRPr="006D0A49">
        <w:rPr>
          <w:noProof/>
        </w:rPr>
        <w:t>2.</w:t>
      </w:r>
      <w:r w:rsidRPr="006D0A49">
        <w:rPr>
          <w:noProof/>
        </w:rPr>
        <w:tab/>
      </w:r>
      <w:r w:rsidR="00716EA9" w:rsidRPr="00EC02E1">
        <w:rPr>
          <w:noProof/>
        </w:rPr>
        <w:t>Vid rapporteringen av den information som anges i avsnitt 10 – ”Rapportering av likviditetstäckningen” i bilaga I till denna förordning ska instituten beakta den information som lämnats för referensdatumet och informationen om kassaflöden under de 30 kalenderdagar som följer på referensdatumet.</w:t>
      </w:r>
    </w:p>
    <w:p w:rsidR="00716EA9" w:rsidRPr="00EC02E1" w:rsidRDefault="00716EA9" w:rsidP="00E537F5">
      <w:pPr>
        <w:pStyle w:val="Titrearticle"/>
        <w:rPr>
          <w:noProof/>
          <w:szCs w:val="24"/>
        </w:rPr>
      </w:pPr>
      <w:r w:rsidRPr="00EC02E1">
        <w:rPr>
          <w:noProof/>
        </w:rPr>
        <w:t>Artikel 17</w:t>
      </w:r>
    </w:p>
    <w:p w:rsidR="00716EA9" w:rsidRPr="00EC02E1" w:rsidRDefault="00716EA9" w:rsidP="00F22954">
      <w:pPr>
        <w:pStyle w:val="Titrearticle"/>
        <w:spacing w:before="0"/>
        <w:rPr>
          <w:b/>
          <w:bCs/>
          <w:i w:val="0"/>
          <w:iCs/>
          <w:noProof/>
          <w:szCs w:val="24"/>
        </w:rPr>
      </w:pPr>
      <w:r w:rsidRPr="00EC02E1">
        <w:rPr>
          <w:b/>
          <w:i w:val="0"/>
          <w:noProof/>
        </w:rPr>
        <w:t>Rapportering av information om stabil finansiering på både individuell nivå och gruppnivå</w:t>
      </w:r>
    </w:p>
    <w:p w:rsidR="00716EA9" w:rsidRPr="00EC02E1" w:rsidRDefault="00D62A44" w:rsidP="00BA7013">
      <w:pPr>
        <w:rPr>
          <w:noProof/>
          <w:color w:val="000000"/>
          <w:szCs w:val="24"/>
        </w:rPr>
      </w:pPr>
      <w:r w:rsidRPr="00EC02E1">
        <w:rPr>
          <w:noProof/>
        </w:rPr>
        <w:t>Institut som rapporterar om sitt krav på stabil finansiering enligt artikel 413 i förordning (EU) nr 575/2013 och i enlighet med artikel 430.1 d i den förordningen på både individuell nivå och gruppnivå ska kvartalsvis lämna sådan information enligt specifikationerna i avsnitt 7 – ”Rapportering av stabil finansiering” i bilaga I till den här förordningen och enligt följande:</w:t>
      </w:r>
    </w:p>
    <w:p w:rsidR="00C26E6A" w:rsidRPr="00EC02E1" w:rsidRDefault="006D0A49" w:rsidP="006D0A49">
      <w:pPr>
        <w:pStyle w:val="Point0"/>
        <w:rPr>
          <w:noProof/>
        </w:rPr>
      </w:pPr>
      <w:r w:rsidRPr="006D0A49">
        <w:rPr>
          <w:noProof/>
        </w:rPr>
        <w:t>(a)</w:t>
      </w:r>
      <w:r w:rsidRPr="006D0A49">
        <w:rPr>
          <w:noProof/>
        </w:rPr>
        <w:tab/>
      </w:r>
      <w:r w:rsidR="00C26E6A" w:rsidRPr="00EC02E1">
        <w:rPr>
          <w:noProof/>
        </w:rPr>
        <w:t>Små och icke-komplexa institut som har valt att beräkna sin stabila nettofinansieringskvot med hjälp av den metod som anges i del sex avdelning IV kapitlen 6 och 7 i förordning (EU) nr 575/2013, med ett förhandstillstånd från sin behöriga myndighet i enlighet med artikel 428ai i den förordningen, ska lämna mallarna C 82 och C 83.</w:t>
      </w:r>
    </w:p>
    <w:p w:rsidR="00C26E6A" w:rsidRPr="00EC02E1" w:rsidRDefault="006D0A49" w:rsidP="006D0A49">
      <w:pPr>
        <w:pStyle w:val="Point0"/>
        <w:rPr>
          <w:noProof/>
        </w:rPr>
      </w:pPr>
      <w:r w:rsidRPr="006D0A49">
        <w:rPr>
          <w:noProof/>
        </w:rPr>
        <w:t>(b)</w:t>
      </w:r>
      <w:r w:rsidRPr="006D0A49">
        <w:rPr>
          <w:noProof/>
        </w:rPr>
        <w:tab/>
      </w:r>
      <w:r w:rsidR="00C26E6A" w:rsidRPr="00EC02E1">
        <w:rPr>
          <w:noProof/>
        </w:rPr>
        <w:t>Andra institut än de som avses i led a ska lämna mallarna C 80 och C 81.</w:t>
      </w:r>
    </w:p>
    <w:p w:rsidR="00C26E6A" w:rsidRPr="00EC02E1" w:rsidRDefault="006D0A49" w:rsidP="006D0A49">
      <w:pPr>
        <w:pStyle w:val="Point0"/>
        <w:rPr>
          <w:noProof/>
        </w:rPr>
      </w:pPr>
      <w:r w:rsidRPr="006D0A49">
        <w:rPr>
          <w:noProof/>
        </w:rPr>
        <w:t>(c)</w:t>
      </w:r>
      <w:r w:rsidRPr="006D0A49">
        <w:rPr>
          <w:noProof/>
        </w:rPr>
        <w:tab/>
      </w:r>
      <w:r w:rsidR="00C26E6A" w:rsidRPr="00EC02E1">
        <w:rPr>
          <w:noProof/>
        </w:rPr>
        <w:t>Samtliga institut ska lämna mall C 84.</w:t>
      </w:r>
    </w:p>
    <w:p w:rsidR="00716EA9" w:rsidRPr="00EC02E1" w:rsidRDefault="00716EA9" w:rsidP="00E537F5">
      <w:pPr>
        <w:pStyle w:val="Titrearticle"/>
        <w:rPr>
          <w:noProof/>
          <w:szCs w:val="24"/>
        </w:rPr>
      </w:pPr>
      <w:r w:rsidRPr="00EC02E1">
        <w:rPr>
          <w:noProof/>
        </w:rPr>
        <w:t>Artikel 18</w:t>
      </w:r>
    </w:p>
    <w:p w:rsidR="00716EA9" w:rsidRPr="00EC02E1" w:rsidRDefault="00716EA9" w:rsidP="00F22954">
      <w:pPr>
        <w:pStyle w:val="Titrearticle"/>
        <w:spacing w:before="0"/>
        <w:rPr>
          <w:b/>
          <w:bCs/>
          <w:i w:val="0"/>
          <w:iCs/>
          <w:noProof/>
          <w:szCs w:val="24"/>
        </w:rPr>
      </w:pPr>
      <w:r w:rsidRPr="00EC02E1">
        <w:rPr>
          <w:b/>
          <w:i w:val="0"/>
          <w:noProof/>
        </w:rPr>
        <w:t>Rapportering av information om ytterligare likviditetsövervakningsmått på både individuell nivå och gruppnivå</w:t>
      </w:r>
    </w:p>
    <w:p w:rsidR="00716EA9" w:rsidRPr="00EC02E1" w:rsidRDefault="00D538F2" w:rsidP="007643C7">
      <w:pPr>
        <w:tabs>
          <w:tab w:val="left" w:pos="567"/>
        </w:tabs>
        <w:spacing w:before="100" w:beforeAutospacing="1" w:after="100" w:afterAutospacing="1"/>
        <w:rPr>
          <w:noProof/>
          <w:color w:val="000000"/>
          <w:szCs w:val="24"/>
        </w:rPr>
      </w:pPr>
      <w:r w:rsidRPr="00EC02E1">
        <w:rPr>
          <w:noProof/>
        </w:rPr>
        <w:t>Institut som rapporterar information om ytterligare likviditetsövervakningsmått enligt artikel 415.3 b i förordning (EU) nr 575/2013 och i enlighet med artikel 430.1 d i den förordningen på både individuell nivå och gruppnivå ska lämna sådan information enligt specifikationerna i avsnitt 9 – ”Rapportering av ytterligare likviditetsövervakningsmått” i bilaga I till den här förordningen med följande frekvens:</w:t>
      </w:r>
    </w:p>
    <w:p w:rsidR="00F5752D" w:rsidRPr="00EC02E1" w:rsidRDefault="006D0A49" w:rsidP="006D0A49">
      <w:pPr>
        <w:pStyle w:val="Point0"/>
        <w:rPr>
          <w:noProof/>
        </w:rPr>
      </w:pPr>
      <w:r w:rsidRPr="006D0A49">
        <w:rPr>
          <w:noProof/>
        </w:rPr>
        <w:t>(a)</w:t>
      </w:r>
      <w:r w:rsidRPr="006D0A49">
        <w:rPr>
          <w:noProof/>
        </w:rPr>
        <w:tab/>
      </w:r>
      <w:r w:rsidR="00F5752D" w:rsidRPr="00EC02E1">
        <w:rPr>
          <w:noProof/>
        </w:rPr>
        <w:t>Stora institut ska månadsvis lämna sådan information enligt specifikationerna i mallarna C 66.01 och C 67.00–C 71.00 i avsnitt 9 i bilaga I till den här förordningen.</w:t>
      </w:r>
    </w:p>
    <w:p w:rsidR="00F5752D" w:rsidRPr="00EC02E1" w:rsidRDefault="006D0A49" w:rsidP="006D0A49">
      <w:pPr>
        <w:pStyle w:val="Point0"/>
        <w:rPr>
          <w:noProof/>
        </w:rPr>
      </w:pPr>
      <w:r w:rsidRPr="006D0A49">
        <w:rPr>
          <w:noProof/>
        </w:rPr>
        <w:t>(b)</w:t>
      </w:r>
      <w:r w:rsidRPr="006D0A49">
        <w:rPr>
          <w:noProof/>
        </w:rPr>
        <w:tab/>
      </w:r>
      <w:r w:rsidR="00F5752D" w:rsidRPr="00EC02E1">
        <w:rPr>
          <w:noProof/>
        </w:rPr>
        <w:t>Små och icke-komplexa institut ska kvartalsvis lämna sådan information enligt specifikationerna i mallarna C 66.0, C 67.00 och C 71.00 i avsnitt 9 i bilaga I till den här förordningen.</w:t>
      </w:r>
    </w:p>
    <w:p w:rsidR="00F5752D" w:rsidRPr="00EC02E1" w:rsidRDefault="006D0A49" w:rsidP="006D0A49">
      <w:pPr>
        <w:pStyle w:val="Point0"/>
        <w:rPr>
          <w:noProof/>
        </w:rPr>
      </w:pPr>
      <w:r w:rsidRPr="006D0A49">
        <w:rPr>
          <w:noProof/>
        </w:rPr>
        <w:t>(c)</w:t>
      </w:r>
      <w:r w:rsidRPr="006D0A49">
        <w:rPr>
          <w:noProof/>
        </w:rPr>
        <w:tab/>
      </w:r>
      <w:r w:rsidR="00F5752D" w:rsidRPr="00EC02E1">
        <w:rPr>
          <w:noProof/>
        </w:rPr>
        <w:t>Institut som är vare sig stora institut eller små och icke-komplexa institut ska månadsvis lämna sådan information enligt specifikationerna i mallarna C 66.01–C 69.00 och C 71.00 i avsnitt 9 i bilaga I till den här förordningen.</w:t>
      </w:r>
    </w:p>
    <w:p w:rsidR="00716EA9" w:rsidRPr="00EC02E1" w:rsidRDefault="00716EA9" w:rsidP="00E537F5">
      <w:pPr>
        <w:pStyle w:val="Titrearticle"/>
        <w:rPr>
          <w:noProof/>
          <w:szCs w:val="24"/>
        </w:rPr>
      </w:pPr>
      <w:r w:rsidRPr="00EC02E1">
        <w:rPr>
          <w:noProof/>
        </w:rPr>
        <w:t>Artikel 19</w:t>
      </w:r>
    </w:p>
    <w:p w:rsidR="00716EA9" w:rsidRPr="00EC02E1" w:rsidRDefault="00716EA9" w:rsidP="00F22954">
      <w:pPr>
        <w:pStyle w:val="Titrearticle"/>
        <w:spacing w:before="0"/>
        <w:rPr>
          <w:b/>
          <w:bCs/>
          <w:i w:val="0"/>
          <w:iCs/>
          <w:noProof/>
          <w:szCs w:val="24"/>
        </w:rPr>
      </w:pPr>
      <w:r w:rsidRPr="00EC02E1">
        <w:rPr>
          <w:b/>
          <w:i w:val="0"/>
          <w:noProof/>
        </w:rPr>
        <w:t>Rapportering av information om tillgångsinteckning på både individuell nivå och gruppnivå</w:t>
      </w:r>
    </w:p>
    <w:p w:rsidR="001D2A25" w:rsidRPr="00EC02E1" w:rsidRDefault="006D0A49" w:rsidP="006D0A49">
      <w:pPr>
        <w:pStyle w:val="ManualNumPar1"/>
        <w:rPr>
          <w:noProof/>
        </w:rPr>
      </w:pPr>
      <w:r w:rsidRPr="006D0A49">
        <w:rPr>
          <w:noProof/>
        </w:rPr>
        <w:t>1.</w:t>
      </w:r>
      <w:r w:rsidRPr="006D0A49">
        <w:rPr>
          <w:noProof/>
        </w:rPr>
        <w:tab/>
      </w:r>
      <w:r w:rsidR="00716EA9" w:rsidRPr="00EC02E1">
        <w:rPr>
          <w:noProof/>
        </w:rPr>
        <w:t>Institut som rapporterar om nivån på tillgångsinteckning enligt artikel 430.1 g i förordning (EU) nr 575/2013 på både individuell nivå och gruppnivå ska lämna sådan information enligt specifikationerna i avsnitt 8 – ”Rapportering av tillgångsinteckning” i bilaga I till den här förordningen med följande frekvens:</w:t>
      </w:r>
    </w:p>
    <w:p w:rsidR="00F5752D" w:rsidRPr="00EC02E1" w:rsidRDefault="006D0A49" w:rsidP="006D0A49">
      <w:pPr>
        <w:pStyle w:val="Point1"/>
        <w:rPr>
          <w:noProof/>
        </w:rPr>
      </w:pPr>
      <w:r w:rsidRPr="006D0A49">
        <w:rPr>
          <w:noProof/>
        </w:rPr>
        <w:t>(a)</w:t>
      </w:r>
      <w:r w:rsidRPr="006D0A49">
        <w:rPr>
          <w:noProof/>
        </w:rPr>
        <w:tab/>
      </w:r>
      <w:r w:rsidR="00F5752D" w:rsidRPr="00EC02E1">
        <w:rPr>
          <w:noProof/>
        </w:rPr>
        <w:t>Kvartalsvis när det gäller den information som specificeras i mallarna F 32.01–F 33.00 och F 35.00 i avsnitt 8 i bilaga I till den här förordningen.</w:t>
      </w:r>
    </w:p>
    <w:p w:rsidR="00F5752D" w:rsidRPr="00EC02E1" w:rsidRDefault="006D0A49" w:rsidP="006D0A49">
      <w:pPr>
        <w:pStyle w:val="Point1"/>
        <w:rPr>
          <w:noProof/>
        </w:rPr>
      </w:pPr>
      <w:r w:rsidRPr="006D0A49">
        <w:rPr>
          <w:noProof/>
        </w:rPr>
        <w:t>(b)</w:t>
      </w:r>
      <w:r w:rsidRPr="006D0A49">
        <w:rPr>
          <w:noProof/>
        </w:rPr>
        <w:tab/>
      </w:r>
      <w:r w:rsidR="00F5752D" w:rsidRPr="00EC02E1">
        <w:rPr>
          <w:noProof/>
        </w:rPr>
        <w:t>Årsvis när det gäller den information som specificeras i mall F 34.00 i avsnitt 8 i bilaga I till den här förordningen.</w:t>
      </w:r>
    </w:p>
    <w:p w:rsidR="00F5752D" w:rsidRPr="00EC02E1" w:rsidRDefault="006D0A49" w:rsidP="006D0A49">
      <w:pPr>
        <w:pStyle w:val="Point1"/>
        <w:rPr>
          <w:noProof/>
        </w:rPr>
      </w:pPr>
      <w:r w:rsidRPr="006D0A49">
        <w:rPr>
          <w:noProof/>
        </w:rPr>
        <w:t>(c)</w:t>
      </w:r>
      <w:r w:rsidRPr="006D0A49">
        <w:rPr>
          <w:noProof/>
        </w:rPr>
        <w:tab/>
      </w:r>
      <w:r w:rsidR="00F5752D" w:rsidRPr="00EC02E1">
        <w:rPr>
          <w:noProof/>
        </w:rPr>
        <w:t>Halvårsvis när det gäller den information som specificeras i mallarna F 36.01 och F 36.02 i avsnitt 8 i bilaga I till den här förordningen.</w:t>
      </w:r>
    </w:p>
    <w:p w:rsidR="0083639F" w:rsidRPr="00EC02E1" w:rsidRDefault="006D0A49" w:rsidP="006D0A49">
      <w:pPr>
        <w:pStyle w:val="ManualNumPar1"/>
        <w:rPr>
          <w:noProof/>
        </w:rPr>
      </w:pPr>
      <w:r w:rsidRPr="006D0A49">
        <w:rPr>
          <w:noProof/>
        </w:rPr>
        <w:t>2.</w:t>
      </w:r>
      <w:r w:rsidRPr="006D0A49">
        <w:rPr>
          <w:noProof/>
        </w:rPr>
        <w:tab/>
      </w:r>
      <w:r w:rsidR="00745A2E" w:rsidRPr="00EC02E1">
        <w:rPr>
          <w:noProof/>
        </w:rPr>
        <w:t>Instituten ska lämna den information som avses i punkt 1 enligt följande:</w:t>
      </w:r>
    </w:p>
    <w:p w:rsidR="0083639F" w:rsidRPr="00EC02E1" w:rsidRDefault="006D0A49" w:rsidP="006D0A49">
      <w:pPr>
        <w:pStyle w:val="Point1"/>
        <w:rPr>
          <w:noProof/>
        </w:rPr>
      </w:pPr>
      <w:r w:rsidRPr="006D0A49">
        <w:rPr>
          <w:noProof/>
        </w:rPr>
        <w:t>(a)</w:t>
      </w:r>
      <w:r w:rsidRPr="006D0A49">
        <w:rPr>
          <w:noProof/>
        </w:rPr>
        <w:tab/>
      </w:r>
      <w:r w:rsidR="0083639F" w:rsidRPr="00EC02E1">
        <w:rPr>
          <w:noProof/>
        </w:rPr>
        <w:t>Instituten ska lämna den information som specificeras i del A i avsnitt 8 – ”Rapportering av tillgångsinteckning”.</w:t>
      </w:r>
    </w:p>
    <w:p w:rsidR="0083639F" w:rsidRPr="00EC02E1" w:rsidRDefault="006D0A49" w:rsidP="006D0A49">
      <w:pPr>
        <w:pStyle w:val="Point1"/>
        <w:rPr>
          <w:noProof/>
        </w:rPr>
      </w:pPr>
      <w:r w:rsidRPr="006D0A49">
        <w:rPr>
          <w:noProof/>
        </w:rPr>
        <w:t>(b)</w:t>
      </w:r>
      <w:r w:rsidRPr="006D0A49">
        <w:rPr>
          <w:noProof/>
        </w:rPr>
        <w:tab/>
      </w:r>
      <w:r w:rsidR="0083639F" w:rsidRPr="00EC02E1">
        <w:rPr>
          <w:noProof/>
        </w:rPr>
        <w:t>Stora institut ska lämna den information som specificeras i delarna B, C och E i avsnitt 8 – ”Rapportering av tillgångsinteckning”.</w:t>
      </w:r>
    </w:p>
    <w:p w:rsidR="0083639F" w:rsidRPr="00EC02E1" w:rsidRDefault="006D0A49" w:rsidP="006D0A49">
      <w:pPr>
        <w:pStyle w:val="Point1"/>
        <w:rPr>
          <w:noProof/>
        </w:rPr>
      </w:pPr>
      <w:r w:rsidRPr="006D0A49">
        <w:rPr>
          <w:noProof/>
        </w:rPr>
        <w:t>(c)</w:t>
      </w:r>
      <w:r w:rsidRPr="006D0A49">
        <w:rPr>
          <w:noProof/>
        </w:rPr>
        <w:tab/>
      </w:r>
      <w:r w:rsidR="0083639F" w:rsidRPr="00EC02E1">
        <w:rPr>
          <w:noProof/>
        </w:rPr>
        <w:t>Institut som är vare sig stora institut eller små och icke-komplexa institut ska lämna den information som specificeras i delarna B, C och E i avsnitt 8 – ”Rapportering av tillgångsinteckning”, om institutets nivå för tillgångsinteckning, beräknad som (Det redovisade värdet av intecknade tillgångar och säkerheter)/(Summa tillgångar och säkerheter), uppgår till minst 15 %.</w:t>
      </w:r>
    </w:p>
    <w:p w:rsidR="0083639F" w:rsidRPr="00EC02E1" w:rsidRDefault="006D0A49" w:rsidP="006D0A49">
      <w:pPr>
        <w:pStyle w:val="Point1"/>
        <w:rPr>
          <w:noProof/>
        </w:rPr>
      </w:pPr>
      <w:r w:rsidRPr="006D0A49">
        <w:rPr>
          <w:noProof/>
        </w:rPr>
        <w:t>(d)</w:t>
      </w:r>
      <w:r w:rsidRPr="006D0A49">
        <w:rPr>
          <w:noProof/>
        </w:rPr>
        <w:tab/>
      </w:r>
      <w:r w:rsidR="0083639F" w:rsidRPr="00EC02E1">
        <w:rPr>
          <w:noProof/>
        </w:rPr>
        <w:t>Institut ska endast rapportera den information som specificeras i del D i avsnitt 8 – ”Rapportering av tillgångsinteckning” om de ger ut sådana obligationer som avses i artikel 52.4 första stycket i Europaparlamentets och rådets direktiv 2009/65/EG</w:t>
      </w:r>
      <w:r w:rsidR="00745A2E" w:rsidRPr="00EC02E1">
        <w:rPr>
          <w:rStyle w:val="FootnoteReference"/>
          <w:noProof/>
          <w:szCs w:val="24"/>
        </w:rPr>
        <w:footnoteReference w:id="10"/>
      </w:r>
      <w:r w:rsidR="0083639F" w:rsidRPr="00EC02E1">
        <w:rPr>
          <w:noProof/>
        </w:rPr>
        <w:t>.</w:t>
      </w:r>
    </w:p>
    <w:p w:rsidR="00716EA9" w:rsidRPr="00EC02E1" w:rsidRDefault="00716EA9" w:rsidP="00E537F5">
      <w:pPr>
        <w:pStyle w:val="Titrearticle"/>
        <w:rPr>
          <w:noProof/>
          <w:szCs w:val="24"/>
        </w:rPr>
      </w:pPr>
      <w:r w:rsidRPr="00EC02E1">
        <w:rPr>
          <w:noProof/>
        </w:rPr>
        <w:t>Artikel 20</w:t>
      </w:r>
    </w:p>
    <w:p w:rsidR="00716EA9" w:rsidRPr="00EC02E1" w:rsidRDefault="00716EA9" w:rsidP="0066303A">
      <w:pPr>
        <w:pStyle w:val="Titrearticle"/>
        <w:spacing w:before="0"/>
        <w:rPr>
          <w:b/>
          <w:bCs/>
          <w:i w:val="0"/>
          <w:iCs/>
          <w:noProof/>
          <w:szCs w:val="24"/>
        </w:rPr>
      </w:pPr>
      <w:r w:rsidRPr="00EC02E1">
        <w:rPr>
          <w:b/>
          <w:i w:val="0"/>
          <w:noProof/>
        </w:rPr>
        <w:t>Kompletterande rapportering för identifiering av globala systemviktiga institut och tilldelning av buffertvärden för globala systemviktiga institut</w:t>
      </w:r>
    </w:p>
    <w:p w:rsidR="00716EA9" w:rsidRPr="00EC02E1" w:rsidRDefault="006D0A49" w:rsidP="006D0A49">
      <w:pPr>
        <w:pStyle w:val="ManualNumPar1"/>
        <w:rPr>
          <w:noProof/>
        </w:rPr>
      </w:pPr>
      <w:r w:rsidRPr="006D0A49">
        <w:rPr>
          <w:noProof/>
        </w:rPr>
        <w:t>1.</w:t>
      </w:r>
      <w:r w:rsidRPr="006D0A49">
        <w:rPr>
          <w:noProof/>
        </w:rPr>
        <w:tab/>
      </w:r>
      <w:r w:rsidR="00716EA9" w:rsidRPr="00EC02E1">
        <w:rPr>
          <w:noProof/>
        </w:rPr>
        <w:t>Vid rapportering av kompletterande information för identifiering av globala systemviktiga institut och tilldelning av buffertvärden för globala systemviktiga institut enligt artikel 131 i direktiv 2013/36/EU, ska moderinstitut inom EU, finansiella moderholdingföretag inom EU och blandade finansiella moderholdingföretag inom EU på gruppnivå och kvartalsvis lämna sådan information enligt specifikationerna i avsnitt 11 – ”Kompletterande rapportering för identifiering av globala systemviktiga institut och tilldelning av buffertvärden för globala systemviktiga institut” i bilaga I till denna förordning, när båda de följande villkoren är uppfyllda:</w:t>
      </w:r>
    </w:p>
    <w:p w:rsidR="00AB5213" w:rsidRPr="00EC02E1" w:rsidRDefault="006D0A49" w:rsidP="006D0A49">
      <w:pPr>
        <w:pStyle w:val="Point1"/>
        <w:rPr>
          <w:noProof/>
        </w:rPr>
      </w:pPr>
      <w:r w:rsidRPr="006D0A49">
        <w:rPr>
          <w:noProof/>
        </w:rPr>
        <w:t>(a)</w:t>
      </w:r>
      <w:r w:rsidRPr="006D0A49">
        <w:rPr>
          <w:noProof/>
        </w:rPr>
        <w:tab/>
      </w:r>
      <w:r w:rsidR="00AB5213" w:rsidRPr="00EC02E1">
        <w:rPr>
          <w:noProof/>
        </w:rPr>
        <w:t>Gruppens totala exponeringsmått, inklusive försäkringsdotterföretag, är minst 125 000 000 000 EUR.</w:t>
      </w:r>
    </w:p>
    <w:p w:rsidR="00AB5213" w:rsidRPr="00EC02E1" w:rsidRDefault="006D0A49" w:rsidP="006D0A49">
      <w:pPr>
        <w:pStyle w:val="Point1"/>
        <w:rPr>
          <w:noProof/>
        </w:rPr>
      </w:pPr>
      <w:r w:rsidRPr="006D0A49">
        <w:rPr>
          <w:noProof/>
        </w:rPr>
        <w:t>(b)</w:t>
      </w:r>
      <w:r w:rsidRPr="006D0A49">
        <w:rPr>
          <w:noProof/>
        </w:rPr>
        <w:tab/>
      </w:r>
      <w:r w:rsidR="00AB5213" w:rsidRPr="00EC02E1">
        <w:rPr>
          <w:noProof/>
        </w:rPr>
        <w:t>Moderinstitutet inom EU eller något av dess dotterföretag eller någon filial som drivs av moderinstitutet eller ett dotterföretag är beläget/belägen i en deltagande medlemsstat enligt artikel 4 i Europaparlamentets och rådets förordning (EU) nr 806/2014</w:t>
      </w:r>
      <w:r w:rsidR="00AB5213" w:rsidRPr="005D1835">
        <w:rPr>
          <w:rStyle w:val="FootnoteReference"/>
          <w:noProof/>
          <w:lang w:eastAsia="fr-BE"/>
        </w:rPr>
        <w:footnoteReference w:id="11"/>
      </w:r>
      <w:r w:rsidR="00AB5213" w:rsidRPr="00EC02E1">
        <w:rPr>
          <w:noProof/>
        </w:rPr>
        <w:t>.</w:t>
      </w:r>
    </w:p>
    <w:p w:rsidR="00716EA9" w:rsidRPr="00EC02E1" w:rsidRDefault="006D0A49" w:rsidP="006D0A49">
      <w:pPr>
        <w:pStyle w:val="ManualNumPar1"/>
        <w:rPr>
          <w:noProof/>
        </w:rPr>
      </w:pPr>
      <w:r w:rsidRPr="006D0A49">
        <w:rPr>
          <w:noProof/>
        </w:rPr>
        <w:t>2.</w:t>
      </w:r>
      <w:r w:rsidRPr="006D0A49">
        <w:rPr>
          <w:noProof/>
        </w:rPr>
        <w:tab/>
      </w:r>
      <w:r w:rsidR="00557F8A" w:rsidRPr="00EC02E1">
        <w:rPr>
          <w:noProof/>
        </w:rPr>
        <w:t>Vid rapportering av kompletterande information för identifiering av globala systemviktiga institut och tilldelning av buffertvärden för globala systemviktiga institut enligt artikel 131 i direktiv 2013/36/EU, ska instituten på individuell nivå och kvartalsvis lämna sådan information enligt specifikationerna i avsnitt 11 – ”Kompletterande rapportering för identifiering av globala systemviktiga institut och tilldelning av buffertvärden för globala systemviktiga institut” i bilaga I till denna förordning, när samtliga följande villkor är uppfyllda:</w:t>
      </w:r>
    </w:p>
    <w:p w:rsidR="00AB5213" w:rsidRPr="00EC02E1" w:rsidRDefault="006D0A49" w:rsidP="006D0A49">
      <w:pPr>
        <w:pStyle w:val="Point1"/>
        <w:rPr>
          <w:noProof/>
        </w:rPr>
      </w:pPr>
      <w:r w:rsidRPr="006D0A49">
        <w:rPr>
          <w:noProof/>
        </w:rPr>
        <w:t>(a)</w:t>
      </w:r>
      <w:r w:rsidRPr="006D0A49">
        <w:rPr>
          <w:noProof/>
        </w:rPr>
        <w:tab/>
      </w:r>
      <w:r w:rsidR="00AB5213" w:rsidRPr="00EC02E1">
        <w:rPr>
          <w:noProof/>
        </w:rPr>
        <w:t>Institutets totala exponeringsmått är minst 125 000 000 000 EUR.</w:t>
      </w:r>
    </w:p>
    <w:p w:rsidR="00AB5213" w:rsidRPr="00EC02E1" w:rsidRDefault="006D0A49" w:rsidP="006D0A49">
      <w:pPr>
        <w:pStyle w:val="Point1"/>
        <w:rPr>
          <w:noProof/>
        </w:rPr>
      </w:pPr>
      <w:r w:rsidRPr="006D0A49">
        <w:rPr>
          <w:noProof/>
        </w:rPr>
        <w:t>(b)</w:t>
      </w:r>
      <w:r w:rsidRPr="006D0A49">
        <w:rPr>
          <w:noProof/>
        </w:rPr>
        <w:tab/>
      </w:r>
      <w:r w:rsidR="00AB5213" w:rsidRPr="00EC02E1">
        <w:rPr>
          <w:noProof/>
        </w:rPr>
        <w:t>Institutet är beläget i en deltagande medlemsstat som avses i artikel 4 i förordning (EU) nr 806/2014.</w:t>
      </w:r>
    </w:p>
    <w:p w:rsidR="00AB5213" w:rsidRPr="00EC02E1" w:rsidRDefault="006D0A49" w:rsidP="006D0A49">
      <w:pPr>
        <w:pStyle w:val="Point1"/>
        <w:rPr>
          <w:noProof/>
        </w:rPr>
      </w:pPr>
      <w:r w:rsidRPr="006D0A49">
        <w:rPr>
          <w:noProof/>
        </w:rPr>
        <w:t>(c)</w:t>
      </w:r>
      <w:r w:rsidRPr="006D0A49">
        <w:rPr>
          <w:noProof/>
        </w:rPr>
        <w:tab/>
      </w:r>
      <w:r w:rsidR="00AB5213" w:rsidRPr="00EC02E1">
        <w:rPr>
          <w:noProof/>
        </w:rPr>
        <w:t>Institutet ingår inte i en grupp som omfattas av gruppbaserad tillsyn (</w:t>
      </w:r>
      <w:r w:rsidR="00AB5213" w:rsidRPr="00EC02E1">
        <w:rPr>
          <w:i/>
          <w:noProof/>
        </w:rPr>
        <w:t>fristående institut</w:t>
      </w:r>
      <w:r w:rsidR="00AB5213" w:rsidRPr="00EC02E1">
        <w:rPr>
          <w:noProof/>
        </w:rPr>
        <w:t>).</w:t>
      </w:r>
    </w:p>
    <w:p w:rsidR="00716EA9" w:rsidRPr="00EC02E1" w:rsidRDefault="006D0A49" w:rsidP="006D0A49">
      <w:pPr>
        <w:pStyle w:val="ManualNumPar1"/>
        <w:rPr>
          <w:noProof/>
        </w:rPr>
      </w:pPr>
      <w:r w:rsidRPr="006D0A49">
        <w:rPr>
          <w:noProof/>
        </w:rPr>
        <w:t>3.</w:t>
      </w:r>
      <w:r w:rsidRPr="006D0A49">
        <w:rPr>
          <w:noProof/>
        </w:rPr>
        <w:tab/>
      </w:r>
      <w:r w:rsidR="00716EA9" w:rsidRPr="00EC02E1">
        <w:rPr>
          <w:noProof/>
        </w:rPr>
        <w:t>Genom undantag från artikel 3.1 b ska instituten lämna den information som avses i punkterna 1 och 2 i den här artikeln senast vid utgången av arbetsdagen på följande överföringsdatum: 1 juli, 1 oktober, 2 januari och 1 april.</w:t>
      </w:r>
    </w:p>
    <w:p w:rsidR="00716EA9" w:rsidRPr="00EC02E1" w:rsidRDefault="006D0A49" w:rsidP="006D0A49">
      <w:pPr>
        <w:pStyle w:val="ManualNumPar1"/>
        <w:rPr>
          <w:noProof/>
        </w:rPr>
      </w:pPr>
      <w:r w:rsidRPr="006D0A49">
        <w:rPr>
          <w:noProof/>
        </w:rPr>
        <w:t>4.</w:t>
      </w:r>
      <w:r w:rsidRPr="006D0A49">
        <w:rPr>
          <w:noProof/>
        </w:rPr>
        <w:tab/>
      </w:r>
      <w:r w:rsidR="00716EA9" w:rsidRPr="00EC02E1">
        <w:rPr>
          <w:noProof/>
        </w:rPr>
        <w:t>Genom undantag från artikel 4 ska följande gälla för de tröskelvärden som anges i punkt 1 a och punkt 2 a i den här artikeln:</w:t>
      </w:r>
    </w:p>
    <w:p w:rsidR="00AB5213" w:rsidRPr="00EC02E1" w:rsidRDefault="006D0A49" w:rsidP="006D0A49">
      <w:pPr>
        <w:pStyle w:val="Point1"/>
        <w:rPr>
          <w:noProof/>
        </w:rPr>
      </w:pPr>
      <w:r w:rsidRPr="006D0A49">
        <w:rPr>
          <w:noProof/>
        </w:rPr>
        <w:t>(a)</w:t>
      </w:r>
      <w:r w:rsidRPr="006D0A49">
        <w:rPr>
          <w:noProof/>
        </w:rPr>
        <w:tab/>
      </w:r>
      <w:r w:rsidR="00AB5213" w:rsidRPr="00EC02E1">
        <w:rPr>
          <w:noProof/>
        </w:rPr>
        <w:t>Moderinstitut inom EU, finansiella moderholdingföretag inom EU, blandade finansiella moderholdingföretag inom EU eller fristående institut, enligt vad som är tillämpligt, ska omedelbart börja rapportera den information som avses i punkterna 1 och 2 i denna artikel, om deras exponeringsmått för bruttosoliditetsgraden överskrider det angivna tröskelvärdet vid räkenskapsårets slut, och ska rapportera denna information för det räkenskapsårets slut och de därpå följande tre kvartalsvisa referensdatumen.</w:t>
      </w:r>
    </w:p>
    <w:p w:rsidR="00AB5213" w:rsidRPr="00EC02E1" w:rsidRDefault="006D0A49" w:rsidP="006D0A49">
      <w:pPr>
        <w:pStyle w:val="Point1"/>
        <w:rPr>
          <w:noProof/>
        </w:rPr>
      </w:pPr>
      <w:r w:rsidRPr="006D0A49">
        <w:rPr>
          <w:noProof/>
        </w:rPr>
        <w:t>(b)</w:t>
      </w:r>
      <w:r w:rsidRPr="006D0A49">
        <w:rPr>
          <w:noProof/>
        </w:rPr>
        <w:tab/>
      </w:r>
      <w:r w:rsidR="00AB5213" w:rsidRPr="00EC02E1">
        <w:rPr>
          <w:noProof/>
        </w:rPr>
        <w:t>Moderinstitut inom EU, finansiella moderholdingföretag inom EU, blandade finansiella moderholdingföretag inom EU eller fristående institut, enligt vad som är tillämpligt, ska omedelbart upphöra att rapportera den information som avses i punkterna 1 och 2 i denna artikel, om deras exponeringsmått för bruttosoliditetsgraden sjunker under det angivna tröskelvärdet vid räkenskapsårets slut.</w:t>
      </w:r>
    </w:p>
    <w:p w:rsidR="00716EA9" w:rsidRPr="00EC02E1" w:rsidRDefault="00716EA9" w:rsidP="00E537F5">
      <w:pPr>
        <w:pStyle w:val="Titrearticle"/>
        <w:rPr>
          <w:noProof/>
          <w:szCs w:val="24"/>
        </w:rPr>
      </w:pPr>
      <w:r w:rsidRPr="00EC02E1">
        <w:rPr>
          <w:noProof/>
        </w:rPr>
        <w:t>Artikel 21</w:t>
      </w:r>
    </w:p>
    <w:p w:rsidR="00716EA9" w:rsidRPr="00EC02E1" w:rsidRDefault="00716EA9" w:rsidP="0066303A">
      <w:pPr>
        <w:pStyle w:val="Titrearticle"/>
        <w:spacing w:before="0"/>
        <w:rPr>
          <w:b/>
          <w:bCs/>
          <w:i w:val="0"/>
          <w:iCs/>
          <w:noProof/>
          <w:szCs w:val="24"/>
        </w:rPr>
      </w:pPr>
      <w:bookmarkStart w:id="2" w:name="_Hlk175233444"/>
      <w:r w:rsidRPr="00EC02E1">
        <w:rPr>
          <w:b/>
          <w:i w:val="0"/>
          <w:noProof/>
        </w:rPr>
        <w:t>Rapportering av information om ränterisk utanför handelslagret på både individuell nivå och gruppnivå</w:t>
      </w:r>
    </w:p>
    <w:p w:rsidR="00716EA9" w:rsidRPr="00EC02E1" w:rsidRDefault="000B3834" w:rsidP="00716EA9">
      <w:pPr>
        <w:rPr>
          <w:rFonts w:eastAsia="Times New Roman"/>
          <w:noProof/>
          <w:color w:val="000000" w:themeColor="text1"/>
          <w:szCs w:val="24"/>
        </w:rPr>
      </w:pPr>
      <w:r w:rsidRPr="00EC02E1">
        <w:rPr>
          <w:noProof/>
        </w:rPr>
        <w:t>Institut som rapporterar information om ränterisk utanför handelslagret i enlighet med artikel 84.5, artikel 84.6 och artikel 98.5a i direktiv 2013/36/EU på både individuell nivå och gruppnivå ska lämna den information som avses i de artiklarna enligt specifikationerna i avsnitt 12 – ”Rapportering av ränterisk utanför handelslagret” i bilaga I till denna förordning med följande frekvens:</w:t>
      </w:r>
    </w:p>
    <w:p w:rsidR="00F5752D" w:rsidRPr="00EC02E1" w:rsidRDefault="006D0A49" w:rsidP="006D0A49">
      <w:pPr>
        <w:pStyle w:val="Point0"/>
        <w:rPr>
          <w:noProof/>
        </w:rPr>
      </w:pPr>
      <w:r w:rsidRPr="006D0A49">
        <w:rPr>
          <w:noProof/>
        </w:rPr>
        <w:t>(a)</w:t>
      </w:r>
      <w:r w:rsidRPr="006D0A49">
        <w:rPr>
          <w:noProof/>
        </w:rPr>
        <w:tab/>
      </w:r>
      <w:r w:rsidR="00247A56" w:rsidRPr="00EC02E1">
        <w:rPr>
          <w:noProof/>
        </w:rPr>
        <w:t>För samtliga institut: Kvartalsvis när det gäller mall J 01.00 i avsnitt 12 i bilaga I.</w:t>
      </w:r>
    </w:p>
    <w:p w:rsidR="00F5752D" w:rsidRPr="00EC02E1" w:rsidRDefault="006D0A49" w:rsidP="006D0A49">
      <w:pPr>
        <w:pStyle w:val="Point0"/>
        <w:rPr>
          <w:noProof/>
        </w:rPr>
      </w:pPr>
      <w:r w:rsidRPr="006D0A49">
        <w:rPr>
          <w:noProof/>
        </w:rPr>
        <w:t>(b)</w:t>
      </w:r>
      <w:r w:rsidRPr="006D0A49">
        <w:rPr>
          <w:noProof/>
        </w:rPr>
        <w:tab/>
      </w:r>
      <w:r w:rsidR="00247A56" w:rsidRPr="00EC02E1">
        <w:rPr>
          <w:noProof/>
        </w:rPr>
        <w:t>För stora institut: Kvartalsvis när det gäller mallarna J 02.00, J 05.00 och J 08.00 i avsnitt 12 i bilaga I.</w:t>
      </w:r>
    </w:p>
    <w:p w:rsidR="00F5752D" w:rsidRPr="00EC02E1" w:rsidRDefault="006D0A49" w:rsidP="006D0A49">
      <w:pPr>
        <w:pStyle w:val="Point0"/>
        <w:rPr>
          <w:noProof/>
        </w:rPr>
      </w:pPr>
      <w:r w:rsidRPr="006D0A49">
        <w:rPr>
          <w:noProof/>
        </w:rPr>
        <w:t>(c)</w:t>
      </w:r>
      <w:r w:rsidRPr="006D0A49">
        <w:rPr>
          <w:noProof/>
        </w:rPr>
        <w:tab/>
      </w:r>
      <w:r w:rsidR="00247A56" w:rsidRPr="00EC02E1">
        <w:rPr>
          <w:noProof/>
        </w:rPr>
        <w:t>För institut som är vare sig stora institut eller små och icke-komplexa institut: Kvartalsvis när det gäller mallarna J 03.00 och J 06.00 i avsnitt 12 i bilaga I.</w:t>
      </w:r>
    </w:p>
    <w:p w:rsidR="00F5752D" w:rsidRPr="00EC02E1" w:rsidRDefault="006D0A49" w:rsidP="006D0A49">
      <w:pPr>
        <w:pStyle w:val="Point0"/>
        <w:rPr>
          <w:noProof/>
        </w:rPr>
      </w:pPr>
      <w:r w:rsidRPr="006D0A49">
        <w:rPr>
          <w:noProof/>
        </w:rPr>
        <w:t>(d)</w:t>
      </w:r>
      <w:r w:rsidRPr="006D0A49">
        <w:rPr>
          <w:noProof/>
        </w:rPr>
        <w:tab/>
      </w:r>
      <w:r w:rsidR="00247A56" w:rsidRPr="00EC02E1">
        <w:rPr>
          <w:noProof/>
        </w:rPr>
        <w:t>För små och icke-komplexa institut: Kvartalsvis när det gäller mallarna J 04.00 och J 07.00 i avsnitt 12 i bilaga I.</w:t>
      </w:r>
    </w:p>
    <w:p w:rsidR="00F5752D" w:rsidRPr="00EC02E1" w:rsidRDefault="006D0A49" w:rsidP="006D0A49">
      <w:pPr>
        <w:pStyle w:val="Point0"/>
        <w:rPr>
          <w:noProof/>
        </w:rPr>
      </w:pPr>
      <w:r w:rsidRPr="006D0A49">
        <w:rPr>
          <w:noProof/>
        </w:rPr>
        <w:t>(e)</w:t>
      </w:r>
      <w:r w:rsidRPr="006D0A49">
        <w:rPr>
          <w:noProof/>
        </w:rPr>
        <w:tab/>
      </w:r>
      <w:r w:rsidR="00247A56" w:rsidRPr="00EC02E1">
        <w:rPr>
          <w:noProof/>
        </w:rPr>
        <w:t>För institut som är vare sig stora institut eller små och icke-komplexa institut samt för små och icke-komplexa institut: Kvartalsvis när det gäller mall J 09.00 i avsnitt 12 i bilaga I.</w:t>
      </w:r>
    </w:p>
    <w:p w:rsidR="00F5752D" w:rsidRPr="00EC02E1" w:rsidRDefault="006D0A49" w:rsidP="006D0A49">
      <w:pPr>
        <w:pStyle w:val="Point0"/>
        <w:rPr>
          <w:noProof/>
        </w:rPr>
      </w:pPr>
      <w:r w:rsidRPr="006D0A49">
        <w:rPr>
          <w:noProof/>
        </w:rPr>
        <w:t>(f)</w:t>
      </w:r>
      <w:r w:rsidRPr="006D0A49">
        <w:rPr>
          <w:noProof/>
        </w:rPr>
        <w:tab/>
      </w:r>
      <w:r w:rsidR="00247A56" w:rsidRPr="00EC02E1">
        <w:rPr>
          <w:noProof/>
        </w:rPr>
        <w:t>För stora institut: Årsvis när det gäller mallarna J 10.01 och J 10.02 i avsnitt 12 i bilaga I.</w:t>
      </w:r>
    </w:p>
    <w:p w:rsidR="00F5752D" w:rsidRPr="00EC02E1" w:rsidRDefault="006D0A49" w:rsidP="006D0A49">
      <w:pPr>
        <w:pStyle w:val="Point0"/>
        <w:rPr>
          <w:noProof/>
        </w:rPr>
      </w:pPr>
      <w:r w:rsidRPr="006D0A49">
        <w:rPr>
          <w:noProof/>
        </w:rPr>
        <w:t>(g)</w:t>
      </w:r>
      <w:r w:rsidRPr="006D0A49">
        <w:rPr>
          <w:noProof/>
        </w:rPr>
        <w:tab/>
      </w:r>
      <w:r w:rsidR="00247A56" w:rsidRPr="00EC02E1">
        <w:rPr>
          <w:noProof/>
        </w:rPr>
        <w:t>För institut som är vare sig stora institut eller små och icke-komplexa institut samt för små och icke-komplexa institut: Årsvis när det gäller mallarna J 11.01 och J 11.02 i avsnitt 12 i bilaga I.</w:t>
      </w:r>
    </w:p>
    <w:bookmarkEnd w:id="2"/>
    <w:p w:rsidR="002823A7" w:rsidRPr="00EC02E1" w:rsidRDefault="002823A7" w:rsidP="0017149C">
      <w:pPr>
        <w:pStyle w:val="Titrearticle"/>
        <w:tabs>
          <w:tab w:val="left" w:pos="567"/>
        </w:tabs>
        <w:rPr>
          <w:noProof/>
          <w:szCs w:val="24"/>
        </w:rPr>
      </w:pPr>
      <w:r w:rsidRPr="00EC02E1">
        <w:rPr>
          <w:noProof/>
        </w:rPr>
        <w:t>Artikel 22</w:t>
      </w:r>
    </w:p>
    <w:p w:rsidR="002823A7" w:rsidRPr="00EC02E1" w:rsidRDefault="002823A7" w:rsidP="0017149C">
      <w:pPr>
        <w:pStyle w:val="Titrearticle"/>
        <w:tabs>
          <w:tab w:val="left" w:pos="567"/>
        </w:tabs>
        <w:spacing w:before="0"/>
        <w:rPr>
          <w:rFonts w:eastAsia="Times New Roman"/>
          <w:noProof/>
          <w:szCs w:val="24"/>
        </w:rPr>
      </w:pPr>
      <w:r w:rsidRPr="00EC02E1">
        <w:rPr>
          <w:b/>
          <w:i w:val="0"/>
          <w:noProof/>
        </w:rPr>
        <w:t>It-lösningar, rapporteringsmallar och instruktioner</w:t>
      </w:r>
    </w:p>
    <w:p w:rsidR="002823A7" w:rsidRPr="00EC02E1" w:rsidRDefault="006D0A49" w:rsidP="006D0A49">
      <w:pPr>
        <w:pStyle w:val="ManualNumPar1"/>
        <w:rPr>
          <w:rFonts w:eastAsia="Times New Roman"/>
          <w:noProof/>
          <w:szCs w:val="24"/>
        </w:rPr>
      </w:pPr>
      <w:r w:rsidRPr="006D0A49">
        <w:rPr>
          <w:noProof/>
        </w:rPr>
        <w:t>1.</w:t>
      </w:r>
      <w:r w:rsidRPr="006D0A49">
        <w:rPr>
          <w:noProof/>
        </w:rPr>
        <w:tab/>
      </w:r>
      <w:r w:rsidR="001B3873" w:rsidRPr="00EC02E1">
        <w:rPr>
          <w:noProof/>
        </w:rPr>
        <w:t xml:space="preserve">EBA ska säkerställa att de it-lösningar, inklusive rapporteringsmallar och instruktioner, som utarbetas i enlighet med artikel 430.7 i förordning (EU) nr 575/2013 alltid överensstämmer med de enhetliga rapporteringsformat som fastställs i den här förordningen och innehåller alla datapunkter och all information som förtecknas i bilaga I till den här förordningen. </w:t>
      </w:r>
    </w:p>
    <w:p w:rsidR="002823A7" w:rsidRPr="00EC02E1" w:rsidRDefault="006D0A49" w:rsidP="006D0A49">
      <w:pPr>
        <w:pStyle w:val="ManualNumPar1"/>
        <w:rPr>
          <w:rFonts w:eastAsia="Times New Roman"/>
          <w:noProof/>
          <w:szCs w:val="24"/>
        </w:rPr>
      </w:pPr>
      <w:r w:rsidRPr="006D0A49">
        <w:rPr>
          <w:noProof/>
        </w:rPr>
        <w:t>2.</w:t>
      </w:r>
      <w:r w:rsidRPr="006D0A49">
        <w:rPr>
          <w:noProof/>
        </w:rPr>
        <w:tab/>
      </w:r>
      <w:r w:rsidR="002823A7" w:rsidRPr="00EC02E1">
        <w:rPr>
          <w:noProof/>
        </w:rPr>
        <w:t>EBA ska göra de it-lösningar, rapporteringsmallar och instruktioner som avses i punkt 1 tillgängliga på sin webbplats. EBA ska sörja för att dessa it-lösningar är uppdaterade och tillgängliga på alla officiella språk.</w:t>
      </w:r>
    </w:p>
    <w:p w:rsidR="00716EA9" w:rsidRPr="00EC02E1" w:rsidRDefault="00716EA9" w:rsidP="00E537F5">
      <w:pPr>
        <w:pStyle w:val="Titrearticle"/>
        <w:rPr>
          <w:noProof/>
          <w:szCs w:val="24"/>
        </w:rPr>
      </w:pPr>
      <w:r w:rsidRPr="00EC02E1">
        <w:rPr>
          <w:noProof/>
        </w:rPr>
        <w:t>Artikel 23</w:t>
      </w:r>
    </w:p>
    <w:p w:rsidR="00716EA9" w:rsidRPr="00EC02E1" w:rsidRDefault="00716EA9" w:rsidP="002A7D3F">
      <w:pPr>
        <w:pStyle w:val="Titrearticle"/>
        <w:spacing w:before="0"/>
        <w:rPr>
          <w:b/>
          <w:bCs/>
          <w:i w:val="0"/>
          <w:iCs/>
          <w:noProof/>
          <w:szCs w:val="24"/>
        </w:rPr>
      </w:pPr>
      <w:r w:rsidRPr="00EC02E1">
        <w:rPr>
          <w:b/>
          <w:i w:val="0"/>
          <w:noProof/>
        </w:rPr>
        <w:t>Format för uppgiftsutbyte och åtföljande information</w:t>
      </w:r>
    </w:p>
    <w:p w:rsidR="00716EA9" w:rsidRPr="00EC02E1" w:rsidRDefault="006D0A49" w:rsidP="006D0A49">
      <w:pPr>
        <w:pStyle w:val="ManualNumPar1"/>
        <w:rPr>
          <w:noProof/>
        </w:rPr>
      </w:pPr>
      <w:r w:rsidRPr="006D0A49">
        <w:rPr>
          <w:noProof/>
        </w:rPr>
        <w:t>1.</w:t>
      </w:r>
      <w:r w:rsidRPr="006D0A49">
        <w:rPr>
          <w:noProof/>
        </w:rPr>
        <w:tab/>
      </w:r>
      <w:r w:rsidR="00716EA9" w:rsidRPr="00EC02E1">
        <w:rPr>
          <w:noProof/>
        </w:rPr>
        <w:t>Institut ska lämna den information som ska lämnas enligt denna förordning i de format för uppgiftsutbyte och enligt den utformning som de behöriga myndigheterna specificerar, med iakttagande av definitionen av datapunkter i datapunktmodellen och de valideringsformler som avses i de it-lösningar som tillgängliggörs på EBA:s webbplats, samt enligt följande specifikationer:</w:t>
      </w:r>
    </w:p>
    <w:p w:rsidR="00716EA9" w:rsidRPr="00EC02E1" w:rsidRDefault="006D0A49" w:rsidP="006D0A49">
      <w:pPr>
        <w:pStyle w:val="Point1"/>
        <w:rPr>
          <w:noProof/>
        </w:rPr>
      </w:pPr>
      <w:r w:rsidRPr="006D0A49">
        <w:rPr>
          <w:noProof/>
        </w:rPr>
        <w:t>(a)</w:t>
      </w:r>
      <w:r w:rsidRPr="006D0A49">
        <w:rPr>
          <w:noProof/>
        </w:rPr>
        <w:tab/>
      </w:r>
      <w:r w:rsidR="00712164" w:rsidRPr="00EC02E1">
        <w:rPr>
          <w:noProof/>
        </w:rPr>
        <w:t>De ska inte inkludera information som inte krävs eller inte är tillämplig i uppgiftsinlämningen.</w:t>
      </w:r>
    </w:p>
    <w:p w:rsidR="00716EA9" w:rsidRPr="00EC02E1" w:rsidRDefault="006D0A49" w:rsidP="006D0A49">
      <w:pPr>
        <w:pStyle w:val="Point1"/>
        <w:rPr>
          <w:noProof/>
        </w:rPr>
      </w:pPr>
      <w:r w:rsidRPr="006D0A49">
        <w:rPr>
          <w:noProof/>
        </w:rPr>
        <w:t>(b)</w:t>
      </w:r>
      <w:r w:rsidRPr="006D0A49">
        <w:rPr>
          <w:noProof/>
        </w:rPr>
        <w:tab/>
      </w:r>
      <w:r w:rsidR="00712164" w:rsidRPr="00EC02E1">
        <w:rPr>
          <w:noProof/>
        </w:rPr>
        <w:t>De ska ange numeriska värden enligt följande:</w:t>
      </w:r>
    </w:p>
    <w:p w:rsidR="00716EA9" w:rsidRPr="00EC02E1" w:rsidRDefault="00716EA9" w:rsidP="00C856B2">
      <w:pPr>
        <w:pStyle w:val="Point2"/>
        <w:rPr>
          <w:noProof/>
        </w:rPr>
      </w:pPr>
      <w:r w:rsidRPr="00EC02E1">
        <w:rPr>
          <w:noProof/>
        </w:rPr>
        <w:t>i)</w:t>
      </w:r>
      <w:r w:rsidRPr="00EC02E1">
        <w:rPr>
          <w:noProof/>
        </w:rPr>
        <w:tab/>
        <w:t>De ska rapportera datapunkter av datatypen ”monetär” med en minsta noggrannhet motsvarande tio tusen enheter.</w:t>
      </w:r>
    </w:p>
    <w:p w:rsidR="00716EA9" w:rsidRPr="00EC02E1" w:rsidRDefault="00716EA9" w:rsidP="00C856B2">
      <w:pPr>
        <w:pStyle w:val="Point2"/>
        <w:rPr>
          <w:noProof/>
        </w:rPr>
      </w:pPr>
      <w:r w:rsidRPr="00EC02E1">
        <w:rPr>
          <w:noProof/>
        </w:rPr>
        <w:t>ii)</w:t>
      </w:r>
      <w:r w:rsidRPr="00EC02E1">
        <w:rPr>
          <w:noProof/>
        </w:rPr>
        <w:tab/>
        <w:t>De ska ange datapunkter av datatypen ”procentandel” per enhet med en minsta noggrannhet motsvarande fyra decimaler.</w:t>
      </w:r>
    </w:p>
    <w:p w:rsidR="00716EA9" w:rsidRPr="00EC02E1" w:rsidRDefault="00716EA9" w:rsidP="00C856B2">
      <w:pPr>
        <w:pStyle w:val="Point2"/>
        <w:rPr>
          <w:noProof/>
        </w:rPr>
      </w:pPr>
      <w:r w:rsidRPr="00EC02E1">
        <w:rPr>
          <w:noProof/>
        </w:rPr>
        <w:t>iii)</w:t>
      </w:r>
      <w:r w:rsidRPr="00EC02E1">
        <w:rPr>
          <w:noProof/>
        </w:rPr>
        <w:tab/>
        <w:t>De får inte använda decimaler vid rapportering av datapunkter av datatypen ”heltal” och ska använda en noggrannhet motsvarande enheter.</w:t>
      </w:r>
    </w:p>
    <w:p w:rsidR="00716EA9" w:rsidRPr="00EC02E1" w:rsidRDefault="006D0A49" w:rsidP="006D0A49">
      <w:pPr>
        <w:pStyle w:val="Point1"/>
        <w:rPr>
          <w:noProof/>
        </w:rPr>
      </w:pPr>
      <w:r w:rsidRPr="006D0A49">
        <w:rPr>
          <w:noProof/>
        </w:rPr>
        <w:t>(c)</w:t>
      </w:r>
      <w:r w:rsidRPr="006D0A49">
        <w:rPr>
          <w:noProof/>
        </w:rPr>
        <w:tab/>
      </w:r>
      <w:r w:rsidR="000F605E" w:rsidRPr="00EC02E1">
        <w:rPr>
          <w:noProof/>
        </w:rPr>
        <w:t>De ska identifiera institut och försäkringsföretag enbart genom deras identifieringskod för juridiska personer (LEI-kod).</w:t>
      </w:r>
    </w:p>
    <w:p w:rsidR="00716EA9" w:rsidRPr="00EC02E1" w:rsidRDefault="006D0A49" w:rsidP="006D0A49">
      <w:pPr>
        <w:pStyle w:val="Point1"/>
        <w:rPr>
          <w:noProof/>
        </w:rPr>
      </w:pPr>
      <w:r w:rsidRPr="006D0A49">
        <w:rPr>
          <w:noProof/>
        </w:rPr>
        <w:t>(d)</w:t>
      </w:r>
      <w:r w:rsidRPr="006D0A49">
        <w:rPr>
          <w:noProof/>
        </w:rPr>
        <w:tab/>
      </w:r>
      <w:r w:rsidR="000F605E" w:rsidRPr="00EC02E1">
        <w:rPr>
          <w:noProof/>
        </w:rPr>
        <w:t>De ska identifiera juridiska personer och motparter som inte är institut eller försäkringsföretag genom deras LEI-kod, om en sådan är tillgänglig.</w:t>
      </w:r>
    </w:p>
    <w:p w:rsidR="00716EA9" w:rsidRPr="00EC02E1" w:rsidRDefault="006D0A49" w:rsidP="006D0A49">
      <w:pPr>
        <w:pStyle w:val="ManualNumPar1"/>
        <w:rPr>
          <w:noProof/>
        </w:rPr>
      </w:pPr>
      <w:r w:rsidRPr="006D0A49">
        <w:rPr>
          <w:noProof/>
        </w:rPr>
        <w:t>2.</w:t>
      </w:r>
      <w:r w:rsidRPr="006D0A49">
        <w:rPr>
          <w:noProof/>
        </w:rPr>
        <w:tab/>
      </w:r>
      <w:r w:rsidR="00716EA9" w:rsidRPr="00EC02E1">
        <w:rPr>
          <w:noProof/>
        </w:rPr>
        <w:t>Instituten ska tillsammans med den inlämnade informationen lämna följande information:</w:t>
      </w:r>
    </w:p>
    <w:p w:rsidR="00716EA9" w:rsidRPr="00EC02E1" w:rsidRDefault="006D0A49" w:rsidP="006D0A49">
      <w:pPr>
        <w:pStyle w:val="Point1"/>
        <w:rPr>
          <w:noProof/>
        </w:rPr>
      </w:pPr>
      <w:r w:rsidRPr="006D0A49">
        <w:rPr>
          <w:noProof/>
        </w:rPr>
        <w:t>(a)</w:t>
      </w:r>
      <w:r w:rsidRPr="006D0A49">
        <w:rPr>
          <w:noProof/>
        </w:rPr>
        <w:tab/>
      </w:r>
      <w:r w:rsidR="00712164" w:rsidRPr="00EC02E1">
        <w:rPr>
          <w:noProof/>
        </w:rPr>
        <w:t>Rapporteringsreferensdatum och referensperiod.</w:t>
      </w:r>
    </w:p>
    <w:p w:rsidR="00716EA9" w:rsidRPr="00EC02E1" w:rsidRDefault="006D0A49" w:rsidP="006D0A49">
      <w:pPr>
        <w:pStyle w:val="Point1"/>
        <w:rPr>
          <w:noProof/>
        </w:rPr>
      </w:pPr>
      <w:r w:rsidRPr="006D0A49">
        <w:rPr>
          <w:noProof/>
        </w:rPr>
        <w:t>(b)</w:t>
      </w:r>
      <w:r w:rsidRPr="006D0A49">
        <w:rPr>
          <w:noProof/>
        </w:rPr>
        <w:tab/>
      </w:r>
      <w:r w:rsidR="00712164" w:rsidRPr="00EC02E1">
        <w:rPr>
          <w:noProof/>
        </w:rPr>
        <w:t>Rapportvaluta.</w:t>
      </w:r>
    </w:p>
    <w:p w:rsidR="00716EA9" w:rsidRPr="00EC02E1" w:rsidRDefault="006D0A49" w:rsidP="006D0A49">
      <w:pPr>
        <w:pStyle w:val="Point1"/>
        <w:rPr>
          <w:noProof/>
        </w:rPr>
      </w:pPr>
      <w:r w:rsidRPr="006D0A49">
        <w:rPr>
          <w:noProof/>
        </w:rPr>
        <w:t>(c)</w:t>
      </w:r>
      <w:r w:rsidRPr="006D0A49">
        <w:rPr>
          <w:noProof/>
        </w:rPr>
        <w:tab/>
      </w:r>
      <w:r w:rsidR="00712164" w:rsidRPr="00EC02E1">
        <w:rPr>
          <w:noProof/>
        </w:rPr>
        <w:t>Redovisningsstandard.</w:t>
      </w:r>
    </w:p>
    <w:p w:rsidR="00716EA9" w:rsidRPr="00EC02E1" w:rsidRDefault="006D0A49" w:rsidP="006D0A49">
      <w:pPr>
        <w:pStyle w:val="Point1"/>
        <w:rPr>
          <w:noProof/>
        </w:rPr>
      </w:pPr>
      <w:r w:rsidRPr="006D0A49">
        <w:rPr>
          <w:noProof/>
        </w:rPr>
        <w:t>(d)</w:t>
      </w:r>
      <w:r w:rsidRPr="006D0A49">
        <w:rPr>
          <w:noProof/>
        </w:rPr>
        <w:tab/>
      </w:r>
      <w:r w:rsidR="00712164" w:rsidRPr="00EC02E1">
        <w:rPr>
          <w:noProof/>
        </w:rPr>
        <w:t>Det rapporterande institutets identifieringskod för juridiska personer (LEI-kod).</w:t>
      </w:r>
    </w:p>
    <w:p w:rsidR="00716EA9" w:rsidRPr="00EC02E1" w:rsidRDefault="006D0A49" w:rsidP="006D0A49">
      <w:pPr>
        <w:pStyle w:val="Point1"/>
        <w:rPr>
          <w:noProof/>
        </w:rPr>
      </w:pPr>
      <w:r w:rsidRPr="006D0A49">
        <w:rPr>
          <w:noProof/>
        </w:rPr>
        <w:t>(e)</w:t>
      </w:r>
      <w:r w:rsidRPr="006D0A49">
        <w:rPr>
          <w:noProof/>
        </w:rPr>
        <w:tab/>
      </w:r>
      <w:r w:rsidR="00712164" w:rsidRPr="00EC02E1">
        <w:rPr>
          <w:noProof/>
        </w:rPr>
        <w:t>Enheter som ingår i konsolideringen.</w:t>
      </w:r>
    </w:p>
    <w:p w:rsidR="00716EA9" w:rsidRPr="00EC02E1" w:rsidRDefault="00716EA9" w:rsidP="00E537F5">
      <w:pPr>
        <w:pStyle w:val="Titrearticle"/>
        <w:rPr>
          <w:noProof/>
          <w:szCs w:val="24"/>
        </w:rPr>
      </w:pPr>
      <w:r w:rsidRPr="00EC02E1">
        <w:rPr>
          <w:noProof/>
        </w:rPr>
        <w:t>Artikel 24</w:t>
      </w:r>
    </w:p>
    <w:p w:rsidR="00716EA9" w:rsidRPr="00EC02E1" w:rsidRDefault="00716EA9" w:rsidP="002A7D3F">
      <w:pPr>
        <w:pStyle w:val="Titrearticle"/>
        <w:spacing w:before="0"/>
        <w:rPr>
          <w:b/>
          <w:bCs/>
          <w:i w:val="0"/>
          <w:iCs/>
          <w:noProof/>
          <w:szCs w:val="24"/>
        </w:rPr>
      </w:pPr>
      <w:r w:rsidRPr="00EC02E1">
        <w:rPr>
          <w:b/>
          <w:i w:val="0"/>
          <w:noProof/>
        </w:rPr>
        <w:t>Övergångsbestämmelser</w:t>
      </w:r>
    </w:p>
    <w:p w:rsidR="00716EA9" w:rsidRPr="00EC02E1" w:rsidRDefault="006D0A49" w:rsidP="006D0A49">
      <w:pPr>
        <w:pStyle w:val="ManualNumPar1"/>
        <w:rPr>
          <w:noProof/>
        </w:rPr>
      </w:pPr>
      <w:r w:rsidRPr="006D0A49">
        <w:rPr>
          <w:noProof/>
        </w:rPr>
        <w:t>1.</w:t>
      </w:r>
      <w:r w:rsidRPr="006D0A49">
        <w:rPr>
          <w:noProof/>
        </w:rPr>
        <w:tab/>
      </w:r>
      <w:r w:rsidR="00716EA9" w:rsidRPr="00EC02E1">
        <w:rPr>
          <w:noProof/>
        </w:rPr>
        <w:t>Överföringsdatumet för information med en kvartalsvis rapporteringsfrekvens avseende referensdatumet den 31 mars 2025, för den information som ska rapporteras enligt artiklarna 5, 7–10 och 15 i denna förordning, ska vara senast den 30 juni 2025.</w:t>
      </w:r>
    </w:p>
    <w:p w:rsidR="00716EA9" w:rsidRPr="00EC02E1" w:rsidRDefault="006D0A49" w:rsidP="006D0A49">
      <w:pPr>
        <w:pStyle w:val="ManualNumPar1"/>
        <w:rPr>
          <w:noProof/>
        </w:rPr>
      </w:pPr>
      <w:r w:rsidRPr="006D0A49">
        <w:rPr>
          <w:noProof/>
        </w:rPr>
        <w:t>2.</w:t>
      </w:r>
      <w:r w:rsidRPr="006D0A49">
        <w:rPr>
          <w:noProof/>
        </w:rPr>
        <w:tab/>
      </w:r>
      <w:r w:rsidR="00AE3B0A" w:rsidRPr="00EC02E1">
        <w:rPr>
          <w:noProof/>
        </w:rPr>
        <w:t>Det första referensdatumet för information som ska rapporteras om handelslagrets sammansättning och omklassificeringar mellan ”i handelslagret” och ”utanför handelslagret” enligt artikel 5 i denna förordning ska vara den sista bankdagen i det kvartal under vilket de alternativa metoder som anges i del tre avdelning IV kapitlen 1a och 1b i förordning (EU) nr 575/2013 blir tillämpliga för beräkningen av de kapitalbaskrav som avses i artikel 92.4 b i och c och artikel 92.5 b och c i den förordningen.</w:t>
      </w:r>
    </w:p>
    <w:p w:rsidR="00716EA9" w:rsidRPr="00EC02E1" w:rsidRDefault="00716EA9" w:rsidP="00745A2E">
      <w:pPr>
        <w:pStyle w:val="Titrearticle"/>
        <w:spacing w:before="120" w:after="0"/>
        <w:rPr>
          <w:noProof/>
          <w:szCs w:val="24"/>
        </w:rPr>
      </w:pPr>
      <w:r w:rsidRPr="00EC02E1">
        <w:rPr>
          <w:noProof/>
        </w:rPr>
        <w:t>Artikel 25</w:t>
      </w:r>
    </w:p>
    <w:p w:rsidR="00096030" w:rsidRPr="00EC02E1" w:rsidRDefault="004B3787" w:rsidP="00C856B2">
      <w:pPr>
        <w:pStyle w:val="Text1"/>
        <w:jc w:val="center"/>
        <w:rPr>
          <w:noProof/>
        </w:rPr>
      </w:pPr>
      <w:r w:rsidRPr="00EC02E1">
        <w:rPr>
          <w:b/>
          <w:noProof/>
        </w:rPr>
        <w:t>Upphävande av genomförandeförordning (EU) 2021/451</w:t>
      </w:r>
    </w:p>
    <w:p w:rsidR="00FB327E" w:rsidRPr="00EC02E1" w:rsidRDefault="006D0A49" w:rsidP="006D0A49">
      <w:pPr>
        <w:pStyle w:val="ManualNumPar1"/>
        <w:rPr>
          <w:noProof/>
        </w:rPr>
      </w:pPr>
      <w:r w:rsidRPr="006D0A49">
        <w:rPr>
          <w:noProof/>
        </w:rPr>
        <w:t>1.</w:t>
      </w:r>
      <w:r w:rsidRPr="006D0A49">
        <w:rPr>
          <w:noProof/>
        </w:rPr>
        <w:tab/>
      </w:r>
      <w:r w:rsidR="00FB327E" w:rsidRPr="00EC02E1">
        <w:rPr>
          <w:noProof/>
        </w:rPr>
        <w:t xml:space="preserve">Genomförandeförordning (EU) 2021/451 ska upphöra att tillämpas från och med den 1 januari 2025, med undantag för artikel 5.12 och mallarna 18–24 i bilaga I och del II punkterna 5.1–5.7 i bilaga II. Artikel 15 i genomförandeförordning (EU) 2021/451 ska fortsätta att tillämpas till och med den 31 december 2025 endast vid tillämpningen av artikel 5.4 i den här förordningen. </w:t>
      </w:r>
    </w:p>
    <w:p w:rsidR="00FB327E" w:rsidRPr="00EC02E1" w:rsidRDefault="006D0A49" w:rsidP="006D0A49">
      <w:pPr>
        <w:pStyle w:val="ManualNumPar1"/>
        <w:rPr>
          <w:noProof/>
        </w:rPr>
      </w:pPr>
      <w:r w:rsidRPr="006D0A49">
        <w:rPr>
          <w:noProof/>
        </w:rPr>
        <w:t>2.</w:t>
      </w:r>
      <w:r w:rsidRPr="006D0A49">
        <w:rPr>
          <w:noProof/>
        </w:rPr>
        <w:tab/>
      </w:r>
      <w:r w:rsidR="00FB327E" w:rsidRPr="00EC02E1">
        <w:rPr>
          <w:noProof/>
        </w:rPr>
        <w:t xml:space="preserve">Genomförandeförordning (EU) 2021/451 ska upphöra att gälla med verkan från och med den 31 december 2025. </w:t>
      </w:r>
    </w:p>
    <w:p w:rsidR="00FB327E" w:rsidRPr="00EC02E1" w:rsidRDefault="006D0A49" w:rsidP="006D0A49">
      <w:pPr>
        <w:pStyle w:val="ManualNumPar1"/>
        <w:rPr>
          <w:noProof/>
        </w:rPr>
      </w:pPr>
      <w:r w:rsidRPr="006D0A49">
        <w:rPr>
          <w:noProof/>
        </w:rPr>
        <w:t>3.</w:t>
      </w:r>
      <w:r w:rsidRPr="006D0A49">
        <w:rPr>
          <w:noProof/>
        </w:rPr>
        <w:tab/>
      </w:r>
      <w:r w:rsidR="00FB327E" w:rsidRPr="00EC02E1">
        <w:rPr>
          <w:noProof/>
        </w:rPr>
        <w:t>Hänvisningar till den upphävda förordningen ska anses som hänvisningar till den här förordningen och läsas i enlighet med jämförelsetabellen i bilaga II.</w:t>
      </w:r>
    </w:p>
    <w:p w:rsidR="00E537F5" w:rsidRPr="00EC02E1" w:rsidRDefault="00E537F5" w:rsidP="00E537F5">
      <w:pPr>
        <w:pStyle w:val="Titrearticle"/>
        <w:rPr>
          <w:noProof/>
          <w:szCs w:val="24"/>
        </w:rPr>
      </w:pPr>
      <w:r w:rsidRPr="00EC02E1">
        <w:rPr>
          <w:noProof/>
        </w:rPr>
        <w:t>Artikel 26</w:t>
      </w:r>
    </w:p>
    <w:p w:rsidR="00E537F5" w:rsidRPr="00EC02E1" w:rsidRDefault="00E537F5" w:rsidP="0056622A">
      <w:pPr>
        <w:pStyle w:val="Titrearticle"/>
        <w:spacing w:before="0"/>
        <w:rPr>
          <w:b/>
          <w:bCs/>
          <w:i w:val="0"/>
          <w:iCs/>
          <w:noProof/>
          <w:szCs w:val="24"/>
        </w:rPr>
      </w:pPr>
      <w:r w:rsidRPr="00EC02E1">
        <w:rPr>
          <w:b/>
          <w:i w:val="0"/>
          <w:noProof/>
        </w:rPr>
        <w:t>Ikraftträdande och tillämpning</w:t>
      </w:r>
    </w:p>
    <w:p w:rsidR="00E537F5" w:rsidRPr="00EC02E1" w:rsidRDefault="00E537F5" w:rsidP="00E537F5">
      <w:pPr>
        <w:spacing w:before="100" w:beforeAutospacing="1" w:after="100" w:afterAutospacing="1"/>
        <w:rPr>
          <w:noProof/>
          <w:color w:val="000000"/>
          <w:szCs w:val="24"/>
        </w:rPr>
      </w:pPr>
      <w:r w:rsidRPr="00EC02E1">
        <w:rPr>
          <w:noProof/>
          <w:color w:val="000000"/>
        </w:rPr>
        <w:t xml:space="preserve">Denna förordning träder i kraft dagen efter det att den har offentliggjorts i </w:t>
      </w:r>
      <w:r w:rsidRPr="00EC02E1">
        <w:rPr>
          <w:i/>
          <w:noProof/>
          <w:color w:val="000000"/>
        </w:rPr>
        <w:t>Europeiska unionens officiella tidning</w:t>
      </w:r>
      <w:r w:rsidRPr="00EC02E1">
        <w:rPr>
          <w:noProof/>
          <w:color w:val="000000"/>
        </w:rPr>
        <w:t>.</w:t>
      </w:r>
    </w:p>
    <w:p w:rsidR="00E537F5" w:rsidRPr="00EC02E1" w:rsidRDefault="00E537F5" w:rsidP="00E537F5">
      <w:pPr>
        <w:spacing w:before="100" w:beforeAutospacing="1" w:after="100" w:afterAutospacing="1"/>
        <w:rPr>
          <w:noProof/>
          <w:color w:val="000000"/>
          <w:szCs w:val="24"/>
        </w:rPr>
      </w:pPr>
      <w:r w:rsidRPr="00EC02E1">
        <w:rPr>
          <w:noProof/>
          <w:color w:val="000000"/>
        </w:rPr>
        <w:t>Den ska tillämpas från och med den [Publikationsbyrån – ange datum 6 månader efter ikraftträdandedagen].</w:t>
      </w:r>
    </w:p>
    <w:p w:rsidR="00E537F5" w:rsidRPr="00EC02E1" w:rsidRDefault="00E537F5" w:rsidP="00E537F5">
      <w:pPr>
        <w:spacing w:before="100" w:beforeAutospacing="1" w:after="100" w:afterAutospacing="1"/>
        <w:rPr>
          <w:noProof/>
          <w:szCs w:val="24"/>
        </w:rPr>
      </w:pPr>
      <w:r w:rsidRPr="00EC02E1">
        <w:rPr>
          <w:noProof/>
          <w:color w:val="000000"/>
        </w:rPr>
        <w:t>Denna förordning är till alla delar bindande och direkt tillämplig i alla medlemsstater.</w:t>
      </w:r>
    </w:p>
    <w:p w:rsidR="00185C9B" w:rsidRPr="00EC02E1" w:rsidRDefault="00740A0C" w:rsidP="00CD7EF7">
      <w:pPr>
        <w:pStyle w:val="Fait"/>
        <w:rPr>
          <w:noProof/>
        </w:rPr>
      </w:pPr>
      <w:r>
        <w:rPr>
          <w:noProof/>
        </w:rPr>
        <w:t>Utfärdad i Bryssel den 29.11.2024</w:t>
      </w:r>
    </w:p>
    <w:p w:rsidR="00185C9B" w:rsidRPr="00EC02E1" w:rsidRDefault="00185C9B" w:rsidP="00CD7EF7">
      <w:pPr>
        <w:pStyle w:val="Institutionquisigne"/>
        <w:rPr>
          <w:noProof/>
          <w:szCs w:val="24"/>
        </w:rPr>
      </w:pPr>
      <w:r w:rsidRPr="00EC02E1">
        <w:rPr>
          <w:noProof/>
        </w:rPr>
        <w:tab/>
        <w:t>På kommissionens vägnar</w:t>
      </w:r>
    </w:p>
    <w:p w:rsidR="00185C9B" w:rsidRPr="00EC02E1" w:rsidRDefault="00BB3A88" w:rsidP="00185C9B">
      <w:pPr>
        <w:pStyle w:val="Personnequisigne"/>
        <w:rPr>
          <w:noProof/>
          <w:szCs w:val="24"/>
        </w:rPr>
      </w:pPr>
      <w:r>
        <w:rPr>
          <w:noProof/>
        </w:rPr>
        <w:tab/>
        <w:t>Ordförande</w:t>
      </w:r>
      <w:r>
        <w:rPr>
          <w:noProof/>
        </w:rPr>
        <w:br/>
      </w:r>
      <w:r>
        <w:rPr>
          <w:noProof/>
        </w:rPr>
        <w:tab/>
        <w:t>Ursula VON DER LEYEN</w:t>
      </w:r>
    </w:p>
    <w:sectPr w:rsidR="00185C9B" w:rsidRPr="00EC02E1" w:rsidSect="00616808">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08" w:rsidRPr="00616808" w:rsidRDefault="00616808" w:rsidP="00616808">
    <w:pPr>
      <w:pStyle w:val="Footer"/>
      <w:rPr>
        <w:rFonts w:ascii="Arial" w:hAnsi="Arial" w:cs="Arial"/>
        <w:b/>
        <w:sz w:val="48"/>
      </w:rPr>
    </w:pPr>
    <w:r w:rsidRPr="00616808">
      <w:rPr>
        <w:rFonts w:ascii="Arial" w:hAnsi="Arial" w:cs="Arial"/>
        <w:b/>
        <w:sz w:val="48"/>
      </w:rPr>
      <w:t>SV</w:t>
    </w:r>
    <w:r w:rsidRPr="00616808">
      <w:rPr>
        <w:rFonts w:ascii="Arial" w:hAnsi="Arial" w:cs="Arial"/>
        <w:b/>
        <w:sz w:val="48"/>
      </w:rPr>
      <w:tab/>
    </w:r>
    <w:r w:rsidRPr="00616808">
      <w:rPr>
        <w:rFonts w:ascii="Arial" w:hAnsi="Arial" w:cs="Arial"/>
        <w:b/>
        <w:sz w:val="48"/>
      </w:rPr>
      <w:tab/>
    </w:r>
    <w:r w:rsidRPr="00616808">
      <w:tab/>
    </w:r>
    <w:r w:rsidRPr="00616808">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08" w:rsidRPr="00616808" w:rsidRDefault="00616808" w:rsidP="00616808">
    <w:pPr>
      <w:pStyle w:val="Footer"/>
      <w:rPr>
        <w:rFonts w:ascii="Arial" w:hAnsi="Arial" w:cs="Arial"/>
        <w:b/>
        <w:sz w:val="48"/>
      </w:rPr>
    </w:pPr>
    <w:r w:rsidRPr="00616808">
      <w:rPr>
        <w:rFonts w:ascii="Arial" w:hAnsi="Arial" w:cs="Arial"/>
        <w:b/>
        <w:sz w:val="48"/>
      </w:rPr>
      <w:t>SV</w:t>
    </w:r>
    <w:r w:rsidRPr="00616808">
      <w:rPr>
        <w:rFonts w:ascii="Arial" w:hAnsi="Arial" w:cs="Arial"/>
        <w:b/>
        <w:sz w:val="48"/>
      </w:rPr>
      <w:tab/>
    </w:r>
    <w:r w:rsidRPr="00616808">
      <w:rPr>
        <w:rFonts w:ascii="Arial" w:hAnsi="Arial" w:cs="Arial"/>
        <w:b/>
        <w:sz w:val="48"/>
      </w:rPr>
      <w:tab/>
    </w:r>
    <w:r w:rsidRPr="00616808">
      <w:tab/>
    </w:r>
    <w:r w:rsidRPr="00616808">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08" w:rsidRDefault="0061680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08" w:rsidRPr="00616808" w:rsidRDefault="00616808" w:rsidP="00616808">
    <w:pPr>
      <w:pStyle w:val="Footer"/>
      <w:rPr>
        <w:rFonts w:ascii="Arial" w:hAnsi="Arial" w:cs="Arial"/>
        <w:b/>
        <w:sz w:val="48"/>
      </w:rPr>
    </w:pPr>
    <w:r w:rsidRPr="00616808">
      <w:rPr>
        <w:rFonts w:ascii="Arial" w:hAnsi="Arial" w:cs="Arial"/>
        <w:b/>
        <w:sz w:val="48"/>
      </w:rPr>
      <w:t>SV</w:t>
    </w:r>
    <w:r w:rsidRPr="00616808">
      <w:rPr>
        <w:rFonts w:ascii="Arial" w:hAnsi="Arial" w:cs="Arial"/>
        <w:b/>
        <w:sz w:val="48"/>
      </w:rPr>
      <w:tab/>
    </w:r>
    <w:r>
      <w:fldChar w:fldCharType="begin"/>
    </w:r>
    <w:r>
      <w:instrText xml:space="preserve"> PAGE  \* MERGEFORMAT </w:instrText>
    </w:r>
    <w:r>
      <w:fldChar w:fldCharType="separate"/>
    </w:r>
    <w:r w:rsidR="00CD7EF7">
      <w:rPr>
        <w:noProof/>
      </w:rPr>
      <w:t>20</w:t>
    </w:r>
    <w:r>
      <w:fldChar w:fldCharType="end"/>
    </w:r>
    <w:r>
      <w:tab/>
    </w:r>
    <w:r w:rsidRPr="00616808">
      <w:tab/>
    </w:r>
    <w:r w:rsidRPr="00616808">
      <w:rPr>
        <w:rFonts w:ascii="Arial" w:hAnsi="Arial" w:cs="Arial"/>
        <w:b/>
        <w:sz w:val="48"/>
      </w:rPr>
      <w:t>SV</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08" w:rsidRDefault="00616808" w:rsidP="006168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EC02E1" w:rsidRDefault="00716EA9" w:rsidP="00716EA9">
      <w:pPr>
        <w:pStyle w:val="FootnoteText"/>
      </w:pPr>
      <w:r>
        <w:rPr>
          <w:rStyle w:val="FootnoteReference"/>
        </w:rPr>
        <w:footnoteRef/>
      </w:r>
      <w:r w:rsidRPr="00EC02E1">
        <w:tab/>
        <w:t>EUT L 176, 27.6.2013, s. 1, ELI: http://data.europa.eu/eli/reg/2013/575/oj.</w:t>
      </w:r>
    </w:p>
  </w:footnote>
  <w:footnote w:id="3">
    <w:p w:rsidR="00716EA9" w:rsidRPr="00EC02E1" w:rsidRDefault="00716EA9" w:rsidP="00716EA9">
      <w:pPr>
        <w:pStyle w:val="FootnoteText"/>
      </w:pPr>
      <w:r>
        <w:rPr>
          <w:rStyle w:val="FootnoteReference"/>
        </w:rPr>
        <w:footnoteRef/>
      </w:r>
      <w:r w:rsidRPr="00EC02E1">
        <w:tab/>
        <w:t>Kommissionens genomförandeförordning (EU) 2021/451 av den 17 december 2020 om tekniska genomförandestandarder för tillämpningen av Europaparlamentets och rådets förordning (EU) nr 575/2013 vad gäller instituts tillsynsrapportering och om upphävande av genomförandeförordning (EU) nr 680/2014 (EUT L 97, 19.3.2021, s. 1, ELI: http://data.europa.eu/eli/reg_impl/2021/451/oj).</w:t>
      </w:r>
    </w:p>
  </w:footnote>
  <w:footnote w:id="4">
    <w:p w:rsidR="00716EA9" w:rsidRPr="00EC02E1" w:rsidRDefault="00716EA9" w:rsidP="00716EA9">
      <w:pPr>
        <w:pStyle w:val="FootnoteText"/>
      </w:pPr>
      <w:r>
        <w:rPr>
          <w:rStyle w:val="FootnoteReference"/>
        </w:rPr>
        <w:footnoteRef/>
      </w:r>
      <w:r w:rsidRPr="00EC02E1">
        <w:tab/>
        <w:t>Europaparlamentets och rådets förordning (EU) 2024/1623 av den 31 maj 2024 om ändring av förordning (EU) nr 575/2013 vad gäller krav avseende kreditrisk, kreditvärdighetsjusteringsrisk, operativ risk, marknadsrisk och golvet för riskvägda tillgångar (EUT L, 2024/1623, 19.6.2024, ELI: </w:t>
      </w:r>
      <w:hyperlink r:id="rId1" w:tgtFrame="_blank" w:tooltip="Ger tillgång till detta dokument via dess ELI URI." w:history="1">
        <w:r w:rsidRPr="00EC02E1">
          <w:t>http://data.europa.eu/eli/reg/2024/1623/oj</w:t>
        </w:r>
      </w:hyperlink>
      <w:r w:rsidRPr="00EC02E1">
        <w:t>).</w:t>
      </w:r>
    </w:p>
  </w:footnote>
  <w:footnote w:id="5">
    <w:p w:rsidR="00716EA9" w:rsidRPr="00EC02E1" w:rsidRDefault="00716EA9" w:rsidP="00716EA9">
      <w:pPr>
        <w:pStyle w:val="FootnoteText"/>
      </w:pPr>
      <w:r>
        <w:rPr>
          <w:rStyle w:val="FootnoteReference"/>
        </w:rPr>
        <w:footnoteRef/>
      </w:r>
      <w:r w:rsidRPr="00EC02E1">
        <w:tab/>
        <w:t>Europaparlamentets och rådets förordning (EU) nr 1093/2010 av den 24 november 2010 om inrättande av en europeisk tillsynsmyndighet (Europeiska bankmyndigheten), om ändring av beslut nr 716/2009/EG och om upphävande av kommissionens beslut 2009/78/EG (EUT L 331, 15.12.2010, s. 12, ELI: http://data.europa.eu/eli/reg/2010/1093/oj).</w:t>
      </w:r>
    </w:p>
  </w:footnote>
  <w:footnote w:id="6">
    <w:p w:rsidR="00716EA9" w:rsidRPr="00EC02E1" w:rsidRDefault="00716EA9" w:rsidP="00716EA9">
      <w:pPr>
        <w:pStyle w:val="FootnoteText"/>
      </w:pPr>
      <w:r>
        <w:rPr>
          <w:rStyle w:val="FootnoteReference"/>
        </w:rPr>
        <w:footnoteRef/>
      </w:r>
      <w:r w:rsidRPr="00EC02E1">
        <w:tab/>
      </w:r>
      <w:r w:rsidRPr="00EC02E1">
        <w:rPr>
          <w:color w:val="333333"/>
          <w:shd w:val="clear" w:color="auto" w:fill="FFFFFF"/>
        </w:rPr>
        <w:t>Europaparlamentets och rådets direktiv 2013/36/EU av den 26 juni 2013 om behörighet att utöva verksamhet i kreditinstitut och om tillsyn av kreditinstitut, om ändring av direktiv 2002/87/EG och om upphävande av direktiven 2006/48/EG och 2006/49/EG (EUT L 176, 27.6.2013, s. 338, ELI: </w:t>
      </w:r>
      <w:hyperlink r:id="rId2" w:tooltip="Ger tillgång till detta dokument via dess ELI URI." w:history="1">
        <w:r w:rsidRPr="00EC02E1">
          <w:rPr>
            <w:color w:val="333333"/>
          </w:rPr>
          <w:t>http://data.europa.eu/eli/dir/2013/36/oj</w:t>
        </w:r>
      </w:hyperlink>
      <w:r w:rsidRPr="00EC02E1">
        <w:rPr>
          <w:color w:val="333333"/>
          <w:shd w:val="clear" w:color="auto" w:fill="FFFFFF"/>
        </w:rPr>
        <w:t>).</w:t>
      </w:r>
    </w:p>
  </w:footnote>
  <w:footnote w:id="7">
    <w:p w:rsidR="00716EA9" w:rsidRPr="00EC02E1" w:rsidRDefault="00716EA9" w:rsidP="00716EA9">
      <w:pPr>
        <w:pStyle w:val="FootnoteText"/>
      </w:pPr>
      <w:r>
        <w:rPr>
          <w:rStyle w:val="FootnoteReference"/>
        </w:rPr>
        <w:footnoteRef/>
      </w:r>
      <w:r w:rsidRPr="00EC02E1">
        <w:tab/>
        <w:t>Europaparlamentets och rådets direktiv (EU) 2019/2034 av den 27 november 2019 om tillsyn av värdepappersföretag och om ändring av direktiven 2002/87/EG, 2009/65/EG, 2011/61/EU, 2013/36/EU, 2014/59/EU och 2014/65/EU (EUT L 314, 5.12.2019, s. 64, ELI:</w:t>
      </w:r>
      <w:bookmarkStart w:id="1" w:name="_Hlk172136107"/>
      <w:bookmarkEnd w:id="1"/>
      <w:r w:rsidRPr="00EC02E1">
        <w:rPr>
          <w:color w:val="333333"/>
          <w:shd w:val="clear" w:color="auto" w:fill="FFFFFF"/>
        </w:rPr>
        <w:t> </w:t>
      </w:r>
      <w:hyperlink r:id="rId3" w:tooltip="Ger tillgång till detta dokument via dess ELI URI." w:history="1">
        <w:r w:rsidRPr="00EC02E1">
          <w:rPr>
            <w:color w:val="333333"/>
          </w:rPr>
          <w:t>http://data.europa.eu/eli/dir/2019/2034/oj</w:t>
        </w:r>
      </w:hyperlink>
      <w:r w:rsidRPr="00EC02E1">
        <w:rPr>
          <w:color w:val="333333"/>
          <w:shd w:val="clear" w:color="auto" w:fill="FFFFFF"/>
        </w:rPr>
        <w:t>).</w:t>
      </w:r>
    </w:p>
  </w:footnote>
  <w:footnote w:id="8">
    <w:p w:rsidR="00797855" w:rsidRPr="00EC02E1" w:rsidRDefault="00797855" w:rsidP="00C856B2">
      <w:pPr>
        <w:pStyle w:val="FootnoteText"/>
      </w:pPr>
      <w:r>
        <w:rPr>
          <w:rStyle w:val="FootnoteReference"/>
        </w:rPr>
        <w:footnoteRef/>
      </w:r>
      <w:r w:rsidRPr="00EC02E1">
        <w:tab/>
        <w:t>Kommissionens delegerade förordning (EU) 2016/101 av den 26 oktober 2015 om komplettering av Europaparlamentets och rådets förordning (EU) nr 575/2013 med avseende på tekniska tillsynsstandarder för försiktig värdering enligt artikel 105.14 (EUT L 21, 28.1.2016, s. 54, ELI: http://data.europa.eu/eli/reg_del/2016/101/oj).</w:t>
      </w:r>
    </w:p>
  </w:footnote>
  <w:footnote w:id="9">
    <w:p w:rsidR="00716EA9" w:rsidRPr="00EC02E1" w:rsidRDefault="00716EA9" w:rsidP="00716EA9">
      <w:pPr>
        <w:pStyle w:val="FootnoteText"/>
      </w:pPr>
      <w:r>
        <w:rPr>
          <w:rStyle w:val="FootnoteReference"/>
        </w:rPr>
        <w:footnoteRef/>
      </w:r>
      <w:r w:rsidRPr="00EC02E1">
        <w:tab/>
      </w:r>
      <w:r w:rsidRPr="00EC02E1">
        <w:rPr>
          <w:color w:val="333333"/>
          <w:shd w:val="clear" w:color="auto" w:fill="FFFFFF"/>
        </w:rPr>
        <w:t>Europaparlamentets och rådets förordning (EG) nr 1606/2002 av den 19 juli 2002 om tillämpning av internationella redovisningsstandarder (EGT L 243, 11.9.2002, s. 1, ELI: </w:t>
      </w:r>
      <w:r w:rsidRPr="00EC02E1">
        <w:rPr>
          <w:shd w:val="clear" w:color="auto" w:fill="FFFFFF"/>
        </w:rPr>
        <w:t>http://data.europa.eu/eli/reg/2002/1606/oj</w:t>
      </w:r>
      <w:r w:rsidRPr="00EC02E1">
        <w:t>).</w:t>
      </w:r>
    </w:p>
  </w:footnote>
  <w:footnote w:id="10">
    <w:p w:rsidR="00745A2E" w:rsidRPr="00EC02E1" w:rsidRDefault="00745A2E" w:rsidP="00C856B2">
      <w:pPr>
        <w:pStyle w:val="FootnoteText"/>
      </w:pPr>
      <w:r>
        <w:rPr>
          <w:rStyle w:val="FootnoteReference"/>
        </w:rPr>
        <w:footnoteRef/>
      </w:r>
      <w:r w:rsidRPr="00EC02E1">
        <w:tab/>
        <w:t>Europaparlamentets och rådets direktiv 2009/65/EG av den 13 juli 2009 om samordning av lagar och andra författningar som avser företag för kollektiva investeringar i överlåtbara värdepapper (fondföretag) (omarbetning) (EUT L 302, 17.11.2009, s. 32, ELI: http://data.europa.eu/eli/dir/2009/65/oj).</w:t>
      </w:r>
    </w:p>
  </w:footnote>
  <w:footnote w:id="11">
    <w:p w:rsidR="00AB5213" w:rsidRPr="00EC02E1" w:rsidRDefault="00AB5213" w:rsidP="00AB5213">
      <w:pPr>
        <w:pStyle w:val="FootnoteText"/>
      </w:pPr>
      <w:r>
        <w:rPr>
          <w:rStyle w:val="FootnoteReference"/>
        </w:rPr>
        <w:footnoteRef/>
      </w:r>
      <w:r w:rsidRPr="00EC02E1">
        <w:tab/>
      </w:r>
      <w:r w:rsidRPr="00EC02E1">
        <w:rPr>
          <w:color w:val="333333"/>
          <w:shd w:val="clear" w:color="auto" w:fill="FFFFFF"/>
        </w:rPr>
        <w:t>Europaparlamentets och rådets förordning (EU) nr 806/2014 av den 15 juli 2014 om fastställande av enhetliga regler och ett enhetligt förfarande för resolution av kreditinstitut och vissa värdepappersföretag inom ramen för en gemensam resolutionsmekanism och en gemensam resolutionsfond och om ändring av förordning (EU) nr 1093/2010 (EUT L 225, 30.7.2014, s. 1, ELI: </w:t>
      </w:r>
      <w:r w:rsidRPr="00EC02E1">
        <w:rPr>
          <w:shd w:val="clear" w:color="auto" w:fill="FFFFFF"/>
        </w:rPr>
        <w:t>http://data.europa.eu/eli/reg/2014/806/oj</w:t>
      </w:r>
      <w:r w:rsidRPr="00EC02E1">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08" w:rsidRDefault="006168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6808" w:rsidRDefault="006168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7:1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F86D196E-B2CC-4631-A959-393C0F132CBB"/>
    <w:docVar w:name="LW_COVERPAGE_TYPE" w:val="1"/>
    <w:docVar w:name="LW_CROSSREFERENCE" w:val="&lt;UNUSED&gt;"/>
    <w:docVar w:name="LW_DATE.ADOPT.CP" w:val="av den 29.11.2024"/>
    <w:docVar w:name="LW_DATE.ADOPT.CP_DATEFORMAT" w:val="av den %DATE%"/>
    <w:docVar w:name="LW_DATE.ADOPT.CP_ISODATE" w:val="2024-11-29"/>
    <w:docVar w:name="LW_DocType" w:val="COM"/>
    <w:docVar w:name="LW_EMISSION" w:val="29.11.2024"/>
    <w:docVar w:name="LW_EMISSION_ISODATE" w:val="2024-11-29"/>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tekniska genomförandestandarder för tillämpningen av Europaparlamentets och rådets förordning (EU) nr 575/2013 vad gäller instituts tillsynsrapportering och om upphävande av kommissionens genomförandeförordning (EU) 2021/451"/>
    <w:docVar w:name="LW_TYPE.DOC.CP" w:val="KOMMISSIONENS GENOMFÖRANDEFÖRORDNING (EU) \u8230?/\u8230?"/>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10D5"/>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D83"/>
    <w:rsid w:val="00270F1F"/>
    <w:rsid w:val="00274E59"/>
    <w:rsid w:val="00275640"/>
    <w:rsid w:val="00276E76"/>
    <w:rsid w:val="002823A7"/>
    <w:rsid w:val="00285D36"/>
    <w:rsid w:val="00290C23"/>
    <w:rsid w:val="00296756"/>
    <w:rsid w:val="002A3AE8"/>
    <w:rsid w:val="002A7D3F"/>
    <w:rsid w:val="002B5C90"/>
    <w:rsid w:val="002C2407"/>
    <w:rsid w:val="002C2709"/>
    <w:rsid w:val="002C5610"/>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A75E9"/>
    <w:rsid w:val="003B423F"/>
    <w:rsid w:val="003B5FFE"/>
    <w:rsid w:val="003B7444"/>
    <w:rsid w:val="003D0F78"/>
    <w:rsid w:val="003D2BEA"/>
    <w:rsid w:val="003D338D"/>
    <w:rsid w:val="003D411A"/>
    <w:rsid w:val="003D5853"/>
    <w:rsid w:val="003E4FF2"/>
    <w:rsid w:val="003E6001"/>
    <w:rsid w:val="003E7E9B"/>
    <w:rsid w:val="003F035E"/>
    <w:rsid w:val="003F3A18"/>
    <w:rsid w:val="003F44DA"/>
    <w:rsid w:val="004021EE"/>
    <w:rsid w:val="00402C69"/>
    <w:rsid w:val="004104C4"/>
    <w:rsid w:val="00412FEF"/>
    <w:rsid w:val="00414772"/>
    <w:rsid w:val="00425E7F"/>
    <w:rsid w:val="00431A8F"/>
    <w:rsid w:val="00433221"/>
    <w:rsid w:val="00437AA5"/>
    <w:rsid w:val="004411FE"/>
    <w:rsid w:val="00442C8E"/>
    <w:rsid w:val="00445295"/>
    <w:rsid w:val="00445F3E"/>
    <w:rsid w:val="00450B31"/>
    <w:rsid w:val="004534F7"/>
    <w:rsid w:val="004551DB"/>
    <w:rsid w:val="00455A91"/>
    <w:rsid w:val="0046097C"/>
    <w:rsid w:val="00464F13"/>
    <w:rsid w:val="0046608A"/>
    <w:rsid w:val="0047412A"/>
    <w:rsid w:val="00474EA8"/>
    <w:rsid w:val="0047707C"/>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4F12"/>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1835"/>
    <w:rsid w:val="005D2216"/>
    <w:rsid w:val="005E47FE"/>
    <w:rsid w:val="005E56B3"/>
    <w:rsid w:val="005E59CA"/>
    <w:rsid w:val="005F0C68"/>
    <w:rsid w:val="005F0F00"/>
    <w:rsid w:val="005F5679"/>
    <w:rsid w:val="00601584"/>
    <w:rsid w:val="00604792"/>
    <w:rsid w:val="00615C62"/>
    <w:rsid w:val="0061653D"/>
    <w:rsid w:val="00616808"/>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767F2"/>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0A49"/>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289E"/>
    <w:rsid w:val="007255D8"/>
    <w:rsid w:val="007312BD"/>
    <w:rsid w:val="007406BA"/>
    <w:rsid w:val="00740A0C"/>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166B"/>
    <w:rsid w:val="007E3A18"/>
    <w:rsid w:val="007E489F"/>
    <w:rsid w:val="007E5A60"/>
    <w:rsid w:val="007F0C5D"/>
    <w:rsid w:val="007F5EE6"/>
    <w:rsid w:val="00801517"/>
    <w:rsid w:val="008029E7"/>
    <w:rsid w:val="00802FC2"/>
    <w:rsid w:val="00805DFE"/>
    <w:rsid w:val="00816CB0"/>
    <w:rsid w:val="0082788C"/>
    <w:rsid w:val="008304EC"/>
    <w:rsid w:val="00831B75"/>
    <w:rsid w:val="00831BBF"/>
    <w:rsid w:val="0083639F"/>
    <w:rsid w:val="008411A4"/>
    <w:rsid w:val="00845534"/>
    <w:rsid w:val="00851A05"/>
    <w:rsid w:val="0085568D"/>
    <w:rsid w:val="0085650B"/>
    <w:rsid w:val="00861384"/>
    <w:rsid w:val="008637D8"/>
    <w:rsid w:val="00865222"/>
    <w:rsid w:val="00866BF9"/>
    <w:rsid w:val="00872F95"/>
    <w:rsid w:val="00875C3C"/>
    <w:rsid w:val="0088235A"/>
    <w:rsid w:val="0089773F"/>
    <w:rsid w:val="008A0DDB"/>
    <w:rsid w:val="008A1AAC"/>
    <w:rsid w:val="008A53EE"/>
    <w:rsid w:val="008B158E"/>
    <w:rsid w:val="008B57C8"/>
    <w:rsid w:val="008C205C"/>
    <w:rsid w:val="008D4069"/>
    <w:rsid w:val="008D53CD"/>
    <w:rsid w:val="008D5A0B"/>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19D2"/>
    <w:rsid w:val="009521D6"/>
    <w:rsid w:val="009522F9"/>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E356F"/>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5A80"/>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3A88"/>
    <w:rsid w:val="00BB464A"/>
    <w:rsid w:val="00BB5A0F"/>
    <w:rsid w:val="00BB7AD0"/>
    <w:rsid w:val="00BC0D6B"/>
    <w:rsid w:val="00BC1C7F"/>
    <w:rsid w:val="00BC2F78"/>
    <w:rsid w:val="00BC6406"/>
    <w:rsid w:val="00BC71A2"/>
    <w:rsid w:val="00BD13FC"/>
    <w:rsid w:val="00BD5B52"/>
    <w:rsid w:val="00BE5060"/>
    <w:rsid w:val="00BF12F3"/>
    <w:rsid w:val="00BF3A76"/>
    <w:rsid w:val="00BF5A08"/>
    <w:rsid w:val="00BF6649"/>
    <w:rsid w:val="00C02E45"/>
    <w:rsid w:val="00C23DB8"/>
    <w:rsid w:val="00C26E6A"/>
    <w:rsid w:val="00C32879"/>
    <w:rsid w:val="00C32A28"/>
    <w:rsid w:val="00C32BE3"/>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3EED"/>
    <w:rsid w:val="00CD4C29"/>
    <w:rsid w:val="00CD4E7C"/>
    <w:rsid w:val="00CD7EF7"/>
    <w:rsid w:val="00CE208C"/>
    <w:rsid w:val="00CF184E"/>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870CD"/>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05B9"/>
    <w:rsid w:val="00E767D5"/>
    <w:rsid w:val="00E76FD3"/>
    <w:rsid w:val="00E777ED"/>
    <w:rsid w:val="00E840C2"/>
    <w:rsid w:val="00E84636"/>
    <w:rsid w:val="00E85170"/>
    <w:rsid w:val="00E856D6"/>
    <w:rsid w:val="00E919BA"/>
    <w:rsid w:val="00E91C6B"/>
    <w:rsid w:val="00E91CD0"/>
    <w:rsid w:val="00E979AB"/>
    <w:rsid w:val="00EA1A16"/>
    <w:rsid w:val="00EA2057"/>
    <w:rsid w:val="00EA2201"/>
    <w:rsid w:val="00EA23FB"/>
    <w:rsid w:val="00EA2BA5"/>
    <w:rsid w:val="00EA349F"/>
    <w:rsid w:val="00EA6265"/>
    <w:rsid w:val="00EC02E1"/>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0F26"/>
    <w:rsid w:val="00F61036"/>
    <w:rsid w:val="00F62E88"/>
    <w:rsid w:val="00F62EED"/>
    <w:rsid w:val="00F67E1D"/>
    <w:rsid w:val="00F72CA7"/>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sv-SE"/>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sv-SE"/>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616808"/>
    <w:rPr>
      <w:rFonts w:ascii="Times New Roman" w:hAnsi="Times New Roman" w:cs="Times New Roman"/>
      <w:sz w:val="24"/>
      <w:lang w:val="sv-SE"/>
    </w:rPr>
  </w:style>
  <w:style w:type="character" w:customStyle="1" w:styleId="FooterChar">
    <w:name w:val="Footer Char"/>
    <w:basedOn w:val="DefaultParagraphFont"/>
    <w:link w:val="Footer"/>
    <w:uiPriority w:val="99"/>
    <w:rsid w:val="00616808"/>
    <w:rPr>
      <w:rFonts w:ascii="Times New Roman" w:hAnsi="Times New Roman" w:cs="Times New Roman"/>
      <w:sz w:val="24"/>
      <w:lang w:val="sv-SE"/>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sv-SE"/>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sv-SE"/>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sv-SE"/>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sv-SE"/>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sv-SE"/>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sv-SE"/>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sv-SE"/>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61680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16808"/>
    <w:pPr>
      <w:spacing w:before="0"/>
      <w:jc w:val="right"/>
    </w:pPr>
    <w:rPr>
      <w:sz w:val="28"/>
    </w:rPr>
  </w:style>
  <w:style w:type="paragraph" w:customStyle="1" w:styleId="FooterSensitivity">
    <w:name w:val="Footer Sensitivity"/>
    <w:basedOn w:val="Normal"/>
    <w:rsid w:val="0061680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616808"/>
    <w:pPr>
      <w:tabs>
        <w:tab w:val="center" w:pos="4535"/>
        <w:tab w:val="right" w:pos="9071"/>
      </w:tabs>
      <w:spacing w:before="0"/>
    </w:pPr>
  </w:style>
  <w:style w:type="paragraph" w:customStyle="1" w:styleId="HeaderLandscape">
    <w:name w:val="HeaderLandscape"/>
    <w:basedOn w:val="Normal"/>
    <w:rsid w:val="00616808"/>
    <w:pPr>
      <w:tabs>
        <w:tab w:val="center" w:pos="7285"/>
        <w:tab w:val="right" w:pos="14003"/>
      </w:tabs>
      <w:spacing w:before="0"/>
    </w:pPr>
  </w:style>
  <w:style w:type="paragraph" w:styleId="Footer">
    <w:name w:val="footer"/>
    <w:basedOn w:val="Normal"/>
    <w:link w:val="FooterChar"/>
    <w:uiPriority w:val="99"/>
    <w:unhideWhenUsed/>
    <w:rsid w:val="00616808"/>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616808"/>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3.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4.xml><?xml version="1.0" encoding="utf-8"?>
<ds:datastoreItem xmlns:ds="http://schemas.openxmlformats.org/officeDocument/2006/customXml" ds:itemID="{52266A39-DB0A-4091-BF0F-571FF69BDCA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69</TotalTime>
  <Pages>18</Pages>
  <Words>7588</Words>
  <Characters>43256</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50743</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41</cp:revision>
  <cp:lastPrinted>2024-11-28T09:45:00Z</cp:lastPrinted>
  <dcterms:created xsi:type="dcterms:W3CDTF">2024-11-08T11:56:00Z</dcterms:created>
  <dcterms:modified xsi:type="dcterms:W3CDTF">2024-12-03T15:47:00Z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