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6D7831" w:rsidRDefault="00997E9C" w:rsidP="00997E9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C3725EB-5127-4B98-B65A-808D7B524198" style="width:455.25pt;height:399pt">
            <v:imagedata r:id="rId11" o:title=""/>
          </v:shape>
        </w:pict>
      </w:r>
    </w:p>
    <w:p w:rsidR="00185C9B" w:rsidRPr="006D7831" w:rsidRDefault="00185C9B">
      <w:pPr>
        <w:rPr>
          <w:noProof/>
          <w:szCs w:val="24"/>
        </w:rPr>
        <w:sectPr w:rsidR="00185C9B" w:rsidRPr="006D7831" w:rsidSect="00997E9C">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6D7831" w:rsidRDefault="006D7831" w:rsidP="006D7831">
      <w:pPr>
        <w:pStyle w:val="Typedudocument"/>
        <w:rPr>
          <w:noProof/>
        </w:rPr>
      </w:pPr>
      <w:bookmarkStart w:id="0" w:name="_GoBack"/>
      <w:bookmarkEnd w:id="0"/>
      <w:r w:rsidRPr="006D7831">
        <w:rPr>
          <w:noProof/>
        </w:rPr>
        <w:lastRenderedPageBreak/>
        <w:t>KOMISSION TÄYTÄNTÖÖNPANOASETUS (EU) …/…,</w:t>
      </w:r>
    </w:p>
    <w:p w:rsidR="00185C9B" w:rsidRPr="006D7831" w:rsidRDefault="001361BE" w:rsidP="006D7831">
      <w:pPr>
        <w:pStyle w:val="Datedadoption"/>
        <w:rPr>
          <w:noProof/>
        </w:rPr>
      </w:pPr>
      <w:r>
        <w:rPr>
          <w:noProof/>
        </w:rPr>
        <w:t>annettu 29.11.2024,</w:t>
      </w:r>
    </w:p>
    <w:p w:rsidR="00185C9B" w:rsidRPr="006D7831" w:rsidRDefault="006D7831" w:rsidP="006D7831">
      <w:pPr>
        <w:pStyle w:val="Titreobjet"/>
        <w:rPr>
          <w:noProof/>
        </w:rPr>
      </w:pPr>
      <w:r w:rsidRPr="006D7831">
        <w:rPr>
          <w:noProof/>
        </w:rPr>
        <w:t>teknisistä täytäntöönpanostandardeista Euroopan parlamentin ja neuvoston asetuksen (EU) N:o 575/2013 soveltamiseksi laitosten vakavaraisuusvalvontaan liittyvän raportoinnin osalta ja komission täytäntöönpanoasetuksen (EU) 2021/451 kumoamisesta</w:t>
      </w:r>
    </w:p>
    <w:p w:rsidR="00185C9B" w:rsidRPr="006D7831" w:rsidRDefault="006D7831" w:rsidP="006D7831">
      <w:pPr>
        <w:pStyle w:val="IntrtEEE"/>
        <w:rPr>
          <w:noProof/>
        </w:rPr>
      </w:pPr>
      <w:r w:rsidRPr="006D7831">
        <w:rPr>
          <w:noProof/>
        </w:rPr>
        <w:t>(ETA:n kannalta merkityksellinen teksti)</w:t>
      </w:r>
    </w:p>
    <w:p w:rsidR="00185C9B" w:rsidRPr="006D7831" w:rsidRDefault="00185C9B" w:rsidP="004E1EF9">
      <w:pPr>
        <w:pStyle w:val="Institutionquiagit"/>
        <w:rPr>
          <w:noProof/>
          <w:szCs w:val="24"/>
        </w:rPr>
      </w:pPr>
      <w:r w:rsidRPr="006D7831">
        <w:rPr>
          <w:noProof/>
        </w:rPr>
        <w:t>EUROOPAN KOMISSIO, joka</w:t>
      </w:r>
    </w:p>
    <w:p w:rsidR="00185C9B" w:rsidRPr="006D7831" w:rsidRDefault="00185C9B" w:rsidP="004E1EF9">
      <w:pPr>
        <w:rPr>
          <w:noProof/>
          <w:szCs w:val="24"/>
        </w:rPr>
      </w:pPr>
      <w:r w:rsidRPr="006D7831">
        <w:rPr>
          <w:noProof/>
          <w:color w:val="000000"/>
        </w:rPr>
        <w:t>ottaa huomioon Euroopan unionin toiminnasta tehdyn sopimuksen</w:t>
      </w:r>
      <w:r w:rsidRPr="006D7831">
        <w:rPr>
          <w:noProof/>
        </w:rPr>
        <w:t>,</w:t>
      </w:r>
    </w:p>
    <w:p w:rsidR="00716EA9" w:rsidRPr="006D7831" w:rsidRDefault="00716EA9" w:rsidP="00716EA9">
      <w:pPr>
        <w:rPr>
          <w:noProof/>
          <w:szCs w:val="24"/>
        </w:rPr>
      </w:pPr>
      <w:r w:rsidRPr="006D7831">
        <w:rPr>
          <w:noProof/>
        </w:rPr>
        <w:t>ottaa huomioon luottolaitosten vakavaraisuusvaatimuksista ja asetuksen (EU) N:o 648/2012 muuttamisesta 26 päivänä kesäkuuta 2013 annetun Euroopan parlamentin ja neuvoston asetuksen (EU) N:o 575/2013</w:t>
      </w:r>
      <w:r w:rsidRPr="006D7831">
        <w:rPr>
          <w:rStyle w:val="FootnoteReference"/>
          <w:noProof/>
          <w:szCs w:val="24"/>
        </w:rPr>
        <w:footnoteReference w:id="2"/>
      </w:r>
      <w:r w:rsidRPr="006D7831">
        <w:rPr>
          <w:noProof/>
        </w:rPr>
        <w:t xml:space="preserve"> ja erityisesti sen 415 artiklan 3 kohdan kolmannen alakohdan, 415 artiklan 3 a kohdan kolmannen alakohdan, 430 artiklan 7 kohdan kolmannen alakohdan ja 430 artiklan 9 kohdan viidennen alakohdan,</w:t>
      </w:r>
    </w:p>
    <w:p w:rsidR="00716EA9" w:rsidRPr="006D7831" w:rsidRDefault="00716EA9" w:rsidP="00716EA9">
      <w:pPr>
        <w:rPr>
          <w:noProof/>
          <w:szCs w:val="24"/>
        </w:rPr>
      </w:pPr>
      <w:r w:rsidRPr="006D7831">
        <w:rPr>
          <w:noProof/>
        </w:rPr>
        <w:t>sekä katsoo seuraavaa:</w:t>
      </w:r>
    </w:p>
    <w:p w:rsidR="00716EA9" w:rsidRPr="006D7831" w:rsidRDefault="00C07884" w:rsidP="00C07884">
      <w:pPr>
        <w:pStyle w:val="ManualConsidrant"/>
        <w:rPr>
          <w:noProof/>
          <w:szCs w:val="24"/>
        </w:rPr>
      </w:pPr>
      <w:r w:rsidRPr="00C07884">
        <w:rPr>
          <w:noProof/>
        </w:rPr>
        <w:t>(1)</w:t>
      </w:r>
      <w:r w:rsidRPr="00C07884">
        <w:rPr>
          <w:noProof/>
        </w:rPr>
        <w:tab/>
      </w:r>
      <w:r w:rsidR="00716EA9" w:rsidRPr="006D7831">
        <w:rPr>
          <w:noProof/>
        </w:rPr>
        <w:t>Komission täytäntöönpanoasetuksessa (EU) 2021/451</w:t>
      </w:r>
      <w:r w:rsidR="00716EA9" w:rsidRPr="006D7831">
        <w:rPr>
          <w:rStyle w:val="FootnoteReference"/>
          <w:noProof/>
          <w:szCs w:val="24"/>
        </w:rPr>
        <w:footnoteReference w:id="3"/>
      </w:r>
      <w:r w:rsidR="00716EA9" w:rsidRPr="006D7831">
        <w:rPr>
          <w:noProof/>
        </w:rPr>
        <w:t xml:space="preserve"> vahvistetaan asetuksen (EU) N:o 575/2013 415 ja 430 artiklan perusteella johdonmukainen raportointikehys, johon sisältyvät tiedonantovaatimukset koskevat seuraavien tietojen antamista: omia varoja ja omien varojen vaatimuksia koskevat tiedot, kansainvälisten tilinpäätösstandardien (IFRS) ja yleisesti hyväksyttyjen tilinpäätösperiaatteiden (GAAP) mukaisesti toimitettavat rahoitustiedot, kiinteistövakuudellisesta luotonannosta aiheutuvia tappioita, suuria asiakasriskejä, vähimmäisomavaraisuusastetta, pysyvää varainhankintaa, maksuvalmiuden seurantaan tarkoitettua lisämetriikkaa ja taseen sitoutumisia koskevat tiedot, maailmanlaajuisten järjestelmän kannalta merkittävien laitosten (G-SII-laitosten) yksilöimiseksi ja niiden puskurikantojen määrittämiseksi tarvittavat tiedot sekä rahoitustoiminnan korkoriskiä koskevat tiedot. Täytäntöönpanoasetusta (EU) 2021/451 on muutettu useita kertoja sellaisten asetukseen (EU) N:o 575/2013 tehtyjen muutosten huomioon ottamiseksi, joilla on otettu käyttöön, kehitetty edelleen tai mukautettu vakavaraisuutta koskevia osatekijöitä.</w:t>
      </w:r>
    </w:p>
    <w:p w:rsidR="00716EA9" w:rsidRPr="006D7831" w:rsidRDefault="00C07884" w:rsidP="00C07884">
      <w:pPr>
        <w:pStyle w:val="ManualConsidrant"/>
        <w:rPr>
          <w:noProof/>
          <w:szCs w:val="24"/>
        </w:rPr>
      </w:pPr>
      <w:r w:rsidRPr="00C07884">
        <w:rPr>
          <w:noProof/>
        </w:rPr>
        <w:t>(2)</w:t>
      </w:r>
      <w:r w:rsidRPr="00C07884">
        <w:rPr>
          <w:noProof/>
        </w:rPr>
        <w:tab/>
      </w:r>
      <w:r w:rsidR="00716EA9" w:rsidRPr="006D7831">
        <w:rPr>
          <w:noProof/>
        </w:rPr>
        <w:t>Asetusta (EU) N:o 575/2013 muutettiin Euroopan parlamentin ja neuvoston asetuksella (EU) 2024/1623</w:t>
      </w:r>
      <w:r w:rsidR="00716EA9" w:rsidRPr="006D7831">
        <w:rPr>
          <w:rStyle w:val="FootnoteReference"/>
          <w:noProof/>
          <w:szCs w:val="24"/>
        </w:rPr>
        <w:footnoteReference w:id="4"/>
      </w:r>
      <w:r w:rsidR="00716EA9" w:rsidRPr="006D7831">
        <w:rPr>
          <w:noProof/>
        </w:rPr>
        <w:t xml:space="preserve"> Baselin pankkivalvontakomitean lopullisten kansainvälisten standardien (Basel III </w:t>
      </w:r>
      <w:r w:rsidR="00716EA9" w:rsidRPr="006D7831">
        <w:rPr>
          <w:noProof/>
        </w:rPr>
        <w:noBreakHyphen/>
        <w:t>uudistus) täytäntöönpanemiseksi. Nämä muutokset olisi otettava huomioon raportointikehyksessä, joka vahvistetaan tällä hetkellä täytäntöönpanoasetuksessa (EU) 2021/451.</w:t>
      </w:r>
    </w:p>
    <w:p w:rsidR="00F470F0" w:rsidRPr="006D7831" w:rsidRDefault="00C07884" w:rsidP="00C07884">
      <w:pPr>
        <w:pStyle w:val="ManualConsidrant"/>
        <w:rPr>
          <w:noProof/>
          <w:szCs w:val="24"/>
        </w:rPr>
      </w:pPr>
      <w:r w:rsidRPr="00C07884">
        <w:rPr>
          <w:noProof/>
        </w:rPr>
        <w:t>(3)</w:t>
      </w:r>
      <w:r w:rsidRPr="00C07884">
        <w:rPr>
          <w:noProof/>
        </w:rPr>
        <w:tab/>
      </w:r>
      <w:r w:rsidR="00716EA9" w:rsidRPr="006D7831">
        <w:rPr>
          <w:noProof/>
        </w:rPr>
        <w:t>Asetukseen (EU) N:o 575/2013 tehtyjen muutosten vuoksi on tarpeen tarkistaa vaatimuksia, jotka koskevat omien varojen ja omien varojen vaatimuksia koskevaa raportointia (kokonaisriskipainolattia, luottoriski ja vastapuoliriski, vastuun arvonoikaisut, markkinariski, operatiivinen riski, järjestämättömiin vastuisiin liittyvien tappioiden kattaminen sekä kryptovarat), kiinteistövakuudellisesta luotonannosta aiheutuvia tappioita koskevien tietojen ilmoittamista sekä vähimmäisomavaraisuusastetta koskevien tietojen ilmoittamista.</w:t>
      </w:r>
    </w:p>
    <w:p w:rsidR="00716EA9" w:rsidRPr="006D7831" w:rsidRDefault="00C07884" w:rsidP="00C07884">
      <w:pPr>
        <w:pStyle w:val="ManualConsidrant"/>
        <w:rPr>
          <w:noProof/>
          <w:szCs w:val="24"/>
        </w:rPr>
      </w:pPr>
      <w:r w:rsidRPr="00C07884">
        <w:rPr>
          <w:noProof/>
        </w:rPr>
        <w:t>(4)</w:t>
      </w:r>
      <w:r w:rsidRPr="00C07884">
        <w:rPr>
          <w:noProof/>
        </w:rPr>
        <w:tab/>
      </w:r>
      <w:r w:rsidR="00375AD2" w:rsidRPr="006D7831">
        <w:rPr>
          <w:noProof/>
        </w:rPr>
        <w:t>Koska raportointivelvoitteita koskevien uusien sääntöjen täytäntöönpanemiseksi tarvitaan lukuisia muutoksia, on parempi kumota ja korvata täytäntöönpanoasetus (EU) 2021/451 sen sijaan, että ainoastaan muutetaan kyseistä täytäntöönpanoasetusta, sillä tällainen muutos tekisi asianomaisille talouden toimijoille äärimmäisen hankalaksi selvittää, mitä raportointivaatimuksia niihin sovelletaan.</w:t>
      </w:r>
    </w:p>
    <w:p w:rsidR="00716EA9" w:rsidRPr="006D7831" w:rsidRDefault="00C07884" w:rsidP="00C07884">
      <w:pPr>
        <w:pStyle w:val="ManualConsidrant"/>
        <w:rPr>
          <w:noProof/>
          <w:szCs w:val="24"/>
        </w:rPr>
      </w:pPr>
      <w:r w:rsidRPr="00C07884">
        <w:rPr>
          <w:noProof/>
        </w:rPr>
        <w:t>(5)</w:t>
      </w:r>
      <w:r w:rsidRPr="00C07884">
        <w:rPr>
          <w:noProof/>
        </w:rPr>
        <w:tab/>
      </w:r>
      <w:r w:rsidR="00D311FE" w:rsidRPr="006D7831">
        <w:rPr>
          <w:noProof/>
        </w:rPr>
        <w:t>Uusien vakavaraisuutta koskevien lomakkeiden olisi mahdollistettava kokonaisriskipainolattiaa koskevien tietojen ilmoittaminen omien varojen vaatimuksissa ja vakavaraisuussuhteissa sekä erityisesti asetuksen (EU) N:o 575/2013 465 artiklassa vahvistettujen kokonaisriskipainolattiaa koskevien siirtymäsäännösten vaikutusta koskevien tietojen ilmoittaminen. Raportointitietojen olisi mahdollistettava tietojen ilmoittaminen kokonaisriskipainolattian ja asetuksen (EU) N:o 575/2013 465 artiklassa vahvistettujen siirtymäsäännösten vaikutuksista. Ryhmän vakavaraisuutta koskevien lomakkeiden olisi sisällettävä uusi sarake, jossa ilmoitetaan omien varojen vaatimusten soveltamisalaan kuuluvien yhteisöjen lattian oikaisua koskevat tiedot.</w:t>
      </w:r>
    </w:p>
    <w:p w:rsidR="00716EA9" w:rsidRPr="006D7831" w:rsidRDefault="00C07884" w:rsidP="00C07884">
      <w:pPr>
        <w:pStyle w:val="ManualConsidrant"/>
        <w:rPr>
          <w:noProof/>
          <w:szCs w:val="24"/>
        </w:rPr>
      </w:pPr>
      <w:r w:rsidRPr="00C07884">
        <w:rPr>
          <w:noProof/>
        </w:rPr>
        <w:t>(6)</w:t>
      </w:r>
      <w:r w:rsidRPr="00C07884">
        <w:rPr>
          <w:noProof/>
        </w:rPr>
        <w:tab/>
      </w:r>
      <w:r w:rsidR="00716EA9" w:rsidRPr="006D7831">
        <w:rPr>
          <w:noProof/>
        </w:rPr>
        <w:t>Standardimenetelmän luottoriskiä koskevissa lomakkeissa olisi otettava huomioon muutokset vastuuluokkien luokitukseen ja uusiin riskipainoihin. Lisäksi niissä olisi otettava huomioon yksityiskohtaisempi lähestymistapa, jota sovelletaan kiinteistövakuudellisiin vastuisiin, minkä lisäksi niissä olisi otettava huomioon joitakin taseen ulkopuolisten vastuuerien arvon laskennassa tapahtuneita muutoksia, jotka kaikki sisällytettiin asetukseen (EU) N:o 575/2013 asetuksella (EU) 2024/1623.</w:t>
      </w:r>
    </w:p>
    <w:p w:rsidR="00716EA9" w:rsidRPr="006D7831" w:rsidRDefault="00C07884" w:rsidP="00C07884">
      <w:pPr>
        <w:pStyle w:val="ManualConsidrant"/>
        <w:rPr>
          <w:noProof/>
          <w:szCs w:val="24"/>
        </w:rPr>
      </w:pPr>
      <w:r w:rsidRPr="00C07884">
        <w:rPr>
          <w:noProof/>
        </w:rPr>
        <w:t>(7)</w:t>
      </w:r>
      <w:r w:rsidRPr="00C07884">
        <w:rPr>
          <w:noProof/>
        </w:rPr>
        <w:tab/>
      </w:r>
      <w:r w:rsidR="00716EA9" w:rsidRPr="006D7831">
        <w:rPr>
          <w:noProof/>
        </w:rPr>
        <w:t>IRB-menetelmän luottoriskiä koskevissa lomakkeissa olisi otettava huomioon muutokset vastuuluokkien luokitukseen eli laitosten ja suuryritysten vastuiden käytön rajoittaminen IRB-perusmenetelmän (FIRB-menetelmä) mukaisesti, ja niiden olisi mahdollistettava uusia vastuuluokkia, kuten julkisyhteisöjä ja julkisoikeudellisia laitoksia sekä aluehallintoja tai paikallisviranomaisia, koskevien tietojen ilmoittaminen. Lisäksi uusien lomakkeiden olisi mahdollistettava sekä vakioluottovasta-arvokertoimien että omien laskelmien luottovasta-arvokertoimien ilmoittaminen.</w:t>
      </w:r>
    </w:p>
    <w:p w:rsidR="00716EA9" w:rsidRPr="006D7831" w:rsidRDefault="00C07884" w:rsidP="00C07884">
      <w:pPr>
        <w:pStyle w:val="ManualConsidrant"/>
        <w:rPr>
          <w:noProof/>
          <w:szCs w:val="24"/>
        </w:rPr>
      </w:pPr>
      <w:r w:rsidRPr="00C07884">
        <w:rPr>
          <w:noProof/>
        </w:rPr>
        <w:t>(8)</w:t>
      </w:r>
      <w:r w:rsidRPr="00C07884">
        <w:rPr>
          <w:noProof/>
        </w:rPr>
        <w:tab/>
      </w:r>
      <w:r w:rsidR="00716EA9" w:rsidRPr="006D7831">
        <w:rPr>
          <w:noProof/>
        </w:rPr>
        <w:t>Järjestämättömiin vastuisiin liittyvien tappioiden kattamista koskevien tietojen ilmoittamisessa käytettävien uusien lomakkeiden olisi vastattava tappioiden kattamista koskevien vaatimusten soveltamisalaan kuuluvien vastuiden laajuuden muutoksia ja varausaikataulun muutoksia.</w:t>
      </w:r>
    </w:p>
    <w:p w:rsidR="00716EA9" w:rsidRPr="006D7831" w:rsidRDefault="00C07884" w:rsidP="00C07884">
      <w:pPr>
        <w:pStyle w:val="ManualConsidrant"/>
        <w:rPr>
          <w:noProof/>
          <w:szCs w:val="24"/>
        </w:rPr>
      </w:pPr>
      <w:r w:rsidRPr="00C07884">
        <w:rPr>
          <w:noProof/>
        </w:rPr>
        <w:t>(9)</w:t>
      </w:r>
      <w:r w:rsidRPr="00C07884">
        <w:rPr>
          <w:noProof/>
        </w:rPr>
        <w:tab/>
      </w:r>
      <w:r w:rsidR="0033133E" w:rsidRPr="006D7831">
        <w:rPr>
          <w:noProof/>
        </w:rPr>
        <w:t>Uuden raportointilomakkeen olisi mahdollistettava kryptovaroihin liittyviä vastuita koskevien tietojen ilmoittaminen, jotta voidaan ottaa huomioon kyseisten vastuiden kokonaisriskin määrät.</w:t>
      </w:r>
    </w:p>
    <w:p w:rsidR="00716EA9" w:rsidRPr="006D7831" w:rsidRDefault="00C07884" w:rsidP="00C07884">
      <w:pPr>
        <w:pStyle w:val="ManualConsidrant"/>
        <w:rPr>
          <w:noProof/>
          <w:szCs w:val="24"/>
        </w:rPr>
      </w:pPr>
      <w:r w:rsidRPr="00C07884">
        <w:rPr>
          <w:noProof/>
        </w:rPr>
        <w:t>(10)</w:t>
      </w:r>
      <w:r w:rsidRPr="00C07884">
        <w:rPr>
          <w:noProof/>
        </w:rPr>
        <w:tab/>
      </w:r>
      <w:r w:rsidR="00716EA9" w:rsidRPr="006D7831">
        <w:rPr>
          <w:noProof/>
        </w:rPr>
        <w:t>Kutakin kansallista kiinteistömarkkinaa (kiinteästä omaisuudesta aiheutuvat tappiot) koskevien koostettujen tietojen ilmoittamisessa olisi otettava huomioon asetuksen (EU) N:o 575/2013 430 a artiklan 1 kohdassa säädetyt uudet erityiset raportointivelvoitteet.</w:t>
      </w:r>
    </w:p>
    <w:p w:rsidR="00716EA9" w:rsidRPr="006D7831" w:rsidRDefault="00C07884" w:rsidP="00C07884">
      <w:pPr>
        <w:pStyle w:val="ManualConsidrant"/>
        <w:rPr>
          <w:noProof/>
          <w:szCs w:val="24"/>
        </w:rPr>
      </w:pPr>
      <w:r w:rsidRPr="00C07884">
        <w:rPr>
          <w:noProof/>
        </w:rPr>
        <w:t>(11)</w:t>
      </w:r>
      <w:r w:rsidRPr="00C07884">
        <w:rPr>
          <w:noProof/>
        </w:rPr>
        <w:tab/>
      </w:r>
      <w:r w:rsidR="00716EA9" w:rsidRPr="006D7831">
        <w:rPr>
          <w:noProof/>
        </w:rPr>
        <w:t>Vastuun arvonoikaisujen raportoinnissa olisi otettava huomioon standardi- ja perusmenetelmät ja yksinkertaistettu menetelmä, minkä lisäksi siinä olisi otettava huomioon tietyt vastuun arvonoikaisuriskiä koskevat erityiset raportointivaatimukset, jotka kaikki otettiin käyttöön asetuksen (EU) N:o 575/2013 VI osastossa.</w:t>
      </w:r>
    </w:p>
    <w:p w:rsidR="00716EA9" w:rsidRPr="006D7831" w:rsidRDefault="00C07884" w:rsidP="00C07884">
      <w:pPr>
        <w:pStyle w:val="ManualConsidrant"/>
        <w:rPr>
          <w:noProof/>
          <w:szCs w:val="24"/>
        </w:rPr>
      </w:pPr>
      <w:r w:rsidRPr="00C07884">
        <w:rPr>
          <w:noProof/>
        </w:rPr>
        <w:t>(12)</w:t>
      </w:r>
      <w:r w:rsidRPr="00C07884">
        <w:rPr>
          <w:noProof/>
        </w:rPr>
        <w:tab/>
      </w:r>
      <w:r w:rsidR="00716EA9" w:rsidRPr="006D7831">
        <w:rPr>
          <w:noProof/>
        </w:rPr>
        <w:t xml:space="preserve">Asetuksella (EU) 2024/1623 tarkistettiin kaupankäyntivaraston ja muun kuin kaupankäyntivaraston välistä rajaa koskevaa kehystä. Sen vuoksi raportointilomakkeiden olisi myös mahdollistettava kaupankäyntivaraston koostumusta koskevien tietojen ilmoittaminen asetuksen (EU) N:o 575/2013 104 artiklassa säädettyjen uusien kriteerien osalta. </w:t>
      </w:r>
    </w:p>
    <w:p w:rsidR="00716EA9" w:rsidRPr="006D7831" w:rsidRDefault="00C07884" w:rsidP="00C07884">
      <w:pPr>
        <w:pStyle w:val="ManualConsidrant"/>
        <w:rPr>
          <w:noProof/>
          <w:szCs w:val="24"/>
        </w:rPr>
      </w:pPr>
      <w:r w:rsidRPr="00C07884">
        <w:rPr>
          <w:noProof/>
        </w:rPr>
        <w:t>(13)</w:t>
      </w:r>
      <w:r w:rsidRPr="00C07884">
        <w:rPr>
          <w:noProof/>
        </w:rPr>
        <w:tab/>
      </w:r>
      <w:r w:rsidR="007051E2" w:rsidRPr="006D7831">
        <w:rPr>
          <w:noProof/>
        </w:rPr>
        <w:t>On tarpeen yhdenmukaistaa omien varojen ja omien varojen vaatimusten sekä yksittäisinä laitoksina ja konsolidoinnin perusteella sovellettavien lisäraportointivaatimusten raportoinnin viitepäivämäärät tilinpäätöspäiviin.</w:t>
      </w:r>
    </w:p>
    <w:p w:rsidR="00716EA9" w:rsidRPr="006D7831" w:rsidRDefault="00C07884" w:rsidP="00C07884">
      <w:pPr>
        <w:pStyle w:val="ManualConsidrant"/>
        <w:rPr>
          <w:noProof/>
          <w:szCs w:val="24"/>
        </w:rPr>
      </w:pPr>
      <w:r w:rsidRPr="00C07884">
        <w:rPr>
          <w:noProof/>
        </w:rPr>
        <w:t>(14)</w:t>
      </w:r>
      <w:r w:rsidRPr="00C07884">
        <w:rPr>
          <w:noProof/>
        </w:rPr>
        <w:tab/>
      </w:r>
      <w:r w:rsidR="009522F9" w:rsidRPr="006D7831">
        <w:rPr>
          <w:noProof/>
        </w:rPr>
        <w:t xml:space="preserve">Jotta laitokset voisivat ottaa käyttöön raportointivelvoitteiden noudattamiseksi tarvittavat raportointijärjestelmät, yhteisöille, jotka harjoittavat luottolaitoksen toimintaa ensimmäistä kertaa, olisi annettava enemmän aikaa lomakkeiden toimittamiseen. </w:t>
      </w:r>
    </w:p>
    <w:p w:rsidR="002823A7" w:rsidRPr="006D7831" w:rsidRDefault="00C07884" w:rsidP="00C07884">
      <w:pPr>
        <w:pStyle w:val="ManualConsidrant"/>
        <w:rPr>
          <w:noProof/>
          <w:szCs w:val="24"/>
        </w:rPr>
      </w:pPr>
      <w:r w:rsidRPr="00C07884">
        <w:rPr>
          <w:noProof/>
        </w:rPr>
        <w:t>(15)</w:t>
      </w:r>
      <w:r w:rsidRPr="00C07884">
        <w:rPr>
          <w:noProof/>
        </w:rPr>
        <w:tab/>
      </w:r>
      <w:r w:rsidR="002823A7" w:rsidRPr="006D7831">
        <w:rPr>
          <w:noProof/>
        </w:rPr>
        <w:t>Asetuksella (EU) 2024/1623 muutettiin asetuksen (EU) N:o 575/2013 430 artiklan 7 kohdan ensimmäistä alakohtaa ja otettiin käyttöön vaatimus, jonka mukaan EPV:n on kehitettävä tietotekniset ratkaisut, mukaan lukien raportointilomakkeet ja ohjeet, joita laitosten on käytettävä kyseisen artiklan 1–4 kohdassa säädettyjen raportointivelvoitteiden noudattamiseksi.</w:t>
      </w:r>
      <w:r w:rsidR="002823A7" w:rsidRPr="006D7831">
        <w:rPr>
          <w:noProof/>
          <w:color w:val="000000"/>
        </w:rPr>
        <w:t xml:space="preserve"> Näin ollen tietopisteet ja tiedot, jotka laitosten on raportoitava ja jotka EPV:n olisi sisällytettävä kyseisiin tietoteknisiin ratkaisuihin, olisi täsmennettävä riittävän selkeästi. </w:t>
      </w:r>
      <w:r w:rsidR="002823A7" w:rsidRPr="006D7831">
        <w:rPr>
          <w:noProof/>
        </w:rPr>
        <w:t>Jotta EPV voisi kehittää asianmukaiset tietotekniset ratkaisut, näiden yhtenäisten raportointimuotojen ei tulisi olla sitovia niiden rakenteen ja esitystavan osalta, sillä EPV:n ei tulisi olla velvollinen toistamaan liitteessä vahvistettua graafista esitystapaa ja taulukkorakennetta.</w:t>
      </w:r>
      <w:r w:rsidR="002823A7" w:rsidRPr="006D7831">
        <w:rPr>
          <w:noProof/>
          <w:color w:val="000000"/>
        </w:rPr>
        <w:t xml:space="preserve"> </w:t>
      </w:r>
      <w:r w:rsidR="002823A7" w:rsidRPr="006D7831">
        <w:rPr>
          <w:noProof/>
        </w:rPr>
        <w:t>EPV:n olisi erityisesti voitava poiketa raportointilomakkeiden graafisesta esitystavasta ja taulukkorakenteesta, kunhan tietotekninen ratkaisu sisältää kaikki vaaditut tietopisteet ja tiedot.</w:t>
      </w:r>
      <w:r w:rsidR="002823A7" w:rsidRPr="006D7831">
        <w:rPr>
          <w:noProof/>
          <w:color w:val="000000"/>
        </w:rPr>
        <w:t xml:space="preserve"> </w:t>
      </w:r>
    </w:p>
    <w:p w:rsidR="00716EA9" w:rsidRPr="006D7831" w:rsidRDefault="00C07884" w:rsidP="00C07884">
      <w:pPr>
        <w:pStyle w:val="ManualConsidrant"/>
        <w:rPr>
          <w:noProof/>
          <w:szCs w:val="24"/>
        </w:rPr>
      </w:pPr>
      <w:r w:rsidRPr="00C07884">
        <w:rPr>
          <w:noProof/>
        </w:rPr>
        <w:t>(16)</w:t>
      </w:r>
      <w:r w:rsidRPr="00C07884">
        <w:rPr>
          <w:noProof/>
        </w:rPr>
        <w:tab/>
      </w:r>
      <w:r w:rsidR="00716EA9" w:rsidRPr="006D7831">
        <w:rPr>
          <w:noProof/>
        </w:rPr>
        <w:t xml:space="preserve">Jotta laitoksilla olisi riittävästi aikaa mukauttaa omaa sisäistä järjestelmäänsä ja noudattaa tarkistettuja raportointivaatimuksia, on tarpeen vahvistaa siirtymäsäännökset, joilla lykätään ensimmäisen neljännesvuosittaisen raportointivelvoitteen ilmoituspäivämäärää. </w:t>
      </w:r>
    </w:p>
    <w:p w:rsidR="008A53EE" w:rsidRPr="006D7831" w:rsidRDefault="00C07884" w:rsidP="00C07884">
      <w:pPr>
        <w:pStyle w:val="ManualConsidrant"/>
        <w:rPr>
          <w:noProof/>
          <w:szCs w:val="24"/>
        </w:rPr>
      </w:pPr>
      <w:r w:rsidRPr="00C07884">
        <w:rPr>
          <w:noProof/>
        </w:rPr>
        <w:t>(17)</w:t>
      </w:r>
      <w:r w:rsidRPr="00C07884">
        <w:rPr>
          <w:noProof/>
        </w:rPr>
        <w:tab/>
      </w:r>
      <w:r w:rsidR="008A53EE" w:rsidRPr="006D7831">
        <w:rPr>
          <w:noProof/>
        </w:rPr>
        <w:t>Jotta kaupankäyntivaraston koostumusta koskevan raportointivaatimuksen aikataulu voidaan yhdenmukaistaa asetuksen (EU) N:o 575/2013 kolmannen osan IV osaston 1 a ja 1 b luvussa säädettyjen markkinariskiä koskevien vaatimusten soveltamisaikataulun kanssa, on tarpeen säätää siirtymäsäännöksestä, joka mahdollistaa kyseisen raportointivaatimuksen myöhemmän ensimmäisen viitepäivämäärän.</w:t>
      </w:r>
    </w:p>
    <w:p w:rsidR="006427FA" w:rsidRPr="006D7831" w:rsidRDefault="00C07884" w:rsidP="00C07884">
      <w:pPr>
        <w:pStyle w:val="ManualConsidrant"/>
        <w:rPr>
          <w:noProof/>
          <w:szCs w:val="24"/>
        </w:rPr>
      </w:pPr>
      <w:r w:rsidRPr="00C07884">
        <w:rPr>
          <w:noProof/>
        </w:rPr>
        <w:t>(18)</w:t>
      </w:r>
      <w:r w:rsidRPr="00C07884">
        <w:rPr>
          <w:noProof/>
        </w:rPr>
        <w:tab/>
      </w:r>
      <w:r w:rsidR="006427FA" w:rsidRPr="006D7831">
        <w:rPr>
          <w:noProof/>
        </w:rPr>
        <w:t>Tämän asetuksen säännökset liittyvät läheisesti toisiinsa, sillä ne koskevat kaikki laitosten raportointivaatimuksia. Jotta varmistettaisiin niiden säännösten yhdenmukaisuus, jotta asianomaisten velvoitteiden soveltamisalaan kuuluvien henkilöiden olisi helpompi saada näistä säännöksistä kattava käsitys ja jotta heillä olisi yhtäläinen mahdollisuus tutustua niihin, on aiheellista sisällyttää kaikki asetuksessa (EU) N:o 575/2013 edellytetyt tekniset täytäntöönpanostandardit yhteen asetukseen.</w:t>
      </w:r>
    </w:p>
    <w:p w:rsidR="00716EA9" w:rsidRPr="006D7831" w:rsidRDefault="00C07884" w:rsidP="00C07884">
      <w:pPr>
        <w:pStyle w:val="ManualConsidrant"/>
        <w:rPr>
          <w:noProof/>
          <w:szCs w:val="24"/>
        </w:rPr>
      </w:pPr>
      <w:r w:rsidRPr="00C07884">
        <w:rPr>
          <w:noProof/>
        </w:rPr>
        <w:t>(19)</w:t>
      </w:r>
      <w:r w:rsidRPr="00C07884">
        <w:rPr>
          <w:noProof/>
        </w:rPr>
        <w:tab/>
      </w:r>
      <w:r w:rsidR="00716EA9" w:rsidRPr="006D7831">
        <w:rPr>
          <w:noProof/>
        </w:rPr>
        <w:t xml:space="preserve">Tämä asetus perustuu teknisten täytäntöönpanostandardien luonnoksiin, jotka Euroopan pankkiviranomainen on toimittanut komissiolle. </w:t>
      </w:r>
    </w:p>
    <w:p w:rsidR="00716EA9" w:rsidRPr="006D7831" w:rsidRDefault="00C07884" w:rsidP="00C07884">
      <w:pPr>
        <w:pStyle w:val="ManualConsidrant"/>
        <w:rPr>
          <w:noProof/>
          <w:szCs w:val="24"/>
        </w:rPr>
      </w:pPr>
      <w:r w:rsidRPr="00C07884">
        <w:rPr>
          <w:noProof/>
        </w:rPr>
        <w:t>(20)</w:t>
      </w:r>
      <w:r w:rsidRPr="00C07884">
        <w:rPr>
          <w:noProof/>
        </w:rPr>
        <w:tab/>
      </w:r>
      <w:r w:rsidR="00716EA9" w:rsidRPr="006D7831">
        <w:rPr>
          <w:noProof/>
        </w:rPr>
        <w:t>Euroopan pankkiviranomainen on järjestänyt avoimia julkisia kuulemisia teknisten sääntelystandardien luonnoksista, joihin tämä asetus perustuu, analysoinut niihin mahdollisesti liittyviä kustannuksia ja hyötyjä sekä pyytänyt neuvoja Euroopan parlamentin ja neuvoston asetuksen (EU) N:o 1093/2010</w:t>
      </w:r>
      <w:r w:rsidR="00716EA9" w:rsidRPr="006D7831">
        <w:rPr>
          <w:rStyle w:val="FootnoteReference"/>
          <w:noProof/>
          <w:szCs w:val="24"/>
        </w:rPr>
        <w:footnoteReference w:id="5"/>
      </w:r>
      <w:r w:rsidR="00716EA9" w:rsidRPr="006D7831">
        <w:rPr>
          <w:noProof/>
        </w:rPr>
        <w:t xml:space="preserve"> 37 artiklan mukaisesti perustetulta pankkialan osallisryhmältä.</w:t>
      </w:r>
    </w:p>
    <w:p w:rsidR="003D2BEA" w:rsidRPr="006D7831" w:rsidRDefault="00C07884" w:rsidP="00C07884">
      <w:pPr>
        <w:pStyle w:val="ManualConsidrant"/>
        <w:rPr>
          <w:noProof/>
          <w:szCs w:val="24"/>
        </w:rPr>
      </w:pPr>
      <w:r w:rsidRPr="00C07884">
        <w:rPr>
          <w:noProof/>
        </w:rPr>
        <w:t>(21)</w:t>
      </w:r>
      <w:r w:rsidRPr="00C07884">
        <w:rPr>
          <w:noProof/>
        </w:rPr>
        <w:tab/>
      </w:r>
      <w:r w:rsidR="00716EA9" w:rsidRPr="006D7831">
        <w:rPr>
          <w:noProof/>
        </w:rPr>
        <w:t>Jotta laitoksilla olisi riittävästi aikaa valmistautua tämän asetuksen ja asetuksen (EU) N:o 575/2013 430 artiklan 7 kohdan mukaiseen raportointiin, ensimmäinen soveltamispäivä olisi asetettava kuuden kuukauden päähän voimaantulopäivästä.</w:t>
      </w:r>
    </w:p>
    <w:p w:rsidR="00716EA9" w:rsidRPr="006D7831" w:rsidRDefault="00C07884" w:rsidP="00C07884">
      <w:pPr>
        <w:pStyle w:val="ManualConsidrant"/>
        <w:rPr>
          <w:noProof/>
          <w:szCs w:val="24"/>
        </w:rPr>
      </w:pPr>
      <w:r w:rsidRPr="00C07884">
        <w:rPr>
          <w:noProof/>
        </w:rPr>
        <w:t>(22)</w:t>
      </w:r>
      <w:r w:rsidRPr="00C07884">
        <w:rPr>
          <w:noProof/>
        </w:rPr>
        <w:tab/>
      </w:r>
      <w:r w:rsidR="003D2BEA" w:rsidRPr="006D7831">
        <w:rPr>
          <w:noProof/>
        </w:rPr>
        <w:t xml:space="preserve">Jotta tarkistettu raportointikehys voitaisiin ottaa käyttöön mahdollisimman pian, tämän asetuksen olisi tultava voimaan sitä päivää seuraavana päivänä, jona se julkaistaan </w:t>
      </w:r>
      <w:r w:rsidR="003D2BEA" w:rsidRPr="006D7831">
        <w:rPr>
          <w:i/>
          <w:noProof/>
        </w:rPr>
        <w:t>Euroopan unionin virallisessa lehdessä</w:t>
      </w:r>
      <w:r w:rsidR="003D2BEA" w:rsidRPr="006D7831">
        <w:rPr>
          <w:noProof/>
        </w:rPr>
        <w:t>,</w:t>
      </w:r>
    </w:p>
    <w:p w:rsidR="00185C9B" w:rsidRPr="006D7831" w:rsidRDefault="00185C9B" w:rsidP="004E1EF9">
      <w:pPr>
        <w:pStyle w:val="Formuledadoption"/>
        <w:rPr>
          <w:noProof/>
          <w:szCs w:val="24"/>
        </w:rPr>
      </w:pPr>
      <w:r w:rsidRPr="006D7831">
        <w:rPr>
          <w:noProof/>
        </w:rPr>
        <w:t>ON HYVÄKSYNYT TÄMÄN ASETUKSEN:</w:t>
      </w:r>
    </w:p>
    <w:p w:rsidR="00185C9B" w:rsidRPr="006D7831" w:rsidRDefault="00185C9B" w:rsidP="00134C2F">
      <w:pPr>
        <w:pStyle w:val="Titrearticle"/>
        <w:spacing w:after="0"/>
        <w:rPr>
          <w:noProof/>
          <w:szCs w:val="24"/>
        </w:rPr>
      </w:pPr>
      <w:r w:rsidRPr="006D7831">
        <w:rPr>
          <w:noProof/>
        </w:rPr>
        <w:t>1 artikla</w:t>
      </w:r>
    </w:p>
    <w:p w:rsidR="00716EA9" w:rsidRPr="006D7831" w:rsidRDefault="00716EA9" w:rsidP="00134C2F">
      <w:pPr>
        <w:pStyle w:val="Titrearticle"/>
        <w:spacing w:before="0"/>
        <w:rPr>
          <w:b/>
          <w:bCs/>
          <w:i w:val="0"/>
          <w:iCs/>
          <w:noProof/>
          <w:szCs w:val="24"/>
        </w:rPr>
      </w:pPr>
      <w:r w:rsidRPr="006D7831">
        <w:rPr>
          <w:b/>
          <w:i w:val="0"/>
          <w:noProof/>
        </w:rPr>
        <w:t>Tietojen toimittaminen</w:t>
      </w:r>
    </w:p>
    <w:p w:rsidR="00716EA9" w:rsidRPr="006D7831" w:rsidRDefault="00716EA9" w:rsidP="00C856B2">
      <w:pPr>
        <w:rPr>
          <w:noProof/>
        </w:rPr>
      </w:pPr>
      <w:r w:rsidRPr="006D7831">
        <w:rPr>
          <w:noProof/>
        </w:rPr>
        <w:t xml:space="preserve">Tässä asetuksessa vahvistetaan yhdenmukaiset raportointimuodot ja raportointitiheys ja </w:t>
      </w:r>
      <w:r w:rsidRPr="006D7831">
        <w:rPr>
          <w:noProof/>
        </w:rPr>
        <w:noBreakHyphen/>
        <w:t>ajankohdat, jotka liittyvät laitosten raportointiin toimivaltaisille viranomaisilleen asetuksen (EU) N:o 575/2013 415 artiklan 3 ja 3 a kohdan ja kyseisen asetuksen 430 artiklan 1–4 kohdan sekä 7 ja 9 kohdan mukaisesti.</w:t>
      </w:r>
    </w:p>
    <w:p w:rsidR="00716EA9" w:rsidRPr="006D7831" w:rsidRDefault="00716EA9" w:rsidP="00716EA9">
      <w:pPr>
        <w:pStyle w:val="Titrearticle"/>
        <w:rPr>
          <w:noProof/>
          <w:szCs w:val="24"/>
        </w:rPr>
      </w:pPr>
      <w:r w:rsidRPr="006D7831">
        <w:rPr>
          <w:noProof/>
        </w:rPr>
        <w:t>2 artikla</w:t>
      </w:r>
    </w:p>
    <w:p w:rsidR="00716EA9" w:rsidRPr="006D7831" w:rsidRDefault="00716EA9" w:rsidP="00F22954">
      <w:pPr>
        <w:pStyle w:val="Titrearticle"/>
        <w:spacing w:before="0"/>
        <w:rPr>
          <w:b/>
          <w:bCs/>
          <w:i w:val="0"/>
          <w:iCs/>
          <w:noProof/>
          <w:szCs w:val="24"/>
        </w:rPr>
      </w:pPr>
      <w:r w:rsidRPr="006D7831">
        <w:rPr>
          <w:b/>
          <w:i w:val="0"/>
          <w:noProof/>
        </w:rPr>
        <w:t>Raportoinnin viitepäivämäärät</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Laitosten on toimitettava liitteessä I tarkoitetut tiedot toimivaltaisille viranomaisille sellaisina kuin ne ovat seuraavina raportoinnin viitepäivämäärinä:</w:t>
      </w:r>
    </w:p>
    <w:p w:rsidR="00716EA9" w:rsidRPr="006D7831" w:rsidRDefault="00461B88" w:rsidP="00461B88">
      <w:pPr>
        <w:pStyle w:val="Point1"/>
        <w:rPr>
          <w:noProof/>
        </w:rPr>
      </w:pPr>
      <w:r>
        <w:rPr>
          <w:noProof/>
        </w:rPr>
        <w:t>a)</w:t>
      </w:r>
      <w:r>
        <w:rPr>
          <w:noProof/>
        </w:rPr>
        <w:tab/>
      </w:r>
      <w:r w:rsidR="00716EA9" w:rsidRPr="006D7831">
        <w:rPr>
          <w:noProof/>
        </w:rPr>
        <w:t>kuukausittainen raportointi: kunkin kuukauden viimeisenä päivänä;</w:t>
      </w:r>
    </w:p>
    <w:p w:rsidR="00716EA9" w:rsidRPr="006D7831" w:rsidRDefault="00461B88" w:rsidP="00461B88">
      <w:pPr>
        <w:pStyle w:val="Point1"/>
        <w:rPr>
          <w:noProof/>
        </w:rPr>
      </w:pPr>
      <w:r>
        <w:rPr>
          <w:noProof/>
        </w:rPr>
        <w:t>b)</w:t>
      </w:r>
      <w:r>
        <w:rPr>
          <w:noProof/>
        </w:rPr>
        <w:tab/>
      </w:r>
      <w:r w:rsidR="00716EA9" w:rsidRPr="006D7831">
        <w:rPr>
          <w:noProof/>
        </w:rPr>
        <w:t>neljännesvuosittainen raportointi: 31 päivänä maaliskuuta, 30 päivänä kesäkuuta, 30 päivänä syyskuuta ja 31 päivänä joulukuuta;</w:t>
      </w:r>
    </w:p>
    <w:p w:rsidR="00716EA9" w:rsidRPr="006D7831" w:rsidRDefault="00461B88" w:rsidP="00461B88">
      <w:pPr>
        <w:pStyle w:val="Point1"/>
        <w:rPr>
          <w:noProof/>
        </w:rPr>
      </w:pPr>
      <w:r>
        <w:rPr>
          <w:noProof/>
        </w:rPr>
        <w:t>c)</w:t>
      </w:r>
      <w:r>
        <w:rPr>
          <w:noProof/>
        </w:rPr>
        <w:tab/>
      </w:r>
      <w:r w:rsidR="00716EA9" w:rsidRPr="006D7831">
        <w:rPr>
          <w:noProof/>
        </w:rPr>
        <w:t>puolivuosittainen raportointi: 30 päivänä kesäkuuta ja 31 päivänä joulukuuta;</w:t>
      </w:r>
    </w:p>
    <w:p w:rsidR="00716EA9" w:rsidRPr="006D7831" w:rsidRDefault="00461B88" w:rsidP="00461B88">
      <w:pPr>
        <w:pStyle w:val="Point1"/>
        <w:rPr>
          <w:noProof/>
        </w:rPr>
      </w:pPr>
      <w:r>
        <w:rPr>
          <w:noProof/>
        </w:rPr>
        <w:t>d)</w:t>
      </w:r>
      <w:r>
        <w:rPr>
          <w:noProof/>
        </w:rPr>
        <w:tab/>
      </w:r>
      <w:r w:rsidR="00716EA9" w:rsidRPr="006D7831">
        <w:rPr>
          <w:noProof/>
        </w:rPr>
        <w:t>vuosittainen raportointi: 31 päivänä joulukuuta.</w:t>
      </w:r>
    </w:p>
    <w:p w:rsidR="00716EA9" w:rsidRPr="006D7831" w:rsidRDefault="00C07884" w:rsidP="00C07884">
      <w:pPr>
        <w:pStyle w:val="ManualNumPar1"/>
        <w:rPr>
          <w:noProof/>
        </w:rPr>
      </w:pPr>
      <w:r w:rsidRPr="00C07884">
        <w:rPr>
          <w:noProof/>
        </w:rPr>
        <w:t>2.</w:t>
      </w:r>
      <w:r w:rsidRPr="00C07884">
        <w:rPr>
          <w:noProof/>
        </w:rPr>
        <w:tab/>
      </w:r>
      <w:r w:rsidR="00A50DF2" w:rsidRPr="006D7831">
        <w:rPr>
          <w:noProof/>
        </w:rPr>
        <w:t>Laitosten on ilmoitettava liitteessä I tarkoitetut rahoitustiedot IFRS-standardien ja kansallisten tilinpäätössäännöstöjen mukaisesti ja viitattava tiettyyn kauteen kumulatiivisesti tilikauden ensimmäisestä päivästä alkaen ja viitepäivämäärään päättyen.</w:t>
      </w:r>
    </w:p>
    <w:p w:rsidR="00716EA9" w:rsidRPr="006D7831" w:rsidRDefault="00C07884" w:rsidP="00C07884">
      <w:pPr>
        <w:pStyle w:val="ManualNumPar1"/>
        <w:rPr>
          <w:noProof/>
        </w:rPr>
      </w:pPr>
      <w:r w:rsidRPr="00C07884">
        <w:rPr>
          <w:noProof/>
        </w:rPr>
        <w:t>3.</w:t>
      </w:r>
      <w:r w:rsidRPr="00C07884">
        <w:rPr>
          <w:noProof/>
        </w:rPr>
        <w:tab/>
      </w:r>
      <w:r w:rsidR="00A50DF2" w:rsidRPr="006D7831">
        <w:rPr>
          <w:noProof/>
        </w:rPr>
        <w:t>Laitokset, joilla on kansallisen lainsäädännön nojalla lupa ilmoittaa rahoitustietonsa tilinpäätöspäivänsä perusteella ja kyseinen tilinpäätöspäivä ei määräydy kalenterivuoden perusteella, voivat mukauttaa raportoinnin viitepäivämääriä saattaakseen kyseiset päivämäärät tilinpäätöspäivän mukaisiksi siten, että rahoitustiedot, 8 artiklan mukaisesti ilmoitettavat tiedot sekä maailmanlaajuisten järjestelmän kannalta merkittävien laitosten, jäljempänä ’G-SII-laitokset’, yksilöimiseksi ja G-SII-laitosten puskurikantojen määrittämiseksi tarvittavat tiedot ilmoitetaan aina kolmen, kuuden tai kahdentoista kuukauden välein laitosten tilinpäätöspäivästä lukien.</w:t>
      </w:r>
    </w:p>
    <w:p w:rsidR="00716EA9" w:rsidRPr="006D7831" w:rsidRDefault="00716EA9" w:rsidP="00716EA9">
      <w:pPr>
        <w:pStyle w:val="Titrearticle"/>
        <w:rPr>
          <w:noProof/>
          <w:szCs w:val="24"/>
        </w:rPr>
      </w:pPr>
      <w:r w:rsidRPr="006D7831">
        <w:rPr>
          <w:noProof/>
        </w:rPr>
        <w:t>3 artikla</w:t>
      </w:r>
    </w:p>
    <w:p w:rsidR="00716EA9" w:rsidRPr="006D7831" w:rsidRDefault="00716EA9" w:rsidP="00F22954">
      <w:pPr>
        <w:pStyle w:val="Titrearticle"/>
        <w:spacing w:before="0"/>
        <w:rPr>
          <w:b/>
          <w:bCs/>
          <w:i w:val="0"/>
          <w:iCs/>
          <w:noProof/>
          <w:szCs w:val="24"/>
        </w:rPr>
      </w:pPr>
      <w:r w:rsidRPr="006D7831">
        <w:rPr>
          <w:b/>
          <w:i w:val="0"/>
          <w:noProof/>
        </w:rPr>
        <w:t>Raportoinnin ilmoituspäivämäärät</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Laitosten on toimitettava liitteessä I tarkoitetut tiedot toimivaltaisille viranomaisille pankkipäivän loppuun mennessä seuraavina ilmoituspäivämäärinä:</w:t>
      </w:r>
    </w:p>
    <w:p w:rsidR="00716EA9" w:rsidRPr="006D7831" w:rsidRDefault="00461B88" w:rsidP="00461B88">
      <w:pPr>
        <w:pStyle w:val="Point1"/>
        <w:rPr>
          <w:noProof/>
        </w:rPr>
      </w:pPr>
      <w:r>
        <w:rPr>
          <w:noProof/>
        </w:rPr>
        <w:t>a)</w:t>
      </w:r>
      <w:r>
        <w:rPr>
          <w:noProof/>
        </w:rPr>
        <w:tab/>
      </w:r>
      <w:r w:rsidR="00716EA9" w:rsidRPr="006D7831">
        <w:rPr>
          <w:noProof/>
        </w:rPr>
        <w:t>kuukausittainen raportointi: 15. kalenteripäivänä raportoinnin viitepäivämäärästä lukien;</w:t>
      </w:r>
    </w:p>
    <w:p w:rsidR="00716EA9" w:rsidRPr="006D7831" w:rsidRDefault="00461B88" w:rsidP="00461B88">
      <w:pPr>
        <w:pStyle w:val="Point1"/>
        <w:rPr>
          <w:noProof/>
        </w:rPr>
      </w:pPr>
      <w:r>
        <w:rPr>
          <w:noProof/>
        </w:rPr>
        <w:t>b)</w:t>
      </w:r>
      <w:r>
        <w:rPr>
          <w:noProof/>
        </w:rPr>
        <w:tab/>
      </w:r>
      <w:r w:rsidR="00716EA9" w:rsidRPr="006D7831">
        <w:rPr>
          <w:noProof/>
        </w:rPr>
        <w:t>neljännesvuosittainen raportointi: 12 päivänä toukokuuta, 11 päivänä elokuuta, 11 päivänä marraskuuta ja 11 päivänä helmikuuta;</w:t>
      </w:r>
    </w:p>
    <w:p w:rsidR="00716EA9" w:rsidRPr="006D7831" w:rsidRDefault="00461B88" w:rsidP="00461B88">
      <w:pPr>
        <w:pStyle w:val="Point1"/>
        <w:rPr>
          <w:noProof/>
        </w:rPr>
      </w:pPr>
      <w:r>
        <w:rPr>
          <w:noProof/>
        </w:rPr>
        <w:t>c)</w:t>
      </w:r>
      <w:r>
        <w:rPr>
          <w:noProof/>
        </w:rPr>
        <w:tab/>
      </w:r>
      <w:r w:rsidR="00716EA9" w:rsidRPr="006D7831">
        <w:rPr>
          <w:noProof/>
        </w:rPr>
        <w:t>puolivuosittainen raportointi: 11 päivänä elokuuta ja 11 päivänä helmikuuta;</w:t>
      </w:r>
    </w:p>
    <w:p w:rsidR="00716EA9" w:rsidRPr="006D7831" w:rsidRDefault="00461B88" w:rsidP="00461B88">
      <w:pPr>
        <w:pStyle w:val="Point1"/>
        <w:rPr>
          <w:noProof/>
        </w:rPr>
      </w:pPr>
      <w:r>
        <w:rPr>
          <w:noProof/>
        </w:rPr>
        <w:t>d)</w:t>
      </w:r>
      <w:r>
        <w:rPr>
          <w:noProof/>
        </w:rPr>
        <w:tab/>
      </w:r>
      <w:r w:rsidR="00716EA9" w:rsidRPr="006D7831">
        <w:rPr>
          <w:noProof/>
        </w:rPr>
        <w:t xml:space="preserve">vuosittainen raportointi: 11 päivänä helmikuuta. </w:t>
      </w:r>
    </w:p>
    <w:p w:rsidR="00716EA9" w:rsidRPr="006D7831" w:rsidRDefault="00C07884" w:rsidP="00C07884">
      <w:pPr>
        <w:pStyle w:val="ManualNumPar1"/>
        <w:rPr>
          <w:noProof/>
        </w:rPr>
      </w:pPr>
      <w:r w:rsidRPr="00C07884">
        <w:rPr>
          <w:noProof/>
        </w:rPr>
        <w:t>2.</w:t>
      </w:r>
      <w:r w:rsidRPr="00C07884">
        <w:rPr>
          <w:noProof/>
        </w:rPr>
        <w:tab/>
      </w:r>
      <w:r w:rsidR="00D637BD" w:rsidRPr="006D7831">
        <w:rPr>
          <w:noProof/>
        </w:rPr>
        <w:t>Jos ilmoituspäivä on yleinen vapaapäivä jäsenvaltiossa, jonka toimivaltaiselle viranomaiselle raportti on jätettävä, tai lauantai tai sunnuntai, asianomaisten laitosten on toimitettava tiedot seuraavana arkipäivänä.</w:t>
      </w:r>
    </w:p>
    <w:p w:rsidR="00716EA9" w:rsidRPr="006D7831" w:rsidRDefault="00C07884" w:rsidP="00C07884">
      <w:pPr>
        <w:pStyle w:val="ManualNumPar1"/>
        <w:rPr>
          <w:noProof/>
        </w:rPr>
      </w:pPr>
      <w:r w:rsidRPr="00C07884">
        <w:rPr>
          <w:noProof/>
        </w:rPr>
        <w:t>3.</w:t>
      </w:r>
      <w:r w:rsidRPr="00C07884">
        <w:rPr>
          <w:noProof/>
        </w:rPr>
        <w:tab/>
      </w:r>
      <w:r w:rsidR="00923761" w:rsidRPr="006D7831">
        <w:rPr>
          <w:noProof/>
        </w:rPr>
        <w:t>Laitokset, jotka ilmoittavat liitteessä I tarkoitetut rahoitustiedot, 8 artiklan mukaisesti ilmoitettavat tiedot tai G-SII-laitosten yksilöimiseen ja niiden puskurikantojen määrittämiseen tarvittavat tiedot käyttäen 2 artiklan 3 kohdan nojalla laitosten tilinpäätöspäivän perusteella mukautettuja raportoinnin viitepäivämääriä, voivat mukauttaa ilmoituspäivämääriä vastaavasti siten, että mukautetusta raportoinnin viitepäivämäärästä laskettava ilmoituskausi säilyy samana.</w:t>
      </w:r>
    </w:p>
    <w:p w:rsidR="00716EA9" w:rsidRPr="006D7831" w:rsidRDefault="00C07884" w:rsidP="00C07884">
      <w:pPr>
        <w:pStyle w:val="ManualNumPar1"/>
        <w:rPr>
          <w:noProof/>
        </w:rPr>
      </w:pPr>
      <w:r w:rsidRPr="00C07884">
        <w:rPr>
          <w:noProof/>
        </w:rPr>
        <w:t>4.</w:t>
      </w:r>
      <w:r w:rsidRPr="00C07884">
        <w:rPr>
          <w:noProof/>
        </w:rPr>
        <w:tab/>
      </w:r>
      <w:r w:rsidR="00716EA9" w:rsidRPr="006D7831">
        <w:rPr>
          <w:noProof/>
        </w:rPr>
        <w:t>Laitokset voivat toimittaa tarkastamattomia lukuja. Jos tarkastetut luvut poikkeavat toimitetuista tarkastamattomista luvuista, laitosten on toimitettava korjatut tarkastetut luvut ilman aiheetonta viivytystä. Tarkastamattomat luvut ovat lukuja, joista ulkoinen tarkastaja ei ole antanut tarkastuslausumaa, kun taas tarkastetut luvut ovat lukuja, jotka ulkoinen tarkastaja on tarkastanut ja joista hän on antanut tarkastuslausuman.</w:t>
      </w:r>
    </w:p>
    <w:p w:rsidR="00716EA9" w:rsidRPr="006D7831" w:rsidRDefault="00C07884" w:rsidP="00C07884">
      <w:pPr>
        <w:pStyle w:val="ManualNumPar1"/>
        <w:rPr>
          <w:noProof/>
        </w:rPr>
      </w:pPr>
      <w:r w:rsidRPr="00C07884">
        <w:rPr>
          <w:noProof/>
        </w:rPr>
        <w:t>5.</w:t>
      </w:r>
      <w:r w:rsidRPr="00C07884">
        <w:rPr>
          <w:noProof/>
        </w:rPr>
        <w:tab/>
      </w:r>
      <w:r w:rsidR="00F22954" w:rsidRPr="006D7831">
        <w:rPr>
          <w:noProof/>
        </w:rPr>
        <w:t>Laitosten on toimitettava toimivaltaisille viranomaisille muut toimitettuihin raportteihin tehtävät korjaukset kuin 4 kohdassa tarkoitetut korjaukset ilman aiheetonta viivytystä.</w:t>
      </w:r>
    </w:p>
    <w:p w:rsidR="00716EA9" w:rsidRPr="006D7831" w:rsidRDefault="00716EA9" w:rsidP="00716EA9">
      <w:pPr>
        <w:pStyle w:val="Titrearticle"/>
        <w:rPr>
          <w:noProof/>
          <w:szCs w:val="24"/>
        </w:rPr>
      </w:pPr>
      <w:r w:rsidRPr="006D7831">
        <w:rPr>
          <w:noProof/>
        </w:rPr>
        <w:t>4 artikla</w:t>
      </w:r>
    </w:p>
    <w:p w:rsidR="00716EA9" w:rsidRPr="006D7831" w:rsidRDefault="00716EA9" w:rsidP="00F22954">
      <w:pPr>
        <w:pStyle w:val="Titrearticle"/>
        <w:spacing w:before="0"/>
        <w:rPr>
          <w:b/>
          <w:bCs/>
          <w:i w:val="0"/>
          <w:iCs/>
          <w:noProof/>
          <w:szCs w:val="24"/>
        </w:rPr>
      </w:pPr>
      <w:r w:rsidRPr="006D7831">
        <w:rPr>
          <w:b/>
          <w:i w:val="0"/>
          <w:noProof/>
        </w:rPr>
        <w:t>Raportointikynnykset – mukaantulo- ja poistumiskriteerit</w:t>
      </w:r>
    </w:p>
    <w:p w:rsidR="00716EA9" w:rsidRPr="006D7831" w:rsidRDefault="00C07884" w:rsidP="00C07884">
      <w:pPr>
        <w:pStyle w:val="ManualNumPar1"/>
        <w:rPr>
          <w:noProof/>
        </w:rPr>
      </w:pPr>
      <w:r w:rsidRPr="00C07884">
        <w:rPr>
          <w:noProof/>
        </w:rPr>
        <w:t>1.</w:t>
      </w:r>
      <w:r w:rsidRPr="00C07884">
        <w:rPr>
          <w:noProof/>
        </w:rPr>
        <w:tab/>
      </w:r>
      <w:r w:rsidR="003F44DA" w:rsidRPr="006D7831">
        <w:rPr>
          <w:noProof/>
        </w:rPr>
        <w:t>Pienten ja rakenteeltaan yksinkertaisten laitosten on aloitettava liitteessä I tarkoitettujen tietojen ilmoittaminen ensimmäisenä raportoinnin viitepäivämääränä sen päivän jälkeen, jona kyseiset laitokset ovat täyttäneet asetuksen (EU) N:o 575/2013 4 artiklan 1 kohdan 145 alakohdassa säädetyt kriteerit. Laitosten, jotka eivät enää täytä näitä kriteerejä, on lopetettava kyseisten tietojen ilmoittaminen ensimmäisenä raportoinnin viitepäivämääränä sen päivän jälkeen, jona ne eivät enää täytä kyseisiä kriteerejä.</w:t>
      </w:r>
    </w:p>
    <w:p w:rsidR="00716EA9" w:rsidRPr="006D7831" w:rsidRDefault="00C07884" w:rsidP="00C07884">
      <w:pPr>
        <w:pStyle w:val="ManualNumPar1"/>
        <w:rPr>
          <w:noProof/>
        </w:rPr>
      </w:pPr>
      <w:r w:rsidRPr="00C07884">
        <w:rPr>
          <w:noProof/>
        </w:rPr>
        <w:t>2.</w:t>
      </w:r>
      <w:r w:rsidRPr="00C07884">
        <w:rPr>
          <w:noProof/>
        </w:rPr>
        <w:tab/>
      </w:r>
      <w:r w:rsidR="003F44DA" w:rsidRPr="006D7831">
        <w:rPr>
          <w:noProof/>
        </w:rPr>
        <w:t>Suurten laitosten on aloitettava liitteessä I tarkoitettujen tietojen ilmoittaminen ensimmäisenä raportoinnin viitepäivämääränä sen päivän jälkeen, jona kyseiset laitokset ovat täyttäneet asetuksen (EU) N:o 575/2013 4 artiklan 1 kohdan 146 alakohdassa säädetyt kriteerit. Laitosten, jotka eivät enää täytä näitä kriteerejä, on lopetettava kyseisten tietojen ilmoittaminen ensimmäisenä raportoinnin viitepäivämääränä, jona ne eivät enää täytä kyseisiä kriteerejä.</w:t>
      </w:r>
    </w:p>
    <w:p w:rsidR="00716EA9" w:rsidRPr="006D7831" w:rsidRDefault="00C07884" w:rsidP="00C07884">
      <w:pPr>
        <w:pStyle w:val="ManualNumPar1"/>
        <w:rPr>
          <w:noProof/>
        </w:rPr>
      </w:pPr>
      <w:r w:rsidRPr="00C07884">
        <w:rPr>
          <w:noProof/>
        </w:rPr>
        <w:t>3.</w:t>
      </w:r>
      <w:r w:rsidRPr="00C07884">
        <w:rPr>
          <w:noProof/>
        </w:rPr>
        <w:tab/>
      </w:r>
      <w:r w:rsidR="00716EA9" w:rsidRPr="006D7831">
        <w:rPr>
          <w:noProof/>
        </w:rPr>
        <w:t>Laitosten on aloitettava liitteessä I tarkoitettujen tietojen ilmoittaminen, jollei tämän asetuksen 5 artiklan 2 ja 3 kohdassa, 6 artiklan 2 ja 3 kohdassa, 11 ja 12 artiklassa, 15 artiklan 2–5 kohdassa ja 17–20 artiklassa säädetyistä kynnysarvoista muuta johdu, sitä päivää seuraavana raportoinnin viitepäivämääränä, jona kyseiset kynnysarvot on ylitetty toisena peräkkäisenä raportoinnin viitepäivämääränä. Laitokset voivat lakata ilmoittamasta tietoja, joihin sovelletaan kyseisissä artikloissa säädettyjä kynnysarvoja, sen päivän jälkeisenä raportoinnin viitepäivämääränä, jona ne ovat alittaneet kynnysarvot kolmantena peräkkäisenä raportoinnin viitepäivämääränä.</w:t>
      </w:r>
    </w:p>
    <w:p w:rsidR="00716EA9" w:rsidRPr="006D7831" w:rsidRDefault="00C07884" w:rsidP="00C07884">
      <w:pPr>
        <w:pStyle w:val="ManualNumPar1"/>
        <w:rPr>
          <w:noProof/>
        </w:rPr>
      </w:pPr>
      <w:r w:rsidRPr="00C07884">
        <w:rPr>
          <w:noProof/>
        </w:rPr>
        <w:t>4.</w:t>
      </w:r>
      <w:r w:rsidRPr="00C07884">
        <w:rPr>
          <w:noProof/>
        </w:rPr>
        <w:tab/>
      </w:r>
      <w:r w:rsidR="00716EA9" w:rsidRPr="006D7831">
        <w:rPr>
          <w:noProof/>
        </w:rPr>
        <w:t xml:space="preserve">Poiketen siitä, mitä 3 kohdassa säädetään, laitosten on aloitettava tietojen ilmoittaminen, jos ne täyttävät jonkin seuraavista edellytyksistä viitepäivämäärää edeltävien kuuden kuukauden aikana: </w:t>
      </w:r>
    </w:p>
    <w:p w:rsidR="00716EA9" w:rsidRPr="006D7831" w:rsidRDefault="00461B88" w:rsidP="00461B88">
      <w:pPr>
        <w:pStyle w:val="Point1"/>
        <w:rPr>
          <w:noProof/>
          <w:color w:val="000000"/>
        </w:rPr>
      </w:pPr>
      <w:r>
        <w:rPr>
          <w:noProof/>
        </w:rPr>
        <w:t>a)</w:t>
      </w:r>
      <w:r>
        <w:rPr>
          <w:noProof/>
        </w:rPr>
        <w:tab/>
      </w:r>
      <w:r w:rsidR="00716EA9" w:rsidRPr="006D7831">
        <w:rPr>
          <w:noProof/>
        </w:rPr>
        <w:t>kyseiselle laitokselle on annettu lupa aloittaa toimintansa luottolaitoksena Euroopan parlamentin ja neuvoston direktiivin 2013/36/EU</w:t>
      </w:r>
      <w:r w:rsidR="00716EA9" w:rsidRPr="006D7831">
        <w:rPr>
          <w:rStyle w:val="FootnoteReference"/>
          <w:rFonts w:eastAsia="Times New Roman"/>
          <w:bCs/>
          <w:noProof/>
          <w:szCs w:val="24"/>
          <w:lang w:eastAsia="fr-BE"/>
        </w:rPr>
        <w:footnoteReference w:id="6"/>
      </w:r>
      <w:r w:rsidR="00716EA9" w:rsidRPr="006D7831">
        <w:rPr>
          <w:noProof/>
        </w:rPr>
        <w:t xml:space="preserve"> 8 artiklan nojalla;</w:t>
      </w:r>
    </w:p>
    <w:p w:rsidR="00716EA9" w:rsidRPr="006D7831" w:rsidRDefault="00461B88" w:rsidP="00461B88">
      <w:pPr>
        <w:pStyle w:val="Point1"/>
        <w:rPr>
          <w:noProof/>
          <w:color w:val="000000"/>
        </w:rPr>
      </w:pPr>
      <w:r>
        <w:rPr>
          <w:noProof/>
        </w:rPr>
        <w:t>b)</w:t>
      </w:r>
      <w:r>
        <w:rPr>
          <w:noProof/>
        </w:rPr>
        <w:tab/>
      </w:r>
      <w:r w:rsidR="00716EA9" w:rsidRPr="006D7831">
        <w:rPr>
          <w:noProof/>
        </w:rPr>
        <w:t>laitos on sijoituspalveluyritys, joka kuuluu asetuksen (EU) N:o 575/2013 soveltamisalaan kyseisen asetuksen 4 artiklan 1 kohdan 1 alakohdan b alakohdassa säädetyn kynnysarvon ylittymisen tai Euroopan parlamentin ja neuvoston direktiivin (EU) 2019/2034</w:t>
      </w:r>
      <w:r w:rsidR="00716EA9" w:rsidRPr="006D7831">
        <w:rPr>
          <w:rStyle w:val="FootnoteReference"/>
          <w:rFonts w:eastAsia="Times New Roman"/>
          <w:bCs/>
          <w:noProof/>
          <w:szCs w:val="24"/>
          <w:lang w:eastAsia="fr-BE"/>
        </w:rPr>
        <w:footnoteReference w:id="7"/>
      </w:r>
      <w:r w:rsidR="00716EA9" w:rsidRPr="006D7831">
        <w:rPr>
          <w:noProof/>
        </w:rPr>
        <w:t> 5 artiklan mukaisen toimivaltaisen viranomaisen päätöksen nojalla;</w:t>
      </w:r>
    </w:p>
    <w:p w:rsidR="00716EA9" w:rsidRPr="006D7831" w:rsidRDefault="00461B88" w:rsidP="00461B88">
      <w:pPr>
        <w:pStyle w:val="Point1"/>
        <w:rPr>
          <w:noProof/>
          <w:color w:val="000000"/>
        </w:rPr>
      </w:pPr>
      <w:r>
        <w:rPr>
          <w:noProof/>
        </w:rPr>
        <w:t>c)</w:t>
      </w:r>
      <w:r>
        <w:rPr>
          <w:noProof/>
        </w:rPr>
        <w:tab/>
      </w:r>
      <w:r w:rsidR="00716EA9" w:rsidRPr="006D7831">
        <w:rPr>
          <w:noProof/>
        </w:rPr>
        <w:t>laitos on yhteisö, joka on syntynyt joko vähintään kahden laitoksen sulautumisesta tai laitoksen jakamisesta vähintään kahteen laitokseen.</w:t>
      </w:r>
    </w:p>
    <w:p w:rsidR="00716EA9" w:rsidRPr="006D7831" w:rsidRDefault="00C07884" w:rsidP="00C07884">
      <w:pPr>
        <w:pStyle w:val="ManualNumPar1"/>
        <w:rPr>
          <w:noProof/>
        </w:rPr>
      </w:pPr>
      <w:r w:rsidRPr="00C07884">
        <w:rPr>
          <w:noProof/>
        </w:rPr>
        <w:t>5.</w:t>
      </w:r>
      <w:r w:rsidRPr="00C07884">
        <w:rPr>
          <w:noProof/>
        </w:rPr>
        <w:tab/>
      </w:r>
      <w:r w:rsidR="00716EA9" w:rsidRPr="006D7831">
        <w:rPr>
          <w:noProof/>
        </w:rPr>
        <w:t>Edellä 4 kohdassa tarkoitettujen laitosten osalta raportointiin, johon sovelletaan 4 artiklassa säädettyjä kynnysarvoja kahden ensimmäisen viitepäivämäärän osalta, sovelletaan seuraavaa:</w:t>
      </w:r>
    </w:p>
    <w:p w:rsidR="00716EA9" w:rsidRPr="006D7831" w:rsidRDefault="00461B88" w:rsidP="00461B88">
      <w:pPr>
        <w:pStyle w:val="Point1"/>
        <w:rPr>
          <w:noProof/>
        </w:rPr>
      </w:pPr>
      <w:r>
        <w:rPr>
          <w:noProof/>
        </w:rPr>
        <w:t>a)</w:t>
      </w:r>
      <w:r>
        <w:rPr>
          <w:noProof/>
        </w:rPr>
        <w:tab/>
      </w:r>
      <w:r w:rsidR="0050785B" w:rsidRPr="006D7831">
        <w:rPr>
          <w:noProof/>
        </w:rPr>
        <w:t>laitosten, jotka ylittävät asiaankuuluvan kynnysarvon jo ensimmäisenä viitepäivämääränä, on ilmoitettava kyseisen kynnysarvon soveltamisalaan kuuluvat tiedot sekä ensimmäisen että toisen viitepäivämäärän osalta;</w:t>
      </w:r>
    </w:p>
    <w:p w:rsidR="00716EA9" w:rsidRPr="006D7831" w:rsidRDefault="00461B88" w:rsidP="00461B88">
      <w:pPr>
        <w:pStyle w:val="Point1"/>
        <w:rPr>
          <w:noProof/>
        </w:rPr>
      </w:pPr>
      <w:r>
        <w:rPr>
          <w:noProof/>
        </w:rPr>
        <w:t>b)</w:t>
      </w:r>
      <w:r>
        <w:rPr>
          <w:noProof/>
        </w:rPr>
        <w:tab/>
      </w:r>
      <w:r w:rsidR="0050785B" w:rsidRPr="006D7831">
        <w:rPr>
          <w:noProof/>
        </w:rPr>
        <w:t>laitosten, jotka ylittävät asiaankuuluvan kynnysarvon vasta toisena viitepäivämääränä, on ilmoitettava kyseisen kynnysarvon soveltamisalaan kuuluvat tiedot toisen viitepäivämäärän osalta.</w:t>
      </w:r>
    </w:p>
    <w:p w:rsidR="00716EA9" w:rsidRPr="006D7831" w:rsidRDefault="00716EA9" w:rsidP="00C856B2">
      <w:pPr>
        <w:pStyle w:val="Text1"/>
        <w:rPr>
          <w:noProof/>
        </w:rPr>
      </w:pPr>
      <w:r w:rsidRPr="006D7831">
        <w:rPr>
          <w:noProof/>
        </w:rPr>
        <w:t>Laitokset, jotka ovat alittaneet a ja b alakohdassa tarkoitetut asiaankuuluvat kynnysarvot kolmena peräkkäisenä raportoinnin viitepäivämääränä, voivat lopettaa sellaisten tietojen ilmoittamisen, joihin sovelletaan kynnysarvoa, seuraavana raportoinnin viitepäivämääränä.</w:t>
      </w:r>
    </w:p>
    <w:p w:rsidR="00716EA9" w:rsidRPr="006D7831" w:rsidRDefault="00716EA9" w:rsidP="00E537F5">
      <w:pPr>
        <w:pStyle w:val="Titrearticle"/>
        <w:rPr>
          <w:noProof/>
          <w:szCs w:val="24"/>
        </w:rPr>
      </w:pPr>
      <w:r w:rsidRPr="006D7831">
        <w:rPr>
          <w:noProof/>
        </w:rPr>
        <w:t>5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yksittäisinä laitoksina – neljännesvuosittainen raportointi</w:t>
      </w:r>
    </w:p>
    <w:p w:rsidR="00716EA9" w:rsidRPr="006D7831" w:rsidRDefault="00C07884" w:rsidP="00C07884">
      <w:pPr>
        <w:pStyle w:val="ManualNumPar1"/>
        <w:rPr>
          <w:noProof/>
        </w:rPr>
      </w:pPr>
      <w:r w:rsidRPr="00C07884">
        <w:rPr>
          <w:noProof/>
        </w:rPr>
        <w:t>1.</w:t>
      </w:r>
      <w:r w:rsidRPr="00C07884">
        <w:rPr>
          <w:noProof/>
        </w:rPr>
        <w:tab/>
      </w:r>
      <w:r w:rsidR="00BF6649" w:rsidRPr="006D7831">
        <w:rPr>
          <w:noProof/>
        </w:rPr>
        <w:t>Laitosten, jotka ilmoittavat omia varoja ja omien varojen vaatimuksia koskevat tiedot asetuksen (EU) N:o 575/2013 430 artiklan 1 kohdan a alakohdan mukaisesti yksittäisinä laitoksina, on toimitettava nämä tiedot tämän asetuksen liitteessä I olevan 1 jakson ”Omien varojen ja omien varojen vaatimusten raportointi” mukaisesti neljännesvuosittain.</w:t>
      </w:r>
    </w:p>
    <w:p w:rsidR="00290C23" w:rsidRPr="006D7831" w:rsidRDefault="00C07884" w:rsidP="00C07884">
      <w:pPr>
        <w:pStyle w:val="ManualNumPar1"/>
        <w:rPr>
          <w:rFonts w:eastAsia="Times New Roman"/>
          <w:noProof/>
        </w:rPr>
      </w:pPr>
      <w:r w:rsidRPr="00C07884">
        <w:rPr>
          <w:noProof/>
        </w:rPr>
        <w:t>2.</w:t>
      </w:r>
      <w:r w:rsidRPr="00C07884">
        <w:rPr>
          <w:noProof/>
        </w:rPr>
        <w:tab/>
      </w:r>
      <w:r w:rsidR="00290C23" w:rsidRPr="006D7831">
        <w:rPr>
          <w:noProof/>
        </w:rPr>
        <w:t>Laitosten on toimitettava lomakkeissa C 09.01 ja C 09.02 täsmennetyt tiedot ja erityisesti tiedot vastuiden maantieteellisestä jakautumisesta maittain niissä tapauksissa, joissa ulkomaisten alkuperäisten vastuiden osuus on kaikissa ulkomaissa ja kaikissa vastuuluokissa lomakkeen C 04.00 rivillä 0850 ilmoitetulla tavalla vähintään 10 prosenttia lomakkeen C 04.00 rivillä 0860 ilmoitetusta kotimaisten ja muiden kuin kotimaisten alkuperäisten vastuiden kokonaismäärästä. Vastuut katsotaan kotimaisiksi silloin, kun ne ovat sellaisiin vastapuoliin liittyviä vastuita, jotka sijaitsevat siinä jäsenvaltiossa, johon laitos on sijoittautunut.</w:t>
      </w:r>
    </w:p>
    <w:p w:rsidR="00290C23" w:rsidRPr="006D7831" w:rsidRDefault="00C07884" w:rsidP="00C07884">
      <w:pPr>
        <w:pStyle w:val="ManualNumPar1"/>
        <w:rPr>
          <w:rFonts w:eastAsia="Times New Roman"/>
          <w:noProof/>
        </w:rPr>
      </w:pPr>
      <w:r w:rsidRPr="00C07884">
        <w:rPr>
          <w:noProof/>
        </w:rPr>
        <w:t>3.</w:t>
      </w:r>
      <w:r w:rsidRPr="00C07884">
        <w:rPr>
          <w:noProof/>
        </w:rPr>
        <w:tab/>
      </w:r>
      <w:r w:rsidR="00290C23" w:rsidRPr="006D7831">
        <w:rPr>
          <w:noProof/>
        </w:rPr>
        <w:t>Laitosten, jotka soveltavat pääasiallista menetelmää komission delegoidun asetuksen (EU) 2016/101</w:t>
      </w:r>
      <w:r w:rsidR="00797855" w:rsidRPr="006D7831">
        <w:rPr>
          <w:rStyle w:val="FootnoteReference"/>
          <w:rFonts w:eastAsia="Times New Roman"/>
          <w:noProof/>
          <w:lang w:eastAsia="en-GB" w:bidi="en-GB"/>
        </w:rPr>
        <w:footnoteReference w:id="8"/>
      </w:r>
      <w:r w:rsidR="00290C23" w:rsidRPr="006D7831">
        <w:rPr>
          <w:noProof/>
        </w:rPr>
        <w:t xml:space="preserve"> mukaisesti ja jotka ylittävät kyseisen asetuksen 4 artiklan 1 kohdassa tarkoitetun kynnysarvon, on ilmoitettava lomakkeissa C 32.03 ja C 32.04 täsmennetyt tiedot.</w:t>
      </w:r>
    </w:p>
    <w:p w:rsidR="00716EA9" w:rsidRPr="006D7831" w:rsidRDefault="00C07884" w:rsidP="00C07884">
      <w:pPr>
        <w:pStyle w:val="ManualNumPar1"/>
        <w:rPr>
          <w:rFonts w:eastAsia="Times New Roman"/>
          <w:noProof/>
        </w:rPr>
      </w:pPr>
      <w:r w:rsidRPr="00C07884">
        <w:rPr>
          <w:noProof/>
        </w:rPr>
        <w:t>4.</w:t>
      </w:r>
      <w:r w:rsidRPr="00C07884">
        <w:rPr>
          <w:noProof/>
        </w:rPr>
        <w:tab/>
      </w:r>
      <w:r w:rsidR="00AB6D3F" w:rsidRPr="006D7831">
        <w:rPr>
          <w:noProof/>
        </w:rPr>
        <w:t>Asetuksen (EU) N:o 575/2013 92 artiklan 4 kohdan b alakohdan i alakohdassa ja c alakohdassa ja 92 artiklan 5 kohdan b ja c alakohdassa tarkoitettujen omien varojen vaatimusten laskemiseksi laitosten on toimitettava 31 päivään joulukuuta 2025 saakka tiedot markkinariskiin liittyvistä omien varojen vaatimuksista täytäntöönpanoasetuksen (EU) 2021/451 5 artiklan 12 kohdan mukaisesti.</w:t>
      </w:r>
    </w:p>
    <w:p w:rsidR="00716EA9" w:rsidRPr="006D7831" w:rsidRDefault="00716EA9" w:rsidP="00E537F5">
      <w:pPr>
        <w:pStyle w:val="Titrearticle"/>
        <w:rPr>
          <w:noProof/>
          <w:szCs w:val="24"/>
        </w:rPr>
      </w:pPr>
      <w:r w:rsidRPr="006D7831">
        <w:rPr>
          <w:noProof/>
        </w:rPr>
        <w:t>6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yksittäisinä laitoksina – puolivuosittainen raportointi</w:t>
      </w:r>
    </w:p>
    <w:p w:rsidR="00716EA9" w:rsidRPr="006D7831" w:rsidRDefault="00C07884" w:rsidP="00C07884">
      <w:pPr>
        <w:pStyle w:val="ManualNumPar1"/>
        <w:rPr>
          <w:noProof/>
        </w:rPr>
      </w:pPr>
      <w:r w:rsidRPr="00C07884">
        <w:rPr>
          <w:noProof/>
        </w:rPr>
        <w:t>1.</w:t>
      </w:r>
      <w:r w:rsidRPr="00C07884">
        <w:rPr>
          <w:noProof/>
        </w:rPr>
        <w:tab/>
      </w:r>
      <w:r w:rsidR="00266139" w:rsidRPr="006D7831">
        <w:rPr>
          <w:noProof/>
        </w:rPr>
        <w:t>Laitosten, jotka ilmoittavat omia varoja ja omien varojen vaatimuksia koskevat tiedot asetuksen (EU) N:o 575/2013 430 artiklan 1 kohdan a alakohdan mukaisesti yksittäisinä laitoksina, on toimitettava nämä tiedot liitteessä I olevan 1 jakson ”Omien varojen ja omien varojen vaatimusten raportointi” mukaisesti puolivuosittain.</w:t>
      </w:r>
    </w:p>
    <w:p w:rsidR="00ED139D" w:rsidRPr="006D7831" w:rsidRDefault="00C07884" w:rsidP="00C07884">
      <w:pPr>
        <w:pStyle w:val="ManualNumPar1"/>
        <w:rPr>
          <w:noProof/>
        </w:rPr>
      </w:pPr>
      <w:r w:rsidRPr="00C07884">
        <w:rPr>
          <w:noProof/>
        </w:rPr>
        <w:t>2.</w:t>
      </w:r>
      <w:r w:rsidRPr="00C07884">
        <w:rPr>
          <w:noProof/>
        </w:rPr>
        <w:tab/>
      </w:r>
      <w:r w:rsidR="00ED139D" w:rsidRPr="006D7831">
        <w:rPr>
          <w:noProof/>
        </w:rPr>
        <w:t>Laitosten on toimitettava lomakkeissa C 14.00 ja C 14.01 täsmennetyt kaikkia arvopaperistettuja vastuita koskevat tiedot liitteessä I olevan 1 jakson ”Omien varojen ja omien varojen vaatimusten raportointi” mukaisesti, paitsi jos ne kuuluvat ryhmään samassa maassa, jossa niihin sovelletaan omien varojen vaatimusta.</w:t>
      </w:r>
    </w:p>
    <w:p w:rsidR="003808D8" w:rsidRPr="006D7831" w:rsidRDefault="00C07884" w:rsidP="00C07884">
      <w:pPr>
        <w:pStyle w:val="ManualNumPar1"/>
        <w:rPr>
          <w:noProof/>
        </w:rPr>
      </w:pPr>
      <w:r w:rsidRPr="00C07884">
        <w:rPr>
          <w:noProof/>
        </w:rPr>
        <w:t>3.</w:t>
      </w:r>
      <w:r w:rsidRPr="00C07884">
        <w:rPr>
          <w:noProof/>
        </w:rPr>
        <w:tab/>
      </w:r>
      <w:r w:rsidR="003808D8" w:rsidRPr="006D7831">
        <w:rPr>
          <w:noProof/>
        </w:rPr>
        <w:t>Laitosten on toimitettava tiedot valtiovastuista seuraavasti:</w:t>
      </w:r>
    </w:p>
    <w:p w:rsidR="003808D8" w:rsidRPr="006D7831" w:rsidRDefault="00461B88" w:rsidP="00461B88">
      <w:pPr>
        <w:pStyle w:val="Point1"/>
        <w:rPr>
          <w:noProof/>
        </w:rPr>
      </w:pPr>
      <w:r>
        <w:rPr>
          <w:noProof/>
        </w:rPr>
        <w:t>a)</w:t>
      </w:r>
      <w:r>
        <w:rPr>
          <w:noProof/>
        </w:rPr>
        <w:tab/>
      </w:r>
      <w:r w:rsidR="003808D8" w:rsidRPr="006D7831">
        <w:rPr>
          <w:noProof/>
        </w:rPr>
        <w:t>jos vastapuolisektorin ”Julkisyhteisöt” rahoitusvarojen yhteenlaskettu kirjanpitoarvo on vähintään 1 prosentti kohtien ”Vieraan pääoman ehtoiset arvopaperit” ja ”Luotot” yhteenlasketusta kirjanpitoarvosta, laitosten on toimitettava lomakkeessa C 33.00 täsmennetyt tiedot;</w:t>
      </w:r>
    </w:p>
    <w:p w:rsidR="003808D8" w:rsidRPr="006D7831" w:rsidRDefault="00461B88" w:rsidP="00461B88">
      <w:pPr>
        <w:pStyle w:val="Point1"/>
        <w:rPr>
          <w:noProof/>
        </w:rPr>
      </w:pPr>
      <w:r>
        <w:rPr>
          <w:noProof/>
        </w:rPr>
        <w:t>b)</w:t>
      </w:r>
      <w:r>
        <w:rPr>
          <w:noProof/>
        </w:rPr>
        <w:tab/>
      </w:r>
      <w:r w:rsidR="003808D8" w:rsidRPr="006D7831">
        <w:rPr>
          <w:noProof/>
        </w:rPr>
        <w:t>jos lomakkeen C 33.00 rivillä 0010 sarakkeessa 0010 määriteltyjen johdannaisvaroihin kuulumattomien rahoitusvarojen kotimaisten vastuiden ilmoitettu arvo on alle 90 prosenttia kotimaisten ja muiden kuin kotimaisten vastuiden raportoidusta arvosta saman tietopisteen osalta, laitosten, jotka täyttävät a alakohdassa tarkoitetun edellytyksen, on toimitettava lomakkeessa C 33.00 määritellyt tiedot ja täydellinen maakohtainen erittely;</w:t>
      </w:r>
    </w:p>
    <w:p w:rsidR="003808D8" w:rsidRPr="006D7831" w:rsidRDefault="00461B88" w:rsidP="00461B88">
      <w:pPr>
        <w:pStyle w:val="Point1"/>
        <w:rPr>
          <w:noProof/>
        </w:rPr>
      </w:pPr>
      <w:r>
        <w:rPr>
          <w:noProof/>
        </w:rPr>
        <w:t>c)</w:t>
      </w:r>
      <w:r>
        <w:rPr>
          <w:noProof/>
        </w:rPr>
        <w:tab/>
      </w:r>
      <w:r w:rsidR="003808D8" w:rsidRPr="006D7831">
        <w:rPr>
          <w:noProof/>
        </w:rPr>
        <w:t>laitosten, jotka täyttävät a alakohdassa tarkoitetut edellytykset mutta eivät täytä b alakohdassa tarkoitettua edellytystä, on toimitettava lomakkeessa C 33.00 täsmennetyt tiedot siten, että vastuut on laskettu yhteen</w:t>
      </w:r>
    </w:p>
    <w:p w:rsidR="003808D8" w:rsidRPr="006D7831" w:rsidRDefault="003808D8" w:rsidP="00C856B2">
      <w:pPr>
        <w:pStyle w:val="Point2"/>
        <w:rPr>
          <w:noProof/>
        </w:rPr>
      </w:pPr>
      <w:r w:rsidRPr="006D7831">
        <w:rPr>
          <w:noProof/>
        </w:rPr>
        <w:t>i)</w:t>
      </w:r>
      <w:r w:rsidRPr="006D7831">
        <w:rPr>
          <w:noProof/>
        </w:rPr>
        <w:tab/>
        <w:t>kokonaismäärän tasolla; ja</w:t>
      </w:r>
    </w:p>
    <w:p w:rsidR="003808D8" w:rsidRPr="006D7831" w:rsidRDefault="003808D8" w:rsidP="00C856B2">
      <w:pPr>
        <w:pStyle w:val="Point2"/>
        <w:rPr>
          <w:noProof/>
        </w:rPr>
      </w:pPr>
      <w:r w:rsidRPr="006D7831">
        <w:rPr>
          <w:noProof/>
        </w:rPr>
        <w:t>ii)</w:t>
      </w:r>
      <w:r w:rsidRPr="006D7831">
        <w:rPr>
          <w:noProof/>
        </w:rPr>
        <w:tab/>
        <w:t>kansallisella tasolla.</w:t>
      </w:r>
    </w:p>
    <w:p w:rsidR="003808D8" w:rsidRPr="006D7831" w:rsidRDefault="00C07884" w:rsidP="00C07884">
      <w:pPr>
        <w:pStyle w:val="ManualNumPar1"/>
        <w:rPr>
          <w:noProof/>
        </w:rPr>
      </w:pPr>
      <w:r w:rsidRPr="00C07884">
        <w:rPr>
          <w:noProof/>
        </w:rPr>
        <w:t>4.</w:t>
      </w:r>
      <w:r w:rsidRPr="00C07884">
        <w:rPr>
          <w:noProof/>
        </w:rPr>
        <w:tab/>
      </w:r>
      <w:r w:rsidR="003808D8" w:rsidRPr="006D7831">
        <w:rPr>
          <w:noProof/>
        </w:rPr>
        <w:t>Laitosten on ilmoitettava tiedot operatiiviseen riskiin liittyvistä olennaisista tappioista seuraavasti:</w:t>
      </w:r>
    </w:p>
    <w:p w:rsidR="003808D8" w:rsidRPr="006D7831" w:rsidRDefault="00461B88" w:rsidP="00461B88">
      <w:pPr>
        <w:pStyle w:val="Point1"/>
        <w:rPr>
          <w:noProof/>
        </w:rPr>
      </w:pPr>
      <w:r>
        <w:rPr>
          <w:noProof/>
        </w:rPr>
        <w:t>a)</w:t>
      </w:r>
      <w:r>
        <w:rPr>
          <w:noProof/>
        </w:rPr>
        <w:tab/>
      </w:r>
      <w:r w:rsidR="003808D8" w:rsidRPr="006D7831">
        <w:rPr>
          <w:noProof/>
        </w:rPr>
        <w:t>laitosten, jotka laskevat joulukuussa 2024 operatiiviseen riskiin liittyvät omien varojen vaatimukset asetuksen (EU) N:o 575/2013 kolmannen osan III osaston 4 luvun mukaisesti, on edelleen ilmoitettava kyseiset tiedot lomakkeissa C 17.01 ja C 17.02 täsmennetyllä tavalla;</w:t>
      </w:r>
    </w:p>
    <w:p w:rsidR="003808D8" w:rsidRPr="006D7831" w:rsidRDefault="00461B88" w:rsidP="00461B88">
      <w:pPr>
        <w:pStyle w:val="Point1"/>
        <w:rPr>
          <w:noProof/>
        </w:rPr>
      </w:pPr>
      <w:r>
        <w:rPr>
          <w:noProof/>
        </w:rPr>
        <w:t>b)</w:t>
      </w:r>
      <w:r>
        <w:rPr>
          <w:noProof/>
        </w:rPr>
        <w:tab/>
      </w:r>
      <w:r w:rsidR="003808D8" w:rsidRPr="006D7831">
        <w:rPr>
          <w:noProof/>
        </w:rPr>
        <w:t>suurten laitosten, jotka laskevat joulukuussa 2024 operatiiviseen riskiin liittyvät omien varojen vaatimukset asetuksen (EU) N:o 575/2013 kolmannen osan III osaston 3 luvun mukaisesti, on edelleen ilmoitettava kyseiset tiedot lomakkeissa C 17.01 ja C 17.02 täsmennetyllä tavalla;</w:t>
      </w:r>
    </w:p>
    <w:p w:rsidR="003808D8" w:rsidRPr="006D7831" w:rsidRDefault="00461B88" w:rsidP="00461B88">
      <w:pPr>
        <w:pStyle w:val="Point1"/>
        <w:rPr>
          <w:noProof/>
        </w:rPr>
      </w:pPr>
      <w:r>
        <w:rPr>
          <w:noProof/>
        </w:rPr>
        <w:t>c)</w:t>
      </w:r>
      <w:r>
        <w:rPr>
          <w:noProof/>
        </w:rPr>
        <w:tab/>
      </w:r>
      <w:r w:rsidR="003808D8" w:rsidRPr="006D7831">
        <w:rPr>
          <w:noProof/>
        </w:rPr>
        <w:t>muiden kuin suurten laitosten, jotka laskevat joulukuussa 2024 operatiiviseen riskiin liittyvät omien varojen vaatimukset asetuksen (EU) N:o 575/2013 kolmannen osan III osaston 3 luvun mukaisesti, on edelleen ilmoitettava seuraavat tiedot:</w:t>
      </w:r>
    </w:p>
    <w:p w:rsidR="003808D8" w:rsidRPr="006D7831" w:rsidRDefault="003808D8" w:rsidP="00C856B2">
      <w:pPr>
        <w:pStyle w:val="Point2"/>
        <w:rPr>
          <w:noProof/>
        </w:rPr>
      </w:pPr>
      <w:r w:rsidRPr="006D7831">
        <w:rPr>
          <w:noProof/>
        </w:rPr>
        <w:t>i)</w:t>
      </w:r>
      <w:r w:rsidRPr="006D7831">
        <w:rPr>
          <w:noProof/>
        </w:rPr>
        <w:tab/>
        <w:t>lomakkeen C 17.01 sarakkeessa 0080 täsmennetyt tiedot seuraavien rivien osalta:</w:t>
      </w:r>
    </w:p>
    <w:p w:rsidR="003808D8" w:rsidRPr="006D7831" w:rsidRDefault="00461B88" w:rsidP="00461B88">
      <w:pPr>
        <w:pStyle w:val="Point3"/>
        <w:rPr>
          <w:noProof/>
        </w:rPr>
      </w:pPr>
      <w:r>
        <w:rPr>
          <w:noProof/>
        </w:rPr>
        <w:t>1)</w:t>
      </w:r>
      <w:r>
        <w:rPr>
          <w:noProof/>
        </w:rPr>
        <w:tab/>
      </w:r>
      <w:r w:rsidR="003808D8" w:rsidRPr="006D7831">
        <w:rPr>
          <w:noProof/>
        </w:rPr>
        <w:t>tapahtumien lukumäärä (uudet tapahtumat) (rivi 0910);</w:t>
      </w:r>
    </w:p>
    <w:p w:rsidR="003808D8" w:rsidRPr="006D7831" w:rsidRDefault="00461B88" w:rsidP="00461B88">
      <w:pPr>
        <w:pStyle w:val="Point3"/>
        <w:rPr>
          <w:noProof/>
        </w:rPr>
      </w:pPr>
      <w:r>
        <w:rPr>
          <w:noProof/>
        </w:rPr>
        <w:t>2)</w:t>
      </w:r>
      <w:r>
        <w:rPr>
          <w:noProof/>
        </w:rPr>
        <w:tab/>
      </w:r>
      <w:r w:rsidR="003808D8" w:rsidRPr="006D7831">
        <w:rPr>
          <w:noProof/>
        </w:rPr>
        <w:t>bruttotappiomäärä (uudet tapahtumat) (rivi 0920);</w:t>
      </w:r>
    </w:p>
    <w:p w:rsidR="003808D8" w:rsidRPr="006D7831" w:rsidRDefault="00461B88" w:rsidP="00461B88">
      <w:pPr>
        <w:pStyle w:val="Point3"/>
        <w:rPr>
          <w:noProof/>
        </w:rPr>
      </w:pPr>
      <w:r>
        <w:rPr>
          <w:noProof/>
        </w:rPr>
        <w:t>3)</w:t>
      </w:r>
      <w:r>
        <w:rPr>
          <w:noProof/>
        </w:rPr>
        <w:tab/>
      </w:r>
      <w:r w:rsidR="003808D8" w:rsidRPr="006D7831">
        <w:rPr>
          <w:noProof/>
        </w:rPr>
        <w:t>niiden tapahtumien lukumäärä, joihin on tehty tappiota koskevia oikaisuja (rivi 0930);</w:t>
      </w:r>
    </w:p>
    <w:p w:rsidR="003808D8" w:rsidRPr="006D7831" w:rsidRDefault="00461B88" w:rsidP="00461B88">
      <w:pPr>
        <w:pStyle w:val="Point3"/>
        <w:rPr>
          <w:noProof/>
        </w:rPr>
      </w:pPr>
      <w:r>
        <w:rPr>
          <w:noProof/>
        </w:rPr>
        <w:t>4)</w:t>
      </w:r>
      <w:r>
        <w:rPr>
          <w:noProof/>
        </w:rPr>
        <w:tab/>
      </w:r>
      <w:r w:rsidR="003808D8" w:rsidRPr="006D7831">
        <w:rPr>
          <w:noProof/>
        </w:rPr>
        <w:t>tappiota koskevat oikaisut, jotka liittyvät edellisiin raportointikausiin (rivi 0940);</w:t>
      </w:r>
    </w:p>
    <w:p w:rsidR="003808D8" w:rsidRPr="006D7831" w:rsidRDefault="00461B88" w:rsidP="00461B88">
      <w:pPr>
        <w:pStyle w:val="Point3"/>
        <w:rPr>
          <w:noProof/>
        </w:rPr>
      </w:pPr>
      <w:r>
        <w:rPr>
          <w:noProof/>
        </w:rPr>
        <w:t>5)</w:t>
      </w:r>
      <w:r>
        <w:rPr>
          <w:noProof/>
        </w:rPr>
        <w:tab/>
      </w:r>
      <w:r w:rsidR="003808D8" w:rsidRPr="006D7831">
        <w:rPr>
          <w:noProof/>
        </w:rPr>
        <w:t>suurin yksittäinen tappio (rivi 0950);</w:t>
      </w:r>
    </w:p>
    <w:p w:rsidR="003808D8" w:rsidRPr="006D7831" w:rsidRDefault="00461B88" w:rsidP="00461B88">
      <w:pPr>
        <w:pStyle w:val="Point3"/>
        <w:rPr>
          <w:noProof/>
        </w:rPr>
      </w:pPr>
      <w:r>
        <w:rPr>
          <w:noProof/>
        </w:rPr>
        <w:t>6)</w:t>
      </w:r>
      <w:r>
        <w:rPr>
          <w:noProof/>
        </w:rPr>
        <w:tab/>
      </w:r>
      <w:r w:rsidR="003808D8" w:rsidRPr="006D7831">
        <w:rPr>
          <w:noProof/>
        </w:rPr>
        <w:t>viiden suurimman tappion summa (rivi 0960);</w:t>
      </w:r>
    </w:p>
    <w:p w:rsidR="003808D8" w:rsidRPr="006D7831" w:rsidRDefault="00461B88" w:rsidP="00461B88">
      <w:pPr>
        <w:pStyle w:val="Point3"/>
        <w:rPr>
          <w:noProof/>
        </w:rPr>
      </w:pPr>
      <w:r>
        <w:rPr>
          <w:noProof/>
        </w:rPr>
        <w:t>7)</w:t>
      </w:r>
      <w:r>
        <w:rPr>
          <w:noProof/>
        </w:rPr>
        <w:tab/>
      </w:r>
      <w:r w:rsidR="003808D8" w:rsidRPr="006D7831">
        <w:rPr>
          <w:noProof/>
        </w:rPr>
        <w:t>suorien tappionkorvausten kokonaismäärä, lukuun ottamatta vakuutuksia ja muita riskinsiirtomekanismeja (rivi 0970);</w:t>
      </w:r>
    </w:p>
    <w:p w:rsidR="003808D8" w:rsidRPr="006D7831" w:rsidRDefault="00461B88" w:rsidP="00461B88">
      <w:pPr>
        <w:pStyle w:val="Point3"/>
        <w:rPr>
          <w:noProof/>
        </w:rPr>
      </w:pPr>
      <w:r>
        <w:rPr>
          <w:noProof/>
        </w:rPr>
        <w:t>8)</w:t>
      </w:r>
      <w:r>
        <w:rPr>
          <w:noProof/>
        </w:rPr>
        <w:tab/>
      </w:r>
      <w:r w:rsidR="003808D8" w:rsidRPr="006D7831">
        <w:rPr>
          <w:noProof/>
        </w:rPr>
        <w:t>korvausten kokonaismäärä, kun on kyse vakuutuksista ja muista riskinsiirtomekanismeista (rivi 0980);</w:t>
      </w:r>
    </w:p>
    <w:p w:rsidR="003808D8" w:rsidRPr="006D7831" w:rsidRDefault="003808D8" w:rsidP="00C856B2">
      <w:pPr>
        <w:pStyle w:val="Point2"/>
        <w:rPr>
          <w:noProof/>
        </w:rPr>
      </w:pPr>
      <w:r w:rsidRPr="006D7831">
        <w:rPr>
          <w:noProof/>
        </w:rPr>
        <w:t>ii)</w:t>
      </w:r>
      <w:r w:rsidRPr="006D7831">
        <w:rPr>
          <w:noProof/>
        </w:rPr>
        <w:tab/>
        <w:t>lomakkeessa C 17.02 täsmennetyt tiedot;</w:t>
      </w:r>
    </w:p>
    <w:p w:rsidR="003808D8" w:rsidRPr="006D7831" w:rsidRDefault="00461B88" w:rsidP="00461B88">
      <w:pPr>
        <w:pStyle w:val="Point1"/>
        <w:rPr>
          <w:noProof/>
        </w:rPr>
      </w:pPr>
      <w:r>
        <w:rPr>
          <w:noProof/>
        </w:rPr>
        <w:t>d)</w:t>
      </w:r>
      <w:r>
        <w:rPr>
          <w:noProof/>
        </w:rPr>
        <w:tab/>
      </w:r>
      <w:r w:rsidR="003808D8" w:rsidRPr="006D7831">
        <w:rPr>
          <w:noProof/>
        </w:rPr>
        <w:t xml:space="preserve">edellä c alakohdassa tarkoitetut laitokset voivat ilmoittaa kaikki lomakkeissa C 17.01 ja C 17.02 täsmennetyt tiedot; </w:t>
      </w:r>
    </w:p>
    <w:p w:rsidR="003808D8" w:rsidRPr="006D7831" w:rsidRDefault="00461B88" w:rsidP="00461B88">
      <w:pPr>
        <w:pStyle w:val="Point1"/>
        <w:rPr>
          <w:noProof/>
        </w:rPr>
      </w:pPr>
      <w:r>
        <w:rPr>
          <w:noProof/>
        </w:rPr>
        <w:t>e)</w:t>
      </w:r>
      <w:r>
        <w:rPr>
          <w:noProof/>
        </w:rPr>
        <w:tab/>
      </w:r>
      <w:r w:rsidR="003808D8" w:rsidRPr="006D7831">
        <w:rPr>
          <w:noProof/>
        </w:rPr>
        <w:t>suurten laitosten, jotka laskevat joulukuussa 2024 operatiiviseen riskiin liittyvät omien varojen vaatimukset asetuksen (EU) N:o 575/2013 kolmannen osan III osaston 2 luvun mukaisesti, on edelleen ilmoitettava tiedot lomakkeissa C 17.01 ja C 17.02 täsmennetyllä tavalla;</w:t>
      </w:r>
    </w:p>
    <w:p w:rsidR="003808D8" w:rsidRPr="006D7831" w:rsidRDefault="00461B88" w:rsidP="00461B88">
      <w:pPr>
        <w:pStyle w:val="Point1"/>
        <w:rPr>
          <w:noProof/>
        </w:rPr>
      </w:pPr>
      <w:r>
        <w:rPr>
          <w:noProof/>
        </w:rPr>
        <w:t>f)</w:t>
      </w:r>
      <w:r>
        <w:rPr>
          <w:noProof/>
        </w:rPr>
        <w:tab/>
      </w:r>
      <w:r w:rsidR="003808D8" w:rsidRPr="006D7831">
        <w:rPr>
          <w:noProof/>
        </w:rPr>
        <w:t>muut kuin suuret laitokset, jotka laskevat joulukuussa 2024 operatiiviseen riskiin liittyvät omien varojen vaatimukset asetuksen (EU) N:o 575/2013 kolmannen osan III osaston 2 luvun mukaisesti, voivat edelleen ilmoittaa tiedot lomakkeissa C 17.01 ja C 17.02 täsmennetyllä tavalla.</w:t>
      </w:r>
    </w:p>
    <w:p w:rsidR="00716EA9" w:rsidRPr="006D7831" w:rsidRDefault="00716EA9" w:rsidP="00E537F5">
      <w:pPr>
        <w:pStyle w:val="Titrearticle"/>
        <w:rPr>
          <w:noProof/>
          <w:szCs w:val="24"/>
        </w:rPr>
      </w:pPr>
      <w:r w:rsidRPr="006D7831">
        <w:rPr>
          <w:noProof/>
        </w:rPr>
        <w:t>7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konsolidoinnin perusteella</w:t>
      </w:r>
    </w:p>
    <w:p w:rsidR="00716EA9" w:rsidRPr="006D7831" w:rsidRDefault="00716EA9" w:rsidP="00C856B2">
      <w:pPr>
        <w:rPr>
          <w:noProof/>
        </w:rPr>
      </w:pPr>
      <w:r w:rsidRPr="006D7831">
        <w:rPr>
          <w:noProof/>
        </w:rPr>
        <w:t>Laitosten, jotka ilmoittavat omia varoja ja omien varojen vaatimuksia koskevat tiedot asetuksen (EU) N:o 575/2013 430 artiklan 1 kohdan a alakohdan mukaisesti konsolidoinnin perusteella, on toimitettava nämä tiedot tämän asetuksen liitteessä I olevan 1 jakson ”Omien varojen ja omien varojen vaatimusten raportointi” mukaisesti seuraavasti:</w:t>
      </w:r>
    </w:p>
    <w:p w:rsidR="00716EA9" w:rsidRPr="006D7831" w:rsidRDefault="00461B88" w:rsidP="00461B88">
      <w:pPr>
        <w:pStyle w:val="Point0"/>
        <w:rPr>
          <w:noProof/>
          <w:color w:val="000000"/>
        </w:rPr>
      </w:pPr>
      <w:r>
        <w:rPr>
          <w:noProof/>
        </w:rPr>
        <w:t>a)</w:t>
      </w:r>
      <w:r>
        <w:rPr>
          <w:noProof/>
        </w:rPr>
        <w:tab/>
      </w:r>
      <w:r w:rsidR="00716EA9" w:rsidRPr="006D7831">
        <w:rPr>
          <w:noProof/>
        </w:rPr>
        <w:t>liitteessä I säädetty tietovaatimus, jossa täsmennetään tarkemmin tämän asetuksen 5 ja 6 artiklan mukaisesti vaadittua raportointia niissä määritellyllä tiheydellä;</w:t>
      </w:r>
    </w:p>
    <w:p w:rsidR="00716EA9" w:rsidRPr="006D7831" w:rsidRDefault="00461B88" w:rsidP="00461B88">
      <w:pPr>
        <w:pStyle w:val="Point0"/>
        <w:rPr>
          <w:noProof/>
        </w:rPr>
      </w:pPr>
      <w:r>
        <w:rPr>
          <w:noProof/>
        </w:rPr>
        <w:t>b)</w:t>
      </w:r>
      <w:r>
        <w:rPr>
          <w:noProof/>
        </w:rPr>
        <w:tab/>
      </w:r>
      <w:r w:rsidR="00716EA9" w:rsidRPr="006D7831">
        <w:rPr>
          <w:noProof/>
        </w:rPr>
        <w:t>liitteessä I säädetty tietovaatimus, jossa täsmennetään tarkemmin ryhmän vakavaraisuutta koskevaa raportointia konsolidointiin kuuluvien yhteisöjen osalta puolivuosittaisella tiheydellä.</w:t>
      </w:r>
    </w:p>
    <w:p w:rsidR="00716EA9" w:rsidRPr="006D7831" w:rsidRDefault="00716EA9" w:rsidP="00E537F5">
      <w:pPr>
        <w:pStyle w:val="Titrearticle"/>
        <w:rPr>
          <w:noProof/>
          <w:szCs w:val="24"/>
        </w:rPr>
      </w:pPr>
      <w:r w:rsidRPr="006D7831">
        <w:rPr>
          <w:noProof/>
        </w:rPr>
        <w:t>8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 lisäraportointivaatimukset yksittäisinä laitoksina ja konsolidoinnin perusteella</w:t>
      </w:r>
    </w:p>
    <w:p w:rsidR="00AB5213" w:rsidRPr="006D7831" w:rsidRDefault="00C07884" w:rsidP="00C07884">
      <w:pPr>
        <w:pStyle w:val="ManualNumPar1"/>
        <w:rPr>
          <w:noProof/>
        </w:rPr>
      </w:pPr>
      <w:r w:rsidRPr="00C07884">
        <w:rPr>
          <w:noProof/>
        </w:rPr>
        <w:t>1.</w:t>
      </w:r>
      <w:r w:rsidRPr="00C07884">
        <w:rPr>
          <w:noProof/>
        </w:rPr>
        <w:tab/>
      </w:r>
      <w:r w:rsidR="00716EA9" w:rsidRPr="006D7831">
        <w:rPr>
          <w:noProof/>
        </w:rPr>
        <w:t>Laitokset, joiden on julkistettava asetuksen (EU) N:o 575/2013 438 artiklan e tai h alakohdassa tai 452 artiklan b, g tai h alakohdassa tarkoitetut tiedot kyseisen asetuksen 433 a tai 433 c artiklassa määritellyllä tiheydellä, tapauksen mukaan yksittäisinä laitoksina kyseisen asetuksen 6 artiklan mukaisesti tai konsolidoinnin perusteella kyseisen asetuksen 13 artiklan mukaisesti, on toimitettava tämän asetuksen liitteessä I olevan 1 jakson ”Omien varojen ja omien varojen vaatimusten raportointi” lomakkeissa C 08.03, C 08.04, C 08.05, C 08.05.01, C 08.06, C 08.07 ja C 34.11 täsmennetyt tiedot.</w:t>
      </w:r>
    </w:p>
    <w:p w:rsidR="00716EA9" w:rsidRPr="006D7831" w:rsidRDefault="00C07884" w:rsidP="00C07884">
      <w:pPr>
        <w:pStyle w:val="ManualNumPar1"/>
        <w:rPr>
          <w:noProof/>
        </w:rPr>
      </w:pPr>
      <w:r w:rsidRPr="00C07884">
        <w:rPr>
          <w:noProof/>
        </w:rPr>
        <w:t>2.</w:t>
      </w:r>
      <w:r w:rsidRPr="00C07884">
        <w:rPr>
          <w:noProof/>
        </w:rPr>
        <w:tab/>
      </w:r>
      <w:r w:rsidR="00716EA9" w:rsidRPr="006D7831">
        <w:rPr>
          <w:noProof/>
        </w:rPr>
        <w:t>Laitokset, joiden on julkistettava asetuksen (EU) N:o 575/2013 439 artiklan l alakohdassa tarkoitetut tiedot kyseisen asetuksen 433 a tai 433 c artiklassa määritellyllä tiheydellä, tapauksen mukaan yksittäisinä laitoksina kyseisen asetuksen 6 artiklan mukaisesti tai konsolidoinnin perusteella kyseisen asetuksen 13 artiklan mukaisesti, on toimitettava tämän asetuksen liitteessä I olevan 1 jakson ”Omien varojen ja omien varojen vaatimusten raportointi” lomakkeessa C 34.07 täsmennetyt tiedot.</w:t>
      </w:r>
    </w:p>
    <w:p w:rsidR="00716EA9" w:rsidRPr="006D7831" w:rsidRDefault="00716EA9" w:rsidP="00E537F5">
      <w:pPr>
        <w:pStyle w:val="Titrearticle"/>
        <w:rPr>
          <w:noProof/>
          <w:szCs w:val="24"/>
        </w:rPr>
      </w:pPr>
      <w:r w:rsidRPr="006D7831">
        <w:rPr>
          <w:noProof/>
        </w:rPr>
        <w:t>9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yksittäisinä laitoksina asetuksen (EU) N:o 575/2013 95 ja 96 artiklan soveltamisalaan kuuluvien sijoituspalveluyritysten osalta</w:t>
      </w:r>
    </w:p>
    <w:p w:rsidR="00716EA9" w:rsidRPr="006D7831" w:rsidRDefault="00C07884" w:rsidP="00C07884">
      <w:pPr>
        <w:pStyle w:val="ManualNumPar1"/>
        <w:rPr>
          <w:noProof/>
        </w:rPr>
      </w:pPr>
      <w:r w:rsidRPr="00C07884">
        <w:rPr>
          <w:noProof/>
        </w:rPr>
        <w:t>1.</w:t>
      </w:r>
      <w:r w:rsidRPr="00C07884">
        <w:rPr>
          <w:noProof/>
        </w:rPr>
        <w:tab/>
      </w:r>
      <w:r w:rsidR="000E2BE4" w:rsidRPr="006D7831">
        <w:rPr>
          <w:noProof/>
        </w:rPr>
        <w:t>Sijoituspalveluyritysten, joihin sovelletaan asetuksen (EU) N:o 575/2013 95 artiklaa ja jotka soveltavat asetuksen (EU) 2019/2033 57 artiklan 3 kohdassa säädettyjä siirtymäsäännöksiä, on ilmoittaessaan asetuksen (EU) N:o 575/2013 430 artiklan 1 kohdan a alakohdassa edellytettyjä omien varojen vaatimuksia koskevia tietoja yksittäisinä laitoksina, lukuun ottamatta vähimmäisomavaraisuusastetta koskevia tietoja, toimitettava tämän asetuksen liitteessä I olevan 1 jakson ”Omien varojen ja omien varojen vaatimusten raportointi” lomakkeissa C 01.00–C 05.02 täsmennetyt tiedot neljännesvuosittain.</w:t>
      </w:r>
    </w:p>
    <w:p w:rsidR="00716EA9" w:rsidRPr="006D7831" w:rsidRDefault="00C07884" w:rsidP="00C07884">
      <w:pPr>
        <w:pStyle w:val="ManualNumPar1"/>
        <w:rPr>
          <w:noProof/>
        </w:rPr>
      </w:pPr>
      <w:r w:rsidRPr="00C07884">
        <w:rPr>
          <w:noProof/>
        </w:rPr>
        <w:t>2.</w:t>
      </w:r>
      <w:r w:rsidRPr="00C07884">
        <w:rPr>
          <w:noProof/>
        </w:rPr>
        <w:tab/>
      </w:r>
      <w:r w:rsidR="001D71A4" w:rsidRPr="006D7831">
        <w:rPr>
          <w:noProof/>
        </w:rPr>
        <w:t>Sijoituspalveluyritysten, joihin sovelletaan asetuksen (EU) N:o 575/2013 96 artiklaa ja jotka soveltavat asetuksen (EU) 2019/2033 57 artiklan 3 kohdassa säädettyjä siirtymäsäännöksiä, on ilmoittaessaan asetuksen (EU) N:o 575/2013 430 artiklan 1 kohdan a alakohdassa edellytettyjä omien varojen vaatimuksia koskevia tietoja yksittäisinä laitoksina toimitettava tämän asetuksen 5 artiklan 1–4 kohdassa ja 6 artiklan 2 kohdassa tarkoitetut tiedot kyseisissä artikloissa säädetyllä tiheydellä, kuten tämän asetuksen liitteessä I olevassa 1 jaksossa ”Omien varojen ja omien varojen vaatimusten raportointi” täsmennetään.</w:t>
      </w:r>
    </w:p>
    <w:p w:rsidR="00716EA9" w:rsidRPr="006D7831" w:rsidRDefault="00716EA9" w:rsidP="00E537F5">
      <w:pPr>
        <w:pStyle w:val="Titrearticle"/>
        <w:rPr>
          <w:noProof/>
          <w:szCs w:val="24"/>
        </w:rPr>
      </w:pPr>
      <w:r w:rsidRPr="006D7831">
        <w:rPr>
          <w:noProof/>
        </w:rPr>
        <w:t>10 artikla</w:t>
      </w:r>
    </w:p>
    <w:p w:rsidR="00716EA9" w:rsidRPr="006D7831" w:rsidRDefault="00716EA9" w:rsidP="00F22954">
      <w:pPr>
        <w:pStyle w:val="Titrearticle"/>
        <w:spacing w:before="0"/>
        <w:rPr>
          <w:b/>
          <w:bCs/>
          <w:i w:val="0"/>
          <w:iCs/>
          <w:noProof/>
          <w:szCs w:val="24"/>
        </w:rPr>
      </w:pPr>
      <w:r w:rsidRPr="006D7831">
        <w:rPr>
          <w:b/>
          <w:i w:val="0"/>
          <w:noProof/>
        </w:rPr>
        <w:t>Omien varojen ja omien varojen vaatimusten raportointi konsolidoinnin perusteella sellaisten ryhmien osalta, joihin kuuluu ainoastaan asetuksen (EU) N:o 575/2013 95 ja 96 artiklan soveltamisalaan kuuluvia sijoituspalveluyrityksiä</w:t>
      </w:r>
    </w:p>
    <w:p w:rsidR="00716EA9" w:rsidRPr="006D7831" w:rsidRDefault="00C07884" w:rsidP="00C07884">
      <w:pPr>
        <w:pStyle w:val="ManualNumPar1"/>
        <w:rPr>
          <w:noProof/>
        </w:rPr>
      </w:pPr>
      <w:r w:rsidRPr="00C07884">
        <w:rPr>
          <w:noProof/>
        </w:rPr>
        <w:t>1.</w:t>
      </w:r>
      <w:r w:rsidRPr="00C07884">
        <w:rPr>
          <w:noProof/>
        </w:rPr>
        <w:tab/>
      </w:r>
      <w:r w:rsidR="00D44B55" w:rsidRPr="006D7831">
        <w:rPr>
          <w:noProof/>
        </w:rPr>
        <w:t>Sijoituspalveluyritysten, jotka kuuluvat ryhmiin, joihin kuuluu ainoastaan sellaisia sijoituspalveluyrityksiä, jotka soveltavat asetuksen (EU) 2019/2033 57 artiklan 3 kohdassa säädettyjä siirtymäsäännöksiä viitaten asetuksen (EU) N:o 575/2013 95 artiklaan, on ilmoittaessaan asetuksen (EU) N:o 575/2013 430 artiklan 1 kohdan a alakohdassa edellytettyjä tietoja omien varojen vaatimuksista konsolidoinnin perusteella, lukuun ottamatta vähimmäisomavaraisuusastetta koskevia tietoja, toimitettava tämän asetuksen liitteessä I olevassa 1 jaksossa ”Omien varojen ja omien varojen vaatimusten raportointi” täsmennetyt tiedot seuraavasti:</w:t>
      </w:r>
    </w:p>
    <w:p w:rsidR="00D61A8B" w:rsidRPr="006D7831" w:rsidRDefault="00461B88" w:rsidP="00461B88">
      <w:pPr>
        <w:pStyle w:val="Point1"/>
        <w:rPr>
          <w:noProof/>
        </w:rPr>
      </w:pPr>
      <w:r>
        <w:rPr>
          <w:noProof/>
        </w:rPr>
        <w:t>a)</w:t>
      </w:r>
      <w:r>
        <w:rPr>
          <w:noProof/>
        </w:rPr>
        <w:tab/>
      </w:r>
      <w:r w:rsidR="00D61A8B" w:rsidRPr="006D7831">
        <w:rPr>
          <w:noProof/>
        </w:rPr>
        <w:t>tämän asetuksen liitteessä I olevan 1 jakson lomakkeissa C 01.00–C 05.02 täsmennetyt tiedot omista varoista ja omien varojen vaatimuksista neljännesvuosittain;</w:t>
      </w:r>
    </w:p>
    <w:p w:rsidR="00D61A8B" w:rsidRPr="006D7831" w:rsidRDefault="00461B88" w:rsidP="00461B88">
      <w:pPr>
        <w:pStyle w:val="Point1"/>
        <w:rPr>
          <w:noProof/>
        </w:rPr>
      </w:pPr>
      <w:r>
        <w:rPr>
          <w:noProof/>
        </w:rPr>
        <w:t>b)</w:t>
      </w:r>
      <w:r>
        <w:rPr>
          <w:noProof/>
        </w:rPr>
        <w:tab/>
      </w:r>
      <w:r w:rsidR="00D61A8B" w:rsidRPr="006D7831">
        <w:rPr>
          <w:noProof/>
        </w:rPr>
        <w:t>tämän asetuksen liitteessä I olevan 1 jakson lomakkeissa C 06.01 ja C 06.02 täsmennetyt tiedot konsolidointiin kuuluvien yhteisöjen omista varoista ja omien varojen vaatimuksista puolivuosittain.</w:t>
      </w:r>
    </w:p>
    <w:p w:rsidR="00716EA9" w:rsidRPr="006D7831" w:rsidRDefault="00C07884" w:rsidP="00C07884">
      <w:pPr>
        <w:pStyle w:val="ManualNumPar1"/>
        <w:rPr>
          <w:noProof/>
        </w:rPr>
      </w:pPr>
      <w:r w:rsidRPr="00C07884">
        <w:rPr>
          <w:noProof/>
        </w:rPr>
        <w:t>2.</w:t>
      </w:r>
      <w:r w:rsidRPr="00C07884">
        <w:rPr>
          <w:noProof/>
        </w:rPr>
        <w:tab/>
      </w:r>
      <w:r w:rsidR="00EA1A16" w:rsidRPr="006D7831">
        <w:rPr>
          <w:noProof/>
        </w:rPr>
        <w:t>Sijoituspalveluyritysten, jotka kuuluvat ryhmiin, joihin kuuluu ainoastaan sellaisia sijoituspalveluyrityksiä, jotka soveltavat asetuksen (EU) 2019/2033 57 artiklan 3 kohdassa säädettyjä siirtymäsäännöksiä viitaten asetuksen (EU) N:o 575/2013 96 artiklaan, on ilmoittaessaan asetuksen (EU) N:o 575/2013 430 artiklan 1 kohdan a alakohdassa edellytettyjä tietoja omien varojen vaatimuksista konsolidoinnin perusteella toimitettava tämän asetuksen liitteessä I olevassa 1 jaksossa ”Omien varojen ja omien varojen vaatimusten raportointi” täsmennetyt tiedot seuraavasti:</w:t>
      </w:r>
    </w:p>
    <w:p w:rsidR="00AD54BA" w:rsidRPr="006D7831" w:rsidRDefault="00461B88" w:rsidP="00461B88">
      <w:pPr>
        <w:pStyle w:val="Point1"/>
        <w:rPr>
          <w:noProof/>
        </w:rPr>
      </w:pPr>
      <w:r>
        <w:rPr>
          <w:noProof/>
        </w:rPr>
        <w:t>a)</w:t>
      </w:r>
      <w:r>
        <w:rPr>
          <w:noProof/>
        </w:rPr>
        <w:tab/>
      </w:r>
      <w:r w:rsidR="00AD54BA" w:rsidRPr="006D7831">
        <w:rPr>
          <w:noProof/>
        </w:rPr>
        <w:t>tämän asetuksen 5 artiklan 1–4 kohdassa ja 6 artiklan 2 kohdassa tarkoitetut tiedot kyseisissä artikloissa säädetyllä tiheydellä;</w:t>
      </w:r>
    </w:p>
    <w:p w:rsidR="00AD54BA" w:rsidRPr="006D7831" w:rsidRDefault="00461B88" w:rsidP="00461B88">
      <w:pPr>
        <w:pStyle w:val="Point1"/>
        <w:rPr>
          <w:noProof/>
        </w:rPr>
      </w:pPr>
      <w:r>
        <w:rPr>
          <w:noProof/>
        </w:rPr>
        <w:t>b)</w:t>
      </w:r>
      <w:r>
        <w:rPr>
          <w:noProof/>
        </w:rPr>
        <w:tab/>
      </w:r>
      <w:r w:rsidR="00AD54BA" w:rsidRPr="006D7831">
        <w:rPr>
          <w:noProof/>
        </w:rPr>
        <w:t>tämän asetuksen liitteessä I olevan 1 jakson lomakkeissa C 06.01 ja C 06.02 täsmennetyt tiedot konsolidointiin kuuluvista yhteisöistä puolivuosittain.</w:t>
      </w:r>
    </w:p>
    <w:p w:rsidR="00716EA9" w:rsidRPr="006D7831" w:rsidRDefault="00716EA9" w:rsidP="00E537F5">
      <w:pPr>
        <w:pStyle w:val="Titrearticle"/>
        <w:rPr>
          <w:noProof/>
          <w:szCs w:val="24"/>
        </w:rPr>
      </w:pPr>
      <w:r w:rsidRPr="006D7831">
        <w:rPr>
          <w:noProof/>
        </w:rPr>
        <w:t>11 artikla</w:t>
      </w:r>
    </w:p>
    <w:p w:rsidR="00716EA9" w:rsidRPr="006D7831" w:rsidRDefault="00716EA9" w:rsidP="00F22954">
      <w:pPr>
        <w:pStyle w:val="Titrearticle"/>
        <w:spacing w:before="0"/>
        <w:rPr>
          <w:b/>
          <w:bCs/>
          <w:i w:val="0"/>
          <w:iCs/>
          <w:noProof/>
          <w:szCs w:val="24"/>
        </w:rPr>
      </w:pPr>
      <w:r w:rsidRPr="006D7831">
        <w:rPr>
          <w:b/>
          <w:i w:val="0"/>
          <w:noProof/>
        </w:rPr>
        <w:t>Rahoitustiedoista raportointi konsolidoinnin perusteella Euroopan parlamentin ja neuvoston asetuksen (EY) N:o 1606/2002</w:t>
      </w:r>
      <w:r w:rsidRPr="006D7831">
        <w:rPr>
          <w:rStyle w:val="FootnoteReference"/>
          <w:i w:val="0"/>
          <w:iCs/>
          <w:noProof/>
          <w:szCs w:val="24"/>
        </w:rPr>
        <w:footnoteReference w:id="9"/>
      </w:r>
      <w:r w:rsidRPr="006D7831">
        <w:rPr>
          <w:b/>
          <w:i w:val="0"/>
          <w:noProof/>
        </w:rPr>
        <w:t xml:space="preserve"> soveltamisalaan kuuluvien laitosten osalta</w:t>
      </w:r>
    </w:p>
    <w:p w:rsidR="00716EA9" w:rsidRPr="006D7831" w:rsidRDefault="00DE1415" w:rsidP="00EE077F">
      <w:pPr>
        <w:spacing w:before="100" w:beforeAutospacing="1" w:after="100" w:afterAutospacing="1"/>
        <w:rPr>
          <w:noProof/>
          <w:color w:val="000000"/>
          <w:szCs w:val="24"/>
        </w:rPr>
      </w:pPr>
      <w:r w:rsidRPr="006D7831">
        <w:rPr>
          <w:noProof/>
          <w:color w:val="000000"/>
        </w:rPr>
        <w:t>Laitosten, jotka toimittavat rahoitustietoja konsolidoinnin perusteella asetuksen (EU) N:o 575/2013 430 artiklan 3 tai 4 kohdan mukaisesti, on toimitettava nämä tiedot tämän asetuksen liitteessä I olevan 2 jakson ”Rahoitustietojen ilmoittaminen kansainvälisten tilinpäätösstandardien (IFRS) mukaisesti” mukaisesti seuraavalla tiheydellä:</w:t>
      </w:r>
    </w:p>
    <w:p w:rsidR="00AD54BA" w:rsidRPr="006D7831" w:rsidRDefault="00461B88" w:rsidP="00461B88">
      <w:pPr>
        <w:pStyle w:val="Point0"/>
        <w:rPr>
          <w:noProof/>
        </w:rPr>
      </w:pPr>
      <w:r>
        <w:rPr>
          <w:noProof/>
        </w:rPr>
        <w:t>a)</w:t>
      </w:r>
      <w:r>
        <w:rPr>
          <w:noProof/>
        </w:rPr>
        <w:tab/>
      </w:r>
      <w:r w:rsidR="00AD54BA" w:rsidRPr="006D7831">
        <w:rPr>
          <w:noProof/>
        </w:rPr>
        <w:t>tämän asetuksen liitteessä I olevan 2 jakson lomakkeissa F 01.01–F 19.00 täsmennetyt tiedot neljännesvuosittain;</w:t>
      </w:r>
    </w:p>
    <w:p w:rsidR="00AD54BA" w:rsidRPr="006D7831" w:rsidRDefault="00461B88" w:rsidP="00461B88">
      <w:pPr>
        <w:pStyle w:val="Point0"/>
        <w:rPr>
          <w:noProof/>
        </w:rPr>
      </w:pPr>
      <w:r>
        <w:rPr>
          <w:noProof/>
        </w:rPr>
        <w:t>b)</w:t>
      </w:r>
      <w:r>
        <w:rPr>
          <w:noProof/>
        </w:rPr>
        <w:tab/>
      </w:r>
      <w:r w:rsidR="00AD54BA" w:rsidRPr="006D7831">
        <w:rPr>
          <w:noProof/>
        </w:rPr>
        <w:t>tämän asetuksen liitteessä I olevan 2 jakson lomakkeissa F 30.01–F 31.02 täsmennetyt tiedot puolivuosittain;</w:t>
      </w:r>
    </w:p>
    <w:p w:rsidR="00AD54BA" w:rsidRPr="006D7831" w:rsidRDefault="00461B88" w:rsidP="00461B88">
      <w:pPr>
        <w:pStyle w:val="Point0"/>
        <w:rPr>
          <w:noProof/>
        </w:rPr>
      </w:pPr>
      <w:r>
        <w:rPr>
          <w:noProof/>
        </w:rPr>
        <w:t>c)</w:t>
      </w:r>
      <w:r>
        <w:rPr>
          <w:noProof/>
        </w:rPr>
        <w:tab/>
      </w:r>
      <w:r w:rsidR="00AD54BA" w:rsidRPr="006D7831">
        <w:rPr>
          <w:noProof/>
        </w:rPr>
        <w:t>tämän asetuksen liitteessä I olevan 2 jakson lomakkeissa F 40.01–F 46.00 täsmennetyt tiedot vuosittain;</w:t>
      </w:r>
    </w:p>
    <w:p w:rsidR="00AD54BA" w:rsidRPr="006D7831" w:rsidRDefault="00461B88" w:rsidP="00461B88">
      <w:pPr>
        <w:pStyle w:val="Point0"/>
        <w:rPr>
          <w:noProof/>
        </w:rPr>
      </w:pPr>
      <w:r>
        <w:rPr>
          <w:noProof/>
        </w:rPr>
        <w:t>d)</w:t>
      </w:r>
      <w:r>
        <w:rPr>
          <w:noProof/>
        </w:rPr>
        <w:tab/>
      </w:r>
      <w:r w:rsidR="00AD54BA" w:rsidRPr="006D7831">
        <w:rPr>
          <w:noProof/>
        </w:rPr>
        <w:t>tämän asetuksen liitteessä I olevan 2 jakson lomakkeissa F 20.01–F 20.07.1 täsmennetyt tiedot neljännesvuosittain, jos laitos ylittää tämän asetuksen 5 artiklan 2 kohdan toisessa alakohdassa säädetyn kynnysarvon;</w:t>
      </w:r>
    </w:p>
    <w:p w:rsidR="00AD54BA" w:rsidRPr="006D7831" w:rsidRDefault="00461B88" w:rsidP="00461B88">
      <w:pPr>
        <w:pStyle w:val="Point0"/>
        <w:rPr>
          <w:noProof/>
        </w:rPr>
      </w:pPr>
      <w:r>
        <w:rPr>
          <w:noProof/>
        </w:rPr>
        <w:t>e)</w:t>
      </w:r>
      <w:r>
        <w:rPr>
          <w:noProof/>
        </w:rPr>
        <w:tab/>
      </w:r>
      <w:r w:rsidR="00AD54BA" w:rsidRPr="006D7831">
        <w:rPr>
          <w:noProof/>
        </w:rPr>
        <w:t>tämän asetuksen liitteessä I olevan 2 jakson lomakkeessa F 21.00 täsmennetyt tiedot neljännesvuosittain tapauksissa, joissa operatiivisten vuokrasopimusten kohteena olevien aineellisten hyödykkeiden osuus on vähintään 10 prosenttia tämän asetuksen liitteessä I olevan 2 jakson lomakkeessa F 01.01 ilmoitetusta aineellisten hyödykkeiden kokonaismäärästä;</w:t>
      </w:r>
    </w:p>
    <w:p w:rsidR="00AD54BA" w:rsidRPr="006D7831" w:rsidRDefault="00461B88" w:rsidP="00461B88">
      <w:pPr>
        <w:pStyle w:val="Point0"/>
        <w:rPr>
          <w:noProof/>
        </w:rPr>
      </w:pPr>
      <w:r>
        <w:rPr>
          <w:noProof/>
        </w:rPr>
        <w:t>f)</w:t>
      </w:r>
      <w:r>
        <w:rPr>
          <w:noProof/>
        </w:rPr>
        <w:tab/>
      </w:r>
      <w:r w:rsidR="00AD54BA" w:rsidRPr="006D7831">
        <w:rPr>
          <w:noProof/>
        </w:rPr>
        <w:t>tämän asetuksen liitteessä I olevan 2 jakson lomakkeessa F 22.01 ja F 22.02 täsmennetyt tiedot neljännesvuosittain tapauksissa, joissa nettomääräisten palkkiotuottojen osuus on vähintään 10 prosenttia tämän asetuksen liitteessä I olevan 2 jakson lomakkeessa F 02.00 ilmoitetusta nettomääräisten palkkiotuottojen ja nettokorkotulojen kokonaismäärästä;</w:t>
      </w:r>
    </w:p>
    <w:p w:rsidR="00AD54BA" w:rsidRPr="006D7831" w:rsidRDefault="00461B88" w:rsidP="00461B88">
      <w:pPr>
        <w:pStyle w:val="Point0"/>
        <w:rPr>
          <w:noProof/>
        </w:rPr>
      </w:pPr>
      <w:r>
        <w:rPr>
          <w:noProof/>
        </w:rPr>
        <w:t>g)</w:t>
      </w:r>
      <w:r>
        <w:rPr>
          <w:noProof/>
        </w:rPr>
        <w:tab/>
      </w:r>
      <w:r w:rsidR="00AD54BA" w:rsidRPr="006D7831">
        <w:rPr>
          <w:noProof/>
        </w:rPr>
        <w:t>tämän asetuksen liitteessä I olevan 2 jakson lomakkeissa F 23.01–26.00 täsmennetyt tiedot neljännesvuosittain, jos molemmat seuraavista edellytyksistä täyttyvät:</w:t>
      </w:r>
    </w:p>
    <w:p w:rsidR="00AD54BA" w:rsidRPr="006D7831" w:rsidRDefault="00AD54BA" w:rsidP="00C856B2">
      <w:pPr>
        <w:pStyle w:val="Point2"/>
        <w:rPr>
          <w:noProof/>
        </w:rPr>
      </w:pPr>
      <w:r w:rsidRPr="006D7831">
        <w:rPr>
          <w:noProof/>
        </w:rPr>
        <w:t>i)</w:t>
      </w:r>
      <w:r w:rsidRPr="006D7831">
        <w:rPr>
          <w:noProof/>
        </w:rPr>
        <w:tab/>
        <w:t>laitos ei ole pieni ja rakenteeltaan yksinkertainen laitos;</w:t>
      </w:r>
    </w:p>
    <w:p w:rsidR="00AD54BA" w:rsidRPr="006D7831" w:rsidRDefault="00AD54BA" w:rsidP="00C856B2">
      <w:pPr>
        <w:pStyle w:val="Point2"/>
        <w:rPr>
          <w:noProof/>
        </w:rPr>
      </w:pPr>
      <w:r w:rsidRPr="006D7831">
        <w:rPr>
          <w:noProof/>
        </w:rPr>
        <w:t>ii)</w:t>
      </w:r>
      <w:r w:rsidRPr="006D7831">
        <w:rPr>
          <w:noProof/>
        </w:rPr>
        <w:tab/>
        <w:t>laitoksen asetuksen (EU) N:o 575/2013 47 a artiklan 3 kohdan mukaisten luottojen bruttomääräisen kirjanpitoarvon ja kyseisen asetuksen 47 a artiklan 1 kohdan mukaisten luottojen yhteenlasketun bruttomääräisen kirjanpitoarvon välinen suhde on vähintään 5 prosenttia;</w:t>
      </w:r>
    </w:p>
    <w:p w:rsidR="00AD54BA" w:rsidRPr="006D7831" w:rsidRDefault="00461B88" w:rsidP="00461B88">
      <w:pPr>
        <w:pStyle w:val="Point0"/>
        <w:rPr>
          <w:noProof/>
        </w:rPr>
      </w:pPr>
      <w:r>
        <w:rPr>
          <w:noProof/>
        </w:rPr>
        <w:t>h)</w:t>
      </w:r>
      <w:r>
        <w:rPr>
          <w:noProof/>
        </w:rPr>
        <w:tab/>
      </w:r>
      <w:r w:rsidR="00AD54BA" w:rsidRPr="006D7831">
        <w:rPr>
          <w:noProof/>
        </w:rPr>
        <w:t>tämän asetuksen liitteessä I olevan 2 jakson lomakkeessa F 47.00 täsmennetyt tiedot vuosittain, jos molemmat tämän kohdan g alakohdassa tarkoitetut edellytykset täyttyvät.</w:t>
      </w:r>
    </w:p>
    <w:p w:rsidR="00AD54BA" w:rsidRPr="006D7831" w:rsidRDefault="00AD54BA" w:rsidP="00AD54BA">
      <w:pPr>
        <w:spacing w:before="100" w:beforeAutospacing="1" w:after="100" w:afterAutospacing="1"/>
        <w:rPr>
          <w:noProof/>
          <w:color w:val="000000"/>
          <w:szCs w:val="24"/>
        </w:rPr>
      </w:pPr>
      <w:r w:rsidRPr="006D7831">
        <w:rPr>
          <w:noProof/>
          <w:color w:val="000000"/>
        </w:rPr>
        <w:t>Sovellettaessa g alakohdan ii alakohtaa suhteen osoittajaan ja nimittäjään ei sisällytetä myytävänä oleviksi luokiteltuja luottoja, keskuspankkitalletuksia ja muita vaadittaessa maksettavia talletuksia.</w:t>
      </w:r>
    </w:p>
    <w:p w:rsidR="00716EA9" w:rsidRPr="006D7831" w:rsidRDefault="00716EA9" w:rsidP="00E537F5">
      <w:pPr>
        <w:pStyle w:val="Titrearticle"/>
        <w:rPr>
          <w:noProof/>
          <w:szCs w:val="24"/>
        </w:rPr>
      </w:pPr>
      <w:r w:rsidRPr="006D7831">
        <w:rPr>
          <w:noProof/>
        </w:rPr>
        <w:t>12 artikla</w:t>
      </w:r>
    </w:p>
    <w:p w:rsidR="00716EA9" w:rsidRPr="006D7831" w:rsidRDefault="00716EA9" w:rsidP="00F22954">
      <w:pPr>
        <w:pStyle w:val="Titrearticle"/>
        <w:spacing w:before="0"/>
        <w:rPr>
          <w:b/>
          <w:bCs/>
          <w:i w:val="0"/>
          <w:iCs/>
          <w:noProof/>
          <w:szCs w:val="24"/>
        </w:rPr>
      </w:pPr>
      <w:r w:rsidRPr="006D7831">
        <w:rPr>
          <w:b/>
          <w:i w:val="0"/>
          <w:noProof/>
        </w:rPr>
        <w:t>Rahoitustiedoista raportointi konsolidoinnin perusteella kansallisia tilinpäätössäännöstöjä soveltavien laitosten osalta</w:t>
      </w:r>
    </w:p>
    <w:p w:rsidR="00AD54BA" w:rsidRPr="006D7831" w:rsidRDefault="00716EA9" w:rsidP="00DC37AE">
      <w:pPr>
        <w:spacing w:after="0"/>
        <w:rPr>
          <w:rFonts w:eastAsia="Times New Roman"/>
          <w:noProof/>
          <w:color w:val="000000"/>
          <w:szCs w:val="24"/>
        </w:rPr>
      </w:pPr>
      <w:r w:rsidRPr="006D7831">
        <w:rPr>
          <w:noProof/>
          <w:color w:val="000000"/>
        </w:rPr>
        <w:t>Jos toimivaltainen viranomainen on laajentanut rahoitustietojen raportoinnin vaatimukset koskemaan jäsenvaltioon sijoittautuneita laitoksia asetuksen (EU) N:o 575/2013 430 artiklan 4 kohdan mukaisesti, laitosten on toimitettava rahoitustiedot konsolidoinnin perusteella tämän asetuksen liitteessä I olevan 3 jakson ”Rahoitustietojen ilmoittaminen yleisesti hyväksyttyjen kirjanpitoperiaatteiden (GAAP) mukaisesti” mukaisesti seuraavalla tiheydellä:</w:t>
      </w:r>
    </w:p>
    <w:p w:rsidR="00EE077F" w:rsidRPr="006D7831" w:rsidRDefault="00461B88" w:rsidP="00461B88">
      <w:pPr>
        <w:pStyle w:val="Point0"/>
        <w:rPr>
          <w:noProof/>
        </w:rPr>
      </w:pPr>
      <w:r>
        <w:rPr>
          <w:noProof/>
        </w:rPr>
        <w:t>a)</w:t>
      </w:r>
      <w:r>
        <w:rPr>
          <w:noProof/>
        </w:rPr>
        <w:tab/>
      </w:r>
      <w:r w:rsidR="00EE077F" w:rsidRPr="006D7831">
        <w:rPr>
          <w:noProof/>
        </w:rPr>
        <w:t>tämän asetuksen liitteessä I olevan 3 jakson lomakkeissa F 01.01–F 19.00 täsmennetyt tiedot neljännesvuosittain;</w:t>
      </w:r>
    </w:p>
    <w:p w:rsidR="00EE077F" w:rsidRPr="006D7831" w:rsidRDefault="00461B88" w:rsidP="00461B88">
      <w:pPr>
        <w:pStyle w:val="Point0"/>
        <w:rPr>
          <w:noProof/>
        </w:rPr>
      </w:pPr>
      <w:r>
        <w:rPr>
          <w:noProof/>
        </w:rPr>
        <w:t>b)</w:t>
      </w:r>
      <w:r>
        <w:rPr>
          <w:noProof/>
        </w:rPr>
        <w:tab/>
      </w:r>
      <w:r w:rsidR="00EE077F" w:rsidRPr="006D7831">
        <w:rPr>
          <w:noProof/>
        </w:rPr>
        <w:t>tämän asetuksen liitteessä I olevan 3 jakson lomakkeissa F 30.01–F 31.02 täsmennetyt tiedot puolivuosittain;</w:t>
      </w:r>
    </w:p>
    <w:p w:rsidR="00EE077F" w:rsidRPr="006D7831" w:rsidRDefault="00461B88" w:rsidP="00461B88">
      <w:pPr>
        <w:pStyle w:val="Point0"/>
        <w:rPr>
          <w:rFonts w:eastAsia="Times New Roman"/>
          <w:noProof/>
        </w:rPr>
      </w:pPr>
      <w:r>
        <w:rPr>
          <w:noProof/>
        </w:rPr>
        <w:t>c)</w:t>
      </w:r>
      <w:r>
        <w:rPr>
          <w:noProof/>
        </w:rPr>
        <w:tab/>
      </w:r>
      <w:r w:rsidR="00EE077F" w:rsidRPr="006D7831">
        <w:rPr>
          <w:noProof/>
        </w:rPr>
        <w:t>tämän asetuksen liitteessä I olevan 3 jakson lomakkeissa F 40.01–F 46.00 täsmennetyt tiedot vuosittain;</w:t>
      </w:r>
    </w:p>
    <w:p w:rsidR="00EE077F" w:rsidRPr="006D7831" w:rsidRDefault="00461B88" w:rsidP="00461B88">
      <w:pPr>
        <w:pStyle w:val="Point0"/>
        <w:rPr>
          <w:noProof/>
        </w:rPr>
      </w:pPr>
      <w:r>
        <w:rPr>
          <w:noProof/>
        </w:rPr>
        <w:t>d)</w:t>
      </w:r>
      <w:r>
        <w:rPr>
          <w:noProof/>
        </w:rPr>
        <w:tab/>
      </w:r>
      <w:r w:rsidR="00EE077F" w:rsidRPr="006D7831">
        <w:rPr>
          <w:noProof/>
        </w:rPr>
        <w:t>tämän asetuksen liitteessä I olevan 3 jakson lomakkeissa F 20.01–F 20.07.1 täsmennetyt tiedot neljännesvuosittain, jos laitos ylittää tämän asetuksen 5 artiklan 2 kohdan toisessa alakohdassa säädetyn kynnysarvon;</w:t>
      </w:r>
    </w:p>
    <w:p w:rsidR="00EE077F" w:rsidRPr="006D7831" w:rsidRDefault="00461B88" w:rsidP="00461B88">
      <w:pPr>
        <w:pStyle w:val="Point0"/>
        <w:rPr>
          <w:rFonts w:eastAsia="Times New Roman"/>
          <w:noProof/>
        </w:rPr>
      </w:pPr>
      <w:r>
        <w:rPr>
          <w:noProof/>
        </w:rPr>
        <w:t>e)</w:t>
      </w:r>
      <w:r>
        <w:rPr>
          <w:noProof/>
        </w:rPr>
        <w:tab/>
      </w:r>
      <w:r w:rsidR="00EE077F" w:rsidRPr="006D7831">
        <w:rPr>
          <w:noProof/>
        </w:rPr>
        <w:t>tämän asetuksen liitteessä I olevan 3 jakson lomakkeessa F 21.00 täsmennetyt tiedot neljännesvuosittain tapauksissa, joissa operatiivisten vuokrasopimusten kohteena olevien aineellisten hyödykkeiden osuus on vähintään 10 prosenttia tämän asetuksen liitteessä I olevan 3 jakson lomakkeessa F 01.01 ilmoitetusta aineellisten hyödykkeiden kokonaismäärästä;</w:t>
      </w:r>
    </w:p>
    <w:p w:rsidR="00EE077F" w:rsidRPr="006D7831" w:rsidRDefault="00461B88" w:rsidP="00461B88">
      <w:pPr>
        <w:pStyle w:val="Point0"/>
        <w:rPr>
          <w:rFonts w:eastAsia="Times New Roman"/>
          <w:noProof/>
        </w:rPr>
      </w:pPr>
      <w:r>
        <w:rPr>
          <w:noProof/>
        </w:rPr>
        <w:t>f)</w:t>
      </w:r>
      <w:r>
        <w:rPr>
          <w:noProof/>
        </w:rPr>
        <w:tab/>
      </w:r>
      <w:r w:rsidR="00EE077F" w:rsidRPr="006D7831">
        <w:rPr>
          <w:noProof/>
        </w:rPr>
        <w:t>tämän asetuksen liitteessä I olevan 3 jakson lomakkeessa F 22.01 ja F 22.02 täsmennetyt tiedot neljännesvuosittain tapauksissa, joissa nettomääräisten palkkiotuottojen osuus on vähintään 10 prosenttia tämän asetuksen liitteessä I olevan 3 jakson lomakkeessa F 02.00 ilmoitetusta nettomääräisten palkkiotuottojen ja nettokorkotulojen kokonaismäärästä;</w:t>
      </w:r>
    </w:p>
    <w:p w:rsidR="00EE077F" w:rsidRPr="006D7831" w:rsidRDefault="00461B88" w:rsidP="00461B88">
      <w:pPr>
        <w:pStyle w:val="Point0"/>
        <w:rPr>
          <w:rFonts w:eastAsia="Times New Roman"/>
          <w:noProof/>
        </w:rPr>
      </w:pPr>
      <w:r>
        <w:rPr>
          <w:noProof/>
        </w:rPr>
        <w:t>g)</w:t>
      </w:r>
      <w:r>
        <w:rPr>
          <w:noProof/>
        </w:rPr>
        <w:tab/>
      </w:r>
      <w:r w:rsidR="00EE077F" w:rsidRPr="006D7831">
        <w:rPr>
          <w:noProof/>
        </w:rPr>
        <w:t>tämän asetuksen liitteessä I olevan 3 jakson lomakkeissa F 23.01–26.00 täsmennetyt tiedot neljännesvuosittain, jos molemmat seuraavista edellytyksistä täyttyvät:</w:t>
      </w:r>
    </w:p>
    <w:p w:rsidR="00EE077F" w:rsidRPr="006D7831" w:rsidRDefault="00EE077F" w:rsidP="00C856B2">
      <w:pPr>
        <w:pStyle w:val="Point2"/>
        <w:rPr>
          <w:noProof/>
        </w:rPr>
      </w:pPr>
      <w:r w:rsidRPr="006D7831">
        <w:rPr>
          <w:noProof/>
        </w:rPr>
        <w:t>i)</w:t>
      </w:r>
      <w:r w:rsidRPr="006D7831">
        <w:rPr>
          <w:noProof/>
        </w:rPr>
        <w:tab/>
        <w:t>laitos ei ole pieni tai rakenteeltaan yksinkertainen;</w:t>
      </w:r>
    </w:p>
    <w:p w:rsidR="00EE077F" w:rsidRPr="006D7831" w:rsidRDefault="00EE077F" w:rsidP="00C856B2">
      <w:pPr>
        <w:pStyle w:val="Point2"/>
        <w:rPr>
          <w:noProof/>
        </w:rPr>
      </w:pPr>
      <w:r w:rsidRPr="006D7831">
        <w:rPr>
          <w:noProof/>
        </w:rPr>
        <w:t>ii)</w:t>
      </w:r>
      <w:r w:rsidRPr="006D7831">
        <w:rPr>
          <w:noProof/>
        </w:rPr>
        <w:tab/>
        <w:t>laitoksen tämän asetuksen 11 artiklan 2 kohdan g alakohdan ii alakohdassa määritelty suhde on vähintään 5 prosenttia;</w:t>
      </w:r>
    </w:p>
    <w:p w:rsidR="00EE077F" w:rsidRPr="006D7831" w:rsidRDefault="00461B88" w:rsidP="00461B88">
      <w:pPr>
        <w:pStyle w:val="Point0"/>
        <w:rPr>
          <w:noProof/>
        </w:rPr>
      </w:pPr>
      <w:r>
        <w:rPr>
          <w:noProof/>
        </w:rPr>
        <w:t>h)</w:t>
      </w:r>
      <w:r>
        <w:rPr>
          <w:noProof/>
        </w:rPr>
        <w:tab/>
      </w:r>
      <w:r w:rsidR="00EE077F" w:rsidRPr="006D7831">
        <w:rPr>
          <w:noProof/>
        </w:rPr>
        <w:t>tämän asetuksen liitteessä I olevan 3 jakson lomakkeessa F 47.00 täsmennetyt tiedot vuosittain, jos molemmat tämän kohdan g alakohdassa tarkoitetut edellytykset täyttyvät.</w:t>
      </w:r>
    </w:p>
    <w:p w:rsidR="00716EA9" w:rsidRPr="006D7831" w:rsidRDefault="00716EA9" w:rsidP="00E537F5">
      <w:pPr>
        <w:pStyle w:val="Titrearticle"/>
        <w:rPr>
          <w:noProof/>
          <w:szCs w:val="24"/>
        </w:rPr>
      </w:pPr>
      <w:r w:rsidRPr="006D7831">
        <w:rPr>
          <w:noProof/>
        </w:rPr>
        <w:t>13 artikla</w:t>
      </w:r>
    </w:p>
    <w:p w:rsidR="00716EA9" w:rsidRPr="006D7831" w:rsidRDefault="00716EA9" w:rsidP="00F22954">
      <w:pPr>
        <w:pStyle w:val="Titrearticle"/>
        <w:spacing w:before="0"/>
        <w:rPr>
          <w:b/>
          <w:bCs/>
          <w:i w:val="0"/>
          <w:iCs/>
          <w:noProof/>
          <w:szCs w:val="24"/>
        </w:rPr>
      </w:pPr>
      <w:r w:rsidRPr="006D7831">
        <w:rPr>
          <w:b/>
          <w:i w:val="0"/>
          <w:noProof/>
        </w:rPr>
        <w:t>Raportointi asetuksen (EU) N:o 575/2013 430 a artiklan 1 kohdan mukaisista kiinteistövakuudellisesta luotonannosta aiheutuvista tappioista yksittäisinä laitoksina ja konsolidoinnin perusteella</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Laitosten on toimitettava asetuksen (EU) N:o 575/2013 430 a artiklan 1 kohdassa tarkoitetut koostetut tiedot konsolidoinnin perusteella tämän asetuksen liitteessä I olevan 4 jakson ”Kiinteistövakuudellisesta luotonannosta aiheutuvia tappioita koskevien tietojen raportointi” mukaisesti vuosittain.</w:t>
      </w:r>
    </w:p>
    <w:p w:rsidR="00716EA9" w:rsidRPr="006D7831" w:rsidRDefault="00C07884" w:rsidP="00C07884">
      <w:pPr>
        <w:pStyle w:val="ManualNumPar1"/>
        <w:rPr>
          <w:noProof/>
        </w:rPr>
      </w:pPr>
      <w:r w:rsidRPr="00C07884">
        <w:rPr>
          <w:noProof/>
        </w:rPr>
        <w:t>2.</w:t>
      </w:r>
      <w:r w:rsidRPr="00C07884">
        <w:rPr>
          <w:noProof/>
        </w:rPr>
        <w:tab/>
      </w:r>
      <w:r w:rsidR="00716EA9" w:rsidRPr="006D7831">
        <w:rPr>
          <w:noProof/>
        </w:rPr>
        <w:t>Laitosten on toimitettava asetuksen (EU) N:o 575/2013 430 a artiklan 1 kohdassa tarkoitetut koostetut tiedot yksittäisinä laitoksina tämän asetuksen liitteessä I olevan 4 jakson ”Kiinteistövakuudellisesta luotonannosta aiheutuvia tappioita koskevien tietojen raportointi” mukaisesti vuosittain.</w:t>
      </w:r>
    </w:p>
    <w:p w:rsidR="00716EA9" w:rsidRPr="006D7831" w:rsidRDefault="00C07884" w:rsidP="00C07884">
      <w:pPr>
        <w:pStyle w:val="ManualNumPar1"/>
        <w:rPr>
          <w:noProof/>
        </w:rPr>
      </w:pPr>
      <w:r w:rsidRPr="00C07884">
        <w:rPr>
          <w:noProof/>
        </w:rPr>
        <w:t>3.</w:t>
      </w:r>
      <w:r w:rsidRPr="00C07884">
        <w:rPr>
          <w:noProof/>
        </w:rPr>
        <w:tab/>
      </w:r>
      <w:r w:rsidR="00716EA9" w:rsidRPr="006D7831">
        <w:rPr>
          <w:noProof/>
        </w:rPr>
        <w:t>Jos laitoksella on sivuliike toisessa jäsenvaltiossa, kyseisen sivuliikkeen on toimitettava vastaanottavan jäsenvaltion toimivaltaiselle viranomaiselle asetuksen (EU) N:o 575/2013 430 a artiklan 1 kohdassa tarkoitetut koostetut tiedot tämän asetuksen liitteessä I olevan 4 jakson ”Kiinteistövakuudellisesta luotonannosta aiheutuvia tappioita koskevien tietojen raportointi” mukaisesti vuosittain.</w:t>
      </w:r>
    </w:p>
    <w:p w:rsidR="00716EA9" w:rsidRPr="006D7831" w:rsidRDefault="00716EA9" w:rsidP="00E537F5">
      <w:pPr>
        <w:pStyle w:val="Titrearticle"/>
        <w:rPr>
          <w:noProof/>
          <w:szCs w:val="24"/>
        </w:rPr>
      </w:pPr>
      <w:r w:rsidRPr="006D7831">
        <w:rPr>
          <w:noProof/>
        </w:rPr>
        <w:t>14 artikla</w:t>
      </w:r>
    </w:p>
    <w:p w:rsidR="00716EA9" w:rsidRPr="006D7831" w:rsidRDefault="00716EA9" w:rsidP="00F22954">
      <w:pPr>
        <w:pStyle w:val="Titrearticle"/>
        <w:spacing w:before="0"/>
        <w:rPr>
          <w:b/>
          <w:bCs/>
          <w:i w:val="0"/>
          <w:iCs/>
          <w:noProof/>
          <w:szCs w:val="24"/>
        </w:rPr>
      </w:pPr>
      <w:r w:rsidRPr="006D7831">
        <w:rPr>
          <w:b/>
          <w:i w:val="0"/>
          <w:noProof/>
        </w:rPr>
        <w:t>Suurista asiakasriskeistä raportointi sekä yksittäisinä laitoksina että konsolidoinnin perusteella</w:t>
      </w:r>
    </w:p>
    <w:p w:rsidR="00716EA9" w:rsidRPr="006D7831" w:rsidRDefault="00DE6B7D" w:rsidP="00716EA9">
      <w:pPr>
        <w:spacing w:after="0"/>
        <w:rPr>
          <w:noProof/>
          <w:color w:val="000000"/>
          <w:szCs w:val="24"/>
        </w:rPr>
      </w:pPr>
      <w:r w:rsidRPr="006D7831">
        <w:rPr>
          <w:noProof/>
          <w:color w:val="000000"/>
        </w:rPr>
        <w:t>Laitosten, jotka ilmoittavat asetuksen (EU) N:o 575/2013 394 artiklassa tarkoitetut tiedot sekä yksittäisinä laitoksina että konsolidoinnin perusteella, on toimitettava nämä tiedot tämän asetuksen liitteessä I olevan 5 jakson ”Suurista asiakasriskeistä ja keskittymäriskistä ilmoittaminen” mukaisesti neljännesvuosittain.</w:t>
      </w:r>
    </w:p>
    <w:p w:rsidR="00716EA9" w:rsidRPr="006D7831" w:rsidRDefault="00716EA9" w:rsidP="00E537F5">
      <w:pPr>
        <w:pStyle w:val="Titrearticle"/>
        <w:rPr>
          <w:noProof/>
          <w:szCs w:val="24"/>
        </w:rPr>
      </w:pPr>
      <w:r w:rsidRPr="006D7831">
        <w:rPr>
          <w:noProof/>
        </w:rPr>
        <w:t>15 artikla</w:t>
      </w:r>
    </w:p>
    <w:p w:rsidR="00716EA9" w:rsidRPr="006D7831" w:rsidRDefault="00716EA9" w:rsidP="00F22954">
      <w:pPr>
        <w:pStyle w:val="Titrearticle"/>
        <w:spacing w:before="0"/>
        <w:rPr>
          <w:b/>
          <w:bCs/>
          <w:i w:val="0"/>
          <w:iCs/>
          <w:noProof/>
          <w:szCs w:val="24"/>
        </w:rPr>
      </w:pPr>
      <w:r w:rsidRPr="006D7831">
        <w:rPr>
          <w:b/>
          <w:i w:val="0"/>
          <w:noProof/>
        </w:rPr>
        <w:t>Vähimmäisomavaraisuusasteesta raportointi sekä yksittäisinä laitoksina että konsolidoinnin perusteella</w:t>
      </w:r>
    </w:p>
    <w:p w:rsidR="00675E5F" w:rsidRPr="006D7831" w:rsidRDefault="00C07884" w:rsidP="00C07884">
      <w:pPr>
        <w:pStyle w:val="ManualNumPar1"/>
        <w:rPr>
          <w:noProof/>
        </w:rPr>
      </w:pPr>
      <w:r w:rsidRPr="00C07884">
        <w:rPr>
          <w:noProof/>
        </w:rPr>
        <w:t>1.</w:t>
      </w:r>
      <w:r w:rsidRPr="00C07884">
        <w:rPr>
          <w:noProof/>
        </w:rPr>
        <w:tab/>
      </w:r>
      <w:r w:rsidR="004A4F90" w:rsidRPr="006D7831">
        <w:rPr>
          <w:noProof/>
        </w:rPr>
        <w:t>Laitosten, jotka ilmoittavat asetuksen (EU) N:o 575/2013 430 artiklan 1 kohdan a alakohdassa tarkoitetun vähimmäisomavaraisuusasteensa sekä yksittäisinä laitoksina että konsolidoinnin perusteella, on toimitettava nämä tiedot tämän asetuksen liitteessä I olevan 6 jakson ”Velkaantuneisuusraportointi” mukaisesti neljännesvuosittain. Ainoastaan suurten laitosten on toimitettava lomake C 48.00 vähimmäisomavaraisuusasteen volatiliteettia koskevista tiedoista.</w:t>
      </w:r>
    </w:p>
    <w:p w:rsidR="00675E5F" w:rsidRPr="006D7831" w:rsidRDefault="00C07884" w:rsidP="00C07884">
      <w:pPr>
        <w:pStyle w:val="ManualNumPar1"/>
        <w:rPr>
          <w:noProof/>
        </w:rPr>
      </w:pPr>
      <w:r w:rsidRPr="00C07884">
        <w:rPr>
          <w:noProof/>
        </w:rPr>
        <w:t>2.</w:t>
      </w:r>
      <w:r w:rsidRPr="00C07884">
        <w:rPr>
          <w:noProof/>
        </w:rPr>
        <w:tab/>
      </w:r>
      <w:r w:rsidR="00675E5F" w:rsidRPr="006D7831">
        <w:rPr>
          <w:noProof/>
        </w:rPr>
        <w:t>Ainoastaan seuraavien laitosten on ilmoitettava lomakkeen C 40.00 solussa {r0410;c0010} täsmennetyt kokonaisvaroja koskevat tiedot:</w:t>
      </w:r>
    </w:p>
    <w:p w:rsidR="00675E5F" w:rsidRPr="006D7831" w:rsidRDefault="00461B88" w:rsidP="00461B88">
      <w:pPr>
        <w:pStyle w:val="Point1"/>
        <w:rPr>
          <w:noProof/>
        </w:rPr>
      </w:pPr>
      <w:r>
        <w:rPr>
          <w:noProof/>
        </w:rPr>
        <w:t>a)</w:t>
      </w:r>
      <w:r>
        <w:rPr>
          <w:noProof/>
        </w:rPr>
        <w:tab/>
      </w:r>
      <w:r w:rsidR="00675E5F" w:rsidRPr="006D7831">
        <w:rPr>
          <w:noProof/>
        </w:rPr>
        <w:t>suurten laitosten, jotka ovat joko G-SII-laitoksia tai jotka ovat laskeneet liikkeeseen säännellyillä markkinoilla kaupankäynnin kohteeksi otettavia arvopapereita, puolivuosittain;</w:t>
      </w:r>
    </w:p>
    <w:p w:rsidR="00675E5F" w:rsidRPr="006D7831" w:rsidRDefault="00461B88" w:rsidP="00461B88">
      <w:pPr>
        <w:pStyle w:val="Point1"/>
        <w:rPr>
          <w:noProof/>
        </w:rPr>
      </w:pPr>
      <w:r>
        <w:rPr>
          <w:noProof/>
        </w:rPr>
        <w:t>b)</w:t>
      </w:r>
      <w:r>
        <w:rPr>
          <w:noProof/>
        </w:rPr>
        <w:tab/>
      </w:r>
      <w:r w:rsidR="00675E5F" w:rsidRPr="006D7831">
        <w:rPr>
          <w:noProof/>
        </w:rPr>
        <w:t>suurten laitosten, jotka eivät ole listattuja G-SII-laitoksia, vuosittain;</w:t>
      </w:r>
    </w:p>
    <w:p w:rsidR="00675E5F" w:rsidRPr="006D7831" w:rsidRDefault="00461B88" w:rsidP="00461B88">
      <w:pPr>
        <w:pStyle w:val="Point1"/>
        <w:rPr>
          <w:noProof/>
        </w:rPr>
      </w:pPr>
      <w:r>
        <w:rPr>
          <w:noProof/>
        </w:rPr>
        <w:t>c)</w:t>
      </w:r>
      <w:r>
        <w:rPr>
          <w:noProof/>
        </w:rPr>
        <w:tab/>
      </w:r>
      <w:r w:rsidR="00675E5F" w:rsidRPr="006D7831">
        <w:rPr>
          <w:noProof/>
        </w:rPr>
        <w:t>laitosten, jotka eivät ole suuria laitoksia eivätkä pieniä ja rakenteeltaan yksinkertaisia laitoksia, jotka ovat laskeneet liikkeeseen säännellyillä markkinoilla kaupankäynnin kohteeksi otettavia arvopapereita, vuosittain.</w:t>
      </w:r>
    </w:p>
    <w:p w:rsidR="00675E5F" w:rsidRPr="006D7831" w:rsidRDefault="00C07884" w:rsidP="00C07884">
      <w:pPr>
        <w:pStyle w:val="ManualNumPar1"/>
        <w:rPr>
          <w:noProof/>
        </w:rPr>
      </w:pPr>
      <w:r w:rsidRPr="00C07884">
        <w:rPr>
          <w:noProof/>
        </w:rPr>
        <w:t>3.</w:t>
      </w:r>
      <w:r w:rsidRPr="00C07884">
        <w:rPr>
          <w:noProof/>
        </w:rPr>
        <w:tab/>
      </w:r>
      <w:r w:rsidR="00675E5F" w:rsidRPr="006D7831">
        <w:rPr>
          <w:noProof/>
        </w:rPr>
        <w:t>Laitosten on ilmoitettava lomakkeen C 40.00 soluissa {r0010;c0010}, {r0010;c0020}, {r0020;c0010}, {r0020;c0020}, {r0030;c0070}, {r0040;c0070}, {r0050;c0010}, {r0050;c0020}, {r0060;c0010}, {r0060;c0020} ja {r0060;c0070} täsmennetyt vähimmäisomavaraisuusastetta koskevat lisätiedot, jos vähintään yksi seuraavista edellytyksistä täyttyy:</w:t>
      </w:r>
    </w:p>
    <w:p w:rsidR="00675E5F" w:rsidRPr="006D7831" w:rsidRDefault="00461B88" w:rsidP="00461B88">
      <w:pPr>
        <w:pStyle w:val="Point1"/>
        <w:rPr>
          <w:noProof/>
        </w:rPr>
      </w:pPr>
      <w:r>
        <w:rPr>
          <w:noProof/>
        </w:rPr>
        <w:t>a)</w:t>
      </w:r>
      <w:r>
        <w:rPr>
          <w:noProof/>
        </w:rPr>
        <w:tab/>
      </w:r>
      <w:r w:rsidR="00675E5F" w:rsidRPr="006D7831">
        <w:rPr>
          <w:noProof/>
        </w:rPr>
        <w:t>johdannaisen osuus, joka on määritelty johdannaisriskin määräksi jaettuna kokonaisriskillä, on yli 1,5 prosenttia;</w:t>
      </w:r>
    </w:p>
    <w:p w:rsidR="00675E5F" w:rsidRPr="006D7831" w:rsidRDefault="00461B88" w:rsidP="00461B88">
      <w:pPr>
        <w:pStyle w:val="Point1"/>
        <w:rPr>
          <w:noProof/>
        </w:rPr>
      </w:pPr>
      <w:r>
        <w:rPr>
          <w:noProof/>
        </w:rPr>
        <w:t>b)</w:t>
      </w:r>
      <w:r>
        <w:rPr>
          <w:noProof/>
        </w:rPr>
        <w:tab/>
      </w:r>
      <w:r w:rsidR="00675E5F" w:rsidRPr="006D7831">
        <w:rPr>
          <w:noProof/>
        </w:rPr>
        <w:t>johdannaisen osuus, joka on määritelty johdannaisriskin määräksi jaettuna kokonaisriskillä, on yli 2 prosenttia.</w:t>
      </w:r>
    </w:p>
    <w:p w:rsidR="00675E5F" w:rsidRPr="006D7831" w:rsidRDefault="00797855" w:rsidP="001D2A25">
      <w:pPr>
        <w:pStyle w:val="Text1"/>
        <w:rPr>
          <w:noProof/>
        </w:rPr>
      </w:pPr>
      <w:r w:rsidRPr="006D7831">
        <w:rPr>
          <w:noProof/>
        </w:rPr>
        <w:t>Jos laitos täyttää ainoastaan ensimmäisen alakohdan a alakohdassa säädetyn edellytyksen, sovelletaan tämän asetuksen 4 artiklan 3 kohdan mukaantulo- ja poistumiskriteerejä. Laitoksen, joka täyttää sekä ensimmäisen alakohdan a että b alakohdassa säädetyt edellytykset, on aloitettava vähimmäisomavaraisuusastetta koskevien tietojen ilmoittaminen sen viitepäivämäärän jälkeisestä viitepäivämäärästä, jona se ylitti kynnysarvon.</w:t>
      </w:r>
    </w:p>
    <w:p w:rsidR="00675E5F" w:rsidRPr="006D7831" w:rsidRDefault="00C07884" w:rsidP="00C07884">
      <w:pPr>
        <w:pStyle w:val="ManualNumPar1"/>
        <w:rPr>
          <w:noProof/>
        </w:rPr>
      </w:pPr>
      <w:r w:rsidRPr="00C07884">
        <w:rPr>
          <w:noProof/>
        </w:rPr>
        <w:t>4.</w:t>
      </w:r>
      <w:r w:rsidRPr="00C07884">
        <w:rPr>
          <w:noProof/>
        </w:rPr>
        <w:tab/>
      </w:r>
      <w:r w:rsidR="00675E5F" w:rsidRPr="006D7831">
        <w:rPr>
          <w:noProof/>
        </w:rPr>
        <w:t>Laitosten, joiden lomakkeen C 40.00 solun {r0010;c0070} mukaisesti määritelty johdannaisten kokonaisnimellisarvo ylittää 10 000 miljoonaa euroa, on ilmoitettava lomakkeen C 40.00 soluissa {r0010;c0010}, {r0010;c0020}, {r0020;c0010}, {r0020;c0020}, {r0030;c0070}, {r0040;c0070}, {r0050;c0010}, {r0050;c0020}, {r0060;c0010}, {r0060;c0020} ja {r0060;c0070} tarkoitetut tiedot, vaikka niiden johdannaisten osuus ei täyttäisi 3 kohdassa säädettyjä edellytyksiä.</w:t>
      </w:r>
    </w:p>
    <w:p w:rsidR="00675E5F" w:rsidRPr="006D7831" w:rsidRDefault="00675E5F" w:rsidP="00C856B2">
      <w:pPr>
        <w:pStyle w:val="Text1"/>
        <w:rPr>
          <w:noProof/>
        </w:rPr>
      </w:pPr>
      <w:r w:rsidRPr="006D7831">
        <w:rPr>
          <w:noProof/>
        </w:rPr>
        <w:t>Sovellettaessa ensimmäistä alakohtaa ei sovelleta tämän asetuksen 4 artiklan 3 kohdan mukaantulokriteerejä. Laitosten on aloitettava tietojen ilmoittaminen seuraavasta raportoinnin viitepäivämäärästä lukien sen jälkeen, kun ne ovat ylittäneet kynnysarvon yhtenä raportoinnin viitepäivämääränä.</w:t>
      </w:r>
    </w:p>
    <w:p w:rsidR="00675E5F" w:rsidRPr="006D7831" w:rsidRDefault="00C07884" w:rsidP="00C07884">
      <w:pPr>
        <w:pStyle w:val="ManualNumPar1"/>
        <w:rPr>
          <w:noProof/>
        </w:rPr>
      </w:pPr>
      <w:r w:rsidRPr="00C07884">
        <w:rPr>
          <w:noProof/>
        </w:rPr>
        <w:t>5.</w:t>
      </w:r>
      <w:r w:rsidRPr="00C07884">
        <w:rPr>
          <w:noProof/>
        </w:rPr>
        <w:tab/>
      </w:r>
      <w:r w:rsidR="00675E5F" w:rsidRPr="006D7831">
        <w:rPr>
          <w:noProof/>
        </w:rPr>
        <w:t>Laitosten on ilmoitettava lomakkeen C 40.00 soluissa {r0020;c0075}, {r0050;c0075} ja {r0050;c0085} tarkoitetut tiedot, jos vähintään toinen seuraavista edellytyksistä täyttyy:</w:t>
      </w:r>
    </w:p>
    <w:p w:rsidR="00675E5F" w:rsidRPr="006D7831" w:rsidRDefault="00461B88" w:rsidP="00461B88">
      <w:pPr>
        <w:pStyle w:val="Point1"/>
        <w:rPr>
          <w:noProof/>
        </w:rPr>
      </w:pPr>
      <w:r>
        <w:rPr>
          <w:noProof/>
        </w:rPr>
        <w:t>a)</w:t>
      </w:r>
      <w:r>
        <w:rPr>
          <w:noProof/>
        </w:rPr>
        <w:tab/>
      </w:r>
      <w:r w:rsidR="00675E5F" w:rsidRPr="006D7831">
        <w:rPr>
          <w:noProof/>
        </w:rPr>
        <w:t>lomakkeen C 40.00 muodossa {r0020;c0070} + {r0050;c0070} täsmennetty luottojohdannaisten määrä on yli 300 miljoonaa euroa;</w:t>
      </w:r>
    </w:p>
    <w:p w:rsidR="00675E5F" w:rsidRPr="006D7831" w:rsidRDefault="00461B88" w:rsidP="00461B88">
      <w:pPr>
        <w:pStyle w:val="Point1"/>
        <w:rPr>
          <w:noProof/>
        </w:rPr>
      </w:pPr>
      <w:r>
        <w:rPr>
          <w:noProof/>
        </w:rPr>
        <w:t>a)</w:t>
      </w:r>
      <w:r>
        <w:rPr>
          <w:noProof/>
        </w:rPr>
        <w:tab/>
      </w:r>
      <w:r w:rsidR="00675E5F" w:rsidRPr="006D7831">
        <w:rPr>
          <w:noProof/>
        </w:rPr>
        <w:t>lomakkeen C 40.00 muodossa {r0020;c0070} + {r0050;c0070} täsmennetty luottojohdannaisten määrä on yli 500 miljoonaa euroa.</w:t>
      </w:r>
    </w:p>
    <w:p w:rsidR="00716EA9" w:rsidRPr="006D7831" w:rsidRDefault="00745A2E" w:rsidP="001D2A25">
      <w:pPr>
        <w:pStyle w:val="Text1"/>
        <w:rPr>
          <w:noProof/>
        </w:rPr>
      </w:pPr>
      <w:r w:rsidRPr="006D7831">
        <w:rPr>
          <w:noProof/>
        </w:rPr>
        <w:t>Jos laitos täyttää ainoastaan ensimmäisen alakohdan a alakohdassa säädetyn edellytyksen, sovelletaan tämän asetuksen 4 artiklan 3 kohdan mukaantulo- ja poistumiskriteerejä. Laitoksen, joka täyttää sekä ensimmäisen alakohdan a että b alakohdassa säädetyt edellytykset, on aloitettava kyseisten tietojen ilmoittaminen sen viitepäivämäärän jälkeisestä viitepäivämäärästä, jona se ylitti kynnysarvon.</w:t>
      </w:r>
    </w:p>
    <w:p w:rsidR="00716EA9" w:rsidRPr="006D7831" w:rsidRDefault="00716EA9" w:rsidP="00E537F5">
      <w:pPr>
        <w:pStyle w:val="Titrearticle"/>
        <w:rPr>
          <w:noProof/>
          <w:szCs w:val="24"/>
        </w:rPr>
      </w:pPr>
      <w:r w:rsidRPr="006D7831">
        <w:rPr>
          <w:noProof/>
        </w:rPr>
        <w:t>16 artikla</w:t>
      </w:r>
    </w:p>
    <w:p w:rsidR="00716EA9" w:rsidRPr="006D7831" w:rsidRDefault="00716EA9" w:rsidP="00F22954">
      <w:pPr>
        <w:pStyle w:val="Titrearticle"/>
        <w:spacing w:before="0"/>
        <w:rPr>
          <w:b/>
          <w:bCs/>
          <w:i w:val="0"/>
          <w:iCs/>
          <w:noProof/>
          <w:szCs w:val="24"/>
        </w:rPr>
      </w:pPr>
      <w:r w:rsidRPr="006D7831">
        <w:rPr>
          <w:b/>
          <w:i w:val="0"/>
          <w:noProof/>
        </w:rPr>
        <w:t>Maksuvalmiusvaatimuksesta raportointi sekä yksittäisinä laitoksina että konsolidoinnin perusteella</w:t>
      </w:r>
    </w:p>
    <w:p w:rsidR="00716EA9" w:rsidRPr="006D7831" w:rsidRDefault="00C07884" w:rsidP="00C07884">
      <w:pPr>
        <w:pStyle w:val="ManualNumPar1"/>
        <w:rPr>
          <w:noProof/>
        </w:rPr>
      </w:pPr>
      <w:r w:rsidRPr="00C07884">
        <w:rPr>
          <w:noProof/>
        </w:rPr>
        <w:t>1.</w:t>
      </w:r>
      <w:r w:rsidRPr="00C07884">
        <w:rPr>
          <w:noProof/>
        </w:rPr>
        <w:tab/>
      </w:r>
      <w:r w:rsidR="000056CB" w:rsidRPr="006D7831">
        <w:rPr>
          <w:noProof/>
        </w:rPr>
        <w:t>Laitosten, jotka ilmoittavat asetuksen (EU) N:o 575/2013 412 artiklassa tarkoitetun ja kyseisen asetuksen 430 artiklan 1 kohdan d alakohdassa edellytetyn maksuvalmiusvaatimuksensa sekä yksittäisenä laitoksena että konsolidoinnin perusteella, on toimitettava kyseiset tiedot tämän asetuksen liitteessä I olevan 10 jakson ”Maksuvalmiudesta raportointi” mukaisesti kuukausittain.</w:t>
      </w:r>
    </w:p>
    <w:p w:rsidR="00716EA9" w:rsidRPr="006D7831" w:rsidRDefault="00C07884" w:rsidP="00C07884">
      <w:pPr>
        <w:pStyle w:val="ManualNumPar1"/>
        <w:rPr>
          <w:noProof/>
        </w:rPr>
      </w:pPr>
      <w:r w:rsidRPr="00C07884">
        <w:rPr>
          <w:noProof/>
        </w:rPr>
        <w:t>2.</w:t>
      </w:r>
      <w:r w:rsidRPr="00C07884">
        <w:rPr>
          <w:noProof/>
        </w:rPr>
        <w:tab/>
      </w:r>
      <w:r w:rsidR="00716EA9" w:rsidRPr="006D7831">
        <w:rPr>
          <w:noProof/>
        </w:rPr>
        <w:t>Ilmoittaessaan tämän asetuksen liitteessä I olevassa 10 jaksossa ”Maksuvalmiudesta raportointi” täsmennettyjä tietoja laitosten on otettava huomioon viitepäivämäärän yhteydessä toimitetut tiedot ja tiedot, jotka koskevat laitoksen rahavirtoja viitepäivämäärää seuraavien 30 kalenteripäivän aikana.</w:t>
      </w:r>
    </w:p>
    <w:p w:rsidR="00716EA9" w:rsidRPr="006D7831" w:rsidRDefault="00716EA9" w:rsidP="00E537F5">
      <w:pPr>
        <w:pStyle w:val="Titrearticle"/>
        <w:rPr>
          <w:noProof/>
          <w:szCs w:val="24"/>
        </w:rPr>
      </w:pPr>
      <w:r w:rsidRPr="006D7831">
        <w:rPr>
          <w:noProof/>
        </w:rPr>
        <w:t>17 artikla</w:t>
      </w:r>
    </w:p>
    <w:p w:rsidR="00716EA9" w:rsidRPr="006D7831" w:rsidRDefault="00716EA9" w:rsidP="00F22954">
      <w:pPr>
        <w:pStyle w:val="Titrearticle"/>
        <w:spacing w:before="0"/>
        <w:rPr>
          <w:b/>
          <w:bCs/>
          <w:i w:val="0"/>
          <w:iCs/>
          <w:noProof/>
          <w:szCs w:val="24"/>
        </w:rPr>
      </w:pPr>
      <w:r w:rsidRPr="006D7831">
        <w:rPr>
          <w:b/>
          <w:i w:val="0"/>
          <w:noProof/>
        </w:rPr>
        <w:t>Pysyvästä varainhankinnasta raportointi sekä yksittäisinä laitoksina että konsolidoinnin perusteella</w:t>
      </w:r>
    </w:p>
    <w:p w:rsidR="00716EA9" w:rsidRPr="006D7831" w:rsidRDefault="00D62A44" w:rsidP="00BA7013">
      <w:pPr>
        <w:rPr>
          <w:noProof/>
          <w:color w:val="000000"/>
          <w:szCs w:val="24"/>
        </w:rPr>
      </w:pPr>
      <w:r w:rsidRPr="006D7831">
        <w:rPr>
          <w:noProof/>
        </w:rPr>
        <w:t>Laitosten, jotka ilmoittavat asetuksen (EU) N:o 575/2013 413 artiklassa tarkoitetun ja kyseisen asetuksen 430 artiklan 1 kohdan d alakohdassa edellytetyn pysyvän varainhankinnan vaatimuksensa sekä yksittäisenä laitoksena että konsolidoinnin perusteella, on toimitettava kyseiset tiedot tämän asetuksen liitteessä I olevan 7 jakson ”Pysyvästä varainhankinnasta raportointi” mukaisesti neljännesvuosittain seuraavasti:</w:t>
      </w:r>
    </w:p>
    <w:p w:rsidR="00C26E6A" w:rsidRPr="006D7831" w:rsidRDefault="00461B88" w:rsidP="00461B88">
      <w:pPr>
        <w:pStyle w:val="Point0"/>
        <w:rPr>
          <w:noProof/>
        </w:rPr>
      </w:pPr>
      <w:r>
        <w:rPr>
          <w:noProof/>
        </w:rPr>
        <w:t>a)</w:t>
      </w:r>
      <w:r>
        <w:rPr>
          <w:noProof/>
        </w:rPr>
        <w:tab/>
      </w:r>
      <w:r w:rsidR="00C26E6A" w:rsidRPr="006D7831">
        <w:rPr>
          <w:noProof/>
        </w:rPr>
        <w:t>pienten ja rakenteeltaan yksinkertaisten laitosten, jotka ovat päättäneet laskea pysyvän varainhankinnan vaatimuksensa (NSFR) käyttäen asetuksen (EU) N:o 575/2013 kuudennen osan IV osaston 6 ja 7 luvussa säädettyä menetelmää kyseisen asetuksen 428 ai artiklan mukaisesti toimivaltaisen viranomaisensa ennalta antamalla luvalla, on toimitettava lomakkeet C 82 ja C 83;</w:t>
      </w:r>
    </w:p>
    <w:p w:rsidR="00C26E6A" w:rsidRPr="006D7831" w:rsidRDefault="00461B88" w:rsidP="00461B88">
      <w:pPr>
        <w:pStyle w:val="Point0"/>
        <w:rPr>
          <w:noProof/>
        </w:rPr>
      </w:pPr>
      <w:r>
        <w:rPr>
          <w:noProof/>
        </w:rPr>
        <w:t>b)</w:t>
      </w:r>
      <w:r>
        <w:rPr>
          <w:noProof/>
        </w:rPr>
        <w:tab/>
      </w:r>
      <w:r w:rsidR="00C26E6A" w:rsidRPr="006D7831">
        <w:rPr>
          <w:noProof/>
        </w:rPr>
        <w:t>muiden kuin a alakohdassa tarkoitettujen laitosten on toimitettava lomakkeet C 80 ja C 81;</w:t>
      </w:r>
    </w:p>
    <w:p w:rsidR="00C26E6A" w:rsidRPr="006D7831" w:rsidRDefault="00461B88" w:rsidP="00461B88">
      <w:pPr>
        <w:pStyle w:val="Point0"/>
        <w:rPr>
          <w:noProof/>
        </w:rPr>
      </w:pPr>
      <w:r>
        <w:rPr>
          <w:noProof/>
        </w:rPr>
        <w:t>c)</w:t>
      </w:r>
      <w:r>
        <w:rPr>
          <w:noProof/>
        </w:rPr>
        <w:tab/>
      </w:r>
      <w:r w:rsidR="00C26E6A" w:rsidRPr="006D7831">
        <w:rPr>
          <w:noProof/>
        </w:rPr>
        <w:t>kaikkien laitosten on toimitettava lomake C 84.</w:t>
      </w:r>
    </w:p>
    <w:p w:rsidR="00716EA9" w:rsidRPr="006D7831" w:rsidRDefault="00716EA9" w:rsidP="00E537F5">
      <w:pPr>
        <w:pStyle w:val="Titrearticle"/>
        <w:rPr>
          <w:noProof/>
          <w:szCs w:val="24"/>
        </w:rPr>
      </w:pPr>
      <w:r w:rsidRPr="006D7831">
        <w:rPr>
          <w:noProof/>
        </w:rPr>
        <w:t>18 artikla</w:t>
      </w:r>
    </w:p>
    <w:p w:rsidR="00716EA9" w:rsidRPr="006D7831" w:rsidRDefault="00716EA9" w:rsidP="00F22954">
      <w:pPr>
        <w:pStyle w:val="Titrearticle"/>
        <w:spacing w:before="0"/>
        <w:rPr>
          <w:b/>
          <w:bCs/>
          <w:i w:val="0"/>
          <w:iCs/>
          <w:noProof/>
          <w:szCs w:val="24"/>
        </w:rPr>
      </w:pPr>
      <w:r w:rsidRPr="006D7831">
        <w:rPr>
          <w:b/>
          <w:i w:val="0"/>
          <w:noProof/>
        </w:rPr>
        <w:t>Maksuvalmiuden seurantaan tarkoitetusta lisämetriikasta raportointi sekä yksittäisinä laitoksina että konsolidoinnin perusteella</w:t>
      </w:r>
    </w:p>
    <w:p w:rsidR="00716EA9" w:rsidRPr="006D7831" w:rsidRDefault="00D538F2" w:rsidP="007643C7">
      <w:pPr>
        <w:tabs>
          <w:tab w:val="left" w:pos="567"/>
        </w:tabs>
        <w:spacing w:before="100" w:beforeAutospacing="1" w:after="100" w:afterAutospacing="1"/>
        <w:rPr>
          <w:noProof/>
          <w:color w:val="000000"/>
          <w:szCs w:val="24"/>
        </w:rPr>
      </w:pPr>
      <w:r w:rsidRPr="006D7831">
        <w:rPr>
          <w:noProof/>
        </w:rPr>
        <w:t>Laitosten, jotka ilmoittavat asetuksen (EU) N:o 575/2013 415 artiklan 3 kohdan b alakohdassa tarkoitetut ja kyseisen asetuksen 430 artiklan 1 kohdan d alakohdassa edellytetyt maksuvalmiuden seurantaan tarkoitettua lisämetriikkaa koskevat tiedot sekä yksittäisenä laitoksena että konsolidoinnin perusteella, on toimitettava kyseiset tiedot tämän asetuksen liitteessä I olevan 9 jakson ”Maksuvalmiuden seurantaan tarkoitetusta lisämetriikasta raportointi” mukaisesti seuraavalla tiheydellä:</w:t>
      </w:r>
    </w:p>
    <w:p w:rsidR="00F5752D" w:rsidRPr="006D7831" w:rsidRDefault="00461B88" w:rsidP="00461B88">
      <w:pPr>
        <w:pStyle w:val="Point0"/>
        <w:rPr>
          <w:noProof/>
        </w:rPr>
      </w:pPr>
      <w:r>
        <w:rPr>
          <w:noProof/>
        </w:rPr>
        <w:t>a)</w:t>
      </w:r>
      <w:r>
        <w:rPr>
          <w:noProof/>
        </w:rPr>
        <w:tab/>
      </w:r>
      <w:r w:rsidR="00F5752D" w:rsidRPr="006D7831">
        <w:rPr>
          <w:noProof/>
        </w:rPr>
        <w:t>suurten laitosten on toimitettava tämän asetuksen liitteessä I olevan 9 jakson lomakkeissa C 66.01 ja C 67.00–C 71.00 täsmennetyt tiedot kuukausittain;</w:t>
      </w:r>
    </w:p>
    <w:p w:rsidR="00F5752D" w:rsidRPr="006D7831" w:rsidRDefault="00461B88" w:rsidP="00461B88">
      <w:pPr>
        <w:pStyle w:val="Point0"/>
        <w:rPr>
          <w:noProof/>
        </w:rPr>
      </w:pPr>
      <w:r>
        <w:rPr>
          <w:noProof/>
        </w:rPr>
        <w:t>b)</w:t>
      </w:r>
      <w:r>
        <w:rPr>
          <w:noProof/>
        </w:rPr>
        <w:tab/>
      </w:r>
      <w:r w:rsidR="00F5752D" w:rsidRPr="006D7831">
        <w:rPr>
          <w:noProof/>
        </w:rPr>
        <w:t>pienten ja rakenteeltaan yksinkertaisten laitosten on toimitettava tämän asetuksen liitteessä I olevan 9 jakson lomakkeissa C 66.0, C 67.00 ja C 71.00 täsmennetyt tiedot neljännesvuosittain;</w:t>
      </w:r>
    </w:p>
    <w:p w:rsidR="00F5752D" w:rsidRPr="006D7831" w:rsidRDefault="00461B88" w:rsidP="00461B88">
      <w:pPr>
        <w:pStyle w:val="Point0"/>
        <w:rPr>
          <w:noProof/>
        </w:rPr>
      </w:pPr>
      <w:r>
        <w:rPr>
          <w:noProof/>
        </w:rPr>
        <w:t>c)</w:t>
      </w:r>
      <w:r>
        <w:rPr>
          <w:noProof/>
        </w:rPr>
        <w:tab/>
      </w:r>
      <w:r w:rsidR="00F5752D" w:rsidRPr="006D7831">
        <w:rPr>
          <w:noProof/>
        </w:rPr>
        <w:t>laitosten, jotka eivät ole suuria laitoksia eivätkä pieniä ja rakenteeltaan yksinkertaisia laitoksia, on toimitettava tämän asetuksen liitteessä I olevan 9 jakson lomakkeissa C 66.01–C 69.00 ja C 71.00 täsmennetyt tiedot kuukausittain.</w:t>
      </w:r>
    </w:p>
    <w:p w:rsidR="00716EA9" w:rsidRPr="006D7831" w:rsidRDefault="00716EA9" w:rsidP="00E537F5">
      <w:pPr>
        <w:pStyle w:val="Titrearticle"/>
        <w:rPr>
          <w:noProof/>
          <w:szCs w:val="24"/>
        </w:rPr>
      </w:pPr>
      <w:r w:rsidRPr="006D7831">
        <w:rPr>
          <w:noProof/>
        </w:rPr>
        <w:t>19 artikla</w:t>
      </w:r>
    </w:p>
    <w:p w:rsidR="00716EA9" w:rsidRPr="006D7831" w:rsidRDefault="00716EA9" w:rsidP="00F22954">
      <w:pPr>
        <w:pStyle w:val="Titrearticle"/>
        <w:spacing w:before="0"/>
        <w:rPr>
          <w:b/>
          <w:bCs/>
          <w:i w:val="0"/>
          <w:iCs/>
          <w:noProof/>
          <w:szCs w:val="24"/>
        </w:rPr>
      </w:pPr>
      <w:r w:rsidRPr="006D7831">
        <w:rPr>
          <w:b/>
          <w:i w:val="0"/>
          <w:noProof/>
        </w:rPr>
        <w:t>Taseen sitoutumisista raportointi sekä yksittäisinä laitoksina että konsolidoinnin perusteella</w:t>
      </w:r>
    </w:p>
    <w:p w:rsidR="001D2A25" w:rsidRPr="006D7831" w:rsidRDefault="00C07884" w:rsidP="00C07884">
      <w:pPr>
        <w:pStyle w:val="ManualNumPar1"/>
        <w:rPr>
          <w:noProof/>
        </w:rPr>
      </w:pPr>
      <w:r w:rsidRPr="00C07884">
        <w:rPr>
          <w:noProof/>
        </w:rPr>
        <w:t>1.</w:t>
      </w:r>
      <w:r w:rsidRPr="00C07884">
        <w:rPr>
          <w:noProof/>
        </w:rPr>
        <w:tab/>
      </w:r>
      <w:r w:rsidR="00716EA9" w:rsidRPr="006D7831">
        <w:rPr>
          <w:noProof/>
        </w:rPr>
        <w:t>Laitosten, jotka ilmoittavat asetuksen (EU) N:o 575/2013 430 artiklan 1 kohdan g alakohdassa tarkoitetun vakuussidonnaisuuden tason sekä yksittäisinä laitoksina että konsolidoinnin perusteella, on toimitettava nämä tiedot tämän asetuksen liitteessä I olevan 8 jakson ”Taseen sitoutumisista annettavat ilmoitukset” mukaisesti seuraavalla tiheydellä:</w:t>
      </w:r>
    </w:p>
    <w:p w:rsidR="00F5752D" w:rsidRPr="006D7831" w:rsidRDefault="00461B88" w:rsidP="00461B88">
      <w:pPr>
        <w:pStyle w:val="Point1"/>
        <w:rPr>
          <w:noProof/>
        </w:rPr>
      </w:pPr>
      <w:r>
        <w:rPr>
          <w:noProof/>
        </w:rPr>
        <w:t>a)</w:t>
      </w:r>
      <w:r>
        <w:rPr>
          <w:noProof/>
        </w:rPr>
        <w:tab/>
      </w:r>
      <w:r w:rsidR="00F5752D" w:rsidRPr="006D7831">
        <w:rPr>
          <w:noProof/>
        </w:rPr>
        <w:t>tämän asetuksen liitteessä I olevan 8 jakson lomakkeissa F 32.01–F 33.00 ja F 35.00 täsmennetyt tiedot neljännesvuosittain;</w:t>
      </w:r>
    </w:p>
    <w:p w:rsidR="00F5752D" w:rsidRPr="006D7831" w:rsidRDefault="00461B88" w:rsidP="00461B88">
      <w:pPr>
        <w:pStyle w:val="Point1"/>
        <w:rPr>
          <w:noProof/>
        </w:rPr>
      </w:pPr>
      <w:r>
        <w:rPr>
          <w:noProof/>
        </w:rPr>
        <w:t>b)</w:t>
      </w:r>
      <w:r>
        <w:rPr>
          <w:noProof/>
        </w:rPr>
        <w:tab/>
      </w:r>
      <w:r w:rsidR="00F5752D" w:rsidRPr="006D7831">
        <w:rPr>
          <w:noProof/>
        </w:rPr>
        <w:t>tämän asetuksen liitteessä I olevan 8 jakson lomakkeessa F 34.00 täsmennetyt tiedot vuosittain;</w:t>
      </w:r>
    </w:p>
    <w:p w:rsidR="00F5752D" w:rsidRPr="006D7831" w:rsidRDefault="00461B88" w:rsidP="00461B88">
      <w:pPr>
        <w:pStyle w:val="Point1"/>
        <w:rPr>
          <w:noProof/>
        </w:rPr>
      </w:pPr>
      <w:r>
        <w:rPr>
          <w:noProof/>
        </w:rPr>
        <w:t>c)</w:t>
      </w:r>
      <w:r>
        <w:rPr>
          <w:noProof/>
        </w:rPr>
        <w:tab/>
      </w:r>
      <w:r w:rsidR="00F5752D" w:rsidRPr="006D7831">
        <w:rPr>
          <w:noProof/>
        </w:rPr>
        <w:t>tämän asetuksen liitteessä I olevan 8 jakson lomakkeissa F 36.01 ja F 36.02 täsmennetyt tiedot puolivuosittain.</w:t>
      </w:r>
    </w:p>
    <w:p w:rsidR="0083639F" w:rsidRPr="006D7831" w:rsidRDefault="00C07884" w:rsidP="00C07884">
      <w:pPr>
        <w:pStyle w:val="ManualNumPar1"/>
        <w:rPr>
          <w:noProof/>
        </w:rPr>
      </w:pPr>
      <w:r w:rsidRPr="00C07884">
        <w:rPr>
          <w:noProof/>
        </w:rPr>
        <w:t>2.</w:t>
      </w:r>
      <w:r w:rsidRPr="00C07884">
        <w:rPr>
          <w:noProof/>
        </w:rPr>
        <w:tab/>
      </w:r>
      <w:r w:rsidR="00745A2E" w:rsidRPr="006D7831">
        <w:rPr>
          <w:noProof/>
        </w:rPr>
        <w:t>Laitosten on toimitettava 1 kohdassa tarkoitetut tiedot seuraavasti:</w:t>
      </w:r>
    </w:p>
    <w:p w:rsidR="0083639F" w:rsidRPr="006D7831" w:rsidRDefault="00461B88" w:rsidP="00461B88">
      <w:pPr>
        <w:pStyle w:val="Point1"/>
        <w:rPr>
          <w:noProof/>
        </w:rPr>
      </w:pPr>
      <w:r>
        <w:rPr>
          <w:noProof/>
        </w:rPr>
        <w:t>a)</w:t>
      </w:r>
      <w:r>
        <w:rPr>
          <w:noProof/>
        </w:rPr>
        <w:tab/>
      </w:r>
      <w:r w:rsidR="0083639F" w:rsidRPr="006D7831">
        <w:rPr>
          <w:noProof/>
        </w:rPr>
        <w:t>laitosten on toimitettava 8 jakson ”Taseen sitoutumisista annettavat ilmoitukset” A osassa täsmennetyt tiedot;</w:t>
      </w:r>
    </w:p>
    <w:p w:rsidR="0083639F" w:rsidRPr="006D7831" w:rsidRDefault="00461B88" w:rsidP="00461B88">
      <w:pPr>
        <w:pStyle w:val="Point1"/>
        <w:rPr>
          <w:noProof/>
        </w:rPr>
      </w:pPr>
      <w:r>
        <w:rPr>
          <w:noProof/>
        </w:rPr>
        <w:t>b)</w:t>
      </w:r>
      <w:r>
        <w:rPr>
          <w:noProof/>
        </w:rPr>
        <w:tab/>
      </w:r>
      <w:r w:rsidR="0083639F" w:rsidRPr="006D7831">
        <w:rPr>
          <w:noProof/>
        </w:rPr>
        <w:t>suurten laitosten on toimitettava 8 jakson ”Taseen sitoutumisista annettavat ilmoitukset” B, C ja E osassa täsmennetyt tiedot;</w:t>
      </w:r>
    </w:p>
    <w:p w:rsidR="0083639F" w:rsidRPr="006D7831" w:rsidRDefault="00461B88" w:rsidP="00461B88">
      <w:pPr>
        <w:pStyle w:val="Point1"/>
        <w:rPr>
          <w:noProof/>
        </w:rPr>
      </w:pPr>
      <w:r>
        <w:rPr>
          <w:noProof/>
        </w:rPr>
        <w:t>c)</w:t>
      </w:r>
      <w:r>
        <w:rPr>
          <w:noProof/>
        </w:rPr>
        <w:tab/>
      </w:r>
      <w:r w:rsidR="0083639F" w:rsidRPr="006D7831">
        <w:rPr>
          <w:noProof/>
        </w:rPr>
        <w:t>laitosten, jotka eivät ole suuria laitoksia eivätkä pieniä ja rakenteeltaan yksinkertaisia laitoksia, on toimitettava 8 jakson ”Taseen sitoutumisista annettavat ilmoitukset” B, C ja E osassa täsmennetyt tiedot, jos laitoksen vakuussidonnaisuuden taso, joka lasketaan kaavalla (kiinnitettyjen omaisuuserien ja vakuuksien kirjanpitoarvo)/(omaisuuserien ja vakuuksien kokonaismäärä), on vähintään 15 prosenttia;</w:t>
      </w:r>
    </w:p>
    <w:p w:rsidR="0083639F" w:rsidRPr="006D7831" w:rsidRDefault="00461B88" w:rsidP="00461B88">
      <w:pPr>
        <w:pStyle w:val="Point1"/>
        <w:rPr>
          <w:noProof/>
        </w:rPr>
      </w:pPr>
      <w:r>
        <w:rPr>
          <w:noProof/>
        </w:rPr>
        <w:t>d)</w:t>
      </w:r>
      <w:r>
        <w:rPr>
          <w:noProof/>
        </w:rPr>
        <w:tab/>
      </w:r>
      <w:r w:rsidR="0083639F" w:rsidRPr="006D7831">
        <w:rPr>
          <w:noProof/>
        </w:rPr>
        <w:t>laitosten on ilmoitettava 8 jakson ”Taseen sitoutumisista annettavat ilmoitukset” D osassa täsmennetyt tiedot ainoastaan, jos ne laskevat liikkeeseen Euroopan parlamentin ja neuvoston direktiivin 2009/65/EY</w:t>
      </w:r>
      <w:r w:rsidR="00745A2E" w:rsidRPr="006D7831">
        <w:rPr>
          <w:rStyle w:val="FootnoteReference"/>
          <w:noProof/>
          <w:szCs w:val="24"/>
        </w:rPr>
        <w:footnoteReference w:id="10"/>
      </w:r>
      <w:r w:rsidR="0083639F" w:rsidRPr="006D7831">
        <w:rPr>
          <w:noProof/>
        </w:rPr>
        <w:t xml:space="preserve"> 52</w:t>
      </w:r>
      <w:r w:rsidR="00EC748E">
        <w:rPr>
          <w:noProof/>
        </w:rPr>
        <w:t> </w:t>
      </w:r>
      <w:r w:rsidR="0083639F" w:rsidRPr="006D7831">
        <w:rPr>
          <w:noProof/>
        </w:rPr>
        <w:t>artiklan 4 kohdan ensimmäisessä alakohdassa tarkoitettuja joukkovelkakirjalainoja.</w:t>
      </w:r>
    </w:p>
    <w:p w:rsidR="00716EA9" w:rsidRPr="006D7831" w:rsidRDefault="00716EA9" w:rsidP="00E537F5">
      <w:pPr>
        <w:pStyle w:val="Titrearticle"/>
        <w:rPr>
          <w:noProof/>
          <w:szCs w:val="24"/>
        </w:rPr>
      </w:pPr>
      <w:r w:rsidRPr="006D7831">
        <w:rPr>
          <w:noProof/>
        </w:rPr>
        <w:t>20 artikla</w:t>
      </w:r>
    </w:p>
    <w:p w:rsidR="00716EA9" w:rsidRPr="006D7831" w:rsidRDefault="00716EA9" w:rsidP="0066303A">
      <w:pPr>
        <w:pStyle w:val="Titrearticle"/>
        <w:spacing w:before="0"/>
        <w:rPr>
          <w:b/>
          <w:bCs/>
          <w:i w:val="0"/>
          <w:iCs/>
          <w:noProof/>
          <w:szCs w:val="24"/>
        </w:rPr>
      </w:pPr>
      <w:r w:rsidRPr="006D7831">
        <w:rPr>
          <w:b/>
          <w:i w:val="0"/>
          <w:noProof/>
        </w:rPr>
        <w:t>Lisäraportointi G-SII-laitosten yksilöimiseksi ja niiden puskurikantojen määrittämiseksi</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Kun EU:ssa emoyrityksenä toimivat laitokset, EU:ssa emoyrityksenä toimivat rahoitusalan holdingyhtiöt ja EU:ssa emoyrityksenä toimivat rahoitusalan sekaholdingyhtiöt ilmoittavat direktiivin 2013/36/EU 131 artiklan mukaiset G-SII-laitosten yksilöimiseen ja niiden puskurikantojen määrittämiseen tarvittavat lisätiedot, niiden on toimitettava tämän asetuksen liitteessä I olevassa 11 jaksossa ”Lisäraportointi G-SII-laitosten yksilöintiä ja niiden puskurikantojen määrittämistä varten” täsmennetyt tiedot konsolidoinnin perusteella neljännesvuosittain, jos molemmat seuraavista edellytyksistä täyttyvät:</w:t>
      </w:r>
    </w:p>
    <w:p w:rsidR="00AB5213" w:rsidRPr="006D7831" w:rsidRDefault="00461B88" w:rsidP="00461B88">
      <w:pPr>
        <w:pStyle w:val="Point1"/>
        <w:rPr>
          <w:noProof/>
        </w:rPr>
      </w:pPr>
      <w:r>
        <w:rPr>
          <w:noProof/>
        </w:rPr>
        <w:t>a)</w:t>
      </w:r>
      <w:r>
        <w:rPr>
          <w:noProof/>
        </w:rPr>
        <w:tab/>
      </w:r>
      <w:r w:rsidR="00AB5213" w:rsidRPr="006D7831">
        <w:rPr>
          <w:noProof/>
        </w:rPr>
        <w:t>ryhmän vastuiden kokonaismäärä, mukaan lukien vakuutusalan tytäryritykset, on vähintään 125 000 000 000 euroa;</w:t>
      </w:r>
    </w:p>
    <w:p w:rsidR="00AB5213" w:rsidRPr="006D7831" w:rsidRDefault="00461B88" w:rsidP="00461B88">
      <w:pPr>
        <w:pStyle w:val="Point1"/>
        <w:rPr>
          <w:noProof/>
        </w:rPr>
      </w:pPr>
      <w:r>
        <w:rPr>
          <w:noProof/>
        </w:rPr>
        <w:t>b)</w:t>
      </w:r>
      <w:r>
        <w:rPr>
          <w:noProof/>
        </w:rPr>
        <w:tab/>
      </w:r>
      <w:r w:rsidR="00AB5213" w:rsidRPr="006D7831">
        <w:rPr>
          <w:noProof/>
        </w:rPr>
        <w:t>EU:ssa toimiva emoyritys tai jokin sen tytäryrityksistä taikka emoyrityksen tai tytäryrityksen ylläpitämä sivuliike sijaitsee Euroopan parlamentin ja neuvoston asetuksen (EU) N:o 806/2014</w:t>
      </w:r>
      <w:r w:rsidR="00AB5213" w:rsidRPr="004F603F">
        <w:rPr>
          <w:rStyle w:val="FootnoteReference"/>
          <w:noProof/>
          <w:lang w:eastAsia="fr-BE"/>
        </w:rPr>
        <w:footnoteReference w:id="11"/>
      </w:r>
      <w:r w:rsidR="00AB5213" w:rsidRPr="006D7831">
        <w:rPr>
          <w:noProof/>
        </w:rPr>
        <w:t xml:space="preserve"> 4 artiklassa tarkoitetussa osallistuvassa jäsenvaltiossa.</w:t>
      </w:r>
    </w:p>
    <w:p w:rsidR="00716EA9" w:rsidRPr="006D7831" w:rsidRDefault="00C07884" w:rsidP="00C07884">
      <w:pPr>
        <w:pStyle w:val="ManualNumPar1"/>
        <w:rPr>
          <w:noProof/>
        </w:rPr>
      </w:pPr>
      <w:r w:rsidRPr="00C07884">
        <w:rPr>
          <w:noProof/>
        </w:rPr>
        <w:t>2.</w:t>
      </w:r>
      <w:r w:rsidRPr="00C07884">
        <w:rPr>
          <w:noProof/>
        </w:rPr>
        <w:tab/>
      </w:r>
      <w:r w:rsidR="00557F8A" w:rsidRPr="006D7831">
        <w:rPr>
          <w:noProof/>
        </w:rPr>
        <w:t>Kun laitokset ilmoittavat direktiivin 2013/36/EU 131 artiklan mukaiset G-SII-laitosten yksilöimiseen ja niiden puskurikantojen määrittämiseen tarvittavat lisätiedot, niiden on toimitettava tämän asetuksen liitteessä I olevassa 11 jaksossa ”Lisäraportointi G-SII-laitosten yksilöintiä ja niiden puskurikantojen määrittämistä varten” täsmennetyt tiedot yksittäisinä laitoksina neljännesvuosittain, jos kaikki seuraavat edellytykset täyttyvät:</w:t>
      </w:r>
    </w:p>
    <w:p w:rsidR="00AB5213" w:rsidRPr="006D7831" w:rsidRDefault="00461B88" w:rsidP="00461B88">
      <w:pPr>
        <w:pStyle w:val="Point1"/>
        <w:rPr>
          <w:noProof/>
        </w:rPr>
      </w:pPr>
      <w:r>
        <w:rPr>
          <w:noProof/>
        </w:rPr>
        <w:t>a)</w:t>
      </w:r>
      <w:r>
        <w:rPr>
          <w:noProof/>
        </w:rPr>
        <w:tab/>
      </w:r>
      <w:r w:rsidR="00AB5213" w:rsidRPr="006D7831">
        <w:rPr>
          <w:noProof/>
        </w:rPr>
        <w:t>laitoksen vastuiden kokonaismäärä on vähintään 125 000 000 000 euroa;</w:t>
      </w:r>
    </w:p>
    <w:p w:rsidR="00AB5213" w:rsidRPr="006D7831" w:rsidRDefault="00461B88" w:rsidP="00461B88">
      <w:pPr>
        <w:pStyle w:val="Point1"/>
        <w:rPr>
          <w:noProof/>
        </w:rPr>
      </w:pPr>
      <w:r>
        <w:rPr>
          <w:noProof/>
        </w:rPr>
        <w:t>b)</w:t>
      </w:r>
      <w:r>
        <w:rPr>
          <w:noProof/>
        </w:rPr>
        <w:tab/>
      </w:r>
      <w:r w:rsidR="00AB5213" w:rsidRPr="006D7831">
        <w:rPr>
          <w:noProof/>
        </w:rPr>
        <w:t>laitos sijaitsee asetuksen (EU) N:o 806/2014 4 artiklassa tarkoitetussa osallistuvassa jäsenvaltiossa;</w:t>
      </w:r>
    </w:p>
    <w:p w:rsidR="00AB5213" w:rsidRPr="006D7831" w:rsidRDefault="00461B88" w:rsidP="00461B88">
      <w:pPr>
        <w:pStyle w:val="Point1"/>
        <w:rPr>
          <w:noProof/>
        </w:rPr>
      </w:pPr>
      <w:r>
        <w:rPr>
          <w:noProof/>
        </w:rPr>
        <w:t>c)</w:t>
      </w:r>
      <w:r>
        <w:rPr>
          <w:noProof/>
        </w:rPr>
        <w:tab/>
      </w:r>
      <w:r w:rsidR="00AB5213" w:rsidRPr="006D7831">
        <w:rPr>
          <w:noProof/>
        </w:rPr>
        <w:t>laitos ei ole osa ryhmää, johon sovelletaan konsolidoitua valvontaa (itsenäinen laitos).</w:t>
      </w:r>
    </w:p>
    <w:p w:rsidR="00716EA9" w:rsidRPr="006D7831" w:rsidRDefault="00C07884" w:rsidP="00C07884">
      <w:pPr>
        <w:pStyle w:val="ManualNumPar1"/>
        <w:rPr>
          <w:noProof/>
        </w:rPr>
      </w:pPr>
      <w:r w:rsidRPr="00C07884">
        <w:rPr>
          <w:noProof/>
        </w:rPr>
        <w:t>3.</w:t>
      </w:r>
      <w:r w:rsidRPr="00C07884">
        <w:rPr>
          <w:noProof/>
        </w:rPr>
        <w:tab/>
      </w:r>
      <w:r w:rsidR="00716EA9" w:rsidRPr="006D7831">
        <w:rPr>
          <w:noProof/>
        </w:rPr>
        <w:t>Poiketen siitä, mitä 3 artiklan 1 kohdan b alakohdassa säädetään, laitosten on toimitettava tämän artiklan 1 ja 2 kohdassa tarkoitetut tiedot viimeistään seuraavina ilmoituspäivämäärinä virka-ajan päättyessä: 1 päivänä heinäkuuta, 1 päivänä lokakuuta, 2 päivänä tammikuuta ja 1 päivänä huhtikuuta.</w:t>
      </w:r>
    </w:p>
    <w:p w:rsidR="00716EA9" w:rsidRPr="006D7831" w:rsidRDefault="00C07884" w:rsidP="00C07884">
      <w:pPr>
        <w:pStyle w:val="ManualNumPar1"/>
        <w:rPr>
          <w:noProof/>
        </w:rPr>
      </w:pPr>
      <w:r w:rsidRPr="00C07884">
        <w:rPr>
          <w:noProof/>
        </w:rPr>
        <w:t>4.</w:t>
      </w:r>
      <w:r w:rsidRPr="00C07884">
        <w:rPr>
          <w:noProof/>
        </w:rPr>
        <w:tab/>
      </w:r>
      <w:r w:rsidR="00716EA9" w:rsidRPr="006D7831">
        <w:rPr>
          <w:noProof/>
        </w:rPr>
        <w:t>Poiketen siitä, mitä 4 artiklassa säädetään, tämän artiklan 1 kohdan a alakohdassa ja 2 kohdan a alakohdassa määritettyjen kynnysarvojen suhteen sovelletaan seuraavaa:</w:t>
      </w:r>
    </w:p>
    <w:p w:rsidR="00AB5213" w:rsidRPr="006D7831" w:rsidRDefault="00461B88" w:rsidP="00461B88">
      <w:pPr>
        <w:pStyle w:val="Point1"/>
        <w:rPr>
          <w:noProof/>
        </w:rPr>
      </w:pPr>
      <w:r>
        <w:rPr>
          <w:noProof/>
        </w:rPr>
        <w:t>a)</w:t>
      </w:r>
      <w:r>
        <w:rPr>
          <w:noProof/>
        </w:rPr>
        <w:tab/>
      </w:r>
      <w:r w:rsidR="00AB5213" w:rsidRPr="006D7831">
        <w:rPr>
          <w:noProof/>
        </w:rPr>
        <w:t>EU:ssa emoyrityksenä toimivan laitoksen, EU:ssa emoyrityksenä toimivan rahoitusalan holdingyhtiön, EU:ssa emoyrityksenä toimivan rahoitusalan sekaholdingyhtiön tai itsenäisen laitoksen on välittömästi aloitettava tämän artiklan 1 ja 2 kohdassa tarkoitettujen tietojen ilmoittaminen, jos sen vähimmäisomavaraisuusasteen laskennassa käytettävä vastuumäärä ylittää määritetyn kynnysarvon tilivuoden lopussa, ja ilmoitettava kyseiset tiedot kyseisen tilivuoden lopussa ja sitä seuraavina kolmena neljännesvuosittaisena viitepäivämääränä;</w:t>
      </w:r>
    </w:p>
    <w:p w:rsidR="00AB5213" w:rsidRPr="006D7831" w:rsidRDefault="00461B88" w:rsidP="00461B88">
      <w:pPr>
        <w:pStyle w:val="Point1"/>
        <w:rPr>
          <w:noProof/>
        </w:rPr>
      </w:pPr>
      <w:r>
        <w:rPr>
          <w:noProof/>
        </w:rPr>
        <w:t>b)</w:t>
      </w:r>
      <w:r>
        <w:rPr>
          <w:noProof/>
        </w:rPr>
        <w:tab/>
      </w:r>
      <w:r w:rsidR="00AB5213" w:rsidRPr="006D7831">
        <w:rPr>
          <w:noProof/>
        </w:rPr>
        <w:t>EU:ssa emoyrityksenä toimivan laitoksen, EU:ssa emoyrityksenä toimivan rahoitusalan holdingyhtiön, EU:ssa emoyrityksenä toimivan rahoitusalan sekaholdingyhtiön tai itsenäisen laitoksen on välittömästi lopetettava tämän artiklan 1 ja 2 kohdassa tarkoitettujen tietojen ilmoittaminen, jos sen vähimmäisomavaraisuusasteen laskennassa käytettävä vastuumäärä laskee määritetyn kynnysarvon alapuolelle tilivuoden lopussa.</w:t>
      </w:r>
    </w:p>
    <w:p w:rsidR="00716EA9" w:rsidRPr="006D7831" w:rsidRDefault="00716EA9" w:rsidP="00E537F5">
      <w:pPr>
        <w:pStyle w:val="Titrearticle"/>
        <w:rPr>
          <w:noProof/>
          <w:szCs w:val="24"/>
        </w:rPr>
      </w:pPr>
      <w:r w:rsidRPr="006D7831">
        <w:rPr>
          <w:noProof/>
        </w:rPr>
        <w:t>21 artikla</w:t>
      </w:r>
    </w:p>
    <w:p w:rsidR="00716EA9" w:rsidRPr="006D7831" w:rsidRDefault="00716EA9" w:rsidP="0066303A">
      <w:pPr>
        <w:pStyle w:val="Titrearticle"/>
        <w:spacing w:before="0"/>
        <w:rPr>
          <w:b/>
          <w:bCs/>
          <w:i w:val="0"/>
          <w:iCs/>
          <w:noProof/>
          <w:szCs w:val="24"/>
        </w:rPr>
      </w:pPr>
      <w:bookmarkStart w:id="2" w:name="_Hlk175233444"/>
      <w:r w:rsidRPr="006D7831">
        <w:rPr>
          <w:b/>
          <w:i w:val="0"/>
          <w:noProof/>
        </w:rPr>
        <w:t>Rahoitustoiminnan korkoriskistä raportointi sekä yksittäisinä laitoksina että konsolidoinnin perusteella</w:t>
      </w:r>
    </w:p>
    <w:p w:rsidR="00716EA9" w:rsidRPr="006D7831" w:rsidRDefault="000B3834" w:rsidP="00716EA9">
      <w:pPr>
        <w:rPr>
          <w:rFonts w:eastAsia="Times New Roman"/>
          <w:noProof/>
          <w:color w:val="000000" w:themeColor="text1"/>
          <w:szCs w:val="24"/>
        </w:rPr>
      </w:pPr>
      <w:r w:rsidRPr="006D7831">
        <w:rPr>
          <w:noProof/>
          <w:color w:val="000000"/>
        </w:rPr>
        <w:t>Laitosten, jotka ilmoittavat rahoitustoiminnan korkoriskiä koskevat tiedot direktiivin 2013/36/EU 84 artiklan 5 kohdan, 84 artiklan 6 kohdan ja 98 artiklan 5 a kohdan mukaisesti sekä yksittäisinä laitoksina että konsolidoinnin perusteella, on toimitettava kyseisissä artikloissa tarkoitetut tiedot tämän asetuksen liitteessä I olevan 12 jakson ”Rahoitustoiminnan korkoriskistä raportointi” mukaisesti seuraavalla tiheydellä:</w:t>
      </w:r>
    </w:p>
    <w:p w:rsidR="00F5752D" w:rsidRPr="006D7831" w:rsidRDefault="00461B88" w:rsidP="00461B88">
      <w:pPr>
        <w:pStyle w:val="Point0"/>
        <w:rPr>
          <w:noProof/>
        </w:rPr>
      </w:pPr>
      <w:r>
        <w:rPr>
          <w:noProof/>
        </w:rPr>
        <w:t>a)</w:t>
      </w:r>
      <w:r>
        <w:rPr>
          <w:noProof/>
        </w:rPr>
        <w:tab/>
      </w:r>
      <w:r w:rsidR="00247A56" w:rsidRPr="006D7831">
        <w:rPr>
          <w:noProof/>
        </w:rPr>
        <w:t>kaikki laitokset toimittavat liitteessä I olevan 12 jakson lomakkeen J 01.00 neljännesvuosittain;</w:t>
      </w:r>
    </w:p>
    <w:p w:rsidR="00F5752D" w:rsidRPr="006D7831" w:rsidRDefault="00461B88" w:rsidP="00461B88">
      <w:pPr>
        <w:pStyle w:val="Point0"/>
        <w:rPr>
          <w:noProof/>
        </w:rPr>
      </w:pPr>
      <w:r>
        <w:rPr>
          <w:noProof/>
        </w:rPr>
        <w:t>b)</w:t>
      </w:r>
      <w:r>
        <w:rPr>
          <w:noProof/>
        </w:rPr>
        <w:tab/>
      </w:r>
      <w:r w:rsidR="00247A56" w:rsidRPr="006D7831">
        <w:rPr>
          <w:noProof/>
        </w:rPr>
        <w:t>suuret laitokset toimittavat liitteessä I olevan 12 jakson lomakkeet J 02.00, J 05.00 ja J 08.00 neljännesvuosittain;</w:t>
      </w:r>
    </w:p>
    <w:p w:rsidR="00F5752D" w:rsidRPr="006D7831" w:rsidRDefault="00461B88" w:rsidP="00461B88">
      <w:pPr>
        <w:pStyle w:val="Point0"/>
        <w:rPr>
          <w:noProof/>
        </w:rPr>
      </w:pPr>
      <w:r>
        <w:rPr>
          <w:noProof/>
        </w:rPr>
        <w:t>c)</w:t>
      </w:r>
      <w:r>
        <w:rPr>
          <w:noProof/>
        </w:rPr>
        <w:tab/>
      </w:r>
      <w:r w:rsidR="00247A56" w:rsidRPr="006D7831">
        <w:rPr>
          <w:noProof/>
        </w:rPr>
        <w:t>laitokset, jotka eivät ole suuria laitoksia eivätkä pieniä ja rakenteeltaan yksinkertaisia laitoksia, toimittavat liitteessä I olevan 12 jakson lomakkeet J 03.00 ja J 06.00 neljännesvuosittain;</w:t>
      </w:r>
    </w:p>
    <w:p w:rsidR="00F5752D" w:rsidRPr="006D7831" w:rsidRDefault="00461B88" w:rsidP="00461B88">
      <w:pPr>
        <w:pStyle w:val="Point0"/>
        <w:rPr>
          <w:noProof/>
        </w:rPr>
      </w:pPr>
      <w:r>
        <w:rPr>
          <w:noProof/>
        </w:rPr>
        <w:t>d)</w:t>
      </w:r>
      <w:r>
        <w:rPr>
          <w:noProof/>
        </w:rPr>
        <w:tab/>
      </w:r>
      <w:r w:rsidR="00247A56" w:rsidRPr="006D7831">
        <w:rPr>
          <w:noProof/>
        </w:rPr>
        <w:t>pienet ja rakenteeltaan yksinkertaiset laitokset toimittavat liitteessä I olevan 12</w:t>
      </w:r>
      <w:r w:rsidR="00EC748E">
        <w:rPr>
          <w:noProof/>
        </w:rPr>
        <w:t> </w:t>
      </w:r>
      <w:r w:rsidR="00247A56" w:rsidRPr="006D7831">
        <w:rPr>
          <w:noProof/>
        </w:rPr>
        <w:t>jakson lomakkeet J 04.00 ja J 07.00 neljännesvuosittain;</w:t>
      </w:r>
    </w:p>
    <w:p w:rsidR="00F5752D" w:rsidRPr="006D7831" w:rsidRDefault="00461B88" w:rsidP="00461B88">
      <w:pPr>
        <w:pStyle w:val="Point0"/>
        <w:rPr>
          <w:noProof/>
        </w:rPr>
      </w:pPr>
      <w:r>
        <w:rPr>
          <w:noProof/>
        </w:rPr>
        <w:t>e)</w:t>
      </w:r>
      <w:r>
        <w:rPr>
          <w:noProof/>
        </w:rPr>
        <w:tab/>
      </w:r>
      <w:r w:rsidR="00247A56" w:rsidRPr="006D7831">
        <w:rPr>
          <w:noProof/>
        </w:rPr>
        <w:t>laitokset, jotka eivät ole suuria laitoksia eivätkä pieniä ja rakenteeltaan yksinkertaisia laitoksia, sekä pienet ja rakenteeltaan yksinkertaiset laitokset toimittavat liitteessä I olevan 12 jakson lomakkeen J 09.00 neljännesvuosittain;</w:t>
      </w:r>
    </w:p>
    <w:p w:rsidR="00F5752D" w:rsidRPr="006D7831" w:rsidRDefault="00461B88" w:rsidP="00461B88">
      <w:pPr>
        <w:pStyle w:val="Point0"/>
        <w:rPr>
          <w:noProof/>
        </w:rPr>
      </w:pPr>
      <w:r>
        <w:rPr>
          <w:noProof/>
        </w:rPr>
        <w:t>f)</w:t>
      </w:r>
      <w:r>
        <w:rPr>
          <w:noProof/>
        </w:rPr>
        <w:tab/>
      </w:r>
      <w:r w:rsidR="00247A56" w:rsidRPr="006D7831">
        <w:rPr>
          <w:noProof/>
        </w:rPr>
        <w:t>suuret laitokset toimittavat liitteessä I olevan 12 jakson lomakkeet J 10.01 ja J 10.02 vuosittain;</w:t>
      </w:r>
    </w:p>
    <w:p w:rsidR="00F5752D" w:rsidRPr="006D7831" w:rsidRDefault="00461B88" w:rsidP="00461B88">
      <w:pPr>
        <w:pStyle w:val="Point0"/>
        <w:rPr>
          <w:noProof/>
        </w:rPr>
      </w:pPr>
      <w:r>
        <w:rPr>
          <w:noProof/>
        </w:rPr>
        <w:t>g)</w:t>
      </w:r>
      <w:r>
        <w:rPr>
          <w:noProof/>
        </w:rPr>
        <w:tab/>
      </w:r>
      <w:r w:rsidR="00247A56" w:rsidRPr="006D7831">
        <w:rPr>
          <w:noProof/>
        </w:rPr>
        <w:t>laitokset, jotka eivät ole suuria laitoksia eivätkä pieniä ja rakenteeltaan yksinkertaisia laitoksia, sekä pienet ja rakenteeltaan yksinkertaiset laitokset toimittavat liitteessä I olevan 12 jakson lomakkeet J 11.01 ja J 11.02 vuosittain.</w:t>
      </w:r>
    </w:p>
    <w:bookmarkEnd w:id="2"/>
    <w:p w:rsidR="002823A7" w:rsidRPr="006D7831" w:rsidRDefault="002823A7" w:rsidP="0017149C">
      <w:pPr>
        <w:pStyle w:val="Titrearticle"/>
        <w:tabs>
          <w:tab w:val="left" w:pos="567"/>
        </w:tabs>
        <w:rPr>
          <w:noProof/>
          <w:szCs w:val="24"/>
        </w:rPr>
      </w:pPr>
      <w:r w:rsidRPr="006D7831">
        <w:rPr>
          <w:noProof/>
        </w:rPr>
        <w:t>22 artikla</w:t>
      </w:r>
    </w:p>
    <w:p w:rsidR="002823A7" w:rsidRPr="006D7831" w:rsidRDefault="002823A7" w:rsidP="0017149C">
      <w:pPr>
        <w:pStyle w:val="Titrearticle"/>
        <w:tabs>
          <w:tab w:val="left" w:pos="567"/>
        </w:tabs>
        <w:spacing w:before="0"/>
        <w:rPr>
          <w:rFonts w:eastAsia="Times New Roman"/>
          <w:noProof/>
          <w:szCs w:val="24"/>
        </w:rPr>
      </w:pPr>
      <w:r w:rsidRPr="006D7831">
        <w:rPr>
          <w:b/>
          <w:i w:val="0"/>
          <w:noProof/>
        </w:rPr>
        <w:t>Tietotekniset ratkaisut, raportointilomakkeet ja ohjeet</w:t>
      </w:r>
    </w:p>
    <w:p w:rsidR="002823A7" w:rsidRPr="006D7831" w:rsidRDefault="00C07884" w:rsidP="00C07884">
      <w:pPr>
        <w:pStyle w:val="ManualNumPar1"/>
        <w:rPr>
          <w:rFonts w:eastAsia="Times New Roman"/>
          <w:noProof/>
          <w:szCs w:val="24"/>
        </w:rPr>
      </w:pPr>
      <w:r w:rsidRPr="00C07884">
        <w:rPr>
          <w:noProof/>
        </w:rPr>
        <w:t>1.</w:t>
      </w:r>
      <w:r w:rsidRPr="00C07884">
        <w:rPr>
          <w:noProof/>
        </w:rPr>
        <w:tab/>
      </w:r>
      <w:r w:rsidR="001B3873" w:rsidRPr="006D7831">
        <w:rPr>
          <w:noProof/>
        </w:rPr>
        <w:t xml:space="preserve">EPV varmistaa, että asetuksen (EU) N:o 575/2013 430 artiklan 7 kohdan mukaisesti kehitetyt tietotekniset ratkaisut, mukaan lukien raportointilomakkeet ja ohjeet, vastaavat aina tässä asetuksessa säädettyjä yhtenäisiä raportointimuotoja ja sisältävät kaikki tämän asetuksen liitteessä I luetellut tietopisteet ja tiedot. </w:t>
      </w:r>
    </w:p>
    <w:p w:rsidR="002823A7" w:rsidRPr="006D7831" w:rsidRDefault="00C07884" w:rsidP="00C07884">
      <w:pPr>
        <w:pStyle w:val="ManualNumPar1"/>
        <w:rPr>
          <w:rFonts w:eastAsia="Times New Roman"/>
          <w:noProof/>
          <w:szCs w:val="24"/>
        </w:rPr>
      </w:pPr>
      <w:r w:rsidRPr="00C07884">
        <w:rPr>
          <w:noProof/>
        </w:rPr>
        <w:t>2.</w:t>
      </w:r>
      <w:r w:rsidRPr="00C07884">
        <w:rPr>
          <w:noProof/>
        </w:rPr>
        <w:tab/>
      </w:r>
      <w:r w:rsidR="002823A7" w:rsidRPr="006D7831">
        <w:rPr>
          <w:noProof/>
        </w:rPr>
        <w:t>EPV asettaa verkkosivustollaan saataville 1 kohdassa tarkoitetut tietotekniset ratkaisut, raportointilomakkeet ja ohjeet. EPV pitää nämä tietotekniset ratkaisut ajan tasalla ja saatavilla kaikilla virallisilla kielillä.</w:t>
      </w:r>
    </w:p>
    <w:p w:rsidR="00716EA9" w:rsidRPr="006D7831" w:rsidRDefault="00716EA9" w:rsidP="00E537F5">
      <w:pPr>
        <w:pStyle w:val="Titrearticle"/>
        <w:rPr>
          <w:noProof/>
          <w:szCs w:val="24"/>
        </w:rPr>
      </w:pPr>
      <w:r w:rsidRPr="006D7831">
        <w:rPr>
          <w:noProof/>
        </w:rPr>
        <w:t>23 artikla</w:t>
      </w:r>
    </w:p>
    <w:p w:rsidR="00716EA9" w:rsidRPr="006D7831" w:rsidRDefault="00716EA9" w:rsidP="002A7D3F">
      <w:pPr>
        <w:pStyle w:val="Titrearticle"/>
        <w:spacing w:before="0"/>
        <w:rPr>
          <w:b/>
          <w:bCs/>
          <w:i w:val="0"/>
          <w:iCs/>
          <w:noProof/>
          <w:szCs w:val="24"/>
        </w:rPr>
      </w:pPr>
      <w:r w:rsidRPr="006D7831">
        <w:rPr>
          <w:b/>
          <w:i w:val="0"/>
          <w:noProof/>
        </w:rPr>
        <w:t>Tietojenvaihdon muodot ja toimitettavat tiedot</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Laitosten on annettava tämän asetuksen mukaisesti toimitettavat tiedot käyttäen toimivaltaisten viranomaisten määrittelemiä tietojenvaihdon muotoja ja esitystapoja, noudatettava tietopistemallin tietopistemääritelmiä ja validointisääntöjä, joihin viitataan EPV:n verkkosivustolla saataville asetetuissa tietoteknisissä ratkaisuissa, sekä noudatettava seuraavia vaatimuksia:</w:t>
      </w:r>
    </w:p>
    <w:p w:rsidR="00716EA9" w:rsidRPr="006D7831" w:rsidRDefault="00461B88" w:rsidP="00461B88">
      <w:pPr>
        <w:pStyle w:val="Point1"/>
        <w:rPr>
          <w:noProof/>
        </w:rPr>
      </w:pPr>
      <w:r>
        <w:rPr>
          <w:noProof/>
        </w:rPr>
        <w:t>a)</w:t>
      </w:r>
      <w:r>
        <w:rPr>
          <w:noProof/>
        </w:rPr>
        <w:tab/>
      </w:r>
      <w:r w:rsidR="00712164" w:rsidRPr="006D7831">
        <w:rPr>
          <w:noProof/>
        </w:rPr>
        <w:t>ne eivät saa sisällyttää tietotoimituksiin tietoja, joita ei ole pyydetty tai jotka ovat käyttötarkoitukseen soveltumattomia;</w:t>
      </w:r>
    </w:p>
    <w:p w:rsidR="00716EA9" w:rsidRPr="006D7831" w:rsidRDefault="00461B88" w:rsidP="00461B88">
      <w:pPr>
        <w:pStyle w:val="Point1"/>
        <w:rPr>
          <w:noProof/>
        </w:rPr>
      </w:pPr>
      <w:r>
        <w:rPr>
          <w:noProof/>
        </w:rPr>
        <w:t>b)</w:t>
      </w:r>
      <w:r>
        <w:rPr>
          <w:noProof/>
        </w:rPr>
        <w:tab/>
      </w:r>
      <w:r w:rsidR="00712164" w:rsidRPr="006D7831">
        <w:rPr>
          <w:noProof/>
        </w:rPr>
        <w:t>niiden on toimitettava numeeriset arvot seuraavasti:</w:t>
      </w:r>
    </w:p>
    <w:p w:rsidR="00716EA9" w:rsidRPr="006D7831" w:rsidRDefault="00716EA9" w:rsidP="00C856B2">
      <w:pPr>
        <w:pStyle w:val="Point2"/>
        <w:rPr>
          <w:noProof/>
        </w:rPr>
      </w:pPr>
      <w:r w:rsidRPr="006D7831">
        <w:rPr>
          <w:noProof/>
        </w:rPr>
        <w:t>i)</w:t>
      </w:r>
      <w:r w:rsidRPr="006D7831">
        <w:rPr>
          <w:noProof/>
        </w:rPr>
        <w:tab/>
        <w:t>niiden on ilmoitettava luokkaan ”rahamäärä” (monetary) kuuluvat tietopisteet tuhansien vähimmäistarkkuudella;</w:t>
      </w:r>
    </w:p>
    <w:p w:rsidR="00716EA9" w:rsidRPr="006D7831" w:rsidRDefault="00716EA9" w:rsidP="00C856B2">
      <w:pPr>
        <w:pStyle w:val="Point2"/>
        <w:rPr>
          <w:noProof/>
        </w:rPr>
      </w:pPr>
      <w:r w:rsidRPr="006D7831">
        <w:rPr>
          <w:noProof/>
        </w:rPr>
        <w:t>ii)</w:t>
      </w:r>
      <w:r w:rsidRPr="006D7831">
        <w:rPr>
          <w:noProof/>
        </w:rPr>
        <w:tab/>
        <w:t>niiden on ilmoitettava luokkaan ”prosenttiosuus” (percentage) kuuluvat tietopisteet prosenttiyksiköinä, joiden vähimmäistarkkuus on neljä desimaalia;</w:t>
      </w:r>
    </w:p>
    <w:p w:rsidR="00716EA9" w:rsidRPr="006D7831" w:rsidRDefault="00716EA9" w:rsidP="00C856B2">
      <w:pPr>
        <w:pStyle w:val="Point2"/>
        <w:rPr>
          <w:noProof/>
        </w:rPr>
      </w:pPr>
      <w:r w:rsidRPr="006D7831">
        <w:rPr>
          <w:noProof/>
        </w:rPr>
        <w:t>iii)</w:t>
      </w:r>
      <w:r w:rsidRPr="006D7831">
        <w:rPr>
          <w:noProof/>
        </w:rPr>
        <w:tab/>
        <w:t>niiden on ilmoitettava luokkaan ”kokonaisluku” (integer) kuuluvat tietopisteet ilman desimaaleja yksikkötarkkuudella;</w:t>
      </w:r>
    </w:p>
    <w:p w:rsidR="00716EA9" w:rsidRPr="006D7831" w:rsidRDefault="00461B88" w:rsidP="00461B88">
      <w:pPr>
        <w:pStyle w:val="Point1"/>
        <w:rPr>
          <w:noProof/>
        </w:rPr>
      </w:pPr>
      <w:r>
        <w:rPr>
          <w:noProof/>
        </w:rPr>
        <w:t>c)</w:t>
      </w:r>
      <w:r>
        <w:rPr>
          <w:noProof/>
        </w:rPr>
        <w:tab/>
      </w:r>
      <w:r w:rsidR="000F605E" w:rsidRPr="006D7831">
        <w:rPr>
          <w:noProof/>
        </w:rPr>
        <w:t>niiden on yksilöitävä laitokset ja vakuutusyritykset yksinomaan niiden oikeushenkilötunnuksella (LEI);</w:t>
      </w:r>
    </w:p>
    <w:p w:rsidR="00716EA9" w:rsidRPr="006D7831" w:rsidRDefault="00461B88" w:rsidP="00461B88">
      <w:pPr>
        <w:pStyle w:val="Point1"/>
        <w:rPr>
          <w:noProof/>
        </w:rPr>
      </w:pPr>
      <w:r>
        <w:rPr>
          <w:noProof/>
        </w:rPr>
        <w:t>d)</w:t>
      </w:r>
      <w:r>
        <w:rPr>
          <w:noProof/>
        </w:rPr>
        <w:tab/>
      </w:r>
      <w:r w:rsidR="000F605E" w:rsidRPr="006D7831">
        <w:rPr>
          <w:noProof/>
        </w:rPr>
        <w:t>niiden on yksilöitävä muut oikeushenkilöt ja vastapuolet kuin laitokset ja vakuutusyritykset niiden LEI-tunnuksella, jos sellainen on käytettävissä.</w:t>
      </w:r>
    </w:p>
    <w:p w:rsidR="00716EA9" w:rsidRPr="006D7831" w:rsidRDefault="00C07884" w:rsidP="00C07884">
      <w:pPr>
        <w:pStyle w:val="ManualNumPar1"/>
        <w:rPr>
          <w:noProof/>
        </w:rPr>
      </w:pPr>
      <w:r w:rsidRPr="00C07884">
        <w:rPr>
          <w:noProof/>
        </w:rPr>
        <w:t>2.</w:t>
      </w:r>
      <w:r w:rsidRPr="00C07884">
        <w:rPr>
          <w:noProof/>
        </w:rPr>
        <w:tab/>
      </w:r>
      <w:r w:rsidR="00716EA9" w:rsidRPr="006D7831">
        <w:rPr>
          <w:noProof/>
        </w:rPr>
        <w:t>Laitosten on annettava toimitettujen tietojen lisäksi seuraavat tiedot:</w:t>
      </w:r>
    </w:p>
    <w:p w:rsidR="00716EA9" w:rsidRPr="006D7831" w:rsidRDefault="00461B88" w:rsidP="00461B88">
      <w:pPr>
        <w:pStyle w:val="Point1"/>
        <w:rPr>
          <w:noProof/>
        </w:rPr>
      </w:pPr>
      <w:r>
        <w:rPr>
          <w:noProof/>
        </w:rPr>
        <w:t>a)</w:t>
      </w:r>
      <w:r>
        <w:rPr>
          <w:noProof/>
        </w:rPr>
        <w:tab/>
      </w:r>
      <w:r w:rsidR="00712164" w:rsidRPr="006D7831">
        <w:rPr>
          <w:noProof/>
        </w:rPr>
        <w:t>raportoinnin viitepäivämäärä ja viitekausi;</w:t>
      </w:r>
    </w:p>
    <w:p w:rsidR="00716EA9" w:rsidRPr="006D7831" w:rsidRDefault="00461B88" w:rsidP="00461B88">
      <w:pPr>
        <w:pStyle w:val="Point1"/>
        <w:rPr>
          <w:noProof/>
        </w:rPr>
      </w:pPr>
      <w:r>
        <w:rPr>
          <w:noProof/>
        </w:rPr>
        <w:t>b)</w:t>
      </w:r>
      <w:r>
        <w:rPr>
          <w:noProof/>
        </w:rPr>
        <w:tab/>
      </w:r>
      <w:r w:rsidR="00712164" w:rsidRPr="006D7831">
        <w:rPr>
          <w:noProof/>
        </w:rPr>
        <w:t>raportointivaluutta;</w:t>
      </w:r>
    </w:p>
    <w:p w:rsidR="00716EA9" w:rsidRPr="006D7831" w:rsidRDefault="00461B88" w:rsidP="00461B88">
      <w:pPr>
        <w:pStyle w:val="Point1"/>
        <w:rPr>
          <w:noProof/>
        </w:rPr>
      </w:pPr>
      <w:r>
        <w:rPr>
          <w:noProof/>
        </w:rPr>
        <w:t>c)</w:t>
      </w:r>
      <w:r>
        <w:rPr>
          <w:noProof/>
        </w:rPr>
        <w:tab/>
      </w:r>
      <w:r w:rsidR="00712164" w:rsidRPr="006D7831">
        <w:rPr>
          <w:noProof/>
        </w:rPr>
        <w:t>tilinpäätösstandardi;</w:t>
      </w:r>
    </w:p>
    <w:p w:rsidR="00716EA9" w:rsidRPr="006D7831" w:rsidRDefault="00461B88" w:rsidP="00461B88">
      <w:pPr>
        <w:pStyle w:val="Point1"/>
        <w:rPr>
          <w:noProof/>
        </w:rPr>
      </w:pPr>
      <w:r>
        <w:rPr>
          <w:noProof/>
        </w:rPr>
        <w:t>d)</w:t>
      </w:r>
      <w:r>
        <w:rPr>
          <w:noProof/>
        </w:rPr>
        <w:tab/>
      </w:r>
      <w:r w:rsidR="00712164" w:rsidRPr="006D7831">
        <w:rPr>
          <w:noProof/>
        </w:rPr>
        <w:t>raportoivan laitoksen oikeushenkilötunnus (LEI);</w:t>
      </w:r>
    </w:p>
    <w:p w:rsidR="00716EA9" w:rsidRPr="006D7831" w:rsidRDefault="00461B88" w:rsidP="00461B88">
      <w:pPr>
        <w:pStyle w:val="Point1"/>
        <w:rPr>
          <w:noProof/>
        </w:rPr>
      </w:pPr>
      <w:r>
        <w:rPr>
          <w:noProof/>
        </w:rPr>
        <w:t>e)</w:t>
      </w:r>
      <w:r>
        <w:rPr>
          <w:noProof/>
        </w:rPr>
        <w:tab/>
      </w:r>
      <w:r w:rsidR="00712164" w:rsidRPr="006D7831">
        <w:rPr>
          <w:noProof/>
        </w:rPr>
        <w:t>konsolidoinnin laajuus.</w:t>
      </w:r>
    </w:p>
    <w:p w:rsidR="00716EA9" w:rsidRPr="006D7831" w:rsidRDefault="00716EA9" w:rsidP="00E537F5">
      <w:pPr>
        <w:pStyle w:val="Titrearticle"/>
        <w:rPr>
          <w:noProof/>
          <w:szCs w:val="24"/>
        </w:rPr>
      </w:pPr>
      <w:r w:rsidRPr="006D7831">
        <w:rPr>
          <w:noProof/>
        </w:rPr>
        <w:t>24 artikla</w:t>
      </w:r>
    </w:p>
    <w:p w:rsidR="00716EA9" w:rsidRPr="006D7831" w:rsidRDefault="00716EA9" w:rsidP="002A7D3F">
      <w:pPr>
        <w:pStyle w:val="Titrearticle"/>
        <w:spacing w:before="0"/>
        <w:rPr>
          <w:b/>
          <w:bCs/>
          <w:i w:val="0"/>
          <w:iCs/>
          <w:noProof/>
          <w:szCs w:val="24"/>
        </w:rPr>
      </w:pPr>
      <w:r w:rsidRPr="006D7831">
        <w:rPr>
          <w:b/>
          <w:i w:val="0"/>
          <w:noProof/>
        </w:rPr>
        <w:t>Siirtymäsäännökset</w:t>
      </w:r>
    </w:p>
    <w:p w:rsidR="00716EA9" w:rsidRPr="006D7831" w:rsidRDefault="00C07884" w:rsidP="00C07884">
      <w:pPr>
        <w:pStyle w:val="ManualNumPar1"/>
        <w:rPr>
          <w:noProof/>
        </w:rPr>
      </w:pPr>
      <w:r w:rsidRPr="00C07884">
        <w:rPr>
          <w:noProof/>
        </w:rPr>
        <w:t>1.</w:t>
      </w:r>
      <w:r w:rsidRPr="00C07884">
        <w:rPr>
          <w:noProof/>
        </w:rPr>
        <w:tab/>
      </w:r>
      <w:r w:rsidR="00716EA9" w:rsidRPr="006D7831">
        <w:rPr>
          <w:noProof/>
        </w:rPr>
        <w:t>Tämän asetuksen 5, 7–10 ja 15 artiklan mukaisesti ilmoitettavien tietojen osalta neljännesvuosittain toimitettavien tietojen ilmoituspäivämäärän, joka liittyy 31 päivänä maaliskuuta 2025 olevaan viitepäivämäärään, on oltava viimeistään 30 päivä kesäkuuta 2025.</w:t>
      </w:r>
    </w:p>
    <w:p w:rsidR="00716EA9" w:rsidRPr="006D7831" w:rsidRDefault="00C07884" w:rsidP="00C07884">
      <w:pPr>
        <w:pStyle w:val="ManualNumPar1"/>
        <w:rPr>
          <w:noProof/>
        </w:rPr>
      </w:pPr>
      <w:r w:rsidRPr="00C07884">
        <w:rPr>
          <w:noProof/>
        </w:rPr>
        <w:t>2.</w:t>
      </w:r>
      <w:r w:rsidRPr="00C07884">
        <w:rPr>
          <w:noProof/>
        </w:rPr>
        <w:tab/>
      </w:r>
      <w:r w:rsidR="00AE3B0A" w:rsidRPr="006D7831">
        <w:rPr>
          <w:noProof/>
        </w:rPr>
        <w:t>Ensimmäinen tämän asetuksen 5 artiklan mukaisesti kaupankäyntivaraston koostumuksesta sekä kaupankäyntivaraston ja muun kuin kaupankäyntivaraston välisten luokitusten muutoksista ilmoitettavien tietojen viitepäivämäärä on sen vuosineljänneksen viimeinen pankkipäivä, jona asetuksen (EU) N:o 575/2013 kolmannen osan IV osaston 1 a ja 1 b luvussa säädettyjä vaihtoehtoisia menetelmiä aletaan soveltaa kyseisen asetuksen 92 artiklan 4 kohdan b alakohdan i alakohdassa ja c alakohdassa ja 92 artiklan 5 kohdan b ja c alakohdassa tarkoitettujen omien varojen vaatimusten laskentaan.</w:t>
      </w:r>
    </w:p>
    <w:p w:rsidR="00716EA9" w:rsidRPr="006D7831" w:rsidRDefault="00716EA9" w:rsidP="00745A2E">
      <w:pPr>
        <w:pStyle w:val="Titrearticle"/>
        <w:spacing w:before="120" w:after="0"/>
        <w:rPr>
          <w:noProof/>
          <w:szCs w:val="24"/>
        </w:rPr>
      </w:pPr>
      <w:r w:rsidRPr="006D7831">
        <w:rPr>
          <w:noProof/>
        </w:rPr>
        <w:t>25 artikla</w:t>
      </w:r>
    </w:p>
    <w:p w:rsidR="00096030" w:rsidRPr="006D7831" w:rsidRDefault="004B3787" w:rsidP="00C856B2">
      <w:pPr>
        <w:pStyle w:val="Text1"/>
        <w:jc w:val="center"/>
        <w:rPr>
          <w:noProof/>
        </w:rPr>
      </w:pPr>
      <w:r w:rsidRPr="006D7831">
        <w:rPr>
          <w:b/>
          <w:noProof/>
        </w:rPr>
        <w:t>Täytäntöönpanoasetuksen (EU) 2021/451 kumoaminen</w:t>
      </w:r>
    </w:p>
    <w:p w:rsidR="00FB327E" w:rsidRPr="006D7831" w:rsidRDefault="00C07884" w:rsidP="00C07884">
      <w:pPr>
        <w:pStyle w:val="ManualNumPar1"/>
        <w:rPr>
          <w:noProof/>
        </w:rPr>
      </w:pPr>
      <w:r w:rsidRPr="00C07884">
        <w:rPr>
          <w:noProof/>
        </w:rPr>
        <w:t>1.</w:t>
      </w:r>
      <w:r w:rsidRPr="00C07884">
        <w:rPr>
          <w:noProof/>
        </w:rPr>
        <w:tab/>
      </w:r>
      <w:r w:rsidR="00FB327E" w:rsidRPr="006D7831">
        <w:rPr>
          <w:noProof/>
        </w:rPr>
        <w:t xml:space="preserve">Täytäntöönpanoasetuksen (EU) 2021/451 soveltaminen lakkaa 1 päivästä tammikuuta 2025 lukuun ottamatta 5 artiklan 12 kohtaa ja liitettä I, lomakkeita 18–24 ja liitteessä II olevan II osan 5.1–5.7 kohtaa. Täytäntöönpanoasetuksen (EU) 2021/451 15 artiklaa sovelletaan 31 päivään joulukuuta 2025 asti ainoastaan tämän asetuksen 5 artiklan 4 kohdan soveltamiseksi. </w:t>
      </w:r>
    </w:p>
    <w:p w:rsidR="00FB327E" w:rsidRPr="006D7831" w:rsidRDefault="00C07884" w:rsidP="00C07884">
      <w:pPr>
        <w:pStyle w:val="ManualNumPar1"/>
        <w:rPr>
          <w:noProof/>
        </w:rPr>
      </w:pPr>
      <w:r w:rsidRPr="00C07884">
        <w:rPr>
          <w:noProof/>
        </w:rPr>
        <w:t>2.</w:t>
      </w:r>
      <w:r w:rsidRPr="00C07884">
        <w:rPr>
          <w:noProof/>
        </w:rPr>
        <w:tab/>
      </w:r>
      <w:r w:rsidR="00FB327E" w:rsidRPr="006D7831">
        <w:rPr>
          <w:noProof/>
        </w:rPr>
        <w:t xml:space="preserve">Kumotaan täytäntöönpanoasetus (EU) 2021/451 31 päivästä joulukuuta 2025. </w:t>
      </w:r>
    </w:p>
    <w:p w:rsidR="00FB327E" w:rsidRPr="006D7831" w:rsidRDefault="00C07884" w:rsidP="00C07884">
      <w:pPr>
        <w:pStyle w:val="ManualNumPar1"/>
        <w:rPr>
          <w:noProof/>
        </w:rPr>
      </w:pPr>
      <w:r w:rsidRPr="00C07884">
        <w:rPr>
          <w:noProof/>
        </w:rPr>
        <w:t>3.</w:t>
      </w:r>
      <w:r w:rsidRPr="00C07884">
        <w:rPr>
          <w:noProof/>
        </w:rPr>
        <w:tab/>
      </w:r>
      <w:r w:rsidR="00FB327E" w:rsidRPr="006D7831">
        <w:rPr>
          <w:noProof/>
        </w:rPr>
        <w:t>Viittauksia kumottuun asetukseen pidetään viittauksina tähän asetukseen liitteessä II olevan vastaavuustaulukon mukaisesti.</w:t>
      </w:r>
    </w:p>
    <w:p w:rsidR="00E537F5" w:rsidRPr="006D7831" w:rsidRDefault="00E537F5" w:rsidP="00E537F5">
      <w:pPr>
        <w:pStyle w:val="Titrearticle"/>
        <w:rPr>
          <w:noProof/>
          <w:szCs w:val="24"/>
        </w:rPr>
      </w:pPr>
      <w:r w:rsidRPr="006D7831">
        <w:rPr>
          <w:noProof/>
        </w:rPr>
        <w:t>26 artikla</w:t>
      </w:r>
    </w:p>
    <w:p w:rsidR="00E537F5" w:rsidRPr="006D7831" w:rsidRDefault="00E537F5" w:rsidP="0056622A">
      <w:pPr>
        <w:pStyle w:val="Titrearticle"/>
        <w:spacing w:before="0"/>
        <w:rPr>
          <w:b/>
          <w:bCs/>
          <w:i w:val="0"/>
          <w:iCs/>
          <w:noProof/>
          <w:szCs w:val="24"/>
        </w:rPr>
      </w:pPr>
      <w:r w:rsidRPr="006D7831">
        <w:rPr>
          <w:b/>
          <w:i w:val="0"/>
          <w:noProof/>
        </w:rPr>
        <w:t>Voimaantulo ja soveltaminen</w:t>
      </w:r>
    </w:p>
    <w:p w:rsidR="00E537F5" w:rsidRPr="006D7831" w:rsidRDefault="00E537F5" w:rsidP="00E537F5">
      <w:pPr>
        <w:spacing w:before="100" w:beforeAutospacing="1" w:after="100" w:afterAutospacing="1"/>
        <w:rPr>
          <w:noProof/>
          <w:color w:val="000000"/>
          <w:szCs w:val="24"/>
        </w:rPr>
      </w:pPr>
      <w:r w:rsidRPr="006D7831">
        <w:rPr>
          <w:noProof/>
          <w:color w:val="000000"/>
        </w:rPr>
        <w:t xml:space="preserve">Tämä asetus tulee voimaan seuraavana päivänä sen jälkeen, kun se on julkaistu </w:t>
      </w:r>
      <w:r w:rsidRPr="006D7831">
        <w:rPr>
          <w:i/>
          <w:noProof/>
          <w:color w:val="000000"/>
        </w:rPr>
        <w:t>Euroopan unionin virallisessa lehdessä</w:t>
      </w:r>
      <w:r w:rsidRPr="006D7831">
        <w:rPr>
          <w:noProof/>
          <w:color w:val="000000"/>
        </w:rPr>
        <w:t>.</w:t>
      </w:r>
    </w:p>
    <w:p w:rsidR="00E537F5" w:rsidRPr="006D7831" w:rsidRDefault="00E537F5" w:rsidP="00E537F5">
      <w:pPr>
        <w:spacing w:before="100" w:beforeAutospacing="1" w:after="100" w:afterAutospacing="1"/>
        <w:rPr>
          <w:noProof/>
          <w:color w:val="000000"/>
          <w:szCs w:val="24"/>
        </w:rPr>
      </w:pPr>
      <w:r w:rsidRPr="006D7831">
        <w:rPr>
          <w:noProof/>
          <w:color w:val="000000"/>
        </w:rPr>
        <w:t>Sitä sovelletaan [julkaisutoimisto lisää päivämäärän, joka on 6 kuukautta voimaantulosta].</w:t>
      </w:r>
    </w:p>
    <w:p w:rsidR="00E537F5" w:rsidRPr="006D7831" w:rsidRDefault="00E537F5" w:rsidP="00E537F5">
      <w:pPr>
        <w:spacing w:before="100" w:beforeAutospacing="1" w:after="100" w:afterAutospacing="1"/>
        <w:rPr>
          <w:noProof/>
          <w:szCs w:val="24"/>
        </w:rPr>
      </w:pPr>
      <w:r w:rsidRPr="006D7831">
        <w:rPr>
          <w:noProof/>
          <w:color w:val="000000"/>
        </w:rPr>
        <w:t>Tämä asetus on kaikilta osiltaan velvoittava, ja sitä sovelletaan sellaisenaan kaikissa jäsenvaltioissa.</w:t>
      </w:r>
    </w:p>
    <w:p w:rsidR="00185C9B" w:rsidRPr="006D7831" w:rsidRDefault="001361BE" w:rsidP="00482DEA">
      <w:pPr>
        <w:pStyle w:val="Fait"/>
        <w:rPr>
          <w:noProof/>
        </w:rPr>
      </w:pPr>
      <w:r>
        <w:rPr>
          <w:noProof/>
        </w:rPr>
        <w:t>Tehty Brysselissä 29.11.2024</w:t>
      </w:r>
    </w:p>
    <w:p w:rsidR="00185C9B" w:rsidRPr="006D7831" w:rsidRDefault="00185C9B" w:rsidP="00482DEA">
      <w:pPr>
        <w:pStyle w:val="Institutionquisigne"/>
        <w:rPr>
          <w:noProof/>
          <w:szCs w:val="24"/>
        </w:rPr>
      </w:pPr>
      <w:r w:rsidRPr="006D7831">
        <w:rPr>
          <w:noProof/>
        </w:rPr>
        <w:tab/>
        <w:t>Komission puolesta</w:t>
      </w:r>
    </w:p>
    <w:p w:rsidR="00185C9B" w:rsidRPr="006D7831" w:rsidRDefault="00EC5166" w:rsidP="00185C9B">
      <w:pPr>
        <w:pStyle w:val="Personnequisigne"/>
        <w:rPr>
          <w:noProof/>
          <w:szCs w:val="24"/>
        </w:rPr>
      </w:pPr>
      <w:r>
        <w:rPr>
          <w:noProof/>
        </w:rPr>
        <w:tab/>
        <w:t>Puheenjohtaja</w:t>
      </w:r>
      <w:r>
        <w:rPr>
          <w:noProof/>
        </w:rPr>
        <w:br/>
      </w:r>
      <w:r>
        <w:rPr>
          <w:noProof/>
        </w:rPr>
        <w:tab/>
        <w:t>Ursula VON DER LEYEN</w:t>
      </w:r>
    </w:p>
    <w:sectPr w:rsidR="00185C9B" w:rsidRPr="006D7831" w:rsidSect="00997E9C">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Pr="00997E9C" w:rsidRDefault="00997E9C" w:rsidP="00997E9C">
    <w:pPr>
      <w:pStyle w:val="Footer"/>
      <w:rPr>
        <w:rFonts w:ascii="Arial" w:hAnsi="Arial" w:cs="Arial"/>
        <w:b/>
        <w:sz w:val="48"/>
      </w:rPr>
    </w:pPr>
    <w:r w:rsidRPr="00997E9C">
      <w:rPr>
        <w:rFonts w:ascii="Arial" w:hAnsi="Arial" w:cs="Arial"/>
        <w:b/>
        <w:sz w:val="48"/>
      </w:rPr>
      <w:t>FI</w:t>
    </w:r>
    <w:r w:rsidRPr="00997E9C">
      <w:rPr>
        <w:rFonts w:ascii="Arial" w:hAnsi="Arial" w:cs="Arial"/>
        <w:b/>
        <w:sz w:val="48"/>
      </w:rPr>
      <w:tab/>
    </w:r>
    <w:r w:rsidRPr="00997E9C">
      <w:rPr>
        <w:rFonts w:ascii="Arial" w:hAnsi="Arial" w:cs="Arial"/>
        <w:b/>
        <w:sz w:val="48"/>
      </w:rPr>
      <w:tab/>
    </w:r>
    <w:r w:rsidRPr="00997E9C">
      <w:tab/>
    </w:r>
    <w:r w:rsidRPr="00997E9C">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Pr="00997E9C" w:rsidRDefault="00997E9C" w:rsidP="00997E9C">
    <w:pPr>
      <w:pStyle w:val="Footer"/>
      <w:rPr>
        <w:rFonts w:ascii="Arial" w:hAnsi="Arial" w:cs="Arial"/>
        <w:b/>
        <w:sz w:val="48"/>
      </w:rPr>
    </w:pPr>
    <w:r w:rsidRPr="00997E9C">
      <w:rPr>
        <w:rFonts w:ascii="Arial" w:hAnsi="Arial" w:cs="Arial"/>
        <w:b/>
        <w:sz w:val="48"/>
      </w:rPr>
      <w:t>FI</w:t>
    </w:r>
    <w:r w:rsidRPr="00997E9C">
      <w:rPr>
        <w:rFonts w:ascii="Arial" w:hAnsi="Arial" w:cs="Arial"/>
        <w:b/>
        <w:sz w:val="48"/>
      </w:rPr>
      <w:tab/>
    </w:r>
    <w:r w:rsidRPr="00997E9C">
      <w:rPr>
        <w:rFonts w:ascii="Arial" w:hAnsi="Arial" w:cs="Arial"/>
        <w:b/>
        <w:sz w:val="48"/>
      </w:rPr>
      <w:tab/>
    </w:r>
    <w:r w:rsidRPr="00997E9C">
      <w:tab/>
    </w:r>
    <w:r w:rsidRPr="00997E9C">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Default="00997E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Pr="00997E9C" w:rsidRDefault="00997E9C" w:rsidP="00997E9C">
    <w:pPr>
      <w:pStyle w:val="Footer"/>
      <w:rPr>
        <w:rFonts w:ascii="Arial" w:hAnsi="Arial" w:cs="Arial"/>
        <w:b/>
        <w:sz w:val="48"/>
      </w:rPr>
    </w:pPr>
    <w:r w:rsidRPr="00997E9C">
      <w:rPr>
        <w:rFonts w:ascii="Arial" w:hAnsi="Arial" w:cs="Arial"/>
        <w:b/>
        <w:sz w:val="48"/>
      </w:rPr>
      <w:t>FI</w:t>
    </w:r>
    <w:r w:rsidRPr="00997E9C">
      <w:rPr>
        <w:rFonts w:ascii="Arial" w:hAnsi="Arial" w:cs="Arial"/>
        <w:b/>
        <w:sz w:val="48"/>
      </w:rPr>
      <w:tab/>
    </w:r>
    <w:r>
      <w:fldChar w:fldCharType="begin"/>
    </w:r>
    <w:r>
      <w:instrText xml:space="preserve"> PAGE  \* MERGEFORMAT </w:instrText>
    </w:r>
    <w:r>
      <w:fldChar w:fldCharType="separate"/>
    </w:r>
    <w:r w:rsidR="00482DEA">
      <w:rPr>
        <w:noProof/>
      </w:rPr>
      <w:t>20</w:t>
    </w:r>
    <w:r>
      <w:fldChar w:fldCharType="end"/>
    </w:r>
    <w:r>
      <w:tab/>
    </w:r>
    <w:r w:rsidRPr="00997E9C">
      <w:tab/>
    </w:r>
    <w:r w:rsidRPr="00997E9C">
      <w:rPr>
        <w:rFonts w:ascii="Arial" w:hAnsi="Arial" w:cs="Arial"/>
        <w:b/>
        <w:sz w:val="48"/>
      </w:rPr>
      <w:t>FI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Default="00997E9C" w:rsidP="00997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6D7831" w:rsidRDefault="00716EA9" w:rsidP="00716EA9">
      <w:pPr>
        <w:pStyle w:val="FootnoteText"/>
      </w:pPr>
      <w:r>
        <w:rPr>
          <w:rStyle w:val="FootnoteReference"/>
        </w:rPr>
        <w:footnoteRef/>
      </w:r>
      <w:r w:rsidRPr="006D7831">
        <w:tab/>
        <w:t>EUVL L 176, 27.6.2013, s. 1, ELI: http://data.europa.eu/eli/reg/2013/575/oj.</w:t>
      </w:r>
    </w:p>
  </w:footnote>
  <w:footnote w:id="3">
    <w:p w:rsidR="00716EA9" w:rsidRPr="006D7831" w:rsidRDefault="00716EA9" w:rsidP="00716EA9">
      <w:pPr>
        <w:pStyle w:val="FootnoteText"/>
      </w:pPr>
      <w:r>
        <w:rPr>
          <w:rStyle w:val="FootnoteReference"/>
        </w:rPr>
        <w:footnoteRef/>
      </w:r>
      <w:r w:rsidRPr="006D7831">
        <w:tab/>
        <w:t>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 ELI: http://data.europa.eu/eli/reg_impl/2021/451/oj).</w:t>
      </w:r>
    </w:p>
  </w:footnote>
  <w:footnote w:id="4">
    <w:p w:rsidR="00716EA9" w:rsidRPr="006D7831" w:rsidRDefault="00716EA9" w:rsidP="00716EA9">
      <w:pPr>
        <w:pStyle w:val="FootnoteText"/>
      </w:pPr>
      <w:r>
        <w:rPr>
          <w:rStyle w:val="FootnoteReference"/>
        </w:rPr>
        <w:footnoteRef/>
      </w:r>
      <w:r w:rsidRPr="006D7831">
        <w:tab/>
        <w:t>Euroopan parlamentin ja neuvoston asetus (EU) 2024/1623, annettu 31 päivänä toukokuuta 2024, asetuksen (EU) N:o 575/2013 muuttamisesta luottoriskiä, vastuun arvonoikaisuriskiä, operatiivista riskiä, markkinariskiä ja kokonaisriskipainolattiaa koskevien vaatimusten osalta (EUVL L, 2024/1623, 19.6.2024, ELI: </w:t>
      </w:r>
      <w:hyperlink r:id="rId1" w:tgtFrame="_blank" w:tooltip="Hakee asiakirjan sen ELI URI -tunnisteen avulla." w:history="1">
        <w:r w:rsidRPr="006D7831">
          <w:t>http://data.europa.eu/eli/reg/2024/1623/oj</w:t>
        </w:r>
      </w:hyperlink>
      <w:r w:rsidRPr="006D7831">
        <w:t>).</w:t>
      </w:r>
    </w:p>
  </w:footnote>
  <w:footnote w:id="5">
    <w:p w:rsidR="00716EA9" w:rsidRPr="006D7831" w:rsidRDefault="00716EA9" w:rsidP="00716EA9">
      <w:pPr>
        <w:pStyle w:val="FootnoteText"/>
      </w:pPr>
      <w:r>
        <w:rPr>
          <w:rStyle w:val="FootnoteReference"/>
        </w:rPr>
        <w:footnoteRef/>
      </w:r>
      <w:r w:rsidRPr="006D7831">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 ELI: http://data.europa.eu/eli/reg/2010/1093/oj).</w:t>
      </w:r>
    </w:p>
  </w:footnote>
  <w:footnote w:id="6">
    <w:p w:rsidR="00716EA9" w:rsidRPr="006D7831" w:rsidRDefault="00716EA9" w:rsidP="00716EA9">
      <w:pPr>
        <w:pStyle w:val="FootnoteText"/>
      </w:pPr>
      <w:r>
        <w:rPr>
          <w:rStyle w:val="FootnoteReference"/>
        </w:rPr>
        <w:footnoteRef/>
      </w:r>
      <w:r w:rsidRPr="006D7831">
        <w:tab/>
      </w:r>
      <w:r w:rsidRPr="006D7831">
        <w:rPr>
          <w:color w:val="333333"/>
          <w:shd w:val="clear" w:color="auto" w:fill="FFFFFF"/>
        </w:rPr>
        <w:t>Euroopan parlamentin ja neuvoston direktiivi 2013/36/EU, annettu 26 päivänä kesäkuuta 2013, oikeudesta harjoittaa luottolaitostoimintaa ja luottolaitosten vakavaraisuusvalvonnasta, direktiivin 2002/87/EY muuttamisesta sekä direktiivien 2006/48/EY ja 2006/49/EY kumoamisesta (EUVL L 176, 27.6.2013, s. 338, ELI: </w:t>
      </w:r>
      <w:hyperlink r:id="rId2" w:tooltip="Hakee asiakirjan sen ELI URI -tunnisteen avulla." w:history="1">
        <w:r w:rsidRPr="006D7831">
          <w:rPr>
            <w:color w:val="333333"/>
          </w:rPr>
          <w:t>http://data.europa.eu/eli/dir/2013/36/oj</w:t>
        </w:r>
      </w:hyperlink>
      <w:r w:rsidRPr="006D7831">
        <w:rPr>
          <w:color w:val="333333"/>
          <w:shd w:val="clear" w:color="auto" w:fill="FFFFFF"/>
        </w:rPr>
        <w:t>).</w:t>
      </w:r>
    </w:p>
  </w:footnote>
  <w:footnote w:id="7">
    <w:p w:rsidR="00716EA9" w:rsidRPr="006D7831" w:rsidRDefault="00716EA9" w:rsidP="00716EA9">
      <w:pPr>
        <w:pStyle w:val="FootnoteText"/>
      </w:pPr>
      <w:r>
        <w:rPr>
          <w:rStyle w:val="FootnoteReference"/>
        </w:rPr>
        <w:footnoteRef/>
      </w:r>
      <w:r w:rsidRPr="006D7831">
        <w:tab/>
      </w:r>
      <w:bookmarkStart w:id="1" w:name="_Hlk172136107"/>
      <w:r w:rsidRPr="006D7831">
        <w:rPr>
          <w:color w:val="333333"/>
          <w:shd w:val="clear" w:color="auto" w:fill="FFFFFF"/>
        </w:rPr>
        <w:t>Euroopan parlamentin ja neuvoston direktiivi (EU) 2019/2034, annettu 27 päivänä marraskuuta 2019, sijoituspalveluyritysten vakavaraisuusvalvonnasta ja direktiivien 2002/87/EY</w:t>
      </w:r>
      <w:bookmarkEnd w:id="1"/>
      <w:r w:rsidRPr="006D7831">
        <w:rPr>
          <w:color w:val="333333"/>
          <w:shd w:val="clear" w:color="auto" w:fill="FFFFFF"/>
        </w:rPr>
        <w:t>, 2009/65/EY, 2011/61/EU, 2013/36/EU, 2014/59/EU ja 2014/65/EU muuttamisesta (EUVL L 314, 5.12.2019, s. 64, ELI: </w:t>
      </w:r>
      <w:hyperlink r:id="rId3" w:tooltip="Hakee asiakirjan sen ELI URI -tunnisteen avulla." w:history="1">
        <w:r w:rsidRPr="006D7831">
          <w:rPr>
            <w:color w:val="333333"/>
          </w:rPr>
          <w:t>http://data.europa.eu/eli/dir/2019/2034/oj</w:t>
        </w:r>
      </w:hyperlink>
      <w:r w:rsidRPr="006D7831">
        <w:rPr>
          <w:color w:val="333333"/>
          <w:shd w:val="clear" w:color="auto" w:fill="FFFFFF"/>
        </w:rPr>
        <w:t>).</w:t>
      </w:r>
    </w:p>
  </w:footnote>
  <w:footnote w:id="8">
    <w:p w:rsidR="00797855" w:rsidRPr="006D7831" w:rsidRDefault="00797855" w:rsidP="00C856B2">
      <w:pPr>
        <w:pStyle w:val="FootnoteText"/>
      </w:pPr>
      <w:r>
        <w:rPr>
          <w:rStyle w:val="FootnoteReference"/>
        </w:rPr>
        <w:footnoteRef/>
      </w:r>
      <w:r w:rsidRPr="006D7831">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 ELI: http://data.europa.eu/eli/reg_del/2016/101/oj).</w:t>
      </w:r>
    </w:p>
  </w:footnote>
  <w:footnote w:id="9">
    <w:p w:rsidR="00716EA9" w:rsidRPr="006D7831" w:rsidRDefault="00716EA9" w:rsidP="00716EA9">
      <w:pPr>
        <w:pStyle w:val="FootnoteText"/>
      </w:pPr>
      <w:r>
        <w:rPr>
          <w:rStyle w:val="FootnoteReference"/>
        </w:rPr>
        <w:footnoteRef/>
      </w:r>
      <w:r w:rsidRPr="006D7831">
        <w:tab/>
      </w:r>
      <w:r w:rsidRPr="006D7831">
        <w:rPr>
          <w:color w:val="333333"/>
          <w:shd w:val="clear" w:color="auto" w:fill="FFFFFF"/>
        </w:rPr>
        <w:t>Euroopan parlamentin ja neuvoston asetus (EY) N:o 1606/2002, annettu 19 päivänä heinäkuuta 2002, kansainvälisten tilinpäätösstandardien soveltamisesta (EYVL L 243, 11.9.2002, s. 1, ELI: </w:t>
      </w:r>
      <w:r w:rsidRPr="006D7831">
        <w:rPr>
          <w:shd w:val="clear" w:color="auto" w:fill="FFFFFF"/>
        </w:rPr>
        <w:t>http://data.europa.eu/eli/reg/2002/1606/oj</w:t>
      </w:r>
      <w:r w:rsidRPr="006D7831">
        <w:t>).</w:t>
      </w:r>
    </w:p>
  </w:footnote>
  <w:footnote w:id="10">
    <w:p w:rsidR="00745A2E" w:rsidRPr="006D7831" w:rsidRDefault="00745A2E" w:rsidP="00C856B2">
      <w:pPr>
        <w:pStyle w:val="FootnoteText"/>
      </w:pPr>
      <w:r>
        <w:rPr>
          <w:rStyle w:val="FootnoteReference"/>
        </w:rPr>
        <w:footnoteRef/>
      </w:r>
      <w:r w:rsidRPr="006D7831">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(uudelleenlaadittu toisinto) (EUVL L 302, 17.11.2009, s. 32, ELI: http://data.europa.eu/eli/dir/2009/65/oj).</w:t>
      </w:r>
    </w:p>
  </w:footnote>
  <w:footnote w:id="11">
    <w:p w:rsidR="00AB5213" w:rsidRPr="006D7831" w:rsidRDefault="00AB5213" w:rsidP="00AB5213">
      <w:pPr>
        <w:pStyle w:val="FootnoteText"/>
      </w:pPr>
      <w:r>
        <w:rPr>
          <w:rStyle w:val="FootnoteReference"/>
        </w:rPr>
        <w:footnoteRef/>
      </w:r>
      <w:r w:rsidRPr="006D7831">
        <w:tab/>
      </w:r>
      <w:r w:rsidRPr="006D7831">
        <w:rPr>
          <w:color w:val="333333"/>
          <w:shd w:val="clear" w:color="auto" w:fill="FFFFFF"/>
        </w:rPr>
        <w:t>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 ELI: </w:t>
      </w:r>
      <w:r w:rsidRPr="006D7831">
        <w:rPr>
          <w:shd w:val="clear" w:color="auto" w:fill="FFFFFF"/>
        </w:rPr>
        <w:t>http://data.europa.eu/eli/reg/2014/806/oj</w:t>
      </w:r>
      <w:r w:rsidRPr="006D783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Default="00997E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9C" w:rsidRDefault="00997E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0:0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C3725EB-5127-4B98-B65A-808D7B524198"/>
    <w:docVar w:name="LW_COVERPAGE_TYPE" w:val="1"/>
    <w:docVar w:name="LW_CROSSREFERENCE" w:val="&lt;UNUSED&gt;"/>
    <w:docVar w:name="LW_DATE.ADOPT.CP" w:val="annettu 29.11.2024,"/>
    <w:docVar w:name="LW_DATE.ADOPT.CP_DATEFORMAT" w:val="annettu %DATE%,"/>
    <w:docVar w:name="LW_DATE.ADOPT.CP_ISODATE" w:val="2024-11-29"/>
    <w:docVar w:name="LW_DocType" w:val="COM"/>
    <w:docVar w:name="LW_EMISSION" w:val="29.11.2024"/>
    <w:docVar w:name="LW_EMISSION_ISODATE" w:val="2024-11-29"/>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eknisistä täytäntöönpanostandardeista Euroopan parlamentin ja neuvoston asetuksen (EU) N:o 575/2013 soveltamiseksi laitosten vakavaraisuusvalvontaan liittyvän raportoinnin osalta ja komission täytäntöönpanoasetuksen (EU) 2021/451 kumoamisesta"/>
    <w:docVar w:name="LW_TYPE.DOC.CP" w:val="KOMISSION TÄYTÄNTÖÖNPANOASETUS (EU) \u8230?/\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17E9"/>
    <w:rsid w:val="000E2BE4"/>
    <w:rsid w:val="000E322D"/>
    <w:rsid w:val="000E5542"/>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1BE"/>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A7593"/>
    <w:rsid w:val="001B1BA3"/>
    <w:rsid w:val="001B1C0C"/>
    <w:rsid w:val="001B3873"/>
    <w:rsid w:val="001B6542"/>
    <w:rsid w:val="001C239B"/>
    <w:rsid w:val="001C53DC"/>
    <w:rsid w:val="001C6F4E"/>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02D6E"/>
    <w:rsid w:val="004104C4"/>
    <w:rsid w:val="00414772"/>
    <w:rsid w:val="0042020F"/>
    <w:rsid w:val="00425E7F"/>
    <w:rsid w:val="00431A8F"/>
    <w:rsid w:val="00433221"/>
    <w:rsid w:val="00436FFF"/>
    <w:rsid w:val="00437AA5"/>
    <w:rsid w:val="004411FE"/>
    <w:rsid w:val="00442C8E"/>
    <w:rsid w:val="00445295"/>
    <w:rsid w:val="00445F3E"/>
    <w:rsid w:val="00450B31"/>
    <w:rsid w:val="004534F7"/>
    <w:rsid w:val="004551DB"/>
    <w:rsid w:val="0046097C"/>
    <w:rsid w:val="00461B88"/>
    <w:rsid w:val="00464F13"/>
    <w:rsid w:val="0046608A"/>
    <w:rsid w:val="0047412A"/>
    <w:rsid w:val="00474EA8"/>
    <w:rsid w:val="0048249F"/>
    <w:rsid w:val="00482DEA"/>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03F"/>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D7831"/>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2FB2"/>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2A0F"/>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531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167"/>
    <w:rsid w:val="0097132F"/>
    <w:rsid w:val="00975991"/>
    <w:rsid w:val="0098135E"/>
    <w:rsid w:val="0098245E"/>
    <w:rsid w:val="00983A68"/>
    <w:rsid w:val="00991863"/>
    <w:rsid w:val="009957C5"/>
    <w:rsid w:val="00995E51"/>
    <w:rsid w:val="00997E9C"/>
    <w:rsid w:val="009A64A3"/>
    <w:rsid w:val="009B58C4"/>
    <w:rsid w:val="009C2316"/>
    <w:rsid w:val="009C3E52"/>
    <w:rsid w:val="009D7ED1"/>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51D0"/>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4EC5"/>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E721A"/>
    <w:rsid w:val="00BF12F3"/>
    <w:rsid w:val="00BF3A76"/>
    <w:rsid w:val="00BF5A08"/>
    <w:rsid w:val="00BF6649"/>
    <w:rsid w:val="00C02E45"/>
    <w:rsid w:val="00C07884"/>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5E07"/>
    <w:rsid w:val="00D77676"/>
    <w:rsid w:val="00D82A0D"/>
    <w:rsid w:val="00D83AA0"/>
    <w:rsid w:val="00D84BC5"/>
    <w:rsid w:val="00DA0641"/>
    <w:rsid w:val="00DA3417"/>
    <w:rsid w:val="00DA36B1"/>
    <w:rsid w:val="00DA73AF"/>
    <w:rsid w:val="00DA76F0"/>
    <w:rsid w:val="00DB07B2"/>
    <w:rsid w:val="00DB4B20"/>
    <w:rsid w:val="00DC16FD"/>
    <w:rsid w:val="00DC37AE"/>
    <w:rsid w:val="00DC690F"/>
    <w:rsid w:val="00DD2E6A"/>
    <w:rsid w:val="00DD3048"/>
    <w:rsid w:val="00DD69A3"/>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267E"/>
    <w:rsid w:val="00E33C9F"/>
    <w:rsid w:val="00E41055"/>
    <w:rsid w:val="00E537F5"/>
    <w:rsid w:val="00E60023"/>
    <w:rsid w:val="00E70327"/>
    <w:rsid w:val="00E767D5"/>
    <w:rsid w:val="00E76FD3"/>
    <w:rsid w:val="00E824D2"/>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C5166"/>
    <w:rsid w:val="00EC748E"/>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7233C"/>
    <w:rsid w:val="00F80F79"/>
    <w:rsid w:val="00F86BE8"/>
    <w:rsid w:val="00F90071"/>
    <w:rsid w:val="00F9039C"/>
    <w:rsid w:val="00F908C1"/>
    <w:rsid w:val="00F90E77"/>
    <w:rsid w:val="00F95EC7"/>
    <w:rsid w:val="00F96DC6"/>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fi-FI"/>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fi-FI"/>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997E9C"/>
    <w:rPr>
      <w:rFonts w:ascii="Times New Roman" w:hAnsi="Times New Roman" w:cs="Times New Roman"/>
      <w:sz w:val="24"/>
      <w:lang w:val="fi-FI"/>
    </w:rPr>
  </w:style>
  <w:style w:type="character" w:customStyle="1" w:styleId="FooterChar">
    <w:name w:val="Footer Char"/>
    <w:basedOn w:val="DefaultParagraphFont"/>
    <w:link w:val="Footer"/>
    <w:uiPriority w:val="99"/>
    <w:rsid w:val="00997E9C"/>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i-F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i-F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97E9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97E9C"/>
    <w:pPr>
      <w:spacing w:before="0"/>
      <w:jc w:val="right"/>
    </w:pPr>
    <w:rPr>
      <w:sz w:val="28"/>
    </w:rPr>
  </w:style>
  <w:style w:type="paragraph" w:customStyle="1" w:styleId="FooterSensitivity">
    <w:name w:val="Footer Sensitivity"/>
    <w:basedOn w:val="Normal"/>
    <w:rsid w:val="00997E9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997E9C"/>
    <w:pPr>
      <w:tabs>
        <w:tab w:val="center" w:pos="4535"/>
        <w:tab w:val="right" w:pos="9071"/>
      </w:tabs>
      <w:spacing w:before="0"/>
    </w:pPr>
  </w:style>
  <w:style w:type="paragraph" w:customStyle="1" w:styleId="HeaderLandscape">
    <w:name w:val="HeaderLandscape"/>
    <w:basedOn w:val="Normal"/>
    <w:rsid w:val="00997E9C"/>
    <w:pPr>
      <w:tabs>
        <w:tab w:val="center" w:pos="7285"/>
        <w:tab w:val="right" w:pos="14003"/>
      </w:tabs>
      <w:spacing w:before="0"/>
    </w:pPr>
  </w:style>
  <w:style w:type="paragraph" w:styleId="Footer">
    <w:name w:val="footer"/>
    <w:basedOn w:val="Normal"/>
    <w:link w:val="FooterChar"/>
    <w:uiPriority w:val="99"/>
    <w:unhideWhenUsed/>
    <w:rsid w:val="00997E9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97E9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9DB8834D-6ACB-4D67-A548-873113FDC7B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39</TotalTime>
  <Pages>16</Pages>
  <Words>7904</Words>
  <Characters>45055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52854</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45</cp:revision>
  <dcterms:created xsi:type="dcterms:W3CDTF">2024-11-08T11:56:00Z</dcterms:created>
  <dcterms:modified xsi:type="dcterms:W3CDTF">2024-12-03T15:50:00Z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