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52894" w:rsidRPr="001C651B" w:rsidRDefault="00810F63" w:rsidP="00810F63">
      <w:pPr>
        <w:pStyle w:val="Pagedecouverture"/>
        <w:rPr>
          <w:noProof/>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alt="0ABAE210-89F3-4BA9-8E43-A8A5D17516DD" style="width:455.25pt;height:414pt">
            <v:imagedata r:id="rId11" o:title=""/>
          </v:shape>
        </w:pict>
      </w:r>
    </w:p>
    <w:p w:rsidR="00185C9B" w:rsidRPr="001C651B" w:rsidRDefault="00185C9B">
      <w:pPr>
        <w:rPr>
          <w:noProof/>
          <w:szCs w:val="24"/>
        </w:rPr>
        <w:sectPr w:rsidR="00185C9B" w:rsidRPr="001C651B" w:rsidSect="00810F63">
          <w:footerReference w:type="even" r:id="rId12"/>
          <w:footerReference w:type="default" r:id="rId13"/>
          <w:pgSz w:w="11907" w:h="16839"/>
          <w:pgMar w:top="1134" w:right="1417" w:bottom="1134" w:left="1417" w:header="709" w:footer="709" w:gutter="0"/>
          <w:pgNumType w:start="0"/>
          <w:cols w:space="720"/>
          <w:docGrid w:linePitch="360"/>
        </w:sectPr>
      </w:pPr>
    </w:p>
    <w:p w:rsidR="00185C9B" w:rsidRPr="001C651B" w:rsidRDefault="001C651B" w:rsidP="001C651B">
      <w:pPr>
        <w:pStyle w:val="Typedudocument"/>
        <w:rPr>
          <w:noProof/>
        </w:rPr>
      </w:pPr>
      <w:bookmarkStart w:id="0" w:name="_GoBack"/>
      <w:bookmarkEnd w:id="0"/>
      <w:r w:rsidRPr="001C651B">
        <w:rPr>
          <w:noProof/>
        </w:rPr>
        <w:lastRenderedPageBreak/>
        <w:t>ROZPORZĄDZENIE WYKONAWCZE KOMISJI (UE) …/…</w:t>
      </w:r>
    </w:p>
    <w:p w:rsidR="00185C9B" w:rsidRPr="001C651B" w:rsidRDefault="00CD161A" w:rsidP="001C651B">
      <w:pPr>
        <w:pStyle w:val="Datedadoption"/>
        <w:rPr>
          <w:noProof/>
        </w:rPr>
      </w:pPr>
      <w:r>
        <w:rPr>
          <w:noProof/>
        </w:rPr>
        <w:t>z dnia 29.11.2024 r.</w:t>
      </w:r>
    </w:p>
    <w:p w:rsidR="00185C9B" w:rsidRPr="001C651B" w:rsidRDefault="001C651B" w:rsidP="001C651B">
      <w:pPr>
        <w:pStyle w:val="Titreobjet"/>
        <w:rPr>
          <w:noProof/>
        </w:rPr>
      </w:pPr>
      <w:r w:rsidRPr="001C651B">
        <w:rPr>
          <w:noProof/>
        </w:rPr>
        <w:t>ustanawiające wykonawcze standardy techniczne do celów stosowania rozporządzenia Parlamentu Europejskiego i Rady (UE) nr 575/2013 w odniesieniu do sprawozdań nadzorczych instytucji oraz uchylające rozporządzenie wykonawcze Komisji (UE) 2021/451</w:t>
      </w:r>
    </w:p>
    <w:p w:rsidR="00185C9B" w:rsidRPr="001C651B" w:rsidRDefault="001C651B" w:rsidP="001C651B">
      <w:pPr>
        <w:pStyle w:val="IntrtEEE"/>
        <w:rPr>
          <w:noProof/>
        </w:rPr>
      </w:pPr>
      <w:r w:rsidRPr="001C651B">
        <w:rPr>
          <w:noProof/>
        </w:rPr>
        <w:t>(Tekst mający znaczenie dla EOG)</w:t>
      </w:r>
    </w:p>
    <w:p w:rsidR="00185C9B" w:rsidRPr="001C651B" w:rsidRDefault="00185C9B" w:rsidP="004E1EF9">
      <w:pPr>
        <w:pStyle w:val="Institutionquiagit"/>
        <w:rPr>
          <w:noProof/>
          <w:szCs w:val="24"/>
        </w:rPr>
      </w:pPr>
      <w:r w:rsidRPr="001C651B">
        <w:rPr>
          <w:noProof/>
        </w:rPr>
        <w:t>KOMISJA EUROPEJSKA,</w:t>
      </w:r>
    </w:p>
    <w:p w:rsidR="00185C9B" w:rsidRPr="001C651B" w:rsidRDefault="00185C9B" w:rsidP="004E1EF9">
      <w:pPr>
        <w:rPr>
          <w:noProof/>
          <w:szCs w:val="24"/>
        </w:rPr>
      </w:pPr>
      <w:r w:rsidRPr="001C651B">
        <w:rPr>
          <w:noProof/>
          <w:color w:val="000000"/>
        </w:rPr>
        <w:t>uwzględniając Traktat</w:t>
      </w:r>
      <w:r w:rsidR="001C651B" w:rsidRPr="001C651B">
        <w:rPr>
          <w:noProof/>
          <w:color w:val="000000"/>
        </w:rPr>
        <w:t xml:space="preserve"> o</w:t>
      </w:r>
      <w:r w:rsidR="001C651B">
        <w:rPr>
          <w:noProof/>
          <w:color w:val="000000"/>
        </w:rPr>
        <w:t> </w:t>
      </w:r>
      <w:r w:rsidR="001C651B" w:rsidRPr="001C651B">
        <w:rPr>
          <w:noProof/>
          <w:color w:val="000000"/>
        </w:rPr>
        <w:t>fun</w:t>
      </w:r>
      <w:r w:rsidRPr="001C651B">
        <w:rPr>
          <w:noProof/>
          <w:color w:val="000000"/>
        </w:rPr>
        <w:t>kcjonowaniu Unii Europejskiej</w:t>
      </w:r>
      <w:r w:rsidRPr="001C651B">
        <w:rPr>
          <w:noProof/>
        </w:rPr>
        <w:t>,</w:t>
      </w:r>
    </w:p>
    <w:p w:rsidR="00716EA9" w:rsidRPr="001C651B" w:rsidRDefault="00716EA9" w:rsidP="00716EA9">
      <w:pPr>
        <w:rPr>
          <w:noProof/>
          <w:szCs w:val="24"/>
        </w:rPr>
      </w:pPr>
      <w:r w:rsidRPr="001C651B">
        <w:rPr>
          <w:noProof/>
        </w:rPr>
        <w:t>uwzględniając rozporządzenie Parlamentu Europejskiego</w:t>
      </w:r>
      <w:r w:rsidR="001C651B" w:rsidRPr="001C651B">
        <w:rPr>
          <w:noProof/>
        </w:rPr>
        <w:t xml:space="preserve"> i</w:t>
      </w:r>
      <w:r w:rsidR="001C651B">
        <w:rPr>
          <w:noProof/>
        </w:rPr>
        <w:t> </w:t>
      </w:r>
      <w:r w:rsidR="001C651B" w:rsidRPr="001C651B">
        <w:rPr>
          <w:noProof/>
        </w:rPr>
        <w:t>Rad</w:t>
      </w:r>
      <w:r w:rsidRPr="001C651B">
        <w:rPr>
          <w:noProof/>
        </w:rPr>
        <w:t>y (UE) nr</w:t>
      </w:r>
      <w:r w:rsidR="001C651B" w:rsidRPr="001C651B">
        <w:rPr>
          <w:noProof/>
        </w:rPr>
        <w:t> </w:t>
      </w:r>
      <w:r w:rsidRPr="001C651B">
        <w:rPr>
          <w:noProof/>
        </w:rPr>
        <w:t>575/2013</w:t>
      </w:r>
      <w:r w:rsidR="001C651B" w:rsidRPr="001C651B">
        <w:rPr>
          <w:noProof/>
        </w:rPr>
        <w:t xml:space="preserve"> z</w:t>
      </w:r>
      <w:r w:rsidR="001C651B">
        <w:rPr>
          <w:noProof/>
        </w:rPr>
        <w:t> </w:t>
      </w:r>
      <w:r w:rsidR="001C651B" w:rsidRPr="001C651B">
        <w:rPr>
          <w:noProof/>
        </w:rPr>
        <w:t>dni</w:t>
      </w:r>
      <w:r w:rsidRPr="001C651B">
        <w:rPr>
          <w:noProof/>
        </w:rPr>
        <w:t>a 26 czerwca 2013</w:t>
      </w:r>
      <w:r w:rsidR="001C651B" w:rsidRPr="001C651B">
        <w:rPr>
          <w:noProof/>
        </w:rPr>
        <w:t> </w:t>
      </w:r>
      <w:r w:rsidRPr="001C651B">
        <w:rPr>
          <w:noProof/>
        </w:rPr>
        <w:t>r.</w:t>
      </w:r>
      <w:r w:rsidR="001C651B" w:rsidRPr="001C651B">
        <w:rPr>
          <w:noProof/>
        </w:rPr>
        <w:t xml:space="preserve"> w</w:t>
      </w:r>
      <w:r w:rsidR="001C651B">
        <w:rPr>
          <w:noProof/>
        </w:rPr>
        <w:t> </w:t>
      </w:r>
      <w:r w:rsidR="001C651B" w:rsidRPr="001C651B">
        <w:rPr>
          <w:noProof/>
        </w:rPr>
        <w:t>spr</w:t>
      </w:r>
      <w:r w:rsidRPr="001C651B">
        <w:rPr>
          <w:noProof/>
        </w:rPr>
        <w:t>awie wymogów ostrożnościowych dla instytucji kredytowych oraz zmieniające rozporządzenie (UE) nr</w:t>
      </w:r>
      <w:r w:rsidR="001C651B" w:rsidRPr="001C651B">
        <w:rPr>
          <w:noProof/>
        </w:rPr>
        <w:t> </w:t>
      </w:r>
      <w:r w:rsidRPr="001C651B">
        <w:rPr>
          <w:noProof/>
        </w:rPr>
        <w:t>648/2012</w:t>
      </w:r>
      <w:r w:rsidRPr="001C651B">
        <w:rPr>
          <w:rStyle w:val="FootnoteReference"/>
          <w:noProof/>
          <w:szCs w:val="24"/>
        </w:rPr>
        <w:footnoteReference w:id="2"/>
      </w:r>
      <w:r w:rsidRPr="001C651B">
        <w:rPr>
          <w:noProof/>
        </w:rPr>
        <w:t>,</w:t>
      </w:r>
      <w:r w:rsidR="001C651B" w:rsidRPr="001C651B">
        <w:rPr>
          <w:noProof/>
        </w:rPr>
        <w:t xml:space="preserve"> w</w:t>
      </w:r>
      <w:r w:rsidR="001C651B">
        <w:rPr>
          <w:noProof/>
        </w:rPr>
        <w:t> </w:t>
      </w:r>
      <w:r w:rsidR="001C651B" w:rsidRPr="001C651B">
        <w:rPr>
          <w:noProof/>
        </w:rPr>
        <w:t>szc</w:t>
      </w:r>
      <w:r w:rsidRPr="001C651B">
        <w:rPr>
          <w:noProof/>
        </w:rPr>
        <w:t>zególności jego art. 415 ust. 3 akapit trzeci, art. 415 ust. 3a akapit trzeci, art. 430 ust. 7 akapit trzeci</w:t>
      </w:r>
      <w:r w:rsidR="001C651B" w:rsidRPr="001C651B">
        <w:rPr>
          <w:noProof/>
        </w:rPr>
        <w:t xml:space="preserve"> i</w:t>
      </w:r>
      <w:r w:rsidR="001C651B">
        <w:rPr>
          <w:noProof/>
        </w:rPr>
        <w:t> </w:t>
      </w:r>
      <w:r w:rsidR="001C651B" w:rsidRPr="001C651B">
        <w:rPr>
          <w:noProof/>
        </w:rPr>
        <w:t>art</w:t>
      </w:r>
      <w:r w:rsidRPr="001C651B">
        <w:rPr>
          <w:noProof/>
        </w:rPr>
        <w:t>. 430 ust. 9 akapit piąty,</w:t>
      </w:r>
    </w:p>
    <w:p w:rsidR="00716EA9" w:rsidRPr="001C651B" w:rsidRDefault="00716EA9" w:rsidP="00716EA9">
      <w:pPr>
        <w:rPr>
          <w:noProof/>
          <w:szCs w:val="24"/>
        </w:rPr>
      </w:pPr>
      <w:r w:rsidRPr="001C651B">
        <w:rPr>
          <w:noProof/>
        </w:rPr>
        <w:t>a także mając na uwadze, co następuje:</w:t>
      </w:r>
    </w:p>
    <w:p w:rsidR="00716EA9" w:rsidRPr="001C651B" w:rsidRDefault="003040A6" w:rsidP="003040A6">
      <w:pPr>
        <w:pStyle w:val="ManualConsidrant"/>
        <w:rPr>
          <w:noProof/>
          <w:szCs w:val="24"/>
        </w:rPr>
      </w:pPr>
      <w:r w:rsidRPr="003040A6">
        <w:rPr>
          <w:noProof/>
        </w:rPr>
        <w:t>(1)</w:t>
      </w:r>
      <w:r w:rsidRPr="003040A6">
        <w:rPr>
          <w:noProof/>
        </w:rPr>
        <w:tab/>
      </w:r>
      <w:r w:rsidR="00716EA9" w:rsidRPr="001C651B">
        <w:rPr>
          <w:noProof/>
        </w:rPr>
        <w:t>W rozporządzeniu wykonawczym Komisji (UE) 2021/451</w:t>
      </w:r>
      <w:r w:rsidR="00716EA9" w:rsidRPr="001C651B">
        <w:rPr>
          <w:rStyle w:val="FootnoteReference"/>
          <w:noProof/>
          <w:szCs w:val="24"/>
        </w:rPr>
        <w:footnoteReference w:id="3"/>
      </w:r>
      <w:r w:rsidR="00716EA9" w:rsidRPr="001C651B">
        <w:rPr>
          <w:noProof/>
        </w:rPr>
        <w:t xml:space="preserve"> ustanowiono, na podstawie art.</w:t>
      </w:r>
      <w:r w:rsidR="001C651B" w:rsidRPr="001C651B">
        <w:rPr>
          <w:noProof/>
        </w:rPr>
        <w:t> </w:t>
      </w:r>
      <w:r w:rsidR="00716EA9" w:rsidRPr="001C651B">
        <w:rPr>
          <w:noProof/>
        </w:rPr>
        <w:t>415</w:t>
      </w:r>
      <w:r w:rsidR="001C651B" w:rsidRPr="001C651B">
        <w:rPr>
          <w:noProof/>
        </w:rPr>
        <w:t xml:space="preserve"> i</w:t>
      </w:r>
      <w:r w:rsidR="001C651B">
        <w:rPr>
          <w:noProof/>
        </w:rPr>
        <w:t> </w:t>
      </w:r>
      <w:r w:rsidR="001C651B" w:rsidRPr="001C651B">
        <w:rPr>
          <w:noProof/>
        </w:rPr>
        <w:t>4</w:t>
      </w:r>
      <w:r w:rsidR="00716EA9" w:rsidRPr="001C651B">
        <w:rPr>
          <w:noProof/>
        </w:rPr>
        <w:t>30 rozporządzenia (UE) nr</w:t>
      </w:r>
      <w:r w:rsidR="001C651B" w:rsidRPr="001C651B">
        <w:rPr>
          <w:noProof/>
        </w:rPr>
        <w:t> </w:t>
      </w:r>
      <w:r w:rsidR="00716EA9" w:rsidRPr="001C651B">
        <w:rPr>
          <w:noProof/>
        </w:rPr>
        <w:t>575/2013, spójne ramy sprawozdawczości,</w:t>
      </w:r>
      <w:r w:rsidR="001C651B" w:rsidRPr="001C651B">
        <w:rPr>
          <w:noProof/>
        </w:rPr>
        <w:t xml:space="preserve"> w</w:t>
      </w:r>
      <w:r w:rsidR="001C651B">
        <w:rPr>
          <w:noProof/>
        </w:rPr>
        <w:t> </w:t>
      </w:r>
      <w:r w:rsidR="001C651B" w:rsidRPr="001C651B">
        <w:rPr>
          <w:noProof/>
        </w:rPr>
        <w:t>tym</w:t>
      </w:r>
      <w:r w:rsidR="00716EA9" w:rsidRPr="001C651B">
        <w:rPr>
          <w:noProof/>
        </w:rPr>
        <w:t xml:space="preserve"> wymogi dotyczące przekazywania informacji na temat funduszy własnych</w:t>
      </w:r>
      <w:r w:rsidR="001C651B" w:rsidRPr="001C651B">
        <w:rPr>
          <w:noProof/>
        </w:rPr>
        <w:t xml:space="preserve"> i</w:t>
      </w:r>
      <w:r w:rsidR="001C651B">
        <w:rPr>
          <w:noProof/>
        </w:rPr>
        <w:t> </w:t>
      </w:r>
      <w:r w:rsidR="001C651B" w:rsidRPr="001C651B">
        <w:rPr>
          <w:noProof/>
        </w:rPr>
        <w:t>wym</w:t>
      </w:r>
      <w:r w:rsidR="00716EA9" w:rsidRPr="001C651B">
        <w:rPr>
          <w:noProof/>
        </w:rPr>
        <w:t>ogów</w:t>
      </w:r>
      <w:r w:rsidR="001C651B" w:rsidRPr="001C651B">
        <w:rPr>
          <w:noProof/>
        </w:rPr>
        <w:t xml:space="preserve"> w</w:t>
      </w:r>
      <w:r w:rsidR="001C651B">
        <w:rPr>
          <w:noProof/>
        </w:rPr>
        <w:t> </w:t>
      </w:r>
      <w:r w:rsidR="001C651B" w:rsidRPr="001C651B">
        <w:rPr>
          <w:noProof/>
        </w:rPr>
        <w:t>zak</w:t>
      </w:r>
      <w:r w:rsidR="00716EA9" w:rsidRPr="001C651B">
        <w:rPr>
          <w:noProof/>
        </w:rPr>
        <w:t>resie funduszy własnych, informacji finansowych, które należy przedstawić zgodnie</w:t>
      </w:r>
      <w:r w:rsidR="001C651B" w:rsidRPr="001C651B">
        <w:rPr>
          <w:noProof/>
        </w:rPr>
        <w:t xml:space="preserve"> z</w:t>
      </w:r>
      <w:r w:rsidR="001C651B">
        <w:rPr>
          <w:noProof/>
        </w:rPr>
        <w:t> </w:t>
      </w:r>
      <w:r w:rsidR="001C651B" w:rsidRPr="001C651B">
        <w:rPr>
          <w:noProof/>
        </w:rPr>
        <w:t>mię</w:t>
      </w:r>
      <w:r w:rsidR="00716EA9" w:rsidRPr="001C651B">
        <w:rPr>
          <w:noProof/>
        </w:rPr>
        <w:t>dzynarodowymi standardami sprawozdawczości finansowej (MSSF)</w:t>
      </w:r>
      <w:r w:rsidR="001C651B" w:rsidRPr="001C651B">
        <w:rPr>
          <w:noProof/>
        </w:rPr>
        <w:t xml:space="preserve"> i</w:t>
      </w:r>
      <w:r w:rsidR="001C651B">
        <w:rPr>
          <w:noProof/>
        </w:rPr>
        <w:t> </w:t>
      </w:r>
      <w:r w:rsidR="001C651B" w:rsidRPr="001C651B">
        <w:rPr>
          <w:noProof/>
        </w:rPr>
        <w:t>ogó</w:t>
      </w:r>
      <w:r w:rsidR="00716EA9" w:rsidRPr="001C651B">
        <w:rPr>
          <w:noProof/>
        </w:rPr>
        <w:t>lnie przyjętymi zasadami rachunkowości (GAAP), informacji na temat strat</w:t>
      </w:r>
      <w:r w:rsidR="001C651B" w:rsidRPr="001C651B">
        <w:rPr>
          <w:noProof/>
        </w:rPr>
        <w:t xml:space="preserve"> z</w:t>
      </w:r>
      <w:r w:rsidR="001C651B">
        <w:rPr>
          <w:noProof/>
        </w:rPr>
        <w:t> </w:t>
      </w:r>
      <w:r w:rsidR="001C651B" w:rsidRPr="001C651B">
        <w:rPr>
          <w:noProof/>
        </w:rPr>
        <w:t>tyt</w:t>
      </w:r>
      <w:r w:rsidR="00716EA9" w:rsidRPr="001C651B">
        <w:rPr>
          <w:noProof/>
        </w:rPr>
        <w:t>ułu udzielonych kredytów zabezpieczonych nieruchomościami, informacji na temat dużych ekspozycji, informacji na temat wskaźnika dźwigni, informacji na temat stabilnego finansowania, informacji na temat dodatkowych wskaźników monitorowania płynności, informacji na temat obciążenia aktywów, informacji do celów identyfikowania globalnych instytucji</w:t>
      </w:r>
      <w:r w:rsidR="001C651B" w:rsidRPr="001C651B">
        <w:rPr>
          <w:noProof/>
        </w:rPr>
        <w:t xml:space="preserve"> o</w:t>
      </w:r>
      <w:r w:rsidR="001C651B">
        <w:rPr>
          <w:noProof/>
        </w:rPr>
        <w:t> </w:t>
      </w:r>
      <w:r w:rsidR="001C651B" w:rsidRPr="001C651B">
        <w:rPr>
          <w:noProof/>
        </w:rPr>
        <w:t>zna</w:t>
      </w:r>
      <w:r w:rsidR="00716EA9" w:rsidRPr="001C651B">
        <w:rPr>
          <w:noProof/>
        </w:rPr>
        <w:t>czeniu systemowym (G-SII)</w:t>
      </w:r>
      <w:r w:rsidR="001C651B" w:rsidRPr="001C651B">
        <w:rPr>
          <w:noProof/>
        </w:rPr>
        <w:t xml:space="preserve"> i</w:t>
      </w:r>
      <w:r w:rsidR="001C651B">
        <w:rPr>
          <w:noProof/>
        </w:rPr>
        <w:t> </w:t>
      </w:r>
      <w:r w:rsidR="001C651B" w:rsidRPr="001C651B">
        <w:rPr>
          <w:noProof/>
        </w:rPr>
        <w:t>prz</w:t>
      </w:r>
      <w:r w:rsidR="00716EA9" w:rsidRPr="001C651B">
        <w:rPr>
          <w:noProof/>
        </w:rPr>
        <w:t>ypisywania wskaźników bufora G-SII oraz informacji na temat ryzyka stopy procentowej</w:t>
      </w:r>
      <w:r w:rsidR="001C651B" w:rsidRPr="001C651B">
        <w:rPr>
          <w:noProof/>
        </w:rPr>
        <w:t xml:space="preserve"> w</w:t>
      </w:r>
      <w:r w:rsidR="001C651B">
        <w:rPr>
          <w:noProof/>
        </w:rPr>
        <w:t> </w:t>
      </w:r>
      <w:r w:rsidR="001C651B" w:rsidRPr="001C651B">
        <w:rPr>
          <w:noProof/>
        </w:rPr>
        <w:t>por</w:t>
      </w:r>
      <w:r w:rsidR="00716EA9" w:rsidRPr="001C651B">
        <w:rPr>
          <w:noProof/>
        </w:rPr>
        <w:t>tfelu bankowym. Rozporządzenie wykonawcze (UE) 2021/451 było wielokrotnie zmieniane</w:t>
      </w:r>
      <w:r w:rsidR="001C651B" w:rsidRPr="001C651B">
        <w:rPr>
          <w:noProof/>
        </w:rPr>
        <w:t xml:space="preserve"> w</w:t>
      </w:r>
      <w:r w:rsidR="001C651B">
        <w:rPr>
          <w:noProof/>
        </w:rPr>
        <w:t> </w:t>
      </w:r>
      <w:r w:rsidR="001C651B" w:rsidRPr="001C651B">
        <w:rPr>
          <w:noProof/>
        </w:rPr>
        <w:t>nas</w:t>
      </w:r>
      <w:r w:rsidR="00716EA9" w:rsidRPr="001C651B">
        <w:rPr>
          <w:noProof/>
        </w:rPr>
        <w:t>tępstwie zmian rozporządzenia (UE) nr</w:t>
      </w:r>
      <w:r w:rsidR="001C651B" w:rsidRPr="001C651B">
        <w:rPr>
          <w:noProof/>
        </w:rPr>
        <w:t> </w:t>
      </w:r>
      <w:r w:rsidR="00716EA9" w:rsidRPr="001C651B">
        <w:rPr>
          <w:noProof/>
        </w:rPr>
        <w:t>575/2013 przyjętych</w:t>
      </w:r>
      <w:r w:rsidR="001C651B" w:rsidRPr="001C651B">
        <w:rPr>
          <w:noProof/>
        </w:rPr>
        <w:t xml:space="preserve"> w</w:t>
      </w:r>
      <w:r w:rsidR="001C651B">
        <w:rPr>
          <w:noProof/>
        </w:rPr>
        <w:t> </w:t>
      </w:r>
      <w:r w:rsidR="001C651B" w:rsidRPr="001C651B">
        <w:rPr>
          <w:noProof/>
        </w:rPr>
        <w:t>cel</w:t>
      </w:r>
      <w:r w:rsidR="00716EA9" w:rsidRPr="001C651B">
        <w:rPr>
          <w:noProof/>
        </w:rPr>
        <w:t>u wprowadzenia, doprecyzowania lub dostosowania elementów ostrożnościowych.</w:t>
      </w:r>
    </w:p>
    <w:p w:rsidR="00716EA9" w:rsidRPr="001C651B" w:rsidRDefault="003040A6" w:rsidP="003040A6">
      <w:pPr>
        <w:pStyle w:val="ManualConsidrant"/>
        <w:rPr>
          <w:noProof/>
          <w:szCs w:val="24"/>
        </w:rPr>
      </w:pPr>
      <w:r w:rsidRPr="003040A6">
        <w:rPr>
          <w:noProof/>
        </w:rPr>
        <w:t>(2)</w:t>
      </w:r>
      <w:r w:rsidRPr="003040A6">
        <w:rPr>
          <w:noProof/>
        </w:rPr>
        <w:tab/>
      </w:r>
      <w:r w:rsidR="00716EA9" w:rsidRPr="001C651B">
        <w:rPr>
          <w:noProof/>
        </w:rPr>
        <w:t>Rozporządzenie (UE) nr</w:t>
      </w:r>
      <w:r w:rsidR="001C651B" w:rsidRPr="001C651B">
        <w:rPr>
          <w:noProof/>
        </w:rPr>
        <w:t> </w:t>
      </w:r>
      <w:r w:rsidR="00716EA9" w:rsidRPr="001C651B">
        <w:rPr>
          <w:noProof/>
        </w:rPr>
        <w:t>575/2013 zostało zmienione rozporządzeniem Parlamentu Europejskiego</w:t>
      </w:r>
      <w:r w:rsidR="001C651B" w:rsidRPr="001C651B">
        <w:rPr>
          <w:noProof/>
        </w:rPr>
        <w:t xml:space="preserve"> i</w:t>
      </w:r>
      <w:r w:rsidR="001C651B">
        <w:rPr>
          <w:noProof/>
        </w:rPr>
        <w:t> </w:t>
      </w:r>
      <w:r w:rsidR="001C651B" w:rsidRPr="001C651B">
        <w:rPr>
          <w:noProof/>
        </w:rPr>
        <w:t>Rad</w:t>
      </w:r>
      <w:r w:rsidR="00716EA9" w:rsidRPr="001C651B">
        <w:rPr>
          <w:noProof/>
        </w:rPr>
        <w:t>y (UE) 2024/1623</w:t>
      </w:r>
      <w:r w:rsidR="00716EA9" w:rsidRPr="001C651B">
        <w:rPr>
          <w:rStyle w:val="FootnoteReference"/>
          <w:noProof/>
          <w:szCs w:val="24"/>
        </w:rPr>
        <w:footnoteReference w:id="4"/>
      </w:r>
      <w:r w:rsidR="001C651B" w:rsidRPr="001C651B">
        <w:rPr>
          <w:noProof/>
        </w:rPr>
        <w:t xml:space="preserve"> w</w:t>
      </w:r>
      <w:r w:rsidR="001C651B">
        <w:rPr>
          <w:noProof/>
        </w:rPr>
        <w:t> </w:t>
      </w:r>
      <w:r w:rsidR="001C651B" w:rsidRPr="001C651B">
        <w:rPr>
          <w:noProof/>
        </w:rPr>
        <w:t>cel</w:t>
      </w:r>
      <w:r w:rsidR="00716EA9" w:rsidRPr="001C651B">
        <w:rPr>
          <w:noProof/>
        </w:rPr>
        <w:t>u wdrożenia ostatecznego zestawu międzynarodowych standardów Bazylejskiego Komitetu Nadzoru Bankowego (Bazylea III). Zmiany te powinny znaleźć odzwierciedlenie</w:t>
      </w:r>
      <w:r w:rsidR="001C651B" w:rsidRPr="001C651B">
        <w:rPr>
          <w:noProof/>
        </w:rPr>
        <w:t xml:space="preserve"> w</w:t>
      </w:r>
      <w:r w:rsidR="001C651B">
        <w:rPr>
          <w:noProof/>
        </w:rPr>
        <w:t> </w:t>
      </w:r>
      <w:r w:rsidR="001C651B" w:rsidRPr="001C651B">
        <w:rPr>
          <w:noProof/>
        </w:rPr>
        <w:t>ram</w:t>
      </w:r>
      <w:r w:rsidR="00716EA9" w:rsidRPr="001C651B">
        <w:rPr>
          <w:noProof/>
        </w:rPr>
        <w:t>ach sprawozdawczości, które są obecnie określone</w:t>
      </w:r>
      <w:r w:rsidR="001C651B" w:rsidRPr="001C651B">
        <w:rPr>
          <w:noProof/>
        </w:rPr>
        <w:t xml:space="preserve"> w</w:t>
      </w:r>
      <w:r w:rsidR="001C651B">
        <w:rPr>
          <w:noProof/>
        </w:rPr>
        <w:t> </w:t>
      </w:r>
      <w:r w:rsidR="001C651B" w:rsidRPr="001C651B">
        <w:rPr>
          <w:noProof/>
        </w:rPr>
        <w:t>roz</w:t>
      </w:r>
      <w:r w:rsidR="00716EA9" w:rsidRPr="001C651B">
        <w:rPr>
          <w:noProof/>
        </w:rPr>
        <w:t>porządzeniu wykonawczym (UE) 2021/451.</w:t>
      </w:r>
    </w:p>
    <w:p w:rsidR="00F470F0" w:rsidRPr="001C651B" w:rsidRDefault="003040A6" w:rsidP="003040A6">
      <w:pPr>
        <w:pStyle w:val="ManualConsidrant"/>
        <w:rPr>
          <w:noProof/>
          <w:szCs w:val="24"/>
        </w:rPr>
      </w:pPr>
      <w:r w:rsidRPr="003040A6">
        <w:rPr>
          <w:noProof/>
        </w:rPr>
        <w:t>(3)</w:t>
      </w:r>
      <w:r w:rsidRPr="003040A6">
        <w:rPr>
          <w:noProof/>
        </w:rPr>
        <w:tab/>
      </w:r>
      <w:r w:rsidR="00716EA9" w:rsidRPr="001C651B">
        <w:rPr>
          <w:noProof/>
        </w:rPr>
        <w:t>Ze względu na zmiany</w:t>
      </w:r>
      <w:r w:rsidR="001C651B" w:rsidRPr="001C651B">
        <w:rPr>
          <w:noProof/>
        </w:rPr>
        <w:t xml:space="preserve"> w</w:t>
      </w:r>
      <w:r w:rsidR="001C651B">
        <w:rPr>
          <w:noProof/>
        </w:rPr>
        <w:t> </w:t>
      </w:r>
      <w:r w:rsidR="001C651B" w:rsidRPr="001C651B">
        <w:rPr>
          <w:noProof/>
        </w:rPr>
        <w:t>roz</w:t>
      </w:r>
      <w:r w:rsidR="00716EA9" w:rsidRPr="001C651B">
        <w:rPr>
          <w:noProof/>
        </w:rPr>
        <w:t>porządzeniu (UE) nr</w:t>
      </w:r>
      <w:r w:rsidR="001C651B" w:rsidRPr="001C651B">
        <w:rPr>
          <w:noProof/>
        </w:rPr>
        <w:t> </w:t>
      </w:r>
      <w:r w:rsidR="00716EA9" w:rsidRPr="001C651B">
        <w:rPr>
          <w:noProof/>
        </w:rPr>
        <w:t>575/2013 konieczna jest zmiana wymogów dotyczących sprawozdawczości</w:t>
      </w:r>
      <w:r w:rsidR="001C651B" w:rsidRPr="001C651B">
        <w:rPr>
          <w:noProof/>
        </w:rPr>
        <w:t xml:space="preserve"> w</w:t>
      </w:r>
      <w:r w:rsidR="001C651B">
        <w:rPr>
          <w:noProof/>
        </w:rPr>
        <w:t> </w:t>
      </w:r>
      <w:r w:rsidR="001C651B" w:rsidRPr="001C651B">
        <w:rPr>
          <w:noProof/>
        </w:rPr>
        <w:t>zak</w:t>
      </w:r>
      <w:r w:rsidR="00716EA9" w:rsidRPr="001C651B">
        <w:rPr>
          <w:noProof/>
        </w:rPr>
        <w:t>resie funduszy własnych</w:t>
      </w:r>
      <w:r w:rsidR="001C651B" w:rsidRPr="001C651B">
        <w:rPr>
          <w:noProof/>
        </w:rPr>
        <w:t xml:space="preserve"> i</w:t>
      </w:r>
      <w:r w:rsidR="001C651B">
        <w:rPr>
          <w:noProof/>
        </w:rPr>
        <w:t> </w:t>
      </w:r>
      <w:r w:rsidR="001C651B" w:rsidRPr="001C651B">
        <w:rPr>
          <w:noProof/>
        </w:rPr>
        <w:t>wym</w:t>
      </w:r>
      <w:r w:rsidR="00716EA9" w:rsidRPr="001C651B">
        <w:rPr>
          <w:noProof/>
        </w:rPr>
        <w:t>ogów</w:t>
      </w:r>
      <w:r w:rsidR="001C651B" w:rsidRPr="001C651B">
        <w:rPr>
          <w:noProof/>
        </w:rPr>
        <w:t xml:space="preserve"> w</w:t>
      </w:r>
      <w:r w:rsidR="001C651B">
        <w:rPr>
          <w:noProof/>
        </w:rPr>
        <w:t> </w:t>
      </w:r>
      <w:r w:rsidR="001C651B" w:rsidRPr="001C651B">
        <w:rPr>
          <w:noProof/>
        </w:rPr>
        <w:t>zak</w:t>
      </w:r>
      <w:r w:rsidR="00716EA9" w:rsidRPr="001C651B">
        <w:rPr>
          <w:noProof/>
        </w:rPr>
        <w:t>resie funduszy własnych (minimalny próg kapitałowy, ryzyko kredytowe</w:t>
      </w:r>
      <w:r w:rsidR="001C651B" w:rsidRPr="001C651B">
        <w:rPr>
          <w:noProof/>
        </w:rPr>
        <w:t xml:space="preserve"> i</w:t>
      </w:r>
      <w:r w:rsidR="001C651B">
        <w:rPr>
          <w:noProof/>
        </w:rPr>
        <w:t> </w:t>
      </w:r>
      <w:r w:rsidR="001C651B" w:rsidRPr="001C651B">
        <w:rPr>
          <w:noProof/>
        </w:rPr>
        <w:t>ryz</w:t>
      </w:r>
      <w:r w:rsidR="00716EA9" w:rsidRPr="001C651B">
        <w:rPr>
          <w:noProof/>
        </w:rPr>
        <w:t>yko kredytowe kontrahenta, korekty wyceny kredytowej, ryzyko rynkowe, ryzyko operacyjne, pokrycie strat</w:t>
      </w:r>
      <w:r w:rsidR="001C651B" w:rsidRPr="001C651B">
        <w:rPr>
          <w:noProof/>
        </w:rPr>
        <w:t xml:space="preserve"> z</w:t>
      </w:r>
      <w:r w:rsidR="001C651B">
        <w:rPr>
          <w:noProof/>
        </w:rPr>
        <w:t> </w:t>
      </w:r>
      <w:r w:rsidR="001C651B" w:rsidRPr="001C651B">
        <w:rPr>
          <w:noProof/>
        </w:rPr>
        <w:t>tyt</w:t>
      </w:r>
      <w:r w:rsidR="00716EA9" w:rsidRPr="001C651B">
        <w:rPr>
          <w:noProof/>
        </w:rPr>
        <w:t>ułu ekspozycji nieobsługiwanych oraz kryptoaktywa), wymogów dotyczących sprawozdawczości</w:t>
      </w:r>
      <w:r w:rsidR="001C651B" w:rsidRPr="001C651B">
        <w:rPr>
          <w:noProof/>
        </w:rPr>
        <w:t xml:space="preserve"> w</w:t>
      </w:r>
      <w:r w:rsidR="001C651B">
        <w:rPr>
          <w:noProof/>
        </w:rPr>
        <w:t> </w:t>
      </w:r>
      <w:r w:rsidR="001C651B" w:rsidRPr="001C651B">
        <w:rPr>
          <w:noProof/>
        </w:rPr>
        <w:t>zak</w:t>
      </w:r>
      <w:r w:rsidR="00716EA9" w:rsidRPr="001C651B">
        <w:rPr>
          <w:noProof/>
        </w:rPr>
        <w:t>resie strat</w:t>
      </w:r>
      <w:r w:rsidR="001C651B" w:rsidRPr="001C651B">
        <w:rPr>
          <w:noProof/>
        </w:rPr>
        <w:t xml:space="preserve"> z</w:t>
      </w:r>
      <w:r w:rsidR="001C651B">
        <w:rPr>
          <w:noProof/>
        </w:rPr>
        <w:t> </w:t>
      </w:r>
      <w:r w:rsidR="001C651B" w:rsidRPr="001C651B">
        <w:rPr>
          <w:noProof/>
        </w:rPr>
        <w:t>tyt</w:t>
      </w:r>
      <w:r w:rsidR="00716EA9" w:rsidRPr="001C651B">
        <w:rPr>
          <w:noProof/>
        </w:rPr>
        <w:t>ułu udzielonych kredytów zabezpieczonych nieruchomościami oraz wymogów dotyczących sprawozdawczości</w:t>
      </w:r>
      <w:r w:rsidR="001C651B" w:rsidRPr="001C651B">
        <w:rPr>
          <w:noProof/>
        </w:rPr>
        <w:t xml:space="preserve"> w</w:t>
      </w:r>
      <w:r w:rsidR="001C651B">
        <w:rPr>
          <w:noProof/>
        </w:rPr>
        <w:t> </w:t>
      </w:r>
      <w:r w:rsidR="001C651B" w:rsidRPr="001C651B">
        <w:rPr>
          <w:noProof/>
        </w:rPr>
        <w:t>zak</w:t>
      </w:r>
      <w:r w:rsidR="00716EA9" w:rsidRPr="001C651B">
        <w:rPr>
          <w:noProof/>
        </w:rPr>
        <w:t>resie wskaźnika dźwigni.</w:t>
      </w:r>
    </w:p>
    <w:p w:rsidR="00716EA9" w:rsidRPr="001C651B" w:rsidRDefault="003040A6" w:rsidP="003040A6">
      <w:pPr>
        <w:pStyle w:val="ManualConsidrant"/>
        <w:rPr>
          <w:noProof/>
          <w:szCs w:val="24"/>
        </w:rPr>
      </w:pPr>
      <w:r w:rsidRPr="003040A6">
        <w:rPr>
          <w:noProof/>
        </w:rPr>
        <w:t>(4)</w:t>
      </w:r>
      <w:r w:rsidRPr="003040A6">
        <w:rPr>
          <w:noProof/>
        </w:rPr>
        <w:tab/>
      </w:r>
      <w:r w:rsidR="00375AD2" w:rsidRPr="001C651B">
        <w:rPr>
          <w:noProof/>
        </w:rPr>
        <w:t>Z uwagi na dużą liczbę zmian, które są niezbędne, aby nadać skuteczność nowym przepisom dotyczącym obowiązków sprawozdawczych, właściwszym rozwiązaniem jest uchylenie</w:t>
      </w:r>
      <w:r w:rsidR="001C651B" w:rsidRPr="001C651B">
        <w:rPr>
          <w:noProof/>
        </w:rPr>
        <w:t xml:space="preserve"> i</w:t>
      </w:r>
      <w:r w:rsidR="001C651B">
        <w:rPr>
          <w:noProof/>
        </w:rPr>
        <w:t> </w:t>
      </w:r>
      <w:r w:rsidR="001C651B" w:rsidRPr="001C651B">
        <w:rPr>
          <w:noProof/>
        </w:rPr>
        <w:t>zas</w:t>
      </w:r>
      <w:r w:rsidR="00375AD2" w:rsidRPr="001C651B">
        <w:rPr>
          <w:noProof/>
        </w:rPr>
        <w:t>tąpienie rozporządzenia wykonawczego (UE) 2021/451, niż jedynie jego zmiana, ponieważ taka zmiana sprawiłaby, że zainteresowanym podmiotom gospodarczym byłoby bardzo trudno ustalić, które wymogi</w:t>
      </w:r>
      <w:r w:rsidR="001C651B" w:rsidRPr="001C651B">
        <w:rPr>
          <w:noProof/>
        </w:rPr>
        <w:t xml:space="preserve"> w</w:t>
      </w:r>
      <w:r w:rsidR="001C651B">
        <w:rPr>
          <w:noProof/>
        </w:rPr>
        <w:t> </w:t>
      </w:r>
      <w:r w:rsidR="001C651B" w:rsidRPr="001C651B">
        <w:rPr>
          <w:noProof/>
        </w:rPr>
        <w:t>zak</w:t>
      </w:r>
      <w:r w:rsidR="00375AD2" w:rsidRPr="001C651B">
        <w:rPr>
          <w:noProof/>
        </w:rPr>
        <w:t>resie sprawozdawczości mają do nich zastosowanie.</w:t>
      </w:r>
    </w:p>
    <w:p w:rsidR="00716EA9" w:rsidRPr="001C651B" w:rsidRDefault="003040A6" w:rsidP="003040A6">
      <w:pPr>
        <w:pStyle w:val="ManualConsidrant"/>
        <w:rPr>
          <w:noProof/>
          <w:szCs w:val="24"/>
        </w:rPr>
      </w:pPr>
      <w:r w:rsidRPr="003040A6">
        <w:rPr>
          <w:noProof/>
        </w:rPr>
        <w:t>(5)</w:t>
      </w:r>
      <w:r w:rsidRPr="003040A6">
        <w:rPr>
          <w:noProof/>
        </w:rPr>
        <w:tab/>
      </w:r>
      <w:r w:rsidR="00D311FE" w:rsidRPr="001C651B">
        <w:rPr>
          <w:noProof/>
        </w:rPr>
        <w:t>W nowych wzorach dotyczących adekwatności kapitałowej należy zawrzeć informacje sprawozdawcze na temat minimalnego progu kapitałowego</w:t>
      </w:r>
      <w:r w:rsidR="001C651B" w:rsidRPr="001C651B">
        <w:rPr>
          <w:noProof/>
        </w:rPr>
        <w:t xml:space="preserve"> w</w:t>
      </w:r>
      <w:r w:rsidR="001C651B">
        <w:rPr>
          <w:noProof/>
        </w:rPr>
        <w:t> </w:t>
      </w:r>
      <w:r w:rsidR="001C651B" w:rsidRPr="001C651B">
        <w:rPr>
          <w:noProof/>
        </w:rPr>
        <w:t>ram</w:t>
      </w:r>
      <w:r w:rsidR="00D311FE" w:rsidRPr="001C651B">
        <w:rPr>
          <w:noProof/>
        </w:rPr>
        <w:t>ach wymogów</w:t>
      </w:r>
      <w:r w:rsidR="001C651B" w:rsidRPr="001C651B">
        <w:rPr>
          <w:noProof/>
        </w:rPr>
        <w:t xml:space="preserve"> w</w:t>
      </w:r>
      <w:r w:rsidR="001C651B">
        <w:rPr>
          <w:noProof/>
        </w:rPr>
        <w:t> </w:t>
      </w:r>
      <w:r w:rsidR="001C651B" w:rsidRPr="001C651B">
        <w:rPr>
          <w:noProof/>
        </w:rPr>
        <w:t>zak</w:t>
      </w:r>
      <w:r w:rsidR="00D311FE" w:rsidRPr="001C651B">
        <w:rPr>
          <w:noProof/>
        </w:rPr>
        <w:t>resie funduszy własnych oraz współczynników kapitałowych,</w:t>
      </w:r>
      <w:r w:rsidR="001C651B" w:rsidRPr="001C651B">
        <w:rPr>
          <w:noProof/>
        </w:rPr>
        <w:t xml:space="preserve"> a</w:t>
      </w:r>
      <w:r w:rsidR="001C651B">
        <w:rPr>
          <w:noProof/>
        </w:rPr>
        <w:t> </w:t>
      </w:r>
      <w:r w:rsidR="001C651B" w:rsidRPr="001C651B">
        <w:rPr>
          <w:noProof/>
        </w:rPr>
        <w:t>w</w:t>
      </w:r>
      <w:r w:rsidR="001C651B">
        <w:rPr>
          <w:noProof/>
        </w:rPr>
        <w:t> </w:t>
      </w:r>
      <w:r w:rsidR="001C651B" w:rsidRPr="001C651B">
        <w:rPr>
          <w:noProof/>
        </w:rPr>
        <w:t>szc</w:t>
      </w:r>
      <w:r w:rsidR="00D311FE" w:rsidRPr="001C651B">
        <w:rPr>
          <w:noProof/>
        </w:rPr>
        <w:t>zególności informacje na temat wpływu przepisów przejściowych dotyczących minimalnego progu kapitałowego określonych</w:t>
      </w:r>
      <w:r w:rsidR="001C651B" w:rsidRPr="001C651B">
        <w:rPr>
          <w:noProof/>
        </w:rPr>
        <w:t xml:space="preserve"> w</w:t>
      </w:r>
      <w:r w:rsidR="001C651B">
        <w:rPr>
          <w:noProof/>
        </w:rPr>
        <w:t> </w:t>
      </w:r>
      <w:r w:rsidR="001C651B" w:rsidRPr="001C651B">
        <w:rPr>
          <w:noProof/>
        </w:rPr>
        <w:t>art</w:t>
      </w:r>
      <w:r w:rsidR="00D311FE" w:rsidRPr="001C651B">
        <w:rPr>
          <w:noProof/>
        </w:rPr>
        <w:t>.</w:t>
      </w:r>
      <w:r w:rsidR="001C651B" w:rsidRPr="001C651B">
        <w:rPr>
          <w:noProof/>
        </w:rPr>
        <w:t> </w:t>
      </w:r>
      <w:r w:rsidR="00D311FE" w:rsidRPr="001C651B">
        <w:rPr>
          <w:noProof/>
        </w:rPr>
        <w:t>465 rozporządzenia (UE) nr</w:t>
      </w:r>
      <w:r w:rsidR="001C651B" w:rsidRPr="001C651B">
        <w:rPr>
          <w:noProof/>
        </w:rPr>
        <w:t> </w:t>
      </w:r>
      <w:r w:rsidR="00D311FE" w:rsidRPr="001C651B">
        <w:rPr>
          <w:noProof/>
        </w:rPr>
        <w:t>575/2013. Dane sprawozdawcze powinny obejmować przekazywanie informacji na temat wpływu minimalnego progu kapitałowego oraz przepisów przejściowych określonych</w:t>
      </w:r>
      <w:r w:rsidR="001C651B" w:rsidRPr="001C651B">
        <w:rPr>
          <w:noProof/>
        </w:rPr>
        <w:t xml:space="preserve"> w</w:t>
      </w:r>
      <w:r w:rsidR="001C651B">
        <w:rPr>
          <w:noProof/>
        </w:rPr>
        <w:t> </w:t>
      </w:r>
      <w:r w:rsidR="001C651B" w:rsidRPr="001C651B">
        <w:rPr>
          <w:noProof/>
        </w:rPr>
        <w:t>art</w:t>
      </w:r>
      <w:r w:rsidR="00D311FE" w:rsidRPr="001C651B">
        <w:rPr>
          <w:noProof/>
        </w:rPr>
        <w:t>.</w:t>
      </w:r>
      <w:r w:rsidR="001C651B" w:rsidRPr="001C651B">
        <w:rPr>
          <w:noProof/>
        </w:rPr>
        <w:t> </w:t>
      </w:r>
      <w:r w:rsidR="00D311FE" w:rsidRPr="001C651B">
        <w:rPr>
          <w:noProof/>
        </w:rPr>
        <w:t>465 rozporządzenia (UE) nr</w:t>
      </w:r>
      <w:r w:rsidR="001C651B" w:rsidRPr="001C651B">
        <w:rPr>
          <w:noProof/>
        </w:rPr>
        <w:t> </w:t>
      </w:r>
      <w:r w:rsidR="00D311FE" w:rsidRPr="001C651B">
        <w:rPr>
          <w:noProof/>
        </w:rPr>
        <w:t>575/2013. We wzorach dotyczących wypłacalności grupy należy dodać nową kolumnę do celów przekazywania informacji na temat korekty</w:t>
      </w:r>
      <w:r w:rsidR="001C651B" w:rsidRPr="001C651B">
        <w:rPr>
          <w:noProof/>
        </w:rPr>
        <w:t xml:space="preserve"> z</w:t>
      </w:r>
      <w:r w:rsidR="001C651B">
        <w:rPr>
          <w:noProof/>
        </w:rPr>
        <w:t> </w:t>
      </w:r>
      <w:r w:rsidR="001C651B" w:rsidRPr="001C651B">
        <w:rPr>
          <w:noProof/>
        </w:rPr>
        <w:t>tyt</w:t>
      </w:r>
      <w:r w:rsidR="00D311FE" w:rsidRPr="001C651B">
        <w:rPr>
          <w:noProof/>
        </w:rPr>
        <w:t>ułu minimalnego progu kapitałowego dla podmiotów podlegających wymogom</w:t>
      </w:r>
      <w:r w:rsidR="001C651B" w:rsidRPr="001C651B">
        <w:rPr>
          <w:noProof/>
        </w:rPr>
        <w:t xml:space="preserve"> w</w:t>
      </w:r>
      <w:r w:rsidR="001C651B">
        <w:rPr>
          <w:noProof/>
        </w:rPr>
        <w:t> </w:t>
      </w:r>
      <w:r w:rsidR="001C651B" w:rsidRPr="001C651B">
        <w:rPr>
          <w:noProof/>
        </w:rPr>
        <w:t>zak</w:t>
      </w:r>
      <w:r w:rsidR="00D311FE" w:rsidRPr="001C651B">
        <w:rPr>
          <w:noProof/>
        </w:rPr>
        <w:t>resie funduszy własnych.</w:t>
      </w:r>
    </w:p>
    <w:p w:rsidR="00716EA9" w:rsidRPr="001C651B" w:rsidRDefault="003040A6" w:rsidP="003040A6">
      <w:pPr>
        <w:pStyle w:val="ManualConsidrant"/>
        <w:rPr>
          <w:noProof/>
          <w:szCs w:val="24"/>
        </w:rPr>
      </w:pPr>
      <w:r w:rsidRPr="003040A6">
        <w:rPr>
          <w:noProof/>
        </w:rPr>
        <w:t>(6)</w:t>
      </w:r>
      <w:r w:rsidRPr="003040A6">
        <w:rPr>
          <w:noProof/>
        </w:rPr>
        <w:tab/>
      </w:r>
      <w:r w:rsidR="00716EA9" w:rsidRPr="001C651B">
        <w:rPr>
          <w:noProof/>
        </w:rPr>
        <w:t>Wzory dotyczące ryzyka kredytowego według metody standardowej („SA”) powinny odzwierciedlać zmiany</w:t>
      </w:r>
      <w:r w:rsidR="001C651B" w:rsidRPr="001C651B">
        <w:rPr>
          <w:noProof/>
        </w:rPr>
        <w:t xml:space="preserve"> w</w:t>
      </w:r>
      <w:r w:rsidR="001C651B">
        <w:rPr>
          <w:noProof/>
        </w:rPr>
        <w:t> </w:t>
      </w:r>
      <w:r w:rsidR="001C651B" w:rsidRPr="001C651B">
        <w:rPr>
          <w:noProof/>
        </w:rPr>
        <w:t>kla</w:t>
      </w:r>
      <w:r w:rsidR="00716EA9" w:rsidRPr="001C651B">
        <w:rPr>
          <w:noProof/>
        </w:rPr>
        <w:t>syfikacji kategorii ekspozycji</w:t>
      </w:r>
      <w:r w:rsidR="001C651B" w:rsidRPr="001C651B">
        <w:rPr>
          <w:noProof/>
        </w:rPr>
        <w:t xml:space="preserve"> i</w:t>
      </w:r>
      <w:r w:rsidR="001C651B">
        <w:rPr>
          <w:noProof/>
        </w:rPr>
        <w:t> </w:t>
      </w:r>
      <w:r w:rsidR="001C651B" w:rsidRPr="001C651B">
        <w:rPr>
          <w:noProof/>
        </w:rPr>
        <w:t>now</w:t>
      </w:r>
      <w:r w:rsidR="00716EA9" w:rsidRPr="001C651B">
        <w:rPr>
          <w:noProof/>
        </w:rPr>
        <w:t>e wagi ryzyka. Wzory te powinny ponadto odzwierciedlać bardziej szczegółowe podejście stosowane do ekspozycji zabezpieczonych hipotekami na nieruchomościach oraz pewne zmiany</w:t>
      </w:r>
      <w:r w:rsidR="001C651B" w:rsidRPr="001C651B">
        <w:rPr>
          <w:noProof/>
        </w:rPr>
        <w:t xml:space="preserve"> w</w:t>
      </w:r>
      <w:r w:rsidR="001C651B">
        <w:rPr>
          <w:noProof/>
        </w:rPr>
        <w:t> </w:t>
      </w:r>
      <w:r w:rsidR="001C651B" w:rsidRPr="001C651B">
        <w:rPr>
          <w:noProof/>
        </w:rPr>
        <w:t>obl</w:t>
      </w:r>
      <w:r w:rsidR="00716EA9" w:rsidRPr="001C651B">
        <w:rPr>
          <w:noProof/>
        </w:rPr>
        <w:t>iczaniu wartości ekspozycji</w:t>
      </w:r>
      <w:r w:rsidR="001C651B" w:rsidRPr="001C651B">
        <w:rPr>
          <w:noProof/>
        </w:rPr>
        <w:t xml:space="preserve"> z</w:t>
      </w:r>
      <w:r w:rsidR="001C651B">
        <w:rPr>
          <w:noProof/>
        </w:rPr>
        <w:t> </w:t>
      </w:r>
      <w:r w:rsidR="001C651B" w:rsidRPr="001C651B">
        <w:rPr>
          <w:noProof/>
        </w:rPr>
        <w:t>tyt</w:t>
      </w:r>
      <w:r w:rsidR="00716EA9" w:rsidRPr="001C651B">
        <w:rPr>
          <w:noProof/>
        </w:rPr>
        <w:t>ułu pozycji pozabilansowych, które to podejście</w:t>
      </w:r>
      <w:r w:rsidR="001C651B" w:rsidRPr="001C651B">
        <w:rPr>
          <w:noProof/>
        </w:rPr>
        <w:t xml:space="preserve"> i</w:t>
      </w:r>
      <w:r w:rsidR="001C651B">
        <w:rPr>
          <w:noProof/>
        </w:rPr>
        <w:t> </w:t>
      </w:r>
      <w:r w:rsidR="001C651B" w:rsidRPr="001C651B">
        <w:rPr>
          <w:noProof/>
        </w:rPr>
        <w:t>zmi</w:t>
      </w:r>
      <w:r w:rsidR="00716EA9" w:rsidRPr="001C651B">
        <w:rPr>
          <w:noProof/>
        </w:rPr>
        <w:t>any wprowadzono do rozporządzenia (UE) nr</w:t>
      </w:r>
      <w:r w:rsidR="001C651B" w:rsidRPr="001C651B">
        <w:rPr>
          <w:noProof/>
        </w:rPr>
        <w:t> </w:t>
      </w:r>
      <w:r w:rsidR="00716EA9" w:rsidRPr="001C651B">
        <w:rPr>
          <w:noProof/>
        </w:rPr>
        <w:t>575/2013 rozporządzeniem (UE) 2024/1623.</w:t>
      </w:r>
    </w:p>
    <w:p w:rsidR="00716EA9" w:rsidRPr="001C651B" w:rsidRDefault="003040A6" w:rsidP="003040A6">
      <w:pPr>
        <w:pStyle w:val="ManualConsidrant"/>
        <w:rPr>
          <w:noProof/>
          <w:szCs w:val="24"/>
        </w:rPr>
      </w:pPr>
      <w:r w:rsidRPr="003040A6">
        <w:rPr>
          <w:noProof/>
        </w:rPr>
        <w:t>(7)</w:t>
      </w:r>
      <w:r w:rsidRPr="003040A6">
        <w:rPr>
          <w:noProof/>
        </w:rPr>
        <w:tab/>
      </w:r>
      <w:r w:rsidR="00716EA9" w:rsidRPr="001C651B">
        <w:rPr>
          <w:noProof/>
        </w:rPr>
        <w:t>Wzory dotyczące ryzyka kredytowego według metody IRB powinny odzwierciedlać zmiany</w:t>
      </w:r>
      <w:r w:rsidR="001C651B" w:rsidRPr="001C651B">
        <w:rPr>
          <w:noProof/>
        </w:rPr>
        <w:t xml:space="preserve"> w</w:t>
      </w:r>
      <w:r w:rsidR="001C651B">
        <w:rPr>
          <w:noProof/>
        </w:rPr>
        <w:t> </w:t>
      </w:r>
      <w:r w:rsidR="001C651B" w:rsidRPr="001C651B">
        <w:rPr>
          <w:noProof/>
        </w:rPr>
        <w:t>kla</w:t>
      </w:r>
      <w:r w:rsidR="00716EA9" w:rsidRPr="001C651B">
        <w:rPr>
          <w:noProof/>
        </w:rPr>
        <w:t>syfikacji kategorii ekspozycji, co ma prowadzić do ograniczenia możliwości traktowania ekspozycji wobec instytucji</w:t>
      </w:r>
      <w:r w:rsidR="001C651B" w:rsidRPr="001C651B">
        <w:rPr>
          <w:noProof/>
        </w:rPr>
        <w:t xml:space="preserve"> i</w:t>
      </w:r>
      <w:r w:rsidR="001C651B">
        <w:rPr>
          <w:noProof/>
        </w:rPr>
        <w:t> </w:t>
      </w:r>
      <w:r w:rsidR="001C651B" w:rsidRPr="001C651B">
        <w:rPr>
          <w:noProof/>
        </w:rPr>
        <w:t>duż</w:t>
      </w:r>
      <w:r w:rsidR="00716EA9" w:rsidRPr="001C651B">
        <w:rPr>
          <w:noProof/>
        </w:rPr>
        <w:t>ych przedsiębiorstw</w:t>
      </w:r>
      <w:r w:rsidR="001C651B" w:rsidRPr="001C651B">
        <w:rPr>
          <w:noProof/>
        </w:rPr>
        <w:t xml:space="preserve"> z</w:t>
      </w:r>
      <w:r w:rsidR="001C651B">
        <w:rPr>
          <w:noProof/>
        </w:rPr>
        <w:t> </w:t>
      </w:r>
      <w:r w:rsidR="001C651B" w:rsidRPr="001C651B">
        <w:rPr>
          <w:noProof/>
        </w:rPr>
        <w:t>zas</w:t>
      </w:r>
      <w:r w:rsidR="00716EA9" w:rsidRPr="001C651B">
        <w:rPr>
          <w:noProof/>
        </w:rPr>
        <w:t>tosowaniem podstawowej metody IRB („FIRB”), oraz powinny umożliwiać przekazywanie informacji na temat nowych kategorii ekspozycji,</w:t>
      </w:r>
      <w:r w:rsidR="001C651B" w:rsidRPr="001C651B">
        <w:rPr>
          <w:noProof/>
        </w:rPr>
        <w:t xml:space="preserve"> w</w:t>
      </w:r>
      <w:r w:rsidR="001C651B">
        <w:rPr>
          <w:noProof/>
        </w:rPr>
        <w:t> </w:t>
      </w:r>
      <w:r w:rsidR="001C651B" w:rsidRPr="001C651B">
        <w:rPr>
          <w:noProof/>
        </w:rPr>
        <w:t>tym</w:t>
      </w:r>
      <w:r w:rsidR="00716EA9" w:rsidRPr="001C651B">
        <w:rPr>
          <w:noProof/>
        </w:rPr>
        <w:t xml:space="preserve"> ekspozycji wobec podmiotów sektora publicznego oraz ekspozycji wobec samorządów regionalnych lub władz lokalnych. Ponadto</w:t>
      </w:r>
      <w:r w:rsidR="001C651B" w:rsidRPr="001C651B">
        <w:rPr>
          <w:noProof/>
        </w:rPr>
        <w:t xml:space="preserve"> w</w:t>
      </w:r>
      <w:r w:rsidR="001C651B">
        <w:rPr>
          <w:noProof/>
        </w:rPr>
        <w:t> </w:t>
      </w:r>
      <w:r w:rsidR="001C651B" w:rsidRPr="001C651B">
        <w:rPr>
          <w:noProof/>
        </w:rPr>
        <w:t>tyc</w:t>
      </w:r>
      <w:r w:rsidR="00716EA9" w:rsidRPr="001C651B">
        <w:rPr>
          <w:noProof/>
        </w:rPr>
        <w:t>h nowych wzorach należy przewidzieć zgłaszanie zarówno standardowych, jak</w:t>
      </w:r>
      <w:r w:rsidR="001C651B" w:rsidRPr="001C651B">
        <w:rPr>
          <w:noProof/>
        </w:rPr>
        <w:t xml:space="preserve"> i</w:t>
      </w:r>
      <w:r w:rsidR="001C651B">
        <w:rPr>
          <w:noProof/>
        </w:rPr>
        <w:t> </w:t>
      </w:r>
      <w:r w:rsidR="001C651B" w:rsidRPr="001C651B">
        <w:rPr>
          <w:noProof/>
        </w:rPr>
        <w:t>obl</w:t>
      </w:r>
      <w:r w:rsidR="00716EA9" w:rsidRPr="001C651B">
        <w:rPr>
          <w:noProof/>
        </w:rPr>
        <w:t>iczonych we własnym zakresie współczynników konwersji kredytowej.</w:t>
      </w:r>
    </w:p>
    <w:p w:rsidR="00716EA9" w:rsidRPr="001C651B" w:rsidRDefault="003040A6" w:rsidP="003040A6">
      <w:pPr>
        <w:pStyle w:val="ManualConsidrant"/>
        <w:rPr>
          <w:noProof/>
          <w:szCs w:val="24"/>
        </w:rPr>
      </w:pPr>
      <w:r w:rsidRPr="003040A6">
        <w:rPr>
          <w:noProof/>
        </w:rPr>
        <w:t>(8)</w:t>
      </w:r>
      <w:r w:rsidRPr="003040A6">
        <w:rPr>
          <w:noProof/>
        </w:rPr>
        <w:tab/>
      </w:r>
      <w:r w:rsidR="00716EA9" w:rsidRPr="001C651B">
        <w:rPr>
          <w:noProof/>
        </w:rPr>
        <w:t>Nowe wzory do celów przekazywania informacji na temat pokrywania strat</w:t>
      </w:r>
      <w:r w:rsidR="001C651B" w:rsidRPr="001C651B">
        <w:rPr>
          <w:noProof/>
        </w:rPr>
        <w:t xml:space="preserve"> z</w:t>
      </w:r>
      <w:r w:rsidR="001C651B">
        <w:rPr>
          <w:noProof/>
        </w:rPr>
        <w:t> </w:t>
      </w:r>
      <w:r w:rsidR="001C651B" w:rsidRPr="001C651B">
        <w:rPr>
          <w:noProof/>
        </w:rPr>
        <w:t>tyt</w:t>
      </w:r>
      <w:r w:rsidR="00716EA9" w:rsidRPr="001C651B">
        <w:rPr>
          <w:noProof/>
        </w:rPr>
        <w:t>ułu ekspozycji nieobsługiwanych powinny odzwierciedlać zmiany zakresu ekspozycji, które podlegają wymogom pokrycia strat, oraz zmiany</w:t>
      </w:r>
      <w:r w:rsidR="001C651B" w:rsidRPr="001C651B">
        <w:rPr>
          <w:noProof/>
        </w:rPr>
        <w:t xml:space="preserve"> w</w:t>
      </w:r>
      <w:r w:rsidR="001C651B">
        <w:rPr>
          <w:noProof/>
        </w:rPr>
        <w:t> </w:t>
      </w:r>
      <w:r w:rsidR="001C651B" w:rsidRPr="001C651B">
        <w:rPr>
          <w:noProof/>
        </w:rPr>
        <w:t>har</w:t>
      </w:r>
      <w:r w:rsidR="00716EA9" w:rsidRPr="001C651B">
        <w:rPr>
          <w:noProof/>
        </w:rPr>
        <w:t>monogramie tworzenia rezerw.</w:t>
      </w:r>
    </w:p>
    <w:p w:rsidR="00716EA9" w:rsidRPr="001C651B" w:rsidRDefault="003040A6" w:rsidP="003040A6">
      <w:pPr>
        <w:pStyle w:val="ManualConsidrant"/>
        <w:rPr>
          <w:noProof/>
          <w:szCs w:val="24"/>
        </w:rPr>
      </w:pPr>
      <w:r w:rsidRPr="003040A6">
        <w:rPr>
          <w:noProof/>
        </w:rPr>
        <w:t>(9)</w:t>
      </w:r>
      <w:r w:rsidRPr="003040A6">
        <w:rPr>
          <w:noProof/>
        </w:rPr>
        <w:tab/>
      </w:r>
      <w:r w:rsidR="0033133E" w:rsidRPr="001C651B">
        <w:rPr>
          <w:noProof/>
        </w:rPr>
        <w:t>Nowy wzór sprawozdawczy powinien umożliwiać przekazywanie informacji na temat ekspozycji</w:t>
      </w:r>
      <w:r w:rsidR="001C651B" w:rsidRPr="001C651B">
        <w:rPr>
          <w:noProof/>
        </w:rPr>
        <w:t xml:space="preserve"> z</w:t>
      </w:r>
      <w:r w:rsidR="001C651B">
        <w:rPr>
          <w:noProof/>
        </w:rPr>
        <w:t> </w:t>
      </w:r>
      <w:r w:rsidR="001C651B" w:rsidRPr="001C651B">
        <w:rPr>
          <w:noProof/>
        </w:rPr>
        <w:t>tyt</w:t>
      </w:r>
      <w:r w:rsidR="0033133E" w:rsidRPr="001C651B">
        <w:rPr>
          <w:noProof/>
        </w:rPr>
        <w:t>ułu kryptoaktywów</w:t>
      </w:r>
      <w:r w:rsidR="001C651B" w:rsidRPr="001C651B">
        <w:rPr>
          <w:noProof/>
        </w:rPr>
        <w:t xml:space="preserve"> w</w:t>
      </w:r>
      <w:r w:rsidR="001C651B">
        <w:rPr>
          <w:noProof/>
        </w:rPr>
        <w:t> </w:t>
      </w:r>
      <w:r w:rsidR="001C651B" w:rsidRPr="001C651B">
        <w:rPr>
          <w:noProof/>
        </w:rPr>
        <w:t>cel</w:t>
      </w:r>
      <w:r w:rsidR="0033133E" w:rsidRPr="001C651B">
        <w:rPr>
          <w:noProof/>
        </w:rPr>
        <w:t>u odzwierciedlenia łącznych kwot ekspozycji na ryzyko</w:t>
      </w:r>
      <w:r w:rsidR="001C651B" w:rsidRPr="001C651B">
        <w:rPr>
          <w:noProof/>
        </w:rPr>
        <w:t xml:space="preserve"> w</w:t>
      </w:r>
      <w:r w:rsidR="001C651B">
        <w:rPr>
          <w:noProof/>
        </w:rPr>
        <w:t> </w:t>
      </w:r>
      <w:r w:rsidR="001C651B" w:rsidRPr="001C651B">
        <w:rPr>
          <w:noProof/>
        </w:rPr>
        <w:t>odn</w:t>
      </w:r>
      <w:r w:rsidR="0033133E" w:rsidRPr="001C651B">
        <w:rPr>
          <w:noProof/>
        </w:rPr>
        <w:t>iesieniu do tych ekspozycji.</w:t>
      </w:r>
    </w:p>
    <w:p w:rsidR="00716EA9" w:rsidRPr="001C651B" w:rsidRDefault="003040A6" w:rsidP="003040A6">
      <w:pPr>
        <w:pStyle w:val="ManualConsidrant"/>
        <w:rPr>
          <w:noProof/>
          <w:szCs w:val="24"/>
        </w:rPr>
      </w:pPr>
      <w:r w:rsidRPr="003040A6">
        <w:rPr>
          <w:noProof/>
        </w:rPr>
        <w:t>(10)</w:t>
      </w:r>
      <w:r w:rsidRPr="003040A6">
        <w:rPr>
          <w:noProof/>
        </w:rPr>
        <w:tab/>
      </w:r>
      <w:r w:rsidR="00716EA9" w:rsidRPr="001C651B">
        <w:rPr>
          <w:noProof/>
        </w:rPr>
        <w:t>Zgłaszanie zagregowanych danych dotyczących każdego krajowego rynku nieruchomości („straty związane</w:t>
      </w:r>
      <w:r w:rsidR="001C651B" w:rsidRPr="001C651B">
        <w:rPr>
          <w:noProof/>
        </w:rPr>
        <w:t xml:space="preserve"> z</w:t>
      </w:r>
      <w:r w:rsidR="001C651B">
        <w:rPr>
          <w:noProof/>
        </w:rPr>
        <w:t> </w:t>
      </w:r>
      <w:r w:rsidR="001C651B" w:rsidRPr="001C651B">
        <w:rPr>
          <w:noProof/>
        </w:rPr>
        <w:t>nie</w:t>
      </w:r>
      <w:r w:rsidR="00716EA9" w:rsidRPr="001C651B">
        <w:rPr>
          <w:noProof/>
        </w:rPr>
        <w:t>ruchomościami”) powinno odzwierciedlać nowe szczegółowe obowiązki sprawozdawcze określone</w:t>
      </w:r>
      <w:r w:rsidR="001C651B" w:rsidRPr="001C651B">
        <w:rPr>
          <w:noProof/>
        </w:rPr>
        <w:t xml:space="preserve"> w</w:t>
      </w:r>
      <w:r w:rsidR="001C651B">
        <w:rPr>
          <w:noProof/>
        </w:rPr>
        <w:t> </w:t>
      </w:r>
      <w:r w:rsidR="001C651B" w:rsidRPr="001C651B">
        <w:rPr>
          <w:noProof/>
        </w:rPr>
        <w:t>art</w:t>
      </w:r>
      <w:r w:rsidR="00716EA9" w:rsidRPr="001C651B">
        <w:rPr>
          <w:noProof/>
        </w:rPr>
        <w:t>.</w:t>
      </w:r>
      <w:r w:rsidR="001C651B" w:rsidRPr="001C651B">
        <w:rPr>
          <w:noProof/>
        </w:rPr>
        <w:t> </w:t>
      </w:r>
      <w:r w:rsidR="00716EA9" w:rsidRPr="001C651B">
        <w:rPr>
          <w:noProof/>
        </w:rPr>
        <w:t>430a ust.</w:t>
      </w:r>
      <w:r w:rsidR="001C651B" w:rsidRPr="001C651B">
        <w:rPr>
          <w:noProof/>
        </w:rPr>
        <w:t> </w:t>
      </w:r>
      <w:r w:rsidR="00716EA9" w:rsidRPr="001C651B">
        <w:rPr>
          <w:noProof/>
        </w:rPr>
        <w:t>1 rozporządzenia (UE) nr</w:t>
      </w:r>
      <w:r w:rsidR="001C651B" w:rsidRPr="001C651B">
        <w:rPr>
          <w:noProof/>
        </w:rPr>
        <w:t> </w:t>
      </w:r>
      <w:r w:rsidR="00716EA9" w:rsidRPr="001C651B">
        <w:rPr>
          <w:noProof/>
        </w:rPr>
        <w:t>575/2013.</w:t>
      </w:r>
    </w:p>
    <w:p w:rsidR="00716EA9" w:rsidRPr="001C651B" w:rsidRDefault="003040A6" w:rsidP="003040A6">
      <w:pPr>
        <w:pStyle w:val="ManualConsidrant"/>
        <w:rPr>
          <w:noProof/>
          <w:szCs w:val="24"/>
        </w:rPr>
      </w:pPr>
      <w:r w:rsidRPr="003040A6">
        <w:rPr>
          <w:noProof/>
        </w:rPr>
        <w:t>(11)</w:t>
      </w:r>
      <w:r w:rsidRPr="003040A6">
        <w:rPr>
          <w:noProof/>
        </w:rPr>
        <w:tab/>
      </w:r>
      <w:r w:rsidR="00716EA9" w:rsidRPr="001C651B">
        <w:rPr>
          <w:noProof/>
        </w:rPr>
        <w:t>Zgłaszanie korekt wyceny kredytowej („CVA”) powinno odzwierciedlać standardowe, podstawowe</w:t>
      </w:r>
      <w:r w:rsidR="001C651B" w:rsidRPr="001C651B">
        <w:rPr>
          <w:noProof/>
        </w:rPr>
        <w:t xml:space="preserve"> i</w:t>
      </w:r>
      <w:r w:rsidR="001C651B">
        <w:rPr>
          <w:noProof/>
        </w:rPr>
        <w:t> </w:t>
      </w:r>
      <w:r w:rsidR="001C651B" w:rsidRPr="001C651B">
        <w:rPr>
          <w:noProof/>
        </w:rPr>
        <w:t>upr</w:t>
      </w:r>
      <w:r w:rsidR="00716EA9" w:rsidRPr="001C651B">
        <w:rPr>
          <w:noProof/>
        </w:rPr>
        <w:t>oszczone metody oraz uwzględniać pewne szczegółowe wymogi dotyczące sprawozdawczości</w:t>
      </w:r>
      <w:r w:rsidR="001C651B" w:rsidRPr="001C651B">
        <w:rPr>
          <w:noProof/>
        </w:rPr>
        <w:t xml:space="preserve"> w</w:t>
      </w:r>
      <w:r w:rsidR="001C651B">
        <w:rPr>
          <w:noProof/>
        </w:rPr>
        <w:t> </w:t>
      </w:r>
      <w:r w:rsidR="001C651B" w:rsidRPr="001C651B">
        <w:rPr>
          <w:noProof/>
        </w:rPr>
        <w:t>zak</w:t>
      </w:r>
      <w:r w:rsidR="00716EA9" w:rsidRPr="001C651B">
        <w:rPr>
          <w:noProof/>
        </w:rPr>
        <w:t>resie ryzyka związanego z CVA, które wszystkie wprowadzono</w:t>
      </w:r>
      <w:r w:rsidR="001C651B" w:rsidRPr="001C651B">
        <w:rPr>
          <w:noProof/>
        </w:rPr>
        <w:t xml:space="preserve"> w</w:t>
      </w:r>
      <w:r w:rsidR="001C651B">
        <w:rPr>
          <w:noProof/>
        </w:rPr>
        <w:t> </w:t>
      </w:r>
      <w:r w:rsidR="001C651B" w:rsidRPr="001C651B">
        <w:rPr>
          <w:noProof/>
        </w:rPr>
        <w:t>tyt</w:t>
      </w:r>
      <w:r w:rsidR="00716EA9" w:rsidRPr="001C651B">
        <w:rPr>
          <w:noProof/>
        </w:rPr>
        <w:t>ule VI rozporządzenia (UE) nr</w:t>
      </w:r>
      <w:r w:rsidR="001C651B" w:rsidRPr="001C651B">
        <w:rPr>
          <w:noProof/>
        </w:rPr>
        <w:t> </w:t>
      </w:r>
      <w:r w:rsidR="00716EA9" w:rsidRPr="001C651B">
        <w:rPr>
          <w:noProof/>
        </w:rPr>
        <w:t>575/2013.</w:t>
      </w:r>
    </w:p>
    <w:p w:rsidR="00716EA9" w:rsidRPr="001C651B" w:rsidRDefault="003040A6" w:rsidP="003040A6">
      <w:pPr>
        <w:pStyle w:val="ManualConsidrant"/>
        <w:rPr>
          <w:noProof/>
          <w:szCs w:val="24"/>
        </w:rPr>
      </w:pPr>
      <w:r w:rsidRPr="003040A6">
        <w:rPr>
          <w:noProof/>
        </w:rPr>
        <w:t>(12)</w:t>
      </w:r>
      <w:r w:rsidRPr="003040A6">
        <w:rPr>
          <w:noProof/>
        </w:rPr>
        <w:tab/>
      </w:r>
      <w:r w:rsidR="00716EA9" w:rsidRPr="001C651B">
        <w:rPr>
          <w:noProof/>
        </w:rPr>
        <w:t>Rozporządzeniem (UE) 2024/1623 zmieniono ramy</w:t>
      </w:r>
      <w:r w:rsidR="001C651B" w:rsidRPr="001C651B">
        <w:rPr>
          <w:noProof/>
        </w:rPr>
        <w:t xml:space="preserve"> w</w:t>
      </w:r>
      <w:r w:rsidR="001C651B">
        <w:rPr>
          <w:noProof/>
        </w:rPr>
        <w:t> </w:t>
      </w:r>
      <w:r w:rsidR="001C651B" w:rsidRPr="001C651B">
        <w:rPr>
          <w:noProof/>
        </w:rPr>
        <w:t>zak</w:t>
      </w:r>
      <w:r w:rsidR="00716EA9" w:rsidRPr="001C651B">
        <w:rPr>
          <w:noProof/>
        </w:rPr>
        <w:t>resie rozgraniczenia między portfelem handlowym</w:t>
      </w:r>
      <w:r w:rsidR="001C651B" w:rsidRPr="001C651B">
        <w:rPr>
          <w:noProof/>
        </w:rPr>
        <w:t xml:space="preserve"> a</w:t>
      </w:r>
      <w:r w:rsidR="001C651B">
        <w:rPr>
          <w:noProof/>
        </w:rPr>
        <w:t> </w:t>
      </w:r>
      <w:r w:rsidR="001C651B" w:rsidRPr="001C651B">
        <w:rPr>
          <w:noProof/>
        </w:rPr>
        <w:t>por</w:t>
      </w:r>
      <w:r w:rsidR="00716EA9" w:rsidRPr="001C651B">
        <w:rPr>
          <w:noProof/>
        </w:rPr>
        <w:t>tfelem bankowym. Wzory sprawozdawcze powinny więc umożliwiać przekazywanie informacji na temat struktury portfela handlowego</w:t>
      </w:r>
      <w:r w:rsidR="001C651B" w:rsidRPr="001C651B">
        <w:rPr>
          <w:noProof/>
        </w:rPr>
        <w:t xml:space="preserve"> w</w:t>
      </w:r>
      <w:r w:rsidR="001C651B">
        <w:rPr>
          <w:noProof/>
        </w:rPr>
        <w:t> </w:t>
      </w:r>
      <w:r w:rsidR="001C651B" w:rsidRPr="001C651B">
        <w:rPr>
          <w:noProof/>
        </w:rPr>
        <w:t>odn</w:t>
      </w:r>
      <w:r w:rsidR="00716EA9" w:rsidRPr="001C651B">
        <w:rPr>
          <w:noProof/>
        </w:rPr>
        <w:t>iesieniu do nowych kryteriów określonych</w:t>
      </w:r>
      <w:r w:rsidR="001C651B" w:rsidRPr="001C651B">
        <w:rPr>
          <w:noProof/>
        </w:rPr>
        <w:t xml:space="preserve"> w</w:t>
      </w:r>
      <w:r w:rsidR="001C651B">
        <w:rPr>
          <w:noProof/>
        </w:rPr>
        <w:t> </w:t>
      </w:r>
      <w:r w:rsidR="001C651B" w:rsidRPr="001C651B">
        <w:rPr>
          <w:noProof/>
        </w:rPr>
        <w:t>art</w:t>
      </w:r>
      <w:r w:rsidR="00716EA9" w:rsidRPr="001C651B">
        <w:rPr>
          <w:noProof/>
        </w:rPr>
        <w:t>.</w:t>
      </w:r>
      <w:r w:rsidR="001C651B" w:rsidRPr="001C651B">
        <w:rPr>
          <w:noProof/>
        </w:rPr>
        <w:t> </w:t>
      </w:r>
      <w:r w:rsidR="00716EA9" w:rsidRPr="001C651B">
        <w:rPr>
          <w:noProof/>
        </w:rPr>
        <w:t>104 rozporządzenia (UE) nr</w:t>
      </w:r>
      <w:r w:rsidR="001C651B" w:rsidRPr="001C651B">
        <w:rPr>
          <w:noProof/>
        </w:rPr>
        <w:t> </w:t>
      </w:r>
      <w:r w:rsidR="00716EA9" w:rsidRPr="001C651B">
        <w:rPr>
          <w:noProof/>
        </w:rPr>
        <w:t xml:space="preserve">575/2013. </w:t>
      </w:r>
    </w:p>
    <w:p w:rsidR="00716EA9" w:rsidRPr="001C651B" w:rsidRDefault="003040A6" w:rsidP="003040A6">
      <w:pPr>
        <w:pStyle w:val="ManualConsidrant"/>
        <w:rPr>
          <w:noProof/>
          <w:szCs w:val="24"/>
        </w:rPr>
      </w:pPr>
      <w:r w:rsidRPr="003040A6">
        <w:rPr>
          <w:noProof/>
        </w:rPr>
        <w:t>(13)</w:t>
      </w:r>
      <w:r w:rsidRPr="003040A6">
        <w:rPr>
          <w:noProof/>
        </w:rPr>
        <w:tab/>
      </w:r>
      <w:r w:rsidR="007051E2" w:rsidRPr="001C651B">
        <w:rPr>
          <w:noProof/>
        </w:rPr>
        <w:t>Należy dostosować sprawozdawcze dni odniesienia dotyczące funduszy własnych, wymogów</w:t>
      </w:r>
      <w:r w:rsidR="001C651B" w:rsidRPr="001C651B">
        <w:rPr>
          <w:noProof/>
        </w:rPr>
        <w:t xml:space="preserve"> w</w:t>
      </w:r>
      <w:r w:rsidR="001C651B">
        <w:rPr>
          <w:noProof/>
        </w:rPr>
        <w:t> </w:t>
      </w:r>
      <w:r w:rsidR="001C651B" w:rsidRPr="001C651B">
        <w:rPr>
          <w:noProof/>
        </w:rPr>
        <w:t>zak</w:t>
      </w:r>
      <w:r w:rsidR="007051E2" w:rsidRPr="001C651B">
        <w:rPr>
          <w:noProof/>
        </w:rPr>
        <w:t>resie funduszy własnych oraz dodatkowych wymogów dotyczących sprawozdawczości na zasadzie indywidualnej</w:t>
      </w:r>
      <w:r w:rsidR="001C651B" w:rsidRPr="001C651B">
        <w:rPr>
          <w:noProof/>
        </w:rPr>
        <w:t xml:space="preserve"> i</w:t>
      </w:r>
      <w:r w:rsidR="001C651B">
        <w:rPr>
          <w:noProof/>
        </w:rPr>
        <w:t> </w:t>
      </w:r>
      <w:r w:rsidR="001C651B" w:rsidRPr="001C651B">
        <w:rPr>
          <w:noProof/>
        </w:rPr>
        <w:t>sko</w:t>
      </w:r>
      <w:r w:rsidR="007051E2" w:rsidRPr="001C651B">
        <w:rPr>
          <w:noProof/>
        </w:rPr>
        <w:t>nsolidowanej do dat zakończenia roku obrotowego.</w:t>
      </w:r>
    </w:p>
    <w:p w:rsidR="00716EA9" w:rsidRPr="001C651B" w:rsidRDefault="003040A6" w:rsidP="003040A6">
      <w:pPr>
        <w:pStyle w:val="ManualConsidrant"/>
        <w:rPr>
          <w:noProof/>
          <w:szCs w:val="24"/>
        </w:rPr>
      </w:pPr>
      <w:r w:rsidRPr="003040A6">
        <w:rPr>
          <w:noProof/>
        </w:rPr>
        <w:t>(14)</w:t>
      </w:r>
      <w:r w:rsidRPr="003040A6">
        <w:rPr>
          <w:noProof/>
        </w:rPr>
        <w:tab/>
      </w:r>
      <w:r w:rsidR="009522F9" w:rsidRPr="001C651B">
        <w:rPr>
          <w:noProof/>
        </w:rPr>
        <w:t xml:space="preserve">Aby umożliwić instytucjom ustanowienie systemów sprawozdawczości niezbędnych do wypełnienia obowiązków sprawozdawczych, podmiotom, które po raz pierwszy podejmują działalność instytucji kredytowej, należy przyznać więcej czasu na przedłożenie wzorów. </w:t>
      </w:r>
    </w:p>
    <w:p w:rsidR="002823A7" w:rsidRPr="001C651B" w:rsidRDefault="003040A6" w:rsidP="003040A6">
      <w:pPr>
        <w:pStyle w:val="ManualConsidrant"/>
        <w:rPr>
          <w:noProof/>
          <w:szCs w:val="24"/>
        </w:rPr>
      </w:pPr>
      <w:r w:rsidRPr="003040A6">
        <w:rPr>
          <w:noProof/>
        </w:rPr>
        <w:t>(15)</w:t>
      </w:r>
      <w:r w:rsidRPr="003040A6">
        <w:rPr>
          <w:noProof/>
        </w:rPr>
        <w:tab/>
      </w:r>
      <w:r w:rsidR="002823A7" w:rsidRPr="001C651B">
        <w:rPr>
          <w:noProof/>
        </w:rPr>
        <w:t>Rozporządzeniem (UE) 2024/1623 zmieniono art.</w:t>
      </w:r>
      <w:r w:rsidR="001C651B" w:rsidRPr="001C651B">
        <w:rPr>
          <w:noProof/>
        </w:rPr>
        <w:t> </w:t>
      </w:r>
      <w:r w:rsidR="002823A7" w:rsidRPr="001C651B">
        <w:rPr>
          <w:noProof/>
        </w:rPr>
        <w:t>430 ust.</w:t>
      </w:r>
      <w:r w:rsidR="001C651B" w:rsidRPr="001C651B">
        <w:rPr>
          <w:noProof/>
        </w:rPr>
        <w:t> </w:t>
      </w:r>
      <w:r w:rsidR="002823A7" w:rsidRPr="001C651B">
        <w:rPr>
          <w:noProof/>
        </w:rPr>
        <w:t>7 akapit pierwszy rozporządzenia (UE) nr</w:t>
      </w:r>
      <w:r w:rsidR="001C651B" w:rsidRPr="001C651B">
        <w:rPr>
          <w:noProof/>
        </w:rPr>
        <w:t> </w:t>
      </w:r>
      <w:r w:rsidR="002823A7" w:rsidRPr="001C651B">
        <w:rPr>
          <w:noProof/>
        </w:rPr>
        <w:t>575/2013</w:t>
      </w:r>
      <w:r w:rsidR="001C651B" w:rsidRPr="001C651B">
        <w:rPr>
          <w:noProof/>
        </w:rPr>
        <w:t xml:space="preserve"> i</w:t>
      </w:r>
      <w:r w:rsidR="001C651B">
        <w:rPr>
          <w:noProof/>
        </w:rPr>
        <w:t> </w:t>
      </w:r>
      <w:r w:rsidR="001C651B" w:rsidRPr="001C651B">
        <w:rPr>
          <w:noProof/>
        </w:rPr>
        <w:t>wpr</w:t>
      </w:r>
      <w:r w:rsidR="002823A7" w:rsidRPr="001C651B">
        <w:rPr>
          <w:noProof/>
        </w:rPr>
        <w:t>owadzono wymóg, aby EUNB opracował rozwiązania informatyczne,</w:t>
      </w:r>
      <w:r w:rsidR="001C651B" w:rsidRPr="001C651B">
        <w:rPr>
          <w:noProof/>
        </w:rPr>
        <w:t xml:space="preserve"> w</w:t>
      </w:r>
      <w:r w:rsidR="001C651B">
        <w:rPr>
          <w:noProof/>
        </w:rPr>
        <w:t> </w:t>
      </w:r>
      <w:r w:rsidR="001C651B" w:rsidRPr="001C651B">
        <w:rPr>
          <w:noProof/>
        </w:rPr>
        <w:t>tym</w:t>
      </w:r>
      <w:r w:rsidR="002823A7" w:rsidRPr="001C651B">
        <w:rPr>
          <w:noProof/>
        </w:rPr>
        <w:t xml:space="preserve"> wzory</w:t>
      </w:r>
      <w:r w:rsidR="001C651B" w:rsidRPr="001C651B">
        <w:rPr>
          <w:noProof/>
        </w:rPr>
        <w:t xml:space="preserve"> i</w:t>
      </w:r>
      <w:r w:rsidR="001C651B">
        <w:rPr>
          <w:noProof/>
        </w:rPr>
        <w:t> </w:t>
      </w:r>
      <w:r w:rsidR="001C651B" w:rsidRPr="001C651B">
        <w:rPr>
          <w:noProof/>
        </w:rPr>
        <w:t>ins</w:t>
      </w:r>
      <w:r w:rsidR="002823A7" w:rsidRPr="001C651B">
        <w:rPr>
          <w:noProof/>
        </w:rPr>
        <w:t>trukcje sprawozdawcze, które instytucje mają stosować</w:t>
      </w:r>
      <w:r w:rsidR="001C651B" w:rsidRPr="001C651B">
        <w:rPr>
          <w:noProof/>
        </w:rPr>
        <w:t xml:space="preserve"> w</w:t>
      </w:r>
      <w:r w:rsidR="001C651B">
        <w:rPr>
          <w:noProof/>
        </w:rPr>
        <w:t> </w:t>
      </w:r>
      <w:r w:rsidR="001C651B" w:rsidRPr="001C651B">
        <w:rPr>
          <w:noProof/>
        </w:rPr>
        <w:t>cel</w:t>
      </w:r>
      <w:r w:rsidR="002823A7" w:rsidRPr="001C651B">
        <w:rPr>
          <w:noProof/>
        </w:rPr>
        <w:t>u wypełnienia obowiązków sprawozdawczych określonych</w:t>
      </w:r>
      <w:r w:rsidR="001C651B" w:rsidRPr="001C651B">
        <w:rPr>
          <w:noProof/>
        </w:rPr>
        <w:t xml:space="preserve"> w</w:t>
      </w:r>
      <w:r w:rsidR="001C651B">
        <w:rPr>
          <w:noProof/>
        </w:rPr>
        <w:t> </w:t>
      </w:r>
      <w:r w:rsidR="001C651B" w:rsidRPr="001C651B">
        <w:rPr>
          <w:noProof/>
        </w:rPr>
        <w:t>ust</w:t>
      </w:r>
      <w:r w:rsidR="002823A7" w:rsidRPr="001C651B">
        <w:rPr>
          <w:noProof/>
        </w:rPr>
        <w:t>.</w:t>
      </w:r>
      <w:r w:rsidR="001C651B" w:rsidRPr="001C651B">
        <w:rPr>
          <w:noProof/>
        </w:rPr>
        <w:t> </w:t>
      </w:r>
      <w:r w:rsidR="002823A7" w:rsidRPr="001C651B">
        <w:rPr>
          <w:noProof/>
        </w:rPr>
        <w:t>1–4 wspomnianego artykułu</w:t>
      </w:r>
      <w:r w:rsidR="001C651B" w:rsidRPr="001C651B">
        <w:rPr>
          <w:noProof/>
          <w:color w:val="000000"/>
        </w:rPr>
        <w:t>. W</w:t>
      </w:r>
      <w:r w:rsidR="001C651B">
        <w:rPr>
          <w:noProof/>
          <w:color w:val="000000"/>
        </w:rPr>
        <w:t> </w:t>
      </w:r>
      <w:r w:rsidR="001C651B" w:rsidRPr="001C651B">
        <w:rPr>
          <w:noProof/>
          <w:color w:val="000000"/>
        </w:rPr>
        <w:t>zwi</w:t>
      </w:r>
      <w:r w:rsidR="002823A7" w:rsidRPr="001C651B">
        <w:rPr>
          <w:noProof/>
          <w:color w:val="000000"/>
        </w:rPr>
        <w:t>ązku</w:t>
      </w:r>
      <w:r w:rsidR="001C651B" w:rsidRPr="001C651B">
        <w:rPr>
          <w:noProof/>
          <w:color w:val="000000"/>
        </w:rPr>
        <w:t xml:space="preserve"> z</w:t>
      </w:r>
      <w:r w:rsidR="001C651B">
        <w:rPr>
          <w:noProof/>
          <w:color w:val="000000"/>
        </w:rPr>
        <w:t> </w:t>
      </w:r>
      <w:r w:rsidR="001C651B" w:rsidRPr="001C651B">
        <w:rPr>
          <w:noProof/>
          <w:color w:val="000000"/>
        </w:rPr>
        <w:t>tym</w:t>
      </w:r>
      <w:r w:rsidR="002823A7" w:rsidRPr="001C651B">
        <w:rPr>
          <w:noProof/>
          <w:color w:val="000000"/>
        </w:rPr>
        <w:t xml:space="preserve"> punkty danych</w:t>
      </w:r>
      <w:r w:rsidR="001C651B" w:rsidRPr="001C651B">
        <w:rPr>
          <w:noProof/>
          <w:color w:val="000000"/>
        </w:rPr>
        <w:t xml:space="preserve"> i</w:t>
      </w:r>
      <w:r w:rsidR="001C651B">
        <w:rPr>
          <w:noProof/>
          <w:color w:val="000000"/>
        </w:rPr>
        <w:t> </w:t>
      </w:r>
      <w:r w:rsidR="001C651B" w:rsidRPr="001C651B">
        <w:rPr>
          <w:noProof/>
          <w:color w:val="000000"/>
        </w:rPr>
        <w:t>inf</w:t>
      </w:r>
      <w:r w:rsidR="002823A7" w:rsidRPr="001C651B">
        <w:rPr>
          <w:noProof/>
          <w:color w:val="000000"/>
        </w:rPr>
        <w:t>ormacje, które instytucje muszą zgłaszać, oraz informacje, które EUNB powinien uwzględnić</w:t>
      </w:r>
      <w:r w:rsidR="001C651B" w:rsidRPr="001C651B">
        <w:rPr>
          <w:noProof/>
          <w:color w:val="000000"/>
        </w:rPr>
        <w:t xml:space="preserve"> w</w:t>
      </w:r>
      <w:r w:rsidR="001C651B">
        <w:rPr>
          <w:noProof/>
          <w:color w:val="000000"/>
        </w:rPr>
        <w:t> </w:t>
      </w:r>
      <w:r w:rsidR="001C651B" w:rsidRPr="001C651B">
        <w:rPr>
          <w:noProof/>
          <w:color w:val="000000"/>
        </w:rPr>
        <w:t>dan</w:t>
      </w:r>
      <w:r w:rsidR="002823A7" w:rsidRPr="001C651B">
        <w:rPr>
          <w:noProof/>
          <w:color w:val="000000"/>
        </w:rPr>
        <w:t>ych rozwiązaniach informatycznych, powinny zostać określone</w:t>
      </w:r>
      <w:r w:rsidR="001C651B" w:rsidRPr="001C651B">
        <w:rPr>
          <w:noProof/>
          <w:color w:val="000000"/>
        </w:rPr>
        <w:t xml:space="preserve"> w</w:t>
      </w:r>
      <w:r w:rsidR="001C651B">
        <w:rPr>
          <w:noProof/>
          <w:color w:val="000000"/>
        </w:rPr>
        <w:t> </w:t>
      </w:r>
      <w:r w:rsidR="001C651B" w:rsidRPr="001C651B">
        <w:rPr>
          <w:noProof/>
          <w:color w:val="000000"/>
        </w:rPr>
        <w:t>spo</w:t>
      </w:r>
      <w:r w:rsidR="002823A7" w:rsidRPr="001C651B">
        <w:rPr>
          <w:noProof/>
          <w:color w:val="000000"/>
        </w:rPr>
        <w:t xml:space="preserve">sób wystarczająco jasny. </w:t>
      </w:r>
      <w:r w:rsidR="002823A7" w:rsidRPr="001C651B">
        <w:rPr>
          <w:noProof/>
        </w:rPr>
        <w:t>Aby umożliwić EUNB opracowanie odpowiednich rozwiązań informatycznych, te jednolite formaty sprawozdawcze nie powinny być wiążące pod względem struktury</w:t>
      </w:r>
      <w:r w:rsidR="001C651B" w:rsidRPr="001C651B">
        <w:rPr>
          <w:noProof/>
        </w:rPr>
        <w:t xml:space="preserve"> i</w:t>
      </w:r>
      <w:r w:rsidR="001C651B">
        <w:rPr>
          <w:noProof/>
        </w:rPr>
        <w:t> </w:t>
      </w:r>
      <w:r w:rsidR="001C651B" w:rsidRPr="001C651B">
        <w:rPr>
          <w:noProof/>
        </w:rPr>
        <w:t>pre</w:t>
      </w:r>
      <w:r w:rsidR="002823A7" w:rsidRPr="001C651B">
        <w:rPr>
          <w:noProof/>
        </w:rPr>
        <w:t>zentacji, ponieważ EUNB nie powinien być zobowiązany do powielania graficznego przedstawienia</w:t>
      </w:r>
      <w:r w:rsidR="001C651B" w:rsidRPr="001C651B">
        <w:rPr>
          <w:noProof/>
        </w:rPr>
        <w:t xml:space="preserve"> i</w:t>
      </w:r>
      <w:r w:rsidR="001C651B">
        <w:rPr>
          <w:noProof/>
        </w:rPr>
        <w:t> </w:t>
      </w:r>
      <w:r w:rsidR="001C651B" w:rsidRPr="001C651B">
        <w:rPr>
          <w:noProof/>
        </w:rPr>
        <w:t>tab</w:t>
      </w:r>
      <w:r w:rsidR="002823A7" w:rsidRPr="001C651B">
        <w:rPr>
          <w:noProof/>
        </w:rPr>
        <w:t>elarycznej struktury określonych</w:t>
      </w:r>
      <w:r w:rsidR="001C651B" w:rsidRPr="001C651B">
        <w:rPr>
          <w:noProof/>
        </w:rPr>
        <w:t xml:space="preserve"> w</w:t>
      </w:r>
      <w:r w:rsidR="001C651B">
        <w:rPr>
          <w:noProof/>
        </w:rPr>
        <w:t> </w:t>
      </w:r>
      <w:r w:rsidR="001C651B" w:rsidRPr="001C651B">
        <w:rPr>
          <w:noProof/>
        </w:rPr>
        <w:t>zał</w:t>
      </w:r>
      <w:r w:rsidR="002823A7" w:rsidRPr="001C651B">
        <w:rPr>
          <w:noProof/>
        </w:rPr>
        <w:t>ączniku</w:t>
      </w:r>
      <w:r w:rsidR="001C651B" w:rsidRPr="001C651B">
        <w:rPr>
          <w:noProof/>
          <w:color w:val="000000"/>
        </w:rPr>
        <w:t xml:space="preserve">. </w:t>
      </w:r>
      <w:r w:rsidR="001C651B" w:rsidRPr="001C651B">
        <w:rPr>
          <w:noProof/>
        </w:rPr>
        <w:t>W</w:t>
      </w:r>
      <w:r w:rsidR="001C651B">
        <w:rPr>
          <w:noProof/>
          <w:color w:val="000000"/>
        </w:rPr>
        <w:t> </w:t>
      </w:r>
      <w:r w:rsidR="001C651B" w:rsidRPr="001C651B">
        <w:rPr>
          <w:noProof/>
        </w:rPr>
        <w:t>szc</w:t>
      </w:r>
      <w:r w:rsidR="002823A7" w:rsidRPr="001C651B">
        <w:rPr>
          <w:noProof/>
        </w:rPr>
        <w:t>zególności EUNB powinien mieć możliwość odejścia od określonej prezentacji graficznej</w:t>
      </w:r>
      <w:r w:rsidR="001C651B" w:rsidRPr="001C651B">
        <w:rPr>
          <w:noProof/>
        </w:rPr>
        <w:t xml:space="preserve"> i</w:t>
      </w:r>
      <w:r w:rsidR="001C651B">
        <w:rPr>
          <w:noProof/>
        </w:rPr>
        <w:t> </w:t>
      </w:r>
      <w:r w:rsidR="001C651B" w:rsidRPr="001C651B">
        <w:rPr>
          <w:noProof/>
        </w:rPr>
        <w:t>str</w:t>
      </w:r>
      <w:r w:rsidR="002823A7" w:rsidRPr="001C651B">
        <w:rPr>
          <w:noProof/>
        </w:rPr>
        <w:t>uktury tabelarycznej wzorów sprawozdawczych,</w:t>
      </w:r>
      <w:r w:rsidR="001C651B" w:rsidRPr="001C651B">
        <w:rPr>
          <w:noProof/>
        </w:rPr>
        <w:t xml:space="preserve"> o</w:t>
      </w:r>
      <w:r w:rsidR="001C651B">
        <w:rPr>
          <w:noProof/>
        </w:rPr>
        <w:t> </w:t>
      </w:r>
      <w:r w:rsidR="001C651B" w:rsidRPr="001C651B">
        <w:rPr>
          <w:noProof/>
        </w:rPr>
        <w:t>ile w</w:t>
      </w:r>
      <w:r w:rsidR="001C651B">
        <w:rPr>
          <w:noProof/>
        </w:rPr>
        <w:t> </w:t>
      </w:r>
      <w:r w:rsidR="001C651B" w:rsidRPr="001C651B">
        <w:rPr>
          <w:noProof/>
        </w:rPr>
        <w:t>roz</w:t>
      </w:r>
      <w:r w:rsidR="002823A7" w:rsidRPr="001C651B">
        <w:rPr>
          <w:noProof/>
        </w:rPr>
        <w:t>wiązaniu informatycznym uwzględnione zostaną wszystkie wymagane punkty danych</w:t>
      </w:r>
      <w:r w:rsidR="001C651B" w:rsidRPr="001C651B">
        <w:rPr>
          <w:noProof/>
        </w:rPr>
        <w:t xml:space="preserve"> i</w:t>
      </w:r>
      <w:r w:rsidR="001C651B">
        <w:rPr>
          <w:noProof/>
        </w:rPr>
        <w:t> </w:t>
      </w:r>
      <w:r w:rsidR="001C651B" w:rsidRPr="001C651B">
        <w:rPr>
          <w:noProof/>
        </w:rPr>
        <w:t>inf</w:t>
      </w:r>
      <w:r w:rsidR="002823A7" w:rsidRPr="001C651B">
        <w:rPr>
          <w:noProof/>
        </w:rPr>
        <w:t>ormacje</w:t>
      </w:r>
      <w:r w:rsidR="002823A7" w:rsidRPr="001C651B">
        <w:rPr>
          <w:noProof/>
          <w:color w:val="000000"/>
        </w:rPr>
        <w:t xml:space="preserve">. </w:t>
      </w:r>
    </w:p>
    <w:p w:rsidR="00716EA9" w:rsidRPr="001C651B" w:rsidRDefault="003040A6" w:rsidP="003040A6">
      <w:pPr>
        <w:pStyle w:val="ManualConsidrant"/>
        <w:rPr>
          <w:noProof/>
          <w:szCs w:val="24"/>
        </w:rPr>
      </w:pPr>
      <w:r w:rsidRPr="003040A6">
        <w:rPr>
          <w:noProof/>
        </w:rPr>
        <w:t>(16)</w:t>
      </w:r>
      <w:r w:rsidRPr="003040A6">
        <w:rPr>
          <w:noProof/>
        </w:rPr>
        <w:tab/>
      </w:r>
      <w:r w:rsidR="00716EA9" w:rsidRPr="001C651B">
        <w:rPr>
          <w:noProof/>
        </w:rPr>
        <w:t>Aby zapewnić instytucjom wystarczająco dużo czasu na dostosowanie ich własnego systemu wewnętrznego</w:t>
      </w:r>
      <w:r w:rsidR="001C651B" w:rsidRPr="001C651B">
        <w:rPr>
          <w:noProof/>
        </w:rPr>
        <w:t xml:space="preserve"> i</w:t>
      </w:r>
      <w:r w:rsidR="001C651B">
        <w:rPr>
          <w:noProof/>
        </w:rPr>
        <w:t> </w:t>
      </w:r>
      <w:r w:rsidR="001C651B" w:rsidRPr="001C651B">
        <w:rPr>
          <w:noProof/>
        </w:rPr>
        <w:t>spe</w:t>
      </w:r>
      <w:r w:rsidR="00716EA9" w:rsidRPr="001C651B">
        <w:rPr>
          <w:noProof/>
        </w:rPr>
        <w:t>łnienie zmienionych wymogów</w:t>
      </w:r>
      <w:r w:rsidR="001C651B" w:rsidRPr="001C651B">
        <w:rPr>
          <w:noProof/>
        </w:rPr>
        <w:t xml:space="preserve"> w</w:t>
      </w:r>
      <w:r w:rsidR="001C651B">
        <w:rPr>
          <w:noProof/>
        </w:rPr>
        <w:t> </w:t>
      </w:r>
      <w:r w:rsidR="001C651B" w:rsidRPr="001C651B">
        <w:rPr>
          <w:noProof/>
        </w:rPr>
        <w:t>zak</w:t>
      </w:r>
      <w:r w:rsidR="00716EA9" w:rsidRPr="001C651B">
        <w:rPr>
          <w:noProof/>
        </w:rPr>
        <w:t>resie sprawozdawczości, konieczne jest ustanowienie przepisów przejściowych odraczających dzień przekazania formularzy</w:t>
      </w:r>
      <w:r w:rsidR="001C651B" w:rsidRPr="001C651B">
        <w:rPr>
          <w:noProof/>
        </w:rPr>
        <w:t xml:space="preserve"> w</w:t>
      </w:r>
      <w:r w:rsidR="001C651B">
        <w:rPr>
          <w:noProof/>
        </w:rPr>
        <w:t> </w:t>
      </w:r>
      <w:r w:rsidR="001C651B" w:rsidRPr="001C651B">
        <w:rPr>
          <w:noProof/>
        </w:rPr>
        <w:t>ram</w:t>
      </w:r>
      <w:r w:rsidR="00716EA9" w:rsidRPr="001C651B">
        <w:rPr>
          <w:noProof/>
        </w:rPr>
        <w:t xml:space="preserve">ach pierwszego kwartalnego obowiązku sprawozdawczego. </w:t>
      </w:r>
    </w:p>
    <w:p w:rsidR="008A53EE" w:rsidRPr="001C651B" w:rsidRDefault="003040A6" w:rsidP="003040A6">
      <w:pPr>
        <w:pStyle w:val="ManualConsidrant"/>
        <w:rPr>
          <w:noProof/>
          <w:szCs w:val="24"/>
        </w:rPr>
      </w:pPr>
      <w:r w:rsidRPr="003040A6">
        <w:rPr>
          <w:noProof/>
        </w:rPr>
        <w:t>(17)</w:t>
      </w:r>
      <w:r w:rsidRPr="003040A6">
        <w:rPr>
          <w:noProof/>
        </w:rPr>
        <w:tab/>
      </w:r>
      <w:r w:rsidR="008A53EE" w:rsidRPr="001C651B">
        <w:rPr>
          <w:noProof/>
        </w:rPr>
        <w:t>Aby dostosować harmonogram stosowania wymogów sprawozdawczych dotyczących struktury portfela handlowego do harmonogramu stosowania wymogów</w:t>
      </w:r>
      <w:r w:rsidR="001C651B" w:rsidRPr="001C651B">
        <w:rPr>
          <w:noProof/>
        </w:rPr>
        <w:t xml:space="preserve"> w</w:t>
      </w:r>
      <w:r w:rsidR="001C651B">
        <w:rPr>
          <w:noProof/>
        </w:rPr>
        <w:t> </w:t>
      </w:r>
      <w:r w:rsidR="001C651B" w:rsidRPr="001C651B">
        <w:rPr>
          <w:noProof/>
        </w:rPr>
        <w:t>zak</w:t>
      </w:r>
      <w:r w:rsidR="008A53EE" w:rsidRPr="001C651B">
        <w:rPr>
          <w:noProof/>
        </w:rPr>
        <w:t>resie ryzyka rynkowego określonych</w:t>
      </w:r>
      <w:r w:rsidR="001C651B" w:rsidRPr="001C651B">
        <w:rPr>
          <w:noProof/>
        </w:rPr>
        <w:t xml:space="preserve"> w</w:t>
      </w:r>
      <w:r w:rsidR="001C651B">
        <w:rPr>
          <w:noProof/>
        </w:rPr>
        <w:t> </w:t>
      </w:r>
      <w:r w:rsidR="001C651B" w:rsidRPr="001C651B">
        <w:rPr>
          <w:noProof/>
        </w:rPr>
        <w:t>czę</w:t>
      </w:r>
      <w:r w:rsidR="008A53EE" w:rsidRPr="001C651B">
        <w:rPr>
          <w:noProof/>
        </w:rPr>
        <w:t>ści trzeciej tytuł IV rozdziały 1a</w:t>
      </w:r>
      <w:r w:rsidR="001C651B" w:rsidRPr="001C651B">
        <w:rPr>
          <w:noProof/>
        </w:rPr>
        <w:t xml:space="preserve"> i</w:t>
      </w:r>
      <w:r w:rsidR="001C651B">
        <w:rPr>
          <w:noProof/>
        </w:rPr>
        <w:t> </w:t>
      </w:r>
      <w:r w:rsidR="001C651B" w:rsidRPr="001C651B">
        <w:rPr>
          <w:noProof/>
        </w:rPr>
        <w:t>1</w:t>
      </w:r>
      <w:r w:rsidR="008A53EE" w:rsidRPr="001C651B">
        <w:rPr>
          <w:noProof/>
        </w:rPr>
        <w:t>b rozporządzenia (UE) nr</w:t>
      </w:r>
      <w:r w:rsidR="001C651B" w:rsidRPr="001C651B">
        <w:rPr>
          <w:noProof/>
        </w:rPr>
        <w:t> </w:t>
      </w:r>
      <w:r w:rsidR="008A53EE" w:rsidRPr="001C651B">
        <w:rPr>
          <w:noProof/>
        </w:rPr>
        <w:t>575/2013, konieczne jest ustanowienie przepisu przejściowego umożliwiającego zastosowanie późniejszego pierwszego dnia odniesienia dla tego wymogu sprawozdawczego.</w:t>
      </w:r>
    </w:p>
    <w:p w:rsidR="006427FA" w:rsidRPr="001C651B" w:rsidRDefault="003040A6" w:rsidP="003040A6">
      <w:pPr>
        <w:pStyle w:val="ManualConsidrant"/>
        <w:rPr>
          <w:noProof/>
          <w:szCs w:val="24"/>
        </w:rPr>
      </w:pPr>
      <w:r w:rsidRPr="003040A6">
        <w:rPr>
          <w:noProof/>
        </w:rPr>
        <w:t>(18)</w:t>
      </w:r>
      <w:r w:rsidRPr="003040A6">
        <w:rPr>
          <w:noProof/>
        </w:rPr>
        <w:tab/>
      </w:r>
      <w:r w:rsidR="006427FA" w:rsidRPr="001C651B">
        <w:rPr>
          <w:noProof/>
        </w:rPr>
        <w:t>Przepisy niniejszego rozporządzenia są ze sobą ściśle powiązane, ponieważ dotyczą wymogów</w:t>
      </w:r>
      <w:r w:rsidR="001C651B" w:rsidRPr="001C651B">
        <w:rPr>
          <w:noProof/>
        </w:rPr>
        <w:t xml:space="preserve"> w</w:t>
      </w:r>
      <w:r w:rsidR="001C651B">
        <w:rPr>
          <w:noProof/>
        </w:rPr>
        <w:t> </w:t>
      </w:r>
      <w:r w:rsidR="001C651B" w:rsidRPr="001C651B">
        <w:rPr>
          <w:noProof/>
        </w:rPr>
        <w:t>zak</w:t>
      </w:r>
      <w:r w:rsidR="006427FA" w:rsidRPr="001C651B">
        <w:rPr>
          <w:noProof/>
        </w:rPr>
        <w:t>resie sprawozdawczości instytucji. Aby zapewnić spójność między tymi przepisami oraz ułatwić całościowy wgląd w te przepisy</w:t>
      </w:r>
      <w:r w:rsidR="001C651B" w:rsidRPr="001C651B">
        <w:rPr>
          <w:noProof/>
        </w:rPr>
        <w:t xml:space="preserve"> i</w:t>
      </w:r>
      <w:r w:rsidR="001C651B">
        <w:rPr>
          <w:noProof/>
        </w:rPr>
        <w:t> </w:t>
      </w:r>
      <w:r w:rsidR="001C651B" w:rsidRPr="001C651B">
        <w:rPr>
          <w:noProof/>
        </w:rPr>
        <w:t>zap</w:t>
      </w:r>
      <w:r w:rsidR="006427FA" w:rsidRPr="001C651B">
        <w:rPr>
          <w:noProof/>
        </w:rPr>
        <w:t>ewnić łatwy dostęp do nich osobom podlegającym tym obowiązkom, należy włączyć do jednego rozporządzenia wszystkie powiązane wykonawcze standardy techniczne wymagane na mocy rozporządzenia (UE) nr</w:t>
      </w:r>
      <w:r w:rsidR="001C651B" w:rsidRPr="001C651B">
        <w:rPr>
          <w:noProof/>
        </w:rPr>
        <w:t> </w:t>
      </w:r>
      <w:r w:rsidR="006427FA" w:rsidRPr="001C651B">
        <w:rPr>
          <w:noProof/>
        </w:rPr>
        <w:t>575/2013.</w:t>
      </w:r>
    </w:p>
    <w:p w:rsidR="00716EA9" w:rsidRPr="001C651B" w:rsidRDefault="003040A6" w:rsidP="003040A6">
      <w:pPr>
        <w:pStyle w:val="ManualConsidrant"/>
        <w:rPr>
          <w:noProof/>
          <w:szCs w:val="24"/>
        </w:rPr>
      </w:pPr>
      <w:r w:rsidRPr="003040A6">
        <w:rPr>
          <w:noProof/>
        </w:rPr>
        <w:t>(19)</w:t>
      </w:r>
      <w:r w:rsidRPr="003040A6">
        <w:rPr>
          <w:noProof/>
        </w:rPr>
        <w:tab/>
      </w:r>
      <w:r w:rsidR="00716EA9" w:rsidRPr="001C651B">
        <w:rPr>
          <w:noProof/>
        </w:rPr>
        <w:t xml:space="preserve">Podstawę niniejszego rozporządzenia stanowi projekt wykonawczych standardów technicznych przedłożony Komisji przez Europejski Urząd Nadzoru Bankowego. </w:t>
      </w:r>
    </w:p>
    <w:p w:rsidR="00716EA9" w:rsidRPr="001C651B" w:rsidRDefault="003040A6" w:rsidP="003040A6">
      <w:pPr>
        <w:pStyle w:val="ManualConsidrant"/>
        <w:rPr>
          <w:noProof/>
          <w:szCs w:val="24"/>
        </w:rPr>
      </w:pPr>
      <w:r w:rsidRPr="003040A6">
        <w:rPr>
          <w:noProof/>
        </w:rPr>
        <w:t>(20)</w:t>
      </w:r>
      <w:r w:rsidRPr="003040A6">
        <w:rPr>
          <w:noProof/>
        </w:rPr>
        <w:tab/>
      </w:r>
      <w:r w:rsidR="00716EA9" w:rsidRPr="001C651B">
        <w:rPr>
          <w:noProof/>
        </w:rPr>
        <w:t>Europejski Urząd Nadzoru Bankowego przeprowadził otwarte konsultacje publiczne na temat projektu wykonawczych standardów technicznych, który stanowi podstawę niniejszego rozporządzenia, dokonał analizy potencjalnych powiązanych kosztów</w:t>
      </w:r>
      <w:r w:rsidR="001C651B" w:rsidRPr="001C651B">
        <w:rPr>
          <w:noProof/>
        </w:rPr>
        <w:t xml:space="preserve"> i</w:t>
      </w:r>
      <w:r w:rsidR="001C651B">
        <w:rPr>
          <w:noProof/>
        </w:rPr>
        <w:t> </w:t>
      </w:r>
      <w:r w:rsidR="001C651B" w:rsidRPr="001C651B">
        <w:rPr>
          <w:noProof/>
        </w:rPr>
        <w:t>kor</w:t>
      </w:r>
      <w:r w:rsidR="00716EA9" w:rsidRPr="001C651B">
        <w:rPr>
          <w:noProof/>
        </w:rPr>
        <w:t>zyści oraz zwrócił się</w:t>
      </w:r>
      <w:r w:rsidR="001C651B" w:rsidRPr="001C651B">
        <w:rPr>
          <w:noProof/>
        </w:rPr>
        <w:t xml:space="preserve"> o</w:t>
      </w:r>
      <w:r w:rsidR="001C651B">
        <w:rPr>
          <w:noProof/>
        </w:rPr>
        <w:t> </w:t>
      </w:r>
      <w:r w:rsidR="001C651B" w:rsidRPr="001C651B">
        <w:rPr>
          <w:noProof/>
        </w:rPr>
        <w:t>opi</w:t>
      </w:r>
      <w:r w:rsidR="00716EA9" w:rsidRPr="001C651B">
        <w:rPr>
          <w:noProof/>
        </w:rPr>
        <w:t>nię do Bankowej Grupy Interesariuszy powołanej zgodnie</w:t>
      </w:r>
      <w:r w:rsidR="001C651B" w:rsidRPr="001C651B">
        <w:rPr>
          <w:noProof/>
        </w:rPr>
        <w:t xml:space="preserve"> z</w:t>
      </w:r>
      <w:r w:rsidR="001C651B">
        <w:rPr>
          <w:noProof/>
        </w:rPr>
        <w:t> </w:t>
      </w:r>
      <w:r w:rsidR="001C651B" w:rsidRPr="001C651B">
        <w:rPr>
          <w:noProof/>
        </w:rPr>
        <w:t>art</w:t>
      </w:r>
      <w:r w:rsidR="00716EA9" w:rsidRPr="001C651B">
        <w:rPr>
          <w:noProof/>
        </w:rPr>
        <w:t>.</w:t>
      </w:r>
      <w:r w:rsidR="001C651B" w:rsidRPr="001C651B">
        <w:rPr>
          <w:noProof/>
        </w:rPr>
        <w:t> </w:t>
      </w:r>
      <w:r w:rsidR="00716EA9" w:rsidRPr="001C651B">
        <w:rPr>
          <w:noProof/>
        </w:rPr>
        <w:t>37 rozporządzenia Parlamentu Europejskiego</w:t>
      </w:r>
      <w:r w:rsidR="001C651B" w:rsidRPr="001C651B">
        <w:rPr>
          <w:noProof/>
        </w:rPr>
        <w:t xml:space="preserve"> i</w:t>
      </w:r>
      <w:r w:rsidR="001C651B">
        <w:rPr>
          <w:noProof/>
        </w:rPr>
        <w:t> </w:t>
      </w:r>
      <w:r w:rsidR="001C651B" w:rsidRPr="001C651B">
        <w:rPr>
          <w:noProof/>
        </w:rPr>
        <w:t>Rad</w:t>
      </w:r>
      <w:r w:rsidR="00716EA9" w:rsidRPr="001C651B">
        <w:rPr>
          <w:noProof/>
        </w:rPr>
        <w:t>y (UE) nr</w:t>
      </w:r>
      <w:r w:rsidR="001C651B" w:rsidRPr="001C651B">
        <w:rPr>
          <w:noProof/>
        </w:rPr>
        <w:t> </w:t>
      </w:r>
      <w:r w:rsidR="00716EA9" w:rsidRPr="001C651B">
        <w:rPr>
          <w:noProof/>
        </w:rPr>
        <w:t>1093/2010</w:t>
      </w:r>
      <w:r w:rsidR="00716EA9" w:rsidRPr="001C651B">
        <w:rPr>
          <w:rStyle w:val="FootnoteReference"/>
          <w:noProof/>
          <w:szCs w:val="24"/>
        </w:rPr>
        <w:footnoteReference w:id="5"/>
      </w:r>
      <w:r w:rsidR="00716EA9" w:rsidRPr="001C651B">
        <w:rPr>
          <w:noProof/>
        </w:rPr>
        <w:t>.</w:t>
      </w:r>
    </w:p>
    <w:p w:rsidR="003D2BEA" w:rsidRPr="001C651B" w:rsidRDefault="003040A6" w:rsidP="003040A6">
      <w:pPr>
        <w:pStyle w:val="ManualConsidrant"/>
        <w:rPr>
          <w:noProof/>
          <w:szCs w:val="24"/>
        </w:rPr>
      </w:pPr>
      <w:r w:rsidRPr="003040A6">
        <w:rPr>
          <w:noProof/>
        </w:rPr>
        <w:t>(21)</w:t>
      </w:r>
      <w:r w:rsidRPr="003040A6">
        <w:rPr>
          <w:noProof/>
        </w:rPr>
        <w:tab/>
      </w:r>
      <w:r w:rsidR="00716EA9" w:rsidRPr="001C651B">
        <w:rPr>
          <w:noProof/>
        </w:rPr>
        <w:t>Aby zapewnić instytucjom wystarczający czas, aby przygotować się do prowadzenia sprawozdawczości zgodnie</w:t>
      </w:r>
      <w:r w:rsidR="001C651B" w:rsidRPr="001C651B">
        <w:rPr>
          <w:noProof/>
        </w:rPr>
        <w:t xml:space="preserve"> z</w:t>
      </w:r>
      <w:r w:rsidR="001C651B">
        <w:rPr>
          <w:noProof/>
        </w:rPr>
        <w:t> </w:t>
      </w:r>
      <w:r w:rsidR="001C651B" w:rsidRPr="001C651B">
        <w:rPr>
          <w:noProof/>
        </w:rPr>
        <w:t>nin</w:t>
      </w:r>
      <w:r w:rsidR="00716EA9" w:rsidRPr="001C651B">
        <w:rPr>
          <w:noProof/>
        </w:rPr>
        <w:t>iejszym rozporządzeniem oraz zgodnie</w:t>
      </w:r>
      <w:r w:rsidR="001C651B" w:rsidRPr="001C651B">
        <w:rPr>
          <w:noProof/>
        </w:rPr>
        <w:t xml:space="preserve"> z</w:t>
      </w:r>
      <w:r w:rsidR="001C651B">
        <w:rPr>
          <w:noProof/>
        </w:rPr>
        <w:t> </w:t>
      </w:r>
      <w:r w:rsidR="001C651B" w:rsidRPr="001C651B">
        <w:rPr>
          <w:noProof/>
        </w:rPr>
        <w:t>art</w:t>
      </w:r>
      <w:r w:rsidR="00716EA9" w:rsidRPr="001C651B">
        <w:rPr>
          <w:noProof/>
        </w:rPr>
        <w:t>.</w:t>
      </w:r>
      <w:r w:rsidR="001C651B" w:rsidRPr="001C651B">
        <w:rPr>
          <w:noProof/>
        </w:rPr>
        <w:t> </w:t>
      </w:r>
      <w:r w:rsidR="00716EA9" w:rsidRPr="001C651B">
        <w:rPr>
          <w:noProof/>
        </w:rPr>
        <w:t>430 ust.</w:t>
      </w:r>
      <w:r w:rsidR="001C651B" w:rsidRPr="001C651B">
        <w:rPr>
          <w:noProof/>
        </w:rPr>
        <w:t> </w:t>
      </w:r>
      <w:r w:rsidR="00716EA9" w:rsidRPr="001C651B">
        <w:rPr>
          <w:noProof/>
        </w:rPr>
        <w:t>7 rozporządzenia (UE) nr</w:t>
      </w:r>
      <w:r w:rsidR="001C651B" w:rsidRPr="001C651B">
        <w:rPr>
          <w:noProof/>
        </w:rPr>
        <w:t> </w:t>
      </w:r>
      <w:r w:rsidR="00716EA9" w:rsidRPr="001C651B">
        <w:rPr>
          <w:noProof/>
        </w:rPr>
        <w:t>575/2013, datę rozpoczęcia stosowania należy ustalić na dzień przypadający sześć miesięcy po dacie wejścia</w:t>
      </w:r>
      <w:r w:rsidR="001C651B" w:rsidRPr="001C651B">
        <w:rPr>
          <w:noProof/>
        </w:rPr>
        <w:t xml:space="preserve"> w</w:t>
      </w:r>
      <w:r w:rsidR="001C651B">
        <w:rPr>
          <w:noProof/>
        </w:rPr>
        <w:t> </w:t>
      </w:r>
      <w:r w:rsidR="001C651B" w:rsidRPr="001C651B">
        <w:rPr>
          <w:noProof/>
        </w:rPr>
        <w:t>życ</w:t>
      </w:r>
      <w:r w:rsidR="00716EA9" w:rsidRPr="001C651B">
        <w:rPr>
          <w:noProof/>
        </w:rPr>
        <w:t>ie.</w:t>
      </w:r>
    </w:p>
    <w:p w:rsidR="00716EA9" w:rsidRPr="001C651B" w:rsidRDefault="003040A6" w:rsidP="003040A6">
      <w:pPr>
        <w:pStyle w:val="ManualConsidrant"/>
        <w:rPr>
          <w:noProof/>
          <w:szCs w:val="24"/>
        </w:rPr>
      </w:pPr>
      <w:r w:rsidRPr="003040A6">
        <w:rPr>
          <w:noProof/>
        </w:rPr>
        <w:t>(22)</w:t>
      </w:r>
      <w:r w:rsidRPr="003040A6">
        <w:rPr>
          <w:noProof/>
        </w:rPr>
        <w:tab/>
      </w:r>
      <w:r w:rsidR="003D2BEA" w:rsidRPr="001C651B">
        <w:rPr>
          <w:noProof/>
        </w:rPr>
        <w:t>Aby jak najszybciej wprowadzić zmienione ramy sprawozdawczości, niniejsze rozporządzenie powinno wejść</w:t>
      </w:r>
      <w:r w:rsidR="001C651B" w:rsidRPr="001C651B">
        <w:rPr>
          <w:noProof/>
        </w:rPr>
        <w:t xml:space="preserve"> w</w:t>
      </w:r>
      <w:r w:rsidR="001C651B">
        <w:rPr>
          <w:noProof/>
        </w:rPr>
        <w:t> </w:t>
      </w:r>
      <w:r w:rsidR="001C651B" w:rsidRPr="001C651B">
        <w:rPr>
          <w:noProof/>
        </w:rPr>
        <w:t>życ</w:t>
      </w:r>
      <w:r w:rsidR="003D2BEA" w:rsidRPr="001C651B">
        <w:rPr>
          <w:noProof/>
        </w:rPr>
        <w:t>ie następnego dnia po jego opublikowaniu</w:t>
      </w:r>
      <w:r w:rsidR="001C651B" w:rsidRPr="001C651B">
        <w:rPr>
          <w:noProof/>
        </w:rPr>
        <w:t xml:space="preserve"> w</w:t>
      </w:r>
      <w:r w:rsidR="001C651B">
        <w:rPr>
          <w:noProof/>
        </w:rPr>
        <w:t> </w:t>
      </w:r>
      <w:r w:rsidR="001C651B" w:rsidRPr="001C651B">
        <w:rPr>
          <w:i/>
          <w:noProof/>
        </w:rPr>
        <w:t>Dzi</w:t>
      </w:r>
      <w:r w:rsidR="003D2BEA" w:rsidRPr="001C651B">
        <w:rPr>
          <w:i/>
          <w:noProof/>
        </w:rPr>
        <w:t>enniku Urzędowym Unii Europejskiej</w:t>
      </w:r>
      <w:r w:rsidR="003D2BEA" w:rsidRPr="001C651B">
        <w:rPr>
          <w:noProof/>
        </w:rPr>
        <w:t>,</w:t>
      </w:r>
    </w:p>
    <w:p w:rsidR="00185C9B" w:rsidRPr="001C651B" w:rsidRDefault="00185C9B" w:rsidP="004E1EF9">
      <w:pPr>
        <w:pStyle w:val="Formuledadoption"/>
        <w:rPr>
          <w:noProof/>
          <w:szCs w:val="24"/>
        </w:rPr>
      </w:pPr>
      <w:r w:rsidRPr="001C651B">
        <w:rPr>
          <w:noProof/>
        </w:rPr>
        <w:t>PRZYJMUJE NINIEJSZE ROZPORZĄDZENIE:</w:t>
      </w:r>
    </w:p>
    <w:p w:rsidR="00185C9B" w:rsidRPr="001C651B" w:rsidRDefault="00185C9B" w:rsidP="00134C2F">
      <w:pPr>
        <w:pStyle w:val="Titrearticle"/>
        <w:spacing w:after="0"/>
        <w:rPr>
          <w:noProof/>
          <w:szCs w:val="24"/>
        </w:rPr>
      </w:pPr>
      <w:r w:rsidRPr="001C651B">
        <w:rPr>
          <w:noProof/>
        </w:rPr>
        <w:t>Artykuł 1</w:t>
      </w:r>
    </w:p>
    <w:p w:rsidR="00716EA9" w:rsidRPr="001C651B" w:rsidRDefault="00716EA9" w:rsidP="00134C2F">
      <w:pPr>
        <w:pStyle w:val="Titrearticle"/>
        <w:spacing w:before="0"/>
        <w:rPr>
          <w:b/>
          <w:bCs/>
          <w:i w:val="0"/>
          <w:iCs/>
          <w:noProof/>
          <w:szCs w:val="24"/>
        </w:rPr>
      </w:pPr>
      <w:r w:rsidRPr="001C651B">
        <w:rPr>
          <w:b/>
          <w:i w:val="0"/>
          <w:noProof/>
        </w:rPr>
        <w:t>Przedstawianie informacji</w:t>
      </w:r>
    </w:p>
    <w:p w:rsidR="00716EA9" w:rsidRPr="001C651B" w:rsidRDefault="00716EA9" w:rsidP="00C856B2">
      <w:pPr>
        <w:rPr>
          <w:noProof/>
        </w:rPr>
      </w:pPr>
      <w:r w:rsidRPr="001C651B">
        <w:rPr>
          <w:noProof/>
        </w:rPr>
        <w:t>W niniejszym rozporządzeniu określa się jednolite formaty sprawozdawcze, częstotliwość</w:t>
      </w:r>
      <w:r w:rsidR="001C651B" w:rsidRPr="001C651B">
        <w:rPr>
          <w:noProof/>
        </w:rPr>
        <w:t xml:space="preserve"> i</w:t>
      </w:r>
      <w:r w:rsidR="001C651B">
        <w:rPr>
          <w:noProof/>
        </w:rPr>
        <w:t> </w:t>
      </w:r>
      <w:r w:rsidR="001C651B" w:rsidRPr="001C651B">
        <w:rPr>
          <w:noProof/>
        </w:rPr>
        <w:t>ter</w:t>
      </w:r>
      <w:r w:rsidRPr="001C651B">
        <w:rPr>
          <w:noProof/>
        </w:rPr>
        <w:t>miny przekazywania informacji przez instytucje ich właściwym organom zgodnie</w:t>
      </w:r>
      <w:r w:rsidR="001C651B" w:rsidRPr="001C651B">
        <w:rPr>
          <w:noProof/>
        </w:rPr>
        <w:t xml:space="preserve"> z</w:t>
      </w:r>
      <w:r w:rsidR="001C651B">
        <w:rPr>
          <w:noProof/>
        </w:rPr>
        <w:t> </w:t>
      </w:r>
      <w:r w:rsidR="001C651B" w:rsidRPr="001C651B">
        <w:rPr>
          <w:noProof/>
        </w:rPr>
        <w:t>art</w:t>
      </w:r>
      <w:r w:rsidRPr="001C651B">
        <w:rPr>
          <w:noProof/>
        </w:rPr>
        <w:t>.</w:t>
      </w:r>
      <w:r w:rsidR="001C651B" w:rsidRPr="001C651B">
        <w:rPr>
          <w:noProof/>
        </w:rPr>
        <w:t> </w:t>
      </w:r>
      <w:r w:rsidRPr="001C651B">
        <w:rPr>
          <w:noProof/>
        </w:rPr>
        <w:t>415 ust.</w:t>
      </w:r>
      <w:r w:rsidR="001C651B" w:rsidRPr="001C651B">
        <w:rPr>
          <w:noProof/>
        </w:rPr>
        <w:t> </w:t>
      </w:r>
      <w:r w:rsidRPr="001C651B">
        <w:rPr>
          <w:noProof/>
        </w:rPr>
        <w:t>3</w:t>
      </w:r>
      <w:r w:rsidR="001C651B" w:rsidRPr="001C651B">
        <w:rPr>
          <w:noProof/>
        </w:rPr>
        <w:t xml:space="preserve"> i</w:t>
      </w:r>
      <w:r w:rsidR="001C651B">
        <w:rPr>
          <w:noProof/>
        </w:rPr>
        <w:t> </w:t>
      </w:r>
      <w:r w:rsidR="001C651B" w:rsidRPr="001C651B">
        <w:rPr>
          <w:noProof/>
        </w:rPr>
        <w:t>3</w:t>
      </w:r>
      <w:r w:rsidRPr="001C651B">
        <w:rPr>
          <w:noProof/>
        </w:rPr>
        <w:t>a rozporządzenia (UE) nr</w:t>
      </w:r>
      <w:r w:rsidR="001C651B" w:rsidRPr="001C651B">
        <w:rPr>
          <w:noProof/>
        </w:rPr>
        <w:t> </w:t>
      </w:r>
      <w:r w:rsidRPr="001C651B">
        <w:rPr>
          <w:noProof/>
        </w:rPr>
        <w:t>575/2013 oraz art.</w:t>
      </w:r>
      <w:r w:rsidR="001C651B" w:rsidRPr="001C651B">
        <w:rPr>
          <w:noProof/>
        </w:rPr>
        <w:t> </w:t>
      </w:r>
      <w:r w:rsidRPr="001C651B">
        <w:rPr>
          <w:noProof/>
        </w:rPr>
        <w:t>430 ust.</w:t>
      </w:r>
      <w:r w:rsidR="001C651B" w:rsidRPr="001C651B">
        <w:rPr>
          <w:noProof/>
        </w:rPr>
        <w:t> </w:t>
      </w:r>
      <w:r w:rsidRPr="001C651B">
        <w:rPr>
          <w:noProof/>
        </w:rPr>
        <w:t>1–4, 7</w:t>
      </w:r>
      <w:r w:rsidR="001C651B" w:rsidRPr="001C651B">
        <w:rPr>
          <w:noProof/>
        </w:rPr>
        <w:t xml:space="preserve"> i</w:t>
      </w:r>
      <w:r w:rsidR="001C651B">
        <w:rPr>
          <w:noProof/>
        </w:rPr>
        <w:t> </w:t>
      </w:r>
      <w:r w:rsidR="001C651B" w:rsidRPr="001C651B">
        <w:rPr>
          <w:noProof/>
        </w:rPr>
        <w:t>9</w:t>
      </w:r>
      <w:r w:rsidRPr="001C651B">
        <w:rPr>
          <w:noProof/>
        </w:rPr>
        <w:t xml:space="preserve"> tego rozporządzenia.</w:t>
      </w:r>
    </w:p>
    <w:p w:rsidR="00716EA9" w:rsidRPr="001C651B" w:rsidRDefault="00716EA9" w:rsidP="00716EA9">
      <w:pPr>
        <w:pStyle w:val="Titrearticle"/>
        <w:rPr>
          <w:noProof/>
          <w:szCs w:val="24"/>
        </w:rPr>
      </w:pPr>
      <w:r w:rsidRPr="001C651B">
        <w:rPr>
          <w:noProof/>
        </w:rPr>
        <w:t>Artykuł 2</w:t>
      </w:r>
    </w:p>
    <w:p w:rsidR="00716EA9" w:rsidRPr="001C651B" w:rsidRDefault="00716EA9" w:rsidP="00F22954">
      <w:pPr>
        <w:pStyle w:val="Titrearticle"/>
        <w:spacing w:before="0"/>
        <w:rPr>
          <w:b/>
          <w:bCs/>
          <w:i w:val="0"/>
          <w:iCs/>
          <w:noProof/>
          <w:szCs w:val="24"/>
        </w:rPr>
      </w:pPr>
      <w:r w:rsidRPr="001C651B">
        <w:rPr>
          <w:b/>
          <w:i w:val="0"/>
          <w:noProof/>
        </w:rPr>
        <w:t>Sprawozdawcze dni odniesienia</w:t>
      </w:r>
    </w:p>
    <w:p w:rsidR="00716EA9" w:rsidRPr="001C651B" w:rsidRDefault="003040A6" w:rsidP="003040A6">
      <w:pPr>
        <w:pStyle w:val="ManualNumPar1"/>
        <w:rPr>
          <w:noProof/>
        </w:rPr>
      </w:pPr>
      <w:r w:rsidRPr="003040A6">
        <w:rPr>
          <w:noProof/>
        </w:rPr>
        <w:t>1.</w:t>
      </w:r>
      <w:r w:rsidRPr="003040A6">
        <w:rPr>
          <w:noProof/>
        </w:rPr>
        <w:tab/>
      </w:r>
      <w:r w:rsidR="00716EA9" w:rsidRPr="001C651B">
        <w:rPr>
          <w:noProof/>
        </w:rPr>
        <w:t>Instytucje przedstawiają właściwym organom informacje,</w:t>
      </w:r>
      <w:r w:rsidR="001C651B" w:rsidRPr="001C651B">
        <w:rPr>
          <w:noProof/>
        </w:rPr>
        <w:t xml:space="preserve"> o</w:t>
      </w:r>
      <w:r w:rsidR="001C651B">
        <w:rPr>
          <w:noProof/>
        </w:rPr>
        <w:t> </w:t>
      </w:r>
      <w:r w:rsidR="001C651B" w:rsidRPr="001C651B">
        <w:rPr>
          <w:noProof/>
        </w:rPr>
        <w:t>któ</w:t>
      </w:r>
      <w:r w:rsidR="00716EA9" w:rsidRPr="001C651B">
        <w:rPr>
          <w:noProof/>
        </w:rPr>
        <w:t>rych mowa</w:t>
      </w:r>
      <w:r w:rsidR="001C651B" w:rsidRPr="001C651B">
        <w:rPr>
          <w:noProof/>
        </w:rPr>
        <w:t xml:space="preserve"> w</w:t>
      </w:r>
      <w:r w:rsidR="001C651B">
        <w:rPr>
          <w:noProof/>
        </w:rPr>
        <w:t> </w:t>
      </w:r>
      <w:r w:rsidR="001C651B" w:rsidRPr="001C651B">
        <w:rPr>
          <w:noProof/>
        </w:rPr>
        <w:t>zał</w:t>
      </w:r>
      <w:r w:rsidR="00716EA9" w:rsidRPr="001C651B">
        <w:rPr>
          <w:noProof/>
        </w:rPr>
        <w:t>ączniku I, według stanu na następujące sprawozdawcze dni odniesienia:</w:t>
      </w:r>
    </w:p>
    <w:p w:rsidR="00716EA9" w:rsidRPr="001C651B" w:rsidRDefault="00D8126A" w:rsidP="00D8126A">
      <w:pPr>
        <w:pStyle w:val="Point1"/>
        <w:rPr>
          <w:noProof/>
        </w:rPr>
      </w:pPr>
      <w:r w:rsidRPr="001C651B">
        <w:rPr>
          <w:noProof/>
        </w:rPr>
        <w:t>a)</w:t>
      </w:r>
      <w:r w:rsidRPr="001C651B">
        <w:rPr>
          <w:noProof/>
        </w:rPr>
        <w:tab/>
      </w:r>
      <w:r w:rsidR="00716EA9" w:rsidRPr="001C651B">
        <w:rPr>
          <w:noProof/>
        </w:rPr>
        <w:t>sprawozdawczość miesięczna: ostatniego dnia każdego miesiąca;</w:t>
      </w:r>
    </w:p>
    <w:p w:rsidR="00716EA9" w:rsidRPr="001C651B" w:rsidRDefault="00D8126A" w:rsidP="00D8126A">
      <w:pPr>
        <w:pStyle w:val="Point1"/>
        <w:rPr>
          <w:noProof/>
        </w:rPr>
      </w:pPr>
      <w:r w:rsidRPr="001C651B">
        <w:rPr>
          <w:noProof/>
        </w:rPr>
        <w:t>b)</w:t>
      </w:r>
      <w:r w:rsidRPr="001C651B">
        <w:rPr>
          <w:noProof/>
        </w:rPr>
        <w:tab/>
      </w:r>
      <w:r w:rsidR="00716EA9" w:rsidRPr="001C651B">
        <w:rPr>
          <w:noProof/>
        </w:rPr>
        <w:t>sprawozdawczość kwartalna: 31 marca, 30 czerwca, 30 września</w:t>
      </w:r>
      <w:r w:rsidR="001C651B" w:rsidRPr="001C651B">
        <w:rPr>
          <w:noProof/>
        </w:rPr>
        <w:t xml:space="preserve"> i</w:t>
      </w:r>
      <w:r w:rsidR="001C651B">
        <w:rPr>
          <w:noProof/>
        </w:rPr>
        <w:t> </w:t>
      </w:r>
      <w:r w:rsidR="001C651B" w:rsidRPr="001C651B">
        <w:rPr>
          <w:noProof/>
        </w:rPr>
        <w:t>3</w:t>
      </w:r>
      <w:r w:rsidR="00716EA9" w:rsidRPr="001C651B">
        <w:rPr>
          <w:noProof/>
        </w:rPr>
        <w:t>1 grudnia;</w:t>
      </w:r>
    </w:p>
    <w:p w:rsidR="00716EA9" w:rsidRPr="001C651B" w:rsidRDefault="00D8126A" w:rsidP="00D8126A">
      <w:pPr>
        <w:pStyle w:val="Point1"/>
        <w:rPr>
          <w:noProof/>
        </w:rPr>
      </w:pPr>
      <w:r w:rsidRPr="001C651B">
        <w:rPr>
          <w:noProof/>
        </w:rPr>
        <w:t>c)</w:t>
      </w:r>
      <w:r w:rsidRPr="001C651B">
        <w:rPr>
          <w:noProof/>
        </w:rPr>
        <w:tab/>
      </w:r>
      <w:r w:rsidR="00716EA9" w:rsidRPr="001C651B">
        <w:rPr>
          <w:noProof/>
        </w:rPr>
        <w:t>sprawozdawczość półroczna: 30 czerwca</w:t>
      </w:r>
      <w:r w:rsidR="001C651B" w:rsidRPr="001C651B">
        <w:rPr>
          <w:noProof/>
        </w:rPr>
        <w:t xml:space="preserve"> i</w:t>
      </w:r>
      <w:r w:rsidR="001C651B">
        <w:rPr>
          <w:noProof/>
        </w:rPr>
        <w:t> </w:t>
      </w:r>
      <w:r w:rsidR="001C651B" w:rsidRPr="001C651B">
        <w:rPr>
          <w:noProof/>
        </w:rPr>
        <w:t>3</w:t>
      </w:r>
      <w:r w:rsidR="00716EA9" w:rsidRPr="001C651B">
        <w:rPr>
          <w:noProof/>
        </w:rPr>
        <w:t>1 grudnia;</w:t>
      </w:r>
    </w:p>
    <w:p w:rsidR="00716EA9" w:rsidRPr="001C651B" w:rsidRDefault="00D8126A" w:rsidP="00D8126A">
      <w:pPr>
        <w:pStyle w:val="Point1"/>
        <w:rPr>
          <w:noProof/>
        </w:rPr>
      </w:pPr>
      <w:r w:rsidRPr="001C651B">
        <w:rPr>
          <w:noProof/>
        </w:rPr>
        <w:t>d)</w:t>
      </w:r>
      <w:r w:rsidRPr="001C651B">
        <w:rPr>
          <w:noProof/>
        </w:rPr>
        <w:tab/>
      </w:r>
      <w:r w:rsidR="00716EA9" w:rsidRPr="001C651B">
        <w:rPr>
          <w:noProof/>
        </w:rPr>
        <w:t>sprawozdawczość roczna: 31 grudnia.</w:t>
      </w:r>
    </w:p>
    <w:p w:rsidR="00716EA9" w:rsidRPr="001C651B" w:rsidRDefault="003040A6" w:rsidP="003040A6">
      <w:pPr>
        <w:pStyle w:val="ManualNumPar1"/>
        <w:rPr>
          <w:noProof/>
        </w:rPr>
      </w:pPr>
      <w:r w:rsidRPr="003040A6">
        <w:rPr>
          <w:noProof/>
        </w:rPr>
        <w:t>2.</w:t>
      </w:r>
      <w:r w:rsidRPr="003040A6">
        <w:rPr>
          <w:noProof/>
        </w:rPr>
        <w:tab/>
      </w:r>
      <w:r w:rsidR="00A50DF2" w:rsidRPr="001C651B">
        <w:rPr>
          <w:noProof/>
        </w:rPr>
        <w:t>Instytucje przedstawiają informacje finansowe,</w:t>
      </w:r>
      <w:r w:rsidR="001C651B" w:rsidRPr="001C651B">
        <w:rPr>
          <w:noProof/>
        </w:rPr>
        <w:t xml:space="preserve"> o</w:t>
      </w:r>
      <w:r w:rsidR="001C651B">
        <w:rPr>
          <w:noProof/>
        </w:rPr>
        <w:t> </w:t>
      </w:r>
      <w:r w:rsidR="001C651B" w:rsidRPr="001C651B">
        <w:rPr>
          <w:noProof/>
        </w:rPr>
        <w:t>któ</w:t>
      </w:r>
      <w:r w:rsidR="00A50DF2" w:rsidRPr="001C651B">
        <w:rPr>
          <w:noProof/>
        </w:rPr>
        <w:t>rych mowa</w:t>
      </w:r>
      <w:r w:rsidR="001C651B" w:rsidRPr="001C651B">
        <w:rPr>
          <w:noProof/>
        </w:rPr>
        <w:t xml:space="preserve"> w</w:t>
      </w:r>
      <w:r w:rsidR="001C651B">
        <w:rPr>
          <w:noProof/>
        </w:rPr>
        <w:t> </w:t>
      </w:r>
      <w:r w:rsidR="001C651B" w:rsidRPr="001C651B">
        <w:rPr>
          <w:noProof/>
        </w:rPr>
        <w:t>zał</w:t>
      </w:r>
      <w:r w:rsidR="00A50DF2" w:rsidRPr="001C651B">
        <w:rPr>
          <w:noProof/>
        </w:rPr>
        <w:t>ączniku I, zgodnie z MSSF</w:t>
      </w:r>
      <w:r w:rsidR="001C651B" w:rsidRPr="001C651B">
        <w:rPr>
          <w:noProof/>
        </w:rPr>
        <w:t xml:space="preserve"> i</w:t>
      </w:r>
      <w:r w:rsidR="001C651B">
        <w:rPr>
          <w:noProof/>
        </w:rPr>
        <w:t> </w:t>
      </w:r>
      <w:r w:rsidR="001C651B" w:rsidRPr="001C651B">
        <w:rPr>
          <w:noProof/>
        </w:rPr>
        <w:t>kra</w:t>
      </w:r>
      <w:r w:rsidR="00A50DF2" w:rsidRPr="001C651B">
        <w:rPr>
          <w:noProof/>
        </w:rPr>
        <w:t>jowymi standardami rachunkowości oraz</w:t>
      </w:r>
      <w:r w:rsidR="001C651B" w:rsidRPr="001C651B">
        <w:rPr>
          <w:noProof/>
        </w:rPr>
        <w:t xml:space="preserve"> w</w:t>
      </w:r>
      <w:r w:rsidR="001C651B">
        <w:rPr>
          <w:noProof/>
        </w:rPr>
        <w:t> </w:t>
      </w:r>
      <w:r w:rsidR="001C651B" w:rsidRPr="001C651B">
        <w:rPr>
          <w:noProof/>
        </w:rPr>
        <w:t>odn</w:t>
      </w:r>
      <w:r w:rsidR="00A50DF2" w:rsidRPr="001C651B">
        <w:rPr>
          <w:noProof/>
        </w:rPr>
        <w:t>iesieniu do określonego okresu łącznie od pierwszego dnia roku obrotowego do dnia odniesienia.</w:t>
      </w:r>
    </w:p>
    <w:p w:rsidR="00716EA9" w:rsidRPr="001C651B" w:rsidRDefault="003040A6" w:rsidP="003040A6">
      <w:pPr>
        <w:pStyle w:val="ManualNumPar1"/>
        <w:rPr>
          <w:noProof/>
        </w:rPr>
      </w:pPr>
      <w:r w:rsidRPr="003040A6">
        <w:rPr>
          <w:noProof/>
        </w:rPr>
        <w:t>3.</w:t>
      </w:r>
      <w:r w:rsidRPr="003040A6">
        <w:rPr>
          <w:noProof/>
        </w:rPr>
        <w:tab/>
      </w:r>
      <w:r w:rsidR="00A50DF2" w:rsidRPr="001C651B">
        <w:rPr>
          <w:noProof/>
        </w:rPr>
        <w:t>Instytucje, którym przepisy krajowe pozwalają na przekazywanie informacji finansowych na podstawie ich roku obrotowego, którego koniec nie pokrywa się</w:t>
      </w:r>
      <w:r w:rsidR="001C651B" w:rsidRPr="001C651B">
        <w:rPr>
          <w:noProof/>
        </w:rPr>
        <w:t xml:space="preserve"> z</w:t>
      </w:r>
      <w:r w:rsidR="001C651B">
        <w:rPr>
          <w:noProof/>
        </w:rPr>
        <w:t> </w:t>
      </w:r>
      <w:r w:rsidR="001C651B" w:rsidRPr="001C651B">
        <w:rPr>
          <w:noProof/>
        </w:rPr>
        <w:t>koń</w:t>
      </w:r>
      <w:r w:rsidR="00A50DF2" w:rsidRPr="001C651B">
        <w:rPr>
          <w:noProof/>
        </w:rPr>
        <w:t>cem roku kalendarzowego, mogą dostosować sprawozdawcze daty odniesienia</w:t>
      </w:r>
      <w:r w:rsidR="001C651B" w:rsidRPr="001C651B">
        <w:rPr>
          <w:noProof/>
        </w:rPr>
        <w:t xml:space="preserve"> w</w:t>
      </w:r>
      <w:r w:rsidR="001C651B">
        <w:rPr>
          <w:noProof/>
        </w:rPr>
        <w:t> </w:t>
      </w:r>
      <w:r w:rsidR="001C651B" w:rsidRPr="001C651B">
        <w:rPr>
          <w:noProof/>
        </w:rPr>
        <w:t>cel</w:t>
      </w:r>
      <w:r w:rsidR="00A50DF2" w:rsidRPr="001C651B">
        <w:rPr>
          <w:noProof/>
        </w:rPr>
        <w:t>u dostosowania tych dat do końca roku obrotowego, tak aby przekazywanie informacji finansowych, informacji zgłaszanych zgodnie</w:t>
      </w:r>
      <w:r w:rsidR="001C651B" w:rsidRPr="001C651B">
        <w:rPr>
          <w:noProof/>
        </w:rPr>
        <w:t xml:space="preserve"> z</w:t>
      </w:r>
      <w:r w:rsidR="001C651B">
        <w:rPr>
          <w:noProof/>
        </w:rPr>
        <w:t> </w:t>
      </w:r>
      <w:r w:rsidR="001C651B" w:rsidRPr="001C651B">
        <w:rPr>
          <w:noProof/>
        </w:rPr>
        <w:t>art</w:t>
      </w:r>
      <w:r w:rsidR="00A50DF2" w:rsidRPr="001C651B">
        <w:rPr>
          <w:noProof/>
        </w:rPr>
        <w:t>.</w:t>
      </w:r>
      <w:r w:rsidR="001C651B" w:rsidRPr="001C651B">
        <w:rPr>
          <w:noProof/>
        </w:rPr>
        <w:t> </w:t>
      </w:r>
      <w:r w:rsidR="00A50DF2" w:rsidRPr="001C651B">
        <w:rPr>
          <w:noProof/>
        </w:rPr>
        <w:t>8</w:t>
      </w:r>
      <w:r w:rsidR="001C651B" w:rsidRPr="001C651B">
        <w:rPr>
          <w:noProof/>
        </w:rPr>
        <w:t xml:space="preserve"> i</w:t>
      </w:r>
      <w:r w:rsidR="001C651B">
        <w:rPr>
          <w:noProof/>
        </w:rPr>
        <w:t> </w:t>
      </w:r>
      <w:r w:rsidR="001C651B" w:rsidRPr="001C651B">
        <w:rPr>
          <w:noProof/>
        </w:rPr>
        <w:t>inf</w:t>
      </w:r>
      <w:r w:rsidR="00A50DF2" w:rsidRPr="001C651B">
        <w:rPr>
          <w:noProof/>
        </w:rPr>
        <w:t>ormacji do celów identyfikowania globalnych instytucji</w:t>
      </w:r>
      <w:r w:rsidR="001C651B" w:rsidRPr="001C651B">
        <w:rPr>
          <w:noProof/>
        </w:rPr>
        <w:t xml:space="preserve"> o</w:t>
      </w:r>
      <w:r w:rsidR="001C651B">
        <w:rPr>
          <w:noProof/>
        </w:rPr>
        <w:t> </w:t>
      </w:r>
      <w:r w:rsidR="001C651B" w:rsidRPr="001C651B">
        <w:rPr>
          <w:noProof/>
        </w:rPr>
        <w:t>zna</w:t>
      </w:r>
      <w:r w:rsidR="00A50DF2" w:rsidRPr="001C651B">
        <w:rPr>
          <w:noProof/>
        </w:rPr>
        <w:t>czeniu systemowym (G-SII)</w:t>
      </w:r>
      <w:r w:rsidR="001C651B" w:rsidRPr="001C651B">
        <w:rPr>
          <w:noProof/>
        </w:rPr>
        <w:t xml:space="preserve"> i</w:t>
      </w:r>
      <w:r w:rsidR="001C651B">
        <w:rPr>
          <w:noProof/>
        </w:rPr>
        <w:t> </w:t>
      </w:r>
      <w:r w:rsidR="001C651B" w:rsidRPr="001C651B">
        <w:rPr>
          <w:noProof/>
        </w:rPr>
        <w:t>prz</w:t>
      </w:r>
      <w:r w:rsidR="00A50DF2" w:rsidRPr="001C651B">
        <w:rPr>
          <w:noProof/>
        </w:rPr>
        <w:t>ypisywania wskaźników bufora G-SII odbywało się odpowiednio co</w:t>
      </w:r>
      <w:r w:rsidR="001C651B" w:rsidRPr="001C651B">
        <w:rPr>
          <w:noProof/>
        </w:rPr>
        <w:t> </w:t>
      </w:r>
      <w:r w:rsidR="00A50DF2" w:rsidRPr="001C651B">
        <w:rPr>
          <w:noProof/>
        </w:rPr>
        <w:t>3, 6 lub</w:t>
      </w:r>
      <w:r w:rsidR="001C651B" w:rsidRPr="001C651B">
        <w:rPr>
          <w:noProof/>
        </w:rPr>
        <w:t> </w:t>
      </w:r>
      <w:r w:rsidR="00A50DF2" w:rsidRPr="001C651B">
        <w:rPr>
          <w:noProof/>
        </w:rPr>
        <w:t>12 miesięcy, począwszy od końca ich roku obrotowego.</w:t>
      </w:r>
    </w:p>
    <w:p w:rsidR="00716EA9" w:rsidRPr="001C651B" w:rsidRDefault="00716EA9" w:rsidP="00716EA9">
      <w:pPr>
        <w:pStyle w:val="Titrearticle"/>
        <w:rPr>
          <w:noProof/>
          <w:szCs w:val="24"/>
        </w:rPr>
      </w:pPr>
      <w:r w:rsidRPr="001C651B">
        <w:rPr>
          <w:noProof/>
        </w:rPr>
        <w:t>Artykuł 3</w:t>
      </w:r>
    </w:p>
    <w:p w:rsidR="00716EA9" w:rsidRPr="001C651B" w:rsidRDefault="00716EA9" w:rsidP="00F22954">
      <w:pPr>
        <w:pStyle w:val="Titrearticle"/>
        <w:spacing w:before="0"/>
        <w:rPr>
          <w:b/>
          <w:bCs/>
          <w:i w:val="0"/>
          <w:iCs/>
          <w:noProof/>
          <w:szCs w:val="24"/>
        </w:rPr>
      </w:pPr>
      <w:r w:rsidRPr="001C651B">
        <w:rPr>
          <w:b/>
          <w:i w:val="0"/>
          <w:noProof/>
        </w:rPr>
        <w:t>Dni przekazania formularzy</w:t>
      </w:r>
    </w:p>
    <w:p w:rsidR="00716EA9" w:rsidRPr="001C651B" w:rsidRDefault="003040A6" w:rsidP="003040A6">
      <w:pPr>
        <w:pStyle w:val="ManualNumPar1"/>
        <w:rPr>
          <w:noProof/>
        </w:rPr>
      </w:pPr>
      <w:r w:rsidRPr="003040A6">
        <w:rPr>
          <w:noProof/>
        </w:rPr>
        <w:t>1.</w:t>
      </w:r>
      <w:r w:rsidRPr="003040A6">
        <w:rPr>
          <w:noProof/>
        </w:rPr>
        <w:tab/>
      </w:r>
      <w:r w:rsidR="00716EA9" w:rsidRPr="001C651B">
        <w:rPr>
          <w:noProof/>
        </w:rPr>
        <w:t>Instytucje przedstawiają właściwym organom informacje,</w:t>
      </w:r>
      <w:r w:rsidR="001C651B" w:rsidRPr="001C651B">
        <w:rPr>
          <w:noProof/>
        </w:rPr>
        <w:t xml:space="preserve"> o</w:t>
      </w:r>
      <w:r w:rsidR="001C651B">
        <w:rPr>
          <w:noProof/>
        </w:rPr>
        <w:t> </w:t>
      </w:r>
      <w:r w:rsidR="001C651B" w:rsidRPr="001C651B">
        <w:rPr>
          <w:noProof/>
        </w:rPr>
        <w:t>któ</w:t>
      </w:r>
      <w:r w:rsidR="00716EA9" w:rsidRPr="001C651B">
        <w:rPr>
          <w:noProof/>
        </w:rPr>
        <w:t>rych mowa</w:t>
      </w:r>
      <w:r w:rsidR="001C651B" w:rsidRPr="001C651B">
        <w:rPr>
          <w:noProof/>
        </w:rPr>
        <w:t xml:space="preserve"> w</w:t>
      </w:r>
      <w:r w:rsidR="001C651B">
        <w:rPr>
          <w:noProof/>
        </w:rPr>
        <w:t> </w:t>
      </w:r>
      <w:r w:rsidR="001C651B" w:rsidRPr="001C651B">
        <w:rPr>
          <w:noProof/>
        </w:rPr>
        <w:t>zał</w:t>
      </w:r>
      <w:r w:rsidR="00716EA9" w:rsidRPr="001C651B">
        <w:rPr>
          <w:noProof/>
        </w:rPr>
        <w:t>ączniku I, przed zakończeniem dnia roboczego</w:t>
      </w:r>
      <w:r w:rsidR="001C651B" w:rsidRPr="001C651B">
        <w:rPr>
          <w:noProof/>
        </w:rPr>
        <w:t xml:space="preserve"> w</w:t>
      </w:r>
      <w:r w:rsidR="001C651B">
        <w:rPr>
          <w:noProof/>
        </w:rPr>
        <w:t> </w:t>
      </w:r>
      <w:r w:rsidR="001C651B" w:rsidRPr="001C651B">
        <w:rPr>
          <w:noProof/>
        </w:rPr>
        <w:t>nas</w:t>
      </w:r>
      <w:r w:rsidR="00716EA9" w:rsidRPr="001C651B">
        <w:rPr>
          <w:noProof/>
        </w:rPr>
        <w:t>tępujących dniach przekazania formularzy:</w:t>
      </w:r>
    </w:p>
    <w:p w:rsidR="00716EA9" w:rsidRPr="001C651B" w:rsidRDefault="00D8126A" w:rsidP="00D8126A">
      <w:pPr>
        <w:pStyle w:val="Point1"/>
        <w:rPr>
          <w:noProof/>
        </w:rPr>
      </w:pPr>
      <w:r w:rsidRPr="001C651B">
        <w:rPr>
          <w:noProof/>
        </w:rPr>
        <w:t>a)</w:t>
      </w:r>
      <w:r w:rsidRPr="001C651B">
        <w:rPr>
          <w:noProof/>
        </w:rPr>
        <w:tab/>
      </w:r>
      <w:r w:rsidR="00716EA9" w:rsidRPr="001C651B">
        <w:rPr>
          <w:noProof/>
        </w:rPr>
        <w:t>sprawozdawczość miesięczna: 15. dzień kalendarzowy po sprawozdawczym dniu odniesienia;</w:t>
      </w:r>
    </w:p>
    <w:p w:rsidR="00716EA9" w:rsidRPr="001C651B" w:rsidRDefault="00D8126A" w:rsidP="00D8126A">
      <w:pPr>
        <w:pStyle w:val="Point1"/>
        <w:rPr>
          <w:noProof/>
        </w:rPr>
      </w:pPr>
      <w:r w:rsidRPr="001C651B">
        <w:rPr>
          <w:noProof/>
        </w:rPr>
        <w:t>b)</w:t>
      </w:r>
      <w:r w:rsidRPr="001C651B">
        <w:rPr>
          <w:noProof/>
        </w:rPr>
        <w:tab/>
      </w:r>
      <w:r w:rsidR="00716EA9" w:rsidRPr="001C651B">
        <w:rPr>
          <w:noProof/>
        </w:rPr>
        <w:t>sprawozdawczość kwartalna: 12 maja, 11 sierpnia, 11 listopada</w:t>
      </w:r>
      <w:r w:rsidR="001C651B" w:rsidRPr="001C651B">
        <w:rPr>
          <w:noProof/>
        </w:rPr>
        <w:t xml:space="preserve"> i</w:t>
      </w:r>
      <w:r w:rsidR="001C651B">
        <w:rPr>
          <w:noProof/>
        </w:rPr>
        <w:t> </w:t>
      </w:r>
      <w:r w:rsidR="001C651B" w:rsidRPr="001C651B">
        <w:rPr>
          <w:noProof/>
        </w:rPr>
        <w:t>1</w:t>
      </w:r>
      <w:r w:rsidR="00716EA9" w:rsidRPr="001C651B">
        <w:rPr>
          <w:noProof/>
        </w:rPr>
        <w:t>1 lutego;</w:t>
      </w:r>
    </w:p>
    <w:p w:rsidR="00716EA9" w:rsidRPr="001C651B" w:rsidRDefault="00D8126A" w:rsidP="00D8126A">
      <w:pPr>
        <w:pStyle w:val="Point1"/>
        <w:rPr>
          <w:noProof/>
        </w:rPr>
      </w:pPr>
      <w:r w:rsidRPr="001C651B">
        <w:rPr>
          <w:noProof/>
        </w:rPr>
        <w:t>c)</w:t>
      </w:r>
      <w:r w:rsidRPr="001C651B">
        <w:rPr>
          <w:noProof/>
        </w:rPr>
        <w:tab/>
      </w:r>
      <w:r w:rsidR="00716EA9" w:rsidRPr="001C651B">
        <w:rPr>
          <w:noProof/>
        </w:rPr>
        <w:t>sprawozdawczość półroczna: 11 sierpnia</w:t>
      </w:r>
      <w:r w:rsidR="001C651B" w:rsidRPr="001C651B">
        <w:rPr>
          <w:noProof/>
        </w:rPr>
        <w:t xml:space="preserve"> i</w:t>
      </w:r>
      <w:r w:rsidR="001C651B">
        <w:rPr>
          <w:noProof/>
        </w:rPr>
        <w:t> </w:t>
      </w:r>
      <w:r w:rsidR="001C651B" w:rsidRPr="001C651B">
        <w:rPr>
          <w:noProof/>
        </w:rPr>
        <w:t>1</w:t>
      </w:r>
      <w:r w:rsidR="00716EA9" w:rsidRPr="001C651B">
        <w:rPr>
          <w:noProof/>
        </w:rPr>
        <w:t>1 lutego;</w:t>
      </w:r>
    </w:p>
    <w:p w:rsidR="00716EA9" w:rsidRPr="001C651B" w:rsidRDefault="00D8126A" w:rsidP="00D8126A">
      <w:pPr>
        <w:pStyle w:val="Point1"/>
        <w:rPr>
          <w:noProof/>
        </w:rPr>
      </w:pPr>
      <w:r w:rsidRPr="001C651B">
        <w:rPr>
          <w:noProof/>
        </w:rPr>
        <w:t>d)</w:t>
      </w:r>
      <w:r w:rsidRPr="001C651B">
        <w:rPr>
          <w:noProof/>
        </w:rPr>
        <w:tab/>
      </w:r>
      <w:r w:rsidR="00716EA9" w:rsidRPr="001C651B">
        <w:rPr>
          <w:noProof/>
        </w:rPr>
        <w:t xml:space="preserve">sprawozdawczość roczna: 11 lutego. </w:t>
      </w:r>
    </w:p>
    <w:p w:rsidR="00716EA9" w:rsidRPr="001C651B" w:rsidRDefault="003040A6" w:rsidP="003040A6">
      <w:pPr>
        <w:pStyle w:val="ManualNumPar1"/>
        <w:rPr>
          <w:noProof/>
        </w:rPr>
      </w:pPr>
      <w:r w:rsidRPr="003040A6">
        <w:rPr>
          <w:noProof/>
        </w:rPr>
        <w:t>2.</w:t>
      </w:r>
      <w:r w:rsidRPr="003040A6">
        <w:rPr>
          <w:noProof/>
        </w:rPr>
        <w:tab/>
      </w:r>
      <w:r w:rsidR="00D637BD" w:rsidRPr="001C651B">
        <w:rPr>
          <w:noProof/>
        </w:rPr>
        <w:t>Jeżeli dzień przekazania jest dniem ustawowo wolnym od pracy</w:t>
      </w:r>
      <w:r w:rsidR="001C651B" w:rsidRPr="001C651B">
        <w:rPr>
          <w:noProof/>
        </w:rPr>
        <w:t xml:space="preserve"> w</w:t>
      </w:r>
      <w:r w:rsidR="001C651B">
        <w:rPr>
          <w:noProof/>
        </w:rPr>
        <w:t> </w:t>
      </w:r>
      <w:r w:rsidR="001C651B" w:rsidRPr="001C651B">
        <w:rPr>
          <w:noProof/>
        </w:rPr>
        <w:t>pań</w:t>
      </w:r>
      <w:r w:rsidR="00D637BD" w:rsidRPr="001C651B">
        <w:rPr>
          <w:noProof/>
        </w:rPr>
        <w:t>stwie członkowskim właściwego organu, któremu należy przedstawić sprawozdanie, bądź wypada</w:t>
      </w:r>
      <w:r w:rsidR="001C651B" w:rsidRPr="001C651B">
        <w:rPr>
          <w:noProof/>
        </w:rPr>
        <w:t xml:space="preserve"> w</w:t>
      </w:r>
      <w:r w:rsidR="001C651B">
        <w:rPr>
          <w:noProof/>
        </w:rPr>
        <w:t> </w:t>
      </w:r>
      <w:r w:rsidR="001C651B" w:rsidRPr="001C651B">
        <w:rPr>
          <w:noProof/>
        </w:rPr>
        <w:t>sob</w:t>
      </w:r>
      <w:r w:rsidR="00D637BD" w:rsidRPr="001C651B">
        <w:rPr>
          <w:noProof/>
        </w:rPr>
        <w:t>otę lub niedzielę, instytucje, których to dotyczy, przekazują dane następnego dnia roboczego.</w:t>
      </w:r>
    </w:p>
    <w:p w:rsidR="00716EA9" w:rsidRPr="001C651B" w:rsidRDefault="003040A6" w:rsidP="003040A6">
      <w:pPr>
        <w:pStyle w:val="ManualNumPar1"/>
        <w:rPr>
          <w:noProof/>
        </w:rPr>
      </w:pPr>
      <w:r w:rsidRPr="003040A6">
        <w:rPr>
          <w:noProof/>
        </w:rPr>
        <w:t>3.</w:t>
      </w:r>
      <w:r w:rsidRPr="003040A6">
        <w:rPr>
          <w:noProof/>
        </w:rPr>
        <w:tab/>
      </w:r>
      <w:r w:rsidR="00923761" w:rsidRPr="001C651B">
        <w:rPr>
          <w:noProof/>
        </w:rPr>
        <w:t>Instytucje, które przekazują informacje finansowe,</w:t>
      </w:r>
      <w:r w:rsidR="001C651B" w:rsidRPr="001C651B">
        <w:rPr>
          <w:noProof/>
        </w:rPr>
        <w:t xml:space="preserve"> o</w:t>
      </w:r>
      <w:r w:rsidR="001C651B">
        <w:rPr>
          <w:noProof/>
        </w:rPr>
        <w:t> </w:t>
      </w:r>
      <w:r w:rsidR="001C651B" w:rsidRPr="001C651B">
        <w:rPr>
          <w:noProof/>
        </w:rPr>
        <w:t>któ</w:t>
      </w:r>
      <w:r w:rsidR="00923761" w:rsidRPr="001C651B">
        <w:rPr>
          <w:noProof/>
        </w:rPr>
        <w:t>rych mowa</w:t>
      </w:r>
      <w:r w:rsidR="001C651B" w:rsidRPr="001C651B">
        <w:rPr>
          <w:noProof/>
        </w:rPr>
        <w:t xml:space="preserve"> w</w:t>
      </w:r>
      <w:r w:rsidR="001C651B">
        <w:rPr>
          <w:noProof/>
        </w:rPr>
        <w:t> </w:t>
      </w:r>
      <w:r w:rsidR="001C651B" w:rsidRPr="001C651B">
        <w:rPr>
          <w:noProof/>
        </w:rPr>
        <w:t>zał</w:t>
      </w:r>
      <w:r w:rsidR="00923761" w:rsidRPr="001C651B">
        <w:rPr>
          <w:noProof/>
        </w:rPr>
        <w:t>ączniku I, lub informacje zgłaszane zgodnie</w:t>
      </w:r>
      <w:r w:rsidR="001C651B" w:rsidRPr="001C651B">
        <w:rPr>
          <w:noProof/>
        </w:rPr>
        <w:t xml:space="preserve"> z</w:t>
      </w:r>
      <w:r w:rsidR="001C651B">
        <w:rPr>
          <w:noProof/>
        </w:rPr>
        <w:t> </w:t>
      </w:r>
      <w:r w:rsidR="001C651B" w:rsidRPr="001C651B">
        <w:rPr>
          <w:noProof/>
        </w:rPr>
        <w:t>art</w:t>
      </w:r>
      <w:r w:rsidR="00923761" w:rsidRPr="001C651B">
        <w:rPr>
          <w:noProof/>
        </w:rPr>
        <w:t>.</w:t>
      </w:r>
      <w:r w:rsidR="001C651B" w:rsidRPr="001C651B">
        <w:rPr>
          <w:noProof/>
        </w:rPr>
        <w:t> </w:t>
      </w:r>
      <w:r w:rsidR="00923761" w:rsidRPr="001C651B">
        <w:rPr>
          <w:noProof/>
        </w:rPr>
        <w:t>8, lub informacje do celów identyfikowania G-SII</w:t>
      </w:r>
      <w:r w:rsidR="001C651B" w:rsidRPr="001C651B">
        <w:rPr>
          <w:noProof/>
        </w:rPr>
        <w:t xml:space="preserve"> i</w:t>
      </w:r>
      <w:r w:rsidR="001C651B">
        <w:rPr>
          <w:noProof/>
        </w:rPr>
        <w:t> </w:t>
      </w:r>
      <w:r w:rsidR="001C651B" w:rsidRPr="001C651B">
        <w:rPr>
          <w:noProof/>
        </w:rPr>
        <w:t>prz</w:t>
      </w:r>
      <w:r w:rsidR="00923761" w:rsidRPr="001C651B">
        <w:rPr>
          <w:noProof/>
        </w:rPr>
        <w:t>ypisywania wskaźników bufora G-SII według dostosowanych sprawozdawczych dni odniesienia na podstawie końca ich roku obrotowego, jak określono</w:t>
      </w:r>
      <w:r w:rsidR="001C651B" w:rsidRPr="001C651B">
        <w:rPr>
          <w:noProof/>
        </w:rPr>
        <w:t xml:space="preserve"> w</w:t>
      </w:r>
      <w:r w:rsidR="001C651B">
        <w:rPr>
          <w:noProof/>
        </w:rPr>
        <w:t> </w:t>
      </w:r>
      <w:r w:rsidR="001C651B" w:rsidRPr="001C651B">
        <w:rPr>
          <w:noProof/>
        </w:rPr>
        <w:t>art</w:t>
      </w:r>
      <w:r w:rsidR="00923761" w:rsidRPr="001C651B">
        <w:rPr>
          <w:noProof/>
        </w:rPr>
        <w:t>.</w:t>
      </w:r>
      <w:r w:rsidR="001C651B" w:rsidRPr="001C651B">
        <w:rPr>
          <w:noProof/>
        </w:rPr>
        <w:t> </w:t>
      </w:r>
      <w:r w:rsidR="00923761" w:rsidRPr="001C651B">
        <w:rPr>
          <w:noProof/>
        </w:rPr>
        <w:t>2 ust.</w:t>
      </w:r>
      <w:r w:rsidR="001C651B" w:rsidRPr="001C651B">
        <w:rPr>
          <w:noProof/>
        </w:rPr>
        <w:t> </w:t>
      </w:r>
      <w:r w:rsidR="00923761" w:rsidRPr="001C651B">
        <w:rPr>
          <w:noProof/>
        </w:rPr>
        <w:t>3, mogą dostosować dni przekazania formularzy tak, aby zachować taki sam okres przekazywania danych, jak wynika</w:t>
      </w:r>
      <w:r w:rsidR="001C651B" w:rsidRPr="001C651B">
        <w:rPr>
          <w:noProof/>
        </w:rPr>
        <w:t xml:space="preserve"> z</w:t>
      </w:r>
      <w:r w:rsidR="001C651B">
        <w:rPr>
          <w:noProof/>
        </w:rPr>
        <w:t> </w:t>
      </w:r>
      <w:r w:rsidR="001C651B" w:rsidRPr="001C651B">
        <w:rPr>
          <w:noProof/>
        </w:rPr>
        <w:t>dos</w:t>
      </w:r>
      <w:r w:rsidR="00923761" w:rsidRPr="001C651B">
        <w:rPr>
          <w:noProof/>
        </w:rPr>
        <w:t>tosowanego sprawozdawczego dnia odniesienia.</w:t>
      </w:r>
    </w:p>
    <w:p w:rsidR="00716EA9" w:rsidRPr="001C651B" w:rsidRDefault="003040A6" w:rsidP="003040A6">
      <w:pPr>
        <w:pStyle w:val="ManualNumPar1"/>
        <w:rPr>
          <w:noProof/>
        </w:rPr>
      </w:pPr>
      <w:r w:rsidRPr="003040A6">
        <w:rPr>
          <w:noProof/>
        </w:rPr>
        <w:t>4.</w:t>
      </w:r>
      <w:r w:rsidRPr="003040A6">
        <w:rPr>
          <w:noProof/>
        </w:rPr>
        <w:tab/>
      </w:r>
      <w:r w:rsidR="00716EA9" w:rsidRPr="001C651B">
        <w:rPr>
          <w:noProof/>
        </w:rPr>
        <w:t>Instytucje mogą przekazywać dane niezweryfikowane. Jeżeli dane zweryfikowane różnią się od przekazanych danych niezweryfikowanych, instytucje przekazują zmienione, zweryfikowane dane bez zbędnej zwłoki. Dane niezweryfikowane są to dane,</w:t>
      </w:r>
      <w:r w:rsidR="001C651B" w:rsidRPr="001C651B">
        <w:rPr>
          <w:noProof/>
        </w:rPr>
        <w:t xml:space="preserve"> w</w:t>
      </w:r>
      <w:r w:rsidR="001C651B">
        <w:rPr>
          <w:noProof/>
        </w:rPr>
        <w:t> </w:t>
      </w:r>
      <w:r w:rsidR="001C651B" w:rsidRPr="001C651B">
        <w:rPr>
          <w:noProof/>
        </w:rPr>
        <w:t>odn</w:t>
      </w:r>
      <w:r w:rsidR="00716EA9" w:rsidRPr="001C651B">
        <w:rPr>
          <w:noProof/>
        </w:rPr>
        <w:t>iesieniu do których nie została wydana opinia audytora zewnętrznego, natomiast dane zweryfikowane to dane, które zostały zweryfikowane przez audytora zewnętrznego, który wydał opinię.</w:t>
      </w:r>
    </w:p>
    <w:p w:rsidR="00716EA9" w:rsidRPr="001C651B" w:rsidRDefault="003040A6" w:rsidP="003040A6">
      <w:pPr>
        <w:pStyle w:val="ManualNumPar1"/>
        <w:rPr>
          <w:noProof/>
        </w:rPr>
      </w:pPr>
      <w:r w:rsidRPr="003040A6">
        <w:rPr>
          <w:noProof/>
        </w:rPr>
        <w:t>5.</w:t>
      </w:r>
      <w:r w:rsidRPr="003040A6">
        <w:rPr>
          <w:noProof/>
        </w:rPr>
        <w:tab/>
      </w:r>
      <w:r w:rsidR="00F22954" w:rsidRPr="001C651B">
        <w:rPr>
          <w:noProof/>
        </w:rPr>
        <w:t>Instytucje bez zbędnej zwłoki przekazują właściwym organom korekty do przedstawionych sprawozdań inne niż korekty,</w:t>
      </w:r>
      <w:r w:rsidR="001C651B" w:rsidRPr="001C651B">
        <w:rPr>
          <w:noProof/>
        </w:rPr>
        <w:t xml:space="preserve"> o</w:t>
      </w:r>
      <w:r w:rsidR="001C651B">
        <w:rPr>
          <w:noProof/>
        </w:rPr>
        <w:t> </w:t>
      </w:r>
      <w:r w:rsidR="001C651B" w:rsidRPr="001C651B">
        <w:rPr>
          <w:noProof/>
        </w:rPr>
        <w:t>któ</w:t>
      </w:r>
      <w:r w:rsidR="00F22954" w:rsidRPr="001C651B">
        <w:rPr>
          <w:noProof/>
        </w:rPr>
        <w:t>rych mowa</w:t>
      </w:r>
      <w:r w:rsidR="001C651B" w:rsidRPr="001C651B">
        <w:rPr>
          <w:noProof/>
        </w:rPr>
        <w:t xml:space="preserve"> w</w:t>
      </w:r>
      <w:r w:rsidR="001C651B">
        <w:rPr>
          <w:noProof/>
        </w:rPr>
        <w:t> </w:t>
      </w:r>
      <w:r w:rsidR="001C651B" w:rsidRPr="001C651B">
        <w:rPr>
          <w:noProof/>
        </w:rPr>
        <w:t>ust</w:t>
      </w:r>
      <w:r w:rsidR="00F22954" w:rsidRPr="001C651B">
        <w:rPr>
          <w:noProof/>
        </w:rPr>
        <w:t>.</w:t>
      </w:r>
      <w:r w:rsidR="001C651B" w:rsidRPr="001C651B">
        <w:rPr>
          <w:noProof/>
        </w:rPr>
        <w:t> </w:t>
      </w:r>
      <w:r w:rsidR="00F22954" w:rsidRPr="001C651B">
        <w:rPr>
          <w:noProof/>
        </w:rPr>
        <w:t>4.</w:t>
      </w:r>
    </w:p>
    <w:p w:rsidR="00716EA9" w:rsidRPr="001C651B" w:rsidRDefault="00716EA9" w:rsidP="00716EA9">
      <w:pPr>
        <w:pStyle w:val="Titrearticle"/>
        <w:rPr>
          <w:noProof/>
          <w:szCs w:val="24"/>
        </w:rPr>
      </w:pPr>
      <w:r w:rsidRPr="001C651B">
        <w:rPr>
          <w:noProof/>
        </w:rPr>
        <w:t>Artykuł 4</w:t>
      </w:r>
    </w:p>
    <w:p w:rsidR="00716EA9" w:rsidRPr="001C651B" w:rsidRDefault="00716EA9" w:rsidP="00F22954">
      <w:pPr>
        <w:pStyle w:val="Titrearticle"/>
        <w:spacing w:before="0"/>
        <w:rPr>
          <w:b/>
          <w:bCs/>
          <w:i w:val="0"/>
          <w:iCs/>
          <w:noProof/>
          <w:szCs w:val="24"/>
        </w:rPr>
      </w:pPr>
      <w:r w:rsidRPr="001C651B">
        <w:rPr>
          <w:b/>
          <w:i w:val="0"/>
          <w:noProof/>
        </w:rPr>
        <w:t>Progi sprawozdawczości – kryteria wejściowe</w:t>
      </w:r>
      <w:r w:rsidR="001C651B" w:rsidRPr="001C651B">
        <w:rPr>
          <w:b/>
          <w:i w:val="0"/>
          <w:noProof/>
        </w:rPr>
        <w:t xml:space="preserve"> i</w:t>
      </w:r>
      <w:r w:rsidR="001C651B">
        <w:rPr>
          <w:b/>
          <w:i w:val="0"/>
          <w:noProof/>
        </w:rPr>
        <w:t> </w:t>
      </w:r>
      <w:r w:rsidR="001C651B" w:rsidRPr="001C651B">
        <w:rPr>
          <w:b/>
          <w:i w:val="0"/>
          <w:noProof/>
        </w:rPr>
        <w:t>wyj</w:t>
      </w:r>
      <w:r w:rsidRPr="001C651B">
        <w:rPr>
          <w:b/>
          <w:i w:val="0"/>
          <w:noProof/>
        </w:rPr>
        <w:t>ściowe</w:t>
      </w:r>
    </w:p>
    <w:p w:rsidR="00716EA9" w:rsidRPr="001C651B" w:rsidRDefault="003040A6" w:rsidP="003040A6">
      <w:pPr>
        <w:pStyle w:val="ManualNumPar1"/>
        <w:rPr>
          <w:noProof/>
        </w:rPr>
      </w:pPr>
      <w:r w:rsidRPr="003040A6">
        <w:rPr>
          <w:noProof/>
        </w:rPr>
        <w:t>1.</w:t>
      </w:r>
      <w:r w:rsidRPr="003040A6">
        <w:rPr>
          <w:noProof/>
        </w:rPr>
        <w:tab/>
      </w:r>
      <w:r w:rsidR="003F44DA" w:rsidRPr="001C651B">
        <w:rPr>
          <w:noProof/>
        </w:rPr>
        <w:t>Małe</w:t>
      </w:r>
      <w:r w:rsidR="001C651B" w:rsidRPr="001C651B">
        <w:rPr>
          <w:noProof/>
        </w:rPr>
        <w:t xml:space="preserve"> i</w:t>
      </w:r>
      <w:r w:rsidR="001C651B">
        <w:rPr>
          <w:noProof/>
        </w:rPr>
        <w:t> </w:t>
      </w:r>
      <w:r w:rsidR="001C651B" w:rsidRPr="001C651B">
        <w:rPr>
          <w:noProof/>
        </w:rPr>
        <w:t>nie</w:t>
      </w:r>
      <w:r w:rsidR="003F44DA" w:rsidRPr="001C651B">
        <w:rPr>
          <w:noProof/>
        </w:rPr>
        <w:t>złożone instytucje rozpoczynają przekazywanie informacji,</w:t>
      </w:r>
      <w:r w:rsidR="001C651B" w:rsidRPr="001C651B">
        <w:rPr>
          <w:noProof/>
        </w:rPr>
        <w:t xml:space="preserve"> o</w:t>
      </w:r>
      <w:r w:rsidR="001C651B">
        <w:rPr>
          <w:noProof/>
        </w:rPr>
        <w:t> </w:t>
      </w:r>
      <w:r w:rsidR="001C651B" w:rsidRPr="001C651B">
        <w:rPr>
          <w:noProof/>
        </w:rPr>
        <w:t>któ</w:t>
      </w:r>
      <w:r w:rsidR="003F44DA" w:rsidRPr="001C651B">
        <w:rPr>
          <w:noProof/>
        </w:rPr>
        <w:t>rych mowa</w:t>
      </w:r>
      <w:r w:rsidR="001C651B" w:rsidRPr="001C651B">
        <w:rPr>
          <w:noProof/>
        </w:rPr>
        <w:t xml:space="preserve"> w</w:t>
      </w:r>
      <w:r w:rsidR="001C651B">
        <w:rPr>
          <w:noProof/>
        </w:rPr>
        <w:t> </w:t>
      </w:r>
      <w:r w:rsidR="001C651B" w:rsidRPr="001C651B">
        <w:rPr>
          <w:noProof/>
        </w:rPr>
        <w:t>zał</w:t>
      </w:r>
      <w:r w:rsidR="003F44DA" w:rsidRPr="001C651B">
        <w:rPr>
          <w:noProof/>
        </w:rPr>
        <w:t>ączniku I,</w:t>
      </w:r>
      <w:r w:rsidR="001C651B" w:rsidRPr="001C651B">
        <w:rPr>
          <w:noProof/>
        </w:rPr>
        <w:t xml:space="preserve"> w</w:t>
      </w:r>
      <w:r w:rsidR="001C651B">
        <w:rPr>
          <w:noProof/>
        </w:rPr>
        <w:t> </w:t>
      </w:r>
      <w:r w:rsidR="001C651B" w:rsidRPr="001C651B">
        <w:rPr>
          <w:noProof/>
        </w:rPr>
        <w:t>pie</w:t>
      </w:r>
      <w:r w:rsidR="003F44DA" w:rsidRPr="001C651B">
        <w:rPr>
          <w:noProof/>
        </w:rPr>
        <w:t>rwszym sprawozdawczym dniu odniesienia następującym po dniu,</w:t>
      </w:r>
      <w:r w:rsidR="001C651B" w:rsidRPr="001C651B">
        <w:rPr>
          <w:noProof/>
        </w:rPr>
        <w:t xml:space="preserve"> w</w:t>
      </w:r>
      <w:r w:rsidR="001C651B">
        <w:rPr>
          <w:noProof/>
        </w:rPr>
        <w:t> </w:t>
      </w:r>
      <w:r w:rsidR="001C651B" w:rsidRPr="001C651B">
        <w:rPr>
          <w:noProof/>
        </w:rPr>
        <w:t>któ</w:t>
      </w:r>
      <w:r w:rsidR="003F44DA" w:rsidRPr="001C651B">
        <w:rPr>
          <w:noProof/>
        </w:rPr>
        <w:t>rym spełniły kryteria określone</w:t>
      </w:r>
      <w:r w:rsidR="001C651B" w:rsidRPr="001C651B">
        <w:rPr>
          <w:noProof/>
        </w:rPr>
        <w:t xml:space="preserve"> w</w:t>
      </w:r>
      <w:r w:rsidR="001C651B">
        <w:rPr>
          <w:noProof/>
        </w:rPr>
        <w:t> </w:t>
      </w:r>
      <w:r w:rsidR="001C651B" w:rsidRPr="001C651B">
        <w:rPr>
          <w:noProof/>
        </w:rPr>
        <w:t>art</w:t>
      </w:r>
      <w:r w:rsidR="003F44DA" w:rsidRPr="001C651B">
        <w:rPr>
          <w:noProof/>
        </w:rPr>
        <w:t>.</w:t>
      </w:r>
      <w:r w:rsidR="001C651B" w:rsidRPr="001C651B">
        <w:rPr>
          <w:noProof/>
        </w:rPr>
        <w:t> </w:t>
      </w:r>
      <w:r w:rsidR="003F44DA" w:rsidRPr="001C651B">
        <w:rPr>
          <w:noProof/>
        </w:rPr>
        <w:t>4 ust.</w:t>
      </w:r>
      <w:r w:rsidR="001C651B" w:rsidRPr="001C651B">
        <w:rPr>
          <w:noProof/>
        </w:rPr>
        <w:t> </w:t>
      </w:r>
      <w:r w:rsidR="003F44DA" w:rsidRPr="001C651B">
        <w:rPr>
          <w:noProof/>
        </w:rPr>
        <w:t>1 pkt</w:t>
      </w:r>
      <w:r w:rsidR="001C651B" w:rsidRPr="001C651B">
        <w:rPr>
          <w:noProof/>
        </w:rPr>
        <w:t> </w:t>
      </w:r>
      <w:r w:rsidR="003F44DA" w:rsidRPr="001C651B">
        <w:rPr>
          <w:noProof/>
        </w:rPr>
        <w:t>145 rozporządzenia (UE) nr</w:t>
      </w:r>
      <w:r w:rsidR="001C651B" w:rsidRPr="001C651B">
        <w:rPr>
          <w:noProof/>
        </w:rPr>
        <w:t> </w:t>
      </w:r>
      <w:r w:rsidR="003F44DA" w:rsidRPr="001C651B">
        <w:rPr>
          <w:noProof/>
        </w:rPr>
        <w:t>575/2013. Instytucje, które przestały spełniać te kryteria, zaprzestają przekazywania tych informacji</w:t>
      </w:r>
      <w:r w:rsidR="001C651B" w:rsidRPr="001C651B">
        <w:rPr>
          <w:noProof/>
        </w:rPr>
        <w:t xml:space="preserve"> w</w:t>
      </w:r>
      <w:r w:rsidR="001C651B">
        <w:rPr>
          <w:noProof/>
        </w:rPr>
        <w:t> </w:t>
      </w:r>
      <w:r w:rsidR="001C651B" w:rsidRPr="001C651B">
        <w:rPr>
          <w:noProof/>
        </w:rPr>
        <w:t>pie</w:t>
      </w:r>
      <w:r w:rsidR="003F44DA" w:rsidRPr="001C651B">
        <w:rPr>
          <w:noProof/>
        </w:rPr>
        <w:t>rwszym sprawozdawczym dniu odniesienia następującym po dniu,</w:t>
      </w:r>
      <w:r w:rsidR="001C651B" w:rsidRPr="001C651B">
        <w:rPr>
          <w:noProof/>
        </w:rPr>
        <w:t xml:space="preserve"> w</w:t>
      </w:r>
      <w:r w:rsidR="001C651B">
        <w:rPr>
          <w:noProof/>
        </w:rPr>
        <w:t> </w:t>
      </w:r>
      <w:r w:rsidR="001C651B" w:rsidRPr="001C651B">
        <w:rPr>
          <w:noProof/>
        </w:rPr>
        <w:t>któ</w:t>
      </w:r>
      <w:r w:rsidR="003F44DA" w:rsidRPr="001C651B">
        <w:rPr>
          <w:noProof/>
        </w:rPr>
        <w:t>rym przestały spełniać te kryteria.</w:t>
      </w:r>
    </w:p>
    <w:p w:rsidR="00716EA9" w:rsidRPr="001C651B" w:rsidRDefault="003040A6" w:rsidP="003040A6">
      <w:pPr>
        <w:pStyle w:val="ManualNumPar1"/>
        <w:rPr>
          <w:noProof/>
        </w:rPr>
      </w:pPr>
      <w:r w:rsidRPr="003040A6">
        <w:rPr>
          <w:noProof/>
        </w:rPr>
        <w:t>2.</w:t>
      </w:r>
      <w:r w:rsidRPr="003040A6">
        <w:rPr>
          <w:noProof/>
        </w:rPr>
        <w:tab/>
      </w:r>
      <w:r w:rsidR="003F44DA" w:rsidRPr="001C651B">
        <w:rPr>
          <w:noProof/>
        </w:rPr>
        <w:t>Duże instytucje rozpoczynają przekazywanie informacji,</w:t>
      </w:r>
      <w:r w:rsidR="001C651B" w:rsidRPr="001C651B">
        <w:rPr>
          <w:noProof/>
        </w:rPr>
        <w:t xml:space="preserve"> o</w:t>
      </w:r>
      <w:r w:rsidR="001C651B">
        <w:rPr>
          <w:noProof/>
        </w:rPr>
        <w:t> </w:t>
      </w:r>
      <w:r w:rsidR="001C651B" w:rsidRPr="001C651B">
        <w:rPr>
          <w:noProof/>
        </w:rPr>
        <w:t>któ</w:t>
      </w:r>
      <w:r w:rsidR="003F44DA" w:rsidRPr="001C651B">
        <w:rPr>
          <w:noProof/>
        </w:rPr>
        <w:t>rych mowa</w:t>
      </w:r>
      <w:r w:rsidR="001C651B" w:rsidRPr="001C651B">
        <w:rPr>
          <w:noProof/>
        </w:rPr>
        <w:t xml:space="preserve"> w</w:t>
      </w:r>
      <w:r w:rsidR="001C651B">
        <w:rPr>
          <w:noProof/>
        </w:rPr>
        <w:t> </w:t>
      </w:r>
      <w:r w:rsidR="001C651B" w:rsidRPr="001C651B">
        <w:rPr>
          <w:noProof/>
        </w:rPr>
        <w:t>zał</w:t>
      </w:r>
      <w:r w:rsidR="003F44DA" w:rsidRPr="001C651B">
        <w:rPr>
          <w:noProof/>
        </w:rPr>
        <w:t>ączniku I,</w:t>
      </w:r>
      <w:r w:rsidR="001C651B" w:rsidRPr="001C651B">
        <w:rPr>
          <w:noProof/>
        </w:rPr>
        <w:t xml:space="preserve"> w</w:t>
      </w:r>
      <w:r w:rsidR="001C651B">
        <w:rPr>
          <w:noProof/>
        </w:rPr>
        <w:t> </w:t>
      </w:r>
      <w:r w:rsidR="001C651B" w:rsidRPr="001C651B">
        <w:rPr>
          <w:noProof/>
        </w:rPr>
        <w:t>pie</w:t>
      </w:r>
      <w:r w:rsidR="003F44DA" w:rsidRPr="001C651B">
        <w:rPr>
          <w:noProof/>
        </w:rPr>
        <w:t>rwszym sprawozdawczym dniu odniesienia następującym po dniu,</w:t>
      </w:r>
      <w:r w:rsidR="001C651B" w:rsidRPr="001C651B">
        <w:rPr>
          <w:noProof/>
        </w:rPr>
        <w:t xml:space="preserve"> w</w:t>
      </w:r>
      <w:r w:rsidR="001C651B">
        <w:rPr>
          <w:noProof/>
        </w:rPr>
        <w:t> </w:t>
      </w:r>
      <w:r w:rsidR="001C651B" w:rsidRPr="001C651B">
        <w:rPr>
          <w:noProof/>
        </w:rPr>
        <w:t>któ</w:t>
      </w:r>
      <w:r w:rsidR="003F44DA" w:rsidRPr="001C651B">
        <w:rPr>
          <w:noProof/>
        </w:rPr>
        <w:t>rym spełniły kryteria określone</w:t>
      </w:r>
      <w:r w:rsidR="001C651B" w:rsidRPr="001C651B">
        <w:rPr>
          <w:noProof/>
        </w:rPr>
        <w:t xml:space="preserve"> w</w:t>
      </w:r>
      <w:r w:rsidR="001C651B">
        <w:rPr>
          <w:noProof/>
        </w:rPr>
        <w:t> </w:t>
      </w:r>
      <w:r w:rsidR="001C651B" w:rsidRPr="001C651B">
        <w:rPr>
          <w:noProof/>
        </w:rPr>
        <w:t>art</w:t>
      </w:r>
      <w:r w:rsidR="003F44DA" w:rsidRPr="001C651B">
        <w:rPr>
          <w:noProof/>
        </w:rPr>
        <w:t>.</w:t>
      </w:r>
      <w:r w:rsidR="001C651B" w:rsidRPr="001C651B">
        <w:rPr>
          <w:noProof/>
        </w:rPr>
        <w:t> </w:t>
      </w:r>
      <w:r w:rsidR="003F44DA" w:rsidRPr="001C651B">
        <w:rPr>
          <w:noProof/>
        </w:rPr>
        <w:t>4 ust.</w:t>
      </w:r>
      <w:r w:rsidR="001C651B" w:rsidRPr="001C651B">
        <w:rPr>
          <w:noProof/>
        </w:rPr>
        <w:t> </w:t>
      </w:r>
      <w:r w:rsidR="003F44DA" w:rsidRPr="001C651B">
        <w:rPr>
          <w:noProof/>
        </w:rPr>
        <w:t>1 pkt</w:t>
      </w:r>
      <w:r w:rsidR="001C651B" w:rsidRPr="001C651B">
        <w:rPr>
          <w:noProof/>
        </w:rPr>
        <w:t> </w:t>
      </w:r>
      <w:r w:rsidR="003F44DA" w:rsidRPr="001C651B">
        <w:rPr>
          <w:noProof/>
        </w:rPr>
        <w:t>146 rozporządzenia (UE) nr</w:t>
      </w:r>
      <w:r w:rsidR="001C651B" w:rsidRPr="001C651B">
        <w:rPr>
          <w:noProof/>
        </w:rPr>
        <w:t> </w:t>
      </w:r>
      <w:r w:rsidR="003F44DA" w:rsidRPr="001C651B">
        <w:rPr>
          <w:noProof/>
        </w:rPr>
        <w:t>575/2013. Instytucje, które przestały spełniać te kryteria, zaprzestają przekazywania tych informacji</w:t>
      </w:r>
      <w:r w:rsidR="001C651B" w:rsidRPr="001C651B">
        <w:rPr>
          <w:noProof/>
        </w:rPr>
        <w:t xml:space="preserve"> w</w:t>
      </w:r>
      <w:r w:rsidR="001C651B">
        <w:rPr>
          <w:noProof/>
        </w:rPr>
        <w:t> </w:t>
      </w:r>
      <w:r w:rsidR="001C651B" w:rsidRPr="001C651B">
        <w:rPr>
          <w:noProof/>
        </w:rPr>
        <w:t>pie</w:t>
      </w:r>
      <w:r w:rsidR="003F44DA" w:rsidRPr="001C651B">
        <w:rPr>
          <w:noProof/>
        </w:rPr>
        <w:t>rwszym sprawozdawczym dniu odniesienia,</w:t>
      </w:r>
      <w:r w:rsidR="001C651B" w:rsidRPr="001C651B">
        <w:rPr>
          <w:noProof/>
        </w:rPr>
        <w:t xml:space="preserve"> w</w:t>
      </w:r>
      <w:r w:rsidR="001C651B">
        <w:rPr>
          <w:noProof/>
        </w:rPr>
        <w:t> </w:t>
      </w:r>
      <w:r w:rsidR="001C651B" w:rsidRPr="001C651B">
        <w:rPr>
          <w:noProof/>
        </w:rPr>
        <w:t>któ</w:t>
      </w:r>
      <w:r w:rsidR="003F44DA" w:rsidRPr="001C651B">
        <w:rPr>
          <w:noProof/>
        </w:rPr>
        <w:t>rym przestały spełniać te kryteria.</w:t>
      </w:r>
    </w:p>
    <w:p w:rsidR="00716EA9" w:rsidRPr="001C651B" w:rsidRDefault="003040A6" w:rsidP="003040A6">
      <w:pPr>
        <w:pStyle w:val="ManualNumPar1"/>
        <w:rPr>
          <w:noProof/>
        </w:rPr>
      </w:pPr>
      <w:r w:rsidRPr="003040A6">
        <w:rPr>
          <w:noProof/>
        </w:rPr>
        <w:t>3.</w:t>
      </w:r>
      <w:r w:rsidRPr="003040A6">
        <w:rPr>
          <w:noProof/>
        </w:rPr>
        <w:tab/>
      </w:r>
      <w:r w:rsidR="00716EA9" w:rsidRPr="001C651B">
        <w:rPr>
          <w:noProof/>
        </w:rPr>
        <w:t>Instytucje rozpoczynają przekazywanie informacji,</w:t>
      </w:r>
      <w:r w:rsidR="001C651B" w:rsidRPr="001C651B">
        <w:rPr>
          <w:noProof/>
        </w:rPr>
        <w:t xml:space="preserve"> o</w:t>
      </w:r>
      <w:r w:rsidR="001C651B">
        <w:rPr>
          <w:noProof/>
        </w:rPr>
        <w:t> </w:t>
      </w:r>
      <w:r w:rsidR="001C651B" w:rsidRPr="001C651B">
        <w:rPr>
          <w:noProof/>
        </w:rPr>
        <w:t>któ</w:t>
      </w:r>
      <w:r w:rsidR="00716EA9" w:rsidRPr="001C651B">
        <w:rPr>
          <w:noProof/>
        </w:rPr>
        <w:t>rych mowa</w:t>
      </w:r>
      <w:r w:rsidR="001C651B" w:rsidRPr="001C651B">
        <w:rPr>
          <w:noProof/>
        </w:rPr>
        <w:t xml:space="preserve"> w</w:t>
      </w:r>
      <w:r w:rsidR="001C651B">
        <w:rPr>
          <w:noProof/>
        </w:rPr>
        <w:t> </w:t>
      </w:r>
      <w:r w:rsidR="001C651B" w:rsidRPr="001C651B">
        <w:rPr>
          <w:noProof/>
        </w:rPr>
        <w:t>zał</w:t>
      </w:r>
      <w:r w:rsidR="00716EA9" w:rsidRPr="001C651B">
        <w:rPr>
          <w:noProof/>
        </w:rPr>
        <w:t>ączniku I, zgodnie</w:t>
      </w:r>
      <w:r w:rsidR="001C651B" w:rsidRPr="001C651B">
        <w:rPr>
          <w:noProof/>
        </w:rPr>
        <w:t xml:space="preserve"> z</w:t>
      </w:r>
      <w:r w:rsidR="001C651B">
        <w:rPr>
          <w:noProof/>
        </w:rPr>
        <w:t> </w:t>
      </w:r>
      <w:r w:rsidR="001C651B" w:rsidRPr="001C651B">
        <w:rPr>
          <w:noProof/>
        </w:rPr>
        <w:t>pro</w:t>
      </w:r>
      <w:r w:rsidR="00716EA9" w:rsidRPr="001C651B">
        <w:rPr>
          <w:noProof/>
        </w:rPr>
        <w:t>gami określonymi</w:t>
      </w:r>
      <w:r w:rsidR="001C651B" w:rsidRPr="001C651B">
        <w:rPr>
          <w:noProof/>
        </w:rPr>
        <w:t xml:space="preserve"> w</w:t>
      </w:r>
      <w:r w:rsidR="001C651B">
        <w:rPr>
          <w:noProof/>
        </w:rPr>
        <w:t> </w:t>
      </w:r>
      <w:r w:rsidR="001C651B" w:rsidRPr="001C651B">
        <w:rPr>
          <w:noProof/>
        </w:rPr>
        <w:t>art</w:t>
      </w:r>
      <w:r w:rsidR="00716EA9" w:rsidRPr="001C651B">
        <w:rPr>
          <w:noProof/>
        </w:rPr>
        <w:t>.</w:t>
      </w:r>
      <w:r w:rsidR="001C651B" w:rsidRPr="001C651B">
        <w:rPr>
          <w:noProof/>
        </w:rPr>
        <w:t> </w:t>
      </w:r>
      <w:r w:rsidR="00716EA9" w:rsidRPr="001C651B">
        <w:rPr>
          <w:noProof/>
        </w:rPr>
        <w:t>5 ust.</w:t>
      </w:r>
      <w:r w:rsidR="001C651B" w:rsidRPr="001C651B">
        <w:rPr>
          <w:noProof/>
        </w:rPr>
        <w:t> </w:t>
      </w:r>
      <w:r w:rsidR="00716EA9" w:rsidRPr="001C651B">
        <w:rPr>
          <w:noProof/>
        </w:rPr>
        <w:t>2</w:t>
      </w:r>
      <w:r w:rsidR="001C651B" w:rsidRPr="001C651B">
        <w:rPr>
          <w:noProof/>
        </w:rPr>
        <w:t xml:space="preserve"> i</w:t>
      </w:r>
      <w:r w:rsidR="001C651B">
        <w:rPr>
          <w:noProof/>
        </w:rPr>
        <w:t> </w:t>
      </w:r>
      <w:r w:rsidR="001C651B" w:rsidRPr="001C651B">
        <w:rPr>
          <w:noProof/>
        </w:rPr>
        <w:t>3</w:t>
      </w:r>
      <w:r w:rsidR="00716EA9" w:rsidRPr="001C651B">
        <w:rPr>
          <w:noProof/>
        </w:rPr>
        <w:t>, art.</w:t>
      </w:r>
      <w:r w:rsidR="001C651B" w:rsidRPr="001C651B">
        <w:rPr>
          <w:noProof/>
        </w:rPr>
        <w:t> </w:t>
      </w:r>
      <w:r w:rsidR="00716EA9" w:rsidRPr="001C651B">
        <w:rPr>
          <w:noProof/>
        </w:rPr>
        <w:t>6 ust.</w:t>
      </w:r>
      <w:r w:rsidR="001C651B" w:rsidRPr="001C651B">
        <w:rPr>
          <w:noProof/>
        </w:rPr>
        <w:t> </w:t>
      </w:r>
      <w:r w:rsidR="00716EA9" w:rsidRPr="001C651B">
        <w:rPr>
          <w:noProof/>
        </w:rPr>
        <w:t>2</w:t>
      </w:r>
      <w:r w:rsidR="001C651B" w:rsidRPr="001C651B">
        <w:rPr>
          <w:noProof/>
        </w:rPr>
        <w:t xml:space="preserve"> i</w:t>
      </w:r>
      <w:r w:rsidR="001C651B">
        <w:rPr>
          <w:noProof/>
        </w:rPr>
        <w:t> </w:t>
      </w:r>
      <w:r w:rsidR="001C651B" w:rsidRPr="001C651B">
        <w:rPr>
          <w:noProof/>
        </w:rPr>
        <w:t>3</w:t>
      </w:r>
      <w:r w:rsidR="00716EA9" w:rsidRPr="001C651B">
        <w:rPr>
          <w:noProof/>
        </w:rPr>
        <w:t>, art.</w:t>
      </w:r>
      <w:r w:rsidR="001C651B" w:rsidRPr="001C651B">
        <w:rPr>
          <w:noProof/>
        </w:rPr>
        <w:t> </w:t>
      </w:r>
      <w:r w:rsidR="00716EA9" w:rsidRPr="001C651B">
        <w:rPr>
          <w:noProof/>
        </w:rPr>
        <w:t>11</w:t>
      </w:r>
      <w:r w:rsidR="001C651B" w:rsidRPr="001C651B">
        <w:rPr>
          <w:noProof/>
        </w:rPr>
        <w:t xml:space="preserve"> i</w:t>
      </w:r>
      <w:r w:rsidR="001C651B">
        <w:rPr>
          <w:noProof/>
        </w:rPr>
        <w:t> </w:t>
      </w:r>
      <w:r w:rsidR="001C651B" w:rsidRPr="001C651B">
        <w:rPr>
          <w:noProof/>
        </w:rPr>
        <w:t>1</w:t>
      </w:r>
      <w:r w:rsidR="00716EA9" w:rsidRPr="001C651B">
        <w:rPr>
          <w:noProof/>
        </w:rPr>
        <w:t>2, art.</w:t>
      </w:r>
      <w:r w:rsidR="001C651B" w:rsidRPr="001C651B">
        <w:rPr>
          <w:noProof/>
        </w:rPr>
        <w:t> </w:t>
      </w:r>
      <w:r w:rsidR="00716EA9" w:rsidRPr="001C651B">
        <w:rPr>
          <w:noProof/>
        </w:rPr>
        <w:t>15. ust.</w:t>
      </w:r>
      <w:r w:rsidR="001C651B" w:rsidRPr="001C651B">
        <w:rPr>
          <w:noProof/>
        </w:rPr>
        <w:t> </w:t>
      </w:r>
      <w:r w:rsidR="00716EA9" w:rsidRPr="001C651B">
        <w:rPr>
          <w:noProof/>
        </w:rPr>
        <w:t>2–5</w:t>
      </w:r>
      <w:r w:rsidR="001C651B" w:rsidRPr="001C651B">
        <w:rPr>
          <w:noProof/>
        </w:rPr>
        <w:t xml:space="preserve"> i</w:t>
      </w:r>
      <w:r w:rsidR="001C651B">
        <w:rPr>
          <w:noProof/>
        </w:rPr>
        <w:t> </w:t>
      </w:r>
      <w:r w:rsidR="001C651B" w:rsidRPr="001C651B">
        <w:rPr>
          <w:noProof/>
        </w:rPr>
        <w:t>art</w:t>
      </w:r>
      <w:r w:rsidR="00716EA9" w:rsidRPr="001C651B">
        <w:rPr>
          <w:noProof/>
        </w:rPr>
        <w:t>.</w:t>
      </w:r>
      <w:r w:rsidR="001C651B" w:rsidRPr="001C651B">
        <w:rPr>
          <w:noProof/>
        </w:rPr>
        <w:t> </w:t>
      </w:r>
      <w:r w:rsidR="00716EA9" w:rsidRPr="001C651B">
        <w:rPr>
          <w:noProof/>
        </w:rPr>
        <w:t>17–20 niniejszego rozporządzenia</w:t>
      </w:r>
      <w:r w:rsidR="001C651B" w:rsidRPr="001C651B">
        <w:rPr>
          <w:noProof/>
        </w:rPr>
        <w:t xml:space="preserve"> w</w:t>
      </w:r>
      <w:r w:rsidR="001C651B">
        <w:rPr>
          <w:noProof/>
        </w:rPr>
        <w:t> </w:t>
      </w:r>
      <w:r w:rsidR="001C651B" w:rsidRPr="001C651B">
        <w:rPr>
          <w:noProof/>
        </w:rPr>
        <w:t>spr</w:t>
      </w:r>
      <w:r w:rsidR="00716EA9" w:rsidRPr="001C651B">
        <w:rPr>
          <w:noProof/>
        </w:rPr>
        <w:t>awozdawczym dniu odniesienia następującym po dniu,</w:t>
      </w:r>
      <w:r w:rsidR="001C651B" w:rsidRPr="001C651B">
        <w:rPr>
          <w:noProof/>
        </w:rPr>
        <w:t xml:space="preserve"> w</w:t>
      </w:r>
      <w:r w:rsidR="001C651B">
        <w:rPr>
          <w:noProof/>
        </w:rPr>
        <w:t> </w:t>
      </w:r>
      <w:r w:rsidR="001C651B" w:rsidRPr="001C651B">
        <w:rPr>
          <w:noProof/>
        </w:rPr>
        <w:t>któ</w:t>
      </w:r>
      <w:r w:rsidR="00716EA9" w:rsidRPr="001C651B">
        <w:rPr>
          <w:noProof/>
        </w:rPr>
        <w:t>rym przekroczyły te progi</w:t>
      </w:r>
      <w:r w:rsidR="001C651B" w:rsidRPr="001C651B">
        <w:rPr>
          <w:noProof/>
        </w:rPr>
        <w:t xml:space="preserve"> w</w:t>
      </w:r>
      <w:r w:rsidR="001C651B">
        <w:rPr>
          <w:noProof/>
        </w:rPr>
        <w:t> </w:t>
      </w:r>
      <w:r w:rsidR="001C651B" w:rsidRPr="001C651B">
        <w:rPr>
          <w:noProof/>
        </w:rPr>
        <w:t>dwó</w:t>
      </w:r>
      <w:r w:rsidR="00716EA9" w:rsidRPr="001C651B">
        <w:rPr>
          <w:noProof/>
        </w:rPr>
        <w:t>ch kolejnych sprawozdawczych dniach odniesienia. Instytucje mogą zaprzestać przekazywania informacji, które podlegają przekazaniu po przekroczeniu progów określonych we wspomnianych artykułach,</w:t>
      </w:r>
      <w:r w:rsidR="001C651B" w:rsidRPr="001C651B">
        <w:rPr>
          <w:noProof/>
        </w:rPr>
        <w:t xml:space="preserve"> w</w:t>
      </w:r>
      <w:r w:rsidR="001C651B">
        <w:rPr>
          <w:noProof/>
        </w:rPr>
        <w:t> </w:t>
      </w:r>
      <w:r w:rsidR="001C651B" w:rsidRPr="001C651B">
        <w:rPr>
          <w:noProof/>
        </w:rPr>
        <w:t>spr</w:t>
      </w:r>
      <w:r w:rsidR="00716EA9" w:rsidRPr="001C651B">
        <w:rPr>
          <w:noProof/>
        </w:rPr>
        <w:t>awozdawczym dniu odniesienia następującym po dniu,</w:t>
      </w:r>
      <w:r w:rsidR="001C651B" w:rsidRPr="001C651B">
        <w:rPr>
          <w:noProof/>
        </w:rPr>
        <w:t xml:space="preserve"> w</w:t>
      </w:r>
      <w:r w:rsidR="001C651B">
        <w:rPr>
          <w:noProof/>
        </w:rPr>
        <w:t> </w:t>
      </w:r>
      <w:r w:rsidR="001C651B" w:rsidRPr="001C651B">
        <w:rPr>
          <w:noProof/>
        </w:rPr>
        <w:t>któ</w:t>
      </w:r>
      <w:r w:rsidR="00716EA9" w:rsidRPr="001C651B">
        <w:rPr>
          <w:noProof/>
        </w:rPr>
        <w:t>rym nie przekraczały odpowiednich progów</w:t>
      </w:r>
      <w:r w:rsidR="001C651B" w:rsidRPr="001C651B">
        <w:rPr>
          <w:noProof/>
        </w:rPr>
        <w:t xml:space="preserve"> w</w:t>
      </w:r>
      <w:r w:rsidR="001C651B">
        <w:rPr>
          <w:noProof/>
        </w:rPr>
        <w:t> </w:t>
      </w:r>
      <w:r w:rsidR="001C651B" w:rsidRPr="001C651B">
        <w:rPr>
          <w:noProof/>
        </w:rPr>
        <w:t>trz</w:t>
      </w:r>
      <w:r w:rsidR="00716EA9" w:rsidRPr="001C651B">
        <w:rPr>
          <w:noProof/>
        </w:rPr>
        <w:t>ech kolejnych sprawozdawczych dniach odniesienia.</w:t>
      </w:r>
    </w:p>
    <w:p w:rsidR="00716EA9" w:rsidRPr="001C651B" w:rsidRDefault="003040A6" w:rsidP="003040A6">
      <w:pPr>
        <w:pStyle w:val="ManualNumPar1"/>
        <w:rPr>
          <w:noProof/>
        </w:rPr>
      </w:pPr>
      <w:r w:rsidRPr="003040A6">
        <w:rPr>
          <w:noProof/>
        </w:rPr>
        <w:t>4.</w:t>
      </w:r>
      <w:r w:rsidRPr="003040A6">
        <w:rPr>
          <w:noProof/>
        </w:rPr>
        <w:tab/>
      </w:r>
      <w:r w:rsidR="00716EA9" w:rsidRPr="001C651B">
        <w:rPr>
          <w:noProof/>
        </w:rPr>
        <w:t>Na zasadzie odstępstwa od ust.</w:t>
      </w:r>
      <w:r w:rsidR="001C651B" w:rsidRPr="001C651B">
        <w:rPr>
          <w:noProof/>
        </w:rPr>
        <w:t> </w:t>
      </w:r>
      <w:r w:rsidR="00716EA9" w:rsidRPr="001C651B">
        <w:rPr>
          <w:noProof/>
        </w:rPr>
        <w:t>3 instytucje rozpoczynają przekazywanie informacji, jeżeli</w:t>
      </w:r>
      <w:r w:rsidR="001C651B" w:rsidRPr="001C651B">
        <w:rPr>
          <w:noProof/>
        </w:rPr>
        <w:t xml:space="preserve"> w</w:t>
      </w:r>
      <w:r w:rsidR="001C651B">
        <w:rPr>
          <w:noProof/>
        </w:rPr>
        <w:t> </w:t>
      </w:r>
      <w:r w:rsidR="001C651B" w:rsidRPr="001C651B">
        <w:rPr>
          <w:noProof/>
        </w:rPr>
        <w:t>okr</w:t>
      </w:r>
      <w:r w:rsidR="00716EA9" w:rsidRPr="001C651B">
        <w:rPr>
          <w:noProof/>
        </w:rPr>
        <w:t>esie 6 miesięcy poprzedzających dzień odniesienia spełnią którykolwiek</w:t>
      </w:r>
      <w:r w:rsidR="001C651B" w:rsidRPr="001C651B">
        <w:rPr>
          <w:noProof/>
        </w:rPr>
        <w:t xml:space="preserve"> z</w:t>
      </w:r>
      <w:r w:rsidR="001C651B">
        <w:rPr>
          <w:noProof/>
        </w:rPr>
        <w:t> </w:t>
      </w:r>
      <w:r w:rsidR="001C651B" w:rsidRPr="001C651B">
        <w:rPr>
          <w:noProof/>
        </w:rPr>
        <w:t>nas</w:t>
      </w:r>
      <w:r w:rsidR="00716EA9" w:rsidRPr="001C651B">
        <w:rPr>
          <w:noProof/>
        </w:rPr>
        <w:t xml:space="preserve">tępujących warunków: </w:t>
      </w:r>
    </w:p>
    <w:p w:rsidR="00716EA9" w:rsidRPr="001C651B" w:rsidRDefault="00D8126A" w:rsidP="00D8126A">
      <w:pPr>
        <w:pStyle w:val="Point1"/>
        <w:rPr>
          <w:noProof/>
          <w:color w:val="000000"/>
        </w:rPr>
      </w:pPr>
      <w:r w:rsidRPr="001C651B">
        <w:rPr>
          <w:noProof/>
        </w:rPr>
        <w:t>a)</w:t>
      </w:r>
      <w:r w:rsidRPr="001C651B">
        <w:rPr>
          <w:noProof/>
        </w:rPr>
        <w:tab/>
      </w:r>
      <w:r w:rsidR="00716EA9" w:rsidRPr="001C651B">
        <w:rPr>
          <w:noProof/>
        </w:rPr>
        <w:t>dana instytucja uzyskała zezwolenie na rozpoczęcie działalności jako instytucja kredytowa zgodnie</w:t>
      </w:r>
      <w:r w:rsidR="001C651B" w:rsidRPr="001C651B">
        <w:rPr>
          <w:noProof/>
        </w:rPr>
        <w:t xml:space="preserve"> z</w:t>
      </w:r>
      <w:r w:rsidR="001C651B">
        <w:rPr>
          <w:noProof/>
        </w:rPr>
        <w:t> </w:t>
      </w:r>
      <w:r w:rsidR="001C651B" w:rsidRPr="001C651B">
        <w:rPr>
          <w:noProof/>
        </w:rPr>
        <w:t>art</w:t>
      </w:r>
      <w:r w:rsidR="00716EA9" w:rsidRPr="001C651B">
        <w:rPr>
          <w:noProof/>
        </w:rPr>
        <w:t>.</w:t>
      </w:r>
      <w:r w:rsidR="001C651B" w:rsidRPr="001C651B">
        <w:rPr>
          <w:noProof/>
        </w:rPr>
        <w:t> </w:t>
      </w:r>
      <w:r w:rsidR="00716EA9" w:rsidRPr="001C651B">
        <w:rPr>
          <w:noProof/>
        </w:rPr>
        <w:t>8 dyrektywy Parlamentu Europejskiego</w:t>
      </w:r>
      <w:r w:rsidR="001C651B" w:rsidRPr="001C651B">
        <w:rPr>
          <w:noProof/>
        </w:rPr>
        <w:t xml:space="preserve"> i</w:t>
      </w:r>
      <w:r w:rsidR="001C651B">
        <w:rPr>
          <w:noProof/>
        </w:rPr>
        <w:t> </w:t>
      </w:r>
      <w:r w:rsidR="001C651B" w:rsidRPr="001C651B">
        <w:rPr>
          <w:noProof/>
        </w:rPr>
        <w:t>Rad</w:t>
      </w:r>
      <w:r w:rsidR="00716EA9" w:rsidRPr="001C651B">
        <w:rPr>
          <w:noProof/>
        </w:rPr>
        <w:t>y 2013/36/UE</w:t>
      </w:r>
      <w:r w:rsidR="00716EA9" w:rsidRPr="001C651B">
        <w:rPr>
          <w:rStyle w:val="FootnoteReference"/>
          <w:rFonts w:eastAsia="Times New Roman"/>
          <w:bCs/>
          <w:noProof/>
          <w:szCs w:val="24"/>
          <w:lang w:eastAsia="fr-BE"/>
        </w:rPr>
        <w:footnoteReference w:id="6"/>
      </w:r>
      <w:r w:rsidR="00716EA9" w:rsidRPr="001C651B">
        <w:rPr>
          <w:noProof/>
        </w:rPr>
        <w:t>;</w:t>
      </w:r>
    </w:p>
    <w:p w:rsidR="00716EA9" w:rsidRPr="001C651B" w:rsidRDefault="00D8126A" w:rsidP="00D8126A">
      <w:pPr>
        <w:pStyle w:val="Point1"/>
        <w:rPr>
          <w:noProof/>
          <w:color w:val="000000"/>
        </w:rPr>
      </w:pPr>
      <w:r w:rsidRPr="001C651B">
        <w:rPr>
          <w:noProof/>
        </w:rPr>
        <w:t>b)</w:t>
      </w:r>
      <w:r w:rsidRPr="001C651B">
        <w:rPr>
          <w:noProof/>
        </w:rPr>
        <w:tab/>
      </w:r>
      <w:r w:rsidR="00716EA9" w:rsidRPr="001C651B">
        <w:rPr>
          <w:noProof/>
        </w:rPr>
        <w:t>instytucja jest firmą inwestycyjną podlegającą rozporządzeniu (UE) nr</w:t>
      </w:r>
      <w:r w:rsidR="001C651B" w:rsidRPr="001C651B">
        <w:rPr>
          <w:noProof/>
        </w:rPr>
        <w:t> </w:t>
      </w:r>
      <w:r w:rsidR="00716EA9" w:rsidRPr="001C651B">
        <w:rPr>
          <w:noProof/>
        </w:rPr>
        <w:t>575/2013</w:t>
      </w:r>
      <w:r w:rsidR="001C651B" w:rsidRPr="001C651B">
        <w:rPr>
          <w:noProof/>
        </w:rPr>
        <w:t xml:space="preserve"> z</w:t>
      </w:r>
      <w:r w:rsidR="001C651B">
        <w:rPr>
          <w:noProof/>
        </w:rPr>
        <w:t> </w:t>
      </w:r>
      <w:r w:rsidR="001C651B" w:rsidRPr="001C651B">
        <w:rPr>
          <w:noProof/>
        </w:rPr>
        <w:t>pow</w:t>
      </w:r>
      <w:r w:rsidR="00716EA9" w:rsidRPr="001C651B">
        <w:rPr>
          <w:noProof/>
        </w:rPr>
        <w:t>odu przekroczenia progu określonego</w:t>
      </w:r>
      <w:r w:rsidR="001C651B" w:rsidRPr="001C651B">
        <w:rPr>
          <w:noProof/>
        </w:rPr>
        <w:t xml:space="preserve"> w</w:t>
      </w:r>
      <w:r w:rsidR="001C651B">
        <w:rPr>
          <w:noProof/>
        </w:rPr>
        <w:t> </w:t>
      </w:r>
      <w:r w:rsidR="001C651B" w:rsidRPr="001C651B">
        <w:rPr>
          <w:noProof/>
        </w:rPr>
        <w:t>art</w:t>
      </w:r>
      <w:r w:rsidR="00716EA9" w:rsidRPr="001C651B">
        <w:rPr>
          <w:noProof/>
        </w:rPr>
        <w:t>.</w:t>
      </w:r>
      <w:r w:rsidR="001C651B" w:rsidRPr="001C651B">
        <w:rPr>
          <w:noProof/>
        </w:rPr>
        <w:t> </w:t>
      </w:r>
      <w:r w:rsidR="00716EA9" w:rsidRPr="001C651B">
        <w:rPr>
          <w:noProof/>
        </w:rPr>
        <w:t>4 ust.</w:t>
      </w:r>
      <w:r w:rsidR="001C651B" w:rsidRPr="001C651B">
        <w:rPr>
          <w:noProof/>
        </w:rPr>
        <w:t> </w:t>
      </w:r>
      <w:r w:rsidR="00716EA9" w:rsidRPr="001C651B">
        <w:rPr>
          <w:noProof/>
        </w:rPr>
        <w:t>1 pkt</w:t>
      </w:r>
      <w:r w:rsidR="001C651B" w:rsidRPr="001C651B">
        <w:rPr>
          <w:noProof/>
        </w:rPr>
        <w:t> </w:t>
      </w:r>
      <w:r w:rsidR="00716EA9" w:rsidRPr="001C651B">
        <w:rPr>
          <w:noProof/>
        </w:rPr>
        <w:t>1 lit.</w:t>
      </w:r>
      <w:r w:rsidR="001C651B" w:rsidRPr="001C651B">
        <w:rPr>
          <w:noProof/>
        </w:rPr>
        <w:t> </w:t>
      </w:r>
      <w:r w:rsidR="00716EA9" w:rsidRPr="001C651B">
        <w:rPr>
          <w:noProof/>
        </w:rPr>
        <w:t>b) tego rozporządzenia lub na mocy decyzji właściwego organu zgodnie</w:t>
      </w:r>
      <w:r w:rsidR="001C651B" w:rsidRPr="001C651B">
        <w:rPr>
          <w:noProof/>
        </w:rPr>
        <w:t xml:space="preserve"> z</w:t>
      </w:r>
      <w:r w:rsidR="001C651B">
        <w:rPr>
          <w:noProof/>
        </w:rPr>
        <w:t> </w:t>
      </w:r>
      <w:r w:rsidR="001C651B" w:rsidRPr="001C651B">
        <w:rPr>
          <w:noProof/>
        </w:rPr>
        <w:t>art</w:t>
      </w:r>
      <w:r w:rsidR="00716EA9" w:rsidRPr="001C651B">
        <w:rPr>
          <w:noProof/>
        </w:rPr>
        <w:t>.</w:t>
      </w:r>
      <w:r w:rsidR="001C651B" w:rsidRPr="001C651B">
        <w:rPr>
          <w:noProof/>
        </w:rPr>
        <w:t> </w:t>
      </w:r>
      <w:r w:rsidR="00716EA9" w:rsidRPr="001C651B">
        <w:rPr>
          <w:noProof/>
        </w:rPr>
        <w:t>5 dyrektywy Parlamentu Europejskiego</w:t>
      </w:r>
      <w:r w:rsidR="001C651B" w:rsidRPr="001C651B">
        <w:rPr>
          <w:noProof/>
        </w:rPr>
        <w:t xml:space="preserve"> i</w:t>
      </w:r>
      <w:r w:rsidR="001C651B">
        <w:rPr>
          <w:noProof/>
        </w:rPr>
        <w:t> </w:t>
      </w:r>
      <w:r w:rsidR="001C651B" w:rsidRPr="001C651B">
        <w:rPr>
          <w:noProof/>
        </w:rPr>
        <w:t>Rad</w:t>
      </w:r>
      <w:r w:rsidR="00716EA9" w:rsidRPr="001C651B">
        <w:rPr>
          <w:noProof/>
        </w:rPr>
        <w:t>y (UE) 2019/2034</w:t>
      </w:r>
      <w:r w:rsidR="00716EA9" w:rsidRPr="001C651B">
        <w:rPr>
          <w:rStyle w:val="FootnoteReference"/>
          <w:rFonts w:eastAsia="Times New Roman"/>
          <w:bCs/>
          <w:noProof/>
          <w:szCs w:val="24"/>
          <w:lang w:eastAsia="fr-BE"/>
        </w:rPr>
        <w:footnoteReference w:id="7"/>
      </w:r>
      <w:r w:rsidR="00716EA9" w:rsidRPr="001C651B">
        <w:rPr>
          <w:noProof/>
        </w:rPr>
        <w:t>;</w:t>
      </w:r>
    </w:p>
    <w:p w:rsidR="00716EA9" w:rsidRPr="001C651B" w:rsidRDefault="00D8126A" w:rsidP="00D8126A">
      <w:pPr>
        <w:pStyle w:val="Point1"/>
        <w:rPr>
          <w:noProof/>
          <w:color w:val="000000"/>
        </w:rPr>
      </w:pPr>
      <w:r w:rsidRPr="001C651B">
        <w:rPr>
          <w:noProof/>
        </w:rPr>
        <w:t>c)</w:t>
      </w:r>
      <w:r w:rsidRPr="001C651B">
        <w:rPr>
          <w:noProof/>
        </w:rPr>
        <w:tab/>
      </w:r>
      <w:r w:rsidR="00716EA9" w:rsidRPr="001C651B">
        <w:rPr>
          <w:noProof/>
        </w:rPr>
        <w:t>instytucja jest podmiotem powstałym</w:t>
      </w:r>
      <w:r w:rsidR="001C651B" w:rsidRPr="001C651B">
        <w:rPr>
          <w:noProof/>
        </w:rPr>
        <w:t xml:space="preserve"> w</w:t>
      </w:r>
      <w:r w:rsidR="001C651B">
        <w:rPr>
          <w:noProof/>
        </w:rPr>
        <w:t> </w:t>
      </w:r>
      <w:r w:rsidR="001C651B" w:rsidRPr="001C651B">
        <w:rPr>
          <w:noProof/>
        </w:rPr>
        <w:t>wyn</w:t>
      </w:r>
      <w:r w:rsidR="00716EA9" w:rsidRPr="001C651B">
        <w:rPr>
          <w:noProof/>
        </w:rPr>
        <w:t>iku połączenia co najmniej dwóch instytucji lub podziału instytucji na co najmniej dwie instytucje.</w:t>
      </w:r>
    </w:p>
    <w:p w:rsidR="00716EA9" w:rsidRPr="001C651B" w:rsidRDefault="003040A6" w:rsidP="003040A6">
      <w:pPr>
        <w:pStyle w:val="ManualNumPar1"/>
        <w:rPr>
          <w:noProof/>
        </w:rPr>
      </w:pPr>
      <w:r w:rsidRPr="003040A6">
        <w:rPr>
          <w:noProof/>
        </w:rPr>
        <w:t>5.</w:t>
      </w:r>
      <w:r w:rsidRPr="003040A6">
        <w:rPr>
          <w:noProof/>
        </w:rPr>
        <w:tab/>
      </w:r>
      <w:r w:rsidR="00716EA9" w:rsidRPr="001C651B">
        <w:rPr>
          <w:noProof/>
        </w:rPr>
        <w:t>W przypadku instytucji,</w:t>
      </w:r>
      <w:r w:rsidR="001C651B" w:rsidRPr="001C651B">
        <w:rPr>
          <w:noProof/>
        </w:rPr>
        <w:t xml:space="preserve"> o</w:t>
      </w:r>
      <w:r w:rsidR="001C651B">
        <w:rPr>
          <w:noProof/>
        </w:rPr>
        <w:t> </w:t>
      </w:r>
      <w:r w:rsidR="001C651B" w:rsidRPr="001C651B">
        <w:rPr>
          <w:noProof/>
        </w:rPr>
        <w:t>któ</w:t>
      </w:r>
      <w:r w:rsidR="00716EA9" w:rsidRPr="001C651B">
        <w:rPr>
          <w:noProof/>
        </w:rPr>
        <w:t>rych mowa</w:t>
      </w:r>
      <w:r w:rsidR="001C651B" w:rsidRPr="001C651B">
        <w:rPr>
          <w:noProof/>
        </w:rPr>
        <w:t xml:space="preserve"> w</w:t>
      </w:r>
      <w:r w:rsidR="001C651B">
        <w:rPr>
          <w:noProof/>
        </w:rPr>
        <w:t> </w:t>
      </w:r>
      <w:r w:rsidR="001C651B" w:rsidRPr="001C651B">
        <w:rPr>
          <w:noProof/>
        </w:rPr>
        <w:t>ust</w:t>
      </w:r>
      <w:r w:rsidR="00716EA9" w:rsidRPr="001C651B">
        <w:rPr>
          <w:noProof/>
        </w:rPr>
        <w:t>.</w:t>
      </w:r>
      <w:r w:rsidR="001C651B" w:rsidRPr="001C651B">
        <w:rPr>
          <w:noProof/>
        </w:rPr>
        <w:t> </w:t>
      </w:r>
      <w:r w:rsidR="00716EA9" w:rsidRPr="001C651B">
        <w:rPr>
          <w:noProof/>
        </w:rPr>
        <w:t>4,</w:t>
      </w:r>
      <w:r w:rsidR="001C651B" w:rsidRPr="001C651B">
        <w:rPr>
          <w:noProof/>
        </w:rPr>
        <w:t xml:space="preserve"> w</w:t>
      </w:r>
      <w:r w:rsidR="001C651B">
        <w:rPr>
          <w:noProof/>
        </w:rPr>
        <w:t> </w:t>
      </w:r>
      <w:r w:rsidR="001C651B" w:rsidRPr="001C651B">
        <w:rPr>
          <w:noProof/>
        </w:rPr>
        <w:t>odn</w:t>
      </w:r>
      <w:r w:rsidR="00716EA9" w:rsidRPr="001C651B">
        <w:rPr>
          <w:noProof/>
        </w:rPr>
        <w:t>iesieniu do ich sprawozdawczości uzależnionej od przekroczenia progów określonych</w:t>
      </w:r>
      <w:r w:rsidR="001C651B" w:rsidRPr="001C651B">
        <w:rPr>
          <w:noProof/>
        </w:rPr>
        <w:t xml:space="preserve"> w</w:t>
      </w:r>
      <w:r w:rsidR="001C651B">
        <w:rPr>
          <w:noProof/>
        </w:rPr>
        <w:t> </w:t>
      </w:r>
      <w:r w:rsidR="001C651B" w:rsidRPr="001C651B">
        <w:rPr>
          <w:noProof/>
        </w:rPr>
        <w:t>art</w:t>
      </w:r>
      <w:r w:rsidR="00716EA9" w:rsidRPr="001C651B">
        <w:rPr>
          <w:noProof/>
        </w:rPr>
        <w:t>.</w:t>
      </w:r>
      <w:r w:rsidR="001C651B" w:rsidRPr="001C651B">
        <w:rPr>
          <w:noProof/>
        </w:rPr>
        <w:t> </w:t>
      </w:r>
      <w:r w:rsidR="00716EA9" w:rsidRPr="001C651B">
        <w:rPr>
          <w:noProof/>
        </w:rPr>
        <w:t>4 zastosowanie mają następujące przepisy dla dwóch pierwszych dni odniesienia:</w:t>
      </w:r>
    </w:p>
    <w:p w:rsidR="00716EA9" w:rsidRPr="001C651B" w:rsidRDefault="00D8126A" w:rsidP="00D8126A">
      <w:pPr>
        <w:pStyle w:val="Point1"/>
        <w:rPr>
          <w:noProof/>
        </w:rPr>
      </w:pPr>
      <w:r w:rsidRPr="001C651B">
        <w:rPr>
          <w:noProof/>
        </w:rPr>
        <w:t>a)</w:t>
      </w:r>
      <w:r w:rsidRPr="001C651B">
        <w:rPr>
          <w:noProof/>
        </w:rPr>
        <w:tab/>
      </w:r>
      <w:r w:rsidR="0050785B" w:rsidRPr="001C651B">
        <w:rPr>
          <w:noProof/>
        </w:rPr>
        <w:t>instytucje, które przekroczyły odpowiedni próg już</w:t>
      </w:r>
      <w:r w:rsidR="001C651B" w:rsidRPr="001C651B">
        <w:rPr>
          <w:noProof/>
        </w:rPr>
        <w:t xml:space="preserve"> w</w:t>
      </w:r>
      <w:r w:rsidR="001C651B">
        <w:rPr>
          <w:noProof/>
        </w:rPr>
        <w:t> </w:t>
      </w:r>
      <w:r w:rsidR="001C651B" w:rsidRPr="001C651B">
        <w:rPr>
          <w:noProof/>
        </w:rPr>
        <w:t>pie</w:t>
      </w:r>
      <w:r w:rsidR="0050785B" w:rsidRPr="001C651B">
        <w:rPr>
          <w:noProof/>
        </w:rPr>
        <w:t>rwszym dniu odniesienia, przekazują informacje, które podlegają przekazaniu po przekroczeniu tego progu, zarówno</w:t>
      </w:r>
      <w:r w:rsidR="001C651B" w:rsidRPr="001C651B">
        <w:rPr>
          <w:noProof/>
        </w:rPr>
        <w:t xml:space="preserve"> w</w:t>
      </w:r>
      <w:r w:rsidR="001C651B">
        <w:rPr>
          <w:noProof/>
        </w:rPr>
        <w:t> </w:t>
      </w:r>
      <w:r w:rsidR="001C651B" w:rsidRPr="001C651B">
        <w:rPr>
          <w:noProof/>
        </w:rPr>
        <w:t>pie</w:t>
      </w:r>
      <w:r w:rsidR="0050785B" w:rsidRPr="001C651B">
        <w:rPr>
          <w:noProof/>
        </w:rPr>
        <w:t>rwszym, jak</w:t>
      </w:r>
      <w:r w:rsidR="001C651B" w:rsidRPr="001C651B">
        <w:rPr>
          <w:noProof/>
        </w:rPr>
        <w:t xml:space="preserve"> i</w:t>
      </w:r>
      <w:r w:rsidR="001C651B">
        <w:rPr>
          <w:noProof/>
        </w:rPr>
        <w:t> </w:t>
      </w:r>
      <w:r w:rsidR="001C651B" w:rsidRPr="001C651B">
        <w:rPr>
          <w:noProof/>
        </w:rPr>
        <w:t>w</w:t>
      </w:r>
      <w:r w:rsidR="001C651B">
        <w:rPr>
          <w:noProof/>
        </w:rPr>
        <w:t> </w:t>
      </w:r>
      <w:r w:rsidR="001C651B" w:rsidRPr="001C651B">
        <w:rPr>
          <w:noProof/>
        </w:rPr>
        <w:t>dru</w:t>
      </w:r>
      <w:r w:rsidR="0050785B" w:rsidRPr="001C651B">
        <w:rPr>
          <w:noProof/>
        </w:rPr>
        <w:t>gim dniu odniesienia;</w:t>
      </w:r>
    </w:p>
    <w:p w:rsidR="00716EA9" w:rsidRPr="001C651B" w:rsidRDefault="00D8126A" w:rsidP="00D8126A">
      <w:pPr>
        <w:pStyle w:val="Point1"/>
        <w:rPr>
          <w:noProof/>
        </w:rPr>
      </w:pPr>
      <w:r w:rsidRPr="001C651B">
        <w:rPr>
          <w:noProof/>
        </w:rPr>
        <w:t>b)</w:t>
      </w:r>
      <w:r w:rsidRPr="001C651B">
        <w:rPr>
          <w:noProof/>
        </w:rPr>
        <w:tab/>
      </w:r>
      <w:r w:rsidR="0050785B" w:rsidRPr="001C651B">
        <w:rPr>
          <w:noProof/>
        </w:rPr>
        <w:t>instytucje, które przekroczyły odpowiedni próg dopiero</w:t>
      </w:r>
      <w:r w:rsidR="001C651B" w:rsidRPr="001C651B">
        <w:rPr>
          <w:noProof/>
        </w:rPr>
        <w:t xml:space="preserve"> w</w:t>
      </w:r>
      <w:r w:rsidR="001C651B">
        <w:rPr>
          <w:noProof/>
        </w:rPr>
        <w:t> </w:t>
      </w:r>
      <w:r w:rsidR="001C651B" w:rsidRPr="001C651B">
        <w:rPr>
          <w:noProof/>
        </w:rPr>
        <w:t>dru</w:t>
      </w:r>
      <w:r w:rsidR="0050785B" w:rsidRPr="001C651B">
        <w:rPr>
          <w:noProof/>
        </w:rPr>
        <w:t>gim dniu odniesienia, przekazują informacje, które podlegają przekazaniu po przekroczeniu tego progu,</w:t>
      </w:r>
      <w:r w:rsidR="001C651B" w:rsidRPr="001C651B">
        <w:rPr>
          <w:noProof/>
        </w:rPr>
        <w:t xml:space="preserve"> w</w:t>
      </w:r>
      <w:r w:rsidR="001C651B">
        <w:rPr>
          <w:noProof/>
        </w:rPr>
        <w:t> </w:t>
      </w:r>
      <w:r w:rsidR="001C651B" w:rsidRPr="001C651B">
        <w:rPr>
          <w:noProof/>
        </w:rPr>
        <w:t>dru</w:t>
      </w:r>
      <w:r w:rsidR="0050785B" w:rsidRPr="001C651B">
        <w:rPr>
          <w:noProof/>
        </w:rPr>
        <w:t>gim dniu odniesienia.</w:t>
      </w:r>
    </w:p>
    <w:p w:rsidR="00716EA9" w:rsidRPr="001C651B" w:rsidRDefault="00716EA9" w:rsidP="00C856B2">
      <w:pPr>
        <w:pStyle w:val="Text1"/>
        <w:rPr>
          <w:noProof/>
        </w:rPr>
      </w:pPr>
      <w:r w:rsidRPr="001C651B">
        <w:rPr>
          <w:noProof/>
        </w:rPr>
        <w:t>Instytucje, które nie przekroczyły odpowiednich progów,</w:t>
      </w:r>
      <w:r w:rsidR="001C651B" w:rsidRPr="001C651B">
        <w:rPr>
          <w:noProof/>
        </w:rPr>
        <w:t xml:space="preserve"> o</w:t>
      </w:r>
      <w:r w:rsidR="001C651B">
        <w:rPr>
          <w:noProof/>
        </w:rPr>
        <w:t> </w:t>
      </w:r>
      <w:r w:rsidR="001C651B" w:rsidRPr="001C651B">
        <w:rPr>
          <w:noProof/>
        </w:rPr>
        <w:t>któ</w:t>
      </w:r>
      <w:r w:rsidRPr="001C651B">
        <w:rPr>
          <w:noProof/>
        </w:rPr>
        <w:t>rych mowa</w:t>
      </w:r>
      <w:r w:rsidR="001C651B" w:rsidRPr="001C651B">
        <w:rPr>
          <w:noProof/>
        </w:rPr>
        <w:t xml:space="preserve"> w</w:t>
      </w:r>
      <w:r w:rsidR="001C651B">
        <w:rPr>
          <w:noProof/>
        </w:rPr>
        <w:t> </w:t>
      </w:r>
      <w:r w:rsidR="001C651B" w:rsidRPr="001C651B">
        <w:rPr>
          <w:noProof/>
        </w:rPr>
        <w:t>lit</w:t>
      </w:r>
      <w:r w:rsidRPr="001C651B">
        <w:rPr>
          <w:noProof/>
        </w:rPr>
        <w:t>.</w:t>
      </w:r>
      <w:r w:rsidR="001C651B" w:rsidRPr="001C651B">
        <w:rPr>
          <w:noProof/>
        </w:rPr>
        <w:t> </w:t>
      </w:r>
      <w:r w:rsidRPr="001C651B">
        <w:rPr>
          <w:noProof/>
        </w:rPr>
        <w:t>a) i b),</w:t>
      </w:r>
      <w:r w:rsidR="001C651B" w:rsidRPr="001C651B">
        <w:rPr>
          <w:noProof/>
        </w:rPr>
        <w:t xml:space="preserve"> w</w:t>
      </w:r>
      <w:r w:rsidR="001C651B">
        <w:rPr>
          <w:noProof/>
        </w:rPr>
        <w:t> </w:t>
      </w:r>
      <w:r w:rsidR="001C651B" w:rsidRPr="001C651B">
        <w:rPr>
          <w:noProof/>
        </w:rPr>
        <w:t>trz</w:t>
      </w:r>
      <w:r w:rsidRPr="001C651B">
        <w:rPr>
          <w:noProof/>
        </w:rPr>
        <w:t>ech kolejnych sprawozdawczych dniach odniesienia, mogą zaprzestać przekazywania informacji, które podlegają przekazaniu po przekroczeniu danego progu, począwszy od kolejnego sprawozdawczego dnia odniesienia.</w:t>
      </w:r>
    </w:p>
    <w:p w:rsidR="00716EA9" w:rsidRPr="001C651B" w:rsidRDefault="00716EA9" w:rsidP="00E537F5">
      <w:pPr>
        <w:pStyle w:val="Titrearticle"/>
        <w:rPr>
          <w:noProof/>
          <w:szCs w:val="24"/>
        </w:rPr>
      </w:pPr>
      <w:r w:rsidRPr="001C651B">
        <w:rPr>
          <w:noProof/>
        </w:rPr>
        <w:t>Artykuł 5</w:t>
      </w:r>
    </w:p>
    <w:p w:rsidR="00716EA9" w:rsidRPr="001C651B" w:rsidRDefault="00716EA9" w:rsidP="00F22954">
      <w:pPr>
        <w:pStyle w:val="Titrearticle"/>
        <w:spacing w:before="0"/>
        <w:rPr>
          <w:b/>
          <w:bCs/>
          <w:i w:val="0"/>
          <w:iCs/>
          <w:noProof/>
          <w:szCs w:val="24"/>
        </w:rPr>
      </w:pPr>
      <w:r w:rsidRPr="001C651B">
        <w:rPr>
          <w:b/>
          <w:i w:val="0"/>
          <w:noProof/>
        </w:rPr>
        <w:t>Sprawozdawczość</w:t>
      </w:r>
      <w:r w:rsidR="001C651B" w:rsidRPr="001C651B">
        <w:rPr>
          <w:b/>
          <w:i w:val="0"/>
          <w:noProof/>
        </w:rPr>
        <w:t xml:space="preserve"> w</w:t>
      </w:r>
      <w:r w:rsidR="001C651B">
        <w:rPr>
          <w:b/>
          <w:i w:val="0"/>
          <w:noProof/>
        </w:rPr>
        <w:t> </w:t>
      </w:r>
      <w:r w:rsidR="001C651B" w:rsidRPr="001C651B">
        <w:rPr>
          <w:b/>
          <w:i w:val="0"/>
          <w:noProof/>
        </w:rPr>
        <w:t>zak</w:t>
      </w:r>
      <w:r w:rsidRPr="001C651B">
        <w:rPr>
          <w:b/>
          <w:i w:val="0"/>
          <w:noProof/>
        </w:rPr>
        <w:t>resie funduszy własnych oraz wymogów</w:t>
      </w:r>
      <w:r w:rsidR="001C651B" w:rsidRPr="001C651B">
        <w:rPr>
          <w:b/>
          <w:i w:val="0"/>
          <w:noProof/>
        </w:rPr>
        <w:t xml:space="preserve"> w</w:t>
      </w:r>
      <w:r w:rsidR="001C651B">
        <w:rPr>
          <w:b/>
          <w:i w:val="0"/>
          <w:noProof/>
        </w:rPr>
        <w:t> </w:t>
      </w:r>
      <w:r w:rsidR="001C651B" w:rsidRPr="001C651B">
        <w:rPr>
          <w:b/>
          <w:i w:val="0"/>
          <w:noProof/>
        </w:rPr>
        <w:t>zak</w:t>
      </w:r>
      <w:r w:rsidRPr="001C651B">
        <w:rPr>
          <w:b/>
          <w:i w:val="0"/>
          <w:noProof/>
        </w:rPr>
        <w:t>resie funduszy własnych na zasadzie indywidualnej – sprawozdawczość kwartalna</w:t>
      </w:r>
    </w:p>
    <w:p w:rsidR="00716EA9" w:rsidRPr="001C651B" w:rsidRDefault="003040A6" w:rsidP="003040A6">
      <w:pPr>
        <w:pStyle w:val="ManualNumPar1"/>
        <w:rPr>
          <w:noProof/>
        </w:rPr>
      </w:pPr>
      <w:r w:rsidRPr="003040A6">
        <w:rPr>
          <w:noProof/>
        </w:rPr>
        <w:t>1.</w:t>
      </w:r>
      <w:r w:rsidRPr="003040A6">
        <w:rPr>
          <w:noProof/>
        </w:rPr>
        <w:tab/>
      </w:r>
      <w:r w:rsidR="00BF6649" w:rsidRPr="001C651B">
        <w:rPr>
          <w:noProof/>
        </w:rPr>
        <w:t>Instytucje, które przekazują informacje na temat funduszy własnych oraz wymogów</w:t>
      </w:r>
      <w:r w:rsidR="001C651B" w:rsidRPr="001C651B">
        <w:rPr>
          <w:noProof/>
        </w:rPr>
        <w:t xml:space="preserve"> w</w:t>
      </w:r>
      <w:r w:rsidR="001C651B">
        <w:rPr>
          <w:noProof/>
        </w:rPr>
        <w:t> </w:t>
      </w:r>
      <w:r w:rsidR="001C651B" w:rsidRPr="001C651B">
        <w:rPr>
          <w:noProof/>
        </w:rPr>
        <w:t>zak</w:t>
      </w:r>
      <w:r w:rsidR="00BF6649" w:rsidRPr="001C651B">
        <w:rPr>
          <w:noProof/>
        </w:rPr>
        <w:t>resie funduszy własnych zgodnie</w:t>
      </w:r>
      <w:r w:rsidR="001C651B" w:rsidRPr="001C651B">
        <w:rPr>
          <w:noProof/>
        </w:rPr>
        <w:t xml:space="preserve"> z</w:t>
      </w:r>
      <w:r w:rsidR="001C651B">
        <w:rPr>
          <w:noProof/>
        </w:rPr>
        <w:t> </w:t>
      </w:r>
      <w:r w:rsidR="001C651B" w:rsidRPr="001C651B">
        <w:rPr>
          <w:noProof/>
        </w:rPr>
        <w:t>wym</w:t>
      </w:r>
      <w:r w:rsidR="00BF6649" w:rsidRPr="001C651B">
        <w:rPr>
          <w:noProof/>
        </w:rPr>
        <w:t>ogami art.</w:t>
      </w:r>
      <w:r w:rsidR="001C651B" w:rsidRPr="001C651B">
        <w:rPr>
          <w:noProof/>
        </w:rPr>
        <w:t> </w:t>
      </w:r>
      <w:r w:rsidR="00BF6649" w:rsidRPr="001C651B">
        <w:rPr>
          <w:noProof/>
        </w:rPr>
        <w:t>430 ust.</w:t>
      </w:r>
      <w:r w:rsidR="001C651B" w:rsidRPr="001C651B">
        <w:rPr>
          <w:noProof/>
        </w:rPr>
        <w:t> </w:t>
      </w:r>
      <w:r w:rsidR="00BF6649" w:rsidRPr="001C651B">
        <w:rPr>
          <w:noProof/>
        </w:rPr>
        <w:t>1 lit.</w:t>
      </w:r>
      <w:r w:rsidR="001C651B" w:rsidRPr="001C651B">
        <w:rPr>
          <w:noProof/>
        </w:rPr>
        <w:t> </w:t>
      </w:r>
      <w:r w:rsidR="00BF6649" w:rsidRPr="001C651B">
        <w:rPr>
          <w:noProof/>
        </w:rPr>
        <w:t>a) rozporządzenia (UE) nr</w:t>
      </w:r>
      <w:r w:rsidR="001C651B" w:rsidRPr="001C651B">
        <w:rPr>
          <w:noProof/>
        </w:rPr>
        <w:t> </w:t>
      </w:r>
      <w:r w:rsidR="00BF6649" w:rsidRPr="001C651B">
        <w:rPr>
          <w:noProof/>
        </w:rPr>
        <w:t>575/2013 na zasadzie indywidualnej, przedstawiają te informacje, jak określono</w:t>
      </w:r>
      <w:r w:rsidR="001C651B" w:rsidRPr="001C651B">
        <w:rPr>
          <w:noProof/>
        </w:rPr>
        <w:t xml:space="preserve"> w</w:t>
      </w:r>
      <w:r w:rsidR="001C651B">
        <w:rPr>
          <w:noProof/>
        </w:rPr>
        <w:t> </w:t>
      </w:r>
      <w:r w:rsidR="001C651B" w:rsidRPr="001C651B">
        <w:rPr>
          <w:noProof/>
        </w:rPr>
        <w:t>sek</w:t>
      </w:r>
      <w:r w:rsidR="00BF6649" w:rsidRPr="001C651B">
        <w:rPr>
          <w:noProof/>
        </w:rPr>
        <w:t>cji 1 – „Sprawozdawczość</w:t>
      </w:r>
      <w:r w:rsidR="001C651B" w:rsidRPr="001C651B">
        <w:rPr>
          <w:noProof/>
        </w:rPr>
        <w:t xml:space="preserve"> w</w:t>
      </w:r>
      <w:r w:rsidR="001C651B">
        <w:rPr>
          <w:noProof/>
        </w:rPr>
        <w:t> </w:t>
      </w:r>
      <w:r w:rsidR="001C651B" w:rsidRPr="001C651B">
        <w:rPr>
          <w:noProof/>
        </w:rPr>
        <w:t>zak</w:t>
      </w:r>
      <w:r w:rsidR="00BF6649" w:rsidRPr="001C651B">
        <w:rPr>
          <w:noProof/>
        </w:rPr>
        <w:t>resie funduszy własnych oraz wymogów</w:t>
      </w:r>
      <w:r w:rsidR="001C651B" w:rsidRPr="001C651B">
        <w:rPr>
          <w:noProof/>
        </w:rPr>
        <w:t xml:space="preserve"> w</w:t>
      </w:r>
      <w:r w:rsidR="001C651B">
        <w:rPr>
          <w:noProof/>
        </w:rPr>
        <w:t> </w:t>
      </w:r>
      <w:r w:rsidR="001C651B" w:rsidRPr="001C651B">
        <w:rPr>
          <w:noProof/>
        </w:rPr>
        <w:t>zak</w:t>
      </w:r>
      <w:r w:rsidR="00BF6649" w:rsidRPr="001C651B">
        <w:rPr>
          <w:noProof/>
        </w:rPr>
        <w:t>resie funduszy własnych”</w:t>
      </w:r>
      <w:r w:rsidR="001C651B" w:rsidRPr="001C651B">
        <w:rPr>
          <w:noProof/>
        </w:rPr>
        <w:t xml:space="preserve"> w</w:t>
      </w:r>
      <w:r w:rsidR="001C651B">
        <w:rPr>
          <w:noProof/>
        </w:rPr>
        <w:t> </w:t>
      </w:r>
      <w:r w:rsidR="001C651B" w:rsidRPr="001C651B">
        <w:rPr>
          <w:noProof/>
        </w:rPr>
        <w:t>zał</w:t>
      </w:r>
      <w:r w:rsidR="00BF6649" w:rsidRPr="001C651B">
        <w:rPr>
          <w:noProof/>
        </w:rPr>
        <w:t>ączniku I do niniejszego rozporządzenia,</w:t>
      </w:r>
      <w:r w:rsidR="001C651B" w:rsidRPr="001C651B">
        <w:rPr>
          <w:noProof/>
        </w:rPr>
        <w:t xml:space="preserve"> z</w:t>
      </w:r>
      <w:r w:rsidR="001C651B">
        <w:rPr>
          <w:noProof/>
        </w:rPr>
        <w:t> </w:t>
      </w:r>
      <w:r w:rsidR="001C651B" w:rsidRPr="001C651B">
        <w:rPr>
          <w:noProof/>
        </w:rPr>
        <w:t>czę</w:t>
      </w:r>
      <w:r w:rsidR="00BF6649" w:rsidRPr="001C651B">
        <w:rPr>
          <w:noProof/>
        </w:rPr>
        <w:t>stotliwością kwartalną.</w:t>
      </w:r>
    </w:p>
    <w:p w:rsidR="00290C23" w:rsidRPr="001C651B" w:rsidRDefault="003040A6" w:rsidP="003040A6">
      <w:pPr>
        <w:pStyle w:val="ManualNumPar1"/>
        <w:rPr>
          <w:rFonts w:eastAsia="Times New Roman"/>
          <w:noProof/>
        </w:rPr>
      </w:pPr>
      <w:r w:rsidRPr="003040A6">
        <w:rPr>
          <w:noProof/>
        </w:rPr>
        <w:t>2.</w:t>
      </w:r>
      <w:r w:rsidRPr="003040A6">
        <w:rPr>
          <w:noProof/>
        </w:rPr>
        <w:tab/>
      </w:r>
      <w:r w:rsidR="00290C23" w:rsidRPr="001C651B">
        <w:rPr>
          <w:noProof/>
        </w:rPr>
        <w:t>Instytucje przekazują informacje określone we wzorach C 09.01 i C 09.02,</w:t>
      </w:r>
      <w:r w:rsidR="001C651B" w:rsidRPr="001C651B">
        <w:rPr>
          <w:noProof/>
        </w:rPr>
        <w:t xml:space="preserve"> w</w:t>
      </w:r>
      <w:r w:rsidR="001C651B">
        <w:rPr>
          <w:noProof/>
        </w:rPr>
        <w:t> </w:t>
      </w:r>
      <w:r w:rsidR="001C651B" w:rsidRPr="001C651B">
        <w:rPr>
          <w:noProof/>
        </w:rPr>
        <w:t>szc</w:t>
      </w:r>
      <w:r w:rsidR="00290C23" w:rsidRPr="001C651B">
        <w:rPr>
          <w:noProof/>
        </w:rPr>
        <w:t>zególności informacje na temat geograficznego rozkładu ekspozycji według państw,</w:t>
      </w:r>
      <w:r w:rsidR="001C651B" w:rsidRPr="001C651B">
        <w:rPr>
          <w:noProof/>
        </w:rPr>
        <w:t xml:space="preserve"> w</w:t>
      </w:r>
      <w:r w:rsidR="001C651B">
        <w:rPr>
          <w:noProof/>
        </w:rPr>
        <w:t> </w:t>
      </w:r>
      <w:r w:rsidR="001C651B" w:rsidRPr="001C651B">
        <w:rPr>
          <w:noProof/>
        </w:rPr>
        <w:t>prz</w:t>
      </w:r>
      <w:r w:rsidR="00290C23" w:rsidRPr="001C651B">
        <w:rPr>
          <w:noProof/>
        </w:rPr>
        <w:t>ypadku gdy zagraniczne ekspozycje pierwotne we wszystkich państwach „zewnętrznych” we wszystkich kategoriach ekspozycji zgłoszone</w:t>
      </w:r>
      <w:r w:rsidR="001C651B" w:rsidRPr="001C651B">
        <w:rPr>
          <w:noProof/>
        </w:rPr>
        <w:t xml:space="preserve"> w</w:t>
      </w:r>
      <w:r w:rsidR="001C651B">
        <w:rPr>
          <w:noProof/>
        </w:rPr>
        <w:t> </w:t>
      </w:r>
      <w:r w:rsidR="001C651B" w:rsidRPr="001C651B">
        <w:rPr>
          <w:noProof/>
        </w:rPr>
        <w:t>wie</w:t>
      </w:r>
      <w:r w:rsidR="00290C23" w:rsidRPr="001C651B">
        <w:rPr>
          <w:noProof/>
        </w:rPr>
        <w:t>rszu 0850 we wzorze C 04.00 wynoszą co najmniej 10</w:t>
      </w:r>
      <w:r w:rsidR="001C651B" w:rsidRPr="001C651B">
        <w:rPr>
          <w:noProof/>
        </w:rPr>
        <w:t> </w:t>
      </w:r>
      <w:r w:rsidR="00290C23" w:rsidRPr="001C651B">
        <w:rPr>
          <w:noProof/>
        </w:rPr>
        <w:t>% całkowitych krajowych</w:t>
      </w:r>
      <w:r w:rsidR="001C651B" w:rsidRPr="001C651B">
        <w:rPr>
          <w:noProof/>
        </w:rPr>
        <w:t xml:space="preserve"> i</w:t>
      </w:r>
      <w:r w:rsidR="001C651B">
        <w:rPr>
          <w:noProof/>
        </w:rPr>
        <w:t> </w:t>
      </w:r>
      <w:r w:rsidR="001C651B" w:rsidRPr="001C651B">
        <w:rPr>
          <w:noProof/>
        </w:rPr>
        <w:t>zag</w:t>
      </w:r>
      <w:r w:rsidR="00290C23" w:rsidRPr="001C651B">
        <w:rPr>
          <w:noProof/>
        </w:rPr>
        <w:t>ranicznych ekspozycji pierwotnych zgłoszonych</w:t>
      </w:r>
      <w:r w:rsidR="001C651B" w:rsidRPr="001C651B">
        <w:rPr>
          <w:noProof/>
        </w:rPr>
        <w:t xml:space="preserve"> w</w:t>
      </w:r>
      <w:r w:rsidR="001C651B">
        <w:rPr>
          <w:noProof/>
        </w:rPr>
        <w:t> </w:t>
      </w:r>
      <w:r w:rsidR="001C651B" w:rsidRPr="001C651B">
        <w:rPr>
          <w:noProof/>
        </w:rPr>
        <w:t>wie</w:t>
      </w:r>
      <w:r w:rsidR="00290C23" w:rsidRPr="001C651B">
        <w:rPr>
          <w:noProof/>
        </w:rPr>
        <w:t>rszu 0860 we wzorze C 04.00. Ekspozycje uznaje się za krajowe,</w:t>
      </w:r>
      <w:r w:rsidR="001C651B" w:rsidRPr="001C651B">
        <w:rPr>
          <w:noProof/>
        </w:rPr>
        <w:t xml:space="preserve"> w</w:t>
      </w:r>
      <w:r w:rsidR="001C651B">
        <w:rPr>
          <w:noProof/>
        </w:rPr>
        <w:t> </w:t>
      </w:r>
      <w:r w:rsidR="001C651B" w:rsidRPr="001C651B">
        <w:rPr>
          <w:noProof/>
        </w:rPr>
        <w:t>prz</w:t>
      </w:r>
      <w:r w:rsidR="00290C23" w:rsidRPr="001C651B">
        <w:rPr>
          <w:noProof/>
        </w:rPr>
        <w:t>ypadku gdy są to ekspozycje wobec kontrahentów zlokalizowanych</w:t>
      </w:r>
      <w:r w:rsidR="001C651B" w:rsidRPr="001C651B">
        <w:rPr>
          <w:noProof/>
        </w:rPr>
        <w:t xml:space="preserve"> w</w:t>
      </w:r>
      <w:r w:rsidR="001C651B">
        <w:rPr>
          <w:noProof/>
        </w:rPr>
        <w:t> </w:t>
      </w:r>
      <w:r w:rsidR="001C651B" w:rsidRPr="001C651B">
        <w:rPr>
          <w:noProof/>
        </w:rPr>
        <w:t>pań</w:t>
      </w:r>
      <w:r w:rsidR="00290C23" w:rsidRPr="001C651B">
        <w:rPr>
          <w:noProof/>
        </w:rPr>
        <w:t>stwie członkowskim,</w:t>
      </w:r>
      <w:r w:rsidR="001C651B" w:rsidRPr="001C651B">
        <w:rPr>
          <w:noProof/>
        </w:rPr>
        <w:t xml:space="preserve"> w</w:t>
      </w:r>
      <w:r w:rsidR="001C651B">
        <w:rPr>
          <w:noProof/>
        </w:rPr>
        <w:t> </w:t>
      </w:r>
      <w:r w:rsidR="001C651B" w:rsidRPr="001C651B">
        <w:rPr>
          <w:noProof/>
        </w:rPr>
        <w:t>któ</w:t>
      </w:r>
      <w:r w:rsidR="00290C23" w:rsidRPr="001C651B">
        <w:rPr>
          <w:noProof/>
        </w:rPr>
        <w:t>rym dana instytucja ma siedzibę.</w:t>
      </w:r>
    </w:p>
    <w:p w:rsidR="00290C23" w:rsidRPr="001C651B" w:rsidRDefault="003040A6" w:rsidP="003040A6">
      <w:pPr>
        <w:pStyle w:val="ManualNumPar1"/>
        <w:rPr>
          <w:rFonts w:eastAsia="Times New Roman"/>
          <w:noProof/>
        </w:rPr>
      </w:pPr>
      <w:r w:rsidRPr="003040A6">
        <w:rPr>
          <w:noProof/>
        </w:rPr>
        <w:t>3.</w:t>
      </w:r>
      <w:r w:rsidRPr="003040A6">
        <w:rPr>
          <w:noProof/>
        </w:rPr>
        <w:tab/>
      </w:r>
      <w:r w:rsidR="00290C23" w:rsidRPr="001C651B">
        <w:rPr>
          <w:noProof/>
        </w:rPr>
        <w:t>Instytucje, które stosują metodę podstawową zgodnie</w:t>
      </w:r>
      <w:r w:rsidR="001C651B" w:rsidRPr="001C651B">
        <w:rPr>
          <w:noProof/>
        </w:rPr>
        <w:t xml:space="preserve"> z</w:t>
      </w:r>
      <w:r w:rsidR="001C651B">
        <w:rPr>
          <w:noProof/>
        </w:rPr>
        <w:t> </w:t>
      </w:r>
      <w:r w:rsidR="001C651B" w:rsidRPr="001C651B">
        <w:rPr>
          <w:noProof/>
        </w:rPr>
        <w:t>roz</w:t>
      </w:r>
      <w:r w:rsidR="00290C23" w:rsidRPr="001C651B">
        <w:rPr>
          <w:noProof/>
        </w:rPr>
        <w:t>porządzeniem delegowanym Komisji (UE) 2016/101</w:t>
      </w:r>
      <w:r w:rsidR="00290C23" w:rsidRPr="001C651B">
        <w:rPr>
          <w:rStyle w:val="FootnoteReference"/>
          <w:rFonts w:eastAsia="Times New Roman"/>
          <w:noProof/>
          <w:lang w:eastAsia="en-GB" w:bidi="en-GB"/>
        </w:rPr>
        <w:footnoteReference w:id="8"/>
      </w:r>
      <w:r w:rsidR="001C651B" w:rsidRPr="001C651B">
        <w:rPr>
          <w:noProof/>
        </w:rPr>
        <w:t xml:space="preserve"> i</w:t>
      </w:r>
      <w:r w:rsidR="001C651B">
        <w:rPr>
          <w:noProof/>
        </w:rPr>
        <w:t> </w:t>
      </w:r>
      <w:r w:rsidR="001C651B" w:rsidRPr="001C651B">
        <w:rPr>
          <w:noProof/>
        </w:rPr>
        <w:t>któ</w:t>
      </w:r>
      <w:r w:rsidR="00290C23" w:rsidRPr="001C651B">
        <w:rPr>
          <w:noProof/>
        </w:rPr>
        <w:t>re przekraczają próg,</w:t>
      </w:r>
      <w:r w:rsidR="001C651B" w:rsidRPr="001C651B">
        <w:rPr>
          <w:noProof/>
        </w:rPr>
        <w:t xml:space="preserve"> o</w:t>
      </w:r>
      <w:r w:rsidR="001C651B">
        <w:rPr>
          <w:noProof/>
        </w:rPr>
        <w:t> </w:t>
      </w:r>
      <w:r w:rsidR="001C651B" w:rsidRPr="001C651B">
        <w:rPr>
          <w:noProof/>
        </w:rPr>
        <w:t>któ</w:t>
      </w:r>
      <w:r w:rsidR="00290C23" w:rsidRPr="001C651B">
        <w:rPr>
          <w:noProof/>
        </w:rPr>
        <w:t>rym mowa</w:t>
      </w:r>
      <w:r w:rsidR="001C651B" w:rsidRPr="001C651B">
        <w:rPr>
          <w:noProof/>
        </w:rPr>
        <w:t xml:space="preserve"> w</w:t>
      </w:r>
      <w:r w:rsidR="001C651B">
        <w:rPr>
          <w:noProof/>
        </w:rPr>
        <w:t> </w:t>
      </w:r>
      <w:r w:rsidR="001C651B" w:rsidRPr="001C651B">
        <w:rPr>
          <w:noProof/>
        </w:rPr>
        <w:t>art</w:t>
      </w:r>
      <w:r w:rsidR="00290C23" w:rsidRPr="001C651B">
        <w:rPr>
          <w:noProof/>
        </w:rPr>
        <w:t>.</w:t>
      </w:r>
      <w:r w:rsidR="001C651B" w:rsidRPr="001C651B">
        <w:rPr>
          <w:noProof/>
        </w:rPr>
        <w:t> </w:t>
      </w:r>
      <w:r w:rsidR="00290C23" w:rsidRPr="001C651B">
        <w:rPr>
          <w:noProof/>
        </w:rPr>
        <w:t>4 ust.</w:t>
      </w:r>
      <w:r w:rsidR="001C651B" w:rsidRPr="001C651B">
        <w:rPr>
          <w:noProof/>
        </w:rPr>
        <w:t> </w:t>
      </w:r>
      <w:r w:rsidR="00290C23" w:rsidRPr="001C651B">
        <w:rPr>
          <w:noProof/>
        </w:rPr>
        <w:t>1 tego rozporządzenia, przekazują informacje określone we wzorach C 32.03 i C 32.04.</w:t>
      </w:r>
    </w:p>
    <w:p w:rsidR="00716EA9" w:rsidRPr="001C651B" w:rsidRDefault="003040A6" w:rsidP="003040A6">
      <w:pPr>
        <w:pStyle w:val="ManualNumPar1"/>
        <w:rPr>
          <w:rFonts w:eastAsia="Times New Roman"/>
          <w:noProof/>
        </w:rPr>
      </w:pPr>
      <w:r w:rsidRPr="003040A6">
        <w:rPr>
          <w:noProof/>
        </w:rPr>
        <w:t>4.</w:t>
      </w:r>
      <w:r w:rsidRPr="003040A6">
        <w:rPr>
          <w:noProof/>
        </w:rPr>
        <w:tab/>
      </w:r>
      <w:r w:rsidR="00AB6D3F" w:rsidRPr="001C651B">
        <w:rPr>
          <w:noProof/>
        </w:rPr>
        <w:t>Do celów obliczania wymogów</w:t>
      </w:r>
      <w:r w:rsidR="001C651B" w:rsidRPr="001C651B">
        <w:rPr>
          <w:noProof/>
        </w:rPr>
        <w:t xml:space="preserve"> w</w:t>
      </w:r>
      <w:r w:rsidR="001C651B">
        <w:rPr>
          <w:noProof/>
        </w:rPr>
        <w:t> </w:t>
      </w:r>
      <w:r w:rsidR="001C651B" w:rsidRPr="001C651B">
        <w:rPr>
          <w:noProof/>
        </w:rPr>
        <w:t>zak</w:t>
      </w:r>
      <w:r w:rsidR="00AB6D3F" w:rsidRPr="001C651B">
        <w:rPr>
          <w:noProof/>
        </w:rPr>
        <w:t>resie funduszy własnych,</w:t>
      </w:r>
      <w:r w:rsidR="001C651B" w:rsidRPr="001C651B">
        <w:rPr>
          <w:noProof/>
        </w:rPr>
        <w:t xml:space="preserve"> o</w:t>
      </w:r>
      <w:r w:rsidR="001C651B">
        <w:rPr>
          <w:noProof/>
        </w:rPr>
        <w:t> </w:t>
      </w:r>
      <w:r w:rsidR="001C651B" w:rsidRPr="001C651B">
        <w:rPr>
          <w:noProof/>
        </w:rPr>
        <w:t>któ</w:t>
      </w:r>
      <w:r w:rsidR="00AB6D3F" w:rsidRPr="001C651B">
        <w:rPr>
          <w:noProof/>
        </w:rPr>
        <w:t>rych mowa</w:t>
      </w:r>
      <w:r w:rsidR="001C651B" w:rsidRPr="001C651B">
        <w:rPr>
          <w:noProof/>
        </w:rPr>
        <w:t xml:space="preserve"> w</w:t>
      </w:r>
      <w:r w:rsidR="001C651B">
        <w:rPr>
          <w:noProof/>
        </w:rPr>
        <w:t> </w:t>
      </w:r>
      <w:r w:rsidR="001C651B" w:rsidRPr="001C651B">
        <w:rPr>
          <w:noProof/>
        </w:rPr>
        <w:t>art</w:t>
      </w:r>
      <w:r w:rsidR="00AB6D3F" w:rsidRPr="001C651B">
        <w:rPr>
          <w:noProof/>
        </w:rPr>
        <w:t>.</w:t>
      </w:r>
      <w:r w:rsidR="001C651B" w:rsidRPr="001C651B">
        <w:rPr>
          <w:noProof/>
        </w:rPr>
        <w:t> </w:t>
      </w:r>
      <w:r w:rsidR="00AB6D3F" w:rsidRPr="001C651B">
        <w:rPr>
          <w:noProof/>
        </w:rPr>
        <w:t>92 ust.</w:t>
      </w:r>
      <w:r w:rsidR="001C651B" w:rsidRPr="001C651B">
        <w:rPr>
          <w:noProof/>
        </w:rPr>
        <w:t> </w:t>
      </w:r>
      <w:r w:rsidR="00AB6D3F" w:rsidRPr="001C651B">
        <w:rPr>
          <w:noProof/>
        </w:rPr>
        <w:t>4 lit.</w:t>
      </w:r>
      <w:r w:rsidR="001C651B" w:rsidRPr="001C651B">
        <w:rPr>
          <w:noProof/>
        </w:rPr>
        <w:t> </w:t>
      </w:r>
      <w:r w:rsidR="00AB6D3F" w:rsidRPr="001C651B">
        <w:rPr>
          <w:noProof/>
        </w:rPr>
        <w:t>b) pkt (i)</w:t>
      </w:r>
      <w:r w:rsidR="001C651B" w:rsidRPr="001C651B">
        <w:rPr>
          <w:noProof/>
        </w:rPr>
        <w:t xml:space="preserve"> i</w:t>
      </w:r>
      <w:r w:rsidR="001C651B">
        <w:rPr>
          <w:noProof/>
        </w:rPr>
        <w:t> </w:t>
      </w:r>
      <w:r w:rsidR="001C651B" w:rsidRPr="001C651B">
        <w:rPr>
          <w:noProof/>
        </w:rPr>
        <w:t>art</w:t>
      </w:r>
      <w:r w:rsidR="00AB6D3F" w:rsidRPr="001C651B">
        <w:rPr>
          <w:noProof/>
        </w:rPr>
        <w:t>.</w:t>
      </w:r>
      <w:r w:rsidR="001C651B" w:rsidRPr="001C651B">
        <w:rPr>
          <w:noProof/>
        </w:rPr>
        <w:t> </w:t>
      </w:r>
      <w:r w:rsidR="00AB6D3F" w:rsidRPr="001C651B">
        <w:rPr>
          <w:noProof/>
        </w:rPr>
        <w:t>92 ust.</w:t>
      </w:r>
      <w:r w:rsidR="001C651B" w:rsidRPr="001C651B">
        <w:rPr>
          <w:noProof/>
        </w:rPr>
        <w:t> </w:t>
      </w:r>
      <w:r w:rsidR="00AB6D3F" w:rsidRPr="001C651B">
        <w:rPr>
          <w:noProof/>
        </w:rPr>
        <w:t>4 lit.</w:t>
      </w:r>
      <w:r w:rsidR="001C651B" w:rsidRPr="001C651B">
        <w:rPr>
          <w:noProof/>
        </w:rPr>
        <w:t> </w:t>
      </w:r>
      <w:r w:rsidR="00AB6D3F" w:rsidRPr="001C651B">
        <w:rPr>
          <w:noProof/>
        </w:rPr>
        <w:t>c) oraz art.</w:t>
      </w:r>
      <w:r w:rsidR="001C651B" w:rsidRPr="001C651B">
        <w:rPr>
          <w:noProof/>
        </w:rPr>
        <w:t> </w:t>
      </w:r>
      <w:r w:rsidR="00AB6D3F" w:rsidRPr="001C651B">
        <w:rPr>
          <w:noProof/>
        </w:rPr>
        <w:t>92 ust.</w:t>
      </w:r>
      <w:r w:rsidR="001C651B" w:rsidRPr="001C651B">
        <w:rPr>
          <w:noProof/>
        </w:rPr>
        <w:t> </w:t>
      </w:r>
      <w:r w:rsidR="00AB6D3F" w:rsidRPr="001C651B">
        <w:rPr>
          <w:noProof/>
        </w:rPr>
        <w:t>5 lit.</w:t>
      </w:r>
      <w:r w:rsidR="001C651B" w:rsidRPr="001C651B">
        <w:rPr>
          <w:noProof/>
        </w:rPr>
        <w:t> </w:t>
      </w:r>
      <w:r w:rsidR="00AB6D3F" w:rsidRPr="001C651B">
        <w:rPr>
          <w:noProof/>
        </w:rPr>
        <w:t>b) i c) rozporządzenia (UE) nr</w:t>
      </w:r>
      <w:r w:rsidR="001C651B" w:rsidRPr="001C651B">
        <w:rPr>
          <w:noProof/>
        </w:rPr>
        <w:t> </w:t>
      </w:r>
      <w:r w:rsidR="00AB6D3F" w:rsidRPr="001C651B">
        <w:rPr>
          <w:noProof/>
          <w:color w:val="000000"/>
        </w:rPr>
        <w:t>575/2013</w:t>
      </w:r>
      <w:r w:rsidR="00AB6D3F" w:rsidRPr="001C651B">
        <w:rPr>
          <w:noProof/>
        </w:rPr>
        <w:t>, instytucje przedkładają do dnia 31 grudnia 2025</w:t>
      </w:r>
      <w:r w:rsidR="001C651B" w:rsidRPr="001C651B">
        <w:rPr>
          <w:noProof/>
        </w:rPr>
        <w:t> </w:t>
      </w:r>
      <w:r w:rsidR="00AB6D3F" w:rsidRPr="001C651B">
        <w:rPr>
          <w:noProof/>
        </w:rPr>
        <w:t>r. informacje na temat wymogów</w:t>
      </w:r>
      <w:r w:rsidR="001C651B" w:rsidRPr="001C651B">
        <w:rPr>
          <w:noProof/>
        </w:rPr>
        <w:t xml:space="preserve"> w</w:t>
      </w:r>
      <w:r w:rsidR="001C651B">
        <w:rPr>
          <w:noProof/>
        </w:rPr>
        <w:t> </w:t>
      </w:r>
      <w:r w:rsidR="001C651B" w:rsidRPr="001C651B">
        <w:rPr>
          <w:noProof/>
        </w:rPr>
        <w:t>zak</w:t>
      </w:r>
      <w:r w:rsidR="00AB6D3F" w:rsidRPr="001C651B">
        <w:rPr>
          <w:noProof/>
        </w:rPr>
        <w:t>resie funduszy własnych dotyczących ryzyka rynkowego zgodnie</w:t>
      </w:r>
      <w:r w:rsidR="001C651B" w:rsidRPr="001C651B">
        <w:rPr>
          <w:noProof/>
        </w:rPr>
        <w:t xml:space="preserve"> z</w:t>
      </w:r>
      <w:r w:rsidR="001C651B">
        <w:rPr>
          <w:noProof/>
        </w:rPr>
        <w:t> </w:t>
      </w:r>
      <w:r w:rsidR="001C651B" w:rsidRPr="001C651B">
        <w:rPr>
          <w:noProof/>
        </w:rPr>
        <w:t>art</w:t>
      </w:r>
      <w:r w:rsidR="00AB6D3F" w:rsidRPr="001C651B">
        <w:rPr>
          <w:noProof/>
        </w:rPr>
        <w:t>.</w:t>
      </w:r>
      <w:r w:rsidR="001C651B" w:rsidRPr="001C651B">
        <w:rPr>
          <w:noProof/>
        </w:rPr>
        <w:t> </w:t>
      </w:r>
      <w:r w:rsidR="00AB6D3F" w:rsidRPr="001C651B">
        <w:rPr>
          <w:noProof/>
        </w:rPr>
        <w:t>5 ust.</w:t>
      </w:r>
      <w:r w:rsidR="001C651B" w:rsidRPr="001C651B">
        <w:rPr>
          <w:noProof/>
        </w:rPr>
        <w:t> </w:t>
      </w:r>
      <w:r w:rsidR="00AB6D3F" w:rsidRPr="001C651B">
        <w:rPr>
          <w:noProof/>
        </w:rPr>
        <w:t>12 rozporządzenia wykonawczego (UE) 2021/451.</w:t>
      </w:r>
    </w:p>
    <w:p w:rsidR="00716EA9" w:rsidRPr="001C651B" w:rsidRDefault="00716EA9" w:rsidP="00E537F5">
      <w:pPr>
        <w:pStyle w:val="Titrearticle"/>
        <w:rPr>
          <w:noProof/>
          <w:szCs w:val="24"/>
        </w:rPr>
      </w:pPr>
      <w:r w:rsidRPr="001C651B">
        <w:rPr>
          <w:noProof/>
        </w:rPr>
        <w:t>Artykuł 6</w:t>
      </w:r>
    </w:p>
    <w:p w:rsidR="00716EA9" w:rsidRPr="001C651B" w:rsidRDefault="00716EA9" w:rsidP="00F22954">
      <w:pPr>
        <w:pStyle w:val="Titrearticle"/>
        <w:spacing w:before="0"/>
        <w:rPr>
          <w:b/>
          <w:bCs/>
          <w:i w:val="0"/>
          <w:iCs/>
          <w:noProof/>
          <w:szCs w:val="24"/>
        </w:rPr>
      </w:pPr>
      <w:r w:rsidRPr="001C651B">
        <w:rPr>
          <w:b/>
          <w:i w:val="0"/>
          <w:noProof/>
        </w:rPr>
        <w:t>Sprawozdawczość</w:t>
      </w:r>
      <w:r w:rsidR="001C651B" w:rsidRPr="001C651B">
        <w:rPr>
          <w:b/>
          <w:i w:val="0"/>
          <w:noProof/>
        </w:rPr>
        <w:t xml:space="preserve"> w</w:t>
      </w:r>
      <w:r w:rsidR="001C651B">
        <w:rPr>
          <w:b/>
          <w:i w:val="0"/>
          <w:noProof/>
        </w:rPr>
        <w:t> </w:t>
      </w:r>
      <w:r w:rsidR="001C651B" w:rsidRPr="001C651B">
        <w:rPr>
          <w:b/>
          <w:i w:val="0"/>
          <w:noProof/>
        </w:rPr>
        <w:t>zak</w:t>
      </w:r>
      <w:r w:rsidRPr="001C651B">
        <w:rPr>
          <w:b/>
          <w:i w:val="0"/>
          <w:noProof/>
        </w:rPr>
        <w:t>resie funduszy własnych oraz wymogów</w:t>
      </w:r>
      <w:r w:rsidR="001C651B" w:rsidRPr="001C651B">
        <w:rPr>
          <w:b/>
          <w:i w:val="0"/>
          <w:noProof/>
        </w:rPr>
        <w:t xml:space="preserve"> w</w:t>
      </w:r>
      <w:r w:rsidR="001C651B">
        <w:rPr>
          <w:b/>
          <w:i w:val="0"/>
          <w:noProof/>
        </w:rPr>
        <w:t> </w:t>
      </w:r>
      <w:r w:rsidR="001C651B" w:rsidRPr="001C651B">
        <w:rPr>
          <w:b/>
          <w:i w:val="0"/>
          <w:noProof/>
        </w:rPr>
        <w:t>zak</w:t>
      </w:r>
      <w:r w:rsidRPr="001C651B">
        <w:rPr>
          <w:b/>
          <w:i w:val="0"/>
          <w:noProof/>
        </w:rPr>
        <w:t>resie funduszy własnych na zasadzie indywidualnej – sprawozdawczość półroczna</w:t>
      </w:r>
    </w:p>
    <w:p w:rsidR="00716EA9" w:rsidRPr="001C651B" w:rsidRDefault="003040A6" w:rsidP="003040A6">
      <w:pPr>
        <w:pStyle w:val="ManualNumPar1"/>
        <w:rPr>
          <w:noProof/>
        </w:rPr>
      </w:pPr>
      <w:r w:rsidRPr="003040A6">
        <w:rPr>
          <w:noProof/>
        </w:rPr>
        <w:t>1.</w:t>
      </w:r>
      <w:r w:rsidRPr="003040A6">
        <w:rPr>
          <w:noProof/>
        </w:rPr>
        <w:tab/>
      </w:r>
      <w:r w:rsidR="00266139" w:rsidRPr="001C651B">
        <w:rPr>
          <w:noProof/>
        </w:rPr>
        <w:t>Instytucje, które przekazują informacje na temat funduszy własnych oraz wymogów</w:t>
      </w:r>
      <w:r w:rsidR="001C651B" w:rsidRPr="001C651B">
        <w:rPr>
          <w:noProof/>
        </w:rPr>
        <w:t xml:space="preserve"> w</w:t>
      </w:r>
      <w:r w:rsidR="001C651B">
        <w:rPr>
          <w:noProof/>
        </w:rPr>
        <w:t> </w:t>
      </w:r>
      <w:r w:rsidR="001C651B" w:rsidRPr="001C651B">
        <w:rPr>
          <w:noProof/>
        </w:rPr>
        <w:t>zak</w:t>
      </w:r>
      <w:r w:rsidR="00266139" w:rsidRPr="001C651B">
        <w:rPr>
          <w:noProof/>
        </w:rPr>
        <w:t>resie funduszy własnych zgodnie</w:t>
      </w:r>
      <w:r w:rsidR="001C651B" w:rsidRPr="001C651B">
        <w:rPr>
          <w:noProof/>
        </w:rPr>
        <w:t xml:space="preserve"> z</w:t>
      </w:r>
      <w:r w:rsidR="001C651B">
        <w:rPr>
          <w:noProof/>
        </w:rPr>
        <w:t> </w:t>
      </w:r>
      <w:r w:rsidR="001C651B" w:rsidRPr="001C651B">
        <w:rPr>
          <w:noProof/>
        </w:rPr>
        <w:t>wym</w:t>
      </w:r>
      <w:r w:rsidR="00266139" w:rsidRPr="001C651B">
        <w:rPr>
          <w:noProof/>
        </w:rPr>
        <w:t>ogami art.</w:t>
      </w:r>
      <w:r w:rsidR="001C651B" w:rsidRPr="001C651B">
        <w:rPr>
          <w:noProof/>
        </w:rPr>
        <w:t> </w:t>
      </w:r>
      <w:r w:rsidR="00266139" w:rsidRPr="001C651B">
        <w:rPr>
          <w:noProof/>
        </w:rPr>
        <w:t>430 ust.</w:t>
      </w:r>
      <w:r w:rsidR="001C651B" w:rsidRPr="001C651B">
        <w:rPr>
          <w:noProof/>
        </w:rPr>
        <w:t> </w:t>
      </w:r>
      <w:r w:rsidR="00266139" w:rsidRPr="001C651B">
        <w:rPr>
          <w:noProof/>
        </w:rPr>
        <w:t>1 lit.</w:t>
      </w:r>
      <w:r w:rsidR="001C651B" w:rsidRPr="001C651B">
        <w:rPr>
          <w:noProof/>
        </w:rPr>
        <w:t> </w:t>
      </w:r>
      <w:r w:rsidR="00266139" w:rsidRPr="001C651B">
        <w:rPr>
          <w:noProof/>
        </w:rPr>
        <w:t>a) rozporządzenia (UE) nr</w:t>
      </w:r>
      <w:r w:rsidR="001C651B" w:rsidRPr="001C651B">
        <w:rPr>
          <w:noProof/>
        </w:rPr>
        <w:t> </w:t>
      </w:r>
      <w:r w:rsidR="00266139" w:rsidRPr="001C651B">
        <w:rPr>
          <w:noProof/>
        </w:rPr>
        <w:t>575/2013 na zasadzie indywidualnej, przedstawiają te informacje, jak określono</w:t>
      </w:r>
      <w:r w:rsidR="001C651B" w:rsidRPr="001C651B">
        <w:rPr>
          <w:noProof/>
        </w:rPr>
        <w:t xml:space="preserve"> w</w:t>
      </w:r>
      <w:r w:rsidR="001C651B">
        <w:rPr>
          <w:noProof/>
        </w:rPr>
        <w:t> </w:t>
      </w:r>
      <w:r w:rsidR="001C651B" w:rsidRPr="001C651B">
        <w:rPr>
          <w:noProof/>
        </w:rPr>
        <w:t>sek</w:t>
      </w:r>
      <w:r w:rsidR="00266139" w:rsidRPr="001C651B">
        <w:rPr>
          <w:noProof/>
        </w:rPr>
        <w:t>cji 1 – „Sprawozdawczość</w:t>
      </w:r>
      <w:r w:rsidR="001C651B" w:rsidRPr="001C651B">
        <w:rPr>
          <w:noProof/>
        </w:rPr>
        <w:t xml:space="preserve"> w</w:t>
      </w:r>
      <w:r w:rsidR="001C651B">
        <w:rPr>
          <w:noProof/>
        </w:rPr>
        <w:t> </w:t>
      </w:r>
      <w:r w:rsidR="001C651B" w:rsidRPr="001C651B">
        <w:rPr>
          <w:noProof/>
        </w:rPr>
        <w:t>zak</w:t>
      </w:r>
      <w:r w:rsidR="00266139" w:rsidRPr="001C651B">
        <w:rPr>
          <w:noProof/>
        </w:rPr>
        <w:t>resie funduszy własnych oraz wymogów</w:t>
      </w:r>
      <w:r w:rsidR="001C651B" w:rsidRPr="001C651B">
        <w:rPr>
          <w:noProof/>
        </w:rPr>
        <w:t xml:space="preserve"> w</w:t>
      </w:r>
      <w:r w:rsidR="001C651B">
        <w:rPr>
          <w:noProof/>
        </w:rPr>
        <w:t> </w:t>
      </w:r>
      <w:r w:rsidR="001C651B" w:rsidRPr="001C651B">
        <w:rPr>
          <w:noProof/>
        </w:rPr>
        <w:t>zak</w:t>
      </w:r>
      <w:r w:rsidR="00266139" w:rsidRPr="001C651B">
        <w:rPr>
          <w:noProof/>
        </w:rPr>
        <w:t>resie funduszy własnych”</w:t>
      </w:r>
      <w:r w:rsidR="001C651B" w:rsidRPr="001C651B">
        <w:rPr>
          <w:noProof/>
        </w:rPr>
        <w:t xml:space="preserve"> w</w:t>
      </w:r>
      <w:r w:rsidR="001C651B">
        <w:rPr>
          <w:noProof/>
        </w:rPr>
        <w:t> </w:t>
      </w:r>
      <w:r w:rsidR="001C651B" w:rsidRPr="001C651B">
        <w:rPr>
          <w:noProof/>
        </w:rPr>
        <w:t>zał</w:t>
      </w:r>
      <w:r w:rsidR="00266139" w:rsidRPr="001C651B">
        <w:rPr>
          <w:noProof/>
        </w:rPr>
        <w:t>ączniku I,</w:t>
      </w:r>
      <w:r w:rsidR="001C651B" w:rsidRPr="001C651B">
        <w:rPr>
          <w:noProof/>
        </w:rPr>
        <w:t xml:space="preserve"> z</w:t>
      </w:r>
      <w:r w:rsidR="001C651B">
        <w:rPr>
          <w:noProof/>
        </w:rPr>
        <w:t> </w:t>
      </w:r>
      <w:r w:rsidR="001C651B" w:rsidRPr="001C651B">
        <w:rPr>
          <w:noProof/>
        </w:rPr>
        <w:t>czę</w:t>
      </w:r>
      <w:r w:rsidR="00266139" w:rsidRPr="001C651B">
        <w:rPr>
          <w:noProof/>
        </w:rPr>
        <w:t>stotliwością półroczną.</w:t>
      </w:r>
    </w:p>
    <w:p w:rsidR="00ED139D" w:rsidRPr="001C651B" w:rsidRDefault="003040A6" w:rsidP="003040A6">
      <w:pPr>
        <w:pStyle w:val="ManualNumPar1"/>
        <w:rPr>
          <w:noProof/>
        </w:rPr>
      </w:pPr>
      <w:r w:rsidRPr="003040A6">
        <w:rPr>
          <w:noProof/>
        </w:rPr>
        <w:t>2.</w:t>
      </w:r>
      <w:r w:rsidRPr="003040A6">
        <w:rPr>
          <w:noProof/>
        </w:rPr>
        <w:tab/>
      </w:r>
      <w:r w:rsidR="00ED139D" w:rsidRPr="001C651B">
        <w:rPr>
          <w:noProof/>
        </w:rPr>
        <w:t>Instytucje przekazują informacje na temat wszystkich ekspozycji sekurytyzacyjnych określone we wzorach C 14.00 i C 14.01</w:t>
      </w:r>
      <w:r w:rsidR="001C651B" w:rsidRPr="001C651B">
        <w:rPr>
          <w:noProof/>
        </w:rPr>
        <w:t xml:space="preserve"> w</w:t>
      </w:r>
      <w:r w:rsidR="001C651B">
        <w:rPr>
          <w:noProof/>
        </w:rPr>
        <w:t> </w:t>
      </w:r>
      <w:r w:rsidR="001C651B" w:rsidRPr="001C651B">
        <w:rPr>
          <w:noProof/>
        </w:rPr>
        <w:t>sek</w:t>
      </w:r>
      <w:r w:rsidR="00ED139D" w:rsidRPr="001C651B">
        <w:rPr>
          <w:noProof/>
        </w:rPr>
        <w:t>cji 1 – „Sprawozdawczość</w:t>
      </w:r>
      <w:r w:rsidR="001C651B" w:rsidRPr="001C651B">
        <w:rPr>
          <w:noProof/>
        </w:rPr>
        <w:t xml:space="preserve"> w</w:t>
      </w:r>
      <w:r w:rsidR="001C651B">
        <w:rPr>
          <w:noProof/>
        </w:rPr>
        <w:t> </w:t>
      </w:r>
      <w:r w:rsidR="001C651B" w:rsidRPr="001C651B">
        <w:rPr>
          <w:noProof/>
        </w:rPr>
        <w:t>zak</w:t>
      </w:r>
      <w:r w:rsidR="00ED139D" w:rsidRPr="001C651B">
        <w:rPr>
          <w:noProof/>
        </w:rPr>
        <w:t>resie funduszy własnych</w:t>
      </w:r>
      <w:r w:rsidR="001C651B" w:rsidRPr="001C651B">
        <w:rPr>
          <w:noProof/>
        </w:rPr>
        <w:t xml:space="preserve"> i</w:t>
      </w:r>
      <w:r w:rsidR="001C651B">
        <w:rPr>
          <w:noProof/>
        </w:rPr>
        <w:t> </w:t>
      </w:r>
      <w:r w:rsidR="001C651B" w:rsidRPr="001C651B">
        <w:rPr>
          <w:noProof/>
        </w:rPr>
        <w:t>wym</w:t>
      </w:r>
      <w:r w:rsidR="00ED139D" w:rsidRPr="001C651B">
        <w:rPr>
          <w:noProof/>
        </w:rPr>
        <w:t>ogów</w:t>
      </w:r>
      <w:r w:rsidR="001C651B" w:rsidRPr="001C651B">
        <w:rPr>
          <w:noProof/>
        </w:rPr>
        <w:t xml:space="preserve"> w</w:t>
      </w:r>
      <w:r w:rsidR="001C651B">
        <w:rPr>
          <w:noProof/>
        </w:rPr>
        <w:t> </w:t>
      </w:r>
      <w:r w:rsidR="001C651B" w:rsidRPr="001C651B">
        <w:rPr>
          <w:noProof/>
        </w:rPr>
        <w:t>zak</w:t>
      </w:r>
      <w:r w:rsidR="00ED139D" w:rsidRPr="001C651B">
        <w:rPr>
          <w:noProof/>
        </w:rPr>
        <w:t>resie funduszy własnych”</w:t>
      </w:r>
      <w:r w:rsidR="001C651B" w:rsidRPr="001C651B">
        <w:rPr>
          <w:noProof/>
        </w:rPr>
        <w:t xml:space="preserve"> w</w:t>
      </w:r>
      <w:r w:rsidR="001C651B">
        <w:rPr>
          <w:noProof/>
        </w:rPr>
        <w:t> </w:t>
      </w:r>
      <w:r w:rsidR="001C651B" w:rsidRPr="001C651B">
        <w:rPr>
          <w:noProof/>
        </w:rPr>
        <w:t>zał</w:t>
      </w:r>
      <w:r w:rsidR="00ED139D" w:rsidRPr="001C651B">
        <w:rPr>
          <w:noProof/>
        </w:rPr>
        <w:t>ączniku I,</w:t>
      </w:r>
      <w:r w:rsidR="001C651B" w:rsidRPr="001C651B">
        <w:rPr>
          <w:noProof/>
        </w:rPr>
        <w:t xml:space="preserve"> z</w:t>
      </w:r>
      <w:r w:rsidR="001C651B">
        <w:rPr>
          <w:noProof/>
        </w:rPr>
        <w:t> </w:t>
      </w:r>
      <w:r w:rsidR="001C651B" w:rsidRPr="001C651B">
        <w:rPr>
          <w:noProof/>
        </w:rPr>
        <w:t>wyj</w:t>
      </w:r>
      <w:r w:rsidR="00ED139D" w:rsidRPr="001C651B">
        <w:rPr>
          <w:noProof/>
        </w:rPr>
        <w:t>ątkiem przypadków, gdy instytucje te stanowią część grupy</w:t>
      </w:r>
      <w:r w:rsidR="001C651B" w:rsidRPr="001C651B">
        <w:rPr>
          <w:noProof/>
        </w:rPr>
        <w:t xml:space="preserve"> w</w:t>
      </w:r>
      <w:r w:rsidR="001C651B">
        <w:rPr>
          <w:noProof/>
        </w:rPr>
        <w:t> </w:t>
      </w:r>
      <w:r w:rsidR="001C651B" w:rsidRPr="001C651B">
        <w:rPr>
          <w:noProof/>
        </w:rPr>
        <w:t>tym</w:t>
      </w:r>
      <w:r w:rsidR="00ED139D" w:rsidRPr="001C651B">
        <w:rPr>
          <w:noProof/>
        </w:rPr>
        <w:t xml:space="preserve"> samym państwie,</w:t>
      </w:r>
      <w:r w:rsidR="001C651B" w:rsidRPr="001C651B">
        <w:rPr>
          <w:noProof/>
        </w:rPr>
        <w:t xml:space="preserve"> w</w:t>
      </w:r>
      <w:r w:rsidR="001C651B">
        <w:rPr>
          <w:noProof/>
        </w:rPr>
        <w:t> </w:t>
      </w:r>
      <w:r w:rsidR="001C651B" w:rsidRPr="001C651B">
        <w:rPr>
          <w:noProof/>
        </w:rPr>
        <w:t>któ</w:t>
      </w:r>
      <w:r w:rsidR="00ED139D" w:rsidRPr="001C651B">
        <w:rPr>
          <w:noProof/>
        </w:rPr>
        <w:t>rym podlegają wymogom</w:t>
      </w:r>
      <w:r w:rsidR="001C651B" w:rsidRPr="001C651B">
        <w:rPr>
          <w:noProof/>
        </w:rPr>
        <w:t xml:space="preserve"> w</w:t>
      </w:r>
      <w:r w:rsidR="001C651B">
        <w:rPr>
          <w:noProof/>
        </w:rPr>
        <w:t> </w:t>
      </w:r>
      <w:r w:rsidR="001C651B" w:rsidRPr="001C651B">
        <w:rPr>
          <w:noProof/>
        </w:rPr>
        <w:t>zak</w:t>
      </w:r>
      <w:r w:rsidR="00ED139D" w:rsidRPr="001C651B">
        <w:rPr>
          <w:noProof/>
        </w:rPr>
        <w:t>resie funduszy własnych.</w:t>
      </w:r>
    </w:p>
    <w:p w:rsidR="003808D8" w:rsidRPr="001C651B" w:rsidRDefault="003040A6" w:rsidP="003040A6">
      <w:pPr>
        <w:pStyle w:val="ManualNumPar1"/>
        <w:rPr>
          <w:noProof/>
        </w:rPr>
      </w:pPr>
      <w:r w:rsidRPr="003040A6">
        <w:rPr>
          <w:noProof/>
        </w:rPr>
        <w:t>3.</w:t>
      </w:r>
      <w:r w:rsidRPr="003040A6">
        <w:rPr>
          <w:noProof/>
        </w:rPr>
        <w:tab/>
      </w:r>
      <w:r w:rsidR="003808D8" w:rsidRPr="001C651B">
        <w:rPr>
          <w:noProof/>
        </w:rPr>
        <w:t>Instytucje przekazują informacje na temat ekspozycji wobec państw zgodnie</w:t>
      </w:r>
      <w:r w:rsidR="001C651B" w:rsidRPr="001C651B">
        <w:rPr>
          <w:noProof/>
        </w:rPr>
        <w:t xml:space="preserve"> z</w:t>
      </w:r>
      <w:r w:rsidR="001C651B">
        <w:rPr>
          <w:noProof/>
        </w:rPr>
        <w:t> </w:t>
      </w:r>
      <w:r w:rsidR="001C651B" w:rsidRPr="001C651B">
        <w:rPr>
          <w:noProof/>
        </w:rPr>
        <w:t>pon</w:t>
      </w:r>
      <w:r w:rsidR="003808D8" w:rsidRPr="001C651B">
        <w:rPr>
          <w:noProof/>
        </w:rPr>
        <w:t>iższym:</w:t>
      </w:r>
    </w:p>
    <w:p w:rsidR="003808D8" w:rsidRPr="001C651B" w:rsidRDefault="00D8126A" w:rsidP="00D8126A">
      <w:pPr>
        <w:pStyle w:val="Point1"/>
        <w:rPr>
          <w:noProof/>
        </w:rPr>
      </w:pPr>
      <w:r w:rsidRPr="001C651B">
        <w:rPr>
          <w:noProof/>
        </w:rPr>
        <w:t>a)</w:t>
      </w:r>
      <w:r w:rsidRPr="001C651B">
        <w:rPr>
          <w:noProof/>
        </w:rPr>
        <w:tab/>
      </w:r>
      <w:r w:rsidR="003808D8" w:rsidRPr="001C651B">
        <w:rPr>
          <w:noProof/>
        </w:rPr>
        <w:t>w przypadku gdy całkowita wartość bilansowa aktywów finansowych</w:t>
      </w:r>
      <w:r w:rsidR="001C651B" w:rsidRPr="001C651B">
        <w:rPr>
          <w:noProof/>
        </w:rPr>
        <w:t xml:space="preserve"> z</w:t>
      </w:r>
      <w:r w:rsidR="001C651B">
        <w:rPr>
          <w:noProof/>
        </w:rPr>
        <w:t> </w:t>
      </w:r>
      <w:r w:rsidR="001C651B" w:rsidRPr="001C651B">
        <w:rPr>
          <w:noProof/>
        </w:rPr>
        <w:t>sek</w:t>
      </w:r>
      <w:r w:rsidR="003808D8" w:rsidRPr="001C651B">
        <w:rPr>
          <w:noProof/>
        </w:rPr>
        <w:t>tora kontrahenta „Sektor instytucji rządowych</w:t>
      </w:r>
      <w:r w:rsidR="001C651B" w:rsidRPr="001C651B">
        <w:rPr>
          <w:noProof/>
        </w:rPr>
        <w:t xml:space="preserve"> i</w:t>
      </w:r>
      <w:r w:rsidR="001C651B">
        <w:rPr>
          <w:noProof/>
        </w:rPr>
        <w:t> </w:t>
      </w:r>
      <w:r w:rsidR="001C651B" w:rsidRPr="001C651B">
        <w:rPr>
          <w:noProof/>
        </w:rPr>
        <w:t>sam</w:t>
      </w:r>
      <w:r w:rsidR="003808D8" w:rsidRPr="001C651B">
        <w:rPr>
          <w:noProof/>
        </w:rPr>
        <w:t>orządowych” wynosi co najmniej 1</w:t>
      </w:r>
      <w:r w:rsidR="001C651B" w:rsidRPr="001C651B">
        <w:rPr>
          <w:noProof/>
        </w:rPr>
        <w:t> </w:t>
      </w:r>
      <w:r w:rsidR="003808D8" w:rsidRPr="001C651B">
        <w:rPr>
          <w:noProof/>
        </w:rPr>
        <w:t>% sumy całkowitej wartości bilansowej dla pozycji „Dłużne papiery wartościowe” oraz „Kredyty</w:t>
      </w:r>
      <w:r w:rsidR="001C651B" w:rsidRPr="001C651B">
        <w:rPr>
          <w:noProof/>
        </w:rPr>
        <w:t xml:space="preserve"> i</w:t>
      </w:r>
      <w:r w:rsidR="001C651B">
        <w:rPr>
          <w:noProof/>
        </w:rPr>
        <w:t> </w:t>
      </w:r>
      <w:r w:rsidR="001C651B" w:rsidRPr="001C651B">
        <w:rPr>
          <w:noProof/>
        </w:rPr>
        <w:t>zal</w:t>
      </w:r>
      <w:r w:rsidR="003808D8" w:rsidRPr="001C651B">
        <w:rPr>
          <w:noProof/>
        </w:rPr>
        <w:t>iczki”, instytucje przekazują informacje określone we wzorze C 33.00;</w:t>
      </w:r>
    </w:p>
    <w:p w:rsidR="003808D8" w:rsidRPr="001C651B" w:rsidRDefault="00D8126A" w:rsidP="00D8126A">
      <w:pPr>
        <w:pStyle w:val="Point1"/>
        <w:rPr>
          <w:noProof/>
        </w:rPr>
      </w:pPr>
      <w:r w:rsidRPr="001C651B">
        <w:rPr>
          <w:noProof/>
        </w:rPr>
        <w:t>b)</w:t>
      </w:r>
      <w:r w:rsidRPr="001C651B">
        <w:rPr>
          <w:noProof/>
        </w:rPr>
        <w:tab/>
      </w:r>
      <w:r w:rsidR="003808D8" w:rsidRPr="001C651B">
        <w:rPr>
          <w:noProof/>
        </w:rPr>
        <w:t>w przypadku gdy wartość zgłoszona dla ekspozycji krajowych</w:t>
      </w:r>
      <w:r w:rsidR="001C651B" w:rsidRPr="001C651B">
        <w:rPr>
          <w:noProof/>
        </w:rPr>
        <w:t xml:space="preserve"> z</w:t>
      </w:r>
      <w:r w:rsidR="001C651B">
        <w:rPr>
          <w:noProof/>
        </w:rPr>
        <w:t> </w:t>
      </w:r>
      <w:r w:rsidR="001C651B" w:rsidRPr="001C651B">
        <w:rPr>
          <w:noProof/>
        </w:rPr>
        <w:t>tyt</w:t>
      </w:r>
      <w:r w:rsidR="003808D8" w:rsidRPr="001C651B">
        <w:rPr>
          <w:noProof/>
        </w:rPr>
        <w:t>ułu aktywów finansowych niebędących instrumentami pochodnymi, określona</w:t>
      </w:r>
      <w:r w:rsidR="001C651B" w:rsidRPr="001C651B">
        <w:rPr>
          <w:noProof/>
        </w:rPr>
        <w:t xml:space="preserve"> w</w:t>
      </w:r>
      <w:r w:rsidR="001C651B">
        <w:rPr>
          <w:noProof/>
        </w:rPr>
        <w:t> </w:t>
      </w:r>
      <w:r w:rsidR="001C651B" w:rsidRPr="001C651B">
        <w:rPr>
          <w:noProof/>
        </w:rPr>
        <w:t>wie</w:t>
      </w:r>
      <w:r w:rsidR="003808D8" w:rsidRPr="001C651B">
        <w:rPr>
          <w:noProof/>
        </w:rPr>
        <w:t>rszu 0010 kolumna 0010 we wzorze C 33.00, wynosi mniej niż 90 % wartości zgłoszonej dla ekspozycji krajowych</w:t>
      </w:r>
      <w:r w:rsidR="001C651B" w:rsidRPr="001C651B">
        <w:rPr>
          <w:noProof/>
        </w:rPr>
        <w:t xml:space="preserve"> i</w:t>
      </w:r>
      <w:r w:rsidR="001C651B">
        <w:rPr>
          <w:noProof/>
        </w:rPr>
        <w:t> </w:t>
      </w:r>
      <w:r w:rsidR="001C651B" w:rsidRPr="001C651B">
        <w:rPr>
          <w:noProof/>
        </w:rPr>
        <w:t>zag</w:t>
      </w:r>
      <w:r w:rsidR="003808D8" w:rsidRPr="001C651B">
        <w:rPr>
          <w:noProof/>
        </w:rPr>
        <w:t>ranicznych dla tego samego punktu danych, instytucje, które spełniają warunek,</w:t>
      </w:r>
      <w:r w:rsidR="001C651B" w:rsidRPr="001C651B">
        <w:rPr>
          <w:noProof/>
        </w:rPr>
        <w:t xml:space="preserve"> o</w:t>
      </w:r>
      <w:r w:rsidR="001C651B">
        <w:rPr>
          <w:noProof/>
        </w:rPr>
        <w:t> </w:t>
      </w:r>
      <w:r w:rsidR="001C651B" w:rsidRPr="001C651B">
        <w:rPr>
          <w:noProof/>
        </w:rPr>
        <w:t>któ</w:t>
      </w:r>
      <w:r w:rsidR="003808D8" w:rsidRPr="001C651B">
        <w:rPr>
          <w:noProof/>
        </w:rPr>
        <w:t>rym mowa</w:t>
      </w:r>
      <w:r w:rsidR="001C651B" w:rsidRPr="001C651B">
        <w:rPr>
          <w:noProof/>
        </w:rPr>
        <w:t xml:space="preserve"> w</w:t>
      </w:r>
      <w:r w:rsidR="001C651B">
        <w:rPr>
          <w:noProof/>
        </w:rPr>
        <w:t> </w:t>
      </w:r>
      <w:r w:rsidR="001C651B" w:rsidRPr="001C651B">
        <w:rPr>
          <w:noProof/>
        </w:rPr>
        <w:t>lit</w:t>
      </w:r>
      <w:r w:rsidR="003808D8" w:rsidRPr="001C651B">
        <w:rPr>
          <w:noProof/>
        </w:rPr>
        <w:t>. a), przekazują informacje określone we wzorze C 33.00</w:t>
      </w:r>
      <w:r w:rsidR="001C651B" w:rsidRPr="001C651B">
        <w:rPr>
          <w:noProof/>
        </w:rPr>
        <w:t xml:space="preserve"> z</w:t>
      </w:r>
      <w:r w:rsidR="001C651B">
        <w:rPr>
          <w:noProof/>
        </w:rPr>
        <w:t> </w:t>
      </w:r>
      <w:r w:rsidR="001C651B" w:rsidRPr="001C651B">
        <w:rPr>
          <w:noProof/>
        </w:rPr>
        <w:t>peł</w:t>
      </w:r>
      <w:r w:rsidR="003808D8" w:rsidRPr="001C651B">
        <w:rPr>
          <w:noProof/>
        </w:rPr>
        <w:t>nym podziałem na państwa;</w:t>
      </w:r>
    </w:p>
    <w:p w:rsidR="003808D8" w:rsidRPr="001C651B" w:rsidRDefault="00D8126A" w:rsidP="00D8126A">
      <w:pPr>
        <w:pStyle w:val="Point1"/>
        <w:rPr>
          <w:noProof/>
        </w:rPr>
      </w:pPr>
      <w:r w:rsidRPr="001C651B">
        <w:rPr>
          <w:noProof/>
        </w:rPr>
        <w:t>c)</w:t>
      </w:r>
      <w:r w:rsidRPr="001C651B">
        <w:rPr>
          <w:noProof/>
        </w:rPr>
        <w:tab/>
      </w:r>
      <w:r w:rsidR="003808D8" w:rsidRPr="001C651B">
        <w:rPr>
          <w:noProof/>
        </w:rPr>
        <w:t>instytucje, które spełniają warunki,</w:t>
      </w:r>
      <w:r w:rsidR="001C651B" w:rsidRPr="001C651B">
        <w:rPr>
          <w:noProof/>
        </w:rPr>
        <w:t xml:space="preserve"> o</w:t>
      </w:r>
      <w:r w:rsidR="001C651B">
        <w:rPr>
          <w:noProof/>
        </w:rPr>
        <w:t> </w:t>
      </w:r>
      <w:r w:rsidR="001C651B" w:rsidRPr="001C651B">
        <w:rPr>
          <w:noProof/>
        </w:rPr>
        <w:t>któ</w:t>
      </w:r>
      <w:r w:rsidR="003808D8" w:rsidRPr="001C651B">
        <w:rPr>
          <w:noProof/>
        </w:rPr>
        <w:t>rych mowa</w:t>
      </w:r>
      <w:r w:rsidR="001C651B" w:rsidRPr="001C651B">
        <w:rPr>
          <w:noProof/>
        </w:rPr>
        <w:t xml:space="preserve"> w</w:t>
      </w:r>
      <w:r w:rsidR="001C651B">
        <w:rPr>
          <w:noProof/>
        </w:rPr>
        <w:t> </w:t>
      </w:r>
      <w:r w:rsidR="001C651B" w:rsidRPr="001C651B">
        <w:rPr>
          <w:noProof/>
        </w:rPr>
        <w:t>lit</w:t>
      </w:r>
      <w:r w:rsidR="003808D8" w:rsidRPr="001C651B">
        <w:rPr>
          <w:noProof/>
        </w:rPr>
        <w:t>. a), ale nie spełniają warunku,</w:t>
      </w:r>
      <w:r w:rsidR="001C651B" w:rsidRPr="001C651B">
        <w:rPr>
          <w:noProof/>
        </w:rPr>
        <w:t xml:space="preserve"> o</w:t>
      </w:r>
      <w:r w:rsidR="001C651B">
        <w:rPr>
          <w:noProof/>
        </w:rPr>
        <w:t> </w:t>
      </w:r>
      <w:r w:rsidR="001C651B" w:rsidRPr="001C651B">
        <w:rPr>
          <w:noProof/>
        </w:rPr>
        <w:t>któ</w:t>
      </w:r>
      <w:r w:rsidR="003808D8" w:rsidRPr="001C651B">
        <w:rPr>
          <w:noProof/>
        </w:rPr>
        <w:t>rym mowa</w:t>
      </w:r>
      <w:r w:rsidR="001C651B" w:rsidRPr="001C651B">
        <w:rPr>
          <w:noProof/>
        </w:rPr>
        <w:t xml:space="preserve"> w</w:t>
      </w:r>
      <w:r w:rsidR="001C651B">
        <w:rPr>
          <w:noProof/>
        </w:rPr>
        <w:t> </w:t>
      </w:r>
      <w:r w:rsidR="001C651B" w:rsidRPr="001C651B">
        <w:rPr>
          <w:noProof/>
        </w:rPr>
        <w:t>lit</w:t>
      </w:r>
      <w:r w:rsidR="003808D8" w:rsidRPr="001C651B">
        <w:rPr>
          <w:noProof/>
        </w:rPr>
        <w:t>. b), przekazują informacje określone we wzorze C 33.00</w:t>
      </w:r>
      <w:r w:rsidR="001C651B" w:rsidRPr="001C651B">
        <w:rPr>
          <w:noProof/>
        </w:rPr>
        <w:t xml:space="preserve"> z</w:t>
      </w:r>
      <w:r w:rsidR="001C651B">
        <w:rPr>
          <w:noProof/>
        </w:rPr>
        <w:t> </w:t>
      </w:r>
      <w:r w:rsidR="001C651B" w:rsidRPr="001C651B">
        <w:rPr>
          <w:noProof/>
        </w:rPr>
        <w:t>eks</w:t>
      </w:r>
      <w:r w:rsidR="003808D8" w:rsidRPr="001C651B">
        <w:rPr>
          <w:noProof/>
        </w:rPr>
        <w:t>pozycjami zagregowanymi:</w:t>
      </w:r>
    </w:p>
    <w:p w:rsidR="003808D8" w:rsidRPr="001C651B" w:rsidRDefault="003808D8" w:rsidP="00C856B2">
      <w:pPr>
        <w:pStyle w:val="Point2"/>
        <w:rPr>
          <w:noProof/>
        </w:rPr>
      </w:pPr>
      <w:r w:rsidRPr="001C651B">
        <w:rPr>
          <w:noProof/>
        </w:rPr>
        <w:t>(i)</w:t>
      </w:r>
      <w:r w:rsidRPr="001C651B">
        <w:rPr>
          <w:noProof/>
        </w:rPr>
        <w:tab/>
        <w:t>na poziomie łącznym; oraz</w:t>
      </w:r>
    </w:p>
    <w:p w:rsidR="003808D8" w:rsidRPr="001C651B" w:rsidRDefault="003808D8" w:rsidP="00C856B2">
      <w:pPr>
        <w:pStyle w:val="Point2"/>
        <w:rPr>
          <w:noProof/>
        </w:rPr>
      </w:pPr>
      <w:r w:rsidRPr="001C651B">
        <w:rPr>
          <w:noProof/>
        </w:rPr>
        <w:t>(ii)</w:t>
      </w:r>
      <w:r w:rsidRPr="001C651B">
        <w:rPr>
          <w:noProof/>
        </w:rPr>
        <w:tab/>
        <w:t>na poziomie krajowym.</w:t>
      </w:r>
    </w:p>
    <w:p w:rsidR="003808D8" w:rsidRPr="001C651B" w:rsidRDefault="003040A6" w:rsidP="003040A6">
      <w:pPr>
        <w:pStyle w:val="ManualNumPar1"/>
        <w:rPr>
          <w:noProof/>
        </w:rPr>
      </w:pPr>
      <w:r w:rsidRPr="003040A6">
        <w:rPr>
          <w:noProof/>
        </w:rPr>
        <w:t>4.</w:t>
      </w:r>
      <w:r w:rsidRPr="003040A6">
        <w:rPr>
          <w:noProof/>
        </w:rPr>
        <w:tab/>
      </w:r>
      <w:r w:rsidR="003808D8" w:rsidRPr="001C651B">
        <w:rPr>
          <w:noProof/>
        </w:rPr>
        <w:t>Instytucje przekazują informacje na temat istotnych strat dotyczących ryzyka operacyjnego zgodnie</w:t>
      </w:r>
      <w:r w:rsidR="001C651B" w:rsidRPr="001C651B">
        <w:rPr>
          <w:noProof/>
        </w:rPr>
        <w:t xml:space="preserve"> z</w:t>
      </w:r>
      <w:r w:rsidR="001C651B">
        <w:rPr>
          <w:noProof/>
        </w:rPr>
        <w:t> </w:t>
      </w:r>
      <w:r w:rsidR="001C651B" w:rsidRPr="001C651B">
        <w:rPr>
          <w:noProof/>
        </w:rPr>
        <w:t>pon</w:t>
      </w:r>
      <w:r w:rsidR="003808D8" w:rsidRPr="001C651B">
        <w:rPr>
          <w:noProof/>
        </w:rPr>
        <w:t>iższym:</w:t>
      </w:r>
    </w:p>
    <w:p w:rsidR="003808D8" w:rsidRPr="001C651B" w:rsidRDefault="00D8126A" w:rsidP="00D8126A">
      <w:pPr>
        <w:pStyle w:val="Point1"/>
        <w:rPr>
          <w:noProof/>
        </w:rPr>
      </w:pPr>
      <w:r w:rsidRPr="001C651B">
        <w:rPr>
          <w:noProof/>
        </w:rPr>
        <w:t>a)</w:t>
      </w:r>
      <w:r w:rsidRPr="001C651B">
        <w:rPr>
          <w:noProof/>
        </w:rPr>
        <w:tab/>
      </w:r>
      <w:r w:rsidR="003808D8" w:rsidRPr="001C651B">
        <w:rPr>
          <w:noProof/>
        </w:rPr>
        <w:t>instytucje, które</w:t>
      </w:r>
      <w:r w:rsidR="001C651B" w:rsidRPr="001C651B">
        <w:rPr>
          <w:noProof/>
        </w:rPr>
        <w:t xml:space="preserve"> w</w:t>
      </w:r>
      <w:r w:rsidR="001C651B">
        <w:rPr>
          <w:noProof/>
        </w:rPr>
        <w:t> </w:t>
      </w:r>
      <w:r w:rsidR="001C651B" w:rsidRPr="001C651B">
        <w:rPr>
          <w:noProof/>
        </w:rPr>
        <w:t>gru</w:t>
      </w:r>
      <w:r w:rsidR="003808D8" w:rsidRPr="001C651B">
        <w:rPr>
          <w:noProof/>
        </w:rPr>
        <w:t>dniu 2024</w:t>
      </w:r>
      <w:r w:rsidR="001C651B" w:rsidRPr="001C651B">
        <w:rPr>
          <w:noProof/>
        </w:rPr>
        <w:t> </w:t>
      </w:r>
      <w:r w:rsidR="003808D8" w:rsidRPr="001C651B">
        <w:rPr>
          <w:noProof/>
        </w:rPr>
        <w:t>r. obliczają wymogi</w:t>
      </w:r>
      <w:r w:rsidR="001C651B" w:rsidRPr="001C651B">
        <w:rPr>
          <w:noProof/>
        </w:rPr>
        <w:t xml:space="preserve"> w</w:t>
      </w:r>
      <w:r w:rsidR="001C651B">
        <w:rPr>
          <w:noProof/>
        </w:rPr>
        <w:t> </w:t>
      </w:r>
      <w:r w:rsidR="001C651B" w:rsidRPr="001C651B">
        <w:rPr>
          <w:noProof/>
        </w:rPr>
        <w:t>zak</w:t>
      </w:r>
      <w:r w:rsidR="003808D8" w:rsidRPr="001C651B">
        <w:rPr>
          <w:noProof/>
        </w:rPr>
        <w:t>resie funduszy własnych</w:t>
      </w:r>
      <w:r w:rsidR="001C651B" w:rsidRPr="001C651B">
        <w:rPr>
          <w:noProof/>
        </w:rPr>
        <w:t xml:space="preserve"> w</w:t>
      </w:r>
      <w:r w:rsidR="001C651B">
        <w:rPr>
          <w:noProof/>
        </w:rPr>
        <w:t> </w:t>
      </w:r>
      <w:r w:rsidR="001C651B" w:rsidRPr="001C651B">
        <w:rPr>
          <w:noProof/>
        </w:rPr>
        <w:t>odn</w:t>
      </w:r>
      <w:r w:rsidR="003808D8" w:rsidRPr="001C651B">
        <w:rPr>
          <w:noProof/>
        </w:rPr>
        <w:t>iesieniu do ryzyka operacyjnego zgodnie</w:t>
      </w:r>
      <w:r w:rsidR="001C651B" w:rsidRPr="001C651B">
        <w:rPr>
          <w:noProof/>
        </w:rPr>
        <w:t xml:space="preserve"> z</w:t>
      </w:r>
      <w:r w:rsidR="001C651B">
        <w:rPr>
          <w:noProof/>
        </w:rPr>
        <w:t> </w:t>
      </w:r>
      <w:r w:rsidR="001C651B" w:rsidRPr="001C651B">
        <w:rPr>
          <w:noProof/>
        </w:rPr>
        <w:t>czę</w:t>
      </w:r>
      <w:r w:rsidR="003808D8" w:rsidRPr="001C651B">
        <w:rPr>
          <w:noProof/>
        </w:rPr>
        <w:t>ścią trzecią tytuł III rozdział 4 rozporządzenia (UE) nr</w:t>
      </w:r>
      <w:r w:rsidR="001C651B" w:rsidRPr="001C651B">
        <w:rPr>
          <w:noProof/>
        </w:rPr>
        <w:t> </w:t>
      </w:r>
      <w:r w:rsidR="003808D8" w:rsidRPr="001C651B">
        <w:rPr>
          <w:noProof/>
        </w:rPr>
        <w:t>575/2013, kontynuują przekazywanie tych informacji, jak określono we wzorach C 17.01 i C 17.02;</w:t>
      </w:r>
    </w:p>
    <w:p w:rsidR="003808D8" w:rsidRPr="001C651B" w:rsidRDefault="00D8126A" w:rsidP="00D8126A">
      <w:pPr>
        <w:pStyle w:val="Point1"/>
        <w:rPr>
          <w:noProof/>
        </w:rPr>
      </w:pPr>
      <w:r w:rsidRPr="001C651B">
        <w:rPr>
          <w:noProof/>
        </w:rPr>
        <w:t>b)</w:t>
      </w:r>
      <w:r w:rsidRPr="001C651B">
        <w:rPr>
          <w:noProof/>
        </w:rPr>
        <w:tab/>
      </w:r>
      <w:r w:rsidR="003808D8" w:rsidRPr="001C651B">
        <w:rPr>
          <w:noProof/>
        </w:rPr>
        <w:t>duże instytucje, które</w:t>
      </w:r>
      <w:r w:rsidR="001C651B" w:rsidRPr="001C651B">
        <w:rPr>
          <w:noProof/>
        </w:rPr>
        <w:t xml:space="preserve"> w</w:t>
      </w:r>
      <w:r w:rsidR="001C651B">
        <w:rPr>
          <w:noProof/>
        </w:rPr>
        <w:t> </w:t>
      </w:r>
      <w:r w:rsidR="001C651B" w:rsidRPr="001C651B">
        <w:rPr>
          <w:noProof/>
        </w:rPr>
        <w:t>gru</w:t>
      </w:r>
      <w:r w:rsidR="003808D8" w:rsidRPr="001C651B">
        <w:rPr>
          <w:noProof/>
        </w:rPr>
        <w:t>dniu 2024</w:t>
      </w:r>
      <w:r w:rsidR="001C651B" w:rsidRPr="001C651B">
        <w:rPr>
          <w:noProof/>
        </w:rPr>
        <w:t> </w:t>
      </w:r>
      <w:r w:rsidR="003808D8" w:rsidRPr="001C651B">
        <w:rPr>
          <w:noProof/>
        </w:rPr>
        <w:t>r. obliczają wymogi</w:t>
      </w:r>
      <w:r w:rsidR="001C651B" w:rsidRPr="001C651B">
        <w:rPr>
          <w:noProof/>
        </w:rPr>
        <w:t xml:space="preserve"> w</w:t>
      </w:r>
      <w:r w:rsidR="001C651B">
        <w:rPr>
          <w:noProof/>
        </w:rPr>
        <w:t> </w:t>
      </w:r>
      <w:r w:rsidR="001C651B" w:rsidRPr="001C651B">
        <w:rPr>
          <w:noProof/>
        </w:rPr>
        <w:t>zak</w:t>
      </w:r>
      <w:r w:rsidR="003808D8" w:rsidRPr="001C651B">
        <w:rPr>
          <w:noProof/>
        </w:rPr>
        <w:t>resie funduszy własnych</w:t>
      </w:r>
      <w:r w:rsidR="001C651B" w:rsidRPr="001C651B">
        <w:rPr>
          <w:noProof/>
        </w:rPr>
        <w:t xml:space="preserve"> w</w:t>
      </w:r>
      <w:r w:rsidR="001C651B">
        <w:rPr>
          <w:noProof/>
        </w:rPr>
        <w:t> </w:t>
      </w:r>
      <w:r w:rsidR="001C651B" w:rsidRPr="001C651B">
        <w:rPr>
          <w:noProof/>
        </w:rPr>
        <w:t>odn</w:t>
      </w:r>
      <w:r w:rsidR="003808D8" w:rsidRPr="001C651B">
        <w:rPr>
          <w:noProof/>
        </w:rPr>
        <w:t>iesieniu do ryzyka operacyjnego zgodnie</w:t>
      </w:r>
      <w:r w:rsidR="001C651B" w:rsidRPr="001C651B">
        <w:rPr>
          <w:noProof/>
        </w:rPr>
        <w:t xml:space="preserve"> z</w:t>
      </w:r>
      <w:r w:rsidR="001C651B">
        <w:rPr>
          <w:noProof/>
        </w:rPr>
        <w:t> </w:t>
      </w:r>
      <w:r w:rsidR="001C651B" w:rsidRPr="001C651B">
        <w:rPr>
          <w:noProof/>
        </w:rPr>
        <w:t>czę</w:t>
      </w:r>
      <w:r w:rsidR="003808D8" w:rsidRPr="001C651B">
        <w:rPr>
          <w:noProof/>
        </w:rPr>
        <w:t>ścią trzecią tytuł III rozdział 3 rozporządzenia (UE) nr</w:t>
      </w:r>
      <w:r w:rsidR="001C651B" w:rsidRPr="001C651B">
        <w:rPr>
          <w:noProof/>
        </w:rPr>
        <w:t> </w:t>
      </w:r>
      <w:r w:rsidR="003808D8" w:rsidRPr="001C651B">
        <w:rPr>
          <w:noProof/>
        </w:rPr>
        <w:t>575/2013, kontynuują przekazywanie tych informacji, jak określono we wzorach C 17.01 i C 17.02;</w:t>
      </w:r>
    </w:p>
    <w:p w:rsidR="003808D8" w:rsidRPr="001C651B" w:rsidRDefault="00D8126A" w:rsidP="00D8126A">
      <w:pPr>
        <w:pStyle w:val="Point1"/>
        <w:rPr>
          <w:noProof/>
        </w:rPr>
      </w:pPr>
      <w:r w:rsidRPr="001C651B">
        <w:rPr>
          <w:noProof/>
        </w:rPr>
        <w:t>c)</w:t>
      </w:r>
      <w:r w:rsidRPr="001C651B">
        <w:rPr>
          <w:noProof/>
        </w:rPr>
        <w:tab/>
      </w:r>
      <w:r w:rsidR="003808D8" w:rsidRPr="001C651B">
        <w:rPr>
          <w:noProof/>
        </w:rPr>
        <w:t>instytucje inne niż duże instytucje, które</w:t>
      </w:r>
      <w:r w:rsidR="001C651B" w:rsidRPr="001C651B">
        <w:rPr>
          <w:noProof/>
        </w:rPr>
        <w:t xml:space="preserve"> w</w:t>
      </w:r>
      <w:r w:rsidR="001C651B">
        <w:rPr>
          <w:noProof/>
        </w:rPr>
        <w:t> </w:t>
      </w:r>
      <w:r w:rsidR="001C651B" w:rsidRPr="001C651B">
        <w:rPr>
          <w:noProof/>
        </w:rPr>
        <w:t>gru</w:t>
      </w:r>
      <w:r w:rsidR="003808D8" w:rsidRPr="001C651B">
        <w:rPr>
          <w:noProof/>
        </w:rPr>
        <w:t>dniu 2024</w:t>
      </w:r>
      <w:r w:rsidR="001C651B" w:rsidRPr="001C651B">
        <w:rPr>
          <w:noProof/>
        </w:rPr>
        <w:t> </w:t>
      </w:r>
      <w:r w:rsidR="003808D8" w:rsidRPr="001C651B">
        <w:rPr>
          <w:noProof/>
        </w:rPr>
        <w:t>r. obliczają wymogi</w:t>
      </w:r>
      <w:r w:rsidR="001C651B" w:rsidRPr="001C651B">
        <w:rPr>
          <w:noProof/>
        </w:rPr>
        <w:t xml:space="preserve"> w</w:t>
      </w:r>
      <w:r w:rsidR="001C651B">
        <w:rPr>
          <w:noProof/>
        </w:rPr>
        <w:t> </w:t>
      </w:r>
      <w:r w:rsidR="001C651B" w:rsidRPr="001C651B">
        <w:rPr>
          <w:noProof/>
        </w:rPr>
        <w:t>zak</w:t>
      </w:r>
      <w:r w:rsidR="003808D8" w:rsidRPr="001C651B">
        <w:rPr>
          <w:noProof/>
        </w:rPr>
        <w:t>resie funduszy własnych</w:t>
      </w:r>
      <w:r w:rsidR="001C651B" w:rsidRPr="001C651B">
        <w:rPr>
          <w:noProof/>
        </w:rPr>
        <w:t xml:space="preserve"> w</w:t>
      </w:r>
      <w:r w:rsidR="001C651B">
        <w:rPr>
          <w:noProof/>
        </w:rPr>
        <w:t> </w:t>
      </w:r>
      <w:r w:rsidR="001C651B" w:rsidRPr="001C651B">
        <w:rPr>
          <w:noProof/>
        </w:rPr>
        <w:t>odn</w:t>
      </w:r>
      <w:r w:rsidR="003808D8" w:rsidRPr="001C651B">
        <w:rPr>
          <w:noProof/>
        </w:rPr>
        <w:t>iesieniu do ryzyka operacyjnego zgodnie</w:t>
      </w:r>
      <w:r w:rsidR="001C651B" w:rsidRPr="001C651B">
        <w:rPr>
          <w:noProof/>
        </w:rPr>
        <w:t xml:space="preserve"> z</w:t>
      </w:r>
      <w:r w:rsidR="001C651B">
        <w:rPr>
          <w:noProof/>
        </w:rPr>
        <w:t> </w:t>
      </w:r>
      <w:r w:rsidR="001C651B" w:rsidRPr="001C651B">
        <w:rPr>
          <w:noProof/>
        </w:rPr>
        <w:t>czę</w:t>
      </w:r>
      <w:r w:rsidR="003808D8" w:rsidRPr="001C651B">
        <w:rPr>
          <w:noProof/>
        </w:rPr>
        <w:t>ścią trzecią tytuł III rozdział 3 rozporządzenia (UE) nr</w:t>
      </w:r>
      <w:r w:rsidR="001C651B" w:rsidRPr="001C651B">
        <w:rPr>
          <w:noProof/>
        </w:rPr>
        <w:t> </w:t>
      </w:r>
      <w:r w:rsidR="003808D8" w:rsidRPr="001C651B">
        <w:rPr>
          <w:noProof/>
        </w:rPr>
        <w:t>575/2013, kontynuują przekazywanie następujących informacji:</w:t>
      </w:r>
    </w:p>
    <w:p w:rsidR="003808D8" w:rsidRPr="001C651B" w:rsidRDefault="003808D8" w:rsidP="00C856B2">
      <w:pPr>
        <w:pStyle w:val="Point2"/>
        <w:rPr>
          <w:noProof/>
        </w:rPr>
      </w:pPr>
      <w:r w:rsidRPr="001C651B">
        <w:rPr>
          <w:noProof/>
        </w:rPr>
        <w:t>(i)</w:t>
      </w:r>
      <w:r w:rsidRPr="001C651B">
        <w:rPr>
          <w:noProof/>
        </w:rPr>
        <w:tab/>
        <w:t>informacji określonych we wzorze C 17.01 kolumna 0080 dla następujących wierszy:</w:t>
      </w:r>
    </w:p>
    <w:p w:rsidR="003808D8" w:rsidRPr="001C651B" w:rsidRDefault="00D8126A" w:rsidP="00D8126A">
      <w:pPr>
        <w:pStyle w:val="Point3"/>
        <w:rPr>
          <w:noProof/>
        </w:rPr>
      </w:pPr>
      <w:r w:rsidRPr="001C651B">
        <w:rPr>
          <w:noProof/>
        </w:rPr>
        <w:t>1)</w:t>
      </w:r>
      <w:r w:rsidRPr="001C651B">
        <w:rPr>
          <w:noProof/>
        </w:rPr>
        <w:tab/>
      </w:r>
      <w:r w:rsidR="003808D8" w:rsidRPr="001C651B">
        <w:rPr>
          <w:noProof/>
        </w:rPr>
        <w:t>liczba zdarzeń (nowe zdarzenia) (wiersz 0910);</w:t>
      </w:r>
    </w:p>
    <w:p w:rsidR="003808D8" w:rsidRPr="001C651B" w:rsidRDefault="00D8126A" w:rsidP="00D8126A">
      <w:pPr>
        <w:pStyle w:val="Point3"/>
        <w:rPr>
          <w:noProof/>
        </w:rPr>
      </w:pPr>
      <w:r w:rsidRPr="001C651B">
        <w:rPr>
          <w:noProof/>
        </w:rPr>
        <w:t>2)</w:t>
      </w:r>
      <w:r w:rsidRPr="001C651B">
        <w:rPr>
          <w:noProof/>
        </w:rPr>
        <w:tab/>
      </w:r>
      <w:r w:rsidR="003808D8" w:rsidRPr="001C651B">
        <w:rPr>
          <w:noProof/>
        </w:rPr>
        <w:t>kwota strat brutto (nowe zdarzenia) (wiersz 0920),</w:t>
      </w:r>
    </w:p>
    <w:p w:rsidR="003808D8" w:rsidRPr="001C651B" w:rsidRDefault="00D8126A" w:rsidP="00D8126A">
      <w:pPr>
        <w:pStyle w:val="Point3"/>
        <w:rPr>
          <w:noProof/>
        </w:rPr>
      </w:pPr>
      <w:r w:rsidRPr="001C651B">
        <w:rPr>
          <w:noProof/>
        </w:rPr>
        <w:t>3)</w:t>
      </w:r>
      <w:r w:rsidRPr="001C651B">
        <w:rPr>
          <w:noProof/>
        </w:rPr>
        <w:tab/>
      </w:r>
      <w:r w:rsidR="003808D8" w:rsidRPr="001C651B">
        <w:rPr>
          <w:noProof/>
        </w:rPr>
        <w:t>liczba zdarzeń objętych korektami strat (wiersz 0930);</w:t>
      </w:r>
    </w:p>
    <w:p w:rsidR="003808D8" w:rsidRPr="001C651B" w:rsidRDefault="00D8126A" w:rsidP="00D8126A">
      <w:pPr>
        <w:pStyle w:val="Point3"/>
        <w:rPr>
          <w:noProof/>
        </w:rPr>
      </w:pPr>
      <w:r w:rsidRPr="001C651B">
        <w:rPr>
          <w:noProof/>
        </w:rPr>
        <w:t>4)</w:t>
      </w:r>
      <w:r w:rsidRPr="001C651B">
        <w:rPr>
          <w:noProof/>
        </w:rPr>
        <w:tab/>
      </w:r>
      <w:r w:rsidR="003808D8" w:rsidRPr="001C651B">
        <w:rPr>
          <w:noProof/>
        </w:rPr>
        <w:t>korekty strat dotyczące poprzednich okresów sprawozdawczych (wiersz 0940),</w:t>
      </w:r>
    </w:p>
    <w:p w:rsidR="003808D8" w:rsidRPr="001C651B" w:rsidRDefault="00D8126A" w:rsidP="00D8126A">
      <w:pPr>
        <w:pStyle w:val="Point3"/>
        <w:rPr>
          <w:noProof/>
        </w:rPr>
      </w:pPr>
      <w:r w:rsidRPr="001C651B">
        <w:rPr>
          <w:noProof/>
        </w:rPr>
        <w:t>5)</w:t>
      </w:r>
      <w:r w:rsidRPr="001C651B">
        <w:rPr>
          <w:noProof/>
        </w:rPr>
        <w:tab/>
      </w:r>
      <w:r w:rsidR="003808D8" w:rsidRPr="001C651B">
        <w:rPr>
          <w:noProof/>
        </w:rPr>
        <w:t>maksymalna pojedyncza strata (wiersz 0950),</w:t>
      </w:r>
    </w:p>
    <w:p w:rsidR="003808D8" w:rsidRPr="001C651B" w:rsidRDefault="00D8126A" w:rsidP="00D8126A">
      <w:pPr>
        <w:pStyle w:val="Point3"/>
        <w:rPr>
          <w:noProof/>
        </w:rPr>
      </w:pPr>
      <w:r w:rsidRPr="001C651B">
        <w:rPr>
          <w:noProof/>
        </w:rPr>
        <w:t>6)</w:t>
      </w:r>
      <w:r w:rsidRPr="001C651B">
        <w:rPr>
          <w:noProof/>
        </w:rPr>
        <w:tab/>
      </w:r>
      <w:r w:rsidR="003808D8" w:rsidRPr="001C651B">
        <w:rPr>
          <w:noProof/>
        </w:rPr>
        <w:t>suma pięciu największych strat (wiersz 0960);</w:t>
      </w:r>
    </w:p>
    <w:p w:rsidR="003808D8" w:rsidRPr="001C651B" w:rsidRDefault="00D8126A" w:rsidP="00D8126A">
      <w:pPr>
        <w:pStyle w:val="Point3"/>
        <w:rPr>
          <w:noProof/>
        </w:rPr>
      </w:pPr>
      <w:r w:rsidRPr="001C651B">
        <w:rPr>
          <w:noProof/>
        </w:rPr>
        <w:t>7)</w:t>
      </w:r>
      <w:r w:rsidRPr="001C651B">
        <w:rPr>
          <w:noProof/>
        </w:rPr>
        <w:tab/>
      </w:r>
      <w:r w:rsidR="003808D8" w:rsidRPr="001C651B">
        <w:rPr>
          <w:noProof/>
        </w:rPr>
        <w:t>całkowite bezpośrednio odzyskane należności (z wyłączeniem należności odzyskanych</w:t>
      </w:r>
      <w:r w:rsidR="001C651B" w:rsidRPr="001C651B">
        <w:rPr>
          <w:noProof/>
        </w:rPr>
        <w:t xml:space="preserve"> z</w:t>
      </w:r>
      <w:r w:rsidR="001C651B">
        <w:rPr>
          <w:noProof/>
        </w:rPr>
        <w:t> </w:t>
      </w:r>
      <w:r w:rsidR="001C651B" w:rsidRPr="001C651B">
        <w:rPr>
          <w:noProof/>
        </w:rPr>
        <w:t>ube</w:t>
      </w:r>
      <w:r w:rsidR="003808D8" w:rsidRPr="001C651B">
        <w:rPr>
          <w:noProof/>
        </w:rPr>
        <w:t>zpieczenia</w:t>
      </w:r>
      <w:r w:rsidR="001C651B" w:rsidRPr="001C651B">
        <w:rPr>
          <w:noProof/>
        </w:rPr>
        <w:t xml:space="preserve"> i</w:t>
      </w:r>
      <w:r w:rsidR="001C651B">
        <w:rPr>
          <w:noProof/>
        </w:rPr>
        <w:t> </w:t>
      </w:r>
      <w:r w:rsidR="001C651B" w:rsidRPr="001C651B">
        <w:rPr>
          <w:noProof/>
        </w:rPr>
        <w:t>inn</w:t>
      </w:r>
      <w:r w:rsidR="003808D8" w:rsidRPr="001C651B">
        <w:rPr>
          <w:noProof/>
        </w:rPr>
        <w:t>ych mechanizmów transferu ryzyka) (wiersz 0970);</w:t>
      </w:r>
    </w:p>
    <w:p w:rsidR="003808D8" w:rsidRPr="001C651B" w:rsidRDefault="00D8126A" w:rsidP="00D8126A">
      <w:pPr>
        <w:pStyle w:val="Point3"/>
        <w:rPr>
          <w:noProof/>
        </w:rPr>
      </w:pPr>
      <w:r w:rsidRPr="001C651B">
        <w:rPr>
          <w:noProof/>
        </w:rPr>
        <w:t>8)</w:t>
      </w:r>
      <w:r w:rsidRPr="001C651B">
        <w:rPr>
          <w:noProof/>
        </w:rPr>
        <w:tab/>
      </w:r>
      <w:r w:rsidR="003808D8" w:rsidRPr="001C651B">
        <w:rPr>
          <w:noProof/>
        </w:rPr>
        <w:t>całkowite należności odzyskane</w:t>
      </w:r>
      <w:r w:rsidR="001C651B" w:rsidRPr="001C651B">
        <w:rPr>
          <w:noProof/>
        </w:rPr>
        <w:t xml:space="preserve"> z</w:t>
      </w:r>
      <w:r w:rsidR="001C651B">
        <w:rPr>
          <w:noProof/>
        </w:rPr>
        <w:t> </w:t>
      </w:r>
      <w:r w:rsidR="001C651B" w:rsidRPr="001C651B">
        <w:rPr>
          <w:noProof/>
        </w:rPr>
        <w:t>ube</w:t>
      </w:r>
      <w:r w:rsidR="003808D8" w:rsidRPr="001C651B">
        <w:rPr>
          <w:noProof/>
        </w:rPr>
        <w:t>zpieczenia</w:t>
      </w:r>
      <w:r w:rsidR="001C651B" w:rsidRPr="001C651B">
        <w:rPr>
          <w:noProof/>
        </w:rPr>
        <w:t xml:space="preserve"> i</w:t>
      </w:r>
      <w:r w:rsidR="001C651B">
        <w:rPr>
          <w:noProof/>
        </w:rPr>
        <w:t> </w:t>
      </w:r>
      <w:r w:rsidR="001C651B" w:rsidRPr="001C651B">
        <w:rPr>
          <w:noProof/>
        </w:rPr>
        <w:t>inn</w:t>
      </w:r>
      <w:r w:rsidR="003808D8" w:rsidRPr="001C651B">
        <w:rPr>
          <w:noProof/>
        </w:rPr>
        <w:t>ych mechanizmów transferu ryzyka (wiersz 0980);</w:t>
      </w:r>
    </w:p>
    <w:p w:rsidR="003808D8" w:rsidRPr="001C651B" w:rsidRDefault="003808D8" w:rsidP="00C856B2">
      <w:pPr>
        <w:pStyle w:val="Point2"/>
        <w:rPr>
          <w:noProof/>
        </w:rPr>
      </w:pPr>
      <w:r w:rsidRPr="001C651B">
        <w:rPr>
          <w:noProof/>
        </w:rPr>
        <w:t>(ii)</w:t>
      </w:r>
      <w:r w:rsidRPr="001C651B">
        <w:rPr>
          <w:noProof/>
        </w:rPr>
        <w:tab/>
        <w:t>informacji określonych we wzorze C 17.02;</w:t>
      </w:r>
    </w:p>
    <w:p w:rsidR="003808D8" w:rsidRPr="001C651B" w:rsidRDefault="00D8126A" w:rsidP="00D8126A">
      <w:pPr>
        <w:pStyle w:val="Point1"/>
        <w:rPr>
          <w:noProof/>
        </w:rPr>
      </w:pPr>
      <w:r w:rsidRPr="001C651B">
        <w:rPr>
          <w:noProof/>
        </w:rPr>
        <w:t>d)</w:t>
      </w:r>
      <w:r w:rsidRPr="001C651B">
        <w:rPr>
          <w:noProof/>
        </w:rPr>
        <w:tab/>
      </w:r>
      <w:r w:rsidR="003808D8" w:rsidRPr="001C651B">
        <w:rPr>
          <w:noProof/>
        </w:rPr>
        <w:t>instytucje,</w:t>
      </w:r>
      <w:r w:rsidR="001C651B" w:rsidRPr="001C651B">
        <w:rPr>
          <w:noProof/>
        </w:rPr>
        <w:t xml:space="preserve"> o</w:t>
      </w:r>
      <w:r w:rsidR="001C651B">
        <w:rPr>
          <w:noProof/>
        </w:rPr>
        <w:t> </w:t>
      </w:r>
      <w:r w:rsidR="001C651B" w:rsidRPr="001C651B">
        <w:rPr>
          <w:noProof/>
        </w:rPr>
        <w:t>któ</w:t>
      </w:r>
      <w:r w:rsidR="003808D8" w:rsidRPr="001C651B">
        <w:rPr>
          <w:noProof/>
        </w:rPr>
        <w:t>rych mowa</w:t>
      </w:r>
      <w:r w:rsidR="001C651B" w:rsidRPr="001C651B">
        <w:rPr>
          <w:noProof/>
        </w:rPr>
        <w:t xml:space="preserve"> w</w:t>
      </w:r>
      <w:r w:rsidR="001C651B">
        <w:rPr>
          <w:noProof/>
        </w:rPr>
        <w:t> </w:t>
      </w:r>
      <w:r w:rsidR="001C651B" w:rsidRPr="001C651B">
        <w:rPr>
          <w:noProof/>
        </w:rPr>
        <w:t>lit</w:t>
      </w:r>
      <w:r w:rsidR="003808D8" w:rsidRPr="001C651B">
        <w:rPr>
          <w:noProof/>
        </w:rPr>
        <w:t>.</w:t>
      </w:r>
      <w:r w:rsidR="001C651B" w:rsidRPr="001C651B">
        <w:rPr>
          <w:noProof/>
        </w:rPr>
        <w:t> </w:t>
      </w:r>
      <w:r w:rsidR="003808D8" w:rsidRPr="001C651B">
        <w:rPr>
          <w:noProof/>
        </w:rPr>
        <w:t xml:space="preserve">c), mogą przedstawiać pełny zestaw informacji określonych we wzorach C 17.01 i C 17.02; </w:t>
      </w:r>
    </w:p>
    <w:p w:rsidR="003808D8" w:rsidRPr="001C651B" w:rsidRDefault="00D8126A" w:rsidP="00D8126A">
      <w:pPr>
        <w:pStyle w:val="Point1"/>
        <w:rPr>
          <w:noProof/>
        </w:rPr>
      </w:pPr>
      <w:r w:rsidRPr="001C651B">
        <w:rPr>
          <w:noProof/>
        </w:rPr>
        <w:t>e)</w:t>
      </w:r>
      <w:r w:rsidRPr="001C651B">
        <w:rPr>
          <w:noProof/>
        </w:rPr>
        <w:tab/>
      </w:r>
      <w:r w:rsidR="003808D8" w:rsidRPr="001C651B">
        <w:rPr>
          <w:noProof/>
        </w:rPr>
        <w:t>duże instytucje, które</w:t>
      </w:r>
      <w:r w:rsidR="001C651B" w:rsidRPr="001C651B">
        <w:rPr>
          <w:noProof/>
        </w:rPr>
        <w:t xml:space="preserve"> w</w:t>
      </w:r>
      <w:r w:rsidR="001C651B">
        <w:rPr>
          <w:noProof/>
        </w:rPr>
        <w:t> </w:t>
      </w:r>
      <w:r w:rsidR="001C651B" w:rsidRPr="001C651B">
        <w:rPr>
          <w:noProof/>
        </w:rPr>
        <w:t>gru</w:t>
      </w:r>
      <w:r w:rsidR="003808D8" w:rsidRPr="001C651B">
        <w:rPr>
          <w:noProof/>
        </w:rPr>
        <w:t>dniu 2024</w:t>
      </w:r>
      <w:r w:rsidR="001C651B" w:rsidRPr="001C651B">
        <w:rPr>
          <w:noProof/>
        </w:rPr>
        <w:t> </w:t>
      </w:r>
      <w:r w:rsidR="003808D8" w:rsidRPr="001C651B">
        <w:rPr>
          <w:noProof/>
        </w:rPr>
        <w:t>r. obliczają wymogi</w:t>
      </w:r>
      <w:r w:rsidR="001C651B" w:rsidRPr="001C651B">
        <w:rPr>
          <w:noProof/>
        </w:rPr>
        <w:t xml:space="preserve"> w</w:t>
      </w:r>
      <w:r w:rsidR="001C651B">
        <w:rPr>
          <w:noProof/>
        </w:rPr>
        <w:t> </w:t>
      </w:r>
      <w:r w:rsidR="001C651B" w:rsidRPr="001C651B">
        <w:rPr>
          <w:noProof/>
        </w:rPr>
        <w:t>zak</w:t>
      </w:r>
      <w:r w:rsidR="003808D8" w:rsidRPr="001C651B">
        <w:rPr>
          <w:noProof/>
        </w:rPr>
        <w:t>resie funduszy własnych</w:t>
      </w:r>
      <w:r w:rsidR="001C651B" w:rsidRPr="001C651B">
        <w:rPr>
          <w:noProof/>
        </w:rPr>
        <w:t xml:space="preserve"> w</w:t>
      </w:r>
      <w:r w:rsidR="001C651B">
        <w:rPr>
          <w:noProof/>
        </w:rPr>
        <w:t> </w:t>
      </w:r>
      <w:r w:rsidR="001C651B" w:rsidRPr="001C651B">
        <w:rPr>
          <w:noProof/>
        </w:rPr>
        <w:t>odn</w:t>
      </w:r>
      <w:r w:rsidR="003808D8" w:rsidRPr="001C651B">
        <w:rPr>
          <w:noProof/>
        </w:rPr>
        <w:t>iesieniu do ryzyka operacyjnego zgodnie</w:t>
      </w:r>
      <w:r w:rsidR="001C651B" w:rsidRPr="001C651B">
        <w:rPr>
          <w:noProof/>
        </w:rPr>
        <w:t xml:space="preserve"> z</w:t>
      </w:r>
      <w:r w:rsidR="001C651B">
        <w:rPr>
          <w:noProof/>
        </w:rPr>
        <w:t> </w:t>
      </w:r>
      <w:r w:rsidR="001C651B" w:rsidRPr="001C651B">
        <w:rPr>
          <w:noProof/>
        </w:rPr>
        <w:t>czę</w:t>
      </w:r>
      <w:r w:rsidR="003808D8" w:rsidRPr="001C651B">
        <w:rPr>
          <w:noProof/>
        </w:rPr>
        <w:t>ścią trzecią tytuł III rozdział 2 rozporządzenia (UE) nr</w:t>
      </w:r>
      <w:r w:rsidR="001C651B" w:rsidRPr="001C651B">
        <w:rPr>
          <w:noProof/>
        </w:rPr>
        <w:t> </w:t>
      </w:r>
      <w:r w:rsidR="003808D8" w:rsidRPr="001C651B">
        <w:rPr>
          <w:noProof/>
        </w:rPr>
        <w:t>575/2013, kontynuują przekazywanie informacji określonych we wzorach C 17.01 i C 17.02;</w:t>
      </w:r>
    </w:p>
    <w:p w:rsidR="003808D8" w:rsidRPr="001C651B" w:rsidRDefault="00D8126A" w:rsidP="00D8126A">
      <w:pPr>
        <w:pStyle w:val="Point1"/>
        <w:rPr>
          <w:noProof/>
        </w:rPr>
      </w:pPr>
      <w:r w:rsidRPr="001C651B">
        <w:rPr>
          <w:noProof/>
        </w:rPr>
        <w:t>f)</w:t>
      </w:r>
      <w:r w:rsidRPr="001C651B">
        <w:rPr>
          <w:noProof/>
        </w:rPr>
        <w:tab/>
      </w:r>
      <w:r w:rsidR="003808D8" w:rsidRPr="001C651B">
        <w:rPr>
          <w:noProof/>
        </w:rPr>
        <w:t>instytucje inne niż duże instytucje, które</w:t>
      </w:r>
      <w:r w:rsidR="001C651B" w:rsidRPr="001C651B">
        <w:rPr>
          <w:noProof/>
        </w:rPr>
        <w:t xml:space="preserve"> w</w:t>
      </w:r>
      <w:r w:rsidR="001C651B">
        <w:rPr>
          <w:noProof/>
        </w:rPr>
        <w:t> </w:t>
      </w:r>
      <w:r w:rsidR="001C651B" w:rsidRPr="001C651B">
        <w:rPr>
          <w:noProof/>
        </w:rPr>
        <w:t>gru</w:t>
      </w:r>
      <w:r w:rsidR="003808D8" w:rsidRPr="001C651B">
        <w:rPr>
          <w:noProof/>
        </w:rPr>
        <w:t>dniu 2024</w:t>
      </w:r>
      <w:r w:rsidR="001C651B" w:rsidRPr="001C651B">
        <w:rPr>
          <w:noProof/>
        </w:rPr>
        <w:t> </w:t>
      </w:r>
      <w:r w:rsidR="003808D8" w:rsidRPr="001C651B">
        <w:rPr>
          <w:noProof/>
        </w:rPr>
        <w:t>r. obliczają wymogi</w:t>
      </w:r>
      <w:r w:rsidR="001C651B" w:rsidRPr="001C651B">
        <w:rPr>
          <w:noProof/>
        </w:rPr>
        <w:t xml:space="preserve"> w</w:t>
      </w:r>
      <w:r w:rsidR="001C651B">
        <w:rPr>
          <w:noProof/>
        </w:rPr>
        <w:t> </w:t>
      </w:r>
      <w:r w:rsidR="001C651B" w:rsidRPr="001C651B">
        <w:rPr>
          <w:noProof/>
        </w:rPr>
        <w:t>zak</w:t>
      </w:r>
      <w:r w:rsidR="003808D8" w:rsidRPr="001C651B">
        <w:rPr>
          <w:noProof/>
        </w:rPr>
        <w:t>resie funduszy własnych</w:t>
      </w:r>
      <w:r w:rsidR="001C651B" w:rsidRPr="001C651B">
        <w:rPr>
          <w:noProof/>
        </w:rPr>
        <w:t xml:space="preserve"> w</w:t>
      </w:r>
      <w:r w:rsidR="001C651B">
        <w:rPr>
          <w:noProof/>
        </w:rPr>
        <w:t> </w:t>
      </w:r>
      <w:r w:rsidR="001C651B" w:rsidRPr="001C651B">
        <w:rPr>
          <w:noProof/>
        </w:rPr>
        <w:t>odn</w:t>
      </w:r>
      <w:r w:rsidR="003808D8" w:rsidRPr="001C651B">
        <w:rPr>
          <w:noProof/>
        </w:rPr>
        <w:t>iesieniu do ryzyka operacyjnego zgodnie</w:t>
      </w:r>
      <w:r w:rsidR="001C651B" w:rsidRPr="001C651B">
        <w:rPr>
          <w:noProof/>
        </w:rPr>
        <w:t xml:space="preserve"> z</w:t>
      </w:r>
      <w:r w:rsidR="001C651B">
        <w:rPr>
          <w:noProof/>
        </w:rPr>
        <w:t> </w:t>
      </w:r>
      <w:r w:rsidR="001C651B" w:rsidRPr="001C651B">
        <w:rPr>
          <w:noProof/>
        </w:rPr>
        <w:t>czę</w:t>
      </w:r>
      <w:r w:rsidR="003808D8" w:rsidRPr="001C651B">
        <w:rPr>
          <w:noProof/>
        </w:rPr>
        <w:t>ścią trzecią tytuł III rozdział 2 rozporządzenia (UE) nr</w:t>
      </w:r>
      <w:r w:rsidR="001C651B" w:rsidRPr="001C651B">
        <w:rPr>
          <w:noProof/>
        </w:rPr>
        <w:t> </w:t>
      </w:r>
      <w:r w:rsidR="003808D8" w:rsidRPr="001C651B">
        <w:rPr>
          <w:noProof/>
        </w:rPr>
        <w:t>575/2013, mogą kontynuować przekazywanie informacji określonych we wzorach C 17.01 i C 17.02.</w:t>
      </w:r>
    </w:p>
    <w:p w:rsidR="00716EA9" w:rsidRPr="001C651B" w:rsidRDefault="00716EA9" w:rsidP="00E537F5">
      <w:pPr>
        <w:pStyle w:val="Titrearticle"/>
        <w:rPr>
          <w:noProof/>
          <w:szCs w:val="24"/>
        </w:rPr>
      </w:pPr>
      <w:r w:rsidRPr="001C651B">
        <w:rPr>
          <w:noProof/>
        </w:rPr>
        <w:t>Artykuł 7</w:t>
      </w:r>
    </w:p>
    <w:p w:rsidR="00716EA9" w:rsidRPr="001C651B" w:rsidRDefault="00716EA9" w:rsidP="00F22954">
      <w:pPr>
        <w:pStyle w:val="Titrearticle"/>
        <w:spacing w:before="0"/>
        <w:rPr>
          <w:b/>
          <w:bCs/>
          <w:i w:val="0"/>
          <w:iCs/>
          <w:noProof/>
          <w:szCs w:val="24"/>
        </w:rPr>
      </w:pPr>
      <w:r w:rsidRPr="001C651B">
        <w:rPr>
          <w:b/>
          <w:i w:val="0"/>
          <w:noProof/>
        </w:rPr>
        <w:t>Sprawozdawczość</w:t>
      </w:r>
      <w:r w:rsidR="001C651B" w:rsidRPr="001C651B">
        <w:rPr>
          <w:b/>
          <w:i w:val="0"/>
          <w:noProof/>
        </w:rPr>
        <w:t xml:space="preserve"> w</w:t>
      </w:r>
      <w:r w:rsidR="001C651B">
        <w:rPr>
          <w:b/>
          <w:i w:val="0"/>
          <w:noProof/>
        </w:rPr>
        <w:t> </w:t>
      </w:r>
      <w:r w:rsidR="001C651B" w:rsidRPr="001C651B">
        <w:rPr>
          <w:b/>
          <w:i w:val="0"/>
          <w:noProof/>
        </w:rPr>
        <w:t>zak</w:t>
      </w:r>
      <w:r w:rsidRPr="001C651B">
        <w:rPr>
          <w:b/>
          <w:i w:val="0"/>
          <w:noProof/>
        </w:rPr>
        <w:t>resie funduszy własnych oraz wymogów</w:t>
      </w:r>
      <w:r w:rsidR="001C651B" w:rsidRPr="001C651B">
        <w:rPr>
          <w:b/>
          <w:i w:val="0"/>
          <w:noProof/>
        </w:rPr>
        <w:t xml:space="preserve"> w</w:t>
      </w:r>
      <w:r w:rsidR="001C651B">
        <w:rPr>
          <w:b/>
          <w:i w:val="0"/>
          <w:noProof/>
        </w:rPr>
        <w:t> </w:t>
      </w:r>
      <w:r w:rsidR="001C651B" w:rsidRPr="001C651B">
        <w:rPr>
          <w:b/>
          <w:i w:val="0"/>
          <w:noProof/>
        </w:rPr>
        <w:t>zak</w:t>
      </w:r>
      <w:r w:rsidRPr="001C651B">
        <w:rPr>
          <w:b/>
          <w:i w:val="0"/>
          <w:noProof/>
        </w:rPr>
        <w:t>resie funduszy własnych na zasadzie skonsolidowanej</w:t>
      </w:r>
    </w:p>
    <w:p w:rsidR="00716EA9" w:rsidRPr="001C651B" w:rsidRDefault="00716EA9" w:rsidP="00C856B2">
      <w:pPr>
        <w:rPr>
          <w:noProof/>
        </w:rPr>
      </w:pPr>
      <w:r w:rsidRPr="001C651B">
        <w:rPr>
          <w:noProof/>
        </w:rPr>
        <w:t>Instytucje, które przekazują informacje na temat funduszy własnych oraz wymogów</w:t>
      </w:r>
      <w:r w:rsidR="001C651B" w:rsidRPr="001C651B">
        <w:rPr>
          <w:noProof/>
        </w:rPr>
        <w:t xml:space="preserve"> w</w:t>
      </w:r>
      <w:r w:rsidR="001C651B">
        <w:rPr>
          <w:noProof/>
        </w:rPr>
        <w:t> </w:t>
      </w:r>
      <w:r w:rsidR="001C651B" w:rsidRPr="001C651B">
        <w:rPr>
          <w:noProof/>
        </w:rPr>
        <w:t>zak</w:t>
      </w:r>
      <w:r w:rsidRPr="001C651B">
        <w:rPr>
          <w:noProof/>
        </w:rPr>
        <w:t>resie funduszy własnych zgodnie</w:t>
      </w:r>
      <w:r w:rsidR="001C651B" w:rsidRPr="001C651B">
        <w:rPr>
          <w:noProof/>
        </w:rPr>
        <w:t xml:space="preserve"> z</w:t>
      </w:r>
      <w:r w:rsidR="001C651B">
        <w:rPr>
          <w:noProof/>
        </w:rPr>
        <w:t> </w:t>
      </w:r>
      <w:r w:rsidR="001C651B" w:rsidRPr="001C651B">
        <w:rPr>
          <w:noProof/>
        </w:rPr>
        <w:t>wym</w:t>
      </w:r>
      <w:r w:rsidRPr="001C651B">
        <w:rPr>
          <w:noProof/>
        </w:rPr>
        <w:t>ogami art.</w:t>
      </w:r>
      <w:r w:rsidR="001C651B" w:rsidRPr="001C651B">
        <w:rPr>
          <w:noProof/>
        </w:rPr>
        <w:t> </w:t>
      </w:r>
      <w:r w:rsidRPr="001C651B">
        <w:rPr>
          <w:noProof/>
        </w:rPr>
        <w:t>430 ust.</w:t>
      </w:r>
      <w:r w:rsidR="001C651B" w:rsidRPr="001C651B">
        <w:rPr>
          <w:noProof/>
        </w:rPr>
        <w:t> </w:t>
      </w:r>
      <w:r w:rsidRPr="001C651B">
        <w:rPr>
          <w:noProof/>
        </w:rPr>
        <w:t>1 lit.</w:t>
      </w:r>
      <w:r w:rsidR="001C651B" w:rsidRPr="001C651B">
        <w:rPr>
          <w:noProof/>
        </w:rPr>
        <w:t> </w:t>
      </w:r>
      <w:r w:rsidRPr="001C651B">
        <w:rPr>
          <w:noProof/>
        </w:rPr>
        <w:t>a) rozporządzenia (UE) nr</w:t>
      </w:r>
      <w:r w:rsidR="001C651B" w:rsidRPr="001C651B">
        <w:rPr>
          <w:noProof/>
        </w:rPr>
        <w:t> </w:t>
      </w:r>
      <w:r w:rsidRPr="001C651B">
        <w:rPr>
          <w:noProof/>
        </w:rPr>
        <w:t>575/2013 na zasadzie skonsolidowanej, przedstawiają te informacje, jak określono</w:t>
      </w:r>
      <w:r w:rsidR="001C651B" w:rsidRPr="001C651B">
        <w:rPr>
          <w:noProof/>
        </w:rPr>
        <w:t xml:space="preserve"> w</w:t>
      </w:r>
      <w:r w:rsidR="001C651B">
        <w:rPr>
          <w:noProof/>
        </w:rPr>
        <w:t> </w:t>
      </w:r>
      <w:r w:rsidR="001C651B" w:rsidRPr="001C651B">
        <w:rPr>
          <w:noProof/>
        </w:rPr>
        <w:t>sek</w:t>
      </w:r>
      <w:r w:rsidRPr="001C651B">
        <w:rPr>
          <w:noProof/>
        </w:rPr>
        <w:t>cji 1 – „Sprawozdawczość</w:t>
      </w:r>
      <w:r w:rsidR="001C651B" w:rsidRPr="001C651B">
        <w:rPr>
          <w:noProof/>
        </w:rPr>
        <w:t xml:space="preserve"> w</w:t>
      </w:r>
      <w:r w:rsidR="001C651B">
        <w:rPr>
          <w:noProof/>
        </w:rPr>
        <w:t> </w:t>
      </w:r>
      <w:r w:rsidR="001C651B" w:rsidRPr="001C651B">
        <w:rPr>
          <w:noProof/>
        </w:rPr>
        <w:t>zak</w:t>
      </w:r>
      <w:r w:rsidRPr="001C651B">
        <w:rPr>
          <w:noProof/>
        </w:rPr>
        <w:t>resie funduszy własnych oraz wymogów</w:t>
      </w:r>
      <w:r w:rsidR="001C651B" w:rsidRPr="001C651B">
        <w:rPr>
          <w:noProof/>
        </w:rPr>
        <w:t xml:space="preserve"> w</w:t>
      </w:r>
      <w:r w:rsidR="001C651B">
        <w:rPr>
          <w:noProof/>
        </w:rPr>
        <w:t> </w:t>
      </w:r>
      <w:r w:rsidR="001C651B" w:rsidRPr="001C651B">
        <w:rPr>
          <w:noProof/>
        </w:rPr>
        <w:t>zak</w:t>
      </w:r>
      <w:r w:rsidRPr="001C651B">
        <w:rPr>
          <w:noProof/>
        </w:rPr>
        <w:t>resie funduszy własnych”</w:t>
      </w:r>
      <w:r w:rsidR="001C651B" w:rsidRPr="001C651B">
        <w:rPr>
          <w:noProof/>
        </w:rPr>
        <w:t xml:space="preserve"> w</w:t>
      </w:r>
      <w:r w:rsidR="001C651B">
        <w:rPr>
          <w:noProof/>
        </w:rPr>
        <w:t> </w:t>
      </w:r>
      <w:r w:rsidR="001C651B" w:rsidRPr="001C651B">
        <w:rPr>
          <w:noProof/>
        </w:rPr>
        <w:t>zał</w:t>
      </w:r>
      <w:r w:rsidRPr="001C651B">
        <w:rPr>
          <w:noProof/>
        </w:rPr>
        <w:t>ączniku I do niniejszego rozporządzenia, zgodnie</w:t>
      </w:r>
      <w:r w:rsidR="001C651B" w:rsidRPr="001C651B">
        <w:rPr>
          <w:noProof/>
        </w:rPr>
        <w:t xml:space="preserve"> z</w:t>
      </w:r>
      <w:r w:rsidR="001C651B">
        <w:rPr>
          <w:noProof/>
        </w:rPr>
        <w:t> </w:t>
      </w:r>
      <w:r w:rsidR="001C651B" w:rsidRPr="001C651B">
        <w:rPr>
          <w:noProof/>
        </w:rPr>
        <w:t>pon</w:t>
      </w:r>
      <w:r w:rsidRPr="001C651B">
        <w:rPr>
          <w:noProof/>
        </w:rPr>
        <w:t>iższym:</w:t>
      </w:r>
    </w:p>
    <w:p w:rsidR="00716EA9" w:rsidRPr="001C651B" w:rsidRDefault="00D8126A" w:rsidP="00D8126A">
      <w:pPr>
        <w:pStyle w:val="Point0"/>
        <w:rPr>
          <w:noProof/>
          <w:color w:val="000000"/>
        </w:rPr>
      </w:pPr>
      <w:r w:rsidRPr="001C651B">
        <w:rPr>
          <w:noProof/>
        </w:rPr>
        <w:t>a)</w:t>
      </w:r>
      <w:r w:rsidRPr="001C651B">
        <w:rPr>
          <w:noProof/>
        </w:rPr>
        <w:tab/>
      </w:r>
      <w:r w:rsidR="00716EA9" w:rsidRPr="001C651B">
        <w:rPr>
          <w:noProof/>
        </w:rPr>
        <w:t>informacje wymagane zgodnie</w:t>
      </w:r>
      <w:r w:rsidR="001C651B" w:rsidRPr="001C651B">
        <w:rPr>
          <w:noProof/>
        </w:rPr>
        <w:t xml:space="preserve"> z</w:t>
      </w:r>
      <w:r w:rsidR="001C651B">
        <w:rPr>
          <w:noProof/>
        </w:rPr>
        <w:t> </w:t>
      </w:r>
      <w:r w:rsidR="001C651B" w:rsidRPr="001C651B">
        <w:rPr>
          <w:noProof/>
        </w:rPr>
        <w:t>wym</w:t>
      </w:r>
      <w:r w:rsidR="00716EA9" w:rsidRPr="001C651B">
        <w:rPr>
          <w:noProof/>
        </w:rPr>
        <w:t>ogiem informacyjnym określonym</w:t>
      </w:r>
      <w:r w:rsidR="001C651B" w:rsidRPr="001C651B">
        <w:rPr>
          <w:noProof/>
        </w:rPr>
        <w:t xml:space="preserve"> w</w:t>
      </w:r>
      <w:r w:rsidR="001C651B">
        <w:rPr>
          <w:noProof/>
        </w:rPr>
        <w:t> </w:t>
      </w:r>
      <w:r w:rsidR="001C651B" w:rsidRPr="001C651B">
        <w:rPr>
          <w:noProof/>
        </w:rPr>
        <w:t>zał</w:t>
      </w:r>
      <w:r w:rsidR="00716EA9" w:rsidRPr="001C651B">
        <w:rPr>
          <w:noProof/>
        </w:rPr>
        <w:t>ączniku I, który doprecyzowuje sprawozdawczość wymaganą zgodnie</w:t>
      </w:r>
      <w:r w:rsidR="001C651B" w:rsidRPr="001C651B">
        <w:rPr>
          <w:noProof/>
        </w:rPr>
        <w:t xml:space="preserve"> z</w:t>
      </w:r>
      <w:r w:rsidR="001C651B">
        <w:rPr>
          <w:noProof/>
        </w:rPr>
        <w:t> </w:t>
      </w:r>
      <w:r w:rsidR="001C651B" w:rsidRPr="001C651B">
        <w:rPr>
          <w:noProof/>
        </w:rPr>
        <w:t>art</w:t>
      </w:r>
      <w:r w:rsidR="00716EA9" w:rsidRPr="001C651B">
        <w:rPr>
          <w:noProof/>
        </w:rPr>
        <w:t>.</w:t>
      </w:r>
      <w:r w:rsidR="001C651B" w:rsidRPr="001C651B">
        <w:rPr>
          <w:noProof/>
        </w:rPr>
        <w:t> </w:t>
      </w:r>
      <w:r w:rsidR="00716EA9" w:rsidRPr="001C651B">
        <w:rPr>
          <w:noProof/>
        </w:rPr>
        <w:t>5</w:t>
      </w:r>
      <w:r w:rsidR="001C651B" w:rsidRPr="001C651B">
        <w:rPr>
          <w:noProof/>
        </w:rPr>
        <w:t xml:space="preserve"> i</w:t>
      </w:r>
      <w:r w:rsidR="001C651B">
        <w:rPr>
          <w:noProof/>
        </w:rPr>
        <w:t> </w:t>
      </w:r>
      <w:r w:rsidR="001C651B" w:rsidRPr="001C651B">
        <w:rPr>
          <w:noProof/>
        </w:rPr>
        <w:t>6</w:t>
      </w:r>
      <w:r w:rsidR="00716EA9" w:rsidRPr="001C651B">
        <w:rPr>
          <w:noProof/>
        </w:rPr>
        <w:t xml:space="preserve"> niniejszego rozporządzenia –</w:t>
      </w:r>
      <w:r w:rsidR="001C651B" w:rsidRPr="001C651B">
        <w:rPr>
          <w:noProof/>
        </w:rPr>
        <w:t xml:space="preserve"> z</w:t>
      </w:r>
      <w:r w:rsidR="001C651B">
        <w:rPr>
          <w:noProof/>
        </w:rPr>
        <w:t> </w:t>
      </w:r>
      <w:r w:rsidR="001C651B" w:rsidRPr="001C651B">
        <w:rPr>
          <w:noProof/>
        </w:rPr>
        <w:t>czę</w:t>
      </w:r>
      <w:r w:rsidR="00716EA9" w:rsidRPr="001C651B">
        <w:rPr>
          <w:noProof/>
        </w:rPr>
        <w:t>stotliwością określoną</w:t>
      </w:r>
      <w:r w:rsidR="001C651B" w:rsidRPr="001C651B">
        <w:rPr>
          <w:noProof/>
        </w:rPr>
        <w:t xml:space="preserve"> w</w:t>
      </w:r>
      <w:r w:rsidR="001C651B">
        <w:rPr>
          <w:noProof/>
        </w:rPr>
        <w:t> </w:t>
      </w:r>
      <w:r w:rsidR="001C651B" w:rsidRPr="001C651B">
        <w:rPr>
          <w:noProof/>
        </w:rPr>
        <w:t>tyc</w:t>
      </w:r>
      <w:r w:rsidR="00716EA9" w:rsidRPr="001C651B">
        <w:rPr>
          <w:noProof/>
        </w:rPr>
        <w:t>h artykułach;</w:t>
      </w:r>
    </w:p>
    <w:p w:rsidR="00716EA9" w:rsidRPr="001C651B" w:rsidRDefault="00D8126A" w:rsidP="00D8126A">
      <w:pPr>
        <w:pStyle w:val="Point0"/>
        <w:rPr>
          <w:noProof/>
        </w:rPr>
      </w:pPr>
      <w:r w:rsidRPr="001C651B">
        <w:rPr>
          <w:noProof/>
        </w:rPr>
        <w:t>b)</w:t>
      </w:r>
      <w:r w:rsidRPr="001C651B">
        <w:rPr>
          <w:noProof/>
        </w:rPr>
        <w:tab/>
      </w:r>
      <w:r w:rsidR="00716EA9" w:rsidRPr="001C651B">
        <w:rPr>
          <w:noProof/>
        </w:rPr>
        <w:t>informacje wymagane zgodnie</w:t>
      </w:r>
      <w:r w:rsidR="001C651B" w:rsidRPr="001C651B">
        <w:rPr>
          <w:noProof/>
        </w:rPr>
        <w:t xml:space="preserve"> z</w:t>
      </w:r>
      <w:r w:rsidR="001C651B">
        <w:rPr>
          <w:noProof/>
        </w:rPr>
        <w:t> </w:t>
      </w:r>
      <w:r w:rsidR="001C651B" w:rsidRPr="001C651B">
        <w:rPr>
          <w:noProof/>
        </w:rPr>
        <w:t>wym</w:t>
      </w:r>
      <w:r w:rsidR="00716EA9" w:rsidRPr="001C651B">
        <w:rPr>
          <w:noProof/>
        </w:rPr>
        <w:t>ogiem informacyjnym określonym</w:t>
      </w:r>
      <w:r w:rsidR="001C651B" w:rsidRPr="001C651B">
        <w:rPr>
          <w:noProof/>
        </w:rPr>
        <w:t xml:space="preserve"> w</w:t>
      </w:r>
      <w:r w:rsidR="001C651B">
        <w:rPr>
          <w:noProof/>
        </w:rPr>
        <w:t> </w:t>
      </w:r>
      <w:r w:rsidR="001C651B" w:rsidRPr="001C651B">
        <w:rPr>
          <w:noProof/>
        </w:rPr>
        <w:t>zał</w:t>
      </w:r>
      <w:r w:rsidR="00716EA9" w:rsidRPr="001C651B">
        <w:rPr>
          <w:noProof/>
        </w:rPr>
        <w:t>ączniku I, który doprecyzowuje sprawozdawczość dotyczącą wypłacalności grupy</w:t>
      </w:r>
      <w:r w:rsidR="001C651B" w:rsidRPr="001C651B">
        <w:rPr>
          <w:noProof/>
        </w:rPr>
        <w:t xml:space="preserve"> w</w:t>
      </w:r>
      <w:r w:rsidR="001C651B">
        <w:rPr>
          <w:noProof/>
        </w:rPr>
        <w:t> </w:t>
      </w:r>
      <w:r w:rsidR="001C651B" w:rsidRPr="001C651B">
        <w:rPr>
          <w:noProof/>
        </w:rPr>
        <w:t>odn</w:t>
      </w:r>
      <w:r w:rsidR="00716EA9" w:rsidRPr="001C651B">
        <w:rPr>
          <w:noProof/>
        </w:rPr>
        <w:t>iesieniu do podmiotów objętych zakresem konsolidacji –</w:t>
      </w:r>
      <w:r w:rsidR="001C651B" w:rsidRPr="001C651B">
        <w:rPr>
          <w:noProof/>
        </w:rPr>
        <w:t xml:space="preserve"> z</w:t>
      </w:r>
      <w:r w:rsidR="001C651B">
        <w:rPr>
          <w:noProof/>
        </w:rPr>
        <w:t> </w:t>
      </w:r>
      <w:r w:rsidR="001C651B" w:rsidRPr="001C651B">
        <w:rPr>
          <w:noProof/>
        </w:rPr>
        <w:t>czę</w:t>
      </w:r>
      <w:r w:rsidR="00716EA9" w:rsidRPr="001C651B">
        <w:rPr>
          <w:noProof/>
        </w:rPr>
        <w:t>stotliwością półroczną.</w:t>
      </w:r>
    </w:p>
    <w:p w:rsidR="00716EA9" w:rsidRPr="001C651B" w:rsidRDefault="00716EA9" w:rsidP="00E537F5">
      <w:pPr>
        <w:pStyle w:val="Titrearticle"/>
        <w:rPr>
          <w:noProof/>
          <w:szCs w:val="24"/>
        </w:rPr>
      </w:pPr>
      <w:r w:rsidRPr="001C651B">
        <w:rPr>
          <w:noProof/>
        </w:rPr>
        <w:t>Artykuł 8</w:t>
      </w:r>
    </w:p>
    <w:p w:rsidR="00716EA9" w:rsidRPr="001C651B" w:rsidRDefault="00716EA9" w:rsidP="00F22954">
      <w:pPr>
        <w:pStyle w:val="Titrearticle"/>
        <w:spacing w:before="0"/>
        <w:rPr>
          <w:b/>
          <w:bCs/>
          <w:i w:val="0"/>
          <w:iCs/>
          <w:noProof/>
          <w:szCs w:val="24"/>
        </w:rPr>
      </w:pPr>
      <w:r w:rsidRPr="001C651B">
        <w:rPr>
          <w:b/>
          <w:i w:val="0"/>
          <w:noProof/>
        </w:rPr>
        <w:t>Sprawozdawczość</w:t>
      </w:r>
      <w:r w:rsidR="001C651B" w:rsidRPr="001C651B">
        <w:rPr>
          <w:b/>
          <w:i w:val="0"/>
          <w:noProof/>
        </w:rPr>
        <w:t xml:space="preserve"> w</w:t>
      </w:r>
      <w:r w:rsidR="001C651B">
        <w:rPr>
          <w:b/>
          <w:i w:val="0"/>
          <w:noProof/>
        </w:rPr>
        <w:t> </w:t>
      </w:r>
      <w:r w:rsidR="001C651B" w:rsidRPr="001C651B">
        <w:rPr>
          <w:b/>
          <w:i w:val="0"/>
          <w:noProof/>
        </w:rPr>
        <w:t>zak</w:t>
      </w:r>
      <w:r w:rsidRPr="001C651B">
        <w:rPr>
          <w:b/>
          <w:i w:val="0"/>
          <w:noProof/>
        </w:rPr>
        <w:t>resie funduszy własnych oraz wymogów</w:t>
      </w:r>
      <w:r w:rsidR="001C651B" w:rsidRPr="001C651B">
        <w:rPr>
          <w:b/>
          <w:i w:val="0"/>
          <w:noProof/>
        </w:rPr>
        <w:t xml:space="preserve"> w</w:t>
      </w:r>
      <w:r w:rsidR="001C651B">
        <w:rPr>
          <w:b/>
          <w:i w:val="0"/>
          <w:noProof/>
        </w:rPr>
        <w:t> </w:t>
      </w:r>
      <w:r w:rsidR="001C651B" w:rsidRPr="001C651B">
        <w:rPr>
          <w:b/>
          <w:i w:val="0"/>
          <w:noProof/>
        </w:rPr>
        <w:t>zak</w:t>
      </w:r>
      <w:r w:rsidRPr="001C651B">
        <w:rPr>
          <w:b/>
          <w:i w:val="0"/>
          <w:noProof/>
        </w:rPr>
        <w:t>resie funduszy własnych – dodatkowe wymogi dotyczące sprawozdawczości na zasadzie indywidualnej</w:t>
      </w:r>
      <w:r w:rsidR="001C651B" w:rsidRPr="001C651B">
        <w:rPr>
          <w:b/>
          <w:i w:val="0"/>
          <w:noProof/>
        </w:rPr>
        <w:t xml:space="preserve"> i</w:t>
      </w:r>
      <w:r w:rsidR="001C651B">
        <w:rPr>
          <w:b/>
          <w:i w:val="0"/>
          <w:noProof/>
        </w:rPr>
        <w:t> </w:t>
      </w:r>
      <w:r w:rsidR="001C651B" w:rsidRPr="001C651B">
        <w:rPr>
          <w:b/>
          <w:i w:val="0"/>
          <w:noProof/>
        </w:rPr>
        <w:t>sko</w:t>
      </w:r>
      <w:r w:rsidRPr="001C651B">
        <w:rPr>
          <w:b/>
          <w:i w:val="0"/>
          <w:noProof/>
        </w:rPr>
        <w:t>nsolidowanej</w:t>
      </w:r>
    </w:p>
    <w:p w:rsidR="00AB5213" w:rsidRPr="001C651B" w:rsidRDefault="003040A6" w:rsidP="003040A6">
      <w:pPr>
        <w:pStyle w:val="ManualNumPar1"/>
        <w:rPr>
          <w:noProof/>
        </w:rPr>
      </w:pPr>
      <w:r w:rsidRPr="003040A6">
        <w:rPr>
          <w:noProof/>
        </w:rPr>
        <w:t>1.</w:t>
      </w:r>
      <w:r w:rsidRPr="003040A6">
        <w:rPr>
          <w:noProof/>
        </w:rPr>
        <w:tab/>
      </w:r>
      <w:r w:rsidR="00716EA9" w:rsidRPr="001C651B">
        <w:rPr>
          <w:noProof/>
        </w:rPr>
        <w:t>Instytucje podlegające wymogowi ujawniania informacji,</w:t>
      </w:r>
      <w:r w:rsidR="001C651B" w:rsidRPr="001C651B">
        <w:rPr>
          <w:noProof/>
        </w:rPr>
        <w:t xml:space="preserve"> o</w:t>
      </w:r>
      <w:r w:rsidR="001C651B">
        <w:rPr>
          <w:noProof/>
        </w:rPr>
        <w:t> </w:t>
      </w:r>
      <w:r w:rsidR="001C651B" w:rsidRPr="001C651B">
        <w:rPr>
          <w:noProof/>
        </w:rPr>
        <w:t>któ</w:t>
      </w:r>
      <w:r w:rsidR="00716EA9" w:rsidRPr="001C651B">
        <w:rPr>
          <w:noProof/>
        </w:rPr>
        <w:t>rych mowa</w:t>
      </w:r>
      <w:r w:rsidR="001C651B" w:rsidRPr="001C651B">
        <w:rPr>
          <w:noProof/>
        </w:rPr>
        <w:t xml:space="preserve"> w</w:t>
      </w:r>
      <w:r w:rsidR="001C651B">
        <w:rPr>
          <w:noProof/>
        </w:rPr>
        <w:t> </w:t>
      </w:r>
      <w:r w:rsidR="001C651B" w:rsidRPr="001C651B">
        <w:rPr>
          <w:noProof/>
        </w:rPr>
        <w:t>art</w:t>
      </w:r>
      <w:r w:rsidR="00716EA9" w:rsidRPr="001C651B">
        <w:rPr>
          <w:noProof/>
        </w:rPr>
        <w:t>.</w:t>
      </w:r>
      <w:r w:rsidR="001C651B" w:rsidRPr="001C651B">
        <w:rPr>
          <w:noProof/>
        </w:rPr>
        <w:t> </w:t>
      </w:r>
      <w:r w:rsidR="00716EA9" w:rsidRPr="001C651B">
        <w:rPr>
          <w:noProof/>
        </w:rPr>
        <w:t>438 lit.</w:t>
      </w:r>
      <w:r w:rsidR="001C651B" w:rsidRPr="001C651B">
        <w:rPr>
          <w:noProof/>
        </w:rPr>
        <w:t> </w:t>
      </w:r>
      <w:r w:rsidR="00716EA9" w:rsidRPr="001C651B">
        <w:rPr>
          <w:noProof/>
        </w:rPr>
        <w:t>e) lub h) lub art.</w:t>
      </w:r>
      <w:r w:rsidR="001C651B" w:rsidRPr="001C651B">
        <w:rPr>
          <w:noProof/>
        </w:rPr>
        <w:t> </w:t>
      </w:r>
      <w:r w:rsidR="00716EA9" w:rsidRPr="001C651B">
        <w:rPr>
          <w:noProof/>
        </w:rPr>
        <w:t>452 lit.</w:t>
      </w:r>
      <w:r w:rsidR="001C651B" w:rsidRPr="001C651B">
        <w:rPr>
          <w:noProof/>
        </w:rPr>
        <w:t> </w:t>
      </w:r>
      <w:r w:rsidR="00716EA9" w:rsidRPr="001C651B">
        <w:rPr>
          <w:noProof/>
        </w:rPr>
        <w:t>b), g) lub h) rozporządzenia (UE) nr</w:t>
      </w:r>
      <w:r w:rsidR="001C651B" w:rsidRPr="001C651B">
        <w:rPr>
          <w:noProof/>
        </w:rPr>
        <w:t> </w:t>
      </w:r>
      <w:r w:rsidR="00716EA9" w:rsidRPr="001C651B">
        <w:rPr>
          <w:noProof/>
        </w:rPr>
        <w:t>575/2013,</w:t>
      </w:r>
      <w:r w:rsidR="001C651B" w:rsidRPr="001C651B">
        <w:rPr>
          <w:noProof/>
        </w:rPr>
        <w:t xml:space="preserve"> z</w:t>
      </w:r>
      <w:r w:rsidR="001C651B">
        <w:rPr>
          <w:noProof/>
        </w:rPr>
        <w:t> </w:t>
      </w:r>
      <w:r w:rsidR="001C651B" w:rsidRPr="001C651B">
        <w:rPr>
          <w:noProof/>
        </w:rPr>
        <w:t>czę</w:t>
      </w:r>
      <w:r w:rsidR="00716EA9" w:rsidRPr="001C651B">
        <w:rPr>
          <w:noProof/>
        </w:rPr>
        <w:t>stotliwością określoną, odpowiednio,</w:t>
      </w:r>
      <w:r w:rsidR="001C651B" w:rsidRPr="001C651B">
        <w:rPr>
          <w:noProof/>
        </w:rPr>
        <w:t xml:space="preserve"> w</w:t>
      </w:r>
      <w:r w:rsidR="001C651B">
        <w:rPr>
          <w:noProof/>
        </w:rPr>
        <w:t> </w:t>
      </w:r>
      <w:r w:rsidR="001C651B" w:rsidRPr="001C651B">
        <w:rPr>
          <w:noProof/>
        </w:rPr>
        <w:t>art</w:t>
      </w:r>
      <w:r w:rsidR="00716EA9" w:rsidRPr="001C651B">
        <w:rPr>
          <w:noProof/>
        </w:rPr>
        <w:t>.</w:t>
      </w:r>
      <w:r w:rsidR="001C651B" w:rsidRPr="001C651B">
        <w:rPr>
          <w:noProof/>
        </w:rPr>
        <w:t> </w:t>
      </w:r>
      <w:r w:rsidR="00716EA9" w:rsidRPr="001C651B">
        <w:rPr>
          <w:noProof/>
        </w:rPr>
        <w:t>433a lub</w:t>
      </w:r>
      <w:r w:rsidR="001C651B" w:rsidRPr="001C651B">
        <w:rPr>
          <w:noProof/>
        </w:rPr>
        <w:t> </w:t>
      </w:r>
      <w:r w:rsidR="00716EA9" w:rsidRPr="001C651B">
        <w:rPr>
          <w:noProof/>
        </w:rPr>
        <w:t>433c tego rozporządzenia na zasadzie, odpowiednio, indywidualnej zgodnie</w:t>
      </w:r>
      <w:r w:rsidR="001C651B" w:rsidRPr="001C651B">
        <w:rPr>
          <w:noProof/>
        </w:rPr>
        <w:t xml:space="preserve"> z</w:t>
      </w:r>
      <w:r w:rsidR="001C651B">
        <w:rPr>
          <w:noProof/>
        </w:rPr>
        <w:t> </w:t>
      </w:r>
      <w:r w:rsidR="001C651B" w:rsidRPr="001C651B">
        <w:rPr>
          <w:noProof/>
        </w:rPr>
        <w:t>art</w:t>
      </w:r>
      <w:r w:rsidR="00716EA9" w:rsidRPr="001C651B">
        <w:rPr>
          <w:noProof/>
        </w:rPr>
        <w:t>.</w:t>
      </w:r>
      <w:r w:rsidR="001C651B" w:rsidRPr="001C651B">
        <w:rPr>
          <w:noProof/>
        </w:rPr>
        <w:t> </w:t>
      </w:r>
      <w:r w:rsidR="00716EA9" w:rsidRPr="001C651B">
        <w:rPr>
          <w:noProof/>
        </w:rPr>
        <w:t>6 tego rozporządzenia lub skonsolidowanej zgodnie</w:t>
      </w:r>
      <w:r w:rsidR="001C651B" w:rsidRPr="001C651B">
        <w:rPr>
          <w:noProof/>
        </w:rPr>
        <w:t xml:space="preserve"> z</w:t>
      </w:r>
      <w:r w:rsidR="001C651B">
        <w:rPr>
          <w:noProof/>
        </w:rPr>
        <w:t> </w:t>
      </w:r>
      <w:r w:rsidR="001C651B" w:rsidRPr="001C651B">
        <w:rPr>
          <w:noProof/>
        </w:rPr>
        <w:t>art</w:t>
      </w:r>
      <w:r w:rsidR="00716EA9" w:rsidRPr="001C651B">
        <w:rPr>
          <w:noProof/>
        </w:rPr>
        <w:t>.</w:t>
      </w:r>
      <w:r w:rsidR="001C651B" w:rsidRPr="001C651B">
        <w:rPr>
          <w:noProof/>
        </w:rPr>
        <w:t> </w:t>
      </w:r>
      <w:r w:rsidR="00716EA9" w:rsidRPr="001C651B">
        <w:rPr>
          <w:noProof/>
        </w:rPr>
        <w:t>13 tego rozporządzenia przedstawiają informacje określone we wzorach C 08.03, C 08.04, C 08.05, C 08.05.01, C 08.06, C 08.07 i C 34.11 zawartych</w:t>
      </w:r>
      <w:r w:rsidR="001C651B" w:rsidRPr="001C651B">
        <w:rPr>
          <w:noProof/>
        </w:rPr>
        <w:t xml:space="preserve"> w</w:t>
      </w:r>
      <w:r w:rsidR="001C651B">
        <w:rPr>
          <w:noProof/>
        </w:rPr>
        <w:t> </w:t>
      </w:r>
      <w:r w:rsidR="001C651B" w:rsidRPr="001C651B">
        <w:rPr>
          <w:noProof/>
        </w:rPr>
        <w:t>sek</w:t>
      </w:r>
      <w:r w:rsidR="00716EA9" w:rsidRPr="001C651B">
        <w:rPr>
          <w:noProof/>
        </w:rPr>
        <w:t>cji 1 – „Sprawozdawczość</w:t>
      </w:r>
      <w:r w:rsidR="001C651B" w:rsidRPr="001C651B">
        <w:rPr>
          <w:noProof/>
        </w:rPr>
        <w:t xml:space="preserve"> w</w:t>
      </w:r>
      <w:r w:rsidR="001C651B">
        <w:rPr>
          <w:noProof/>
        </w:rPr>
        <w:t> </w:t>
      </w:r>
      <w:r w:rsidR="001C651B" w:rsidRPr="001C651B">
        <w:rPr>
          <w:noProof/>
        </w:rPr>
        <w:t>zak</w:t>
      </w:r>
      <w:r w:rsidR="00716EA9" w:rsidRPr="001C651B">
        <w:rPr>
          <w:noProof/>
        </w:rPr>
        <w:t>resie funduszy własnych oraz wymogów</w:t>
      </w:r>
      <w:r w:rsidR="001C651B" w:rsidRPr="001C651B">
        <w:rPr>
          <w:noProof/>
        </w:rPr>
        <w:t xml:space="preserve"> w</w:t>
      </w:r>
      <w:r w:rsidR="001C651B">
        <w:rPr>
          <w:noProof/>
        </w:rPr>
        <w:t> </w:t>
      </w:r>
      <w:r w:rsidR="001C651B" w:rsidRPr="001C651B">
        <w:rPr>
          <w:noProof/>
        </w:rPr>
        <w:t>zak</w:t>
      </w:r>
      <w:r w:rsidR="00716EA9" w:rsidRPr="001C651B">
        <w:rPr>
          <w:noProof/>
        </w:rPr>
        <w:t>resie funduszy własnych”</w:t>
      </w:r>
      <w:r w:rsidR="001C651B" w:rsidRPr="001C651B">
        <w:rPr>
          <w:noProof/>
        </w:rPr>
        <w:t xml:space="preserve"> w</w:t>
      </w:r>
      <w:r w:rsidR="001C651B">
        <w:rPr>
          <w:noProof/>
        </w:rPr>
        <w:t> </w:t>
      </w:r>
      <w:r w:rsidR="001C651B" w:rsidRPr="001C651B">
        <w:rPr>
          <w:noProof/>
        </w:rPr>
        <w:t>zał</w:t>
      </w:r>
      <w:r w:rsidR="00716EA9" w:rsidRPr="001C651B">
        <w:rPr>
          <w:noProof/>
        </w:rPr>
        <w:t>ączniku I do niniejszego rozporządzenia.</w:t>
      </w:r>
    </w:p>
    <w:p w:rsidR="00716EA9" w:rsidRPr="001C651B" w:rsidRDefault="003040A6" w:rsidP="003040A6">
      <w:pPr>
        <w:pStyle w:val="ManualNumPar1"/>
        <w:rPr>
          <w:noProof/>
        </w:rPr>
      </w:pPr>
      <w:r w:rsidRPr="003040A6">
        <w:rPr>
          <w:noProof/>
        </w:rPr>
        <w:t>2.</w:t>
      </w:r>
      <w:r w:rsidRPr="003040A6">
        <w:rPr>
          <w:noProof/>
        </w:rPr>
        <w:tab/>
      </w:r>
      <w:r w:rsidR="00716EA9" w:rsidRPr="001C651B">
        <w:rPr>
          <w:noProof/>
        </w:rPr>
        <w:t>Instytucje podlegające wymogowi ujawniania informacji,</w:t>
      </w:r>
      <w:r w:rsidR="001C651B" w:rsidRPr="001C651B">
        <w:rPr>
          <w:noProof/>
        </w:rPr>
        <w:t xml:space="preserve"> o</w:t>
      </w:r>
      <w:r w:rsidR="001C651B">
        <w:rPr>
          <w:noProof/>
        </w:rPr>
        <w:t> </w:t>
      </w:r>
      <w:r w:rsidR="001C651B" w:rsidRPr="001C651B">
        <w:rPr>
          <w:noProof/>
        </w:rPr>
        <w:t>któ</w:t>
      </w:r>
      <w:r w:rsidR="00716EA9" w:rsidRPr="001C651B">
        <w:rPr>
          <w:noProof/>
        </w:rPr>
        <w:t>rych mowa</w:t>
      </w:r>
      <w:r w:rsidR="001C651B" w:rsidRPr="001C651B">
        <w:rPr>
          <w:noProof/>
        </w:rPr>
        <w:t xml:space="preserve"> w</w:t>
      </w:r>
      <w:r w:rsidR="001C651B">
        <w:rPr>
          <w:noProof/>
        </w:rPr>
        <w:t> </w:t>
      </w:r>
      <w:r w:rsidR="001C651B" w:rsidRPr="001C651B">
        <w:rPr>
          <w:noProof/>
        </w:rPr>
        <w:t>art</w:t>
      </w:r>
      <w:r w:rsidR="00716EA9" w:rsidRPr="001C651B">
        <w:rPr>
          <w:noProof/>
        </w:rPr>
        <w:t>.</w:t>
      </w:r>
      <w:r w:rsidR="001C651B" w:rsidRPr="001C651B">
        <w:rPr>
          <w:noProof/>
        </w:rPr>
        <w:t> </w:t>
      </w:r>
      <w:r w:rsidR="00716EA9" w:rsidRPr="001C651B">
        <w:rPr>
          <w:noProof/>
        </w:rPr>
        <w:t>439 lit.</w:t>
      </w:r>
      <w:r w:rsidR="001C651B" w:rsidRPr="001C651B">
        <w:rPr>
          <w:noProof/>
        </w:rPr>
        <w:t> </w:t>
      </w:r>
      <w:r w:rsidR="00716EA9" w:rsidRPr="001C651B">
        <w:rPr>
          <w:noProof/>
        </w:rPr>
        <w:t>l) rozporządzenia (UE) nr</w:t>
      </w:r>
      <w:r w:rsidR="001C651B" w:rsidRPr="001C651B">
        <w:rPr>
          <w:noProof/>
        </w:rPr>
        <w:t> </w:t>
      </w:r>
      <w:r w:rsidR="00716EA9" w:rsidRPr="001C651B">
        <w:rPr>
          <w:noProof/>
        </w:rPr>
        <w:t>575/2013,</w:t>
      </w:r>
      <w:r w:rsidR="001C651B" w:rsidRPr="001C651B">
        <w:rPr>
          <w:noProof/>
        </w:rPr>
        <w:t xml:space="preserve"> z</w:t>
      </w:r>
      <w:r w:rsidR="001C651B">
        <w:rPr>
          <w:noProof/>
        </w:rPr>
        <w:t> </w:t>
      </w:r>
      <w:r w:rsidR="001C651B" w:rsidRPr="001C651B">
        <w:rPr>
          <w:noProof/>
        </w:rPr>
        <w:t>czę</w:t>
      </w:r>
      <w:r w:rsidR="00716EA9" w:rsidRPr="001C651B">
        <w:rPr>
          <w:noProof/>
        </w:rPr>
        <w:t>stotliwością określoną, odpowiednio,</w:t>
      </w:r>
      <w:r w:rsidR="001C651B" w:rsidRPr="001C651B">
        <w:rPr>
          <w:noProof/>
        </w:rPr>
        <w:t xml:space="preserve"> w</w:t>
      </w:r>
      <w:r w:rsidR="001C651B">
        <w:rPr>
          <w:noProof/>
        </w:rPr>
        <w:t> </w:t>
      </w:r>
      <w:r w:rsidR="001C651B" w:rsidRPr="001C651B">
        <w:rPr>
          <w:noProof/>
        </w:rPr>
        <w:t>art</w:t>
      </w:r>
      <w:r w:rsidR="00716EA9" w:rsidRPr="001C651B">
        <w:rPr>
          <w:noProof/>
        </w:rPr>
        <w:t>.</w:t>
      </w:r>
      <w:r w:rsidR="001C651B" w:rsidRPr="001C651B">
        <w:rPr>
          <w:noProof/>
        </w:rPr>
        <w:t> </w:t>
      </w:r>
      <w:r w:rsidR="00716EA9" w:rsidRPr="001C651B">
        <w:rPr>
          <w:noProof/>
        </w:rPr>
        <w:t>433a lub</w:t>
      </w:r>
      <w:r w:rsidR="001C651B" w:rsidRPr="001C651B">
        <w:rPr>
          <w:noProof/>
        </w:rPr>
        <w:t> </w:t>
      </w:r>
      <w:r w:rsidR="00716EA9" w:rsidRPr="001C651B">
        <w:rPr>
          <w:noProof/>
        </w:rPr>
        <w:t>433c tego rozporządzenia na zasadzie, odpowiednio, indywidualnej zgodnie</w:t>
      </w:r>
      <w:r w:rsidR="001C651B" w:rsidRPr="001C651B">
        <w:rPr>
          <w:noProof/>
        </w:rPr>
        <w:t xml:space="preserve"> z</w:t>
      </w:r>
      <w:r w:rsidR="001C651B">
        <w:rPr>
          <w:noProof/>
        </w:rPr>
        <w:t> </w:t>
      </w:r>
      <w:r w:rsidR="001C651B" w:rsidRPr="001C651B">
        <w:rPr>
          <w:noProof/>
        </w:rPr>
        <w:t>art</w:t>
      </w:r>
      <w:r w:rsidR="00716EA9" w:rsidRPr="001C651B">
        <w:rPr>
          <w:noProof/>
        </w:rPr>
        <w:t>.</w:t>
      </w:r>
      <w:r w:rsidR="001C651B" w:rsidRPr="001C651B">
        <w:rPr>
          <w:noProof/>
        </w:rPr>
        <w:t> </w:t>
      </w:r>
      <w:r w:rsidR="00716EA9" w:rsidRPr="001C651B">
        <w:rPr>
          <w:noProof/>
        </w:rPr>
        <w:t>6 tego rozporządzenia lub skonsolidowanej zgodnie</w:t>
      </w:r>
      <w:r w:rsidR="001C651B" w:rsidRPr="001C651B">
        <w:rPr>
          <w:noProof/>
        </w:rPr>
        <w:t xml:space="preserve"> z</w:t>
      </w:r>
      <w:r w:rsidR="001C651B">
        <w:rPr>
          <w:noProof/>
        </w:rPr>
        <w:t> </w:t>
      </w:r>
      <w:r w:rsidR="001C651B" w:rsidRPr="001C651B">
        <w:rPr>
          <w:noProof/>
        </w:rPr>
        <w:t>art</w:t>
      </w:r>
      <w:r w:rsidR="00716EA9" w:rsidRPr="001C651B">
        <w:rPr>
          <w:noProof/>
        </w:rPr>
        <w:t>.</w:t>
      </w:r>
      <w:r w:rsidR="001C651B" w:rsidRPr="001C651B">
        <w:rPr>
          <w:noProof/>
        </w:rPr>
        <w:t> </w:t>
      </w:r>
      <w:r w:rsidR="00716EA9" w:rsidRPr="001C651B">
        <w:rPr>
          <w:noProof/>
        </w:rPr>
        <w:t>13 tego rozporządzenia przedstawiają informacje określone we wzorze C 34.07 zawartym</w:t>
      </w:r>
      <w:r w:rsidR="001C651B" w:rsidRPr="001C651B">
        <w:rPr>
          <w:noProof/>
        </w:rPr>
        <w:t xml:space="preserve"> w</w:t>
      </w:r>
      <w:r w:rsidR="001C651B">
        <w:rPr>
          <w:noProof/>
        </w:rPr>
        <w:t> </w:t>
      </w:r>
      <w:r w:rsidR="001C651B" w:rsidRPr="001C651B">
        <w:rPr>
          <w:noProof/>
        </w:rPr>
        <w:t>sek</w:t>
      </w:r>
      <w:r w:rsidR="00716EA9" w:rsidRPr="001C651B">
        <w:rPr>
          <w:noProof/>
        </w:rPr>
        <w:t>cji 1 – „Sprawozdawczość</w:t>
      </w:r>
      <w:r w:rsidR="001C651B" w:rsidRPr="001C651B">
        <w:rPr>
          <w:noProof/>
        </w:rPr>
        <w:t xml:space="preserve"> w</w:t>
      </w:r>
      <w:r w:rsidR="001C651B">
        <w:rPr>
          <w:noProof/>
        </w:rPr>
        <w:t> </w:t>
      </w:r>
      <w:r w:rsidR="001C651B" w:rsidRPr="001C651B">
        <w:rPr>
          <w:noProof/>
        </w:rPr>
        <w:t>zak</w:t>
      </w:r>
      <w:r w:rsidR="00716EA9" w:rsidRPr="001C651B">
        <w:rPr>
          <w:noProof/>
        </w:rPr>
        <w:t>resie funduszy własnych oraz wymogów</w:t>
      </w:r>
      <w:r w:rsidR="001C651B" w:rsidRPr="001C651B">
        <w:rPr>
          <w:noProof/>
        </w:rPr>
        <w:t xml:space="preserve"> w</w:t>
      </w:r>
      <w:r w:rsidR="001C651B">
        <w:rPr>
          <w:noProof/>
        </w:rPr>
        <w:t> </w:t>
      </w:r>
      <w:r w:rsidR="001C651B" w:rsidRPr="001C651B">
        <w:rPr>
          <w:noProof/>
        </w:rPr>
        <w:t>zak</w:t>
      </w:r>
      <w:r w:rsidR="00716EA9" w:rsidRPr="001C651B">
        <w:rPr>
          <w:noProof/>
        </w:rPr>
        <w:t>resie funduszy własnych”</w:t>
      </w:r>
      <w:r w:rsidR="001C651B" w:rsidRPr="001C651B">
        <w:rPr>
          <w:noProof/>
        </w:rPr>
        <w:t xml:space="preserve"> w</w:t>
      </w:r>
      <w:r w:rsidR="001C651B">
        <w:rPr>
          <w:noProof/>
        </w:rPr>
        <w:t> </w:t>
      </w:r>
      <w:r w:rsidR="001C651B" w:rsidRPr="001C651B">
        <w:rPr>
          <w:noProof/>
        </w:rPr>
        <w:t>zał</w:t>
      </w:r>
      <w:r w:rsidR="00716EA9" w:rsidRPr="001C651B">
        <w:rPr>
          <w:noProof/>
        </w:rPr>
        <w:t>ączniku I do niniejszego rozporządzenia.</w:t>
      </w:r>
    </w:p>
    <w:p w:rsidR="00716EA9" w:rsidRPr="001C651B" w:rsidRDefault="00716EA9" w:rsidP="00E537F5">
      <w:pPr>
        <w:pStyle w:val="Titrearticle"/>
        <w:rPr>
          <w:noProof/>
          <w:szCs w:val="24"/>
        </w:rPr>
      </w:pPr>
      <w:r w:rsidRPr="001C651B">
        <w:rPr>
          <w:noProof/>
        </w:rPr>
        <w:t>Artykuł 9</w:t>
      </w:r>
    </w:p>
    <w:p w:rsidR="00716EA9" w:rsidRPr="001C651B" w:rsidRDefault="00716EA9" w:rsidP="00F22954">
      <w:pPr>
        <w:pStyle w:val="Titrearticle"/>
        <w:spacing w:before="0"/>
        <w:rPr>
          <w:b/>
          <w:bCs/>
          <w:i w:val="0"/>
          <w:iCs/>
          <w:noProof/>
          <w:szCs w:val="24"/>
        </w:rPr>
      </w:pPr>
      <w:r w:rsidRPr="001C651B">
        <w:rPr>
          <w:b/>
          <w:i w:val="0"/>
          <w:noProof/>
        </w:rPr>
        <w:t>Sprawozdawczość</w:t>
      </w:r>
      <w:r w:rsidR="001C651B" w:rsidRPr="001C651B">
        <w:rPr>
          <w:b/>
          <w:i w:val="0"/>
          <w:noProof/>
        </w:rPr>
        <w:t xml:space="preserve"> w</w:t>
      </w:r>
      <w:r w:rsidR="001C651B">
        <w:rPr>
          <w:b/>
          <w:i w:val="0"/>
          <w:noProof/>
        </w:rPr>
        <w:t> </w:t>
      </w:r>
      <w:r w:rsidR="001C651B" w:rsidRPr="001C651B">
        <w:rPr>
          <w:b/>
          <w:i w:val="0"/>
          <w:noProof/>
        </w:rPr>
        <w:t>zak</w:t>
      </w:r>
      <w:r w:rsidRPr="001C651B">
        <w:rPr>
          <w:b/>
          <w:i w:val="0"/>
          <w:noProof/>
        </w:rPr>
        <w:t>resie funduszy własnych</w:t>
      </w:r>
      <w:r w:rsidR="001C651B" w:rsidRPr="001C651B">
        <w:rPr>
          <w:b/>
          <w:i w:val="0"/>
          <w:noProof/>
        </w:rPr>
        <w:t xml:space="preserve"> i</w:t>
      </w:r>
      <w:r w:rsidR="001C651B">
        <w:rPr>
          <w:b/>
          <w:i w:val="0"/>
          <w:noProof/>
        </w:rPr>
        <w:t> </w:t>
      </w:r>
      <w:r w:rsidR="001C651B" w:rsidRPr="001C651B">
        <w:rPr>
          <w:b/>
          <w:i w:val="0"/>
          <w:noProof/>
        </w:rPr>
        <w:t>wym</w:t>
      </w:r>
      <w:r w:rsidRPr="001C651B">
        <w:rPr>
          <w:b/>
          <w:i w:val="0"/>
          <w:noProof/>
        </w:rPr>
        <w:t>ogów</w:t>
      </w:r>
      <w:r w:rsidR="001C651B" w:rsidRPr="001C651B">
        <w:rPr>
          <w:b/>
          <w:i w:val="0"/>
          <w:noProof/>
        </w:rPr>
        <w:t xml:space="preserve"> w</w:t>
      </w:r>
      <w:r w:rsidR="001C651B">
        <w:rPr>
          <w:b/>
          <w:i w:val="0"/>
          <w:noProof/>
        </w:rPr>
        <w:t> </w:t>
      </w:r>
      <w:r w:rsidR="001C651B" w:rsidRPr="001C651B">
        <w:rPr>
          <w:b/>
          <w:i w:val="0"/>
          <w:noProof/>
        </w:rPr>
        <w:t>zak</w:t>
      </w:r>
      <w:r w:rsidRPr="001C651B">
        <w:rPr>
          <w:b/>
          <w:i w:val="0"/>
          <w:noProof/>
        </w:rPr>
        <w:t>resie funduszy własnych obowiązująca firmy inwestycyjne, które są objęte zakresem art.</w:t>
      </w:r>
      <w:r w:rsidR="001C651B" w:rsidRPr="001C651B">
        <w:rPr>
          <w:b/>
          <w:i w:val="0"/>
          <w:noProof/>
        </w:rPr>
        <w:t> </w:t>
      </w:r>
      <w:r w:rsidRPr="001C651B">
        <w:rPr>
          <w:b/>
          <w:i w:val="0"/>
          <w:noProof/>
        </w:rPr>
        <w:t>95</w:t>
      </w:r>
      <w:r w:rsidR="001C651B" w:rsidRPr="001C651B">
        <w:rPr>
          <w:b/>
          <w:i w:val="0"/>
          <w:noProof/>
        </w:rPr>
        <w:t xml:space="preserve"> i</w:t>
      </w:r>
      <w:r w:rsidR="001C651B">
        <w:rPr>
          <w:b/>
          <w:i w:val="0"/>
          <w:noProof/>
        </w:rPr>
        <w:t> </w:t>
      </w:r>
      <w:r w:rsidR="001C651B" w:rsidRPr="001C651B">
        <w:rPr>
          <w:b/>
          <w:i w:val="0"/>
          <w:noProof/>
        </w:rPr>
        <w:t>9</w:t>
      </w:r>
      <w:r w:rsidRPr="001C651B">
        <w:rPr>
          <w:b/>
          <w:i w:val="0"/>
          <w:noProof/>
        </w:rPr>
        <w:t>6 rozporządzenia (UE) nr</w:t>
      </w:r>
      <w:r w:rsidR="001C651B" w:rsidRPr="001C651B">
        <w:rPr>
          <w:b/>
          <w:i w:val="0"/>
          <w:noProof/>
        </w:rPr>
        <w:t> </w:t>
      </w:r>
      <w:r w:rsidRPr="001C651B">
        <w:rPr>
          <w:b/>
          <w:i w:val="0"/>
          <w:noProof/>
        </w:rPr>
        <w:t>575/2013, na zasadzie indywidualnej</w:t>
      </w:r>
    </w:p>
    <w:p w:rsidR="00716EA9" w:rsidRPr="001C651B" w:rsidRDefault="003040A6" w:rsidP="003040A6">
      <w:pPr>
        <w:pStyle w:val="ManualNumPar1"/>
        <w:rPr>
          <w:noProof/>
        </w:rPr>
      </w:pPr>
      <w:r w:rsidRPr="003040A6">
        <w:rPr>
          <w:noProof/>
        </w:rPr>
        <w:t>1.</w:t>
      </w:r>
      <w:r w:rsidRPr="003040A6">
        <w:rPr>
          <w:noProof/>
        </w:rPr>
        <w:tab/>
      </w:r>
      <w:r w:rsidR="000E2BE4" w:rsidRPr="001C651B">
        <w:rPr>
          <w:noProof/>
        </w:rPr>
        <w:t>Firmy inwestycyjne objęte zakresem art.</w:t>
      </w:r>
      <w:r w:rsidR="001C651B" w:rsidRPr="001C651B">
        <w:rPr>
          <w:noProof/>
        </w:rPr>
        <w:t> </w:t>
      </w:r>
      <w:r w:rsidR="000E2BE4" w:rsidRPr="001C651B">
        <w:rPr>
          <w:noProof/>
        </w:rPr>
        <w:t>95 rozporządzenia (UE) nr</w:t>
      </w:r>
      <w:r w:rsidR="001C651B" w:rsidRPr="001C651B">
        <w:rPr>
          <w:noProof/>
        </w:rPr>
        <w:t> </w:t>
      </w:r>
      <w:r w:rsidR="000E2BE4" w:rsidRPr="001C651B">
        <w:rPr>
          <w:noProof/>
        </w:rPr>
        <w:t>575/2013, które stosują przepisy przejściowe określone</w:t>
      </w:r>
      <w:r w:rsidR="001C651B" w:rsidRPr="001C651B">
        <w:rPr>
          <w:noProof/>
        </w:rPr>
        <w:t xml:space="preserve"> w</w:t>
      </w:r>
      <w:r w:rsidR="001C651B">
        <w:rPr>
          <w:noProof/>
        </w:rPr>
        <w:t> </w:t>
      </w:r>
      <w:r w:rsidR="001C651B" w:rsidRPr="001C651B">
        <w:rPr>
          <w:noProof/>
        </w:rPr>
        <w:t>art</w:t>
      </w:r>
      <w:r w:rsidR="000E2BE4" w:rsidRPr="001C651B">
        <w:rPr>
          <w:noProof/>
        </w:rPr>
        <w:t>.</w:t>
      </w:r>
      <w:r w:rsidR="001C651B" w:rsidRPr="001C651B">
        <w:rPr>
          <w:noProof/>
        </w:rPr>
        <w:t> </w:t>
      </w:r>
      <w:r w:rsidR="000E2BE4" w:rsidRPr="001C651B">
        <w:rPr>
          <w:noProof/>
        </w:rPr>
        <w:t>57 ust.</w:t>
      </w:r>
      <w:r w:rsidR="001C651B" w:rsidRPr="001C651B">
        <w:rPr>
          <w:noProof/>
        </w:rPr>
        <w:t> </w:t>
      </w:r>
      <w:r w:rsidR="000E2BE4" w:rsidRPr="001C651B">
        <w:rPr>
          <w:noProof/>
        </w:rPr>
        <w:t>3 rozporządzenia (UE) 2019/2033, przekazując informacje na temat wymogów</w:t>
      </w:r>
      <w:r w:rsidR="001C651B" w:rsidRPr="001C651B">
        <w:rPr>
          <w:noProof/>
        </w:rPr>
        <w:t xml:space="preserve"> w</w:t>
      </w:r>
      <w:r w:rsidR="001C651B">
        <w:rPr>
          <w:noProof/>
        </w:rPr>
        <w:t> </w:t>
      </w:r>
      <w:r w:rsidR="001C651B" w:rsidRPr="001C651B">
        <w:rPr>
          <w:noProof/>
        </w:rPr>
        <w:t>zak</w:t>
      </w:r>
      <w:r w:rsidR="000E2BE4" w:rsidRPr="001C651B">
        <w:rPr>
          <w:noProof/>
        </w:rPr>
        <w:t>resie funduszy własnych zgodnie</w:t>
      </w:r>
      <w:r w:rsidR="001C651B" w:rsidRPr="001C651B">
        <w:rPr>
          <w:noProof/>
        </w:rPr>
        <w:t xml:space="preserve"> z</w:t>
      </w:r>
      <w:r w:rsidR="001C651B">
        <w:rPr>
          <w:noProof/>
        </w:rPr>
        <w:t> </w:t>
      </w:r>
      <w:r w:rsidR="001C651B" w:rsidRPr="001C651B">
        <w:rPr>
          <w:noProof/>
        </w:rPr>
        <w:t>wym</w:t>
      </w:r>
      <w:r w:rsidR="000E2BE4" w:rsidRPr="001C651B">
        <w:rPr>
          <w:noProof/>
        </w:rPr>
        <w:t>ogami art.</w:t>
      </w:r>
      <w:r w:rsidR="001C651B" w:rsidRPr="001C651B">
        <w:rPr>
          <w:noProof/>
        </w:rPr>
        <w:t> </w:t>
      </w:r>
      <w:r w:rsidR="000E2BE4" w:rsidRPr="001C651B">
        <w:rPr>
          <w:noProof/>
        </w:rPr>
        <w:t>430 ust.</w:t>
      </w:r>
      <w:r w:rsidR="001C651B" w:rsidRPr="001C651B">
        <w:rPr>
          <w:noProof/>
        </w:rPr>
        <w:t> </w:t>
      </w:r>
      <w:r w:rsidR="000E2BE4" w:rsidRPr="001C651B">
        <w:rPr>
          <w:noProof/>
        </w:rPr>
        <w:t>1 lit.</w:t>
      </w:r>
      <w:r w:rsidR="001C651B" w:rsidRPr="001C651B">
        <w:rPr>
          <w:noProof/>
        </w:rPr>
        <w:t> </w:t>
      </w:r>
      <w:r w:rsidR="000E2BE4" w:rsidRPr="001C651B">
        <w:rPr>
          <w:noProof/>
        </w:rPr>
        <w:t>a) rozporządzenia (UE) nr</w:t>
      </w:r>
      <w:r w:rsidR="001C651B" w:rsidRPr="001C651B">
        <w:rPr>
          <w:noProof/>
        </w:rPr>
        <w:t> </w:t>
      </w:r>
      <w:r w:rsidR="000E2BE4" w:rsidRPr="001C651B">
        <w:rPr>
          <w:noProof/>
        </w:rPr>
        <w:t>575/2013 na zasadzie indywidualnej,</w:t>
      </w:r>
      <w:r w:rsidR="001C651B" w:rsidRPr="001C651B">
        <w:rPr>
          <w:noProof/>
        </w:rPr>
        <w:t xml:space="preserve"> z</w:t>
      </w:r>
      <w:r w:rsidR="001C651B">
        <w:rPr>
          <w:noProof/>
        </w:rPr>
        <w:t> </w:t>
      </w:r>
      <w:r w:rsidR="001C651B" w:rsidRPr="001C651B">
        <w:rPr>
          <w:noProof/>
        </w:rPr>
        <w:t>wyj</w:t>
      </w:r>
      <w:r w:rsidR="000E2BE4" w:rsidRPr="001C651B">
        <w:rPr>
          <w:noProof/>
        </w:rPr>
        <w:t>ątkiem informacji na temat wskaźnika dźwigni, przedstawiają informacje określone we wzorach C 01.00–C 05.02 zawartych</w:t>
      </w:r>
      <w:r w:rsidR="001C651B" w:rsidRPr="001C651B">
        <w:rPr>
          <w:noProof/>
        </w:rPr>
        <w:t xml:space="preserve"> w</w:t>
      </w:r>
      <w:r w:rsidR="001C651B">
        <w:rPr>
          <w:noProof/>
        </w:rPr>
        <w:t> </w:t>
      </w:r>
      <w:r w:rsidR="001C651B" w:rsidRPr="001C651B">
        <w:rPr>
          <w:noProof/>
        </w:rPr>
        <w:t>sek</w:t>
      </w:r>
      <w:r w:rsidR="000E2BE4" w:rsidRPr="001C651B">
        <w:rPr>
          <w:noProof/>
        </w:rPr>
        <w:t>cji 1 – „Sprawozdawczość</w:t>
      </w:r>
      <w:r w:rsidR="001C651B" w:rsidRPr="001C651B">
        <w:rPr>
          <w:noProof/>
        </w:rPr>
        <w:t xml:space="preserve"> w</w:t>
      </w:r>
      <w:r w:rsidR="001C651B">
        <w:rPr>
          <w:noProof/>
        </w:rPr>
        <w:t> </w:t>
      </w:r>
      <w:r w:rsidR="001C651B" w:rsidRPr="001C651B">
        <w:rPr>
          <w:noProof/>
        </w:rPr>
        <w:t>zak</w:t>
      </w:r>
      <w:r w:rsidR="000E2BE4" w:rsidRPr="001C651B">
        <w:rPr>
          <w:noProof/>
        </w:rPr>
        <w:t>resie funduszy własnych oraz wymogów</w:t>
      </w:r>
      <w:r w:rsidR="001C651B" w:rsidRPr="001C651B">
        <w:rPr>
          <w:noProof/>
        </w:rPr>
        <w:t xml:space="preserve"> w</w:t>
      </w:r>
      <w:r w:rsidR="001C651B">
        <w:rPr>
          <w:noProof/>
        </w:rPr>
        <w:t> </w:t>
      </w:r>
      <w:r w:rsidR="001C651B" w:rsidRPr="001C651B">
        <w:rPr>
          <w:noProof/>
        </w:rPr>
        <w:t>zak</w:t>
      </w:r>
      <w:r w:rsidR="000E2BE4" w:rsidRPr="001C651B">
        <w:rPr>
          <w:noProof/>
        </w:rPr>
        <w:t>resie funduszy własnych”</w:t>
      </w:r>
      <w:r w:rsidR="001C651B" w:rsidRPr="001C651B">
        <w:rPr>
          <w:noProof/>
        </w:rPr>
        <w:t xml:space="preserve"> w</w:t>
      </w:r>
      <w:r w:rsidR="001C651B">
        <w:rPr>
          <w:noProof/>
        </w:rPr>
        <w:t> </w:t>
      </w:r>
      <w:r w:rsidR="001C651B" w:rsidRPr="001C651B">
        <w:rPr>
          <w:noProof/>
        </w:rPr>
        <w:t>zał</w:t>
      </w:r>
      <w:r w:rsidR="000E2BE4" w:rsidRPr="001C651B">
        <w:rPr>
          <w:noProof/>
        </w:rPr>
        <w:t>ączniku I do niniejszego rozporządzenia</w:t>
      </w:r>
      <w:r w:rsidR="001C651B" w:rsidRPr="001C651B">
        <w:rPr>
          <w:noProof/>
        </w:rPr>
        <w:t xml:space="preserve"> z</w:t>
      </w:r>
      <w:r w:rsidR="001C651B">
        <w:rPr>
          <w:noProof/>
        </w:rPr>
        <w:t> </w:t>
      </w:r>
      <w:r w:rsidR="001C651B" w:rsidRPr="001C651B">
        <w:rPr>
          <w:noProof/>
        </w:rPr>
        <w:t>czę</w:t>
      </w:r>
      <w:r w:rsidR="000E2BE4" w:rsidRPr="001C651B">
        <w:rPr>
          <w:noProof/>
        </w:rPr>
        <w:t>stotliwością kwartalną.</w:t>
      </w:r>
    </w:p>
    <w:p w:rsidR="00716EA9" w:rsidRPr="001C651B" w:rsidRDefault="003040A6" w:rsidP="003040A6">
      <w:pPr>
        <w:pStyle w:val="ManualNumPar1"/>
        <w:rPr>
          <w:noProof/>
        </w:rPr>
      </w:pPr>
      <w:r w:rsidRPr="003040A6">
        <w:rPr>
          <w:noProof/>
        </w:rPr>
        <w:t>2.</w:t>
      </w:r>
      <w:r w:rsidRPr="003040A6">
        <w:rPr>
          <w:noProof/>
        </w:rPr>
        <w:tab/>
      </w:r>
      <w:r w:rsidR="001D71A4" w:rsidRPr="001C651B">
        <w:rPr>
          <w:noProof/>
        </w:rPr>
        <w:t>Firmy inwestycyjne objęte zakresem art.</w:t>
      </w:r>
      <w:r w:rsidR="001C651B" w:rsidRPr="001C651B">
        <w:rPr>
          <w:noProof/>
        </w:rPr>
        <w:t> </w:t>
      </w:r>
      <w:r w:rsidR="001D71A4" w:rsidRPr="001C651B">
        <w:rPr>
          <w:noProof/>
        </w:rPr>
        <w:t>96 rozporządzenia (UE) nr</w:t>
      </w:r>
      <w:r w:rsidR="001C651B" w:rsidRPr="001C651B">
        <w:rPr>
          <w:noProof/>
        </w:rPr>
        <w:t> </w:t>
      </w:r>
      <w:r w:rsidR="001D71A4" w:rsidRPr="001C651B">
        <w:rPr>
          <w:noProof/>
        </w:rPr>
        <w:t>575/2013, które stosują przepisy przejściowe określone</w:t>
      </w:r>
      <w:r w:rsidR="001C651B" w:rsidRPr="001C651B">
        <w:rPr>
          <w:noProof/>
        </w:rPr>
        <w:t xml:space="preserve"> w</w:t>
      </w:r>
      <w:r w:rsidR="001C651B">
        <w:rPr>
          <w:noProof/>
        </w:rPr>
        <w:t> </w:t>
      </w:r>
      <w:r w:rsidR="001C651B" w:rsidRPr="001C651B">
        <w:rPr>
          <w:noProof/>
        </w:rPr>
        <w:t>art</w:t>
      </w:r>
      <w:r w:rsidR="001D71A4" w:rsidRPr="001C651B">
        <w:rPr>
          <w:noProof/>
        </w:rPr>
        <w:t>.</w:t>
      </w:r>
      <w:r w:rsidR="001C651B" w:rsidRPr="001C651B">
        <w:rPr>
          <w:noProof/>
        </w:rPr>
        <w:t> </w:t>
      </w:r>
      <w:r w:rsidR="001D71A4" w:rsidRPr="001C651B">
        <w:rPr>
          <w:noProof/>
        </w:rPr>
        <w:t>57 ust.</w:t>
      </w:r>
      <w:r w:rsidR="001C651B" w:rsidRPr="001C651B">
        <w:rPr>
          <w:noProof/>
        </w:rPr>
        <w:t> </w:t>
      </w:r>
      <w:r w:rsidR="001D71A4" w:rsidRPr="001C651B">
        <w:rPr>
          <w:noProof/>
        </w:rPr>
        <w:t>3 rozporządzenia (UE) 2019/2033, przekazując informacje na temat wymogów</w:t>
      </w:r>
      <w:r w:rsidR="001C651B" w:rsidRPr="001C651B">
        <w:rPr>
          <w:noProof/>
        </w:rPr>
        <w:t xml:space="preserve"> w</w:t>
      </w:r>
      <w:r w:rsidR="001C651B">
        <w:rPr>
          <w:noProof/>
        </w:rPr>
        <w:t> </w:t>
      </w:r>
      <w:r w:rsidR="001C651B" w:rsidRPr="001C651B">
        <w:rPr>
          <w:noProof/>
        </w:rPr>
        <w:t>zak</w:t>
      </w:r>
      <w:r w:rsidR="001D71A4" w:rsidRPr="001C651B">
        <w:rPr>
          <w:noProof/>
        </w:rPr>
        <w:t>resie funduszy własnych zgodnie</w:t>
      </w:r>
      <w:r w:rsidR="001C651B" w:rsidRPr="001C651B">
        <w:rPr>
          <w:noProof/>
        </w:rPr>
        <w:t xml:space="preserve"> z</w:t>
      </w:r>
      <w:r w:rsidR="001C651B">
        <w:rPr>
          <w:noProof/>
        </w:rPr>
        <w:t> </w:t>
      </w:r>
      <w:r w:rsidR="001C651B" w:rsidRPr="001C651B">
        <w:rPr>
          <w:noProof/>
        </w:rPr>
        <w:t>wym</w:t>
      </w:r>
      <w:r w:rsidR="001D71A4" w:rsidRPr="001C651B">
        <w:rPr>
          <w:noProof/>
        </w:rPr>
        <w:t>ogami art.</w:t>
      </w:r>
      <w:r w:rsidR="001C651B" w:rsidRPr="001C651B">
        <w:rPr>
          <w:noProof/>
        </w:rPr>
        <w:t> </w:t>
      </w:r>
      <w:r w:rsidR="001D71A4" w:rsidRPr="001C651B">
        <w:rPr>
          <w:noProof/>
        </w:rPr>
        <w:t>430 ust.</w:t>
      </w:r>
      <w:r w:rsidR="001C651B" w:rsidRPr="001C651B">
        <w:rPr>
          <w:noProof/>
        </w:rPr>
        <w:t> </w:t>
      </w:r>
      <w:r w:rsidR="001D71A4" w:rsidRPr="001C651B">
        <w:rPr>
          <w:noProof/>
        </w:rPr>
        <w:t>1 lit.</w:t>
      </w:r>
      <w:r w:rsidR="001C651B" w:rsidRPr="001C651B">
        <w:rPr>
          <w:noProof/>
        </w:rPr>
        <w:t> </w:t>
      </w:r>
      <w:r w:rsidR="001D71A4" w:rsidRPr="001C651B">
        <w:rPr>
          <w:noProof/>
        </w:rPr>
        <w:t>a) rozporządzenia (UE) nr</w:t>
      </w:r>
      <w:r w:rsidR="001C651B" w:rsidRPr="001C651B">
        <w:rPr>
          <w:noProof/>
        </w:rPr>
        <w:t> </w:t>
      </w:r>
      <w:r w:rsidR="001D71A4" w:rsidRPr="001C651B">
        <w:rPr>
          <w:noProof/>
        </w:rPr>
        <w:t>575/2013 na zasadzie indywidualnej, przekazują informacje,</w:t>
      </w:r>
      <w:r w:rsidR="001C651B" w:rsidRPr="001C651B">
        <w:rPr>
          <w:noProof/>
        </w:rPr>
        <w:t xml:space="preserve"> o</w:t>
      </w:r>
      <w:r w:rsidR="001C651B">
        <w:rPr>
          <w:noProof/>
        </w:rPr>
        <w:t> </w:t>
      </w:r>
      <w:r w:rsidR="001C651B" w:rsidRPr="001C651B">
        <w:rPr>
          <w:noProof/>
        </w:rPr>
        <w:t>któ</w:t>
      </w:r>
      <w:r w:rsidR="001D71A4" w:rsidRPr="001C651B">
        <w:rPr>
          <w:noProof/>
        </w:rPr>
        <w:t>rych mowa</w:t>
      </w:r>
      <w:r w:rsidR="001C651B" w:rsidRPr="001C651B">
        <w:rPr>
          <w:noProof/>
        </w:rPr>
        <w:t xml:space="preserve"> w</w:t>
      </w:r>
      <w:r w:rsidR="001C651B">
        <w:rPr>
          <w:noProof/>
        </w:rPr>
        <w:t> </w:t>
      </w:r>
      <w:r w:rsidR="001C651B" w:rsidRPr="001C651B">
        <w:rPr>
          <w:noProof/>
        </w:rPr>
        <w:t>art</w:t>
      </w:r>
      <w:r w:rsidR="001D71A4" w:rsidRPr="001C651B">
        <w:rPr>
          <w:noProof/>
        </w:rPr>
        <w:t>.</w:t>
      </w:r>
      <w:r w:rsidR="001C651B" w:rsidRPr="001C651B">
        <w:rPr>
          <w:noProof/>
        </w:rPr>
        <w:t> </w:t>
      </w:r>
      <w:r w:rsidR="001D71A4" w:rsidRPr="001C651B">
        <w:rPr>
          <w:noProof/>
        </w:rPr>
        <w:t>5 ust.</w:t>
      </w:r>
      <w:r w:rsidR="001C651B" w:rsidRPr="001C651B">
        <w:rPr>
          <w:noProof/>
        </w:rPr>
        <w:t> </w:t>
      </w:r>
      <w:r w:rsidR="001D71A4" w:rsidRPr="001C651B">
        <w:rPr>
          <w:noProof/>
        </w:rPr>
        <w:t>1–4</w:t>
      </w:r>
      <w:r w:rsidR="001C651B" w:rsidRPr="001C651B">
        <w:rPr>
          <w:noProof/>
        </w:rPr>
        <w:t xml:space="preserve"> i</w:t>
      </w:r>
      <w:r w:rsidR="001C651B">
        <w:rPr>
          <w:noProof/>
        </w:rPr>
        <w:t> </w:t>
      </w:r>
      <w:r w:rsidR="001C651B" w:rsidRPr="001C651B">
        <w:rPr>
          <w:noProof/>
        </w:rPr>
        <w:t>art</w:t>
      </w:r>
      <w:r w:rsidR="001D71A4" w:rsidRPr="001C651B">
        <w:rPr>
          <w:noProof/>
        </w:rPr>
        <w:t>.</w:t>
      </w:r>
      <w:r w:rsidR="001C651B" w:rsidRPr="001C651B">
        <w:rPr>
          <w:noProof/>
        </w:rPr>
        <w:t> </w:t>
      </w:r>
      <w:r w:rsidR="001D71A4" w:rsidRPr="001C651B">
        <w:rPr>
          <w:noProof/>
        </w:rPr>
        <w:t>6 ust.</w:t>
      </w:r>
      <w:r w:rsidR="001C651B" w:rsidRPr="001C651B">
        <w:rPr>
          <w:noProof/>
        </w:rPr>
        <w:t> </w:t>
      </w:r>
      <w:r w:rsidR="001D71A4" w:rsidRPr="001C651B">
        <w:rPr>
          <w:noProof/>
        </w:rPr>
        <w:t>2 niniejszego rozporządzenia</w:t>
      </w:r>
      <w:r w:rsidR="001C651B" w:rsidRPr="001C651B">
        <w:rPr>
          <w:noProof/>
        </w:rPr>
        <w:t xml:space="preserve"> z</w:t>
      </w:r>
      <w:r w:rsidR="001C651B">
        <w:rPr>
          <w:noProof/>
        </w:rPr>
        <w:t> </w:t>
      </w:r>
      <w:r w:rsidR="001C651B" w:rsidRPr="001C651B">
        <w:rPr>
          <w:noProof/>
        </w:rPr>
        <w:t>czę</w:t>
      </w:r>
      <w:r w:rsidR="001D71A4" w:rsidRPr="001C651B">
        <w:rPr>
          <w:noProof/>
        </w:rPr>
        <w:t>stotliwością określoną</w:t>
      </w:r>
      <w:r w:rsidR="001C651B" w:rsidRPr="001C651B">
        <w:rPr>
          <w:noProof/>
        </w:rPr>
        <w:t xml:space="preserve"> w</w:t>
      </w:r>
      <w:r w:rsidR="001C651B">
        <w:rPr>
          <w:noProof/>
        </w:rPr>
        <w:t> </w:t>
      </w:r>
      <w:r w:rsidR="001C651B" w:rsidRPr="001C651B">
        <w:rPr>
          <w:noProof/>
        </w:rPr>
        <w:t>tyc</w:t>
      </w:r>
      <w:r w:rsidR="001D71A4" w:rsidRPr="001C651B">
        <w:rPr>
          <w:noProof/>
        </w:rPr>
        <w:t>h artykułach, jak określono</w:t>
      </w:r>
      <w:r w:rsidR="001C651B" w:rsidRPr="001C651B">
        <w:rPr>
          <w:noProof/>
        </w:rPr>
        <w:t xml:space="preserve"> w</w:t>
      </w:r>
      <w:r w:rsidR="001C651B">
        <w:rPr>
          <w:noProof/>
        </w:rPr>
        <w:t> </w:t>
      </w:r>
      <w:r w:rsidR="001C651B" w:rsidRPr="001C651B">
        <w:rPr>
          <w:noProof/>
        </w:rPr>
        <w:t>sek</w:t>
      </w:r>
      <w:r w:rsidR="001D71A4" w:rsidRPr="001C651B">
        <w:rPr>
          <w:noProof/>
        </w:rPr>
        <w:t>cji 1 – „Sprawozdawczość</w:t>
      </w:r>
      <w:r w:rsidR="001C651B" w:rsidRPr="001C651B">
        <w:rPr>
          <w:noProof/>
        </w:rPr>
        <w:t xml:space="preserve"> w</w:t>
      </w:r>
      <w:r w:rsidR="001C651B">
        <w:rPr>
          <w:noProof/>
        </w:rPr>
        <w:t> </w:t>
      </w:r>
      <w:r w:rsidR="001C651B" w:rsidRPr="001C651B">
        <w:rPr>
          <w:noProof/>
        </w:rPr>
        <w:t>zak</w:t>
      </w:r>
      <w:r w:rsidR="001D71A4" w:rsidRPr="001C651B">
        <w:rPr>
          <w:noProof/>
        </w:rPr>
        <w:t>resie funduszy własnych oraz wymogów</w:t>
      </w:r>
      <w:r w:rsidR="001C651B" w:rsidRPr="001C651B">
        <w:rPr>
          <w:noProof/>
        </w:rPr>
        <w:t xml:space="preserve"> w</w:t>
      </w:r>
      <w:r w:rsidR="001C651B">
        <w:rPr>
          <w:noProof/>
        </w:rPr>
        <w:t> </w:t>
      </w:r>
      <w:r w:rsidR="001C651B" w:rsidRPr="001C651B">
        <w:rPr>
          <w:noProof/>
        </w:rPr>
        <w:t>zak</w:t>
      </w:r>
      <w:r w:rsidR="001D71A4" w:rsidRPr="001C651B">
        <w:rPr>
          <w:noProof/>
        </w:rPr>
        <w:t>resie funduszy własnych”</w:t>
      </w:r>
      <w:r w:rsidR="001C651B" w:rsidRPr="001C651B">
        <w:rPr>
          <w:noProof/>
        </w:rPr>
        <w:t xml:space="preserve"> w</w:t>
      </w:r>
      <w:r w:rsidR="001C651B">
        <w:rPr>
          <w:noProof/>
        </w:rPr>
        <w:t> </w:t>
      </w:r>
      <w:r w:rsidR="001C651B" w:rsidRPr="001C651B">
        <w:rPr>
          <w:noProof/>
        </w:rPr>
        <w:t>zał</w:t>
      </w:r>
      <w:r w:rsidR="001D71A4" w:rsidRPr="001C651B">
        <w:rPr>
          <w:noProof/>
        </w:rPr>
        <w:t>ączniku I do niniejszego rozporządzenia.</w:t>
      </w:r>
    </w:p>
    <w:p w:rsidR="00716EA9" w:rsidRPr="001C651B" w:rsidRDefault="00716EA9" w:rsidP="00E537F5">
      <w:pPr>
        <w:pStyle w:val="Titrearticle"/>
        <w:rPr>
          <w:noProof/>
          <w:szCs w:val="24"/>
        </w:rPr>
      </w:pPr>
      <w:r w:rsidRPr="001C651B">
        <w:rPr>
          <w:noProof/>
        </w:rPr>
        <w:t>Artykuł 10</w:t>
      </w:r>
    </w:p>
    <w:p w:rsidR="00716EA9" w:rsidRPr="001C651B" w:rsidRDefault="00716EA9" w:rsidP="00F22954">
      <w:pPr>
        <w:pStyle w:val="Titrearticle"/>
        <w:spacing w:before="0"/>
        <w:rPr>
          <w:b/>
          <w:bCs/>
          <w:i w:val="0"/>
          <w:iCs/>
          <w:noProof/>
          <w:szCs w:val="24"/>
        </w:rPr>
      </w:pPr>
      <w:r w:rsidRPr="001C651B">
        <w:rPr>
          <w:b/>
          <w:i w:val="0"/>
          <w:noProof/>
        </w:rPr>
        <w:t>Sprawozdawczość</w:t>
      </w:r>
      <w:r w:rsidR="001C651B" w:rsidRPr="001C651B">
        <w:rPr>
          <w:b/>
          <w:i w:val="0"/>
          <w:noProof/>
        </w:rPr>
        <w:t xml:space="preserve"> w</w:t>
      </w:r>
      <w:r w:rsidR="001C651B">
        <w:rPr>
          <w:b/>
          <w:i w:val="0"/>
          <w:noProof/>
        </w:rPr>
        <w:t> </w:t>
      </w:r>
      <w:r w:rsidR="001C651B" w:rsidRPr="001C651B">
        <w:rPr>
          <w:b/>
          <w:i w:val="0"/>
          <w:noProof/>
        </w:rPr>
        <w:t>zak</w:t>
      </w:r>
      <w:r w:rsidRPr="001C651B">
        <w:rPr>
          <w:b/>
          <w:i w:val="0"/>
          <w:noProof/>
        </w:rPr>
        <w:t>resie funduszy własnych</w:t>
      </w:r>
      <w:r w:rsidR="001C651B" w:rsidRPr="001C651B">
        <w:rPr>
          <w:b/>
          <w:i w:val="0"/>
          <w:noProof/>
        </w:rPr>
        <w:t xml:space="preserve"> i</w:t>
      </w:r>
      <w:r w:rsidR="001C651B">
        <w:rPr>
          <w:b/>
          <w:i w:val="0"/>
          <w:noProof/>
        </w:rPr>
        <w:t> </w:t>
      </w:r>
      <w:r w:rsidR="001C651B" w:rsidRPr="001C651B">
        <w:rPr>
          <w:b/>
          <w:i w:val="0"/>
          <w:noProof/>
        </w:rPr>
        <w:t>wym</w:t>
      </w:r>
      <w:r w:rsidRPr="001C651B">
        <w:rPr>
          <w:b/>
          <w:i w:val="0"/>
          <w:noProof/>
        </w:rPr>
        <w:t>ogów</w:t>
      </w:r>
      <w:r w:rsidR="001C651B" w:rsidRPr="001C651B">
        <w:rPr>
          <w:b/>
          <w:i w:val="0"/>
          <w:noProof/>
        </w:rPr>
        <w:t xml:space="preserve"> w</w:t>
      </w:r>
      <w:r w:rsidR="001C651B">
        <w:rPr>
          <w:b/>
          <w:i w:val="0"/>
          <w:noProof/>
        </w:rPr>
        <w:t> </w:t>
      </w:r>
      <w:r w:rsidR="001C651B" w:rsidRPr="001C651B">
        <w:rPr>
          <w:b/>
          <w:i w:val="0"/>
          <w:noProof/>
        </w:rPr>
        <w:t>zak</w:t>
      </w:r>
      <w:r w:rsidRPr="001C651B">
        <w:rPr>
          <w:b/>
          <w:i w:val="0"/>
          <w:noProof/>
        </w:rPr>
        <w:t>resie funduszy własnych obowiązująca grupy składające się wyłącznie</w:t>
      </w:r>
      <w:r w:rsidR="001C651B" w:rsidRPr="001C651B">
        <w:rPr>
          <w:b/>
          <w:i w:val="0"/>
          <w:noProof/>
        </w:rPr>
        <w:t xml:space="preserve"> z</w:t>
      </w:r>
      <w:r w:rsidR="001C651B">
        <w:rPr>
          <w:b/>
          <w:i w:val="0"/>
          <w:noProof/>
        </w:rPr>
        <w:t> </w:t>
      </w:r>
      <w:r w:rsidR="001C651B" w:rsidRPr="001C651B">
        <w:rPr>
          <w:b/>
          <w:i w:val="0"/>
          <w:noProof/>
        </w:rPr>
        <w:t>fir</w:t>
      </w:r>
      <w:r w:rsidRPr="001C651B">
        <w:rPr>
          <w:b/>
          <w:i w:val="0"/>
          <w:noProof/>
        </w:rPr>
        <w:t>m inwestycyjnych, które są objęte zakresem art. 95</w:t>
      </w:r>
      <w:r w:rsidR="001C651B" w:rsidRPr="001C651B">
        <w:rPr>
          <w:b/>
          <w:i w:val="0"/>
          <w:noProof/>
        </w:rPr>
        <w:t xml:space="preserve"> i</w:t>
      </w:r>
      <w:r w:rsidR="001C651B">
        <w:rPr>
          <w:b/>
          <w:i w:val="0"/>
          <w:noProof/>
        </w:rPr>
        <w:t> </w:t>
      </w:r>
      <w:r w:rsidR="001C651B" w:rsidRPr="001C651B">
        <w:rPr>
          <w:b/>
          <w:i w:val="0"/>
          <w:noProof/>
        </w:rPr>
        <w:t>9</w:t>
      </w:r>
      <w:r w:rsidRPr="001C651B">
        <w:rPr>
          <w:b/>
          <w:i w:val="0"/>
          <w:noProof/>
        </w:rPr>
        <w:t>6 rozporządzenia (UE) nr</w:t>
      </w:r>
      <w:r w:rsidR="001C651B" w:rsidRPr="001C651B">
        <w:rPr>
          <w:b/>
          <w:i w:val="0"/>
          <w:noProof/>
        </w:rPr>
        <w:t> </w:t>
      </w:r>
      <w:r w:rsidRPr="001C651B">
        <w:rPr>
          <w:b/>
          <w:i w:val="0"/>
          <w:noProof/>
        </w:rPr>
        <w:t>575/2013, na zasadzie skonsolidowanej</w:t>
      </w:r>
    </w:p>
    <w:p w:rsidR="00716EA9" w:rsidRPr="001C651B" w:rsidRDefault="003040A6" w:rsidP="003040A6">
      <w:pPr>
        <w:pStyle w:val="ManualNumPar1"/>
        <w:rPr>
          <w:noProof/>
        </w:rPr>
      </w:pPr>
      <w:r w:rsidRPr="003040A6">
        <w:rPr>
          <w:noProof/>
        </w:rPr>
        <w:t>1.</w:t>
      </w:r>
      <w:r w:rsidRPr="003040A6">
        <w:rPr>
          <w:noProof/>
        </w:rPr>
        <w:tab/>
      </w:r>
      <w:r w:rsidR="00D44B55" w:rsidRPr="001C651B">
        <w:rPr>
          <w:noProof/>
        </w:rPr>
        <w:t>Firmy inwestycyjne należące do grup składających się wyłącznie</w:t>
      </w:r>
      <w:r w:rsidR="001C651B" w:rsidRPr="001C651B">
        <w:rPr>
          <w:noProof/>
        </w:rPr>
        <w:t xml:space="preserve"> z</w:t>
      </w:r>
      <w:r w:rsidR="001C651B">
        <w:rPr>
          <w:noProof/>
        </w:rPr>
        <w:t> </w:t>
      </w:r>
      <w:r w:rsidR="001C651B" w:rsidRPr="001C651B">
        <w:rPr>
          <w:noProof/>
        </w:rPr>
        <w:t>fir</w:t>
      </w:r>
      <w:r w:rsidR="00D44B55" w:rsidRPr="001C651B">
        <w:rPr>
          <w:noProof/>
        </w:rPr>
        <w:t>m inwestycyjnych, stosujące przepisy przejściowe określone</w:t>
      </w:r>
      <w:r w:rsidR="001C651B" w:rsidRPr="001C651B">
        <w:rPr>
          <w:noProof/>
        </w:rPr>
        <w:t xml:space="preserve"> w</w:t>
      </w:r>
      <w:r w:rsidR="001C651B">
        <w:rPr>
          <w:noProof/>
        </w:rPr>
        <w:t> </w:t>
      </w:r>
      <w:r w:rsidR="001C651B" w:rsidRPr="001C651B">
        <w:rPr>
          <w:noProof/>
        </w:rPr>
        <w:t>art</w:t>
      </w:r>
      <w:r w:rsidR="00D44B55" w:rsidRPr="001C651B">
        <w:rPr>
          <w:noProof/>
        </w:rPr>
        <w:t>.</w:t>
      </w:r>
      <w:r w:rsidR="001C651B" w:rsidRPr="001C651B">
        <w:rPr>
          <w:noProof/>
        </w:rPr>
        <w:t> </w:t>
      </w:r>
      <w:r w:rsidR="00D44B55" w:rsidRPr="001C651B">
        <w:rPr>
          <w:noProof/>
        </w:rPr>
        <w:t>57 ust.</w:t>
      </w:r>
      <w:r w:rsidR="001C651B" w:rsidRPr="001C651B">
        <w:rPr>
          <w:noProof/>
        </w:rPr>
        <w:t> </w:t>
      </w:r>
      <w:r w:rsidR="00D44B55" w:rsidRPr="001C651B">
        <w:rPr>
          <w:noProof/>
        </w:rPr>
        <w:t>3 rozporządzenia (UE) 2019/2033</w:t>
      </w:r>
      <w:r w:rsidR="001C651B" w:rsidRPr="001C651B">
        <w:rPr>
          <w:noProof/>
        </w:rPr>
        <w:t xml:space="preserve"> w</w:t>
      </w:r>
      <w:r w:rsidR="001C651B">
        <w:rPr>
          <w:noProof/>
        </w:rPr>
        <w:t> </w:t>
      </w:r>
      <w:r w:rsidR="001C651B" w:rsidRPr="001C651B">
        <w:rPr>
          <w:noProof/>
        </w:rPr>
        <w:t>zwi</w:t>
      </w:r>
      <w:r w:rsidR="00D44B55" w:rsidRPr="001C651B">
        <w:rPr>
          <w:noProof/>
        </w:rPr>
        <w:t>ązku</w:t>
      </w:r>
      <w:r w:rsidR="001C651B" w:rsidRPr="001C651B">
        <w:rPr>
          <w:noProof/>
        </w:rPr>
        <w:t xml:space="preserve"> z</w:t>
      </w:r>
      <w:r w:rsidR="001C651B">
        <w:rPr>
          <w:noProof/>
        </w:rPr>
        <w:t> </w:t>
      </w:r>
      <w:r w:rsidR="001C651B" w:rsidRPr="001C651B">
        <w:rPr>
          <w:noProof/>
        </w:rPr>
        <w:t>art</w:t>
      </w:r>
      <w:r w:rsidR="00D44B55" w:rsidRPr="001C651B">
        <w:rPr>
          <w:noProof/>
        </w:rPr>
        <w:t>.</w:t>
      </w:r>
      <w:r w:rsidR="001C651B" w:rsidRPr="001C651B">
        <w:rPr>
          <w:noProof/>
        </w:rPr>
        <w:t> </w:t>
      </w:r>
      <w:r w:rsidR="00D44B55" w:rsidRPr="001C651B">
        <w:rPr>
          <w:noProof/>
        </w:rPr>
        <w:t>95 rozporządzenia (UE) nr</w:t>
      </w:r>
      <w:r w:rsidR="001C651B" w:rsidRPr="001C651B">
        <w:rPr>
          <w:noProof/>
        </w:rPr>
        <w:t> </w:t>
      </w:r>
      <w:r w:rsidR="00D44B55" w:rsidRPr="001C651B">
        <w:rPr>
          <w:noProof/>
        </w:rPr>
        <w:t>575/2013, przekazując informacje na temat wymogów</w:t>
      </w:r>
      <w:r w:rsidR="001C651B" w:rsidRPr="001C651B">
        <w:rPr>
          <w:noProof/>
        </w:rPr>
        <w:t xml:space="preserve"> w</w:t>
      </w:r>
      <w:r w:rsidR="001C651B">
        <w:rPr>
          <w:noProof/>
        </w:rPr>
        <w:t> </w:t>
      </w:r>
      <w:r w:rsidR="001C651B" w:rsidRPr="001C651B">
        <w:rPr>
          <w:noProof/>
        </w:rPr>
        <w:t>zak</w:t>
      </w:r>
      <w:r w:rsidR="00D44B55" w:rsidRPr="001C651B">
        <w:rPr>
          <w:noProof/>
        </w:rPr>
        <w:t>resie funduszy własnych zgodnie</w:t>
      </w:r>
      <w:r w:rsidR="001C651B" w:rsidRPr="001C651B">
        <w:rPr>
          <w:noProof/>
        </w:rPr>
        <w:t xml:space="preserve"> z</w:t>
      </w:r>
      <w:r w:rsidR="001C651B">
        <w:rPr>
          <w:noProof/>
        </w:rPr>
        <w:t> </w:t>
      </w:r>
      <w:r w:rsidR="001C651B" w:rsidRPr="001C651B">
        <w:rPr>
          <w:noProof/>
        </w:rPr>
        <w:t>wym</w:t>
      </w:r>
      <w:r w:rsidR="00D44B55" w:rsidRPr="001C651B">
        <w:rPr>
          <w:noProof/>
        </w:rPr>
        <w:t>ogami art.</w:t>
      </w:r>
      <w:r w:rsidR="001C651B" w:rsidRPr="001C651B">
        <w:rPr>
          <w:noProof/>
        </w:rPr>
        <w:t> </w:t>
      </w:r>
      <w:r w:rsidR="00D44B55" w:rsidRPr="001C651B">
        <w:rPr>
          <w:noProof/>
        </w:rPr>
        <w:t>430 ust.</w:t>
      </w:r>
      <w:r w:rsidR="001C651B" w:rsidRPr="001C651B">
        <w:rPr>
          <w:noProof/>
        </w:rPr>
        <w:t> </w:t>
      </w:r>
      <w:r w:rsidR="00D44B55" w:rsidRPr="001C651B">
        <w:rPr>
          <w:noProof/>
        </w:rPr>
        <w:t>1 lit.</w:t>
      </w:r>
      <w:r w:rsidR="001C651B" w:rsidRPr="001C651B">
        <w:rPr>
          <w:noProof/>
        </w:rPr>
        <w:t> </w:t>
      </w:r>
      <w:r w:rsidR="00D44B55" w:rsidRPr="001C651B">
        <w:rPr>
          <w:noProof/>
        </w:rPr>
        <w:t>a) rozporządzenia (UE) nr</w:t>
      </w:r>
      <w:r w:rsidR="001C651B" w:rsidRPr="001C651B">
        <w:rPr>
          <w:noProof/>
        </w:rPr>
        <w:t> </w:t>
      </w:r>
      <w:r w:rsidR="00D44B55" w:rsidRPr="001C651B">
        <w:rPr>
          <w:noProof/>
        </w:rPr>
        <w:t>575/2013 na zasadzie skonsolidowanej,</w:t>
      </w:r>
      <w:r w:rsidR="001C651B" w:rsidRPr="001C651B">
        <w:rPr>
          <w:noProof/>
        </w:rPr>
        <w:t xml:space="preserve"> z</w:t>
      </w:r>
      <w:r w:rsidR="001C651B">
        <w:rPr>
          <w:noProof/>
        </w:rPr>
        <w:t> </w:t>
      </w:r>
      <w:r w:rsidR="001C651B" w:rsidRPr="001C651B">
        <w:rPr>
          <w:noProof/>
        </w:rPr>
        <w:t>wyj</w:t>
      </w:r>
      <w:r w:rsidR="00D44B55" w:rsidRPr="001C651B">
        <w:rPr>
          <w:noProof/>
        </w:rPr>
        <w:t>ątkiem informacji na temat wskaźnika dźwigni, przedstawiają informacje określone</w:t>
      </w:r>
      <w:r w:rsidR="001C651B" w:rsidRPr="001C651B">
        <w:rPr>
          <w:noProof/>
        </w:rPr>
        <w:t xml:space="preserve"> w</w:t>
      </w:r>
      <w:r w:rsidR="001C651B">
        <w:rPr>
          <w:noProof/>
        </w:rPr>
        <w:t> </w:t>
      </w:r>
      <w:r w:rsidR="001C651B" w:rsidRPr="001C651B">
        <w:rPr>
          <w:noProof/>
        </w:rPr>
        <w:t>sek</w:t>
      </w:r>
      <w:r w:rsidR="00D44B55" w:rsidRPr="001C651B">
        <w:rPr>
          <w:noProof/>
        </w:rPr>
        <w:t>cji 1 – „Sprawozdawczość dotycząca funduszy własnych oraz wymogów</w:t>
      </w:r>
      <w:r w:rsidR="001C651B" w:rsidRPr="001C651B">
        <w:rPr>
          <w:noProof/>
        </w:rPr>
        <w:t xml:space="preserve"> w</w:t>
      </w:r>
      <w:r w:rsidR="001C651B">
        <w:rPr>
          <w:noProof/>
        </w:rPr>
        <w:t> </w:t>
      </w:r>
      <w:r w:rsidR="001C651B" w:rsidRPr="001C651B">
        <w:rPr>
          <w:noProof/>
        </w:rPr>
        <w:t>zak</w:t>
      </w:r>
      <w:r w:rsidR="00D44B55" w:rsidRPr="001C651B">
        <w:rPr>
          <w:noProof/>
        </w:rPr>
        <w:t>resie funduszy własnych”</w:t>
      </w:r>
      <w:r w:rsidR="001C651B" w:rsidRPr="001C651B">
        <w:rPr>
          <w:noProof/>
        </w:rPr>
        <w:t xml:space="preserve"> w</w:t>
      </w:r>
      <w:r w:rsidR="001C651B">
        <w:rPr>
          <w:noProof/>
        </w:rPr>
        <w:t> </w:t>
      </w:r>
      <w:r w:rsidR="001C651B" w:rsidRPr="001C651B">
        <w:rPr>
          <w:noProof/>
        </w:rPr>
        <w:t>zał</w:t>
      </w:r>
      <w:r w:rsidR="00D44B55" w:rsidRPr="001C651B">
        <w:rPr>
          <w:noProof/>
        </w:rPr>
        <w:t>ączniku I do niniejszego rozporządzenia zgodnie</w:t>
      </w:r>
      <w:r w:rsidR="001C651B" w:rsidRPr="001C651B">
        <w:rPr>
          <w:noProof/>
        </w:rPr>
        <w:t xml:space="preserve"> z</w:t>
      </w:r>
      <w:r w:rsidR="001C651B">
        <w:rPr>
          <w:noProof/>
        </w:rPr>
        <w:t> </w:t>
      </w:r>
      <w:r w:rsidR="001C651B" w:rsidRPr="001C651B">
        <w:rPr>
          <w:noProof/>
        </w:rPr>
        <w:t>pon</w:t>
      </w:r>
      <w:r w:rsidR="00D44B55" w:rsidRPr="001C651B">
        <w:rPr>
          <w:noProof/>
        </w:rPr>
        <w:t>iższym:</w:t>
      </w:r>
    </w:p>
    <w:p w:rsidR="00D61A8B" w:rsidRPr="001C651B" w:rsidRDefault="00D8126A" w:rsidP="00D8126A">
      <w:pPr>
        <w:pStyle w:val="Point1"/>
        <w:rPr>
          <w:noProof/>
        </w:rPr>
      </w:pPr>
      <w:r w:rsidRPr="001C651B">
        <w:rPr>
          <w:noProof/>
        </w:rPr>
        <w:t>a)</w:t>
      </w:r>
      <w:r w:rsidRPr="001C651B">
        <w:rPr>
          <w:noProof/>
        </w:rPr>
        <w:tab/>
      </w:r>
      <w:r w:rsidR="00D61A8B" w:rsidRPr="001C651B">
        <w:rPr>
          <w:noProof/>
        </w:rPr>
        <w:t>informacje na temat funduszy własnych</w:t>
      </w:r>
      <w:r w:rsidR="001C651B" w:rsidRPr="001C651B">
        <w:rPr>
          <w:noProof/>
        </w:rPr>
        <w:t xml:space="preserve"> i</w:t>
      </w:r>
      <w:r w:rsidR="001C651B">
        <w:rPr>
          <w:noProof/>
        </w:rPr>
        <w:t> </w:t>
      </w:r>
      <w:r w:rsidR="001C651B" w:rsidRPr="001C651B">
        <w:rPr>
          <w:noProof/>
        </w:rPr>
        <w:t>wym</w:t>
      </w:r>
      <w:r w:rsidR="00D61A8B" w:rsidRPr="001C651B">
        <w:rPr>
          <w:noProof/>
        </w:rPr>
        <w:t>ogów</w:t>
      </w:r>
      <w:r w:rsidR="001C651B" w:rsidRPr="001C651B">
        <w:rPr>
          <w:noProof/>
        </w:rPr>
        <w:t xml:space="preserve"> w</w:t>
      </w:r>
      <w:r w:rsidR="001C651B">
        <w:rPr>
          <w:noProof/>
        </w:rPr>
        <w:t> </w:t>
      </w:r>
      <w:r w:rsidR="001C651B" w:rsidRPr="001C651B">
        <w:rPr>
          <w:noProof/>
        </w:rPr>
        <w:t>zak</w:t>
      </w:r>
      <w:r w:rsidR="00D61A8B" w:rsidRPr="001C651B">
        <w:rPr>
          <w:noProof/>
        </w:rPr>
        <w:t>resie funduszy własnych określone we wzorach C 01.00–C 05.02 zawartych</w:t>
      </w:r>
      <w:r w:rsidR="001C651B" w:rsidRPr="001C651B">
        <w:rPr>
          <w:noProof/>
        </w:rPr>
        <w:t xml:space="preserve"> w</w:t>
      </w:r>
      <w:r w:rsidR="001C651B">
        <w:rPr>
          <w:noProof/>
        </w:rPr>
        <w:t> </w:t>
      </w:r>
      <w:r w:rsidR="001C651B" w:rsidRPr="001C651B">
        <w:rPr>
          <w:noProof/>
        </w:rPr>
        <w:t>sek</w:t>
      </w:r>
      <w:r w:rsidR="00D61A8B" w:rsidRPr="001C651B">
        <w:rPr>
          <w:noProof/>
        </w:rPr>
        <w:t>cji 1 załącznika I do niniejszego rozporządzenia –</w:t>
      </w:r>
      <w:r w:rsidR="001C651B" w:rsidRPr="001C651B">
        <w:rPr>
          <w:noProof/>
        </w:rPr>
        <w:t xml:space="preserve"> z</w:t>
      </w:r>
      <w:r w:rsidR="001C651B">
        <w:rPr>
          <w:noProof/>
        </w:rPr>
        <w:t> </w:t>
      </w:r>
      <w:r w:rsidR="001C651B" w:rsidRPr="001C651B">
        <w:rPr>
          <w:noProof/>
        </w:rPr>
        <w:t>czę</w:t>
      </w:r>
      <w:r w:rsidR="00D61A8B" w:rsidRPr="001C651B">
        <w:rPr>
          <w:noProof/>
        </w:rPr>
        <w:t>stotliwością kwartalną;</w:t>
      </w:r>
    </w:p>
    <w:p w:rsidR="00D61A8B" w:rsidRPr="001C651B" w:rsidRDefault="00D8126A" w:rsidP="00D8126A">
      <w:pPr>
        <w:pStyle w:val="Point1"/>
        <w:rPr>
          <w:noProof/>
        </w:rPr>
      </w:pPr>
      <w:r w:rsidRPr="001C651B">
        <w:rPr>
          <w:noProof/>
        </w:rPr>
        <w:t>b)</w:t>
      </w:r>
      <w:r w:rsidRPr="001C651B">
        <w:rPr>
          <w:noProof/>
        </w:rPr>
        <w:tab/>
      </w:r>
      <w:r w:rsidR="00D61A8B" w:rsidRPr="001C651B">
        <w:rPr>
          <w:noProof/>
        </w:rPr>
        <w:t>informacje na temat funduszy własnych</w:t>
      </w:r>
      <w:r w:rsidR="001C651B" w:rsidRPr="001C651B">
        <w:rPr>
          <w:noProof/>
        </w:rPr>
        <w:t xml:space="preserve"> i</w:t>
      </w:r>
      <w:r w:rsidR="001C651B">
        <w:rPr>
          <w:noProof/>
        </w:rPr>
        <w:t> </w:t>
      </w:r>
      <w:r w:rsidR="001C651B" w:rsidRPr="001C651B">
        <w:rPr>
          <w:noProof/>
        </w:rPr>
        <w:t>wym</w:t>
      </w:r>
      <w:r w:rsidR="00D61A8B" w:rsidRPr="001C651B">
        <w:rPr>
          <w:noProof/>
        </w:rPr>
        <w:t>ogów</w:t>
      </w:r>
      <w:r w:rsidR="001C651B" w:rsidRPr="001C651B">
        <w:rPr>
          <w:noProof/>
        </w:rPr>
        <w:t xml:space="preserve"> w</w:t>
      </w:r>
      <w:r w:rsidR="001C651B">
        <w:rPr>
          <w:noProof/>
        </w:rPr>
        <w:t> </w:t>
      </w:r>
      <w:r w:rsidR="001C651B" w:rsidRPr="001C651B">
        <w:rPr>
          <w:noProof/>
        </w:rPr>
        <w:t>zak</w:t>
      </w:r>
      <w:r w:rsidR="00D61A8B" w:rsidRPr="001C651B">
        <w:rPr>
          <w:noProof/>
        </w:rPr>
        <w:t>resie funduszy własnych</w:t>
      </w:r>
      <w:r w:rsidR="001C651B" w:rsidRPr="001C651B">
        <w:rPr>
          <w:noProof/>
        </w:rPr>
        <w:t xml:space="preserve"> w</w:t>
      </w:r>
      <w:r w:rsidR="001C651B">
        <w:rPr>
          <w:noProof/>
        </w:rPr>
        <w:t> </w:t>
      </w:r>
      <w:r w:rsidR="001C651B" w:rsidRPr="001C651B">
        <w:rPr>
          <w:noProof/>
        </w:rPr>
        <w:t>odn</w:t>
      </w:r>
      <w:r w:rsidR="00D61A8B" w:rsidRPr="001C651B">
        <w:rPr>
          <w:noProof/>
        </w:rPr>
        <w:t>iesieniu do podmiotów objętych zakresem konsolidacji określone we wzorach C 06.01 i C 06.02 zawartych</w:t>
      </w:r>
      <w:r w:rsidR="001C651B" w:rsidRPr="001C651B">
        <w:rPr>
          <w:noProof/>
        </w:rPr>
        <w:t xml:space="preserve"> w</w:t>
      </w:r>
      <w:r w:rsidR="001C651B">
        <w:rPr>
          <w:noProof/>
        </w:rPr>
        <w:t> </w:t>
      </w:r>
      <w:r w:rsidR="001C651B" w:rsidRPr="001C651B">
        <w:rPr>
          <w:noProof/>
        </w:rPr>
        <w:t>sek</w:t>
      </w:r>
      <w:r w:rsidR="00D61A8B" w:rsidRPr="001C651B">
        <w:rPr>
          <w:noProof/>
        </w:rPr>
        <w:t>cji 1 załącznika I do niniejszego rozporządzenia –</w:t>
      </w:r>
      <w:r w:rsidR="001C651B" w:rsidRPr="001C651B">
        <w:rPr>
          <w:noProof/>
        </w:rPr>
        <w:t xml:space="preserve"> z</w:t>
      </w:r>
      <w:r w:rsidR="001C651B">
        <w:rPr>
          <w:noProof/>
        </w:rPr>
        <w:t> </w:t>
      </w:r>
      <w:r w:rsidR="001C651B" w:rsidRPr="001C651B">
        <w:rPr>
          <w:noProof/>
        </w:rPr>
        <w:t>czę</w:t>
      </w:r>
      <w:r w:rsidR="00D61A8B" w:rsidRPr="001C651B">
        <w:rPr>
          <w:noProof/>
        </w:rPr>
        <w:t>stotliwością półroczną.</w:t>
      </w:r>
    </w:p>
    <w:p w:rsidR="00716EA9" w:rsidRPr="001C651B" w:rsidRDefault="003040A6" w:rsidP="003040A6">
      <w:pPr>
        <w:pStyle w:val="ManualNumPar1"/>
        <w:rPr>
          <w:noProof/>
        </w:rPr>
      </w:pPr>
      <w:r w:rsidRPr="003040A6">
        <w:rPr>
          <w:noProof/>
        </w:rPr>
        <w:t>2.</w:t>
      </w:r>
      <w:r w:rsidRPr="003040A6">
        <w:rPr>
          <w:noProof/>
        </w:rPr>
        <w:tab/>
      </w:r>
      <w:r w:rsidR="00EA1A16" w:rsidRPr="001C651B">
        <w:rPr>
          <w:noProof/>
        </w:rPr>
        <w:t>Firmy inwestycyjne należące do grup składających się wyłącznie</w:t>
      </w:r>
      <w:r w:rsidR="001C651B" w:rsidRPr="001C651B">
        <w:rPr>
          <w:noProof/>
        </w:rPr>
        <w:t xml:space="preserve"> z</w:t>
      </w:r>
      <w:r w:rsidR="001C651B">
        <w:rPr>
          <w:noProof/>
        </w:rPr>
        <w:t> </w:t>
      </w:r>
      <w:r w:rsidR="001C651B" w:rsidRPr="001C651B">
        <w:rPr>
          <w:noProof/>
        </w:rPr>
        <w:t>fir</w:t>
      </w:r>
      <w:r w:rsidR="00EA1A16" w:rsidRPr="001C651B">
        <w:rPr>
          <w:noProof/>
        </w:rPr>
        <w:t>m inwestycyjnych, stosujące przepisy przejściowe określone</w:t>
      </w:r>
      <w:r w:rsidR="001C651B" w:rsidRPr="001C651B">
        <w:rPr>
          <w:noProof/>
        </w:rPr>
        <w:t xml:space="preserve"> w</w:t>
      </w:r>
      <w:r w:rsidR="001C651B">
        <w:rPr>
          <w:noProof/>
        </w:rPr>
        <w:t> </w:t>
      </w:r>
      <w:r w:rsidR="001C651B" w:rsidRPr="001C651B">
        <w:rPr>
          <w:noProof/>
        </w:rPr>
        <w:t>art</w:t>
      </w:r>
      <w:r w:rsidR="00EA1A16" w:rsidRPr="001C651B">
        <w:rPr>
          <w:noProof/>
        </w:rPr>
        <w:t>.</w:t>
      </w:r>
      <w:r w:rsidR="001C651B" w:rsidRPr="001C651B">
        <w:rPr>
          <w:noProof/>
        </w:rPr>
        <w:t> </w:t>
      </w:r>
      <w:r w:rsidR="00EA1A16" w:rsidRPr="001C651B">
        <w:rPr>
          <w:noProof/>
        </w:rPr>
        <w:t>57 ust.</w:t>
      </w:r>
      <w:r w:rsidR="001C651B" w:rsidRPr="001C651B">
        <w:rPr>
          <w:noProof/>
        </w:rPr>
        <w:t> </w:t>
      </w:r>
      <w:r w:rsidR="00EA1A16" w:rsidRPr="001C651B">
        <w:rPr>
          <w:noProof/>
        </w:rPr>
        <w:t>3 rozporządzenia (UE) 2019/2033</w:t>
      </w:r>
      <w:r w:rsidR="001C651B" w:rsidRPr="001C651B">
        <w:rPr>
          <w:noProof/>
        </w:rPr>
        <w:t xml:space="preserve"> w</w:t>
      </w:r>
      <w:r w:rsidR="001C651B">
        <w:rPr>
          <w:noProof/>
        </w:rPr>
        <w:t> </w:t>
      </w:r>
      <w:r w:rsidR="001C651B" w:rsidRPr="001C651B">
        <w:rPr>
          <w:noProof/>
        </w:rPr>
        <w:t>zwi</w:t>
      </w:r>
      <w:r w:rsidR="00EA1A16" w:rsidRPr="001C651B">
        <w:rPr>
          <w:noProof/>
        </w:rPr>
        <w:t>ązku</w:t>
      </w:r>
      <w:r w:rsidR="001C651B" w:rsidRPr="001C651B">
        <w:rPr>
          <w:noProof/>
        </w:rPr>
        <w:t xml:space="preserve"> z</w:t>
      </w:r>
      <w:r w:rsidR="001C651B">
        <w:rPr>
          <w:noProof/>
        </w:rPr>
        <w:t> </w:t>
      </w:r>
      <w:r w:rsidR="001C651B" w:rsidRPr="001C651B">
        <w:rPr>
          <w:noProof/>
        </w:rPr>
        <w:t>art</w:t>
      </w:r>
      <w:r w:rsidR="00EA1A16" w:rsidRPr="001C651B">
        <w:rPr>
          <w:noProof/>
        </w:rPr>
        <w:t>.</w:t>
      </w:r>
      <w:r w:rsidR="001C651B" w:rsidRPr="001C651B">
        <w:rPr>
          <w:noProof/>
        </w:rPr>
        <w:t> </w:t>
      </w:r>
      <w:r w:rsidR="00EA1A16" w:rsidRPr="001C651B">
        <w:rPr>
          <w:noProof/>
        </w:rPr>
        <w:t>96 rozporządzenia (UE) nr</w:t>
      </w:r>
      <w:r w:rsidR="001C651B" w:rsidRPr="001C651B">
        <w:rPr>
          <w:noProof/>
        </w:rPr>
        <w:t> </w:t>
      </w:r>
      <w:r w:rsidR="00EA1A16" w:rsidRPr="001C651B">
        <w:rPr>
          <w:noProof/>
        </w:rPr>
        <w:t>575/2013, przekazując informacje na temat wymogów</w:t>
      </w:r>
      <w:r w:rsidR="001C651B" w:rsidRPr="001C651B">
        <w:rPr>
          <w:noProof/>
        </w:rPr>
        <w:t xml:space="preserve"> w</w:t>
      </w:r>
      <w:r w:rsidR="001C651B">
        <w:rPr>
          <w:noProof/>
        </w:rPr>
        <w:t> </w:t>
      </w:r>
      <w:r w:rsidR="001C651B" w:rsidRPr="001C651B">
        <w:rPr>
          <w:noProof/>
        </w:rPr>
        <w:t>zak</w:t>
      </w:r>
      <w:r w:rsidR="00EA1A16" w:rsidRPr="001C651B">
        <w:rPr>
          <w:noProof/>
        </w:rPr>
        <w:t>resie funduszy własnych zgodnie</w:t>
      </w:r>
      <w:r w:rsidR="001C651B" w:rsidRPr="001C651B">
        <w:rPr>
          <w:noProof/>
        </w:rPr>
        <w:t xml:space="preserve"> z</w:t>
      </w:r>
      <w:r w:rsidR="001C651B">
        <w:rPr>
          <w:noProof/>
        </w:rPr>
        <w:t> </w:t>
      </w:r>
      <w:r w:rsidR="001C651B" w:rsidRPr="001C651B">
        <w:rPr>
          <w:noProof/>
        </w:rPr>
        <w:t>wym</w:t>
      </w:r>
      <w:r w:rsidR="00EA1A16" w:rsidRPr="001C651B">
        <w:rPr>
          <w:noProof/>
        </w:rPr>
        <w:t>ogami art.</w:t>
      </w:r>
      <w:r w:rsidR="001C651B" w:rsidRPr="001C651B">
        <w:rPr>
          <w:noProof/>
        </w:rPr>
        <w:t> </w:t>
      </w:r>
      <w:r w:rsidR="00EA1A16" w:rsidRPr="001C651B">
        <w:rPr>
          <w:noProof/>
        </w:rPr>
        <w:t>430 ust.</w:t>
      </w:r>
      <w:r w:rsidR="001C651B" w:rsidRPr="001C651B">
        <w:rPr>
          <w:noProof/>
        </w:rPr>
        <w:t> </w:t>
      </w:r>
      <w:r w:rsidR="00EA1A16" w:rsidRPr="001C651B">
        <w:rPr>
          <w:noProof/>
        </w:rPr>
        <w:t>1 lit.</w:t>
      </w:r>
      <w:r w:rsidR="001C651B" w:rsidRPr="001C651B">
        <w:rPr>
          <w:noProof/>
        </w:rPr>
        <w:t> </w:t>
      </w:r>
      <w:r w:rsidR="00EA1A16" w:rsidRPr="001C651B">
        <w:rPr>
          <w:noProof/>
        </w:rPr>
        <w:t>a) rozporządzenia (UE) nr</w:t>
      </w:r>
      <w:r w:rsidR="001C651B" w:rsidRPr="001C651B">
        <w:rPr>
          <w:noProof/>
        </w:rPr>
        <w:t> </w:t>
      </w:r>
      <w:r w:rsidR="00EA1A16" w:rsidRPr="001C651B">
        <w:rPr>
          <w:noProof/>
        </w:rPr>
        <w:t>575/2013 na zasadzie skonsolidowanej, przedstawiają informacje określone</w:t>
      </w:r>
      <w:r w:rsidR="001C651B" w:rsidRPr="001C651B">
        <w:rPr>
          <w:noProof/>
        </w:rPr>
        <w:t xml:space="preserve"> w</w:t>
      </w:r>
      <w:r w:rsidR="001C651B">
        <w:rPr>
          <w:noProof/>
        </w:rPr>
        <w:t> </w:t>
      </w:r>
      <w:r w:rsidR="001C651B" w:rsidRPr="001C651B">
        <w:rPr>
          <w:noProof/>
        </w:rPr>
        <w:t>sek</w:t>
      </w:r>
      <w:r w:rsidR="00EA1A16" w:rsidRPr="001C651B">
        <w:rPr>
          <w:noProof/>
        </w:rPr>
        <w:t>cji 1 – „Sprawozdawczość</w:t>
      </w:r>
      <w:r w:rsidR="001C651B" w:rsidRPr="001C651B">
        <w:rPr>
          <w:noProof/>
        </w:rPr>
        <w:t xml:space="preserve"> w</w:t>
      </w:r>
      <w:r w:rsidR="001C651B">
        <w:rPr>
          <w:noProof/>
        </w:rPr>
        <w:t> </w:t>
      </w:r>
      <w:r w:rsidR="001C651B" w:rsidRPr="001C651B">
        <w:rPr>
          <w:noProof/>
        </w:rPr>
        <w:t>zak</w:t>
      </w:r>
      <w:r w:rsidR="00EA1A16" w:rsidRPr="001C651B">
        <w:rPr>
          <w:noProof/>
        </w:rPr>
        <w:t>resie funduszy własnych oraz wymogów</w:t>
      </w:r>
      <w:r w:rsidR="001C651B" w:rsidRPr="001C651B">
        <w:rPr>
          <w:noProof/>
        </w:rPr>
        <w:t xml:space="preserve"> w</w:t>
      </w:r>
      <w:r w:rsidR="001C651B">
        <w:rPr>
          <w:noProof/>
        </w:rPr>
        <w:t> </w:t>
      </w:r>
      <w:r w:rsidR="001C651B" w:rsidRPr="001C651B">
        <w:rPr>
          <w:noProof/>
        </w:rPr>
        <w:t>zak</w:t>
      </w:r>
      <w:r w:rsidR="00EA1A16" w:rsidRPr="001C651B">
        <w:rPr>
          <w:noProof/>
        </w:rPr>
        <w:t>resie funduszy własnych”</w:t>
      </w:r>
      <w:r w:rsidR="001C651B" w:rsidRPr="001C651B">
        <w:rPr>
          <w:noProof/>
        </w:rPr>
        <w:t xml:space="preserve"> w</w:t>
      </w:r>
      <w:r w:rsidR="001C651B">
        <w:rPr>
          <w:noProof/>
        </w:rPr>
        <w:t> </w:t>
      </w:r>
      <w:r w:rsidR="001C651B" w:rsidRPr="001C651B">
        <w:rPr>
          <w:noProof/>
        </w:rPr>
        <w:t>zał</w:t>
      </w:r>
      <w:r w:rsidR="00EA1A16" w:rsidRPr="001C651B">
        <w:rPr>
          <w:noProof/>
        </w:rPr>
        <w:t>ączniku I do niniejszego rozporządzenia zgodnie</w:t>
      </w:r>
      <w:r w:rsidR="001C651B" w:rsidRPr="001C651B">
        <w:rPr>
          <w:noProof/>
        </w:rPr>
        <w:t xml:space="preserve"> z</w:t>
      </w:r>
      <w:r w:rsidR="001C651B">
        <w:rPr>
          <w:noProof/>
        </w:rPr>
        <w:t> </w:t>
      </w:r>
      <w:r w:rsidR="001C651B" w:rsidRPr="001C651B">
        <w:rPr>
          <w:noProof/>
        </w:rPr>
        <w:t>pon</w:t>
      </w:r>
      <w:r w:rsidR="00EA1A16" w:rsidRPr="001C651B">
        <w:rPr>
          <w:noProof/>
        </w:rPr>
        <w:t>iższym:</w:t>
      </w:r>
    </w:p>
    <w:p w:rsidR="00AD54BA" w:rsidRPr="001C651B" w:rsidRDefault="00D8126A" w:rsidP="00D8126A">
      <w:pPr>
        <w:pStyle w:val="Point1"/>
        <w:rPr>
          <w:noProof/>
        </w:rPr>
      </w:pPr>
      <w:r w:rsidRPr="001C651B">
        <w:rPr>
          <w:noProof/>
        </w:rPr>
        <w:t>a)</w:t>
      </w:r>
      <w:r w:rsidRPr="001C651B">
        <w:rPr>
          <w:noProof/>
        </w:rPr>
        <w:tab/>
      </w:r>
      <w:r w:rsidR="00AD54BA" w:rsidRPr="001C651B">
        <w:rPr>
          <w:noProof/>
        </w:rPr>
        <w:t>informacje określone</w:t>
      </w:r>
      <w:r w:rsidR="001C651B" w:rsidRPr="001C651B">
        <w:rPr>
          <w:noProof/>
        </w:rPr>
        <w:t xml:space="preserve"> w</w:t>
      </w:r>
      <w:r w:rsidR="001C651B">
        <w:rPr>
          <w:noProof/>
        </w:rPr>
        <w:t> </w:t>
      </w:r>
      <w:r w:rsidR="001C651B" w:rsidRPr="001C651B">
        <w:rPr>
          <w:noProof/>
        </w:rPr>
        <w:t>art</w:t>
      </w:r>
      <w:r w:rsidR="00AD54BA" w:rsidRPr="001C651B">
        <w:rPr>
          <w:noProof/>
        </w:rPr>
        <w:t>. 5 ust. 1–4</w:t>
      </w:r>
      <w:r w:rsidR="001C651B" w:rsidRPr="001C651B">
        <w:rPr>
          <w:noProof/>
        </w:rPr>
        <w:t xml:space="preserve"> i</w:t>
      </w:r>
      <w:r w:rsidR="001C651B">
        <w:rPr>
          <w:noProof/>
        </w:rPr>
        <w:t> </w:t>
      </w:r>
      <w:r w:rsidR="001C651B" w:rsidRPr="001C651B">
        <w:rPr>
          <w:noProof/>
        </w:rPr>
        <w:t>art</w:t>
      </w:r>
      <w:r w:rsidR="00AD54BA" w:rsidRPr="001C651B">
        <w:rPr>
          <w:noProof/>
        </w:rPr>
        <w:t>. 6 ust. 2 niniejszego rozporządzenia –</w:t>
      </w:r>
      <w:r w:rsidR="001C651B" w:rsidRPr="001C651B">
        <w:rPr>
          <w:noProof/>
        </w:rPr>
        <w:t xml:space="preserve"> z</w:t>
      </w:r>
      <w:r w:rsidR="001C651B">
        <w:rPr>
          <w:noProof/>
        </w:rPr>
        <w:t> </w:t>
      </w:r>
      <w:r w:rsidR="001C651B" w:rsidRPr="001C651B">
        <w:rPr>
          <w:noProof/>
        </w:rPr>
        <w:t>czę</w:t>
      </w:r>
      <w:r w:rsidR="00AD54BA" w:rsidRPr="001C651B">
        <w:rPr>
          <w:noProof/>
        </w:rPr>
        <w:t>stotliwością określoną</w:t>
      </w:r>
      <w:r w:rsidR="001C651B" w:rsidRPr="001C651B">
        <w:rPr>
          <w:noProof/>
        </w:rPr>
        <w:t xml:space="preserve"> w</w:t>
      </w:r>
      <w:r w:rsidR="001C651B">
        <w:rPr>
          <w:noProof/>
        </w:rPr>
        <w:t> </w:t>
      </w:r>
      <w:r w:rsidR="001C651B" w:rsidRPr="001C651B">
        <w:rPr>
          <w:noProof/>
        </w:rPr>
        <w:t>tyc</w:t>
      </w:r>
      <w:r w:rsidR="00AD54BA" w:rsidRPr="001C651B">
        <w:rPr>
          <w:noProof/>
        </w:rPr>
        <w:t>h artykułach;</w:t>
      </w:r>
    </w:p>
    <w:p w:rsidR="00AD54BA" w:rsidRPr="001C651B" w:rsidRDefault="00D8126A" w:rsidP="00D8126A">
      <w:pPr>
        <w:pStyle w:val="Point1"/>
        <w:rPr>
          <w:noProof/>
        </w:rPr>
      </w:pPr>
      <w:r w:rsidRPr="001C651B">
        <w:rPr>
          <w:noProof/>
        </w:rPr>
        <w:t>b)</w:t>
      </w:r>
      <w:r w:rsidRPr="001C651B">
        <w:rPr>
          <w:noProof/>
        </w:rPr>
        <w:tab/>
      </w:r>
      <w:r w:rsidR="00AD54BA" w:rsidRPr="001C651B">
        <w:rPr>
          <w:noProof/>
        </w:rPr>
        <w:t>informacje dotyczące podmiotów objętych zakresem konsolidacji, określone we wzorach C 06.01 i C 06.02 zawartych</w:t>
      </w:r>
      <w:r w:rsidR="001C651B" w:rsidRPr="001C651B">
        <w:rPr>
          <w:noProof/>
        </w:rPr>
        <w:t xml:space="preserve"> w</w:t>
      </w:r>
      <w:r w:rsidR="001C651B">
        <w:rPr>
          <w:noProof/>
        </w:rPr>
        <w:t> </w:t>
      </w:r>
      <w:r w:rsidR="001C651B" w:rsidRPr="001C651B">
        <w:rPr>
          <w:noProof/>
        </w:rPr>
        <w:t>sek</w:t>
      </w:r>
      <w:r w:rsidR="00AD54BA" w:rsidRPr="001C651B">
        <w:rPr>
          <w:noProof/>
        </w:rPr>
        <w:t>cji 1 załącznika I do niniejszego rozporządzenia –</w:t>
      </w:r>
      <w:r w:rsidR="001C651B" w:rsidRPr="001C651B">
        <w:rPr>
          <w:noProof/>
        </w:rPr>
        <w:t xml:space="preserve"> z</w:t>
      </w:r>
      <w:r w:rsidR="001C651B">
        <w:rPr>
          <w:noProof/>
        </w:rPr>
        <w:t> </w:t>
      </w:r>
      <w:r w:rsidR="001C651B" w:rsidRPr="001C651B">
        <w:rPr>
          <w:noProof/>
        </w:rPr>
        <w:t>czę</w:t>
      </w:r>
      <w:r w:rsidR="00AD54BA" w:rsidRPr="001C651B">
        <w:rPr>
          <w:noProof/>
        </w:rPr>
        <w:t>stotliwością półroczną.</w:t>
      </w:r>
    </w:p>
    <w:p w:rsidR="00716EA9" w:rsidRPr="001C651B" w:rsidRDefault="00716EA9" w:rsidP="00E537F5">
      <w:pPr>
        <w:pStyle w:val="Titrearticle"/>
        <w:rPr>
          <w:noProof/>
          <w:szCs w:val="24"/>
        </w:rPr>
      </w:pPr>
      <w:r w:rsidRPr="001C651B">
        <w:rPr>
          <w:noProof/>
        </w:rPr>
        <w:t>Artykuł 11</w:t>
      </w:r>
    </w:p>
    <w:p w:rsidR="00716EA9" w:rsidRPr="001C651B" w:rsidRDefault="00716EA9" w:rsidP="00F22954">
      <w:pPr>
        <w:pStyle w:val="Titrearticle"/>
        <w:spacing w:before="0"/>
        <w:rPr>
          <w:b/>
          <w:bCs/>
          <w:i w:val="0"/>
          <w:iCs/>
          <w:noProof/>
          <w:szCs w:val="24"/>
        </w:rPr>
      </w:pPr>
      <w:r w:rsidRPr="001C651B">
        <w:rPr>
          <w:b/>
          <w:i w:val="0"/>
          <w:noProof/>
        </w:rPr>
        <w:t>Sprawozdawczość</w:t>
      </w:r>
      <w:r w:rsidR="001C651B" w:rsidRPr="001C651B">
        <w:rPr>
          <w:b/>
          <w:i w:val="0"/>
          <w:noProof/>
        </w:rPr>
        <w:t xml:space="preserve"> w</w:t>
      </w:r>
      <w:r w:rsidR="001C651B">
        <w:rPr>
          <w:b/>
          <w:i w:val="0"/>
          <w:noProof/>
        </w:rPr>
        <w:t> </w:t>
      </w:r>
      <w:r w:rsidR="001C651B" w:rsidRPr="001C651B">
        <w:rPr>
          <w:b/>
          <w:i w:val="0"/>
          <w:noProof/>
        </w:rPr>
        <w:t>zak</w:t>
      </w:r>
      <w:r w:rsidRPr="001C651B">
        <w:rPr>
          <w:b/>
          <w:i w:val="0"/>
          <w:noProof/>
        </w:rPr>
        <w:t>resie informacji finansowych na zasadzie skonsolidowanej obowiązująca instytucje objęte zakresem rozporządzenia (WE) nr</w:t>
      </w:r>
      <w:r w:rsidR="001C651B" w:rsidRPr="001C651B">
        <w:rPr>
          <w:b/>
          <w:i w:val="0"/>
          <w:noProof/>
        </w:rPr>
        <w:t> </w:t>
      </w:r>
      <w:r w:rsidRPr="001C651B">
        <w:rPr>
          <w:b/>
          <w:i w:val="0"/>
          <w:noProof/>
        </w:rPr>
        <w:t>1606/2002 Parlamentu Europejskiego</w:t>
      </w:r>
      <w:r w:rsidR="001C651B" w:rsidRPr="001C651B">
        <w:rPr>
          <w:b/>
          <w:i w:val="0"/>
          <w:noProof/>
        </w:rPr>
        <w:t xml:space="preserve"> i</w:t>
      </w:r>
      <w:r w:rsidR="001C651B">
        <w:rPr>
          <w:b/>
          <w:i w:val="0"/>
          <w:noProof/>
        </w:rPr>
        <w:t> </w:t>
      </w:r>
      <w:r w:rsidR="001C651B" w:rsidRPr="001C651B">
        <w:rPr>
          <w:b/>
          <w:i w:val="0"/>
          <w:noProof/>
        </w:rPr>
        <w:t>Rad</w:t>
      </w:r>
      <w:r w:rsidRPr="001C651B">
        <w:rPr>
          <w:b/>
          <w:i w:val="0"/>
          <w:noProof/>
        </w:rPr>
        <w:t>y</w:t>
      </w:r>
      <w:r w:rsidRPr="001C651B">
        <w:rPr>
          <w:rStyle w:val="FootnoteReference"/>
          <w:i w:val="0"/>
          <w:iCs/>
          <w:noProof/>
          <w:szCs w:val="24"/>
        </w:rPr>
        <w:footnoteReference w:id="9"/>
      </w:r>
    </w:p>
    <w:p w:rsidR="00716EA9" w:rsidRPr="001C651B" w:rsidRDefault="00DE1415" w:rsidP="00EE077F">
      <w:pPr>
        <w:spacing w:before="100" w:beforeAutospacing="1" w:after="100" w:afterAutospacing="1"/>
        <w:rPr>
          <w:noProof/>
          <w:color w:val="000000"/>
          <w:szCs w:val="24"/>
        </w:rPr>
      </w:pPr>
      <w:r w:rsidRPr="001C651B">
        <w:rPr>
          <w:noProof/>
          <w:color w:val="000000"/>
        </w:rPr>
        <w:t>Instytucje, które przekazują informacje finansowe na zasadzie skonsolidowanej zgodnie</w:t>
      </w:r>
      <w:r w:rsidR="001C651B" w:rsidRPr="001C651B">
        <w:rPr>
          <w:noProof/>
          <w:color w:val="000000"/>
        </w:rPr>
        <w:t xml:space="preserve"> z</w:t>
      </w:r>
      <w:r w:rsidR="001C651B">
        <w:rPr>
          <w:noProof/>
          <w:color w:val="000000"/>
        </w:rPr>
        <w:t> </w:t>
      </w:r>
      <w:r w:rsidR="001C651B" w:rsidRPr="001C651B">
        <w:rPr>
          <w:noProof/>
          <w:color w:val="000000"/>
        </w:rPr>
        <w:t>art</w:t>
      </w:r>
      <w:r w:rsidRPr="001C651B">
        <w:rPr>
          <w:noProof/>
          <w:color w:val="000000"/>
        </w:rPr>
        <w:t>.</w:t>
      </w:r>
      <w:r w:rsidR="001C651B" w:rsidRPr="001C651B">
        <w:rPr>
          <w:noProof/>
          <w:color w:val="000000"/>
        </w:rPr>
        <w:t> </w:t>
      </w:r>
      <w:r w:rsidRPr="001C651B">
        <w:rPr>
          <w:noProof/>
          <w:color w:val="000000"/>
        </w:rPr>
        <w:t>430 ust.</w:t>
      </w:r>
      <w:r w:rsidR="001C651B" w:rsidRPr="001C651B">
        <w:rPr>
          <w:noProof/>
          <w:color w:val="000000"/>
        </w:rPr>
        <w:t> </w:t>
      </w:r>
      <w:r w:rsidRPr="001C651B">
        <w:rPr>
          <w:noProof/>
          <w:color w:val="000000"/>
        </w:rPr>
        <w:t>3 lub</w:t>
      </w:r>
      <w:r w:rsidR="001C651B" w:rsidRPr="001C651B">
        <w:rPr>
          <w:noProof/>
          <w:color w:val="000000"/>
        </w:rPr>
        <w:t> </w:t>
      </w:r>
      <w:r w:rsidRPr="001C651B">
        <w:rPr>
          <w:noProof/>
          <w:color w:val="000000"/>
        </w:rPr>
        <w:t>4 rozporządzenia (UE) nr</w:t>
      </w:r>
      <w:r w:rsidR="001C651B" w:rsidRPr="001C651B">
        <w:rPr>
          <w:noProof/>
          <w:color w:val="000000"/>
        </w:rPr>
        <w:t> </w:t>
      </w:r>
      <w:r w:rsidRPr="001C651B">
        <w:rPr>
          <w:noProof/>
          <w:color w:val="000000"/>
        </w:rPr>
        <w:t>575/2013, przedstawiają te informacje, jak określono</w:t>
      </w:r>
      <w:r w:rsidR="001C651B" w:rsidRPr="001C651B">
        <w:rPr>
          <w:noProof/>
          <w:color w:val="000000"/>
        </w:rPr>
        <w:t xml:space="preserve"> w</w:t>
      </w:r>
      <w:r w:rsidR="001C651B">
        <w:rPr>
          <w:noProof/>
          <w:color w:val="000000"/>
        </w:rPr>
        <w:t> </w:t>
      </w:r>
      <w:r w:rsidR="001C651B" w:rsidRPr="001C651B">
        <w:rPr>
          <w:noProof/>
          <w:color w:val="000000"/>
        </w:rPr>
        <w:t>sek</w:t>
      </w:r>
      <w:r w:rsidRPr="001C651B">
        <w:rPr>
          <w:noProof/>
          <w:color w:val="000000"/>
        </w:rPr>
        <w:t>cji 2 – „Sprawozdawczość</w:t>
      </w:r>
      <w:r w:rsidR="001C651B" w:rsidRPr="001C651B">
        <w:rPr>
          <w:noProof/>
          <w:color w:val="000000"/>
        </w:rPr>
        <w:t xml:space="preserve"> w</w:t>
      </w:r>
      <w:r w:rsidR="001C651B">
        <w:rPr>
          <w:noProof/>
          <w:color w:val="000000"/>
        </w:rPr>
        <w:t> </w:t>
      </w:r>
      <w:r w:rsidR="001C651B" w:rsidRPr="001C651B">
        <w:rPr>
          <w:noProof/>
          <w:color w:val="000000"/>
        </w:rPr>
        <w:t>zak</w:t>
      </w:r>
      <w:r w:rsidRPr="001C651B">
        <w:rPr>
          <w:noProof/>
          <w:color w:val="000000"/>
        </w:rPr>
        <w:t>resie informacji finansowych zgodnie z MSSF”</w:t>
      </w:r>
      <w:r w:rsidR="001C651B" w:rsidRPr="001C651B">
        <w:rPr>
          <w:noProof/>
          <w:color w:val="000000"/>
        </w:rPr>
        <w:t xml:space="preserve"> w</w:t>
      </w:r>
      <w:r w:rsidR="001C651B">
        <w:rPr>
          <w:noProof/>
          <w:color w:val="000000"/>
        </w:rPr>
        <w:t> </w:t>
      </w:r>
      <w:r w:rsidR="001C651B" w:rsidRPr="001C651B">
        <w:rPr>
          <w:noProof/>
          <w:color w:val="000000"/>
        </w:rPr>
        <w:t>zał</w:t>
      </w:r>
      <w:r w:rsidRPr="001C651B">
        <w:rPr>
          <w:noProof/>
          <w:color w:val="000000"/>
        </w:rPr>
        <w:t>ączniku I do niniejszego rozporządzenia,</w:t>
      </w:r>
      <w:r w:rsidR="001C651B" w:rsidRPr="001C651B">
        <w:rPr>
          <w:noProof/>
          <w:color w:val="000000"/>
        </w:rPr>
        <w:t xml:space="preserve"> z</w:t>
      </w:r>
      <w:r w:rsidR="001C651B">
        <w:rPr>
          <w:noProof/>
          <w:color w:val="000000"/>
        </w:rPr>
        <w:t> </w:t>
      </w:r>
      <w:r w:rsidR="001C651B" w:rsidRPr="001C651B">
        <w:rPr>
          <w:noProof/>
          <w:color w:val="000000"/>
        </w:rPr>
        <w:t>nas</w:t>
      </w:r>
      <w:r w:rsidRPr="001C651B">
        <w:rPr>
          <w:noProof/>
          <w:color w:val="000000"/>
        </w:rPr>
        <w:t>tępującą częstotliwością:</w:t>
      </w:r>
    </w:p>
    <w:p w:rsidR="00AD54BA" w:rsidRPr="001C651B" w:rsidRDefault="00D8126A" w:rsidP="00D8126A">
      <w:pPr>
        <w:pStyle w:val="Point0"/>
        <w:rPr>
          <w:noProof/>
        </w:rPr>
      </w:pPr>
      <w:r w:rsidRPr="001C651B">
        <w:rPr>
          <w:noProof/>
        </w:rPr>
        <w:t>a)</w:t>
      </w:r>
      <w:r w:rsidRPr="001C651B">
        <w:rPr>
          <w:noProof/>
        </w:rPr>
        <w:tab/>
      </w:r>
      <w:r w:rsidR="00AD54BA" w:rsidRPr="001C651B">
        <w:rPr>
          <w:noProof/>
        </w:rPr>
        <w:t>informacje określone we wzorach F 01.01–F 19.00 zawartych</w:t>
      </w:r>
      <w:r w:rsidR="001C651B" w:rsidRPr="001C651B">
        <w:rPr>
          <w:noProof/>
        </w:rPr>
        <w:t xml:space="preserve"> w</w:t>
      </w:r>
      <w:r w:rsidR="001C651B">
        <w:rPr>
          <w:noProof/>
        </w:rPr>
        <w:t> </w:t>
      </w:r>
      <w:r w:rsidR="001C651B" w:rsidRPr="001C651B">
        <w:rPr>
          <w:noProof/>
        </w:rPr>
        <w:t>sek</w:t>
      </w:r>
      <w:r w:rsidR="00AD54BA" w:rsidRPr="001C651B">
        <w:rPr>
          <w:noProof/>
        </w:rPr>
        <w:t>cji 2 załącznika I do niniejszego rozporządzenia –</w:t>
      </w:r>
      <w:r w:rsidR="001C651B" w:rsidRPr="001C651B">
        <w:rPr>
          <w:noProof/>
        </w:rPr>
        <w:t xml:space="preserve"> z</w:t>
      </w:r>
      <w:r w:rsidR="001C651B">
        <w:rPr>
          <w:noProof/>
        </w:rPr>
        <w:t> </w:t>
      </w:r>
      <w:r w:rsidR="001C651B" w:rsidRPr="001C651B">
        <w:rPr>
          <w:noProof/>
        </w:rPr>
        <w:t>czę</w:t>
      </w:r>
      <w:r w:rsidR="00AD54BA" w:rsidRPr="001C651B">
        <w:rPr>
          <w:noProof/>
        </w:rPr>
        <w:t>stotliwością kwartalną;</w:t>
      </w:r>
    </w:p>
    <w:p w:rsidR="00AD54BA" w:rsidRPr="001C651B" w:rsidRDefault="00D8126A" w:rsidP="00D8126A">
      <w:pPr>
        <w:pStyle w:val="Point0"/>
        <w:rPr>
          <w:noProof/>
        </w:rPr>
      </w:pPr>
      <w:r w:rsidRPr="001C651B">
        <w:rPr>
          <w:noProof/>
        </w:rPr>
        <w:t>b)</w:t>
      </w:r>
      <w:r w:rsidRPr="001C651B">
        <w:rPr>
          <w:noProof/>
        </w:rPr>
        <w:tab/>
      </w:r>
      <w:r w:rsidR="00AD54BA" w:rsidRPr="001C651B">
        <w:rPr>
          <w:noProof/>
        </w:rPr>
        <w:t>informacje określone we wzorach F 30.01–F 31.02 zawartych</w:t>
      </w:r>
      <w:r w:rsidR="001C651B" w:rsidRPr="001C651B">
        <w:rPr>
          <w:noProof/>
        </w:rPr>
        <w:t xml:space="preserve"> w</w:t>
      </w:r>
      <w:r w:rsidR="001C651B">
        <w:rPr>
          <w:noProof/>
        </w:rPr>
        <w:t> </w:t>
      </w:r>
      <w:r w:rsidR="001C651B" w:rsidRPr="001C651B">
        <w:rPr>
          <w:noProof/>
        </w:rPr>
        <w:t>sek</w:t>
      </w:r>
      <w:r w:rsidR="00AD54BA" w:rsidRPr="001C651B">
        <w:rPr>
          <w:noProof/>
        </w:rPr>
        <w:t>cji 2 załącznika I do niniejszego rozporządzenia –</w:t>
      </w:r>
      <w:r w:rsidR="001C651B" w:rsidRPr="001C651B">
        <w:rPr>
          <w:noProof/>
        </w:rPr>
        <w:t xml:space="preserve"> z</w:t>
      </w:r>
      <w:r w:rsidR="001C651B">
        <w:rPr>
          <w:noProof/>
        </w:rPr>
        <w:t> </w:t>
      </w:r>
      <w:r w:rsidR="001C651B" w:rsidRPr="001C651B">
        <w:rPr>
          <w:noProof/>
        </w:rPr>
        <w:t>czę</w:t>
      </w:r>
      <w:r w:rsidR="00AD54BA" w:rsidRPr="001C651B">
        <w:rPr>
          <w:noProof/>
        </w:rPr>
        <w:t>stotliwością półroczną;</w:t>
      </w:r>
    </w:p>
    <w:p w:rsidR="00AD54BA" w:rsidRPr="001C651B" w:rsidRDefault="00D8126A" w:rsidP="00D8126A">
      <w:pPr>
        <w:pStyle w:val="Point0"/>
        <w:rPr>
          <w:noProof/>
        </w:rPr>
      </w:pPr>
      <w:r w:rsidRPr="001C651B">
        <w:rPr>
          <w:noProof/>
        </w:rPr>
        <w:t>c)</w:t>
      </w:r>
      <w:r w:rsidRPr="001C651B">
        <w:rPr>
          <w:noProof/>
        </w:rPr>
        <w:tab/>
      </w:r>
      <w:r w:rsidR="00AD54BA" w:rsidRPr="001C651B">
        <w:rPr>
          <w:noProof/>
        </w:rPr>
        <w:t>informacje określone we wzorach F 40.01–F 46.00 zawartych</w:t>
      </w:r>
      <w:r w:rsidR="001C651B" w:rsidRPr="001C651B">
        <w:rPr>
          <w:noProof/>
        </w:rPr>
        <w:t xml:space="preserve"> w</w:t>
      </w:r>
      <w:r w:rsidR="001C651B">
        <w:rPr>
          <w:noProof/>
        </w:rPr>
        <w:t> </w:t>
      </w:r>
      <w:r w:rsidR="001C651B" w:rsidRPr="001C651B">
        <w:rPr>
          <w:noProof/>
        </w:rPr>
        <w:t>sek</w:t>
      </w:r>
      <w:r w:rsidR="00AD54BA" w:rsidRPr="001C651B">
        <w:rPr>
          <w:noProof/>
        </w:rPr>
        <w:t>cji 2 załącznika I do niniejszego rozporządzenia –</w:t>
      </w:r>
      <w:r w:rsidR="001C651B" w:rsidRPr="001C651B">
        <w:rPr>
          <w:noProof/>
        </w:rPr>
        <w:t xml:space="preserve"> z</w:t>
      </w:r>
      <w:r w:rsidR="001C651B">
        <w:rPr>
          <w:noProof/>
        </w:rPr>
        <w:t> </w:t>
      </w:r>
      <w:r w:rsidR="001C651B" w:rsidRPr="001C651B">
        <w:rPr>
          <w:noProof/>
        </w:rPr>
        <w:t>czę</w:t>
      </w:r>
      <w:r w:rsidR="00AD54BA" w:rsidRPr="001C651B">
        <w:rPr>
          <w:noProof/>
        </w:rPr>
        <w:t>stotliwością roczną;</w:t>
      </w:r>
    </w:p>
    <w:p w:rsidR="00AD54BA" w:rsidRPr="001C651B" w:rsidRDefault="00D8126A" w:rsidP="00D8126A">
      <w:pPr>
        <w:pStyle w:val="Point0"/>
        <w:rPr>
          <w:noProof/>
        </w:rPr>
      </w:pPr>
      <w:r w:rsidRPr="001C651B">
        <w:rPr>
          <w:noProof/>
        </w:rPr>
        <w:t>d)</w:t>
      </w:r>
      <w:r w:rsidRPr="001C651B">
        <w:rPr>
          <w:noProof/>
        </w:rPr>
        <w:tab/>
      </w:r>
      <w:r w:rsidR="00AD54BA" w:rsidRPr="001C651B">
        <w:rPr>
          <w:noProof/>
        </w:rPr>
        <w:t>informacje określone we wzorach F 20.01–F 20.07.1 zawartych</w:t>
      </w:r>
      <w:r w:rsidR="001C651B" w:rsidRPr="001C651B">
        <w:rPr>
          <w:noProof/>
        </w:rPr>
        <w:t xml:space="preserve"> w</w:t>
      </w:r>
      <w:r w:rsidR="001C651B">
        <w:rPr>
          <w:noProof/>
        </w:rPr>
        <w:t> </w:t>
      </w:r>
      <w:r w:rsidR="001C651B" w:rsidRPr="001C651B">
        <w:rPr>
          <w:noProof/>
        </w:rPr>
        <w:t>sek</w:t>
      </w:r>
      <w:r w:rsidR="00AD54BA" w:rsidRPr="001C651B">
        <w:rPr>
          <w:noProof/>
        </w:rPr>
        <w:t>cji 2 załącznika I do niniejszego rozporządzenia,</w:t>
      </w:r>
      <w:r w:rsidR="001C651B" w:rsidRPr="001C651B">
        <w:rPr>
          <w:noProof/>
        </w:rPr>
        <w:t xml:space="preserve"> w</w:t>
      </w:r>
      <w:r w:rsidR="001C651B">
        <w:rPr>
          <w:noProof/>
        </w:rPr>
        <w:t> </w:t>
      </w:r>
      <w:r w:rsidR="001C651B" w:rsidRPr="001C651B">
        <w:rPr>
          <w:noProof/>
        </w:rPr>
        <w:t>prz</w:t>
      </w:r>
      <w:r w:rsidR="00AD54BA" w:rsidRPr="001C651B">
        <w:rPr>
          <w:noProof/>
        </w:rPr>
        <w:t>ypadku gdy instytucja przekracza próg określony</w:t>
      </w:r>
      <w:r w:rsidR="001C651B" w:rsidRPr="001C651B">
        <w:rPr>
          <w:noProof/>
        </w:rPr>
        <w:t xml:space="preserve"> w</w:t>
      </w:r>
      <w:r w:rsidR="001C651B">
        <w:rPr>
          <w:noProof/>
        </w:rPr>
        <w:t> </w:t>
      </w:r>
      <w:r w:rsidR="001C651B" w:rsidRPr="001C651B">
        <w:rPr>
          <w:noProof/>
        </w:rPr>
        <w:t>art</w:t>
      </w:r>
      <w:r w:rsidR="00AD54BA" w:rsidRPr="001C651B">
        <w:rPr>
          <w:noProof/>
        </w:rPr>
        <w:t>.</w:t>
      </w:r>
      <w:r w:rsidR="001C651B" w:rsidRPr="001C651B">
        <w:rPr>
          <w:noProof/>
        </w:rPr>
        <w:t> </w:t>
      </w:r>
      <w:r w:rsidR="00AD54BA" w:rsidRPr="001C651B">
        <w:rPr>
          <w:noProof/>
        </w:rPr>
        <w:t>5 ust.</w:t>
      </w:r>
      <w:r w:rsidR="001C651B" w:rsidRPr="001C651B">
        <w:rPr>
          <w:noProof/>
        </w:rPr>
        <w:t> </w:t>
      </w:r>
      <w:r w:rsidR="00AD54BA" w:rsidRPr="001C651B">
        <w:rPr>
          <w:noProof/>
        </w:rPr>
        <w:t>2 akapit drugi niniejszego rozporządzenia –</w:t>
      </w:r>
      <w:r w:rsidR="001C651B" w:rsidRPr="001C651B">
        <w:rPr>
          <w:noProof/>
        </w:rPr>
        <w:t xml:space="preserve"> z</w:t>
      </w:r>
      <w:r w:rsidR="001C651B">
        <w:rPr>
          <w:noProof/>
        </w:rPr>
        <w:t> </w:t>
      </w:r>
      <w:r w:rsidR="001C651B" w:rsidRPr="001C651B">
        <w:rPr>
          <w:noProof/>
        </w:rPr>
        <w:t>czę</w:t>
      </w:r>
      <w:r w:rsidR="00AD54BA" w:rsidRPr="001C651B">
        <w:rPr>
          <w:noProof/>
        </w:rPr>
        <w:t>stotliwością kwartalną;</w:t>
      </w:r>
    </w:p>
    <w:p w:rsidR="00AD54BA" w:rsidRPr="001C651B" w:rsidRDefault="00D8126A" w:rsidP="00D8126A">
      <w:pPr>
        <w:pStyle w:val="Point0"/>
        <w:rPr>
          <w:noProof/>
        </w:rPr>
      </w:pPr>
      <w:r w:rsidRPr="001C651B">
        <w:rPr>
          <w:noProof/>
        </w:rPr>
        <w:t>e)</w:t>
      </w:r>
      <w:r w:rsidRPr="001C651B">
        <w:rPr>
          <w:noProof/>
        </w:rPr>
        <w:tab/>
      </w:r>
      <w:r w:rsidR="00AD54BA" w:rsidRPr="001C651B">
        <w:rPr>
          <w:noProof/>
        </w:rPr>
        <w:t>informacje określone we wzorze F 21.00 zawartym</w:t>
      </w:r>
      <w:r w:rsidR="001C651B" w:rsidRPr="001C651B">
        <w:rPr>
          <w:noProof/>
        </w:rPr>
        <w:t xml:space="preserve"> w</w:t>
      </w:r>
      <w:r w:rsidR="001C651B">
        <w:rPr>
          <w:noProof/>
        </w:rPr>
        <w:t> </w:t>
      </w:r>
      <w:r w:rsidR="001C651B" w:rsidRPr="001C651B">
        <w:rPr>
          <w:noProof/>
        </w:rPr>
        <w:t>sek</w:t>
      </w:r>
      <w:r w:rsidR="00AD54BA" w:rsidRPr="001C651B">
        <w:rPr>
          <w:noProof/>
        </w:rPr>
        <w:t>cji 2 załącznika I do niniejszego rozporządzenia,</w:t>
      </w:r>
      <w:r w:rsidR="001C651B" w:rsidRPr="001C651B">
        <w:rPr>
          <w:noProof/>
        </w:rPr>
        <w:t xml:space="preserve"> w</w:t>
      </w:r>
      <w:r w:rsidR="001C651B">
        <w:rPr>
          <w:noProof/>
        </w:rPr>
        <w:t> </w:t>
      </w:r>
      <w:r w:rsidR="001C651B" w:rsidRPr="001C651B">
        <w:rPr>
          <w:noProof/>
        </w:rPr>
        <w:t>prz</w:t>
      </w:r>
      <w:r w:rsidR="00AD54BA" w:rsidRPr="001C651B">
        <w:rPr>
          <w:noProof/>
        </w:rPr>
        <w:t>ypadku gdy nieruchomości inwestycyjne</w:t>
      </w:r>
      <w:r w:rsidR="001C651B" w:rsidRPr="001C651B">
        <w:rPr>
          <w:noProof/>
        </w:rPr>
        <w:t xml:space="preserve"> i</w:t>
      </w:r>
      <w:r w:rsidR="001C651B">
        <w:rPr>
          <w:noProof/>
        </w:rPr>
        <w:t> </w:t>
      </w:r>
      <w:r w:rsidR="001C651B" w:rsidRPr="001C651B">
        <w:rPr>
          <w:noProof/>
        </w:rPr>
        <w:t>rze</w:t>
      </w:r>
      <w:r w:rsidR="00AD54BA" w:rsidRPr="001C651B">
        <w:rPr>
          <w:noProof/>
        </w:rPr>
        <w:t>czowe aktywa trwałe objęte leasingiem operacyjnym wynoszą co najmniej 10</w:t>
      </w:r>
      <w:r w:rsidR="001C651B" w:rsidRPr="001C651B">
        <w:rPr>
          <w:noProof/>
        </w:rPr>
        <w:t> </w:t>
      </w:r>
      <w:r w:rsidR="00AD54BA" w:rsidRPr="001C651B">
        <w:rPr>
          <w:noProof/>
        </w:rPr>
        <w:t>% całkowitej wartości nieruchomości inwestycyjnych</w:t>
      </w:r>
      <w:r w:rsidR="001C651B" w:rsidRPr="001C651B">
        <w:rPr>
          <w:noProof/>
        </w:rPr>
        <w:t xml:space="preserve"> i</w:t>
      </w:r>
      <w:r w:rsidR="001C651B">
        <w:rPr>
          <w:noProof/>
        </w:rPr>
        <w:t> </w:t>
      </w:r>
      <w:r w:rsidR="001C651B" w:rsidRPr="001C651B">
        <w:rPr>
          <w:noProof/>
        </w:rPr>
        <w:t>rze</w:t>
      </w:r>
      <w:r w:rsidR="00AD54BA" w:rsidRPr="001C651B">
        <w:rPr>
          <w:noProof/>
        </w:rPr>
        <w:t>czowych aktywów trwałych zgłoszonych zgodnie ze wzorem F 01.01 zawartym</w:t>
      </w:r>
      <w:r w:rsidR="001C651B" w:rsidRPr="001C651B">
        <w:rPr>
          <w:noProof/>
        </w:rPr>
        <w:t xml:space="preserve"> w</w:t>
      </w:r>
      <w:r w:rsidR="001C651B">
        <w:rPr>
          <w:noProof/>
        </w:rPr>
        <w:t> </w:t>
      </w:r>
      <w:r w:rsidR="001C651B" w:rsidRPr="001C651B">
        <w:rPr>
          <w:noProof/>
        </w:rPr>
        <w:t>sek</w:t>
      </w:r>
      <w:r w:rsidR="00AD54BA" w:rsidRPr="001C651B">
        <w:rPr>
          <w:noProof/>
        </w:rPr>
        <w:t>cji 2 załącznika I do niniejszego rozporządzenia –</w:t>
      </w:r>
      <w:r w:rsidR="001C651B" w:rsidRPr="001C651B">
        <w:rPr>
          <w:noProof/>
        </w:rPr>
        <w:t xml:space="preserve"> z</w:t>
      </w:r>
      <w:r w:rsidR="001C651B">
        <w:rPr>
          <w:noProof/>
        </w:rPr>
        <w:t> </w:t>
      </w:r>
      <w:r w:rsidR="001C651B" w:rsidRPr="001C651B">
        <w:rPr>
          <w:noProof/>
        </w:rPr>
        <w:t>czę</w:t>
      </w:r>
      <w:r w:rsidR="00AD54BA" w:rsidRPr="001C651B">
        <w:rPr>
          <w:noProof/>
        </w:rPr>
        <w:t>stotliwością kwartalną;</w:t>
      </w:r>
    </w:p>
    <w:p w:rsidR="00AD54BA" w:rsidRPr="001C651B" w:rsidRDefault="00D8126A" w:rsidP="00D8126A">
      <w:pPr>
        <w:pStyle w:val="Point0"/>
        <w:rPr>
          <w:noProof/>
        </w:rPr>
      </w:pPr>
      <w:r w:rsidRPr="001C651B">
        <w:rPr>
          <w:noProof/>
        </w:rPr>
        <w:t>f)</w:t>
      </w:r>
      <w:r w:rsidRPr="001C651B">
        <w:rPr>
          <w:noProof/>
        </w:rPr>
        <w:tab/>
      </w:r>
      <w:r w:rsidR="00AD54BA" w:rsidRPr="001C651B">
        <w:rPr>
          <w:noProof/>
        </w:rPr>
        <w:t>informacje określone we wzorach F 22.01 i F 22.02 zawartych</w:t>
      </w:r>
      <w:r w:rsidR="001C651B" w:rsidRPr="001C651B">
        <w:rPr>
          <w:noProof/>
        </w:rPr>
        <w:t xml:space="preserve"> w</w:t>
      </w:r>
      <w:r w:rsidR="001C651B">
        <w:rPr>
          <w:noProof/>
        </w:rPr>
        <w:t> </w:t>
      </w:r>
      <w:r w:rsidR="001C651B" w:rsidRPr="001C651B">
        <w:rPr>
          <w:noProof/>
        </w:rPr>
        <w:t>sek</w:t>
      </w:r>
      <w:r w:rsidR="00AD54BA" w:rsidRPr="001C651B">
        <w:rPr>
          <w:noProof/>
        </w:rPr>
        <w:t>cji 2 załącznika I do niniejszego rozporządzenia,</w:t>
      </w:r>
      <w:r w:rsidR="001C651B" w:rsidRPr="001C651B">
        <w:rPr>
          <w:noProof/>
        </w:rPr>
        <w:t xml:space="preserve"> w</w:t>
      </w:r>
      <w:r w:rsidR="001C651B">
        <w:rPr>
          <w:noProof/>
        </w:rPr>
        <w:t> </w:t>
      </w:r>
      <w:r w:rsidR="001C651B" w:rsidRPr="001C651B">
        <w:rPr>
          <w:noProof/>
        </w:rPr>
        <w:t>prz</w:t>
      </w:r>
      <w:r w:rsidR="00AD54BA" w:rsidRPr="001C651B">
        <w:rPr>
          <w:noProof/>
        </w:rPr>
        <w:t>ypadku gdy przychody netto</w:t>
      </w:r>
      <w:r w:rsidR="001C651B" w:rsidRPr="001C651B">
        <w:rPr>
          <w:noProof/>
        </w:rPr>
        <w:t xml:space="preserve"> z</w:t>
      </w:r>
      <w:r w:rsidR="001C651B">
        <w:rPr>
          <w:noProof/>
        </w:rPr>
        <w:t> </w:t>
      </w:r>
      <w:r w:rsidR="001C651B" w:rsidRPr="001C651B">
        <w:rPr>
          <w:noProof/>
        </w:rPr>
        <w:t>tyt</w:t>
      </w:r>
      <w:r w:rsidR="00AD54BA" w:rsidRPr="001C651B">
        <w:rPr>
          <w:noProof/>
        </w:rPr>
        <w:t>ułu opłat</w:t>
      </w:r>
      <w:r w:rsidR="001C651B" w:rsidRPr="001C651B">
        <w:rPr>
          <w:noProof/>
        </w:rPr>
        <w:t xml:space="preserve"> i</w:t>
      </w:r>
      <w:r w:rsidR="001C651B">
        <w:rPr>
          <w:noProof/>
        </w:rPr>
        <w:t> </w:t>
      </w:r>
      <w:r w:rsidR="001C651B" w:rsidRPr="001C651B">
        <w:rPr>
          <w:noProof/>
        </w:rPr>
        <w:t>pro</w:t>
      </w:r>
      <w:r w:rsidR="00AD54BA" w:rsidRPr="001C651B">
        <w:rPr>
          <w:noProof/>
        </w:rPr>
        <w:t>wizji wynoszą co najmniej 10</w:t>
      </w:r>
      <w:r w:rsidR="001C651B" w:rsidRPr="001C651B">
        <w:rPr>
          <w:noProof/>
        </w:rPr>
        <w:t> </w:t>
      </w:r>
      <w:r w:rsidR="00AD54BA" w:rsidRPr="001C651B">
        <w:rPr>
          <w:noProof/>
        </w:rPr>
        <w:t>% sumy przychodów netto</w:t>
      </w:r>
      <w:r w:rsidR="001C651B" w:rsidRPr="001C651B">
        <w:rPr>
          <w:noProof/>
        </w:rPr>
        <w:t xml:space="preserve"> z</w:t>
      </w:r>
      <w:r w:rsidR="001C651B">
        <w:rPr>
          <w:noProof/>
        </w:rPr>
        <w:t> </w:t>
      </w:r>
      <w:r w:rsidR="001C651B" w:rsidRPr="001C651B">
        <w:rPr>
          <w:noProof/>
        </w:rPr>
        <w:t>tyt</w:t>
      </w:r>
      <w:r w:rsidR="00AD54BA" w:rsidRPr="001C651B">
        <w:rPr>
          <w:noProof/>
        </w:rPr>
        <w:t>ułu opłat</w:t>
      </w:r>
      <w:r w:rsidR="001C651B" w:rsidRPr="001C651B">
        <w:rPr>
          <w:noProof/>
        </w:rPr>
        <w:t xml:space="preserve"> i</w:t>
      </w:r>
      <w:r w:rsidR="001C651B">
        <w:rPr>
          <w:noProof/>
        </w:rPr>
        <w:t> </w:t>
      </w:r>
      <w:r w:rsidR="001C651B" w:rsidRPr="001C651B">
        <w:rPr>
          <w:noProof/>
        </w:rPr>
        <w:t>pro</w:t>
      </w:r>
      <w:r w:rsidR="00AD54BA" w:rsidRPr="001C651B">
        <w:rPr>
          <w:noProof/>
        </w:rPr>
        <w:t>wizji oraz wyniku odsetkowego netto, jak zgłoszono zgodnie ze wzorem F 02.00 zawartym</w:t>
      </w:r>
      <w:r w:rsidR="001C651B" w:rsidRPr="001C651B">
        <w:rPr>
          <w:noProof/>
        </w:rPr>
        <w:t xml:space="preserve"> w</w:t>
      </w:r>
      <w:r w:rsidR="001C651B">
        <w:rPr>
          <w:noProof/>
        </w:rPr>
        <w:t> </w:t>
      </w:r>
      <w:r w:rsidR="001C651B" w:rsidRPr="001C651B">
        <w:rPr>
          <w:noProof/>
        </w:rPr>
        <w:t>sek</w:t>
      </w:r>
      <w:r w:rsidR="00AD54BA" w:rsidRPr="001C651B">
        <w:rPr>
          <w:noProof/>
        </w:rPr>
        <w:t>cji 2 załącznika I do niniejszego rozporządzenia –</w:t>
      </w:r>
      <w:r w:rsidR="001C651B" w:rsidRPr="001C651B">
        <w:rPr>
          <w:noProof/>
        </w:rPr>
        <w:t xml:space="preserve"> z</w:t>
      </w:r>
      <w:r w:rsidR="001C651B">
        <w:rPr>
          <w:noProof/>
        </w:rPr>
        <w:t> </w:t>
      </w:r>
      <w:r w:rsidR="001C651B" w:rsidRPr="001C651B">
        <w:rPr>
          <w:noProof/>
        </w:rPr>
        <w:t>czę</w:t>
      </w:r>
      <w:r w:rsidR="00AD54BA" w:rsidRPr="001C651B">
        <w:rPr>
          <w:noProof/>
        </w:rPr>
        <w:t>stotliwością kwartalną;</w:t>
      </w:r>
    </w:p>
    <w:p w:rsidR="00AD54BA" w:rsidRPr="001C651B" w:rsidRDefault="00D8126A" w:rsidP="00D8126A">
      <w:pPr>
        <w:pStyle w:val="Point0"/>
        <w:rPr>
          <w:noProof/>
        </w:rPr>
      </w:pPr>
      <w:r w:rsidRPr="001C651B">
        <w:rPr>
          <w:noProof/>
        </w:rPr>
        <w:t>g)</w:t>
      </w:r>
      <w:r w:rsidRPr="001C651B">
        <w:rPr>
          <w:noProof/>
        </w:rPr>
        <w:tab/>
      </w:r>
      <w:r w:rsidR="00AD54BA" w:rsidRPr="001C651B">
        <w:rPr>
          <w:noProof/>
        </w:rPr>
        <w:t>informacje określone we wzorach F 23.01–F 26.00 zawartych</w:t>
      </w:r>
      <w:r w:rsidR="001C651B" w:rsidRPr="001C651B">
        <w:rPr>
          <w:noProof/>
        </w:rPr>
        <w:t xml:space="preserve"> w</w:t>
      </w:r>
      <w:r w:rsidR="001C651B">
        <w:rPr>
          <w:noProof/>
        </w:rPr>
        <w:t> </w:t>
      </w:r>
      <w:r w:rsidR="001C651B" w:rsidRPr="001C651B">
        <w:rPr>
          <w:noProof/>
        </w:rPr>
        <w:t>sek</w:t>
      </w:r>
      <w:r w:rsidR="00AD54BA" w:rsidRPr="001C651B">
        <w:rPr>
          <w:noProof/>
        </w:rPr>
        <w:t>cji 2 załącznika I do niniejszego rozporządzenia –</w:t>
      </w:r>
      <w:r w:rsidR="001C651B" w:rsidRPr="001C651B">
        <w:rPr>
          <w:noProof/>
        </w:rPr>
        <w:t xml:space="preserve"> z</w:t>
      </w:r>
      <w:r w:rsidR="001C651B">
        <w:rPr>
          <w:noProof/>
        </w:rPr>
        <w:t> </w:t>
      </w:r>
      <w:r w:rsidR="001C651B" w:rsidRPr="001C651B">
        <w:rPr>
          <w:noProof/>
        </w:rPr>
        <w:t>czę</w:t>
      </w:r>
      <w:r w:rsidR="00AD54BA" w:rsidRPr="001C651B">
        <w:rPr>
          <w:noProof/>
        </w:rPr>
        <w:t>stotliwością kwartalną,</w:t>
      </w:r>
      <w:r w:rsidR="001C651B" w:rsidRPr="001C651B">
        <w:rPr>
          <w:noProof/>
        </w:rPr>
        <w:t xml:space="preserve"> w</w:t>
      </w:r>
      <w:r w:rsidR="001C651B">
        <w:rPr>
          <w:noProof/>
        </w:rPr>
        <w:t> </w:t>
      </w:r>
      <w:r w:rsidR="001C651B" w:rsidRPr="001C651B">
        <w:rPr>
          <w:noProof/>
        </w:rPr>
        <w:t>prz</w:t>
      </w:r>
      <w:r w:rsidR="00AD54BA" w:rsidRPr="001C651B">
        <w:rPr>
          <w:noProof/>
        </w:rPr>
        <w:t>ypadku gdy spełnione są oba następujące warunki:</w:t>
      </w:r>
    </w:p>
    <w:p w:rsidR="00AD54BA" w:rsidRPr="001C651B" w:rsidRDefault="00AD54BA" w:rsidP="00C856B2">
      <w:pPr>
        <w:pStyle w:val="Point2"/>
        <w:rPr>
          <w:noProof/>
        </w:rPr>
      </w:pPr>
      <w:r w:rsidRPr="001C651B">
        <w:rPr>
          <w:noProof/>
        </w:rPr>
        <w:t>(i)</w:t>
      </w:r>
      <w:r w:rsidRPr="001C651B">
        <w:rPr>
          <w:noProof/>
        </w:rPr>
        <w:tab/>
        <w:t>instytucja nie jest małą</w:t>
      </w:r>
      <w:r w:rsidR="001C651B" w:rsidRPr="001C651B">
        <w:rPr>
          <w:noProof/>
        </w:rPr>
        <w:t xml:space="preserve"> i</w:t>
      </w:r>
      <w:r w:rsidR="001C651B">
        <w:rPr>
          <w:noProof/>
        </w:rPr>
        <w:t> </w:t>
      </w:r>
      <w:r w:rsidR="001C651B" w:rsidRPr="001C651B">
        <w:rPr>
          <w:noProof/>
        </w:rPr>
        <w:t>nie</w:t>
      </w:r>
      <w:r w:rsidRPr="001C651B">
        <w:rPr>
          <w:noProof/>
        </w:rPr>
        <w:t>złożoną instytucją;</w:t>
      </w:r>
    </w:p>
    <w:p w:rsidR="00AD54BA" w:rsidRPr="001C651B" w:rsidRDefault="00AD54BA" w:rsidP="00C856B2">
      <w:pPr>
        <w:pStyle w:val="Point2"/>
        <w:rPr>
          <w:noProof/>
        </w:rPr>
      </w:pPr>
      <w:r w:rsidRPr="001C651B">
        <w:rPr>
          <w:noProof/>
        </w:rPr>
        <w:t>(ii)</w:t>
      </w:r>
      <w:r w:rsidRPr="001C651B">
        <w:rPr>
          <w:noProof/>
        </w:rPr>
        <w:tab/>
        <w:t>stosunek wartości bilansowej brutto kredytów</w:t>
      </w:r>
      <w:r w:rsidR="001C651B" w:rsidRPr="001C651B">
        <w:rPr>
          <w:noProof/>
        </w:rPr>
        <w:t xml:space="preserve"> i</w:t>
      </w:r>
      <w:r w:rsidR="001C651B">
        <w:rPr>
          <w:noProof/>
        </w:rPr>
        <w:t> </w:t>
      </w:r>
      <w:r w:rsidR="001C651B" w:rsidRPr="001C651B">
        <w:rPr>
          <w:noProof/>
        </w:rPr>
        <w:t>zal</w:t>
      </w:r>
      <w:r w:rsidRPr="001C651B">
        <w:rPr>
          <w:noProof/>
        </w:rPr>
        <w:t>iczek instytucji objętych art.</w:t>
      </w:r>
      <w:r w:rsidR="001C651B" w:rsidRPr="001C651B">
        <w:rPr>
          <w:noProof/>
        </w:rPr>
        <w:t> </w:t>
      </w:r>
      <w:r w:rsidRPr="001C651B">
        <w:rPr>
          <w:noProof/>
        </w:rPr>
        <w:t>47a ust.</w:t>
      </w:r>
      <w:r w:rsidR="001C651B" w:rsidRPr="001C651B">
        <w:rPr>
          <w:noProof/>
        </w:rPr>
        <w:t> </w:t>
      </w:r>
      <w:r w:rsidRPr="001C651B">
        <w:rPr>
          <w:noProof/>
        </w:rPr>
        <w:t>3 rozporządzenia (UE) nr</w:t>
      </w:r>
      <w:r w:rsidR="001C651B" w:rsidRPr="001C651B">
        <w:rPr>
          <w:noProof/>
        </w:rPr>
        <w:t> </w:t>
      </w:r>
      <w:r w:rsidRPr="001C651B">
        <w:rPr>
          <w:noProof/>
        </w:rPr>
        <w:t>575/2013 do całkowitej wartości bilansowej brutto kredytów</w:t>
      </w:r>
      <w:r w:rsidR="001C651B" w:rsidRPr="001C651B">
        <w:rPr>
          <w:noProof/>
        </w:rPr>
        <w:t xml:space="preserve"> i</w:t>
      </w:r>
      <w:r w:rsidR="001C651B">
        <w:rPr>
          <w:noProof/>
        </w:rPr>
        <w:t> </w:t>
      </w:r>
      <w:r w:rsidR="001C651B" w:rsidRPr="001C651B">
        <w:rPr>
          <w:noProof/>
        </w:rPr>
        <w:t>zal</w:t>
      </w:r>
      <w:r w:rsidRPr="001C651B">
        <w:rPr>
          <w:noProof/>
        </w:rPr>
        <w:t>iczek objętych art.</w:t>
      </w:r>
      <w:r w:rsidR="001C651B" w:rsidRPr="001C651B">
        <w:rPr>
          <w:noProof/>
        </w:rPr>
        <w:t> </w:t>
      </w:r>
      <w:r w:rsidRPr="001C651B">
        <w:rPr>
          <w:noProof/>
        </w:rPr>
        <w:t>47a ust.</w:t>
      </w:r>
      <w:r w:rsidR="001C651B" w:rsidRPr="001C651B">
        <w:rPr>
          <w:noProof/>
        </w:rPr>
        <w:t> </w:t>
      </w:r>
      <w:r w:rsidRPr="001C651B">
        <w:rPr>
          <w:noProof/>
        </w:rPr>
        <w:t>1 tego rozporządzenia wynosi co najmniej 5</w:t>
      </w:r>
      <w:r w:rsidR="001C651B" w:rsidRPr="001C651B">
        <w:rPr>
          <w:noProof/>
        </w:rPr>
        <w:t> </w:t>
      </w:r>
      <w:r w:rsidRPr="001C651B">
        <w:rPr>
          <w:noProof/>
        </w:rPr>
        <w:t>%;</w:t>
      </w:r>
    </w:p>
    <w:p w:rsidR="00AD54BA" w:rsidRPr="001C651B" w:rsidRDefault="00D8126A" w:rsidP="00D8126A">
      <w:pPr>
        <w:pStyle w:val="Point0"/>
        <w:rPr>
          <w:noProof/>
        </w:rPr>
      </w:pPr>
      <w:r w:rsidRPr="001C651B">
        <w:rPr>
          <w:noProof/>
        </w:rPr>
        <w:t>h)</w:t>
      </w:r>
      <w:r w:rsidRPr="001C651B">
        <w:rPr>
          <w:noProof/>
        </w:rPr>
        <w:tab/>
      </w:r>
      <w:r w:rsidR="00AD54BA" w:rsidRPr="001C651B">
        <w:rPr>
          <w:noProof/>
        </w:rPr>
        <w:t>informacje określone we wzorze F 47.00 zawartym</w:t>
      </w:r>
      <w:r w:rsidR="001C651B" w:rsidRPr="001C651B">
        <w:rPr>
          <w:noProof/>
        </w:rPr>
        <w:t xml:space="preserve"> w</w:t>
      </w:r>
      <w:r w:rsidR="001C651B">
        <w:rPr>
          <w:noProof/>
        </w:rPr>
        <w:t> </w:t>
      </w:r>
      <w:r w:rsidR="001C651B" w:rsidRPr="001C651B">
        <w:rPr>
          <w:noProof/>
        </w:rPr>
        <w:t>sek</w:t>
      </w:r>
      <w:r w:rsidR="00AD54BA" w:rsidRPr="001C651B">
        <w:rPr>
          <w:noProof/>
        </w:rPr>
        <w:t>cji 2 załącznika I do niniejszego rozporządzenia,</w:t>
      </w:r>
      <w:r w:rsidR="001C651B" w:rsidRPr="001C651B">
        <w:rPr>
          <w:noProof/>
        </w:rPr>
        <w:t xml:space="preserve"> w</w:t>
      </w:r>
      <w:r w:rsidR="001C651B">
        <w:rPr>
          <w:noProof/>
        </w:rPr>
        <w:t> </w:t>
      </w:r>
      <w:r w:rsidR="001C651B" w:rsidRPr="001C651B">
        <w:rPr>
          <w:noProof/>
        </w:rPr>
        <w:t>prz</w:t>
      </w:r>
      <w:r w:rsidR="00AD54BA" w:rsidRPr="001C651B">
        <w:rPr>
          <w:noProof/>
        </w:rPr>
        <w:t>ypadku gdy spełnione są oba warunki określone</w:t>
      </w:r>
      <w:r w:rsidR="001C651B" w:rsidRPr="001C651B">
        <w:rPr>
          <w:noProof/>
        </w:rPr>
        <w:t xml:space="preserve"> w</w:t>
      </w:r>
      <w:r w:rsidR="001C651B">
        <w:rPr>
          <w:noProof/>
        </w:rPr>
        <w:t> </w:t>
      </w:r>
      <w:r w:rsidR="001C651B" w:rsidRPr="001C651B">
        <w:rPr>
          <w:noProof/>
        </w:rPr>
        <w:t>lit</w:t>
      </w:r>
      <w:r w:rsidR="00AD54BA" w:rsidRPr="001C651B">
        <w:rPr>
          <w:noProof/>
        </w:rPr>
        <w:t>.</w:t>
      </w:r>
      <w:r w:rsidR="001C651B" w:rsidRPr="001C651B">
        <w:rPr>
          <w:noProof/>
        </w:rPr>
        <w:t> </w:t>
      </w:r>
      <w:r w:rsidR="00AD54BA" w:rsidRPr="001C651B">
        <w:rPr>
          <w:noProof/>
        </w:rPr>
        <w:t>g) niniejszego ustępu –</w:t>
      </w:r>
      <w:r w:rsidR="001C651B" w:rsidRPr="001C651B">
        <w:rPr>
          <w:noProof/>
        </w:rPr>
        <w:t xml:space="preserve"> z</w:t>
      </w:r>
      <w:r w:rsidR="001C651B">
        <w:rPr>
          <w:noProof/>
        </w:rPr>
        <w:t> </w:t>
      </w:r>
      <w:r w:rsidR="001C651B" w:rsidRPr="001C651B">
        <w:rPr>
          <w:noProof/>
        </w:rPr>
        <w:t>czę</w:t>
      </w:r>
      <w:r w:rsidR="00AD54BA" w:rsidRPr="001C651B">
        <w:rPr>
          <w:noProof/>
        </w:rPr>
        <w:t>stotliwością roczną.</w:t>
      </w:r>
    </w:p>
    <w:p w:rsidR="00AD54BA" w:rsidRPr="001C651B" w:rsidRDefault="00AD54BA" w:rsidP="00AD54BA">
      <w:pPr>
        <w:spacing w:before="100" w:beforeAutospacing="1" w:after="100" w:afterAutospacing="1"/>
        <w:rPr>
          <w:noProof/>
          <w:color w:val="000000"/>
          <w:szCs w:val="24"/>
        </w:rPr>
      </w:pPr>
      <w:r w:rsidRPr="001C651B">
        <w:rPr>
          <w:noProof/>
          <w:color w:val="000000"/>
        </w:rPr>
        <w:t>Do celów lit.</w:t>
      </w:r>
      <w:r w:rsidR="001C651B" w:rsidRPr="001C651B">
        <w:rPr>
          <w:noProof/>
          <w:color w:val="000000"/>
        </w:rPr>
        <w:t> </w:t>
      </w:r>
      <w:r w:rsidRPr="001C651B">
        <w:rPr>
          <w:noProof/>
          <w:color w:val="000000"/>
        </w:rPr>
        <w:t>g) pkt (ii) przy wyliczaniu tego stosunku nie uwzględnia się kredytów</w:t>
      </w:r>
      <w:r w:rsidR="001C651B" w:rsidRPr="001C651B">
        <w:rPr>
          <w:noProof/>
          <w:color w:val="000000"/>
        </w:rPr>
        <w:t xml:space="preserve"> i</w:t>
      </w:r>
      <w:r w:rsidR="001C651B">
        <w:rPr>
          <w:noProof/>
          <w:color w:val="000000"/>
        </w:rPr>
        <w:t> </w:t>
      </w:r>
      <w:r w:rsidR="001C651B" w:rsidRPr="001C651B">
        <w:rPr>
          <w:noProof/>
          <w:color w:val="000000"/>
        </w:rPr>
        <w:t>zal</w:t>
      </w:r>
      <w:r w:rsidRPr="001C651B">
        <w:rPr>
          <w:noProof/>
          <w:color w:val="000000"/>
        </w:rPr>
        <w:t>iczek zaklasyfikowanych jako przeznaczone do sprzedaży, środków pieniężnych</w:t>
      </w:r>
      <w:r w:rsidR="001C651B" w:rsidRPr="001C651B">
        <w:rPr>
          <w:noProof/>
          <w:color w:val="000000"/>
        </w:rPr>
        <w:t xml:space="preserve"> w</w:t>
      </w:r>
      <w:r w:rsidR="001C651B">
        <w:rPr>
          <w:noProof/>
          <w:color w:val="000000"/>
        </w:rPr>
        <w:t> </w:t>
      </w:r>
      <w:r w:rsidR="001C651B" w:rsidRPr="001C651B">
        <w:rPr>
          <w:noProof/>
          <w:color w:val="000000"/>
        </w:rPr>
        <w:t>ban</w:t>
      </w:r>
      <w:r w:rsidRPr="001C651B">
        <w:rPr>
          <w:noProof/>
          <w:color w:val="000000"/>
        </w:rPr>
        <w:t>kach centralnych</w:t>
      </w:r>
      <w:r w:rsidR="001C651B" w:rsidRPr="001C651B">
        <w:rPr>
          <w:noProof/>
          <w:color w:val="000000"/>
        </w:rPr>
        <w:t xml:space="preserve"> i</w:t>
      </w:r>
      <w:r w:rsidR="001C651B">
        <w:rPr>
          <w:noProof/>
          <w:color w:val="000000"/>
        </w:rPr>
        <w:t> </w:t>
      </w:r>
      <w:r w:rsidR="001C651B" w:rsidRPr="001C651B">
        <w:rPr>
          <w:noProof/>
          <w:color w:val="000000"/>
        </w:rPr>
        <w:t>inn</w:t>
      </w:r>
      <w:r w:rsidRPr="001C651B">
        <w:rPr>
          <w:noProof/>
          <w:color w:val="000000"/>
        </w:rPr>
        <w:t>ych depozytów płatnych na żądanie ani</w:t>
      </w:r>
      <w:r w:rsidR="001C651B" w:rsidRPr="001C651B">
        <w:rPr>
          <w:noProof/>
          <w:color w:val="000000"/>
        </w:rPr>
        <w:t xml:space="preserve"> w</w:t>
      </w:r>
      <w:r w:rsidR="001C651B">
        <w:rPr>
          <w:noProof/>
          <w:color w:val="000000"/>
        </w:rPr>
        <w:t> </w:t>
      </w:r>
      <w:r w:rsidR="001C651B" w:rsidRPr="001C651B">
        <w:rPr>
          <w:noProof/>
          <w:color w:val="000000"/>
        </w:rPr>
        <w:t>mia</w:t>
      </w:r>
      <w:r w:rsidRPr="001C651B">
        <w:rPr>
          <w:noProof/>
          <w:color w:val="000000"/>
        </w:rPr>
        <w:t>nowniku, ani</w:t>
      </w:r>
      <w:r w:rsidR="001C651B" w:rsidRPr="001C651B">
        <w:rPr>
          <w:noProof/>
          <w:color w:val="000000"/>
        </w:rPr>
        <w:t xml:space="preserve"> w</w:t>
      </w:r>
      <w:r w:rsidR="001C651B">
        <w:rPr>
          <w:noProof/>
          <w:color w:val="000000"/>
        </w:rPr>
        <w:t> </w:t>
      </w:r>
      <w:r w:rsidR="001C651B" w:rsidRPr="001C651B">
        <w:rPr>
          <w:noProof/>
          <w:color w:val="000000"/>
        </w:rPr>
        <w:t>lic</w:t>
      </w:r>
      <w:r w:rsidRPr="001C651B">
        <w:rPr>
          <w:noProof/>
          <w:color w:val="000000"/>
        </w:rPr>
        <w:t>zniku.</w:t>
      </w:r>
    </w:p>
    <w:p w:rsidR="00716EA9" w:rsidRPr="001C651B" w:rsidRDefault="00716EA9" w:rsidP="00E537F5">
      <w:pPr>
        <w:pStyle w:val="Titrearticle"/>
        <w:rPr>
          <w:noProof/>
          <w:szCs w:val="24"/>
        </w:rPr>
      </w:pPr>
      <w:r w:rsidRPr="001C651B">
        <w:rPr>
          <w:noProof/>
        </w:rPr>
        <w:t>Artykuł 12</w:t>
      </w:r>
    </w:p>
    <w:p w:rsidR="00716EA9" w:rsidRPr="001C651B" w:rsidRDefault="00716EA9" w:rsidP="00F22954">
      <w:pPr>
        <w:pStyle w:val="Titrearticle"/>
        <w:spacing w:before="0"/>
        <w:rPr>
          <w:b/>
          <w:bCs/>
          <w:i w:val="0"/>
          <w:iCs/>
          <w:noProof/>
          <w:szCs w:val="24"/>
        </w:rPr>
      </w:pPr>
      <w:r w:rsidRPr="001C651B">
        <w:rPr>
          <w:b/>
          <w:i w:val="0"/>
          <w:noProof/>
        </w:rPr>
        <w:t>Sprawozdawczość</w:t>
      </w:r>
      <w:r w:rsidR="001C651B" w:rsidRPr="001C651B">
        <w:rPr>
          <w:b/>
          <w:i w:val="0"/>
          <w:noProof/>
        </w:rPr>
        <w:t xml:space="preserve"> w</w:t>
      </w:r>
      <w:r w:rsidR="001C651B">
        <w:rPr>
          <w:b/>
          <w:i w:val="0"/>
          <w:noProof/>
        </w:rPr>
        <w:t> </w:t>
      </w:r>
      <w:r w:rsidR="001C651B" w:rsidRPr="001C651B">
        <w:rPr>
          <w:b/>
          <w:i w:val="0"/>
          <w:noProof/>
        </w:rPr>
        <w:t>zak</w:t>
      </w:r>
      <w:r w:rsidRPr="001C651B">
        <w:rPr>
          <w:b/>
          <w:i w:val="0"/>
          <w:noProof/>
        </w:rPr>
        <w:t>resie informacji finansowych na zasadzie skonsolidowanej obowiązująca instytucje stosujące krajowe standardy rachunkowości</w:t>
      </w:r>
    </w:p>
    <w:p w:rsidR="00AD54BA" w:rsidRPr="001C651B" w:rsidRDefault="00716EA9" w:rsidP="00DC37AE">
      <w:pPr>
        <w:spacing w:after="0"/>
        <w:rPr>
          <w:rFonts w:eastAsia="Times New Roman"/>
          <w:noProof/>
          <w:color w:val="000000"/>
          <w:szCs w:val="24"/>
        </w:rPr>
      </w:pPr>
      <w:r w:rsidRPr="001C651B">
        <w:rPr>
          <w:noProof/>
          <w:color w:val="000000"/>
        </w:rPr>
        <w:t>W przypadku gdy właściwy organ objął wymogami</w:t>
      </w:r>
      <w:r w:rsidR="001C651B" w:rsidRPr="001C651B">
        <w:rPr>
          <w:noProof/>
          <w:color w:val="000000"/>
        </w:rPr>
        <w:t xml:space="preserve"> w</w:t>
      </w:r>
      <w:r w:rsidR="001C651B">
        <w:rPr>
          <w:noProof/>
          <w:color w:val="000000"/>
        </w:rPr>
        <w:t> </w:t>
      </w:r>
      <w:r w:rsidR="001C651B" w:rsidRPr="001C651B">
        <w:rPr>
          <w:noProof/>
          <w:color w:val="000000"/>
        </w:rPr>
        <w:t>zak</w:t>
      </w:r>
      <w:r w:rsidRPr="001C651B">
        <w:rPr>
          <w:noProof/>
          <w:color w:val="000000"/>
        </w:rPr>
        <w:t>resie sprawozdawczości dotyczącej informacji finansowych instytucje</w:t>
      </w:r>
      <w:r w:rsidR="001C651B" w:rsidRPr="001C651B">
        <w:rPr>
          <w:noProof/>
          <w:color w:val="000000"/>
        </w:rPr>
        <w:t xml:space="preserve"> z</w:t>
      </w:r>
      <w:r w:rsidR="001C651B">
        <w:rPr>
          <w:noProof/>
          <w:color w:val="000000"/>
        </w:rPr>
        <w:t> </w:t>
      </w:r>
      <w:r w:rsidR="001C651B" w:rsidRPr="001C651B">
        <w:rPr>
          <w:noProof/>
          <w:color w:val="000000"/>
        </w:rPr>
        <w:t>sie</w:t>
      </w:r>
      <w:r w:rsidRPr="001C651B">
        <w:rPr>
          <w:noProof/>
          <w:color w:val="000000"/>
        </w:rPr>
        <w:t>dzibą</w:t>
      </w:r>
      <w:r w:rsidR="001C651B" w:rsidRPr="001C651B">
        <w:rPr>
          <w:noProof/>
          <w:color w:val="000000"/>
        </w:rPr>
        <w:t xml:space="preserve"> w</w:t>
      </w:r>
      <w:r w:rsidR="001C651B">
        <w:rPr>
          <w:noProof/>
          <w:color w:val="000000"/>
        </w:rPr>
        <w:t> </w:t>
      </w:r>
      <w:r w:rsidR="001C651B" w:rsidRPr="001C651B">
        <w:rPr>
          <w:noProof/>
          <w:color w:val="000000"/>
        </w:rPr>
        <w:t>pań</w:t>
      </w:r>
      <w:r w:rsidRPr="001C651B">
        <w:rPr>
          <w:noProof/>
          <w:color w:val="000000"/>
        </w:rPr>
        <w:t>stwie członkowskim zgodnie</w:t>
      </w:r>
      <w:r w:rsidR="001C651B" w:rsidRPr="001C651B">
        <w:rPr>
          <w:noProof/>
          <w:color w:val="000000"/>
        </w:rPr>
        <w:t xml:space="preserve"> z</w:t>
      </w:r>
      <w:r w:rsidR="001C651B">
        <w:rPr>
          <w:noProof/>
          <w:color w:val="000000"/>
        </w:rPr>
        <w:t> </w:t>
      </w:r>
      <w:r w:rsidR="001C651B" w:rsidRPr="001C651B">
        <w:rPr>
          <w:noProof/>
          <w:color w:val="000000"/>
        </w:rPr>
        <w:t>art</w:t>
      </w:r>
      <w:r w:rsidRPr="001C651B">
        <w:rPr>
          <w:noProof/>
          <w:color w:val="000000"/>
        </w:rPr>
        <w:t>.</w:t>
      </w:r>
      <w:r w:rsidR="001C651B" w:rsidRPr="001C651B">
        <w:rPr>
          <w:noProof/>
          <w:color w:val="000000"/>
        </w:rPr>
        <w:t> </w:t>
      </w:r>
      <w:r w:rsidRPr="001C651B">
        <w:rPr>
          <w:noProof/>
          <w:color w:val="000000"/>
        </w:rPr>
        <w:t>430 ust.</w:t>
      </w:r>
      <w:r w:rsidR="001C651B" w:rsidRPr="001C651B">
        <w:rPr>
          <w:noProof/>
          <w:color w:val="000000"/>
        </w:rPr>
        <w:t> </w:t>
      </w:r>
      <w:r w:rsidRPr="001C651B">
        <w:rPr>
          <w:noProof/>
          <w:color w:val="000000"/>
        </w:rPr>
        <w:t>4 rozporządzenia (UE) nr</w:t>
      </w:r>
      <w:r w:rsidR="001C651B" w:rsidRPr="001C651B">
        <w:rPr>
          <w:noProof/>
          <w:color w:val="000000"/>
        </w:rPr>
        <w:t> </w:t>
      </w:r>
      <w:r w:rsidRPr="001C651B">
        <w:rPr>
          <w:noProof/>
          <w:color w:val="000000"/>
        </w:rPr>
        <w:t>575/2013, instytucje przedstawiają informacje finansowe na zasadzie skonsolidowanej, jak określono</w:t>
      </w:r>
      <w:r w:rsidR="001C651B" w:rsidRPr="001C651B">
        <w:rPr>
          <w:noProof/>
          <w:color w:val="000000"/>
        </w:rPr>
        <w:t xml:space="preserve"> w</w:t>
      </w:r>
      <w:r w:rsidR="001C651B">
        <w:rPr>
          <w:noProof/>
          <w:color w:val="000000"/>
        </w:rPr>
        <w:t> </w:t>
      </w:r>
      <w:r w:rsidR="001C651B" w:rsidRPr="001C651B">
        <w:rPr>
          <w:noProof/>
          <w:color w:val="000000"/>
        </w:rPr>
        <w:t>sek</w:t>
      </w:r>
      <w:r w:rsidRPr="001C651B">
        <w:rPr>
          <w:noProof/>
          <w:color w:val="000000"/>
        </w:rPr>
        <w:t>cji 3 – „Sprawozdawczość</w:t>
      </w:r>
      <w:r w:rsidR="001C651B" w:rsidRPr="001C651B">
        <w:rPr>
          <w:noProof/>
          <w:color w:val="000000"/>
        </w:rPr>
        <w:t xml:space="preserve"> w</w:t>
      </w:r>
      <w:r w:rsidR="001C651B">
        <w:rPr>
          <w:noProof/>
          <w:color w:val="000000"/>
        </w:rPr>
        <w:t> </w:t>
      </w:r>
      <w:r w:rsidR="001C651B" w:rsidRPr="001C651B">
        <w:rPr>
          <w:noProof/>
          <w:color w:val="000000"/>
        </w:rPr>
        <w:t>zak</w:t>
      </w:r>
      <w:r w:rsidRPr="001C651B">
        <w:rPr>
          <w:noProof/>
          <w:color w:val="000000"/>
        </w:rPr>
        <w:t>resie informacji finansowych zgodnie</w:t>
      </w:r>
      <w:r w:rsidR="001C651B" w:rsidRPr="001C651B">
        <w:rPr>
          <w:noProof/>
          <w:color w:val="000000"/>
        </w:rPr>
        <w:t xml:space="preserve"> z</w:t>
      </w:r>
      <w:r w:rsidR="001C651B">
        <w:rPr>
          <w:noProof/>
          <w:color w:val="000000"/>
        </w:rPr>
        <w:t> </w:t>
      </w:r>
      <w:r w:rsidR="001C651B" w:rsidRPr="001C651B">
        <w:rPr>
          <w:noProof/>
          <w:color w:val="000000"/>
        </w:rPr>
        <w:t>kra</w:t>
      </w:r>
      <w:r w:rsidRPr="001C651B">
        <w:rPr>
          <w:noProof/>
          <w:color w:val="000000"/>
        </w:rPr>
        <w:t>jowymi standardami rachunkowości”</w:t>
      </w:r>
      <w:r w:rsidR="001C651B" w:rsidRPr="001C651B">
        <w:rPr>
          <w:noProof/>
          <w:color w:val="000000"/>
        </w:rPr>
        <w:t xml:space="preserve"> w</w:t>
      </w:r>
      <w:r w:rsidR="001C651B">
        <w:rPr>
          <w:noProof/>
          <w:color w:val="000000"/>
        </w:rPr>
        <w:t> </w:t>
      </w:r>
      <w:r w:rsidR="001C651B" w:rsidRPr="001C651B">
        <w:rPr>
          <w:noProof/>
          <w:color w:val="000000"/>
        </w:rPr>
        <w:t>zał</w:t>
      </w:r>
      <w:r w:rsidRPr="001C651B">
        <w:rPr>
          <w:noProof/>
          <w:color w:val="000000"/>
        </w:rPr>
        <w:t>ączniku I do niniejszego rozporządzenia,</w:t>
      </w:r>
      <w:r w:rsidR="001C651B" w:rsidRPr="001C651B">
        <w:rPr>
          <w:noProof/>
          <w:color w:val="000000"/>
        </w:rPr>
        <w:t xml:space="preserve"> z</w:t>
      </w:r>
      <w:r w:rsidR="001C651B">
        <w:rPr>
          <w:noProof/>
          <w:color w:val="000000"/>
        </w:rPr>
        <w:t> </w:t>
      </w:r>
      <w:r w:rsidR="001C651B" w:rsidRPr="001C651B">
        <w:rPr>
          <w:noProof/>
          <w:color w:val="000000"/>
        </w:rPr>
        <w:t>nas</w:t>
      </w:r>
      <w:r w:rsidRPr="001C651B">
        <w:rPr>
          <w:noProof/>
          <w:color w:val="000000"/>
        </w:rPr>
        <w:t>tępującą częstotliwością:</w:t>
      </w:r>
    </w:p>
    <w:p w:rsidR="00EE077F" w:rsidRPr="001C651B" w:rsidRDefault="00D8126A" w:rsidP="00D8126A">
      <w:pPr>
        <w:pStyle w:val="Point0"/>
        <w:rPr>
          <w:noProof/>
        </w:rPr>
      </w:pPr>
      <w:r w:rsidRPr="001C651B">
        <w:rPr>
          <w:noProof/>
        </w:rPr>
        <w:t>a)</w:t>
      </w:r>
      <w:r w:rsidRPr="001C651B">
        <w:rPr>
          <w:noProof/>
        </w:rPr>
        <w:tab/>
      </w:r>
      <w:r w:rsidR="00EE077F" w:rsidRPr="001C651B">
        <w:rPr>
          <w:noProof/>
        </w:rPr>
        <w:t>informacje określone we wzorach F 01.01–F 19.00 zawartych</w:t>
      </w:r>
      <w:r w:rsidR="001C651B" w:rsidRPr="001C651B">
        <w:rPr>
          <w:noProof/>
        </w:rPr>
        <w:t xml:space="preserve"> w</w:t>
      </w:r>
      <w:r w:rsidR="001C651B">
        <w:rPr>
          <w:noProof/>
        </w:rPr>
        <w:t> </w:t>
      </w:r>
      <w:r w:rsidR="001C651B" w:rsidRPr="001C651B">
        <w:rPr>
          <w:noProof/>
        </w:rPr>
        <w:t>sek</w:t>
      </w:r>
      <w:r w:rsidR="00EE077F" w:rsidRPr="001C651B">
        <w:rPr>
          <w:noProof/>
        </w:rPr>
        <w:t xml:space="preserve">cji 3 załącznika I </w:t>
      </w:r>
      <w:r w:rsidR="00EE077F" w:rsidRPr="001C651B">
        <w:rPr>
          <w:noProof/>
          <w:color w:val="000000"/>
        </w:rPr>
        <w:t>do niniejszego rozporządzenia</w:t>
      </w:r>
      <w:r w:rsidR="00EE077F" w:rsidRPr="001C651B">
        <w:rPr>
          <w:noProof/>
        </w:rPr>
        <w:t xml:space="preserve"> –</w:t>
      </w:r>
      <w:r w:rsidR="001C651B" w:rsidRPr="001C651B">
        <w:rPr>
          <w:noProof/>
        </w:rPr>
        <w:t xml:space="preserve"> z</w:t>
      </w:r>
      <w:r w:rsidR="001C651B">
        <w:rPr>
          <w:noProof/>
        </w:rPr>
        <w:t> </w:t>
      </w:r>
      <w:r w:rsidR="001C651B" w:rsidRPr="001C651B">
        <w:rPr>
          <w:noProof/>
        </w:rPr>
        <w:t>czę</w:t>
      </w:r>
      <w:r w:rsidR="00EE077F" w:rsidRPr="001C651B">
        <w:rPr>
          <w:noProof/>
        </w:rPr>
        <w:t>stotliwością kwartalną;</w:t>
      </w:r>
    </w:p>
    <w:p w:rsidR="00EE077F" w:rsidRPr="001C651B" w:rsidRDefault="00D8126A" w:rsidP="00D8126A">
      <w:pPr>
        <w:pStyle w:val="Point0"/>
        <w:rPr>
          <w:noProof/>
        </w:rPr>
      </w:pPr>
      <w:r w:rsidRPr="001C651B">
        <w:rPr>
          <w:noProof/>
        </w:rPr>
        <w:t>b)</w:t>
      </w:r>
      <w:r w:rsidRPr="001C651B">
        <w:rPr>
          <w:noProof/>
        </w:rPr>
        <w:tab/>
      </w:r>
      <w:r w:rsidR="00EE077F" w:rsidRPr="001C651B">
        <w:rPr>
          <w:noProof/>
        </w:rPr>
        <w:t>informacje określone we wzorach F 30.01–F 31.02 zawartych</w:t>
      </w:r>
      <w:r w:rsidR="001C651B" w:rsidRPr="001C651B">
        <w:rPr>
          <w:noProof/>
        </w:rPr>
        <w:t xml:space="preserve"> w</w:t>
      </w:r>
      <w:r w:rsidR="001C651B">
        <w:rPr>
          <w:noProof/>
        </w:rPr>
        <w:t> </w:t>
      </w:r>
      <w:r w:rsidR="001C651B" w:rsidRPr="001C651B">
        <w:rPr>
          <w:noProof/>
        </w:rPr>
        <w:t>sek</w:t>
      </w:r>
      <w:r w:rsidR="00EE077F" w:rsidRPr="001C651B">
        <w:rPr>
          <w:noProof/>
        </w:rPr>
        <w:t>cji 3 załącznika I do niniejszego rozporządzenia –</w:t>
      </w:r>
      <w:r w:rsidR="001C651B" w:rsidRPr="001C651B">
        <w:rPr>
          <w:noProof/>
        </w:rPr>
        <w:t xml:space="preserve"> z</w:t>
      </w:r>
      <w:r w:rsidR="001C651B">
        <w:rPr>
          <w:noProof/>
        </w:rPr>
        <w:t> </w:t>
      </w:r>
      <w:r w:rsidR="001C651B" w:rsidRPr="001C651B">
        <w:rPr>
          <w:noProof/>
        </w:rPr>
        <w:t>czę</w:t>
      </w:r>
      <w:r w:rsidR="00EE077F" w:rsidRPr="001C651B">
        <w:rPr>
          <w:noProof/>
        </w:rPr>
        <w:t>stotliwością półroczną;</w:t>
      </w:r>
    </w:p>
    <w:p w:rsidR="00EE077F" w:rsidRPr="001C651B" w:rsidRDefault="00D8126A" w:rsidP="00D8126A">
      <w:pPr>
        <w:pStyle w:val="Point0"/>
        <w:rPr>
          <w:rFonts w:eastAsia="Times New Roman"/>
          <w:noProof/>
        </w:rPr>
      </w:pPr>
      <w:r w:rsidRPr="001C651B">
        <w:rPr>
          <w:noProof/>
        </w:rPr>
        <w:t>c)</w:t>
      </w:r>
      <w:r w:rsidRPr="001C651B">
        <w:rPr>
          <w:noProof/>
        </w:rPr>
        <w:tab/>
      </w:r>
      <w:r w:rsidR="00EE077F" w:rsidRPr="001C651B">
        <w:rPr>
          <w:noProof/>
        </w:rPr>
        <w:t>informacje określone we wzorach F 40.01–F 46.00 zawartych</w:t>
      </w:r>
      <w:r w:rsidR="001C651B" w:rsidRPr="001C651B">
        <w:rPr>
          <w:noProof/>
        </w:rPr>
        <w:t xml:space="preserve"> w</w:t>
      </w:r>
      <w:r w:rsidR="001C651B">
        <w:rPr>
          <w:noProof/>
        </w:rPr>
        <w:t> </w:t>
      </w:r>
      <w:r w:rsidR="001C651B" w:rsidRPr="001C651B">
        <w:rPr>
          <w:noProof/>
        </w:rPr>
        <w:t>sek</w:t>
      </w:r>
      <w:r w:rsidR="00EE077F" w:rsidRPr="001C651B">
        <w:rPr>
          <w:noProof/>
        </w:rPr>
        <w:t>cji 3 załącznika I do niniejszego rozporządzenia –</w:t>
      </w:r>
      <w:r w:rsidR="001C651B" w:rsidRPr="001C651B">
        <w:rPr>
          <w:noProof/>
        </w:rPr>
        <w:t xml:space="preserve"> z</w:t>
      </w:r>
      <w:r w:rsidR="001C651B">
        <w:rPr>
          <w:noProof/>
        </w:rPr>
        <w:t> </w:t>
      </w:r>
      <w:r w:rsidR="001C651B" w:rsidRPr="001C651B">
        <w:rPr>
          <w:noProof/>
        </w:rPr>
        <w:t>czę</w:t>
      </w:r>
      <w:r w:rsidR="00EE077F" w:rsidRPr="001C651B">
        <w:rPr>
          <w:noProof/>
        </w:rPr>
        <w:t>stotliwością roczną;</w:t>
      </w:r>
    </w:p>
    <w:p w:rsidR="00EE077F" w:rsidRPr="001C651B" w:rsidRDefault="00D8126A" w:rsidP="00D8126A">
      <w:pPr>
        <w:pStyle w:val="Point0"/>
        <w:rPr>
          <w:noProof/>
        </w:rPr>
      </w:pPr>
      <w:r w:rsidRPr="001C651B">
        <w:rPr>
          <w:noProof/>
        </w:rPr>
        <w:t>d)</w:t>
      </w:r>
      <w:r w:rsidRPr="001C651B">
        <w:rPr>
          <w:noProof/>
        </w:rPr>
        <w:tab/>
      </w:r>
      <w:r w:rsidR="00EE077F" w:rsidRPr="001C651B">
        <w:rPr>
          <w:noProof/>
        </w:rPr>
        <w:t>informacje określone we wzorach F 20.01–F 20.07.1 zawartych</w:t>
      </w:r>
      <w:r w:rsidR="001C651B" w:rsidRPr="001C651B">
        <w:rPr>
          <w:noProof/>
        </w:rPr>
        <w:t xml:space="preserve"> w</w:t>
      </w:r>
      <w:r w:rsidR="001C651B">
        <w:rPr>
          <w:noProof/>
        </w:rPr>
        <w:t> </w:t>
      </w:r>
      <w:r w:rsidR="001C651B" w:rsidRPr="001C651B">
        <w:rPr>
          <w:noProof/>
        </w:rPr>
        <w:t>sek</w:t>
      </w:r>
      <w:r w:rsidR="00EE077F" w:rsidRPr="001C651B">
        <w:rPr>
          <w:noProof/>
        </w:rPr>
        <w:t>cji 3 załącznika I do niniejszego rozporządzenia,</w:t>
      </w:r>
      <w:r w:rsidR="001C651B" w:rsidRPr="001C651B">
        <w:rPr>
          <w:noProof/>
        </w:rPr>
        <w:t xml:space="preserve"> w</w:t>
      </w:r>
      <w:r w:rsidR="001C651B">
        <w:rPr>
          <w:noProof/>
        </w:rPr>
        <w:t> </w:t>
      </w:r>
      <w:r w:rsidR="001C651B" w:rsidRPr="001C651B">
        <w:rPr>
          <w:noProof/>
        </w:rPr>
        <w:t>prz</w:t>
      </w:r>
      <w:r w:rsidR="00EE077F" w:rsidRPr="001C651B">
        <w:rPr>
          <w:noProof/>
        </w:rPr>
        <w:t>ypadku gdy instytucja przekracza próg określony</w:t>
      </w:r>
      <w:r w:rsidR="001C651B" w:rsidRPr="001C651B">
        <w:rPr>
          <w:noProof/>
        </w:rPr>
        <w:t xml:space="preserve"> w</w:t>
      </w:r>
      <w:r w:rsidR="001C651B">
        <w:rPr>
          <w:noProof/>
        </w:rPr>
        <w:t> </w:t>
      </w:r>
      <w:r w:rsidR="001C651B" w:rsidRPr="001C651B">
        <w:rPr>
          <w:noProof/>
        </w:rPr>
        <w:t>art</w:t>
      </w:r>
      <w:r w:rsidR="00EE077F" w:rsidRPr="001C651B">
        <w:rPr>
          <w:noProof/>
        </w:rPr>
        <w:t>.</w:t>
      </w:r>
      <w:r w:rsidR="001C651B" w:rsidRPr="001C651B">
        <w:rPr>
          <w:noProof/>
        </w:rPr>
        <w:t> </w:t>
      </w:r>
      <w:r w:rsidR="00EE077F" w:rsidRPr="001C651B">
        <w:rPr>
          <w:noProof/>
        </w:rPr>
        <w:t>5 ust.</w:t>
      </w:r>
      <w:r w:rsidR="001C651B" w:rsidRPr="001C651B">
        <w:rPr>
          <w:noProof/>
        </w:rPr>
        <w:t> </w:t>
      </w:r>
      <w:r w:rsidR="00EE077F" w:rsidRPr="001C651B">
        <w:rPr>
          <w:noProof/>
        </w:rPr>
        <w:t>2 akapit drugi niniejszego rozporządzenia –</w:t>
      </w:r>
      <w:r w:rsidR="001C651B" w:rsidRPr="001C651B">
        <w:rPr>
          <w:noProof/>
        </w:rPr>
        <w:t xml:space="preserve"> z</w:t>
      </w:r>
      <w:r w:rsidR="001C651B">
        <w:rPr>
          <w:noProof/>
        </w:rPr>
        <w:t> </w:t>
      </w:r>
      <w:r w:rsidR="001C651B" w:rsidRPr="001C651B">
        <w:rPr>
          <w:noProof/>
        </w:rPr>
        <w:t>czę</w:t>
      </w:r>
      <w:r w:rsidR="00EE077F" w:rsidRPr="001C651B">
        <w:rPr>
          <w:noProof/>
        </w:rPr>
        <w:t>stotliwością kwartalną;</w:t>
      </w:r>
    </w:p>
    <w:p w:rsidR="00EE077F" w:rsidRPr="001C651B" w:rsidRDefault="00D8126A" w:rsidP="00D8126A">
      <w:pPr>
        <w:pStyle w:val="Point0"/>
        <w:rPr>
          <w:rFonts w:eastAsia="Times New Roman"/>
          <w:noProof/>
        </w:rPr>
      </w:pPr>
      <w:r w:rsidRPr="001C651B">
        <w:rPr>
          <w:noProof/>
        </w:rPr>
        <w:t>e)</w:t>
      </w:r>
      <w:r w:rsidRPr="001C651B">
        <w:rPr>
          <w:noProof/>
        </w:rPr>
        <w:tab/>
      </w:r>
      <w:r w:rsidR="00EE077F" w:rsidRPr="001C651B">
        <w:rPr>
          <w:noProof/>
        </w:rPr>
        <w:t>informacje określone we wzorze F 21.00 zawartym</w:t>
      </w:r>
      <w:r w:rsidR="001C651B" w:rsidRPr="001C651B">
        <w:rPr>
          <w:noProof/>
        </w:rPr>
        <w:t xml:space="preserve"> w</w:t>
      </w:r>
      <w:r w:rsidR="001C651B">
        <w:rPr>
          <w:noProof/>
        </w:rPr>
        <w:t> </w:t>
      </w:r>
      <w:r w:rsidR="001C651B" w:rsidRPr="001C651B">
        <w:rPr>
          <w:noProof/>
        </w:rPr>
        <w:t>sek</w:t>
      </w:r>
      <w:r w:rsidR="00EE077F" w:rsidRPr="001C651B">
        <w:rPr>
          <w:noProof/>
        </w:rPr>
        <w:t>cji 3 załącznika I do niniejszego rozporządzenia,</w:t>
      </w:r>
      <w:r w:rsidR="001C651B" w:rsidRPr="001C651B">
        <w:rPr>
          <w:noProof/>
        </w:rPr>
        <w:t xml:space="preserve"> w</w:t>
      </w:r>
      <w:r w:rsidR="001C651B">
        <w:rPr>
          <w:noProof/>
        </w:rPr>
        <w:t> </w:t>
      </w:r>
      <w:r w:rsidR="001C651B" w:rsidRPr="001C651B">
        <w:rPr>
          <w:noProof/>
        </w:rPr>
        <w:t>prz</w:t>
      </w:r>
      <w:r w:rsidR="00EE077F" w:rsidRPr="001C651B">
        <w:rPr>
          <w:noProof/>
        </w:rPr>
        <w:t>ypadku gdy nieruchomości inwestycyjne</w:t>
      </w:r>
      <w:r w:rsidR="001C651B" w:rsidRPr="001C651B">
        <w:rPr>
          <w:noProof/>
        </w:rPr>
        <w:t xml:space="preserve"> i</w:t>
      </w:r>
      <w:r w:rsidR="001C651B">
        <w:rPr>
          <w:noProof/>
        </w:rPr>
        <w:t> </w:t>
      </w:r>
      <w:r w:rsidR="001C651B" w:rsidRPr="001C651B">
        <w:rPr>
          <w:noProof/>
        </w:rPr>
        <w:t>rze</w:t>
      </w:r>
      <w:r w:rsidR="00EE077F" w:rsidRPr="001C651B">
        <w:rPr>
          <w:noProof/>
        </w:rPr>
        <w:t>czowe aktywa trwałe objęte leasingiem operacyjnym wynoszą co najmniej 10</w:t>
      </w:r>
      <w:r w:rsidR="001C651B" w:rsidRPr="001C651B">
        <w:rPr>
          <w:noProof/>
        </w:rPr>
        <w:t> </w:t>
      </w:r>
      <w:r w:rsidR="00EE077F" w:rsidRPr="001C651B">
        <w:rPr>
          <w:noProof/>
        </w:rPr>
        <w:t>% całkowitej wartości nieruchomości inwestycyjnych</w:t>
      </w:r>
      <w:r w:rsidR="001C651B" w:rsidRPr="001C651B">
        <w:rPr>
          <w:noProof/>
        </w:rPr>
        <w:t xml:space="preserve"> i</w:t>
      </w:r>
      <w:r w:rsidR="001C651B">
        <w:rPr>
          <w:noProof/>
        </w:rPr>
        <w:t> </w:t>
      </w:r>
      <w:r w:rsidR="001C651B" w:rsidRPr="001C651B">
        <w:rPr>
          <w:noProof/>
        </w:rPr>
        <w:t>rze</w:t>
      </w:r>
      <w:r w:rsidR="00EE077F" w:rsidRPr="001C651B">
        <w:rPr>
          <w:noProof/>
        </w:rPr>
        <w:t>czowych aktywów trwałych zgłoszonych zgodnie ze wzorem F 01.01 zawartym</w:t>
      </w:r>
      <w:r w:rsidR="001C651B" w:rsidRPr="001C651B">
        <w:rPr>
          <w:noProof/>
        </w:rPr>
        <w:t xml:space="preserve"> w</w:t>
      </w:r>
      <w:r w:rsidR="001C651B">
        <w:rPr>
          <w:noProof/>
        </w:rPr>
        <w:t> </w:t>
      </w:r>
      <w:r w:rsidR="001C651B" w:rsidRPr="001C651B">
        <w:rPr>
          <w:noProof/>
        </w:rPr>
        <w:t>sek</w:t>
      </w:r>
      <w:r w:rsidR="00EE077F" w:rsidRPr="001C651B">
        <w:rPr>
          <w:noProof/>
        </w:rPr>
        <w:t>cji 3 załącznika I do niniejszego rozporządzenia –</w:t>
      </w:r>
      <w:r w:rsidR="001C651B" w:rsidRPr="001C651B">
        <w:rPr>
          <w:noProof/>
        </w:rPr>
        <w:t xml:space="preserve"> z</w:t>
      </w:r>
      <w:r w:rsidR="001C651B">
        <w:rPr>
          <w:noProof/>
        </w:rPr>
        <w:t> </w:t>
      </w:r>
      <w:r w:rsidR="001C651B" w:rsidRPr="001C651B">
        <w:rPr>
          <w:noProof/>
        </w:rPr>
        <w:t>czę</w:t>
      </w:r>
      <w:r w:rsidR="00EE077F" w:rsidRPr="001C651B">
        <w:rPr>
          <w:noProof/>
        </w:rPr>
        <w:t>stotliwością kwartalną;</w:t>
      </w:r>
    </w:p>
    <w:p w:rsidR="00EE077F" w:rsidRPr="001C651B" w:rsidRDefault="00D8126A" w:rsidP="00D8126A">
      <w:pPr>
        <w:pStyle w:val="Point0"/>
        <w:rPr>
          <w:rFonts w:eastAsia="Times New Roman"/>
          <w:noProof/>
        </w:rPr>
      </w:pPr>
      <w:r w:rsidRPr="001C651B">
        <w:rPr>
          <w:noProof/>
        </w:rPr>
        <w:t>f)</w:t>
      </w:r>
      <w:r w:rsidRPr="001C651B">
        <w:rPr>
          <w:noProof/>
        </w:rPr>
        <w:tab/>
      </w:r>
      <w:r w:rsidR="00EE077F" w:rsidRPr="001C651B">
        <w:rPr>
          <w:noProof/>
        </w:rPr>
        <w:t>informacje określone we wzorach F 22.01 i F 22.02 zawartych</w:t>
      </w:r>
      <w:r w:rsidR="001C651B" w:rsidRPr="001C651B">
        <w:rPr>
          <w:noProof/>
        </w:rPr>
        <w:t xml:space="preserve"> w</w:t>
      </w:r>
      <w:r w:rsidR="001C651B">
        <w:rPr>
          <w:noProof/>
        </w:rPr>
        <w:t> </w:t>
      </w:r>
      <w:r w:rsidR="001C651B" w:rsidRPr="001C651B">
        <w:rPr>
          <w:noProof/>
        </w:rPr>
        <w:t>sek</w:t>
      </w:r>
      <w:r w:rsidR="00EE077F" w:rsidRPr="001C651B">
        <w:rPr>
          <w:noProof/>
        </w:rPr>
        <w:t>cji 3 załącznika I do niniejszego rozporządzenia,</w:t>
      </w:r>
      <w:r w:rsidR="001C651B" w:rsidRPr="001C651B">
        <w:rPr>
          <w:noProof/>
        </w:rPr>
        <w:t xml:space="preserve"> w</w:t>
      </w:r>
      <w:r w:rsidR="001C651B">
        <w:rPr>
          <w:noProof/>
        </w:rPr>
        <w:t> </w:t>
      </w:r>
      <w:r w:rsidR="001C651B" w:rsidRPr="001C651B">
        <w:rPr>
          <w:noProof/>
        </w:rPr>
        <w:t>prz</w:t>
      </w:r>
      <w:r w:rsidR="00EE077F" w:rsidRPr="001C651B">
        <w:rPr>
          <w:noProof/>
        </w:rPr>
        <w:t>ypadku gdy przychody netto</w:t>
      </w:r>
      <w:r w:rsidR="001C651B" w:rsidRPr="001C651B">
        <w:rPr>
          <w:noProof/>
        </w:rPr>
        <w:t xml:space="preserve"> z</w:t>
      </w:r>
      <w:r w:rsidR="001C651B">
        <w:rPr>
          <w:noProof/>
        </w:rPr>
        <w:t> </w:t>
      </w:r>
      <w:r w:rsidR="001C651B" w:rsidRPr="001C651B">
        <w:rPr>
          <w:noProof/>
        </w:rPr>
        <w:t>tyt</w:t>
      </w:r>
      <w:r w:rsidR="00EE077F" w:rsidRPr="001C651B">
        <w:rPr>
          <w:noProof/>
        </w:rPr>
        <w:t>ułu opłat</w:t>
      </w:r>
      <w:r w:rsidR="001C651B" w:rsidRPr="001C651B">
        <w:rPr>
          <w:noProof/>
        </w:rPr>
        <w:t xml:space="preserve"> i</w:t>
      </w:r>
      <w:r w:rsidR="001C651B">
        <w:rPr>
          <w:noProof/>
        </w:rPr>
        <w:t> </w:t>
      </w:r>
      <w:r w:rsidR="001C651B" w:rsidRPr="001C651B">
        <w:rPr>
          <w:noProof/>
        </w:rPr>
        <w:t>pro</w:t>
      </w:r>
      <w:r w:rsidR="00EE077F" w:rsidRPr="001C651B">
        <w:rPr>
          <w:noProof/>
        </w:rPr>
        <w:t>wizji wynoszą co najmniej 10</w:t>
      </w:r>
      <w:r w:rsidR="001C651B" w:rsidRPr="001C651B">
        <w:rPr>
          <w:noProof/>
        </w:rPr>
        <w:t> </w:t>
      </w:r>
      <w:r w:rsidR="00EE077F" w:rsidRPr="001C651B">
        <w:rPr>
          <w:noProof/>
        </w:rPr>
        <w:t>% sumy przychodów netto</w:t>
      </w:r>
      <w:r w:rsidR="001C651B" w:rsidRPr="001C651B">
        <w:rPr>
          <w:noProof/>
        </w:rPr>
        <w:t xml:space="preserve"> z</w:t>
      </w:r>
      <w:r w:rsidR="001C651B">
        <w:rPr>
          <w:noProof/>
        </w:rPr>
        <w:t> </w:t>
      </w:r>
      <w:r w:rsidR="001C651B" w:rsidRPr="001C651B">
        <w:rPr>
          <w:noProof/>
        </w:rPr>
        <w:t>tyt</w:t>
      </w:r>
      <w:r w:rsidR="00EE077F" w:rsidRPr="001C651B">
        <w:rPr>
          <w:noProof/>
        </w:rPr>
        <w:t>ułu opłat</w:t>
      </w:r>
      <w:r w:rsidR="001C651B" w:rsidRPr="001C651B">
        <w:rPr>
          <w:noProof/>
        </w:rPr>
        <w:t xml:space="preserve"> i</w:t>
      </w:r>
      <w:r w:rsidR="001C651B">
        <w:rPr>
          <w:noProof/>
        </w:rPr>
        <w:t> </w:t>
      </w:r>
      <w:r w:rsidR="001C651B" w:rsidRPr="001C651B">
        <w:rPr>
          <w:noProof/>
        </w:rPr>
        <w:t>pro</w:t>
      </w:r>
      <w:r w:rsidR="00EE077F" w:rsidRPr="001C651B">
        <w:rPr>
          <w:noProof/>
        </w:rPr>
        <w:t>wizji oraz wyniku odsetkowego netto, jak zgłoszono zgodnie ze wzorem F 02.00 zawartym</w:t>
      </w:r>
      <w:r w:rsidR="001C651B" w:rsidRPr="001C651B">
        <w:rPr>
          <w:noProof/>
        </w:rPr>
        <w:t xml:space="preserve"> w</w:t>
      </w:r>
      <w:r w:rsidR="001C651B">
        <w:rPr>
          <w:noProof/>
        </w:rPr>
        <w:t> </w:t>
      </w:r>
      <w:r w:rsidR="001C651B" w:rsidRPr="001C651B">
        <w:rPr>
          <w:noProof/>
        </w:rPr>
        <w:t>sek</w:t>
      </w:r>
      <w:r w:rsidR="00EE077F" w:rsidRPr="001C651B">
        <w:rPr>
          <w:noProof/>
        </w:rPr>
        <w:t>cji 3 załącznika I do niniejszego rozporządzenia –</w:t>
      </w:r>
      <w:r w:rsidR="001C651B" w:rsidRPr="001C651B">
        <w:rPr>
          <w:noProof/>
        </w:rPr>
        <w:t xml:space="preserve"> z</w:t>
      </w:r>
      <w:r w:rsidR="001C651B">
        <w:rPr>
          <w:noProof/>
        </w:rPr>
        <w:t> </w:t>
      </w:r>
      <w:r w:rsidR="001C651B" w:rsidRPr="001C651B">
        <w:rPr>
          <w:noProof/>
        </w:rPr>
        <w:t>czę</w:t>
      </w:r>
      <w:r w:rsidR="00EE077F" w:rsidRPr="001C651B">
        <w:rPr>
          <w:noProof/>
        </w:rPr>
        <w:t>stotliwością kwartalną;</w:t>
      </w:r>
    </w:p>
    <w:p w:rsidR="00EE077F" w:rsidRPr="001C651B" w:rsidRDefault="00D8126A" w:rsidP="00D8126A">
      <w:pPr>
        <w:pStyle w:val="Point0"/>
        <w:rPr>
          <w:rFonts w:eastAsia="Times New Roman"/>
          <w:noProof/>
        </w:rPr>
      </w:pPr>
      <w:r w:rsidRPr="001C651B">
        <w:rPr>
          <w:noProof/>
        </w:rPr>
        <w:t>g)</w:t>
      </w:r>
      <w:r w:rsidRPr="001C651B">
        <w:rPr>
          <w:noProof/>
        </w:rPr>
        <w:tab/>
      </w:r>
      <w:r w:rsidR="00EE077F" w:rsidRPr="001C651B">
        <w:rPr>
          <w:noProof/>
        </w:rPr>
        <w:t>informacje określone we wzorach F 23.01–F 26.00 zawartych</w:t>
      </w:r>
      <w:r w:rsidR="001C651B" w:rsidRPr="001C651B">
        <w:rPr>
          <w:noProof/>
        </w:rPr>
        <w:t xml:space="preserve"> w</w:t>
      </w:r>
      <w:r w:rsidR="001C651B">
        <w:rPr>
          <w:noProof/>
        </w:rPr>
        <w:t> </w:t>
      </w:r>
      <w:r w:rsidR="001C651B" w:rsidRPr="001C651B">
        <w:rPr>
          <w:noProof/>
        </w:rPr>
        <w:t>sek</w:t>
      </w:r>
      <w:r w:rsidR="00EE077F" w:rsidRPr="001C651B">
        <w:rPr>
          <w:noProof/>
        </w:rPr>
        <w:t>cji 3 załącznika I do niniejszego rozporządzenia –</w:t>
      </w:r>
      <w:r w:rsidR="001C651B" w:rsidRPr="001C651B">
        <w:rPr>
          <w:noProof/>
        </w:rPr>
        <w:t xml:space="preserve"> z</w:t>
      </w:r>
      <w:r w:rsidR="001C651B">
        <w:rPr>
          <w:noProof/>
        </w:rPr>
        <w:t> </w:t>
      </w:r>
      <w:r w:rsidR="001C651B" w:rsidRPr="001C651B">
        <w:rPr>
          <w:noProof/>
        </w:rPr>
        <w:t>czę</w:t>
      </w:r>
      <w:r w:rsidR="00EE077F" w:rsidRPr="001C651B">
        <w:rPr>
          <w:noProof/>
        </w:rPr>
        <w:t>stotliwością kwartalną,</w:t>
      </w:r>
      <w:r w:rsidR="001C651B" w:rsidRPr="001C651B">
        <w:rPr>
          <w:noProof/>
        </w:rPr>
        <w:t xml:space="preserve"> w</w:t>
      </w:r>
      <w:r w:rsidR="001C651B">
        <w:rPr>
          <w:noProof/>
        </w:rPr>
        <w:t> </w:t>
      </w:r>
      <w:r w:rsidR="001C651B" w:rsidRPr="001C651B">
        <w:rPr>
          <w:noProof/>
        </w:rPr>
        <w:t>prz</w:t>
      </w:r>
      <w:r w:rsidR="00EE077F" w:rsidRPr="001C651B">
        <w:rPr>
          <w:noProof/>
        </w:rPr>
        <w:t>ypadku gdy spełnione są oba następujące warunki:</w:t>
      </w:r>
    </w:p>
    <w:p w:rsidR="00EE077F" w:rsidRPr="001C651B" w:rsidRDefault="00EE077F" w:rsidP="00C856B2">
      <w:pPr>
        <w:pStyle w:val="Point2"/>
        <w:rPr>
          <w:noProof/>
        </w:rPr>
      </w:pPr>
      <w:r w:rsidRPr="001C651B">
        <w:rPr>
          <w:noProof/>
        </w:rPr>
        <w:t>(i)</w:t>
      </w:r>
      <w:r w:rsidRPr="001C651B">
        <w:rPr>
          <w:noProof/>
        </w:rPr>
        <w:tab/>
        <w:t>instytucja nie jest małą lub niezłożoną instytucją;</w:t>
      </w:r>
    </w:p>
    <w:p w:rsidR="00EE077F" w:rsidRPr="001C651B" w:rsidRDefault="00EE077F" w:rsidP="00C856B2">
      <w:pPr>
        <w:pStyle w:val="Point2"/>
        <w:rPr>
          <w:noProof/>
        </w:rPr>
      </w:pPr>
      <w:r w:rsidRPr="001C651B">
        <w:rPr>
          <w:noProof/>
        </w:rPr>
        <w:t>(ii)</w:t>
      </w:r>
      <w:r w:rsidRPr="001C651B">
        <w:rPr>
          <w:noProof/>
        </w:rPr>
        <w:tab/>
        <w:t>właściwy dla instytucji stosunek określony</w:t>
      </w:r>
      <w:r w:rsidR="001C651B" w:rsidRPr="001C651B">
        <w:rPr>
          <w:noProof/>
        </w:rPr>
        <w:t xml:space="preserve"> w</w:t>
      </w:r>
      <w:r w:rsidR="001C651B">
        <w:rPr>
          <w:noProof/>
        </w:rPr>
        <w:t> </w:t>
      </w:r>
      <w:r w:rsidR="001C651B" w:rsidRPr="001C651B">
        <w:rPr>
          <w:noProof/>
        </w:rPr>
        <w:t>art</w:t>
      </w:r>
      <w:r w:rsidRPr="001C651B">
        <w:rPr>
          <w:noProof/>
        </w:rPr>
        <w:t>.</w:t>
      </w:r>
      <w:r w:rsidR="001C651B" w:rsidRPr="001C651B">
        <w:rPr>
          <w:noProof/>
        </w:rPr>
        <w:t> </w:t>
      </w:r>
      <w:r w:rsidRPr="001C651B">
        <w:rPr>
          <w:noProof/>
        </w:rPr>
        <w:t>11 ust.</w:t>
      </w:r>
      <w:r w:rsidR="001C651B" w:rsidRPr="001C651B">
        <w:rPr>
          <w:noProof/>
        </w:rPr>
        <w:t> </w:t>
      </w:r>
      <w:r w:rsidRPr="001C651B">
        <w:rPr>
          <w:noProof/>
        </w:rPr>
        <w:t>2 lit.</w:t>
      </w:r>
      <w:r w:rsidR="001C651B" w:rsidRPr="001C651B">
        <w:rPr>
          <w:noProof/>
        </w:rPr>
        <w:t> </w:t>
      </w:r>
      <w:r w:rsidRPr="001C651B">
        <w:rPr>
          <w:noProof/>
        </w:rPr>
        <w:t>g) pkt (ii) niniejszego rozporządzenia wynosi co najmniej 5</w:t>
      </w:r>
      <w:r w:rsidR="001C651B" w:rsidRPr="001C651B">
        <w:rPr>
          <w:noProof/>
        </w:rPr>
        <w:t> </w:t>
      </w:r>
      <w:r w:rsidRPr="001C651B">
        <w:rPr>
          <w:noProof/>
        </w:rPr>
        <w:t>%;</w:t>
      </w:r>
    </w:p>
    <w:p w:rsidR="00EE077F" w:rsidRPr="001C651B" w:rsidRDefault="00D8126A" w:rsidP="00D8126A">
      <w:pPr>
        <w:pStyle w:val="Point0"/>
        <w:rPr>
          <w:noProof/>
        </w:rPr>
      </w:pPr>
      <w:r w:rsidRPr="001C651B">
        <w:rPr>
          <w:noProof/>
        </w:rPr>
        <w:t>h)</w:t>
      </w:r>
      <w:r w:rsidRPr="001C651B">
        <w:rPr>
          <w:noProof/>
        </w:rPr>
        <w:tab/>
      </w:r>
      <w:r w:rsidR="00EE077F" w:rsidRPr="001C651B">
        <w:rPr>
          <w:noProof/>
        </w:rPr>
        <w:t>informacje określone we wzorze</w:t>
      </w:r>
      <w:r w:rsidR="00EE077F" w:rsidRPr="001C651B">
        <w:rPr>
          <w:noProof/>
          <w:color w:val="000000"/>
        </w:rPr>
        <w:t xml:space="preserve"> F 47.00 zawartym</w:t>
      </w:r>
      <w:r w:rsidR="001C651B" w:rsidRPr="001C651B">
        <w:rPr>
          <w:noProof/>
          <w:color w:val="000000"/>
        </w:rPr>
        <w:t xml:space="preserve"> w</w:t>
      </w:r>
      <w:r w:rsidR="001C651B">
        <w:rPr>
          <w:noProof/>
          <w:color w:val="000000"/>
        </w:rPr>
        <w:t> </w:t>
      </w:r>
      <w:r w:rsidR="001C651B" w:rsidRPr="001C651B">
        <w:rPr>
          <w:noProof/>
          <w:color w:val="000000"/>
        </w:rPr>
        <w:t>sek</w:t>
      </w:r>
      <w:r w:rsidR="00EE077F" w:rsidRPr="001C651B">
        <w:rPr>
          <w:noProof/>
          <w:color w:val="000000"/>
        </w:rPr>
        <w:t>cji 3 załącznika I do niniejszego rozporządzenia</w:t>
      </w:r>
      <w:r w:rsidR="00EE077F" w:rsidRPr="001C651B">
        <w:rPr>
          <w:noProof/>
        </w:rPr>
        <w:t>,</w:t>
      </w:r>
      <w:r w:rsidR="001C651B" w:rsidRPr="001C651B">
        <w:rPr>
          <w:noProof/>
        </w:rPr>
        <w:t xml:space="preserve"> w</w:t>
      </w:r>
      <w:r w:rsidR="001C651B">
        <w:rPr>
          <w:noProof/>
        </w:rPr>
        <w:t> </w:t>
      </w:r>
      <w:r w:rsidR="001C651B" w:rsidRPr="001C651B">
        <w:rPr>
          <w:noProof/>
        </w:rPr>
        <w:t>prz</w:t>
      </w:r>
      <w:r w:rsidR="00EE077F" w:rsidRPr="001C651B">
        <w:rPr>
          <w:noProof/>
        </w:rPr>
        <w:t>ypadku gdy spełnione są oba warunki określone</w:t>
      </w:r>
      <w:r w:rsidR="001C651B" w:rsidRPr="001C651B">
        <w:rPr>
          <w:noProof/>
        </w:rPr>
        <w:t xml:space="preserve"> w</w:t>
      </w:r>
      <w:r w:rsidR="001C651B">
        <w:rPr>
          <w:noProof/>
        </w:rPr>
        <w:t> </w:t>
      </w:r>
      <w:r w:rsidR="001C651B" w:rsidRPr="001C651B">
        <w:rPr>
          <w:noProof/>
        </w:rPr>
        <w:t>lit</w:t>
      </w:r>
      <w:r w:rsidR="00EE077F" w:rsidRPr="001C651B">
        <w:rPr>
          <w:noProof/>
        </w:rPr>
        <w:t>.</w:t>
      </w:r>
      <w:r w:rsidR="001C651B" w:rsidRPr="001C651B">
        <w:rPr>
          <w:noProof/>
        </w:rPr>
        <w:t> </w:t>
      </w:r>
      <w:r w:rsidR="00EE077F" w:rsidRPr="001C651B">
        <w:rPr>
          <w:noProof/>
        </w:rPr>
        <w:t>g) niniejszego ustępu –</w:t>
      </w:r>
      <w:r w:rsidR="001C651B" w:rsidRPr="001C651B">
        <w:rPr>
          <w:noProof/>
        </w:rPr>
        <w:t xml:space="preserve"> z</w:t>
      </w:r>
      <w:r w:rsidR="001C651B">
        <w:rPr>
          <w:noProof/>
        </w:rPr>
        <w:t> </w:t>
      </w:r>
      <w:r w:rsidR="001C651B" w:rsidRPr="001C651B">
        <w:rPr>
          <w:noProof/>
        </w:rPr>
        <w:t>czę</w:t>
      </w:r>
      <w:r w:rsidR="00EE077F" w:rsidRPr="001C651B">
        <w:rPr>
          <w:noProof/>
        </w:rPr>
        <w:t>stotliwością roczną.</w:t>
      </w:r>
    </w:p>
    <w:p w:rsidR="00716EA9" w:rsidRPr="001C651B" w:rsidRDefault="00716EA9" w:rsidP="00E537F5">
      <w:pPr>
        <w:pStyle w:val="Titrearticle"/>
        <w:rPr>
          <w:noProof/>
          <w:szCs w:val="24"/>
        </w:rPr>
      </w:pPr>
      <w:r w:rsidRPr="001C651B">
        <w:rPr>
          <w:noProof/>
        </w:rPr>
        <w:t>Artykuł 13</w:t>
      </w:r>
    </w:p>
    <w:p w:rsidR="00716EA9" w:rsidRPr="001C651B" w:rsidRDefault="00716EA9" w:rsidP="00F22954">
      <w:pPr>
        <w:pStyle w:val="Titrearticle"/>
        <w:spacing w:before="0"/>
        <w:rPr>
          <w:b/>
          <w:bCs/>
          <w:i w:val="0"/>
          <w:iCs/>
          <w:noProof/>
          <w:szCs w:val="24"/>
        </w:rPr>
      </w:pPr>
      <w:r w:rsidRPr="001C651B">
        <w:rPr>
          <w:b/>
          <w:i w:val="0"/>
          <w:noProof/>
        </w:rPr>
        <w:t>Sprawozdawczość</w:t>
      </w:r>
      <w:r w:rsidR="001C651B" w:rsidRPr="001C651B">
        <w:rPr>
          <w:b/>
          <w:i w:val="0"/>
          <w:noProof/>
        </w:rPr>
        <w:t xml:space="preserve"> w</w:t>
      </w:r>
      <w:r w:rsidR="001C651B">
        <w:rPr>
          <w:b/>
          <w:i w:val="0"/>
          <w:noProof/>
        </w:rPr>
        <w:t> </w:t>
      </w:r>
      <w:r w:rsidR="001C651B" w:rsidRPr="001C651B">
        <w:rPr>
          <w:b/>
          <w:i w:val="0"/>
          <w:noProof/>
        </w:rPr>
        <w:t>zak</w:t>
      </w:r>
      <w:r w:rsidRPr="001C651B">
        <w:rPr>
          <w:b/>
          <w:i w:val="0"/>
          <w:noProof/>
        </w:rPr>
        <w:t>resie strat</w:t>
      </w:r>
      <w:r w:rsidR="001C651B" w:rsidRPr="001C651B">
        <w:rPr>
          <w:b/>
          <w:i w:val="0"/>
          <w:noProof/>
        </w:rPr>
        <w:t xml:space="preserve"> z</w:t>
      </w:r>
      <w:r w:rsidR="001C651B">
        <w:rPr>
          <w:b/>
          <w:i w:val="0"/>
          <w:noProof/>
        </w:rPr>
        <w:t> </w:t>
      </w:r>
      <w:r w:rsidR="001C651B" w:rsidRPr="001C651B">
        <w:rPr>
          <w:b/>
          <w:i w:val="0"/>
          <w:noProof/>
        </w:rPr>
        <w:t>tyt</w:t>
      </w:r>
      <w:r w:rsidRPr="001C651B">
        <w:rPr>
          <w:b/>
          <w:i w:val="0"/>
          <w:noProof/>
        </w:rPr>
        <w:t>ułu udzielonych kredytów zabezpieczonych nieruchomościami zgodnie</w:t>
      </w:r>
      <w:r w:rsidR="001C651B" w:rsidRPr="001C651B">
        <w:rPr>
          <w:b/>
          <w:i w:val="0"/>
          <w:noProof/>
        </w:rPr>
        <w:t xml:space="preserve"> z</w:t>
      </w:r>
      <w:r w:rsidR="001C651B">
        <w:rPr>
          <w:b/>
          <w:i w:val="0"/>
          <w:noProof/>
        </w:rPr>
        <w:t> </w:t>
      </w:r>
      <w:r w:rsidR="001C651B" w:rsidRPr="001C651B">
        <w:rPr>
          <w:b/>
          <w:i w:val="0"/>
          <w:noProof/>
        </w:rPr>
        <w:t>art</w:t>
      </w:r>
      <w:r w:rsidRPr="001C651B">
        <w:rPr>
          <w:b/>
          <w:i w:val="0"/>
          <w:noProof/>
        </w:rPr>
        <w:t>.</w:t>
      </w:r>
      <w:r w:rsidR="001C651B" w:rsidRPr="001C651B">
        <w:rPr>
          <w:b/>
          <w:i w:val="0"/>
          <w:noProof/>
        </w:rPr>
        <w:t> </w:t>
      </w:r>
      <w:r w:rsidRPr="001C651B">
        <w:rPr>
          <w:b/>
          <w:i w:val="0"/>
          <w:noProof/>
        </w:rPr>
        <w:t>430a ust.</w:t>
      </w:r>
      <w:r w:rsidR="001C651B" w:rsidRPr="001C651B">
        <w:rPr>
          <w:b/>
          <w:i w:val="0"/>
          <w:noProof/>
        </w:rPr>
        <w:t> </w:t>
      </w:r>
      <w:r w:rsidRPr="001C651B">
        <w:rPr>
          <w:b/>
          <w:i w:val="0"/>
          <w:noProof/>
        </w:rPr>
        <w:t>1 rozporządzenia (UE) nr</w:t>
      </w:r>
      <w:r w:rsidR="001C651B" w:rsidRPr="001C651B">
        <w:rPr>
          <w:b/>
          <w:i w:val="0"/>
          <w:noProof/>
        </w:rPr>
        <w:t> </w:t>
      </w:r>
      <w:r w:rsidRPr="001C651B">
        <w:rPr>
          <w:b/>
          <w:i w:val="0"/>
          <w:noProof/>
        </w:rPr>
        <w:t>575/2013 na zasadzie indywidualnej</w:t>
      </w:r>
      <w:r w:rsidR="001C651B" w:rsidRPr="001C651B">
        <w:rPr>
          <w:b/>
          <w:i w:val="0"/>
          <w:noProof/>
        </w:rPr>
        <w:t xml:space="preserve"> i</w:t>
      </w:r>
      <w:r w:rsidR="001C651B">
        <w:rPr>
          <w:b/>
          <w:i w:val="0"/>
          <w:noProof/>
        </w:rPr>
        <w:t> </w:t>
      </w:r>
      <w:r w:rsidR="001C651B" w:rsidRPr="001C651B">
        <w:rPr>
          <w:b/>
          <w:i w:val="0"/>
          <w:noProof/>
        </w:rPr>
        <w:t>sko</w:t>
      </w:r>
      <w:r w:rsidRPr="001C651B">
        <w:rPr>
          <w:b/>
          <w:i w:val="0"/>
          <w:noProof/>
        </w:rPr>
        <w:t>nsolidowanej</w:t>
      </w:r>
    </w:p>
    <w:p w:rsidR="00716EA9" w:rsidRPr="001C651B" w:rsidRDefault="003040A6" w:rsidP="003040A6">
      <w:pPr>
        <w:pStyle w:val="ManualNumPar1"/>
        <w:rPr>
          <w:noProof/>
        </w:rPr>
      </w:pPr>
      <w:r w:rsidRPr="003040A6">
        <w:rPr>
          <w:noProof/>
        </w:rPr>
        <w:t>1.</w:t>
      </w:r>
      <w:r w:rsidRPr="003040A6">
        <w:rPr>
          <w:noProof/>
        </w:rPr>
        <w:tab/>
      </w:r>
      <w:r w:rsidR="00716EA9" w:rsidRPr="001C651B">
        <w:rPr>
          <w:noProof/>
        </w:rPr>
        <w:t>Instytucje przekazują dane zagregowane,</w:t>
      </w:r>
      <w:r w:rsidR="001C651B" w:rsidRPr="001C651B">
        <w:rPr>
          <w:noProof/>
        </w:rPr>
        <w:t xml:space="preserve"> o</w:t>
      </w:r>
      <w:r w:rsidR="001C651B">
        <w:rPr>
          <w:noProof/>
        </w:rPr>
        <w:t> </w:t>
      </w:r>
      <w:r w:rsidR="001C651B" w:rsidRPr="001C651B">
        <w:rPr>
          <w:noProof/>
        </w:rPr>
        <w:t>któ</w:t>
      </w:r>
      <w:r w:rsidR="00716EA9" w:rsidRPr="001C651B">
        <w:rPr>
          <w:noProof/>
        </w:rPr>
        <w:t>rych mowa</w:t>
      </w:r>
      <w:r w:rsidR="001C651B" w:rsidRPr="001C651B">
        <w:rPr>
          <w:noProof/>
        </w:rPr>
        <w:t xml:space="preserve"> w</w:t>
      </w:r>
      <w:r w:rsidR="001C651B">
        <w:rPr>
          <w:noProof/>
        </w:rPr>
        <w:t> </w:t>
      </w:r>
      <w:r w:rsidR="001C651B" w:rsidRPr="001C651B">
        <w:rPr>
          <w:noProof/>
        </w:rPr>
        <w:t>art</w:t>
      </w:r>
      <w:r w:rsidR="00716EA9" w:rsidRPr="001C651B">
        <w:rPr>
          <w:noProof/>
        </w:rPr>
        <w:t>.</w:t>
      </w:r>
      <w:r w:rsidR="001C651B" w:rsidRPr="001C651B">
        <w:rPr>
          <w:noProof/>
        </w:rPr>
        <w:t> </w:t>
      </w:r>
      <w:r w:rsidR="00716EA9" w:rsidRPr="001C651B">
        <w:rPr>
          <w:noProof/>
        </w:rPr>
        <w:t>430a ust.</w:t>
      </w:r>
      <w:r w:rsidR="001C651B" w:rsidRPr="001C651B">
        <w:rPr>
          <w:noProof/>
        </w:rPr>
        <w:t> </w:t>
      </w:r>
      <w:r w:rsidR="00716EA9" w:rsidRPr="001C651B">
        <w:rPr>
          <w:noProof/>
        </w:rPr>
        <w:t>1 rozporządzenia (UE) nr</w:t>
      </w:r>
      <w:r w:rsidR="001C651B" w:rsidRPr="001C651B">
        <w:rPr>
          <w:noProof/>
        </w:rPr>
        <w:t> </w:t>
      </w:r>
      <w:r w:rsidR="00716EA9" w:rsidRPr="001C651B">
        <w:rPr>
          <w:noProof/>
        </w:rPr>
        <w:t>575/2013, na zasadzie skonsolidowanej, jak określono</w:t>
      </w:r>
      <w:r w:rsidR="001C651B" w:rsidRPr="001C651B">
        <w:rPr>
          <w:noProof/>
        </w:rPr>
        <w:t xml:space="preserve"> w</w:t>
      </w:r>
      <w:r w:rsidR="001C651B">
        <w:rPr>
          <w:noProof/>
        </w:rPr>
        <w:t> </w:t>
      </w:r>
      <w:r w:rsidR="001C651B" w:rsidRPr="001C651B">
        <w:rPr>
          <w:noProof/>
        </w:rPr>
        <w:t>sek</w:t>
      </w:r>
      <w:r w:rsidR="00716EA9" w:rsidRPr="001C651B">
        <w:rPr>
          <w:noProof/>
        </w:rPr>
        <w:t>cji 4 – „Sprawozdawczość</w:t>
      </w:r>
      <w:r w:rsidR="001C651B" w:rsidRPr="001C651B">
        <w:rPr>
          <w:noProof/>
        </w:rPr>
        <w:t xml:space="preserve"> w</w:t>
      </w:r>
      <w:r w:rsidR="001C651B">
        <w:rPr>
          <w:noProof/>
        </w:rPr>
        <w:t> </w:t>
      </w:r>
      <w:r w:rsidR="001C651B" w:rsidRPr="001C651B">
        <w:rPr>
          <w:noProof/>
        </w:rPr>
        <w:t>zak</w:t>
      </w:r>
      <w:r w:rsidR="00716EA9" w:rsidRPr="001C651B">
        <w:rPr>
          <w:noProof/>
        </w:rPr>
        <w:t>resie strat</w:t>
      </w:r>
      <w:r w:rsidR="001C651B" w:rsidRPr="001C651B">
        <w:rPr>
          <w:noProof/>
        </w:rPr>
        <w:t xml:space="preserve"> z</w:t>
      </w:r>
      <w:r w:rsidR="001C651B">
        <w:rPr>
          <w:noProof/>
        </w:rPr>
        <w:t> </w:t>
      </w:r>
      <w:r w:rsidR="001C651B" w:rsidRPr="001C651B">
        <w:rPr>
          <w:noProof/>
        </w:rPr>
        <w:t>tyt</w:t>
      </w:r>
      <w:r w:rsidR="00716EA9" w:rsidRPr="001C651B">
        <w:rPr>
          <w:noProof/>
        </w:rPr>
        <w:t>ułu udzielonych kredytów zabezpieczonych nieruchomościami”</w:t>
      </w:r>
      <w:r w:rsidR="001C651B" w:rsidRPr="001C651B">
        <w:rPr>
          <w:noProof/>
        </w:rPr>
        <w:t xml:space="preserve"> w</w:t>
      </w:r>
      <w:r w:rsidR="001C651B">
        <w:rPr>
          <w:noProof/>
        </w:rPr>
        <w:t> </w:t>
      </w:r>
      <w:r w:rsidR="001C651B" w:rsidRPr="001C651B">
        <w:rPr>
          <w:noProof/>
        </w:rPr>
        <w:t>zał</w:t>
      </w:r>
      <w:r w:rsidR="00716EA9" w:rsidRPr="001C651B">
        <w:rPr>
          <w:noProof/>
        </w:rPr>
        <w:t>ączniku I do niniejszego rozporządzenia,</w:t>
      </w:r>
      <w:r w:rsidR="001C651B" w:rsidRPr="001C651B">
        <w:rPr>
          <w:noProof/>
        </w:rPr>
        <w:t xml:space="preserve"> z</w:t>
      </w:r>
      <w:r w:rsidR="001C651B">
        <w:rPr>
          <w:noProof/>
        </w:rPr>
        <w:t> </w:t>
      </w:r>
      <w:r w:rsidR="001C651B" w:rsidRPr="001C651B">
        <w:rPr>
          <w:noProof/>
        </w:rPr>
        <w:t>czę</w:t>
      </w:r>
      <w:r w:rsidR="00716EA9" w:rsidRPr="001C651B">
        <w:rPr>
          <w:noProof/>
        </w:rPr>
        <w:t>stotliwością roczną.</w:t>
      </w:r>
    </w:p>
    <w:p w:rsidR="00716EA9" w:rsidRPr="001C651B" w:rsidRDefault="003040A6" w:rsidP="003040A6">
      <w:pPr>
        <w:pStyle w:val="ManualNumPar1"/>
        <w:rPr>
          <w:noProof/>
        </w:rPr>
      </w:pPr>
      <w:r w:rsidRPr="003040A6">
        <w:rPr>
          <w:noProof/>
        </w:rPr>
        <w:t>2.</w:t>
      </w:r>
      <w:r w:rsidRPr="003040A6">
        <w:rPr>
          <w:noProof/>
        </w:rPr>
        <w:tab/>
      </w:r>
      <w:r w:rsidR="00716EA9" w:rsidRPr="001C651B">
        <w:rPr>
          <w:noProof/>
        </w:rPr>
        <w:t>Instytucje przekazują dane zagregowane,</w:t>
      </w:r>
      <w:r w:rsidR="001C651B" w:rsidRPr="001C651B">
        <w:rPr>
          <w:noProof/>
        </w:rPr>
        <w:t xml:space="preserve"> o</w:t>
      </w:r>
      <w:r w:rsidR="001C651B">
        <w:rPr>
          <w:noProof/>
        </w:rPr>
        <w:t> </w:t>
      </w:r>
      <w:r w:rsidR="001C651B" w:rsidRPr="001C651B">
        <w:rPr>
          <w:noProof/>
        </w:rPr>
        <w:t>któ</w:t>
      </w:r>
      <w:r w:rsidR="00716EA9" w:rsidRPr="001C651B">
        <w:rPr>
          <w:noProof/>
        </w:rPr>
        <w:t>rych mowa</w:t>
      </w:r>
      <w:r w:rsidR="001C651B" w:rsidRPr="001C651B">
        <w:rPr>
          <w:noProof/>
        </w:rPr>
        <w:t xml:space="preserve"> w</w:t>
      </w:r>
      <w:r w:rsidR="001C651B">
        <w:rPr>
          <w:noProof/>
        </w:rPr>
        <w:t> </w:t>
      </w:r>
      <w:r w:rsidR="001C651B" w:rsidRPr="001C651B">
        <w:rPr>
          <w:noProof/>
        </w:rPr>
        <w:t>art</w:t>
      </w:r>
      <w:r w:rsidR="00716EA9" w:rsidRPr="001C651B">
        <w:rPr>
          <w:noProof/>
        </w:rPr>
        <w:t>.</w:t>
      </w:r>
      <w:r w:rsidR="001C651B" w:rsidRPr="001C651B">
        <w:rPr>
          <w:noProof/>
        </w:rPr>
        <w:t> </w:t>
      </w:r>
      <w:r w:rsidR="00716EA9" w:rsidRPr="001C651B">
        <w:rPr>
          <w:noProof/>
        </w:rPr>
        <w:t>430a ust.</w:t>
      </w:r>
      <w:r w:rsidR="001C651B" w:rsidRPr="001C651B">
        <w:rPr>
          <w:noProof/>
        </w:rPr>
        <w:t> </w:t>
      </w:r>
      <w:r w:rsidR="00716EA9" w:rsidRPr="001C651B">
        <w:rPr>
          <w:noProof/>
        </w:rPr>
        <w:t>1 rozporządzenia (UE) nr</w:t>
      </w:r>
      <w:r w:rsidR="001C651B" w:rsidRPr="001C651B">
        <w:rPr>
          <w:noProof/>
        </w:rPr>
        <w:t> </w:t>
      </w:r>
      <w:r w:rsidR="00716EA9" w:rsidRPr="001C651B">
        <w:rPr>
          <w:noProof/>
        </w:rPr>
        <w:t>575/2013, na zasadzie indywidualnej, jak określono</w:t>
      </w:r>
      <w:r w:rsidR="001C651B" w:rsidRPr="001C651B">
        <w:rPr>
          <w:noProof/>
        </w:rPr>
        <w:t xml:space="preserve"> w</w:t>
      </w:r>
      <w:r w:rsidR="001C651B">
        <w:rPr>
          <w:noProof/>
        </w:rPr>
        <w:t> </w:t>
      </w:r>
      <w:r w:rsidR="001C651B" w:rsidRPr="001C651B">
        <w:rPr>
          <w:noProof/>
        </w:rPr>
        <w:t>sek</w:t>
      </w:r>
      <w:r w:rsidR="00716EA9" w:rsidRPr="001C651B">
        <w:rPr>
          <w:noProof/>
        </w:rPr>
        <w:t>cji 4 – „Sprawozdawczość</w:t>
      </w:r>
      <w:r w:rsidR="001C651B" w:rsidRPr="001C651B">
        <w:rPr>
          <w:noProof/>
        </w:rPr>
        <w:t xml:space="preserve"> w</w:t>
      </w:r>
      <w:r w:rsidR="001C651B">
        <w:rPr>
          <w:noProof/>
        </w:rPr>
        <w:t> </w:t>
      </w:r>
      <w:r w:rsidR="001C651B" w:rsidRPr="001C651B">
        <w:rPr>
          <w:noProof/>
        </w:rPr>
        <w:t>zak</w:t>
      </w:r>
      <w:r w:rsidR="00716EA9" w:rsidRPr="001C651B">
        <w:rPr>
          <w:noProof/>
        </w:rPr>
        <w:t>resie strat</w:t>
      </w:r>
      <w:r w:rsidR="001C651B" w:rsidRPr="001C651B">
        <w:rPr>
          <w:noProof/>
        </w:rPr>
        <w:t xml:space="preserve"> z</w:t>
      </w:r>
      <w:r w:rsidR="001C651B">
        <w:rPr>
          <w:noProof/>
        </w:rPr>
        <w:t> </w:t>
      </w:r>
      <w:r w:rsidR="001C651B" w:rsidRPr="001C651B">
        <w:rPr>
          <w:noProof/>
        </w:rPr>
        <w:t>tyt</w:t>
      </w:r>
      <w:r w:rsidR="00716EA9" w:rsidRPr="001C651B">
        <w:rPr>
          <w:noProof/>
        </w:rPr>
        <w:t>ułu udzielonych kredytów zabezpieczonych nieruchomościami”</w:t>
      </w:r>
      <w:r w:rsidR="001C651B" w:rsidRPr="001C651B">
        <w:rPr>
          <w:noProof/>
        </w:rPr>
        <w:t xml:space="preserve"> w</w:t>
      </w:r>
      <w:r w:rsidR="001C651B">
        <w:rPr>
          <w:noProof/>
        </w:rPr>
        <w:t> </w:t>
      </w:r>
      <w:r w:rsidR="001C651B" w:rsidRPr="001C651B">
        <w:rPr>
          <w:noProof/>
        </w:rPr>
        <w:t>zał</w:t>
      </w:r>
      <w:r w:rsidR="00716EA9" w:rsidRPr="001C651B">
        <w:rPr>
          <w:noProof/>
        </w:rPr>
        <w:t>ączniku I do niniejszego rozporządzenia,</w:t>
      </w:r>
      <w:r w:rsidR="001C651B" w:rsidRPr="001C651B">
        <w:rPr>
          <w:noProof/>
        </w:rPr>
        <w:t xml:space="preserve"> z</w:t>
      </w:r>
      <w:r w:rsidR="001C651B">
        <w:rPr>
          <w:noProof/>
        </w:rPr>
        <w:t> </w:t>
      </w:r>
      <w:r w:rsidR="001C651B" w:rsidRPr="001C651B">
        <w:rPr>
          <w:noProof/>
        </w:rPr>
        <w:t>czę</w:t>
      </w:r>
      <w:r w:rsidR="00716EA9" w:rsidRPr="001C651B">
        <w:rPr>
          <w:noProof/>
        </w:rPr>
        <w:t>stotliwością roczną.</w:t>
      </w:r>
    </w:p>
    <w:p w:rsidR="00716EA9" w:rsidRPr="001C651B" w:rsidRDefault="003040A6" w:rsidP="003040A6">
      <w:pPr>
        <w:pStyle w:val="ManualNumPar1"/>
        <w:rPr>
          <w:noProof/>
        </w:rPr>
      </w:pPr>
      <w:r w:rsidRPr="003040A6">
        <w:rPr>
          <w:noProof/>
        </w:rPr>
        <w:t>3.</w:t>
      </w:r>
      <w:r w:rsidRPr="003040A6">
        <w:rPr>
          <w:noProof/>
        </w:rPr>
        <w:tab/>
      </w:r>
      <w:r w:rsidR="00716EA9" w:rsidRPr="001C651B">
        <w:rPr>
          <w:noProof/>
        </w:rPr>
        <w:t>Jeżeli instytucja posiada oddział</w:t>
      </w:r>
      <w:r w:rsidR="001C651B" w:rsidRPr="001C651B">
        <w:rPr>
          <w:noProof/>
        </w:rPr>
        <w:t xml:space="preserve"> w</w:t>
      </w:r>
      <w:r w:rsidR="001C651B">
        <w:rPr>
          <w:noProof/>
        </w:rPr>
        <w:t> </w:t>
      </w:r>
      <w:r w:rsidR="001C651B" w:rsidRPr="001C651B">
        <w:rPr>
          <w:noProof/>
        </w:rPr>
        <w:t>inn</w:t>
      </w:r>
      <w:r w:rsidR="00716EA9" w:rsidRPr="001C651B">
        <w:rPr>
          <w:noProof/>
        </w:rPr>
        <w:t>ym państwie członkowskim, oddział ten przedstawia właściwemu organowi przyjmującego państwa członkowskiego dane zagregowane,</w:t>
      </w:r>
      <w:r w:rsidR="001C651B" w:rsidRPr="001C651B">
        <w:rPr>
          <w:noProof/>
        </w:rPr>
        <w:t xml:space="preserve"> o</w:t>
      </w:r>
      <w:r w:rsidR="001C651B">
        <w:rPr>
          <w:noProof/>
        </w:rPr>
        <w:t> </w:t>
      </w:r>
      <w:r w:rsidR="001C651B" w:rsidRPr="001C651B">
        <w:rPr>
          <w:noProof/>
        </w:rPr>
        <w:t>któ</w:t>
      </w:r>
      <w:r w:rsidR="00716EA9" w:rsidRPr="001C651B">
        <w:rPr>
          <w:noProof/>
        </w:rPr>
        <w:t>rych mowa</w:t>
      </w:r>
      <w:r w:rsidR="001C651B" w:rsidRPr="001C651B">
        <w:rPr>
          <w:noProof/>
        </w:rPr>
        <w:t xml:space="preserve"> w</w:t>
      </w:r>
      <w:r w:rsidR="001C651B">
        <w:rPr>
          <w:noProof/>
        </w:rPr>
        <w:t> </w:t>
      </w:r>
      <w:r w:rsidR="001C651B" w:rsidRPr="001C651B">
        <w:rPr>
          <w:noProof/>
        </w:rPr>
        <w:t>art</w:t>
      </w:r>
      <w:r w:rsidR="00716EA9" w:rsidRPr="001C651B">
        <w:rPr>
          <w:noProof/>
        </w:rPr>
        <w:t>.</w:t>
      </w:r>
      <w:r w:rsidR="001C651B" w:rsidRPr="001C651B">
        <w:rPr>
          <w:noProof/>
        </w:rPr>
        <w:t> </w:t>
      </w:r>
      <w:r w:rsidR="00716EA9" w:rsidRPr="001C651B">
        <w:rPr>
          <w:noProof/>
        </w:rPr>
        <w:t>430a ust.</w:t>
      </w:r>
      <w:r w:rsidR="001C651B" w:rsidRPr="001C651B">
        <w:rPr>
          <w:noProof/>
        </w:rPr>
        <w:t> </w:t>
      </w:r>
      <w:r w:rsidR="00716EA9" w:rsidRPr="001C651B">
        <w:rPr>
          <w:noProof/>
        </w:rPr>
        <w:t>1 rozporządzenia (UE) nr</w:t>
      </w:r>
      <w:r w:rsidR="001C651B" w:rsidRPr="001C651B">
        <w:rPr>
          <w:noProof/>
        </w:rPr>
        <w:t> </w:t>
      </w:r>
      <w:r w:rsidR="00716EA9" w:rsidRPr="001C651B">
        <w:rPr>
          <w:noProof/>
        </w:rPr>
        <w:t>575/2013, jak określono</w:t>
      </w:r>
      <w:r w:rsidR="001C651B" w:rsidRPr="001C651B">
        <w:rPr>
          <w:noProof/>
        </w:rPr>
        <w:t xml:space="preserve"> w</w:t>
      </w:r>
      <w:r w:rsidR="001C651B">
        <w:rPr>
          <w:noProof/>
        </w:rPr>
        <w:t> </w:t>
      </w:r>
      <w:r w:rsidR="001C651B" w:rsidRPr="001C651B">
        <w:rPr>
          <w:noProof/>
        </w:rPr>
        <w:t>sek</w:t>
      </w:r>
      <w:r w:rsidR="00716EA9" w:rsidRPr="001C651B">
        <w:rPr>
          <w:noProof/>
        </w:rPr>
        <w:t>cji 4 – „Sprawozdawczość</w:t>
      </w:r>
      <w:r w:rsidR="001C651B" w:rsidRPr="001C651B">
        <w:rPr>
          <w:noProof/>
        </w:rPr>
        <w:t xml:space="preserve"> w</w:t>
      </w:r>
      <w:r w:rsidR="001C651B">
        <w:rPr>
          <w:noProof/>
        </w:rPr>
        <w:t> </w:t>
      </w:r>
      <w:r w:rsidR="001C651B" w:rsidRPr="001C651B">
        <w:rPr>
          <w:noProof/>
        </w:rPr>
        <w:t>zak</w:t>
      </w:r>
      <w:r w:rsidR="00716EA9" w:rsidRPr="001C651B">
        <w:rPr>
          <w:noProof/>
        </w:rPr>
        <w:t>resie strat</w:t>
      </w:r>
      <w:r w:rsidR="001C651B" w:rsidRPr="001C651B">
        <w:rPr>
          <w:noProof/>
        </w:rPr>
        <w:t xml:space="preserve"> z</w:t>
      </w:r>
      <w:r w:rsidR="001C651B">
        <w:rPr>
          <w:noProof/>
        </w:rPr>
        <w:t> </w:t>
      </w:r>
      <w:r w:rsidR="001C651B" w:rsidRPr="001C651B">
        <w:rPr>
          <w:noProof/>
        </w:rPr>
        <w:t>tyt</w:t>
      </w:r>
      <w:r w:rsidR="00716EA9" w:rsidRPr="001C651B">
        <w:rPr>
          <w:noProof/>
        </w:rPr>
        <w:t>ułu udzielonych kredytów zabezpieczonych nieruchomościami”</w:t>
      </w:r>
      <w:r w:rsidR="001C651B" w:rsidRPr="001C651B">
        <w:rPr>
          <w:noProof/>
        </w:rPr>
        <w:t xml:space="preserve"> w</w:t>
      </w:r>
      <w:r w:rsidR="001C651B">
        <w:rPr>
          <w:noProof/>
        </w:rPr>
        <w:t> </w:t>
      </w:r>
      <w:r w:rsidR="001C651B" w:rsidRPr="001C651B">
        <w:rPr>
          <w:noProof/>
        </w:rPr>
        <w:t>zał</w:t>
      </w:r>
      <w:r w:rsidR="00716EA9" w:rsidRPr="001C651B">
        <w:rPr>
          <w:noProof/>
        </w:rPr>
        <w:t>ączniku I do niniejszego rozporządzenia,</w:t>
      </w:r>
      <w:r w:rsidR="001C651B" w:rsidRPr="001C651B">
        <w:rPr>
          <w:noProof/>
        </w:rPr>
        <w:t xml:space="preserve"> z</w:t>
      </w:r>
      <w:r w:rsidR="001C651B">
        <w:rPr>
          <w:noProof/>
        </w:rPr>
        <w:t> </w:t>
      </w:r>
      <w:r w:rsidR="001C651B" w:rsidRPr="001C651B">
        <w:rPr>
          <w:noProof/>
        </w:rPr>
        <w:t>czę</w:t>
      </w:r>
      <w:r w:rsidR="00716EA9" w:rsidRPr="001C651B">
        <w:rPr>
          <w:noProof/>
        </w:rPr>
        <w:t>stotliwością roczną.</w:t>
      </w:r>
    </w:p>
    <w:p w:rsidR="00716EA9" w:rsidRPr="001C651B" w:rsidRDefault="00716EA9" w:rsidP="00E537F5">
      <w:pPr>
        <w:pStyle w:val="Titrearticle"/>
        <w:rPr>
          <w:noProof/>
          <w:szCs w:val="24"/>
        </w:rPr>
      </w:pPr>
      <w:r w:rsidRPr="001C651B">
        <w:rPr>
          <w:noProof/>
        </w:rPr>
        <w:t>Artykuł 14</w:t>
      </w:r>
    </w:p>
    <w:p w:rsidR="00716EA9" w:rsidRPr="001C651B" w:rsidRDefault="00716EA9" w:rsidP="00F22954">
      <w:pPr>
        <w:pStyle w:val="Titrearticle"/>
        <w:spacing w:before="0"/>
        <w:rPr>
          <w:b/>
          <w:bCs/>
          <w:i w:val="0"/>
          <w:iCs/>
          <w:noProof/>
          <w:szCs w:val="24"/>
        </w:rPr>
      </w:pPr>
      <w:r w:rsidRPr="001C651B">
        <w:rPr>
          <w:b/>
          <w:i w:val="0"/>
          <w:noProof/>
        </w:rPr>
        <w:t>Sprawozdawczość</w:t>
      </w:r>
      <w:r w:rsidR="001C651B" w:rsidRPr="001C651B">
        <w:rPr>
          <w:b/>
          <w:i w:val="0"/>
          <w:noProof/>
        </w:rPr>
        <w:t xml:space="preserve"> w</w:t>
      </w:r>
      <w:r w:rsidR="001C651B">
        <w:rPr>
          <w:b/>
          <w:i w:val="0"/>
          <w:noProof/>
        </w:rPr>
        <w:t> </w:t>
      </w:r>
      <w:r w:rsidR="001C651B" w:rsidRPr="001C651B">
        <w:rPr>
          <w:b/>
          <w:i w:val="0"/>
          <w:noProof/>
        </w:rPr>
        <w:t>zak</w:t>
      </w:r>
      <w:r w:rsidRPr="001C651B">
        <w:rPr>
          <w:b/>
          <w:i w:val="0"/>
          <w:noProof/>
        </w:rPr>
        <w:t>resie dużych ekspozycji zarówno na zasadzie indywidualnej, jak</w:t>
      </w:r>
      <w:r w:rsidR="001C651B" w:rsidRPr="001C651B">
        <w:rPr>
          <w:b/>
          <w:i w:val="0"/>
          <w:noProof/>
        </w:rPr>
        <w:t xml:space="preserve"> i</w:t>
      </w:r>
      <w:r w:rsidR="001C651B">
        <w:rPr>
          <w:b/>
          <w:i w:val="0"/>
          <w:noProof/>
        </w:rPr>
        <w:t> </w:t>
      </w:r>
      <w:r w:rsidR="001C651B" w:rsidRPr="001C651B">
        <w:rPr>
          <w:b/>
          <w:i w:val="0"/>
          <w:noProof/>
        </w:rPr>
        <w:t>sko</w:t>
      </w:r>
      <w:r w:rsidRPr="001C651B">
        <w:rPr>
          <w:b/>
          <w:i w:val="0"/>
          <w:noProof/>
        </w:rPr>
        <w:t>nsolidowanej</w:t>
      </w:r>
    </w:p>
    <w:p w:rsidR="00716EA9" w:rsidRPr="001C651B" w:rsidRDefault="00DE6B7D" w:rsidP="00716EA9">
      <w:pPr>
        <w:spacing w:after="0"/>
        <w:rPr>
          <w:noProof/>
          <w:color w:val="000000"/>
          <w:szCs w:val="24"/>
        </w:rPr>
      </w:pPr>
      <w:r w:rsidRPr="001C651B">
        <w:rPr>
          <w:noProof/>
          <w:color w:val="000000"/>
        </w:rPr>
        <w:t>Instytucje, które przekazują informacje,</w:t>
      </w:r>
      <w:r w:rsidR="001C651B" w:rsidRPr="001C651B">
        <w:rPr>
          <w:noProof/>
          <w:color w:val="000000"/>
        </w:rPr>
        <w:t xml:space="preserve"> o</w:t>
      </w:r>
      <w:r w:rsidR="001C651B">
        <w:rPr>
          <w:noProof/>
          <w:color w:val="000000"/>
        </w:rPr>
        <w:t> </w:t>
      </w:r>
      <w:r w:rsidR="001C651B" w:rsidRPr="001C651B">
        <w:rPr>
          <w:noProof/>
          <w:color w:val="000000"/>
        </w:rPr>
        <w:t>któ</w:t>
      </w:r>
      <w:r w:rsidRPr="001C651B">
        <w:rPr>
          <w:noProof/>
          <w:color w:val="000000"/>
        </w:rPr>
        <w:t>rych mowa</w:t>
      </w:r>
      <w:r w:rsidR="001C651B" w:rsidRPr="001C651B">
        <w:rPr>
          <w:noProof/>
          <w:color w:val="000000"/>
        </w:rPr>
        <w:t xml:space="preserve"> w</w:t>
      </w:r>
      <w:r w:rsidR="001C651B">
        <w:rPr>
          <w:noProof/>
          <w:color w:val="000000"/>
        </w:rPr>
        <w:t> </w:t>
      </w:r>
      <w:r w:rsidR="001C651B" w:rsidRPr="001C651B">
        <w:rPr>
          <w:noProof/>
          <w:color w:val="000000"/>
        </w:rPr>
        <w:t>art</w:t>
      </w:r>
      <w:r w:rsidRPr="001C651B">
        <w:rPr>
          <w:noProof/>
          <w:color w:val="000000"/>
        </w:rPr>
        <w:t>.</w:t>
      </w:r>
      <w:r w:rsidR="001C651B" w:rsidRPr="001C651B">
        <w:rPr>
          <w:noProof/>
          <w:color w:val="000000"/>
        </w:rPr>
        <w:t> </w:t>
      </w:r>
      <w:r w:rsidRPr="001C651B">
        <w:rPr>
          <w:noProof/>
          <w:color w:val="000000"/>
        </w:rPr>
        <w:t>394 rozporządzenia (UE) nr</w:t>
      </w:r>
      <w:r w:rsidR="001C651B" w:rsidRPr="001C651B">
        <w:rPr>
          <w:noProof/>
          <w:color w:val="000000"/>
        </w:rPr>
        <w:t> </w:t>
      </w:r>
      <w:r w:rsidRPr="001C651B">
        <w:rPr>
          <w:noProof/>
          <w:color w:val="000000"/>
        </w:rPr>
        <w:t>575/2013, zarówno na zasadzie indywidualnej, jak</w:t>
      </w:r>
      <w:r w:rsidR="001C651B" w:rsidRPr="001C651B">
        <w:rPr>
          <w:noProof/>
          <w:color w:val="000000"/>
        </w:rPr>
        <w:t xml:space="preserve"> i</w:t>
      </w:r>
      <w:r w:rsidR="001C651B">
        <w:rPr>
          <w:noProof/>
          <w:color w:val="000000"/>
        </w:rPr>
        <w:t> </w:t>
      </w:r>
      <w:r w:rsidR="001C651B" w:rsidRPr="001C651B">
        <w:rPr>
          <w:noProof/>
          <w:color w:val="000000"/>
        </w:rPr>
        <w:t>sko</w:t>
      </w:r>
      <w:r w:rsidRPr="001C651B">
        <w:rPr>
          <w:noProof/>
          <w:color w:val="000000"/>
        </w:rPr>
        <w:t>nsolidowanej, przedstawiają te informacje, jak określono</w:t>
      </w:r>
      <w:r w:rsidR="001C651B" w:rsidRPr="001C651B">
        <w:rPr>
          <w:noProof/>
          <w:color w:val="000000"/>
        </w:rPr>
        <w:t xml:space="preserve"> w</w:t>
      </w:r>
      <w:r w:rsidR="001C651B">
        <w:rPr>
          <w:noProof/>
          <w:color w:val="000000"/>
        </w:rPr>
        <w:t> </w:t>
      </w:r>
      <w:r w:rsidR="001C651B" w:rsidRPr="001C651B">
        <w:rPr>
          <w:noProof/>
          <w:color w:val="000000"/>
        </w:rPr>
        <w:t>sek</w:t>
      </w:r>
      <w:r w:rsidRPr="001C651B">
        <w:rPr>
          <w:noProof/>
          <w:color w:val="000000"/>
        </w:rPr>
        <w:t>cji 5 – „Sprawozdawczość</w:t>
      </w:r>
      <w:r w:rsidR="001C651B" w:rsidRPr="001C651B">
        <w:rPr>
          <w:noProof/>
          <w:color w:val="000000"/>
        </w:rPr>
        <w:t xml:space="preserve"> w</w:t>
      </w:r>
      <w:r w:rsidR="001C651B">
        <w:rPr>
          <w:noProof/>
          <w:color w:val="000000"/>
        </w:rPr>
        <w:t> </w:t>
      </w:r>
      <w:r w:rsidR="001C651B" w:rsidRPr="001C651B">
        <w:rPr>
          <w:noProof/>
          <w:color w:val="000000"/>
        </w:rPr>
        <w:t>zak</w:t>
      </w:r>
      <w:r w:rsidRPr="001C651B">
        <w:rPr>
          <w:noProof/>
          <w:color w:val="000000"/>
        </w:rPr>
        <w:t>resie dużych ekspozycji oraz ryzyka koncentracji”</w:t>
      </w:r>
      <w:r w:rsidR="001C651B" w:rsidRPr="001C651B">
        <w:rPr>
          <w:noProof/>
          <w:color w:val="000000"/>
        </w:rPr>
        <w:t xml:space="preserve"> w</w:t>
      </w:r>
      <w:r w:rsidR="001C651B">
        <w:rPr>
          <w:noProof/>
          <w:color w:val="000000"/>
        </w:rPr>
        <w:t> </w:t>
      </w:r>
      <w:r w:rsidR="001C651B" w:rsidRPr="001C651B">
        <w:rPr>
          <w:noProof/>
          <w:color w:val="000000"/>
        </w:rPr>
        <w:t>zał</w:t>
      </w:r>
      <w:r w:rsidRPr="001C651B">
        <w:rPr>
          <w:noProof/>
          <w:color w:val="000000"/>
        </w:rPr>
        <w:t>ączniku I do niniejszego rozporządzenia,</w:t>
      </w:r>
      <w:r w:rsidR="001C651B" w:rsidRPr="001C651B">
        <w:rPr>
          <w:noProof/>
          <w:color w:val="000000"/>
        </w:rPr>
        <w:t xml:space="preserve"> z</w:t>
      </w:r>
      <w:r w:rsidR="001C651B">
        <w:rPr>
          <w:noProof/>
          <w:color w:val="000000"/>
        </w:rPr>
        <w:t> </w:t>
      </w:r>
      <w:r w:rsidR="001C651B" w:rsidRPr="001C651B">
        <w:rPr>
          <w:noProof/>
          <w:color w:val="000000"/>
        </w:rPr>
        <w:t>czę</w:t>
      </w:r>
      <w:r w:rsidRPr="001C651B">
        <w:rPr>
          <w:noProof/>
          <w:color w:val="000000"/>
        </w:rPr>
        <w:t>stotliwością kwartalną.</w:t>
      </w:r>
    </w:p>
    <w:p w:rsidR="00716EA9" w:rsidRPr="001C651B" w:rsidRDefault="00716EA9" w:rsidP="00E537F5">
      <w:pPr>
        <w:pStyle w:val="Titrearticle"/>
        <w:rPr>
          <w:noProof/>
          <w:szCs w:val="24"/>
        </w:rPr>
      </w:pPr>
      <w:r w:rsidRPr="001C651B">
        <w:rPr>
          <w:noProof/>
        </w:rPr>
        <w:t>Artykuł 15</w:t>
      </w:r>
    </w:p>
    <w:p w:rsidR="00716EA9" w:rsidRPr="001C651B" w:rsidRDefault="00716EA9" w:rsidP="00F22954">
      <w:pPr>
        <w:pStyle w:val="Titrearticle"/>
        <w:spacing w:before="0"/>
        <w:rPr>
          <w:b/>
          <w:bCs/>
          <w:i w:val="0"/>
          <w:iCs/>
          <w:noProof/>
          <w:szCs w:val="24"/>
        </w:rPr>
      </w:pPr>
      <w:r w:rsidRPr="001C651B">
        <w:rPr>
          <w:b/>
          <w:i w:val="0"/>
          <w:noProof/>
        </w:rPr>
        <w:t>Sprawozdawczość</w:t>
      </w:r>
      <w:r w:rsidR="001C651B" w:rsidRPr="001C651B">
        <w:rPr>
          <w:b/>
          <w:i w:val="0"/>
          <w:noProof/>
        </w:rPr>
        <w:t xml:space="preserve"> w</w:t>
      </w:r>
      <w:r w:rsidR="001C651B">
        <w:rPr>
          <w:b/>
          <w:i w:val="0"/>
          <w:noProof/>
        </w:rPr>
        <w:t> </w:t>
      </w:r>
      <w:r w:rsidR="001C651B" w:rsidRPr="001C651B">
        <w:rPr>
          <w:b/>
          <w:i w:val="0"/>
          <w:noProof/>
        </w:rPr>
        <w:t>zak</w:t>
      </w:r>
      <w:r w:rsidRPr="001C651B">
        <w:rPr>
          <w:b/>
          <w:i w:val="0"/>
          <w:noProof/>
        </w:rPr>
        <w:t>resie wskaźnika dźwigni zarówno na zasadzie indywidualnej, jak</w:t>
      </w:r>
      <w:r w:rsidR="001C651B" w:rsidRPr="001C651B">
        <w:rPr>
          <w:b/>
          <w:i w:val="0"/>
          <w:noProof/>
        </w:rPr>
        <w:t xml:space="preserve"> i</w:t>
      </w:r>
      <w:r w:rsidR="001C651B">
        <w:rPr>
          <w:b/>
          <w:i w:val="0"/>
          <w:noProof/>
        </w:rPr>
        <w:t> </w:t>
      </w:r>
      <w:r w:rsidR="001C651B" w:rsidRPr="001C651B">
        <w:rPr>
          <w:b/>
          <w:i w:val="0"/>
          <w:noProof/>
        </w:rPr>
        <w:t>sko</w:t>
      </w:r>
      <w:r w:rsidRPr="001C651B">
        <w:rPr>
          <w:b/>
          <w:i w:val="0"/>
          <w:noProof/>
        </w:rPr>
        <w:t>nsolidowanej</w:t>
      </w:r>
    </w:p>
    <w:p w:rsidR="00675E5F" w:rsidRPr="001C651B" w:rsidRDefault="003040A6" w:rsidP="003040A6">
      <w:pPr>
        <w:pStyle w:val="ManualNumPar1"/>
        <w:rPr>
          <w:noProof/>
        </w:rPr>
      </w:pPr>
      <w:r w:rsidRPr="003040A6">
        <w:rPr>
          <w:noProof/>
        </w:rPr>
        <w:t>1.</w:t>
      </w:r>
      <w:r w:rsidRPr="003040A6">
        <w:rPr>
          <w:noProof/>
        </w:rPr>
        <w:tab/>
      </w:r>
      <w:r w:rsidR="004A4F90" w:rsidRPr="001C651B">
        <w:rPr>
          <w:noProof/>
        </w:rPr>
        <w:t>Instytucje, które przekazują informacje na temat swojego wskaźnika dźwigni,</w:t>
      </w:r>
      <w:r w:rsidR="001C651B" w:rsidRPr="001C651B">
        <w:rPr>
          <w:noProof/>
        </w:rPr>
        <w:t xml:space="preserve"> o</w:t>
      </w:r>
      <w:r w:rsidR="001C651B">
        <w:rPr>
          <w:noProof/>
        </w:rPr>
        <w:t> </w:t>
      </w:r>
      <w:r w:rsidR="001C651B" w:rsidRPr="001C651B">
        <w:rPr>
          <w:noProof/>
        </w:rPr>
        <w:t>któ</w:t>
      </w:r>
      <w:r w:rsidR="004A4F90" w:rsidRPr="001C651B">
        <w:rPr>
          <w:noProof/>
        </w:rPr>
        <w:t>rym mowa</w:t>
      </w:r>
      <w:r w:rsidR="001C651B" w:rsidRPr="001C651B">
        <w:rPr>
          <w:noProof/>
        </w:rPr>
        <w:t xml:space="preserve"> w</w:t>
      </w:r>
      <w:r w:rsidR="001C651B">
        <w:rPr>
          <w:noProof/>
        </w:rPr>
        <w:t> </w:t>
      </w:r>
      <w:r w:rsidR="001C651B" w:rsidRPr="001C651B">
        <w:rPr>
          <w:noProof/>
        </w:rPr>
        <w:t>art</w:t>
      </w:r>
      <w:r w:rsidR="004A4F90" w:rsidRPr="001C651B">
        <w:rPr>
          <w:noProof/>
        </w:rPr>
        <w:t>.</w:t>
      </w:r>
      <w:r w:rsidR="001C651B" w:rsidRPr="001C651B">
        <w:rPr>
          <w:noProof/>
        </w:rPr>
        <w:t> </w:t>
      </w:r>
      <w:r w:rsidR="004A4F90" w:rsidRPr="001C651B">
        <w:rPr>
          <w:noProof/>
        </w:rPr>
        <w:t>430 ust.</w:t>
      </w:r>
      <w:r w:rsidR="001C651B" w:rsidRPr="001C651B">
        <w:rPr>
          <w:noProof/>
        </w:rPr>
        <w:t> </w:t>
      </w:r>
      <w:r w:rsidR="004A4F90" w:rsidRPr="001C651B">
        <w:rPr>
          <w:noProof/>
        </w:rPr>
        <w:t>1 lit.</w:t>
      </w:r>
      <w:r w:rsidR="001C651B" w:rsidRPr="001C651B">
        <w:rPr>
          <w:noProof/>
        </w:rPr>
        <w:t> </w:t>
      </w:r>
      <w:r w:rsidR="004A4F90" w:rsidRPr="001C651B">
        <w:rPr>
          <w:noProof/>
        </w:rPr>
        <w:t>a) rozporządzenia (UE) nr</w:t>
      </w:r>
      <w:r w:rsidR="001C651B" w:rsidRPr="001C651B">
        <w:rPr>
          <w:noProof/>
        </w:rPr>
        <w:t> </w:t>
      </w:r>
      <w:r w:rsidR="004A4F90" w:rsidRPr="001C651B">
        <w:rPr>
          <w:noProof/>
        </w:rPr>
        <w:t>575/2013, zarówno na zasadzie indywidualnej, jak</w:t>
      </w:r>
      <w:r w:rsidR="001C651B" w:rsidRPr="001C651B">
        <w:rPr>
          <w:noProof/>
        </w:rPr>
        <w:t xml:space="preserve"> i</w:t>
      </w:r>
      <w:r w:rsidR="001C651B">
        <w:rPr>
          <w:noProof/>
        </w:rPr>
        <w:t> </w:t>
      </w:r>
      <w:r w:rsidR="001C651B" w:rsidRPr="001C651B">
        <w:rPr>
          <w:noProof/>
        </w:rPr>
        <w:t>sko</w:t>
      </w:r>
      <w:r w:rsidR="004A4F90" w:rsidRPr="001C651B">
        <w:rPr>
          <w:noProof/>
        </w:rPr>
        <w:t>nsolidowanej, przedstawiają te informacje, jak określono</w:t>
      </w:r>
      <w:r w:rsidR="001C651B" w:rsidRPr="001C651B">
        <w:rPr>
          <w:noProof/>
        </w:rPr>
        <w:t xml:space="preserve"> w</w:t>
      </w:r>
      <w:r w:rsidR="001C651B">
        <w:rPr>
          <w:noProof/>
        </w:rPr>
        <w:t> </w:t>
      </w:r>
      <w:r w:rsidR="001C651B" w:rsidRPr="001C651B">
        <w:rPr>
          <w:noProof/>
        </w:rPr>
        <w:t>sek</w:t>
      </w:r>
      <w:r w:rsidR="004A4F90" w:rsidRPr="001C651B">
        <w:rPr>
          <w:noProof/>
        </w:rPr>
        <w:t>cji 6 – „Sprawozdawczość</w:t>
      </w:r>
      <w:r w:rsidR="001C651B" w:rsidRPr="001C651B">
        <w:rPr>
          <w:noProof/>
        </w:rPr>
        <w:t xml:space="preserve"> w</w:t>
      </w:r>
      <w:r w:rsidR="001C651B">
        <w:rPr>
          <w:noProof/>
        </w:rPr>
        <w:t> </w:t>
      </w:r>
      <w:r w:rsidR="001C651B" w:rsidRPr="001C651B">
        <w:rPr>
          <w:noProof/>
        </w:rPr>
        <w:t>zak</w:t>
      </w:r>
      <w:r w:rsidR="004A4F90" w:rsidRPr="001C651B">
        <w:rPr>
          <w:noProof/>
        </w:rPr>
        <w:t>resie wskaźnika dźwigni”</w:t>
      </w:r>
      <w:r w:rsidR="001C651B" w:rsidRPr="001C651B">
        <w:rPr>
          <w:noProof/>
        </w:rPr>
        <w:t xml:space="preserve"> w</w:t>
      </w:r>
      <w:r w:rsidR="001C651B">
        <w:rPr>
          <w:noProof/>
        </w:rPr>
        <w:t> </w:t>
      </w:r>
      <w:r w:rsidR="001C651B" w:rsidRPr="001C651B">
        <w:rPr>
          <w:noProof/>
        </w:rPr>
        <w:t>zał</w:t>
      </w:r>
      <w:r w:rsidR="004A4F90" w:rsidRPr="001C651B">
        <w:rPr>
          <w:noProof/>
        </w:rPr>
        <w:t>ączniku I do niniejszego rozporządzenia,</w:t>
      </w:r>
      <w:r w:rsidR="001C651B" w:rsidRPr="001C651B">
        <w:rPr>
          <w:noProof/>
        </w:rPr>
        <w:t xml:space="preserve"> z</w:t>
      </w:r>
      <w:r w:rsidR="001C651B">
        <w:rPr>
          <w:noProof/>
        </w:rPr>
        <w:t> </w:t>
      </w:r>
      <w:r w:rsidR="001C651B" w:rsidRPr="001C651B">
        <w:rPr>
          <w:noProof/>
        </w:rPr>
        <w:t>czę</w:t>
      </w:r>
      <w:r w:rsidR="004A4F90" w:rsidRPr="001C651B">
        <w:rPr>
          <w:noProof/>
        </w:rPr>
        <w:t>stotliwością kwartalną. Wzór C 48.00 zawierający informacje na temat zmienności wskaźnika dźwigni przekazują tylko duże instytucje.</w:t>
      </w:r>
    </w:p>
    <w:p w:rsidR="00675E5F" w:rsidRPr="001C651B" w:rsidRDefault="003040A6" w:rsidP="003040A6">
      <w:pPr>
        <w:pStyle w:val="ManualNumPar1"/>
        <w:rPr>
          <w:noProof/>
        </w:rPr>
      </w:pPr>
      <w:r w:rsidRPr="003040A6">
        <w:rPr>
          <w:noProof/>
        </w:rPr>
        <w:t>2.</w:t>
      </w:r>
      <w:r w:rsidRPr="003040A6">
        <w:rPr>
          <w:noProof/>
        </w:rPr>
        <w:tab/>
      </w:r>
      <w:r w:rsidR="00675E5F" w:rsidRPr="001C651B">
        <w:rPr>
          <w:noProof/>
        </w:rPr>
        <w:t>Informacje określone we wzorze C 40.00 komórka {r0410;c0010} na temat aktywów ogółem przekazują wyłącznie:</w:t>
      </w:r>
    </w:p>
    <w:p w:rsidR="00675E5F" w:rsidRPr="001C651B" w:rsidRDefault="00D8126A" w:rsidP="00D8126A">
      <w:pPr>
        <w:pStyle w:val="Point1"/>
        <w:rPr>
          <w:noProof/>
        </w:rPr>
      </w:pPr>
      <w:r w:rsidRPr="001C651B">
        <w:rPr>
          <w:noProof/>
        </w:rPr>
        <w:t>a)</w:t>
      </w:r>
      <w:r w:rsidRPr="001C651B">
        <w:rPr>
          <w:noProof/>
        </w:rPr>
        <w:tab/>
      </w:r>
      <w:r w:rsidR="00675E5F" w:rsidRPr="001C651B">
        <w:rPr>
          <w:noProof/>
        </w:rPr>
        <w:t>duże instytucje, które albo są G-SII, albo wyemitowały papiery wartościowe dopuszczone do obrotu na rynku regulowanym –</w:t>
      </w:r>
      <w:r w:rsidR="001C651B" w:rsidRPr="001C651B">
        <w:rPr>
          <w:noProof/>
        </w:rPr>
        <w:t xml:space="preserve"> z</w:t>
      </w:r>
      <w:r w:rsidR="001C651B">
        <w:rPr>
          <w:noProof/>
        </w:rPr>
        <w:t> </w:t>
      </w:r>
      <w:r w:rsidR="001C651B" w:rsidRPr="001C651B">
        <w:rPr>
          <w:noProof/>
        </w:rPr>
        <w:t>czę</w:t>
      </w:r>
      <w:r w:rsidR="00675E5F" w:rsidRPr="001C651B">
        <w:rPr>
          <w:noProof/>
        </w:rPr>
        <w:t>stotliwością półroczną;</w:t>
      </w:r>
    </w:p>
    <w:p w:rsidR="00675E5F" w:rsidRPr="001C651B" w:rsidRDefault="00D8126A" w:rsidP="00D8126A">
      <w:pPr>
        <w:pStyle w:val="Point1"/>
        <w:rPr>
          <w:noProof/>
        </w:rPr>
      </w:pPr>
      <w:r w:rsidRPr="001C651B">
        <w:rPr>
          <w:noProof/>
        </w:rPr>
        <w:t>b)</w:t>
      </w:r>
      <w:r w:rsidRPr="001C651B">
        <w:rPr>
          <w:noProof/>
        </w:rPr>
        <w:tab/>
      </w:r>
      <w:r w:rsidR="00675E5F" w:rsidRPr="001C651B">
        <w:rPr>
          <w:noProof/>
        </w:rPr>
        <w:t>duże instytucje inne niż G-SII, których papiery wartościowe nie są notowane na rynku regulowanym –</w:t>
      </w:r>
      <w:r w:rsidR="001C651B" w:rsidRPr="001C651B">
        <w:rPr>
          <w:noProof/>
        </w:rPr>
        <w:t xml:space="preserve"> z</w:t>
      </w:r>
      <w:r w:rsidR="001C651B">
        <w:rPr>
          <w:noProof/>
        </w:rPr>
        <w:t> </w:t>
      </w:r>
      <w:r w:rsidR="001C651B" w:rsidRPr="001C651B">
        <w:rPr>
          <w:noProof/>
        </w:rPr>
        <w:t>czę</w:t>
      </w:r>
      <w:r w:rsidR="00675E5F" w:rsidRPr="001C651B">
        <w:rPr>
          <w:noProof/>
        </w:rPr>
        <w:t>stotliwością roczną,</w:t>
      </w:r>
    </w:p>
    <w:p w:rsidR="00675E5F" w:rsidRPr="001C651B" w:rsidRDefault="00D8126A" w:rsidP="00D8126A">
      <w:pPr>
        <w:pStyle w:val="Point1"/>
        <w:rPr>
          <w:noProof/>
        </w:rPr>
      </w:pPr>
      <w:r w:rsidRPr="001C651B">
        <w:rPr>
          <w:noProof/>
        </w:rPr>
        <w:t>c)</w:t>
      </w:r>
      <w:r w:rsidRPr="001C651B">
        <w:rPr>
          <w:noProof/>
        </w:rPr>
        <w:tab/>
      </w:r>
      <w:r w:rsidR="00675E5F" w:rsidRPr="001C651B">
        <w:rPr>
          <w:noProof/>
        </w:rPr>
        <w:t>instytucje inne niż duże instytucje oraz małe</w:t>
      </w:r>
      <w:r w:rsidR="001C651B" w:rsidRPr="001C651B">
        <w:rPr>
          <w:noProof/>
        </w:rPr>
        <w:t xml:space="preserve"> i</w:t>
      </w:r>
      <w:r w:rsidR="001C651B">
        <w:rPr>
          <w:noProof/>
        </w:rPr>
        <w:t> </w:t>
      </w:r>
      <w:r w:rsidR="001C651B" w:rsidRPr="001C651B">
        <w:rPr>
          <w:noProof/>
        </w:rPr>
        <w:t>nie</w:t>
      </w:r>
      <w:r w:rsidR="00675E5F" w:rsidRPr="001C651B">
        <w:rPr>
          <w:noProof/>
        </w:rPr>
        <w:t>złożone instytucje, które wyemitowały papiery wartościowe dopuszczone do obrotu na rynku regulowanym –</w:t>
      </w:r>
      <w:r w:rsidR="001C651B" w:rsidRPr="001C651B">
        <w:rPr>
          <w:noProof/>
        </w:rPr>
        <w:t xml:space="preserve"> z</w:t>
      </w:r>
      <w:r w:rsidR="001C651B">
        <w:rPr>
          <w:noProof/>
        </w:rPr>
        <w:t> </w:t>
      </w:r>
      <w:r w:rsidR="001C651B" w:rsidRPr="001C651B">
        <w:rPr>
          <w:noProof/>
        </w:rPr>
        <w:t>czę</w:t>
      </w:r>
      <w:r w:rsidR="00675E5F" w:rsidRPr="001C651B">
        <w:rPr>
          <w:noProof/>
        </w:rPr>
        <w:t>stotliwością roczną.</w:t>
      </w:r>
    </w:p>
    <w:p w:rsidR="00675E5F" w:rsidRPr="001C651B" w:rsidRDefault="003040A6" w:rsidP="003040A6">
      <w:pPr>
        <w:pStyle w:val="ManualNumPar1"/>
        <w:rPr>
          <w:noProof/>
        </w:rPr>
      </w:pPr>
      <w:r w:rsidRPr="003040A6">
        <w:rPr>
          <w:noProof/>
        </w:rPr>
        <w:t>3.</w:t>
      </w:r>
      <w:r w:rsidRPr="003040A6">
        <w:rPr>
          <w:noProof/>
        </w:rPr>
        <w:tab/>
      </w:r>
      <w:r w:rsidR="00675E5F" w:rsidRPr="001C651B">
        <w:rPr>
          <w:noProof/>
        </w:rPr>
        <w:t>Instytucje przedstawiają dodatkowe informacje na temat wskaźnika dźwigni, jak określono we wzorze C 40.00, komórki {r0010;c0010}, {r0010;c0020}, {r0020;c0010}, {r0020;c0020}, {r0030;c0070}, {r0040;c0070}, {r0050;c0010}, {r0050;c0020}, {r0060;c0010}, {r0060;c0020} i {r0060;c0070},</w:t>
      </w:r>
      <w:r w:rsidR="001C651B" w:rsidRPr="001C651B">
        <w:rPr>
          <w:noProof/>
        </w:rPr>
        <w:t xml:space="preserve"> w</w:t>
      </w:r>
      <w:r w:rsidR="001C651B">
        <w:rPr>
          <w:noProof/>
        </w:rPr>
        <w:t> </w:t>
      </w:r>
      <w:r w:rsidR="001C651B" w:rsidRPr="001C651B">
        <w:rPr>
          <w:noProof/>
        </w:rPr>
        <w:t>prz</w:t>
      </w:r>
      <w:r w:rsidR="00675E5F" w:rsidRPr="001C651B">
        <w:rPr>
          <w:noProof/>
        </w:rPr>
        <w:t>ypadku gdy spełniony jest co najmniej jeden</w:t>
      </w:r>
      <w:r w:rsidR="001C651B" w:rsidRPr="001C651B">
        <w:rPr>
          <w:noProof/>
        </w:rPr>
        <w:t xml:space="preserve"> z</w:t>
      </w:r>
      <w:r w:rsidR="001C651B">
        <w:rPr>
          <w:noProof/>
        </w:rPr>
        <w:t> </w:t>
      </w:r>
      <w:r w:rsidR="001C651B" w:rsidRPr="001C651B">
        <w:rPr>
          <w:noProof/>
        </w:rPr>
        <w:t>pon</w:t>
      </w:r>
      <w:r w:rsidR="00675E5F" w:rsidRPr="001C651B">
        <w:rPr>
          <w:noProof/>
        </w:rPr>
        <w:t>iższych warunków:</w:t>
      </w:r>
    </w:p>
    <w:p w:rsidR="00675E5F" w:rsidRPr="001C651B" w:rsidRDefault="00D8126A" w:rsidP="00D8126A">
      <w:pPr>
        <w:pStyle w:val="Point1"/>
        <w:rPr>
          <w:noProof/>
        </w:rPr>
      </w:pPr>
      <w:r w:rsidRPr="001C651B">
        <w:rPr>
          <w:noProof/>
        </w:rPr>
        <w:t>a)</w:t>
      </w:r>
      <w:r w:rsidRPr="001C651B">
        <w:rPr>
          <w:noProof/>
        </w:rPr>
        <w:tab/>
      </w:r>
      <w:r w:rsidR="00675E5F" w:rsidRPr="001C651B">
        <w:rPr>
          <w:noProof/>
        </w:rPr>
        <w:t>udział instrumentów pochodnych określony jako miara ekspozycji</w:t>
      </w:r>
      <w:r w:rsidR="001C651B" w:rsidRPr="001C651B">
        <w:rPr>
          <w:noProof/>
        </w:rPr>
        <w:t xml:space="preserve"> z</w:t>
      </w:r>
      <w:r w:rsidR="001C651B">
        <w:rPr>
          <w:noProof/>
        </w:rPr>
        <w:t> </w:t>
      </w:r>
      <w:r w:rsidR="001C651B" w:rsidRPr="001C651B">
        <w:rPr>
          <w:noProof/>
        </w:rPr>
        <w:t>tyt</w:t>
      </w:r>
      <w:r w:rsidR="00675E5F" w:rsidRPr="001C651B">
        <w:rPr>
          <w:noProof/>
        </w:rPr>
        <w:t>ułu instrumentów pochodnych podzielona przez miarę ekspozycji całkowitej wynosi ponad 1,5 %;</w:t>
      </w:r>
    </w:p>
    <w:p w:rsidR="00675E5F" w:rsidRPr="001C651B" w:rsidRDefault="00D8126A" w:rsidP="00D8126A">
      <w:pPr>
        <w:pStyle w:val="Point1"/>
        <w:rPr>
          <w:noProof/>
        </w:rPr>
      </w:pPr>
      <w:r w:rsidRPr="001C651B">
        <w:rPr>
          <w:noProof/>
        </w:rPr>
        <w:t>b)</w:t>
      </w:r>
      <w:r w:rsidRPr="001C651B">
        <w:rPr>
          <w:noProof/>
        </w:rPr>
        <w:tab/>
      </w:r>
      <w:r w:rsidR="00675E5F" w:rsidRPr="001C651B">
        <w:rPr>
          <w:noProof/>
        </w:rPr>
        <w:t>udział instrumentów pochodnych określony jako miara ekspozycji</w:t>
      </w:r>
      <w:r w:rsidR="001C651B" w:rsidRPr="001C651B">
        <w:rPr>
          <w:noProof/>
        </w:rPr>
        <w:t xml:space="preserve"> z</w:t>
      </w:r>
      <w:r w:rsidR="001C651B">
        <w:rPr>
          <w:noProof/>
        </w:rPr>
        <w:t> </w:t>
      </w:r>
      <w:r w:rsidR="001C651B" w:rsidRPr="001C651B">
        <w:rPr>
          <w:noProof/>
        </w:rPr>
        <w:t>tyt</w:t>
      </w:r>
      <w:r w:rsidR="00675E5F" w:rsidRPr="001C651B">
        <w:rPr>
          <w:noProof/>
        </w:rPr>
        <w:t>ułu instrumentów pochodnych podzielona przez miarę ekspozycji całkowitej przekracza 2 %.</w:t>
      </w:r>
    </w:p>
    <w:p w:rsidR="00675E5F" w:rsidRPr="001C651B" w:rsidRDefault="00797855" w:rsidP="001D2A25">
      <w:pPr>
        <w:pStyle w:val="Text1"/>
        <w:rPr>
          <w:noProof/>
        </w:rPr>
      </w:pPr>
      <w:r w:rsidRPr="001C651B">
        <w:rPr>
          <w:noProof/>
        </w:rPr>
        <w:t>Jeżeli instytucja spełnia jedynie warunek określony</w:t>
      </w:r>
      <w:r w:rsidR="001C651B" w:rsidRPr="001C651B">
        <w:rPr>
          <w:noProof/>
        </w:rPr>
        <w:t xml:space="preserve"> w</w:t>
      </w:r>
      <w:r w:rsidR="001C651B">
        <w:rPr>
          <w:noProof/>
        </w:rPr>
        <w:t> </w:t>
      </w:r>
      <w:r w:rsidR="001C651B" w:rsidRPr="001C651B">
        <w:rPr>
          <w:noProof/>
        </w:rPr>
        <w:t>aka</w:t>
      </w:r>
      <w:r w:rsidRPr="001C651B">
        <w:rPr>
          <w:noProof/>
        </w:rPr>
        <w:t>picie pierwszym lit.</w:t>
      </w:r>
      <w:r w:rsidR="001C651B" w:rsidRPr="001C651B">
        <w:rPr>
          <w:noProof/>
        </w:rPr>
        <w:t> </w:t>
      </w:r>
      <w:r w:rsidRPr="001C651B">
        <w:rPr>
          <w:noProof/>
        </w:rPr>
        <w:t>a), zastosowanie mają kryteria wejściowe</w:t>
      </w:r>
      <w:r w:rsidR="001C651B" w:rsidRPr="001C651B">
        <w:rPr>
          <w:noProof/>
        </w:rPr>
        <w:t xml:space="preserve"> i</w:t>
      </w:r>
      <w:r w:rsidR="001C651B">
        <w:rPr>
          <w:noProof/>
        </w:rPr>
        <w:t> </w:t>
      </w:r>
      <w:r w:rsidR="001C651B" w:rsidRPr="001C651B">
        <w:rPr>
          <w:noProof/>
        </w:rPr>
        <w:t>wyj</w:t>
      </w:r>
      <w:r w:rsidRPr="001C651B">
        <w:rPr>
          <w:noProof/>
        </w:rPr>
        <w:t>ściowe określone</w:t>
      </w:r>
      <w:r w:rsidR="001C651B" w:rsidRPr="001C651B">
        <w:rPr>
          <w:noProof/>
        </w:rPr>
        <w:t xml:space="preserve"> w</w:t>
      </w:r>
      <w:r w:rsidR="001C651B">
        <w:rPr>
          <w:noProof/>
        </w:rPr>
        <w:t> </w:t>
      </w:r>
      <w:r w:rsidR="001C651B" w:rsidRPr="001C651B">
        <w:rPr>
          <w:noProof/>
        </w:rPr>
        <w:t>art</w:t>
      </w:r>
      <w:r w:rsidRPr="001C651B">
        <w:rPr>
          <w:noProof/>
        </w:rPr>
        <w:t>.</w:t>
      </w:r>
      <w:r w:rsidR="001C651B" w:rsidRPr="001C651B">
        <w:rPr>
          <w:noProof/>
        </w:rPr>
        <w:t> </w:t>
      </w:r>
      <w:r w:rsidRPr="001C651B">
        <w:rPr>
          <w:noProof/>
        </w:rPr>
        <w:t>4 ust.</w:t>
      </w:r>
      <w:r w:rsidR="001C651B" w:rsidRPr="001C651B">
        <w:rPr>
          <w:noProof/>
        </w:rPr>
        <w:t> </w:t>
      </w:r>
      <w:r w:rsidRPr="001C651B">
        <w:rPr>
          <w:noProof/>
        </w:rPr>
        <w:t>3 niniejszego rozporządzenia. Instytucja, która spełnia warunki określone zarówno</w:t>
      </w:r>
      <w:r w:rsidR="001C651B" w:rsidRPr="001C651B">
        <w:rPr>
          <w:noProof/>
        </w:rPr>
        <w:t xml:space="preserve"> w</w:t>
      </w:r>
      <w:r w:rsidR="001C651B">
        <w:rPr>
          <w:noProof/>
        </w:rPr>
        <w:t> </w:t>
      </w:r>
      <w:r w:rsidR="001C651B" w:rsidRPr="001C651B">
        <w:rPr>
          <w:noProof/>
        </w:rPr>
        <w:t>aka</w:t>
      </w:r>
      <w:r w:rsidRPr="001C651B">
        <w:rPr>
          <w:noProof/>
        </w:rPr>
        <w:t>picie pierwszym lit.</w:t>
      </w:r>
      <w:r w:rsidR="001C651B" w:rsidRPr="001C651B">
        <w:rPr>
          <w:noProof/>
        </w:rPr>
        <w:t> </w:t>
      </w:r>
      <w:r w:rsidRPr="001C651B">
        <w:rPr>
          <w:noProof/>
        </w:rPr>
        <w:t>a), jak</w:t>
      </w:r>
      <w:r w:rsidR="001C651B" w:rsidRPr="001C651B">
        <w:rPr>
          <w:noProof/>
        </w:rPr>
        <w:t xml:space="preserve"> i</w:t>
      </w:r>
      <w:r w:rsidR="001C651B">
        <w:rPr>
          <w:noProof/>
        </w:rPr>
        <w:t> </w:t>
      </w:r>
      <w:r w:rsidR="001C651B" w:rsidRPr="001C651B">
        <w:rPr>
          <w:noProof/>
        </w:rPr>
        <w:t>w</w:t>
      </w:r>
      <w:r w:rsidR="001C651B">
        <w:rPr>
          <w:noProof/>
        </w:rPr>
        <w:t> </w:t>
      </w:r>
      <w:r w:rsidR="001C651B" w:rsidRPr="001C651B">
        <w:rPr>
          <w:noProof/>
        </w:rPr>
        <w:t>aka</w:t>
      </w:r>
      <w:r w:rsidRPr="001C651B">
        <w:rPr>
          <w:noProof/>
        </w:rPr>
        <w:t>picie pierwszym lit.</w:t>
      </w:r>
      <w:r w:rsidR="001C651B" w:rsidRPr="001C651B">
        <w:rPr>
          <w:noProof/>
        </w:rPr>
        <w:t> </w:t>
      </w:r>
      <w:r w:rsidRPr="001C651B">
        <w:rPr>
          <w:noProof/>
        </w:rPr>
        <w:t>b), rozpoczyna przekazywanie informacji na temat wskaźnika dźwigni</w:t>
      </w:r>
      <w:r w:rsidR="001C651B" w:rsidRPr="001C651B">
        <w:rPr>
          <w:noProof/>
        </w:rPr>
        <w:t xml:space="preserve"> w</w:t>
      </w:r>
      <w:r w:rsidR="001C651B">
        <w:rPr>
          <w:noProof/>
        </w:rPr>
        <w:t> </w:t>
      </w:r>
      <w:r w:rsidR="001C651B" w:rsidRPr="001C651B">
        <w:rPr>
          <w:noProof/>
        </w:rPr>
        <w:t>odn</w:t>
      </w:r>
      <w:r w:rsidRPr="001C651B">
        <w:rPr>
          <w:noProof/>
        </w:rPr>
        <w:t>iesieniu do dnia odniesienia następującego po sprawozdawczym dniu odniesienia,</w:t>
      </w:r>
      <w:r w:rsidR="001C651B" w:rsidRPr="001C651B">
        <w:rPr>
          <w:noProof/>
        </w:rPr>
        <w:t xml:space="preserve"> w</w:t>
      </w:r>
      <w:r w:rsidR="001C651B">
        <w:rPr>
          <w:noProof/>
        </w:rPr>
        <w:t> </w:t>
      </w:r>
      <w:r w:rsidR="001C651B" w:rsidRPr="001C651B">
        <w:rPr>
          <w:noProof/>
        </w:rPr>
        <w:t>któ</w:t>
      </w:r>
      <w:r w:rsidRPr="001C651B">
        <w:rPr>
          <w:noProof/>
        </w:rPr>
        <w:t>rym przekroczyła próg.</w:t>
      </w:r>
    </w:p>
    <w:p w:rsidR="00675E5F" w:rsidRPr="001C651B" w:rsidRDefault="003040A6" w:rsidP="003040A6">
      <w:pPr>
        <w:pStyle w:val="ManualNumPar1"/>
        <w:rPr>
          <w:noProof/>
        </w:rPr>
      </w:pPr>
      <w:r w:rsidRPr="003040A6">
        <w:rPr>
          <w:noProof/>
        </w:rPr>
        <w:t>4.</w:t>
      </w:r>
      <w:r w:rsidRPr="003040A6">
        <w:rPr>
          <w:noProof/>
        </w:rPr>
        <w:tab/>
      </w:r>
      <w:r w:rsidR="00675E5F" w:rsidRPr="001C651B">
        <w:rPr>
          <w:noProof/>
        </w:rPr>
        <w:t>Instytucje,</w:t>
      </w:r>
      <w:r w:rsidR="001C651B" w:rsidRPr="001C651B">
        <w:rPr>
          <w:noProof/>
        </w:rPr>
        <w:t xml:space="preserve"> w</w:t>
      </w:r>
      <w:r w:rsidR="001C651B">
        <w:rPr>
          <w:noProof/>
        </w:rPr>
        <w:t> </w:t>
      </w:r>
      <w:r w:rsidR="001C651B" w:rsidRPr="001C651B">
        <w:rPr>
          <w:noProof/>
        </w:rPr>
        <w:t>prz</w:t>
      </w:r>
      <w:r w:rsidR="00675E5F" w:rsidRPr="001C651B">
        <w:rPr>
          <w:noProof/>
        </w:rPr>
        <w:t>ypadku których całkowita wartość nominalna instrumentów pochodnych określona we wzorze C 40.00, komórka {r0010;c0070}, przekracza kwotę 10 000 mln EUR, przedstawiają informacje,</w:t>
      </w:r>
      <w:r w:rsidR="001C651B" w:rsidRPr="001C651B">
        <w:rPr>
          <w:noProof/>
        </w:rPr>
        <w:t xml:space="preserve"> o</w:t>
      </w:r>
      <w:r w:rsidR="001C651B">
        <w:rPr>
          <w:noProof/>
        </w:rPr>
        <w:t> </w:t>
      </w:r>
      <w:r w:rsidR="001C651B" w:rsidRPr="001C651B">
        <w:rPr>
          <w:noProof/>
        </w:rPr>
        <w:t>któ</w:t>
      </w:r>
      <w:r w:rsidR="00675E5F" w:rsidRPr="001C651B">
        <w:rPr>
          <w:noProof/>
        </w:rPr>
        <w:t>rych mowa we wzorze C 40.00, komórki {r0010;c0010}, {r0010;c0020}, {r0020;c0010}, {r0020;c0020}, {r0030;c0070}, {r0040;c0070}, {r0050;c0010}, {r0050;c0020}, {r0060;c0010}, {r0060;c0020} i {r0060;c0070}, nawet jeśli udział instrumentów pochodnych</w:t>
      </w:r>
      <w:r w:rsidR="001C651B" w:rsidRPr="001C651B">
        <w:rPr>
          <w:noProof/>
        </w:rPr>
        <w:t xml:space="preserve"> w</w:t>
      </w:r>
      <w:r w:rsidR="001C651B">
        <w:rPr>
          <w:noProof/>
        </w:rPr>
        <w:t> </w:t>
      </w:r>
      <w:r w:rsidR="001C651B" w:rsidRPr="001C651B">
        <w:rPr>
          <w:noProof/>
        </w:rPr>
        <w:t>ich</w:t>
      </w:r>
      <w:r w:rsidR="00675E5F" w:rsidRPr="001C651B">
        <w:rPr>
          <w:noProof/>
        </w:rPr>
        <w:t xml:space="preserve"> przypadku nie spełnia warunków określonych</w:t>
      </w:r>
      <w:r w:rsidR="001C651B" w:rsidRPr="001C651B">
        <w:rPr>
          <w:noProof/>
        </w:rPr>
        <w:t xml:space="preserve"> w</w:t>
      </w:r>
      <w:r w:rsidR="001C651B">
        <w:rPr>
          <w:noProof/>
        </w:rPr>
        <w:t> </w:t>
      </w:r>
      <w:r w:rsidR="001C651B" w:rsidRPr="001C651B">
        <w:rPr>
          <w:noProof/>
        </w:rPr>
        <w:t>ust</w:t>
      </w:r>
      <w:r w:rsidR="00675E5F" w:rsidRPr="001C651B">
        <w:rPr>
          <w:noProof/>
        </w:rPr>
        <w:t>.</w:t>
      </w:r>
      <w:r w:rsidR="001C651B" w:rsidRPr="001C651B">
        <w:rPr>
          <w:noProof/>
        </w:rPr>
        <w:t> </w:t>
      </w:r>
      <w:r w:rsidR="00675E5F" w:rsidRPr="001C651B">
        <w:rPr>
          <w:noProof/>
        </w:rPr>
        <w:t>3.</w:t>
      </w:r>
    </w:p>
    <w:p w:rsidR="00675E5F" w:rsidRPr="001C651B" w:rsidRDefault="00675E5F" w:rsidP="00C856B2">
      <w:pPr>
        <w:pStyle w:val="Text1"/>
        <w:rPr>
          <w:noProof/>
        </w:rPr>
      </w:pPr>
      <w:r w:rsidRPr="001C651B">
        <w:rPr>
          <w:noProof/>
        </w:rPr>
        <w:t>Do celów akapitu pierwszego nie stosuje się kryteriów wejściowych określonych</w:t>
      </w:r>
      <w:r w:rsidR="001C651B" w:rsidRPr="001C651B">
        <w:rPr>
          <w:noProof/>
        </w:rPr>
        <w:t xml:space="preserve"> w</w:t>
      </w:r>
      <w:r w:rsidR="001C651B">
        <w:rPr>
          <w:noProof/>
        </w:rPr>
        <w:t> </w:t>
      </w:r>
      <w:r w:rsidR="001C651B" w:rsidRPr="001C651B">
        <w:rPr>
          <w:noProof/>
        </w:rPr>
        <w:t>art</w:t>
      </w:r>
      <w:r w:rsidRPr="001C651B">
        <w:rPr>
          <w:noProof/>
        </w:rPr>
        <w:t>. 4 ust. 3 niniejszego rozporządzenia. Instytucje rozpoczynają przekazywanie informacji począwszy od kolejnego sprawozdawczego dnia odniesienia, jeżeli przekroczyły próg</w:t>
      </w:r>
      <w:r w:rsidR="001C651B" w:rsidRPr="001C651B">
        <w:rPr>
          <w:noProof/>
        </w:rPr>
        <w:t xml:space="preserve"> w</w:t>
      </w:r>
      <w:r w:rsidR="001C651B">
        <w:rPr>
          <w:noProof/>
        </w:rPr>
        <w:t> </w:t>
      </w:r>
      <w:r w:rsidR="001C651B" w:rsidRPr="001C651B">
        <w:rPr>
          <w:noProof/>
        </w:rPr>
        <w:t>jed</w:t>
      </w:r>
      <w:r w:rsidRPr="001C651B">
        <w:rPr>
          <w:noProof/>
        </w:rPr>
        <w:t>nym sprawozdawczym dniu odniesienia.</w:t>
      </w:r>
    </w:p>
    <w:p w:rsidR="00675E5F" w:rsidRPr="001C651B" w:rsidRDefault="003040A6" w:rsidP="003040A6">
      <w:pPr>
        <w:pStyle w:val="ManualNumPar1"/>
        <w:rPr>
          <w:noProof/>
        </w:rPr>
      </w:pPr>
      <w:r w:rsidRPr="003040A6">
        <w:rPr>
          <w:noProof/>
        </w:rPr>
        <w:t>5.</w:t>
      </w:r>
      <w:r w:rsidRPr="003040A6">
        <w:rPr>
          <w:noProof/>
        </w:rPr>
        <w:tab/>
      </w:r>
      <w:r w:rsidR="00675E5F" w:rsidRPr="001C651B">
        <w:rPr>
          <w:noProof/>
        </w:rPr>
        <w:t>Instytucje przedstawiają informacje,</w:t>
      </w:r>
      <w:r w:rsidR="001C651B" w:rsidRPr="001C651B">
        <w:rPr>
          <w:noProof/>
        </w:rPr>
        <w:t xml:space="preserve"> o</w:t>
      </w:r>
      <w:r w:rsidR="001C651B">
        <w:rPr>
          <w:noProof/>
        </w:rPr>
        <w:t> </w:t>
      </w:r>
      <w:r w:rsidR="001C651B" w:rsidRPr="001C651B">
        <w:rPr>
          <w:noProof/>
        </w:rPr>
        <w:t>któ</w:t>
      </w:r>
      <w:r w:rsidR="00675E5F" w:rsidRPr="001C651B">
        <w:rPr>
          <w:noProof/>
        </w:rPr>
        <w:t>rych mowa we wzorze C 40.00, komórki {r0020;c0075}, {r0050;c0075} i {r0050;c0085},</w:t>
      </w:r>
      <w:r w:rsidR="001C651B" w:rsidRPr="001C651B">
        <w:rPr>
          <w:noProof/>
        </w:rPr>
        <w:t xml:space="preserve"> w</w:t>
      </w:r>
      <w:r w:rsidR="001C651B">
        <w:rPr>
          <w:noProof/>
        </w:rPr>
        <w:t> </w:t>
      </w:r>
      <w:r w:rsidR="001C651B" w:rsidRPr="001C651B">
        <w:rPr>
          <w:noProof/>
        </w:rPr>
        <w:t>prz</w:t>
      </w:r>
      <w:r w:rsidR="00675E5F" w:rsidRPr="001C651B">
        <w:rPr>
          <w:noProof/>
        </w:rPr>
        <w:t>ypadku gdy spełniony jest jeden</w:t>
      </w:r>
      <w:r w:rsidR="001C651B" w:rsidRPr="001C651B">
        <w:rPr>
          <w:noProof/>
        </w:rPr>
        <w:t xml:space="preserve"> z</w:t>
      </w:r>
      <w:r w:rsidR="001C651B">
        <w:rPr>
          <w:noProof/>
        </w:rPr>
        <w:t> </w:t>
      </w:r>
      <w:r w:rsidR="001C651B" w:rsidRPr="001C651B">
        <w:rPr>
          <w:noProof/>
        </w:rPr>
        <w:t>nas</w:t>
      </w:r>
      <w:r w:rsidR="00675E5F" w:rsidRPr="001C651B">
        <w:rPr>
          <w:noProof/>
        </w:rPr>
        <w:t>tępujących warunków:</w:t>
      </w:r>
    </w:p>
    <w:p w:rsidR="00675E5F" w:rsidRPr="001C651B" w:rsidRDefault="00D8126A" w:rsidP="00D8126A">
      <w:pPr>
        <w:pStyle w:val="Point1"/>
        <w:rPr>
          <w:noProof/>
        </w:rPr>
      </w:pPr>
      <w:r w:rsidRPr="001C651B">
        <w:rPr>
          <w:noProof/>
        </w:rPr>
        <w:t>a)</w:t>
      </w:r>
      <w:r w:rsidRPr="001C651B">
        <w:rPr>
          <w:noProof/>
        </w:rPr>
        <w:tab/>
      </w:r>
      <w:r w:rsidR="00675E5F" w:rsidRPr="001C651B">
        <w:rPr>
          <w:noProof/>
        </w:rPr>
        <w:t>wolumen kredytowych instrumentów pochodnych określony we wzorze C 40.00 jako {r0020;c0070} + {r0050;c0070} przekracza 300 mln EUR;</w:t>
      </w:r>
    </w:p>
    <w:p w:rsidR="00675E5F" w:rsidRPr="001C651B" w:rsidRDefault="00D8126A" w:rsidP="00D8126A">
      <w:pPr>
        <w:pStyle w:val="Point1"/>
        <w:rPr>
          <w:noProof/>
        </w:rPr>
      </w:pPr>
      <w:r w:rsidRPr="001C651B">
        <w:rPr>
          <w:noProof/>
        </w:rPr>
        <w:t>a)</w:t>
      </w:r>
      <w:r w:rsidRPr="001C651B">
        <w:rPr>
          <w:noProof/>
        </w:rPr>
        <w:tab/>
      </w:r>
      <w:r w:rsidR="00675E5F" w:rsidRPr="001C651B">
        <w:rPr>
          <w:noProof/>
        </w:rPr>
        <w:t>wolumen kredytowych instrumentów pochodnych określony we wzorze C 40.00 jako {r0020;c0070} + {r0050;c0070} przekracza 500 mln EUR.</w:t>
      </w:r>
    </w:p>
    <w:p w:rsidR="00716EA9" w:rsidRPr="001C651B" w:rsidRDefault="00745A2E" w:rsidP="001D2A25">
      <w:pPr>
        <w:pStyle w:val="Text1"/>
        <w:rPr>
          <w:noProof/>
        </w:rPr>
      </w:pPr>
      <w:r w:rsidRPr="001C651B">
        <w:rPr>
          <w:noProof/>
        </w:rPr>
        <w:t>Jeżeli instytucja spełnia jedynie warunek określony</w:t>
      </w:r>
      <w:r w:rsidR="001C651B" w:rsidRPr="001C651B">
        <w:rPr>
          <w:noProof/>
        </w:rPr>
        <w:t xml:space="preserve"> w</w:t>
      </w:r>
      <w:r w:rsidR="001C651B">
        <w:rPr>
          <w:noProof/>
        </w:rPr>
        <w:t> </w:t>
      </w:r>
      <w:r w:rsidR="001C651B" w:rsidRPr="001C651B">
        <w:rPr>
          <w:noProof/>
        </w:rPr>
        <w:t>aka</w:t>
      </w:r>
      <w:r w:rsidRPr="001C651B">
        <w:rPr>
          <w:noProof/>
        </w:rPr>
        <w:t>picie pierwszym lit.</w:t>
      </w:r>
      <w:r w:rsidR="001C651B" w:rsidRPr="001C651B">
        <w:rPr>
          <w:noProof/>
        </w:rPr>
        <w:t> </w:t>
      </w:r>
      <w:r w:rsidRPr="001C651B">
        <w:rPr>
          <w:noProof/>
        </w:rPr>
        <w:t>a), zastosowanie mają kryteria wejściowe</w:t>
      </w:r>
      <w:r w:rsidR="001C651B" w:rsidRPr="001C651B">
        <w:rPr>
          <w:noProof/>
        </w:rPr>
        <w:t xml:space="preserve"> i</w:t>
      </w:r>
      <w:r w:rsidR="001C651B">
        <w:rPr>
          <w:noProof/>
        </w:rPr>
        <w:t> </w:t>
      </w:r>
      <w:r w:rsidR="001C651B" w:rsidRPr="001C651B">
        <w:rPr>
          <w:noProof/>
        </w:rPr>
        <w:t>wyj</w:t>
      </w:r>
      <w:r w:rsidRPr="001C651B">
        <w:rPr>
          <w:noProof/>
        </w:rPr>
        <w:t>ściowe określone</w:t>
      </w:r>
      <w:r w:rsidR="001C651B" w:rsidRPr="001C651B">
        <w:rPr>
          <w:noProof/>
        </w:rPr>
        <w:t xml:space="preserve"> w</w:t>
      </w:r>
      <w:r w:rsidR="001C651B">
        <w:rPr>
          <w:noProof/>
        </w:rPr>
        <w:t> </w:t>
      </w:r>
      <w:r w:rsidR="001C651B" w:rsidRPr="001C651B">
        <w:rPr>
          <w:noProof/>
        </w:rPr>
        <w:t>art</w:t>
      </w:r>
      <w:r w:rsidRPr="001C651B">
        <w:rPr>
          <w:noProof/>
        </w:rPr>
        <w:t>.</w:t>
      </w:r>
      <w:r w:rsidR="001C651B" w:rsidRPr="001C651B">
        <w:rPr>
          <w:noProof/>
        </w:rPr>
        <w:t> </w:t>
      </w:r>
      <w:r w:rsidRPr="001C651B">
        <w:rPr>
          <w:noProof/>
        </w:rPr>
        <w:t>4 ust.</w:t>
      </w:r>
      <w:r w:rsidR="001C651B" w:rsidRPr="001C651B">
        <w:rPr>
          <w:noProof/>
        </w:rPr>
        <w:t> </w:t>
      </w:r>
      <w:r w:rsidRPr="001C651B">
        <w:rPr>
          <w:noProof/>
        </w:rPr>
        <w:t>3 niniejszego rozporządzenia. Instytucja, która spełnia warunki określone zarówno</w:t>
      </w:r>
      <w:r w:rsidR="001C651B" w:rsidRPr="001C651B">
        <w:rPr>
          <w:noProof/>
        </w:rPr>
        <w:t xml:space="preserve"> w</w:t>
      </w:r>
      <w:r w:rsidR="001C651B">
        <w:rPr>
          <w:noProof/>
        </w:rPr>
        <w:t> </w:t>
      </w:r>
      <w:r w:rsidR="001C651B" w:rsidRPr="001C651B">
        <w:rPr>
          <w:noProof/>
        </w:rPr>
        <w:t>aka</w:t>
      </w:r>
      <w:r w:rsidRPr="001C651B">
        <w:rPr>
          <w:noProof/>
        </w:rPr>
        <w:t>picie pierwszym lit.</w:t>
      </w:r>
      <w:r w:rsidR="001C651B" w:rsidRPr="001C651B">
        <w:rPr>
          <w:noProof/>
        </w:rPr>
        <w:t> </w:t>
      </w:r>
      <w:r w:rsidRPr="001C651B">
        <w:rPr>
          <w:noProof/>
        </w:rPr>
        <w:t>a), jak</w:t>
      </w:r>
      <w:r w:rsidR="001C651B" w:rsidRPr="001C651B">
        <w:rPr>
          <w:noProof/>
        </w:rPr>
        <w:t xml:space="preserve"> i</w:t>
      </w:r>
      <w:r w:rsidR="001C651B">
        <w:rPr>
          <w:noProof/>
        </w:rPr>
        <w:t> </w:t>
      </w:r>
      <w:r w:rsidR="001C651B" w:rsidRPr="001C651B">
        <w:rPr>
          <w:noProof/>
        </w:rPr>
        <w:t>w</w:t>
      </w:r>
      <w:r w:rsidR="001C651B">
        <w:rPr>
          <w:noProof/>
        </w:rPr>
        <w:t> </w:t>
      </w:r>
      <w:r w:rsidR="001C651B" w:rsidRPr="001C651B">
        <w:rPr>
          <w:noProof/>
        </w:rPr>
        <w:t>aka</w:t>
      </w:r>
      <w:r w:rsidRPr="001C651B">
        <w:rPr>
          <w:noProof/>
        </w:rPr>
        <w:t>picie pierwszym lit.</w:t>
      </w:r>
      <w:r w:rsidR="001C651B" w:rsidRPr="001C651B">
        <w:rPr>
          <w:noProof/>
        </w:rPr>
        <w:t> </w:t>
      </w:r>
      <w:r w:rsidRPr="001C651B">
        <w:rPr>
          <w:noProof/>
        </w:rPr>
        <w:t>b), rozpoczyna przekazywanie tych informacji</w:t>
      </w:r>
      <w:r w:rsidR="001C651B" w:rsidRPr="001C651B">
        <w:rPr>
          <w:noProof/>
        </w:rPr>
        <w:t xml:space="preserve"> w</w:t>
      </w:r>
      <w:r w:rsidR="001C651B">
        <w:rPr>
          <w:noProof/>
        </w:rPr>
        <w:t> </w:t>
      </w:r>
      <w:r w:rsidR="001C651B" w:rsidRPr="001C651B">
        <w:rPr>
          <w:noProof/>
        </w:rPr>
        <w:t>odn</w:t>
      </w:r>
      <w:r w:rsidRPr="001C651B">
        <w:rPr>
          <w:noProof/>
        </w:rPr>
        <w:t>iesieniu do dnia odniesienia następującego po sprawozdawczym dniu odniesienia,</w:t>
      </w:r>
      <w:r w:rsidR="001C651B" w:rsidRPr="001C651B">
        <w:rPr>
          <w:noProof/>
        </w:rPr>
        <w:t xml:space="preserve"> w</w:t>
      </w:r>
      <w:r w:rsidR="001C651B">
        <w:rPr>
          <w:noProof/>
        </w:rPr>
        <w:t> </w:t>
      </w:r>
      <w:r w:rsidR="001C651B" w:rsidRPr="001C651B">
        <w:rPr>
          <w:noProof/>
        </w:rPr>
        <w:t>któ</w:t>
      </w:r>
      <w:r w:rsidRPr="001C651B">
        <w:rPr>
          <w:noProof/>
        </w:rPr>
        <w:t>rym przekroczyła próg.</w:t>
      </w:r>
    </w:p>
    <w:p w:rsidR="00716EA9" w:rsidRPr="001C651B" w:rsidRDefault="00716EA9" w:rsidP="00E537F5">
      <w:pPr>
        <w:pStyle w:val="Titrearticle"/>
        <w:rPr>
          <w:noProof/>
          <w:szCs w:val="24"/>
        </w:rPr>
      </w:pPr>
      <w:r w:rsidRPr="001C651B">
        <w:rPr>
          <w:noProof/>
        </w:rPr>
        <w:t>Artykuł 16</w:t>
      </w:r>
    </w:p>
    <w:p w:rsidR="00716EA9" w:rsidRPr="001C651B" w:rsidRDefault="00716EA9" w:rsidP="00F22954">
      <w:pPr>
        <w:pStyle w:val="Titrearticle"/>
        <w:spacing w:before="0"/>
        <w:rPr>
          <w:b/>
          <w:bCs/>
          <w:i w:val="0"/>
          <w:iCs/>
          <w:noProof/>
          <w:szCs w:val="24"/>
        </w:rPr>
      </w:pPr>
      <w:r w:rsidRPr="001C651B">
        <w:rPr>
          <w:b/>
          <w:i w:val="0"/>
          <w:noProof/>
        </w:rPr>
        <w:t>Sprawozdawczość</w:t>
      </w:r>
      <w:r w:rsidR="001C651B" w:rsidRPr="001C651B">
        <w:rPr>
          <w:b/>
          <w:i w:val="0"/>
          <w:noProof/>
        </w:rPr>
        <w:t xml:space="preserve"> w</w:t>
      </w:r>
      <w:r w:rsidR="001C651B">
        <w:rPr>
          <w:b/>
          <w:i w:val="0"/>
          <w:noProof/>
        </w:rPr>
        <w:t> </w:t>
      </w:r>
      <w:r w:rsidR="001C651B" w:rsidRPr="001C651B">
        <w:rPr>
          <w:b/>
          <w:i w:val="0"/>
          <w:noProof/>
        </w:rPr>
        <w:t>zak</w:t>
      </w:r>
      <w:r w:rsidRPr="001C651B">
        <w:rPr>
          <w:b/>
          <w:i w:val="0"/>
          <w:noProof/>
        </w:rPr>
        <w:t>resie pokrycia wypływów netto zarówno na zasadzie indywidualnej, jak</w:t>
      </w:r>
      <w:r w:rsidR="001C651B" w:rsidRPr="001C651B">
        <w:rPr>
          <w:b/>
          <w:i w:val="0"/>
          <w:noProof/>
        </w:rPr>
        <w:t xml:space="preserve"> i</w:t>
      </w:r>
      <w:r w:rsidR="001C651B">
        <w:rPr>
          <w:b/>
          <w:i w:val="0"/>
          <w:noProof/>
        </w:rPr>
        <w:t> </w:t>
      </w:r>
      <w:r w:rsidR="001C651B" w:rsidRPr="001C651B">
        <w:rPr>
          <w:b/>
          <w:i w:val="0"/>
          <w:noProof/>
        </w:rPr>
        <w:t>sko</w:t>
      </w:r>
      <w:r w:rsidRPr="001C651B">
        <w:rPr>
          <w:b/>
          <w:i w:val="0"/>
          <w:noProof/>
        </w:rPr>
        <w:t>nsolidowanej</w:t>
      </w:r>
    </w:p>
    <w:p w:rsidR="00716EA9" w:rsidRPr="001C651B" w:rsidRDefault="003040A6" w:rsidP="003040A6">
      <w:pPr>
        <w:pStyle w:val="ManualNumPar1"/>
        <w:rPr>
          <w:noProof/>
        </w:rPr>
      </w:pPr>
      <w:r w:rsidRPr="003040A6">
        <w:rPr>
          <w:noProof/>
        </w:rPr>
        <w:t>1.</w:t>
      </w:r>
      <w:r w:rsidRPr="003040A6">
        <w:rPr>
          <w:noProof/>
        </w:rPr>
        <w:tab/>
      </w:r>
      <w:r w:rsidR="000056CB" w:rsidRPr="001C651B">
        <w:rPr>
          <w:noProof/>
        </w:rPr>
        <w:t>Instytucje, które przekazują informacje na temat pokrycia wypływów netto,</w:t>
      </w:r>
      <w:r w:rsidR="001C651B" w:rsidRPr="001C651B">
        <w:rPr>
          <w:noProof/>
        </w:rPr>
        <w:t xml:space="preserve"> o</w:t>
      </w:r>
      <w:r w:rsidR="001C651B">
        <w:rPr>
          <w:noProof/>
        </w:rPr>
        <w:t> </w:t>
      </w:r>
      <w:r w:rsidR="001C651B" w:rsidRPr="001C651B">
        <w:rPr>
          <w:noProof/>
        </w:rPr>
        <w:t>któ</w:t>
      </w:r>
      <w:r w:rsidR="000056CB" w:rsidRPr="001C651B">
        <w:rPr>
          <w:noProof/>
        </w:rPr>
        <w:t>rym mowa</w:t>
      </w:r>
      <w:r w:rsidR="001C651B" w:rsidRPr="001C651B">
        <w:rPr>
          <w:noProof/>
        </w:rPr>
        <w:t xml:space="preserve"> w</w:t>
      </w:r>
      <w:r w:rsidR="001C651B">
        <w:rPr>
          <w:noProof/>
        </w:rPr>
        <w:t> </w:t>
      </w:r>
      <w:r w:rsidR="001C651B" w:rsidRPr="001C651B">
        <w:rPr>
          <w:noProof/>
        </w:rPr>
        <w:t>art</w:t>
      </w:r>
      <w:r w:rsidR="000056CB" w:rsidRPr="001C651B">
        <w:rPr>
          <w:noProof/>
        </w:rPr>
        <w:t>.</w:t>
      </w:r>
      <w:r w:rsidR="001C651B" w:rsidRPr="001C651B">
        <w:rPr>
          <w:noProof/>
        </w:rPr>
        <w:t> </w:t>
      </w:r>
      <w:r w:rsidR="000056CB" w:rsidRPr="001C651B">
        <w:rPr>
          <w:noProof/>
        </w:rPr>
        <w:t>412 rozporządzenia (UE) nr</w:t>
      </w:r>
      <w:r w:rsidR="001C651B" w:rsidRPr="001C651B">
        <w:rPr>
          <w:noProof/>
        </w:rPr>
        <w:t> </w:t>
      </w:r>
      <w:r w:rsidR="000056CB" w:rsidRPr="001C651B">
        <w:rPr>
          <w:noProof/>
        </w:rPr>
        <w:t>575/2013 oraz zgodnie</w:t>
      </w:r>
      <w:r w:rsidR="001C651B" w:rsidRPr="001C651B">
        <w:rPr>
          <w:noProof/>
        </w:rPr>
        <w:t xml:space="preserve"> z</w:t>
      </w:r>
      <w:r w:rsidR="001C651B">
        <w:rPr>
          <w:noProof/>
        </w:rPr>
        <w:t> </w:t>
      </w:r>
      <w:r w:rsidR="001C651B" w:rsidRPr="001C651B">
        <w:rPr>
          <w:noProof/>
        </w:rPr>
        <w:t>wym</w:t>
      </w:r>
      <w:r w:rsidR="000056CB" w:rsidRPr="001C651B">
        <w:rPr>
          <w:noProof/>
        </w:rPr>
        <w:t>ogami art.</w:t>
      </w:r>
      <w:r w:rsidR="001C651B" w:rsidRPr="001C651B">
        <w:rPr>
          <w:noProof/>
        </w:rPr>
        <w:t> </w:t>
      </w:r>
      <w:r w:rsidR="000056CB" w:rsidRPr="001C651B">
        <w:rPr>
          <w:noProof/>
        </w:rPr>
        <w:t>430 ust.</w:t>
      </w:r>
      <w:r w:rsidR="001C651B" w:rsidRPr="001C651B">
        <w:rPr>
          <w:noProof/>
        </w:rPr>
        <w:t> </w:t>
      </w:r>
      <w:r w:rsidR="000056CB" w:rsidRPr="001C651B">
        <w:rPr>
          <w:noProof/>
        </w:rPr>
        <w:t>1 lit.</w:t>
      </w:r>
      <w:r w:rsidR="001C651B" w:rsidRPr="001C651B">
        <w:rPr>
          <w:noProof/>
        </w:rPr>
        <w:t> </w:t>
      </w:r>
      <w:r w:rsidR="000056CB" w:rsidRPr="001C651B">
        <w:rPr>
          <w:noProof/>
        </w:rPr>
        <w:t>d) tego rozporządzenia, zarówno na zasadzie indywidualnej, jak</w:t>
      </w:r>
      <w:r w:rsidR="001C651B" w:rsidRPr="001C651B">
        <w:rPr>
          <w:noProof/>
        </w:rPr>
        <w:t xml:space="preserve"> i</w:t>
      </w:r>
      <w:r w:rsidR="001C651B">
        <w:rPr>
          <w:noProof/>
        </w:rPr>
        <w:t> </w:t>
      </w:r>
      <w:r w:rsidR="001C651B" w:rsidRPr="001C651B">
        <w:rPr>
          <w:noProof/>
        </w:rPr>
        <w:t>sko</w:t>
      </w:r>
      <w:r w:rsidR="000056CB" w:rsidRPr="001C651B">
        <w:rPr>
          <w:noProof/>
        </w:rPr>
        <w:t>nsolidowanej, przedstawiają te informacje, jak określono</w:t>
      </w:r>
      <w:r w:rsidR="001C651B" w:rsidRPr="001C651B">
        <w:rPr>
          <w:noProof/>
        </w:rPr>
        <w:t xml:space="preserve"> w</w:t>
      </w:r>
      <w:r w:rsidR="001C651B">
        <w:rPr>
          <w:noProof/>
        </w:rPr>
        <w:t> </w:t>
      </w:r>
      <w:r w:rsidR="001C651B" w:rsidRPr="001C651B">
        <w:rPr>
          <w:noProof/>
        </w:rPr>
        <w:t>sek</w:t>
      </w:r>
      <w:r w:rsidR="000056CB" w:rsidRPr="001C651B">
        <w:rPr>
          <w:noProof/>
        </w:rPr>
        <w:t>cji 10 – „Sprawozdawczość</w:t>
      </w:r>
      <w:r w:rsidR="001C651B" w:rsidRPr="001C651B">
        <w:rPr>
          <w:noProof/>
        </w:rPr>
        <w:t xml:space="preserve"> w</w:t>
      </w:r>
      <w:r w:rsidR="001C651B">
        <w:rPr>
          <w:noProof/>
        </w:rPr>
        <w:t> </w:t>
      </w:r>
      <w:r w:rsidR="001C651B" w:rsidRPr="001C651B">
        <w:rPr>
          <w:noProof/>
        </w:rPr>
        <w:t>zak</w:t>
      </w:r>
      <w:r w:rsidR="000056CB" w:rsidRPr="001C651B">
        <w:rPr>
          <w:noProof/>
        </w:rPr>
        <w:t>resie pokrycia wypływów netto”</w:t>
      </w:r>
      <w:r w:rsidR="001C651B" w:rsidRPr="001C651B">
        <w:rPr>
          <w:noProof/>
        </w:rPr>
        <w:t xml:space="preserve"> w</w:t>
      </w:r>
      <w:r w:rsidR="001C651B">
        <w:rPr>
          <w:noProof/>
        </w:rPr>
        <w:t> </w:t>
      </w:r>
      <w:r w:rsidR="001C651B" w:rsidRPr="001C651B">
        <w:rPr>
          <w:noProof/>
        </w:rPr>
        <w:t>zał</w:t>
      </w:r>
      <w:r w:rsidR="000056CB" w:rsidRPr="001C651B">
        <w:rPr>
          <w:noProof/>
        </w:rPr>
        <w:t>ączniku I do niniejszego rozporządzenia,</w:t>
      </w:r>
      <w:r w:rsidR="001C651B" w:rsidRPr="001C651B">
        <w:rPr>
          <w:noProof/>
        </w:rPr>
        <w:t xml:space="preserve"> z</w:t>
      </w:r>
      <w:r w:rsidR="001C651B">
        <w:rPr>
          <w:noProof/>
        </w:rPr>
        <w:t> </w:t>
      </w:r>
      <w:r w:rsidR="001C651B" w:rsidRPr="001C651B">
        <w:rPr>
          <w:noProof/>
        </w:rPr>
        <w:t>czę</w:t>
      </w:r>
      <w:r w:rsidR="000056CB" w:rsidRPr="001C651B">
        <w:rPr>
          <w:noProof/>
        </w:rPr>
        <w:t>stotliwością miesięczną.</w:t>
      </w:r>
    </w:p>
    <w:p w:rsidR="00716EA9" w:rsidRPr="001C651B" w:rsidRDefault="003040A6" w:rsidP="003040A6">
      <w:pPr>
        <w:pStyle w:val="ManualNumPar1"/>
        <w:rPr>
          <w:noProof/>
        </w:rPr>
      </w:pPr>
      <w:r w:rsidRPr="003040A6">
        <w:rPr>
          <w:noProof/>
        </w:rPr>
        <w:t>2.</w:t>
      </w:r>
      <w:r w:rsidRPr="003040A6">
        <w:rPr>
          <w:noProof/>
        </w:rPr>
        <w:tab/>
      </w:r>
      <w:r w:rsidR="00716EA9" w:rsidRPr="001C651B">
        <w:rPr>
          <w:noProof/>
        </w:rPr>
        <w:t>Do celów przekazywania informacji określonych</w:t>
      </w:r>
      <w:r w:rsidR="001C651B" w:rsidRPr="001C651B">
        <w:rPr>
          <w:noProof/>
        </w:rPr>
        <w:t xml:space="preserve"> w</w:t>
      </w:r>
      <w:r w:rsidR="001C651B">
        <w:rPr>
          <w:noProof/>
        </w:rPr>
        <w:t> </w:t>
      </w:r>
      <w:r w:rsidR="001C651B" w:rsidRPr="001C651B">
        <w:rPr>
          <w:noProof/>
        </w:rPr>
        <w:t>sek</w:t>
      </w:r>
      <w:r w:rsidR="00716EA9" w:rsidRPr="001C651B">
        <w:rPr>
          <w:noProof/>
        </w:rPr>
        <w:t>cji 10 – „Sprawozdawczość</w:t>
      </w:r>
      <w:r w:rsidR="001C651B" w:rsidRPr="001C651B">
        <w:rPr>
          <w:noProof/>
        </w:rPr>
        <w:t xml:space="preserve"> w</w:t>
      </w:r>
      <w:r w:rsidR="001C651B">
        <w:rPr>
          <w:noProof/>
        </w:rPr>
        <w:t> </w:t>
      </w:r>
      <w:r w:rsidR="001C651B" w:rsidRPr="001C651B">
        <w:rPr>
          <w:noProof/>
        </w:rPr>
        <w:t>zak</w:t>
      </w:r>
      <w:r w:rsidR="00716EA9" w:rsidRPr="001C651B">
        <w:rPr>
          <w:noProof/>
        </w:rPr>
        <w:t>resie pokrycia wypływów netto”</w:t>
      </w:r>
      <w:r w:rsidR="001C651B" w:rsidRPr="001C651B">
        <w:rPr>
          <w:noProof/>
        </w:rPr>
        <w:t xml:space="preserve"> w</w:t>
      </w:r>
      <w:r w:rsidR="001C651B">
        <w:rPr>
          <w:noProof/>
        </w:rPr>
        <w:t> </w:t>
      </w:r>
      <w:r w:rsidR="001C651B" w:rsidRPr="001C651B">
        <w:rPr>
          <w:noProof/>
        </w:rPr>
        <w:t>zał</w:t>
      </w:r>
      <w:r w:rsidR="00716EA9" w:rsidRPr="001C651B">
        <w:rPr>
          <w:noProof/>
        </w:rPr>
        <w:t>ączniku I do niniejszego rozporządzenia instytucje uwzględniają informacje przedstawiane na sprawozdawczy dzień odniesienia oraz informacje dotyczące przepływów środków pieniężnych</w:t>
      </w:r>
      <w:r w:rsidR="001C651B" w:rsidRPr="001C651B">
        <w:rPr>
          <w:noProof/>
        </w:rPr>
        <w:t xml:space="preserve"> w</w:t>
      </w:r>
      <w:r w:rsidR="001C651B">
        <w:rPr>
          <w:noProof/>
        </w:rPr>
        <w:t> </w:t>
      </w:r>
      <w:r w:rsidR="001C651B" w:rsidRPr="001C651B">
        <w:rPr>
          <w:noProof/>
        </w:rPr>
        <w:t>cią</w:t>
      </w:r>
      <w:r w:rsidR="00716EA9" w:rsidRPr="001C651B">
        <w:rPr>
          <w:noProof/>
        </w:rPr>
        <w:t>gu kolejnych 30 dni kalendarzowych po sprawozdawczym dniu odniesienia.</w:t>
      </w:r>
    </w:p>
    <w:p w:rsidR="00716EA9" w:rsidRPr="001C651B" w:rsidRDefault="00716EA9" w:rsidP="00E537F5">
      <w:pPr>
        <w:pStyle w:val="Titrearticle"/>
        <w:rPr>
          <w:noProof/>
          <w:szCs w:val="24"/>
        </w:rPr>
      </w:pPr>
      <w:r w:rsidRPr="001C651B">
        <w:rPr>
          <w:noProof/>
        </w:rPr>
        <w:t>Artykuł 17</w:t>
      </w:r>
    </w:p>
    <w:p w:rsidR="00716EA9" w:rsidRPr="001C651B" w:rsidRDefault="00716EA9" w:rsidP="00F22954">
      <w:pPr>
        <w:pStyle w:val="Titrearticle"/>
        <w:spacing w:before="0"/>
        <w:rPr>
          <w:b/>
          <w:bCs/>
          <w:i w:val="0"/>
          <w:iCs/>
          <w:noProof/>
          <w:szCs w:val="24"/>
        </w:rPr>
      </w:pPr>
      <w:r w:rsidRPr="001C651B">
        <w:rPr>
          <w:b/>
          <w:i w:val="0"/>
          <w:noProof/>
        </w:rPr>
        <w:t>Sprawozdawczość</w:t>
      </w:r>
      <w:r w:rsidR="001C651B" w:rsidRPr="001C651B">
        <w:rPr>
          <w:b/>
          <w:i w:val="0"/>
          <w:noProof/>
        </w:rPr>
        <w:t xml:space="preserve"> w</w:t>
      </w:r>
      <w:r w:rsidR="001C651B">
        <w:rPr>
          <w:b/>
          <w:i w:val="0"/>
          <w:noProof/>
        </w:rPr>
        <w:t> </w:t>
      </w:r>
      <w:r w:rsidR="001C651B" w:rsidRPr="001C651B">
        <w:rPr>
          <w:b/>
          <w:i w:val="0"/>
          <w:noProof/>
        </w:rPr>
        <w:t>zak</w:t>
      </w:r>
      <w:r w:rsidRPr="001C651B">
        <w:rPr>
          <w:b/>
          <w:i w:val="0"/>
          <w:noProof/>
        </w:rPr>
        <w:t>resie stabilnego finansowania zarówno na zasadzie indywidualnej, jak</w:t>
      </w:r>
      <w:r w:rsidR="001C651B" w:rsidRPr="001C651B">
        <w:rPr>
          <w:b/>
          <w:i w:val="0"/>
          <w:noProof/>
        </w:rPr>
        <w:t xml:space="preserve"> i</w:t>
      </w:r>
      <w:r w:rsidR="001C651B">
        <w:rPr>
          <w:b/>
          <w:i w:val="0"/>
          <w:noProof/>
        </w:rPr>
        <w:t> </w:t>
      </w:r>
      <w:r w:rsidR="001C651B" w:rsidRPr="001C651B">
        <w:rPr>
          <w:b/>
          <w:i w:val="0"/>
          <w:noProof/>
        </w:rPr>
        <w:t>sko</w:t>
      </w:r>
      <w:r w:rsidRPr="001C651B">
        <w:rPr>
          <w:b/>
          <w:i w:val="0"/>
          <w:noProof/>
        </w:rPr>
        <w:t>nsolidowanej</w:t>
      </w:r>
    </w:p>
    <w:p w:rsidR="00716EA9" w:rsidRPr="001C651B" w:rsidRDefault="00D62A44" w:rsidP="00BA7013">
      <w:pPr>
        <w:rPr>
          <w:noProof/>
          <w:color w:val="000000"/>
          <w:szCs w:val="24"/>
        </w:rPr>
      </w:pPr>
      <w:r w:rsidRPr="001C651B">
        <w:rPr>
          <w:noProof/>
          <w:color w:val="000000"/>
        </w:rPr>
        <w:t>Instytucje, które przekazują informacje na temat swojego wymogu dotyczącego stabilnego finansowania,</w:t>
      </w:r>
      <w:r w:rsidR="001C651B" w:rsidRPr="001C651B">
        <w:rPr>
          <w:noProof/>
          <w:color w:val="000000"/>
        </w:rPr>
        <w:t xml:space="preserve"> o</w:t>
      </w:r>
      <w:r w:rsidR="001C651B">
        <w:rPr>
          <w:noProof/>
          <w:color w:val="000000"/>
        </w:rPr>
        <w:t> </w:t>
      </w:r>
      <w:r w:rsidR="001C651B" w:rsidRPr="001C651B">
        <w:rPr>
          <w:noProof/>
          <w:color w:val="000000"/>
        </w:rPr>
        <w:t>któ</w:t>
      </w:r>
      <w:r w:rsidRPr="001C651B">
        <w:rPr>
          <w:noProof/>
          <w:color w:val="000000"/>
        </w:rPr>
        <w:t>rym mowa</w:t>
      </w:r>
      <w:r w:rsidR="001C651B" w:rsidRPr="001C651B">
        <w:rPr>
          <w:noProof/>
          <w:color w:val="000000"/>
        </w:rPr>
        <w:t xml:space="preserve"> w</w:t>
      </w:r>
      <w:r w:rsidR="001C651B">
        <w:rPr>
          <w:noProof/>
          <w:color w:val="000000"/>
        </w:rPr>
        <w:t> </w:t>
      </w:r>
      <w:r w:rsidR="001C651B" w:rsidRPr="001C651B">
        <w:rPr>
          <w:noProof/>
          <w:color w:val="000000"/>
        </w:rPr>
        <w:t>art</w:t>
      </w:r>
      <w:r w:rsidRPr="001C651B">
        <w:rPr>
          <w:noProof/>
          <w:color w:val="000000"/>
        </w:rPr>
        <w:t>.</w:t>
      </w:r>
      <w:r w:rsidR="001C651B" w:rsidRPr="001C651B">
        <w:rPr>
          <w:noProof/>
          <w:color w:val="000000"/>
        </w:rPr>
        <w:t> </w:t>
      </w:r>
      <w:r w:rsidRPr="001C651B">
        <w:rPr>
          <w:noProof/>
          <w:color w:val="000000"/>
        </w:rPr>
        <w:t>413</w:t>
      </w:r>
      <w:r w:rsidRPr="001C651B">
        <w:rPr>
          <w:noProof/>
        </w:rPr>
        <w:t xml:space="preserve"> rozporządzenia (UE) nr</w:t>
      </w:r>
      <w:r w:rsidR="001C651B" w:rsidRPr="001C651B">
        <w:rPr>
          <w:noProof/>
        </w:rPr>
        <w:t> </w:t>
      </w:r>
      <w:r w:rsidRPr="001C651B">
        <w:rPr>
          <w:noProof/>
        </w:rPr>
        <w:t>575/2013 oraz zgodnie</w:t>
      </w:r>
      <w:r w:rsidR="001C651B" w:rsidRPr="001C651B">
        <w:rPr>
          <w:noProof/>
        </w:rPr>
        <w:t xml:space="preserve"> z</w:t>
      </w:r>
      <w:r w:rsidR="001C651B">
        <w:rPr>
          <w:noProof/>
        </w:rPr>
        <w:t> </w:t>
      </w:r>
      <w:r w:rsidR="001C651B" w:rsidRPr="001C651B">
        <w:rPr>
          <w:noProof/>
        </w:rPr>
        <w:t>wym</w:t>
      </w:r>
      <w:r w:rsidRPr="001C651B">
        <w:rPr>
          <w:noProof/>
        </w:rPr>
        <w:t xml:space="preserve">ogami </w:t>
      </w:r>
      <w:r w:rsidRPr="001C651B">
        <w:rPr>
          <w:noProof/>
          <w:color w:val="000000"/>
        </w:rPr>
        <w:t>art.</w:t>
      </w:r>
      <w:r w:rsidR="001C651B" w:rsidRPr="001C651B">
        <w:rPr>
          <w:noProof/>
          <w:color w:val="000000"/>
        </w:rPr>
        <w:t> </w:t>
      </w:r>
      <w:r w:rsidRPr="001C651B">
        <w:rPr>
          <w:noProof/>
          <w:color w:val="000000"/>
        </w:rPr>
        <w:t>430 ust.</w:t>
      </w:r>
      <w:r w:rsidR="001C651B" w:rsidRPr="001C651B">
        <w:rPr>
          <w:noProof/>
          <w:color w:val="000000"/>
        </w:rPr>
        <w:t> </w:t>
      </w:r>
      <w:r w:rsidRPr="001C651B">
        <w:rPr>
          <w:noProof/>
          <w:color w:val="000000"/>
        </w:rPr>
        <w:t>1 lit.</w:t>
      </w:r>
      <w:r w:rsidR="001C651B" w:rsidRPr="001C651B">
        <w:rPr>
          <w:noProof/>
          <w:color w:val="000000"/>
        </w:rPr>
        <w:t> </w:t>
      </w:r>
      <w:r w:rsidRPr="001C651B">
        <w:rPr>
          <w:noProof/>
          <w:color w:val="000000"/>
        </w:rPr>
        <w:t>d) tego rozporządzenia, zarówno na zasadzie indywidualnej, jak</w:t>
      </w:r>
      <w:r w:rsidR="001C651B" w:rsidRPr="001C651B">
        <w:rPr>
          <w:noProof/>
          <w:color w:val="000000"/>
        </w:rPr>
        <w:t xml:space="preserve"> i</w:t>
      </w:r>
      <w:r w:rsidR="001C651B">
        <w:rPr>
          <w:noProof/>
          <w:color w:val="000000"/>
        </w:rPr>
        <w:t> </w:t>
      </w:r>
      <w:r w:rsidR="001C651B" w:rsidRPr="001C651B">
        <w:rPr>
          <w:noProof/>
          <w:color w:val="000000"/>
        </w:rPr>
        <w:t>sko</w:t>
      </w:r>
      <w:r w:rsidRPr="001C651B">
        <w:rPr>
          <w:noProof/>
          <w:color w:val="000000"/>
        </w:rPr>
        <w:t>nsolidowanej, przedstawiają te informacje, jak określono</w:t>
      </w:r>
      <w:r w:rsidR="001C651B" w:rsidRPr="001C651B">
        <w:rPr>
          <w:noProof/>
          <w:color w:val="000000"/>
        </w:rPr>
        <w:t xml:space="preserve"> w</w:t>
      </w:r>
      <w:r w:rsidR="001C651B">
        <w:rPr>
          <w:noProof/>
          <w:color w:val="000000"/>
        </w:rPr>
        <w:t> </w:t>
      </w:r>
      <w:r w:rsidR="001C651B" w:rsidRPr="001C651B">
        <w:rPr>
          <w:noProof/>
          <w:color w:val="000000"/>
        </w:rPr>
        <w:t>sek</w:t>
      </w:r>
      <w:r w:rsidRPr="001C651B">
        <w:rPr>
          <w:noProof/>
          <w:color w:val="000000"/>
        </w:rPr>
        <w:t>cji 7 – „Sprawozdawczość</w:t>
      </w:r>
      <w:r w:rsidR="001C651B" w:rsidRPr="001C651B">
        <w:rPr>
          <w:noProof/>
          <w:color w:val="000000"/>
        </w:rPr>
        <w:t xml:space="preserve"> w</w:t>
      </w:r>
      <w:r w:rsidR="001C651B">
        <w:rPr>
          <w:noProof/>
          <w:color w:val="000000"/>
        </w:rPr>
        <w:t> </w:t>
      </w:r>
      <w:r w:rsidR="001C651B" w:rsidRPr="001C651B">
        <w:rPr>
          <w:noProof/>
          <w:color w:val="000000"/>
        </w:rPr>
        <w:t>zak</w:t>
      </w:r>
      <w:r w:rsidRPr="001C651B">
        <w:rPr>
          <w:noProof/>
          <w:color w:val="000000"/>
        </w:rPr>
        <w:t>resie wskaźnika stabilnego finansowania netto”</w:t>
      </w:r>
      <w:r w:rsidR="001C651B" w:rsidRPr="001C651B">
        <w:rPr>
          <w:noProof/>
          <w:color w:val="000000"/>
        </w:rPr>
        <w:t xml:space="preserve"> w</w:t>
      </w:r>
      <w:r w:rsidR="001C651B">
        <w:rPr>
          <w:noProof/>
          <w:color w:val="000000"/>
        </w:rPr>
        <w:t> </w:t>
      </w:r>
      <w:r w:rsidR="001C651B" w:rsidRPr="001C651B">
        <w:rPr>
          <w:noProof/>
          <w:color w:val="000000"/>
        </w:rPr>
        <w:t>zał</w:t>
      </w:r>
      <w:r w:rsidRPr="001C651B">
        <w:rPr>
          <w:noProof/>
          <w:color w:val="000000"/>
        </w:rPr>
        <w:t>ączniku I do niniejszego rozporządzenia,</w:t>
      </w:r>
      <w:r w:rsidR="001C651B" w:rsidRPr="001C651B">
        <w:rPr>
          <w:noProof/>
          <w:color w:val="000000"/>
        </w:rPr>
        <w:t xml:space="preserve"> z</w:t>
      </w:r>
      <w:r w:rsidR="001C651B">
        <w:rPr>
          <w:noProof/>
          <w:color w:val="000000"/>
        </w:rPr>
        <w:t> </w:t>
      </w:r>
      <w:r w:rsidR="001C651B" w:rsidRPr="001C651B">
        <w:rPr>
          <w:noProof/>
          <w:color w:val="000000"/>
        </w:rPr>
        <w:t>czę</w:t>
      </w:r>
      <w:r w:rsidRPr="001C651B">
        <w:rPr>
          <w:noProof/>
          <w:color w:val="000000"/>
        </w:rPr>
        <w:t>stotliwością kwartalną zgodnie</w:t>
      </w:r>
      <w:r w:rsidR="001C651B" w:rsidRPr="001C651B">
        <w:rPr>
          <w:noProof/>
          <w:color w:val="000000"/>
        </w:rPr>
        <w:t xml:space="preserve"> z</w:t>
      </w:r>
      <w:r w:rsidR="001C651B">
        <w:rPr>
          <w:noProof/>
          <w:color w:val="000000"/>
        </w:rPr>
        <w:t> </w:t>
      </w:r>
      <w:r w:rsidR="001C651B" w:rsidRPr="001C651B">
        <w:rPr>
          <w:noProof/>
          <w:color w:val="000000"/>
        </w:rPr>
        <w:t>pon</w:t>
      </w:r>
      <w:r w:rsidRPr="001C651B">
        <w:rPr>
          <w:noProof/>
          <w:color w:val="000000"/>
        </w:rPr>
        <w:t>iższym:</w:t>
      </w:r>
    </w:p>
    <w:p w:rsidR="00C26E6A" w:rsidRPr="001C651B" w:rsidRDefault="00D8126A" w:rsidP="00D8126A">
      <w:pPr>
        <w:pStyle w:val="Point0"/>
        <w:rPr>
          <w:noProof/>
        </w:rPr>
      </w:pPr>
      <w:r w:rsidRPr="001C651B">
        <w:rPr>
          <w:noProof/>
        </w:rPr>
        <w:t>a)</w:t>
      </w:r>
      <w:r w:rsidRPr="001C651B">
        <w:rPr>
          <w:noProof/>
        </w:rPr>
        <w:tab/>
      </w:r>
      <w:r w:rsidR="00C26E6A" w:rsidRPr="001C651B">
        <w:rPr>
          <w:noProof/>
        </w:rPr>
        <w:t>małe</w:t>
      </w:r>
      <w:r w:rsidR="001C651B" w:rsidRPr="001C651B">
        <w:rPr>
          <w:noProof/>
        </w:rPr>
        <w:t xml:space="preserve"> i</w:t>
      </w:r>
      <w:r w:rsidR="001C651B">
        <w:rPr>
          <w:noProof/>
        </w:rPr>
        <w:t> </w:t>
      </w:r>
      <w:r w:rsidR="001C651B" w:rsidRPr="001C651B">
        <w:rPr>
          <w:noProof/>
        </w:rPr>
        <w:t>nie</w:t>
      </w:r>
      <w:r w:rsidR="00C26E6A" w:rsidRPr="001C651B">
        <w:rPr>
          <w:noProof/>
        </w:rPr>
        <w:t>złożone instytucje, które zdecydowały, że będą obliczać swój wskaźnik stabilnego finansowania netto przy użyciu metody określonej</w:t>
      </w:r>
      <w:r w:rsidR="001C651B" w:rsidRPr="001C651B">
        <w:rPr>
          <w:noProof/>
        </w:rPr>
        <w:t xml:space="preserve"> w</w:t>
      </w:r>
      <w:r w:rsidR="001C651B">
        <w:rPr>
          <w:noProof/>
        </w:rPr>
        <w:t> </w:t>
      </w:r>
      <w:r w:rsidR="001C651B" w:rsidRPr="001C651B">
        <w:rPr>
          <w:noProof/>
        </w:rPr>
        <w:t>czę</w:t>
      </w:r>
      <w:r w:rsidR="00C26E6A" w:rsidRPr="001C651B">
        <w:rPr>
          <w:noProof/>
        </w:rPr>
        <w:t>ści szóstej tytuł IV rozdziały 6</w:t>
      </w:r>
      <w:r w:rsidR="001C651B" w:rsidRPr="001C651B">
        <w:rPr>
          <w:noProof/>
        </w:rPr>
        <w:t xml:space="preserve"> i</w:t>
      </w:r>
      <w:r w:rsidR="001C651B">
        <w:rPr>
          <w:noProof/>
        </w:rPr>
        <w:t> </w:t>
      </w:r>
      <w:r w:rsidR="001C651B" w:rsidRPr="001C651B">
        <w:rPr>
          <w:noProof/>
        </w:rPr>
        <w:t>7</w:t>
      </w:r>
      <w:r w:rsidR="00C26E6A" w:rsidRPr="001C651B">
        <w:rPr>
          <w:noProof/>
        </w:rPr>
        <w:t xml:space="preserve"> rozporządzenia (UE) nr</w:t>
      </w:r>
      <w:r w:rsidR="001C651B" w:rsidRPr="001C651B">
        <w:rPr>
          <w:noProof/>
        </w:rPr>
        <w:t> </w:t>
      </w:r>
      <w:r w:rsidR="00C26E6A" w:rsidRPr="001C651B">
        <w:rPr>
          <w:noProof/>
        </w:rPr>
        <w:t>575/2013, po uprzednim uzyskaniu zezwolenia swojego właściwego organu zgodnie</w:t>
      </w:r>
      <w:r w:rsidR="001C651B" w:rsidRPr="001C651B">
        <w:rPr>
          <w:noProof/>
        </w:rPr>
        <w:t xml:space="preserve"> z</w:t>
      </w:r>
      <w:r w:rsidR="001C651B">
        <w:rPr>
          <w:noProof/>
        </w:rPr>
        <w:t> </w:t>
      </w:r>
      <w:r w:rsidR="001C651B" w:rsidRPr="001C651B">
        <w:rPr>
          <w:noProof/>
        </w:rPr>
        <w:t>art</w:t>
      </w:r>
      <w:r w:rsidR="00C26E6A" w:rsidRPr="001C651B">
        <w:rPr>
          <w:noProof/>
        </w:rPr>
        <w:t>. 428ai tego rozporządzenia, składają wzory C 82 i C 83;</w:t>
      </w:r>
    </w:p>
    <w:p w:rsidR="00C26E6A" w:rsidRPr="001C651B" w:rsidRDefault="00D8126A" w:rsidP="00D8126A">
      <w:pPr>
        <w:pStyle w:val="Point0"/>
        <w:rPr>
          <w:noProof/>
        </w:rPr>
      </w:pPr>
      <w:r w:rsidRPr="001C651B">
        <w:rPr>
          <w:noProof/>
        </w:rPr>
        <w:t>b)</w:t>
      </w:r>
      <w:r w:rsidRPr="001C651B">
        <w:rPr>
          <w:noProof/>
        </w:rPr>
        <w:tab/>
      </w:r>
      <w:r w:rsidR="00C26E6A" w:rsidRPr="001C651B">
        <w:rPr>
          <w:noProof/>
        </w:rPr>
        <w:t>instytucje inne niż te,</w:t>
      </w:r>
      <w:r w:rsidR="001C651B" w:rsidRPr="001C651B">
        <w:rPr>
          <w:noProof/>
        </w:rPr>
        <w:t xml:space="preserve"> o</w:t>
      </w:r>
      <w:r w:rsidR="001C651B">
        <w:rPr>
          <w:noProof/>
        </w:rPr>
        <w:t> </w:t>
      </w:r>
      <w:r w:rsidR="001C651B" w:rsidRPr="001C651B">
        <w:rPr>
          <w:noProof/>
        </w:rPr>
        <w:t>któ</w:t>
      </w:r>
      <w:r w:rsidR="00C26E6A" w:rsidRPr="001C651B">
        <w:rPr>
          <w:noProof/>
        </w:rPr>
        <w:t>rych mowa</w:t>
      </w:r>
      <w:r w:rsidR="001C651B" w:rsidRPr="001C651B">
        <w:rPr>
          <w:noProof/>
        </w:rPr>
        <w:t xml:space="preserve"> w</w:t>
      </w:r>
      <w:r w:rsidR="001C651B">
        <w:rPr>
          <w:noProof/>
        </w:rPr>
        <w:t> </w:t>
      </w:r>
      <w:r w:rsidR="001C651B" w:rsidRPr="001C651B">
        <w:rPr>
          <w:noProof/>
        </w:rPr>
        <w:t>lit</w:t>
      </w:r>
      <w:r w:rsidR="00C26E6A" w:rsidRPr="001C651B">
        <w:rPr>
          <w:noProof/>
        </w:rPr>
        <w:t>.</w:t>
      </w:r>
      <w:r w:rsidR="001C651B" w:rsidRPr="001C651B">
        <w:rPr>
          <w:noProof/>
        </w:rPr>
        <w:t> </w:t>
      </w:r>
      <w:r w:rsidR="00C26E6A" w:rsidRPr="001C651B">
        <w:rPr>
          <w:noProof/>
        </w:rPr>
        <w:t>a), składają wzory C 80 i C 81;</w:t>
      </w:r>
    </w:p>
    <w:p w:rsidR="00C26E6A" w:rsidRPr="001C651B" w:rsidRDefault="00D8126A" w:rsidP="00D8126A">
      <w:pPr>
        <w:pStyle w:val="Point0"/>
        <w:rPr>
          <w:noProof/>
        </w:rPr>
      </w:pPr>
      <w:r w:rsidRPr="001C651B">
        <w:rPr>
          <w:noProof/>
        </w:rPr>
        <w:t>c)</w:t>
      </w:r>
      <w:r w:rsidRPr="001C651B">
        <w:rPr>
          <w:noProof/>
        </w:rPr>
        <w:tab/>
      </w:r>
      <w:r w:rsidR="00C26E6A" w:rsidRPr="001C651B">
        <w:rPr>
          <w:noProof/>
        </w:rPr>
        <w:t>wszystkie instytucje składają wzór C 84.</w:t>
      </w:r>
    </w:p>
    <w:p w:rsidR="00716EA9" w:rsidRPr="001C651B" w:rsidRDefault="00716EA9" w:rsidP="00E537F5">
      <w:pPr>
        <w:pStyle w:val="Titrearticle"/>
        <w:rPr>
          <w:noProof/>
          <w:szCs w:val="24"/>
        </w:rPr>
      </w:pPr>
      <w:r w:rsidRPr="001C651B">
        <w:rPr>
          <w:noProof/>
        </w:rPr>
        <w:t>Artykuł 18</w:t>
      </w:r>
    </w:p>
    <w:p w:rsidR="00716EA9" w:rsidRPr="001C651B" w:rsidRDefault="00716EA9" w:rsidP="00F22954">
      <w:pPr>
        <w:pStyle w:val="Titrearticle"/>
        <w:spacing w:before="0"/>
        <w:rPr>
          <w:b/>
          <w:bCs/>
          <w:i w:val="0"/>
          <w:iCs/>
          <w:noProof/>
          <w:szCs w:val="24"/>
        </w:rPr>
      </w:pPr>
      <w:r w:rsidRPr="001C651B">
        <w:rPr>
          <w:b/>
          <w:i w:val="0"/>
          <w:noProof/>
        </w:rPr>
        <w:t>Sprawozdawczość</w:t>
      </w:r>
      <w:r w:rsidR="001C651B" w:rsidRPr="001C651B">
        <w:rPr>
          <w:b/>
          <w:i w:val="0"/>
          <w:noProof/>
        </w:rPr>
        <w:t xml:space="preserve"> w</w:t>
      </w:r>
      <w:r w:rsidR="001C651B">
        <w:rPr>
          <w:b/>
          <w:i w:val="0"/>
          <w:noProof/>
        </w:rPr>
        <w:t> </w:t>
      </w:r>
      <w:r w:rsidR="001C651B" w:rsidRPr="001C651B">
        <w:rPr>
          <w:b/>
          <w:i w:val="0"/>
          <w:noProof/>
        </w:rPr>
        <w:t>zak</w:t>
      </w:r>
      <w:r w:rsidRPr="001C651B">
        <w:rPr>
          <w:b/>
          <w:i w:val="0"/>
          <w:noProof/>
        </w:rPr>
        <w:t>resie dodatkowych wskaźników monitorowania płynności zarówno na zasadzie indywidualnej, jak</w:t>
      </w:r>
      <w:r w:rsidR="001C651B" w:rsidRPr="001C651B">
        <w:rPr>
          <w:b/>
          <w:i w:val="0"/>
          <w:noProof/>
        </w:rPr>
        <w:t xml:space="preserve"> i</w:t>
      </w:r>
      <w:r w:rsidR="001C651B">
        <w:rPr>
          <w:b/>
          <w:i w:val="0"/>
          <w:noProof/>
        </w:rPr>
        <w:t> </w:t>
      </w:r>
      <w:r w:rsidR="001C651B" w:rsidRPr="001C651B">
        <w:rPr>
          <w:b/>
          <w:i w:val="0"/>
          <w:noProof/>
        </w:rPr>
        <w:t>sko</w:t>
      </w:r>
      <w:r w:rsidRPr="001C651B">
        <w:rPr>
          <w:b/>
          <w:i w:val="0"/>
          <w:noProof/>
        </w:rPr>
        <w:t>nsolidowanej</w:t>
      </w:r>
    </w:p>
    <w:p w:rsidR="00716EA9" w:rsidRPr="001C651B" w:rsidRDefault="00D538F2" w:rsidP="007643C7">
      <w:pPr>
        <w:tabs>
          <w:tab w:val="left" w:pos="567"/>
        </w:tabs>
        <w:spacing w:before="100" w:beforeAutospacing="1" w:after="100" w:afterAutospacing="1"/>
        <w:rPr>
          <w:noProof/>
          <w:color w:val="000000"/>
          <w:szCs w:val="24"/>
        </w:rPr>
      </w:pPr>
      <w:r w:rsidRPr="001C651B">
        <w:rPr>
          <w:noProof/>
          <w:color w:val="000000"/>
        </w:rPr>
        <w:t>Instytucje, które przekazują informacje na temat dodatkowych wskaźników monitorowania płynności,</w:t>
      </w:r>
      <w:r w:rsidR="001C651B" w:rsidRPr="001C651B">
        <w:rPr>
          <w:noProof/>
          <w:color w:val="000000"/>
        </w:rPr>
        <w:t xml:space="preserve"> o</w:t>
      </w:r>
      <w:r w:rsidR="001C651B">
        <w:rPr>
          <w:noProof/>
          <w:color w:val="000000"/>
        </w:rPr>
        <w:t> </w:t>
      </w:r>
      <w:r w:rsidR="001C651B" w:rsidRPr="001C651B">
        <w:rPr>
          <w:noProof/>
          <w:color w:val="000000"/>
        </w:rPr>
        <w:t>któ</w:t>
      </w:r>
      <w:r w:rsidRPr="001C651B">
        <w:rPr>
          <w:noProof/>
          <w:color w:val="000000"/>
        </w:rPr>
        <w:t>rych mowa</w:t>
      </w:r>
      <w:r w:rsidR="001C651B" w:rsidRPr="001C651B">
        <w:rPr>
          <w:noProof/>
          <w:color w:val="000000"/>
        </w:rPr>
        <w:t xml:space="preserve"> w</w:t>
      </w:r>
      <w:r w:rsidR="001C651B">
        <w:rPr>
          <w:noProof/>
          <w:color w:val="000000"/>
        </w:rPr>
        <w:t> </w:t>
      </w:r>
      <w:r w:rsidR="001C651B" w:rsidRPr="001C651B">
        <w:rPr>
          <w:noProof/>
          <w:color w:val="000000"/>
        </w:rPr>
        <w:t>art</w:t>
      </w:r>
      <w:r w:rsidRPr="001C651B">
        <w:rPr>
          <w:noProof/>
          <w:color w:val="000000"/>
        </w:rPr>
        <w:t>.</w:t>
      </w:r>
      <w:r w:rsidR="001C651B" w:rsidRPr="001C651B">
        <w:rPr>
          <w:noProof/>
          <w:color w:val="000000"/>
        </w:rPr>
        <w:t> </w:t>
      </w:r>
      <w:r w:rsidRPr="001C651B">
        <w:rPr>
          <w:noProof/>
          <w:color w:val="000000"/>
        </w:rPr>
        <w:t>415 ust.</w:t>
      </w:r>
      <w:r w:rsidR="001C651B" w:rsidRPr="001C651B">
        <w:rPr>
          <w:noProof/>
          <w:color w:val="000000"/>
        </w:rPr>
        <w:t> </w:t>
      </w:r>
      <w:r w:rsidRPr="001C651B">
        <w:rPr>
          <w:noProof/>
          <w:color w:val="000000"/>
        </w:rPr>
        <w:t>3 lit.</w:t>
      </w:r>
      <w:r w:rsidR="001C651B" w:rsidRPr="001C651B">
        <w:rPr>
          <w:noProof/>
          <w:color w:val="000000"/>
        </w:rPr>
        <w:t> </w:t>
      </w:r>
      <w:r w:rsidRPr="001C651B">
        <w:rPr>
          <w:noProof/>
          <w:color w:val="000000"/>
        </w:rPr>
        <w:t>b)</w:t>
      </w:r>
      <w:r w:rsidRPr="001C651B">
        <w:rPr>
          <w:noProof/>
        </w:rPr>
        <w:t xml:space="preserve"> rozporządzenia (UE) nr</w:t>
      </w:r>
      <w:r w:rsidR="001C651B" w:rsidRPr="001C651B">
        <w:rPr>
          <w:noProof/>
        </w:rPr>
        <w:t> </w:t>
      </w:r>
      <w:r w:rsidRPr="001C651B">
        <w:rPr>
          <w:noProof/>
        </w:rPr>
        <w:t>575/2013 oraz zgodnie</w:t>
      </w:r>
      <w:r w:rsidR="001C651B" w:rsidRPr="001C651B">
        <w:rPr>
          <w:noProof/>
        </w:rPr>
        <w:t xml:space="preserve"> z</w:t>
      </w:r>
      <w:r w:rsidR="001C651B">
        <w:rPr>
          <w:noProof/>
        </w:rPr>
        <w:t> </w:t>
      </w:r>
      <w:r w:rsidR="001C651B" w:rsidRPr="001C651B">
        <w:rPr>
          <w:noProof/>
        </w:rPr>
        <w:t>wym</w:t>
      </w:r>
      <w:r w:rsidRPr="001C651B">
        <w:rPr>
          <w:noProof/>
        </w:rPr>
        <w:t xml:space="preserve">ogami </w:t>
      </w:r>
      <w:r w:rsidRPr="001C651B">
        <w:rPr>
          <w:noProof/>
          <w:color w:val="000000"/>
        </w:rPr>
        <w:t>art.</w:t>
      </w:r>
      <w:r w:rsidR="001C651B" w:rsidRPr="001C651B">
        <w:rPr>
          <w:noProof/>
          <w:color w:val="000000"/>
        </w:rPr>
        <w:t> </w:t>
      </w:r>
      <w:r w:rsidRPr="001C651B">
        <w:rPr>
          <w:noProof/>
          <w:color w:val="000000"/>
        </w:rPr>
        <w:t>430 ust.</w:t>
      </w:r>
      <w:r w:rsidR="001C651B" w:rsidRPr="001C651B">
        <w:rPr>
          <w:noProof/>
          <w:color w:val="000000"/>
        </w:rPr>
        <w:t> </w:t>
      </w:r>
      <w:r w:rsidRPr="001C651B">
        <w:rPr>
          <w:noProof/>
          <w:color w:val="000000"/>
        </w:rPr>
        <w:t>1 lit.</w:t>
      </w:r>
      <w:r w:rsidR="001C651B" w:rsidRPr="001C651B">
        <w:rPr>
          <w:noProof/>
          <w:color w:val="000000"/>
        </w:rPr>
        <w:t> </w:t>
      </w:r>
      <w:r w:rsidRPr="001C651B">
        <w:rPr>
          <w:noProof/>
          <w:color w:val="000000"/>
        </w:rPr>
        <w:t>d) tego rozporządzenia, zarówno na zasadzie indywidualnej, jak</w:t>
      </w:r>
      <w:r w:rsidR="001C651B" w:rsidRPr="001C651B">
        <w:rPr>
          <w:noProof/>
          <w:color w:val="000000"/>
        </w:rPr>
        <w:t xml:space="preserve"> i</w:t>
      </w:r>
      <w:r w:rsidR="001C651B">
        <w:rPr>
          <w:noProof/>
          <w:color w:val="000000"/>
        </w:rPr>
        <w:t> </w:t>
      </w:r>
      <w:r w:rsidR="001C651B" w:rsidRPr="001C651B">
        <w:rPr>
          <w:noProof/>
          <w:color w:val="000000"/>
        </w:rPr>
        <w:t>sko</w:t>
      </w:r>
      <w:r w:rsidRPr="001C651B">
        <w:rPr>
          <w:noProof/>
          <w:color w:val="000000"/>
        </w:rPr>
        <w:t>nsolidowanej, przedstawiają te informacje, jak określono</w:t>
      </w:r>
      <w:r w:rsidR="001C651B" w:rsidRPr="001C651B">
        <w:rPr>
          <w:noProof/>
          <w:color w:val="000000"/>
        </w:rPr>
        <w:t xml:space="preserve"> w</w:t>
      </w:r>
      <w:r w:rsidR="001C651B">
        <w:rPr>
          <w:noProof/>
          <w:color w:val="000000"/>
        </w:rPr>
        <w:t> </w:t>
      </w:r>
      <w:r w:rsidR="001C651B" w:rsidRPr="001C651B">
        <w:rPr>
          <w:noProof/>
          <w:color w:val="000000"/>
        </w:rPr>
        <w:t>sek</w:t>
      </w:r>
      <w:r w:rsidRPr="001C651B">
        <w:rPr>
          <w:noProof/>
          <w:color w:val="000000"/>
        </w:rPr>
        <w:t>cji 9 – „Sprawozdawczość</w:t>
      </w:r>
      <w:r w:rsidR="001C651B" w:rsidRPr="001C651B">
        <w:rPr>
          <w:noProof/>
          <w:color w:val="000000"/>
        </w:rPr>
        <w:t xml:space="preserve"> w</w:t>
      </w:r>
      <w:r w:rsidR="001C651B">
        <w:rPr>
          <w:noProof/>
          <w:color w:val="000000"/>
        </w:rPr>
        <w:t> </w:t>
      </w:r>
      <w:r w:rsidR="001C651B" w:rsidRPr="001C651B">
        <w:rPr>
          <w:noProof/>
          <w:color w:val="000000"/>
        </w:rPr>
        <w:t>zak</w:t>
      </w:r>
      <w:r w:rsidRPr="001C651B">
        <w:rPr>
          <w:noProof/>
          <w:color w:val="000000"/>
        </w:rPr>
        <w:t>resie dodatkowych wskaźników monitorowania płynności”</w:t>
      </w:r>
      <w:r w:rsidR="001C651B" w:rsidRPr="001C651B">
        <w:rPr>
          <w:noProof/>
          <w:color w:val="000000"/>
        </w:rPr>
        <w:t xml:space="preserve"> w</w:t>
      </w:r>
      <w:r w:rsidR="001C651B">
        <w:rPr>
          <w:noProof/>
          <w:color w:val="000000"/>
        </w:rPr>
        <w:t> </w:t>
      </w:r>
      <w:r w:rsidR="001C651B" w:rsidRPr="001C651B">
        <w:rPr>
          <w:noProof/>
          <w:color w:val="000000"/>
        </w:rPr>
        <w:t>zał</w:t>
      </w:r>
      <w:r w:rsidRPr="001C651B">
        <w:rPr>
          <w:noProof/>
          <w:color w:val="000000"/>
        </w:rPr>
        <w:t>ączniku I do niniejszego rozporządzenia,</w:t>
      </w:r>
      <w:r w:rsidR="001C651B" w:rsidRPr="001C651B">
        <w:rPr>
          <w:noProof/>
          <w:color w:val="000000"/>
        </w:rPr>
        <w:t xml:space="preserve"> z</w:t>
      </w:r>
      <w:r w:rsidR="001C651B">
        <w:rPr>
          <w:noProof/>
          <w:color w:val="000000"/>
        </w:rPr>
        <w:t> </w:t>
      </w:r>
      <w:r w:rsidR="001C651B" w:rsidRPr="001C651B">
        <w:rPr>
          <w:noProof/>
          <w:color w:val="000000"/>
        </w:rPr>
        <w:t>nas</w:t>
      </w:r>
      <w:r w:rsidRPr="001C651B">
        <w:rPr>
          <w:noProof/>
          <w:color w:val="000000"/>
        </w:rPr>
        <w:t>tępującą częstotliwością:</w:t>
      </w:r>
    </w:p>
    <w:p w:rsidR="00F5752D" w:rsidRPr="001C651B" w:rsidRDefault="00D8126A" w:rsidP="00D8126A">
      <w:pPr>
        <w:pStyle w:val="Point0"/>
        <w:rPr>
          <w:noProof/>
        </w:rPr>
      </w:pPr>
      <w:r w:rsidRPr="001C651B">
        <w:rPr>
          <w:noProof/>
        </w:rPr>
        <w:t>a)</w:t>
      </w:r>
      <w:r w:rsidRPr="001C651B">
        <w:rPr>
          <w:noProof/>
        </w:rPr>
        <w:tab/>
      </w:r>
      <w:r w:rsidR="00F5752D" w:rsidRPr="001C651B">
        <w:rPr>
          <w:noProof/>
        </w:rPr>
        <w:t>duże instytucje przekazują informacje określone we wzorach C 66.01 i C 67.00–C 71.00 zawartych</w:t>
      </w:r>
      <w:r w:rsidR="001C651B" w:rsidRPr="001C651B">
        <w:rPr>
          <w:noProof/>
        </w:rPr>
        <w:t xml:space="preserve"> w</w:t>
      </w:r>
      <w:r w:rsidR="001C651B">
        <w:rPr>
          <w:noProof/>
        </w:rPr>
        <w:t> </w:t>
      </w:r>
      <w:r w:rsidR="001C651B" w:rsidRPr="001C651B">
        <w:rPr>
          <w:noProof/>
        </w:rPr>
        <w:t>sek</w:t>
      </w:r>
      <w:r w:rsidR="00F5752D" w:rsidRPr="001C651B">
        <w:rPr>
          <w:noProof/>
        </w:rPr>
        <w:t>cji 9 załącznika I do niniejszego rozporządzenia</w:t>
      </w:r>
      <w:r w:rsidR="001C651B" w:rsidRPr="001C651B">
        <w:rPr>
          <w:noProof/>
        </w:rPr>
        <w:t xml:space="preserve"> z</w:t>
      </w:r>
      <w:r w:rsidR="001C651B">
        <w:rPr>
          <w:noProof/>
        </w:rPr>
        <w:t> </w:t>
      </w:r>
      <w:r w:rsidR="001C651B" w:rsidRPr="001C651B">
        <w:rPr>
          <w:noProof/>
        </w:rPr>
        <w:t>czę</w:t>
      </w:r>
      <w:r w:rsidR="00F5752D" w:rsidRPr="001C651B">
        <w:rPr>
          <w:noProof/>
        </w:rPr>
        <w:t>stotliwością miesięczną;</w:t>
      </w:r>
    </w:p>
    <w:p w:rsidR="00F5752D" w:rsidRPr="001C651B" w:rsidRDefault="00D8126A" w:rsidP="00D8126A">
      <w:pPr>
        <w:pStyle w:val="Point0"/>
        <w:rPr>
          <w:noProof/>
        </w:rPr>
      </w:pPr>
      <w:r w:rsidRPr="001C651B">
        <w:rPr>
          <w:noProof/>
        </w:rPr>
        <w:t>b)</w:t>
      </w:r>
      <w:r w:rsidRPr="001C651B">
        <w:rPr>
          <w:noProof/>
        </w:rPr>
        <w:tab/>
      </w:r>
      <w:r w:rsidR="00F5752D" w:rsidRPr="001C651B">
        <w:rPr>
          <w:noProof/>
        </w:rPr>
        <w:t>małe</w:t>
      </w:r>
      <w:r w:rsidR="001C651B" w:rsidRPr="001C651B">
        <w:rPr>
          <w:noProof/>
        </w:rPr>
        <w:t xml:space="preserve"> i</w:t>
      </w:r>
      <w:r w:rsidR="001C651B">
        <w:rPr>
          <w:noProof/>
        </w:rPr>
        <w:t> </w:t>
      </w:r>
      <w:r w:rsidR="001C651B" w:rsidRPr="001C651B">
        <w:rPr>
          <w:noProof/>
        </w:rPr>
        <w:t>nie</w:t>
      </w:r>
      <w:r w:rsidR="00F5752D" w:rsidRPr="001C651B">
        <w:rPr>
          <w:noProof/>
        </w:rPr>
        <w:t>złożone instytucje przekazują informacje określone we wzorach C 66.0, C 67.00 i C 71.00 zawartych</w:t>
      </w:r>
      <w:r w:rsidR="001C651B" w:rsidRPr="001C651B">
        <w:rPr>
          <w:noProof/>
        </w:rPr>
        <w:t xml:space="preserve"> w</w:t>
      </w:r>
      <w:r w:rsidR="001C651B">
        <w:rPr>
          <w:noProof/>
        </w:rPr>
        <w:t> </w:t>
      </w:r>
      <w:r w:rsidR="001C651B" w:rsidRPr="001C651B">
        <w:rPr>
          <w:noProof/>
        </w:rPr>
        <w:t>sek</w:t>
      </w:r>
      <w:r w:rsidR="00F5752D" w:rsidRPr="001C651B">
        <w:rPr>
          <w:noProof/>
        </w:rPr>
        <w:t>cji 9 załącznika I do niniejszego rozporządzenia</w:t>
      </w:r>
      <w:r w:rsidR="001C651B" w:rsidRPr="001C651B">
        <w:rPr>
          <w:noProof/>
        </w:rPr>
        <w:t xml:space="preserve"> z</w:t>
      </w:r>
      <w:r w:rsidR="001C651B">
        <w:rPr>
          <w:noProof/>
        </w:rPr>
        <w:t> </w:t>
      </w:r>
      <w:r w:rsidR="001C651B" w:rsidRPr="001C651B">
        <w:rPr>
          <w:noProof/>
        </w:rPr>
        <w:t>czę</w:t>
      </w:r>
      <w:r w:rsidR="00F5752D" w:rsidRPr="001C651B">
        <w:rPr>
          <w:noProof/>
        </w:rPr>
        <w:t>stotliwością kwartalną;</w:t>
      </w:r>
    </w:p>
    <w:p w:rsidR="00F5752D" w:rsidRPr="001C651B" w:rsidRDefault="00D8126A" w:rsidP="00D8126A">
      <w:pPr>
        <w:pStyle w:val="Point0"/>
        <w:rPr>
          <w:noProof/>
        </w:rPr>
      </w:pPr>
      <w:r w:rsidRPr="001C651B">
        <w:rPr>
          <w:noProof/>
        </w:rPr>
        <w:t>c)</w:t>
      </w:r>
      <w:r w:rsidRPr="001C651B">
        <w:rPr>
          <w:noProof/>
        </w:rPr>
        <w:tab/>
      </w:r>
      <w:r w:rsidR="00F5752D" w:rsidRPr="001C651B">
        <w:rPr>
          <w:noProof/>
        </w:rPr>
        <w:t>instytucje, które nie są ani dużymi instytucjami, ani małymi</w:t>
      </w:r>
      <w:r w:rsidR="001C651B" w:rsidRPr="001C651B">
        <w:rPr>
          <w:noProof/>
        </w:rPr>
        <w:t xml:space="preserve"> i</w:t>
      </w:r>
      <w:r w:rsidR="001C651B">
        <w:rPr>
          <w:noProof/>
        </w:rPr>
        <w:t> </w:t>
      </w:r>
      <w:r w:rsidR="001C651B" w:rsidRPr="001C651B">
        <w:rPr>
          <w:noProof/>
        </w:rPr>
        <w:t>nie</w:t>
      </w:r>
      <w:r w:rsidR="00F5752D" w:rsidRPr="001C651B">
        <w:rPr>
          <w:noProof/>
        </w:rPr>
        <w:t>złożonymi instytucjami, przekazują informacje określone we wzorach C 66.01–C 69.00 i C 71.00 zawartych</w:t>
      </w:r>
      <w:r w:rsidR="001C651B" w:rsidRPr="001C651B">
        <w:rPr>
          <w:noProof/>
        </w:rPr>
        <w:t xml:space="preserve"> w</w:t>
      </w:r>
      <w:r w:rsidR="001C651B">
        <w:rPr>
          <w:noProof/>
        </w:rPr>
        <w:t> </w:t>
      </w:r>
      <w:r w:rsidR="001C651B" w:rsidRPr="001C651B">
        <w:rPr>
          <w:noProof/>
        </w:rPr>
        <w:t>sek</w:t>
      </w:r>
      <w:r w:rsidR="00F5752D" w:rsidRPr="001C651B">
        <w:rPr>
          <w:noProof/>
        </w:rPr>
        <w:t>cji 9 załącznika I do niniejszego rozporządzenia</w:t>
      </w:r>
      <w:r w:rsidR="001C651B" w:rsidRPr="001C651B">
        <w:rPr>
          <w:noProof/>
        </w:rPr>
        <w:t xml:space="preserve"> z</w:t>
      </w:r>
      <w:r w:rsidR="001C651B">
        <w:rPr>
          <w:noProof/>
        </w:rPr>
        <w:t> </w:t>
      </w:r>
      <w:r w:rsidR="001C651B" w:rsidRPr="001C651B">
        <w:rPr>
          <w:noProof/>
        </w:rPr>
        <w:t>czę</w:t>
      </w:r>
      <w:r w:rsidR="00F5752D" w:rsidRPr="001C651B">
        <w:rPr>
          <w:noProof/>
        </w:rPr>
        <w:t>stotliwością miesięczną.</w:t>
      </w:r>
    </w:p>
    <w:p w:rsidR="00716EA9" w:rsidRPr="001C651B" w:rsidRDefault="00716EA9" w:rsidP="00E537F5">
      <w:pPr>
        <w:pStyle w:val="Titrearticle"/>
        <w:rPr>
          <w:noProof/>
          <w:szCs w:val="24"/>
        </w:rPr>
      </w:pPr>
      <w:r w:rsidRPr="001C651B">
        <w:rPr>
          <w:noProof/>
        </w:rPr>
        <w:t>Artykuł 19</w:t>
      </w:r>
    </w:p>
    <w:p w:rsidR="00716EA9" w:rsidRPr="001C651B" w:rsidRDefault="00716EA9" w:rsidP="00F22954">
      <w:pPr>
        <w:pStyle w:val="Titrearticle"/>
        <w:spacing w:before="0"/>
        <w:rPr>
          <w:b/>
          <w:bCs/>
          <w:i w:val="0"/>
          <w:iCs/>
          <w:noProof/>
          <w:szCs w:val="24"/>
        </w:rPr>
      </w:pPr>
      <w:r w:rsidRPr="001C651B">
        <w:rPr>
          <w:b/>
          <w:i w:val="0"/>
          <w:noProof/>
        </w:rPr>
        <w:t>Sprawozdawczość</w:t>
      </w:r>
      <w:r w:rsidR="001C651B" w:rsidRPr="001C651B">
        <w:rPr>
          <w:b/>
          <w:i w:val="0"/>
          <w:noProof/>
        </w:rPr>
        <w:t xml:space="preserve"> w</w:t>
      </w:r>
      <w:r w:rsidR="001C651B">
        <w:rPr>
          <w:b/>
          <w:i w:val="0"/>
          <w:noProof/>
        </w:rPr>
        <w:t> </w:t>
      </w:r>
      <w:r w:rsidR="001C651B" w:rsidRPr="001C651B">
        <w:rPr>
          <w:b/>
          <w:i w:val="0"/>
          <w:noProof/>
        </w:rPr>
        <w:t>zak</w:t>
      </w:r>
      <w:r w:rsidRPr="001C651B">
        <w:rPr>
          <w:b/>
          <w:i w:val="0"/>
          <w:noProof/>
        </w:rPr>
        <w:t>resie obciążenia aktywów zarówno na zasadzie indywidualnej, jak</w:t>
      </w:r>
      <w:r w:rsidR="001C651B" w:rsidRPr="001C651B">
        <w:rPr>
          <w:b/>
          <w:i w:val="0"/>
          <w:noProof/>
        </w:rPr>
        <w:t xml:space="preserve"> i</w:t>
      </w:r>
      <w:r w:rsidR="001C651B">
        <w:rPr>
          <w:b/>
          <w:i w:val="0"/>
          <w:noProof/>
        </w:rPr>
        <w:t> </w:t>
      </w:r>
      <w:r w:rsidR="001C651B" w:rsidRPr="001C651B">
        <w:rPr>
          <w:b/>
          <w:i w:val="0"/>
          <w:noProof/>
        </w:rPr>
        <w:t>sko</w:t>
      </w:r>
      <w:r w:rsidRPr="001C651B">
        <w:rPr>
          <w:b/>
          <w:i w:val="0"/>
          <w:noProof/>
        </w:rPr>
        <w:t>nsolidowanej</w:t>
      </w:r>
    </w:p>
    <w:p w:rsidR="001D2A25" w:rsidRPr="001C651B" w:rsidRDefault="003040A6" w:rsidP="003040A6">
      <w:pPr>
        <w:pStyle w:val="ManualNumPar1"/>
        <w:rPr>
          <w:noProof/>
        </w:rPr>
      </w:pPr>
      <w:r w:rsidRPr="003040A6">
        <w:rPr>
          <w:noProof/>
        </w:rPr>
        <w:t>1.</w:t>
      </w:r>
      <w:r w:rsidRPr="003040A6">
        <w:rPr>
          <w:noProof/>
        </w:rPr>
        <w:tab/>
      </w:r>
      <w:r w:rsidR="00716EA9" w:rsidRPr="001C651B">
        <w:rPr>
          <w:noProof/>
        </w:rPr>
        <w:t>Instytucje, które przekazują informacje na temat poziomu obciążenia aktywów,</w:t>
      </w:r>
      <w:r w:rsidR="001C651B" w:rsidRPr="001C651B">
        <w:rPr>
          <w:noProof/>
        </w:rPr>
        <w:t xml:space="preserve"> o</w:t>
      </w:r>
      <w:r w:rsidR="001C651B">
        <w:rPr>
          <w:noProof/>
        </w:rPr>
        <w:t> </w:t>
      </w:r>
      <w:r w:rsidR="001C651B" w:rsidRPr="001C651B">
        <w:rPr>
          <w:noProof/>
        </w:rPr>
        <w:t>któ</w:t>
      </w:r>
      <w:r w:rsidR="00716EA9" w:rsidRPr="001C651B">
        <w:rPr>
          <w:noProof/>
        </w:rPr>
        <w:t>rym mowa</w:t>
      </w:r>
      <w:r w:rsidR="001C651B" w:rsidRPr="001C651B">
        <w:rPr>
          <w:noProof/>
        </w:rPr>
        <w:t xml:space="preserve"> w</w:t>
      </w:r>
      <w:r w:rsidR="001C651B">
        <w:rPr>
          <w:noProof/>
        </w:rPr>
        <w:t> </w:t>
      </w:r>
      <w:r w:rsidR="001C651B" w:rsidRPr="001C651B">
        <w:rPr>
          <w:noProof/>
        </w:rPr>
        <w:t>art</w:t>
      </w:r>
      <w:r w:rsidR="00716EA9" w:rsidRPr="001C651B">
        <w:rPr>
          <w:noProof/>
        </w:rPr>
        <w:t>.</w:t>
      </w:r>
      <w:r w:rsidR="001C651B" w:rsidRPr="001C651B">
        <w:rPr>
          <w:noProof/>
        </w:rPr>
        <w:t> </w:t>
      </w:r>
      <w:r w:rsidR="00716EA9" w:rsidRPr="001C651B">
        <w:rPr>
          <w:noProof/>
        </w:rPr>
        <w:t>430 ust.</w:t>
      </w:r>
      <w:r w:rsidR="001C651B" w:rsidRPr="001C651B">
        <w:rPr>
          <w:noProof/>
        </w:rPr>
        <w:t> </w:t>
      </w:r>
      <w:r w:rsidR="00716EA9" w:rsidRPr="001C651B">
        <w:rPr>
          <w:noProof/>
        </w:rPr>
        <w:t>1 lit.</w:t>
      </w:r>
      <w:r w:rsidR="001C651B" w:rsidRPr="001C651B">
        <w:rPr>
          <w:noProof/>
        </w:rPr>
        <w:t> </w:t>
      </w:r>
      <w:r w:rsidR="00716EA9" w:rsidRPr="001C651B">
        <w:rPr>
          <w:noProof/>
        </w:rPr>
        <w:t>g) rozporządzenia (UE) nr</w:t>
      </w:r>
      <w:r w:rsidR="001C651B" w:rsidRPr="001C651B">
        <w:rPr>
          <w:noProof/>
        </w:rPr>
        <w:t> </w:t>
      </w:r>
      <w:r w:rsidR="00716EA9" w:rsidRPr="001C651B">
        <w:rPr>
          <w:noProof/>
        </w:rPr>
        <w:t>575/2013, zarówno na zasadzie indywidualnej, jak</w:t>
      </w:r>
      <w:r w:rsidR="001C651B" w:rsidRPr="001C651B">
        <w:rPr>
          <w:noProof/>
        </w:rPr>
        <w:t xml:space="preserve"> i</w:t>
      </w:r>
      <w:r w:rsidR="001C651B">
        <w:rPr>
          <w:noProof/>
        </w:rPr>
        <w:t> </w:t>
      </w:r>
      <w:r w:rsidR="001C651B" w:rsidRPr="001C651B">
        <w:rPr>
          <w:noProof/>
        </w:rPr>
        <w:t>sko</w:t>
      </w:r>
      <w:r w:rsidR="00716EA9" w:rsidRPr="001C651B">
        <w:rPr>
          <w:noProof/>
        </w:rPr>
        <w:t>nsolidowanej, przedstawiają te informacje, jak określono</w:t>
      </w:r>
      <w:r w:rsidR="001C651B" w:rsidRPr="001C651B">
        <w:rPr>
          <w:noProof/>
        </w:rPr>
        <w:t xml:space="preserve"> w</w:t>
      </w:r>
      <w:r w:rsidR="001C651B">
        <w:rPr>
          <w:noProof/>
        </w:rPr>
        <w:t> </w:t>
      </w:r>
      <w:r w:rsidR="001C651B" w:rsidRPr="001C651B">
        <w:rPr>
          <w:noProof/>
        </w:rPr>
        <w:t>sek</w:t>
      </w:r>
      <w:r w:rsidR="00716EA9" w:rsidRPr="001C651B">
        <w:rPr>
          <w:noProof/>
        </w:rPr>
        <w:t>cji 8 – „Sprawozdawczość</w:t>
      </w:r>
      <w:r w:rsidR="001C651B" w:rsidRPr="001C651B">
        <w:rPr>
          <w:noProof/>
        </w:rPr>
        <w:t xml:space="preserve"> w</w:t>
      </w:r>
      <w:r w:rsidR="001C651B">
        <w:rPr>
          <w:noProof/>
        </w:rPr>
        <w:t> </w:t>
      </w:r>
      <w:r w:rsidR="001C651B" w:rsidRPr="001C651B">
        <w:rPr>
          <w:noProof/>
        </w:rPr>
        <w:t>zak</w:t>
      </w:r>
      <w:r w:rsidR="00716EA9" w:rsidRPr="001C651B">
        <w:rPr>
          <w:noProof/>
        </w:rPr>
        <w:t>resie obciążenia aktywów”</w:t>
      </w:r>
      <w:r w:rsidR="001C651B" w:rsidRPr="001C651B">
        <w:rPr>
          <w:noProof/>
        </w:rPr>
        <w:t xml:space="preserve"> w</w:t>
      </w:r>
      <w:r w:rsidR="001C651B">
        <w:rPr>
          <w:noProof/>
        </w:rPr>
        <w:t> </w:t>
      </w:r>
      <w:r w:rsidR="001C651B" w:rsidRPr="001C651B">
        <w:rPr>
          <w:noProof/>
        </w:rPr>
        <w:t>zał</w:t>
      </w:r>
      <w:r w:rsidR="00716EA9" w:rsidRPr="001C651B">
        <w:rPr>
          <w:noProof/>
        </w:rPr>
        <w:t>ączniku I,</w:t>
      </w:r>
      <w:r w:rsidR="001C651B" w:rsidRPr="001C651B">
        <w:rPr>
          <w:noProof/>
        </w:rPr>
        <w:t xml:space="preserve"> z</w:t>
      </w:r>
      <w:r w:rsidR="001C651B">
        <w:rPr>
          <w:noProof/>
        </w:rPr>
        <w:t> </w:t>
      </w:r>
      <w:r w:rsidR="001C651B" w:rsidRPr="001C651B">
        <w:rPr>
          <w:noProof/>
        </w:rPr>
        <w:t>nas</w:t>
      </w:r>
      <w:r w:rsidR="00716EA9" w:rsidRPr="001C651B">
        <w:rPr>
          <w:noProof/>
        </w:rPr>
        <w:t>tępującą częstotliwością:</w:t>
      </w:r>
    </w:p>
    <w:p w:rsidR="00F5752D" w:rsidRPr="001C651B" w:rsidRDefault="00D8126A" w:rsidP="00D8126A">
      <w:pPr>
        <w:pStyle w:val="Point1"/>
        <w:rPr>
          <w:noProof/>
        </w:rPr>
      </w:pPr>
      <w:r w:rsidRPr="001C651B">
        <w:rPr>
          <w:noProof/>
        </w:rPr>
        <w:t>a)</w:t>
      </w:r>
      <w:r w:rsidRPr="001C651B">
        <w:rPr>
          <w:noProof/>
        </w:rPr>
        <w:tab/>
      </w:r>
      <w:r w:rsidR="00F5752D" w:rsidRPr="001C651B">
        <w:rPr>
          <w:noProof/>
        </w:rPr>
        <w:t>informacje określone we wzorach F 32.01–F 33.00 i F 35.00 zawartych</w:t>
      </w:r>
      <w:r w:rsidR="001C651B" w:rsidRPr="001C651B">
        <w:rPr>
          <w:noProof/>
        </w:rPr>
        <w:t xml:space="preserve"> w</w:t>
      </w:r>
      <w:r w:rsidR="001C651B">
        <w:rPr>
          <w:noProof/>
        </w:rPr>
        <w:t> </w:t>
      </w:r>
      <w:r w:rsidR="001C651B" w:rsidRPr="001C651B">
        <w:rPr>
          <w:noProof/>
        </w:rPr>
        <w:t>sek</w:t>
      </w:r>
      <w:r w:rsidR="00F5752D" w:rsidRPr="001C651B">
        <w:rPr>
          <w:noProof/>
        </w:rPr>
        <w:t>cji 8 załącznika I do niniejszego rozporządzenia –</w:t>
      </w:r>
      <w:r w:rsidR="001C651B" w:rsidRPr="001C651B">
        <w:rPr>
          <w:noProof/>
        </w:rPr>
        <w:t xml:space="preserve"> z</w:t>
      </w:r>
      <w:r w:rsidR="001C651B">
        <w:rPr>
          <w:noProof/>
        </w:rPr>
        <w:t> </w:t>
      </w:r>
      <w:r w:rsidR="001C651B" w:rsidRPr="001C651B">
        <w:rPr>
          <w:noProof/>
        </w:rPr>
        <w:t>czę</w:t>
      </w:r>
      <w:r w:rsidR="00F5752D" w:rsidRPr="001C651B">
        <w:rPr>
          <w:noProof/>
        </w:rPr>
        <w:t>stotliwością kwartalną;</w:t>
      </w:r>
    </w:p>
    <w:p w:rsidR="00F5752D" w:rsidRPr="001C651B" w:rsidRDefault="00D8126A" w:rsidP="00D8126A">
      <w:pPr>
        <w:pStyle w:val="Point1"/>
        <w:rPr>
          <w:noProof/>
        </w:rPr>
      </w:pPr>
      <w:r w:rsidRPr="001C651B">
        <w:rPr>
          <w:noProof/>
        </w:rPr>
        <w:t>b)</w:t>
      </w:r>
      <w:r w:rsidRPr="001C651B">
        <w:rPr>
          <w:noProof/>
        </w:rPr>
        <w:tab/>
      </w:r>
      <w:r w:rsidR="00F5752D" w:rsidRPr="001C651B">
        <w:rPr>
          <w:noProof/>
        </w:rPr>
        <w:t>informacje określone we wzorze F 34.00 zawartym</w:t>
      </w:r>
      <w:r w:rsidR="001C651B" w:rsidRPr="001C651B">
        <w:rPr>
          <w:noProof/>
        </w:rPr>
        <w:t xml:space="preserve"> w</w:t>
      </w:r>
      <w:r w:rsidR="001C651B">
        <w:rPr>
          <w:noProof/>
        </w:rPr>
        <w:t> </w:t>
      </w:r>
      <w:r w:rsidR="001C651B" w:rsidRPr="001C651B">
        <w:rPr>
          <w:noProof/>
        </w:rPr>
        <w:t>sek</w:t>
      </w:r>
      <w:r w:rsidR="00F5752D" w:rsidRPr="001C651B">
        <w:rPr>
          <w:noProof/>
        </w:rPr>
        <w:t>cji 8 załącznika I do niniejszego rozporządzenia –</w:t>
      </w:r>
      <w:r w:rsidR="001C651B" w:rsidRPr="001C651B">
        <w:rPr>
          <w:noProof/>
        </w:rPr>
        <w:t xml:space="preserve"> z</w:t>
      </w:r>
      <w:r w:rsidR="001C651B">
        <w:rPr>
          <w:noProof/>
        </w:rPr>
        <w:t> </w:t>
      </w:r>
      <w:r w:rsidR="001C651B" w:rsidRPr="001C651B">
        <w:rPr>
          <w:noProof/>
        </w:rPr>
        <w:t>czę</w:t>
      </w:r>
      <w:r w:rsidR="00F5752D" w:rsidRPr="001C651B">
        <w:rPr>
          <w:noProof/>
        </w:rPr>
        <w:t>stotliwością roczną;</w:t>
      </w:r>
    </w:p>
    <w:p w:rsidR="00F5752D" w:rsidRPr="001C651B" w:rsidRDefault="00D8126A" w:rsidP="00D8126A">
      <w:pPr>
        <w:pStyle w:val="Point1"/>
        <w:rPr>
          <w:noProof/>
        </w:rPr>
      </w:pPr>
      <w:r w:rsidRPr="001C651B">
        <w:rPr>
          <w:noProof/>
        </w:rPr>
        <w:t>c)</w:t>
      </w:r>
      <w:r w:rsidRPr="001C651B">
        <w:rPr>
          <w:noProof/>
        </w:rPr>
        <w:tab/>
      </w:r>
      <w:r w:rsidR="00F5752D" w:rsidRPr="001C651B">
        <w:rPr>
          <w:noProof/>
        </w:rPr>
        <w:t>informacje określone we wzorach F 36.01 i F 36.02 zawartych</w:t>
      </w:r>
      <w:r w:rsidR="001C651B" w:rsidRPr="001C651B">
        <w:rPr>
          <w:noProof/>
        </w:rPr>
        <w:t xml:space="preserve"> w</w:t>
      </w:r>
      <w:r w:rsidR="001C651B">
        <w:rPr>
          <w:noProof/>
        </w:rPr>
        <w:t> </w:t>
      </w:r>
      <w:r w:rsidR="001C651B" w:rsidRPr="001C651B">
        <w:rPr>
          <w:noProof/>
        </w:rPr>
        <w:t>sek</w:t>
      </w:r>
      <w:r w:rsidR="00F5752D" w:rsidRPr="001C651B">
        <w:rPr>
          <w:noProof/>
        </w:rPr>
        <w:t>cji 8 załącznika I do niniejszego rozporządzenia –</w:t>
      </w:r>
      <w:r w:rsidR="001C651B" w:rsidRPr="001C651B">
        <w:rPr>
          <w:noProof/>
        </w:rPr>
        <w:t xml:space="preserve"> z</w:t>
      </w:r>
      <w:r w:rsidR="001C651B">
        <w:rPr>
          <w:noProof/>
        </w:rPr>
        <w:t> </w:t>
      </w:r>
      <w:r w:rsidR="001C651B" w:rsidRPr="001C651B">
        <w:rPr>
          <w:noProof/>
        </w:rPr>
        <w:t>czę</w:t>
      </w:r>
      <w:r w:rsidR="00F5752D" w:rsidRPr="001C651B">
        <w:rPr>
          <w:noProof/>
        </w:rPr>
        <w:t>stotliwością półroczną.</w:t>
      </w:r>
    </w:p>
    <w:p w:rsidR="0083639F" w:rsidRPr="001C651B" w:rsidRDefault="003040A6" w:rsidP="003040A6">
      <w:pPr>
        <w:pStyle w:val="ManualNumPar1"/>
        <w:rPr>
          <w:noProof/>
        </w:rPr>
      </w:pPr>
      <w:r w:rsidRPr="003040A6">
        <w:rPr>
          <w:noProof/>
        </w:rPr>
        <w:t>2.</w:t>
      </w:r>
      <w:r w:rsidRPr="003040A6">
        <w:rPr>
          <w:noProof/>
        </w:rPr>
        <w:tab/>
      </w:r>
      <w:r w:rsidR="00745A2E" w:rsidRPr="001C651B">
        <w:rPr>
          <w:noProof/>
        </w:rPr>
        <w:t>Instytucje przekazują informacje,</w:t>
      </w:r>
      <w:r w:rsidR="001C651B" w:rsidRPr="001C651B">
        <w:rPr>
          <w:noProof/>
        </w:rPr>
        <w:t xml:space="preserve"> o</w:t>
      </w:r>
      <w:r w:rsidR="001C651B">
        <w:rPr>
          <w:noProof/>
        </w:rPr>
        <w:t> </w:t>
      </w:r>
      <w:r w:rsidR="001C651B" w:rsidRPr="001C651B">
        <w:rPr>
          <w:noProof/>
        </w:rPr>
        <w:t>któ</w:t>
      </w:r>
      <w:r w:rsidR="00745A2E" w:rsidRPr="001C651B">
        <w:rPr>
          <w:noProof/>
        </w:rPr>
        <w:t>rych mowa</w:t>
      </w:r>
      <w:r w:rsidR="001C651B" w:rsidRPr="001C651B">
        <w:rPr>
          <w:noProof/>
        </w:rPr>
        <w:t xml:space="preserve"> w</w:t>
      </w:r>
      <w:r w:rsidR="001C651B">
        <w:rPr>
          <w:noProof/>
        </w:rPr>
        <w:t> </w:t>
      </w:r>
      <w:r w:rsidR="001C651B" w:rsidRPr="001C651B">
        <w:rPr>
          <w:noProof/>
        </w:rPr>
        <w:t>ust</w:t>
      </w:r>
      <w:r w:rsidR="00745A2E" w:rsidRPr="001C651B">
        <w:rPr>
          <w:noProof/>
        </w:rPr>
        <w:t>.</w:t>
      </w:r>
      <w:r w:rsidR="001C651B" w:rsidRPr="001C651B">
        <w:rPr>
          <w:noProof/>
        </w:rPr>
        <w:t> </w:t>
      </w:r>
      <w:r w:rsidR="00745A2E" w:rsidRPr="001C651B">
        <w:rPr>
          <w:noProof/>
        </w:rPr>
        <w:t>1, zgodnie</w:t>
      </w:r>
      <w:r w:rsidR="001C651B" w:rsidRPr="001C651B">
        <w:rPr>
          <w:noProof/>
        </w:rPr>
        <w:t xml:space="preserve"> z</w:t>
      </w:r>
      <w:r w:rsidR="001C651B">
        <w:rPr>
          <w:noProof/>
        </w:rPr>
        <w:t> </w:t>
      </w:r>
      <w:r w:rsidR="001C651B" w:rsidRPr="001C651B">
        <w:rPr>
          <w:noProof/>
        </w:rPr>
        <w:t>pon</w:t>
      </w:r>
      <w:r w:rsidR="00745A2E" w:rsidRPr="001C651B">
        <w:rPr>
          <w:noProof/>
        </w:rPr>
        <w:t>iższym:</w:t>
      </w:r>
    </w:p>
    <w:p w:rsidR="0083639F" w:rsidRPr="001C651B" w:rsidRDefault="00D8126A" w:rsidP="00D8126A">
      <w:pPr>
        <w:pStyle w:val="Point1"/>
        <w:rPr>
          <w:noProof/>
        </w:rPr>
      </w:pPr>
      <w:r w:rsidRPr="001C651B">
        <w:rPr>
          <w:noProof/>
        </w:rPr>
        <w:t>a)</w:t>
      </w:r>
      <w:r w:rsidRPr="001C651B">
        <w:rPr>
          <w:noProof/>
        </w:rPr>
        <w:tab/>
      </w:r>
      <w:r w:rsidR="0083639F" w:rsidRPr="001C651B">
        <w:rPr>
          <w:noProof/>
        </w:rPr>
        <w:t>instytucje przekazują informacje określone</w:t>
      </w:r>
      <w:r w:rsidR="001C651B" w:rsidRPr="001C651B">
        <w:rPr>
          <w:noProof/>
        </w:rPr>
        <w:t xml:space="preserve"> w</w:t>
      </w:r>
      <w:r w:rsidR="001C651B">
        <w:rPr>
          <w:noProof/>
        </w:rPr>
        <w:t> </w:t>
      </w:r>
      <w:r w:rsidR="001C651B" w:rsidRPr="001C651B">
        <w:rPr>
          <w:noProof/>
        </w:rPr>
        <w:t>czę</w:t>
      </w:r>
      <w:r w:rsidR="0083639F" w:rsidRPr="001C651B">
        <w:rPr>
          <w:noProof/>
        </w:rPr>
        <w:t>ści A sekcji 8 – „Sprawozdawczość</w:t>
      </w:r>
      <w:r w:rsidR="001C651B" w:rsidRPr="001C651B">
        <w:rPr>
          <w:noProof/>
        </w:rPr>
        <w:t xml:space="preserve"> w</w:t>
      </w:r>
      <w:r w:rsidR="001C651B">
        <w:rPr>
          <w:noProof/>
        </w:rPr>
        <w:t> </w:t>
      </w:r>
      <w:r w:rsidR="001C651B" w:rsidRPr="001C651B">
        <w:rPr>
          <w:noProof/>
        </w:rPr>
        <w:t>zak</w:t>
      </w:r>
      <w:r w:rsidR="0083639F" w:rsidRPr="001C651B">
        <w:rPr>
          <w:noProof/>
        </w:rPr>
        <w:t>resie obciążenia aktywów”;</w:t>
      </w:r>
    </w:p>
    <w:p w:rsidR="0083639F" w:rsidRPr="001C651B" w:rsidRDefault="00D8126A" w:rsidP="00D8126A">
      <w:pPr>
        <w:pStyle w:val="Point1"/>
        <w:rPr>
          <w:noProof/>
        </w:rPr>
      </w:pPr>
      <w:r w:rsidRPr="001C651B">
        <w:rPr>
          <w:noProof/>
        </w:rPr>
        <w:t>b)</w:t>
      </w:r>
      <w:r w:rsidRPr="001C651B">
        <w:rPr>
          <w:noProof/>
        </w:rPr>
        <w:tab/>
      </w:r>
      <w:r w:rsidR="0083639F" w:rsidRPr="001C651B">
        <w:rPr>
          <w:noProof/>
        </w:rPr>
        <w:t>duże instytucje przekazują informacje określone</w:t>
      </w:r>
      <w:r w:rsidR="001C651B" w:rsidRPr="001C651B">
        <w:rPr>
          <w:noProof/>
        </w:rPr>
        <w:t xml:space="preserve"> w</w:t>
      </w:r>
      <w:r w:rsidR="001C651B">
        <w:rPr>
          <w:noProof/>
        </w:rPr>
        <w:t> </w:t>
      </w:r>
      <w:r w:rsidR="001C651B" w:rsidRPr="001C651B">
        <w:rPr>
          <w:noProof/>
        </w:rPr>
        <w:t>czę</w:t>
      </w:r>
      <w:r w:rsidR="0083639F" w:rsidRPr="001C651B">
        <w:rPr>
          <w:noProof/>
        </w:rPr>
        <w:t>ściach B, C i E sekcji 8 – „Sprawozdawczość</w:t>
      </w:r>
      <w:r w:rsidR="001C651B" w:rsidRPr="001C651B">
        <w:rPr>
          <w:noProof/>
        </w:rPr>
        <w:t xml:space="preserve"> w</w:t>
      </w:r>
      <w:r w:rsidR="001C651B">
        <w:rPr>
          <w:noProof/>
        </w:rPr>
        <w:t> </w:t>
      </w:r>
      <w:r w:rsidR="001C651B" w:rsidRPr="001C651B">
        <w:rPr>
          <w:noProof/>
        </w:rPr>
        <w:t>zak</w:t>
      </w:r>
      <w:r w:rsidR="0083639F" w:rsidRPr="001C651B">
        <w:rPr>
          <w:noProof/>
        </w:rPr>
        <w:t>resie obciążenia aktywów”;</w:t>
      </w:r>
    </w:p>
    <w:p w:rsidR="0083639F" w:rsidRPr="001C651B" w:rsidRDefault="00D8126A" w:rsidP="00D8126A">
      <w:pPr>
        <w:pStyle w:val="Point1"/>
        <w:rPr>
          <w:noProof/>
        </w:rPr>
      </w:pPr>
      <w:r w:rsidRPr="001C651B">
        <w:rPr>
          <w:noProof/>
        </w:rPr>
        <w:t>c)</w:t>
      </w:r>
      <w:r w:rsidRPr="001C651B">
        <w:rPr>
          <w:noProof/>
        </w:rPr>
        <w:tab/>
      </w:r>
      <w:r w:rsidR="0083639F" w:rsidRPr="001C651B">
        <w:rPr>
          <w:noProof/>
        </w:rPr>
        <w:t>instytucje, które nie są ani dużymi instytucjami, ani małymi</w:t>
      </w:r>
      <w:r w:rsidR="001C651B" w:rsidRPr="001C651B">
        <w:rPr>
          <w:noProof/>
        </w:rPr>
        <w:t xml:space="preserve"> i</w:t>
      </w:r>
      <w:r w:rsidR="001C651B">
        <w:rPr>
          <w:noProof/>
        </w:rPr>
        <w:t> </w:t>
      </w:r>
      <w:r w:rsidR="001C651B" w:rsidRPr="001C651B">
        <w:rPr>
          <w:noProof/>
        </w:rPr>
        <w:t>nie</w:t>
      </w:r>
      <w:r w:rsidR="0083639F" w:rsidRPr="001C651B">
        <w:rPr>
          <w:noProof/>
        </w:rPr>
        <w:t>złożonymi instytucjami, przekazują informacje określone</w:t>
      </w:r>
      <w:r w:rsidR="001C651B" w:rsidRPr="001C651B">
        <w:rPr>
          <w:noProof/>
        </w:rPr>
        <w:t xml:space="preserve"> w</w:t>
      </w:r>
      <w:r w:rsidR="001C651B">
        <w:rPr>
          <w:noProof/>
        </w:rPr>
        <w:t> </w:t>
      </w:r>
      <w:r w:rsidR="001C651B" w:rsidRPr="001C651B">
        <w:rPr>
          <w:noProof/>
        </w:rPr>
        <w:t>czę</w:t>
      </w:r>
      <w:r w:rsidR="0083639F" w:rsidRPr="001C651B">
        <w:rPr>
          <w:noProof/>
        </w:rPr>
        <w:t>ściach B, C i E sekcji 8 – „Sprawozdawczość</w:t>
      </w:r>
      <w:r w:rsidR="001C651B" w:rsidRPr="001C651B">
        <w:rPr>
          <w:noProof/>
        </w:rPr>
        <w:t xml:space="preserve"> w</w:t>
      </w:r>
      <w:r w:rsidR="001C651B">
        <w:rPr>
          <w:noProof/>
        </w:rPr>
        <w:t> </w:t>
      </w:r>
      <w:r w:rsidR="001C651B" w:rsidRPr="001C651B">
        <w:rPr>
          <w:noProof/>
        </w:rPr>
        <w:t>zak</w:t>
      </w:r>
      <w:r w:rsidR="0083639F" w:rsidRPr="001C651B">
        <w:rPr>
          <w:noProof/>
        </w:rPr>
        <w:t>resie obciążenia aktywów”, jeżeli poziom obciążenia aktywów instytucji określony jako (wartość bilansowa obciążonych aktywów</w:t>
      </w:r>
      <w:r w:rsidR="001C651B" w:rsidRPr="001C651B">
        <w:rPr>
          <w:noProof/>
        </w:rPr>
        <w:t xml:space="preserve"> i</w:t>
      </w:r>
      <w:r w:rsidR="001C651B">
        <w:rPr>
          <w:noProof/>
        </w:rPr>
        <w:t> </w:t>
      </w:r>
      <w:r w:rsidR="001C651B" w:rsidRPr="001C651B">
        <w:rPr>
          <w:noProof/>
        </w:rPr>
        <w:t>zab</w:t>
      </w:r>
      <w:r w:rsidR="0083639F" w:rsidRPr="001C651B">
        <w:rPr>
          <w:noProof/>
        </w:rPr>
        <w:t>ezpieczeń)/(aktywa</w:t>
      </w:r>
      <w:r w:rsidR="001C651B" w:rsidRPr="001C651B">
        <w:rPr>
          <w:noProof/>
        </w:rPr>
        <w:t xml:space="preserve"> i</w:t>
      </w:r>
      <w:r w:rsidR="001C651B">
        <w:rPr>
          <w:noProof/>
        </w:rPr>
        <w:t> </w:t>
      </w:r>
      <w:r w:rsidR="001C651B" w:rsidRPr="001C651B">
        <w:rPr>
          <w:noProof/>
        </w:rPr>
        <w:t>zab</w:t>
      </w:r>
      <w:r w:rsidR="0083639F" w:rsidRPr="001C651B">
        <w:rPr>
          <w:noProof/>
        </w:rPr>
        <w:t>ezpieczenia razem) wynosi co najmniej 15 %;</w:t>
      </w:r>
    </w:p>
    <w:p w:rsidR="0083639F" w:rsidRPr="001C651B" w:rsidRDefault="00D8126A" w:rsidP="00D8126A">
      <w:pPr>
        <w:pStyle w:val="Point1"/>
        <w:rPr>
          <w:noProof/>
        </w:rPr>
      </w:pPr>
      <w:r w:rsidRPr="001C651B">
        <w:rPr>
          <w:noProof/>
        </w:rPr>
        <w:t>d)</w:t>
      </w:r>
      <w:r w:rsidRPr="001C651B">
        <w:rPr>
          <w:noProof/>
        </w:rPr>
        <w:tab/>
      </w:r>
      <w:r w:rsidR="0083639F" w:rsidRPr="001C651B">
        <w:rPr>
          <w:noProof/>
        </w:rPr>
        <w:t>instytucje przekazują informacje określone</w:t>
      </w:r>
      <w:r w:rsidR="001C651B" w:rsidRPr="001C651B">
        <w:rPr>
          <w:noProof/>
        </w:rPr>
        <w:t xml:space="preserve"> w</w:t>
      </w:r>
      <w:r w:rsidR="001C651B">
        <w:rPr>
          <w:noProof/>
        </w:rPr>
        <w:t> </w:t>
      </w:r>
      <w:r w:rsidR="001C651B" w:rsidRPr="001C651B">
        <w:rPr>
          <w:noProof/>
        </w:rPr>
        <w:t>czę</w:t>
      </w:r>
      <w:r w:rsidR="0083639F" w:rsidRPr="001C651B">
        <w:rPr>
          <w:noProof/>
        </w:rPr>
        <w:t>ści D sekcji 8 – „Sprawozdawczość</w:t>
      </w:r>
      <w:r w:rsidR="001C651B" w:rsidRPr="001C651B">
        <w:rPr>
          <w:noProof/>
        </w:rPr>
        <w:t xml:space="preserve"> w</w:t>
      </w:r>
      <w:r w:rsidR="001C651B">
        <w:rPr>
          <w:noProof/>
        </w:rPr>
        <w:t> </w:t>
      </w:r>
      <w:r w:rsidR="001C651B" w:rsidRPr="001C651B">
        <w:rPr>
          <w:noProof/>
        </w:rPr>
        <w:t>zak</w:t>
      </w:r>
      <w:r w:rsidR="0083639F" w:rsidRPr="001C651B">
        <w:rPr>
          <w:noProof/>
        </w:rPr>
        <w:t>resie obciążenia aktywów”, wyłącznie wtedy, gdy emitują obligacje,</w:t>
      </w:r>
      <w:r w:rsidR="001C651B" w:rsidRPr="001C651B">
        <w:rPr>
          <w:noProof/>
        </w:rPr>
        <w:t xml:space="preserve"> o</w:t>
      </w:r>
      <w:r w:rsidR="001C651B">
        <w:rPr>
          <w:noProof/>
        </w:rPr>
        <w:t> </w:t>
      </w:r>
      <w:r w:rsidR="001C651B" w:rsidRPr="001C651B">
        <w:rPr>
          <w:noProof/>
        </w:rPr>
        <w:t>któ</w:t>
      </w:r>
      <w:r w:rsidR="0083639F" w:rsidRPr="001C651B">
        <w:rPr>
          <w:noProof/>
        </w:rPr>
        <w:t>rych mowa</w:t>
      </w:r>
      <w:r w:rsidR="001C651B" w:rsidRPr="001C651B">
        <w:rPr>
          <w:noProof/>
        </w:rPr>
        <w:t xml:space="preserve"> w</w:t>
      </w:r>
      <w:r w:rsidR="001C651B">
        <w:rPr>
          <w:noProof/>
        </w:rPr>
        <w:t> </w:t>
      </w:r>
      <w:r w:rsidR="001C651B" w:rsidRPr="001C651B">
        <w:rPr>
          <w:noProof/>
        </w:rPr>
        <w:t>art</w:t>
      </w:r>
      <w:r w:rsidR="0083639F" w:rsidRPr="001C651B">
        <w:rPr>
          <w:noProof/>
        </w:rPr>
        <w:t>.</w:t>
      </w:r>
      <w:r w:rsidR="001C651B" w:rsidRPr="001C651B">
        <w:rPr>
          <w:noProof/>
        </w:rPr>
        <w:t> </w:t>
      </w:r>
      <w:r w:rsidR="0083639F" w:rsidRPr="001C651B">
        <w:rPr>
          <w:noProof/>
        </w:rPr>
        <w:t>52 ust.</w:t>
      </w:r>
      <w:r w:rsidR="001C651B" w:rsidRPr="001C651B">
        <w:rPr>
          <w:noProof/>
        </w:rPr>
        <w:t> </w:t>
      </w:r>
      <w:r w:rsidR="0083639F" w:rsidRPr="001C651B">
        <w:rPr>
          <w:noProof/>
        </w:rPr>
        <w:t>4 akapit pierwszy dyrektywy Parlamentu Europejskiego</w:t>
      </w:r>
      <w:r w:rsidR="001C651B" w:rsidRPr="001C651B">
        <w:rPr>
          <w:noProof/>
        </w:rPr>
        <w:t xml:space="preserve"> i</w:t>
      </w:r>
      <w:r w:rsidR="001C651B">
        <w:rPr>
          <w:noProof/>
        </w:rPr>
        <w:t> </w:t>
      </w:r>
      <w:r w:rsidR="001C651B" w:rsidRPr="001C651B">
        <w:rPr>
          <w:noProof/>
        </w:rPr>
        <w:t>Rad</w:t>
      </w:r>
      <w:r w:rsidR="0083639F" w:rsidRPr="001C651B">
        <w:rPr>
          <w:noProof/>
        </w:rPr>
        <w:t>y 2009/65/WE</w:t>
      </w:r>
      <w:r w:rsidR="0083639F" w:rsidRPr="001C651B">
        <w:rPr>
          <w:rStyle w:val="FootnoteReference"/>
          <w:noProof/>
          <w:szCs w:val="24"/>
        </w:rPr>
        <w:footnoteReference w:id="10"/>
      </w:r>
      <w:r w:rsidR="0083639F" w:rsidRPr="001C651B">
        <w:rPr>
          <w:noProof/>
        </w:rPr>
        <w:t>.</w:t>
      </w:r>
    </w:p>
    <w:p w:rsidR="00716EA9" w:rsidRPr="001C651B" w:rsidRDefault="00716EA9" w:rsidP="00E537F5">
      <w:pPr>
        <w:pStyle w:val="Titrearticle"/>
        <w:rPr>
          <w:noProof/>
          <w:szCs w:val="24"/>
        </w:rPr>
      </w:pPr>
      <w:r w:rsidRPr="001C651B">
        <w:rPr>
          <w:noProof/>
        </w:rPr>
        <w:t>Artykuł 20</w:t>
      </w:r>
    </w:p>
    <w:p w:rsidR="00716EA9" w:rsidRPr="001C651B" w:rsidRDefault="00716EA9" w:rsidP="0066303A">
      <w:pPr>
        <w:pStyle w:val="Titrearticle"/>
        <w:spacing w:before="0"/>
        <w:rPr>
          <w:b/>
          <w:bCs/>
          <w:i w:val="0"/>
          <w:iCs/>
          <w:noProof/>
          <w:szCs w:val="24"/>
        </w:rPr>
      </w:pPr>
      <w:r w:rsidRPr="001C651B">
        <w:rPr>
          <w:b/>
          <w:i w:val="0"/>
          <w:noProof/>
        </w:rPr>
        <w:t>Dodatkowa sprawozdawczość do celów identyfikowania G-SII</w:t>
      </w:r>
      <w:r w:rsidR="001C651B" w:rsidRPr="001C651B">
        <w:rPr>
          <w:b/>
          <w:i w:val="0"/>
          <w:noProof/>
        </w:rPr>
        <w:t xml:space="preserve"> i</w:t>
      </w:r>
      <w:r w:rsidR="001C651B">
        <w:rPr>
          <w:b/>
          <w:i w:val="0"/>
          <w:noProof/>
        </w:rPr>
        <w:t> </w:t>
      </w:r>
      <w:r w:rsidR="001C651B" w:rsidRPr="001C651B">
        <w:rPr>
          <w:b/>
          <w:i w:val="0"/>
          <w:noProof/>
        </w:rPr>
        <w:t>prz</w:t>
      </w:r>
      <w:r w:rsidRPr="001C651B">
        <w:rPr>
          <w:b/>
          <w:i w:val="0"/>
          <w:noProof/>
        </w:rPr>
        <w:t>ypisywania wskaźników bufora G-SII</w:t>
      </w:r>
    </w:p>
    <w:p w:rsidR="00716EA9" w:rsidRPr="001C651B" w:rsidRDefault="003040A6" w:rsidP="003040A6">
      <w:pPr>
        <w:pStyle w:val="ManualNumPar1"/>
        <w:rPr>
          <w:noProof/>
        </w:rPr>
      </w:pPr>
      <w:r w:rsidRPr="003040A6">
        <w:rPr>
          <w:noProof/>
        </w:rPr>
        <w:t>1.</w:t>
      </w:r>
      <w:r w:rsidRPr="003040A6">
        <w:rPr>
          <w:noProof/>
        </w:rPr>
        <w:tab/>
      </w:r>
      <w:r w:rsidR="00716EA9" w:rsidRPr="001C651B">
        <w:rPr>
          <w:noProof/>
        </w:rPr>
        <w:t>Przekazując dodatkowe informacje do celów identyfikowania G-SII</w:t>
      </w:r>
      <w:r w:rsidR="001C651B" w:rsidRPr="001C651B">
        <w:rPr>
          <w:noProof/>
        </w:rPr>
        <w:t xml:space="preserve"> i</w:t>
      </w:r>
      <w:r w:rsidR="001C651B">
        <w:rPr>
          <w:noProof/>
        </w:rPr>
        <w:t> </w:t>
      </w:r>
      <w:r w:rsidR="001C651B" w:rsidRPr="001C651B">
        <w:rPr>
          <w:noProof/>
        </w:rPr>
        <w:t>prz</w:t>
      </w:r>
      <w:r w:rsidR="00716EA9" w:rsidRPr="001C651B">
        <w:rPr>
          <w:noProof/>
        </w:rPr>
        <w:t>ypisywania wskaźników bufora G-SII zgodnie</w:t>
      </w:r>
      <w:r w:rsidR="001C651B" w:rsidRPr="001C651B">
        <w:rPr>
          <w:noProof/>
        </w:rPr>
        <w:t xml:space="preserve"> z</w:t>
      </w:r>
      <w:r w:rsidR="001C651B">
        <w:rPr>
          <w:noProof/>
        </w:rPr>
        <w:t> </w:t>
      </w:r>
      <w:r w:rsidR="001C651B" w:rsidRPr="001C651B">
        <w:rPr>
          <w:noProof/>
        </w:rPr>
        <w:t>art</w:t>
      </w:r>
      <w:r w:rsidR="00716EA9" w:rsidRPr="001C651B">
        <w:rPr>
          <w:noProof/>
        </w:rPr>
        <w:t>. 131 dyrektywy 2013/36/UE, unijne instytucje dominujące, unijne dominujące finansowe spółki holdingowe oraz unijne dominujące finansowe spółki holdingowe</w:t>
      </w:r>
      <w:r w:rsidR="001C651B" w:rsidRPr="001C651B">
        <w:rPr>
          <w:noProof/>
        </w:rPr>
        <w:t xml:space="preserve"> o</w:t>
      </w:r>
      <w:r w:rsidR="001C651B">
        <w:rPr>
          <w:noProof/>
        </w:rPr>
        <w:t> </w:t>
      </w:r>
      <w:r w:rsidR="001C651B" w:rsidRPr="001C651B">
        <w:rPr>
          <w:noProof/>
        </w:rPr>
        <w:t>dzi</w:t>
      </w:r>
      <w:r w:rsidR="00716EA9" w:rsidRPr="001C651B">
        <w:rPr>
          <w:noProof/>
        </w:rPr>
        <w:t>ałalności mieszanej przekazują informacje określone</w:t>
      </w:r>
      <w:r w:rsidR="001C651B" w:rsidRPr="001C651B">
        <w:rPr>
          <w:noProof/>
        </w:rPr>
        <w:t xml:space="preserve"> w</w:t>
      </w:r>
      <w:r w:rsidR="001C651B">
        <w:rPr>
          <w:noProof/>
        </w:rPr>
        <w:t> </w:t>
      </w:r>
      <w:r w:rsidR="001C651B" w:rsidRPr="001C651B">
        <w:rPr>
          <w:noProof/>
        </w:rPr>
        <w:t>sek</w:t>
      </w:r>
      <w:r w:rsidR="00716EA9" w:rsidRPr="001C651B">
        <w:rPr>
          <w:noProof/>
        </w:rPr>
        <w:t>cji 11 – „Dodatkowa sprawozdawczość do celów identyfikowania G-SII</w:t>
      </w:r>
      <w:r w:rsidR="001C651B" w:rsidRPr="001C651B">
        <w:rPr>
          <w:noProof/>
        </w:rPr>
        <w:t xml:space="preserve"> i</w:t>
      </w:r>
      <w:r w:rsidR="001C651B">
        <w:rPr>
          <w:noProof/>
        </w:rPr>
        <w:t> </w:t>
      </w:r>
      <w:r w:rsidR="001C651B" w:rsidRPr="001C651B">
        <w:rPr>
          <w:noProof/>
        </w:rPr>
        <w:t>prz</w:t>
      </w:r>
      <w:r w:rsidR="00716EA9" w:rsidRPr="001C651B">
        <w:rPr>
          <w:noProof/>
        </w:rPr>
        <w:t>ypisywania wskaźników bufora G-SII”</w:t>
      </w:r>
      <w:r w:rsidR="001C651B" w:rsidRPr="001C651B">
        <w:rPr>
          <w:noProof/>
        </w:rPr>
        <w:t xml:space="preserve"> w</w:t>
      </w:r>
      <w:r w:rsidR="001C651B">
        <w:rPr>
          <w:noProof/>
        </w:rPr>
        <w:t> </w:t>
      </w:r>
      <w:r w:rsidR="001C651B" w:rsidRPr="001C651B">
        <w:rPr>
          <w:noProof/>
        </w:rPr>
        <w:t>zał</w:t>
      </w:r>
      <w:r w:rsidR="00716EA9" w:rsidRPr="001C651B">
        <w:rPr>
          <w:noProof/>
        </w:rPr>
        <w:t>ączniku I do niniejszego rozporządzenia na zasadzie skonsolidowanej</w:t>
      </w:r>
      <w:r w:rsidR="001C651B" w:rsidRPr="001C651B">
        <w:rPr>
          <w:noProof/>
        </w:rPr>
        <w:t xml:space="preserve"> z</w:t>
      </w:r>
      <w:r w:rsidR="001C651B">
        <w:rPr>
          <w:noProof/>
        </w:rPr>
        <w:t> </w:t>
      </w:r>
      <w:r w:rsidR="001C651B" w:rsidRPr="001C651B">
        <w:rPr>
          <w:noProof/>
        </w:rPr>
        <w:t>czę</w:t>
      </w:r>
      <w:r w:rsidR="00716EA9" w:rsidRPr="001C651B">
        <w:rPr>
          <w:noProof/>
        </w:rPr>
        <w:t>stotliwością kwartalną, jeżeli spełnione są obydwa poniższe warunki:</w:t>
      </w:r>
    </w:p>
    <w:p w:rsidR="00AB5213" w:rsidRPr="001C651B" w:rsidRDefault="00D8126A" w:rsidP="00D8126A">
      <w:pPr>
        <w:pStyle w:val="Point1"/>
        <w:rPr>
          <w:noProof/>
        </w:rPr>
      </w:pPr>
      <w:r w:rsidRPr="001C651B">
        <w:rPr>
          <w:noProof/>
        </w:rPr>
        <w:t>a)</w:t>
      </w:r>
      <w:r w:rsidRPr="001C651B">
        <w:rPr>
          <w:noProof/>
        </w:rPr>
        <w:tab/>
      </w:r>
      <w:r w:rsidR="00AB5213" w:rsidRPr="001C651B">
        <w:rPr>
          <w:noProof/>
        </w:rPr>
        <w:t>miara ekspozycji całkowitej grupy,</w:t>
      </w:r>
      <w:r w:rsidR="001C651B" w:rsidRPr="001C651B">
        <w:rPr>
          <w:noProof/>
        </w:rPr>
        <w:t xml:space="preserve"> w</w:t>
      </w:r>
      <w:r w:rsidR="001C651B">
        <w:rPr>
          <w:noProof/>
        </w:rPr>
        <w:t> </w:t>
      </w:r>
      <w:r w:rsidR="001C651B" w:rsidRPr="001C651B">
        <w:rPr>
          <w:noProof/>
        </w:rPr>
        <w:t>tym</w:t>
      </w:r>
      <w:r w:rsidR="00AB5213" w:rsidRPr="001C651B">
        <w:rPr>
          <w:noProof/>
        </w:rPr>
        <w:t xml:space="preserve"> ubezpieczeniowych jednostek zależnych, wynosi co najmniej 125 000 000 000 EUR;</w:t>
      </w:r>
    </w:p>
    <w:p w:rsidR="00AB5213" w:rsidRPr="001C651B" w:rsidRDefault="00D8126A" w:rsidP="00D8126A">
      <w:pPr>
        <w:pStyle w:val="Point1"/>
        <w:rPr>
          <w:noProof/>
        </w:rPr>
      </w:pPr>
      <w:r w:rsidRPr="001C651B">
        <w:rPr>
          <w:noProof/>
        </w:rPr>
        <w:t>b)</w:t>
      </w:r>
      <w:r w:rsidRPr="001C651B">
        <w:rPr>
          <w:noProof/>
        </w:rPr>
        <w:tab/>
      </w:r>
      <w:r w:rsidR="00AB5213" w:rsidRPr="001C651B">
        <w:rPr>
          <w:noProof/>
        </w:rPr>
        <w:t>unijna jednostka dominująca lub którakolwiek</w:t>
      </w:r>
      <w:r w:rsidR="001C651B" w:rsidRPr="001C651B">
        <w:rPr>
          <w:noProof/>
        </w:rPr>
        <w:t xml:space="preserve"> z</w:t>
      </w:r>
      <w:r w:rsidR="001C651B">
        <w:rPr>
          <w:noProof/>
        </w:rPr>
        <w:t> </w:t>
      </w:r>
      <w:r w:rsidR="001C651B" w:rsidRPr="001C651B">
        <w:rPr>
          <w:noProof/>
        </w:rPr>
        <w:t>jej</w:t>
      </w:r>
      <w:r w:rsidR="00AB5213" w:rsidRPr="001C651B">
        <w:rPr>
          <w:noProof/>
        </w:rPr>
        <w:t xml:space="preserve"> jednostek zależnych lub którykolwiek oddział prowadzony przez jednostkę dominującą lub zależną są zlokalizowane</w:t>
      </w:r>
      <w:r w:rsidR="001C651B" w:rsidRPr="001C651B">
        <w:rPr>
          <w:noProof/>
        </w:rPr>
        <w:t xml:space="preserve"> w</w:t>
      </w:r>
      <w:r w:rsidR="001C651B">
        <w:rPr>
          <w:noProof/>
        </w:rPr>
        <w:t> </w:t>
      </w:r>
      <w:r w:rsidR="001C651B" w:rsidRPr="001C651B">
        <w:rPr>
          <w:noProof/>
        </w:rPr>
        <w:t>ucz</w:t>
      </w:r>
      <w:r w:rsidR="00AB5213" w:rsidRPr="001C651B">
        <w:rPr>
          <w:noProof/>
        </w:rPr>
        <w:t>estniczącym państwie członkowskim,</w:t>
      </w:r>
      <w:r w:rsidR="001C651B" w:rsidRPr="001C651B">
        <w:rPr>
          <w:noProof/>
        </w:rPr>
        <w:t xml:space="preserve"> o</w:t>
      </w:r>
      <w:r w:rsidR="001C651B">
        <w:rPr>
          <w:noProof/>
        </w:rPr>
        <w:t> </w:t>
      </w:r>
      <w:r w:rsidR="001C651B" w:rsidRPr="001C651B">
        <w:rPr>
          <w:noProof/>
        </w:rPr>
        <w:t>któ</w:t>
      </w:r>
      <w:r w:rsidR="00AB5213" w:rsidRPr="001C651B">
        <w:rPr>
          <w:noProof/>
        </w:rPr>
        <w:t>rym mowa</w:t>
      </w:r>
      <w:r w:rsidR="001C651B" w:rsidRPr="001C651B">
        <w:rPr>
          <w:noProof/>
        </w:rPr>
        <w:t xml:space="preserve"> w</w:t>
      </w:r>
      <w:r w:rsidR="001C651B">
        <w:rPr>
          <w:noProof/>
        </w:rPr>
        <w:t> </w:t>
      </w:r>
      <w:r w:rsidR="001C651B" w:rsidRPr="001C651B">
        <w:rPr>
          <w:noProof/>
        </w:rPr>
        <w:t>art</w:t>
      </w:r>
      <w:r w:rsidR="00AB5213" w:rsidRPr="001C651B">
        <w:rPr>
          <w:noProof/>
        </w:rPr>
        <w:t>. 4 rozporządzenia Parlamentu Europejskiego</w:t>
      </w:r>
      <w:r w:rsidR="001C651B" w:rsidRPr="001C651B">
        <w:rPr>
          <w:noProof/>
        </w:rPr>
        <w:t xml:space="preserve"> i</w:t>
      </w:r>
      <w:r w:rsidR="001C651B">
        <w:rPr>
          <w:noProof/>
        </w:rPr>
        <w:t> </w:t>
      </w:r>
      <w:r w:rsidR="001C651B" w:rsidRPr="001C651B">
        <w:rPr>
          <w:noProof/>
        </w:rPr>
        <w:t>Rad</w:t>
      </w:r>
      <w:r w:rsidR="00AB5213" w:rsidRPr="001C651B">
        <w:rPr>
          <w:noProof/>
        </w:rPr>
        <w:t>y (UE) nr</w:t>
      </w:r>
      <w:r w:rsidR="001C651B" w:rsidRPr="001C651B">
        <w:rPr>
          <w:noProof/>
        </w:rPr>
        <w:t> </w:t>
      </w:r>
      <w:r w:rsidR="00AB5213" w:rsidRPr="001C651B">
        <w:rPr>
          <w:noProof/>
        </w:rPr>
        <w:t>806/2014</w:t>
      </w:r>
      <w:r w:rsidR="00AB5213" w:rsidRPr="001C651B">
        <w:rPr>
          <w:rStyle w:val="FootnoteReference"/>
          <w:noProof/>
          <w:lang w:eastAsia="fr-BE"/>
        </w:rPr>
        <w:footnoteReference w:id="11"/>
      </w:r>
      <w:r w:rsidR="00AB5213" w:rsidRPr="001C651B">
        <w:rPr>
          <w:noProof/>
        </w:rPr>
        <w:t>.</w:t>
      </w:r>
    </w:p>
    <w:p w:rsidR="00716EA9" w:rsidRPr="001C651B" w:rsidRDefault="003040A6" w:rsidP="003040A6">
      <w:pPr>
        <w:pStyle w:val="ManualNumPar1"/>
        <w:rPr>
          <w:noProof/>
        </w:rPr>
      </w:pPr>
      <w:r w:rsidRPr="003040A6">
        <w:rPr>
          <w:noProof/>
        </w:rPr>
        <w:t>2.</w:t>
      </w:r>
      <w:r w:rsidRPr="003040A6">
        <w:rPr>
          <w:noProof/>
        </w:rPr>
        <w:tab/>
      </w:r>
      <w:r w:rsidR="00557F8A" w:rsidRPr="001C651B">
        <w:rPr>
          <w:noProof/>
        </w:rPr>
        <w:t>Przekazując dodatkowe informacje do celów identyfikowania G-SII</w:t>
      </w:r>
      <w:r w:rsidR="001C651B" w:rsidRPr="001C651B">
        <w:rPr>
          <w:noProof/>
        </w:rPr>
        <w:t xml:space="preserve"> i</w:t>
      </w:r>
      <w:r w:rsidR="001C651B">
        <w:rPr>
          <w:noProof/>
        </w:rPr>
        <w:t> </w:t>
      </w:r>
      <w:r w:rsidR="001C651B" w:rsidRPr="001C651B">
        <w:rPr>
          <w:noProof/>
        </w:rPr>
        <w:t>prz</w:t>
      </w:r>
      <w:r w:rsidR="00557F8A" w:rsidRPr="001C651B">
        <w:rPr>
          <w:noProof/>
        </w:rPr>
        <w:t>ypisywania wskaźników bufora G-SII zgodnie</w:t>
      </w:r>
      <w:r w:rsidR="001C651B" w:rsidRPr="001C651B">
        <w:rPr>
          <w:noProof/>
        </w:rPr>
        <w:t xml:space="preserve"> z</w:t>
      </w:r>
      <w:r w:rsidR="001C651B">
        <w:rPr>
          <w:noProof/>
        </w:rPr>
        <w:t> </w:t>
      </w:r>
      <w:r w:rsidR="001C651B" w:rsidRPr="001C651B">
        <w:rPr>
          <w:noProof/>
        </w:rPr>
        <w:t>art</w:t>
      </w:r>
      <w:r w:rsidR="00557F8A" w:rsidRPr="001C651B">
        <w:rPr>
          <w:noProof/>
        </w:rPr>
        <w:t>. 131 dyrektywy 2013/36/UE, instytucje przekazują informacje określone</w:t>
      </w:r>
      <w:r w:rsidR="001C651B" w:rsidRPr="001C651B">
        <w:rPr>
          <w:noProof/>
        </w:rPr>
        <w:t xml:space="preserve"> w</w:t>
      </w:r>
      <w:r w:rsidR="001C651B">
        <w:rPr>
          <w:noProof/>
        </w:rPr>
        <w:t> </w:t>
      </w:r>
      <w:r w:rsidR="001C651B" w:rsidRPr="001C651B">
        <w:rPr>
          <w:noProof/>
        </w:rPr>
        <w:t>sek</w:t>
      </w:r>
      <w:r w:rsidR="00557F8A" w:rsidRPr="001C651B">
        <w:rPr>
          <w:noProof/>
        </w:rPr>
        <w:t>cji 11 – „Dodatkowa sprawozdawczość do celów identyfikowania G-SII</w:t>
      </w:r>
      <w:r w:rsidR="001C651B" w:rsidRPr="001C651B">
        <w:rPr>
          <w:noProof/>
        </w:rPr>
        <w:t xml:space="preserve"> i</w:t>
      </w:r>
      <w:r w:rsidR="001C651B">
        <w:rPr>
          <w:noProof/>
        </w:rPr>
        <w:t> </w:t>
      </w:r>
      <w:r w:rsidR="001C651B" w:rsidRPr="001C651B">
        <w:rPr>
          <w:noProof/>
        </w:rPr>
        <w:t>prz</w:t>
      </w:r>
      <w:r w:rsidR="00557F8A" w:rsidRPr="001C651B">
        <w:rPr>
          <w:noProof/>
        </w:rPr>
        <w:t>ypisywania wskaźników</w:t>
      </w:r>
      <w:r w:rsidR="004141DB" w:rsidRPr="001C651B">
        <w:rPr>
          <w:noProof/>
        </w:rPr>
        <w:t xml:space="preserve"> bufora</w:t>
      </w:r>
      <w:r w:rsidR="00557F8A" w:rsidRPr="001C651B">
        <w:rPr>
          <w:noProof/>
        </w:rPr>
        <w:t xml:space="preserve"> G-SII”</w:t>
      </w:r>
      <w:r w:rsidR="001C651B" w:rsidRPr="001C651B">
        <w:rPr>
          <w:noProof/>
        </w:rPr>
        <w:t xml:space="preserve"> w</w:t>
      </w:r>
      <w:r w:rsidR="001C651B">
        <w:rPr>
          <w:noProof/>
        </w:rPr>
        <w:t> </w:t>
      </w:r>
      <w:r w:rsidR="001C651B" w:rsidRPr="001C651B">
        <w:rPr>
          <w:noProof/>
        </w:rPr>
        <w:t>zał</w:t>
      </w:r>
      <w:r w:rsidR="00557F8A" w:rsidRPr="001C651B">
        <w:rPr>
          <w:noProof/>
        </w:rPr>
        <w:t>ączniku I do niniejszego rozporządzenia na zasadzie indywidualnej</w:t>
      </w:r>
      <w:r w:rsidR="001C651B" w:rsidRPr="001C651B">
        <w:rPr>
          <w:noProof/>
        </w:rPr>
        <w:t xml:space="preserve"> z</w:t>
      </w:r>
      <w:r w:rsidR="001C651B">
        <w:rPr>
          <w:noProof/>
        </w:rPr>
        <w:t> </w:t>
      </w:r>
      <w:r w:rsidR="001C651B" w:rsidRPr="001C651B">
        <w:rPr>
          <w:noProof/>
        </w:rPr>
        <w:t>czę</w:t>
      </w:r>
      <w:r w:rsidR="00557F8A" w:rsidRPr="001C651B">
        <w:rPr>
          <w:noProof/>
        </w:rPr>
        <w:t>stotliwością kwartalną, jeżeli spełnione są wszystkie poniższe warunki:</w:t>
      </w:r>
    </w:p>
    <w:p w:rsidR="00AB5213" w:rsidRPr="001C651B" w:rsidRDefault="00D8126A" w:rsidP="00D8126A">
      <w:pPr>
        <w:pStyle w:val="Point1"/>
        <w:rPr>
          <w:noProof/>
        </w:rPr>
      </w:pPr>
      <w:r w:rsidRPr="001C651B">
        <w:rPr>
          <w:noProof/>
        </w:rPr>
        <w:t>a)</w:t>
      </w:r>
      <w:r w:rsidRPr="001C651B">
        <w:rPr>
          <w:noProof/>
        </w:rPr>
        <w:tab/>
      </w:r>
      <w:r w:rsidR="00AB5213" w:rsidRPr="001C651B">
        <w:rPr>
          <w:noProof/>
        </w:rPr>
        <w:t>miara ekspozycji całkowitej instytucji wynosi co najmniej 125 000 000 000 EUR;</w:t>
      </w:r>
    </w:p>
    <w:p w:rsidR="00AB5213" w:rsidRPr="001C651B" w:rsidRDefault="00D8126A" w:rsidP="00D8126A">
      <w:pPr>
        <w:pStyle w:val="Point1"/>
        <w:rPr>
          <w:noProof/>
        </w:rPr>
      </w:pPr>
      <w:r w:rsidRPr="001C651B">
        <w:rPr>
          <w:noProof/>
        </w:rPr>
        <w:t>b)</w:t>
      </w:r>
      <w:r w:rsidRPr="001C651B">
        <w:rPr>
          <w:noProof/>
        </w:rPr>
        <w:tab/>
      </w:r>
      <w:r w:rsidR="00AB5213" w:rsidRPr="001C651B">
        <w:rPr>
          <w:noProof/>
        </w:rPr>
        <w:t>instytucja jest zlokalizowana</w:t>
      </w:r>
      <w:r w:rsidR="001C651B" w:rsidRPr="001C651B">
        <w:rPr>
          <w:noProof/>
        </w:rPr>
        <w:t xml:space="preserve"> w</w:t>
      </w:r>
      <w:r w:rsidR="001C651B">
        <w:rPr>
          <w:noProof/>
        </w:rPr>
        <w:t> </w:t>
      </w:r>
      <w:r w:rsidR="001C651B" w:rsidRPr="001C651B">
        <w:rPr>
          <w:noProof/>
        </w:rPr>
        <w:t>ucz</w:t>
      </w:r>
      <w:r w:rsidR="00AB5213" w:rsidRPr="001C651B">
        <w:rPr>
          <w:noProof/>
        </w:rPr>
        <w:t>estniczącym państwie członkowskim,</w:t>
      </w:r>
      <w:r w:rsidR="001C651B" w:rsidRPr="001C651B">
        <w:rPr>
          <w:noProof/>
        </w:rPr>
        <w:t xml:space="preserve"> o</w:t>
      </w:r>
      <w:r w:rsidR="001C651B">
        <w:rPr>
          <w:noProof/>
        </w:rPr>
        <w:t> </w:t>
      </w:r>
      <w:r w:rsidR="001C651B" w:rsidRPr="001C651B">
        <w:rPr>
          <w:noProof/>
        </w:rPr>
        <w:t>któ</w:t>
      </w:r>
      <w:r w:rsidR="00AB5213" w:rsidRPr="001C651B">
        <w:rPr>
          <w:noProof/>
        </w:rPr>
        <w:t>rym mowa</w:t>
      </w:r>
      <w:r w:rsidR="001C651B" w:rsidRPr="001C651B">
        <w:rPr>
          <w:noProof/>
        </w:rPr>
        <w:t xml:space="preserve"> w</w:t>
      </w:r>
      <w:r w:rsidR="001C651B">
        <w:rPr>
          <w:noProof/>
        </w:rPr>
        <w:t> </w:t>
      </w:r>
      <w:r w:rsidR="001C651B" w:rsidRPr="001C651B">
        <w:rPr>
          <w:noProof/>
        </w:rPr>
        <w:t>art</w:t>
      </w:r>
      <w:r w:rsidR="00AB5213" w:rsidRPr="001C651B">
        <w:rPr>
          <w:noProof/>
        </w:rPr>
        <w:t>. 4 rozporządzenia Parlamentu Europejskiego</w:t>
      </w:r>
      <w:r w:rsidR="001C651B" w:rsidRPr="001C651B">
        <w:rPr>
          <w:noProof/>
        </w:rPr>
        <w:t xml:space="preserve"> i</w:t>
      </w:r>
      <w:r w:rsidR="001C651B">
        <w:rPr>
          <w:noProof/>
        </w:rPr>
        <w:t> </w:t>
      </w:r>
      <w:r w:rsidR="001C651B" w:rsidRPr="001C651B">
        <w:rPr>
          <w:noProof/>
        </w:rPr>
        <w:t>Rad</w:t>
      </w:r>
      <w:r w:rsidR="00AB5213" w:rsidRPr="001C651B">
        <w:rPr>
          <w:noProof/>
        </w:rPr>
        <w:t>y (UE) nr</w:t>
      </w:r>
      <w:r w:rsidR="001C651B" w:rsidRPr="001C651B">
        <w:rPr>
          <w:noProof/>
        </w:rPr>
        <w:t> </w:t>
      </w:r>
      <w:r w:rsidR="00AB5213" w:rsidRPr="001C651B">
        <w:rPr>
          <w:noProof/>
        </w:rPr>
        <w:t>806/2014;</w:t>
      </w:r>
    </w:p>
    <w:p w:rsidR="00AB5213" w:rsidRPr="001C651B" w:rsidRDefault="00D8126A" w:rsidP="00D8126A">
      <w:pPr>
        <w:pStyle w:val="Point1"/>
        <w:rPr>
          <w:noProof/>
        </w:rPr>
      </w:pPr>
      <w:r w:rsidRPr="001C651B">
        <w:rPr>
          <w:noProof/>
        </w:rPr>
        <w:t>c)</w:t>
      </w:r>
      <w:r w:rsidRPr="001C651B">
        <w:rPr>
          <w:noProof/>
        </w:rPr>
        <w:tab/>
      </w:r>
      <w:r w:rsidR="00AB5213" w:rsidRPr="001C651B">
        <w:rPr>
          <w:noProof/>
        </w:rPr>
        <w:t>instytucja nie jest częścią grupy, która podlega nadzorowi skonsolidowanemu („niezależna instytucja”).</w:t>
      </w:r>
    </w:p>
    <w:p w:rsidR="00716EA9" w:rsidRPr="001C651B" w:rsidRDefault="003040A6" w:rsidP="003040A6">
      <w:pPr>
        <w:pStyle w:val="ManualNumPar1"/>
        <w:rPr>
          <w:noProof/>
        </w:rPr>
      </w:pPr>
      <w:r w:rsidRPr="003040A6">
        <w:rPr>
          <w:noProof/>
        </w:rPr>
        <w:t>3.</w:t>
      </w:r>
      <w:r w:rsidRPr="003040A6">
        <w:rPr>
          <w:noProof/>
        </w:rPr>
        <w:tab/>
      </w:r>
      <w:r w:rsidR="00716EA9" w:rsidRPr="001C651B">
        <w:rPr>
          <w:noProof/>
        </w:rPr>
        <w:t>Na zasadzie odstępstwa od przepisów art. 3 ust. 1 lit. b) instytucje przekazują informacje,</w:t>
      </w:r>
      <w:r w:rsidR="001C651B" w:rsidRPr="001C651B">
        <w:rPr>
          <w:noProof/>
        </w:rPr>
        <w:t xml:space="preserve"> o</w:t>
      </w:r>
      <w:r w:rsidR="001C651B">
        <w:rPr>
          <w:noProof/>
        </w:rPr>
        <w:t> </w:t>
      </w:r>
      <w:r w:rsidR="001C651B" w:rsidRPr="001C651B">
        <w:rPr>
          <w:noProof/>
        </w:rPr>
        <w:t>któ</w:t>
      </w:r>
      <w:r w:rsidR="00716EA9" w:rsidRPr="001C651B">
        <w:rPr>
          <w:noProof/>
        </w:rPr>
        <w:t>rych mowa</w:t>
      </w:r>
      <w:r w:rsidR="001C651B" w:rsidRPr="001C651B">
        <w:rPr>
          <w:noProof/>
        </w:rPr>
        <w:t xml:space="preserve"> w</w:t>
      </w:r>
      <w:r w:rsidR="001C651B">
        <w:rPr>
          <w:noProof/>
        </w:rPr>
        <w:t> </w:t>
      </w:r>
      <w:r w:rsidR="001C651B" w:rsidRPr="001C651B">
        <w:rPr>
          <w:noProof/>
        </w:rPr>
        <w:t>ust</w:t>
      </w:r>
      <w:r w:rsidR="00716EA9" w:rsidRPr="001C651B">
        <w:rPr>
          <w:noProof/>
        </w:rPr>
        <w:t>. 1</w:t>
      </w:r>
      <w:r w:rsidR="001C651B" w:rsidRPr="001C651B">
        <w:rPr>
          <w:noProof/>
        </w:rPr>
        <w:t xml:space="preserve"> i</w:t>
      </w:r>
      <w:r w:rsidR="001C651B">
        <w:rPr>
          <w:noProof/>
        </w:rPr>
        <w:t> </w:t>
      </w:r>
      <w:r w:rsidR="001C651B" w:rsidRPr="001C651B">
        <w:rPr>
          <w:noProof/>
        </w:rPr>
        <w:t>2</w:t>
      </w:r>
      <w:r w:rsidR="00716EA9" w:rsidRPr="001C651B">
        <w:rPr>
          <w:noProof/>
        </w:rPr>
        <w:t xml:space="preserve"> niniejszego artykułu, przed zakończeniem dnia roboczego</w:t>
      </w:r>
      <w:r w:rsidR="001C651B" w:rsidRPr="001C651B">
        <w:rPr>
          <w:noProof/>
        </w:rPr>
        <w:t xml:space="preserve"> w</w:t>
      </w:r>
      <w:r w:rsidR="001C651B">
        <w:rPr>
          <w:noProof/>
        </w:rPr>
        <w:t> </w:t>
      </w:r>
      <w:r w:rsidR="001C651B" w:rsidRPr="001C651B">
        <w:rPr>
          <w:noProof/>
        </w:rPr>
        <w:t>nas</w:t>
      </w:r>
      <w:r w:rsidR="00716EA9" w:rsidRPr="001C651B">
        <w:rPr>
          <w:noProof/>
        </w:rPr>
        <w:t>tępujących dniach przekazania formularzy: 1 lipca, 1 października, 2 stycznia</w:t>
      </w:r>
      <w:r w:rsidR="001C651B" w:rsidRPr="001C651B">
        <w:rPr>
          <w:noProof/>
        </w:rPr>
        <w:t xml:space="preserve"> i</w:t>
      </w:r>
      <w:r w:rsidR="001C651B">
        <w:rPr>
          <w:noProof/>
        </w:rPr>
        <w:t> </w:t>
      </w:r>
      <w:r w:rsidR="001C651B" w:rsidRPr="001C651B">
        <w:rPr>
          <w:noProof/>
        </w:rPr>
        <w:t>1</w:t>
      </w:r>
      <w:r w:rsidR="00716EA9" w:rsidRPr="001C651B">
        <w:rPr>
          <w:noProof/>
        </w:rPr>
        <w:t xml:space="preserve"> kwietnia.</w:t>
      </w:r>
    </w:p>
    <w:p w:rsidR="00716EA9" w:rsidRPr="001C651B" w:rsidRDefault="003040A6" w:rsidP="003040A6">
      <w:pPr>
        <w:pStyle w:val="ManualNumPar1"/>
        <w:rPr>
          <w:noProof/>
        </w:rPr>
      </w:pPr>
      <w:r w:rsidRPr="003040A6">
        <w:rPr>
          <w:noProof/>
        </w:rPr>
        <w:t>4.</w:t>
      </w:r>
      <w:r w:rsidRPr="003040A6">
        <w:rPr>
          <w:noProof/>
        </w:rPr>
        <w:tab/>
      </w:r>
      <w:r w:rsidR="00716EA9" w:rsidRPr="001C651B">
        <w:rPr>
          <w:noProof/>
        </w:rPr>
        <w:t>Na zasadzie odstępstwa od przepisów art. 4 w odniesieniu do progów określonych</w:t>
      </w:r>
      <w:r w:rsidR="001C651B" w:rsidRPr="001C651B">
        <w:rPr>
          <w:noProof/>
        </w:rPr>
        <w:t xml:space="preserve"> w</w:t>
      </w:r>
      <w:r w:rsidR="001C651B">
        <w:rPr>
          <w:noProof/>
        </w:rPr>
        <w:t> </w:t>
      </w:r>
      <w:r w:rsidR="001C651B" w:rsidRPr="001C651B">
        <w:rPr>
          <w:noProof/>
        </w:rPr>
        <w:t>ust</w:t>
      </w:r>
      <w:r w:rsidR="00716EA9" w:rsidRPr="001C651B">
        <w:rPr>
          <w:noProof/>
        </w:rPr>
        <w:t>. 1 lit. a)</w:t>
      </w:r>
      <w:r w:rsidR="001C651B" w:rsidRPr="001C651B">
        <w:rPr>
          <w:noProof/>
        </w:rPr>
        <w:t xml:space="preserve"> i</w:t>
      </w:r>
      <w:r w:rsidR="001C651B">
        <w:rPr>
          <w:noProof/>
        </w:rPr>
        <w:t> </w:t>
      </w:r>
      <w:r w:rsidR="001C651B" w:rsidRPr="001C651B">
        <w:rPr>
          <w:noProof/>
        </w:rPr>
        <w:t>ust</w:t>
      </w:r>
      <w:r w:rsidR="00716EA9" w:rsidRPr="001C651B">
        <w:rPr>
          <w:noProof/>
        </w:rPr>
        <w:t>. 2 lit. a) niniejszego artykułu zastosowanie ma, co następuje:</w:t>
      </w:r>
    </w:p>
    <w:p w:rsidR="00AB5213" w:rsidRPr="001C651B" w:rsidRDefault="00D8126A" w:rsidP="00D8126A">
      <w:pPr>
        <w:pStyle w:val="Point1"/>
        <w:rPr>
          <w:noProof/>
        </w:rPr>
      </w:pPr>
      <w:r w:rsidRPr="001C651B">
        <w:rPr>
          <w:noProof/>
        </w:rPr>
        <w:t>a)</w:t>
      </w:r>
      <w:r w:rsidRPr="001C651B">
        <w:rPr>
          <w:noProof/>
        </w:rPr>
        <w:tab/>
      </w:r>
      <w:r w:rsidR="00AB5213" w:rsidRPr="001C651B">
        <w:rPr>
          <w:noProof/>
        </w:rPr>
        <w:t>unijna instytucja dominująca, unijna dominująca finansowa spółka holdingowa, unijna dominująca finansowa spółka holdingowa</w:t>
      </w:r>
      <w:r w:rsidR="001C651B" w:rsidRPr="001C651B">
        <w:rPr>
          <w:noProof/>
        </w:rPr>
        <w:t xml:space="preserve"> o</w:t>
      </w:r>
      <w:r w:rsidR="001C651B">
        <w:rPr>
          <w:noProof/>
        </w:rPr>
        <w:t> </w:t>
      </w:r>
      <w:r w:rsidR="001C651B" w:rsidRPr="001C651B">
        <w:rPr>
          <w:noProof/>
        </w:rPr>
        <w:t>dzi</w:t>
      </w:r>
      <w:r w:rsidR="00AB5213" w:rsidRPr="001C651B">
        <w:rPr>
          <w:noProof/>
        </w:rPr>
        <w:t>ałalności mieszanej lub niezależna instytucja, stosownie do przypadku, niezwłocznie rozpoczyna przekazywanie informacji,</w:t>
      </w:r>
      <w:r w:rsidR="001C651B" w:rsidRPr="001C651B">
        <w:rPr>
          <w:noProof/>
        </w:rPr>
        <w:t xml:space="preserve"> o</w:t>
      </w:r>
      <w:r w:rsidR="001C651B">
        <w:rPr>
          <w:noProof/>
        </w:rPr>
        <w:t> </w:t>
      </w:r>
      <w:r w:rsidR="001C651B" w:rsidRPr="001C651B">
        <w:rPr>
          <w:noProof/>
        </w:rPr>
        <w:t>któ</w:t>
      </w:r>
      <w:r w:rsidR="00AB5213" w:rsidRPr="001C651B">
        <w:rPr>
          <w:noProof/>
        </w:rPr>
        <w:t>rych mowa</w:t>
      </w:r>
      <w:r w:rsidR="001C651B" w:rsidRPr="001C651B">
        <w:rPr>
          <w:noProof/>
        </w:rPr>
        <w:t xml:space="preserve"> w</w:t>
      </w:r>
      <w:r w:rsidR="001C651B">
        <w:rPr>
          <w:noProof/>
        </w:rPr>
        <w:t> </w:t>
      </w:r>
      <w:r w:rsidR="001C651B" w:rsidRPr="001C651B">
        <w:rPr>
          <w:noProof/>
        </w:rPr>
        <w:t>ust</w:t>
      </w:r>
      <w:r w:rsidR="00AB5213" w:rsidRPr="001C651B">
        <w:rPr>
          <w:noProof/>
        </w:rPr>
        <w:t>.</w:t>
      </w:r>
      <w:r w:rsidR="001C651B" w:rsidRPr="001C651B">
        <w:rPr>
          <w:noProof/>
        </w:rPr>
        <w:t> </w:t>
      </w:r>
      <w:r w:rsidR="00AB5213" w:rsidRPr="001C651B">
        <w:rPr>
          <w:noProof/>
        </w:rPr>
        <w:t>1</w:t>
      </w:r>
      <w:r w:rsidR="001C651B" w:rsidRPr="001C651B">
        <w:rPr>
          <w:noProof/>
        </w:rPr>
        <w:t xml:space="preserve"> i</w:t>
      </w:r>
      <w:r w:rsidR="001C651B">
        <w:rPr>
          <w:noProof/>
        </w:rPr>
        <w:t> </w:t>
      </w:r>
      <w:r w:rsidR="001C651B" w:rsidRPr="001C651B">
        <w:rPr>
          <w:noProof/>
        </w:rPr>
        <w:t>2</w:t>
      </w:r>
      <w:r w:rsidR="00AB5213" w:rsidRPr="001C651B">
        <w:rPr>
          <w:noProof/>
        </w:rPr>
        <w:t>, zgodnie</w:t>
      </w:r>
      <w:r w:rsidR="001C651B" w:rsidRPr="001C651B">
        <w:rPr>
          <w:noProof/>
        </w:rPr>
        <w:t xml:space="preserve"> z</w:t>
      </w:r>
      <w:r w:rsidR="001C651B">
        <w:rPr>
          <w:noProof/>
        </w:rPr>
        <w:t> </w:t>
      </w:r>
      <w:r w:rsidR="001C651B" w:rsidRPr="001C651B">
        <w:rPr>
          <w:noProof/>
        </w:rPr>
        <w:t>nin</w:t>
      </w:r>
      <w:r w:rsidR="00AB5213" w:rsidRPr="001C651B">
        <w:rPr>
          <w:noProof/>
        </w:rPr>
        <w:t>iejszym artykułem, gdy jej miara ekspozycji wskaźnika dźwigni przekroczy określony próg na koniec roku obrotowego,</w:t>
      </w:r>
      <w:r w:rsidR="001C651B" w:rsidRPr="001C651B">
        <w:rPr>
          <w:noProof/>
        </w:rPr>
        <w:t xml:space="preserve"> i</w:t>
      </w:r>
      <w:r w:rsidR="001C651B">
        <w:rPr>
          <w:noProof/>
        </w:rPr>
        <w:t> </w:t>
      </w:r>
      <w:r w:rsidR="001C651B" w:rsidRPr="001C651B">
        <w:rPr>
          <w:noProof/>
        </w:rPr>
        <w:t>prz</w:t>
      </w:r>
      <w:r w:rsidR="00AB5213" w:rsidRPr="001C651B">
        <w:rPr>
          <w:noProof/>
        </w:rPr>
        <w:t>edstawia te informacje według stanu na koniec tego roku obrotowego oraz na kolejne trzy kwartalne dni odniesienia;</w:t>
      </w:r>
    </w:p>
    <w:p w:rsidR="00AB5213" w:rsidRPr="001C651B" w:rsidRDefault="00D8126A" w:rsidP="00D8126A">
      <w:pPr>
        <w:pStyle w:val="Point1"/>
        <w:rPr>
          <w:noProof/>
        </w:rPr>
      </w:pPr>
      <w:r w:rsidRPr="001C651B">
        <w:rPr>
          <w:noProof/>
        </w:rPr>
        <w:t>b)</w:t>
      </w:r>
      <w:r w:rsidRPr="001C651B">
        <w:rPr>
          <w:noProof/>
        </w:rPr>
        <w:tab/>
      </w:r>
      <w:r w:rsidR="00AB5213" w:rsidRPr="001C651B">
        <w:rPr>
          <w:noProof/>
        </w:rPr>
        <w:t>unijna instytucja dominująca, unijna dominująca finansowa spółka holdingowa, unijna dominująca finansowa spółka holdingowa</w:t>
      </w:r>
      <w:r w:rsidR="001C651B" w:rsidRPr="001C651B">
        <w:rPr>
          <w:noProof/>
        </w:rPr>
        <w:t xml:space="preserve"> o</w:t>
      </w:r>
      <w:r w:rsidR="001C651B">
        <w:rPr>
          <w:noProof/>
        </w:rPr>
        <w:t> </w:t>
      </w:r>
      <w:r w:rsidR="001C651B" w:rsidRPr="001C651B">
        <w:rPr>
          <w:noProof/>
        </w:rPr>
        <w:t>dzi</w:t>
      </w:r>
      <w:r w:rsidR="00AB5213" w:rsidRPr="001C651B">
        <w:rPr>
          <w:noProof/>
        </w:rPr>
        <w:t>ałalności mieszanej lub niezależna instytucja, stosownie do przypadku, niezwłocznie zaprzestaje przekazywania informacji,</w:t>
      </w:r>
      <w:r w:rsidR="001C651B" w:rsidRPr="001C651B">
        <w:rPr>
          <w:noProof/>
        </w:rPr>
        <w:t xml:space="preserve"> o</w:t>
      </w:r>
      <w:r w:rsidR="001C651B">
        <w:rPr>
          <w:noProof/>
        </w:rPr>
        <w:t> </w:t>
      </w:r>
      <w:r w:rsidR="001C651B" w:rsidRPr="001C651B">
        <w:rPr>
          <w:noProof/>
        </w:rPr>
        <w:t>któ</w:t>
      </w:r>
      <w:r w:rsidR="00AB5213" w:rsidRPr="001C651B">
        <w:rPr>
          <w:noProof/>
        </w:rPr>
        <w:t>rych mowa</w:t>
      </w:r>
      <w:r w:rsidR="001C651B" w:rsidRPr="001C651B">
        <w:rPr>
          <w:noProof/>
        </w:rPr>
        <w:t xml:space="preserve"> w</w:t>
      </w:r>
      <w:r w:rsidR="001C651B">
        <w:rPr>
          <w:noProof/>
        </w:rPr>
        <w:t> </w:t>
      </w:r>
      <w:r w:rsidR="001C651B" w:rsidRPr="001C651B">
        <w:rPr>
          <w:noProof/>
        </w:rPr>
        <w:t>ust</w:t>
      </w:r>
      <w:r w:rsidR="00AB5213" w:rsidRPr="001C651B">
        <w:rPr>
          <w:noProof/>
        </w:rPr>
        <w:t>.</w:t>
      </w:r>
      <w:r w:rsidR="001C651B" w:rsidRPr="001C651B">
        <w:rPr>
          <w:noProof/>
        </w:rPr>
        <w:t> </w:t>
      </w:r>
      <w:r w:rsidR="00AB5213" w:rsidRPr="001C651B">
        <w:rPr>
          <w:noProof/>
        </w:rPr>
        <w:t>1</w:t>
      </w:r>
      <w:r w:rsidR="001C651B" w:rsidRPr="001C651B">
        <w:rPr>
          <w:noProof/>
        </w:rPr>
        <w:t xml:space="preserve"> i</w:t>
      </w:r>
      <w:r w:rsidR="001C651B">
        <w:rPr>
          <w:noProof/>
        </w:rPr>
        <w:t> </w:t>
      </w:r>
      <w:r w:rsidR="001C651B" w:rsidRPr="001C651B">
        <w:rPr>
          <w:noProof/>
        </w:rPr>
        <w:t>2</w:t>
      </w:r>
      <w:r w:rsidR="00AB5213" w:rsidRPr="001C651B">
        <w:rPr>
          <w:noProof/>
        </w:rPr>
        <w:t>, zgodnie</w:t>
      </w:r>
      <w:r w:rsidR="001C651B" w:rsidRPr="001C651B">
        <w:rPr>
          <w:noProof/>
        </w:rPr>
        <w:t xml:space="preserve"> z</w:t>
      </w:r>
      <w:r w:rsidR="001C651B">
        <w:rPr>
          <w:noProof/>
        </w:rPr>
        <w:t> </w:t>
      </w:r>
      <w:r w:rsidR="001C651B" w:rsidRPr="001C651B">
        <w:rPr>
          <w:noProof/>
        </w:rPr>
        <w:t>nin</w:t>
      </w:r>
      <w:r w:rsidR="00AB5213" w:rsidRPr="001C651B">
        <w:rPr>
          <w:noProof/>
        </w:rPr>
        <w:t>iejszym artykułem, gdy jej miara ekspozycji wskaźnika dźwigni spadnie poniżej określonego progu na koniec jej roku obrotowego.</w:t>
      </w:r>
    </w:p>
    <w:p w:rsidR="00716EA9" w:rsidRPr="001C651B" w:rsidRDefault="00716EA9" w:rsidP="00E537F5">
      <w:pPr>
        <w:pStyle w:val="Titrearticle"/>
        <w:rPr>
          <w:noProof/>
          <w:szCs w:val="24"/>
        </w:rPr>
      </w:pPr>
      <w:r w:rsidRPr="001C651B">
        <w:rPr>
          <w:noProof/>
        </w:rPr>
        <w:t>Artykuł 21</w:t>
      </w:r>
    </w:p>
    <w:p w:rsidR="00716EA9" w:rsidRPr="001C651B" w:rsidRDefault="00716EA9" w:rsidP="0066303A">
      <w:pPr>
        <w:pStyle w:val="Titrearticle"/>
        <w:spacing w:before="0"/>
        <w:rPr>
          <w:b/>
          <w:bCs/>
          <w:i w:val="0"/>
          <w:iCs/>
          <w:noProof/>
          <w:szCs w:val="24"/>
        </w:rPr>
      </w:pPr>
      <w:bookmarkStart w:id="2" w:name="_Hlk175233444"/>
      <w:r w:rsidRPr="001C651B">
        <w:rPr>
          <w:b/>
          <w:i w:val="0"/>
          <w:noProof/>
        </w:rPr>
        <w:t>Sprawozdawczość</w:t>
      </w:r>
      <w:r w:rsidR="001C651B" w:rsidRPr="001C651B">
        <w:rPr>
          <w:b/>
          <w:i w:val="0"/>
          <w:noProof/>
        </w:rPr>
        <w:t xml:space="preserve"> w</w:t>
      </w:r>
      <w:r w:rsidR="001C651B">
        <w:rPr>
          <w:b/>
          <w:i w:val="0"/>
          <w:noProof/>
        </w:rPr>
        <w:t> </w:t>
      </w:r>
      <w:r w:rsidR="001C651B" w:rsidRPr="001C651B">
        <w:rPr>
          <w:b/>
          <w:i w:val="0"/>
          <w:noProof/>
        </w:rPr>
        <w:t>zak</w:t>
      </w:r>
      <w:r w:rsidRPr="001C651B">
        <w:rPr>
          <w:b/>
          <w:i w:val="0"/>
          <w:noProof/>
        </w:rPr>
        <w:t>resie ryzyka stopy procentowej</w:t>
      </w:r>
      <w:r w:rsidR="001C651B" w:rsidRPr="001C651B">
        <w:rPr>
          <w:b/>
          <w:i w:val="0"/>
          <w:noProof/>
        </w:rPr>
        <w:t xml:space="preserve"> w</w:t>
      </w:r>
      <w:r w:rsidR="001C651B">
        <w:rPr>
          <w:b/>
          <w:i w:val="0"/>
          <w:noProof/>
        </w:rPr>
        <w:t> </w:t>
      </w:r>
      <w:r w:rsidR="001C651B" w:rsidRPr="001C651B">
        <w:rPr>
          <w:b/>
          <w:i w:val="0"/>
          <w:noProof/>
        </w:rPr>
        <w:t>por</w:t>
      </w:r>
      <w:r w:rsidRPr="001C651B">
        <w:rPr>
          <w:b/>
          <w:i w:val="0"/>
          <w:noProof/>
        </w:rPr>
        <w:t>tfelu bankowym zarówno na zasadzie indywidualnej, jak</w:t>
      </w:r>
      <w:r w:rsidR="001C651B" w:rsidRPr="001C651B">
        <w:rPr>
          <w:b/>
          <w:i w:val="0"/>
          <w:noProof/>
        </w:rPr>
        <w:t xml:space="preserve"> i</w:t>
      </w:r>
      <w:r w:rsidR="001C651B">
        <w:rPr>
          <w:b/>
          <w:i w:val="0"/>
          <w:noProof/>
        </w:rPr>
        <w:t> </w:t>
      </w:r>
      <w:r w:rsidR="001C651B" w:rsidRPr="001C651B">
        <w:rPr>
          <w:b/>
          <w:i w:val="0"/>
          <w:noProof/>
        </w:rPr>
        <w:t>sko</w:t>
      </w:r>
      <w:r w:rsidRPr="001C651B">
        <w:rPr>
          <w:b/>
          <w:i w:val="0"/>
          <w:noProof/>
        </w:rPr>
        <w:t>nsolidowanej</w:t>
      </w:r>
    </w:p>
    <w:p w:rsidR="00716EA9" w:rsidRPr="001C651B" w:rsidRDefault="000B3834" w:rsidP="00716EA9">
      <w:pPr>
        <w:rPr>
          <w:rFonts w:eastAsia="Times New Roman"/>
          <w:noProof/>
          <w:color w:val="000000" w:themeColor="text1"/>
          <w:szCs w:val="24"/>
        </w:rPr>
      </w:pPr>
      <w:r w:rsidRPr="001C651B">
        <w:rPr>
          <w:noProof/>
        </w:rPr>
        <w:t>Instytucje, które przekazują informacje na temat ryzyka stopy procentowej</w:t>
      </w:r>
      <w:r w:rsidR="001C651B" w:rsidRPr="001C651B">
        <w:rPr>
          <w:noProof/>
        </w:rPr>
        <w:t xml:space="preserve"> w</w:t>
      </w:r>
      <w:r w:rsidR="001C651B">
        <w:rPr>
          <w:noProof/>
        </w:rPr>
        <w:t> </w:t>
      </w:r>
      <w:r w:rsidR="001C651B" w:rsidRPr="001C651B">
        <w:rPr>
          <w:noProof/>
        </w:rPr>
        <w:t>por</w:t>
      </w:r>
      <w:r w:rsidRPr="001C651B">
        <w:rPr>
          <w:noProof/>
        </w:rPr>
        <w:t>tfelu bankowym zgodnie</w:t>
      </w:r>
      <w:r w:rsidR="001C651B" w:rsidRPr="001C651B">
        <w:rPr>
          <w:noProof/>
        </w:rPr>
        <w:t xml:space="preserve"> z</w:t>
      </w:r>
      <w:r w:rsidR="001C651B">
        <w:rPr>
          <w:noProof/>
        </w:rPr>
        <w:t> </w:t>
      </w:r>
      <w:r w:rsidR="001C651B" w:rsidRPr="001C651B">
        <w:rPr>
          <w:noProof/>
        </w:rPr>
        <w:t>art</w:t>
      </w:r>
      <w:r w:rsidRPr="001C651B">
        <w:rPr>
          <w:noProof/>
        </w:rPr>
        <w:t>.</w:t>
      </w:r>
      <w:r w:rsidR="001C651B" w:rsidRPr="001C651B">
        <w:rPr>
          <w:noProof/>
        </w:rPr>
        <w:t> </w:t>
      </w:r>
      <w:r w:rsidRPr="001C651B">
        <w:rPr>
          <w:noProof/>
        </w:rPr>
        <w:t>84 ust.</w:t>
      </w:r>
      <w:r w:rsidR="001C651B" w:rsidRPr="001C651B">
        <w:rPr>
          <w:noProof/>
        </w:rPr>
        <w:t> </w:t>
      </w:r>
      <w:r w:rsidRPr="001C651B">
        <w:rPr>
          <w:noProof/>
        </w:rPr>
        <w:t>5, art.</w:t>
      </w:r>
      <w:r w:rsidR="001C651B" w:rsidRPr="001C651B">
        <w:rPr>
          <w:noProof/>
        </w:rPr>
        <w:t> </w:t>
      </w:r>
      <w:r w:rsidRPr="001C651B">
        <w:rPr>
          <w:noProof/>
        </w:rPr>
        <w:t>84 ust.</w:t>
      </w:r>
      <w:r w:rsidR="001C651B" w:rsidRPr="001C651B">
        <w:rPr>
          <w:noProof/>
        </w:rPr>
        <w:t> </w:t>
      </w:r>
      <w:r w:rsidRPr="001C651B">
        <w:rPr>
          <w:noProof/>
        </w:rPr>
        <w:t>6</w:t>
      </w:r>
      <w:r w:rsidR="001C651B" w:rsidRPr="001C651B">
        <w:rPr>
          <w:noProof/>
        </w:rPr>
        <w:t xml:space="preserve"> i</w:t>
      </w:r>
      <w:r w:rsidR="001C651B">
        <w:rPr>
          <w:noProof/>
        </w:rPr>
        <w:t> </w:t>
      </w:r>
      <w:r w:rsidR="001C651B" w:rsidRPr="001C651B">
        <w:rPr>
          <w:noProof/>
        </w:rPr>
        <w:t>art</w:t>
      </w:r>
      <w:r w:rsidRPr="001C651B">
        <w:rPr>
          <w:noProof/>
        </w:rPr>
        <w:t>.</w:t>
      </w:r>
      <w:r w:rsidR="001C651B" w:rsidRPr="001C651B">
        <w:rPr>
          <w:noProof/>
        </w:rPr>
        <w:t> </w:t>
      </w:r>
      <w:r w:rsidRPr="001C651B">
        <w:rPr>
          <w:noProof/>
        </w:rPr>
        <w:t>98 ust.</w:t>
      </w:r>
      <w:r w:rsidR="001C651B" w:rsidRPr="001C651B">
        <w:rPr>
          <w:noProof/>
        </w:rPr>
        <w:t> </w:t>
      </w:r>
      <w:r w:rsidRPr="001C651B">
        <w:rPr>
          <w:noProof/>
        </w:rPr>
        <w:t>5a dyrektywy 2013/36/UE zarówno na zasadzie indywidualnej, jak</w:t>
      </w:r>
      <w:r w:rsidR="001C651B" w:rsidRPr="001C651B">
        <w:rPr>
          <w:noProof/>
        </w:rPr>
        <w:t xml:space="preserve"> i</w:t>
      </w:r>
      <w:r w:rsidR="001C651B">
        <w:rPr>
          <w:noProof/>
        </w:rPr>
        <w:t> </w:t>
      </w:r>
      <w:r w:rsidR="001C651B" w:rsidRPr="001C651B">
        <w:rPr>
          <w:noProof/>
        </w:rPr>
        <w:t>sko</w:t>
      </w:r>
      <w:r w:rsidRPr="001C651B">
        <w:rPr>
          <w:noProof/>
        </w:rPr>
        <w:t>nsolidowanej, przedstawiają informacje,</w:t>
      </w:r>
      <w:r w:rsidR="001C651B" w:rsidRPr="001C651B">
        <w:rPr>
          <w:noProof/>
        </w:rPr>
        <w:t xml:space="preserve"> o</w:t>
      </w:r>
      <w:r w:rsidR="001C651B">
        <w:rPr>
          <w:noProof/>
        </w:rPr>
        <w:t> </w:t>
      </w:r>
      <w:r w:rsidR="001C651B" w:rsidRPr="001C651B">
        <w:rPr>
          <w:noProof/>
        </w:rPr>
        <w:t>któ</w:t>
      </w:r>
      <w:r w:rsidRPr="001C651B">
        <w:rPr>
          <w:noProof/>
        </w:rPr>
        <w:t>rych mowa</w:t>
      </w:r>
      <w:r w:rsidR="001C651B" w:rsidRPr="001C651B">
        <w:rPr>
          <w:noProof/>
        </w:rPr>
        <w:t xml:space="preserve"> w</w:t>
      </w:r>
      <w:r w:rsidR="001C651B">
        <w:rPr>
          <w:noProof/>
        </w:rPr>
        <w:t> </w:t>
      </w:r>
      <w:r w:rsidR="001C651B" w:rsidRPr="001C651B">
        <w:rPr>
          <w:noProof/>
        </w:rPr>
        <w:t>tyc</w:t>
      </w:r>
      <w:r w:rsidRPr="001C651B">
        <w:rPr>
          <w:noProof/>
        </w:rPr>
        <w:t>h artykułach, jak określono</w:t>
      </w:r>
      <w:r w:rsidR="001C651B" w:rsidRPr="001C651B">
        <w:rPr>
          <w:noProof/>
        </w:rPr>
        <w:t xml:space="preserve"> w</w:t>
      </w:r>
      <w:r w:rsidR="001C651B">
        <w:rPr>
          <w:noProof/>
        </w:rPr>
        <w:t> </w:t>
      </w:r>
      <w:r w:rsidR="001C651B" w:rsidRPr="001C651B">
        <w:rPr>
          <w:noProof/>
        </w:rPr>
        <w:t>sek</w:t>
      </w:r>
      <w:r w:rsidRPr="001C651B">
        <w:rPr>
          <w:noProof/>
        </w:rPr>
        <w:t>cji 12 – „Sprawozdawczość</w:t>
      </w:r>
      <w:r w:rsidR="001C651B" w:rsidRPr="001C651B">
        <w:rPr>
          <w:noProof/>
        </w:rPr>
        <w:t xml:space="preserve"> w</w:t>
      </w:r>
      <w:r w:rsidR="001C651B">
        <w:rPr>
          <w:noProof/>
        </w:rPr>
        <w:t> </w:t>
      </w:r>
      <w:r w:rsidR="001C651B" w:rsidRPr="001C651B">
        <w:rPr>
          <w:noProof/>
        </w:rPr>
        <w:t>zak</w:t>
      </w:r>
      <w:r w:rsidRPr="001C651B">
        <w:rPr>
          <w:noProof/>
        </w:rPr>
        <w:t>resie ryzyka stopy procentowej</w:t>
      </w:r>
      <w:r w:rsidR="001C651B" w:rsidRPr="001C651B">
        <w:rPr>
          <w:noProof/>
        </w:rPr>
        <w:t xml:space="preserve"> w</w:t>
      </w:r>
      <w:r w:rsidR="001C651B">
        <w:rPr>
          <w:noProof/>
        </w:rPr>
        <w:t> </w:t>
      </w:r>
      <w:r w:rsidR="001C651B" w:rsidRPr="001C651B">
        <w:rPr>
          <w:noProof/>
        </w:rPr>
        <w:t>por</w:t>
      </w:r>
      <w:r w:rsidRPr="001C651B">
        <w:rPr>
          <w:noProof/>
        </w:rPr>
        <w:t>tfelu bankowym”</w:t>
      </w:r>
      <w:r w:rsidR="001C651B" w:rsidRPr="001C651B">
        <w:rPr>
          <w:noProof/>
        </w:rPr>
        <w:t xml:space="preserve"> w</w:t>
      </w:r>
      <w:r w:rsidR="001C651B">
        <w:rPr>
          <w:noProof/>
        </w:rPr>
        <w:t> </w:t>
      </w:r>
      <w:r w:rsidR="001C651B" w:rsidRPr="001C651B">
        <w:rPr>
          <w:noProof/>
        </w:rPr>
        <w:t>zał</w:t>
      </w:r>
      <w:r w:rsidRPr="001C651B">
        <w:rPr>
          <w:noProof/>
        </w:rPr>
        <w:t>ączniku I do niniejszego rozporządzenia,</w:t>
      </w:r>
      <w:r w:rsidR="001C651B" w:rsidRPr="001C651B">
        <w:rPr>
          <w:noProof/>
        </w:rPr>
        <w:t xml:space="preserve"> z</w:t>
      </w:r>
      <w:r w:rsidR="001C651B">
        <w:rPr>
          <w:noProof/>
        </w:rPr>
        <w:t> </w:t>
      </w:r>
      <w:r w:rsidR="001C651B" w:rsidRPr="001C651B">
        <w:rPr>
          <w:noProof/>
        </w:rPr>
        <w:t>nas</w:t>
      </w:r>
      <w:r w:rsidRPr="001C651B">
        <w:rPr>
          <w:noProof/>
        </w:rPr>
        <w:t>tępującą częstotliwością:</w:t>
      </w:r>
    </w:p>
    <w:p w:rsidR="00F5752D" w:rsidRPr="001C651B" w:rsidRDefault="00D8126A" w:rsidP="00D8126A">
      <w:pPr>
        <w:pStyle w:val="Point0"/>
        <w:rPr>
          <w:noProof/>
        </w:rPr>
      </w:pPr>
      <w:r w:rsidRPr="001C651B">
        <w:rPr>
          <w:noProof/>
        </w:rPr>
        <w:t>a)</w:t>
      </w:r>
      <w:r w:rsidRPr="001C651B">
        <w:rPr>
          <w:noProof/>
        </w:rPr>
        <w:tab/>
      </w:r>
      <w:r w:rsidR="00247A56" w:rsidRPr="001C651B">
        <w:rPr>
          <w:noProof/>
        </w:rPr>
        <w:t>wszystkie instytucje: wzór J 01.00 zawarty</w:t>
      </w:r>
      <w:r w:rsidR="001C651B" w:rsidRPr="001C651B">
        <w:rPr>
          <w:noProof/>
        </w:rPr>
        <w:t xml:space="preserve"> w</w:t>
      </w:r>
      <w:r w:rsidR="001C651B">
        <w:rPr>
          <w:noProof/>
        </w:rPr>
        <w:t> </w:t>
      </w:r>
      <w:r w:rsidR="001C651B" w:rsidRPr="001C651B">
        <w:rPr>
          <w:noProof/>
        </w:rPr>
        <w:t>sek</w:t>
      </w:r>
      <w:r w:rsidR="00247A56" w:rsidRPr="001C651B">
        <w:rPr>
          <w:noProof/>
        </w:rPr>
        <w:t>cji 12 załącznika I –</w:t>
      </w:r>
      <w:r w:rsidR="001C651B" w:rsidRPr="001C651B">
        <w:rPr>
          <w:noProof/>
        </w:rPr>
        <w:t xml:space="preserve"> z</w:t>
      </w:r>
      <w:r w:rsidR="001C651B">
        <w:rPr>
          <w:noProof/>
        </w:rPr>
        <w:t> </w:t>
      </w:r>
      <w:r w:rsidR="001C651B" w:rsidRPr="001C651B">
        <w:rPr>
          <w:noProof/>
        </w:rPr>
        <w:t>czę</w:t>
      </w:r>
      <w:r w:rsidR="00247A56" w:rsidRPr="001C651B">
        <w:rPr>
          <w:noProof/>
        </w:rPr>
        <w:t>stotliwością kwartalną;</w:t>
      </w:r>
    </w:p>
    <w:p w:rsidR="00F5752D" w:rsidRPr="001C651B" w:rsidRDefault="00D8126A" w:rsidP="00D8126A">
      <w:pPr>
        <w:pStyle w:val="Point0"/>
        <w:rPr>
          <w:noProof/>
        </w:rPr>
      </w:pPr>
      <w:r w:rsidRPr="001C651B">
        <w:rPr>
          <w:noProof/>
        </w:rPr>
        <w:t>b)</w:t>
      </w:r>
      <w:r w:rsidRPr="001C651B">
        <w:rPr>
          <w:noProof/>
        </w:rPr>
        <w:tab/>
      </w:r>
      <w:r w:rsidR="00247A56" w:rsidRPr="001C651B">
        <w:rPr>
          <w:noProof/>
        </w:rPr>
        <w:t>duże instytucje: wzory J 02.00, J 05.00 i J 08.00 zawarte</w:t>
      </w:r>
      <w:r w:rsidR="001C651B" w:rsidRPr="001C651B">
        <w:rPr>
          <w:noProof/>
        </w:rPr>
        <w:t xml:space="preserve"> w</w:t>
      </w:r>
      <w:r w:rsidR="001C651B">
        <w:rPr>
          <w:noProof/>
        </w:rPr>
        <w:t> </w:t>
      </w:r>
      <w:r w:rsidR="001C651B" w:rsidRPr="001C651B">
        <w:rPr>
          <w:noProof/>
        </w:rPr>
        <w:t>sek</w:t>
      </w:r>
      <w:r w:rsidR="00247A56" w:rsidRPr="001C651B">
        <w:rPr>
          <w:noProof/>
        </w:rPr>
        <w:t>cji 12 załącznika I –</w:t>
      </w:r>
      <w:r w:rsidR="001C651B" w:rsidRPr="001C651B">
        <w:rPr>
          <w:noProof/>
        </w:rPr>
        <w:t xml:space="preserve"> z</w:t>
      </w:r>
      <w:r w:rsidR="001C651B">
        <w:rPr>
          <w:noProof/>
        </w:rPr>
        <w:t> </w:t>
      </w:r>
      <w:r w:rsidR="001C651B" w:rsidRPr="001C651B">
        <w:rPr>
          <w:noProof/>
        </w:rPr>
        <w:t>czę</w:t>
      </w:r>
      <w:r w:rsidR="00247A56" w:rsidRPr="001C651B">
        <w:rPr>
          <w:noProof/>
        </w:rPr>
        <w:t>stotliwością kwartalną;</w:t>
      </w:r>
    </w:p>
    <w:p w:rsidR="00F5752D" w:rsidRPr="001C651B" w:rsidRDefault="00D8126A" w:rsidP="00D8126A">
      <w:pPr>
        <w:pStyle w:val="Point0"/>
        <w:rPr>
          <w:noProof/>
        </w:rPr>
      </w:pPr>
      <w:r w:rsidRPr="001C651B">
        <w:rPr>
          <w:noProof/>
        </w:rPr>
        <w:t>c)</w:t>
      </w:r>
      <w:r w:rsidRPr="001C651B">
        <w:rPr>
          <w:noProof/>
        </w:rPr>
        <w:tab/>
      </w:r>
      <w:r w:rsidR="00247A56" w:rsidRPr="001C651B">
        <w:rPr>
          <w:noProof/>
        </w:rPr>
        <w:t>instytucje, które nie są ani dużymi instytucjami, ani małymi</w:t>
      </w:r>
      <w:r w:rsidR="001C651B" w:rsidRPr="001C651B">
        <w:rPr>
          <w:noProof/>
        </w:rPr>
        <w:t xml:space="preserve"> i</w:t>
      </w:r>
      <w:r w:rsidR="001C651B">
        <w:rPr>
          <w:noProof/>
        </w:rPr>
        <w:t> </w:t>
      </w:r>
      <w:r w:rsidR="001C651B" w:rsidRPr="001C651B">
        <w:rPr>
          <w:noProof/>
        </w:rPr>
        <w:t>nie</w:t>
      </w:r>
      <w:r w:rsidR="00247A56" w:rsidRPr="001C651B">
        <w:rPr>
          <w:noProof/>
        </w:rPr>
        <w:t>złożonymi instytucjami: wzory J 03.00 i J 06.00 zawarte</w:t>
      </w:r>
      <w:r w:rsidR="001C651B" w:rsidRPr="001C651B">
        <w:rPr>
          <w:noProof/>
        </w:rPr>
        <w:t xml:space="preserve"> w</w:t>
      </w:r>
      <w:r w:rsidR="001C651B">
        <w:rPr>
          <w:noProof/>
        </w:rPr>
        <w:t> </w:t>
      </w:r>
      <w:r w:rsidR="001C651B" w:rsidRPr="001C651B">
        <w:rPr>
          <w:noProof/>
        </w:rPr>
        <w:t>sek</w:t>
      </w:r>
      <w:r w:rsidR="00247A56" w:rsidRPr="001C651B">
        <w:rPr>
          <w:noProof/>
        </w:rPr>
        <w:t>cji 12 załącznika I –</w:t>
      </w:r>
      <w:r w:rsidR="001C651B" w:rsidRPr="001C651B">
        <w:rPr>
          <w:noProof/>
        </w:rPr>
        <w:t xml:space="preserve"> z</w:t>
      </w:r>
      <w:r w:rsidR="001C651B">
        <w:rPr>
          <w:noProof/>
        </w:rPr>
        <w:t> </w:t>
      </w:r>
      <w:r w:rsidR="001C651B" w:rsidRPr="001C651B">
        <w:rPr>
          <w:noProof/>
        </w:rPr>
        <w:t>czę</w:t>
      </w:r>
      <w:r w:rsidR="00247A56" w:rsidRPr="001C651B">
        <w:rPr>
          <w:noProof/>
        </w:rPr>
        <w:t>stotliwością kwartalną;</w:t>
      </w:r>
    </w:p>
    <w:p w:rsidR="00F5752D" w:rsidRPr="001C651B" w:rsidRDefault="00D8126A" w:rsidP="00D8126A">
      <w:pPr>
        <w:pStyle w:val="Point0"/>
        <w:rPr>
          <w:noProof/>
        </w:rPr>
      </w:pPr>
      <w:r w:rsidRPr="001C651B">
        <w:rPr>
          <w:noProof/>
        </w:rPr>
        <w:t>d)</w:t>
      </w:r>
      <w:r w:rsidRPr="001C651B">
        <w:rPr>
          <w:noProof/>
        </w:rPr>
        <w:tab/>
      </w:r>
      <w:r w:rsidR="00247A56" w:rsidRPr="001C651B">
        <w:rPr>
          <w:noProof/>
        </w:rPr>
        <w:t>małe</w:t>
      </w:r>
      <w:r w:rsidR="001C651B" w:rsidRPr="001C651B">
        <w:rPr>
          <w:noProof/>
        </w:rPr>
        <w:t xml:space="preserve"> i</w:t>
      </w:r>
      <w:r w:rsidR="001C651B">
        <w:rPr>
          <w:noProof/>
        </w:rPr>
        <w:t> </w:t>
      </w:r>
      <w:r w:rsidR="001C651B" w:rsidRPr="001C651B">
        <w:rPr>
          <w:noProof/>
        </w:rPr>
        <w:t>nie</w:t>
      </w:r>
      <w:r w:rsidR="00247A56" w:rsidRPr="001C651B">
        <w:rPr>
          <w:noProof/>
        </w:rPr>
        <w:t>złożone instytucje: wzory J 04.00 i J 07.00 zawarte</w:t>
      </w:r>
      <w:r w:rsidR="001C651B" w:rsidRPr="001C651B">
        <w:rPr>
          <w:noProof/>
        </w:rPr>
        <w:t xml:space="preserve"> w</w:t>
      </w:r>
      <w:r w:rsidR="001C651B">
        <w:rPr>
          <w:noProof/>
        </w:rPr>
        <w:t> </w:t>
      </w:r>
      <w:r w:rsidR="001C651B" w:rsidRPr="001C651B">
        <w:rPr>
          <w:noProof/>
        </w:rPr>
        <w:t>sek</w:t>
      </w:r>
      <w:r w:rsidR="00247A56" w:rsidRPr="001C651B">
        <w:rPr>
          <w:noProof/>
        </w:rPr>
        <w:t>cji 12 załącznika I –</w:t>
      </w:r>
      <w:r w:rsidR="001C651B" w:rsidRPr="001C651B">
        <w:rPr>
          <w:noProof/>
        </w:rPr>
        <w:t xml:space="preserve"> z</w:t>
      </w:r>
      <w:r w:rsidR="001C651B">
        <w:rPr>
          <w:noProof/>
        </w:rPr>
        <w:t> </w:t>
      </w:r>
      <w:r w:rsidR="001C651B" w:rsidRPr="001C651B">
        <w:rPr>
          <w:noProof/>
        </w:rPr>
        <w:t>czę</w:t>
      </w:r>
      <w:r w:rsidR="00247A56" w:rsidRPr="001C651B">
        <w:rPr>
          <w:noProof/>
        </w:rPr>
        <w:t>stotliwością kwartalną;</w:t>
      </w:r>
    </w:p>
    <w:p w:rsidR="00F5752D" w:rsidRPr="001C651B" w:rsidRDefault="00D8126A" w:rsidP="00D8126A">
      <w:pPr>
        <w:pStyle w:val="Point0"/>
        <w:rPr>
          <w:noProof/>
        </w:rPr>
      </w:pPr>
      <w:r w:rsidRPr="001C651B">
        <w:rPr>
          <w:noProof/>
        </w:rPr>
        <w:t>e)</w:t>
      </w:r>
      <w:r w:rsidRPr="001C651B">
        <w:rPr>
          <w:noProof/>
        </w:rPr>
        <w:tab/>
      </w:r>
      <w:r w:rsidR="00247A56" w:rsidRPr="001C651B">
        <w:rPr>
          <w:noProof/>
        </w:rPr>
        <w:t>instytucje, które nie są ani dużymi instytucjami, ani małymi</w:t>
      </w:r>
      <w:r w:rsidR="001C651B" w:rsidRPr="001C651B">
        <w:rPr>
          <w:noProof/>
        </w:rPr>
        <w:t xml:space="preserve"> i</w:t>
      </w:r>
      <w:r w:rsidR="001C651B">
        <w:rPr>
          <w:noProof/>
        </w:rPr>
        <w:t> </w:t>
      </w:r>
      <w:r w:rsidR="001C651B" w:rsidRPr="001C651B">
        <w:rPr>
          <w:noProof/>
        </w:rPr>
        <w:t>nie</w:t>
      </w:r>
      <w:r w:rsidR="00247A56" w:rsidRPr="001C651B">
        <w:rPr>
          <w:noProof/>
        </w:rPr>
        <w:t>złożonymi instytucjami, oraz małe</w:t>
      </w:r>
      <w:r w:rsidR="001C651B" w:rsidRPr="001C651B">
        <w:rPr>
          <w:noProof/>
        </w:rPr>
        <w:t xml:space="preserve"> i</w:t>
      </w:r>
      <w:r w:rsidR="001C651B">
        <w:rPr>
          <w:noProof/>
        </w:rPr>
        <w:t> </w:t>
      </w:r>
      <w:r w:rsidR="001C651B" w:rsidRPr="001C651B">
        <w:rPr>
          <w:noProof/>
        </w:rPr>
        <w:t>nie</w:t>
      </w:r>
      <w:r w:rsidR="00247A56" w:rsidRPr="001C651B">
        <w:rPr>
          <w:noProof/>
        </w:rPr>
        <w:t>złożone instytucje: wzór J 09.00 zawarty</w:t>
      </w:r>
      <w:r w:rsidR="001C651B" w:rsidRPr="001C651B">
        <w:rPr>
          <w:noProof/>
        </w:rPr>
        <w:t xml:space="preserve"> w</w:t>
      </w:r>
      <w:r w:rsidR="001C651B">
        <w:rPr>
          <w:noProof/>
        </w:rPr>
        <w:t> </w:t>
      </w:r>
      <w:r w:rsidR="001C651B" w:rsidRPr="001C651B">
        <w:rPr>
          <w:noProof/>
        </w:rPr>
        <w:t>sek</w:t>
      </w:r>
      <w:r w:rsidR="00247A56" w:rsidRPr="001C651B">
        <w:rPr>
          <w:noProof/>
        </w:rPr>
        <w:t>cji 12 załącznika I –</w:t>
      </w:r>
      <w:r w:rsidR="001C651B" w:rsidRPr="001C651B">
        <w:rPr>
          <w:noProof/>
        </w:rPr>
        <w:t xml:space="preserve"> z</w:t>
      </w:r>
      <w:r w:rsidR="001C651B">
        <w:rPr>
          <w:noProof/>
        </w:rPr>
        <w:t> </w:t>
      </w:r>
      <w:r w:rsidR="001C651B" w:rsidRPr="001C651B">
        <w:rPr>
          <w:noProof/>
        </w:rPr>
        <w:t>czę</w:t>
      </w:r>
      <w:r w:rsidR="00247A56" w:rsidRPr="001C651B">
        <w:rPr>
          <w:noProof/>
        </w:rPr>
        <w:t>stotliwością kwartalną;</w:t>
      </w:r>
    </w:p>
    <w:p w:rsidR="00F5752D" w:rsidRPr="001C651B" w:rsidRDefault="00D8126A" w:rsidP="00D8126A">
      <w:pPr>
        <w:pStyle w:val="Point0"/>
        <w:rPr>
          <w:noProof/>
        </w:rPr>
      </w:pPr>
      <w:r w:rsidRPr="001C651B">
        <w:rPr>
          <w:noProof/>
        </w:rPr>
        <w:t>f)</w:t>
      </w:r>
      <w:r w:rsidRPr="001C651B">
        <w:rPr>
          <w:noProof/>
        </w:rPr>
        <w:tab/>
      </w:r>
      <w:r w:rsidR="00247A56" w:rsidRPr="001C651B">
        <w:rPr>
          <w:noProof/>
        </w:rPr>
        <w:t>duże instytucje: wzory J 10.01 i J 10.02 zawarte</w:t>
      </w:r>
      <w:r w:rsidR="001C651B" w:rsidRPr="001C651B">
        <w:rPr>
          <w:noProof/>
        </w:rPr>
        <w:t xml:space="preserve"> w</w:t>
      </w:r>
      <w:r w:rsidR="001C651B">
        <w:rPr>
          <w:noProof/>
        </w:rPr>
        <w:t> </w:t>
      </w:r>
      <w:r w:rsidR="001C651B" w:rsidRPr="001C651B">
        <w:rPr>
          <w:noProof/>
        </w:rPr>
        <w:t>sek</w:t>
      </w:r>
      <w:r w:rsidR="00247A56" w:rsidRPr="001C651B">
        <w:rPr>
          <w:noProof/>
        </w:rPr>
        <w:t>cji 12 załącznika I –</w:t>
      </w:r>
      <w:r w:rsidR="001C651B" w:rsidRPr="001C651B">
        <w:rPr>
          <w:noProof/>
        </w:rPr>
        <w:t xml:space="preserve"> z</w:t>
      </w:r>
      <w:r w:rsidR="001C651B">
        <w:rPr>
          <w:noProof/>
        </w:rPr>
        <w:t> </w:t>
      </w:r>
      <w:r w:rsidR="001C651B" w:rsidRPr="001C651B">
        <w:rPr>
          <w:noProof/>
        </w:rPr>
        <w:t>czę</w:t>
      </w:r>
      <w:r w:rsidR="00247A56" w:rsidRPr="001C651B">
        <w:rPr>
          <w:noProof/>
        </w:rPr>
        <w:t>stotliwością roczną;</w:t>
      </w:r>
    </w:p>
    <w:p w:rsidR="00F5752D" w:rsidRPr="001C651B" w:rsidRDefault="00D8126A" w:rsidP="00D8126A">
      <w:pPr>
        <w:pStyle w:val="Point0"/>
        <w:rPr>
          <w:noProof/>
        </w:rPr>
      </w:pPr>
      <w:r w:rsidRPr="001C651B">
        <w:rPr>
          <w:noProof/>
        </w:rPr>
        <w:t>g)</w:t>
      </w:r>
      <w:r w:rsidRPr="001C651B">
        <w:rPr>
          <w:noProof/>
        </w:rPr>
        <w:tab/>
      </w:r>
      <w:r w:rsidR="00247A56" w:rsidRPr="001C651B">
        <w:rPr>
          <w:noProof/>
        </w:rPr>
        <w:t>instytucje, które nie są ani dużymi instytucjami, ani małymi</w:t>
      </w:r>
      <w:r w:rsidR="001C651B" w:rsidRPr="001C651B">
        <w:rPr>
          <w:noProof/>
        </w:rPr>
        <w:t xml:space="preserve"> i</w:t>
      </w:r>
      <w:r w:rsidR="001C651B">
        <w:rPr>
          <w:noProof/>
        </w:rPr>
        <w:t> </w:t>
      </w:r>
      <w:r w:rsidR="001C651B" w:rsidRPr="001C651B">
        <w:rPr>
          <w:noProof/>
        </w:rPr>
        <w:t>nie</w:t>
      </w:r>
      <w:r w:rsidR="00247A56" w:rsidRPr="001C651B">
        <w:rPr>
          <w:noProof/>
        </w:rPr>
        <w:t>złożonymi instytucjami, oraz małe</w:t>
      </w:r>
      <w:r w:rsidR="001C651B" w:rsidRPr="001C651B">
        <w:rPr>
          <w:noProof/>
        </w:rPr>
        <w:t xml:space="preserve"> i</w:t>
      </w:r>
      <w:r w:rsidR="001C651B">
        <w:rPr>
          <w:noProof/>
        </w:rPr>
        <w:t> </w:t>
      </w:r>
      <w:r w:rsidR="001C651B" w:rsidRPr="001C651B">
        <w:rPr>
          <w:noProof/>
        </w:rPr>
        <w:t>nie</w:t>
      </w:r>
      <w:r w:rsidR="00247A56" w:rsidRPr="001C651B">
        <w:rPr>
          <w:noProof/>
        </w:rPr>
        <w:t>złożone instytucje: wzory J 11.01 i J 11.02 zawarte</w:t>
      </w:r>
      <w:r w:rsidR="001C651B" w:rsidRPr="001C651B">
        <w:rPr>
          <w:noProof/>
        </w:rPr>
        <w:t xml:space="preserve"> w</w:t>
      </w:r>
      <w:r w:rsidR="001C651B">
        <w:rPr>
          <w:noProof/>
        </w:rPr>
        <w:t> </w:t>
      </w:r>
      <w:r w:rsidR="001C651B" w:rsidRPr="001C651B">
        <w:rPr>
          <w:noProof/>
        </w:rPr>
        <w:t>sek</w:t>
      </w:r>
      <w:r w:rsidR="00247A56" w:rsidRPr="001C651B">
        <w:rPr>
          <w:noProof/>
        </w:rPr>
        <w:t>cji 12 załącznika I –</w:t>
      </w:r>
      <w:r w:rsidR="001C651B" w:rsidRPr="001C651B">
        <w:rPr>
          <w:noProof/>
        </w:rPr>
        <w:t xml:space="preserve"> z</w:t>
      </w:r>
      <w:r w:rsidR="001C651B">
        <w:rPr>
          <w:noProof/>
        </w:rPr>
        <w:t> </w:t>
      </w:r>
      <w:r w:rsidR="001C651B" w:rsidRPr="001C651B">
        <w:rPr>
          <w:noProof/>
        </w:rPr>
        <w:t>czę</w:t>
      </w:r>
      <w:r w:rsidR="00247A56" w:rsidRPr="001C651B">
        <w:rPr>
          <w:noProof/>
        </w:rPr>
        <w:t>stotliwością roczną.</w:t>
      </w:r>
    </w:p>
    <w:bookmarkEnd w:id="2"/>
    <w:p w:rsidR="002823A7" w:rsidRPr="001C651B" w:rsidRDefault="002823A7" w:rsidP="0017149C">
      <w:pPr>
        <w:pStyle w:val="Titrearticle"/>
        <w:tabs>
          <w:tab w:val="left" w:pos="567"/>
        </w:tabs>
        <w:rPr>
          <w:noProof/>
          <w:szCs w:val="24"/>
        </w:rPr>
      </w:pPr>
      <w:r w:rsidRPr="001C651B">
        <w:rPr>
          <w:noProof/>
        </w:rPr>
        <w:t>Artykuł 22</w:t>
      </w:r>
    </w:p>
    <w:p w:rsidR="002823A7" w:rsidRPr="001C651B" w:rsidRDefault="002823A7" w:rsidP="0017149C">
      <w:pPr>
        <w:pStyle w:val="Titrearticle"/>
        <w:tabs>
          <w:tab w:val="left" w:pos="567"/>
        </w:tabs>
        <w:spacing w:before="0"/>
        <w:rPr>
          <w:rFonts w:eastAsia="Times New Roman"/>
          <w:noProof/>
          <w:szCs w:val="24"/>
        </w:rPr>
      </w:pPr>
      <w:r w:rsidRPr="001C651B">
        <w:rPr>
          <w:b/>
          <w:i w:val="0"/>
          <w:noProof/>
        </w:rPr>
        <w:t>Rozwiązania informatyczne, wzory</w:t>
      </w:r>
      <w:r w:rsidR="001C651B" w:rsidRPr="001C651B">
        <w:rPr>
          <w:b/>
          <w:i w:val="0"/>
          <w:noProof/>
        </w:rPr>
        <w:t xml:space="preserve"> i</w:t>
      </w:r>
      <w:r w:rsidR="001C651B">
        <w:rPr>
          <w:b/>
          <w:i w:val="0"/>
          <w:noProof/>
        </w:rPr>
        <w:t> </w:t>
      </w:r>
      <w:r w:rsidR="001C651B" w:rsidRPr="001C651B">
        <w:rPr>
          <w:b/>
          <w:i w:val="0"/>
          <w:noProof/>
        </w:rPr>
        <w:t>ins</w:t>
      </w:r>
      <w:r w:rsidRPr="001C651B">
        <w:rPr>
          <w:b/>
          <w:i w:val="0"/>
          <w:noProof/>
        </w:rPr>
        <w:t>trukcje sprawozdawcze</w:t>
      </w:r>
    </w:p>
    <w:p w:rsidR="002823A7" w:rsidRPr="001C651B" w:rsidRDefault="003040A6" w:rsidP="003040A6">
      <w:pPr>
        <w:pStyle w:val="ManualNumPar1"/>
        <w:rPr>
          <w:rFonts w:eastAsia="Times New Roman"/>
          <w:noProof/>
          <w:szCs w:val="24"/>
        </w:rPr>
      </w:pPr>
      <w:r w:rsidRPr="003040A6">
        <w:rPr>
          <w:noProof/>
        </w:rPr>
        <w:t>1.</w:t>
      </w:r>
      <w:r w:rsidRPr="003040A6">
        <w:rPr>
          <w:noProof/>
        </w:rPr>
        <w:tab/>
      </w:r>
      <w:r w:rsidR="001B3873" w:rsidRPr="001C651B">
        <w:rPr>
          <w:noProof/>
        </w:rPr>
        <w:t>EUNB zapewnia, aby rozwiązania informatyczne,</w:t>
      </w:r>
      <w:r w:rsidR="001C651B" w:rsidRPr="001C651B">
        <w:rPr>
          <w:noProof/>
        </w:rPr>
        <w:t xml:space="preserve"> w</w:t>
      </w:r>
      <w:r w:rsidR="001C651B">
        <w:rPr>
          <w:noProof/>
        </w:rPr>
        <w:t> </w:t>
      </w:r>
      <w:r w:rsidR="001C651B" w:rsidRPr="001C651B">
        <w:rPr>
          <w:noProof/>
        </w:rPr>
        <w:t>tym</w:t>
      </w:r>
      <w:r w:rsidR="001B3873" w:rsidRPr="001C651B">
        <w:rPr>
          <w:noProof/>
        </w:rPr>
        <w:t xml:space="preserve"> wzory</w:t>
      </w:r>
      <w:r w:rsidR="001C651B" w:rsidRPr="001C651B">
        <w:rPr>
          <w:noProof/>
        </w:rPr>
        <w:t xml:space="preserve"> i</w:t>
      </w:r>
      <w:r w:rsidR="001C651B">
        <w:rPr>
          <w:noProof/>
        </w:rPr>
        <w:t> </w:t>
      </w:r>
      <w:r w:rsidR="001C651B" w:rsidRPr="001C651B">
        <w:rPr>
          <w:noProof/>
        </w:rPr>
        <w:t>ins</w:t>
      </w:r>
      <w:r w:rsidR="001B3873" w:rsidRPr="001C651B">
        <w:rPr>
          <w:noProof/>
        </w:rPr>
        <w:t>trukcje sprawozdawcze, opracowane zgodnie</w:t>
      </w:r>
      <w:r w:rsidR="001C651B" w:rsidRPr="001C651B">
        <w:rPr>
          <w:noProof/>
        </w:rPr>
        <w:t xml:space="preserve"> z</w:t>
      </w:r>
      <w:r w:rsidR="001C651B">
        <w:rPr>
          <w:noProof/>
        </w:rPr>
        <w:t> </w:t>
      </w:r>
      <w:r w:rsidR="001C651B" w:rsidRPr="001C651B">
        <w:rPr>
          <w:noProof/>
        </w:rPr>
        <w:t>art</w:t>
      </w:r>
      <w:r w:rsidR="001B3873" w:rsidRPr="001C651B">
        <w:rPr>
          <w:noProof/>
        </w:rPr>
        <w:t>.</w:t>
      </w:r>
      <w:r w:rsidR="001C651B" w:rsidRPr="001C651B">
        <w:rPr>
          <w:noProof/>
        </w:rPr>
        <w:t> </w:t>
      </w:r>
      <w:r w:rsidR="001B3873" w:rsidRPr="001C651B">
        <w:rPr>
          <w:noProof/>
        </w:rPr>
        <w:t>430 ust.</w:t>
      </w:r>
      <w:r w:rsidR="001C651B" w:rsidRPr="001C651B">
        <w:rPr>
          <w:noProof/>
        </w:rPr>
        <w:t> </w:t>
      </w:r>
      <w:r w:rsidR="001B3873" w:rsidRPr="001C651B">
        <w:rPr>
          <w:noProof/>
        </w:rPr>
        <w:t>7 rozporządzenia (UE) nr</w:t>
      </w:r>
      <w:r w:rsidR="001C651B" w:rsidRPr="001C651B">
        <w:rPr>
          <w:noProof/>
        </w:rPr>
        <w:t> </w:t>
      </w:r>
      <w:r w:rsidR="001B3873" w:rsidRPr="001C651B">
        <w:rPr>
          <w:noProof/>
        </w:rPr>
        <w:t>575/2013, były zawsze zgodne</w:t>
      </w:r>
      <w:r w:rsidR="001C651B" w:rsidRPr="001C651B">
        <w:rPr>
          <w:noProof/>
        </w:rPr>
        <w:t xml:space="preserve"> z</w:t>
      </w:r>
      <w:r w:rsidR="001C651B">
        <w:rPr>
          <w:noProof/>
        </w:rPr>
        <w:t> </w:t>
      </w:r>
      <w:r w:rsidR="001C651B" w:rsidRPr="001C651B">
        <w:rPr>
          <w:noProof/>
        </w:rPr>
        <w:t>jed</w:t>
      </w:r>
      <w:r w:rsidR="001B3873" w:rsidRPr="001C651B">
        <w:rPr>
          <w:noProof/>
        </w:rPr>
        <w:t>nolitymi formatami sprawozdawczymi określonymi</w:t>
      </w:r>
      <w:r w:rsidR="001C651B" w:rsidRPr="001C651B">
        <w:rPr>
          <w:noProof/>
        </w:rPr>
        <w:t xml:space="preserve"> w</w:t>
      </w:r>
      <w:r w:rsidR="001C651B">
        <w:rPr>
          <w:noProof/>
        </w:rPr>
        <w:t> </w:t>
      </w:r>
      <w:r w:rsidR="001C651B" w:rsidRPr="001C651B">
        <w:rPr>
          <w:noProof/>
        </w:rPr>
        <w:t>nin</w:t>
      </w:r>
      <w:r w:rsidR="001B3873" w:rsidRPr="001C651B">
        <w:rPr>
          <w:noProof/>
        </w:rPr>
        <w:t>iejszym rozporządzeniu</w:t>
      </w:r>
      <w:r w:rsidR="001C651B" w:rsidRPr="001C651B">
        <w:rPr>
          <w:noProof/>
        </w:rPr>
        <w:t xml:space="preserve"> i</w:t>
      </w:r>
      <w:r w:rsidR="001C651B">
        <w:rPr>
          <w:noProof/>
        </w:rPr>
        <w:t> </w:t>
      </w:r>
      <w:r w:rsidR="001C651B" w:rsidRPr="001C651B">
        <w:rPr>
          <w:noProof/>
        </w:rPr>
        <w:t>obe</w:t>
      </w:r>
      <w:r w:rsidR="001B3873" w:rsidRPr="001C651B">
        <w:rPr>
          <w:noProof/>
        </w:rPr>
        <w:t>jmowały wszystkie punkty danych</w:t>
      </w:r>
      <w:r w:rsidR="001C651B" w:rsidRPr="001C651B">
        <w:rPr>
          <w:noProof/>
        </w:rPr>
        <w:t xml:space="preserve"> i</w:t>
      </w:r>
      <w:r w:rsidR="001C651B">
        <w:rPr>
          <w:noProof/>
        </w:rPr>
        <w:t> </w:t>
      </w:r>
      <w:r w:rsidR="001C651B" w:rsidRPr="001C651B">
        <w:rPr>
          <w:noProof/>
        </w:rPr>
        <w:t>inf</w:t>
      </w:r>
      <w:r w:rsidR="001B3873" w:rsidRPr="001C651B">
        <w:rPr>
          <w:noProof/>
        </w:rPr>
        <w:t>ormacje wymienione</w:t>
      </w:r>
      <w:r w:rsidR="001C651B" w:rsidRPr="001C651B">
        <w:rPr>
          <w:noProof/>
        </w:rPr>
        <w:t xml:space="preserve"> w</w:t>
      </w:r>
      <w:r w:rsidR="001C651B">
        <w:rPr>
          <w:noProof/>
        </w:rPr>
        <w:t> </w:t>
      </w:r>
      <w:r w:rsidR="001C651B" w:rsidRPr="001C651B">
        <w:rPr>
          <w:noProof/>
        </w:rPr>
        <w:t>zał</w:t>
      </w:r>
      <w:r w:rsidR="001B3873" w:rsidRPr="001C651B">
        <w:rPr>
          <w:noProof/>
        </w:rPr>
        <w:t xml:space="preserve">ączniku I do niniejszego rozporządzenia. </w:t>
      </w:r>
    </w:p>
    <w:p w:rsidR="002823A7" w:rsidRPr="001C651B" w:rsidRDefault="003040A6" w:rsidP="003040A6">
      <w:pPr>
        <w:pStyle w:val="ManualNumPar1"/>
        <w:rPr>
          <w:rFonts w:eastAsia="Times New Roman"/>
          <w:noProof/>
          <w:szCs w:val="24"/>
        </w:rPr>
      </w:pPr>
      <w:r w:rsidRPr="003040A6">
        <w:rPr>
          <w:noProof/>
        </w:rPr>
        <w:t>2.</w:t>
      </w:r>
      <w:r w:rsidRPr="003040A6">
        <w:rPr>
          <w:noProof/>
        </w:rPr>
        <w:tab/>
      </w:r>
      <w:r w:rsidR="002823A7" w:rsidRPr="001C651B">
        <w:rPr>
          <w:noProof/>
        </w:rPr>
        <w:t>EUNB udostępnia na swojej stronie internetowej rozwiązania informatyczne oraz wzory</w:t>
      </w:r>
      <w:r w:rsidR="001C651B" w:rsidRPr="001C651B">
        <w:rPr>
          <w:noProof/>
        </w:rPr>
        <w:t xml:space="preserve"> i</w:t>
      </w:r>
      <w:r w:rsidR="001C651B">
        <w:rPr>
          <w:noProof/>
        </w:rPr>
        <w:t> </w:t>
      </w:r>
      <w:r w:rsidR="001C651B" w:rsidRPr="001C651B">
        <w:rPr>
          <w:noProof/>
        </w:rPr>
        <w:t>ins</w:t>
      </w:r>
      <w:r w:rsidR="002823A7" w:rsidRPr="001C651B">
        <w:rPr>
          <w:noProof/>
        </w:rPr>
        <w:t>trukcje sprawozdawcze,</w:t>
      </w:r>
      <w:r w:rsidR="001C651B" w:rsidRPr="001C651B">
        <w:rPr>
          <w:noProof/>
        </w:rPr>
        <w:t xml:space="preserve"> o</w:t>
      </w:r>
      <w:r w:rsidR="001C651B">
        <w:rPr>
          <w:noProof/>
        </w:rPr>
        <w:t> </w:t>
      </w:r>
      <w:r w:rsidR="001C651B" w:rsidRPr="001C651B">
        <w:rPr>
          <w:noProof/>
        </w:rPr>
        <w:t>któ</w:t>
      </w:r>
      <w:r w:rsidR="002823A7" w:rsidRPr="001C651B">
        <w:rPr>
          <w:noProof/>
        </w:rPr>
        <w:t>rych mowa</w:t>
      </w:r>
      <w:r w:rsidR="001C651B" w:rsidRPr="001C651B">
        <w:rPr>
          <w:noProof/>
        </w:rPr>
        <w:t xml:space="preserve"> w</w:t>
      </w:r>
      <w:r w:rsidR="001C651B">
        <w:rPr>
          <w:noProof/>
        </w:rPr>
        <w:t> </w:t>
      </w:r>
      <w:r w:rsidR="001C651B" w:rsidRPr="001C651B">
        <w:rPr>
          <w:noProof/>
        </w:rPr>
        <w:t>ust</w:t>
      </w:r>
      <w:r w:rsidR="002823A7" w:rsidRPr="001C651B">
        <w:rPr>
          <w:noProof/>
        </w:rPr>
        <w:t>.</w:t>
      </w:r>
      <w:r w:rsidR="001C651B" w:rsidRPr="001C651B">
        <w:rPr>
          <w:noProof/>
        </w:rPr>
        <w:t> </w:t>
      </w:r>
      <w:r w:rsidR="002823A7" w:rsidRPr="001C651B">
        <w:rPr>
          <w:noProof/>
        </w:rPr>
        <w:t>1. EUNB aktualizuje te rozwiązania informatyczne</w:t>
      </w:r>
      <w:r w:rsidR="001C651B" w:rsidRPr="001C651B">
        <w:rPr>
          <w:noProof/>
        </w:rPr>
        <w:t xml:space="preserve"> i</w:t>
      </w:r>
      <w:r w:rsidR="001C651B">
        <w:rPr>
          <w:noProof/>
        </w:rPr>
        <w:t> </w:t>
      </w:r>
      <w:r w:rsidR="001C651B" w:rsidRPr="001C651B">
        <w:rPr>
          <w:noProof/>
        </w:rPr>
        <w:t>udo</w:t>
      </w:r>
      <w:r w:rsidR="002823A7" w:rsidRPr="001C651B">
        <w:rPr>
          <w:noProof/>
        </w:rPr>
        <w:t>stępnia je we wszystkich językach urzędowych.</w:t>
      </w:r>
    </w:p>
    <w:p w:rsidR="00716EA9" w:rsidRPr="001C651B" w:rsidRDefault="00716EA9" w:rsidP="00E537F5">
      <w:pPr>
        <w:pStyle w:val="Titrearticle"/>
        <w:rPr>
          <w:noProof/>
          <w:szCs w:val="24"/>
        </w:rPr>
      </w:pPr>
      <w:r w:rsidRPr="001C651B">
        <w:rPr>
          <w:noProof/>
        </w:rPr>
        <w:t>Artykuł 23</w:t>
      </w:r>
    </w:p>
    <w:p w:rsidR="00716EA9" w:rsidRPr="001C651B" w:rsidRDefault="00716EA9" w:rsidP="002A7D3F">
      <w:pPr>
        <w:pStyle w:val="Titrearticle"/>
        <w:spacing w:before="0"/>
        <w:rPr>
          <w:b/>
          <w:bCs/>
          <w:i w:val="0"/>
          <w:iCs/>
          <w:noProof/>
          <w:szCs w:val="24"/>
        </w:rPr>
      </w:pPr>
      <w:r w:rsidRPr="001C651B">
        <w:rPr>
          <w:b/>
          <w:i w:val="0"/>
          <w:noProof/>
        </w:rPr>
        <w:t>Formaty wymiany danych oraz informacje towarzyszące przekazywanym danym</w:t>
      </w:r>
    </w:p>
    <w:p w:rsidR="00716EA9" w:rsidRPr="001C651B" w:rsidRDefault="003040A6" w:rsidP="003040A6">
      <w:pPr>
        <w:pStyle w:val="ManualNumPar1"/>
        <w:rPr>
          <w:noProof/>
        </w:rPr>
      </w:pPr>
      <w:r w:rsidRPr="003040A6">
        <w:rPr>
          <w:noProof/>
        </w:rPr>
        <w:t>1.</w:t>
      </w:r>
      <w:r w:rsidRPr="003040A6">
        <w:rPr>
          <w:noProof/>
        </w:rPr>
        <w:tab/>
      </w:r>
      <w:r w:rsidR="00716EA9" w:rsidRPr="001C651B">
        <w:rPr>
          <w:noProof/>
        </w:rPr>
        <w:t>Instytucje przedstawiają informacje, które podlegają przekazaniu na podstawie niniejszego rozporządzenia,</w:t>
      </w:r>
      <w:r w:rsidR="001C651B" w:rsidRPr="001C651B">
        <w:rPr>
          <w:noProof/>
        </w:rPr>
        <w:t xml:space="preserve"> w</w:t>
      </w:r>
      <w:r w:rsidR="001C651B">
        <w:rPr>
          <w:noProof/>
        </w:rPr>
        <w:t> </w:t>
      </w:r>
      <w:r w:rsidR="001C651B" w:rsidRPr="001C651B">
        <w:rPr>
          <w:noProof/>
        </w:rPr>
        <w:t>for</w:t>
      </w:r>
      <w:r w:rsidR="00716EA9" w:rsidRPr="001C651B">
        <w:rPr>
          <w:noProof/>
        </w:rPr>
        <w:t>matach wymiany</w:t>
      </w:r>
      <w:r w:rsidR="001C651B" w:rsidRPr="001C651B">
        <w:rPr>
          <w:noProof/>
        </w:rPr>
        <w:t xml:space="preserve"> i</w:t>
      </w:r>
      <w:r w:rsidR="001C651B">
        <w:rPr>
          <w:noProof/>
        </w:rPr>
        <w:t> </w:t>
      </w:r>
      <w:r w:rsidR="001C651B" w:rsidRPr="001C651B">
        <w:rPr>
          <w:noProof/>
        </w:rPr>
        <w:t>prz</w:t>
      </w:r>
      <w:r w:rsidR="00716EA9" w:rsidRPr="001C651B">
        <w:rPr>
          <w:noProof/>
        </w:rPr>
        <w:t>edstawiania danych określonych przez właściwe organy, stosują się do definicji punktu danych podanej</w:t>
      </w:r>
      <w:r w:rsidR="001C651B" w:rsidRPr="001C651B">
        <w:rPr>
          <w:noProof/>
        </w:rPr>
        <w:t xml:space="preserve"> w</w:t>
      </w:r>
      <w:r w:rsidR="001C651B">
        <w:rPr>
          <w:noProof/>
        </w:rPr>
        <w:t> </w:t>
      </w:r>
      <w:r w:rsidR="001C651B" w:rsidRPr="001C651B">
        <w:rPr>
          <w:noProof/>
        </w:rPr>
        <w:t>mod</w:t>
      </w:r>
      <w:r w:rsidR="00716EA9" w:rsidRPr="001C651B">
        <w:rPr>
          <w:noProof/>
        </w:rPr>
        <w:t>elu punktów danych oraz formuł walidacji,</w:t>
      </w:r>
      <w:r w:rsidR="001C651B" w:rsidRPr="001C651B">
        <w:rPr>
          <w:noProof/>
        </w:rPr>
        <w:t xml:space="preserve"> o</w:t>
      </w:r>
      <w:r w:rsidR="001C651B">
        <w:rPr>
          <w:noProof/>
        </w:rPr>
        <w:t> </w:t>
      </w:r>
      <w:r w:rsidR="001C651B" w:rsidRPr="001C651B">
        <w:rPr>
          <w:noProof/>
        </w:rPr>
        <w:t>któ</w:t>
      </w:r>
      <w:r w:rsidR="00716EA9" w:rsidRPr="001C651B">
        <w:rPr>
          <w:noProof/>
        </w:rPr>
        <w:t>rych mowa</w:t>
      </w:r>
      <w:r w:rsidR="001C651B" w:rsidRPr="001C651B">
        <w:rPr>
          <w:noProof/>
        </w:rPr>
        <w:t xml:space="preserve"> w</w:t>
      </w:r>
      <w:r w:rsidR="001C651B">
        <w:rPr>
          <w:noProof/>
        </w:rPr>
        <w:t> </w:t>
      </w:r>
      <w:r w:rsidR="001C651B" w:rsidRPr="001C651B">
        <w:rPr>
          <w:noProof/>
        </w:rPr>
        <w:t>roz</w:t>
      </w:r>
      <w:r w:rsidR="00716EA9" w:rsidRPr="001C651B">
        <w:rPr>
          <w:noProof/>
        </w:rPr>
        <w:t>wiązaniach informatycznych udostępnionych na stronie internetowej EUNB,</w:t>
      </w:r>
      <w:r w:rsidR="001C651B" w:rsidRPr="001C651B">
        <w:rPr>
          <w:noProof/>
        </w:rPr>
        <w:t xml:space="preserve"> a</w:t>
      </w:r>
      <w:r w:rsidR="001C651B">
        <w:rPr>
          <w:noProof/>
        </w:rPr>
        <w:t> </w:t>
      </w:r>
      <w:r w:rsidR="001C651B" w:rsidRPr="001C651B">
        <w:rPr>
          <w:noProof/>
        </w:rPr>
        <w:t>tak</w:t>
      </w:r>
      <w:r w:rsidR="00716EA9" w:rsidRPr="001C651B">
        <w:rPr>
          <w:noProof/>
        </w:rPr>
        <w:t>że przestrzegają następujących specyfikacji:</w:t>
      </w:r>
    </w:p>
    <w:p w:rsidR="00716EA9" w:rsidRPr="001C651B" w:rsidRDefault="00D8126A" w:rsidP="00D8126A">
      <w:pPr>
        <w:pStyle w:val="Point1"/>
        <w:rPr>
          <w:noProof/>
        </w:rPr>
      </w:pPr>
      <w:r w:rsidRPr="001C651B">
        <w:rPr>
          <w:noProof/>
        </w:rPr>
        <w:t>a)</w:t>
      </w:r>
      <w:r w:rsidRPr="001C651B">
        <w:rPr>
          <w:noProof/>
        </w:rPr>
        <w:tab/>
      </w:r>
      <w:r w:rsidR="00712164" w:rsidRPr="001C651B">
        <w:rPr>
          <w:noProof/>
        </w:rPr>
        <w:t>nie uwzględniają</w:t>
      </w:r>
      <w:r w:rsidR="001C651B" w:rsidRPr="001C651B">
        <w:rPr>
          <w:noProof/>
        </w:rPr>
        <w:t xml:space="preserve"> w</w:t>
      </w:r>
      <w:r w:rsidR="001C651B">
        <w:rPr>
          <w:noProof/>
        </w:rPr>
        <w:t> </w:t>
      </w:r>
      <w:r w:rsidR="001C651B" w:rsidRPr="001C651B">
        <w:rPr>
          <w:noProof/>
        </w:rPr>
        <w:t>prz</w:t>
      </w:r>
      <w:r w:rsidR="00712164" w:rsidRPr="001C651B">
        <w:rPr>
          <w:noProof/>
        </w:rPr>
        <w:t>ekazywanych informacjach informacji, które nie są wymagane lub nie mają zastosowania;</w:t>
      </w:r>
    </w:p>
    <w:p w:rsidR="00716EA9" w:rsidRPr="001C651B" w:rsidRDefault="00D8126A" w:rsidP="00D8126A">
      <w:pPr>
        <w:pStyle w:val="Point1"/>
        <w:rPr>
          <w:noProof/>
        </w:rPr>
      </w:pPr>
      <w:r w:rsidRPr="001C651B">
        <w:rPr>
          <w:noProof/>
        </w:rPr>
        <w:t>b)</w:t>
      </w:r>
      <w:r w:rsidRPr="001C651B">
        <w:rPr>
          <w:noProof/>
        </w:rPr>
        <w:tab/>
      </w:r>
      <w:r w:rsidR="00712164" w:rsidRPr="001C651B">
        <w:rPr>
          <w:noProof/>
        </w:rPr>
        <w:t>instytucje przedstawiają wartości liczbowe</w:t>
      </w:r>
      <w:r w:rsidR="001C651B" w:rsidRPr="001C651B">
        <w:rPr>
          <w:noProof/>
        </w:rPr>
        <w:t xml:space="preserve"> w</w:t>
      </w:r>
      <w:r w:rsidR="001C651B">
        <w:rPr>
          <w:noProof/>
        </w:rPr>
        <w:t> </w:t>
      </w:r>
      <w:r w:rsidR="001C651B" w:rsidRPr="001C651B">
        <w:rPr>
          <w:noProof/>
        </w:rPr>
        <w:t>nas</w:t>
      </w:r>
      <w:r w:rsidR="00712164" w:rsidRPr="001C651B">
        <w:rPr>
          <w:noProof/>
        </w:rPr>
        <w:t>tępujący sposób:</w:t>
      </w:r>
    </w:p>
    <w:p w:rsidR="00716EA9" w:rsidRPr="001C651B" w:rsidRDefault="00716EA9" w:rsidP="00C856B2">
      <w:pPr>
        <w:pStyle w:val="Point2"/>
        <w:rPr>
          <w:noProof/>
        </w:rPr>
      </w:pPr>
      <w:r w:rsidRPr="001C651B">
        <w:rPr>
          <w:noProof/>
        </w:rPr>
        <w:t>(i)</w:t>
      </w:r>
      <w:r w:rsidRPr="001C651B">
        <w:rPr>
          <w:noProof/>
        </w:rPr>
        <w:tab/>
        <w:t>przedstawiają punkty danych, dla których rodzaj danych to „kwota pieniężna”,</w:t>
      </w:r>
      <w:r w:rsidR="001C651B" w:rsidRPr="001C651B">
        <w:rPr>
          <w:noProof/>
        </w:rPr>
        <w:t xml:space="preserve"> z</w:t>
      </w:r>
      <w:r w:rsidR="001C651B">
        <w:rPr>
          <w:noProof/>
        </w:rPr>
        <w:t> </w:t>
      </w:r>
      <w:r w:rsidR="001C651B" w:rsidRPr="001C651B">
        <w:rPr>
          <w:noProof/>
        </w:rPr>
        <w:t>min</w:t>
      </w:r>
      <w:r w:rsidRPr="001C651B">
        <w:rPr>
          <w:noProof/>
        </w:rPr>
        <w:t>imalną dokładnością do dziesięciu tysięcy jednostek;</w:t>
      </w:r>
    </w:p>
    <w:p w:rsidR="00716EA9" w:rsidRPr="001C651B" w:rsidRDefault="00716EA9" w:rsidP="00C856B2">
      <w:pPr>
        <w:pStyle w:val="Point2"/>
        <w:rPr>
          <w:noProof/>
        </w:rPr>
      </w:pPr>
      <w:r w:rsidRPr="001C651B">
        <w:rPr>
          <w:noProof/>
        </w:rPr>
        <w:t>(ii)</w:t>
      </w:r>
      <w:r w:rsidRPr="001C651B">
        <w:rPr>
          <w:noProof/>
        </w:rPr>
        <w:tab/>
        <w:t>wyrażają punkty danych, dla których rodzaj danych to „wartość procentowa”, zgodnie</w:t>
      </w:r>
      <w:r w:rsidR="001C651B" w:rsidRPr="001C651B">
        <w:rPr>
          <w:noProof/>
        </w:rPr>
        <w:t xml:space="preserve"> z</w:t>
      </w:r>
      <w:r w:rsidR="001C651B">
        <w:rPr>
          <w:noProof/>
        </w:rPr>
        <w:t> </w:t>
      </w:r>
      <w:r w:rsidR="001C651B" w:rsidRPr="001C651B">
        <w:rPr>
          <w:noProof/>
        </w:rPr>
        <w:t>jed</w:t>
      </w:r>
      <w:r w:rsidRPr="001C651B">
        <w:rPr>
          <w:noProof/>
        </w:rPr>
        <w:t>nostką,</w:t>
      </w:r>
      <w:r w:rsidR="001C651B" w:rsidRPr="001C651B">
        <w:rPr>
          <w:noProof/>
        </w:rPr>
        <w:t xml:space="preserve"> z</w:t>
      </w:r>
      <w:r w:rsidR="001C651B">
        <w:rPr>
          <w:noProof/>
        </w:rPr>
        <w:t> </w:t>
      </w:r>
      <w:r w:rsidR="001C651B" w:rsidRPr="001C651B">
        <w:rPr>
          <w:noProof/>
        </w:rPr>
        <w:t>min</w:t>
      </w:r>
      <w:r w:rsidRPr="001C651B">
        <w:rPr>
          <w:noProof/>
        </w:rPr>
        <w:t>imalną dokładnością do czterech miejsc po przecinku;</w:t>
      </w:r>
    </w:p>
    <w:p w:rsidR="00716EA9" w:rsidRPr="001C651B" w:rsidRDefault="00716EA9" w:rsidP="00C856B2">
      <w:pPr>
        <w:pStyle w:val="Point2"/>
        <w:rPr>
          <w:noProof/>
        </w:rPr>
      </w:pPr>
      <w:r w:rsidRPr="001C651B">
        <w:rPr>
          <w:noProof/>
        </w:rPr>
        <w:t>(iii)</w:t>
      </w:r>
      <w:r w:rsidRPr="001C651B">
        <w:rPr>
          <w:noProof/>
        </w:rPr>
        <w:tab/>
        <w:t>przedstawiają punkty danych, dla których rodzaj danych to „liczba całkowita”, bez miejsc po przecinku oraz</w:t>
      </w:r>
      <w:r w:rsidR="001C651B" w:rsidRPr="001C651B">
        <w:rPr>
          <w:noProof/>
        </w:rPr>
        <w:t xml:space="preserve"> z</w:t>
      </w:r>
      <w:r w:rsidR="001C651B">
        <w:rPr>
          <w:noProof/>
        </w:rPr>
        <w:t> </w:t>
      </w:r>
      <w:r w:rsidR="001C651B" w:rsidRPr="001C651B">
        <w:rPr>
          <w:noProof/>
        </w:rPr>
        <w:t>dok</w:t>
      </w:r>
      <w:r w:rsidRPr="001C651B">
        <w:rPr>
          <w:noProof/>
        </w:rPr>
        <w:t>ładnością odpowiadającą jednostkom;</w:t>
      </w:r>
    </w:p>
    <w:p w:rsidR="00716EA9" w:rsidRPr="001C651B" w:rsidRDefault="00D8126A" w:rsidP="00D8126A">
      <w:pPr>
        <w:pStyle w:val="Point1"/>
        <w:rPr>
          <w:noProof/>
        </w:rPr>
      </w:pPr>
      <w:r w:rsidRPr="001C651B">
        <w:rPr>
          <w:noProof/>
        </w:rPr>
        <w:t>c)</w:t>
      </w:r>
      <w:r w:rsidRPr="001C651B">
        <w:rPr>
          <w:noProof/>
        </w:rPr>
        <w:tab/>
      </w:r>
      <w:r w:rsidR="000F605E" w:rsidRPr="001C651B">
        <w:rPr>
          <w:noProof/>
        </w:rPr>
        <w:t>identyfikują instytucje</w:t>
      </w:r>
      <w:r w:rsidR="001C651B" w:rsidRPr="001C651B">
        <w:rPr>
          <w:noProof/>
        </w:rPr>
        <w:t xml:space="preserve"> i</w:t>
      </w:r>
      <w:r w:rsidR="001C651B">
        <w:rPr>
          <w:noProof/>
        </w:rPr>
        <w:t> </w:t>
      </w:r>
      <w:r w:rsidR="001C651B" w:rsidRPr="001C651B">
        <w:rPr>
          <w:noProof/>
        </w:rPr>
        <w:t>zak</w:t>
      </w:r>
      <w:r w:rsidR="000F605E" w:rsidRPr="001C651B">
        <w:rPr>
          <w:noProof/>
        </w:rPr>
        <w:t>łady ubezpieczeń wyłącznie na podstawie ich identyfikatora podmiotu prawnego (LEI);</w:t>
      </w:r>
    </w:p>
    <w:p w:rsidR="00716EA9" w:rsidRPr="001C651B" w:rsidRDefault="00D8126A" w:rsidP="00D8126A">
      <w:pPr>
        <w:pStyle w:val="Point1"/>
        <w:rPr>
          <w:noProof/>
        </w:rPr>
      </w:pPr>
      <w:r w:rsidRPr="001C651B">
        <w:rPr>
          <w:noProof/>
        </w:rPr>
        <w:t>d)</w:t>
      </w:r>
      <w:r w:rsidRPr="001C651B">
        <w:rPr>
          <w:noProof/>
        </w:rPr>
        <w:tab/>
      </w:r>
      <w:r w:rsidR="000F605E" w:rsidRPr="001C651B">
        <w:rPr>
          <w:noProof/>
        </w:rPr>
        <w:t>identyfikują osoby prawne</w:t>
      </w:r>
      <w:r w:rsidR="001C651B" w:rsidRPr="001C651B">
        <w:rPr>
          <w:noProof/>
        </w:rPr>
        <w:t xml:space="preserve"> i</w:t>
      </w:r>
      <w:r w:rsidR="001C651B">
        <w:rPr>
          <w:noProof/>
        </w:rPr>
        <w:t> </w:t>
      </w:r>
      <w:r w:rsidR="001C651B" w:rsidRPr="001C651B">
        <w:rPr>
          <w:noProof/>
        </w:rPr>
        <w:t>kon</w:t>
      </w:r>
      <w:r w:rsidR="000F605E" w:rsidRPr="001C651B">
        <w:rPr>
          <w:noProof/>
        </w:rPr>
        <w:t>trahentów innych niż instytucje</w:t>
      </w:r>
      <w:r w:rsidR="001C651B" w:rsidRPr="001C651B">
        <w:rPr>
          <w:noProof/>
        </w:rPr>
        <w:t xml:space="preserve"> i</w:t>
      </w:r>
      <w:r w:rsidR="001C651B">
        <w:rPr>
          <w:noProof/>
        </w:rPr>
        <w:t> </w:t>
      </w:r>
      <w:r w:rsidR="001C651B" w:rsidRPr="001C651B">
        <w:rPr>
          <w:noProof/>
        </w:rPr>
        <w:t>zak</w:t>
      </w:r>
      <w:r w:rsidR="000F605E" w:rsidRPr="001C651B">
        <w:rPr>
          <w:noProof/>
        </w:rPr>
        <w:t>łady ubezpieczeń na podstawie ich LEI, jeżeli im go nadano.</w:t>
      </w:r>
    </w:p>
    <w:p w:rsidR="00716EA9" w:rsidRPr="001C651B" w:rsidRDefault="003040A6" w:rsidP="003040A6">
      <w:pPr>
        <w:pStyle w:val="ManualNumPar1"/>
        <w:rPr>
          <w:noProof/>
        </w:rPr>
      </w:pPr>
      <w:r w:rsidRPr="003040A6">
        <w:rPr>
          <w:noProof/>
        </w:rPr>
        <w:t>2.</w:t>
      </w:r>
      <w:r w:rsidRPr="003040A6">
        <w:rPr>
          <w:noProof/>
        </w:rPr>
        <w:tab/>
      </w:r>
      <w:r w:rsidR="00716EA9" w:rsidRPr="001C651B">
        <w:rPr>
          <w:noProof/>
        </w:rPr>
        <w:t>Instytucje podają wraz</w:t>
      </w:r>
      <w:r w:rsidR="001C651B" w:rsidRPr="001C651B">
        <w:rPr>
          <w:noProof/>
        </w:rPr>
        <w:t xml:space="preserve"> z</w:t>
      </w:r>
      <w:r w:rsidR="001C651B">
        <w:rPr>
          <w:noProof/>
        </w:rPr>
        <w:t> </w:t>
      </w:r>
      <w:r w:rsidR="001C651B" w:rsidRPr="001C651B">
        <w:rPr>
          <w:noProof/>
        </w:rPr>
        <w:t>prz</w:t>
      </w:r>
      <w:r w:rsidR="00716EA9" w:rsidRPr="001C651B">
        <w:rPr>
          <w:noProof/>
        </w:rPr>
        <w:t>ekazywanymi informacjami następujące informacje:</w:t>
      </w:r>
    </w:p>
    <w:p w:rsidR="00716EA9" w:rsidRPr="001C651B" w:rsidRDefault="00D8126A" w:rsidP="00D8126A">
      <w:pPr>
        <w:pStyle w:val="Point1"/>
        <w:rPr>
          <w:noProof/>
        </w:rPr>
      </w:pPr>
      <w:r w:rsidRPr="001C651B">
        <w:rPr>
          <w:noProof/>
        </w:rPr>
        <w:t>a)</w:t>
      </w:r>
      <w:r w:rsidRPr="001C651B">
        <w:rPr>
          <w:noProof/>
        </w:rPr>
        <w:tab/>
      </w:r>
      <w:r w:rsidR="00712164" w:rsidRPr="001C651B">
        <w:rPr>
          <w:noProof/>
        </w:rPr>
        <w:t>sprawozdawczy dzień odniesienia oraz okres sprawozdawczy;</w:t>
      </w:r>
    </w:p>
    <w:p w:rsidR="00716EA9" w:rsidRPr="001C651B" w:rsidRDefault="00D8126A" w:rsidP="00D8126A">
      <w:pPr>
        <w:pStyle w:val="Point1"/>
        <w:rPr>
          <w:noProof/>
        </w:rPr>
      </w:pPr>
      <w:r w:rsidRPr="001C651B">
        <w:rPr>
          <w:noProof/>
        </w:rPr>
        <w:t>b)</w:t>
      </w:r>
      <w:r w:rsidRPr="001C651B">
        <w:rPr>
          <w:noProof/>
        </w:rPr>
        <w:tab/>
      </w:r>
      <w:r w:rsidR="00712164" w:rsidRPr="001C651B">
        <w:rPr>
          <w:noProof/>
        </w:rPr>
        <w:t>walutę sprawozdawczą;</w:t>
      </w:r>
    </w:p>
    <w:p w:rsidR="00716EA9" w:rsidRPr="001C651B" w:rsidRDefault="00D8126A" w:rsidP="00D8126A">
      <w:pPr>
        <w:pStyle w:val="Point1"/>
        <w:rPr>
          <w:noProof/>
        </w:rPr>
      </w:pPr>
      <w:r w:rsidRPr="001C651B">
        <w:rPr>
          <w:noProof/>
        </w:rPr>
        <w:t>c)</w:t>
      </w:r>
      <w:r w:rsidRPr="001C651B">
        <w:rPr>
          <w:noProof/>
        </w:rPr>
        <w:tab/>
      </w:r>
      <w:r w:rsidR="00712164" w:rsidRPr="001C651B">
        <w:rPr>
          <w:noProof/>
        </w:rPr>
        <w:t>standard rachunkowości;</w:t>
      </w:r>
    </w:p>
    <w:p w:rsidR="00716EA9" w:rsidRPr="001C651B" w:rsidRDefault="00D8126A" w:rsidP="00D8126A">
      <w:pPr>
        <w:pStyle w:val="Point1"/>
        <w:rPr>
          <w:noProof/>
        </w:rPr>
      </w:pPr>
      <w:r w:rsidRPr="001C651B">
        <w:rPr>
          <w:noProof/>
        </w:rPr>
        <w:t>d)</w:t>
      </w:r>
      <w:r w:rsidRPr="001C651B">
        <w:rPr>
          <w:noProof/>
        </w:rPr>
        <w:tab/>
      </w:r>
      <w:r w:rsidR="00712164" w:rsidRPr="001C651B">
        <w:rPr>
          <w:noProof/>
        </w:rPr>
        <w:t>identyfikator podmiotu prawnego (LEI) instytucji sprawozdającej;</w:t>
      </w:r>
    </w:p>
    <w:p w:rsidR="00716EA9" w:rsidRPr="001C651B" w:rsidRDefault="00D8126A" w:rsidP="00D8126A">
      <w:pPr>
        <w:pStyle w:val="Point1"/>
        <w:rPr>
          <w:noProof/>
        </w:rPr>
      </w:pPr>
      <w:r w:rsidRPr="001C651B">
        <w:rPr>
          <w:noProof/>
        </w:rPr>
        <w:t>e)</w:t>
      </w:r>
      <w:r w:rsidRPr="001C651B">
        <w:rPr>
          <w:noProof/>
        </w:rPr>
        <w:tab/>
      </w:r>
      <w:r w:rsidR="00712164" w:rsidRPr="001C651B">
        <w:rPr>
          <w:noProof/>
        </w:rPr>
        <w:t>zakres konsolidacji.</w:t>
      </w:r>
    </w:p>
    <w:p w:rsidR="00716EA9" w:rsidRPr="001C651B" w:rsidRDefault="00716EA9" w:rsidP="00E537F5">
      <w:pPr>
        <w:pStyle w:val="Titrearticle"/>
        <w:rPr>
          <w:noProof/>
          <w:szCs w:val="24"/>
        </w:rPr>
      </w:pPr>
      <w:r w:rsidRPr="001C651B">
        <w:rPr>
          <w:noProof/>
        </w:rPr>
        <w:t>Artykuł 24</w:t>
      </w:r>
    </w:p>
    <w:p w:rsidR="00716EA9" w:rsidRPr="001C651B" w:rsidRDefault="00716EA9" w:rsidP="002A7D3F">
      <w:pPr>
        <w:pStyle w:val="Titrearticle"/>
        <w:spacing w:before="0"/>
        <w:rPr>
          <w:b/>
          <w:bCs/>
          <w:i w:val="0"/>
          <w:iCs/>
          <w:noProof/>
          <w:szCs w:val="24"/>
        </w:rPr>
      </w:pPr>
      <w:r w:rsidRPr="001C651B">
        <w:rPr>
          <w:b/>
          <w:i w:val="0"/>
          <w:noProof/>
        </w:rPr>
        <w:t>Przepisy przejściowe</w:t>
      </w:r>
    </w:p>
    <w:p w:rsidR="00716EA9" w:rsidRPr="001C651B" w:rsidRDefault="003040A6" w:rsidP="003040A6">
      <w:pPr>
        <w:pStyle w:val="ManualNumPar1"/>
        <w:rPr>
          <w:noProof/>
        </w:rPr>
      </w:pPr>
      <w:r w:rsidRPr="003040A6">
        <w:rPr>
          <w:noProof/>
        </w:rPr>
        <w:t>1.</w:t>
      </w:r>
      <w:r w:rsidRPr="003040A6">
        <w:rPr>
          <w:noProof/>
        </w:rPr>
        <w:tab/>
      </w:r>
      <w:r w:rsidR="00716EA9" w:rsidRPr="001C651B">
        <w:rPr>
          <w:noProof/>
        </w:rPr>
        <w:t>Dniem przekazania formularzy dla informacji przekazywanych</w:t>
      </w:r>
      <w:r w:rsidR="001C651B" w:rsidRPr="001C651B">
        <w:rPr>
          <w:noProof/>
        </w:rPr>
        <w:t xml:space="preserve"> z</w:t>
      </w:r>
      <w:r w:rsidR="001C651B">
        <w:rPr>
          <w:noProof/>
        </w:rPr>
        <w:t> </w:t>
      </w:r>
      <w:r w:rsidR="001C651B" w:rsidRPr="001C651B">
        <w:rPr>
          <w:noProof/>
        </w:rPr>
        <w:t>czę</w:t>
      </w:r>
      <w:r w:rsidR="00716EA9" w:rsidRPr="001C651B">
        <w:rPr>
          <w:noProof/>
        </w:rPr>
        <w:t>stotliwością kwartalną powiązanych ze sprawozdawczym dniem odniesienia wyznaczonym na dzień 31 marca 2025</w:t>
      </w:r>
      <w:r w:rsidR="001C651B" w:rsidRPr="001C651B">
        <w:rPr>
          <w:noProof/>
        </w:rPr>
        <w:t> </w:t>
      </w:r>
      <w:r w:rsidR="00716EA9" w:rsidRPr="001C651B">
        <w:rPr>
          <w:noProof/>
        </w:rPr>
        <w:t>r. dla informacji podlegających przekazywaniu zgodnie</w:t>
      </w:r>
      <w:r w:rsidR="001C651B" w:rsidRPr="001C651B">
        <w:rPr>
          <w:noProof/>
        </w:rPr>
        <w:t xml:space="preserve"> z</w:t>
      </w:r>
      <w:r w:rsidR="001C651B">
        <w:rPr>
          <w:noProof/>
        </w:rPr>
        <w:t> </w:t>
      </w:r>
      <w:r w:rsidR="001C651B" w:rsidRPr="001C651B">
        <w:rPr>
          <w:noProof/>
        </w:rPr>
        <w:t>art</w:t>
      </w:r>
      <w:r w:rsidR="00716EA9" w:rsidRPr="001C651B">
        <w:rPr>
          <w:noProof/>
        </w:rPr>
        <w:t>.</w:t>
      </w:r>
      <w:r w:rsidR="001C651B" w:rsidRPr="001C651B">
        <w:rPr>
          <w:noProof/>
        </w:rPr>
        <w:t> </w:t>
      </w:r>
      <w:r w:rsidR="00716EA9" w:rsidRPr="001C651B">
        <w:rPr>
          <w:noProof/>
        </w:rPr>
        <w:t>5, 7–10</w:t>
      </w:r>
      <w:r w:rsidR="001C651B" w:rsidRPr="001C651B">
        <w:rPr>
          <w:noProof/>
        </w:rPr>
        <w:t xml:space="preserve"> i</w:t>
      </w:r>
      <w:r w:rsidR="001C651B">
        <w:rPr>
          <w:noProof/>
        </w:rPr>
        <w:t> </w:t>
      </w:r>
      <w:r w:rsidR="001C651B" w:rsidRPr="001C651B">
        <w:rPr>
          <w:noProof/>
        </w:rPr>
        <w:t>1</w:t>
      </w:r>
      <w:r w:rsidR="00716EA9" w:rsidRPr="001C651B">
        <w:rPr>
          <w:noProof/>
        </w:rPr>
        <w:t>5 niniejszego rozporządzenia jest najpóźniej dzień 30 czerwca 2025</w:t>
      </w:r>
      <w:r w:rsidR="001C651B" w:rsidRPr="001C651B">
        <w:rPr>
          <w:noProof/>
        </w:rPr>
        <w:t> </w:t>
      </w:r>
      <w:r w:rsidR="00716EA9" w:rsidRPr="001C651B">
        <w:rPr>
          <w:noProof/>
        </w:rPr>
        <w:t>r.</w:t>
      </w:r>
    </w:p>
    <w:p w:rsidR="00716EA9" w:rsidRPr="001C651B" w:rsidRDefault="003040A6" w:rsidP="003040A6">
      <w:pPr>
        <w:pStyle w:val="ManualNumPar1"/>
        <w:rPr>
          <w:noProof/>
        </w:rPr>
      </w:pPr>
      <w:r w:rsidRPr="003040A6">
        <w:rPr>
          <w:noProof/>
        </w:rPr>
        <w:t>2.</w:t>
      </w:r>
      <w:r w:rsidRPr="003040A6">
        <w:rPr>
          <w:noProof/>
        </w:rPr>
        <w:tab/>
      </w:r>
      <w:r w:rsidR="00AE3B0A" w:rsidRPr="001C651B">
        <w:rPr>
          <w:noProof/>
          <w:color w:val="000000"/>
        </w:rPr>
        <w:t>Pierwszym sprawozdawczym dniem odniesienia dla informacji, które należy przedstawić na temat struktury portfela handlowego</w:t>
      </w:r>
      <w:r w:rsidR="001C651B" w:rsidRPr="001C651B">
        <w:rPr>
          <w:noProof/>
        </w:rPr>
        <w:t xml:space="preserve"> i</w:t>
      </w:r>
      <w:r w:rsidR="001C651B">
        <w:rPr>
          <w:noProof/>
        </w:rPr>
        <w:t> </w:t>
      </w:r>
      <w:r w:rsidR="001C651B" w:rsidRPr="001C651B">
        <w:rPr>
          <w:noProof/>
        </w:rPr>
        <w:t>prz</w:t>
      </w:r>
      <w:r w:rsidR="00AE3B0A" w:rsidRPr="001C651B">
        <w:rPr>
          <w:noProof/>
        </w:rPr>
        <w:t>eklasyfikowań pomiędzy portfelami zgodnie</w:t>
      </w:r>
      <w:r w:rsidR="001C651B" w:rsidRPr="001C651B">
        <w:rPr>
          <w:noProof/>
        </w:rPr>
        <w:t xml:space="preserve"> z</w:t>
      </w:r>
      <w:r w:rsidR="001C651B">
        <w:rPr>
          <w:noProof/>
        </w:rPr>
        <w:t> </w:t>
      </w:r>
      <w:r w:rsidR="001C651B" w:rsidRPr="001C651B">
        <w:rPr>
          <w:noProof/>
        </w:rPr>
        <w:t>art</w:t>
      </w:r>
      <w:r w:rsidR="00AE3B0A" w:rsidRPr="001C651B">
        <w:rPr>
          <w:noProof/>
        </w:rPr>
        <w:t>.</w:t>
      </w:r>
      <w:r w:rsidR="001C651B" w:rsidRPr="001C651B">
        <w:rPr>
          <w:noProof/>
        </w:rPr>
        <w:t> </w:t>
      </w:r>
      <w:r w:rsidR="00AE3B0A" w:rsidRPr="001C651B">
        <w:rPr>
          <w:noProof/>
        </w:rPr>
        <w:t>5 niniejszego rozporządzenia, jest ostatni dzień roboczy kwartału,</w:t>
      </w:r>
      <w:r w:rsidR="001C651B" w:rsidRPr="001C651B">
        <w:rPr>
          <w:noProof/>
        </w:rPr>
        <w:t xml:space="preserve"> w</w:t>
      </w:r>
      <w:r w:rsidR="001C651B">
        <w:rPr>
          <w:noProof/>
        </w:rPr>
        <w:t> </w:t>
      </w:r>
      <w:r w:rsidR="001C651B" w:rsidRPr="001C651B">
        <w:rPr>
          <w:noProof/>
        </w:rPr>
        <w:t>któ</w:t>
      </w:r>
      <w:r w:rsidR="00AE3B0A" w:rsidRPr="001C651B">
        <w:rPr>
          <w:noProof/>
        </w:rPr>
        <w:t>rym alternatywne metody określone</w:t>
      </w:r>
      <w:r w:rsidR="001C651B" w:rsidRPr="001C651B">
        <w:rPr>
          <w:noProof/>
        </w:rPr>
        <w:t xml:space="preserve"> w</w:t>
      </w:r>
      <w:r w:rsidR="001C651B">
        <w:rPr>
          <w:noProof/>
        </w:rPr>
        <w:t> </w:t>
      </w:r>
      <w:r w:rsidR="001C651B" w:rsidRPr="001C651B">
        <w:rPr>
          <w:noProof/>
        </w:rPr>
        <w:t>czę</w:t>
      </w:r>
      <w:r w:rsidR="00AE3B0A" w:rsidRPr="001C651B">
        <w:rPr>
          <w:noProof/>
        </w:rPr>
        <w:t>ści trzeciej tytuł IV rozdziały 1a</w:t>
      </w:r>
      <w:r w:rsidR="001C651B" w:rsidRPr="001C651B">
        <w:rPr>
          <w:noProof/>
        </w:rPr>
        <w:t xml:space="preserve"> i</w:t>
      </w:r>
      <w:r w:rsidR="001C651B">
        <w:rPr>
          <w:noProof/>
        </w:rPr>
        <w:t> </w:t>
      </w:r>
      <w:r w:rsidR="001C651B" w:rsidRPr="001C651B">
        <w:rPr>
          <w:noProof/>
        </w:rPr>
        <w:t>1</w:t>
      </w:r>
      <w:r w:rsidR="00AE3B0A" w:rsidRPr="001C651B">
        <w:rPr>
          <w:noProof/>
        </w:rPr>
        <w:t>b rozporządzenia (UE) nr</w:t>
      </w:r>
      <w:r w:rsidR="001C651B" w:rsidRPr="001C651B">
        <w:rPr>
          <w:noProof/>
        </w:rPr>
        <w:t> </w:t>
      </w:r>
      <w:r w:rsidR="00AE3B0A" w:rsidRPr="001C651B">
        <w:rPr>
          <w:noProof/>
        </w:rPr>
        <w:t>575/2013 zaczynają mieć zastosowanie do obliczania wymogów</w:t>
      </w:r>
      <w:r w:rsidR="001C651B" w:rsidRPr="001C651B">
        <w:rPr>
          <w:noProof/>
        </w:rPr>
        <w:t xml:space="preserve"> w</w:t>
      </w:r>
      <w:r w:rsidR="001C651B">
        <w:rPr>
          <w:noProof/>
        </w:rPr>
        <w:t> </w:t>
      </w:r>
      <w:r w:rsidR="001C651B" w:rsidRPr="001C651B">
        <w:rPr>
          <w:noProof/>
        </w:rPr>
        <w:t>zak</w:t>
      </w:r>
      <w:r w:rsidR="00AE3B0A" w:rsidRPr="001C651B">
        <w:rPr>
          <w:noProof/>
        </w:rPr>
        <w:t>resie funduszy własnych,</w:t>
      </w:r>
      <w:r w:rsidR="001C651B" w:rsidRPr="001C651B">
        <w:rPr>
          <w:noProof/>
        </w:rPr>
        <w:t xml:space="preserve"> o</w:t>
      </w:r>
      <w:r w:rsidR="001C651B">
        <w:rPr>
          <w:noProof/>
        </w:rPr>
        <w:t> </w:t>
      </w:r>
      <w:r w:rsidR="001C651B" w:rsidRPr="001C651B">
        <w:rPr>
          <w:noProof/>
        </w:rPr>
        <w:t>któ</w:t>
      </w:r>
      <w:r w:rsidR="00AE3B0A" w:rsidRPr="001C651B">
        <w:rPr>
          <w:noProof/>
        </w:rPr>
        <w:t>rych mowa</w:t>
      </w:r>
      <w:r w:rsidR="001C651B" w:rsidRPr="001C651B">
        <w:rPr>
          <w:noProof/>
        </w:rPr>
        <w:t xml:space="preserve"> w</w:t>
      </w:r>
      <w:r w:rsidR="001C651B">
        <w:rPr>
          <w:noProof/>
        </w:rPr>
        <w:t> </w:t>
      </w:r>
      <w:r w:rsidR="001C651B" w:rsidRPr="001C651B">
        <w:rPr>
          <w:noProof/>
        </w:rPr>
        <w:t>art</w:t>
      </w:r>
      <w:r w:rsidR="00AE3B0A" w:rsidRPr="001C651B">
        <w:rPr>
          <w:noProof/>
        </w:rPr>
        <w:t>.</w:t>
      </w:r>
      <w:r w:rsidR="001C651B" w:rsidRPr="001C651B">
        <w:rPr>
          <w:noProof/>
        </w:rPr>
        <w:t> </w:t>
      </w:r>
      <w:r w:rsidR="00AE3B0A" w:rsidRPr="001C651B">
        <w:rPr>
          <w:noProof/>
        </w:rPr>
        <w:t>92 ust.</w:t>
      </w:r>
      <w:r w:rsidR="001C651B" w:rsidRPr="001C651B">
        <w:rPr>
          <w:noProof/>
        </w:rPr>
        <w:t> </w:t>
      </w:r>
      <w:r w:rsidR="00AE3B0A" w:rsidRPr="001C651B">
        <w:rPr>
          <w:noProof/>
        </w:rPr>
        <w:t>4 lit.</w:t>
      </w:r>
      <w:r w:rsidR="001C651B" w:rsidRPr="001C651B">
        <w:rPr>
          <w:noProof/>
        </w:rPr>
        <w:t> </w:t>
      </w:r>
      <w:r w:rsidR="00AE3B0A" w:rsidRPr="001C651B">
        <w:rPr>
          <w:noProof/>
        </w:rPr>
        <w:t>b) pkt (i)</w:t>
      </w:r>
      <w:r w:rsidR="001C651B" w:rsidRPr="001C651B">
        <w:rPr>
          <w:noProof/>
        </w:rPr>
        <w:t xml:space="preserve"> i</w:t>
      </w:r>
      <w:r w:rsidR="001C651B">
        <w:rPr>
          <w:noProof/>
        </w:rPr>
        <w:t> </w:t>
      </w:r>
      <w:r w:rsidR="001C651B" w:rsidRPr="001C651B">
        <w:rPr>
          <w:noProof/>
        </w:rPr>
        <w:t>lit</w:t>
      </w:r>
      <w:r w:rsidR="00AE3B0A" w:rsidRPr="001C651B">
        <w:rPr>
          <w:noProof/>
        </w:rPr>
        <w:t>.</w:t>
      </w:r>
      <w:r w:rsidR="001C651B" w:rsidRPr="001C651B">
        <w:rPr>
          <w:noProof/>
        </w:rPr>
        <w:t> </w:t>
      </w:r>
      <w:r w:rsidR="00AE3B0A" w:rsidRPr="001C651B">
        <w:rPr>
          <w:noProof/>
        </w:rPr>
        <w:t>c) oraz art.</w:t>
      </w:r>
      <w:r w:rsidR="001C651B" w:rsidRPr="001C651B">
        <w:rPr>
          <w:noProof/>
        </w:rPr>
        <w:t> </w:t>
      </w:r>
      <w:r w:rsidR="00AE3B0A" w:rsidRPr="001C651B">
        <w:rPr>
          <w:noProof/>
        </w:rPr>
        <w:t>92 ust.</w:t>
      </w:r>
      <w:r w:rsidR="001C651B" w:rsidRPr="001C651B">
        <w:rPr>
          <w:noProof/>
        </w:rPr>
        <w:t> </w:t>
      </w:r>
      <w:r w:rsidR="00AE3B0A" w:rsidRPr="001C651B">
        <w:rPr>
          <w:noProof/>
        </w:rPr>
        <w:t>5 lit.</w:t>
      </w:r>
      <w:r w:rsidR="001C651B" w:rsidRPr="001C651B">
        <w:rPr>
          <w:noProof/>
        </w:rPr>
        <w:t> </w:t>
      </w:r>
      <w:r w:rsidR="00AE3B0A" w:rsidRPr="001C651B">
        <w:rPr>
          <w:noProof/>
        </w:rPr>
        <w:t>b) i c) tego rozporządzenia.</w:t>
      </w:r>
    </w:p>
    <w:p w:rsidR="00716EA9" w:rsidRPr="001C651B" w:rsidRDefault="00716EA9" w:rsidP="00745A2E">
      <w:pPr>
        <w:pStyle w:val="Titrearticle"/>
        <w:spacing w:before="120" w:after="0"/>
        <w:rPr>
          <w:noProof/>
          <w:szCs w:val="24"/>
        </w:rPr>
      </w:pPr>
      <w:r w:rsidRPr="001C651B">
        <w:rPr>
          <w:noProof/>
        </w:rPr>
        <w:t>Artykuł 25</w:t>
      </w:r>
    </w:p>
    <w:p w:rsidR="00096030" w:rsidRPr="001C651B" w:rsidRDefault="004B3787" w:rsidP="00C856B2">
      <w:pPr>
        <w:pStyle w:val="Text1"/>
        <w:jc w:val="center"/>
        <w:rPr>
          <w:noProof/>
        </w:rPr>
      </w:pPr>
      <w:r w:rsidRPr="001C651B">
        <w:rPr>
          <w:b/>
          <w:noProof/>
        </w:rPr>
        <w:t>Uchylenie rozporządzenia wykonawczego (UE) 2021/451</w:t>
      </w:r>
    </w:p>
    <w:p w:rsidR="00FB327E" w:rsidRPr="001C651B" w:rsidRDefault="003040A6" w:rsidP="003040A6">
      <w:pPr>
        <w:pStyle w:val="ManualNumPar1"/>
        <w:rPr>
          <w:noProof/>
        </w:rPr>
      </w:pPr>
      <w:r w:rsidRPr="003040A6">
        <w:rPr>
          <w:noProof/>
        </w:rPr>
        <w:t>1.</w:t>
      </w:r>
      <w:r w:rsidRPr="003040A6">
        <w:rPr>
          <w:noProof/>
        </w:rPr>
        <w:tab/>
      </w:r>
      <w:r w:rsidR="00FB327E" w:rsidRPr="001C651B">
        <w:rPr>
          <w:noProof/>
        </w:rPr>
        <w:t>Rozporządzenie wykonawcze (UE) 2021/451 przestaje mieć zastosowanie od dnia 1 stycznia 2025</w:t>
      </w:r>
      <w:r w:rsidR="001C651B" w:rsidRPr="001C651B">
        <w:rPr>
          <w:noProof/>
        </w:rPr>
        <w:t> </w:t>
      </w:r>
      <w:r w:rsidR="00FB327E" w:rsidRPr="001C651B">
        <w:rPr>
          <w:noProof/>
        </w:rPr>
        <w:t>r.,</w:t>
      </w:r>
      <w:r w:rsidR="001C651B" w:rsidRPr="001C651B">
        <w:rPr>
          <w:noProof/>
        </w:rPr>
        <w:t xml:space="preserve"> z</w:t>
      </w:r>
      <w:r w:rsidR="001C651B">
        <w:rPr>
          <w:noProof/>
        </w:rPr>
        <w:t> </w:t>
      </w:r>
      <w:r w:rsidR="001C651B" w:rsidRPr="001C651B">
        <w:rPr>
          <w:noProof/>
        </w:rPr>
        <w:t>wyj</w:t>
      </w:r>
      <w:r w:rsidR="00FB327E" w:rsidRPr="001C651B">
        <w:rPr>
          <w:noProof/>
        </w:rPr>
        <w:t>ątkiem art.</w:t>
      </w:r>
      <w:r w:rsidR="001C651B" w:rsidRPr="001C651B">
        <w:rPr>
          <w:noProof/>
        </w:rPr>
        <w:t> </w:t>
      </w:r>
      <w:r w:rsidR="00FB327E" w:rsidRPr="001C651B">
        <w:rPr>
          <w:noProof/>
        </w:rPr>
        <w:t>5 ust.</w:t>
      </w:r>
      <w:r w:rsidR="001C651B" w:rsidRPr="001C651B">
        <w:rPr>
          <w:noProof/>
        </w:rPr>
        <w:t> </w:t>
      </w:r>
      <w:r w:rsidR="00FB327E" w:rsidRPr="001C651B">
        <w:rPr>
          <w:noProof/>
        </w:rPr>
        <w:t>12</w:t>
      </w:r>
      <w:r w:rsidR="001C651B" w:rsidRPr="001C651B">
        <w:rPr>
          <w:noProof/>
        </w:rPr>
        <w:t xml:space="preserve"> i</w:t>
      </w:r>
      <w:r w:rsidR="001C651B">
        <w:rPr>
          <w:noProof/>
        </w:rPr>
        <w:t> </w:t>
      </w:r>
      <w:r w:rsidR="001C651B" w:rsidRPr="001C651B">
        <w:rPr>
          <w:noProof/>
        </w:rPr>
        <w:t>zał</w:t>
      </w:r>
      <w:r w:rsidR="00FB327E" w:rsidRPr="001C651B">
        <w:rPr>
          <w:noProof/>
        </w:rPr>
        <w:t>ącznika I wzory 18–24 oraz załącznika II część II pkt</w:t>
      </w:r>
      <w:r w:rsidR="001C651B" w:rsidRPr="001C651B">
        <w:rPr>
          <w:noProof/>
        </w:rPr>
        <w:t> </w:t>
      </w:r>
      <w:r w:rsidR="00FB327E" w:rsidRPr="001C651B">
        <w:rPr>
          <w:noProof/>
        </w:rPr>
        <w:t>5.1–5.7. Art. 15 rozporządzenia wykonawczego (UE) 2021/451 stosuje się nadal do dnia 31 grudnia 2025</w:t>
      </w:r>
      <w:r w:rsidR="001C651B" w:rsidRPr="001C651B">
        <w:rPr>
          <w:noProof/>
        </w:rPr>
        <w:t> </w:t>
      </w:r>
      <w:r w:rsidR="00FB327E" w:rsidRPr="001C651B">
        <w:rPr>
          <w:noProof/>
        </w:rPr>
        <w:t>r. wyłącznie do celów art.</w:t>
      </w:r>
      <w:r w:rsidR="001C651B" w:rsidRPr="001C651B">
        <w:rPr>
          <w:noProof/>
        </w:rPr>
        <w:t> </w:t>
      </w:r>
      <w:r w:rsidR="00FB327E" w:rsidRPr="001C651B">
        <w:rPr>
          <w:noProof/>
        </w:rPr>
        <w:t>5 ust.</w:t>
      </w:r>
      <w:r w:rsidR="001C651B" w:rsidRPr="001C651B">
        <w:rPr>
          <w:noProof/>
        </w:rPr>
        <w:t> </w:t>
      </w:r>
      <w:r w:rsidR="00FB327E" w:rsidRPr="001C651B">
        <w:rPr>
          <w:noProof/>
        </w:rPr>
        <w:t xml:space="preserve">4 niniejszego rozporządzenia. </w:t>
      </w:r>
    </w:p>
    <w:p w:rsidR="00FB327E" w:rsidRPr="001C651B" w:rsidRDefault="003040A6" w:rsidP="003040A6">
      <w:pPr>
        <w:pStyle w:val="ManualNumPar1"/>
        <w:rPr>
          <w:noProof/>
        </w:rPr>
      </w:pPr>
      <w:r w:rsidRPr="003040A6">
        <w:rPr>
          <w:noProof/>
        </w:rPr>
        <w:t>2.</w:t>
      </w:r>
      <w:r w:rsidRPr="003040A6">
        <w:rPr>
          <w:noProof/>
        </w:rPr>
        <w:tab/>
      </w:r>
      <w:r w:rsidR="00FB327E" w:rsidRPr="001C651B">
        <w:rPr>
          <w:noProof/>
        </w:rPr>
        <w:t>Rozporządzenie wykonawcze (UE) 2021/451 traci moc ze skutkiem od dnia 31 grudnia 2025</w:t>
      </w:r>
      <w:r w:rsidR="001C651B" w:rsidRPr="001C651B">
        <w:rPr>
          <w:noProof/>
        </w:rPr>
        <w:t> </w:t>
      </w:r>
      <w:r w:rsidR="00FB327E" w:rsidRPr="001C651B">
        <w:rPr>
          <w:noProof/>
        </w:rPr>
        <w:t xml:space="preserve">r. </w:t>
      </w:r>
    </w:p>
    <w:p w:rsidR="00FB327E" w:rsidRPr="001C651B" w:rsidRDefault="003040A6" w:rsidP="003040A6">
      <w:pPr>
        <w:pStyle w:val="ManualNumPar1"/>
        <w:rPr>
          <w:noProof/>
        </w:rPr>
      </w:pPr>
      <w:r w:rsidRPr="003040A6">
        <w:rPr>
          <w:noProof/>
        </w:rPr>
        <w:t>3.</w:t>
      </w:r>
      <w:r w:rsidRPr="003040A6">
        <w:rPr>
          <w:noProof/>
        </w:rPr>
        <w:tab/>
      </w:r>
      <w:r w:rsidR="00FB327E" w:rsidRPr="001C651B">
        <w:rPr>
          <w:noProof/>
        </w:rPr>
        <w:t>Odesłania do uchylonego rozporządzenia traktuje się jako odesłania do niniejszego rozporządzenia zgodnie</w:t>
      </w:r>
      <w:r w:rsidR="001C651B" w:rsidRPr="001C651B">
        <w:rPr>
          <w:noProof/>
        </w:rPr>
        <w:t xml:space="preserve"> z</w:t>
      </w:r>
      <w:r w:rsidR="001C651B">
        <w:rPr>
          <w:noProof/>
        </w:rPr>
        <w:t> </w:t>
      </w:r>
      <w:r w:rsidR="001C651B" w:rsidRPr="001C651B">
        <w:rPr>
          <w:noProof/>
        </w:rPr>
        <w:t>tab</w:t>
      </w:r>
      <w:r w:rsidR="00FB327E" w:rsidRPr="001C651B">
        <w:rPr>
          <w:noProof/>
        </w:rPr>
        <w:t>elą korelacji znajdującą się</w:t>
      </w:r>
      <w:r w:rsidR="001C651B" w:rsidRPr="001C651B">
        <w:rPr>
          <w:noProof/>
        </w:rPr>
        <w:t xml:space="preserve"> w</w:t>
      </w:r>
      <w:r w:rsidR="001C651B">
        <w:rPr>
          <w:noProof/>
        </w:rPr>
        <w:t> </w:t>
      </w:r>
      <w:r w:rsidR="001C651B" w:rsidRPr="001C651B">
        <w:rPr>
          <w:noProof/>
        </w:rPr>
        <w:t>zał</w:t>
      </w:r>
      <w:r w:rsidR="00FB327E" w:rsidRPr="001C651B">
        <w:rPr>
          <w:noProof/>
        </w:rPr>
        <w:t>ączniku II.</w:t>
      </w:r>
    </w:p>
    <w:p w:rsidR="00E537F5" w:rsidRPr="001C651B" w:rsidRDefault="00E537F5" w:rsidP="00E537F5">
      <w:pPr>
        <w:pStyle w:val="Titrearticle"/>
        <w:rPr>
          <w:noProof/>
          <w:szCs w:val="24"/>
        </w:rPr>
      </w:pPr>
      <w:r w:rsidRPr="001C651B">
        <w:rPr>
          <w:noProof/>
        </w:rPr>
        <w:t>Artykuł 26</w:t>
      </w:r>
    </w:p>
    <w:p w:rsidR="00E537F5" w:rsidRPr="001C651B" w:rsidRDefault="00E537F5" w:rsidP="0056622A">
      <w:pPr>
        <w:pStyle w:val="Titrearticle"/>
        <w:spacing w:before="0"/>
        <w:rPr>
          <w:b/>
          <w:bCs/>
          <w:i w:val="0"/>
          <w:iCs/>
          <w:noProof/>
          <w:szCs w:val="24"/>
        </w:rPr>
      </w:pPr>
      <w:r w:rsidRPr="001C651B">
        <w:rPr>
          <w:b/>
          <w:i w:val="0"/>
          <w:noProof/>
        </w:rPr>
        <w:t>Wejście</w:t>
      </w:r>
      <w:r w:rsidR="001C651B" w:rsidRPr="001C651B">
        <w:rPr>
          <w:b/>
          <w:i w:val="0"/>
          <w:noProof/>
        </w:rPr>
        <w:t xml:space="preserve"> w</w:t>
      </w:r>
      <w:r w:rsidR="001C651B">
        <w:rPr>
          <w:b/>
          <w:i w:val="0"/>
          <w:noProof/>
        </w:rPr>
        <w:t> </w:t>
      </w:r>
      <w:r w:rsidR="001C651B" w:rsidRPr="001C651B">
        <w:rPr>
          <w:b/>
          <w:i w:val="0"/>
          <w:noProof/>
        </w:rPr>
        <w:t>życ</w:t>
      </w:r>
      <w:r w:rsidRPr="001C651B">
        <w:rPr>
          <w:b/>
          <w:i w:val="0"/>
          <w:noProof/>
        </w:rPr>
        <w:t>ie</w:t>
      </w:r>
      <w:r w:rsidR="001C651B" w:rsidRPr="001C651B">
        <w:rPr>
          <w:b/>
          <w:i w:val="0"/>
          <w:noProof/>
        </w:rPr>
        <w:t xml:space="preserve"> i</w:t>
      </w:r>
      <w:r w:rsidR="001C651B">
        <w:rPr>
          <w:b/>
          <w:i w:val="0"/>
          <w:noProof/>
        </w:rPr>
        <w:t> </w:t>
      </w:r>
      <w:r w:rsidR="001C651B" w:rsidRPr="001C651B">
        <w:rPr>
          <w:b/>
          <w:i w:val="0"/>
          <w:noProof/>
        </w:rPr>
        <w:t>roz</w:t>
      </w:r>
      <w:r w:rsidRPr="001C651B">
        <w:rPr>
          <w:b/>
          <w:i w:val="0"/>
          <w:noProof/>
        </w:rPr>
        <w:t>poczęcie stosowania</w:t>
      </w:r>
    </w:p>
    <w:p w:rsidR="00E537F5" w:rsidRPr="001C651B" w:rsidRDefault="00E537F5" w:rsidP="00E537F5">
      <w:pPr>
        <w:spacing w:before="100" w:beforeAutospacing="1" w:after="100" w:afterAutospacing="1"/>
        <w:rPr>
          <w:noProof/>
          <w:color w:val="000000"/>
          <w:szCs w:val="24"/>
        </w:rPr>
      </w:pPr>
      <w:r w:rsidRPr="001C651B">
        <w:rPr>
          <w:noProof/>
          <w:color w:val="000000"/>
        </w:rPr>
        <w:t>Niniejsze rozporządzenie wchodzi</w:t>
      </w:r>
      <w:r w:rsidR="001C651B" w:rsidRPr="001C651B">
        <w:rPr>
          <w:noProof/>
          <w:color w:val="000000"/>
        </w:rPr>
        <w:t xml:space="preserve"> w</w:t>
      </w:r>
      <w:r w:rsidR="001C651B">
        <w:rPr>
          <w:noProof/>
          <w:color w:val="000000"/>
        </w:rPr>
        <w:t> </w:t>
      </w:r>
      <w:r w:rsidR="001C651B" w:rsidRPr="001C651B">
        <w:rPr>
          <w:noProof/>
          <w:color w:val="000000"/>
        </w:rPr>
        <w:t>życ</w:t>
      </w:r>
      <w:r w:rsidRPr="001C651B">
        <w:rPr>
          <w:noProof/>
          <w:color w:val="000000"/>
        </w:rPr>
        <w:t>ie następnego dnia po jego opublikowaniu</w:t>
      </w:r>
      <w:r w:rsidR="001C651B" w:rsidRPr="001C651B">
        <w:rPr>
          <w:noProof/>
          <w:color w:val="000000"/>
        </w:rPr>
        <w:t xml:space="preserve"> w</w:t>
      </w:r>
      <w:r w:rsidR="001C651B">
        <w:rPr>
          <w:noProof/>
          <w:color w:val="000000"/>
        </w:rPr>
        <w:t> </w:t>
      </w:r>
      <w:r w:rsidR="001C651B" w:rsidRPr="001C651B">
        <w:rPr>
          <w:i/>
          <w:noProof/>
          <w:color w:val="000000"/>
        </w:rPr>
        <w:t>Dzi</w:t>
      </w:r>
      <w:r w:rsidRPr="001C651B">
        <w:rPr>
          <w:i/>
          <w:noProof/>
          <w:color w:val="000000"/>
        </w:rPr>
        <w:t>enniku Urzędowym Unii Europejskiej</w:t>
      </w:r>
      <w:r w:rsidRPr="001C651B">
        <w:rPr>
          <w:noProof/>
          <w:color w:val="000000"/>
        </w:rPr>
        <w:t>.</w:t>
      </w:r>
    </w:p>
    <w:p w:rsidR="00E537F5" w:rsidRPr="001C651B" w:rsidRDefault="00E537F5" w:rsidP="00E537F5">
      <w:pPr>
        <w:spacing w:before="100" w:beforeAutospacing="1" w:after="100" w:afterAutospacing="1"/>
        <w:rPr>
          <w:noProof/>
          <w:color w:val="000000"/>
          <w:szCs w:val="24"/>
        </w:rPr>
      </w:pPr>
      <w:r w:rsidRPr="001C651B">
        <w:rPr>
          <w:noProof/>
          <w:color w:val="000000"/>
        </w:rPr>
        <w:t>Niniejsze rozporządzenie stosuje się od dnia [Urząd Publikacji: proszę wstawić datę – 6 miesięcy od daty wejścia</w:t>
      </w:r>
      <w:r w:rsidR="001C651B" w:rsidRPr="001C651B">
        <w:rPr>
          <w:noProof/>
          <w:color w:val="000000"/>
        </w:rPr>
        <w:t xml:space="preserve"> w</w:t>
      </w:r>
      <w:r w:rsidR="001C651B">
        <w:rPr>
          <w:noProof/>
          <w:color w:val="000000"/>
        </w:rPr>
        <w:t> </w:t>
      </w:r>
      <w:r w:rsidR="001C651B" w:rsidRPr="001C651B">
        <w:rPr>
          <w:noProof/>
          <w:color w:val="000000"/>
        </w:rPr>
        <w:t>życ</w:t>
      </w:r>
      <w:r w:rsidRPr="001C651B">
        <w:rPr>
          <w:noProof/>
          <w:color w:val="000000"/>
        </w:rPr>
        <w:t>ie] r.</w:t>
      </w:r>
    </w:p>
    <w:p w:rsidR="00E537F5" w:rsidRPr="001C651B" w:rsidRDefault="00E537F5" w:rsidP="00E537F5">
      <w:pPr>
        <w:spacing w:before="100" w:beforeAutospacing="1" w:after="100" w:afterAutospacing="1"/>
        <w:rPr>
          <w:noProof/>
          <w:szCs w:val="24"/>
        </w:rPr>
      </w:pPr>
      <w:r w:rsidRPr="001C651B">
        <w:rPr>
          <w:noProof/>
          <w:color w:val="000000"/>
        </w:rPr>
        <w:t>Niniejsze rozporządzenie wiąże</w:t>
      </w:r>
      <w:r w:rsidR="001C651B" w:rsidRPr="001C651B">
        <w:rPr>
          <w:noProof/>
          <w:color w:val="000000"/>
        </w:rPr>
        <w:t xml:space="preserve"> w</w:t>
      </w:r>
      <w:r w:rsidR="001C651B">
        <w:rPr>
          <w:noProof/>
          <w:color w:val="000000"/>
        </w:rPr>
        <w:t> </w:t>
      </w:r>
      <w:r w:rsidR="001C651B" w:rsidRPr="001C651B">
        <w:rPr>
          <w:noProof/>
          <w:color w:val="000000"/>
        </w:rPr>
        <w:t>cał</w:t>
      </w:r>
      <w:r w:rsidRPr="001C651B">
        <w:rPr>
          <w:noProof/>
          <w:color w:val="000000"/>
        </w:rPr>
        <w:t>ości</w:t>
      </w:r>
      <w:r w:rsidR="001C651B" w:rsidRPr="001C651B">
        <w:rPr>
          <w:noProof/>
          <w:color w:val="000000"/>
        </w:rPr>
        <w:t xml:space="preserve"> i</w:t>
      </w:r>
      <w:r w:rsidR="001C651B">
        <w:rPr>
          <w:noProof/>
          <w:color w:val="000000"/>
        </w:rPr>
        <w:t> </w:t>
      </w:r>
      <w:r w:rsidR="001C651B" w:rsidRPr="001C651B">
        <w:rPr>
          <w:noProof/>
          <w:color w:val="000000"/>
        </w:rPr>
        <w:t>jes</w:t>
      </w:r>
      <w:r w:rsidRPr="001C651B">
        <w:rPr>
          <w:noProof/>
          <w:color w:val="000000"/>
        </w:rPr>
        <w:t>t bezpośrednio stosowane we wszystkich państwach członkowskich.</w:t>
      </w:r>
    </w:p>
    <w:p w:rsidR="00185C9B" w:rsidRPr="001C651B" w:rsidRDefault="00CD161A" w:rsidP="002C3391">
      <w:pPr>
        <w:pStyle w:val="Fait"/>
        <w:rPr>
          <w:noProof/>
        </w:rPr>
      </w:pPr>
      <w:r>
        <w:rPr>
          <w:noProof/>
        </w:rPr>
        <w:t>Sporządzono w Brukseli dnia 29.11.2024 r.</w:t>
      </w:r>
    </w:p>
    <w:p w:rsidR="00185C9B" w:rsidRPr="001C651B" w:rsidRDefault="00185C9B" w:rsidP="002C3391">
      <w:pPr>
        <w:pStyle w:val="Institutionquisigne"/>
        <w:rPr>
          <w:noProof/>
          <w:szCs w:val="24"/>
        </w:rPr>
      </w:pPr>
      <w:r w:rsidRPr="001C651B">
        <w:rPr>
          <w:noProof/>
        </w:rPr>
        <w:tab/>
        <w:t>W imieniu Komisji</w:t>
      </w:r>
    </w:p>
    <w:p w:rsidR="00185C9B" w:rsidRPr="001C651B" w:rsidRDefault="00D22CBB" w:rsidP="00185C9B">
      <w:pPr>
        <w:pStyle w:val="Personnequisigne"/>
        <w:rPr>
          <w:noProof/>
          <w:szCs w:val="24"/>
        </w:rPr>
      </w:pPr>
      <w:r>
        <w:rPr>
          <w:noProof/>
        </w:rPr>
        <w:tab/>
        <w:t>Przewodnicząca</w:t>
      </w:r>
      <w:r>
        <w:rPr>
          <w:noProof/>
        </w:rPr>
        <w:br/>
      </w:r>
      <w:r>
        <w:rPr>
          <w:noProof/>
        </w:rPr>
        <w:tab/>
        <w:t>Ursula VON DER LEYEN</w:t>
      </w:r>
    </w:p>
    <w:sectPr w:rsidR="00185C9B" w:rsidRPr="001C651B" w:rsidSect="00810F63">
      <w:headerReference w:type="even" r:id="rId14"/>
      <w:footerReference w:type="even" r:id="rId15"/>
      <w:footerReference w:type="default" r:id="rId16"/>
      <w:headerReference w:type="first" r:id="rId17"/>
      <w:footerReference w:type="first" r:id="rId18"/>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678AE" w:rsidRPr="001C651B" w:rsidRDefault="00A678AE" w:rsidP="00185C9B">
      <w:pPr>
        <w:spacing w:before="0" w:after="0"/>
      </w:pPr>
      <w:r w:rsidRPr="001C651B">
        <w:separator/>
      </w:r>
    </w:p>
  </w:endnote>
  <w:endnote w:type="continuationSeparator" w:id="0">
    <w:p w:rsidR="00A678AE" w:rsidRPr="001C651B" w:rsidRDefault="00A678AE" w:rsidP="00185C9B">
      <w:pPr>
        <w:spacing w:before="0" w:after="0"/>
      </w:pPr>
      <w:r w:rsidRPr="001C651B">
        <w:continuationSeparator/>
      </w:r>
    </w:p>
  </w:endnote>
  <w:endnote w:type="continuationNotice" w:id="1">
    <w:p w:rsidR="00A678AE" w:rsidRPr="001C651B" w:rsidRDefault="00A678AE">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10F63" w:rsidRPr="00810F63" w:rsidRDefault="00810F63" w:rsidP="00810F63">
    <w:pPr>
      <w:pStyle w:val="Footer"/>
      <w:rPr>
        <w:rFonts w:ascii="Arial" w:hAnsi="Arial" w:cs="Arial"/>
        <w:b/>
        <w:sz w:val="48"/>
      </w:rPr>
    </w:pPr>
    <w:r w:rsidRPr="00810F63">
      <w:rPr>
        <w:rFonts w:ascii="Arial" w:hAnsi="Arial" w:cs="Arial"/>
        <w:b/>
        <w:sz w:val="48"/>
      </w:rPr>
      <w:t>PL</w:t>
    </w:r>
    <w:r w:rsidRPr="00810F63">
      <w:rPr>
        <w:rFonts w:ascii="Arial" w:hAnsi="Arial" w:cs="Arial"/>
        <w:b/>
        <w:sz w:val="48"/>
      </w:rPr>
      <w:tab/>
    </w:r>
    <w:r w:rsidRPr="00810F63">
      <w:rPr>
        <w:rFonts w:ascii="Arial" w:hAnsi="Arial" w:cs="Arial"/>
        <w:b/>
        <w:sz w:val="48"/>
      </w:rPr>
      <w:tab/>
    </w:r>
    <w:r w:rsidRPr="00810F63">
      <w:tab/>
    </w:r>
    <w:r w:rsidRPr="00810F63">
      <w:rPr>
        <w:rFonts w:ascii="Arial" w:hAnsi="Arial" w:cs="Arial"/>
        <w:b/>
        <w:sz w:val="48"/>
      </w:rPr>
      <w:t>PL</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10F63" w:rsidRPr="00810F63" w:rsidRDefault="00810F63" w:rsidP="00810F63">
    <w:pPr>
      <w:pStyle w:val="Footer"/>
      <w:rPr>
        <w:rFonts w:ascii="Arial" w:hAnsi="Arial" w:cs="Arial"/>
        <w:b/>
        <w:sz w:val="48"/>
      </w:rPr>
    </w:pPr>
    <w:r w:rsidRPr="00810F63">
      <w:rPr>
        <w:rFonts w:ascii="Arial" w:hAnsi="Arial" w:cs="Arial"/>
        <w:b/>
        <w:sz w:val="48"/>
      </w:rPr>
      <w:t>PL</w:t>
    </w:r>
    <w:r w:rsidRPr="00810F63">
      <w:rPr>
        <w:rFonts w:ascii="Arial" w:hAnsi="Arial" w:cs="Arial"/>
        <w:b/>
        <w:sz w:val="48"/>
      </w:rPr>
      <w:tab/>
    </w:r>
    <w:r w:rsidRPr="00810F63">
      <w:rPr>
        <w:rFonts w:ascii="Arial" w:hAnsi="Arial" w:cs="Arial"/>
        <w:b/>
        <w:sz w:val="48"/>
      </w:rPr>
      <w:tab/>
    </w:r>
    <w:r w:rsidRPr="00810F63">
      <w:tab/>
    </w:r>
    <w:r w:rsidRPr="00810F63">
      <w:rPr>
        <w:rFonts w:ascii="Arial" w:hAnsi="Arial" w:cs="Arial"/>
        <w:b/>
        <w:sz w:val="48"/>
      </w:rPr>
      <w:t>PL</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10F63" w:rsidRDefault="00810F63">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10F63" w:rsidRPr="00810F63" w:rsidRDefault="00810F63" w:rsidP="00810F63">
    <w:pPr>
      <w:pStyle w:val="Footer"/>
      <w:rPr>
        <w:rFonts w:ascii="Arial" w:hAnsi="Arial" w:cs="Arial"/>
        <w:b/>
        <w:sz w:val="48"/>
      </w:rPr>
    </w:pPr>
    <w:r w:rsidRPr="00810F63">
      <w:rPr>
        <w:rFonts w:ascii="Arial" w:hAnsi="Arial" w:cs="Arial"/>
        <w:b/>
        <w:sz w:val="48"/>
      </w:rPr>
      <w:t>PL</w:t>
    </w:r>
    <w:r w:rsidRPr="00810F63">
      <w:rPr>
        <w:rFonts w:ascii="Arial" w:hAnsi="Arial" w:cs="Arial"/>
        <w:b/>
        <w:sz w:val="48"/>
      </w:rPr>
      <w:tab/>
    </w:r>
    <w:r>
      <w:fldChar w:fldCharType="begin"/>
    </w:r>
    <w:r>
      <w:instrText xml:space="preserve"> PAGE  \* MERGEFORMAT </w:instrText>
    </w:r>
    <w:r>
      <w:fldChar w:fldCharType="separate"/>
    </w:r>
    <w:r w:rsidR="002C3391">
      <w:rPr>
        <w:noProof/>
      </w:rPr>
      <w:t>21</w:t>
    </w:r>
    <w:r>
      <w:fldChar w:fldCharType="end"/>
    </w:r>
    <w:r>
      <w:tab/>
    </w:r>
    <w:r w:rsidRPr="00810F63">
      <w:tab/>
    </w:r>
    <w:r w:rsidRPr="00810F63">
      <w:rPr>
        <w:rFonts w:ascii="Arial" w:hAnsi="Arial" w:cs="Arial"/>
        <w:b/>
        <w:sz w:val="48"/>
      </w:rPr>
      <w:t>PL</w: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10F63" w:rsidRDefault="00810F63" w:rsidP="00810F6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678AE" w:rsidRPr="001C651B" w:rsidRDefault="00A678AE" w:rsidP="00185C9B">
      <w:pPr>
        <w:spacing w:before="0" w:after="0"/>
      </w:pPr>
      <w:r w:rsidRPr="001C651B">
        <w:separator/>
      </w:r>
    </w:p>
  </w:footnote>
  <w:footnote w:type="continuationSeparator" w:id="0">
    <w:p w:rsidR="00A678AE" w:rsidRPr="001C651B" w:rsidRDefault="00A678AE" w:rsidP="00185C9B">
      <w:pPr>
        <w:spacing w:before="0" w:after="0"/>
      </w:pPr>
      <w:r w:rsidRPr="001C651B">
        <w:continuationSeparator/>
      </w:r>
    </w:p>
  </w:footnote>
  <w:footnote w:type="continuationNotice" w:id="1">
    <w:p w:rsidR="00A678AE" w:rsidRPr="001C651B" w:rsidRDefault="00A678AE">
      <w:pPr>
        <w:spacing w:before="0" w:after="0"/>
      </w:pPr>
    </w:p>
  </w:footnote>
  <w:footnote w:id="2">
    <w:p w:rsidR="00716EA9" w:rsidRPr="001C651B" w:rsidRDefault="00716EA9" w:rsidP="00716EA9">
      <w:pPr>
        <w:pStyle w:val="FootnoteText"/>
      </w:pPr>
      <w:r w:rsidRPr="001C651B">
        <w:rPr>
          <w:rStyle w:val="FootnoteReference"/>
        </w:rPr>
        <w:footnoteRef/>
      </w:r>
      <w:r w:rsidRPr="001C651B">
        <w:tab/>
        <w:t>Dz.U. L 176</w:t>
      </w:r>
      <w:r w:rsidR="001C651B" w:rsidRPr="001C651B">
        <w:t xml:space="preserve"> z</w:t>
      </w:r>
      <w:r w:rsidR="001C651B">
        <w:t> </w:t>
      </w:r>
      <w:r w:rsidR="001C651B" w:rsidRPr="001C651B">
        <w:t>2</w:t>
      </w:r>
      <w:r w:rsidRPr="001C651B">
        <w:t>7.6.2013, s. 1, ELI: http://data.europa.eu/eli/reg/2013/575/oj.</w:t>
      </w:r>
    </w:p>
  </w:footnote>
  <w:footnote w:id="3">
    <w:p w:rsidR="00716EA9" w:rsidRPr="001C651B" w:rsidRDefault="00716EA9" w:rsidP="00716EA9">
      <w:pPr>
        <w:pStyle w:val="FootnoteText"/>
      </w:pPr>
      <w:r w:rsidRPr="001C651B">
        <w:rPr>
          <w:rStyle w:val="FootnoteReference"/>
        </w:rPr>
        <w:footnoteRef/>
      </w:r>
      <w:r w:rsidRPr="001C651B">
        <w:tab/>
        <w:t>Rozporządzenie wykonawcze Komisji (UE) 2021/451</w:t>
      </w:r>
      <w:r w:rsidR="001C651B" w:rsidRPr="001C651B">
        <w:t xml:space="preserve"> z</w:t>
      </w:r>
      <w:r w:rsidR="001C651B">
        <w:t> </w:t>
      </w:r>
      <w:r w:rsidR="001C651B" w:rsidRPr="001C651B">
        <w:t>dni</w:t>
      </w:r>
      <w:r w:rsidRPr="001C651B">
        <w:t>a 17 grudnia 2020</w:t>
      </w:r>
      <w:r w:rsidR="001C651B" w:rsidRPr="001C651B">
        <w:t> </w:t>
      </w:r>
      <w:r w:rsidRPr="001C651B">
        <w:t>r. ustanawiające wykonawcze standardy techniczne do celów stosowania rozporządzenia Parlamentu Europejskiego</w:t>
      </w:r>
      <w:r w:rsidR="001C651B" w:rsidRPr="001C651B">
        <w:t xml:space="preserve"> i</w:t>
      </w:r>
      <w:r w:rsidR="001C651B">
        <w:t> </w:t>
      </w:r>
      <w:r w:rsidR="001C651B" w:rsidRPr="001C651B">
        <w:t>Rad</w:t>
      </w:r>
      <w:r w:rsidRPr="001C651B">
        <w:t>y (UE) nr</w:t>
      </w:r>
      <w:r w:rsidR="001C651B" w:rsidRPr="001C651B">
        <w:t> </w:t>
      </w:r>
      <w:r w:rsidRPr="001C651B">
        <w:t>575/2013 w odniesieniu do sprawozdań nadzorczych instytucji oraz uchylające rozporządzenie wykonawcze (UE) nr</w:t>
      </w:r>
      <w:r w:rsidR="001C651B" w:rsidRPr="001C651B">
        <w:t> </w:t>
      </w:r>
      <w:r w:rsidRPr="001C651B">
        <w:t>680/2014 (Dz.U. L 97</w:t>
      </w:r>
      <w:r w:rsidR="001C651B" w:rsidRPr="001C651B">
        <w:t xml:space="preserve"> z</w:t>
      </w:r>
      <w:r w:rsidR="001C651B">
        <w:t> </w:t>
      </w:r>
      <w:r w:rsidR="001C651B" w:rsidRPr="001C651B">
        <w:t>1</w:t>
      </w:r>
      <w:r w:rsidRPr="001C651B">
        <w:t>9.3.2021, s. 1, ELI: http://data.europa.eu/eli/reg_impl/2021/451/oj).</w:t>
      </w:r>
    </w:p>
  </w:footnote>
  <w:footnote w:id="4">
    <w:p w:rsidR="00716EA9" w:rsidRPr="001C651B" w:rsidRDefault="00716EA9" w:rsidP="00716EA9">
      <w:pPr>
        <w:pStyle w:val="FootnoteText"/>
      </w:pPr>
      <w:r w:rsidRPr="001C651B">
        <w:rPr>
          <w:rStyle w:val="FootnoteReference"/>
        </w:rPr>
        <w:footnoteRef/>
      </w:r>
      <w:r w:rsidRPr="001C651B">
        <w:tab/>
        <w:t>Rozporządzenie Parlamentu Europejskiego</w:t>
      </w:r>
      <w:r w:rsidR="001C651B" w:rsidRPr="001C651B">
        <w:t xml:space="preserve"> i</w:t>
      </w:r>
      <w:r w:rsidR="001C651B">
        <w:t> </w:t>
      </w:r>
      <w:r w:rsidR="001C651B" w:rsidRPr="001C651B">
        <w:t>Rad</w:t>
      </w:r>
      <w:r w:rsidRPr="001C651B">
        <w:t>y (UE) 2024/1623</w:t>
      </w:r>
      <w:r w:rsidR="001C651B" w:rsidRPr="001C651B">
        <w:t xml:space="preserve"> z</w:t>
      </w:r>
      <w:r w:rsidR="001C651B">
        <w:t> </w:t>
      </w:r>
      <w:r w:rsidR="001C651B" w:rsidRPr="001C651B">
        <w:t>dni</w:t>
      </w:r>
      <w:r w:rsidRPr="001C651B">
        <w:t>a 31 maja 2024</w:t>
      </w:r>
      <w:r w:rsidR="001C651B" w:rsidRPr="001C651B">
        <w:t> </w:t>
      </w:r>
      <w:r w:rsidRPr="001C651B">
        <w:t>r.</w:t>
      </w:r>
      <w:r w:rsidR="001C651B" w:rsidRPr="001C651B">
        <w:t xml:space="preserve"> w</w:t>
      </w:r>
      <w:r w:rsidR="001C651B">
        <w:t> </w:t>
      </w:r>
      <w:r w:rsidR="001C651B" w:rsidRPr="001C651B">
        <w:t>spr</w:t>
      </w:r>
      <w:r w:rsidRPr="001C651B">
        <w:t>awie zmiany rozporządzenia (UE) nr</w:t>
      </w:r>
      <w:r w:rsidR="001C651B" w:rsidRPr="001C651B">
        <w:t> </w:t>
      </w:r>
      <w:r w:rsidRPr="001C651B">
        <w:t>575/2013</w:t>
      </w:r>
      <w:r w:rsidR="001C651B" w:rsidRPr="001C651B">
        <w:t xml:space="preserve"> w</w:t>
      </w:r>
      <w:r w:rsidR="001C651B">
        <w:t> </w:t>
      </w:r>
      <w:r w:rsidR="001C651B" w:rsidRPr="001C651B">
        <w:t>odn</w:t>
      </w:r>
      <w:r w:rsidRPr="001C651B">
        <w:t>iesieniu do wymogów dotyczących ryzyka kredytowego, ryzyka związanego</w:t>
      </w:r>
      <w:r w:rsidR="001C651B" w:rsidRPr="001C651B">
        <w:t xml:space="preserve"> z</w:t>
      </w:r>
      <w:r w:rsidR="001C651B">
        <w:t> </w:t>
      </w:r>
      <w:r w:rsidR="001C651B" w:rsidRPr="001C651B">
        <w:t>kor</w:t>
      </w:r>
      <w:r w:rsidRPr="001C651B">
        <w:t>ektą wyceny kredytowej, ryzyka operacyjnego, ryzyka rynkowego oraz minimalnego progu kapitałowego (Dz.U. L, 19.6.2024, ELI: </w:t>
      </w:r>
      <w:hyperlink r:id="rId1" w:tgtFrame="_blank" w:tooltip="Dostęp do dokumentu poprzez identyfikator URI w systemie ELI." w:history="1">
        <w:r w:rsidRPr="001C651B">
          <w:t>http://data.europa.eu/eli/reg/2024/1623/oj</w:t>
        </w:r>
      </w:hyperlink>
      <w:r w:rsidRPr="001C651B">
        <w:t>).</w:t>
      </w:r>
    </w:p>
  </w:footnote>
  <w:footnote w:id="5">
    <w:p w:rsidR="00716EA9" w:rsidRPr="001C651B" w:rsidRDefault="00716EA9" w:rsidP="00716EA9">
      <w:pPr>
        <w:pStyle w:val="FootnoteText"/>
      </w:pPr>
      <w:r w:rsidRPr="001C651B">
        <w:rPr>
          <w:rStyle w:val="FootnoteReference"/>
        </w:rPr>
        <w:footnoteRef/>
      </w:r>
      <w:r w:rsidRPr="001C651B">
        <w:tab/>
        <w:t>Rozporządzenie Parlamentu Europejskiego</w:t>
      </w:r>
      <w:r w:rsidR="001C651B" w:rsidRPr="001C651B">
        <w:t xml:space="preserve"> i</w:t>
      </w:r>
      <w:r w:rsidR="001C651B">
        <w:t> </w:t>
      </w:r>
      <w:r w:rsidR="001C651B" w:rsidRPr="001C651B">
        <w:t>Rad</w:t>
      </w:r>
      <w:r w:rsidRPr="001C651B">
        <w:t>y (UE) nr</w:t>
      </w:r>
      <w:r w:rsidR="001C651B" w:rsidRPr="001C651B">
        <w:t> </w:t>
      </w:r>
      <w:r w:rsidRPr="001C651B">
        <w:t>1093/2010</w:t>
      </w:r>
      <w:r w:rsidR="001C651B" w:rsidRPr="001C651B">
        <w:t xml:space="preserve"> z</w:t>
      </w:r>
      <w:r w:rsidR="001C651B">
        <w:t> </w:t>
      </w:r>
      <w:r w:rsidR="001C651B" w:rsidRPr="001C651B">
        <w:t>dni</w:t>
      </w:r>
      <w:r w:rsidRPr="001C651B">
        <w:t>a 24 listopada 2010</w:t>
      </w:r>
      <w:r w:rsidR="001C651B" w:rsidRPr="001C651B">
        <w:t> </w:t>
      </w:r>
      <w:r w:rsidRPr="001C651B">
        <w:t>r.</w:t>
      </w:r>
      <w:r w:rsidR="001C651B" w:rsidRPr="001C651B">
        <w:t xml:space="preserve"> w</w:t>
      </w:r>
      <w:r w:rsidR="001C651B">
        <w:t> </w:t>
      </w:r>
      <w:r w:rsidR="001C651B" w:rsidRPr="001C651B">
        <w:t>spr</w:t>
      </w:r>
      <w:r w:rsidRPr="001C651B">
        <w:t>awie ustanowienia Europejskiego Urzędu Nadzoru (Europejskiego Urzędu Nadzoru Bankowego), zmiany decyzji nr</w:t>
      </w:r>
      <w:r w:rsidR="001C651B" w:rsidRPr="001C651B">
        <w:t> </w:t>
      </w:r>
      <w:r w:rsidRPr="001C651B">
        <w:t>716/2009/WE oraz uchylenia decyzji Komisji 2009/78/WE (Dz.U. L 331</w:t>
      </w:r>
      <w:r w:rsidR="001C651B" w:rsidRPr="001C651B">
        <w:t xml:space="preserve"> z</w:t>
      </w:r>
      <w:r w:rsidR="001C651B">
        <w:t> </w:t>
      </w:r>
      <w:r w:rsidR="001C651B" w:rsidRPr="001C651B">
        <w:t>1</w:t>
      </w:r>
      <w:r w:rsidRPr="001C651B">
        <w:t>5.12.2010, s. 12, ELI: http://data.europa.eu/eli/reg/2010/1093/oj).</w:t>
      </w:r>
    </w:p>
  </w:footnote>
  <w:footnote w:id="6">
    <w:p w:rsidR="00716EA9" w:rsidRPr="001C651B" w:rsidRDefault="00716EA9" w:rsidP="00716EA9">
      <w:pPr>
        <w:pStyle w:val="FootnoteText"/>
      </w:pPr>
      <w:r w:rsidRPr="001C651B">
        <w:rPr>
          <w:rStyle w:val="FootnoteReference"/>
        </w:rPr>
        <w:footnoteRef/>
      </w:r>
      <w:r w:rsidRPr="001C651B">
        <w:tab/>
      </w:r>
      <w:r w:rsidRPr="001C651B">
        <w:rPr>
          <w:color w:val="333333"/>
          <w:shd w:val="clear" w:color="auto" w:fill="FFFFFF"/>
        </w:rPr>
        <w:t>Dyrektywa Parlamentu Europejskiego</w:t>
      </w:r>
      <w:r w:rsidR="001C651B" w:rsidRPr="001C651B">
        <w:rPr>
          <w:color w:val="333333"/>
          <w:shd w:val="clear" w:color="auto" w:fill="FFFFFF"/>
        </w:rPr>
        <w:t xml:space="preserve"> i</w:t>
      </w:r>
      <w:r w:rsidR="001C651B">
        <w:rPr>
          <w:color w:val="333333"/>
          <w:shd w:val="clear" w:color="auto" w:fill="FFFFFF"/>
        </w:rPr>
        <w:t> </w:t>
      </w:r>
      <w:r w:rsidR="001C651B" w:rsidRPr="001C651B">
        <w:rPr>
          <w:color w:val="333333"/>
          <w:shd w:val="clear" w:color="auto" w:fill="FFFFFF"/>
        </w:rPr>
        <w:t>Rad</w:t>
      </w:r>
      <w:r w:rsidRPr="001C651B">
        <w:rPr>
          <w:color w:val="333333"/>
          <w:shd w:val="clear" w:color="auto" w:fill="FFFFFF"/>
        </w:rPr>
        <w:t>y 2013/36/UE</w:t>
      </w:r>
      <w:r w:rsidR="001C651B" w:rsidRPr="001C651B">
        <w:rPr>
          <w:color w:val="333333"/>
          <w:shd w:val="clear" w:color="auto" w:fill="FFFFFF"/>
        </w:rPr>
        <w:t xml:space="preserve"> z</w:t>
      </w:r>
      <w:r w:rsidR="001C651B">
        <w:rPr>
          <w:color w:val="333333"/>
          <w:shd w:val="clear" w:color="auto" w:fill="FFFFFF"/>
        </w:rPr>
        <w:t> </w:t>
      </w:r>
      <w:r w:rsidR="001C651B" w:rsidRPr="001C651B">
        <w:rPr>
          <w:color w:val="333333"/>
          <w:shd w:val="clear" w:color="auto" w:fill="FFFFFF"/>
        </w:rPr>
        <w:t>dni</w:t>
      </w:r>
      <w:r w:rsidRPr="001C651B">
        <w:rPr>
          <w:color w:val="333333"/>
          <w:shd w:val="clear" w:color="auto" w:fill="FFFFFF"/>
        </w:rPr>
        <w:t>a 26 czerwca 2013 r.</w:t>
      </w:r>
      <w:r w:rsidR="001C651B" w:rsidRPr="001C651B">
        <w:rPr>
          <w:color w:val="333333"/>
          <w:shd w:val="clear" w:color="auto" w:fill="FFFFFF"/>
        </w:rPr>
        <w:t xml:space="preserve"> w</w:t>
      </w:r>
      <w:r w:rsidR="001C651B">
        <w:rPr>
          <w:color w:val="333333"/>
          <w:shd w:val="clear" w:color="auto" w:fill="FFFFFF"/>
        </w:rPr>
        <w:t> </w:t>
      </w:r>
      <w:r w:rsidR="001C651B" w:rsidRPr="001C651B">
        <w:rPr>
          <w:color w:val="333333"/>
          <w:shd w:val="clear" w:color="auto" w:fill="FFFFFF"/>
        </w:rPr>
        <w:t>spr</w:t>
      </w:r>
      <w:r w:rsidRPr="001C651B">
        <w:rPr>
          <w:color w:val="333333"/>
          <w:shd w:val="clear" w:color="auto" w:fill="FFFFFF"/>
        </w:rPr>
        <w:t>awie warunków dopuszczenia instytucji kredytowych do działalności oraz nadzoru ostrożnościowego nad instytucjami kredytowymi, zmieniająca dyrektywę 2002/87/WE</w:t>
      </w:r>
      <w:r w:rsidR="001C651B" w:rsidRPr="001C651B">
        <w:rPr>
          <w:color w:val="333333"/>
          <w:shd w:val="clear" w:color="auto" w:fill="FFFFFF"/>
        </w:rPr>
        <w:t xml:space="preserve"> i</w:t>
      </w:r>
      <w:r w:rsidR="001C651B">
        <w:rPr>
          <w:color w:val="333333"/>
          <w:shd w:val="clear" w:color="auto" w:fill="FFFFFF"/>
        </w:rPr>
        <w:t> </w:t>
      </w:r>
      <w:r w:rsidR="001C651B" w:rsidRPr="001C651B">
        <w:rPr>
          <w:color w:val="333333"/>
          <w:shd w:val="clear" w:color="auto" w:fill="FFFFFF"/>
        </w:rPr>
        <w:t>uch</w:t>
      </w:r>
      <w:r w:rsidRPr="001C651B">
        <w:rPr>
          <w:color w:val="333333"/>
          <w:shd w:val="clear" w:color="auto" w:fill="FFFFFF"/>
        </w:rPr>
        <w:t>ylająca dyrektywy 2006/48/WE oraz 2006/49/WE (Dz.U. L 176</w:t>
      </w:r>
      <w:r w:rsidR="001C651B" w:rsidRPr="001C651B">
        <w:rPr>
          <w:color w:val="333333"/>
          <w:shd w:val="clear" w:color="auto" w:fill="FFFFFF"/>
        </w:rPr>
        <w:t xml:space="preserve"> z</w:t>
      </w:r>
      <w:r w:rsidR="001C651B">
        <w:rPr>
          <w:color w:val="333333"/>
          <w:shd w:val="clear" w:color="auto" w:fill="FFFFFF"/>
        </w:rPr>
        <w:t> </w:t>
      </w:r>
      <w:r w:rsidR="001C651B" w:rsidRPr="001C651B">
        <w:rPr>
          <w:color w:val="333333"/>
          <w:shd w:val="clear" w:color="auto" w:fill="FFFFFF"/>
        </w:rPr>
        <w:t>2</w:t>
      </w:r>
      <w:r w:rsidRPr="001C651B">
        <w:rPr>
          <w:color w:val="333333"/>
          <w:shd w:val="clear" w:color="auto" w:fill="FFFFFF"/>
        </w:rPr>
        <w:t>7.6.2013, s. 338, ELI: </w:t>
      </w:r>
      <w:hyperlink r:id="rId2" w:tooltip="Dostęp do dokumentu poprzez identyfikator URI w systemie ELI." w:history="1">
        <w:r w:rsidRPr="001C651B">
          <w:rPr>
            <w:color w:val="333333"/>
          </w:rPr>
          <w:t>http://data.europa.eu/eli/dir/2013/36/oj</w:t>
        </w:r>
      </w:hyperlink>
      <w:r w:rsidRPr="001C651B">
        <w:rPr>
          <w:color w:val="333333"/>
          <w:shd w:val="clear" w:color="auto" w:fill="FFFFFF"/>
        </w:rPr>
        <w:t>).</w:t>
      </w:r>
    </w:p>
  </w:footnote>
  <w:footnote w:id="7">
    <w:p w:rsidR="00716EA9" w:rsidRPr="001C651B" w:rsidRDefault="00716EA9" w:rsidP="00716EA9">
      <w:pPr>
        <w:pStyle w:val="FootnoteText"/>
      </w:pPr>
      <w:r w:rsidRPr="001C651B">
        <w:rPr>
          <w:rStyle w:val="FootnoteReference"/>
        </w:rPr>
        <w:footnoteRef/>
      </w:r>
      <w:r w:rsidRPr="001C651B">
        <w:tab/>
      </w:r>
      <w:r w:rsidRPr="001C651B">
        <w:rPr>
          <w:color w:val="333333"/>
          <w:shd w:val="clear" w:color="auto" w:fill="FFFFFF"/>
        </w:rPr>
        <w:t>Dyrektywa Parlamentu Europejskiego</w:t>
      </w:r>
      <w:r w:rsidR="001C651B" w:rsidRPr="001C651B">
        <w:rPr>
          <w:color w:val="333333"/>
          <w:shd w:val="clear" w:color="auto" w:fill="FFFFFF"/>
        </w:rPr>
        <w:t xml:space="preserve"> i</w:t>
      </w:r>
      <w:r w:rsidR="001C651B">
        <w:rPr>
          <w:color w:val="333333"/>
          <w:shd w:val="clear" w:color="auto" w:fill="FFFFFF"/>
        </w:rPr>
        <w:t> </w:t>
      </w:r>
      <w:r w:rsidR="001C651B" w:rsidRPr="001C651B">
        <w:rPr>
          <w:color w:val="333333"/>
          <w:shd w:val="clear" w:color="auto" w:fill="FFFFFF"/>
        </w:rPr>
        <w:t>Rad</w:t>
      </w:r>
      <w:r w:rsidRPr="001C651B">
        <w:rPr>
          <w:color w:val="333333"/>
          <w:shd w:val="clear" w:color="auto" w:fill="FFFFFF"/>
        </w:rPr>
        <w:t xml:space="preserve">y </w:t>
      </w:r>
      <w:bookmarkStart w:id="1" w:name="_Hlk172136107"/>
      <w:r w:rsidRPr="001C651B">
        <w:rPr>
          <w:color w:val="333333"/>
          <w:shd w:val="clear" w:color="auto" w:fill="FFFFFF"/>
        </w:rPr>
        <w:t>(UE) 2019/2034</w:t>
      </w:r>
      <w:bookmarkEnd w:id="1"/>
      <w:r w:rsidR="001C651B" w:rsidRPr="001C651B">
        <w:rPr>
          <w:color w:val="333333"/>
          <w:shd w:val="clear" w:color="auto" w:fill="FFFFFF"/>
        </w:rPr>
        <w:t xml:space="preserve"> z</w:t>
      </w:r>
      <w:r w:rsidR="001C651B">
        <w:rPr>
          <w:color w:val="333333"/>
          <w:shd w:val="clear" w:color="auto" w:fill="FFFFFF"/>
        </w:rPr>
        <w:t> </w:t>
      </w:r>
      <w:r w:rsidR="001C651B" w:rsidRPr="001C651B">
        <w:rPr>
          <w:color w:val="333333"/>
          <w:shd w:val="clear" w:color="auto" w:fill="FFFFFF"/>
        </w:rPr>
        <w:t>dni</w:t>
      </w:r>
      <w:r w:rsidRPr="001C651B">
        <w:rPr>
          <w:color w:val="333333"/>
          <w:shd w:val="clear" w:color="auto" w:fill="FFFFFF"/>
        </w:rPr>
        <w:t>a 27 listopada 2019</w:t>
      </w:r>
      <w:r w:rsidR="001C651B" w:rsidRPr="001C651B">
        <w:rPr>
          <w:color w:val="333333"/>
          <w:shd w:val="clear" w:color="auto" w:fill="FFFFFF"/>
        </w:rPr>
        <w:t> </w:t>
      </w:r>
      <w:r w:rsidRPr="001C651B">
        <w:rPr>
          <w:color w:val="333333"/>
          <w:shd w:val="clear" w:color="auto" w:fill="FFFFFF"/>
        </w:rPr>
        <w:t>r.</w:t>
      </w:r>
      <w:r w:rsidR="001C651B" w:rsidRPr="001C651B">
        <w:rPr>
          <w:color w:val="333333"/>
          <w:shd w:val="clear" w:color="auto" w:fill="FFFFFF"/>
        </w:rPr>
        <w:t xml:space="preserve"> w</w:t>
      </w:r>
      <w:r w:rsidR="001C651B">
        <w:rPr>
          <w:color w:val="333333"/>
          <w:shd w:val="clear" w:color="auto" w:fill="FFFFFF"/>
        </w:rPr>
        <w:t> </w:t>
      </w:r>
      <w:r w:rsidR="001C651B" w:rsidRPr="001C651B">
        <w:rPr>
          <w:color w:val="333333"/>
          <w:shd w:val="clear" w:color="auto" w:fill="FFFFFF"/>
        </w:rPr>
        <w:t>spr</w:t>
      </w:r>
      <w:r w:rsidRPr="001C651B">
        <w:rPr>
          <w:color w:val="333333"/>
          <w:shd w:val="clear" w:color="auto" w:fill="FFFFFF"/>
        </w:rPr>
        <w:t>awie nadzoru ostrożnościowego nad firmami inwestycyjnymi oraz zmieniająca dyrektywy 2002/87/WE, 2009/65/WE, 2011/61/UE, 2013/36/UE, 2014/59/UE</w:t>
      </w:r>
      <w:r w:rsidR="001C651B" w:rsidRPr="001C651B">
        <w:rPr>
          <w:color w:val="333333"/>
          <w:shd w:val="clear" w:color="auto" w:fill="FFFFFF"/>
        </w:rPr>
        <w:t xml:space="preserve"> i</w:t>
      </w:r>
      <w:r w:rsidR="001C651B">
        <w:rPr>
          <w:color w:val="333333"/>
          <w:shd w:val="clear" w:color="auto" w:fill="FFFFFF"/>
        </w:rPr>
        <w:t> </w:t>
      </w:r>
      <w:r w:rsidR="001C651B" w:rsidRPr="001C651B">
        <w:rPr>
          <w:color w:val="333333"/>
          <w:shd w:val="clear" w:color="auto" w:fill="FFFFFF"/>
        </w:rPr>
        <w:t>2</w:t>
      </w:r>
      <w:r w:rsidRPr="001C651B">
        <w:rPr>
          <w:color w:val="333333"/>
          <w:shd w:val="clear" w:color="auto" w:fill="FFFFFF"/>
        </w:rPr>
        <w:t>014/65/UE (</w:t>
      </w:r>
      <w:r w:rsidRPr="001C651B">
        <w:t>Dz.U. L 314</w:t>
      </w:r>
      <w:r w:rsidR="001C651B" w:rsidRPr="001C651B">
        <w:t xml:space="preserve"> z</w:t>
      </w:r>
      <w:r w:rsidR="001C651B">
        <w:t> </w:t>
      </w:r>
      <w:r w:rsidR="001C651B" w:rsidRPr="001C651B">
        <w:t>5</w:t>
      </w:r>
      <w:r w:rsidRPr="001C651B">
        <w:t xml:space="preserve">.12.2019, s. 64, </w:t>
      </w:r>
      <w:r w:rsidRPr="001C651B">
        <w:rPr>
          <w:color w:val="333333"/>
          <w:shd w:val="clear" w:color="auto" w:fill="FFFFFF"/>
        </w:rPr>
        <w:t>ELI: </w:t>
      </w:r>
      <w:hyperlink r:id="rId3" w:tooltip="Dostęp do dokumentu poprzez identyfikator URI w systemie ELI." w:history="1">
        <w:r w:rsidRPr="001C651B">
          <w:rPr>
            <w:color w:val="333333"/>
          </w:rPr>
          <w:t>http://data.europa.eu/eli/dir/2019/2034/oj</w:t>
        </w:r>
      </w:hyperlink>
      <w:r w:rsidRPr="001C651B">
        <w:rPr>
          <w:color w:val="333333"/>
          <w:shd w:val="clear" w:color="auto" w:fill="FFFFFF"/>
        </w:rPr>
        <w:t>).</w:t>
      </w:r>
    </w:p>
  </w:footnote>
  <w:footnote w:id="8">
    <w:p w:rsidR="00797855" w:rsidRPr="001C651B" w:rsidRDefault="00797855" w:rsidP="00C856B2">
      <w:pPr>
        <w:pStyle w:val="FootnoteText"/>
      </w:pPr>
      <w:r w:rsidRPr="001C651B">
        <w:rPr>
          <w:rStyle w:val="FootnoteReference"/>
        </w:rPr>
        <w:footnoteRef/>
      </w:r>
      <w:r w:rsidRPr="001C651B">
        <w:tab/>
        <w:t>Rozporządzenie delegowane Komisji (UE) 2016/101</w:t>
      </w:r>
      <w:r w:rsidR="001C651B" w:rsidRPr="001C651B">
        <w:t xml:space="preserve"> z</w:t>
      </w:r>
      <w:r w:rsidR="001C651B">
        <w:t> </w:t>
      </w:r>
      <w:r w:rsidR="001C651B" w:rsidRPr="001C651B">
        <w:t>dni</w:t>
      </w:r>
      <w:r w:rsidRPr="001C651B">
        <w:t>a 26 października 2015 r. uzupełniające rozporządzenie Parlamentu Europejskiego</w:t>
      </w:r>
      <w:r w:rsidR="001C651B" w:rsidRPr="001C651B">
        <w:t xml:space="preserve"> i</w:t>
      </w:r>
      <w:r w:rsidR="001C651B">
        <w:t> </w:t>
      </w:r>
      <w:r w:rsidR="001C651B" w:rsidRPr="001C651B">
        <w:t>Rad</w:t>
      </w:r>
      <w:r w:rsidRPr="001C651B">
        <w:t>y (UE) nr 575/2013 w odniesieniu do regulacyjnych standardów technicznych dotyczących ostrożnej wyceny zgodnie</w:t>
      </w:r>
      <w:r w:rsidR="001C651B" w:rsidRPr="001C651B">
        <w:t xml:space="preserve"> z</w:t>
      </w:r>
      <w:r w:rsidR="001C651B">
        <w:t> </w:t>
      </w:r>
      <w:r w:rsidR="001C651B" w:rsidRPr="001C651B">
        <w:t>art</w:t>
      </w:r>
      <w:r w:rsidRPr="001C651B">
        <w:t>. 105 ust. 14 (Dz.U. L 21</w:t>
      </w:r>
      <w:r w:rsidR="001C651B" w:rsidRPr="001C651B">
        <w:t xml:space="preserve"> z</w:t>
      </w:r>
      <w:r w:rsidR="001C651B">
        <w:t> </w:t>
      </w:r>
      <w:r w:rsidR="001C651B" w:rsidRPr="001C651B">
        <w:t>2</w:t>
      </w:r>
      <w:r w:rsidRPr="001C651B">
        <w:t>8.1.2016, s. 54, ELI: http://data.europa.eu/eli/reg_del/2016/101/oj).</w:t>
      </w:r>
    </w:p>
  </w:footnote>
  <w:footnote w:id="9">
    <w:p w:rsidR="00716EA9" w:rsidRPr="001C651B" w:rsidRDefault="00716EA9" w:rsidP="00716EA9">
      <w:pPr>
        <w:pStyle w:val="FootnoteText"/>
      </w:pPr>
      <w:r w:rsidRPr="001C651B">
        <w:rPr>
          <w:rStyle w:val="FootnoteReference"/>
        </w:rPr>
        <w:footnoteRef/>
      </w:r>
      <w:r w:rsidRPr="001C651B">
        <w:tab/>
      </w:r>
      <w:r w:rsidRPr="001C651B">
        <w:rPr>
          <w:color w:val="333333"/>
          <w:shd w:val="clear" w:color="auto" w:fill="FFFFFF"/>
        </w:rPr>
        <w:t>Rozporządzenie (WE) nr 1606/2002 Parlamentu Europejskiego</w:t>
      </w:r>
      <w:r w:rsidR="001C651B" w:rsidRPr="001C651B">
        <w:rPr>
          <w:color w:val="333333"/>
          <w:shd w:val="clear" w:color="auto" w:fill="FFFFFF"/>
        </w:rPr>
        <w:t xml:space="preserve"> i</w:t>
      </w:r>
      <w:r w:rsidR="001C651B">
        <w:rPr>
          <w:color w:val="333333"/>
          <w:shd w:val="clear" w:color="auto" w:fill="FFFFFF"/>
        </w:rPr>
        <w:t> </w:t>
      </w:r>
      <w:r w:rsidR="001C651B" w:rsidRPr="001C651B">
        <w:rPr>
          <w:color w:val="333333"/>
          <w:shd w:val="clear" w:color="auto" w:fill="FFFFFF"/>
        </w:rPr>
        <w:t>Rad</w:t>
      </w:r>
      <w:r w:rsidRPr="001C651B">
        <w:rPr>
          <w:color w:val="333333"/>
          <w:shd w:val="clear" w:color="auto" w:fill="FFFFFF"/>
        </w:rPr>
        <w:t>y</w:t>
      </w:r>
      <w:r w:rsidR="001C651B" w:rsidRPr="001C651B">
        <w:rPr>
          <w:color w:val="333333"/>
          <w:shd w:val="clear" w:color="auto" w:fill="FFFFFF"/>
        </w:rPr>
        <w:t xml:space="preserve"> z</w:t>
      </w:r>
      <w:r w:rsidR="001C651B">
        <w:rPr>
          <w:color w:val="333333"/>
          <w:shd w:val="clear" w:color="auto" w:fill="FFFFFF"/>
        </w:rPr>
        <w:t> </w:t>
      </w:r>
      <w:r w:rsidR="001C651B" w:rsidRPr="001C651B">
        <w:rPr>
          <w:color w:val="333333"/>
          <w:shd w:val="clear" w:color="auto" w:fill="FFFFFF"/>
        </w:rPr>
        <w:t>dni</w:t>
      </w:r>
      <w:r w:rsidRPr="001C651B">
        <w:rPr>
          <w:color w:val="333333"/>
          <w:shd w:val="clear" w:color="auto" w:fill="FFFFFF"/>
        </w:rPr>
        <w:t>a 19 lipca 2002 r.</w:t>
      </w:r>
      <w:r w:rsidR="001C651B" w:rsidRPr="001C651B">
        <w:rPr>
          <w:color w:val="333333"/>
          <w:shd w:val="clear" w:color="auto" w:fill="FFFFFF"/>
        </w:rPr>
        <w:t xml:space="preserve"> w</w:t>
      </w:r>
      <w:r w:rsidR="001C651B">
        <w:rPr>
          <w:color w:val="333333"/>
          <w:shd w:val="clear" w:color="auto" w:fill="FFFFFF"/>
        </w:rPr>
        <w:t> </w:t>
      </w:r>
      <w:r w:rsidR="001C651B" w:rsidRPr="001C651B">
        <w:rPr>
          <w:color w:val="333333"/>
          <w:shd w:val="clear" w:color="auto" w:fill="FFFFFF"/>
        </w:rPr>
        <w:t>spr</w:t>
      </w:r>
      <w:r w:rsidRPr="001C651B">
        <w:rPr>
          <w:color w:val="333333"/>
          <w:shd w:val="clear" w:color="auto" w:fill="FFFFFF"/>
        </w:rPr>
        <w:t>awie stosowania międzynarodowych standardów rachunkowości (Dz.U. L 243</w:t>
      </w:r>
      <w:r w:rsidR="001C651B" w:rsidRPr="001C651B">
        <w:rPr>
          <w:color w:val="333333"/>
          <w:shd w:val="clear" w:color="auto" w:fill="FFFFFF"/>
        </w:rPr>
        <w:t xml:space="preserve"> z</w:t>
      </w:r>
      <w:r w:rsidR="001C651B">
        <w:rPr>
          <w:color w:val="333333"/>
          <w:shd w:val="clear" w:color="auto" w:fill="FFFFFF"/>
        </w:rPr>
        <w:t> </w:t>
      </w:r>
      <w:r w:rsidR="001C651B" w:rsidRPr="001C651B">
        <w:rPr>
          <w:color w:val="333333"/>
          <w:shd w:val="clear" w:color="auto" w:fill="FFFFFF"/>
        </w:rPr>
        <w:t>1</w:t>
      </w:r>
      <w:r w:rsidRPr="001C651B">
        <w:rPr>
          <w:color w:val="333333"/>
          <w:shd w:val="clear" w:color="auto" w:fill="FFFFFF"/>
        </w:rPr>
        <w:t>1.9.2002, s. 1, ELI: </w:t>
      </w:r>
      <w:r w:rsidRPr="001C651B">
        <w:rPr>
          <w:shd w:val="clear" w:color="auto" w:fill="FFFFFF"/>
        </w:rPr>
        <w:t>http://data.europa.eu/eli/reg/2002/1606/oj</w:t>
      </w:r>
      <w:r w:rsidRPr="001C651B">
        <w:t>).</w:t>
      </w:r>
    </w:p>
  </w:footnote>
  <w:footnote w:id="10">
    <w:p w:rsidR="00745A2E" w:rsidRPr="001C651B" w:rsidRDefault="00745A2E" w:rsidP="00C856B2">
      <w:pPr>
        <w:pStyle w:val="FootnoteText"/>
      </w:pPr>
      <w:r w:rsidRPr="001C651B">
        <w:rPr>
          <w:rStyle w:val="FootnoteReference"/>
        </w:rPr>
        <w:footnoteRef/>
      </w:r>
      <w:r w:rsidRPr="001C651B">
        <w:tab/>
        <w:t>Dyrektywa Parlamentu Europejskiego</w:t>
      </w:r>
      <w:r w:rsidR="001C651B" w:rsidRPr="001C651B">
        <w:t xml:space="preserve"> i</w:t>
      </w:r>
      <w:r w:rsidR="001C651B">
        <w:t> </w:t>
      </w:r>
      <w:r w:rsidR="001C651B" w:rsidRPr="001C651B">
        <w:t>Rad</w:t>
      </w:r>
      <w:r w:rsidRPr="001C651B">
        <w:t>y 2009/65/WE</w:t>
      </w:r>
      <w:r w:rsidR="001C651B" w:rsidRPr="001C651B">
        <w:t xml:space="preserve"> z</w:t>
      </w:r>
      <w:r w:rsidR="001C651B">
        <w:t> </w:t>
      </w:r>
      <w:r w:rsidR="001C651B" w:rsidRPr="001C651B">
        <w:t>dni</w:t>
      </w:r>
      <w:r w:rsidRPr="001C651B">
        <w:t>a 13 lipca 2009 r.</w:t>
      </w:r>
      <w:r w:rsidR="001C651B" w:rsidRPr="001C651B">
        <w:t xml:space="preserve"> w</w:t>
      </w:r>
      <w:r w:rsidR="001C651B">
        <w:t> </w:t>
      </w:r>
      <w:r w:rsidR="001C651B" w:rsidRPr="001C651B">
        <w:t>spr</w:t>
      </w:r>
      <w:r w:rsidRPr="001C651B">
        <w:t>awie koordynacji przepisów ustawowych, wykonawczych</w:t>
      </w:r>
      <w:r w:rsidR="001C651B" w:rsidRPr="001C651B">
        <w:t xml:space="preserve"> i</w:t>
      </w:r>
      <w:r w:rsidR="001C651B">
        <w:t> </w:t>
      </w:r>
      <w:r w:rsidR="001C651B" w:rsidRPr="001C651B">
        <w:t>adm</w:t>
      </w:r>
      <w:r w:rsidRPr="001C651B">
        <w:t>inistracyjnych odnoszących się do przedsiębiorstw zbiorowego inwestowania</w:t>
      </w:r>
      <w:r w:rsidR="001C651B" w:rsidRPr="001C651B">
        <w:t xml:space="preserve"> w</w:t>
      </w:r>
      <w:r w:rsidR="001C651B">
        <w:t> </w:t>
      </w:r>
      <w:r w:rsidR="001C651B" w:rsidRPr="001C651B">
        <w:t>zby</w:t>
      </w:r>
      <w:r w:rsidRPr="001C651B">
        <w:t>walne papiery wartościowe (UCITS) (wersja przekształcona) (Dz.U. L 302</w:t>
      </w:r>
      <w:r w:rsidR="001C651B" w:rsidRPr="001C651B">
        <w:t xml:space="preserve"> z</w:t>
      </w:r>
      <w:r w:rsidR="001C651B">
        <w:t> </w:t>
      </w:r>
      <w:r w:rsidR="001C651B" w:rsidRPr="001C651B">
        <w:t>1</w:t>
      </w:r>
      <w:r w:rsidRPr="001C651B">
        <w:t>7.11.2009, s. 32, ELI: http://data.europa.eu/eli/dir/2009/65/oj).</w:t>
      </w:r>
    </w:p>
  </w:footnote>
  <w:footnote w:id="11">
    <w:p w:rsidR="00AB5213" w:rsidRPr="001C651B" w:rsidRDefault="00AB5213" w:rsidP="00AB5213">
      <w:pPr>
        <w:pStyle w:val="FootnoteText"/>
      </w:pPr>
      <w:r w:rsidRPr="001C651B">
        <w:rPr>
          <w:rStyle w:val="FootnoteReference"/>
        </w:rPr>
        <w:footnoteRef/>
      </w:r>
      <w:r w:rsidRPr="001C651B">
        <w:tab/>
      </w:r>
      <w:r w:rsidRPr="001C651B">
        <w:rPr>
          <w:color w:val="333333"/>
          <w:shd w:val="clear" w:color="auto" w:fill="FFFFFF"/>
        </w:rPr>
        <w:t>Rozporządzenie Parlamentu Europejskiego</w:t>
      </w:r>
      <w:r w:rsidR="001C651B" w:rsidRPr="001C651B">
        <w:rPr>
          <w:color w:val="333333"/>
          <w:shd w:val="clear" w:color="auto" w:fill="FFFFFF"/>
        </w:rPr>
        <w:t xml:space="preserve"> i</w:t>
      </w:r>
      <w:r w:rsidR="001C651B">
        <w:rPr>
          <w:color w:val="333333"/>
          <w:shd w:val="clear" w:color="auto" w:fill="FFFFFF"/>
        </w:rPr>
        <w:t> </w:t>
      </w:r>
      <w:r w:rsidR="001C651B" w:rsidRPr="001C651B">
        <w:rPr>
          <w:color w:val="333333"/>
          <w:shd w:val="clear" w:color="auto" w:fill="FFFFFF"/>
        </w:rPr>
        <w:t>Rad</w:t>
      </w:r>
      <w:r w:rsidRPr="001C651B">
        <w:rPr>
          <w:color w:val="333333"/>
          <w:shd w:val="clear" w:color="auto" w:fill="FFFFFF"/>
        </w:rPr>
        <w:t>y (UE) nr 806/2014</w:t>
      </w:r>
      <w:r w:rsidR="001C651B" w:rsidRPr="001C651B">
        <w:rPr>
          <w:color w:val="333333"/>
          <w:shd w:val="clear" w:color="auto" w:fill="FFFFFF"/>
        </w:rPr>
        <w:t xml:space="preserve"> z</w:t>
      </w:r>
      <w:r w:rsidR="001C651B">
        <w:rPr>
          <w:color w:val="333333"/>
          <w:shd w:val="clear" w:color="auto" w:fill="FFFFFF"/>
        </w:rPr>
        <w:t> </w:t>
      </w:r>
      <w:r w:rsidR="001C651B" w:rsidRPr="001C651B">
        <w:rPr>
          <w:color w:val="333333"/>
          <w:shd w:val="clear" w:color="auto" w:fill="FFFFFF"/>
        </w:rPr>
        <w:t>dni</w:t>
      </w:r>
      <w:r w:rsidRPr="001C651B">
        <w:rPr>
          <w:color w:val="333333"/>
          <w:shd w:val="clear" w:color="auto" w:fill="FFFFFF"/>
        </w:rPr>
        <w:t>a 15 lipca 2014 r. ustanawiające jednolite zasady</w:t>
      </w:r>
      <w:r w:rsidR="001C651B" w:rsidRPr="001C651B">
        <w:rPr>
          <w:color w:val="333333"/>
          <w:shd w:val="clear" w:color="auto" w:fill="FFFFFF"/>
        </w:rPr>
        <w:t xml:space="preserve"> i</w:t>
      </w:r>
      <w:r w:rsidR="001C651B">
        <w:rPr>
          <w:color w:val="333333"/>
          <w:shd w:val="clear" w:color="auto" w:fill="FFFFFF"/>
        </w:rPr>
        <w:t> </w:t>
      </w:r>
      <w:r w:rsidR="001C651B" w:rsidRPr="001C651B">
        <w:rPr>
          <w:color w:val="333333"/>
          <w:shd w:val="clear" w:color="auto" w:fill="FFFFFF"/>
        </w:rPr>
        <w:t>jed</w:t>
      </w:r>
      <w:r w:rsidRPr="001C651B">
        <w:rPr>
          <w:color w:val="333333"/>
          <w:shd w:val="clear" w:color="auto" w:fill="FFFFFF"/>
        </w:rPr>
        <w:t>nolitą procedurę restrukturyzacji</w:t>
      </w:r>
      <w:r w:rsidR="001C651B" w:rsidRPr="001C651B">
        <w:rPr>
          <w:color w:val="333333"/>
          <w:shd w:val="clear" w:color="auto" w:fill="FFFFFF"/>
        </w:rPr>
        <w:t xml:space="preserve"> i</w:t>
      </w:r>
      <w:r w:rsidR="001C651B">
        <w:rPr>
          <w:color w:val="333333"/>
          <w:shd w:val="clear" w:color="auto" w:fill="FFFFFF"/>
        </w:rPr>
        <w:t> </w:t>
      </w:r>
      <w:r w:rsidR="001C651B" w:rsidRPr="001C651B">
        <w:rPr>
          <w:color w:val="333333"/>
          <w:shd w:val="clear" w:color="auto" w:fill="FFFFFF"/>
        </w:rPr>
        <w:t>upo</w:t>
      </w:r>
      <w:r w:rsidRPr="001C651B">
        <w:rPr>
          <w:color w:val="333333"/>
          <w:shd w:val="clear" w:color="auto" w:fill="FFFFFF"/>
        </w:rPr>
        <w:t>rządkowanej likwidacji instytucji kredytowych</w:t>
      </w:r>
      <w:r w:rsidR="001C651B" w:rsidRPr="001C651B">
        <w:rPr>
          <w:color w:val="333333"/>
          <w:shd w:val="clear" w:color="auto" w:fill="FFFFFF"/>
        </w:rPr>
        <w:t xml:space="preserve"> i</w:t>
      </w:r>
      <w:r w:rsidR="001C651B">
        <w:rPr>
          <w:color w:val="333333"/>
          <w:shd w:val="clear" w:color="auto" w:fill="FFFFFF"/>
        </w:rPr>
        <w:t> </w:t>
      </w:r>
      <w:r w:rsidR="001C651B" w:rsidRPr="001C651B">
        <w:rPr>
          <w:color w:val="333333"/>
          <w:shd w:val="clear" w:color="auto" w:fill="FFFFFF"/>
        </w:rPr>
        <w:t>nie</w:t>
      </w:r>
      <w:r w:rsidRPr="001C651B">
        <w:rPr>
          <w:color w:val="333333"/>
          <w:shd w:val="clear" w:color="auto" w:fill="FFFFFF"/>
        </w:rPr>
        <w:t>których firm inwestycyjnych</w:t>
      </w:r>
      <w:r w:rsidR="001C651B" w:rsidRPr="001C651B">
        <w:rPr>
          <w:color w:val="333333"/>
          <w:shd w:val="clear" w:color="auto" w:fill="FFFFFF"/>
        </w:rPr>
        <w:t xml:space="preserve"> w</w:t>
      </w:r>
      <w:r w:rsidR="001C651B">
        <w:rPr>
          <w:color w:val="333333"/>
          <w:shd w:val="clear" w:color="auto" w:fill="FFFFFF"/>
        </w:rPr>
        <w:t> </w:t>
      </w:r>
      <w:r w:rsidR="001C651B" w:rsidRPr="001C651B">
        <w:rPr>
          <w:color w:val="333333"/>
          <w:shd w:val="clear" w:color="auto" w:fill="FFFFFF"/>
        </w:rPr>
        <w:t>ram</w:t>
      </w:r>
      <w:r w:rsidRPr="001C651B">
        <w:rPr>
          <w:color w:val="333333"/>
          <w:shd w:val="clear" w:color="auto" w:fill="FFFFFF"/>
        </w:rPr>
        <w:t>ach jednolitego mechanizmu restrukturyzacji</w:t>
      </w:r>
      <w:r w:rsidR="001C651B" w:rsidRPr="001C651B">
        <w:rPr>
          <w:color w:val="333333"/>
          <w:shd w:val="clear" w:color="auto" w:fill="FFFFFF"/>
        </w:rPr>
        <w:t xml:space="preserve"> i</w:t>
      </w:r>
      <w:r w:rsidR="001C651B">
        <w:rPr>
          <w:color w:val="333333"/>
          <w:shd w:val="clear" w:color="auto" w:fill="FFFFFF"/>
        </w:rPr>
        <w:t> </w:t>
      </w:r>
      <w:r w:rsidR="001C651B" w:rsidRPr="001C651B">
        <w:rPr>
          <w:color w:val="333333"/>
          <w:shd w:val="clear" w:color="auto" w:fill="FFFFFF"/>
        </w:rPr>
        <w:t>upo</w:t>
      </w:r>
      <w:r w:rsidRPr="001C651B">
        <w:rPr>
          <w:color w:val="333333"/>
          <w:shd w:val="clear" w:color="auto" w:fill="FFFFFF"/>
        </w:rPr>
        <w:t>rządkowanej likwidacji oraz jednolitego funduszu restrukturyzacji</w:t>
      </w:r>
      <w:r w:rsidR="001C651B" w:rsidRPr="001C651B">
        <w:rPr>
          <w:color w:val="333333"/>
          <w:shd w:val="clear" w:color="auto" w:fill="FFFFFF"/>
        </w:rPr>
        <w:t xml:space="preserve"> i</w:t>
      </w:r>
      <w:r w:rsidR="001C651B">
        <w:rPr>
          <w:color w:val="333333"/>
          <w:shd w:val="clear" w:color="auto" w:fill="FFFFFF"/>
        </w:rPr>
        <w:t> </w:t>
      </w:r>
      <w:r w:rsidR="001C651B" w:rsidRPr="001C651B">
        <w:rPr>
          <w:color w:val="333333"/>
          <w:shd w:val="clear" w:color="auto" w:fill="FFFFFF"/>
        </w:rPr>
        <w:t>upo</w:t>
      </w:r>
      <w:r w:rsidRPr="001C651B">
        <w:rPr>
          <w:color w:val="333333"/>
          <w:shd w:val="clear" w:color="auto" w:fill="FFFFFF"/>
        </w:rPr>
        <w:t>rządkowanej likwidacji oraz zmieniające rozporządzenie (UE) nr 1093/2010 (</w:t>
      </w:r>
      <w:r w:rsidRPr="001C651B">
        <w:rPr>
          <w:rStyle w:val="Emphasis"/>
          <w:i w:val="0"/>
          <w:color w:val="333333"/>
          <w:shd w:val="clear" w:color="auto" w:fill="FFFFFF"/>
        </w:rPr>
        <w:t>Dz.U. L 225</w:t>
      </w:r>
      <w:r w:rsidR="001C651B" w:rsidRPr="001C651B">
        <w:rPr>
          <w:rStyle w:val="Emphasis"/>
          <w:i w:val="0"/>
          <w:color w:val="333333"/>
          <w:shd w:val="clear" w:color="auto" w:fill="FFFFFF"/>
        </w:rPr>
        <w:t xml:space="preserve"> z</w:t>
      </w:r>
      <w:r w:rsidR="001C651B">
        <w:rPr>
          <w:rStyle w:val="Emphasis"/>
          <w:i w:val="0"/>
          <w:color w:val="333333"/>
          <w:shd w:val="clear" w:color="auto" w:fill="FFFFFF"/>
        </w:rPr>
        <w:t> </w:t>
      </w:r>
      <w:r w:rsidR="001C651B" w:rsidRPr="001C651B">
        <w:rPr>
          <w:rStyle w:val="Emphasis"/>
          <w:i w:val="0"/>
          <w:color w:val="333333"/>
          <w:shd w:val="clear" w:color="auto" w:fill="FFFFFF"/>
        </w:rPr>
        <w:t>3</w:t>
      </w:r>
      <w:r w:rsidRPr="001C651B">
        <w:rPr>
          <w:rStyle w:val="Emphasis"/>
          <w:i w:val="0"/>
          <w:color w:val="333333"/>
          <w:shd w:val="clear" w:color="auto" w:fill="FFFFFF"/>
        </w:rPr>
        <w:t>0.7.2014, s. 1,</w:t>
      </w:r>
      <w:r w:rsidRPr="001C651B">
        <w:rPr>
          <w:color w:val="333333"/>
          <w:shd w:val="clear" w:color="auto" w:fill="FFFFFF"/>
        </w:rPr>
        <w:t xml:space="preserve"> ELI: </w:t>
      </w:r>
      <w:r w:rsidRPr="001C651B">
        <w:rPr>
          <w:shd w:val="clear" w:color="auto" w:fill="FFFFFF"/>
        </w:rPr>
        <w:t>http://data.europa.eu/eli/reg/2014/806/oj</w:t>
      </w:r>
      <w:r w:rsidRPr="001C651B">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10F63" w:rsidRDefault="00810F6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10F63" w:rsidRDefault="00810F6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D"/>
    <w:multiLevelType w:val="singleLevel"/>
    <w:tmpl w:val="AB381924"/>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B504FC16"/>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5B4015D6"/>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BCDE428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ADE25CD8"/>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8EC0DE12"/>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AAA29092"/>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7B7A921E"/>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9"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1"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2"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3"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4" w15:restartNumberingAfterBreak="0">
    <w:nsid w:val="42FC077D"/>
    <w:multiLevelType w:val="singleLevel"/>
    <w:tmpl w:val="4128FD03"/>
    <w:name w:val="Tiret 5"/>
    <w:lvl w:ilvl="0">
      <w:start w:val="1"/>
      <w:numFmt w:val="bullet"/>
      <w:lvlRestart w:val="0"/>
      <w:pStyle w:val="Tiret5"/>
      <w:lvlText w:val="–"/>
      <w:lvlJc w:val="left"/>
      <w:pPr>
        <w:tabs>
          <w:tab w:val="num" w:pos="3685"/>
        </w:tabs>
        <w:ind w:left="3685" w:hanging="567"/>
      </w:pPr>
    </w:lvl>
  </w:abstractNum>
  <w:abstractNum w:abstractNumId="15"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6"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7"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8"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19"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0" w15:restartNumberingAfterBreak="0">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2"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abstractNumId w:val="7"/>
  </w:num>
  <w:num w:numId="2">
    <w:abstractNumId w:val="22"/>
    <w:lvlOverride w:ilvl="0">
      <w:startOverride w:val="1"/>
    </w:lvlOverride>
  </w:num>
  <w:num w:numId="3">
    <w:abstractNumId w:val="5"/>
  </w:num>
  <w:num w:numId="4">
    <w:abstractNumId w:val="4"/>
  </w:num>
  <w:num w:numId="5">
    <w:abstractNumId w:val="3"/>
  </w:num>
  <w:num w:numId="6">
    <w:abstractNumId w:val="6"/>
  </w:num>
  <w:num w:numId="7">
    <w:abstractNumId w:val="2"/>
  </w:num>
  <w:num w:numId="8">
    <w:abstractNumId w:val="1"/>
  </w:num>
  <w:num w:numId="9">
    <w:abstractNumId w:val="0"/>
  </w:num>
  <w:num w:numId="1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9"/>
  </w:num>
  <w:num w:numId="28">
    <w:abstractNumId w:val="12"/>
  </w:num>
  <w:num w:numId="29">
    <w:abstractNumId w:val="21"/>
  </w:num>
  <w:num w:numId="30">
    <w:abstractNumId w:val="11"/>
  </w:num>
  <w:num w:numId="31">
    <w:abstractNumId w:val="13"/>
  </w:num>
  <w:num w:numId="32">
    <w:abstractNumId w:val="14"/>
  </w:num>
  <w:num w:numId="33">
    <w:abstractNumId w:val="9"/>
  </w:num>
  <w:num w:numId="34">
    <w:abstractNumId w:val="20"/>
  </w:num>
  <w:num w:numId="35">
    <w:abstractNumId w:val="8"/>
  </w:num>
  <w:num w:numId="36">
    <w:abstractNumId w:val="15"/>
  </w:num>
  <w:num w:numId="37">
    <w:abstractNumId w:val="17"/>
  </w:num>
  <w:num w:numId="38">
    <w:abstractNumId w:val="18"/>
  </w:num>
  <w:num w:numId="39">
    <w:abstractNumId w:val="10"/>
  </w:num>
  <w:num w:numId="40">
    <w:abstractNumId w:val="16"/>
  </w:num>
  <w:num w:numId="41">
    <w:abstractNumId w:val="22"/>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hideSpellingErrors/>
  <w:hideGrammaticalErrors/>
  <w:attachedTemplate r:id="rId1"/>
  <w:revisionView w:markup="0"/>
  <w:defaultTabStop w:val="720"/>
  <w:hyphenationZone w:val="425"/>
  <w:characterSpacingControl w:val="doNotCompress"/>
  <w:hdrShapeDefaults>
    <o:shapedefaults v:ext="edit" spidmax="205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QCDateTime" w:val="2024-12-03 16:48:41"/>
    <w:docVar w:name="DQCResult_Distribution" w:val="0;0"/>
    <w:docVar w:name="DQCResult_DocumentContent" w:val="0;0"/>
    <w:docVar w:name="DQCResult_DocumentSize" w:val="0;0"/>
    <w:docVar w:name="DQCResult_InvalidFootnotes" w:val="0;0"/>
    <w:docVar w:name="DQCResult_ModifiedMarkers" w:val="0;0"/>
    <w:docVar w:name="DQCResult_ModifiedNumbering" w:val="0;0"/>
    <w:docVar w:name="DQCResult_Objects" w:val="0;0"/>
    <w:docVar w:name="DQCResult_StructureCheck" w:val="0;0"/>
    <w:docVar w:name="DQCStatus" w:val="Green"/>
    <w:docVar w:name="DQCVersion" w:val="3"/>
    <w:docVar w:name="DQCWithWarnings" w:val="0"/>
    <w:docVar w:name="LW_CORRIGENDUM" w:val="&lt;UNUSED&gt;"/>
    <w:docVar w:name="LW_COVERPAGE_EXISTS" w:val="True"/>
    <w:docVar w:name="LW_COVERPAGE_GUID" w:val="0ABAE210-89F3-4BA9-8E43-A8A5D17516DD"/>
    <w:docVar w:name="LW_COVERPAGE_TYPE" w:val="1"/>
    <w:docVar w:name="LW_CROSSREFERENCE" w:val="&lt;UNUSED&gt;"/>
    <w:docVar w:name="LW_DATE.ADOPT.CP" w:val="z dnia 29.11.2024 r."/>
    <w:docVar w:name="LW_DATE.ADOPT.CP_DATEFORMAT" w:val="z dnia %DATE% r."/>
    <w:docVar w:name="LW_DATE.ADOPT.CP_ISODATE" w:val="2024-11-29"/>
    <w:docVar w:name="LW_DocType" w:val="COM"/>
    <w:docVar w:name="LW_EMISSION" w:val="29.11.2024"/>
    <w:docVar w:name="LW_EMISSION_ISODATE" w:val="2024-11-29"/>
    <w:docVar w:name="LW_EMISSION_LOCATION" w:val="BRX"/>
    <w:docVar w:name="LW_EMISSION_PREFIX" w:val="Bruksela, dnia "/>
    <w:docVar w:name="LW_EMISSION_SUFFIX" w:val=" r."/>
    <w:docVar w:name="LW_ID_DOCMODEL" w:val="SJ-004"/>
    <w:docVar w:name="LW_ID_DOCSIGNATURE" w:val="SJ-004"/>
    <w:docVar w:name="LW_ID_DOCSTRUCTURE" w:val="COM/AA"/>
    <w:docVar w:name="LW_ID_DOCTYPE" w:val="SJ-004"/>
    <w:docVar w:name="LW_INTERETEEE.CP" w:val="(Tekst maj\u261?cy znaczenie dla EOG)"/>
    <w:docVar w:name="LW_LANGUE" w:val="PL"/>
    <w:docVar w:name="LW_LANGUESFAISANTFOI.CP" w:val="&lt;UNUSED&gt;"/>
    <w:docVar w:name="LW_LEVEL_OF_SENSITIVITY" w:val="Standard treatment"/>
    <w:docVar w:name="LW_NOM.INST" w:val="KOMISJA EUROPEJSKA"/>
    <w:docVar w:name="LW_NOM.INST_JOINTDOC" w:val="&lt;EMPTY&gt;"/>
    <w:docVar w:name="LW_PART_NBR" w:val="1"/>
    <w:docVar w:name="LW_PART_NBR_TOTAL" w:val="1"/>
    <w:docVar w:name="LW_REF.INST.NEW" w:val="C"/>
    <w:docVar w:name="LW_REF.INST.NEW_ADOPTED" w:val="final"/>
    <w:docVar w:name="LW_REF.INST.NEW_TEXT" w:val="(2024) 8389"/>
    <w:docVar w:name="LW_REF.INTERNE" w:val="&lt;UNUSED&gt;"/>
    <w:docVar w:name="LW_SENSITIVITY" w:val="&lt;?xml version=&quot;1.0&quot; encoding=&quot;utf-8&quot;?&gt;_x000d__x000a_&lt;SensitivityLevel xmlns:xsd=&quot;http://www.w3.org/2001/XMLSchema&quot; xmlns:xsi=&quot;http://www.w3.org/2001/XMLSchema-instance&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ITRE.OBJ.CP" w:val="ustanawiaj\u261?ce wykonawcze standardy techniczne do celów stosowania rozporz\u261?dzenia Parlamentu Europejskiego i Rady (UE) nr 575/2013 w odniesieniu do sprawozda\u324? nadzorczych instytucji oraz uchylaj\u261?ce rozporz\u261?dzenie wykonawcze Komisji (UE) 2021/451"/>
    <w:docVar w:name="LW_TYPE.DOC.CP" w:val="ROZPORZ\u260?DZENIE WYKONAWCZE KOMISJI (UE) \u8230?/\u8230?"/>
    <w:docVar w:name="LwApiVersions" w:val="LW4CoDe 1.24.5.0; LW 9.0, Build 20240221"/>
  </w:docVars>
  <w:rsids>
    <w:rsidRoot w:val="00185C9B"/>
    <w:rsid w:val="00003FD2"/>
    <w:rsid w:val="000056CB"/>
    <w:rsid w:val="000101DC"/>
    <w:rsid w:val="0001201C"/>
    <w:rsid w:val="00014616"/>
    <w:rsid w:val="00021F1C"/>
    <w:rsid w:val="00022799"/>
    <w:rsid w:val="00023BBA"/>
    <w:rsid w:val="000242E5"/>
    <w:rsid w:val="0003337A"/>
    <w:rsid w:val="00033A90"/>
    <w:rsid w:val="0004265D"/>
    <w:rsid w:val="00054698"/>
    <w:rsid w:val="00063140"/>
    <w:rsid w:val="00063B91"/>
    <w:rsid w:val="0007406B"/>
    <w:rsid w:val="00090CF8"/>
    <w:rsid w:val="00094A50"/>
    <w:rsid w:val="00096030"/>
    <w:rsid w:val="000969E7"/>
    <w:rsid w:val="0009776A"/>
    <w:rsid w:val="000A0959"/>
    <w:rsid w:val="000A5A92"/>
    <w:rsid w:val="000B3834"/>
    <w:rsid w:val="000B5F14"/>
    <w:rsid w:val="000B6359"/>
    <w:rsid w:val="000B7A7D"/>
    <w:rsid w:val="000D0FBD"/>
    <w:rsid w:val="000E2BE4"/>
    <w:rsid w:val="000E322D"/>
    <w:rsid w:val="000E7F06"/>
    <w:rsid w:val="000F048B"/>
    <w:rsid w:val="000F1D59"/>
    <w:rsid w:val="000F4553"/>
    <w:rsid w:val="000F5411"/>
    <w:rsid w:val="000F605E"/>
    <w:rsid w:val="001013A3"/>
    <w:rsid w:val="00104B3F"/>
    <w:rsid w:val="00107851"/>
    <w:rsid w:val="00110740"/>
    <w:rsid w:val="001138ED"/>
    <w:rsid w:val="001146F1"/>
    <w:rsid w:val="00121CA9"/>
    <w:rsid w:val="0012308D"/>
    <w:rsid w:val="00125D5A"/>
    <w:rsid w:val="00130115"/>
    <w:rsid w:val="001307F6"/>
    <w:rsid w:val="001327BF"/>
    <w:rsid w:val="00134C2F"/>
    <w:rsid w:val="00136410"/>
    <w:rsid w:val="00145258"/>
    <w:rsid w:val="00146F8B"/>
    <w:rsid w:val="00152894"/>
    <w:rsid w:val="001550A0"/>
    <w:rsid w:val="001606DF"/>
    <w:rsid w:val="00164DBC"/>
    <w:rsid w:val="00167539"/>
    <w:rsid w:val="0017005F"/>
    <w:rsid w:val="00170836"/>
    <w:rsid w:val="0017149C"/>
    <w:rsid w:val="00173889"/>
    <w:rsid w:val="001745EE"/>
    <w:rsid w:val="00175E52"/>
    <w:rsid w:val="00177A57"/>
    <w:rsid w:val="00177A5E"/>
    <w:rsid w:val="001810AC"/>
    <w:rsid w:val="00185C9B"/>
    <w:rsid w:val="001960EB"/>
    <w:rsid w:val="00197BF3"/>
    <w:rsid w:val="001A171F"/>
    <w:rsid w:val="001A374D"/>
    <w:rsid w:val="001A3988"/>
    <w:rsid w:val="001A4C21"/>
    <w:rsid w:val="001A4C40"/>
    <w:rsid w:val="001B1BA3"/>
    <w:rsid w:val="001B1C0C"/>
    <w:rsid w:val="001B3873"/>
    <w:rsid w:val="001B6542"/>
    <w:rsid w:val="001C239B"/>
    <w:rsid w:val="001C53DC"/>
    <w:rsid w:val="001C651B"/>
    <w:rsid w:val="001D2A25"/>
    <w:rsid w:val="001D68BA"/>
    <w:rsid w:val="001D6DE5"/>
    <w:rsid w:val="001D71A4"/>
    <w:rsid w:val="001E2525"/>
    <w:rsid w:val="001E42D2"/>
    <w:rsid w:val="001E507A"/>
    <w:rsid w:val="001F6905"/>
    <w:rsid w:val="001F7F57"/>
    <w:rsid w:val="00202388"/>
    <w:rsid w:val="00203565"/>
    <w:rsid w:val="00205B8F"/>
    <w:rsid w:val="00207F3C"/>
    <w:rsid w:val="0022064C"/>
    <w:rsid w:val="0022374B"/>
    <w:rsid w:val="00225340"/>
    <w:rsid w:val="00225BF9"/>
    <w:rsid w:val="00247A56"/>
    <w:rsid w:val="00254791"/>
    <w:rsid w:val="00255011"/>
    <w:rsid w:val="002553B0"/>
    <w:rsid w:val="00256265"/>
    <w:rsid w:val="0025706D"/>
    <w:rsid w:val="00260A30"/>
    <w:rsid w:val="002612F8"/>
    <w:rsid w:val="002622C6"/>
    <w:rsid w:val="002632D6"/>
    <w:rsid w:val="00266139"/>
    <w:rsid w:val="00270F1F"/>
    <w:rsid w:val="00274E59"/>
    <w:rsid w:val="00275640"/>
    <w:rsid w:val="00276E76"/>
    <w:rsid w:val="002823A7"/>
    <w:rsid w:val="00285D36"/>
    <w:rsid w:val="00290C23"/>
    <w:rsid w:val="00296756"/>
    <w:rsid w:val="002A3AE8"/>
    <w:rsid w:val="002A7D3F"/>
    <w:rsid w:val="002B5C90"/>
    <w:rsid w:val="002C2407"/>
    <w:rsid w:val="002C2709"/>
    <w:rsid w:val="002C3391"/>
    <w:rsid w:val="002C5610"/>
    <w:rsid w:val="002C59BC"/>
    <w:rsid w:val="002E7649"/>
    <w:rsid w:val="002F5DF7"/>
    <w:rsid w:val="0030362C"/>
    <w:rsid w:val="003040A6"/>
    <w:rsid w:val="0031277F"/>
    <w:rsid w:val="003147CF"/>
    <w:rsid w:val="00316878"/>
    <w:rsid w:val="003168F4"/>
    <w:rsid w:val="00316ABB"/>
    <w:rsid w:val="00325BE5"/>
    <w:rsid w:val="00325C87"/>
    <w:rsid w:val="003306BD"/>
    <w:rsid w:val="0033133E"/>
    <w:rsid w:val="00335A91"/>
    <w:rsid w:val="00335EE8"/>
    <w:rsid w:val="00342AA4"/>
    <w:rsid w:val="00343CCC"/>
    <w:rsid w:val="003502C6"/>
    <w:rsid w:val="00364BC6"/>
    <w:rsid w:val="00375AD2"/>
    <w:rsid w:val="00377D93"/>
    <w:rsid w:val="003808D8"/>
    <w:rsid w:val="00380C32"/>
    <w:rsid w:val="00383690"/>
    <w:rsid w:val="003841BB"/>
    <w:rsid w:val="003871A3"/>
    <w:rsid w:val="003938E1"/>
    <w:rsid w:val="0039554C"/>
    <w:rsid w:val="00396ACD"/>
    <w:rsid w:val="00397F7B"/>
    <w:rsid w:val="003A0727"/>
    <w:rsid w:val="003A6B2D"/>
    <w:rsid w:val="003B423F"/>
    <w:rsid w:val="003B5FFE"/>
    <w:rsid w:val="003B7444"/>
    <w:rsid w:val="003C5478"/>
    <w:rsid w:val="003D0F78"/>
    <w:rsid w:val="003D2BEA"/>
    <w:rsid w:val="003D338D"/>
    <w:rsid w:val="003D35EA"/>
    <w:rsid w:val="003D411A"/>
    <w:rsid w:val="003D5853"/>
    <w:rsid w:val="003E4FF2"/>
    <w:rsid w:val="003E6001"/>
    <w:rsid w:val="003E7E9B"/>
    <w:rsid w:val="003F3A18"/>
    <w:rsid w:val="003F44DA"/>
    <w:rsid w:val="004021EE"/>
    <w:rsid w:val="00402C69"/>
    <w:rsid w:val="004104C4"/>
    <w:rsid w:val="004141DB"/>
    <w:rsid w:val="00414772"/>
    <w:rsid w:val="00425E7F"/>
    <w:rsid w:val="00431A8F"/>
    <w:rsid w:val="00433221"/>
    <w:rsid w:val="00437AA5"/>
    <w:rsid w:val="004411FE"/>
    <w:rsid w:val="00442C8E"/>
    <w:rsid w:val="00445295"/>
    <w:rsid w:val="00445F3E"/>
    <w:rsid w:val="00450B31"/>
    <w:rsid w:val="004534F7"/>
    <w:rsid w:val="004551DB"/>
    <w:rsid w:val="0046097C"/>
    <w:rsid w:val="00464F13"/>
    <w:rsid w:val="0046608A"/>
    <w:rsid w:val="0047412A"/>
    <w:rsid w:val="00474EA8"/>
    <w:rsid w:val="00477A8A"/>
    <w:rsid w:val="0048249F"/>
    <w:rsid w:val="00484657"/>
    <w:rsid w:val="00486F20"/>
    <w:rsid w:val="004922D0"/>
    <w:rsid w:val="00492396"/>
    <w:rsid w:val="004970C2"/>
    <w:rsid w:val="004974C2"/>
    <w:rsid w:val="004A2117"/>
    <w:rsid w:val="004A2996"/>
    <w:rsid w:val="004A4852"/>
    <w:rsid w:val="004A4960"/>
    <w:rsid w:val="004A4F90"/>
    <w:rsid w:val="004A5EF7"/>
    <w:rsid w:val="004B3787"/>
    <w:rsid w:val="004C0E4F"/>
    <w:rsid w:val="004C1492"/>
    <w:rsid w:val="004C167A"/>
    <w:rsid w:val="004D1F73"/>
    <w:rsid w:val="004D2785"/>
    <w:rsid w:val="004E19F9"/>
    <w:rsid w:val="004E1AD9"/>
    <w:rsid w:val="004E34A8"/>
    <w:rsid w:val="004F19CF"/>
    <w:rsid w:val="004F234A"/>
    <w:rsid w:val="004F3F0D"/>
    <w:rsid w:val="004F6DA7"/>
    <w:rsid w:val="004F7309"/>
    <w:rsid w:val="005043A6"/>
    <w:rsid w:val="0050644C"/>
    <w:rsid w:val="0050785B"/>
    <w:rsid w:val="00510D64"/>
    <w:rsid w:val="00513A20"/>
    <w:rsid w:val="00514E02"/>
    <w:rsid w:val="00517205"/>
    <w:rsid w:val="005201E3"/>
    <w:rsid w:val="00526286"/>
    <w:rsid w:val="0052676E"/>
    <w:rsid w:val="00526A35"/>
    <w:rsid w:val="00532111"/>
    <w:rsid w:val="005350A9"/>
    <w:rsid w:val="005400F8"/>
    <w:rsid w:val="00542487"/>
    <w:rsid w:val="00543118"/>
    <w:rsid w:val="00546D74"/>
    <w:rsid w:val="00547A09"/>
    <w:rsid w:val="0055701A"/>
    <w:rsid w:val="00557F8A"/>
    <w:rsid w:val="0056622A"/>
    <w:rsid w:val="00567DA4"/>
    <w:rsid w:val="00570D76"/>
    <w:rsid w:val="00580163"/>
    <w:rsid w:val="00580885"/>
    <w:rsid w:val="00582810"/>
    <w:rsid w:val="00587038"/>
    <w:rsid w:val="00590247"/>
    <w:rsid w:val="00591FD5"/>
    <w:rsid w:val="0059248C"/>
    <w:rsid w:val="00595540"/>
    <w:rsid w:val="00595D70"/>
    <w:rsid w:val="005A043A"/>
    <w:rsid w:val="005A09A3"/>
    <w:rsid w:val="005A1FBC"/>
    <w:rsid w:val="005A4284"/>
    <w:rsid w:val="005A4AF3"/>
    <w:rsid w:val="005A5845"/>
    <w:rsid w:val="005B028E"/>
    <w:rsid w:val="005B5FA6"/>
    <w:rsid w:val="005C0510"/>
    <w:rsid w:val="005C1715"/>
    <w:rsid w:val="005C2B0C"/>
    <w:rsid w:val="005C354C"/>
    <w:rsid w:val="005C534B"/>
    <w:rsid w:val="005C55AA"/>
    <w:rsid w:val="005D2216"/>
    <w:rsid w:val="005E47FE"/>
    <w:rsid w:val="005E56B3"/>
    <w:rsid w:val="005E59CA"/>
    <w:rsid w:val="005F0C68"/>
    <w:rsid w:val="005F0F00"/>
    <w:rsid w:val="005F5679"/>
    <w:rsid w:val="00601584"/>
    <w:rsid w:val="00604792"/>
    <w:rsid w:val="00615C62"/>
    <w:rsid w:val="0061653D"/>
    <w:rsid w:val="00631E12"/>
    <w:rsid w:val="00635B91"/>
    <w:rsid w:val="00641866"/>
    <w:rsid w:val="006427FA"/>
    <w:rsid w:val="00642A74"/>
    <w:rsid w:val="00644824"/>
    <w:rsid w:val="00647E0C"/>
    <w:rsid w:val="00651059"/>
    <w:rsid w:val="00651067"/>
    <w:rsid w:val="006510E8"/>
    <w:rsid w:val="00657E98"/>
    <w:rsid w:val="0066303A"/>
    <w:rsid w:val="00664BEE"/>
    <w:rsid w:val="006654AB"/>
    <w:rsid w:val="006666E7"/>
    <w:rsid w:val="006722FE"/>
    <w:rsid w:val="00673B7D"/>
    <w:rsid w:val="006749A0"/>
    <w:rsid w:val="00675E5F"/>
    <w:rsid w:val="006809F6"/>
    <w:rsid w:val="00680ECA"/>
    <w:rsid w:val="00681E42"/>
    <w:rsid w:val="00684635"/>
    <w:rsid w:val="006911D6"/>
    <w:rsid w:val="006913ED"/>
    <w:rsid w:val="006923D3"/>
    <w:rsid w:val="006937B3"/>
    <w:rsid w:val="00694B39"/>
    <w:rsid w:val="0069739B"/>
    <w:rsid w:val="006A234A"/>
    <w:rsid w:val="006A25A8"/>
    <w:rsid w:val="006A4410"/>
    <w:rsid w:val="006A58E0"/>
    <w:rsid w:val="006B2486"/>
    <w:rsid w:val="006B3B09"/>
    <w:rsid w:val="006B55F5"/>
    <w:rsid w:val="006C0089"/>
    <w:rsid w:val="006C0503"/>
    <w:rsid w:val="006C173C"/>
    <w:rsid w:val="006C2BF7"/>
    <w:rsid w:val="006C431D"/>
    <w:rsid w:val="006C7F7A"/>
    <w:rsid w:val="006D000B"/>
    <w:rsid w:val="006D06B5"/>
    <w:rsid w:val="006D5414"/>
    <w:rsid w:val="006D598F"/>
    <w:rsid w:val="006D758D"/>
    <w:rsid w:val="006E00F3"/>
    <w:rsid w:val="006E06B8"/>
    <w:rsid w:val="006E48B5"/>
    <w:rsid w:val="006E52DB"/>
    <w:rsid w:val="006F021F"/>
    <w:rsid w:val="006F262E"/>
    <w:rsid w:val="006F753D"/>
    <w:rsid w:val="006F77EF"/>
    <w:rsid w:val="006F7EFE"/>
    <w:rsid w:val="0070157B"/>
    <w:rsid w:val="00701972"/>
    <w:rsid w:val="007051E2"/>
    <w:rsid w:val="0071075C"/>
    <w:rsid w:val="00710CFD"/>
    <w:rsid w:val="0071204F"/>
    <w:rsid w:val="00712164"/>
    <w:rsid w:val="0071679E"/>
    <w:rsid w:val="00716EA9"/>
    <w:rsid w:val="00720DF3"/>
    <w:rsid w:val="007255D8"/>
    <w:rsid w:val="007312BD"/>
    <w:rsid w:val="007347F0"/>
    <w:rsid w:val="007406BA"/>
    <w:rsid w:val="00740AD1"/>
    <w:rsid w:val="00743E00"/>
    <w:rsid w:val="00745A2E"/>
    <w:rsid w:val="00750D11"/>
    <w:rsid w:val="0075319D"/>
    <w:rsid w:val="00754BBF"/>
    <w:rsid w:val="00755173"/>
    <w:rsid w:val="00760D16"/>
    <w:rsid w:val="007630AA"/>
    <w:rsid w:val="007631EE"/>
    <w:rsid w:val="007643C7"/>
    <w:rsid w:val="00767D3C"/>
    <w:rsid w:val="00771A25"/>
    <w:rsid w:val="007765F1"/>
    <w:rsid w:val="00782966"/>
    <w:rsid w:val="00785B49"/>
    <w:rsid w:val="007875AC"/>
    <w:rsid w:val="00790F28"/>
    <w:rsid w:val="007920CD"/>
    <w:rsid w:val="00792F11"/>
    <w:rsid w:val="00797855"/>
    <w:rsid w:val="007A0A93"/>
    <w:rsid w:val="007A521E"/>
    <w:rsid w:val="007B2DC3"/>
    <w:rsid w:val="007B328E"/>
    <w:rsid w:val="007B33F1"/>
    <w:rsid w:val="007B3500"/>
    <w:rsid w:val="007C118A"/>
    <w:rsid w:val="007C2C98"/>
    <w:rsid w:val="007D0861"/>
    <w:rsid w:val="007D08AC"/>
    <w:rsid w:val="007D08DC"/>
    <w:rsid w:val="007D28C9"/>
    <w:rsid w:val="007D7D1F"/>
    <w:rsid w:val="007E010B"/>
    <w:rsid w:val="007E3A18"/>
    <w:rsid w:val="007E489F"/>
    <w:rsid w:val="007E5A60"/>
    <w:rsid w:val="007F0C5D"/>
    <w:rsid w:val="007F5EE6"/>
    <w:rsid w:val="00801517"/>
    <w:rsid w:val="008029E7"/>
    <w:rsid w:val="00802FC2"/>
    <w:rsid w:val="00805DFE"/>
    <w:rsid w:val="00810F63"/>
    <w:rsid w:val="00816CB0"/>
    <w:rsid w:val="0082788C"/>
    <w:rsid w:val="008304EC"/>
    <w:rsid w:val="00831B75"/>
    <w:rsid w:val="00831BBF"/>
    <w:rsid w:val="0083639F"/>
    <w:rsid w:val="008411A4"/>
    <w:rsid w:val="00845534"/>
    <w:rsid w:val="00851A05"/>
    <w:rsid w:val="0085568D"/>
    <w:rsid w:val="0085650B"/>
    <w:rsid w:val="00861384"/>
    <w:rsid w:val="008627D4"/>
    <w:rsid w:val="008637D8"/>
    <w:rsid w:val="00865222"/>
    <w:rsid w:val="00866BF9"/>
    <w:rsid w:val="00872F95"/>
    <w:rsid w:val="00875C3C"/>
    <w:rsid w:val="0088235A"/>
    <w:rsid w:val="0089773F"/>
    <w:rsid w:val="008A0DDB"/>
    <w:rsid w:val="008A1AAC"/>
    <w:rsid w:val="008A53EE"/>
    <w:rsid w:val="008B158E"/>
    <w:rsid w:val="008B57C8"/>
    <w:rsid w:val="008C205C"/>
    <w:rsid w:val="008D4069"/>
    <w:rsid w:val="008D53CD"/>
    <w:rsid w:val="008D5A0B"/>
    <w:rsid w:val="008E2694"/>
    <w:rsid w:val="008E613C"/>
    <w:rsid w:val="008F241F"/>
    <w:rsid w:val="008F2CA3"/>
    <w:rsid w:val="008F42CF"/>
    <w:rsid w:val="008F5CF8"/>
    <w:rsid w:val="00903919"/>
    <w:rsid w:val="0090605B"/>
    <w:rsid w:val="00912A7E"/>
    <w:rsid w:val="00912B9C"/>
    <w:rsid w:val="0092082A"/>
    <w:rsid w:val="00921097"/>
    <w:rsid w:val="00923761"/>
    <w:rsid w:val="00924D2A"/>
    <w:rsid w:val="00937ADE"/>
    <w:rsid w:val="00940731"/>
    <w:rsid w:val="009429E7"/>
    <w:rsid w:val="00947753"/>
    <w:rsid w:val="009521D6"/>
    <w:rsid w:val="009522F9"/>
    <w:rsid w:val="00955D22"/>
    <w:rsid w:val="00960E38"/>
    <w:rsid w:val="009642A4"/>
    <w:rsid w:val="009656FE"/>
    <w:rsid w:val="0097132F"/>
    <w:rsid w:val="00975991"/>
    <w:rsid w:val="00976D4D"/>
    <w:rsid w:val="0098135E"/>
    <w:rsid w:val="0098245E"/>
    <w:rsid w:val="00983A68"/>
    <w:rsid w:val="00991863"/>
    <w:rsid w:val="009957C5"/>
    <w:rsid w:val="00995E51"/>
    <w:rsid w:val="009A64A3"/>
    <w:rsid w:val="009B58C4"/>
    <w:rsid w:val="009C2316"/>
    <w:rsid w:val="009C3E52"/>
    <w:rsid w:val="009F50D2"/>
    <w:rsid w:val="009F7AE0"/>
    <w:rsid w:val="00A007ED"/>
    <w:rsid w:val="00A0651D"/>
    <w:rsid w:val="00A164F4"/>
    <w:rsid w:val="00A169B0"/>
    <w:rsid w:val="00A206EB"/>
    <w:rsid w:val="00A20ED1"/>
    <w:rsid w:val="00A21851"/>
    <w:rsid w:val="00A23478"/>
    <w:rsid w:val="00A24821"/>
    <w:rsid w:val="00A2538C"/>
    <w:rsid w:val="00A4180A"/>
    <w:rsid w:val="00A41976"/>
    <w:rsid w:val="00A42949"/>
    <w:rsid w:val="00A50DF2"/>
    <w:rsid w:val="00A565C7"/>
    <w:rsid w:val="00A60700"/>
    <w:rsid w:val="00A611CA"/>
    <w:rsid w:val="00A639F3"/>
    <w:rsid w:val="00A64E55"/>
    <w:rsid w:val="00A64EF8"/>
    <w:rsid w:val="00A678AE"/>
    <w:rsid w:val="00A76462"/>
    <w:rsid w:val="00A776DA"/>
    <w:rsid w:val="00A8524F"/>
    <w:rsid w:val="00A904EB"/>
    <w:rsid w:val="00A93792"/>
    <w:rsid w:val="00A93F42"/>
    <w:rsid w:val="00A9455A"/>
    <w:rsid w:val="00A964E2"/>
    <w:rsid w:val="00A97754"/>
    <w:rsid w:val="00AA5484"/>
    <w:rsid w:val="00AB5213"/>
    <w:rsid w:val="00AB6D3F"/>
    <w:rsid w:val="00AC52EE"/>
    <w:rsid w:val="00AC593C"/>
    <w:rsid w:val="00AC5E88"/>
    <w:rsid w:val="00AC645A"/>
    <w:rsid w:val="00AD01DF"/>
    <w:rsid w:val="00AD0C2E"/>
    <w:rsid w:val="00AD2C90"/>
    <w:rsid w:val="00AD2DBC"/>
    <w:rsid w:val="00AD36D8"/>
    <w:rsid w:val="00AD54BA"/>
    <w:rsid w:val="00AD647C"/>
    <w:rsid w:val="00AE360F"/>
    <w:rsid w:val="00AE3B0A"/>
    <w:rsid w:val="00AE44DA"/>
    <w:rsid w:val="00AF4E50"/>
    <w:rsid w:val="00AF5BC0"/>
    <w:rsid w:val="00B005DB"/>
    <w:rsid w:val="00B04F7D"/>
    <w:rsid w:val="00B07019"/>
    <w:rsid w:val="00B148A5"/>
    <w:rsid w:val="00B15B78"/>
    <w:rsid w:val="00B20466"/>
    <w:rsid w:val="00B214C0"/>
    <w:rsid w:val="00B2424E"/>
    <w:rsid w:val="00B25085"/>
    <w:rsid w:val="00B2583B"/>
    <w:rsid w:val="00B273F1"/>
    <w:rsid w:val="00B33DCF"/>
    <w:rsid w:val="00B4020A"/>
    <w:rsid w:val="00B4139F"/>
    <w:rsid w:val="00B46CF9"/>
    <w:rsid w:val="00B47406"/>
    <w:rsid w:val="00B55A25"/>
    <w:rsid w:val="00B62075"/>
    <w:rsid w:val="00B670E6"/>
    <w:rsid w:val="00B70B8F"/>
    <w:rsid w:val="00B87166"/>
    <w:rsid w:val="00B92FD3"/>
    <w:rsid w:val="00B94BED"/>
    <w:rsid w:val="00B9619E"/>
    <w:rsid w:val="00BA287E"/>
    <w:rsid w:val="00BA571D"/>
    <w:rsid w:val="00BA7013"/>
    <w:rsid w:val="00BA7B51"/>
    <w:rsid w:val="00BB2DDF"/>
    <w:rsid w:val="00BB464A"/>
    <w:rsid w:val="00BB5A0F"/>
    <w:rsid w:val="00BB7AD0"/>
    <w:rsid w:val="00BC0D6B"/>
    <w:rsid w:val="00BC2F78"/>
    <w:rsid w:val="00BC336A"/>
    <w:rsid w:val="00BC6406"/>
    <w:rsid w:val="00BC71A2"/>
    <w:rsid w:val="00BD13FC"/>
    <w:rsid w:val="00BD5B52"/>
    <w:rsid w:val="00BD7FDC"/>
    <w:rsid w:val="00BE5060"/>
    <w:rsid w:val="00BF12F3"/>
    <w:rsid w:val="00BF3A76"/>
    <w:rsid w:val="00BF5A08"/>
    <w:rsid w:val="00BF6649"/>
    <w:rsid w:val="00C02E45"/>
    <w:rsid w:val="00C04B49"/>
    <w:rsid w:val="00C23DB8"/>
    <w:rsid w:val="00C26E6A"/>
    <w:rsid w:val="00C32879"/>
    <w:rsid w:val="00C32A28"/>
    <w:rsid w:val="00C32BE3"/>
    <w:rsid w:val="00C33595"/>
    <w:rsid w:val="00C34339"/>
    <w:rsid w:val="00C37160"/>
    <w:rsid w:val="00C3731F"/>
    <w:rsid w:val="00C42B32"/>
    <w:rsid w:val="00C47A46"/>
    <w:rsid w:val="00C53A24"/>
    <w:rsid w:val="00C567C8"/>
    <w:rsid w:val="00C57DA8"/>
    <w:rsid w:val="00C61EAD"/>
    <w:rsid w:val="00C62414"/>
    <w:rsid w:val="00C67CBC"/>
    <w:rsid w:val="00C701C9"/>
    <w:rsid w:val="00C7125C"/>
    <w:rsid w:val="00C83B23"/>
    <w:rsid w:val="00C84427"/>
    <w:rsid w:val="00C856B2"/>
    <w:rsid w:val="00C85783"/>
    <w:rsid w:val="00C86651"/>
    <w:rsid w:val="00C92528"/>
    <w:rsid w:val="00C9690E"/>
    <w:rsid w:val="00CA2BB2"/>
    <w:rsid w:val="00CB4B88"/>
    <w:rsid w:val="00CB5055"/>
    <w:rsid w:val="00CB612F"/>
    <w:rsid w:val="00CB657C"/>
    <w:rsid w:val="00CC206D"/>
    <w:rsid w:val="00CD0D79"/>
    <w:rsid w:val="00CD161A"/>
    <w:rsid w:val="00CD3EED"/>
    <w:rsid w:val="00CD4C29"/>
    <w:rsid w:val="00CD4E7C"/>
    <w:rsid w:val="00CE208C"/>
    <w:rsid w:val="00CE5226"/>
    <w:rsid w:val="00CF184E"/>
    <w:rsid w:val="00CF366F"/>
    <w:rsid w:val="00CF432C"/>
    <w:rsid w:val="00CF5A9C"/>
    <w:rsid w:val="00D0700C"/>
    <w:rsid w:val="00D10EE2"/>
    <w:rsid w:val="00D11277"/>
    <w:rsid w:val="00D14967"/>
    <w:rsid w:val="00D22CBB"/>
    <w:rsid w:val="00D26D77"/>
    <w:rsid w:val="00D311FE"/>
    <w:rsid w:val="00D31320"/>
    <w:rsid w:val="00D323FB"/>
    <w:rsid w:val="00D32F8A"/>
    <w:rsid w:val="00D33C53"/>
    <w:rsid w:val="00D3572A"/>
    <w:rsid w:val="00D36226"/>
    <w:rsid w:val="00D43487"/>
    <w:rsid w:val="00D44B55"/>
    <w:rsid w:val="00D538F2"/>
    <w:rsid w:val="00D53C7A"/>
    <w:rsid w:val="00D54A2A"/>
    <w:rsid w:val="00D60700"/>
    <w:rsid w:val="00D61A8B"/>
    <w:rsid w:val="00D62A44"/>
    <w:rsid w:val="00D637BD"/>
    <w:rsid w:val="00D65541"/>
    <w:rsid w:val="00D66512"/>
    <w:rsid w:val="00D7091C"/>
    <w:rsid w:val="00D75B17"/>
    <w:rsid w:val="00D77676"/>
    <w:rsid w:val="00D8126A"/>
    <w:rsid w:val="00D82A0D"/>
    <w:rsid w:val="00D83AA0"/>
    <w:rsid w:val="00D84BC5"/>
    <w:rsid w:val="00DA0641"/>
    <w:rsid w:val="00DA3417"/>
    <w:rsid w:val="00DA73AF"/>
    <w:rsid w:val="00DA76F0"/>
    <w:rsid w:val="00DB07B2"/>
    <w:rsid w:val="00DB4B20"/>
    <w:rsid w:val="00DC16FD"/>
    <w:rsid w:val="00DC37AE"/>
    <w:rsid w:val="00DC690F"/>
    <w:rsid w:val="00DD2E6A"/>
    <w:rsid w:val="00DD3048"/>
    <w:rsid w:val="00DE1415"/>
    <w:rsid w:val="00DE6B7D"/>
    <w:rsid w:val="00DF04DE"/>
    <w:rsid w:val="00DF07B1"/>
    <w:rsid w:val="00DF37B2"/>
    <w:rsid w:val="00DF67F9"/>
    <w:rsid w:val="00DF78AB"/>
    <w:rsid w:val="00E014E1"/>
    <w:rsid w:val="00E02779"/>
    <w:rsid w:val="00E05142"/>
    <w:rsid w:val="00E07235"/>
    <w:rsid w:val="00E10AFE"/>
    <w:rsid w:val="00E145F3"/>
    <w:rsid w:val="00E152DE"/>
    <w:rsid w:val="00E2046B"/>
    <w:rsid w:val="00E223FF"/>
    <w:rsid w:val="00E23312"/>
    <w:rsid w:val="00E26BFF"/>
    <w:rsid w:val="00E26FB5"/>
    <w:rsid w:val="00E279D7"/>
    <w:rsid w:val="00E33C9F"/>
    <w:rsid w:val="00E41055"/>
    <w:rsid w:val="00E537F5"/>
    <w:rsid w:val="00E60023"/>
    <w:rsid w:val="00E70327"/>
    <w:rsid w:val="00E767D5"/>
    <w:rsid w:val="00E76FD3"/>
    <w:rsid w:val="00E840C2"/>
    <w:rsid w:val="00E84636"/>
    <w:rsid w:val="00E85170"/>
    <w:rsid w:val="00E856D6"/>
    <w:rsid w:val="00E919BA"/>
    <w:rsid w:val="00E91CD0"/>
    <w:rsid w:val="00E979AB"/>
    <w:rsid w:val="00EA1A16"/>
    <w:rsid w:val="00EA2057"/>
    <w:rsid w:val="00EA2201"/>
    <w:rsid w:val="00EA23FB"/>
    <w:rsid w:val="00EA2BA5"/>
    <w:rsid w:val="00EA349F"/>
    <w:rsid w:val="00EA6265"/>
    <w:rsid w:val="00EA78BA"/>
    <w:rsid w:val="00EC39BC"/>
    <w:rsid w:val="00EC4605"/>
    <w:rsid w:val="00ED01F6"/>
    <w:rsid w:val="00ED0519"/>
    <w:rsid w:val="00ED139D"/>
    <w:rsid w:val="00ED705C"/>
    <w:rsid w:val="00EE0040"/>
    <w:rsid w:val="00EE0099"/>
    <w:rsid w:val="00EE0697"/>
    <w:rsid w:val="00EE077F"/>
    <w:rsid w:val="00EE140B"/>
    <w:rsid w:val="00EE1F96"/>
    <w:rsid w:val="00EE465E"/>
    <w:rsid w:val="00EE4AE8"/>
    <w:rsid w:val="00EE64EA"/>
    <w:rsid w:val="00EE6ABE"/>
    <w:rsid w:val="00EF5BDB"/>
    <w:rsid w:val="00EF5F5E"/>
    <w:rsid w:val="00F02779"/>
    <w:rsid w:val="00F035E5"/>
    <w:rsid w:val="00F0692F"/>
    <w:rsid w:val="00F11016"/>
    <w:rsid w:val="00F207BE"/>
    <w:rsid w:val="00F22954"/>
    <w:rsid w:val="00F36C39"/>
    <w:rsid w:val="00F400DD"/>
    <w:rsid w:val="00F43E3C"/>
    <w:rsid w:val="00F470F0"/>
    <w:rsid w:val="00F505FA"/>
    <w:rsid w:val="00F5752D"/>
    <w:rsid w:val="00F57A08"/>
    <w:rsid w:val="00F6032F"/>
    <w:rsid w:val="00F60599"/>
    <w:rsid w:val="00F60868"/>
    <w:rsid w:val="00F61036"/>
    <w:rsid w:val="00F62E88"/>
    <w:rsid w:val="00F62EED"/>
    <w:rsid w:val="00F67E1D"/>
    <w:rsid w:val="00F80F79"/>
    <w:rsid w:val="00F86BE8"/>
    <w:rsid w:val="00F90071"/>
    <w:rsid w:val="00F908C1"/>
    <w:rsid w:val="00F90E77"/>
    <w:rsid w:val="00F95EC7"/>
    <w:rsid w:val="00FA0D90"/>
    <w:rsid w:val="00FA423C"/>
    <w:rsid w:val="00FB1067"/>
    <w:rsid w:val="00FB327E"/>
    <w:rsid w:val="00FC2396"/>
    <w:rsid w:val="00FC6BE4"/>
    <w:rsid w:val="00FD1889"/>
    <w:rsid w:val="00FD3228"/>
    <w:rsid w:val="00FD69C7"/>
    <w:rsid w:val="00FE05D3"/>
    <w:rsid w:val="00FE134D"/>
    <w:rsid w:val="00FE2924"/>
    <w:rsid w:val="00FF0B41"/>
    <w:rsid w:val="00FF5A5D"/>
    <w:rsid w:val="00FF7BA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2"/>
    </o:shapelayout>
  </w:shapeDefaults>
  <w:decimalSymbol w:val=","/>
  <w:listSeparator w:val=";"/>
  <w15:docId w15:val="{9D649C24-1BB0-478F-AF63-B4CDF936A9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20" w:after="120" w:line="240" w:lineRule="auto"/>
      <w:jc w:val="both"/>
    </w:pPr>
    <w:rPr>
      <w:rFonts w:ascii="Times New Roman" w:hAnsi="Times New Roman" w:cs="Times New Roman"/>
      <w:sz w:val="24"/>
      <w:lang w:val="pl-PL"/>
    </w:rPr>
  </w:style>
  <w:style w:type="paragraph" w:styleId="Heading1">
    <w:name w:val="heading 1"/>
    <w:basedOn w:val="Normal"/>
    <w:next w:val="Text1"/>
    <w:link w:val="Heading1Char"/>
    <w:uiPriority w:val="9"/>
    <w:qFormat/>
    <w:pPr>
      <w:keepNext/>
      <w:numPr>
        <w:numId w:val="34"/>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pPr>
      <w:keepNext/>
      <w:numPr>
        <w:ilvl w:val="1"/>
        <w:numId w:val="34"/>
      </w:numPr>
      <w:outlineLvl w:val="1"/>
    </w:pPr>
    <w:rPr>
      <w:rFonts w:eastAsiaTheme="majorEastAsia"/>
      <w:b/>
      <w:bCs/>
      <w:szCs w:val="26"/>
    </w:rPr>
  </w:style>
  <w:style w:type="paragraph" w:styleId="Heading3">
    <w:name w:val="heading 3"/>
    <w:basedOn w:val="Normal"/>
    <w:next w:val="Text1"/>
    <w:link w:val="Heading3Char"/>
    <w:uiPriority w:val="9"/>
    <w:semiHidden/>
    <w:unhideWhenUsed/>
    <w:qFormat/>
    <w:pPr>
      <w:keepNext/>
      <w:numPr>
        <w:ilvl w:val="2"/>
        <w:numId w:val="34"/>
      </w:numPr>
      <w:outlineLvl w:val="2"/>
    </w:pPr>
    <w:rPr>
      <w:rFonts w:eastAsiaTheme="majorEastAsia"/>
      <w:bCs/>
      <w:i/>
    </w:rPr>
  </w:style>
  <w:style w:type="paragraph" w:styleId="Heading4">
    <w:name w:val="heading 4"/>
    <w:basedOn w:val="Normal"/>
    <w:next w:val="Text1"/>
    <w:link w:val="Heading4Char"/>
    <w:uiPriority w:val="9"/>
    <w:semiHidden/>
    <w:unhideWhenUsed/>
    <w:qFormat/>
    <w:pPr>
      <w:keepNext/>
      <w:numPr>
        <w:ilvl w:val="3"/>
        <w:numId w:val="34"/>
      </w:numPr>
      <w:outlineLvl w:val="3"/>
    </w:pPr>
    <w:rPr>
      <w:rFonts w:eastAsiaTheme="majorEastAsia"/>
      <w:bCs/>
      <w:iCs/>
    </w:rPr>
  </w:style>
  <w:style w:type="paragraph" w:styleId="Heading5">
    <w:name w:val="heading 5"/>
    <w:basedOn w:val="Normal"/>
    <w:next w:val="Text2"/>
    <w:link w:val="Heading5Char"/>
    <w:uiPriority w:val="9"/>
    <w:semiHidden/>
    <w:unhideWhenUsed/>
    <w:qFormat/>
    <w:pPr>
      <w:keepNext/>
      <w:numPr>
        <w:ilvl w:val="4"/>
        <w:numId w:val="34"/>
      </w:numPr>
      <w:outlineLvl w:val="4"/>
    </w:pPr>
    <w:rPr>
      <w:rFonts w:eastAsiaTheme="majorEastAsia"/>
    </w:rPr>
  </w:style>
  <w:style w:type="paragraph" w:styleId="Heading6">
    <w:name w:val="heading 6"/>
    <w:basedOn w:val="Normal"/>
    <w:next w:val="Text2"/>
    <w:link w:val="Heading6Char"/>
    <w:uiPriority w:val="9"/>
    <w:semiHidden/>
    <w:unhideWhenUsed/>
    <w:qFormat/>
    <w:pPr>
      <w:keepNext/>
      <w:numPr>
        <w:ilvl w:val="5"/>
        <w:numId w:val="34"/>
      </w:numPr>
      <w:outlineLvl w:val="5"/>
    </w:pPr>
    <w:rPr>
      <w:rFonts w:eastAsiaTheme="majorEastAsia"/>
      <w:iCs/>
    </w:rPr>
  </w:style>
  <w:style w:type="paragraph" w:styleId="Heading7">
    <w:name w:val="heading 7"/>
    <w:basedOn w:val="Normal"/>
    <w:next w:val="Text2"/>
    <w:link w:val="Heading7Char"/>
    <w:uiPriority w:val="9"/>
    <w:semiHidden/>
    <w:unhideWhenUsed/>
    <w:qFormat/>
    <w:pPr>
      <w:keepNext/>
      <w:numPr>
        <w:ilvl w:val="6"/>
        <w:numId w:val="34"/>
      </w:numPr>
      <w:outlineLvl w:val="6"/>
    </w:pPr>
    <w:rPr>
      <w:rFonts w:eastAsiaTheme="majorEastAsia"/>
      <w:iC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rsid w:val="00185C9B"/>
    <w:pPr>
      <w:numPr>
        <w:numId w:val="1"/>
      </w:numPr>
    </w:pPr>
    <w:rPr>
      <w:rFonts w:eastAsia="Times New Roman"/>
      <w:lang w:eastAsia="en-GB"/>
    </w:rPr>
  </w:style>
  <w:style w:type="character" w:styleId="Hyperlink">
    <w:name w:val="Hyperlink"/>
    <w:basedOn w:val="DefaultParagraphFont"/>
    <w:uiPriority w:val="99"/>
    <w:unhideWhenUsed/>
    <w:rsid w:val="00716EA9"/>
    <w:rPr>
      <w:color w:val="0000FF"/>
      <w:u w:val="single"/>
    </w:rPr>
  </w:style>
  <w:style w:type="paragraph" w:styleId="ListParagraph">
    <w:name w:val="List Paragraph"/>
    <w:basedOn w:val="Normal"/>
    <w:uiPriority w:val="34"/>
    <w:qFormat/>
    <w:rsid w:val="00716EA9"/>
    <w:pPr>
      <w:spacing w:before="0" w:after="160" w:line="259" w:lineRule="auto"/>
      <w:ind w:left="720"/>
      <w:contextualSpacing/>
      <w:jc w:val="left"/>
    </w:pPr>
    <w:rPr>
      <w:rFonts w:asciiTheme="minorHAnsi" w:hAnsiTheme="minorHAnsi" w:cstheme="minorBidi"/>
      <w:kern w:val="2"/>
      <w:sz w:val="22"/>
      <w14:ligatures w14:val="standardContextual"/>
    </w:rPr>
  </w:style>
  <w:style w:type="paragraph" w:customStyle="1" w:styleId="oj-normal">
    <w:name w:val="oj-normal"/>
    <w:basedOn w:val="Normal"/>
    <w:rsid w:val="00716EA9"/>
    <w:pPr>
      <w:spacing w:before="100" w:beforeAutospacing="1" w:after="100" w:afterAutospacing="1"/>
      <w:jc w:val="left"/>
    </w:pPr>
    <w:rPr>
      <w:rFonts w:eastAsia="Times New Roman"/>
      <w:szCs w:val="24"/>
      <w:lang w:eastAsia="en-IE"/>
      <w14:ligatures w14:val="standardContextual"/>
    </w:rPr>
  </w:style>
  <w:style w:type="paragraph" w:customStyle="1" w:styleId="CM4">
    <w:name w:val="CM4"/>
    <w:basedOn w:val="Normal"/>
    <w:next w:val="Normal"/>
    <w:uiPriority w:val="99"/>
    <w:rsid w:val="00716EA9"/>
    <w:pPr>
      <w:autoSpaceDE w:val="0"/>
      <w:autoSpaceDN w:val="0"/>
      <w:adjustRightInd w:val="0"/>
      <w:spacing w:before="0" w:after="0"/>
      <w:jc w:val="left"/>
    </w:pPr>
    <w:rPr>
      <w:szCs w:val="24"/>
      <w14:ligatures w14:val="standardContextual"/>
    </w:rPr>
  </w:style>
  <w:style w:type="character" w:styleId="Emphasis">
    <w:name w:val="Emphasis"/>
    <w:basedOn w:val="DefaultParagraphFont"/>
    <w:uiPriority w:val="20"/>
    <w:qFormat/>
    <w:rsid w:val="00716EA9"/>
    <w:rPr>
      <w:i/>
      <w:iCs/>
    </w:rPr>
  </w:style>
  <w:style w:type="paragraph" w:styleId="Caption">
    <w:name w:val="caption"/>
    <w:basedOn w:val="Normal"/>
    <w:next w:val="Normal"/>
    <w:uiPriority w:val="35"/>
    <w:semiHidden/>
    <w:unhideWhenUsed/>
    <w:qFormat/>
    <w:rsid w:val="002C59BC"/>
    <w:pPr>
      <w:spacing w:before="0" w:after="200"/>
    </w:pPr>
    <w:rPr>
      <w:i/>
      <w:iCs/>
      <w:color w:val="1F497D" w:themeColor="text2"/>
      <w:sz w:val="18"/>
      <w:szCs w:val="18"/>
    </w:rPr>
  </w:style>
  <w:style w:type="paragraph" w:styleId="TableofFigures">
    <w:name w:val="table of figures"/>
    <w:basedOn w:val="Normal"/>
    <w:next w:val="Normal"/>
    <w:uiPriority w:val="99"/>
    <w:semiHidden/>
    <w:unhideWhenUsed/>
    <w:rsid w:val="002C59BC"/>
    <w:pPr>
      <w:spacing w:after="0"/>
    </w:pPr>
  </w:style>
  <w:style w:type="paragraph" w:styleId="ListBullet2">
    <w:name w:val="List Bullet 2"/>
    <w:basedOn w:val="Normal"/>
    <w:uiPriority w:val="99"/>
    <w:semiHidden/>
    <w:unhideWhenUsed/>
    <w:rsid w:val="002C59BC"/>
    <w:pPr>
      <w:numPr>
        <w:numId w:val="3"/>
      </w:numPr>
      <w:contextualSpacing/>
    </w:pPr>
  </w:style>
  <w:style w:type="paragraph" w:styleId="ListBullet3">
    <w:name w:val="List Bullet 3"/>
    <w:basedOn w:val="Normal"/>
    <w:uiPriority w:val="99"/>
    <w:semiHidden/>
    <w:unhideWhenUsed/>
    <w:rsid w:val="002C59BC"/>
    <w:pPr>
      <w:numPr>
        <w:numId w:val="4"/>
      </w:numPr>
      <w:contextualSpacing/>
    </w:pPr>
  </w:style>
  <w:style w:type="paragraph" w:styleId="ListBullet4">
    <w:name w:val="List Bullet 4"/>
    <w:basedOn w:val="Normal"/>
    <w:uiPriority w:val="99"/>
    <w:semiHidden/>
    <w:unhideWhenUsed/>
    <w:rsid w:val="002C59BC"/>
    <w:pPr>
      <w:numPr>
        <w:numId w:val="5"/>
      </w:numPr>
      <w:contextualSpacing/>
    </w:pPr>
  </w:style>
  <w:style w:type="paragraph" w:styleId="ListNumber">
    <w:name w:val="List Number"/>
    <w:basedOn w:val="Normal"/>
    <w:uiPriority w:val="99"/>
    <w:semiHidden/>
    <w:unhideWhenUsed/>
    <w:rsid w:val="002C59BC"/>
    <w:pPr>
      <w:numPr>
        <w:numId w:val="6"/>
      </w:numPr>
      <w:contextualSpacing/>
    </w:pPr>
  </w:style>
  <w:style w:type="paragraph" w:styleId="ListNumber2">
    <w:name w:val="List Number 2"/>
    <w:basedOn w:val="Normal"/>
    <w:uiPriority w:val="99"/>
    <w:semiHidden/>
    <w:unhideWhenUsed/>
    <w:rsid w:val="002C59BC"/>
    <w:pPr>
      <w:numPr>
        <w:numId w:val="7"/>
      </w:numPr>
      <w:contextualSpacing/>
    </w:pPr>
  </w:style>
  <w:style w:type="paragraph" w:styleId="ListNumber3">
    <w:name w:val="List Number 3"/>
    <w:basedOn w:val="Normal"/>
    <w:uiPriority w:val="99"/>
    <w:semiHidden/>
    <w:unhideWhenUsed/>
    <w:rsid w:val="002C59BC"/>
    <w:pPr>
      <w:numPr>
        <w:numId w:val="8"/>
      </w:numPr>
      <w:contextualSpacing/>
    </w:pPr>
  </w:style>
  <w:style w:type="paragraph" w:styleId="ListNumber4">
    <w:name w:val="List Number 4"/>
    <w:basedOn w:val="Normal"/>
    <w:uiPriority w:val="99"/>
    <w:semiHidden/>
    <w:unhideWhenUsed/>
    <w:rsid w:val="002C59BC"/>
    <w:pPr>
      <w:numPr>
        <w:numId w:val="9"/>
      </w:numPr>
      <w:contextualSpacing/>
    </w:pPr>
  </w:style>
  <w:style w:type="paragraph" w:styleId="CommentText">
    <w:name w:val="annotation text"/>
    <w:basedOn w:val="Normal"/>
    <w:link w:val="CommentTextChar"/>
    <w:uiPriority w:val="99"/>
    <w:unhideWhenUsed/>
    <w:rPr>
      <w:sz w:val="20"/>
      <w:szCs w:val="20"/>
    </w:rPr>
  </w:style>
  <w:style w:type="character" w:customStyle="1" w:styleId="CommentTextChar">
    <w:name w:val="Comment Text Char"/>
    <w:basedOn w:val="DefaultParagraphFont"/>
    <w:link w:val="CommentText"/>
    <w:uiPriority w:val="99"/>
    <w:rPr>
      <w:rFonts w:ascii="Times New Roman" w:hAnsi="Times New Roman" w:cs="Times New Roman"/>
      <w:sz w:val="20"/>
      <w:szCs w:val="20"/>
      <w:lang w:val="pl-PL"/>
    </w:rPr>
  </w:style>
  <w:style w:type="character" w:styleId="CommentReference">
    <w:name w:val="annotation reference"/>
    <w:basedOn w:val="DefaultParagraphFont"/>
    <w:uiPriority w:val="99"/>
    <w:semiHidden/>
    <w:unhideWhenUsed/>
    <w:rPr>
      <w:sz w:val="16"/>
      <w:szCs w:val="16"/>
    </w:rPr>
  </w:style>
  <w:style w:type="paragraph" w:styleId="Revision">
    <w:name w:val="Revision"/>
    <w:hidden/>
    <w:uiPriority w:val="99"/>
    <w:semiHidden/>
    <w:rsid w:val="00003FD2"/>
    <w:pPr>
      <w:spacing w:after="0" w:line="240" w:lineRule="auto"/>
    </w:pPr>
    <w:rPr>
      <w:rFonts w:ascii="Times New Roman" w:hAnsi="Times New Roman" w:cs="Times New Roman"/>
      <w:sz w:val="24"/>
    </w:rPr>
  </w:style>
  <w:style w:type="paragraph" w:styleId="CommentSubject">
    <w:name w:val="annotation subject"/>
    <w:basedOn w:val="CommentText"/>
    <w:next w:val="CommentText"/>
    <w:link w:val="CommentSubjectChar"/>
    <w:uiPriority w:val="99"/>
    <w:semiHidden/>
    <w:unhideWhenUsed/>
    <w:rsid w:val="00003FD2"/>
    <w:rPr>
      <w:b/>
      <w:bCs/>
    </w:rPr>
  </w:style>
  <w:style w:type="character" w:customStyle="1" w:styleId="CommentSubjectChar">
    <w:name w:val="Comment Subject Char"/>
    <w:basedOn w:val="CommentTextChar"/>
    <w:link w:val="CommentSubject"/>
    <w:uiPriority w:val="99"/>
    <w:semiHidden/>
    <w:rsid w:val="00003FD2"/>
    <w:rPr>
      <w:rFonts w:ascii="Times New Roman" w:hAnsi="Times New Roman" w:cs="Times New Roman"/>
      <w:b/>
      <w:bCs/>
      <w:sz w:val="20"/>
      <w:szCs w:val="20"/>
      <w:lang w:val="pl-PL"/>
    </w:rPr>
  </w:style>
  <w:style w:type="character" w:customStyle="1" w:styleId="cf01">
    <w:name w:val="cf01"/>
    <w:basedOn w:val="DefaultParagraphFont"/>
    <w:rsid w:val="00D311FE"/>
    <w:rPr>
      <w:rFonts w:ascii="Segoe UI" w:hAnsi="Segoe UI" w:cs="Segoe UI" w:hint="default"/>
      <w:sz w:val="18"/>
      <w:szCs w:val="18"/>
    </w:rPr>
  </w:style>
  <w:style w:type="character" w:customStyle="1" w:styleId="UnresolvedMention">
    <w:name w:val="Unresolved Mention"/>
    <w:basedOn w:val="DefaultParagraphFont"/>
    <w:uiPriority w:val="99"/>
    <w:semiHidden/>
    <w:unhideWhenUsed/>
    <w:rsid w:val="008411A4"/>
    <w:rPr>
      <w:color w:val="605E5C"/>
      <w:shd w:val="clear" w:color="auto" w:fill="E1DFDD"/>
    </w:rPr>
  </w:style>
  <w:style w:type="character" w:customStyle="1" w:styleId="HeaderChar">
    <w:name w:val="Header Char"/>
    <w:basedOn w:val="DefaultParagraphFont"/>
    <w:link w:val="Header"/>
    <w:uiPriority w:val="99"/>
    <w:rsid w:val="00810F63"/>
    <w:rPr>
      <w:rFonts w:ascii="Times New Roman" w:hAnsi="Times New Roman" w:cs="Times New Roman"/>
      <w:sz w:val="24"/>
      <w:lang w:val="pl-PL"/>
    </w:rPr>
  </w:style>
  <w:style w:type="character" w:customStyle="1" w:styleId="FooterChar">
    <w:name w:val="Footer Char"/>
    <w:basedOn w:val="DefaultParagraphFont"/>
    <w:link w:val="Footer"/>
    <w:uiPriority w:val="99"/>
    <w:rsid w:val="00810F63"/>
    <w:rPr>
      <w:rFonts w:ascii="Times New Roman" w:hAnsi="Times New Roman" w:cs="Times New Roman"/>
      <w:sz w:val="24"/>
      <w:lang w:val="pl-PL"/>
    </w:rPr>
  </w:style>
  <w:style w:type="paragraph" w:styleId="FootnoteText">
    <w:name w:val="footnote text"/>
    <w:basedOn w:val="Normal"/>
    <w:link w:val="FootnoteTextChar"/>
    <w:uiPriority w:val="99"/>
    <w:semiHidden/>
    <w:unhideWhenUsed/>
    <w:pPr>
      <w:spacing w:before="0" w:after="0"/>
      <w:ind w:left="720" w:hanging="720"/>
    </w:pPr>
    <w:rPr>
      <w:sz w:val="20"/>
      <w:szCs w:val="20"/>
    </w:rPr>
  </w:style>
  <w:style w:type="character" w:customStyle="1" w:styleId="FootnoteTextChar">
    <w:name w:val="Footnote Text Char"/>
    <w:basedOn w:val="DefaultParagraphFont"/>
    <w:link w:val="FootnoteText"/>
    <w:uiPriority w:val="99"/>
    <w:semiHidden/>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Pr>
      <w:rFonts w:ascii="Times New Roman" w:eastAsiaTheme="majorEastAsia" w:hAnsi="Times New Roman" w:cs="Times New Roman"/>
      <w:b/>
      <w:bCs/>
      <w:smallCaps/>
      <w:sz w:val="24"/>
      <w:szCs w:val="28"/>
      <w:lang w:val="pl-PL"/>
    </w:rPr>
  </w:style>
  <w:style w:type="character" w:customStyle="1" w:styleId="Heading2Char">
    <w:name w:val="Heading 2 Char"/>
    <w:basedOn w:val="DefaultParagraphFont"/>
    <w:link w:val="Heading2"/>
    <w:uiPriority w:val="9"/>
    <w:semiHidden/>
    <w:rPr>
      <w:rFonts w:ascii="Times New Roman" w:eastAsiaTheme="majorEastAsia" w:hAnsi="Times New Roman" w:cs="Times New Roman"/>
      <w:b/>
      <w:bCs/>
      <w:sz w:val="24"/>
      <w:szCs w:val="26"/>
      <w:lang w:val="pl-PL"/>
    </w:rPr>
  </w:style>
  <w:style w:type="character" w:customStyle="1" w:styleId="Heading3Char">
    <w:name w:val="Heading 3 Char"/>
    <w:basedOn w:val="DefaultParagraphFont"/>
    <w:link w:val="Heading3"/>
    <w:uiPriority w:val="9"/>
    <w:semiHidden/>
    <w:rPr>
      <w:rFonts w:ascii="Times New Roman" w:eastAsiaTheme="majorEastAsia" w:hAnsi="Times New Roman" w:cs="Times New Roman"/>
      <w:bCs/>
      <w:i/>
      <w:sz w:val="24"/>
      <w:lang w:val="pl-PL"/>
    </w:rPr>
  </w:style>
  <w:style w:type="character" w:customStyle="1" w:styleId="Heading4Char">
    <w:name w:val="Heading 4 Char"/>
    <w:basedOn w:val="DefaultParagraphFont"/>
    <w:link w:val="Heading4"/>
    <w:uiPriority w:val="9"/>
    <w:semiHidden/>
    <w:rPr>
      <w:rFonts w:ascii="Times New Roman" w:eastAsiaTheme="majorEastAsia" w:hAnsi="Times New Roman" w:cs="Times New Roman"/>
      <w:bCs/>
      <w:iCs/>
      <w:sz w:val="24"/>
      <w:lang w:val="pl-PL"/>
    </w:rPr>
  </w:style>
  <w:style w:type="character" w:customStyle="1" w:styleId="Heading5Char">
    <w:name w:val="Heading 5 Char"/>
    <w:basedOn w:val="DefaultParagraphFont"/>
    <w:link w:val="Heading5"/>
    <w:uiPriority w:val="9"/>
    <w:semiHidden/>
    <w:rPr>
      <w:rFonts w:ascii="Times New Roman" w:eastAsiaTheme="majorEastAsia" w:hAnsi="Times New Roman" w:cs="Times New Roman"/>
      <w:sz w:val="24"/>
      <w:lang w:val="pl-PL"/>
    </w:rPr>
  </w:style>
  <w:style w:type="character" w:customStyle="1" w:styleId="Heading6Char">
    <w:name w:val="Heading 6 Char"/>
    <w:basedOn w:val="DefaultParagraphFont"/>
    <w:link w:val="Heading6"/>
    <w:uiPriority w:val="9"/>
    <w:semiHidden/>
    <w:rPr>
      <w:rFonts w:ascii="Times New Roman" w:eastAsiaTheme="majorEastAsia" w:hAnsi="Times New Roman" w:cs="Times New Roman"/>
      <w:iCs/>
      <w:sz w:val="24"/>
      <w:lang w:val="pl-PL"/>
    </w:rPr>
  </w:style>
  <w:style w:type="character" w:customStyle="1" w:styleId="Heading7Char">
    <w:name w:val="Heading 7 Char"/>
    <w:basedOn w:val="DefaultParagraphFont"/>
    <w:link w:val="Heading7"/>
    <w:uiPriority w:val="9"/>
    <w:semiHidden/>
    <w:rPr>
      <w:rFonts w:ascii="Times New Roman" w:eastAsiaTheme="majorEastAsia" w:hAnsi="Times New Roman" w:cs="Times New Roman"/>
      <w:iCs/>
      <w:sz w:val="24"/>
      <w:lang w:val="pl-PL"/>
    </w:rPr>
  </w:style>
  <w:style w:type="paragraph" w:styleId="TOCHeading">
    <w:name w:val="TOC Heading"/>
    <w:basedOn w:val="Normal"/>
    <w:next w:val="Normal"/>
    <w:uiPriority w:val="39"/>
    <w:semiHidden/>
    <w:unhideWhenUsed/>
    <w:qFormat/>
    <w:pPr>
      <w:spacing w:after="240"/>
      <w:jc w:val="center"/>
    </w:pPr>
    <w:rPr>
      <w:b/>
      <w:sz w:val="28"/>
    </w:rPr>
  </w:style>
  <w:style w:type="paragraph" w:styleId="TOC1">
    <w:name w:val="toc 1"/>
    <w:basedOn w:val="Normal"/>
    <w:next w:val="Normal"/>
    <w:uiPriority w:val="39"/>
    <w:semiHidden/>
    <w:unhideWhenUsed/>
    <w:pPr>
      <w:tabs>
        <w:tab w:val="right" w:leader="dot" w:pos="9071"/>
      </w:tabs>
      <w:spacing w:before="60"/>
      <w:ind w:left="850" w:hanging="850"/>
      <w:jc w:val="left"/>
    </w:pPr>
  </w:style>
  <w:style w:type="paragraph" w:styleId="TOC2">
    <w:name w:val="toc 2"/>
    <w:basedOn w:val="Normal"/>
    <w:next w:val="Normal"/>
    <w:uiPriority w:val="39"/>
    <w:semiHidden/>
    <w:unhideWhenUsed/>
    <w:pPr>
      <w:tabs>
        <w:tab w:val="right" w:leader="dot" w:pos="9071"/>
      </w:tabs>
      <w:spacing w:before="60"/>
      <w:ind w:left="850" w:hanging="850"/>
      <w:jc w:val="left"/>
    </w:pPr>
  </w:style>
  <w:style w:type="paragraph" w:styleId="TOC3">
    <w:name w:val="toc 3"/>
    <w:basedOn w:val="Normal"/>
    <w:next w:val="Normal"/>
    <w:uiPriority w:val="39"/>
    <w:semiHidden/>
    <w:unhideWhenUsed/>
    <w:pPr>
      <w:tabs>
        <w:tab w:val="right" w:leader="dot" w:pos="9071"/>
      </w:tabs>
      <w:spacing w:before="60"/>
      <w:ind w:left="850" w:hanging="850"/>
      <w:jc w:val="left"/>
    </w:pPr>
  </w:style>
  <w:style w:type="paragraph" w:styleId="TOC4">
    <w:name w:val="toc 4"/>
    <w:basedOn w:val="Normal"/>
    <w:next w:val="Normal"/>
    <w:uiPriority w:val="39"/>
    <w:semiHidden/>
    <w:unhideWhenUsed/>
    <w:pPr>
      <w:tabs>
        <w:tab w:val="right" w:leader="dot" w:pos="9071"/>
      </w:tabs>
      <w:spacing w:before="60"/>
      <w:ind w:left="850" w:hanging="850"/>
      <w:jc w:val="left"/>
    </w:pPr>
  </w:style>
  <w:style w:type="paragraph" w:styleId="TOC5">
    <w:name w:val="toc 5"/>
    <w:basedOn w:val="Normal"/>
    <w:next w:val="Normal"/>
    <w:uiPriority w:val="39"/>
    <w:semiHidden/>
    <w:unhideWhenUsed/>
    <w:pPr>
      <w:tabs>
        <w:tab w:val="right" w:leader="dot" w:pos="9071"/>
      </w:tabs>
      <w:spacing w:before="300"/>
      <w:jc w:val="left"/>
    </w:pPr>
  </w:style>
  <w:style w:type="paragraph" w:styleId="TOC6">
    <w:name w:val="toc 6"/>
    <w:basedOn w:val="Normal"/>
    <w:next w:val="Normal"/>
    <w:uiPriority w:val="39"/>
    <w:semiHidden/>
    <w:unhideWhenUsed/>
    <w:pPr>
      <w:tabs>
        <w:tab w:val="right" w:leader="dot" w:pos="9071"/>
      </w:tabs>
      <w:spacing w:before="240"/>
      <w:jc w:val="left"/>
    </w:pPr>
  </w:style>
  <w:style w:type="paragraph" w:styleId="TOC7">
    <w:name w:val="toc 7"/>
    <w:basedOn w:val="Normal"/>
    <w:next w:val="Normal"/>
    <w:uiPriority w:val="39"/>
    <w:semiHidden/>
    <w:unhideWhenUsed/>
    <w:pPr>
      <w:tabs>
        <w:tab w:val="right" w:leader="dot" w:pos="9071"/>
      </w:tabs>
      <w:spacing w:before="180"/>
      <w:jc w:val="left"/>
    </w:pPr>
  </w:style>
  <w:style w:type="paragraph" w:styleId="TOC8">
    <w:name w:val="toc 8"/>
    <w:basedOn w:val="Normal"/>
    <w:next w:val="Normal"/>
    <w:uiPriority w:val="39"/>
    <w:semiHidden/>
    <w:unhideWhenUsed/>
    <w:pPr>
      <w:tabs>
        <w:tab w:val="right" w:leader="dot" w:pos="9071"/>
      </w:tabs>
      <w:jc w:val="left"/>
    </w:pPr>
  </w:style>
  <w:style w:type="paragraph" w:styleId="TOC9">
    <w:name w:val="toc 9"/>
    <w:basedOn w:val="Normal"/>
    <w:next w:val="Normal"/>
    <w:uiPriority w:val="39"/>
    <w:semiHidden/>
    <w:unhideWhenUsed/>
    <w:pPr>
      <w:tabs>
        <w:tab w:val="right" w:leader="dot" w:pos="9071"/>
      </w:tabs>
      <w:ind w:left="1417" w:hanging="1417"/>
      <w:jc w:val="left"/>
    </w:pPr>
  </w:style>
  <w:style w:type="character" w:styleId="FootnoteReference">
    <w:name w:val="footnote reference"/>
    <w:basedOn w:val="DefaultParagraphFont"/>
    <w:uiPriority w:val="99"/>
    <w:semiHidden/>
    <w:unhideWhenUsed/>
    <w:rPr>
      <w:shd w:val="clear" w:color="auto" w:fill="auto"/>
      <w:vertAlign w:val="superscript"/>
    </w:rPr>
  </w:style>
  <w:style w:type="paragraph" w:customStyle="1" w:styleId="HeaderSensitivity">
    <w:name w:val="Header Sensitivity"/>
    <w:basedOn w:val="Normal"/>
    <w:rsid w:val="00810F63"/>
    <w:pPr>
      <w:pBdr>
        <w:top w:val="single" w:sz="4" w:space="1" w:color="auto"/>
        <w:left w:val="single" w:sz="4" w:space="4" w:color="auto"/>
        <w:bottom w:val="single" w:sz="4" w:space="1" w:color="auto"/>
        <w:right w:val="single" w:sz="4" w:space="4" w:color="auto"/>
      </w:pBdr>
      <w:spacing w:before="0"/>
      <w:ind w:left="113" w:right="113"/>
      <w:jc w:val="center"/>
    </w:pPr>
    <w:rPr>
      <w:b/>
      <w:sz w:val="32"/>
    </w:rPr>
  </w:style>
  <w:style w:type="paragraph" w:customStyle="1" w:styleId="HeaderSensitivityRight">
    <w:name w:val="Header Sensitivity Right"/>
    <w:basedOn w:val="Normal"/>
    <w:rsid w:val="00810F63"/>
    <w:pPr>
      <w:spacing w:before="0"/>
      <w:jc w:val="right"/>
    </w:pPr>
    <w:rPr>
      <w:sz w:val="28"/>
    </w:rPr>
  </w:style>
  <w:style w:type="paragraph" w:customStyle="1" w:styleId="FooterSensitivity">
    <w:name w:val="Footer Sensitivity"/>
    <w:basedOn w:val="Normal"/>
    <w:rsid w:val="00810F63"/>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Text1">
    <w:name w:val="Text 1"/>
    <w:basedOn w:val="Normal"/>
    <w:pPr>
      <w:ind w:left="850"/>
    </w:pPr>
  </w:style>
  <w:style w:type="paragraph" w:customStyle="1" w:styleId="Text2">
    <w:name w:val="Text 2"/>
    <w:basedOn w:val="Normal"/>
    <w:pPr>
      <w:ind w:left="1417"/>
    </w:pPr>
  </w:style>
  <w:style w:type="paragraph" w:customStyle="1" w:styleId="Text3">
    <w:name w:val="Text 3"/>
    <w:basedOn w:val="Normal"/>
    <w:pPr>
      <w:ind w:left="1984"/>
    </w:pPr>
  </w:style>
  <w:style w:type="paragraph" w:customStyle="1" w:styleId="Text4">
    <w:name w:val="Text 4"/>
    <w:basedOn w:val="Normal"/>
    <w:pPr>
      <w:ind w:left="2551"/>
    </w:pPr>
  </w:style>
  <w:style w:type="paragraph" w:customStyle="1" w:styleId="Text5">
    <w:name w:val="Text 5"/>
    <w:basedOn w:val="Normal"/>
    <w:pPr>
      <w:ind w:left="3118"/>
    </w:pPr>
  </w:style>
  <w:style w:type="paragraph" w:customStyle="1" w:styleId="Text6">
    <w:name w:val="Text 6"/>
    <w:basedOn w:val="Normal"/>
    <w:pPr>
      <w:ind w:left="3685"/>
    </w:pPr>
  </w:style>
  <w:style w:type="paragraph" w:customStyle="1" w:styleId="NormalCentered">
    <w:name w:val="Normal Centered"/>
    <w:basedOn w:val="Normal"/>
    <w:pPr>
      <w:jc w:val="center"/>
    </w:pPr>
  </w:style>
  <w:style w:type="paragraph" w:customStyle="1" w:styleId="NormalLeft">
    <w:name w:val="Normal Left"/>
    <w:basedOn w:val="Normal"/>
    <w:pPr>
      <w:jc w:val="left"/>
    </w:pPr>
  </w:style>
  <w:style w:type="paragraph" w:customStyle="1" w:styleId="NormalRight">
    <w:name w:val="Normal Right"/>
    <w:basedOn w:val="Normal"/>
    <w:pPr>
      <w:jc w:val="right"/>
    </w:pPr>
  </w:style>
  <w:style w:type="paragraph" w:customStyle="1" w:styleId="QuotedText">
    <w:name w:val="Quoted Text"/>
    <w:basedOn w:val="Normal"/>
    <w:pPr>
      <w:ind w:left="1417"/>
    </w:pPr>
  </w:style>
  <w:style w:type="paragraph" w:customStyle="1" w:styleId="Point0">
    <w:name w:val="Point 0"/>
    <w:basedOn w:val="Normal"/>
    <w:pPr>
      <w:ind w:left="850" w:hanging="850"/>
    </w:pPr>
  </w:style>
  <w:style w:type="paragraph" w:customStyle="1" w:styleId="Point1">
    <w:name w:val="Point 1"/>
    <w:basedOn w:val="Normal"/>
    <w:pPr>
      <w:ind w:left="1417" w:hanging="567"/>
    </w:pPr>
  </w:style>
  <w:style w:type="paragraph" w:customStyle="1" w:styleId="Point2">
    <w:name w:val="Point 2"/>
    <w:basedOn w:val="Normal"/>
    <w:pPr>
      <w:ind w:left="1984" w:hanging="567"/>
    </w:pPr>
  </w:style>
  <w:style w:type="paragraph" w:customStyle="1" w:styleId="Point3">
    <w:name w:val="Point 3"/>
    <w:basedOn w:val="Normal"/>
    <w:pPr>
      <w:ind w:left="2551" w:hanging="567"/>
    </w:pPr>
  </w:style>
  <w:style w:type="paragraph" w:customStyle="1" w:styleId="Point4">
    <w:name w:val="Point 4"/>
    <w:basedOn w:val="Normal"/>
    <w:pPr>
      <w:ind w:left="3118" w:hanging="567"/>
    </w:pPr>
  </w:style>
  <w:style w:type="paragraph" w:customStyle="1" w:styleId="Point5">
    <w:name w:val="Point 5"/>
    <w:basedOn w:val="Normal"/>
    <w:pPr>
      <w:ind w:left="3685" w:hanging="567"/>
    </w:pPr>
  </w:style>
  <w:style w:type="paragraph" w:customStyle="1" w:styleId="Tiret0">
    <w:name w:val="Tiret 0"/>
    <w:basedOn w:val="Point0"/>
    <w:pPr>
      <w:numPr>
        <w:numId w:val="27"/>
      </w:numPr>
    </w:pPr>
  </w:style>
  <w:style w:type="paragraph" w:customStyle="1" w:styleId="Tiret1">
    <w:name w:val="Tiret 1"/>
    <w:basedOn w:val="Point1"/>
    <w:pPr>
      <w:numPr>
        <w:numId w:val="28"/>
      </w:numPr>
    </w:pPr>
  </w:style>
  <w:style w:type="paragraph" w:customStyle="1" w:styleId="Tiret2">
    <w:name w:val="Tiret 2"/>
    <w:basedOn w:val="Point2"/>
    <w:pPr>
      <w:numPr>
        <w:numId w:val="29"/>
      </w:numPr>
    </w:pPr>
  </w:style>
  <w:style w:type="paragraph" w:customStyle="1" w:styleId="Tiret3">
    <w:name w:val="Tiret 3"/>
    <w:basedOn w:val="Point3"/>
    <w:pPr>
      <w:numPr>
        <w:numId w:val="30"/>
      </w:numPr>
    </w:pPr>
  </w:style>
  <w:style w:type="paragraph" w:customStyle="1" w:styleId="Tiret4">
    <w:name w:val="Tiret 4"/>
    <w:basedOn w:val="Point4"/>
    <w:pPr>
      <w:numPr>
        <w:numId w:val="31"/>
      </w:numPr>
    </w:pPr>
  </w:style>
  <w:style w:type="paragraph" w:customStyle="1" w:styleId="Tiret5">
    <w:name w:val="Tiret 5"/>
    <w:basedOn w:val="Point5"/>
    <w:pPr>
      <w:numPr>
        <w:numId w:val="32"/>
      </w:numPr>
    </w:pPr>
  </w:style>
  <w:style w:type="paragraph" w:customStyle="1" w:styleId="PointDouble0">
    <w:name w:val="PointDouble 0"/>
    <w:basedOn w:val="Normal"/>
    <w:pPr>
      <w:tabs>
        <w:tab w:val="left" w:pos="850"/>
      </w:tabs>
      <w:ind w:left="1417" w:hanging="1417"/>
    </w:pPr>
  </w:style>
  <w:style w:type="paragraph" w:customStyle="1" w:styleId="PointDouble1">
    <w:name w:val="PointDouble 1"/>
    <w:basedOn w:val="Normal"/>
    <w:pPr>
      <w:tabs>
        <w:tab w:val="left" w:pos="1417"/>
      </w:tabs>
      <w:ind w:left="1984" w:hanging="1134"/>
    </w:pPr>
  </w:style>
  <w:style w:type="paragraph" w:customStyle="1" w:styleId="PointDouble2">
    <w:name w:val="PointDouble 2"/>
    <w:basedOn w:val="Normal"/>
    <w:pPr>
      <w:tabs>
        <w:tab w:val="left" w:pos="1984"/>
      </w:tabs>
      <w:ind w:left="2551" w:hanging="1134"/>
    </w:pPr>
  </w:style>
  <w:style w:type="paragraph" w:customStyle="1" w:styleId="PointDouble3">
    <w:name w:val="PointDouble 3"/>
    <w:basedOn w:val="Normal"/>
    <w:pPr>
      <w:tabs>
        <w:tab w:val="left" w:pos="2551"/>
      </w:tabs>
      <w:ind w:left="3118" w:hanging="1134"/>
    </w:pPr>
  </w:style>
  <w:style w:type="paragraph" w:customStyle="1" w:styleId="PointDouble4">
    <w:name w:val="PointDouble 4"/>
    <w:basedOn w:val="Normal"/>
    <w:pPr>
      <w:tabs>
        <w:tab w:val="left" w:pos="3118"/>
      </w:tabs>
      <w:ind w:left="3685" w:hanging="1134"/>
    </w:pPr>
  </w:style>
  <w:style w:type="paragraph" w:customStyle="1" w:styleId="PointTriple0">
    <w:name w:val="PointTriple 0"/>
    <w:basedOn w:val="Normal"/>
    <w:pPr>
      <w:tabs>
        <w:tab w:val="left" w:pos="850"/>
        <w:tab w:val="left" w:pos="1417"/>
      </w:tabs>
      <w:ind w:left="1984" w:hanging="1984"/>
    </w:pPr>
  </w:style>
  <w:style w:type="paragraph" w:customStyle="1" w:styleId="PointTriple1">
    <w:name w:val="PointTriple 1"/>
    <w:basedOn w:val="Normal"/>
    <w:pPr>
      <w:tabs>
        <w:tab w:val="left" w:pos="1417"/>
        <w:tab w:val="left" w:pos="1984"/>
      </w:tabs>
      <w:ind w:left="2551" w:hanging="1701"/>
    </w:pPr>
  </w:style>
  <w:style w:type="paragraph" w:customStyle="1" w:styleId="PointTriple2">
    <w:name w:val="PointTriple 2"/>
    <w:basedOn w:val="Normal"/>
    <w:pPr>
      <w:tabs>
        <w:tab w:val="left" w:pos="1984"/>
        <w:tab w:val="left" w:pos="2551"/>
      </w:tabs>
      <w:ind w:left="3118" w:hanging="1701"/>
    </w:pPr>
  </w:style>
  <w:style w:type="paragraph" w:customStyle="1" w:styleId="PointTriple3">
    <w:name w:val="PointTriple 3"/>
    <w:basedOn w:val="Normal"/>
    <w:pPr>
      <w:tabs>
        <w:tab w:val="left" w:pos="2551"/>
        <w:tab w:val="left" w:pos="3118"/>
      </w:tabs>
      <w:ind w:left="3685" w:hanging="1701"/>
    </w:pPr>
  </w:style>
  <w:style w:type="paragraph" w:customStyle="1" w:styleId="PointTriple4">
    <w:name w:val="PointTriple 4"/>
    <w:basedOn w:val="Normal"/>
    <w:pPr>
      <w:tabs>
        <w:tab w:val="left" w:pos="3118"/>
        <w:tab w:val="left" w:pos="3685"/>
      </w:tabs>
      <w:ind w:left="4252" w:hanging="1701"/>
    </w:pPr>
  </w:style>
  <w:style w:type="paragraph" w:customStyle="1" w:styleId="NumPar1">
    <w:name w:val="NumPar 1"/>
    <w:basedOn w:val="Normal"/>
    <w:next w:val="Text1"/>
    <w:pPr>
      <w:numPr>
        <w:numId w:val="33"/>
      </w:numPr>
    </w:pPr>
  </w:style>
  <w:style w:type="paragraph" w:customStyle="1" w:styleId="NumPar2">
    <w:name w:val="NumPar 2"/>
    <w:basedOn w:val="Normal"/>
    <w:next w:val="Text1"/>
    <w:pPr>
      <w:numPr>
        <w:ilvl w:val="1"/>
        <w:numId w:val="33"/>
      </w:numPr>
    </w:pPr>
  </w:style>
  <w:style w:type="paragraph" w:customStyle="1" w:styleId="NumPar3">
    <w:name w:val="NumPar 3"/>
    <w:basedOn w:val="Normal"/>
    <w:next w:val="Text1"/>
    <w:pPr>
      <w:numPr>
        <w:ilvl w:val="2"/>
        <w:numId w:val="33"/>
      </w:numPr>
    </w:pPr>
  </w:style>
  <w:style w:type="paragraph" w:customStyle="1" w:styleId="NumPar4">
    <w:name w:val="NumPar 4"/>
    <w:basedOn w:val="Normal"/>
    <w:next w:val="Text1"/>
    <w:pPr>
      <w:numPr>
        <w:ilvl w:val="3"/>
        <w:numId w:val="33"/>
      </w:numPr>
    </w:pPr>
  </w:style>
  <w:style w:type="paragraph" w:customStyle="1" w:styleId="NumPar5">
    <w:name w:val="NumPar 5"/>
    <w:basedOn w:val="Normal"/>
    <w:next w:val="Text2"/>
    <w:pPr>
      <w:numPr>
        <w:ilvl w:val="4"/>
        <w:numId w:val="33"/>
      </w:numPr>
    </w:pPr>
  </w:style>
  <w:style w:type="paragraph" w:customStyle="1" w:styleId="NumPar6">
    <w:name w:val="NumPar 6"/>
    <w:basedOn w:val="Normal"/>
    <w:next w:val="Text2"/>
    <w:pPr>
      <w:numPr>
        <w:ilvl w:val="5"/>
        <w:numId w:val="33"/>
      </w:numPr>
    </w:pPr>
  </w:style>
  <w:style w:type="paragraph" w:customStyle="1" w:styleId="NumPar7">
    <w:name w:val="NumPar 7"/>
    <w:basedOn w:val="Normal"/>
    <w:next w:val="Text2"/>
    <w:pPr>
      <w:numPr>
        <w:ilvl w:val="6"/>
        <w:numId w:val="33"/>
      </w:numPr>
    </w:pPr>
  </w:style>
  <w:style w:type="paragraph" w:customStyle="1" w:styleId="ManualNumPar1">
    <w:name w:val="Manual NumPar 1"/>
    <w:basedOn w:val="Normal"/>
    <w:next w:val="Text1"/>
    <w:pPr>
      <w:ind w:left="850" w:hanging="850"/>
    </w:pPr>
  </w:style>
  <w:style w:type="paragraph" w:customStyle="1" w:styleId="ManualNumPar2">
    <w:name w:val="Manual NumPar 2"/>
    <w:basedOn w:val="Normal"/>
    <w:next w:val="Text1"/>
    <w:pPr>
      <w:ind w:left="850" w:hanging="850"/>
    </w:pPr>
  </w:style>
  <w:style w:type="paragraph" w:customStyle="1" w:styleId="ManualNumPar3">
    <w:name w:val="Manual NumPar 3"/>
    <w:basedOn w:val="Normal"/>
    <w:next w:val="Text1"/>
    <w:pPr>
      <w:ind w:left="850" w:hanging="850"/>
    </w:pPr>
  </w:style>
  <w:style w:type="paragraph" w:customStyle="1" w:styleId="ManualNumPar4">
    <w:name w:val="Manual NumPar 4"/>
    <w:basedOn w:val="Normal"/>
    <w:next w:val="Text1"/>
    <w:pPr>
      <w:ind w:left="850" w:hanging="850"/>
    </w:pPr>
  </w:style>
  <w:style w:type="paragraph" w:customStyle="1" w:styleId="ManualNumPar5">
    <w:name w:val="Manual NumPar 5"/>
    <w:basedOn w:val="Normal"/>
    <w:next w:val="Text2"/>
    <w:pPr>
      <w:ind w:left="1417" w:hanging="1417"/>
    </w:pPr>
  </w:style>
  <w:style w:type="paragraph" w:customStyle="1" w:styleId="ManualNumPar6">
    <w:name w:val="Manual NumPar 6"/>
    <w:basedOn w:val="Normal"/>
    <w:next w:val="Text2"/>
    <w:pPr>
      <w:ind w:left="1417" w:hanging="1417"/>
    </w:pPr>
  </w:style>
  <w:style w:type="paragraph" w:customStyle="1" w:styleId="ManualNumPar7">
    <w:name w:val="Manual NumPar 7"/>
    <w:basedOn w:val="Normal"/>
    <w:next w:val="Text2"/>
    <w:pPr>
      <w:ind w:left="1417" w:hanging="1417"/>
    </w:pPr>
  </w:style>
  <w:style w:type="paragraph" w:customStyle="1" w:styleId="QuotedNumPar">
    <w:name w:val="Quoted NumPar"/>
    <w:basedOn w:val="Normal"/>
    <w:pPr>
      <w:ind w:left="1417" w:hanging="567"/>
    </w:pPr>
  </w:style>
  <w:style w:type="paragraph" w:customStyle="1" w:styleId="ManualHeading1">
    <w:name w:val="Manual Heading 1"/>
    <w:basedOn w:val="Normal"/>
    <w:next w:val="Text1"/>
    <w:pPr>
      <w:keepNext/>
      <w:tabs>
        <w:tab w:val="left" w:pos="850"/>
      </w:tabs>
      <w:spacing w:before="360"/>
      <w:ind w:left="850" w:hanging="850"/>
      <w:outlineLvl w:val="0"/>
    </w:pPr>
    <w:rPr>
      <w:b/>
      <w:smallCaps/>
    </w:rPr>
  </w:style>
  <w:style w:type="paragraph" w:customStyle="1" w:styleId="ManualHeading2">
    <w:name w:val="Manual Heading 2"/>
    <w:basedOn w:val="Normal"/>
    <w:next w:val="Text1"/>
    <w:pPr>
      <w:keepNext/>
      <w:tabs>
        <w:tab w:val="left" w:pos="850"/>
      </w:tabs>
      <w:ind w:left="850" w:hanging="850"/>
      <w:outlineLvl w:val="1"/>
    </w:pPr>
    <w:rPr>
      <w:b/>
    </w:rPr>
  </w:style>
  <w:style w:type="paragraph" w:customStyle="1" w:styleId="ManualHeading3">
    <w:name w:val="Manual Heading 3"/>
    <w:basedOn w:val="Normal"/>
    <w:next w:val="Text1"/>
    <w:pPr>
      <w:keepNext/>
      <w:tabs>
        <w:tab w:val="left" w:pos="850"/>
      </w:tabs>
      <w:ind w:left="850" w:hanging="850"/>
      <w:outlineLvl w:val="2"/>
    </w:pPr>
    <w:rPr>
      <w:i/>
    </w:rPr>
  </w:style>
  <w:style w:type="paragraph" w:customStyle="1" w:styleId="ManualHeading4">
    <w:name w:val="Manual Heading 4"/>
    <w:basedOn w:val="Normal"/>
    <w:next w:val="Text1"/>
    <w:pPr>
      <w:keepNext/>
      <w:tabs>
        <w:tab w:val="left" w:pos="850"/>
      </w:tabs>
      <w:ind w:left="850" w:hanging="850"/>
      <w:outlineLvl w:val="3"/>
    </w:pPr>
  </w:style>
  <w:style w:type="paragraph" w:customStyle="1" w:styleId="ManualHeading5">
    <w:name w:val="Manual Heading 5"/>
    <w:basedOn w:val="Normal"/>
    <w:next w:val="Text2"/>
    <w:pPr>
      <w:keepNext/>
      <w:tabs>
        <w:tab w:val="left" w:pos="1417"/>
      </w:tabs>
      <w:ind w:left="1417" w:hanging="1417"/>
      <w:outlineLvl w:val="4"/>
    </w:pPr>
  </w:style>
  <w:style w:type="paragraph" w:customStyle="1" w:styleId="ManualHeading6">
    <w:name w:val="Manual Heading 6"/>
    <w:basedOn w:val="Normal"/>
    <w:next w:val="Text2"/>
    <w:pPr>
      <w:keepNext/>
      <w:tabs>
        <w:tab w:val="left" w:pos="1417"/>
      </w:tabs>
      <w:ind w:left="1417" w:hanging="1417"/>
      <w:outlineLvl w:val="5"/>
    </w:pPr>
  </w:style>
  <w:style w:type="paragraph" w:customStyle="1" w:styleId="ManualHeading7">
    <w:name w:val="Manual Heading 7"/>
    <w:basedOn w:val="Normal"/>
    <w:next w:val="Text2"/>
    <w:pPr>
      <w:keepNext/>
      <w:tabs>
        <w:tab w:val="left" w:pos="1417"/>
      </w:tabs>
      <w:ind w:left="1417" w:hanging="1417"/>
      <w:outlineLvl w:val="6"/>
    </w:pPr>
  </w:style>
  <w:style w:type="paragraph" w:customStyle="1" w:styleId="ChapterTitle">
    <w:name w:val="ChapterTitle"/>
    <w:basedOn w:val="Normal"/>
    <w:next w:val="Normal"/>
    <w:pPr>
      <w:keepNext/>
      <w:spacing w:after="360"/>
      <w:jc w:val="center"/>
    </w:pPr>
    <w:rPr>
      <w:b/>
      <w:sz w:val="32"/>
    </w:rPr>
  </w:style>
  <w:style w:type="paragraph" w:customStyle="1" w:styleId="PartTitle">
    <w:name w:val="PartTitle"/>
    <w:basedOn w:val="Normal"/>
    <w:next w:val="ChapterTitle"/>
    <w:pPr>
      <w:keepNext/>
      <w:pageBreakBefore/>
      <w:spacing w:after="360"/>
      <w:jc w:val="center"/>
    </w:pPr>
    <w:rPr>
      <w:b/>
      <w:sz w:val="36"/>
    </w:rPr>
  </w:style>
  <w:style w:type="paragraph" w:customStyle="1" w:styleId="SectionTitle">
    <w:name w:val="SectionTitle"/>
    <w:basedOn w:val="Normal"/>
    <w:next w:val="Heading1"/>
    <w:pPr>
      <w:keepNext/>
      <w:spacing w:after="360"/>
      <w:jc w:val="center"/>
    </w:pPr>
    <w:rPr>
      <w:b/>
      <w:smallCaps/>
      <w:sz w:val="28"/>
    </w:rPr>
  </w:style>
  <w:style w:type="paragraph" w:customStyle="1" w:styleId="TableTitle">
    <w:name w:val="Table Title"/>
    <w:basedOn w:val="Normal"/>
    <w:next w:val="Normal"/>
    <w:pPr>
      <w:jc w:val="center"/>
    </w:pPr>
    <w:rPr>
      <w:b/>
    </w:rPr>
  </w:style>
  <w:style w:type="character" w:customStyle="1" w:styleId="Marker">
    <w:name w:val="Marker"/>
    <w:basedOn w:val="DefaultParagraphFont"/>
    <w:rPr>
      <w:color w:val="0000FF"/>
      <w:shd w:val="clear" w:color="auto" w:fill="auto"/>
    </w:rPr>
  </w:style>
  <w:style w:type="character" w:customStyle="1" w:styleId="Marker1">
    <w:name w:val="Marker1"/>
    <w:basedOn w:val="DefaultParagraphFont"/>
    <w:rPr>
      <w:color w:val="008000"/>
      <w:shd w:val="clear" w:color="auto" w:fill="auto"/>
    </w:rPr>
  </w:style>
  <w:style w:type="character" w:customStyle="1" w:styleId="Marker2">
    <w:name w:val="Marker2"/>
    <w:basedOn w:val="DefaultParagraphFont"/>
    <w:rPr>
      <w:color w:val="FF0000"/>
      <w:shd w:val="clear" w:color="auto" w:fill="auto"/>
    </w:rPr>
  </w:style>
  <w:style w:type="paragraph" w:customStyle="1" w:styleId="Point0number">
    <w:name w:val="Point 0 (number)"/>
    <w:basedOn w:val="Normal"/>
    <w:pPr>
      <w:numPr>
        <w:numId w:val="35"/>
      </w:numPr>
    </w:pPr>
  </w:style>
  <w:style w:type="paragraph" w:customStyle="1" w:styleId="Point1number">
    <w:name w:val="Point 1 (number)"/>
    <w:basedOn w:val="Normal"/>
    <w:pPr>
      <w:numPr>
        <w:ilvl w:val="2"/>
        <w:numId w:val="35"/>
      </w:numPr>
    </w:pPr>
  </w:style>
  <w:style w:type="paragraph" w:customStyle="1" w:styleId="Point2number">
    <w:name w:val="Point 2 (number)"/>
    <w:basedOn w:val="Normal"/>
    <w:pPr>
      <w:numPr>
        <w:ilvl w:val="4"/>
        <w:numId w:val="35"/>
      </w:numPr>
    </w:pPr>
  </w:style>
  <w:style w:type="paragraph" w:customStyle="1" w:styleId="Point3number">
    <w:name w:val="Point 3 (number)"/>
    <w:basedOn w:val="Normal"/>
    <w:pPr>
      <w:numPr>
        <w:ilvl w:val="6"/>
        <w:numId w:val="35"/>
      </w:numPr>
    </w:pPr>
  </w:style>
  <w:style w:type="paragraph" w:customStyle="1" w:styleId="Point0letter">
    <w:name w:val="Point 0 (letter)"/>
    <w:basedOn w:val="Normal"/>
    <w:pPr>
      <w:numPr>
        <w:ilvl w:val="1"/>
        <w:numId w:val="35"/>
      </w:numPr>
    </w:pPr>
  </w:style>
  <w:style w:type="paragraph" w:customStyle="1" w:styleId="Point1letter">
    <w:name w:val="Point 1 (letter)"/>
    <w:basedOn w:val="Normal"/>
    <w:pPr>
      <w:numPr>
        <w:ilvl w:val="3"/>
        <w:numId w:val="35"/>
      </w:numPr>
    </w:pPr>
  </w:style>
  <w:style w:type="paragraph" w:customStyle="1" w:styleId="Point2letter">
    <w:name w:val="Point 2 (letter)"/>
    <w:basedOn w:val="Normal"/>
    <w:pPr>
      <w:numPr>
        <w:ilvl w:val="5"/>
        <w:numId w:val="35"/>
      </w:numPr>
    </w:pPr>
  </w:style>
  <w:style w:type="paragraph" w:customStyle="1" w:styleId="Point3letter">
    <w:name w:val="Point 3 (letter)"/>
    <w:basedOn w:val="Normal"/>
    <w:pPr>
      <w:numPr>
        <w:ilvl w:val="7"/>
        <w:numId w:val="35"/>
      </w:numPr>
    </w:pPr>
  </w:style>
  <w:style w:type="paragraph" w:customStyle="1" w:styleId="Point4letter">
    <w:name w:val="Point 4 (letter)"/>
    <w:basedOn w:val="Normal"/>
    <w:pPr>
      <w:numPr>
        <w:ilvl w:val="8"/>
        <w:numId w:val="35"/>
      </w:numPr>
    </w:pPr>
  </w:style>
  <w:style w:type="paragraph" w:customStyle="1" w:styleId="Bullet0">
    <w:name w:val="Bullet 0"/>
    <w:basedOn w:val="Normal"/>
    <w:pPr>
      <w:numPr>
        <w:numId w:val="36"/>
      </w:numPr>
    </w:pPr>
  </w:style>
  <w:style w:type="paragraph" w:customStyle="1" w:styleId="Bullet1">
    <w:name w:val="Bullet 1"/>
    <w:basedOn w:val="Normal"/>
    <w:pPr>
      <w:numPr>
        <w:numId w:val="37"/>
      </w:numPr>
    </w:pPr>
  </w:style>
  <w:style w:type="paragraph" w:customStyle="1" w:styleId="Bullet2">
    <w:name w:val="Bullet 2"/>
    <w:basedOn w:val="Normal"/>
    <w:pPr>
      <w:numPr>
        <w:numId w:val="38"/>
      </w:numPr>
    </w:pPr>
  </w:style>
  <w:style w:type="paragraph" w:customStyle="1" w:styleId="Bullet3">
    <w:name w:val="Bullet 3"/>
    <w:basedOn w:val="Normal"/>
    <w:pPr>
      <w:numPr>
        <w:numId w:val="39"/>
      </w:numPr>
    </w:pPr>
  </w:style>
  <w:style w:type="paragraph" w:customStyle="1" w:styleId="Bullet4">
    <w:name w:val="Bullet 4"/>
    <w:basedOn w:val="Normal"/>
    <w:pPr>
      <w:numPr>
        <w:numId w:val="40"/>
      </w:numPr>
    </w:pPr>
  </w:style>
  <w:style w:type="paragraph" w:customStyle="1" w:styleId="Langue">
    <w:name w:val="Langue"/>
    <w:basedOn w:val="Normal"/>
    <w:next w:val="Rfrenceinterne"/>
    <w:pPr>
      <w:framePr w:wrap="around" w:vAnchor="page" w:hAnchor="text" w:xAlign="center" w:y="14741"/>
      <w:spacing w:before="0" w:after="600"/>
      <w:jc w:val="center"/>
    </w:pPr>
    <w:rPr>
      <w:b/>
      <w:caps/>
    </w:rPr>
  </w:style>
  <w:style w:type="paragraph" w:customStyle="1" w:styleId="Nomdelinstitution">
    <w:name w:val="Nom de l'institution"/>
    <w:basedOn w:val="Normal"/>
    <w:next w:val="Emission"/>
    <w:pPr>
      <w:spacing w:before="0" w:after="0"/>
      <w:jc w:val="left"/>
    </w:pPr>
    <w:rPr>
      <w:rFonts w:ascii="Arial" w:hAnsi="Arial" w:cs="Arial"/>
    </w:rPr>
  </w:style>
  <w:style w:type="paragraph" w:customStyle="1" w:styleId="Emission">
    <w:name w:val="Emission"/>
    <w:basedOn w:val="Normal"/>
    <w:next w:val="Rfrenceinstitutionnelle"/>
    <w:pPr>
      <w:spacing w:before="0" w:after="0"/>
      <w:ind w:left="5103"/>
      <w:jc w:val="left"/>
    </w:pPr>
  </w:style>
  <w:style w:type="paragraph" w:customStyle="1" w:styleId="Rfrenceinstitutionnelle">
    <w:name w:val="Référence institutionnelle"/>
    <w:basedOn w:val="Normal"/>
    <w:next w:val="Confidentialit"/>
    <w:pPr>
      <w:spacing w:before="0" w:after="240"/>
      <w:ind w:left="5103"/>
      <w:jc w:val="left"/>
    </w:pPr>
  </w:style>
  <w:style w:type="paragraph" w:customStyle="1" w:styleId="Pagedecouverture">
    <w:name w:val="Page de couverture"/>
    <w:basedOn w:val="Normal"/>
    <w:next w:val="Normal"/>
    <w:pPr>
      <w:spacing w:before="0" w:after="0"/>
    </w:pPr>
  </w:style>
  <w:style w:type="paragraph" w:customStyle="1" w:styleId="Declassification">
    <w:name w:val="Declassification"/>
    <w:basedOn w:val="Normal"/>
    <w:next w:val="Normal"/>
    <w:pPr>
      <w:spacing w:before="0" w:after="0"/>
    </w:pPr>
  </w:style>
  <w:style w:type="paragraph" w:customStyle="1" w:styleId="Disclaimer">
    <w:name w:val="Disclaimer"/>
    <w:basedOn w:val="Normal"/>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SecurityMarking">
    <w:name w:val="SecurityMarking"/>
    <w:basedOn w:val="Normal"/>
    <w:pPr>
      <w:spacing w:before="0" w:after="0" w:line="276" w:lineRule="auto"/>
      <w:ind w:left="5103"/>
      <w:jc w:val="left"/>
    </w:pPr>
    <w:rPr>
      <w:sz w:val="28"/>
    </w:rPr>
  </w:style>
  <w:style w:type="paragraph" w:customStyle="1" w:styleId="DateMarking">
    <w:name w:val="DateMarking"/>
    <w:basedOn w:val="Normal"/>
    <w:pPr>
      <w:spacing w:before="0" w:after="0" w:line="276" w:lineRule="auto"/>
      <w:ind w:left="5103"/>
      <w:jc w:val="left"/>
    </w:pPr>
    <w:rPr>
      <w:i/>
      <w:sz w:val="28"/>
    </w:rPr>
  </w:style>
  <w:style w:type="paragraph" w:customStyle="1" w:styleId="ReleasableTo">
    <w:name w:val="ReleasableTo"/>
    <w:basedOn w:val="Normal"/>
    <w:pPr>
      <w:spacing w:before="0" w:after="0" w:line="276" w:lineRule="auto"/>
      <w:ind w:left="5103"/>
      <w:jc w:val="left"/>
    </w:pPr>
    <w:rPr>
      <w:i/>
      <w:sz w:val="28"/>
    </w:rPr>
  </w:style>
  <w:style w:type="paragraph" w:customStyle="1" w:styleId="Annexetitreexpos">
    <w:name w:val="Annexe titre (exposé)"/>
    <w:basedOn w:val="Normal"/>
    <w:next w:val="Normal"/>
    <w:pPr>
      <w:jc w:val="center"/>
    </w:pPr>
    <w:rPr>
      <w:b/>
      <w:u w:val="single"/>
    </w:rPr>
  </w:style>
  <w:style w:type="paragraph" w:customStyle="1" w:styleId="Annexetitre">
    <w:name w:val="Annexe titre"/>
    <w:basedOn w:val="Normal"/>
    <w:next w:val="Normal"/>
    <w:pPr>
      <w:jc w:val="center"/>
    </w:pPr>
    <w:rPr>
      <w:b/>
      <w:u w:val="single"/>
    </w:rPr>
  </w:style>
  <w:style w:type="paragraph" w:customStyle="1" w:styleId="Annexetitrefichefinancire">
    <w:name w:val="Annexe titre (fiche financière)"/>
    <w:basedOn w:val="Normal"/>
    <w:next w:val="Normal"/>
    <w:pPr>
      <w:jc w:val="center"/>
    </w:pPr>
    <w:rPr>
      <w:b/>
      <w:u w:val="single"/>
    </w:rPr>
  </w:style>
  <w:style w:type="paragraph" w:customStyle="1" w:styleId="Applicationdirecte">
    <w:name w:val="Application directe"/>
    <w:basedOn w:val="Normal"/>
    <w:next w:val="Fait"/>
    <w:pPr>
      <w:spacing w:before="480"/>
    </w:pPr>
  </w:style>
  <w:style w:type="paragraph" w:customStyle="1" w:styleId="Avertissementtitre">
    <w:name w:val="Avertissement titre"/>
    <w:basedOn w:val="Normal"/>
    <w:next w:val="Normal"/>
    <w:pPr>
      <w:keepNext/>
      <w:spacing w:before="480"/>
    </w:pPr>
    <w:rPr>
      <w:u w:val="single"/>
    </w:rPr>
  </w:style>
  <w:style w:type="paragraph" w:customStyle="1" w:styleId="Confidence">
    <w:name w:val="Confidence"/>
    <w:basedOn w:val="Normal"/>
    <w:next w:val="Normal"/>
    <w:pPr>
      <w:spacing w:before="360"/>
      <w:jc w:val="center"/>
    </w:pPr>
  </w:style>
  <w:style w:type="paragraph" w:customStyle="1" w:styleId="Confidentialit">
    <w:name w:val="Confidentialité"/>
    <w:basedOn w:val="Normal"/>
    <w:next w:val="TypedudocumentPagedecouverture"/>
    <w:pPr>
      <w:spacing w:before="240" w:after="240"/>
      <w:ind w:left="5103"/>
      <w:jc w:val="left"/>
    </w:pPr>
    <w:rPr>
      <w:i/>
      <w:sz w:val="32"/>
    </w:rPr>
  </w:style>
  <w:style w:type="paragraph" w:customStyle="1" w:styleId="Considrant">
    <w:name w:val="Considérant"/>
    <w:basedOn w:val="Normal"/>
    <w:pPr>
      <w:numPr>
        <w:numId w:val="41"/>
      </w:numPr>
    </w:pPr>
  </w:style>
  <w:style w:type="paragraph" w:customStyle="1" w:styleId="Corrigendum">
    <w:name w:val="Corrigendum"/>
    <w:basedOn w:val="Normal"/>
    <w:next w:val="Normal"/>
    <w:pPr>
      <w:spacing w:before="0" w:after="240"/>
      <w:jc w:val="left"/>
    </w:pPr>
  </w:style>
  <w:style w:type="paragraph" w:customStyle="1" w:styleId="Datedadoption">
    <w:name w:val="Date d'adoption"/>
    <w:basedOn w:val="Normal"/>
    <w:next w:val="Titreobjet"/>
    <w:pPr>
      <w:spacing w:before="360" w:after="0"/>
      <w:jc w:val="center"/>
    </w:pPr>
    <w:rPr>
      <w:b/>
    </w:rPr>
  </w:style>
  <w:style w:type="paragraph" w:customStyle="1" w:styleId="Exposdesmotifstitre">
    <w:name w:val="Exposé des motifs titre"/>
    <w:basedOn w:val="Normal"/>
    <w:next w:val="Normal"/>
    <w:pPr>
      <w:jc w:val="center"/>
    </w:pPr>
    <w:rPr>
      <w:b/>
      <w:u w:val="single"/>
    </w:rPr>
  </w:style>
  <w:style w:type="paragraph" w:customStyle="1" w:styleId="Fait">
    <w:name w:val="Fait à"/>
    <w:basedOn w:val="Normal"/>
    <w:next w:val="Institutionquisigne"/>
    <w:pPr>
      <w:keepNext/>
      <w:spacing w:after="0"/>
    </w:pPr>
  </w:style>
  <w:style w:type="paragraph" w:customStyle="1" w:styleId="Formuledadoption">
    <w:name w:val="Formule d'adoption"/>
    <w:basedOn w:val="Normal"/>
    <w:next w:val="Titrearticle"/>
    <w:pPr>
      <w:keepNext/>
    </w:pPr>
  </w:style>
  <w:style w:type="paragraph" w:customStyle="1" w:styleId="Institutionquiagit">
    <w:name w:val="Institution qui agit"/>
    <w:basedOn w:val="Normal"/>
    <w:next w:val="Normal"/>
    <w:pPr>
      <w:keepNext/>
      <w:spacing w:before="600"/>
    </w:pPr>
  </w:style>
  <w:style w:type="paragraph" w:customStyle="1" w:styleId="Institutionquisigne">
    <w:name w:val="Institution qui signe"/>
    <w:basedOn w:val="Normal"/>
    <w:next w:val="Personnequisigne"/>
    <w:pPr>
      <w:keepNext/>
      <w:tabs>
        <w:tab w:val="left" w:pos="4252"/>
      </w:tabs>
      <w:spacing w:before="720" w:after="0"/>
    </w:pPr>
    <w:rPr>
      <w:i/>
    </w:rPr>
  </w:style>
  <w:style w:type="paragraph" w:customStyle="1" w:styleId="ManualConsidrant">
    <w:name w:val="Manual Considérant"/>
    <w:basedOn w:val="Normal"/>
    <w:pPr>
      <w:ind w:left="709" w:hanging="709"/>
    </w:pPr>
  </w:style>
  <w:style w:type="paragraph" w:customStyle="1" w:styleId="Personnequisigne">
    <w:name w:val="Personne qui signe"/>
    <w:basedOn w:val="Normal"/>
    <w:next w:val="Institutionquisigne"/>
    <w:pPr>
      <w:tabs>
        <w:tab w:val="left" w:pos="4252"/>
      </w:tabs>
      <w:spacing w:before="0" w:after="0"/>
      <w:jc w:val="left"/>
    </w:pPr>
    <w:rPr>
      <w:i/>
    </w:rPr>
  </w:style>
  <w:style w:type="paragraph" w:customStyle="1" w:styleId="Rfrenceinterinstitutionnelle">
    <w:name w:val="Référence interinstitutionnelle"/>
    <w:basedOn w:val="Normal"/>
    <w:next w:val="Statut"/>
    <w:pPr>
      <w:spacing w:before="0" w:after="0"/>
      <w:ind w:left="5103"/>
      <w:jc w:val="left"/>
    </w:pPr>
  </w:style>
  <w:style w:type="paragraph" w:customStyle="1" w:styleId="Rfrenceinterne">
    <w:name w:val="Référence interne"/>
    <w:basedOn w:val="Normal"/>
    <w:next w:val="Rfrenceinterinstitutionnelle"/>
    <w:pPr>
      <w:spacing w:before="0" w:after="0"/>
      <w:ind w:left="5103"/>
      <w:jc w:val="left"/>
    </w:pPr>
  </w:style>
  <w:style w:type="paragraph" w:customStyle="1" w:styleId="Statut">
    <w:name w:val="Statut"/>
    <w:basedOn w:val="Normal"/>
    <w:next w:val="Typedudocument"/>
    <w:pPr>
      <w:spacing w:before="360" w:after="0"/>
      <w:jc w:val="center"/>
    </w:pPr>
  </w:style>
  <w:style w:type="paragraph" w:customStyle="1" w:styleId="Titrearticle">
    <w:name w:val="Titre article"/>
    <w:basedOn w:val="Normal"/>
    <w:next w:val="Normal"/>
    <w:pPr>
      <w:keepNext/>
      <w:spacing w:before="360"/>
      <w:jc w:val="center"/>
    </w:pPr>
    <w:rPr>
      <w:i/>
    </w:rPr>
  </w:style>
  <w:style w:type="paragraph" w:customStyle="1" w:styleId="Titreobjet">
    <w:name w:val="Titre objet"/>
    <w:basedOn w:val="Normal"/>
    <w:next w:val="IntrtEEE"/>
    <w:pPr>
      <w:spacing w:before="360" w:after="360"/>
      <w:jc w:val="center"/>
    </w:pPr>
    <w:rPr>
      <w:b/>
    </w:rPr>
  </w:style>
  <w:style w:type="paragraph" w:customStyle="1" w:styleId="Typedudocument">
    <w:name w:val="Type du document"/>
    <w:basedOn w:val="Normal"/>
    <w:next w:val="Titreobjet"/>
    <w:pPr>
      <w:spacing w:before="360" w:after="0"/>
      <w:jc w:val="center"/>
    </w:pPr>
    <w:rPr>
      <w:b/>
    </w:rPr>
  </w:style>
  <w:style w:type="character" w:customStyle="1" w:styleId="Added">
    <w:name w:val="Added"/>
    <w:basedOn w:val="DefaultParagraphFont"/>
    <w:rPr>
      <w:b/>
      <w:u w:val="single"/>
      <w:shd w:val="clear" w:color="auto" w:fill="auto"/>
    </w:rPr>
  </w:style>
  <w:style w:type="character" w:customStyle="1" w:styleId="Deleted">
    <w:name w:val="Deleted"/>
    <w:basedOn w:val="DefaultParagraphFont"/>
    <w:rPr>
      <w:strike/>
      <w:dstrike w:val="0"/>
      <w:shd w:val="clear" w:color="auto" w:fill="auto"/>
    </w:rPr>
  </w:style>
  <w:style w:type="paragraph" w:customStyle="1" w:styleId="Address">
    <w:name w:val="Address"/>
    <w:basedOn w:val="Normal"/>
    <w:next w:val="Normal"/>
    <w:pPr>
      <w:keepLines/>
      <w:spacing w:line="360" w:lineRule="auto"/>
      <w:ind w:left="3402"/>
      <w:jc w:val="left"/>
    </w:pPr>
  </w:style>
  <w:style w:type="paragraph" w:customStyle="1" w:styleId="Objetexterne">
    <w:name w:val="Objet externe"/>
    <w:basedOn w:val="Normal"/>
    <w:next w:val="Normal"/>
    <w:rPr>
      <w:i/>
      <w:caps/>
    </w:rPr>
  </w:style>
  <w:style w:type="paragraph" w:customStyle="1" w:styleId="Supertitre">
    <w:name w:val="Supertitre"/>
    <w:basedOn w:val="Normal"/>
    <w:next w:val="Normal"/>
    <w:pPr>
      <w:spacing w:before="0" w:after="600"/>
      <w:jc w:val="center"/>
    </w:pPr>
    <w:rPr>
      <w:b/>
    </w:rPr>
  </w:style>
  <w:style w:type="paragraph" w:customStyle="1" w:styleId="Languesfaisantfoi">
    <w:name w:val="Langues faisant foi"/>
    <w:basedOn w:val="Normal"/>
    <w:next w:val="Normal"/>
    <w:pPr>
      <w:spacing w:before="360" w:after="0"/>
      <w:jc w:val="center"/>
    </w:pPr>
  </w:style>
  <w:style w:type="paragraph" w:customStyle="1" w:styleId="Rfrencecroise">
    <w:name w:val="Référence croisée"/>
    <w:basedOn w:val="Normal"/>
    <w:pPr>
      <w:spacing w:before="0" w:after="0"/>
      <w:jc w:val="center"/>
    </w:pPr>
  </w:style>
  <w:style w:type="paragraph" w:customStyle="1" w:styleId="Fichefinanciretitre">
    <w:name w:val="Fiche financière titre"/>
    <w:basedOn w:val="Normal"/>
    <w:next w:val="Normal"/>
    <w:pPr>
      <w:jc w:val="center"/>
    </w:pPr>
    <w:rPr>
      <w:b/>
      <w:u w:val="single"/>
    </w:rPr>
  </w:style>
  <w:style w:type="paragraph" w:customStyle="1" w:styleId="DatedadoptionPagedecouverture">
    <w:name w:val="Date d'adoption (Page de couverture)"/>
    <w:basedOn w:val="Datedadoption"/>
    <w:next w:val="TitreobjetPagedecouverture"/>
  </w:style>
  <w:style w:type="paragraph" w:customStyle="1" w:styleId="RfrenceinterinstitutionnellePagedecouverture">
    <w:name w:val="Référence interinstitutionnelle (Page de couverture)"/>
    <w:basedOn w:val="Rfrenceinterinstitutionnelle"/>
    <w:next w:val="Confidentialit"/>
  </w:style>
  <w:style w:type="paragraph" w:customStyle="1" w:styleId="StatutPagedecouverture">
    <w:name w:val="Statut (Page de couverture)"/>
    <w:basedOn w:val="Statut"/>
    <w:next w:val="TypedudocumentPagedecouverture"/>
  </w:style>
  <w:style w:type="paragraph" w:customStyle="1" w:styleId="TitreobjetPagedecouverture">
    <w:name w:val="Titre objet (Page de couverture)"/>
    <w:basedOn w:val="Titreobjet"/>
    <w:next w:val="IntrtEEEPagedecouverture"/>
  </w:style>
  <w:style w:type="paragraph" w:customStyle="1" w:styleId="TypedudocumentPagedecouverture">
    <w:name w:val="Type du document (Page de couverture)"/>
    <w:basedOn w:val="Typedudocument"/>
    <w:next w:val="TitreobjetPagedecouverture"/>
  </w:style>
  <w:style w:type="paragraph" w:customStyle="1" w:styleId="Volume">
    <w:name w:val="Volume"/>
    <w:basedOn w:val="Normal"/>
    <w:next w:val="Confidentialit"/>
    <w:pPr>
      <w:spacing w:before="0" w:after="240"/>
      <w:ind w:left="5103"/>
      <w:jc w:val="left"/>
    </w:pPr>
  </w:style>
  <w:style w:type="paragraph" w:customStyle="1" w:styleId="IntrtEEE">
    <w:name w:val="Intérêt EEE"/>
    <w:basedOn w:val="Languesfaisantfoi"/>
    <w:next w:val="Normal"/>
    <w:pPr>
      <w:spacing w:after="240"/>
    </w:pPr>
  </w:style>
  <w:style w:type="paragraph" w:customStyle="1" w:styleId="Accompagnant">
    <w:name w:val="Accompagnant"/>
    <w:basedOn w:val="Normal"/>
    <w:next w:val="Typeacteprincipal"/>
    <w:pPr>
      <w:spacing w:before="0" w:after="240"/>
      <w:jc w:val="center"/>
    </w:pPr>
    <w:rPr>
      <w:b/>
      <w:i/>
    </w:rPr>
  </w:style>
  <w:style w:type="paragraph" w:customStyle="1" w:styleId="Typeacteprincipal">
    <w:name w:val="Type acte principal"/>
    <w:basedOn w:val="Normal"/>
    <w:next w:val="Objetacteprincipal"/>
    <w:pPr>
      <w:spacing w:before="0" w:after="240"/>
      <w:jc w:val="center"/>
    </w:pPr>
    <w:rPr>
      <w:b/>
    </w:rPr>
  </w:style>
  <w:style w:type="paragraph" w:customStyle="1" w:styleId="Objetacteprincipal">
    <w:name w:val="Objet acte principal"/>
    <w:basedOn w:val="Normal"/>
    <w:next w:val="Titrearticle"/>
    <w:pPr>
      <w:spacing w:before="0" w:after="360"/>
      <w:jc w:val="center"/>
    </w:pPr>
    <w:rPr>
      <w:b/>
    </w:rPr>
  </w:style>
  <w:style w:type="paragraph" w:customStyle="1" w:styleId="IntrtEEEPagedecouverture">
    <w:name w:val="Intérêt EEE (Page de couverture)"/>
    <w:basedOn w:val="IntrtEEE"/>
    <w:next w:val="Rfrencecroise"/>
  </w:style>
  <w:style w:type="paragraph" w:customStyle="1" w:styleId="AccompagnantPagedecouverture">
    <w:name w:val="Accompagnant (Page de couverture)"/>
    <w:basedOn w:val="Accompagnant"/>
    <w:next w:val="TypeacteprincipalPagedecouverture"/>
  </w:style>
  <w:style w:type="paragraph" w:customStyle="1" w:styleId="TypeacteprincipalPagedecouverture">
    <w:name w:val="Type acte principal (Page de couverture)"/>
    <w:basedOn w:val="Typeacteprincipal"/>
    <w:next w:val="ObjetacteprincipalPagedecouverture"/>
  </w:style>
  <w:style w:type="paragraph" w:customStyle="1" w:styleId="ObjetacteprincipalPagedecouverture">
    <w:name w:val="Objet acte principal (Page de couverture)"/>
    <w:basedOn w:val="Objetacteprincipal"/>
    <w:next w:val="Rfrencecroise"/>
  </w:style>
  <w:style w:type="paragraph" w:customStyle="1" w:styleId="LanguesfaisantfoiPagedecouverture">
    <w:name w:val="Langues faisant foi (Page de couverture)"/>
    <w:basedOn w:val="Normal"/>
    <w:next w:val="Normal"/>
    <w:pPr>
      <w:spacing w:before="360" w:after="0"/>
      <w:jc w:val="center"/>
    </w:pPr>
  </w:style>
  <w:style w:type="paragraph" w:styleId="Header">
    <w:name w:val="header"/>
    <w:basedOn w:val="Normal"/>
    <w:link w:val="HeaderChar"/>
    <w:uiPriority w:val="99"/>
    <w:unhideWhenUsed/>
    <w:rsid w:val="00810F63"/>
    <w:pPr>
      <w:tabs>
        <w:tab w:val="center" w:pos="4535"/>
        <w:tab w:val="right" w:pos="9071"/>
      </w:tabs>
      <w:spacing w:before="0"/>
    </w:pPr>
  </w:style>
  <w:style w:type="paragraph" w:customStyle="1" w:styleId="HeaderLandscape">
    <w:name w:val="HeaderLandscape"/>
    <w:basedOn w:val="Normal"/>
    <w:rsid w:val="00810F63"/>
    <w:pPr>
      <w:tabs>
        <w:tab w:val="center" w:pos="7285"/>
        <w:tab w:val="right" w:pos="14003"/>
      </w:tabs>
      <w:spacing w:before="0"/>
    </w:pPr>
  </w:style>
  <w:style w:type="paragraph" w:styleId="Footer">
    <w:name w:val="footer"/>
    <w:basedOn w:val="Normal"/>
    <w:link w:val="FooterChar"/>
    <w:uiPriority w:val="99"/>
    <w:unhideWhenUsed/>
    <w:rsid w:val="00810F63"/>
    <w:pPr>
      <w:tabs>
        <w:tab w:val="center" w:pos="4535"/>
        <w:tab w:val="right" w:pos="9071"/>
        <w:tab w:val="right" w:pos="9921"/>
      </w:tabs>
      <w:spacing w:before="360" w:after="0"/>
      <w:ind w:left="-850" w:right="-850"/>
      <w:jc w:val="left"/>
    </w:pPr>
  </w:style>
  <w:style w:type="paragraph" w:customStyle="1" w:styleId="FooterLandscape">
    <w:name w:val="FooterLandscape"/>
    <w:basedOn w:val="Normal"/>
    <w:rsid w:val="00810F63"/>
    <w:pPr>
      <w:tabs>
        <w:tab w:val="center" w:pos="7285"/>
        <w:tab w:val="center" w:pos="10913"/>
        <w:tab w:val="right" w:pos="15137"/>
      </w:tabs>
      <w:spacing w:before="360" w:after="0"/>
      <w:ind w:left="-567" w:right="-567"/>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1498534">
      <w:bodyDiv w:val="1"/>
      <w:marLeft w:val="0"/>
      <w:marRight w:val="0"/>
      <w:marTop w:val="0"/>
      <w:marBottom w:val="0"/>
      <w:divBdr>
        <w:top w:val="none" w:sz="0" w:space="0" w:color="auto"/>
        <w:left w:val="none" w:sz="0" w:space="0" w:color="auto"/>
        <w:bottom w:val="none" w:sz="0" w:space="0" w:color="auto"/>
        <w:right w:val="none" w:sz="0" w:space="0" w:color="auto"/>
      </w:divBdr>
    </w:div>
    <w:div w:id="469828025">
      <w:bodyDiv w:val="1"/>
      <w:marLeft w:val="0"/>
      <w:marRight w:val="0"/>
      <w:marTop w:val="0"/>
      <w:marBottom w:val="0"/>
      <w:divBdr>
        <w:top w:val="none" w:sz="0" w:space="0" w:color="auto"/>
        <w:left w:val="none" w:sz="0" w:space="0" w:color="auto"/>
        <w:bottom w:val="none" w:sz="0" w:space="0" w:color="auto"/>
        <w:right w:val="none" w:sz="0" w:space="0" w:color="auto"/>
      </w:divBdr>
      <w:divsChild>
        <w:div w:id="1669097987">
          <w:marLeft w:val="0"/>
          <w:marRight w:val="0"/>
          <w:marTop w:val="0"/>
          <w:marBottom w:val="0"/>
          <w:divBdr>
            <w:top w:val="none" w:sz="0" w:space="0" w:color="auto"/>
            <w:left w:val="none" w:sz="0" w:space="0" w:color="auto"/>
            <w:bottom w:val="none" w:sz="0" w:space="0" w:color="auto"/>
            <w:right w:val="none" w:sz="0" w:space="0" w:color="auto"/>
          </w:divBdr>
          <w:divsChild>
            <w:div w:id="241840477">
              <w:marLeft w:val="0"/>
              <w:marRight w:val="0"/>
              <w:marTop w:val="0"/>
              <w:marBottom w:val="0"/>
              <w:divBdr>
                <w:top w:val="none" w:sz="0" w:space="0" w:color="auto"/>
                <w:left w:val="none" w:sz="0" w:space="0" w:color="auto"/>
                <w:bottom w:val="none" w:sz="0" w:space="0" w:color="auto"/>
                <w:right w:val="none" w:sz="0" w:space="0" w:color="auto"/>
              </w:divBdr>
              <w:divsChild>
                <w:div w:id="875704891">
                  <w:marLeft w:val="0"/>
                  <w:marRight w:val="0"/>
                  <w:marTop w:val="0"/>
                  <w:marBottom w:val="0"/>
                  <w:divBdr>
                    <w:top w:val="none" w:sz="0" w:space="0" w:color="auto"/>
                    <w:left w:val="none" w:sz="0" w:space="0" w:color="auto"/>
                    <w:bottom w:val="none" w:sz="0" w:space="0" w:color="auto"/>
                    <w:right w:val="none" w:sz="0" w:space="0" w:color="auto"/>
                  </w:divBdr>
                  <w:divsChild>
                    <w:div w:id="1464495933">
                      <w:marLeft w:val="0"/>
                      <w:marRight w:val="0"/>
                      <w:marTop w:val="120"/>
                      <w:marBottom w:val="0"/>
                      <w:divBdr>
                        <w:top w:val="none" w:sz="0" w:space="0" w:color="auto"/>
                        <w:left w:val="none" w:sz="0" w:space="0" w:color="auto"/>
                        <w:bottom w:val="none" w:sz="0" w:space="0" w:color="auto"/>
                        <w:right w:val="none" w:sz="0" w:space="0" w:color="auto"/>
                      </w:divBdr>
                    </w:div>
                    <w:div w:id="591548199">
                      <w:marLeft w:val="0"/>
                      <w:marRight w:val="0"/>
                      <w:marTop w:val="0"/>
                      <w:marBottom w:val="0"/>
                      <w:divBdr>
                        <w:top w:val="none" w:sz="0" w:space="0" w:color="auto"/>
                        <w:left w:val="none" w:sz="0" w:space="0" w:color="auto"/>
                        <w:bottom w:val="none" w:sz="0" w:space="0" w:color="auto"/>
                        <w:right w:val="none" w:sz="0" w:space="0" w:color="auto"/>
                      </w:divBdr>
                    </w:div>
                  </w:divsChild>
                </w:div>
                <w:div w:id="1268347201">
                  <w:marLeft w:val="0"/>
                  <w:marRight w:val="0"/>
                  <w:marTop w:val="0"/>
                  <w:marBottom w:val="0"/>
                  <w:divBdr>
                    <w:top w:val="none" w:sz="0" w:space="0" w:color="auto"/>
                    <w:left w:val="none" w:sz="0" w:space="0" w:color="auto"/>
                    <w:bottom w:val="none" w:sz="0" w:space="0" w:color="auto"/>
                    <w:right w:val="none" w:sz="0" w:space="0" w:color="auto"/>
                  </w:divBdr>
                  <w:divsChild>
                    <w:div w:id="633217377">
                      <w:marLeft w:val="0"/>
                      <w:marRight w:val="0"/>
                      <w:marTop w:val="120"/>
                      <w:marBottom w:val="0"/>
                      <w:divBdr>
                        <w:top w:val="none" w:sz="0" w:space="0" w:color="auto"/>
                        <w:left w:val="none" w:sz="0" w:space="0" w:color="auto"/>
                        <w:bottom w:val="none" w:sz="0" w:space="0" w:color="auto"/>
                        <w:right w:val="none" w:sz="0" w:space="0" w:color="auto"/>
                      </w:divBdr>
                    </w:div>
                    <w:div w:id="626425199">
                      <w:marLeft w:val="0"/>
                      <w:marRight w:val="0"/>
                      <w:marTop w:val="0"/>
                      <w:marBottom w:val="0"/>
                      <w:divBdr>
                        <w:top w:val="none" w:sz="0" w:space="0" w:color="auto"/>
                        <w:left w:val="none" w:sz="0" w:space="0" w:color="auto"/>
                        <w:bottom w:val="none" w:sz="0" w:space="0" w:color="auto"/>
                        <w:right w:val="none" w:sz="0" w:space="0" w:color="auto"/>
                      </w:divBdr>
                    </w:div>
                  </w:divsChild>
                </w:div>
                <w:div w:id="2000841439">
                  <w:marLeft w:val="0"/>
                  <w:marRight w:val="0"/>
                  <w:marTop w:val="0"/>
                  <w:marBottom w:val="0"/>
                  <w:divBdr>
                    <w:top w:val="none" w:sz="0" w:space="0" w:color="auto"/>
                    <w:left w:val="none" w:sz="0" w:space="0" w:color="auto"/>
                    <w:bottom w:val="none" w:sz="0" w:space="0" w:color="auto"/>
                    <w:right w:val="none" w:sz="0" w:space="0" w:color="auto"/>
                  </w:divBdr>
                  <w:divsChild>
                    <w:div w:id="2095541932">
                      <w:marLeft w:val="0"/>
                      <w:marRight w:val="0"/>
                      <w:marTop w:val="120"/>
                      <w:marBottom w:val="0"/>
                      <w:divBdr>
                        <w:top w:val="none" w:sz="0" w:space="0" w:color="auto"/>
                        <w:left w:val="none" w:sz="0" w:space="0" w:color="auto"/>
                        <w:bottom w:val="none" w:sz="0" w:space="0" w:color="auto"/>
                        <w:right w:val="none" w:sz="0" w:space="0" w:color="auto"/>
                      </w:divBdr>
                    </w:div>
                    <w:div w:id="1736245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15848847">
      <w:bodyDiv w:val="1"/>
      <w:marLeft w:val="0"/>
      <w:marRight w:val="0"/>
      <w:marTop w:val="0"/>
      <w:marBottom w:val="0"/>
      <w:divBdr>
        <w:top w:val="none" w:sz="0" w:space="0" w:color="auto"/>
        <w:left w:val="none" w:sz="0" w:space="0" w:color="auto"/>
        <w:bottom w:val="none" w:sz="0" w:space="0" w:color="auto"/>
        <w:right w:val="none" w:sz="0" w:space="0" w:color="auto"/>
      </w:divBdr>
    </w:div>
    <w:div w:id="1563297494">
      <w:bodyDiv w:val="1"/>
      <w:marLeft w:val="0"/>
      <w:marRight w:val="0"/>
      <w:marTop w:val="0"/>
      <w:marBottom w:val="0"/>
      <w:divBdr>
        <w:top w:val="none" w:sz="0" w:space="0" w:color="auto"/>
        <w:left w:val="none" w:sz="0" w:space="0" w:color="auto"/>
        <w:bottom w:val="none" w:sz="0" w:space="0" w:color="auto"/>
        <w:right w:val="none" w:sz="0" w:space="0" w:color="auto"/>
      </w:divBdr>
    </w:div>
    <w:div w:id="20800525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footer" Target="footer5.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footnotes.xml.rels><?xml version="1.0" encoding="UTF-8" standalone="yes"?>
<Relationships xmlns="http://schemas.openxmlformats.org/package/2006/relationships"><Relationship Id="rId3" Type="http://schemas.openxmlformats.org/officeDocument/2006/relationships/hyperlink" Target="http://data.europa.eu/eli/dir/2019/2034/oj" TargetMode="External"/><Relationship Id="rId2" Type="http://schemas.openxmlformats.org/officeDocument/2006/relationships/hyperlink" Target="http://data.europa.eu/eli/dir/2013/36/oj" TargetMode="External"/><Relationship Id="rId1" Type="http://schemas.openxmlformats.org/officeDocument/2006/relationships/hyperlink" Target="http://data.europa.eu/eli/reg/2024/1623/oj"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COM.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EC_Collab_Reference xmlns="144c03d0-0f03-451f-9d46-5279004462a4" xsi:nil="true"/>
    <EC_Collab_Status xmlns="144c03d0-0f03-451f-9d46-5279004462a4">Not Started</EC_Collab_Status>
    <_Status xmlns="http://schemas.microsoft.com/sharepoint/v3/fields">Not Started</_Status>
    <EC_Collab_DocumentLanguage xmlns="144c03d0-0f03-451f-9d46-5279004462a4">EN</EC_Collab_DocumentLanguag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EC Document" ma:contentTypeID="0x010100BAD999D84E12C74482EA5120F5227F6F00217DECAAC21D6B43958DFE68658C192E" ma:contentTypeVersion="20" ma:contentTypeDescription="Create a new document in this library." ma:contentTypeScope="" ma:versionID="9652a2d46328713989bb97f1a4bbd963">
  <xsd:schema xmlns:xsd="http://www.w3.org/2001/XMLSchema" xmlns:xs="http://www.w3.org/2001/XMLSchema" xmlns:p="http://schemas.microsoft.com/office/2006/metadata/properties" xmlns:ns2="http://schemas.microsoft.com/sharepoint/v3/fields" xmlns:ns3="144c03d0-0f03-451f-9d46-5279004462a4" xmlns:ns4="f7bb8512-91eb-4bfd-be42-d6f021407e9a" targetNamespace="http://schemas.microsoft.com/office/2006/metadata/properties" ma:root="true" ma:fieldsID="4f29c4ebe26ab41c5114504f141434bd" ns2:_="" ns3:_="" ns4:_="">
    <xsd:import namespace="http://schemas.microsoft.com/sharepoint/v3/fields"/>
    <xsd:import namespace="144c03d0-0f03-451f-9d46-5279004462a4"/>
    <xsd:import namespace="f7bb8512-91eb-4bfd-be42-d6f021407e9a"/>
    <xsd:element name="properties">
      <xsd:complexType>
        <xsd:sequence>
          <xsd:element name="documentManagement">
            <xsd:complexType>
              <xsd:all>
                <xsd:element ref="ns3:EC_Collab_Reference" minOccurs="0"/>
                <xsd:element ref="ns2:_Status" minOccurs="0"/>
                <xsd:element ref="ns3:EC_Collab_DocumentLanguage"/>
                <xsd:element ref="ns3:SharedWithUsers" minOccurs="0"/>
                <xsd:element ref="ns3:SharedWithDetails" minOccurs="0"/>
                <xsd:element ref="ns3:EC_Collab_Status" minOccurs="0"/>
                <xsd:element ref="ns4: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13" nillable="true" ma:displayName="Status" ma:default="Not Started" ma:hidden="true" ma:internalName="_Status" ma:readOnly="false">
      <xsd:simpleType>
        <xsd:union memberTypes="dms:Text">
          <xsd:simpleType>
            <xsd:restriction base="dms:Choice">
              <xsd:enumeration value="Not Started"/>
              <xsd:enumeration value="Draft"/>
              <xsd:enumeration value="Reviewed"/>
              <xsd:enumeration value="Scheduled"/>
              <xsd:enumeration value="Published"/>
              <xsd:enumeration value="Final"/>
              <xsd:enumeration value="Expired"/>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144c03d0-0f03-451f-9d46-5279004462a4" elementFormDefault="qualified">
    <xsd:import namespace="http://schemas.microsoft.com/office/2006/documentManagement/types"/>
    <xsd:import namespace="http://schemas.microsoft.com/office/infopath/2007/PartnerControls"/>
    <xsd:element name="EC_Collab_Reference" ma:index="12" nillable="true" ma:displayName="Reference" ma:internalName="EC_Collab_Reference" ma:readOnly="false">
      <xsd:simpleType>
        <xsd:restriction base="dms:Text"/>
      </xsd:simpleType>
    </xsd:element>
    <xsd:element name="EC_Collab_DocumentLanguage" ma:index="14" ma:displayName="Language" ma:default="EN" ma:format="Dropdown" ma:internalName="EC_Collab_DocumentLanguage" ma:readOnly="false">
      <xsd:simpleType>
        <xsd:restriction base="dms:Choice">
          <xsd:enumeration value="BG"/>
          <xsd:enumeration value="ES"/>
          <xsd:enumeration value="CS"/>
          <xsd:enumeration value="DA"/>
          <xsd:enumeration value="DE"/>
          <xsd:enumeration value="ET"/>
          <xsd:enumeration value="EL"/>
          <xsd:enumeration value="EN"/>
          <xsd:enumeration value="FR"/>
          <xsd:enumeration value="GA"/>
          <xsd:enumeration value="IT"/>
          <xsd:enumeration value="LT"/>
          <xsd:enumeration value="LV"/>
          <xsd:enumeration value="HU"/>
          <xsd:enumeration value="MT"/>
          <xsd:enumeration value="NL"/>
          <xsd:enumeration value="PL"/>
          <xsd:enumeration value="PT"/>
          <xsd:enumeration value="RO"/>
          <xsd:enumeration value="SK"/>
          <xsd:enumeration value="SL"/>
          <xsd:enumeration value="FI"/>
          <xsd:enumeration value="SV"/>
          <xsd:enumeration value="HR"/>
          <xsd:enumeration value="MK"/>
          <xsd:enumeration value="TR"/>
          <xsd:enumeration value="EU"/>
          <xsd:enumeration value="CA"/>
          <xsd:enumeration value="GL"/>
          <xsd:enumeration value="AB"/>
          <xsd:enumeration value="AA"/>
          <xsd:enumeration value="AF"/>
          <xsd:enumeration value="AK"/>
          <xsd:enumeration value="SQ"/>
          <xsd:enumeration value="AM"/>
          <xsd:enumeration value="AR"/>
          <xsd:enumeration value="AN"/>
          <xsd:enumeration value="HY"/>
          <xsd:enumeration value="AS"/>
          <xsd:enumeration value="AV"/>
          <xsd:enumeration value="AE"/>
          <xsd:enumeration value="AY"/>
          <xsd:enumeration value="AZ"/>
          <xsd:enumeration value="BM"/>
          <xsd:enumeration value="BA"/>
          <xsd:enumeration value="BE"/>
          <xsd:enumeration value="BN"/>
          <xsd:enumeration value="BH"/>
          <xsd:enumeration value="BI"/>
          <xsd:enumeration value="NB"/>
          <xsd:enumeration value="BS"/>
          <xsd:enumeration value="BR"/>
          <xsd:enumeration value="MY"/>
          <xsd:enumeration value="KM"/>
          <xsd:enumeration value="CH"/>
          <xsd:enumeration value="CE"/>
          <xsd:enumeration value="NY"/>
          <xsd:enumeration value="ZH"/>
          <xsd:enumeration value="CU"/>
          <xsd:enumeration value="CV"/>
          <xsd:enumeration value="KW"/>
          <xsd:enumeration value="CO"/>
          <xsd:enumeration value="CR"/>
          <xsd:enumeration value="DV"/>
          <xsd:enumeration value="DZ"/>
          <xsd:enumeration value="EO"/>
          <xsd:enumeration value="EE"/>
          <xsd:enumeration value="FO"/>
          <xsd:enumeration value="FJ"/>
          <xsd:enumeration value="FF"/>
          <xsd:enumeration value="GD"/>
          <xsd:enumeration value="LG"/>
          <xsd:enumeration value="KA"/>
          <xsd:enumeration value="GN"/>
          <xsd:enumeration value="GU"/>
          <xsd:enumeration value="HT"/>
          <xsd:enumeration value="HA"/>
          <xsd:enumeration value="HE"/>
          <xsd:enumeration value="HZ"/>
          <xsd:enumeration value="HI"/>
          <xsd:enumeration value="HO"/>
          <xsd:enumeration value="IS"/>
          <xsd:enumeration value="IO"/>
          <xsd:enumeration value="IG"/>
          <xsd:enumeration value="ID"/>
          <xsd:enumeration value="IA"/>
          <xsd:enumeration value="IE"/>
          <xsd:enumeration value="IU"/>
          <xsd:enumeration value="IK"/>
          <xsd:enumeration value="JA"/>
          <xsd:enumeration value="JV"/>
          <xsd:enumeration value="KL"/>
          <xsd:enumeration value="KN"/>
          <xsd:enumeration value="KR"/>
          <xsd:enumeration value="KS"/>
          <xsd:enumeration value="KK"/>
          <xsd:enumeration value="KI"/>
          <xsd:enumeration value="RW"/>
          <xsd:enumeration value="KY"/>
          <xsd:enumeration value="KV"/>
          <xsd:enumeration value="KG"/>
          <xsd:enumeration value="KO"/>
          <xsd:enumeration value="KJ"/>
          <xsd:enumeration value="KU"/>
          <xsd:enumeration value="LO"/>
          <xsd:enumeration value="LA"/>
          <xsd:enumeration value="LI"/>
          <xsd:enumeration value="LN"/>
          <xsd:enumeration value="LU"/>
          <xsd:enumeration value="LB"/>
          <xsd:enumeration value="MG"/>
          <xsd:enumeration value="MS"/>
          <xsd:enumeration value="ML"/>
          <xsd:enumeration value="GV"/>
          <xsd:enumeration value="MI"/>
          <xsd:enumeration value="MR"/>
          <xsd:enumeration value="MH"/>
          <xsd:enumeration value="MN"/>
          <xsd:enumeration value="NA"/>
          <xsd:enumeration value="NV"/>
          <xsd:enumeration value="ND"/>
          <xsd:enumeration value="NR"/>
          <xsd:enumeration value="NG"/>
          <xsd:enumeration value="NE"/>
          <xsd:enumeration value="SE"/>
          <xsd:enumeration value="NO"/>
          <xsd:enumeration value="NN"/>
          <xsd:enumeration value="OC"/>
          <xsd:enumeration value="OJ"/>
          <xsd:enumeration value="OR"/>
          <xsd:enumeration value="OM"/>
          <xsd:enumeration value="OS"/>
          <xsd:enumeration value="PI"/>
          <xsd:enumeration value="PA"/>
          <xsd:enumeration value="FA"/>
          <xsd:enumeration value="PS"/>
          <xsd:enumeration value="QU"/>
          <xsd:enumeration value="RM"/>
          <xsd:enumeration value="RN"/>
          <xsd:enumeration value="RU"/>
          <xsd:enumeration value="SM"/>
          <xsd:enumeration value="SG"/>
          <xsd:enumeration value="SA"/>
          <xsd:enumeration value="SC"/>
          <xsd:enumeration value="SR"/>
          <xsd:enumeration value="SN"/>
          <xsd:enumeration value="II"/>
          <xsd:enumeration value="SD"/>
          <xsd:enumeration value="SI"/>
          <xsd:enumeration value="SO"/>
          <xsd:enumeration value="ST"/>
          <xsd:enumeration value="SU"/>
          <xsd:enumeration value="SW"/>
          <xsd:enumeration value="SS"/>
          <xsd:enumeration value="TL"/>
          <xsd:enumeration value="TY"/>
          <xsd:enumeration value="TG"/>
          <xsd:enumeration value="TA"/>
          <xsd:enumeration value="TT"/>
          <xsd:enumeration value="TE"/>
          <xsd:enumeration value="TH"/>
          <xsd:enumeration value="BO"/>
          <xsd:enumeration value="TI"/>
          <xsd:enumeration value="TO"/>
          <xsd:enumeration value="TS"/>
          <xsd:enumeration value="TN"/>
          <xsd:enumeration value="TK"/>
          <xsd:enumeration value="TW"/>
          <xsd:enumeration value="UG"/>
          <xsd:enumeration value="UK"/>
          <xsd:enumeration value="UR"/>
          <xsd:enumeration value="UZ"/>
          <xsd:enumeration value="VE"/>
          <xsd:enumeration value="VI"/>
          <xsd:enumeration value="VO"/>
          <xsd:enumeration value="WA"/>
          <xsd:enumeration value="CY"/>
          <xsd:enumeration value="FY"/>
          <xsd:enumeration value="WO"/>
          <xsd:enumeration value="XH"/>
          <xsd:enumeration value="YI"/>
          <xsd:enumeration value="YO"/>
          <xsd:enumeration value="ZA"/>
          <xsd:enumeration value="ZU"/>
        </xsd:restriction>
      </xsd:simpleType>
    </xsd:element>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EC_Collab_Status" ma:index="17" nillable="true" ma:displayName="EC Status" ma:default="Not Started" ma:format="Dropdown" ma:internalName="EC_Collab_Status" ma:readOnly="false">
      <xsd:simpleType>
        <xsd:restriction base="dms:Choice">
          <xsd:enumeration value="Not Started"/>
          <xsd:enumeration value="Draft"/>
          <xsd:enumeration value="Reviewed"/>
          <xsd:enumeration value="Scheduled"/>
          <xsd:enumeration value="Published"/>
          <xsd:enumeration value="Final"/>
          <xsd:enumeration value="Expired"/>
        </xsd:restriction>
      </xsd:simpleType>
    </xsd:element>
  </xsd:schema>
  <xsd:schema xmlns:xsd="http://www.w3.org/2001/XMLSchema" xmlns:xs="http://www.w3.org/2001/XMLSchema" xmlns:dms="http://schemas.microsoft.com/office/2006/documentManagement/types" xmlns:pc="http://schemas.microsoft.com/office/infopath/2007/PartnerControls" targetNamespace="f7bb8512-91eb-4bfd-be42-d6f021407e9a" elementFormDefault="qualified">
    <xsd:import namespace="http://schemas.microsoft.com/office/2006/documentManagement/types"/>
    <xsd:import namespace="http://schemas.microsoft.com/office/infopath/2007/PartnerControls"/>
    <xsd:element name="MediaServiceSearchProperties" ma:index="18"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9" ma:displayName="Author"/>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ma:index="8" ma:displayName="Subject"/>
        <xsd:element ref="dc:description" minOccurs="0" maxOccurs="1" ma:index="11" ma:displayName="Comments"/>
        <xsd:element name="keywords" minOccurs="0" maxOccurs="1" type="xsd:string" ma:index="10"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39D75A-0FAE-4662-B7B0-867169809594}">
  <ds:schemaRefs>
    <ds:schemaRef ds:uri="http://schemas.microsoft.com/office/2006/metadata/properties"/>
    <ds:schemaRef ds:uri="http://schemas.microsoft.com/office/infopath/2007/PartnerControls"/>
    <ds:schemaRef ds:uri="144c03d0-0f03-451f-9d46-5279004462a4"/>
    <ds:schemaRef ds:uri="http://schemas.microsoft.com/sharepoint/v3/fields"/>
  </ds:schemaRefs>
</ds:datastoreItem>
</file>

<file path=customXml/itemProps2.xml><?xml version="1.0" encoding="utf-8"?>
<ds:datastoreItem xmlns:ds="http://schemas.openxmlformats.org/officeDocument/2006/customXml" ds:itemID="{A79A7A7A-254E-4110-8F5E-41732923DD0C}">
  <ds:schemaRefs>
    <ds:schemaRef ds:uri="http://schemas.microsoft.com/sharepoint/v3/contenttype/forms"/>
  </ds:schemaRefs>
</ds:datastoreItem>
</file>

<file path=customXml/itemProps3.xml><?xml version="1.0" encoding="utf-8"?>
<ds:datastoreItem xmlns:ds="http://schemas.openxmlformats.org/officeDocument/2006/customXml" ds:itemID="{A8FA9136-2D1B-4604-98B2-4BB39F0B08B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144c03d0-0f03-451f-9d46-5279004462a4"/>
    <ds:schemaRef ds:uri="f7bb8512-91eb-4bfd-be42-d6f021407e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BA63378-0C5E-44E3-AE31-41860AD5798F}">
  <ds:schemaRefs>
    <ds:schemaRef ds:uri="http://schemas.openxmlformats.org/officeDocument/2006/bibliography"/>
  </ds:schemaRefs>
</ds:datastoreItem>
</file>

<file path=docMetadata/LabelInfo.xml><?xml version="1.0" encoding="utf-8"?>
<clbl:labelList xmlns:clbl="http://schemas.microsoft.com/office/2020/mipLabelMetadata">
  <clbl:label id="{5c7eb9de-735b-4a68-8fe4-c9c62709b012}" enabled="1" method="Standard" siteId="{3bacb4ff-f1a2-4c92-b96c-e99fec826b68}" contentBits="1" removed="0"/>
</clbl:labelList>
</file>

<file path=docProps/app.xml><?xml version="1.0" encoding="utf-8"?>
<Properties xmlns="http://schemas.openxmlformats.org/officeDocument/2006/extended-properties" xmlns:vt="http://schemas.openxmlformats.org/officeDocument/2006/docPropsVTypes">
  <Template>COM.dotm</Template>
  <TotalTime>50</TotalTime>
  <Pages>13</Pages>
  <Words>8385</Words>
  <Characters>47797</Characters>
  <Application>Microsoft Office Word</Application>
  <DocSecurity>0</DocSecurity>
  <Lines>398</Lines>
  <Paragraphs>112</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56070</CharactersWithSpaces>
  <SharedDoc>false</SharedDoc>
  <HLinks>
    <vt:vector size="42" baseType="variant">
      <vt:variant>
        <vt:i4>7864408</vt:i4>
      </vt:variant>
      <vt:variant>
        <vt:i4>0</vt:i4>
      </vt:variant>
      <vt:variant>
        <vt:i4>0</vt:i4>
      </vt:variant>
      <vt:variant>
        <vt:i4>5</vt:i4>
      </vt:variant>
      <vt:variant>
        <vt:lpwstr>https://publications.europa.eu/resource/cellar/46007320-14fd-11ee-806b-01aa75ed71a1.0017.02/DOC_1</vt:lpwstr>
      </vt:variant>
      <vt:variant>
        <vt:lpwstr>E0002</vt:lpwstr>
      </vt:variant>
      <vt:variant>
        <vt:i4>4718623</vt:i4>
      </vt:variant>
      <vt:variant>
        <vt:i4>15</vt:i4>
      </vt:variant>
      <vt:variant>
        <vt:i4>0</vt:i4>
      </vt:variant>
      <vt:variant>
        <vt:i4>5</vt:i4>
      </vt:variant>
      <vt:variant>
        <vt:lpwstr>http://data.europa.eu/eli/reg/2014/806/oj</vt:lpwstr>
      </vt:variant>
      <vt:variant>
        <vt:lpwstr/>
      </vt:variant>
      <vt:variant>
        <vt:i4>7012462</vt:i4>
      </vt:variant>
      <vt:variant>
        <vt:i4>12</vt:i4>
      </vt:variant>
      <vt:variant>
        <vt:i4>0</vt:i4>
      </vt:variant>
      <vt:variant>
        <vt:i4>5</vt:i4>
      </vt:variant>
      <vt:variant>
        <vt:lpwstr>http://data.europa.eu/eli/reg/2002/1606/oj</vt:lpwstr>
      </vt:variant>
      <vt:variant>
        <vt:lpwstr/>
      </vt:variant>
      <vt:variant>
        <vt:i4>6291564</vt:i4>
      </vt:variant>
      <vt:variant>
        <vt:i4>9</vt:i4>
      </vt:variant>
      <vt:variant>
        <vt:i4>0</vt:i4>
      </vt:variant>
      <vt:variant>
        <vt:i4>5</vt:i4>
      </vt:variant>
      <vt:variant>
        <vt:lpwstr>http://data.europa.eu/eli/reg/2019/2033/oj</vt:lpwstr>
      </vt:variant>
      <vt:variant>
        <vt:lpwstr/>
      </vt:variant>
      <vt:variant>
        <vt:i4>7077992</vt:i4>
      </vt:variant>
      <vt:variant>
        <vt:i4>6</vt:i4>
      </vt:variant>
      <vt:variant>
        <vt:i4>0</vt:i4>
      </vt:variant>
      <vt:variant>
        <vt:i4>5</vt:i4>
      </vt:variant>
      <vt:variant>
        <vt:lpwstr>http://data.europa.eu/eli/dir/2019/2034/oj</vt:lpwstr>
      </vt:variant>
      <vt:variant>
        <vt:lpwstr/>
      </vt:variant>
      <vt:variant>
        <vt:i4>5505114</vt:i4>
      </vt:variant>
      <vt:variant>
        <vt:i4>3</vt:i4>
      </vt:variant>
      <vt:variant>
        <vt:i4>0</vt:i4>
      </vt:variant>
      <vt:variant>
        <vt:i4>5</vt:i4>
      </vt:variant>
      <vt:variant>
        <vt:lpwstr>http://data.europa.eu/eli/dir/2013/36/oj</vt:lpwstr>
      </vt:variant>
      <vt:variant>
        <vt:lpwstr/>
      </vt:variant>
      <vt:variant>
        <vt:i4>7274601</vt:i4>
      </vt:variant>
      <vt:variant>
        <vt:i4>0</vt:i4>
      </vt:variant>
      <vt:variant>
        <vt:i4>0</vt:i4>
      </vt:variant>
      <vt:variant>
        <vt:i4>5</vt:i4>
      </vt:variant>
      <vt:variant>
        <vt:lpwstr>http://data.europa.eu/eli/reg/2024/1623/oj</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EC CoDe</cp:lastModifiedBy>
  <cp:revision>55</cp:revision>
  <dcterms:created xsi:type="dcterms:W3CDTF">2024-11-08T11:56:00Z</dcterms:created>
  <dcterms:modified xsi:type="dcterms:W3CDTF">2024-12-03T15:48:00Z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ategory">
    <vt:lpwstr>COM/AA</vt:lpwstr>
  </property>
  <property fmtid="{D5CDD505-2E9C-101B-9397-08002B2CF9AE}" pid="3" name="Version">
    <vt:lpwstr>8.0.19.5</vt:lpwstr>
  </property>
  <property fmtid="{D5CDD505-2E9C-101B-9397-08002B2CF9AE}" pid="4" name="Last edited using">
    <vt:lpwstr>LW 9.0, Build 20230317</vt:lpwstr>
  </property>
  <property fmtid="{D5CDD505-2E9C-101B-9397-08002B2CF9AE}" pid="5" name="Created using">
    <vt:lpwstr>LW 8.1, Build 20220811</vt:lpwstr>
  </property>
  <property fmtid="{D5CDD505-2E9C-101B-9397-08002B2CF9AE}" pid="6" name="Part">
    <vt:lpwstr>1</vt:lpwstr>
  </property>
  <property fmtid="{D5CDD505-2E9C-101B-9397-08002B2CF9AE}" pid="7" name="Total parts">
    <vt:lpwstr>1</vt:lpwstr>
  </property>
  <property fmtid="{D5CDD505-2E9C-101B-9397-08002B2CF9AE}" pid="8" name="Level of sensitivity">
    <vt:lpwstr>Standard treatment</vt:lpwstr>
  </property>
  <property fmtid="{D5CDD505-2E9C-101B-9397-08002B2CF9AE}" pid="9" name="LWTemplateID">
    <vt:lpwstr>SJ-004</vt:lpwstr>
  </property>
  <property fmtid="{D5CDD505-2E9C-101B-9397-08002B2CF9AE}" pid="10" name="ClassificationContentMarkingHeaderShapeIds">
    <vt:lpwstr>19584321,6aa9241e,523e3d0e,176eeefa,7c9ac46c,7b799d07</vt:lpwstr>
  </property>
  <property fmtid="{D5CDD505-2E9C-101B-9397-08002B2CF9AE}" pid="11" name="ClassificationContentMarkingHeaderFontProps">
    <vt:lpwstr>#000000,12,Calibri</vt:lpwstr>
  </property>
  <property fmtid="{D5CDD505-2E9C-101B-9397-08002B2CF9AE}" pid="12" name="ClassificationContentMarkingHeaderText">
    <vt:lpwstr>EBA Regular Use</vt:lpwstr>
  </property>
  <property fmtid="{D5CDD505-2E9C-101B-9397-08002B2CF9AE}" pid="13" name="MSIP_Label_6bd9ddd1-4d20-43f6-abfa-fc3c07406f94_Enabled">
    <vt:lpwstr>true</vt:lpwstr>
  </property>
  <property fmtid="{D5CDD505-2E9C-101B-9397-08002B2CF9AE}" pid="14" name="MSIP_Label_6bd9ddd1-4d20-43f6-abfa-fc3c07406f94_SetDate">
    <vt:lpwstr>2024-07-08T14:37:59Z</vt:lpwstr>
  </property>
  <property fmtid="{D5CDD505-2E9C-101B-9397-08002B2CF9AE}" pid="15" name="MSIP_Label_6bd9ddd1-4d20-43f6-abfa-fc3c07406f94_Method">
    <vt:lpwstr>Standard</vt:lpwstr>
  </property>
  <property fmtid="{D5CDD505-2E9C-101B-9397-08002B2CF9AE}" pid="16" name="MSIP_Label_6bd9ddd1-4d20-43f6-abfa-fc3c07406f94_Name">
    <vt:lpwstr>Commission Use</vt:lpwstr>
  </property>
  <property fmtid="{D5CDD505-2E9C-101B-9397-08002B2CF9AE}" pid="17" name="MSIP_Label_6bd9ddd1-4d20-43f6-abfa-fc3c07406f94_SiteId">
    <vt:lpwstr>b24c8b06-522c-46fe-9080-70926f8dddb1</vt:lpwstr>
  </property>
  <property fmtid="{D5CDD505-2E9C-101B-9397-08002B2CF9AE}" pid="18" name="MSIP_Label_6bd9ddd1-4d20-43f6-abfa-fc3c07406f94_ActionId">
    <vt:lpwstr>bd8d1738-4d10-4a4e-93f3-81a329ae05c6</vt:lpwstr>
  </property>
  <property fmtid="{D5CDD505-2E9C-101B-9397-08002B2CF9AE}" pid="19" name="MSIP_Label_6bd9ddd1-4d20-43f6-abfa-fc3c07406f94_ContentBits">
    <vt:lpwstr>0</vt:lpwstr>
  </property>
  <property fmtid="{D5CDD505-2E9C-101B-9397-08002B2CF9AE}" pid="20" name="ContentTypeId">
    <vt:lpwstr>0x010100BAD999D84E12C74482EA5120F5227F6F00217DECAAC21D6B43958DFE68658C192E</vt:lpwstr>
  </property>
  <property fmtid="{D5CDD505-2E9C-101B-9397-08002B2CF9AE}" pid="21" name="DQCStatus">
    <vt:lpwstr>Green (DQC version 03)</vt:lpwstr>
  </property>
</Properties>
</file>