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9158D0" w:rsidRDefault="00AC5F67" w:rsidP="00AC5F67">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164CCF07-3A24-4655-80B1-69DDCF1C8137" style="width:455.25pt;height:399pt">
            <v:imagedata r:id="rId11" o:title=""/>
          </v:shape>
        </w:pict>
      </w:r>
    </w:p>
    <w:p w:rsidR="00185C9B" w:rsidRPr="009158D0" w:rsidRDefault="00185C9B">
      <w:pPr>
        <w:rPr>
          <w:noProof/>
          <w:szCs w:val="24"/>
        </w:rPr>
        <w:sectPr w:rsidR="00185C9B" w:rsidRPr="009158D0" w:rsidSect="00AC5F67">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9158D0" w:rsidRDefault="009158D0" w:rsidP="009158D0">
      <w:pPr>
        <w:pStyle w:val="Typedudocument"/>
        <w:rPr>
          <w:noProof/>
        </w:rPr>
      </w:pPr>
      <w:bookmarkStart w:id="0" w:name="_GoBack"/>
      <w:bookmarkEnd w:id="0"/>
      <w:r w:rsidRPr="009158D0">
        <w:rPr>
          <w:noProof/>
        </w:rPr>
        <w:lastRenderedPageBreak/>
        <w:t>IZVEDBENA UREDBA KOMISIJE (EU) …/…</w:t>
      </w:r>
    </w:p>
    <w:p w:rsidR="00185C9B" w:rsidRPr="009158D0" w:rsidRDefault="00F67E5F" w:rsidP="009158D0">
      <w:pPr>
        <w:pStyle w:val="Datedadoption"/>
        <w:rPr>
          <w:noProof/>
        </w:rPr>
      </w:pPr>
      <w:r>
        <w:rPr>
          <w:noProof/>
        </w:rPr>
        <w:t>z dne 29.11.2024</w:t>
      </w:r>
    </w:p>
    <w:p w:rsidR="00185C9B" w:rsidRPr="009158D0" w:rsidRDefault="009158D0" w:rsidP="009158D0">
      <w:pPr>
        <w:pStyle w:val="Titreobjet"/>
        <w:rPr>
          <w:noProof/>
        </w:rPr>
      </w:pPr>
      <w:r w:rsidRPr="009158D0">
        <w:rPr>
          <w:noProof/>
        </w:rPr>
        <w:t>o določitvi izvedbenih tehničnih standardov za uporabo Uredbe (EU) št. 575/2013 Evropskega parlamenta in Sveta v zvezi z nadzorniškim poročanjem institucij in razveljavitvi Izvedbene uredbe Komisije (EU) 2021/451</w:t>
      </w:r>
    </w:p>
    <w:p w:rsidR="00185C9B" w:rsidRPr="009158D0" w:rsidRDefault="009158D0" w:rsidP="009158D0">
      <w:pPr>
        <w:pStyle w:val="IntrtEEE"/>
        <w:rPr>
          <w:noProof/>
        </w:rPr>
      </w:pPr>
      <w:r w:rsidRPr="009158D0">
        <w:rPr>
          <w:noProof/>
        </w:rPr>
        <w:t>(Besedilo velja za EGP)</w:t>
      </w:r>
    </w:p>
    <w:p w:rsidR="00185C9B" w:rsidRPr="009158D0" w:rsidRDefault="00185C9B" w:rsidP="004E1EF9">
      <w:pPr>
        <w:pStyle w:val="Institutionquiagit"/>
        <w:rPr>
          <w:noProof/>
          <w:szCs w:val="24"/>
        </w:rPr>
      </w:pPr>
      <w:r w:rsidRPr="009158D0">
        <w:rPr>
          <w:noProof/>
        </w:rPr>
        <w:t>EVROPSKA KOMISIJA JE –</w:t>
      </w:r>
    </w:p>
    <w:p w:rsidR="00185C9B" w:rsidRPr="009158D0" w:rsidRDefault="00185C9B" w:rsidP="004E1EF9">
      <w:pPr>
        <w:rPr>
          <w:noProof/>
          <w:szCs w:val="24"/>
        </w:rPr>
      </w:pPr>
      <w:r w:rsidRPr="009158D0">
        <w:rPr>
          <w:noProof/>
          <w:color w:val="000000"/>
        </w:rPr>
        <w:t>ob upoštevanju Pogodbe o delovanju Evropske unije</w:t>
      </w:r>
      <w:r w:rsidRPr="009158D0">
        <w:rPr>
          <w:noProof/>
        </w:rPr>
        <w:t>,</w:t>
      </w:r>
    </w:p>
    <w:p w:rsidR="00716EA9" w:rsidRPr="009158D0" w:rsidRDefault="00716EA9" w:rsidP="00716EA9">
      <w:pPr>
        <w:rPr>
          <w:noProof/>
          <w:szCs w:val="24"/>
        </w:rPr>
      </w:pPr>
      <w:r w:rsidRPr="009158D0">
        <w:rPr>
          <w:noProof/>
        </w:rPr>
        <w:t>ob upoštevanju Uredbe (EU) št. 575/2013 Evropskega parlamenta in Sveta z dne 26. junija 2013 o bonitetnih zahtevah za kreditne institucije in investicijska podjetja ter o spremembi Uredbe (EU) št. 648/2012</w:t>
      </w:r>
      <w:r w:rsidRPr="009158D0">
        <w:rPr>
          <w:rStyle w:val="FootnoteReference"/>
          <w:noProof/>
          <w:szCs w:val="24"/>
        </w:rPr>
        <w:footnoteReference w:id="2"/>
      </w:r>
      <w:r w:rsidRPr="009158D0">
        <w:rPr>
          <w:noProof/>
        </w:rPr>
        <w:t xml:space="preserve"> in zlasti člena 415(3), tretji pododstavek, člena 415(3a), tretji pododstavek, člena 430(7), tretji pododstavek, ter člena 430(9), peti pododstavek, Uredbe,</w:t>
      </w:r>
    </w:p>
    <w:p w:rsidR="00716EA9" w:rsidRPr="009158D0" w:rsidRDefault="00716EA9" w:rsidP="00716EA9">
      <w:pPr>
        <w:rPr>
          <w:noProof/>
          <w:szCs w:val="24"/>
        </w:rPr>
      </w:pPr>
      <w:r w:rsidRPr="009158D0">
        <w:rPr>
          <w:noProof/>
        </w:rPr>
        <w:t>ob upoštevanju naslednjega:</w:t>
      </w:r>
    </w:p>
    <w:p w:rsidR="00716EA9" w:rsidRPr="009158D0" w:rsidRDefault="00447AA0" w:rsidP="00447AA0">
      <w:pPr>
        <w:pStyle w:val="ManualConsidrant"/>
        <w:rPr>
          <w:noProof/>
          <w:szCs w:val="24"/>
        </w:rPr>
      </w:pPr>
      <w:r w:rsidRPr="00447AA0">
        <w:rPr>
          <w:noProof/>
        </w:rPr>
        <w:t>(1)</w:t>
      </w:r>
      <w:r w:rsidRPr="00447AA0">
        <w:rPr>
          <w:noProof/>
        </w:rPr>
        <w:tab/>
      </w:r>
      <w:r w:rsidR="00716EA9" w:rsidRPr="009158D0">
        <w:rPr>
          <w:noProof/>
        </w:rPr>
        <w:t>Izvedbena uredba Komisije (EU) 2021/451</w:t>
      </w:r>
      <w:r w:rsidR="00716EA9" w:rsidRPr="009158D0">
        <w:rPr>
          <w:rStyle w:val="FootnoteReference"/>
          <w:noProof/>
          <w:szCs w:val="24"/>
        </w:rPr>
        <w:footnoteReference w:id="3"/>
      </w:r>
      <w:r w:rsidR="00716EA9" w:rsidRPr="009158D0">
        <w:rPr>
          <w:noProof/>
        </w:rPr>
        <w:t xml:space="preserve"> na podlagi členov 415 in 430 Uredbe (EU) št. 575/2013 določa skladen okvir za poročanje, vključno z zahtevami glede poročanja o kapitalu in kapitalskih zahtevah, finančnih informacijah, ki jih je treba zagotoviti v skladu z mednarodnimi standardi računovodskega poročanja (MSRP) in splošno sprejetimi računovodskimi načeli (GAAP), izgubah, ki izhajajo iz posojil, zavarovanih z nepremičninami, velikih izpostavljenostih, količniku finančnega vzvoda, stabilnem financiranju, dodatnih metrikah za spremljanje likvidnosti, obremenitvi sredstev, informacijah za opredelitev globalnih sistemsko pomembnih institucij (GSPI), dodelitvi stopenj blažilnika za GSPI ter informacijah o obrestnem tveganju v netrgovalni knjigi. Izvedbena uredba (EU) 2021/451 je bila večkrat spremenjena po spremembah Uredbe (EU) št. 575/2013, sprejetih z namenom uvedbe, nadaljnjega razvoja ali prilagoditve bonitetnih elementov.</w:t>
      </w:r>
    </w:p>
    <w:p w:rsidR="00716EA9" w:rsidRPr="009158D0" w:rsidRDefault="00447AA0" w:rsidP="00447AA0">
      <w:pPr>
        <w:pStyle w:val="ManualConsidrant"/>
        <w:rPr>
          <w:noProof/>
          <w:szCs w:val="24"/>
        </w:rPr>
      </w:pPr>
      <w:r w:rsidRPr="00447AA0">
        <w:rPr>
          <w:noProof/>
        </w:rPr>
        <w:t>(2)</w:t>
      </w:r>
      <w:r w:rsidRPr="00447AA0">
        <w:rPr>
          <w:noProof/>
        </w:rPr>
        <w:tab/>
      </w:r>
      <w:r w:rsidR="00716EA9" w:rsidRPr="009158D0">
        <w:rPr>
          <w:noProof/>
        </w:rPr>
        <w:t>Uredba (EU) št. 575/2013 je bila spremenjena z Uredbo (EU) 2024/1623 Evropskega parlamenta in Sveta</w:t>
      </w:r>
      <w:r w:rsidR="00716EA9" w:rsidRPr="009158D0">
        <w:rPr>
          <w:rStyle w:val="FootnoteReference"/>
          <w:noProof/>
          <w:szCs w:val="24"/>
        </w:rPr>
        <w:footnoteReference w:id="4"/>
      </w:r>
      <w:r w:rsidR="00716EA9" w:rsidRPr="009158D0">
        <w:rPr>
          <w:noProof/>
        </w:rPr>
        <w:t>, da bi se prenesel končni sklop mednarodnih standardov Baselskega odbora za bančni nadzor (Basel III). Te spremembe bi se morale odražati v okviru za poročanje, ki je trenutno določen v Izvedbeni uredbi (EU) 2021/451.</w:t>
      </w:r>
    </w:p>
    <w:p w:rsidR="00F470F0" w:rsidRPr="009158D0" w:rsidRDefault="00447AA0" w:rsidP="00447AA0">
      <w:pPr>
        <w:pStyle w:val="ManualConsidrant"/>
        <w:rPr>
          <w:noProof/>
          <w:szCs w:val="24"/>
        </w:rPr>
      </w:pPr>
      <w:r w:rsidRPr="00447AA0">
        <w:rPr>
          <w:noProof/>
        </w:rPr>
        <w:t>(3)</w:t>
      </w:r>
      <w:r w:rsidRPr="00447AA0">
        <w:rPr>
          <w:noProof/>
        </w:rPr>
        <w:tab/>
      </w:r>
      <w:r w:rsidR="00716EA9" w:rsidRPr="009158D0">
        <w:rPr>
          <w:noProof/>
        </w:rPr>
        <w:t>Glede na spremembe Uredbe (EU) št. 575/2013 je treba revidirati zahteve za poročanje o kapitalu in kapitalskih zahtevah (izstopni prag, kreditno tveganje in kreditno tveganje nasprotne stranke, prilagoditve kreditnega vrednotenja, tržno tveganje, operativno tveganje, kritje izgub za nedonosne izpostavljenosti in kriptosredstva), za poročanje informacij o izgubah iz naslova posojil, zavarovanih z nepremičninami, in za poročanje informacij o količniku finančnega vzvoda.</w:t>
      </w:r>
    </w:p>
    <w:p w:rsidR="00716EA9" w:rsidRPr="009158D0" w:rsidRDefault="00447AA0" w:rsidP="00447AA0">
      <w:pPr>
        <w:pStyle w:val="ManualConsidrant"/>
        <w:rPr>
          <w:noProof/>
          <w:szCs w:val="24"/>
        </w:rPr>
      </w:pPr>
      <w:r w:rsidRPr="00447AA0">
        <w:rPr>
          <w:noProof/>
        </w:rPr>
        <w:t>(4)</w:t>
      </w:r>
      <w:r w:rsidRPr="00447AA0">
        <w:rPr>
          <w:noProof/>
        </w:rPr>
        <w:tab/>
      </w:r>
      <w:r w:rsidR="00375AD2" w:rsidRPr="009158D0">
        <w:rPr>
          <w:noProof/>
        </w:rPr>
        <w:t>Zaradi velikega števila sprememb, potrebnih za uveljavitev novih pravil o obveznostih poročanja, je učinkoviteje, da se Izvedbena uredba (EU) 2021/451 razveljavi in nadomesti, namesto da bi se zgolj spremenila, saj bi taka sprememba zadevnim gospodarskim subjektom zelo otežila ugotavljanje, katere zahteve glede poročanja veljajo zanje.</w:t>
      </w:r>
    </w:p>
    <w:p w:rsidR="00716EA9" w:rsidRPr="009158D0" w:rsidRDefault="00447AA0" w:rsidP="00447AA0">
      <w:pPr>
        <w:pStyle w:val="ManualConsidrant"/>
        <w:rPr>
          <w:noProof/>
          <w:szCs w:val="24"/>
        </w:rPr>
      </w:pPr>
      <w:r w:rsidRPr="00447AA0">
        <w:rPr>
          <w:noProof/>
        </w:rPr>
        <w:t>(5)</w:t>
      </w:r>
      <w:r w:rsidRPr="00447AA0">
        <w:rPr>
          <w:noProof/>
        </w:rPr>
        <w:tab/>
      </w:r>
      <w:r w:rsidR="00D311FE" w:rsidRPr="009158D0">
        <w:rPr>
          <w:noProof/>
        </w:rPr>
        <w:t>Nove predloge o kapitalski ustreznosti bi morale zagotavljati poročanje informacij o izstopnem pragu pri kapitalskih zahtevah in kapitalskih količnikih ter zlasti poročanje informacij o učinku prehodnih določb za izstopni prag iz člena 465 Uredbe (EU) št. 575/2013. Podatki, ki se poročajo, bi morali omogočati poročanje informacij o učinku izstopnega praga in prehodnih določb iz člena 465 Uredbe (EU) št. 575/2013. Predloge o kapitalski ustreznosti skupine bi morale vsebovati nov stolpec za poročanje informacij o prilagoditvi praga za subjekte, za katere veljajo kapitalske zahteve.</w:t>
      </w:r>
    </w:p>
    <w:p w:rsidR="00716EA9" w:rsidRPr="009158D0" w:rsidRDefault="00447AA0" w:rsidP="00447AA0">
      <w:pPr>
        <w:pStyle w:val="ManualConsidrant"/>
        <w:rPr>
          <w:noProof/>
          <w:szCs w:val="24"/>
        </w:rPr>
      </w:pPr>
      <w:r w:rsidRPr="00447AA0">
        <w:rPr>
          <w:noProof/>
        </w:rPr>
        <w:t>(6)</w:t>
      </w:r>
      <w:r w:rsidRPr="00447AA0">
        <w:rPr>
          <w:noProof/>
        </w:rPr>
        <w:tab/>
      </w:r>
      <w:r w:rsidR="00716EA9" w:rsidRPr="009158D0">
        <w:rPr>
          <w:noProof/>
        </w:rPr>
        <w:t>Predloge o kreditnem tveganju po standardiziranem pristopu bi morale odražati spremembe razvrstitve kategorij izpostavljenosti in nove uteži tveganja. Poleg tega bi morale odražati bolj razčlenjen pristop, ki se uporablja za izpostavljenosti, zavarovane s hipotekami na nepremičnine, in nekatere spremembe pri izračunu vrednosti izpostavljenosti zunajbilančnih postavk, ki so bili vsi uvedeni v Uredbo (EU) št. 575/2013 z Uredbo (EU) 2024/1623.</w:t>
      </w:r>
    </w:p>
    <w:p w:rsidR="00716EA9" w:rsidRPr="009158D0" w:rsidRDefault="00447AA0" w:rsidP="00447AA0">
      <w:pPr>
        <w:pStyle w:val="ManualConsidrant"/>
        <w:rPr>
          <w:noProof/>
          <w:szCs w:val="24"/>
        </w:rPr>
      </w:pPr>
      <w:r w:rsidRPr="00447AA0">
        <w:rPr>
          <w:noProof/>
        </w:rPr>
        <w:t>(7)</w:t>
      </w:r>
      <w:r w:rsidRPr="00447AA0">
        <w:rPr>
          <w:noProof/>
        </w:rPr>
        <w:tab/>
      </w:r>
      <w:r w:rsidR="00716EA9" w:rsidRPr="009158D0">
        <w:rPr>
          <w:noProof/>
        </w:rPr>
        <w:t>Predloge o kreditnem tveganju po pristopu IRB bi morale odražati spremembe razvrstitve kategorij izpostavljenosti, in sicer, da bi se omejila uporaba kategorij izpostavljenosti do institucij in izpostavljenosti do velikih podjetij v okviru osnovnega pristopa IRB (FIRB), ter zagotavljati poročanje informacij o novih kategorijah izpostavljenosti, tudi do subjektov javnega sektorja in enot regionalne ali lokalne ravni držav. In končno, nove predloge bi morale zagotavljati poročanje o kreditnih konverzijskih faktorjih za standardne in lastne izračune.</w:t>
      </w:r>
    </w:p>
    <w:p w:rsidR="00716EA9" w:rsidRPr="009158D0" w:rsidRDefault="00447AA0" w:rsidP="00447AA0">
      <w:pPr>
        <w:pStyle w:val="ManualConsidrant"/>
        <w:rPr>
          <w:noProof/>
          <w:szCs w:val="24"/>
        </w:rPr>
      </w:pPr>
      <w:r w:rsidRPr="00447AA0">
        <w:rPr>
          <w:noProof/>
        </w:rPr>
        <w:t>(8)</w:t>
      </w:r>
      <w:r w:rsidRPr="00447AA0">
        <w:rPr>
          <w:noProof/>
        </w:rPr>
        <w:tab/>
      </w:r>
      <w:r w:rsidR="00716EA9" w:rsidRPr="009158D0">
        <w:rPr>
          <w:noProof/>
        </w:rPr>
        <w:t>Nove predloge za poročanje informacij o kritju izgub nedonosnih izpostavljenosti bi morale odražati spremembe obsega izpostavljenosti, za katere veljajo zahteve glede kritja izgub, in spremembe časovnega razporeda rezervacij.</w:t>
      </w:r>
    </w:p>
    <w:p w:rsidR="00716EA9" w:rsidRPr="009158D0" w:rsidRDefault="00447AA0" w:rsidP="00447AA0">
      <w:pPr>
        <w:pStyle w:val="ManualConsidrant"/>
        <w:rPr>
          <w:noProof/>
          <w:szCs w:val="24"/>
        </w:rPr>
      </w:pPr>
      <w:r w:rsidRPr="00447AA0">
        <w:rPr>
          <w:noProof/>
        </w:rPr>
        <w:t>(9)</w:t>
      </w:r>
      <w:r w:rsidRPr="00447AA0">
        <w:rPr>
          <w:noProof/>
        </w:rPr>
        <w:tab/>
      </w:r>
      <w:r w:rsidR="0033133E" w:rsidRPr="009158D0">
        <w:rPr>
          <w:noProof/>
        </w:rPr>
        <w:t>Nova predloga za poročanje bi morala omogočati poročanje informacij o izpostavljenostih iz naslova kriptosredstev, da bi odražala zneske skupne izpostavljenosti tveganju za te izpostavljenosti.</w:t>
      </w:r>
    </w:p>
    <w:p w:rsidR="00716EA9" w:rsidRPr="009158D0" w:rsidRDefault="00447AA0" w:rsidP="00447AA0">
      <w:pPr>
        <w:pStyle w:val="ManualConsidrant"/>
        <w:rPr>
          <w:noProof/>
          <w:szCs w:val="24"/>
        </w:rPr>
      </w:pPr>
      <w:r w:rsidRPr="00447AA0">
        <w:rPr>
          <w:noProof/>
        </w:rPr>
        <w:t>(10)</w:t>
      </w:r>
      <w:r w:rsidRPr="00447AA0">
        <w:rPr>
          <w:noProof/>
        </w:rPr>
        <w:tab/>
      </w:r>
      <w:r w:rsidR="00716EA9" w:rsidRPr="009158D0">
        <w:rPr>
          <w:noProof/>
        </w:rPr>
        <w:t>Poročanje zbirnih podatkov za vsak nacionalni nepremičninski trg (izgube iz naslova kreditov, zavarovanih z nepremičninami) bi moralo odražati nove posebne obveznosti poročanja iz člena 430a(1) Uredbe (EU) št. 575/2013.</w:t>
      </w:r>
    </w:p>
    <w:p w:rsidR="00716EA9" w:rsidRPr="009158D0" w:rsidRDefault="00447AA0" w:rsidP="00447AA0">
      <w:pPr>
        <w:pStyle w:val="ManualConsidrant"/>
        <w:rPr>
          <w:noProof/>
          <w:szCs w:val="24"/>
        </w:rPr>
      </w:pPr>
      <w:r w:rsidRPr="00447AA0">
        <w:rPr>
          <w:noProof/>
        </w:rPr>
        <w:t>(11)</w:t>
      </w:r>
      <w:r w:rsidRPr="00447AA0">
        <w:rPr>
          <w:noProof/>
        </w:rPr>
        <w:tab/>
      </w:r>
      <w:r w:rsidR="00716EA9" w:rsidRPr="009158D0">
        <w:rPr>
          <w:noProof/>
        </w:rPr>
        <w:t>Poročanje o prilagoditvah kreditnega vrednotenja (CVA) bi moralo odražati standardizirani, osnovni in poenostavljeni pristop ter upoštevati nekatere posebne zahteve glede poročanja o tveganju CVA, ki so bile vse uvedene v naslov VI Uredbe (EU) št. 575/2013.</w:t>
      </w:r>
    </w:p>
    <w:p w:rsidR="00716EA9" w:rsidRPr="009158D0" w:rsidRDefault="00447AA0" w:rsidP="00447AA0">
      <w:pPr>
        <w:pStyle w:val="ManualConsidrant"/>
        <w:rPr>
          <w:noProof/>
          <w:szCs w:val="24"/>
        </w:rPr>
      </w:pPr>
      <w:r w:rsidRPr="00447AA0">
        <w:rPr>
          <w:noProof/>
        </w:rPr>
        <w:t>(12)</w:t>
      </w:r>
      <w:r w:rsidRPr="00447AA0">
        <w:rPr>
          <w:noProof/>
        </w:rPr>
        <w:tab/>
      </w:r>
      <w:r w:rsidR="00716EA9" w:rsidRPr="009158D0">
        <w:rPr>
          <w:noProof/>
        </w:rPr>
        <w:t xml:space="preserve">Z Uredbo (EU) 2024/1623 je bil revidiran okvir za mejo med trgovalno in netrgovalno knjigo. Predloge za poročanje bi zato morale zagotavljati tudi poročanje informacij o sestavi trgovalne knjige glede na nova merila iz člena 104 Uredbe (EU) št. 575/2013. </w:t>
      </w:r>
    </w:p>
    <w:p w:rsidR="00716EA9" w:rsidRPr="009158D0" w:rsidRDefault="00447AA0" w:rsidP="00447AA0">
      <w:pPr>
        <w:pStyle w:val="ManualConsidrant"/>
        <w:rPr>
          <w:noProof/>
          <w:szCs w:val="24"/>
        </w:rPr>
      </w:pPr>
      <w:r w:rsidRPr="00447AA0">
        <w:rPr>
          <w:noProof/>
        </w:rPr>
        <w:t>(13)</w:t>
      </w:r>
      <w:r w:rsidRPr="00447AA0">
        <w:rPr>
          <w:noProof/>
        </w:rPr>
        <w:tab/>
      </w:r>
      <w:r w:rsidR="007051E2" w:rsidRPr="009158D0">
        <w:rPr>
          <w:noProof/>
        </w:rPr>
        <w:t>Referenčne datume poročanja v zvezi s kapitalom, kapitalskimi zahtevami in dodatnimi zahtevami glede poročanja na posamični in konsolidirani podlagi je treba uskladiti z datumi koncev poslovnih let.</w:t>
      </w:r>
    </w:p>
    <w:p w:rsidR="00716EA9" w:rsidRPr="009158D0" w:rsidRDefault="00447AA0" w:rsidP="00447AA0">
      <w:pPr>
        <w:pStyle w:val="ManualConsidrant"/>
        <w:rPr>
          <w:noProof/>
          <w:szCs w:val="24"/>
        </w:rPr>
      </w:pPr>
      <w:r w:rsidRPr="00447AA0">
        <w:rPr>
          <w:noProof/>
        </w:rPr>
        <w:t>(14)</w:t>
      </w:r>
      <w:r w:rsidRPr="00447AA0">
        <w:rPr>
          <w:noProof/>
        </w:rPr>
        <w:tab/>
      </w:r>
      <w:r w:rsidR="009522F9" w:rsidRPr="009158D0">
        <w:rPr>
          <w:noProof/>
        </w:rPr>
        <w:t xml:space="preserve">Da bi institucije lahko vzpostavile sisteme poročanja, potrebne za izpolnjevanje obveznosti poročanja, bi bilo treba subjektom, ki prvič opravljajo dejavnosti kreditne institucije, dati na voljo več časa za predložitev predlog. </w:t>
      </w:r>
    </w:p>
    <w:p w:rsidR="002823A7" w:rsidRPr="009158D0" w:rsidRDefault="00447AA0" w:rsidP="00447AA0">
      <w:pPr>
        <w:pStyle w:val="ManualConsidrant"/>
        <w:rPr>
          <w:noProof/>
          <w:szCs w:val="24"/>
        </w:rPr>
      </w:pPr>
      <w:r w:rsidRPr="00447AA0">
        <w:rPr>
          <w:noProof/>
        </w:rPr>
        <w:t>(15)</w:t>
      </w:r>
      <w:r w:rsidRPr="00447AA0">
        <w:rPr>
          <w:noProof/>
        </w:rPr>
        <w:tab/>
      </w:r>
      <w:r w:rsidR="002823A7" w:rsidRPr="009158D0">
        <w:rPr>
          <w:noProof/>
        </w:rPr>
        <w:t xml:space="preserve">Z Uredbo (EU) 2024/1623 je bil spremenjen člen 430(7), prvi pododstavek, Uredbe (EU) št. 575/2013 in uvedena zahteva, da EBA razvije rešitve informacijske tehnologije, vključno s predlogami in navodili za poročanje, ki jih institucije uporabljajo za izpolnjevanje obveznosti poročanja iz odstavkov 1 do 4 navedenega člena. V skladu s tem bi bilo treba dovolj jasno določiti podatkovne točke in informacije, ki jih morajo institucije poročati in ki bi jih moral EBA vključiti v zadevne rešitve informacijske tehnologije. Da bi lahko EBA razvil ustrezne rešitve informacijske tehnologije, ti enotni obrazci za poročanje ne bi smeli biti zavezujoči, kar zadeva njihovo strukturo in predstavitev, saj EBA ne bi smel biti zavezan posnemati grafične predstavitve in tabelarne strukture iz Priloge. EBA bi moralo biti zlasti omogočeno, da odstopa od grafične predstavitve in tabelarne strukture predlog za poročanje, če so v rešitev informacijske tehnologije vključene vse zahtevane podatkovne točke in informacije. </w:t>
      </w:r>
    </w:p>
    <w:p w:rsidR="00716EA9" w:rsidRPr="009158D0" w:rsidRDefault="00447AA0" w:rsidP="00447AA0">
      <w:pPr>
        <w:pStyle w:val="ManualConsidrant"/>
        <w:rPr>
          <w:noProof/>
          <w:szCs w:val="24"/>
        </w:rPr>
      </w:pPr>
      <w:r w:rsidRPr="00447AA0">
        <w:rPr>
          <w:noProof/>
        </w:rPr>
        <w:t>(16)</w:t>
      </w:r>
      <w:r w:rsidRPr="00447AA0">
        <w:rPr>
          <w:noProof/>
        </w:rPr>
        <w:tab/>
      </w:r>
      <w:r w:rsidR="00716EA9" w:rsidRPr="009158D0">
        <w:rPr>
          <w:noProof/>
        </w:rPr>
        <w:t xml:space="preserve">Da bi imele institucije dovolj časa za prilagoditev svojega notranjega sistema in izpolnitev revidiranih zahtev za poročanje, je treba določiti prehodne določbe, s katerimi se odloži datum predložitve v zvezi z obveznostjo prvega četrtletnega poročanja. </w:t>
      </w:r>
    </w:p>
    <w:p w:rsidR="008A53EE" w:rsidRPr="009158D0" w:rsidRDefault="00447AA0" w:rsidP="00447AA0">
      <w:pPr>
        <w:pStyle w:val="ManualConsidrant"/>
        <w:rPr>
          <w:noProof/>
          <w:szCs w:val="24"/>
        </w:rPr>
      </w:pPr>
      <w:r w:rsidRPr="00447AA0">
        <w:rPr>
          <w:noProof/>
        </w:rPr>
        <w:t>(17)</w:t>
      </w:r>
      <w:r w:rsidRPr="00447AA0">
        <w:rPr>
          <w:noProof/>
        </w:rPr>
        <w:tab/>
      </w:r>
      <w:r w:rsidR="008A53EE" w:rsidRPr="009158D0">
        <w:rPr>
          <w:noProof/>
        </w:rPr>
        <w:t>Za uskladitev časovnega okvira zahteve glede poročanja v zvezi s sestavo trgovalne knjige s časovnim okvirom uporabe zahtev glede tržnega tveganja iz dela 3, naslov IV, poglavji 1a in 1b, Uredbe (EU) št. 575/2013 je treba določiti prehodno določbo, ki bo omogočila poznejši prvi referenčni datum za navedeno zahtevo glede poročanja.</w:t>
      </w:r>
    </w:p>
    <w:p w:rsidR="006427FA" w:rsidRPr="009158D0" w:rsidRDefault="00447AA0" w:rsidP="00447AA0">
      <w:pPr>
        <w:pStyle w:val="ManualConsidrant"/>
        <w:rPr>
          <w:noProof/>
          <w:szCs w:val="24"/>
        </w:rPr>
      </w:pPr>
      <w:r w:rsidRPr="00447AA0">
        <w:rPr>
          <w:noProof/>
        </w:rPr>
        <w:t>(18)</w:t>
      </w:r>
      <w:r w:rsidRPr="00447AA0">
        <w:rPr>
          <w:noProof/>
        </w:rPr>
        <w:tab/>
      </w:r>
      <w:r w:rsidR="006427FA" w:rsidRPr="009158D0">
        <w:rPr>
          <w:noProof/>
        </w:rPr>
        <w:t>Določbe v tej uredbi so tesno povezane, saj obravnavajo poročevalske zahteve institucij. Za zagotovitev skladnosti med temi določbami ter za omogočanje celovitega pregleda nad njimi in enotnega dostopa do njih za osebe, za katere veljajo navedene obveznosti, je primerno, da se vsi povezani izvedbeni tehnični standardi, ki se zahtevajo z Uredbo (EU) št. 575/2013, vključijo v eno uredbo.</w:t>
      </w:r>
    </w:p>
    <w:p w:rsidR="00716EA9" w:rsidRPr="009158D0" w:rsidRDefault="00447AA0" w:rsidP="00447AA0">
      <w:pPr>
        <w:pStyle w:val="ManualConsidrant"/>
        <w:rPr>
          <w:noProof/>
          <w:szCs w:val="24"/>
        </w:rPr>
      </w:pPr>
      <w:r w:rsidRPr="00447AA0">
        <w:rPr>
          <w:noProof/>
        </w:rPr>
        <w:t>(19)</w:t>
      </w:r>
      <w:r w:rsidRPr="00447AA0">
        <w:rPr>
          <w:noProof/>
        </w:rPr>
        <w:tab/>
      </w:r>
      <w:r w:rsidR="00716EA9" w:rsidRPr="009158D0">
        <w:rPr>
          <w:noProof/>
        </w:rPr>
        <w:t xml:space="preserve">Ta uredba temelji na osnutku izvedbenih tehničnih standardov, ki ga je Komisiji predložil Evropski bančni organ. </w:t>
      </w:r>
    </w:p>
    <w:p w:rsidR="00716EA9" w:rsidRPr="009158D0" w:rsidRDefault="00447AA0" w:rsidP="00447AA0">
      <w:pPr>
        <w:pStyle w:val="ManualConsidrant"/>
        <w:rPr>
          <w:noProof/>
          <w:szCs w:val="24"/>
        </w:rPr>
      </w:pPr>
      <w:r w:rsidRPr="00447AA0">
        <w:rPr>
          <w:noProof/>
        </w:rPr>
        <w:t>(20)</w:t>
      </w:r>
      <w:r w:rsidRPr="00447AA0">
        <w:rPr>
          <w:noProof/>
        </w:rPr>
        <w:tab/>
      </w:r>
      <w:r w:rsidR="00716EA9" w:rsidRPr="009158D0">
        <w:rPr>
          <w:noProof/>
        </w:rPr>
        <w:t>Evropski bančni organ je o osnutku izvedbenih tehničnih standardov, na katerem temelji ta uredba, izvedel odprta javna posvetovanja, analiziral morebitne povezane stroške in koristi ter zaprosil za nasvet interesno skupino za bančništvo, ustanovljeno v skladu s členom 37 Uredbe (EU) št. 1093/2010 Evropskega parlamenta in Sveta</w:t>
      </w:r>
      <w:r w:rsidR="00716EA9" w:rsidRPr="009158D0">
        <w:rPr>
          <w:rStyle w:val="FootnoteReference"/>
          <w:noProof/>
          <w:szCs w:val="24"/>
        </w:rPr>
        <w:footnoteReference w:id="5"/>
      </w:r>
      <w:r w:rsidR="00716EA9" w:rsidRPr="009158D0">
        <w:rPr>
          <w:noProof/>
        </w:rPr>
        <w:t>.</w:t>
      </w:r>
    </w:p>
    <w:p w:rsidR="003D2BEA" w:rsidRPr="009158D0" w:rsidRDefault="00447AA0" w:rsidP="00447AA0">
      <w:pPr>
        <w:pStyle w:val="ManualConsidrant"/>
        <w:rPr>
          <w:noProof/>
          <w:szCs w:val="24"/>
        </w:rPr>
      </w:pPr>
      <w:r w:rsidRPr="00447AA0">
        <w:rPr>
          <w:noProof/>
        </w:rPr>
        <w:t>(21)</w:t>
      </w:r>
      <w:r w:rsidRPr="00447AA0">
        <w:rPr>
          <w:noProof/>
        </w:rPr>
        <w:tab/>
      </w:r>
      <w:r w:rsidR="00716EA9" w:rsidRPr="009158D0">
        <w:rPr>
          <w:noProof/>
        </w:rPr>
        <w:t>Da se institucijam zagotovi dovolj časa, da se pripravijo na poročanje v skladu s to uredbo in v skladu s členom 430(7) Uredbe (EU) št. 575/2013, bi bilo treba za prvi datum začetka uporabe določiti datum, ki je šest mesecev po datumu začetka veljavnosti.</w:t>
      </w:r>
    </w:p>
    <w:p w:rsidR="00716EA9" w:rsidRPr="009158D0" w:rsidRDefault="00447AA0" w:rsidP="00447AA0">
      <w:pPr>
        <w:pStyle w:val="ManualConsidrant"/>
        <w:rPr>
          <w:noProof/>
          <w:szCs w:val="24"/>
        </w:rPr>
      </w:pPr>
      <w:r w:rsidRPr="00447AA0">
        <w:rPr>
          <w:noProof/>
        </w:rPr>
        <w:t>(22)</w:t>
      </w:r>
      <w:r w:rsidRPr="00447AA0">
        <w:rPr>
          <w:noProof/>
        </w:rPr>
        <w:tab/>
      </w:r>
      <w:r w:rsidR="003D2BEA" w:rsidRPr="009158D0">
        <w:rPr>
          <w:noProof/>
        </w:rPr>
        <w:t>Da bi bil revidirani okvir za poročanje čim prej vzpostavljen, bi morala ta uredba začeti veljati dan po objavi v </w:t>
      </w:r>
      <w:r w:rsidR="003D2BEA" w:rsidRPr="009158D0">
        <w:rPr>
          <w:i/>
          <w:noProof/>
        </w:rPr>
        <w:t>Uradnem listu Evropske unije</w:t>
      </w:r>
      <w:r w:rsidR="003D2BEA" w:rsidRPr="009158D0">
        <w:rPr>
          <w:noProof/>
        </w:rPr>
        <w:t xml:space="preserve"> –</w:t>
      </w:r>
    </w:p>
    <w:p w:rsidR="00185C9B" w:rsidRPr="009158D0" w:rsidRDefault="00185C9B" w:rsidP="004E1EF9">
      <w:pPr>
        <w:pStyle w:val="Formuledadoption"/>
        <w:rPr>
          <w:noProof/>
          <w:szCs w:val="24"/>
        </w:rPr>
      </w:pPr>
      <w:r w:rsidRPr="009158D0">
        <w:rPr>
          <w:noProof/>
        </w:rPr>
        <w:t>SPREJELA NASLEDNJO UREDBO:</w:t>
      </w:r>
    </w:p>
    <w:p w:rsidR="00185C9B" w:rsidRPr="009158D0" w:rsidRDefault="00185C9B" w:rsidP="00134C2F">
      <w:pPr>
        <w:pStyle w:val="Titrearticle"/>
        <w:spacing w:after="0"/>
        <w:rPr>
          <w:noProof/>
          <w:szCs w:val="24"/>
        </w:rPr>
      </w:pPr>
      <w:r w:rsidRPr="009158D0">
        <w:rPr>
          <w:noProof/>
        </w:rPr>
        <w:t>Člen 1</w:t>
      </w:r>
    </w:p>
    <w:p w:rsidR="00716EA9" w:rsidRPr="009158D0" w:rsidRDefault="00716EA9" w:rsidP="00134C2F">
      <w:pPr>
        <w:pStyle w:val="Titrearticle"/>
        <w:spacing w:before="0"/>
        <w:rPr>
          <w:b/>
          <w:bCs/>
          <w:i w:val="0"/>
          <w:iCs/>
          <w:noProof/>
          <w:szCs w:val="24"/>
        </w:rPr>
      </w:pPr>
      <w:r w:rsidRPr="009158D0">
        <w:rPr>
          <w:b/>
          <w:i w:val="0"/>
          <w:noProof/>
        </w:rPr>
        <w:t>Predložitev informacij</w:t>
      </w:r>
    </w:p>
    <w:p w:rsidR="00716EA9" w:rsidRPr="009158D0" w:rsidRDefault="00716EA9" w:rsidP="00C856B2">
      <w:pPr>
        <w:rPr>
          <w:noProof/>
        </w:rPr>
      </w:pPr>
      <w:r w:rsidRPr="009158D0">
        <w:rPr>
          <w:noProof/>
        </w:rPr>
        <w:t>Ta uredba določa enotne obrazce za poročanje ter pogostost in datume poročanja za poročanje institucij njihovim pristojnim organom v skladu s členom 415, odstavka 3 in 3a, Uredbe (EU) št. 575/2013 ter členom 430, odstavki 1 do 4, 7 in 9, navedene uredbe.</w:t>
      </w:r>
    </w:p>
    <w:p w:rsidR="00716EA9" w:rsidRPr="009158D0" w:rsidRDefault="00716EA9" w:rsidP="00716EA9">
      <w:pPr>
        <w:pStyle w:val="Titrearticle"/>
        <w:rPr>
          <w:noProof/>
          <w:szCs w:val="24"/>
        </w:rPr>
      </w:pPr>
      <w:r w:rsidRPr="009158D0">
        <w:rPr>
          <w:noProof/>
        </w:rPr>
        <w:t>Člen 2</w:t>
      </w:r>
    </w:p>
    <w:p w:rsidR="00716EA9" w:rsidRPr="009158D0" w:rsidRDefault="00716EA9" w:rsidP="00F22954">
      <w:pPr>
        <w:pStyle w:val="Titrearticle"/>
        <w:spacing w:before="0"/>
        <w:rPr>
          <w:b/>
          <w:bCs/>
          <w:i w:val="0"/>
          <w:iCs/>
          <w:noProof/>
          <w:szCs w:val="24"/>
        </w:rPr>
      </w:pPr>
      <w:r w:rsidRPr="009158D0">
        <w:rPr>
          <w:b/>
          <w:i w:val="0"/>
          <w:noProof/>
        </w:rPr>
        <w:t>Referenčni datumi poročanja</w:t>
      </w:r>
    </w:p>
    <w:p w:rsidR="00716EA9" w:rsidRPr="009158D0" w:rsidRDefault="00447AA0" w:rsidP="00447AA0">
      <w:pPr>
        <w:pStyle w:val="ManualNumPar1"/>
        <w:rPr>
          <w:noProof/>
        </w:rPr>
      </w:pPr>
      <w:r w:rsidRPr="00447AA0">
        <w:rPr>
          <w:noProof/>
        </w:rPr>
        <w:t>1.</w:t>
      </w:r>
      <w:r w:rsidRPr="00447AA0">
        <w:rPr>
          <w:noProof/>
        </w:rPr>
        <w:tab/>
      </w:r>
      <w:r w:rsidR="00716EA9" w:rsidRPr="009158D0">
        <w:rPr>
          <w:noProof/>
        </w:rPr>
        <w:t>Institucije pristojnim organom predložijo informacije iz Priloge I glede na stanje na naslednje referenčne datume poročanja:</w:t>
      </w:r>
    </w:p>
    <w:p w:rsidR="00716EA9" w:rsidRPr="009158D0" w:rsidRDefault="00447AA0" w:rsidP="00447AA0">
      <w:pPr>
        <w:pStyle w:val="Point1"/>
        <w:rPr>
          <w:noProof/>
        </w:rPr>
      </w:pPr>
      <w:r w:rsidRPr="00447AA0">
        <w:rPr>
          <w:noProof/>
        </w:rPr>
        <w:t>(a)</w:t>
      </w:r>
      <w:r w:rsidRPr="00447AA0">
        <w:rPr>
          <w:noProof/>
        </w:rPr>
        <w:tab/>
      </w:r>
      <w:r w:rsidR="00716EA9" w:rsidRPr="009158D0">
        <w:rPr>
          <w:noProof/>
        </w:rPr>
        <w:t>mesečno poročanje: zadnji dan vsakega meseca;</w:t>
      </w:r>
    </w:p>
    <w:p w:rsidR="00716EA9" w:rsidRPr="009158D0" w:rsidRDefault="00447AA0" w:rsidP="00447AA0">
      <w:pPr>
        <w:pStyle w:val="Point1"/>
        <w:rPr>
          <w:noProof/>
        </w:rPr>
      </w:pPr>
      <w:r w:rsidRPr="00447AA0">
        <w:rPr>
          <w:noProof/>
        </w:rPr>
        <w:t>(b)</w:t>
      </w:r>
      <w:r w:rsidRPr="00447AA0">
        <w:rPr>
          <w:noProof/>
        </w:rPr>
        <w:tab/>
      </w:r>
      <w:r w:rsidR="00716EA9" w:rsidRPr="009158D0">
        <w:rPr>
          <w:noProof/>
        </w:rPr>
        <w:t>četrtletno poročanje: 31. marca, 30. junija, 30. septembra in 31. decembra;</w:t>
      </w:r>
    </w:p>
    <w:p w:rsidR="00716EA9" w:rsidRPr="009158D0" w:rsidRDefault="00447AA0" w:rsidP="00447AA0">
      <w:pPr>
        <w:pStyle w:val="Point1"/>
        <w:rPr>
          <w:noProof/>
        </w:rPr>
      </w:pPr>
      <w:r w:rsidRPr="00447AA0">
        <w:rPr>
          <w:noProof/>
        </w:rPr>
        <w:t>(c)</w:t>
      </w:r>
      <w:r w:rsidRPr="00447AA0">
        <w:rPr>
          <w:noProof/>
        </w:rPr>
        <w:tab/>
      </w:r>
      <w:r w:rsidR="00716EA9" w:rsidRPr="009158D0">
        <w:rPr>
          <w:noProof/>
        </w:rPr>
        <w:t>polletno poročanje: 30. junija in 31. decembra;</w:t>
      </w:r>
    </w:p>
    <w:p w:rsidR="00716EA9" w:rsidRPr="009158D0" w:rsidRDefault="00447AA0" w:rsidP="00447AA0">
      <w:pPr>
        <w:pStyle w:val="Point1"/>
        <w:rPr>
          <w:noProof/>
        </w:rPr>
      </w:pPr>
      <w:r w:rsidRPr="00447AA0">
        <w:rPr>
          <w:noProof/>
        </w:rPr>
        <w:t>(d)</w:t>
      </w:r>
      <w:r w:rsidRPr="00447AA0">
        <w:rPr>
          <w:noProof/>
        </w:rPr>
        <w:tab/>
      </w:r>
      <w:r w:rsidR="00716EA9" w:rsidRPr="009158D0">
        <w:rPr>
          <w:noProof/>
        </w:rPr>
        <w:t>letno poročanje: 31. decembra.</w:t>
      </w:r>
    </w:p>
    <w:p w:rsidR="00716EA9" w:rsidRPr="009158D0" w:rsidRDefault="00447AA0" w:rsidP="00447AA0">
      <w:pPr>
        <w:pStyle w:val="ManualNumPar1"/>
        <w:rPr>
          <w:noProof/>
        </w:rPr>
      </w:pPr>
      <w:r w:rsidRPr="00447AA0">
        <w:rPr>
          <w:noProof/>
        </w:rPr>
        <w:t>2.</w:t>
      </w:r>
      <w:r w:rsidRPr="00447AA0">
        <w:rPr>
          <w:noProof/>
        </w:rPr>
        <w:tab/>
      </w:r>
      <w:r w:rsidR="00A50DF2" w:rsidRPr="009158D0">
        <w:rPr>
          <w:noProof/>
        </w:rPr>
        <w:t>Institucije poročajo finančne informacije iz Priloge I v skladu z MSRP in nacionalnimi računovodskimi okviri ter se sklicujejo na določeno obdobje kumulativno od prvega dne računovodskega leta do referenčnega datuma.</w:t>
      </w:r>
    </w:p>
    <w:p w:rsidR="00716EA9" w:rsidRPr="009158D0" w:rsidRDefault="00447AA0" w:rsidP="00447AA0">
      <w:pPr>
        <w:pStyle w:val="ManualNumPar1"/>
        <w:rPr>
          <w:noProof/>
        </w:rPr>
      </w:pPr>
      <w:r w:rsidRPr="00447AA0">
        <w:rPr>
          <w:noProof/>
        </w:rPr>
        <w:t>3.</w:t>
      </w:r>
      <w:r w:rsidRPr="00447AA0">
        <w:rPr>
          <w:noProof/>
        </w:rPr>
        <w:tab/>
      </w:r>
      <w:r w:rsidR="00A50DF2" w:rsidRPr="009158D0">
        <w:rPr>
          <w:noProof/>
        </w:rPr>
        <w:t>Institucije, ki jim nacionalno pravo dovoljuje, da poročajo svoje finančne informacije na podlagi svojega konca računovodskega leta, lahko, kadar konec tega računovodskega leta odstopa od koledarskega leta, prilagodijo referenčne datume poročanja, da jih uskladijo s koncem računovodskega leta, tako da se finančne informacije, informacije, poročane v skladu s členom 8, ter informacije za namene določitve globalnih sistemsko pomembnih institucij (GSPI) in dodelitve stopenj blažilnika za GSPI poročajo vsakih 3, 6 oziroma 12 mesecev od konca njihovega računovodskega leta.</w:t>
      </w:r>
    </w:p>
    <w:p w:rsidR="00716EA9" w:rsidRPr="009158D0" w:rsidRDefault="00716EA9" w:rsidP="00716EA9">
      <w:pPr>
        <w:pStyle w:val="Titrearticle"/>
        <w:rPr>
          <w:noProof/>
          <w:szCs w:val="24"/>
        </w:rPr>
      </w:pPr>
      <w:r w:rsidRPr="009158D0">
        <w:rPr>
          <w:noProof/>
        </w:rPr>
        <w:t>Člen 3</w:t>
      </w:r>
    </w:p>
    <w:p w:rsidR="00716EA9" w:rsidRPr="009158D0" w:rsidRDefault="00716EA9" w:rsidP="00F22954">
      <w:pPr>
        <w:pStyle w:val="Titrearticle"/>
        <w:spacing w:before="0"/>
        <w:rPr>
          <w:b/>
          <w:bCs/>
          <w:i w:val="0"/>
          <w:iCs/>
          <w:noProof/>
          <w:szCs w:val="24"/>
        </w:rPr>
      </w:pPr>
      <w:r w:rsidRPr="009158D0">
        <w:rPr>
          <w:b/>
          <w:i w:val="0"/>
          <w:noProof/>
        </w:rPr>
        <w:t>Datumi predložitve</w:t>
      </w:r>
    </w:p>
    <w:p w:rsidR="00716EA9" w:rsidRPr="009158D0" w:rsidRDefault="00447AA0" w:rsidP="00447AA0">
      <w:pPr>
        <w:pStyle w:val="ManualNumPar1"/>
        <w:rPr>
          <w:noProof/>
        </w:rPr>
      </w:pPr>
      <w:r w:rsidRPr="00447AA0">
        <w:rPr>
          <w:noProof/>
        </w:rPr>
        <w:t>1.</w:t>
      </w:r>
      <w:r w:rsidRPr="00447AA0">
        <w:rPr>
          <w:noProof/>
        </w:rPr>
        <w:tab/>
      </w:r>
      <w:r w:rsidR="00716EA9" w:rsidRPr="009158D0">
        <w:rPr>
          <w:noProof/>
        </w:rPr>
        <w:t>Institucije pristojnim organom predložijo informacije iz Priloge I do zaključka delovnega dne na naslednje datume predložitve:</w:t>
      </w:r>
    </w:p>
    <w:p w:rsidR="00716EA9" w:rsidRPr="009158D0" w:rsidRDefault="00447AA0" w:rsidP="00447AA0">
      <w:pPr>
        <w:pStyle w:val="Point1"/>
        <w:rPr>
          <w:noProof/>
        </w:rPr>
      </w:pPr>
      <w:r w:rsidRPr="00447AA0">
        <w:rPr>
          <w:noProof/>
        </w:rPr>
        <w:t>(a)</w:t>
      </w:r>
      <w:r w:rsidRPr="00447AA0">
        <w:rPr>
          <w:noProof/>
        </w:rPr>
        <w:tab/>
      </w:r>
      <w:r w:rsidR="00716EA9" w:rsidRPr="009158D0">
        <w:rPr>
          <w:noProof/>
        </w:rPr>
        <w:t>mesečno poročanje: 15. koledarski dan po referenčnem datumu poročanja;</w:t>
      </w:r>
    </w:p>
    <w:p w:rsidR="00716EA9" w:rsidRPr="009158D0" w:rsidRDefault="00447AA0" w:rsidP="00447AA0">
      <w:pPr>
        <w:pStyle w:val="Point1"/>
        <w:rPr>
          <w:noProof/>
        </w:rPr>
      </w:pPr>
      <w:r w:rsidRPr="00447AA0">
        <w:rPr>
          <w:noProof/>
        </w:rPr>
        <w:t>(b)</w:t>
      </w:r>
      <w:r w:rsidRPr="00447AA0">
        <w:rPr>
          <w:noProof/>
        </w:rPr>
        <w:tab/>
      </w:r>
      <w:r w:rsidR="00716EA9" w:rsidRPr="009158D0">
        <w:rPr>
          <w:noProof/>
        </w:rPr>
        <w:t>četrtletno poročanje: 12. maja, 11. avgusta, 11. novembra in 11. februarja;</w:t>
      </w:r>
    </w:p>
    <w:p w:rsidR="00716EA9" w:rsidRPr="009158D0" w:rsidRDefault="00447AA0" w:rsidP="00447AA0">
      <w:pPr>
        <w:pStyle w:val="Point1"/>
        <w:rPr>
          <w:noProof/>
        </w:rPr>
      </w:pPr>
      <w:r w:rsidRPr="00447AA0">
        <w:rPr>
          <w:noProof/>
        </w:rPr>
        <w:t>(c)</w:t>
      </w:r>
      <w:r w:rsidRPr="00447AA0">
        <w:rPr>
          <w:noProof/>
        </w:rPr>
        <w:tab/>
      </w:r>
      <w:r w:rsidR="00716EA9" w:rsidRPr="009158D0">
        <w:rPr>
          <w:noProof/>
        </w:rPr>
        <w:t>polletno poročanje: 11. avgusta in 11. februarja;</w:t>
      </w:r>
    </w:p>
    <w:p w:rsidR="00716EA9" w:rsidRPr="009158D0" w:rsidRDefault="00447AA0" w:rsidP="00447AA0">
      <w:pPr>
        <w:pStyle w:val="Point1"/>
        <w:rPr>
          <w:noProof/>
        </w:rPr>
      </w:pPr>
      <w:r w:rsidRPr="00447AA0">
        <w:rPr>
          <w:noProof/>
        </w:rPr>
        <w:t>(d)</w:t>
      </w:r>
      <w:r w:rsidRPr="00447AA0">
        <w:rPr>
          <w:noProof/>
        </w:rPr>
        <w:tab/>
      </w:r>
      <w:r w:rsidR="00716EA9" w:rsidRPr="009158D0">
        <w:rPr>
          <w:noProof/>
        </w:rPr>
        <w:t xml:space="preserve">letno poročanje: 11. februarja. </w:t>
      </w:r>
    </w:p>
    <w:p w:rsidR="00716EA9" w:rsidRPr="009158D0" w:rsidRDefault="00447AA0" w:rsidP="00447AA0">
      <w:pPr>
        <w:pStyle w:val="ManualNumPar1"/>
        <w:rPr>
          <w:noProof/>
        </w:rPr>
      </w:pPr>
      <w:r w:rsidRPr="00447AA0">
        <w:rPr>
          <w:noProof/>
        </w:rPr>
        <w:t>2.</w:t>
      </w:r>
      <w:r w:rsidRPr="00447AA0">
        <w:rPr>
          <w:noProof/>
        </w:rPr>
        <w:tab/>
      </w:r>
      <w:r w:rsidR="00D637BD" w:rsidRPr="009158D0">
        <w:rPr>
          <w:noProof/>
        </w:rPr>
        <w:t>Če je datum predložitve državni praznik v državi članici pristojnega organa, ki mu je treba predložiti poročilo, oziroma sobota ali nedelja, zadevne institucije predložijo podatke na naslednji delovni dan.</w:t>
      </w:r>
    </w:p>
    <w:p w:rsidR="00716EA9" w:rsidRPr="009158D0" w:rsidRDefault="00447AA0" w:rsidP="00447AA0">
      <w:pPr>
        <w:pStyle w:val="ManualNumPar1"/>
        <w:rPr>
          <w:noProof/>
        </w:rPr>
      </w:pPr>
      <w:r w:rsidRPr="00447AA0">
        <w:rPr>
          <w:noProof/>
        </w:rPr>
        <w:t>3.</w:t>
      </w:r>
      <w:r w:rsidRPr="00447AA0">
        <w:rPr>
          <w:noProof/>
        </w:rPr>
        <w:tab/>
      </w:r>
      <w:r w:rsidR="00923761" w:rsidRPr="009158D0">
        <w:rPr>
          <w:noProof/>
        </w:rPr>
        <w:t>Institucije, ki poročajo finančne informacije iz Priloge I, informacije, poročane v skladu s členom 8, ali informacije za namene določitve GSPI in dodelitve stopenj blažilnika za GSPI z uporabo prilagojenih referenčnih datumov poročanja na podlagi svojega konca računovodskega leta, kot je določeno v členu 2(3), lahko prilagodijo datume predložitve, tako da se ohrani isto obdobje predložitve od prilagojenega referenčnega datuma poročanja.</w:t>
      </w:r>
    </w:p>
    <w:p w:rsidR="00716EA9" w:rsidRPr="009158D0" w:rsidRDefault="00447AA0" w:rsidP="00447AA0">
      <w:pPr>
        <w:pStyle w:val="ManualNumPar1"/>
        <w:rPr>
          <w:noProof/>
        </w:rPr>
      </w:pPr>
      <w:r w:rsidRPr="00447AA0">
        <w:rPr>
          <w:noProof/>
        </w:rPr>
        <w:t>4.</w:t>
      </w:r>
      <w:r w:rsidRPr="00447AA0">
        <w:rPr>
          <w:noProof/>
        </w:rPr>
        <w:tab/>
      </w:r>
      <w:r w:rsidR="00716EA9" w:rsidRPr="009158D0">
        <w:rPr>
          <w:noProof/>
        </w:rPr>
        <w:t>Institucije lahko predložijo nerevidirane podatke. Če revidirani podatki odstopajo od predloženih nerevidiranih podatkov, institucije brez nepotrebnega odlašanja predložijo popravljene, revidirane podatke. Nerevidirani podatki so podatki, za katere ni bilo podano mnenje zunanjega revizorja, revidirani podatki pa so podatki, ki jih revidiral zunanji revizor, ki je podal revizijsko mnenje.</w:t>
      </w:r>
    </w:p>
    <w:p w:rsidR="00716EA9" w:rsidRPr="009158D0" w:rsidRDefault="00447AA0" w:rsidP="00447AA0">
      <w:pPr>
        <w:pStyle w:val="ManualNumPar1"/>
        <w:rPr>
          <w:noProof/>
        </w:rPr>
      </w:pPr>
      <w:r w:rsidRPr="00447AA0">
        <w:rPr>
          <w:noProof/>
        </w:rPr>
        <w:t>5.</w:t>
      </w:r>
      <w:r w:rsidRPr="00447AA0">
        <w:rPr>
          <w:noProof/>
        </w:rPr>
        <w:tab/>
      </w:r>
      <w:r w:rsidR="00F22954" w:rsidRPr="009158D0">
        <w:rPr>
          <w:noProof/>
        </w:rPr>
        <w:t>Institucije pristojnim organom brez nepotrebnega odlašanja predložijo druge popravke predloženih poročil, ki niso popravki iz odstavka 4.</w:t>
      </w:r>
    </w:p>
    <w:p w:rsidR="00716EA9" w:rsidRPr="009158D0" w:rsidRDefault="00716EA9" w:rsidP="00716EA9">
      <w:pPr>
        <w:pStyle w:val="Titrearticle"/>
        <w:rPr>
          <w:noProof/>
          <w:szCs w:val="24"/>
        </w:rPr>
      </w:pPr>
      <w:r w:rsidRPr="009158D0">
        <w:rPr>
          <w:noProof/>
        </w:rPr>
        <w:t>Člen 4</w:t>
      </w:r>
    </w:p>
    <w:p w:rsidR="00716EA9" w:rsidRPr="009158D0" w:rsidRDefault="00716EA9" w:rsidP="00F22954">
      <w:pPr>
        <w:pStyle w:val="Titrearticle"/>
        <w:spacing w:before="0"/>
        <w:rPr>
          <w:b/>
          <w:bCs/>
          <w:i w:val="0"/>
          <w:iCs/>
          <w:noProof/>
          <w:szCs w:val="24"/>
        </w:rPr>
      </w:pPr>
      <w:r w:rsidRPr="009158D0">
        <w:rPr>
          <w:b/>
          <w:i w:val="0"/>
          <w:noProof/>
        </w:rPr>
        <w:t>Pragovi za poročanje – vstopna in izstopna merila</w:t>
      </w:r>
    </w:p>
    <w:p w:rsidR="00716EA9" w:rsidRPr="009158D0" w:rsidRDefault="00447AA0" w:rsidP="00447AA0">
      <w:pPr>
        <w:pStyle w:val="ManualNumPar1"/>
        <w:rPr>
          <w:noProof/>
        </w:rPr>
      </w:pPr>
      <w:r w:rsidRPr="00447AA0">
        <w:rPr>
          <w:noProof/>
        </w:rPr>
        <w:t>1.</w:t>
      </w:r>
      <w:r w:rsidRPr="00447AA0">
        <w:rPr>
          <w:noProof/>
        </w:rPr>
        <w:tab/>
      </w:r>
      <w:r w:rsidR="003F44DA" w:rsidRPr="009158D0">
        <w:rPr>
          <w:noProof/>
        </w:rPr>
        <w:t>Majhne in nekompleksne institucije začnejo poročati informacije iz Priloge I na prvi referenčni datum poročanja po datumu, na katerega izpolnijo merila iz člena 4(1), točka 145, Uredbe (EU) št. 575/2013. Institucije, ki teh meril ne izpolnjujejo več, prenehajo poročati te informacije na prvi referenčni datum poročanja po datumu, na katerega teh meril ne izpolnjujejo več.</w:t>
      </w:r>
    </w:p>
    <w:p w:rsidR="00716EA9" w:rsidRPr="009158D0" w:rsidRDefault="00447AA0" w:rsidP="00447AA0">
      <w:pPr>
        <w:pStyle w:val="ManualNumPar1"/>
        <w:rPr>
          <w:noProof/>
        </w:rPr>
      </w:pPr>
      <w:r w:rsidRPr="00447AA0">
        <w:rPr>
          <w:noProof/>
        </w:rPr>
        <w:t>2.</w:t>
      </w:r>
      <w:r w:rsidRPr="00447AA0">
        <w:rPr>
          <w:noProof/>
        </w:rPr>
        <w:tab/>
      </w:r>
      <w:r w:rsidR="003F44DA" w:rsidRPr="009158D0">
        <w:rPr>
          <w:noProof/>
        </w:rPr>
        <w:t>Velike institucije začnejo poročati informacije iz Priloge I na prvi referenčni datum poročanja po datumu, na katerega izpolnijo merila iz člena 4(1), točka 146, Uredbe (EU) št. 575/2013. Institucije, ki teh meril ne izpolnjujejo več, prenehajo poročati te informacije na prvi referenčni datum poročanja, na katerega teh meril ne izpolnjujejo več.</w:t>
      </w:r>
    </w:p>
    <w:p w:rsidR="00716EA9" w:rsidRPr="009158D0" w:rsidRDefault="00447AA0" w:rsidP="00447AA0">
      <w:pPr>
        <w:pStyle w:val="ManualNumPar1"/>
        <w:rPr>
          <w:noProof/>
        </w:rPr>
      </w:pPr>
      <w:r w:rsidRPr="00447AA0">
        <w:rPr>
          <w:noProof/>
        </w:rPr>
        <w:t>3.</w:t>
      </w:r>
      <w:r w:rsidRPr="00447AA0">
        <w:rPr>
          <w:noProof/>
        </w:rPr>
        <w:tab/>
      </w:r>
      <w:r w:rsidR="00716EA9" w:rsidRPr="009158D0">
        <w:rPr>
          <w:noProof/>
        </w:rPr>
        <w:t>Institucije začnejo poročati informacije iz Priloge I, za katere veljajo pragovi iz člena 5(2) in (3), člena 6(2) in (3), členov 11 in 12, člena 15(2) do (5) ter členov 17 do 20 te uredbe, na referenčni datum poročanja po datumu, na katerega so bili ti pragovi preseženi na dva zaporedna referenčna datuma poročanja. Institucije lahko prenehajo poročati informacije, za katere veljajo pragovi iz navedenih členov, na referenčni datum poročanja po datumu, na katerega na tri referenčne datume poročanja zapored niso dosegale ustreznih pragov za poročanje.</w:t>
      </w:r>
    </w:p>
    <w:p w:rsidR="00716EA9" w:rsidRPr="009158D0" w:rsidRDefault="00447AA0" w:rsidP="00447AA0">
      <w:pPr>
        <w:pStyle w:val="ManualNumPar1"/>
        <w:rPr>
          <w:noProof/>
        </w:rPr>
      </w:pPr>
      <w:r w:rsidRPr="00447AA0">
        <w:rPr>
          <w:noProof/>
        </w:rPr>
        <w:t>4.</w:t>
      </w:r>
      <w:r w:rsidRPr="00447AA0">
        <w:rPr>
          <w:noProof/>
        </w:rPr>
        <w:tab/>
      </w:r>
      <w:r w:rsidR="00716EA9" w:rsidRPr="009158D0">
        <w:rPr>
          <w:noProof/>
        </w:rPr>
        <w:t xml:space="preserve">Z odstopanjem od odstavka 3 institucije začnejo poročati, če v šestih mesecih pred referenčnim datumom izpolnjujejo katerega koli od naslednjih pogojev: </w:t>
      </w:r>
    </w:p>
    <w:p w:rsidR="00716EA9" w:rsidRPr="009158D0" w:rsidRDefault="00447AA0" w:rsidP="00447AA0">
      <w:pPr>
        <w:pStyle w:val="Point1"/>
        <w:rPr>
          <w:noProof/>
          <w:color w:val="000000"/>
        </w:rPr>
      </w:pPr>
      <w:r w:rsidRPr="00447AA0">
        <w:rPr>
          <w:noProof/>
        </w:rPr>
        <w:t>(a)</w:t>
      </w:r>
      <w:r w:rsidRPr="00447AA0">
        <w:rPr>
          <w:noProof/>
        </w:rPr>
        <w:tab/>
      </w:r>
      <w:r w:rsidR="00716EA9" w:rsidRPr="009158D0">
        <w:rPr>
          <w:noProof/>
        </w:rPr>
        <w:t>zadevna institucija je pridobila dovoljenje za začetek opravljanja dejavnosti kot kreditna institucija v skladu s členom 8 Direktive 2013/36/EU Evropskega parlamenta in Sveta</w:t>
      </w:r>
      <w:r w:rsidR="00716EA9" w:rsidRPr="009158D0">
        <w:rPr>
          <w:rStyle w:val="FootnoteReference"/>
          <w:rFonts w:eastAsia="Times New Roman"/>
          <w:bCs/>
          <w:noProof/>
          <w:szCs w:val="24"/>
          <w:lang w:eastAsia="fr-BE"/>
        </w:rPr>
        <w:footnoteReference w:id="6"/>
      </w:r>
      <w:r w:rsidR="00716EA9" w:rsidRPr="009158D0">
        <w:rPr>
          <w:noProof/>
        </w:rPr>
        <w:t>;</w:t>
      </w:r>
    </w:p>
    <w:p w:rsidR="00716EA9" w:rsidRPr="009158D0" w:rsidRDefault="00447AA0" w:rsidP="00447AA0">
      <w:pPr>
        <w:pStyle w:val="Point1"/>
        <w:rPr>
          <w:noProof/>
          <w:color w:val="000000"/>
        </w:rPr>
      </w:pPr>
      <w:r w:rsidRPr="00447AA0">
        <w:rPr>
          <w:noProof/>
        </w:rPr>
        <w:t>(b)</w:t>
      </w:r>
      <w:r w:rsidRPr="00447AA0">
        <w:rPr>
          <w:noProof/>
        </w:rPr>
        <w:tab/>
      </w:r>
      <w:r w:rsidR="00716EA9" w:rsidRPr="009158D0">
        <w:rPr>
          <w:noProof/>
        </w:rPr>
        <w:t>institucija je investicijsko podjetje, za katero velja Uredba (EU) št. 575/2013, ker presega prag iz člena 4(1), točka 1(b), navedene uredbe ali na podlagi odločitve pristojnega organa v skladu s členom 5 Direktive (EU) 2019/2034 Evropskega parlamenta in Sveta</w:t>
      </w:r>
      <w:r w:rsidR="00716EA9" w:rsidRPr="009158D0">
        <w:rPr>
          <w:rStyle w:val="FootnoteReference"/>
          <w:rFonts w:eastAsia="Times New Roman"/>
          <w:bCs/>
          <w:noProof/>
          <w:szCs w:val="24"/>
          <w:lang w:eastAsia="fr-BE"/>
        </w:rPr>
        <w:footnoteReference w:id="7"/>
      </w:r>
      <w:r w:rsidR="00716EA9" w:rsidRPr="009158D0">
        <w:rPr>
          <w:noProof/>
        </w:rPr>
        <w:t>;</w:t>
      </w:r>
    </w:p>
    <w:p w:rsidR="00716EA9" w:rsidRPr="009158D0" w:rsidRDefault="00447AA0" w:rsidP="00447AA0">
      <w:pPr>
        <w:pStyle w:val="Point1"/>
        <w:rPr>
          <w:noProof/>
          <w:color w:val="000000"/>
        </w:rPr>
      </w:pPr>
      <w:r w:rsidRPr="00447AA0">
        <w:rPr>
          <w:noProof/>
        </w:rPr>
        <w:t>(c)</w:t>
      </w:r>
      <w:r w:rsidRPr="00447AA0">
        <w:rPr>
          <w:noProof/>
        </w:rPr>
        <w:tab/>
      </w:r>
      <w:r w:rsidR="00716EA9" w:rsidRPr="009158D0">
        <w:rPr>
          <w:noProof/>
        </w:rPr>
        <w:t>institucija je subjekt, ki nastane bodisi z združitvijo vsaj dveh institucij bodisi z razdelitvijo institucije na vsaj dve instituciji.</w:t>
      </w:r>
    </w:p>
    <w:p w:rsidR="00716EA9" w:rsidRPr="009158D0" w:rsidRDefault="00447AA0" w:rsidP="00447AA0">
      <w:pPr>
        <w:pStyle w:val="ManualNumPar1"/>
        <w:rPr>
          <w:noProof/>
        </w:rPr>
      </w:pPr>
      <w:r w:rsidRPr="00447AA0">
        <w:rPr>
          <w:noProof/>
        </w:rPr>
        <w:t>5.</w:t>
      </w:r>
      <w:r w:rsidRPr="00447AA0">
        <w:rPr>
          <w:noProof/>
        </w:rPr>
        <w:tab/>
      </w:r>
      <w:r w:rsidR="00716EA9" w:rsidRPr="009158D0">
        <w:rPr>
          <w:noProof/>
        </w:rPr>
        <w:t>Za institucije iz odstavka 4 v zvezi z njihovim poročanjem, za katero veljajo pragovi iz člena 4 za prva dva referenčna datuma, velja naslednje:</w:t>
      </w:r>
    </w:p>
    <w:p w:rsidR="00716EA9" w:rsidRPr="009158D0" w:rsidRDefault="00447AA0" w:rsidP="00447AA0">
      <w:pPr>
        <w:pStyle w:val="Point1"/>
        <w:rPr>
          <w:noProof/>
        </w:rPr>
      </w:pPr>
      <w:r w:rsidRPr="00447AA0">
        <w:rPr>
          <w:noProof/>
        </w:rPr>
        <w:t>(a)</w:t>
      </w:r>
      <w:r w:rsidRPr="00447AA0">
        <w:rPr>
          <w:noProof/>
        </w:rPr>
        <w:tab/>
      </w:r>
      <w:r w:rsidR="0050785B" w:rsidRPr="009158D0">
        <w:rPr>
          <w:noProof/>
        </w:rPr>
        <w:t>institucije, ki že na prvi referenčni datum presegajo zadevni prag, poročajo informacije, za katere velja ta prag, na prvi in drugi referenčni datum;</w:t>
      </w:r>
    </w:p>
    <w:p w:rsidR="00716EA9" w:rsidRPr="009158D0" w:rsidRDefault="00447AA0" w:rsidP="00447AA0">
      <w:pPr>
        <w:pStyle w:val="Point1"/>
        <w:rPr>
          <w:noProof/>
        </w:rPr>
      </w:pPr>
      <w:r w:rsidRPr="00447AA0">
        <w:rPr>
          <w:noProof/>
        </w:rPr>
        <w:t>(b)</w:t>
      </w:r>
      <w:r w:rsidRPr="00447AA0">
        <w:rPr>
          <w:noProof/>
        </w:rPr>
        <w:tab/>
      </w:r>
      <w:r w:rsidR="0050785B" w:rsidRPr="009158D0">
        <w:rPr>
          <w:noProof/>
        </w:rPr>
        <w:t>institucije, ki presegajo zadevni prag šele na drugi referenčni datum, poročajo informacije, za katere velja ta prag, na drugi referenčni datum.</w:t>
      </w:r>
    </w:p>
    <w:p w:rsidR="00716EA9" w:rsidRPr="009158D0" w:rsidRDefault="00716EA9" w:rsidP="00C856B2">
      <w:pPr>
        <w:pStyle w:val="Text1"/>
        <w:rPr>
          <w:noProof/>
        </w:rPr>
      </w:pPr>
      <w:r w:rsidRPr="009158D0">
        <w:rPr>
          <w:noProof/>
        </w:rPr>
        <w:t>Institucije, ki na tri zaporedne referenčne datume poročanja niso dosegale ustreznih pragov iz točk (a) in (b), lahko prenehajo poročati informacije, za katere velja prag, na naslednji referenčni datum poročanja.</w:t>
      </w:r>
    </w:p>
    <w:p w:rsidR="00716EA9" w:rsidRPr="009158D0" w:rsidRDefault="00716EA9" w:rsidP="00E537F5">
      <w:pPr>
        <w:pStyle w:val="Titrearticle"/>
        <w:rPr>
          <w:noProof/>
          <w:szCs w:val="24"/>
        </w:rPr>
      </w:pPr>
      <w:r w:rsidRPr="009158D0">
        <w:rPr>
          <w:noProof/>
        </w:rPr>
        <w:t>Člen 5</w:t>
      </w:r>
    </w:p>
    <w:p w:rsidR="00716EA9" w:rsidRPr="009158D0" w:rsidRDefault="00716EA9" w:rsidP="00F22954">
      <w:pPr>
        <w:pStyle w:val="Titrearticle"/>
        <w:spacing w:before="0"/>
        <w:rPr>
          <w:b/>
          <w:bCs/>
          <w:i w:val="0"/>
          <w:iCs/>
          <w:noProof/>
          <w:szCs w:val="24"/>
        </w:rPr>
      </w:pPr>
      <w:r w:rsidRPr="009158D0">
        <w:rPr>
          <w:b/>
          <w:i w:val="0"/>
          <w:noProof/>
        </w:rPr>
        <w:t>Poročanje o kapitalu in kapitalskih zahtevah na posamični podlagi – četrtletno poročanje</w:t>
      </w:r>
    </w:p>
    <w:p w:rsidR="00716EA9" w:rsidRPr="009158D0" w:rsidRDefault="00447AA0" w:rsidP="00447AA0">
      <w:pPr>
        <w:pStyle w:val="ManualNumPar1"/>
        <w:rPr>
          <w:noProof/>
        </w:rPr>
      </w:pPr>
      <w:r w:rsidRPr="00447AA0">
        <w:rPr>
          <w:noProof/>
        </w:rPr>
        <w:t>1.</w:t>
      </w:r>
      <w:r w:rsidRPr="00447AA0">
        <w:rPr>
          <w:noProof/>
        </w:rPr>
        <w:tab/>
      </w:r>
      <w:r w:rsidR="00BF6649" w:rsidRPr="009158D0">
        <w:rPr>
          <w:noProof/>
        </w:rPr>
        <w:t>Institucije, ki poročajo informacije o kapitalu in kapitalskih zahtevah v skladu s členom 430(1), točka (a), Uredbe (EU) št. 575/2013 na posamični podlagi, te informacije, kot so določene v oddelku 1 „Poročanje o kapitalu in kapitalskih zahtevah“ Priloge I k tej uredbi, predložijo vsako četrtletje.</w:t>
      </w:r>
    </w:p>
    <w:p w:rsidR="00290C23" w:rsidRPr="009158D0" w:rsidRDefault="00447AA0" w:rsidP="00447AA0">
      <w:pPr>
        <w:pStyle w:val="ManualNumPar1"/>
        <w:rPr>
          <w:rFonts w:eastAsia="Times New Roman"/>
          <w:noProof/>
        </w:rPr>
      </w:pPr>
      <w:r w:rsidRPr="00447AA0">
        <w:rPr>
          <w:noProof/>
        </w:rPr>
        <w:t>2.</w:t>
      </w:r>
      <w:r w:rsidRPr="00447AA0">
        <w:rPr>
          <w:noProof/>
        </w:rPr>
        <w:tab/>
      </w:r>
      <w:r w:rsidR="00290C23" w:rsidRPr="009158D0">
        <w:rPr>
          <w:noProof/>
        </w:rPr>
        <w:t>Institucije predložijo informacije, določene v predlogah C 09.01 in C 09.02, zlasti informacije o geografski porazdelitvi izpostavljenosti po državah, kadar so tuje originalne izpostavljenosti v vseh tujih državah v vseh kategorijah izpostavljenosti, kot se poročajo v skladu z vrstico 0850 predloge C 04.00, enake ali večje od 10 % domačih in tujih originalnih izpostavljenosti skupaj, kot se poročajo v skladu z vrstico 0860 predloge C 04.00. Izpostavljenosti se štejejo za domače, kadar gre za izpostavljenosti do nasprotnih strank v državi članici, v kateri ima institucija sedež.</w:t>
      </w:r>
    </w:p>
    <w:p w:rsidR="00290C23" w:rsidRPr="009158D0" w:rsidRDefault="00447AA0" w:rsidP="00447AA0">
      <w:pPr>
        <w:pStyle w:val="ManualNumPar1"/>
        <w:rPr>
          <w:rFonts w:eastAsia="Times New Roman"/>
          <w:noProof/>
        </w:rPr>
      </w:pPr>
      <w:r w:rsidRPr="00447AA0">
        <w:rPr>
          <w:noProof/>
        </w:rPr>
        <w:t>3.</w:t>
      </w:r>
      <w:r w:rsidRPr="00447AA0">
        <w:rPr>
          <w:noProof/>
        </w:rPr>
        <w:tab/>
      </w:r>
      <w:r w:rsidR="00290C23" w:rsidRPr="009158D0">
        <w:rPr>
          <w:noProof/>
        </w:rPr>
        <w:t>Institucije, ki uporabljajo temeljni pristop v skladu z Delegirano uredbo Komisije (EU) 2016/101</w:t>
      </w:r>
      <w:r w:rsidR="00290C23" w:rsidRPr="009158D0">
        <w:rPr>
          <w:rStyle w:val="FootnoteReference"/>
          <w:rFonts w:eastAsia="Times New Roman"/>
          <w:noProof/>
          <w:lang w:eastAsia="en-GB" w:bidi="en-GB"/>
        </w:rPr>
        <w:footnoteReference w:id="8"/>
      </w:r>
      <w:r w:rsidR="00290C23" w:rsidRPr="009158D0">
        <w:rPr>
          <w:noProof/>
        </w:rPr>
        <w:t xml:space="preserve"> in ki presegajo prag iz člena 4(1) navedene uredbe, poročajo informacije, določene v predlogah C 32.03 in C 32.04.</w:t>
      </w:r>
    </w:p>
    <w:p w:rsidR="00716EA9" w:rsidRPr="009158D0" w:rsidRDefault="00447AA0" w:rsidP="00447AA0">
      <w:pPr>
        <w:pStyle w:val="ManualNumPar1"/>
        <w:rPr>
          <w:rFonts w:eastAsia="Times New Roman"/>
          <w:noProof/>
        </w:rPr>
      </w:pPr>
      <w:r w:rsidRPr="00447AA0">
        <w:rPr>
          <w:noProof/>
        </w:rPr>
        <w:t>4.</w:t>
      </w:r>
      <w:r w:rsidRPr="00447AA0">
        <w:rPr>
          <w:noProof/>
        </w:rPr>
        <w:tab/>
      </w:r>
      <w:r w:rsidR="00AB6D3F" w:rsidRPr="009158D0">
        <w:rPr>
          <w:noProof/>
        </w:rPr>
        <w:t>Za izračun kapitalskih zahtev iz člena 92(4), točki (b)(i) in (c), ter člena 92(5), točki (b) in (c), Uredbe (EU) št. 575/2013 institucije do 31. decembra 2025 predložijo informacije o kapitalskih zahtevah v zvezi s tržnim tveganjem v skladu s členom 5(12) Izvedbene uredbe (EU) 2021/451.</w:t>
      </w:r>
    </w:p>
    <w:p w:rsidR="00716EA9" w:rsidRPr="009158D0" w:rsidRDefault="00716EA9" w:rsidP="00E537F5">
      <w:pPr>
        <w:pStyle w:val="Titrearticle"/>
        <w:rPr>
          <w:noProof/>
          <w:szCs w:val="24"/>
        </w:rPr>
      </w:pPr>
      <w:r w:rsidRPr="009158D0">
        <w:rPr>
          <w:noProof/>
        </w:rPr>
        <w:t>Člen 6</w:t>
      </w:r>
    </w:p>
    <w:p w:rsidR="00716EA9" w:rsidRPr="009158D0" w:rsidRDefault="00716EA9" w:rsidP="00F22954">
      <w:pPr>
        <w:pStyle w:val="Titrearticle"/>
        <w:spacing w:before="0"/>
        <w:rPr>
          <w:b/>
          <w:bCs/>
          <w:i w:val="0"/>
          <w:iCs/>
          <w:noProof/>
          <w:szCs w:val="24"/>
        </w:rPr>
      </w:pPr>
      <w:r w:rsidRPr="009158D0">
        <w:rPr>
          <w:b/>
          <w:i w:val="0"/>
          <w:noProof/>
        </w:rPr>
        <w:t>Poročanje o kapitalu in kapitalskih zahtevah na posamični podlagi – polletno poročanje</w:t>
      </w:r>
    </w:p>
    <w:p w:rsidR="00716EA9" w:rsidRPr="009158D0" w:rsidRDefault="00447AA0" w:rsidP="00447AA0">
      <w:pPr>
        <w:pStyle w:val="ManualNumPar1"/>
        <w:rPr>
          <w:noProof/>
        </w:rPr>
      </w:pPr>
      <w:r w:rsidRPr="00447AA0">
        <w:rPr>
          <w:noProof/>
        </w:rPr>
        <w:t>1.</w:t>
      </w:r>
      <w:r w:rsidRPr="00447AA0">
        <w:rPr>
          <w:noProof/>
        </w:rPr>
        <w:tab/>
      </w:r>
      <w:r w:rsidR="00266139" w:rsidRPr="009158D0">
        <w:rPr>
          <w:noProof/>
        </w:rPr>
        <w:t>Institucije, ki poročajo informacije o kapitalu in kapitalskih zahtevah v skladu s členom 430(1), točka (a), Uredbe (EU) št. 575/2013 na posamični podlagi, te informacije, kot so določene v oddelku 1 „Poročanje o kapitalu in kapitalskih zahtevah“ Priloge I, predložijo vsake pol leta.</w:t>
      </w:r>
    </w:p>
    <w:p w:rsidR="00ED139D" w:rsidRPr="009158D0" w:rsidRDefault="00447AA0" w:rsidP="00447AA0">
      <w:pPr>
        <w:pStyle w:val="ManualNumPar1"/>
        <w:rPr>
          <w:noProof/>
        </w:rPr>
      </w:pPr>
      <w:r w:rsidRPr="00447AA0">
        <w:rPr>
          <w:noProof/>
        </w:rPr>
        <w:t>2.</w:t>
      </w:r>
      <w:r w:rsidRPr="00447AA0">
        <w:rPr>
          <w:noProof/>
        </w:rPr>
        <w:tab/>
      </w:r>
      <w:r w:rsidR="00ED139D" w:rsidRPr="009158D0">
        <w:rPr>
          <w:noProof/>
        </w:rPr>
        <w:t>Institucije predložijo informacije o vseh izpostavljenostih v listinjenju, kot so določene v oddelku 1 „Poročanje o kapitalu in kapitalskih zahtevah“ v predlogah C 14.00 in C 14.01 Priloge I; razen če so del skupine v isti državi, v kateri zanje veljajo kapitalske zahteve.</w:t>
      </w:r>
    </w:p>
    <w:p w:rsidR="003808D8" w:rsidRPr="009158D0" w:rsidRDefault="00447AA0" w:rsidP="00447AA0">
      <w:pPr>
        <w:pStyle w:val="ManualNumPar1"/>
        <w:rPr>
          <w:noProof/>
        </w:rPr>
      </w:pPr>
      <w:r w:rsidRPr="00447AA0">
        <w:rPr>
          <w:noProof/>
        </w:rPr>
        <w:t>3.</w:t>
      </w:r>
      <w:r w:rsidRPr="00447AA0">
        <w:rPr>
          <w:noProof/>
        </w:rPr>
        <w:tab/>
      </w:r>
      <w:r w:rsidR="003808D8" w:rsidRPr="009158D0">
        <w:rPr>
          <w:noProof/>
        </w:rPr>
        <w:t>Institucije predložijo informacije o izpostavljenostih do držav, kot sledi:</w:t>
      </w:r>
    </w:p>
    <w:p w:rsidR="003808D8" w:rsidRPr="009158D0" w:rsidRDefault="00447AA0" w:rsidP="00447AA0">
      <w:pPr>
        <w:pStyle w:val="Point1"/>
        <w:rPr>
          <w:noProof/>
        </w:rPr>
      </w:pPr>
      <w:r w:rsidRPr="00447AA0">
        <w:rPr>
          <w:noProof/>
        </w:rPr>
        <w:t>(a)</w:t>
      </w:r>
      <w:r w:rsidRPr="00447AA0">
        <w:rPr>
          <w:noProof/>
        </w:rPr>
        <w:tab/>
      </w:r>
      <w:r w:rsidR="003808D8" w:rsidRPr="009158D0">
        <w:rPr>
          <w:noProof/>
        </w:rPr>
        <w:t>če je skupna knjigovodska vrednost finančnih sredstev sektorja nasprotne stranke „sektor država“ enaka ali višja od 1 % vsote skupnih knjigovodskih vrednosti za „dolžniške vrednostne papirje“ ter „kredite in druga finančna sredstva“, institucije predložijo informacije, kot so določene v predlogi C 33.00;</w:t>
      </w:r>
    </w:p>
    <w:p w:rsidR="003808D8" w:rsidRPr="009158D0" w:rsidRDefault="00447AA0" w:rsidP="00447AA0">
      <w:pPr>
        <w:pStyle w:val="Point1"/>
        <w:rPr>
          <w:noProof/>
        </w:rPr>
      </w:pPr>
      <w:r w:rsidRPr="00447AA0">
        <w:rPr>
          <w:noProof/>
        </w:rPr>
        <w:t>(b)</w:t>
      </w:r>
      <w:r w:rsidRPr="00447AA0">
        <w:rPr>
          <w:noProof/>
        </w:rPr>
        <w:tab/>
      </w:r>
      <w:r w:rsidR="003808D8" w:rsidRPr="009158D0">
        <w:rPr>
          <w:noProof/>
        </w:rPr>
        <w:t>če je vrednost, poročana za domače izpostavljenosti neizvedenih finančnih sredstev, kot je določena v vrstici 0010 stolpca 0010 predloge C 33.00, manjša od 90 % vrednosti, poročane za domače in tuje izpostavljenosti za isto podatkovno točko, institucije, ki izpolnjujejo pogoj iz točke (a), predložijo informacije, kot so določene v predlogi C 33.00, s polno razčlenitvijo po državah;</w:t>
      </w:r>
    </w:p>
    <w:p w:rsidR="003808D8" w:rsidRPr="009158D0" w:rsidRDefault="00447AA0" w:rsidP="00447AA0">
      <w:pPr>
        <w:pStyle w:val="Point1"/>
        <w:rPr>
          <w:noProof/>
        </w:rPr>
      </w:pPr>
      <w:r w:rsidRPr="00447AA0">
        <w:rPr>
          <w:noProof/>
        </w:rPr>
        <w:t>(c)</w:t>
      </w:r>
      <w:r w:rsidRPr="00447AA0">
        <w:rPr>
          <w:noProof/>
        </w:rPr>
        <w:tab/>
      </w:r>
      <w:r w:rsidR="003808D8" w:rsidRPr="009158D0">
        <w:rPr>
          <w:noProof/>
        </w:rPr>
        <w:t>institucije, ki izpolnjujejo pogoj iz točke (a), ne izpolnjujejo pa pogoja iz točke (b), predložijo informacije, določene v predlogi C 33.00, pri čemer se izpostavljenosti združijo na:</w:t>
      </w:r>
    </w:p>
    <w:p w:rsidR="003808D8" w:rsidRPr="009158D0" w:rsidRDefault="003808D8" w:rsidP="00C856B2">
      <w:pPr>
        <w:pStyle w:val="Point2"/>
        <w:rPr>
          <w:noProof/>
        </w:rPr>
      </w:pPr>
      <w:r w:rsidRPr="009158D0">
        <w:rPr>
          <w:noProof/>
        </w:rPr>
        <w:t>(i)</w:t>
      </w:r>
      <w:r w:rsidRPr="009158D0">
        <w:rPr>
          <w:noProof/>
        </w:rPr>
        <w:tab/>
        <w:t>skupni ravni in</w:t>
      </w:r>
    </w:p>
    <w:p w:rsidR="003808D8" w:rsidRPr="009158D0" w:rsidRDefault="003808D8" w:rsidP="00C856B2">
      <w:pPr>
        <w:pStyle w:val="Point2"/>
        <w:rPr>
          <w:noProof/>
        </w:rPr>
      </w:pPr>
      <w:r w:rsidRPr="009158D0">
        <w:rPr>
          <w:noProof/>
        </w:rPr>
        <w:t>(ii)</w:t>
      </w:r>
      <w:r w:rsidRPr="009158D0">
        <w:rPr>
          <w:noProof/>
        </w:rPr>
        <w:tab/>
        <w:t>domači ravni.</w:t>
      </w:r>
    </w:p>
    <w:p w:rsidR="003808D8" w:rsidRPr="009158D0" w:rsidRDefault="00447AA0" w:rsidP="00447AA0">
      <w:pPr>
        <w:pStyle w:val="ManualNumPar1"/>
        <w:rPr>
          <w:noProof/>
        </w:rPr>
      </w:pPr>
      <w:r w:rsidRPr="00447AA0">
        <w:rPr>
          <w:noProof/>
        </w:rPr>
        <w:t>4.</w:t>
      </w:r>
      <w:r w:rsidRPr="00447AA0">
        <w:rPr>
          <w:noProof/>
        </w:rPr>
        <w:tab/>
      </w:r>
      <w:r w:rsidR="003808D8" w:rsidRPr="009158D0">
        <w:rPr>
          <w:noProof/>
        </w:rPr>
        <w:t>Institucije predložijo informacije o pomembnih izgubah v zvezi z operativnim tveganjem, kot sledi:</w:t>
      </w:r>
    </w:p>
    <w:p w:rsidR="003808D8" w:rsidRPr="009158D0" w:rsidRDefault="00447AA0" w:rsidP="00447AA0">
      <w:pPr>
        <w:pStyle w:val="Point1"/>
        <w:rPr>
          <w:noProof/>
        </w:rPr>
      </w:pPr>
      <w:r w:rsidRPr="00447AA0">
        <w:rPr>
          <w:noProof/>
        </w:rPr>
        <w:t>(a)</w:t>
      </w:r>
      <w:r w:rsidRPr="00447AA0">
        <w:rPr>
          <w:noProof/>
        </w:rPr>
        <w:tab/>
      </w:r>
      <w:r w:rsidR="003808D8" w:rsidRPr="009158D0">
        <w:rPr>
          <w:noProof/>
        </w:rPr>
        <w:t>institucije, ki decembra 2024 izračunajo kapitalske zahteve v zvezi z operativnim tveganjem v skladu z delom 3, naslov III, poglavje 4, Uredbe (EU) št. 575/2013, še naprej poročajo te informacije, kot so določene v predlogah C 17.01 in C 17.02;</w:t>
      </w:r>
    </w:p>
    <w:p w:rsidR="003808D8" w:rsidRPr="009158D0" w:rsidRDefault="00447AA0" w:rsidP="00447AA0">
      <w:pPr>
        <w:pStyle w:val="Point1"/>
        <w:rPr>
          <w:noProof/>
        </w:rPr>
      </w:pPr>
      <w:r w:rsidRPr="00447AA0">
        <w:rPr>
          <w:noProof/>
        </w:rPr>
        <w:t>(b)</w:t>
      </w:r>
      <w:r w:rsidRPr="00447AA0">
        <w:rPr>
          <w:noProof/>
        </w:rPr>
        <w:tab/>
      </w:r>
      <w:r w:rsidR="003808D8" w:rsidRPr="009158D0">
        <w:rPr>
          <w:noProof/>
        </w:rPr>
        <w:t>velike institucije, ki decembra 2024 izračunajo kapitalske zahteve v zvezi z operativnim tveganjem v skladu z delom 3, naslov III, poglavje 3, Uredbe (EU) št. 575/2013, še naprej poročajo te informacije, kot so določene v predlogah C 17.01 in C 17.02;</w:t>
      </w:r>
    </w:p>
    <w:p w:rsidR="003808D8" w:rsidRPr="009158D0" w:rsidRDefault="00447AA0" w:rsidP="00447AA0">
      <w:pPr>
        <w:pStyle w:val="Point1"/>
        <w:rPr>
          <w:noProof/>
        </w:rPr>
      </w:pPr>
      <w:r w:rsidRPr="00447AA0">
        <w:rPr>
          <w:noProof/>
        </w:rPr>
        <w:t>(c)</w:t>
      </w:r>
      <w:r w:rsidRPr="00447AA0">
        <w:rPr>
          <w:noProof/>
        </w:rPr>
        <w:tab/>
      </w:r>
      <w:r w:rsidR="003808D8" w:rsidRPr="009158D0">
        <w:rPr>
          <w:noProof/>
        </w:rPr>
        <w:t>institucije, ki niso velike institucije, ki decembra 2024 izračunajo kapitalske zahteve v zvezi z operativnim tveganjem v skladu z delom 3, naslov III, poglavje 3, Uredbe (EU) št. 575/2013, še naprej poročajo naslednje informacije:</w:t>
      </w:r>
    </w:p>
    <w:p w:rsidR="003808D8" w:rsidRPr="009158D0" w:rsidRDefault="003808D8" w:rsidP="00C856B2">
      <w:pPr>
        <w:pStyle w:val="Point2"/>
        <w:rPr>
          <w:noProof/>
        </w:rPr>
      </w:pPr>
      <w:r w:rsidRPr="009158D0">
        <w:rPr>
          <w:noProof/>
        </w:rPr>
        <w:t>(i)</w:t>
      </w:r>
      <w:r w:rsidRPr="009158D0">
        <w:rPr>
          <w:noProof/>
        </w:rPr>
        <w:tab/>
        <w:t>informacije, določene v stolpcu 0080 predloge C 17.01, za naslednje vrstice:</w:t>
      </w:r>
    </w:p>
    <w:p w:rsidR="003808D8" w:rsidRPr="009158D0" w:rsidRDefault="00447AA0" w:rsidP="00447AA0">
      <w:pPr>
        <w:pStyle w:val="Point3"/>
        <w:rPr>
          <w:noProof/>
        </w:rPr>
      </w:pPr>
      <w:r w:rsidRPr="00447AA0">
        <w:rPr>
          <w:noProof/>
        </w:rPr>
        <w:t>(1)</w:t>
      </w:r>
      <w:r w:rsidRPr="00447AA0">
        <w:rPr>
          <w:noProof/>
        </w:rPr>
        <w:tab/>
      </w:r>
      <w:r w:rsidR="003808D8" w:rsidRPr="009158D0">
        <w:rPr>
          <w:noProof/>
        </w:rPr>
        <w:t>število dogodkov (novi dogodki) (vrstica 0910);</w:t>
      </w:r>
    </w:p>
    <w:p w:rsidR="003808D8" w:rsidRPr="009158D0" w:rsidRDefault="00447AA0" w:rsidP="00447AA0">
      <w:pPr>
        <w:pStyle w:val="Point3"/>
        <w:rPr>
          <w:noProof/>
        </w:rPr>
      </w:pPr>
      <w:r w:rsidRPr="00447AA0">
        <w:rPr>
          <w:noProof/>
        </w:rPr>
        <w:t>(2)</w:t>
      </w:r>
      <w:r w:rsidRPr="00447AA0">
        <w:rPr>
          <w:noProof/>
        </w:rPr>
        <w:tab/>
      </w:r>
      <w:r w:rsidR="003808D8" w:rsidRPr="009158D0">
        <w:rPr>
          <w:noProof/>
        </w:rPr>
        <w:t>bruto znesek izgube (novi dogodki) (vrstica 0920);</w:t>
      </w:r>
    </w:p>
    <w:p w:rsidR="003808D8" w:rsidRPr="009158D0" w:rsidRDefault="00447AA0" w:rsidP="00447AA0">
      <w:pPr>
        <w:pStyle w:val="Point3"/>
        <w:rPr>
          <w:noProof/>
        </w:rPr>
      </w:pPr>
      <w:r w:rsidRPr="00447AA0">
        <w:rPr>
          <w:noProof/>
        </w:rPr>
        <w:t>(3)</w:t>
      </w:r>
      <w:r w:rsidRPr="00447AA0">
        <w:rPr>
          <w:noProof/>
        </w:rPr>
        <w:tab/>
      </w:r>
      <w:r w:rsidR="003808D8" w:rsidRPr="009158D0">
        <w:rPr>
          <w:noProof/>
        </w:rPr>
        <w:t>število dogodkov, pri katerih se prilagodijo izgube (vrstica 0930);</w:t>
      </w:r>
    </w:p>
    <w:p w:rsidR="003808D8" w:rsidRPr="009158D0" w:rsidRDefault="00447AA0" w:rsidP="00447AA0">
      <w:pPr>
        <w:pStyle w:val="Point3"/>
        <w:rPr>
          <w:noProof/>
        </w:rPr>
      </w:pPr>
      <w:r w:rsidRPr="00447AA0">
        <w:rPr>
          <w:noProof/>
        </w:rPr>
        <w:t>(4)</w:t>
      </w:r>
      <w:r w:rsidRPr="00447AA0">
        <w:rPr>
          <w:noProof/>
        </w:rPr>
        <w:tab/>
      </w:r>
      <w:r w:rsidR="003808D8" w:rsidRPr="009158D0">
        <w:rPr>
          <w:noProof/>
        </w:rPr>
        <w:t>prilagoditve izgub, ki se nanašajo na prejšnja poročevalska obdobja (vrstica 0940);</w:t>
      </w:r>
    </w:p>
    <w:p w:rsidR="003808D8" w:rsidRPr="009158D0" w:rsidRDefault="00447AA0" w:rsidP="00447AA0">
      <w:pPr>
        <w:pStyle w:val="Point3"/>
        <w:rPr>
          <w:noProof/>
        </w:rPr>
      </w:pPr>
      <w:r w:rsidRPr="00447AA0">
        <w:rPr>
          <w:noProof/>
        </w:rPr>
        <w:t>(5)</w:t>
      </w:r>
      <w:r w:rsidRPr="00447AA0">
        <w:rPr>
          <w:noProof/>
        </w:rPr>
        <w:tab/>
      </w:r>
      <w:r w:rsidR="003808D8" w:rsidRPr="009158D0">
        <w:rPr>
          <w:noProof/>
        </w:rPr>
        <w:t>največja posamezna izguba (vrstica 0950);</w:t>
      </w:r>
    </w:p>
    <w:p w:rsidR="003808D8" w:rsidRPr="009158D0" w:rsidRDefault="00447AA0" w:rsidP="00447AA0">
      <w:pPr>
        <w:pStyle w:val="Point3"/>
        <w:rPr>
          <w:noProof/>
        </w:rPr>
      </w:pPr>
      <w:r w:rsidRPr="00447AA0">
        <w:rPr>
          <w:noProof/>
        </w:rPr>
        <w:t>(6)</w:t>
      </w:r>
      <w:r w:rsidRPr="00447AA0">
        <w:rPr>
          <w:noProof/>
        </w:rPr>
        <w:tab/>
      </w:r>
      <w:r w:rsidR="003808D8" w:rsidRPr="009158D0">
        <w:rPr>
          <w:noProof/>
        </w:rPr>
        <w:t>vsota petih največjih izgub (vrstica 0960);</w:t>
      </w:r>
    </w:p>
    <w:p w:rsidR="003808D8" w:rsidRPr="009158D0" w:rsidRDefault="00447AA0" w:rsidP="00447AA0">
      <w:pPr>
        <w:pStyle w:val="Point3"/>
        <w:rPr>
          <w:noProof/>
        </w:rPr>
      </w:pPr>
      <w:r w:rsidRPr="00447AA0">
        <w:rPr>
          <w:noProof/>
        </w:rPr>
        <w:t>(7)</w:t>
      </w:r>
      <w:r w:rsidRPr="00447AA0">
        <w:rPr>
          <w:noProof/>
        </w:rPr>
        <w:tab/>
      </w:r>
      <w:r w:rsidR="003808D8" w:rsidRPr="009158D0">
        <w:rPr>
          <w:noProof/>
        </w:rPr>
        <w:t>povrnjena neposredna izguba skupaj (razen zavarovanja in drugih mehanizmov za prenos tveganja) (vrstica 0970);</w:t>
      </w:r>
    </w:p>
    <w:p w:rsidR="003808D8" w:rsidRPr="009158D0" w:rsidRDefault="00447AA0" w:rsidP="00447AA0">
      <w:pPr>
        <w:pStyle w:val="Point3"/>
        <w:rPr>
          <w:noProof/>
        </w:rPr>
      </w:pPr>
      <w:r w:rsidRPr="00447AA0">
        <w:rPr>
          <w:noProof/>
        </w:rPr>
        <w:t>(8)</w:t>
      </w:r>
      <w:r w:rsidRPr="00447AA0">
        <w:rPr>
          <w:noProof/>
        </w:rPr>
        <w:tab/>
      </w:r>
      <w:r w:rsidR="003808D8" w:rsidRPr="009158D0">
        <w:rPr>
          <w:noProof/>
        </w:rPr>
        <w:t>skupaj povrnjena sredstva iz zavarovanja in drugih mehanizmov za prenos tveganja (vrstica 0980);</w:t>
      </w:r>
    </w:p>
    <w:p w:rsidR="003808D8" w:rsidRPr="009158D0" w:rsidRDefault="003808D8" w:rsidP="00C856B2">
      <w:pPr>
        <w:pStyle w:val="Point2"/>
        <w:rPr>
          <w:noProof/>
        </w:rPr>
      </w:pPr>
      <w:r w:rsidRPr="009158D0">
        <w:rPr>
          <w:noProof/>
        </w:rPr>
        <w:t>(ii)</w:t>
      </w:r>
      <w:r w:rsidRPr="009158D0">
        <w:rPr>
          <w:noProof/>
        </w:rPr>
        <w:tab/>
        <w:t>informacije, določene v predlogi C 17.02;</w:t>
      </w:r>
    </w:p>
    <w:p w:rsidR="003808D8" w:rsidRPr="009158D0" w:rsidRDefault="00447AA0" w:rsidP="00447AA0">
      <w:pPr>
        <w:pStyle w:val="Point1"/>
        <w:rPr>
          <w:noProof/>
        </w:rPr>
      </w:pPr>
      <w:r w:rsidRPr="00447AA0">
        <w:rPr>
          <w:noProof/>
        </w:rPr>
        <w:t>(d)</w:t>
      </w:r>
      <w:r w:rsidRPr="00447AA0">
        <w:rPr>
          <w:noProof/>
        </w:rPr>
        <w:tab/>
      </w:r>
      <w:r w:rsidR="003808D8" w:rsidRPr="009158D0">
        <w:rPr>
          <w:noProof/>
        </w:rPr>
        <w:t xml:space="preserve">institucije iz točke (c) lahko poročajo celoten sklop informacij, določenih v predlogah C 17.01 in C 17.02; </w:t>
      </w:r>
    </w:p>
    <w:p w:rsidR="003808D8" w:rsidRPr="009158D0" w:rsidRDefault="00447AA0" w:rsidP="00447AA0">
      <w:pPr>
        <w:pStyle w:val="Point1"/>
        <w:rPr>
          <w:noProof/>
        </w:rPr>
      </w:pPr>
      <w:r w:rsidRPr="00447AA0">
        <w:rPr>
          <w:noProof/>
        </w:rPr>
        <w:t>(e)</w:t>
      </w:r>
      <w:r w:rsidRPr="00447AA0">
        <w:rPr>
          <w:noProof/>
        </w:rPr>
        <w:tab/>
      </w:r>
      <w:r w:rsidR="003808D8" w:rsidRPr="009158D0">
        <w:rPr>
          <w:noProof/>
        </w:rPr>
        <w:t>velike institucije, ki decembra 2024 izračunajo kapitalske zahteve v zvezi z operativnim tveganjem v skladu z delom 3, naslov III, poglavje 2, Uredbe (EU) št. 575/2013, še naprej poročajo informacije, kot so določene v predlogah C 17.01 in C 17.02;</w:t>
      </w:r>
    </w:p>
    <w:p w:rsidR="003808D8" w:rsidRPr="009158D0" w:rsidRDefault="00447AA0" w:rsidP="00447AA0">
      <w:pPr>
        <w:pStyle w:val="Point1"/>
        <w:rPr>
          <w:noProof/>
        </w:rPr>
      </w:pPr>
      <w:r w:rsidRPr="00447AA0">
        <w:rPr>
          <w:noProof/>
        </w:rPr>
        <w:t>(f)</w:t>
      </w:r>
      <w:r w:rsidRPr="00447AA0">
        <w:rPr>
          <w:noProof/>
        </w:rPr>
        <w:tab/>
      </w:r>
      <w:r w:rsidR="003808D8" w:rsidRPr="009158D0">
        <w:rPr>
          <w:noProof/>
        </w:rPr>
        <w:t>institucije, ki niso velike institucije, ki decembra 2024 izračunajo kapitalske zahteve v zvezi z operativnim tveganjem v skladu z delom 3, naslov III, poglavje 2, Uredbe (EU) št. 575/2013, lahko še naprej poročajo informacije, kot so določene v predlogah C 17.01 in C 17.02.</w:t>
      </w:r>
    </w:p>
    <w:p w:rsidR="00716EA9" w:rsidRPr="009158D0" w:rsidRDefault="00716EA9" w:rsidP="00E537F5">
      <w:pPr>
        <w:pStyle w:val="Titrearticle"/>
        <w:rPr>
          <w:noProof/>
          <w:szCs w:val="24"/>
        </w:rPr>
      </w:pPr>
      <w:r w:rsidRPr="009158D0">
        <w:rPr>
          <w:noProof/>
        </w:rPr>
        <w:t>Člen 7</w:t>
      </w:r>
    </w:p>
    <w:p w:rsidR="00716EA9" w:rsidRPr="009158D0" w:rsidRDefault="00716EA9" w:rsidP="00F22954">
      <w:pPr>
        <w:pStyle w:val="Titrearticle"/>
        <w:spacing w:before="0"/>
        <w:rPr>
          <w:b/>
          <w:bCs/>
          <w:i w:val="0"/>
          <w:iCs/>
          <w:noProof/>
          <w:szCs w:val="24"/>
        </w:rPr>
      </w:pPr>
      <w:r w:rsidRPr="009158D0">
        <w:rPr>
          <w:b/>
          <w:i w:val="0"/>
          <w:noProof/>
        </w:rPr>
        <w:t>Poročanje o kapitalu in kapitalskih zahtevah na konsolidirani podlagi</w:t>
      </w:r>
    </w:p>
    <w:p w:rsidR="00716EA9" w:rsidRPr="009158D0" w:rsidRDefault="00716EA9" w:rsidP="00C856B2">
      <w:pPr>
        <w:rPr>
          <w:noProof/>
        </w:rPr>
      </w:pPr>
      <w:r w:rsidRPr="009158D0">
        <w:rPr>
          <w:noProof/>
        </w:rPr>
        <w:t>Institucije, ki poročajo informacije o kapitalu in kapitalskih zahtevah v skladu s členom 430(1), točka (a), Uredbe (EU) št. 575/2013 na konsolidirani podlagi, te informacije, kot so določene v oddelku 1 „Poročanje o kapitalu in kapitalskih zahtevah“ Priloge I k tej uredbi, predložijo, kot sledi:</w:t>
      </w:r>
    </w:p>
    <w:p w:rsidR="00716EA9" w:rsidRPr="009158D0" w:rsidRDefault="00447AA0" w:rsidP="00447AA0">
      <w:pPr>
        <w:pStyle w:val="Point0"/>
        <w:rPr>
          <w:noProof/>
          <w:color w:val="000000"/>
        </w:rPr>
      </w:pPr>
      <w:r w:rsidRPr="00447AA0">
        <w:rPr>
          <w:noProof/>
        </w:rPr>
        <w:t>(a)</w:t>
      </w:r>
      <w:r w:rsidRPr="00447AA0">
        <w:rPr>
          <w:noProof/>
        </w:rPr>
        <w:tab/>
      </w:r>
      <w:r w:rsidR="00716EA9" w:rsidRPr="009158D0">
        <w:rPr>
          <w:noProof/>
        </w:rPr>
        <w:t>informacije iz Priloge I, ki podrobneje določa poročanje, ki se zahteva v skladu s členoma 5 in 6 te uredbe, tako pogosto, kot je določeno v navedenih členih;</w:t>
      </w:r>
    </w:p>
    <w:p w:rsidR="00716EA9" w:rsidRPr="009158D0" w:rsidRDefault="00447AA0" w:rsidP="00447AA0">
      <w:pPr>
        <w:pStyle w:val="Point0"/>
        <w:rPr>
          <w:noProof/>
        </w:rPr>
      </w:pPr>
      <w:r w:rsidRPr="00447AA0">
        <w:rPr>
          <w:noProof/>
        </w:rPr>
        <w:t>(b)</w:t>
      </w:r>
      <w:r w:rsidRPr="00447AA0">
        <w:rPr>
          <w:noProof/>
        </w:rPr>
        <w:tab/>
      </w:r>
      <w:r w:rsidR="00716EA9" w:rsidRPr="009158D0">
        <w:rPr>
          <w:noProof/>
        </w:rPr>
        <w:t>informacije iz Priloge I, ki podrobneje določa poročanje o kapitalski ustreznosti skupine v zvezi s subjekti, vključenimi v obseg konsolidacije, vsake pol leta.</w:t>
      </w:r>
    </w:p>
    <w:p w:rsidR="00716EA9" w:rsidRPr="009158D0" w:rsidRDefault="00716EA9" w:rsidP="00E537F5">
      <w:pPr>
        <w:pStyle w:val="Titrearticle"/>
        <w:rPr>
          <w:noProof/>
          <w:szCs w:val="24"/>
        </w:rPr>
      </w:pPr>
      <w:r w:rsidRPr="009158D0">
        <w:rPr>
          <w:noProof/>
        </w:rPr>
        <w:t>Člen 8</w:t>
      </w:r>
    </w:p>
    <w:p w:rsidR="00716EA9" w:rsidRPr="009158D0" w:rsidRDefault="00716EA9" w:rsidP="00F22954">
      <w:pPr>
        <w:pStyle w:val="Titrearticle"/>
        <w:spacing w:before="0"/>
        <w:rPr>
          <w:b/>
          <w:bCs/>
          <w:i w:val="0"/>
          <w:iCs/>
          <w:noProof/>
          <w:szCs w:val="24"/>
        </w:rPr>
      </w:pPr>
      <w:r w:rsidRPr="009158D0">
        <w:rPr>
          <w:b/>
          <w:i w:val="0"/>
          <w:noProof/>
        </w:rPr>
        <w:t>Poročanje o kapitalu in kapitalskih zahtevah – dodatne zahteve glede poročanja na posamični in konsolidirani podlagi</w:t>
      </w:r>
    </w:p>
    <w:p w:rsidR="00AB5213" w:rsidRPr="009158D0" w:rsidRDefault="00447AA0" w:rsidP="00447AA0">
      <w:pPr>
        <w:pStyle w:val="ManualNumPar1"/>
        <w:rPr>
          <w:noProof/>
        </w:rPr>
      </w:pPr>
      <w:r w:rsidRPr="00447AA0">
        <w:rPr>
          <w:noProof/>
        </w:rPr>
        <w:t>1.</w:t>
      </w:r>
      <w:r w:rsidRPr="00447AA0">
        <w:rPr>
          <w:noProof/>
        </w:rPr>
        <w:tab/>
      </w:r>
      <w:r w:rsidR="00716EA9" w:rsidRPr="009158D0">
        <w:rPr>
          <w:noProof/>
        </w:rPr>
        <w:t>Institucije, ki morajo razkriti informacije iz člena 438, točka (e) ali (h), ali člena 452, točka (b), (g) ali (h), Uredbe (EU) št. 575/2013 tako pogosto, kot je določeno v členu 433a ali členu 433c navedene uredbe, na posamični podlagi v skladu s členom 6 navedene uredbe ali na konsolidirani podlagi v skladu s členom 13 navedene uredbe, kot je ustrezno, predložijo informacije, kot so določene v predlogah C 08.03, C 08.04, C 08.05, C 08.05.01, C 08.06, C 08.07 in C 34.11 oddelka 1 „Poročanje o kapitalu in kapitalskih zahtevah“ Priloge I k tej uredbi.</w:t>
      </w:r>
    </w:p>
    <w:p w:rsidR="00716EA9" w:rsidRPr="009158D0" w:rsidRDefault="00447AA0" w:rsidP="00447AA0">
      <w:pPr>
        <w:pStyle w:val="ManualNumPar1"/>
        <w:rPr>
          <w:noProof/>
        </w:rPr>
      </w:pPr>
      <w:r w:rsidRPr="00447AA0">
        <w:rPr>
          <w:noProof/>
        </w:rPr>
        <w:t>2.</w:t>
      </w:r>
      <w:r w:rsidRPr="00447AA0">
        <w:rPr>
          <w:noProof/>
        </w:rPr>
        <w:tab/>
      </w:r>
      <w:r w:rsidR="00716EA9" w:rsidRPr="009158D0">
        <w:rPr>
          <w:noProof/>
        </w:rPr>
        <w:t>Institucije, ki morajo razkriti informacije iz člena 439, točka (l), Uredbe (EU) št. 575/2013 tako pogosto, kot je določeno v členu 433a ali členu 433c navedene uredbe, kot je ustrezno, na posamični podlagi v skladu s členom 6 navedene uredbe ali na konsolidirani podlagi v skladu s členom 13 navedene uredbe, kot je ustrezno, predložijo informacije, kot so določene v predlogi C 34.07 oddelka 1 „Poročanje o kapitalu in kapitalskih zahtevah“ Priloge I k tej uredbi.</w:t>
      </w:r>
    </w:p>
    <w:p w:rsidR="00716EA9" w:rsidRPr="009158D0" w:rsidRDefault="00716EA9" w:rsidP="00E537F5">
      <w:pPr>
        <w:pStyle w:val="Titrearticle"/>
        <w:rPr>
          <w:noProof/>
          <w:szCs w:val="24"/>
        </w:rPr>
      </w:pPr>
      <w:r w:rsidRPr="009158D0">
        <w:rPr>
          <w:noProof/>
        </w:rPr>
        <w:t>Člen 9</w:t>
      </w:r>
    </w:p>
    <w:p w:rsidR="00716EA9" w:rsidRPr="009158D0" w:rsidRDefault="00716EA9" w:rsidP="00F22954">
      <w:pPr>
        <w:pStyle w:val="Titrearticle"/>
        <w:spacing w:before="0"/>
        <w:rPr>
          <w:b/>
          <w:bCs/>
          <w:i w:val="0"/>
          <w:iCs/>
          <w:noProof/>
          <w:szCs w:val="24"/>
        </w:rPr>
      </w:pPr>
      <w:r w:rsidRPr="009158D0">
        <w:rPr>
          <w:b/>
          <w:i w:val="0"/>
          <w:noProof/>
        </w:rPr>
        <w:t>Poročanje o kapitalu in kapitalskih zahtevah na posamični podlagi za investicijska podjetja, za katera se uporabljata člena 95 in 96 Uredbe (EU) št. 575/2013</w:t>
      </w:r>
    </w:p>
    <w:p w:rsidR="00716EA9" w:rsidRPr="009158D0" w:rsidRDefault="00447AA0" w:rsidP="00447AA0">
      <w:pPr>
        <w:pStyle w:val="ManualNumPar1"/>
        <w:rPr>
          <w:noProof/>
        </w:rPr>
      </w:pPr>
      <w:r w:rsidRPr="00447AA0">
        <w:rPr>
          <w:noProof/>
        </w:rPr>
        <w:t>1.</w:t>
      </w:r>
      <w:r w:rsidRPr="00447AA0">
        <w:rPr>
          <w:noProof/>
        </w:rPr>
        <w:tab/>
      </w:r>
      <w:r w:rsidR="000E2BE4" w:rsidRPr="009158D0">
        <w:rPr>
          <w:noProof/>
        </w:rPr>
        <w:t>Investicijska podjetja, za katera velja člen 95 Uredbe (EU) št. 575/2013 in ki uporabljajo prehodne določbe iz člena 57(3) Uredbe (EU) 2019/2033, za namene poročanja informacij o kapitalskih zahtevah, kot se zahteva v členu 430(1), točka (a), Uredbe (EU) št. 575/2013, na posamični podlagi, z izjemo informacij o količniku finančnega vzvoda, vsako četrtletje predložijo informacije, kot so določene v predlogah C 01.00 do C 05.02 oddelka 1 „Poročanje o kapitalu in kapitalskih zahtevah“ Priloge I k tej uredbi.</w:t>
      </w:r>
    </w:p>
    <w:p w:rsidR="00716EA9" w:rsidRPr="009158D0" w:rsidRDefault="00447AA0" w:rsidP="00447AA0">
      <w:pPr>
        <w:pStyle w:val="ManualNumPar1"/>
        <w:rPr>
          <w:noProof/>
        </w:rPr>
      </w:pPr>
      <w:r w:rsidRPr="00447AA0">
        <w:rPr>
          <w:noProof/>
        </w:rPr>
        <w:t>2.</w:t>
      </w:r>
      <w:r w:rsidRPr="00447AA0">
        <w:rPr>
          <w:noProof/>
        </w:rPr>
        <w:tab/>
      </w:r>
      <w:r w:rsidR="001D71A4" w:rsidRPr="009158D0">
        <w:rPr>
          <w:noProof/>
        </w:rPr>
        <w:t>Investicijska podjetja, za katera velja člen 96 Uredbe (EU) št. 575/2013 in ki uporabljajo prehodne določbe iz člena 57(3) Uredbe (EU) 2019/2033, za namene poročanja informacij o kapitalskih zahtevah, kot se zahteva v členu 430(1), točka (a), Uredbe (EU) št. 575/2013, na posamični podlagi predložijo informacije iz člena 5, odstavki 1 do 4, in člena 6(2) te uredbe tako pogosto, kot je določeno v navedenih členih, v skladu z oddelkom 1 „Poročanje o kapitalu in kapitalskih zahtevah“ Priloge I k tej uredbi.</w:t>
      </w:r>
    </w:p>
    <w:p w:rsidR="00716EA9" w:rsidRPr="009158D0" w:rsidRDefault="00716EA9" w:rsidP="00E537F5">
      <w:pPr>
        <w:pStyle w:val="Titrearticle"/>
        <w:rPr>
          <w:noProof/>
          <w:szCs w:val="24"/>
        </w:rPr>
      </w:pPr>
      <w:r w:rsidRPr="009158D0">
        <w:rPr>
          <w:noProof/>
        </w:rPr>
        <w:t>Člen 10</w:t>
      </w:r>
    </w:p>
    <w:p w:rsidR="00716EA9" w:rsidRPr="009158D0" w:rsidRDefault="00716EA9" w:rsidP="00F22954">
      <w:pPr>
        <w:pStyle w:val="Titrearticle"/>
        <w:spacing w:before="0"/>
        <w:rPr>
          <w:b/>
          <w:bCs/>
          <w:i w:val="0"/>
          <w:iCs/>
          <w:noProof/>
          <w:szCs w:val="24"/>
        </w:rPr>
      </w:pPr>
      <w:r w:rsidRPr="009158D0">
        <w:rPr>
          <w:b/>
          <w:i w:val="0"/>
          <w:noProof/>
        </w:rPr>
        <w:t>Poročanje o kapitalu in kapitalskih zahtevah na konsolidirani podlagi za skupine, ki jih sestavljajo samo investicijska podjetja, za katera se uporabljata člena 95 in 96 Uredbe (EU) št. 575/2013</w:t>
      </w:r>
    </w:p>
    <w:p w:rsidR="00716EA9" w:rsidRPr="009158D0" w:rsidRDefault="00447AA0" w:rsidP="00447AA0">
      <w:pPr>
        <w:pStyle w:val="ManualNumPar1"/>
        <w:rPr>
          <w:noProof/>
        </w:rPr>
      </w:pPr>
      <w:r w:rsidRPr="00447AA0">
        <w:rPr>
          <w:noProof/>
        </w:rPr>
        <w:t>1.</w:t>
      </w:r>
      <w:r w:rsidRPr="00447AA0">
        <w:rPr>
          <w:noProof/>
        </w:rPr>
        <w:tab/>
      </w:r>
      <w:r w:rsidR="00D44B55" w:rsidRPr="009158D0">
        <w:rPr>
          <w:noProof/>
        </w:rPr>
        <w:t>Investicijska podjetja skupin, ki jih sestavljajo samo investicijska podjetja, ki uporabljajo prehodne določbe iz člena 57(3) Uredbe (EU) 2019/2033 v povezavi s členom 95 Uredbe (EU) št. 575/2013, za namene poročanja informacij o kapitalskih zahtevah, kot se zahteva v členu 430(1), točka (a), Uredbe (EU) št. 575/2013, na konsolidirani podlagi, z izjemo informacij o količniku finančnega vzvoda, predložijo informacije, kot so določene v oddelku 1 „Poročanje o kapitalu in kapitalskih zahtevah“ Priloge I k tej uredbi, kot sledi:</w:t>
      </w:r>
    </w:p>
    <w:p w:rsidR="00D61A8B" w:rsidRPr="009158D0" w:rsidRDefault="00447AA0" w:rsidP="00447AA0">
      <w:pPr>
        <w:pStyle w:val="Point1"/>
        <w:rPr>
          <w:noProof/>
        </w:rPr>
      </w:pPr>
      <w:r w:rsidRPr="00447AA0">
        <w:rPr>
          <w:noProof/>
        </w:rPr>
        <w:t>(a)</w:t>
      </w:r>
      <w:r w:rsidRPr="00447AA0">
        <w:rPr>
          <w:noProof/>
        </w:rPr>
        <w:tab/>
      </w:r>
      <w:r w:rsidR="00D61A8B" w:rsidRPr="009158D0">
        <w:rPr>
          <w:noProof/>
        </w:rPr>
        <w:t>vsako četrtletje informacije o kapitalu in kapitalskih zahtevah, kot so določene v predlogah C 01.00 do C 05.02 oddelka 1 Priloge I k tej uredbi;</w:t>
      </w:r>
    </w:p>
    <w:p w:rsidR="00D61A8B" w:rsidRPr="009158D0" w:rsidRDefault="00447AA0" w:rsidP="00447AA0">
      <w:pPr>
        <w:pStyle w:val="Point1"/>
        <w:rPr>
          <w:noProof/>
        </w:rPr>
      </w:pPr>
      <w:r w:rsidRPr="00447AA0">
        <w:rPr>
          <w:noProof/>
        </w:rPr>
        <w:t>(b)</w:t>
      </w:r>
      <w:r w:rsidRPr="00447AA0">
        <w:rPr>
          <w:noProof/>
        </w:rPr>
        <w:tab/>
      </w:r>
      <w:r w:rsidR="00D61A8B" w:rsidRPr="009158D0">
        <w:rPr>
          <w:noProof/>
        </w:rPr>
        <w:t>vsake pol leta informacije o kapitalu in kapitalskih zahtevah v zvezi s subjekti, vključenimi v obseg konsolidacije, kot so določene v predlogah C 06.01 in C 06.02 oddelka 1 Priloge I k tej uredbi.</w:t>
      </w:r>
    </w:p>
    <w:p w:rsidR="00716EA9" w:rsidRPr="009158D0" w:rsidRDefault="00447AA0" w:rsidP="00447AA0">
      <w:pPr>
        <w:pStyle w:val="ManualNumPar1"/>
        <w:rPr>
          <w:noProof/>
        </w:rPr>
      </w:pPr>
      <w:r w:rsidRPr="00447AA0">
        <w:rPr>
          <w:noProof/>
        </w:rPr>
        <w:t>2.</w:t>
      </w:r>
      <w:r w:rsidRPr="00447AA0">
        <w:rPr>
          <w:noProof/>
        </w:rPr>
        <w:tab/>
      </w:r>
      <w:r w:rsidR="00EA1A16" w:rsidRPr="009158D0">
        <w:rPr>
          <w:noProof/>
        </w:rPr>
        <w:t>Investicijska podjetja skupin, ki jih sestavljajo samo investicijska podjetja, ki uporabljajo prehodne določbe iz člena 57(3) Uredbe (EU) 2019/2033 v povezavi s členom 96 Uredbe (EU) št. 575/2013, za namene poročanja informacij o kapitalskih zahtevah, kot se zahteva v členu 430(1), točka (a), Uredbe (EU) št. 575/2013, na konsolidirani podlagi predložijo informacije, kot so določene v oddelku 1 „Poročanje o kapitalu in kapitalskih zahtevah“ Priloge I k tej uredbi, kot sledi:</w:t>
      </w:r>
    </w:p>
    <w:p w:rsidR="00AD54BA" w:rsidRPr="009158D0" w:rsidRDefault="00447AA0" w:rsidP="00447AA0">
      <w:pPr>
        <w:pStyle w:val="Point1"/>
        <w:rPr>
          <w:noProof/>
        </w:rPr>
      </w:pPr>
      <w:r w:rsidRPr="00447AA0">
        <w:rPr>
          <w:noProof/>
        </w:rPr>
        <w:t>(a)</w:t>
      </w:r>
      <w:r w:rsidRPr="00447AA0">
        <w:rPr>
          <w:noProof/>
        </w:rPr>
        <w:tab/>
      </w:r>
      <w:r w:rsidR="00AD54BA" w:rsidRPr="009158D0">
        <w:rPr>
          <w:noProof/>
        </w:rPr>
        <w:t>informacije iz člena 5, odstavki 1 do 4, in člena 6(2) te uredbe tako pogosto, kot je določeno v navedenih členih;</w:t>
      </w:r>
    </w:p>
    <w:p w:rsidR="00AD54BA" w:rsidRPr="009158D0" w:rsidRDefault="00447AA0" w:rsidP="00447AA0">
      <w:pPr>
        <w:pStyle w:val="Point1"/>
        <w:rPr>
          <w:noProof/>
        </w:rPr>
      </w:pPr>
      <w:r w:rsidRPr="00447AA0">
        <w:rPr>
          <w:noProof/>
        </w:rPr>
        <w:t>(b)</w:t>
      </w:r>
      <w:r w:rsidRPr="00447AA0">
        <w:rPr>
          <w:noProof/>
        </w:rPr>
        <w:tab/>
      </w:r>
      <w:r w:rsidR="00AD54BA" w:rsidRPr="009158D0">
        <w:rPr>
          <w:noProof/>
        </w:rPr>
        <w:t>vsake pol leta informacije v zvezi s subjekti, vključenimi v obseg konsolidacije, kot so določene v predlogah C 06.01 in C 06.02 oddelka 1 Priloge I k tej uredbi.</w:t>
      </w:r>
    </w:p>
    <w:p w:rsidR="00716EA9" w:rsidRPr="009158D0" w:rsidRDefault="00716EA9" w:rsidP="00E537F5">
      <w:pPr>
        <w:pStyle w:val="Titrearticle"/>
        <w:rPr>
          <w:noProof/>
          <w:szCs w:val="24"/>
        </w:rPr>
      </w:pPr>
      <w:r w:rsidRPr="009158D0">
        <w:rPr>
          <w:noProof/>
        </w:rPr>
        <w:t>Člen 11</w:t>
      </w:r>
    </w:p>
    <w:p w:rsidR="00716EA9" w:rsidRPr="009158D0" w:rsidRDefault="00716EA9" w:rsidP="00F22954">
      <w:pPr>
        <w:pStyle w:val="Titrearticle"/>
        <w:spacing w:before="0"/>
        <w:rPr>
          <w:b/>
          <w:bCs/>
          <w:i w:val="0"/>
          <w:iCs/>
          <w:noProof/>
          <w:szCs w:val="24"/>
        </w:rPr>
      </w:pPr>
      <w:r w:rsidRPr="009158D0">
        <w:rPr>
          <w:b/>
          <w:i w:val="0"/>
          <w:noProof/>
        </w:rPr>
        <w:t>Poročanje finančnih informacij na konsolidirani podlagi za institucije, za katere velja Uredba (ES) št. 1606/2002 Evropskega parlamenta in Sveta</w:t>
      </w:r>
      <w:r w:rsidRPr="009158D0">
        <w:rPr>
          <w:rStyle w:val="FootnoteReference"/>
          <w:i w:val="0"/>
          <w:iCs/>
          <w:noProof/>
          <w:szCs w:val="24"/>
        </w:rPr>
        <w:footnoteReference w:id="9"/>
      </w:r>
    </w:p>
    <w:p w:rsidR="00716EA9" w:rsidRPr="009158D0" w:rsidRDefault="00DE1415" w:rsidP="00EE077F">
      <w:pPr>
        <w:spacing w:before="100" w:beforeAutospacing="1" w:after="100" w:afterAutospacing="1"/>
        <w:rPr>
          <w:noProof/>
          <w:color w:val="000000"/>
          <w:szCs w:val="24"/>
        </w:rPr>
      </w:pPr>
      <w:r w:rsidRPr="009158D0">
        <w:rPr>
          <w:noProof/>
          <w:color w:val="000000"/>
        </w:rPr>
        <w:t>Institucije, ki predložijo finančne informacije na konsolidirani podlagi v skladu s členom 430(3) ali (4) Uredbe (EU) št. 575/2013, te informacije, kot so določene v oddelku 2 „Poročanje finančnih informacij v skladu z MSRP“ Priloge I k tej uredbi, predložijo z naslednjo pogostostjo:</w:t>
      </w:r>
    </w:p>
    <w:p w:rsidR="00AD54BA" w:rsidRPr="009158D0" w:rsidRDefault="00447AA0" w:rsidP="00447AA0">
      <w:pPr>
        <w:pStyle w:val="Point0"/>
        <w:rPr>
          <w:noProof/>
        </w:rPr>
      </w:pPr>
      <w:r w:rsidRPr="00447AA0">
        <w:rPr>
          <w:noProof/>
        </w:rPr>
        <w:t>(a)</w:t>
      </w:r>
      <w:r w:rsidRPr="00447AA0">
        <w:rPr>
          <w:noProof/>
        </w:rPr>
        <w:tab/>
      </w:r>
      <w:r w:rsidR="00AD54BA" w:rsidRPr="009158D0">
        <w:rPr>
          <w:noProof/>
        </w:rPr>
        <w:t>vsako četrtletje informacije, določene v predlogah F 01.01 do F 19.00 oddelka 2 Priloge I k tej uredbi;</w:t>
      </w:r>
    </w:p>
    <w:p w:rsidR="00AD54BA" w:rsidRPr="009158D0" w:rsidRDefault="00447AA0" w:rsidP="00447AA0">
      <w:pPr>
        <w:pStyle w:val="Point0"/>
        <w:rPr>
          <w:noProof/>
        </w:rPr>
      </w:pPr>
      <w:r w:rsidRPr="00447AA0">
        <w:rPr>
          <w:noProof/>
        </w:rPr>
        <w:t>(b)</w:t>
      </w:r>
      <w:r w:rsidRPr="00447AA0">
        <w:rPr>
          <w:noProof/>
        </w:rPr>
        <w:tab/>
      </w:r>
      <w:r w:rsidR="00AD54BA" w:rsidRPr="009158D0">
        <w:rPr>
          <w:noProof/>
        </w:rPr>
        <w:t>vsake pol leta informacije, določene v predlogah F 30.01 do F 31.02 oddelka 2 Priloge I k tej uredbi;</w:t>
      </w:r>
    </w:p>
    <w:p w:rsidR="00AD54BA" w:rsidRPr="009158D0" w:rsidRDefault="00447AA0" w:rsidP="00447AA0">
      <w:pPr>
        <w:pStyle w:val="Point0"/>
        <w:rPr>
          <w:noProof/>
        </w:rPr>
      </w:pPr>
      <w:r w:rsidRPr="00447AA0">
        <w:rPr>
          <w:noProof/>
        </w:rPr>
        <w:t>(c)</w:t>
      </w:r>
      <w:r w:rsidRPr="00447AA0">
        <w:rPr>
          <w:noProof/>
        </w:rPr>
        <w:tab/>
      </w:r>
      <w:r w:rsidR="00AD54BA" w:rsidRPr="009158D0">
        <w:rPr>
          <w:noProof/>
        </w:rPr>
        <w:t>vsako leto informacije, določene v predlogah F 40.01 do F 46.00 oddelka 2 Priloge I k tej uredbi;</w:t>
      </w:r>
    </w:p>
    <w:p w:rsidR="00AD54BA" w:rsidRPr="009158D0" w:rsidRDefault="00447AA0" w:rsidP="00447AA0">
      <w:pPr>
        <w:pStyle w:val="Point0"/>
        <w:rPr>
          <w:noProof/>
        </w:rPr>
      </w:pPr>
      <w:r w:rsidRPr="00447AA0">
        <w:rPr>
          <w:noProof/>
        </w:rPr>
        <w:t>(d)</w:t>
      </w:r>
      <w:r w:rsidRPr="00447AA0">
        <w:rPr>
          <w:noProof/>
        </w:rPr>
        <w:tab/>
      </w:r>
      <w:r w:rsidR="00AD54BA" w:rsidRPr="009158D0">
        <w:rPr>
          <w:noProof/>
        </w:rPr>
        <w:t>vsako četrtletje informacije, določene v predlogah F 20.01 do F 20.07.1 oddelka 2 Priloge I k tej uredbi, če institucija presega prag iz člena 5(2), drugi pododstavek, te uredbe;</w:t>
      </w:r>
    </w:p>
    <w:p w:rsidR="00AD54BA" w:rsidRPr="009158D0" w:rsidRDefault="00447AA0" w:rsidP="00447AA0">
      <w:pPr>
        <w:pStyle w:val="Point0"/>
        <w:rPr>
          <w:noProof/>
        </w:rPr>
      </w:pPr>
      <w:r w:rsidRPr="00447AA0">
        <w:rPr>
          <w:noProof/>
        </w:rPr>
        <w:t>(e)</w:t>
      </w:r>
      <w:r w:rsidRPr="00447AA0">
        <w:rPr>
          <w:noProof/>
        </w:rPr>
        <w:tab/>
      </w:r>
      <w:r w:rsidR="00AD54BA" w:rsidRPr="009158D0">
        <w:rPr>
          <w:noProof/>
        </w:rPr>
        <w:t>vsako četrtletje informacije, določene v predlogi F 21.00 oddelka 2 Priloge I k tej uredbi, če predstavljajo opredmetena sredstva, ki so predmet poslovnega najema, 10 % ali več skupnih opredmetenih sredstev, kot se poročajo v skladu s predlogo F 01.01 oddelka 2 Priloge I k tej uredbi;</w:t>
      </w:r>
    </w:p>
    <w:p w:rsidR="00AD54BA" w:rsidRPr="009158D0" w:rsidRDefault="00447AA0" w:rsidP="00447AA0">
      <w:pPr>
        <w:pStyle w:val="Point0"/>
        <w:rPr>
          <w:noProof/>
        </w:rPr>
      </w:pPr>
      <w:r w:rsidRPr="00447AA0">
        <w:rPr>
          <w:noProof/>
        </w:rPr>
        <w:t>(f)</w:t>
      </w:r>
      <w:r w:rsidRPr="00447AA0">
        <w:rPr>
          <w:noProof/>
        </w:rPr>
        <w:tab/>
      </w:r>
      <w:r w:rsidR="00AD54BA" w:rsidRPr="009158D0">
        <w:rPr>
          <w:noProof/>
        </w:rPr>
        <w:t>vsako četrtletje informacije, določene v predlogi F 22.01 in F 22.02 oddelka 2 Priloge I k tej uredbi, če so čisti prihodki iz naslova provizij in opravnin enaki ali višji od 10 % vsote čistih prihodkov iz naslova provizij in opravnin ter čistih prihodkov od obresti, kot se poročajo v skladu s predlogo F 02.00 oddelka 2 Priloge I k tej uredbi;</w:t>
      </w:r>
    </w:p>
    <w:p w:rsidR="00AD54BA" w:rsidRPr="009158D0" w:rsidRDefault="00447AA0" w:rsidP="00447AA0">
      <w:pPr>
        <w:pStyle w:val="Point0"/>
        <w:rPr>
          <w:noProof/>
        </w:rPr>
      </w:pPr>
      <w:r w:rsidRPr="00447AA0">
        <w:rPr>
          <w:noProof/>
        </w:rPr>
        <w:t>(g)</w:t>
      </w:r>
      <w:r w:rsidRPr="00447AA0">
        <w:rPr>
          <w:noProof/>
        </w:rPr>
        <w:tab/>
      </w:r>
      <w:r w:rsidR="00AD54BA" w:rsidRPr="009158D0">
        <w:rPr>
          <w:noProof/>
        </w:rPr>
        <w:t>vsako četrtletje informacije, določene v predlogah F 23.01 do F 26.00 oddelka 2 Priloge I k tej uredbi, če sta izpolnjena oba naslednja pogoja:</w:t>
      </w:r>
    </w:p>
    <w:p w:rsidR="00AD54BA" w:rsidRPr="009158D0" w:rsidRDefault="00AD54BA" w:rsidP="00C856B2">
      <w:pPr>
        <w:pStyle w:val="Point2"/>
        <w:rPr>
          <w:noProof/>
        </w:rPr>
      </w:pPr>
      <w:r w:rsidRPr="009158D0">
        <w:rPr>
          <w:noProof/>
        </w:rPr>
        <w:t>(i)</w:t>
      </w:r>
      <w:r w:rsidRPr="009158D0">
        <w:rPr>
          <w:noProof/>
        </w:rPr>
        <w:tab/>
        <w:t>institucija ni majhna in nekompleksna institucija;</w:t>
      </w:r>
    </w:p>
    <w:p w:rsidR="00AD54BA" w:rsidRPr="009158D0" w:rsidRDefault="00AD54BA" w:rsidP="00C856B2">
      <w:pPr>
        <w:pStyle w:val="Point2"/>
        <w:rPr>
          <w:noProof/>
        </w:rPr>
      </w:pPr>
      <w:r w:rsidRPr="009158D0">
        <w:rPr>
          <w:noProof/>
        </w:rPr>
        <w:t>(ii)</w:t>
      </w:r>
      <w:r w:rsidRPr="009158D0">
        <w:rPr>
          <w:noProof/>
        </w:rPr>
        <w:tab/>
        <w:t>razmerje med bruto knjigovodsko vrednostjo kreditov in drugih finančnih sredstev, ki spadajo pod člen 47a(3) Uredbe (EU) št. 575/2013, in skupno bruto knjigovodsko vrednostjo kreditov in drugih finančnih sredstev, ki spadajo pod člen 47a(1) navedene uredbe, je enako ali večje od 5 %;</w:t>
      </w:r>
    </w:p>
    <w:p w:rsidR="00AD54BA" w:rsidRPr="009158D0" w:rsidRDefault="00447AA0" w:rsidP="00447AA0">
      <w:pPr>
        <w:pStyle w:val="Point0"/>
        <w:rPr>
          <w:noProof/>
        </w:rPr>
      </w:pPr>
      <w:r w:rsidRPr="00447AA0">
        <w:rPr>
          <w:noProof/>
        </w:rPr>
        <w:t>(h)</w:t>
      </w:r>
      <w:r w:rsidRPr="00447AA0">
        <w:rPr>
          <w:noProof/>
        </w:rPr>
        <w:tab/>
      </w:r>
      <w:r w:rsidR="00AD54BA" w:rsidRPr="009158D0">
        <w:rPr>
          <w:noProof/>
        </w:rPr>
        <w:t>vsako leto informacije iz predloge F 47.00 oddelka 2 Priloge I k tej uredbi, če sta izpolnjena oba pogoja iz točke (g) tega odstavka.</w:t>
      </w:r>
    </w:p>
    <w:p w:rsidR="00AD54BA" w:rsidRPr="009158D0" w:rsidRDefault="00AD54BA" w:rsidP="00AD54BA">
      <w:pPr>
        <w:spacing w:before="100" w:beforeAutospacing="1" w:after="100" w:afterAutospacing="1"/>
        <w:rPr>
          <w:noProof/>
          <w:color w:val="000000"/>
          <w:szCs w:val="24"/>
        </w:rPr>
      </w:pPr>
      <w:r w:rsidRPr="009158D0">
        <w:rPr>
          <w:noProof/>
          <w:color w:val="000000"/>
        </w:rPr>
        <w:t>Za namene točke (g)(ii) razmerje tako v imenovalcu kot v števcu ne vključuje kreditov in drugih finančnih sredstev, razvrščenih kot v posesti za prodajo, stanj denarnih sredstev v centralnih bankah in drugih vlog na vpogled.</w:t>
      </w:r>
    </w:p>
    <w:p w:rsidR="00716EA9" w:rsidRPr="009158D0" w:rsidRDefault="00716EA9" w:rsidP="00E537F5">
      <w:pPr>
        <w:pStyle w:val="Titrearticle"/>
        <w:rPr>
          <w:noProof/>
          <w:szCs w:val="24"/>
        </w:rPr>
      </w:pPr>
      <w:r w:rsidRPr="009158D0">
        <w:rPr>
          <w:noProof/>
        </w:rPr>
        <w:t>Člen 12</w:t>
      </w:r>
    </w:p>
    <w:p w:rsidR="00716EA9" w:rsidRPr="009158D0" w:rsidRDefault="00716EA9" w:rsidP="00F22954">
      <w:pPr>
        <w:pStyle w:val="Titrearticle"/>
        <w:spacing w:before="0"/>
        <w:rPr>
          <w:b/>
          <w:bCs/>
          <w:i w:val="0"/>
          <w:iCs/>
          <w:noProof/>
          <w:szCs w:val="24"/>
        </w:rPr>
      </w:pPr>
      <w:r w:rsidRPr="009158D0">
        <w:rPr>
          <w:b/>
          <w:i w:val="0"/>
          <w:noProof/>
        </w:rPr>
        <w:t>Poročanje finančnih informacij na konsolidirani podlagi za institucije, ki uporabljajo nacionalne računovodske okvire</w:t>
      </w:r>
    </w:p>
    <w:p w:rsidR="00AD54BA" w:rsidRPr="009158D0" w:rsidRDefault="00716EA9" w:rsidP="00DC37AE">
      <w:pPr>
        <w:spacing w:after="0"/>
        <w:rPr>
          <w:rFonts w:eastAsia="Times New Roman"/>
          <w:noProof/>
          <w:color w:val="000000"/>
          <w:szCs w:val="24"/>
        </w:rPr>
      </w:pPr>
      <w:r w:rsidRPr="009158D0">
        <w:rPr>
          <w:noProof/>
          <w:color w:val="000000"/>
        </w:rPr>
        <w:t>Če je pristojni organ razširil zahteve glede poročanja finančnih informacij na institucije s sedežem v državi članici v skladu s členom 430(4) Uredbe (EU) št. 575/2013, institucije predložijo finančne informacije na konsolidirani podlagi, kot so določene v oddelku 3 „Poročanje finančnih informacij v skladu z GAAP“ Priloge I k tej uredbi, z naslednjo pogostostjo:</w:t>
      </w:r>
    </w:p>
    <w:p w:rsidR="00EE077F" w:rsidRPr="009158D0" w:rsidRDefault="00447AA0" w:rsidP="00447AA0">
      <w:pPr>
        <w:pStyle w:val="Point0"/>
        <w:rPr>
          <w:noProof/>
        </w:rPr>
      </w:pPr>
      <w:r w:rsidRPr="00447AA0">
        <w:rPr>
          <w:noProof/>
        </w:rPr>
        <w:t>(a)</w:t>
      </w:r>
      <w:r w:rsidRPr="00447AA0">
        <w:rPr>
          <w:noProof/>
        </w:rPr>
        <w:tab/>
      </w:r>
      <w:r w:rsidR="00EE077F" w:rsidRPr="009158D0">
        <w:rPr>
          <w:noProof/>
        </w:rPr>
        <w:t xml:space="preserve">vsako četrtletje informacije, določene v predlogah F 01.01 do F 19.00 oddelka 3 Priloge I </w:t>
      </w:r>
      <w:r w:rsidR="00EE077F" w:rsidRPr="009158D0">
        <w:rPr>
          <w:noProof/>
          <w:color w:val="000000"/>
        </w:rPr>
        <w:t>k tej uredbi</w:t>
      </w:r>
      <w:r w:rsidR="00EE077F" w:rsidRPr="009158D0">
        <w:rPr>
          <w:noProof/>
        </w:rPr>
        <w:t>;</w:t>
      </w:r>
    </w:p>
    <w:p w:rsidR="00EE077F" w:rsidRPr="009158D0" w:rsidRDefault="00447AA0" w:rsidP="00447AA0">
      <w:pPr>
        <w:pStyle w:val="Point0"/>
        <w:rPr>
          <w:noProof/>
        </w:rPr>
      </w:pPr>
      <w:r w:rsidRPr="00447AA0">
        <w:rPr>
          <w:noProof/>
        </w:rPr>
        <w:t>(b)</w:t>
      </w:r>
      <w:r w:rsidRPr="00447AA0">
        <w:rPr>
          <w:noProof/>
        </w:rPr>
        <w:tab/>
      </w:r>
      <w:r w:rsidR="00EE077F" w:rsidRPr="009158D0">
        <w:rPr>
          <w:noProof/>
        </w:rPr>
        <w:t xml:space="preserve">vsake pol leta informacije, določene v predlogah </w:t>
      </w:r>
      <w:r w:rsidR="00EE077F" w:rsidRPr="009158D0">
        <w:rPr>
          <w:noProof/>
          <w:color w:val="000000"/>
        </w:rPr>
        <w:t>F 30.01 do F 31.02 oddelka 3 Priloge I k tej uredbi</w:t>
      </w:r>
      <w:r w:rsidR="00EE077F" w:rsidRPr="009158D0">
        <w:rPr>
          <w:noProof/>
        </w:rPr>
        <w:t>;</w:t>
      </w:r>
    </w:p>
    <w:p w:rsidR="00EE077F" w:rsidRPr="009158D0" w:rsidRDefault="00447AA0" w:rsidP="00447AA0">
      <w:pPr>
        <w:pStyle w:val="Point0"/>
        <w:rPr>
          <w:rFonts w:eastAsia="Times New Roman"/>
          <w:noProof/>
        </w:rPr>
      </w:pPr>
      <w:r w:rsidRPr="00447AA0">
        <w:rPr>
          <w:noProof/>
        </w:rPr>
        <w:t>(c)</w:t>
      </w:r>
      <w:r w:rsidRPr="00447AA0">
        <w:rPr>
          <w:noProof/>
        </w:rPr>
        <w:tab/>
      </w:r>
      <w:r w:rsidR="00EE077F" w:rsidRPr="009158D0">
        <w:rPr>
          <w:noProof/>
        </w:rPr>
        <w:t>vsako leto informacije, določene v predlogah F 40.01 do F 46.00 oddelka 3 Priloge I k tej uredbi;</w:t>
      </w:r>
    </w:p>
    <w:p w:rsidR="00EE077F" w:rsidRPr="009158D0" w:rsidRDefault="00447AA0" w:rsidP="00447AA0">
      <w:pPr>
        <w:pStyle w:val="Point0"/>
        <w:rPr>
          <w:noProof/>
        </w:rPr>
      </w:pPr>
      <w:r w:rsidRPr="00447AA0">
        <w:rPr>
          <w:noProof/>
        </w:rPr>
        <w:t>(d)</w:t>
      </w:r>
      <w:r w:rsidRPr="00447AA0">
        <w:rPr>
          <w:noProof/>
        </w:rPr>
        <w:tab/>
      </w:r>
      <w:r w:rsidR="00EE077F" w:rsidRPr="009158D0">
        <w:rPr>
          <w:noProof/>
        </w:rPr>
        <w:t>vsako četrtletje informacije, določene v predlogah F 20.01 do F 20.07.1 oddelka 3 Priloge I k tej uredbi, če institucija presega prag iz člena 5(2), drugi pododstavek, te uredbe;</w:t>
      </w:r>
    </w:p>
    <w:p w:rsidR="00EE077F" w:rsidRPr="009158D0" w:rsidRDefault="00447AA0" w:rsidP="00447AA0">
      <w:pPr>
        <w:pStyle w:val="Point0"/>
        <w:rPr>
          <w:rFonts w:eastAsia="Times New Roman"/>
          <w:noProof/>
        </w:rPr>
      </w:pPr>
      <w:r w:rsidRPr="00447AA0">
        <w:rPr>
          <w:noProof/>
        </w:rPr>
        <w:t>(e)</w:t>
      </w:r>
      <w:r w:rsidRPr="00447AA0">
        <w:rPr>
          <w:noProof/>
        </w:rPr>
        <w:tab/>
      </w:r>
      <w:r w:rsidR="00EE077F" w:rsidRPr="009158D0">
        <w:rPr>
          <w:noProof/>
        </w:rPr>
        <w:t>vsako četrtletje informacije, določene v predlogi F 21.00 oddelka 3 Priloge I k tej uredbi, če predstavljajo opredmetena sredstva, ki so predmet poslovnega najema, 10 % ali več skupnih opredmetenih sredstev, kot se poročajo v skladu s predlogo F 01.01 oddelka 3 Priloge I k tej uredbi;</w:t>
      </w:r>
    </w:p>
    <w:p w:rsidR="00EE077F" w:rsidRPr="009158D0" w:rsidRDefault="00447AA0" w:rsidP="00447AA0">
      <w:pPr>
        <w:pStyle w:val="Point0"/>
        <w:rPr>
          <w:rFonts w:eastAsia="Times New Roman"/>
          <w:noProof/>
        </w:rPr>
      </w:pPr>
      <w:r w:rsidRPr="00447AA0">
        <w:rPr>
          <w:noProof/>
        </w:rPr>
        <w:t>(f)</w:t>
      </w:r>
      <w:r w:rsidRPr="00447AA0">
        <w:rPr>
          <w:noProof/>
        </w:rPr>
        <w:tab/>
      </w:r>
      <w:r w:rsidR="00EE077F" w:rsidRPr="009158D0">
        <w:rPr>
          <w:noProof/>
        </w:rPr>
        <w:t>vsako četrtletje informacije, določene v predlogi F 22.01 in F 22.02 oddelka 3 Priloge I k tej uredbi, če so čisti prihodki iz naslova provizij in opravnin enaki ali višji od 10 % vsote čistih prihodkov iz naslova provizij in opravnin ter čistih prihodkov od obresti, kot se poročajo v skladu s predlogo F 02.00 oddelka 3 Priloge I k tej uredbi;</w:t>
      </w:r>
    </w:p>
    <w:p w:rsidR="00EE077F" w:rsidRPr="009158D0" w:rsidRDefault="00447AA0" w:rsidP="00447AA0">
      <w:pPr>
        <w:pStyle w:val="Point0"/>
        <w:rPr>
          <w:rFonts w:eastAsia="Times New Roman"/>
          <w:noProof/>
        </w:rPr>
      </w:pPr>
      <w:r w:rsidRPr="00447AA0">
        <w:rPr>
          <w:noProof/>
        </w:rPr>
        <w:t>(g)</w:t>
      </w:r>
      <w:r w:rsidRPr="00447AA0">
        <w:rPr>
          <w:noProof/>
        </w:rPr>
        <w:tab/>
      </w:r>
      <w:r w:rsidR="00EE077F" w:rsidRPr="009158D0">
        <w:rPr>
          <w:noProof/>
        </w:rPr>
        <w:t>vsako četrtletje informacije, določene v predlogah F 23.01 do 26.00 oddelka 3 Priloge I k tej uredbi, če sta izpolnjena oba naslednja pogoja:</w:t>
      </w:r>
    </w:p>
    <w:p w:rsidR="00EE077F" w:rsidRPr="009158D0" w:rsidRDefault="00EE077F" w:rsidP="00C856B2">
      <w:pPr>
        <w:pStyle w:val="Point2"/>
        <w:rPr>
          <w:noProof/>
        </w:rPr>
      </w:pPr>
      <w:r w:rsidRPr="009158D0">
        <w:rPr>
          <w:noProof/>
        </w:rPr>
        <w:t>(i)</w:t>
      </w:r>
      <w:r w:rsidRPr="009158D0">
        <w:rPr>
          <w:noProof/>
        </w:rPr>
        <w:tab/>
        <w:t>institucija ni majhna ali nekompleksna;</w:t>
      </w:r>
    </w:p>
    <w:p w:rsidR="00EE077F" w:rsidRPr="009158D0" w:rsidRDefault="00EE077F" w:rsidP="00C856B2">
      <w:pPr>
        <w:pStyle w:val="Point2"/>
        <w:rPr>
          <w:noProof/>
        </w:rPr>
      </w:pPr>
      <w:r w:rsidRPr="009158D0">
        <w:rPr>
          <w:noProof/>
        </w:rPr>
        <w:t>(ii)</w:t>
      </w:r>
      <w:r w:rsidRPr="009158D0">
        <w:rPr>
          <w:noProof/>
        </w:rPr>
        <w:tab/>
        <w:t>razmerje institucije, kot je določeno v členu 11(2), točka (g)(ii), te uredbe, je enako ali večje od 5 %;</w:t>
      </w:r>
    </w:p>
    <w:p w:rsidR="00EE077F" w:rsidRPr="009158D0" w:rsidRDefault="00447AA0" w:rsidP="00447AA0">
      <w:pPr>
        <w:pStyle w:val="Point0"/>
        <w:rPr>
          <w:noProof/>
        </w:rPr>
      </w:pPr>
      <w:r w:rsidRPr="00447AA0">
        <w:rPr>
          <w:noProof/>
        </w:rPr>
        <w:t>(h)</w:t>
      </w:r>
      <w:r w:rsidRPr="00447AA0">
        <w:rPr>
          <w:noProof/>
        </w:rPr>
        <w:tab/>
      </w:r>
      <w:r w:rsidR="00EE077F" w:rsidRPr="009158D0">
        <w:rPr>
          <w:noProof/>
        </w:rPr>
        <w:t xml:space="preserve">vsako leto informacije, določene v predlogi </w:t>
      </w:r>
      <w:r w:rsidR="00EE077F" w:rsidRPr="009158D0">
        <w:rPr>
          <w:noProof/>
          <w:color w:val="000000"/>
        </w:rPr>
        <w:t>F 47.00 oddelka 3 Priloge I k tej uredbi</w:t>
      </w:r>
      <w:r w:rsidR="00EE077F" w:rsidRPr="009158D0">
        <w:rPr>
          <w:noProof/>
        </w:rPr>
        <w:t>, če sta izpolnjena oba pogoja iz točke (g) tega odstavka.</w:t>
      </w:r>
    </w:p>
    <w:p w:rsidR="00716EA9" w:rsidRPr="009158D0" w:rsidRDefault="00716EA9" w:rsidP="00E537F5">
      <w:pPr>
        <w:pStyle w:val="Titrearticle"/>
        <w:rPr>
          <w:noProof/>
          <w:szCs w:val="24"/>
        </w:rPr>
      </w:pPr>
      <w:r w:rsidRPr="009158D0">
        <w:rPr>
          <w:noProof/>
        </w:rPr>
        <w:t>Člen 13</w:t>
      </w:r>
    </w:p>
    <w:p w:rsidR="00716EA9" w:rsidRPr="009158D0" w:rsidRDefault="00716EA9" w:rsidP="00F22954">
      <w:pPr>
        <w:pStyle w:val="Titrearticle"/>
        <w:spacing w:before="0"/>
        <w:rPr>
          <w:b/>
          <w:bCs/>
          <w:i w:val="0"/>
          <w:iCs/>
          <w:noProof/>
          <w:szCs w:val="24"/>
        </w:rPr>
      </w:pPr>
      <w:r w:rsidRPr="009158D0">
        <w:rPr>
          <w:b/>
          <w:i w:val="0"/>
          <w:noProof/>
        </w:rPr>
        <w:t>Poročanje o izgubah iz naslova kreditov, zavarovanih z nepremičninami, na posamični in konsolidirani podlagi v skladu s členom 430a(1) Uredbe (EU) št. 575/2013</w:t>
      </w:r>
    </w:p>
    <w:p w:rsidR="00716EA9" w:rsidRPr="009158D0" w:rsidRDefault="00447AA0" w:rsidP="00447AA0">
      <w:pPr>
        <w:pStyle w:val="ManualNumPar1"/>
        <w:rPr>
          <w:noProof/>
        </w:rPr>
      </w:pPr>
      <w:r w:rsidRPr="00447AA0">
        <w:rPr>
          <w:noProof/>
        </w:rPr>
        <w:t>1.</w:t>
      </w:r>
      <w:r w:rsidRPr="00447AA0">
        <w:rPr>
          <w:noProof/>
        </w:rPr>
        <w:tab/>
      </w:r>
      <w:r w:rsidR="00716EA9" w:rsidRPr="009158D0">
        <w:rPr>
          <w:noProof/>
        </w:rPr>
        <w:t>Institucije vsako leto predložijo zbirne podatke iz člena 430a(1) Uredbe (EU) št. 575/2013 na konsolidirani podlagi, kot so določeni v oddelku 4 „Poročanje informacij o izgubah iz naslova kreditov, zavarovanih z nepremičninami“ Priloge I k tej uredbi.</w:t>
      </w:r>
    </w:p>
    <w:p w:rsidR="00716EA9" w:rsidRPr="009158D0" w:rsidRDefault="00447AA0" w:rsidP="00447AA0">
      <w:pPr>
        <w:pStyle w:val="ManualNumPar1"/>
        <w:rPr>
          <w:noProof/>
        </w:rPr>
      </w:pPr>
      <w:r w:rsidRPr="00447AA0">
        <w:rPr>
          <w:noProof/>
        </w:rPr>
        <w:t>2.</w:t>
      </w:r>
      <w:r w:rsidRPr="00447AA0">
        <w:rPr>
          <w:noProof/>
        </w:rPr>
        <w:tab/>
      </w:r>
      <w:r w:rsidR="00716EA9" w:rsidRPr="009158D0">
        <w:rPr>
          <w:noProof/>
        </w:rPr>
        <w:t>Institucije vsako leto predložijo zbirne podatke iz člena 430a(1) Uredbe (EU) št. 575/2013 na posamični podlagi, kot so določeni v oddelku 4 „Poročanje informacij o izgubah iz naslova kreditov, zavarovanih z nepremičninami“ Priloge I k tej uredbi.</w:t>
      </w:r>
    </w:p>
    <w:p w:rsidR="00716EA9" w:rsidRPr="009158D0" w:rsidRDefault="00447AA0" w:rsidP="00447AA0">
      <w:pPr>
        <w:pStyle w:val="ManualNumPar1"/>
        <w:rPr>
          <w:noProof/>
        </w:rPr>
      </w:pPr>
      <w:r w:rsidRPr="00447AA0">
        <w:rPr>
          <w:noProof/>
        </w:rPr>
        <w:t>3.</w:t>
      </w:r>
      <w:r w:rsidRPr="00447AA0">
        <w:rPr>
          <w:noProof/>
        </w:rPr>
        <w:tab/>
      </w:r>
      <w:r w:rsidR="00716EA9" w:rsidRPr="009158D0">
        <w:rPr>
          <w:noProof/>
        </w:rPr>
        <w:t>Če ima institucija podružnico v drugi državi članici, ta podružnica pristojnemu organu države članice gostiteljice vsako leto predloži zbirne podatke iz člena 430a(1) Uredbe (EU) št. 575/2013, kot so določeni v oddelku 4 „Poročanje informacij o izgubah iz naslova kreditov, zavarovanih z nepremičninami“ Priloge I k tej uredbi.</w:t>
      </w:r>
    </w:p>
    <w:p w:rsidR="00716EA9" w:rsidRPr="009158D0" w:rsidRDefault="00716EA9" w:rsidP="00E537F5">
      <w:pPr>
        <w:pStyle w:val="Titrearticle"/>
        <w:rPr>
          <w:noProof/>
          <w:szCs w:val="24"/>
        </w:rPr>
      </w:pPr>
      <w:r w:rsidRPr="009158D0">
        <w:rPr>
          <w:noProof/>
        </w:rPr>
        <w:t>Člen 14</w:t>
      </w:r>
    </w:p>
    <w:p w:rsidR="00716EA9" w:rsidRPr="009158D0" w:rsidRDefault="00716EA9" w:rsidP="00F22954">
      <w:pPr>
        <w:pStyle w:val="Titrearticle"/>
        <w:spacing w:before="0"/>
        <w:rPr>
          <w:b/>
          <w:bCs/>
          <w:i w:val="0"/>
          <w:iCs/>
          <w:noProof/>
          <w:szCs w:val="24"/>
        </w:rPr>
      </w:pPr>
      <w:r w:rsidRPr="009158D0">
        <w:rPr>
          <w:b/>
          <w:i w:val="0"/>
          <w:noProof/>
        </w:rPr>
        <w:t>Poročanje o velikih izpostavljenostih na posamični in konsolidirani podlagi</w:t>
      </w:r>
    </w:p>
    <w:p w:rsidR="00716EA9" w:rsidRPr="009158D0" w:rsidRDefault="00DE6B7D" w:rsidP="00716EA9">
      <w:pPr>
        <w:spacing w:after="0"/>
        <w:rPr>
          <w:noProof/>
          <w:color w:val="000000"/>
          <w:szCs w:val="24"/>
        </w:rPr>
      </w:pPr>
      <w:r w:rsidRPr="009158D0">
        <w:rPr>
          <w:noProof/>
          <w:color w:val="000000"/>
        </w:rPr>
        <w:t>Institucije, ki poročajo informacije iz člena 394 Uredbe (EU) št. 575/2013 na posamični in konsolidirani podlagi, te informacije, kot so določene v oddelku 5 „Poročanje o velikih izpostavljenostih in tveganju koncentracije“ Priloge I k tej uredbi, predložijo vsako četrtletje.</w:t>
      </w:r>
    </w:p>
    <w:p w:rsidR="00716EA9" w:rsidRPr="009158D0" w:rsidRDefault="00716EA9" w:rsidP="00E537F5">
      <w:pPr>
        <w:pStyle w:val="Titrearticle"/>
        <w:rPr>
          <w:noProof/>
          <w:szCs w:val="24"/>
        </w:rPr>
      </w:pPr>
      <w:r w:rsidRPr="009158D0">
        <w:rPr>
          <w:noProof/>
        </w:rPr>
        <w:t>Člen 15</w:t>
      </w:r>
    </w:p>
    <w:p w:rsidR="00716EA9" w:rsidRPr="009158D0" w:rsidRDefault="00716EA9" w:rsidP="00F22954">
      <w:pPr>
        <w:pStyle w:val="Titrearticle"/>
        <w:spacing w:before="0"/>
        <w:rPr>
          <w:b/>
          <w:bCs/>
          <w:i w:val="0"/>
          <w:iCs/>
          <w:noProof/>
          <w:szCs w:val="24"/>
        </w:rPr>
      </w:pPr>
      <w:r w:rsidRPr="009158D0">
        <w:rPr>
          <w:b/>
          <w:i w:val="0"/>
          <w:noProof/>
        </w:rPr>
        <w:t>Poročanje o količniku finančnega vzvoda na posamični in konsolidirani podlagi</w:t>
      </w:r>
    </w:p>
    <w:p w:rsidR="00675E5F" w:rsidRPr="009158D0" w:rsidRDefault="00447AA0" w:rsidP="00447AA0">
      <w:pPr>
        <w:pStyle w:val="ManualNumPar1"/>
        <w:rPr>
          <w:noProof/>
        </w:rPr>
      </w:pPr>
      <w:r w:rsidRPr="00447AA0">
        <w:rPr>
          <w:noProof/>
        </w:rPr>
        <w:t>1.</w:t>
      </w:r>
      <w:r w:rsidRPr="00447AA0">
        <w:rPr>
          <w:noProof/>
        </w:rPr>
        <w:tab/>
      </w:r>
      <w:r w:rsidR="004A4F90" w:rsidRPr="009158D0">
        <w:rPr>
          <w:noProof/>
        </w:rPr>
        <w:t>Institucije, ki poročajo o svojem količniku finančnega vzvoda iz člena 430(1), točka (a), Uredbe (EU) št. 575/2013 na posamični in konsolidirani podlagi, te informacije, kot so določene v oddelku 6 „Poročanje o količniku finančnega vzvoda“ Priloge I k tej uredbi, predložijo vsako četrtletje. Predlogo C 48.00 za informacije o nestanovitnosti količnika finančnega vzvoda predložijo samo velike institucije.</w:t>
      </w:r>
    </w:p>
    <w:p w:rsidR="00675E5F" w:rsidRPr="009158D0" w:rsidRDefault="00447AA0" w:rsidP="00447AA0">
      <w:pPr>
        <w:pStyle w:val="ManualNumPar1"/>
        <w:rPr>
          <w:noProof/>
        </w:rPr>
      </w:pPr>
      <w:r w:rsidRPr="00447AA0">
        <w:rPr>
          <w:noProof/>
        </w:rPr>
        <w:t>2.</w:t>
      </w:r>
      <w:r w:rsidRPr="00447AA0">
        <w:rPr>
          <w:noProof/>
        </w:rPr>
        <w:tab/>
      </w:r>
      <w:r w:rsidR="00675E5F" w:rsidRPr="009158D0">
        <w:rPr>
          <w:noProof/>
        </w:rPr>
        <w:t>Informacije o skupnih sredstvih, določene v celici {v0410;s0010} predloge C 40.00, poročajo samo:</w:t>
      </w:r>
    </w:p>
    <w:p w:rsidR="00675E5F" w:rsidRPr="009158D0" w:rsidRDefault="00447AA0" w:rsidP="00447AA0">
      <w:pPr>
        <w:pStyle w:val="Point1"/>
        <w:rPr>
          <w:noProof/>
        </w:rPr>
      </w:pPr>
      <w:r w:rsidRPr="00447AA0">
        <w:rPr>
          <w:noProof/>
        </w:rPr>
        <w:t>(a)</w:t>
      </w:r>
      <w:r w:rsidRPr="00447AA0">
        <w:rPr>
          <w:noProof/>
        </w:rPr>
        <w:tab/>
      </w:r>
      <w:r w:rsidR="00675E5F" w:rsidRPr="009158D0">
        <w:rPr>
          <w:noProof/>
        </w:rPr>
        <w:t>velike institucije, ki so GSPI ali so izdale vrednostne papirje, sprejete v trgovanje na reguliranem trgu, in sicer vsake pol leta;</w:t>
      </w:r>
    </w:p>
    <w:p w:rsidR="00675E5F" w:rsidRPr="009158D0" w:rsidRDefault="00447AA0" w:rsidP="00447AA0">
      <w:pPr>
        <w:pStyle w:val="Point1"/>
        <w:rPr>
          <w:noProof/>
        </w:rPr>
      </w:pPr>
      <w:r w:rsidRPr="00447AA0">
        <w:rPr>
          <w:noProof/>
        </w:rPr>
        <w:t>(b)</w:t>
      </w:r>
      <w:r w:rsidRPr="00447AA0">
        <w:rPr>
          <w:noProof/>
        </w:rPr>
        <w:tab/>
      </w:r>
      <w:r w:rsidR="00675E5F" w:rsidRPr="009158D0">
        <w:rPr>
          <w:noProof/>
        </w:rPr>
        <w:t>velike institucije, razen GSPI, ki ne kotirajo na borzi, in sicer enkrat letno;</w:t>
      </w:r>
    </w:p>
    <w:p w:rsidR="00675E5F" w:rsidRPr="009158D0" w:rsidRDefault="00447AA0" w:rsidP="00447AA0">
      <w:pPr>
        <w:pStyle w:val="Point1"/>
        <w:rPr>
          <w:noProof/>
        </w:rPr>
      </w:pPr>
      <w:r w:rsidRPr="00447AA0">
        <w:rPr>
          <w:noProof/>
        </w:rPr>
        <w:t>(c)</w:t>
      </w:r>
      <w:r w:rsidRPr="00447AA0">
        <w:rPr>
          <w:noProof/>
        </w:rPr>
        <w:tab/>
      </w:r>
      <w:r w:rsidR="00675E5F" w:rsidRPr="009158D0">
        <w:rPr>
          <w:noProof/>
        </w:rPr>
        <w:t>druge institucije, razen velikih institucij ter majhnih in nekompleksnih institucij, ki so izdale vrednostne papirje, sprejete v trgovanje na reguliranem trgu, in sicer enkrat letno.</w:t>
      </w:r>
    </w:p>
    <w:p w:rsidR="00675E5F" w:rsidRPr="009158D0" w:rsidRDefault="00447AA0" w:rsidP="00447AA0">
      <w:pPr>
        <w:pStyle w:val="ManualNumPar1"/>
        <w:rPr>
          <w:noProof/>
        </w:rPr>
      </w:pPr>
      <w:r w:rsidRPr="00447AA0">
        <w:rPr>
          <w:noProof/>
        </w:rPr>
        <w:t>3.</w:t>
      </w:r>
      <w:r w:rsidRPr="00447AA0">
        <w:rPr>
          <w:noProof/>
        </w:rPr>
        <w:tab/>
      </w:r>
      <w:r w:rsidR="00675E5F" w:rsidRPr="009158D0">
        <w:rPr>
          <w:noProof/>
        </w:rPr>
        <w:t>Institucije poročajo dodatne informacije o količniku finančnega vzvoda, kot so določene celicah {v0010;s0010}, {v0010;s0020}, {v0020;s0010}, {v0020;s0020}, {v0030;s0070}, {v0040;s0070}, {v0050;s0010}, {v0050;s0020}, {v0060;s0010}, {v0060;s0020} in {v0060;s0070} predloge C 40.00, če je izpolnjen vsaj eden od naslednjih pogojev:</w:t>
      </w:r>
    </w:p>
    <w:p w:rsidR="00675E5F" w:rsidRPr="009158D0" w:rsidRDefault="00447AA0" w:rsidP="00447AA0">
      <w:pPr>
        <w:pStyle w:val="Point1"/>
        <w:rPr>
          <w:noProof/>
        </w:rPr>
      </w:pPr>
      <w:r w:rsidRPr="00447AA0">
        <w:rPr>
          <w:noProof/>
        </w:rPr>
        <w:t>(a)</w:t>
      </w:r>
      <w:r w:rsidRPr="00447AA0">
        <w:rPr>
          <w:noProof/>
        </w:rPr>
        <w:tab/>
      </w:r>
      <w:r w:rsidR="00675E5F" w:rsidRPr="009158D0">
        <w:rPr>
          <w:noProof/>
        </w:rPr>
        <w:t>delež izvedenih finančnih instrumentov, določen kot mera izpostavljenosti v izvedenih finančnih instrumentih, deljena z mero skupne izpostavljenosti, znaša več kot 1,5 %;</w:t>
      </w:r>
    </w:p>
    <w:p w:rsidR="00675E5F" w:rsidRPr="009158D0" w:rsidRDefault="00447AA0" w:rsidP="00447AA0">
      <w:pPr>
        <w:pStyle w:val="Point1"/>
        <w:rPr>
          <w:noProof/>
        </w:rPr>
      </w:pPr>
      <w:r w:rsidRPr="00447AA0">
        <w:rPr>
          <w:noProof/>
        </w:rPr>
        <w:t>(b)</w:t>
      </w:r>
      <w:r w:rsidRPr="00447AA0">
        <w:rPr>
          <w:noProof/>
        </w:rPr>
        <w:tab/>
      </w:r>
      <w:r w:rsidR="00675E5F" w:rsidRPr="009158D0">
        <w:rPr>
          <w:noProof/>
        </w:rPr>
        <w:t>delež izvedenih finančnih instrumentov, določen kot mera izpostavljenosti v izvedenih finančnih instrumentih, deljena z mero skupne izpostavljenosti, je večji od 2 %.</w:t>
      </w:r>
    </w:p>
    <w:p w:rsidR="00675E5F" w:rsidRPr="009158D0" w:rsidRDefault="00797855" w:rsidP="001D2A25">
      <w:pPr>
        <w:pStyle w:val="Text1"/>
        <w:rPr>
          <w:noProof/>
        </w:rPr>
      </w:pPr>
      <w:r w:rsidRPr="009158D0">
        <w:rPr>
          <w:noProof/>
        </w:rPr>
        <w:t>Če institucija izpolnjuje samo pogoj iz točke (a) prvega pododstavka, se uporabljajo vstopna in izstopna merila iz člena 4(3) te uredbe. Institucija, ki izpolnjuje pogoja iz točke (a) in točke (b) prvega pododstavka, začne poročati informacije o količniku finančnega vzvoda za referenčni datum po referenčnem datumu poročanja, na katerega preseže prag.</w:t>
      </w:r>
    </w:p>
    <w:p w:rsidR="00675E5F" w:rsidRPr="009158D0" w:rsidRDefault="00447AA0" w:rsidP="00447AA0">
      <w:pPr>
        <w:pStyle w:val="ManualNumPar1"/>
        <w:rPr>
          <w:noProof/>
        </w:rPr>
      </w:pPr>
      <w:r w:rsidRPr="00447AA0">
        <w:rPr>
          <w:noProof/>
        </w:rPr>
        <w:t>4.</w:t>
      </w:r>
      <w:r w:rsidRPr="00447AA0">
        <w:rPr>
          <w:noProof/>
        </w:rPr>
        <w:tab/>
      </w:r>
      <w:r w:rsidR="00675E5F" w:rsidRPr="009158D0">
        <w:rPr>
          <w:noProof/>
        </w:rPr>
        <w:t>Institucije, za katere skupna hipotetična vrednost izvedenih finančnih instrumentov, kot je določena v celici {v0010;s0070} predloge C 40.00, presega 10 000 milijonov EUR, poročajo informacije iz celic {v0010;s0010}, {v0010;s0020}, {v0020;s0010}, {v0020;s0020}, {v0030;s0070}, {v0040;s0070}, {v0050;s0010}, {v0050;s0020}, {v0060;s0010}, {v0060;s0020} in {v0060;s0070} predloge 40.00, tudi če njihov delež izvedenih finančnih instrumentov ne izpolnjuje pogojev iz odstavka 3.</w:t>
      </w:r>
    </w:p>
    <w:p w:rsidR="00675E5F" w:rsidRPr="009158D0" w:rsidRDefault="00675E5F" w:rsidP="00C856B2">
      <w:pPr>
        <w:pStyle w:val="Text1"/>
        <w:rPr>
          <w:noProof/>
        </w:rPr>
      </w:pPr>
      <w:r w:rsidRPr="009158D0">
        <w:rPr>
          <w:noProof/>
        </w:rPr>
        <w:t>Vstopna merila iz člena 4(3) te uredbe se za namene prvega pododstavka ne uporabljajo. Institucije začnejo poročati informacije od naslednjega referenčnega datuma poročanja po tistem, ko so presegle prag na enega od referenčnih datumov poročanja.</w:t>
      </w:r>
    </w:p>
    <w:p w:rsidR="00675E5F" w:rsidRPr="009158D0" w:rsidRDefault="00447AA0" w:rsidP="00447AA0">
      <w:pPr>
        <w:pStyle w:val="ManualNumPar1"/>
        <w:rPr>
          <w:noProof/>
        </w:rPr>
      </w:pPr>
      <w:r w:rsidRPr="00447AA0">
        <w:rPr>
          <w:noProof/>
        </w:rPr>
        <w:t>5.</w:t>
      </w:r>
      <w:r w:rsidRPr="00447AA0">
        <w:rPr>
          <w:noProof/>
        </w:rPr>
        <w:tab/>
      </w:r>
      <w:r w:rsidR="00675E5F" w:rsidRPr="009158D0">
        <w:rPr>
          <w:noProof/>
        </w:rPr>
        <w:t>Institucije poročajo informacije iz celic {v0020;s0075}, {v0050;s0075} in {v0050;s0085} predloge C 40.00, če je izpolnjen eden od naslednjih pogojev:</w:t>
      </w:r>
    </w:p>
    <w:p w:rsidR="00675E5F" w:rsidRPr="009158D0" w:rsidRDefault="00447AA0" w:rsidP="00447AA0">
      <w:pPr>
        <w:pStyle w:val="Point1"/>
        <w:rPr>
          <w:noProof/>
        </w:rPr>
      </w:pPr>
      <w:r w:rsidRPr="00447AA0">
        <w:rPr>
          <w:noProof/>
        </w:rPr>
        <w:t>(a)</w:t>
      </w:r>
      <w:r w:rsidRPr="00447AA0">
        <w:rPr>
          <w:noProof/>
        </w:rPr>
        <w:tab/>
      </w:r>
      <w:r w:rsidR="00675E5F" w:rsidRPr="009158D0">
        <w:rPr>
          <w:noProof/>
        </w:rPr>
        <w:t>obseg kreditnih izvedenih finančnih instrumentov, ki je v predlogi C 40.00 določen kot {v0020;s0070} + {v0050;s0070}, je večji od 300 milijonov EUR;</w:t>
      </w:r>
    </w:p>
    <w:p w:rsidR="00675E5F" w:rsidRPr="009158D0" w:rsidRDefault="00447AA0" w:rsidP="00447AA0">
      <w:pPr>
        <w:pStyle w:val="Point1"/>
        <w:rPr>
          <w:noProof/>
        </w:rPr>
      </w:pPr>
      <w:r w:rsidRPr="00447AA0">
        <w:rPr>
          <w:noProof/>
        </w:rPr>
        <w:t>(a)</w:t>
      </w:r>
      <w:r w:rsidRPr="00447AA0">
        <w:rPr>
          <w:noProof/>
        </w:rPr>
        <w:tab/>
      </w:r>
      <w:r w:rsidR="00675E5F" w:rsidRPr="009158D0">
        <w:rPr>
          <w:noProof/>
        </w:rPr>
        <w:t>obseg kreditnih izvedenih finančnih instrumentov, ki je v predlogi C 40.00 določen kot {v0020;s0070} + {v0050;s0070}, je večji od 500 milijonov EUR.</w:t>
      </w:r>
    </w:p>
    <w:p w:rsidR="00716EA9" w:rsidRPr="009158D0" w:rsidRDefault="00745A2E" w:rsidP="001D2A25">
      <w:pPr>
        <w:pStyle w:val="Text1"/>
        <w:rPr>
          <w:noProof/>
        </w:rPr>
      </w:pPr>
      <w:r w:rsidRPr="009158D0">
        <w:rPr>
          <w:noProof/>
        </w:rPr>
        <w:t>Če institucija izpolnjuje samo pogoj iz točke (a) prvega pododstavka, se uporabljajo vstopna in izstopna merila iz člena 4(3) te uredbe. Institucija, ki izpolnjuje pogoje iz točke (a) in točke (b) prvega pododstavka, začne poročati te informacije za referenčni datum po referenčnem datumu poročanja, na katerega preseže prag.</w:t>
      </w:r>
    </w:p>
    <w:p w:rsidR="00716EA9" w:rsidRPr="009158D0" w:rsidRDefault="00716EA9" w:rsidP="00E537F5">
      <w:pPr>
        <w:pStyle w:val="Titrearticle"/>
        <w:rPr>
          <w:noProof/>
          <w:szCs w:val="24"/>
        </w:rPr>
      </w:pPr>
      <w:r w:rsidRPr="009158D0">
        <w:rPr>
          <w:noProof/>
        </w:rPr>
        <w:t>Člen 16</w:t>
      </w:r>
    </w:p>
    <w:p w:rsidR="00716EA9" w:rsidRPr="009158D0" w:rsidRDefault="00716EA9" w:rsidP="00F22954">
      <w:pPr>
        <w:pStyle w:val="Titrearticle"/>
        <w:spacing w:before="0"/>
        <w:rPr>
          <w:b/>
          <w:bCs/>
          <w:i w:val="0"/>
          <w:iCs/>
          <w:noProof/>
          <w:szCs w:val="24"/>
        </w:rPr>
      </w:pPr>
      <w:r w:rsidRPr="009158D0">
        <w:rPr>
          <w:b/>
          <w:i w:val="0"/>
          <w:noProof/>
        </w:rPr>
        <w:t>Poročanje o likvidnostnem kritju na posamični in konsolidirani podlagi</w:t>
      </w:r>
    </w:p>
    <w:p w:rsidR="00716EA9" w:rsidRPr="009158D0" w:rsidRDefault="00447AA0" w:rsidP="00447AA0">
      <w:pPr>
        <w:pStyle w:val="ManualNumPar1"/>
        <w:rPr>
          <w:noProof/>
        </w:rPr>
      </w:pPr>
      <w:r w:rsidRPr="00447AA0">
        <w:rPr>
          <w:noProof/>
        </w:rPr>
        <w:t>1.</w:t>
      </w:r>
      <w:r w:rsidRPr="00447AA0">
        <w:rPr>
          <w:noProof/>
        </w:rPr>
        <w:tab/>
      </w:r>
      <w:r w:rsidR="000056CB" w:rsidRPr="009158D0">
        <w:rPr>
          <w:noProof/>
        </w:rPr>
        <w:t>Institucije, ki poročajo o likvidnostnem kritju iz člena 412 Uredbe (EU) št. 575/2013, kot se zahteva v členu 430(1), točka (d), navedene uredbe, na posamični in konsolidirani podlagi, te informacije, kot so določene v oddelku 10 „Poročanje o likvidnosti“ Priloge I k tej uredbi, predložijo vsak mesec.</w:t>
      </w:r>
    </w:p>
    <w:p w:rsidR="00716EA9" w:rsidRPr="009158D0" w:rsidRDefault="00447AA0" w:rsidP="00447AA0">
      <w:pPr>
        <w:pStyle w:val="ManualNumPar1"/>
        <w:rPr>
          <w:noProof/>
        </w:rPr>
      </w:pPr>
      <w:r w:rsidRPr="00447AA0">
        <w:rPr>
          <w:noProof/>
        </w:rPr>
        <w:t>2.</w:t>
      </w:r>
      <w:r w:rsidRPr="00447AA0">
        <w:rPr>
          <w:noProof/>
        </w:rPr>
        <w:tab/>
      </w:r>
      <w:r w:rsidR="00716EA9" w:rsidRPr="009158D0">
        <w:rPr>
          <w:noProof/>
        </w:rPr>
        <w:t>Za namene poročanja informacij iz oddelka 10 „Poročanje o likvidnostnem kritju“ Priloge I k tej uredbi institucije upoštevajo informacije, predložene za referenčni datum, in informacije o denarnih tokovih v 30 koledarskih dneh po referenčnem datumu.</w:t>
      </w:r>
    </w:p>
    <w:p w:rsidR="00716EA9" w:rsidRPr="009158D0" w:rsidRDefault="00716EA9" w:rsidP="00E537F5">
      <w:pPr>
        <w:pStyle w:val="Titrearticle"/>
        <w:rPr>
          <w:noProof/>
          <w:szCs w:val="24"/>
        </w:rPr>
      </w:pPr>
      <w:r w:rsidRPr="009158D0">
        <w:rPr>
          <w:noProof/>
        </w:rPr>
        <w:t>Člen 17</w:t>
      </w:r>
    </w:p>
    <w:p w:rsidR="00716EA9" w:rsidRPr="009158D0" w:rsidRDefault="00716EA9" w:rsidP="00F22954">
      <w:pPr>
        <w:pStyle w:val="Titrearticle"/>
        <w:spacing w:before="0"/>
        <w:rPr>
          <w:b/>
          <w:bCs/>
          <w:i w:val="0"/>
          <w:iCs/>
          <w:noProof/>
          <w:szCs w:val="24"/>
        </w:rPr>
      </w:pPr>
      <w:r w:rsidRPr="009158D0">
        <w:rPr>
          <w:b/>
          <w:i w:val="0"/>
          <w:noProof/>
        </w:rPr>
        <w:t>Poročanje o stabilnem financiranju na posamični in konsolidirani podlagi</w:t>
      </w:r>
    </w:p>
    <w:p w:rsidR="00716EA9" w:rsidRPr="009158D0" w:rsidRDefault="00D62A44" w:rsidP="00BA7013">
      <w:pPr>
        <w:rPr>
          <w:noProof/>
          <w:color w:val="000000"/>
          <w:szCs w:val="24"/>
        </w:rPr>
      </w:pPr>
      <w:r w:rsidRPr="009158D0">
        <w:rPr>
          <w:noProof/>
        </w:rPr>
        <w:t>Institucije, ki poročajo o zahtevi po stabilnem financiranju iz člena 413 Uredbe (EU) št. 575/2013, kot se zahteva v členu 430(1), točka (d), navedene uredbe, na posamični in konsolidirani podlagi, te informacije, kot so določene v oddelku 7 „Poročanje o stabilnem financiranju“ Priloge I k tej uredbi, predložijo vsako četrtletje, kot sledi:</w:t>
      </w:r>
    </w:p>
    <w:p w:rsidR="00C26E6A" w:rsidRPr="009158D0" w:rsidRDefault="00447AA0" w:rsidP="00447AA0">
      <w:pPr>
        <w:pStyle w:val="Point0"/>
        <w:rPr>
          <w:noProof/>
        </w:rPr>
      </w:pPr>
      <w:r w:rsidRPr="00447AA0">
        <w:rPr>
          <w:noProof/>
        </w:rPr>
        <w:t>(a)</w:t>
      </w:r>
      <w:r w:rsidRPr="00447AA0">
        <w:rPr>
          <w:noProof/>
        </w:rPr>
        <w:tab/>
      </w:r>
      <w:r w:rsidR="00C26E6A" w:rsidRPr="009158D0">
        <w:rPr>
          <w:noProof/>
        </w:rPr>
        <w:t>majhne in nekompleksne institucije, ki so se s predhodnim dovoljenjem svojega pristojnega organa v skladu s členom 428ai Uredbe (EU) št. 575/2013 odločile za izračun količnika neto stabilnega financiranja (NSFR) z uporabo metodologije iz dela 6, naslov IV, poglavji 6 in 7, navedene uredbe, predložijo predlogi C 82 in C 83;</w:t>
      </w:r>
    </w:p>
    <w:p w:rsidR="00C26E6A" w:rsidRPr="009158D0" w:rsidRDefault="00447AA0" w:rsidP="00447AA0">
      <w:pPr>
        <w:pStyle w:val="Point0"/>
        <w:rPr>
          <w:noProof/>
        </w:rPr>
      </w:pPr>
      <w:r w:rsidRPr="00447AA0">
        <w:rPr>
          <w:noProof/>
        </w:rPr>
        <w:t>(b)</w:t>
      </w:r>
      <w:r w:rsidRPr="00447AA0">
        <w:rPr>
          <w:noProof/>
        </w:rPr>
        <w:tab/>
      </w:r>
      <w:r w:rsidR="00C26E6A" w:rsidRPr="009158D0">
        <w:rPr>
          <w:noProof/>
        </w:rPr>
        <w:t>institucije, razen tistih iz točke (a), predložijo predlogi C 80 in C 81;</w:t>
      </w:r>
    </w:p>
    <w:p w:rsidR="00C26E6A" w:rsidRPr="009158D0" w:rsidRDefault="00447AA0" w:rsidP="00447AA0">
      <w:pPr>
        <w:pStyle w:val="Point0"/>
        <w:rPr>
          <w:noProof/>
        </w:rPr>
      </w:pPr>
      <w:r w:rsidRPr="00447AA0">
        <w:rPr>
          <w:noProof/>
        </w:rPr>
        <w:t>(c)</w:t>
      </w:r>
      <w:r w:rsidRPr="00447AA0">
        <w:rPr>
          <w:noProof/>
        </w:rPr>
        <w:tab/>
      </w:r>
      <w:r w:rsidR="00C26E6A" w:rsidRPr="009158D0">
        <w:rPr>
          <w:noProof/>
        </w:rPr>
        <w:t>vse institucije predložijo predlogo C 84.</w:t>
      </w:r>
    </w:p>
    <w:p w:rsidR="00716EA9" w:rsidRPr="009158D0" w:rsidRDefault="00716EA9" w:rsidP="00E537F5">
      <w:pPr>
        <w:pStyle w:val="Titrearticle"/>
        <w:rPr>
          <w:noProof/>
          <w:szCs w:val="24"/>
        </w:rPr>
      </w:pPr>
      <w:r w:rsidRPr="009158D0">
        <w:rPr>
          <w:noProof/>
        </w:rPr>
        <w:t>Člen 18</w:t>
      </w:r>
    </w:p>
    <w:p w:rsidR="00716EA9" w:rsidRPr="009158D0" w:rsidRDefault="00716EA9" w:rsidP="00F22954">
      <w:pPr>
        <w:pStyle w:val="Titrearticle"/>
        <w:spacing w:before="0"/>
        <w:rPr>
          <w:b/>
          <w:bCs/>
          <w:i w:val="0"/>
          <w:iCs/>
          <w:noProof/>
          <w:szCs w:val="24"/>
        </w:rPr>
      </w:pPr>
      <w:r w:rsidRPr="009158D0">
        <w:rPr>
          <w:b/>
          <w:i w:val="0"/>
          <w:noProof/>
        </w:rPr>
        <w:t>Poročanje o dodatnih metrikah za spremljanje likvidnosti na posamični in konsolidirani podlagi</w:t>
      </w:r>
    </w:p>
    <w:p w:rsidR="00716EA9" w:rsidRPr="009158D0" w:rsidRDefault="00D538F2" w:rsidP="007643C7">
      <w:pPr>
        <w:tabs>
          <w:tab w:val="left" w:pos="567"/>
        </w:tabs>
        <w:spacing w:before="100" w:beforeAutospacing="1" w:after="100" w:afterAutospacing="1"/>
        <w:rPr>
          <w:noProof/>
          <w:color w:val="000000"/>
          <w:szCs w:val="24"/>
        </w:rPr>
      </w:pPr>
      <w:r w:rsidRPr="009158D0">
        <w:rPr>
          <w:noProof/>
        </w:rPr>
        <w:t>Institucije, ki poročajo informacije o dodatnih metrikah za spremljanje likvidnosti iz člena 415(3), točka (b), Uredbe (EU) št. 575/2013, kot se zahteva v členu 430(1), točka (d), navedene uredbe, na posamični in konsolidirani podlagi, te informacije, kot so določene v oddelku 9 „Poročanje o dodatnih metrikah za spremljanje likvidnosti“ Priloge I k tej uredbi, predložijo z naslednjo pogostostjo:</w:t>
      </w:r>
    </w:p>
    <w:p w:rsidR="00F5752D" w:rsidRPr="009158D0" w:rsidRDefault="00447AA0" w:rsidP="00447AA0">
      <w:pPr>
        <w:pStyle w:val="Point0"/>
        <w:rPr>
          <w:noProof/>
        </w:rPr>
      </w:pPr>
      <w:r w:rsidRPr="00447AA0">
        <w:rPr>
          <w:noProof/>
        </w:rPr>
        <w:t>(a)</w:t>
      </w:r>
      <w:r w:rsidRPr="00447AA0">
        <w:rPr>
          <w:noProof/>
        </w:rPr>
        <w:tab/>
      </w:r>
      <w:r w:rsidR="00F5752D" w:rsidRPr="009158D0">
        <w:rPr>
          <w:noProof/>
        </w:rPr>
        <w:t>velike institucije predložijo informacije, določene v predlogah C 66.01 in C 67.00 do C 71.00 oddelka 9 Priloge I k tej uredbi, vsak mesec;</w:t>
      </w:r>
    </w:p>
    <w:p w:rsidR="00F5752D" w:rsidRPr="009158D0" w:rsidRDefault="00447AA0" w:rsidP="00447AA0">
      <w:pPr>
        <w:pStyle w:val="Point0"/>
        <w:rPr>
          <w:noProof/>
        </w:rPr>
      </w:pPr>
      <w:r w:rsidRPr="00447AA0">
        <w:rPr>
          <w:noProof/>
        </w:rPr>
        <w:t>(b)</w:t>
      </w:r>
      <w:r w:rsidRPr="00447AA0">
        <w:rPr>
          <w:noProof/>
        </w:rPr>
        <w:tab/>
      </w:r>
      <w:r w:rsidR="00F5752D" w:rsidRPr="009158D0">
        <w:rPr>
          <w:noProof/>
        </w:rPr>
        <w:t>majhne in nekompleksne institucije predložijo informacije, določene v predlogah C 66.0, C 67.00 in C 71.00 oddelka 9 Priloge I k tej uredbi, vsako četrtletje;</w:t>
      </w:r>
    </w:p>
    <w:p w:rsidR="00F5752D" w:rsidRPr="009158D0" w:rsidRDefault="00447AA0" w:rsidP="00447AA0">
      <w:pPr>
        <w:pStyle w:val="Point0"/>
        <w:rPr>
          <w:noProof/>
        </w:rPr>
      </w:pPr>
      <w:r w:rsidRPr="00447AA0">
        <w:rPr>
          <w:noProof/>
        </w:rPr>
        <w:t>(c)</w:t>
      </w:r>
      <w:r w:rsidRPr="00447AA0">
        <w:rPr>
          <w:noProof/>
        </w:rPr>
        <w:tab/>
      </w:r>
      <w:r w:rsidR="00F5752D" w:rsidRPr="009158D0">
        <w:rPr>
          <w:noProof/>
        </w:rPr>
        <w:t>institucije, ki niso niti velike niti majhne in nekompleksne institucije, predložijo informacije, določene v predlogah C 66.01 do C 69.00 in C 71.00 oddelka 9 Priloge I k tej uredbi, vsak mesec.</w:t>
      </w:r>
    </w:p>
    <w:p w:rsidR="00716EA9" w:rsidRPr="009158D0" w:rsidRDefault="00716EA9" w:rsidP="00E537F5">
      <w:pPr>
        <w:pStyle w:val="Titrearticle"/>
        <w:rPr>
          <w:noProof/>
          <w:szCs w:val="24"/>
        </w:rPr>
      </w:pPr>
      <w:r w:rsidRPr="009158D0">
        <w:rPr>
          <w:noProof/>
        </w:rPr>
        <w:t>Člen 19</w:t>
      </w:r>
    </w:p>
    <w:p w:rsidR="00716EA9" w:rsidRPr="009158D0" w:rsidRDefault="00716EA9" w:rsidP="00F22954">
      <w:pPr>
        <w:pStyle w:val="Titrearticle"/>
        <w:spacing w:before="0"/>
        <w:rPr>
          <w:b/>
          <w:bCs/>
          <w:i w:val="0"/>
          <w:iCs/>
          <w:noProof/>
          <w:szCs w:val="24"/>
        </w:rPr>
      </w:pPr>
      <w:r w:rsidRPr="009158D0">
        <w:rPr>
          <w:b/>
          <w:i w:val="0"/>
          <w:noProof/>
        </w:rPr>
        <w:t>Poročanje o obremenitvi sredstev na posamični in konsolidirani podlagi</w:t>
      </w:r>
    </w:p>
    <w:p w:rsidR="001D2A25" w:rsidRPr="009158D0" w:rsidRDefault="00447AA0" w:rsidP="00447AA0">
      <w:pPr>
        <w:pStyle w:val="ManualNumPar1"/>
        <w:rPr>
          <w:noProof/>
        </w:rPr>
      </w:pPr>
      <w:r w:rsidRPr="00447AA0">
        <w:rPr>
          <w:noProof/>
        </w:rPr>
        <w:t>1.</w:t>
      </w:r>
      <w:r w:rsidRPr="00447AA0">
        <w:rPr>
          <w:noProof/>
        </w:rPr>
        <w:tab/>
      </w:r>
      <w:r w:rsidR="00716EA9" w:rsidRPr="009158D0">
        <w:rPr>
          <w:noProof/>
        </w:rPr>
        <w:t>Institucije, ki poročajo o ravni obremenitve sredstev iz člena 430(1), točka (g), Uredbe (EU) št. 575/2013 na posamični in konsolidirani podlagi, te informacije, kot so določene v oddelku 8 „Poročanje o obremenitvi sredstev“ Priloge I k tej uredbi, predložijo z naslednjo pogostostjo:</w:t>
      </w:r>
    </w:p>
    <w:p w:rsidR="00F5752D" w:rsidRPr="009158D0" w:rsidRDefault="00447AA0" w:rsidP="00447AA0">
      <w:pPr>
        <w:pStyle w:val="Point1"/>
        <w:rPr>
          <w:noProof/>
        </w:rPr>
      </w:pPr>
      <w:r w:rsidRPr="00447AA0">
        <w:rPr>
          <w:noProof/>
        </w:rPr>
        <w:t>(a)</w:t>
      </w:r>
      <w:r w:rsidRPr="00447AA0">
        <w:rPr>
          <w:noProof/>
        </w:rPr>
        <w:tab/>
      </w:r>
      <w:r w:rsidR="00F5752D" w:rsidRPr="009158D0">
        <w:rPr>
          <w:noProof/>
        </w:rPr>
        <w:t>vsako četrtletje informacije, določene v predlogah F 32.01 do F 33.00 in F 35.00 oddelka 8 Priloge I k tej uredbi;</w:t>
      </w:r>
    </w:p>
    <w:p w:rsidR="00F5752D" w:rsidRPr="009158D0" w:rsidRDefault="00447AA0" w:rsidP="00447AA0">
      <w:pPr>
        <w:pStyle w:val="Point1"/>
        <w:rPr>
          <w:noProof/>
        </w:rPr>
      </w:pPr>
      <w:r w:rsidRPr="00447AA0">
        <w:rPr>
          <w:noProof/>
        </w:rPr>
        <w:t>(b)</w:t>
      </w:r>
      <w:r w:rsidRPr="00447AA0">
        <w:rPr>
          <w:noProof/>
        </w:rPr>
        <w:tab/>
      </w:r>
      <w:r w:rsidR="00F5752D" w:rsidRPr="009158D0">
        <w:rPr>
          <w:noProof/>
        </w:rPr>
        <w:t>vsako leto informacije, določene v predlogi F 34.00 oddelka 8 Priloge I k tej uredbi;</w:t>
      </w:r>
    </w:p>
    <w:p w:rsidR="00F5752D" w:rsidRPr="009158D0" w:rsidRDefault="00447AA0" w:rsidP="00447AA0">
      <w:pPr>
        <w:pStyle w:val="Point1"/>
        <w:rPr>
          <w:noProof/>
        </w:rPr>
      </w:pPr>
      <w:r w:rsidRPr="00447AA0">
        <w:rPr>
          <w:noProof/>
        </w:rPr>
        <w:t>(c)</w:t>
      </w:r>
      <w:r w:rsidRPr="00447AA0">
        <w:rPr>
          <w:noProof/>
        </w:rPr>
        <w:tab/>
      </w:r>
      <w:r w:rsidR="00F5752D" w:rsidRPr="009158D0">
        <w:rPr>
          <w:noProof/>
        </w:rPr>
        <w:t>vsake pol leta informacije, določene v predlogah F 36.01 in F 36.02 oddelka 8 Priloge I k tej uredbi.</w:t>
      </w:r>
    </w:p>
    <w:p w:rsidR="0083639F" w:rsidRPr="009158D0" w:rsidRDefault="00447AA0" w:rsidP="00447AA0">
      <w:pPr>
        <w:pStyle w:val="ManualNumPar1"/>
        <w:rPr>
          <w:noProof/>
        </w:rPr>
      </w:pPr>
      <w:r w:rsidRPr="00447AA0">
        <w:rPr>
          <w:noProof/>
        </w:rPr>
        <w:t>2.</w:t>
      </w:r>
      <w:r w:rsidRPr="00447AA0">
        <w:rPr>
          <w:noProof/>
        </w:rPr>
        <w:tab/>
      </w:r>
      <w:r w:rsidR="00745A2E" w:rsidRPr="009158D0">
        <w:rPr>
          <w:noProof/>
        </w:rPr>
        <w:t>Institucije predložijo naslednje informacije iz odstavka 1:</w:t>
      </w:r>
    </w:p>
    <w:p w:rsidR="0083639F" w:rsidRPr="009158D0" w:rsidRDefault="00447AA0" w:rsidP="00447AA0">
      <w:pPr>
        <w:pStyle w:val="Point1"/>
        <w:rPr>
          <w:noProof/>
        </w:rPr>
      </w:pPr>
      <w:r w:rsidRPr="00447AA0">
        <w:rPr>
          <w:noProof/>
        </w:rPr>
        <w:t>(a)</w:t>
      </w:r>
      <w:r w:rsidRPr="00447AA0">
        <w:rPr>
          <w:noProof/>
        </w:rPr>
        <w:tab/>
      </w:r>
      <w:r w:rsidR="0083639F" w:rsidRPr="009158D0">
        <w:rPr>
          <w:noProof/>
        </w:rPr>
        <w:t>institucije predložijo informacije, določene v delu A oddelka 8 „Poročanje o obremenitvi sredstev“;</w:t>
      </w:r>
    </w:p>
    <w:p w:rsidR="0083639F" w:rsidRPr="009158D0" w:rsidRDefault="00447AA0" w:rsidP="00447AA0">
      <w:pPr>
        <w:pStyle w:val="Point1"/>
        <w:rPr>
          <w:noProof/>
        </w:rPr>
      </w:pPr>
      <w:r w:rsidRPr="00447AA0">
        <w:rPr>
          <w:noProof/>
        </w:rPr>
        <w:t>(b)</w:t>
      </w:r>
      <w:r w:rsidRPr="00447AA0">
        <w:rPr>
          <w:noProof/>
        </w:rPr>
        <w:tab/>
      </w:r>
      <w:r w:rsidR="0083639F" w:rsidRPr="009158D0">
        <w:rPr>
          <w:noProof/>
        </w:rPr>
        <w:t>velike institucije predložijo informacije, določene v delih B, C in E oddelka 8 „Poročanje o obremenitvi sredstev“;</w:t>
      </w:r>
    </w:p>
    <w:p w:rsidR="0083639F" w:rsidRPr="009158D0" w:rsidRDefault="00447AA0" w:rsidP="00447AA0">
      <w:pPr>
        <w:pStyle w:val="Point1"/>
        <w:rPr>
          <w:noProof/>
        </w:rPr>
      </w:pPr>
      <w:r w:rsidRPr="00447AA0">
        <w:rPr>
          <w:noProof/>
        </w:rPr>
        <w:t>(c)</w:t>
      </w:r>
      <w:r w:rsidRPr="00447AA0">
        <w:rPr>
          <w:noProof/>
        </w:rPr>
        <w:tab/>
      </w:r>
      <w:r w:rsidR="0083639F" w:rsidRPr="009158D0">
        <w:rPr>
          <w:noProof/>
        </w:rPr>
        <w:t>institucije, ki niso niti velike institucije niti majhne in nekompleksne institucije, predložijo informacije, določene v delih B, C in E oddelka 8 „Poročanje o obremenitvi sredstev“, če je raven obremenitve sredstev institucije, določena kot razmerje (knjigovodska vrednost obremenjenih sredstev in zavarovanja s premoženjem)/(skupna sredstva in zavarovanje s premoženjem), enaka ali višja od 15 %;</w:t>
      </w:r>
    </w:p>
    <w:p w:rsidR="0083639F" w:rsidRPr="009158D0" w:rsidRDefault="00447AA0" w:rsidP="00447AA0">
      <w:pPr>
        <w:pStyle w:val="Point1"/>
        <w:rPr>
          <w:noProof/>
        </w:rPr>
      </w:pPr>
      <w:r w:rsidRPr="00447AA0">
        <w:rPr>
          <w:noProof/>
        </w:rPr>
        <w:t>(d)</w:t>
      </w:r>
      <w:r w:rsidRPr="00447AA0">
        <w:rPr>
          <w:noProof/>
        </w:rPr>
        <w:tab/>
      </w:r>
      <w:r w:rsidR="0083639F" w:rsidRPr="009158D0">
        <w:rPr>
          <w:noProof/>
        </w:rPr>
        <w:t>institucije poročajo informacije, določene v delu  D oddelka 8 „Poročanje o obremenitvi sredstev“, samo, kadar izdajajo obveznice iz člena 52(4), prvi pododstavek, Direktive 2009/65/ES Evropskega parlamenta in Sveta</w:t>
      </w:r>
      <w:r w:rsidR="0083639F" w:rsidRPr="009158D0">
        <w:rPr>
          <w:rStyle w:val="FootnoteReference"/>
          <w:noProof/>
          <w:szCs w:val="24"/>
        </w:rPr>
        <w:footnoteReference w:id="10"/>
      </w:r>
      <w:r w:rsidR="0083639F" w:rsidRPr="009158D0">
        <w:rPr>
          <w:noProof/>
        </w:rPr>
        <w:t>.</w:t>
      </w:r>
    </w:p>
    <w:p w:rsidR="00716EA9" w:rsidRPr="009158D0" w:rsidRDefault="00716EA9" w:rsidP="00E537F5">
      <w:pPr>
        <w:pStyle w:val="Titrearticle"/>
        <w:rPr>
          <w:noProof/>
          <w:szCs w:val="24"/>
        </w:rPr>
      </w:pPr>
      <w:r w:rsidRPr="009158D0">
        <w:rPr>
          <w:noProof/>
        </w:rPr>
        <w:t>Člen 20</w:t>
      </w:r>
    </w:p>
    <w:p w:rsidR="00716EA9" w:rsidRPr="009158D0" w:rsidRDefault="00716EA9" w:rsidP="0066303A">
      <w:pPr>
        <w:pStyle w:val="Titrearticle"/>
        <w:spacing w:before="0"/>
        <w:rPr>
          <w:b/>
          <w:bCs/>
          <w:i w:val="0"/>
          <w:iCs/>
          <w:noProof/>
          <w:szCs w:val="24"/>
        </w:rPr>
      </w:pPr>
      <w:r w:rsidRPr="009158D0">
        <w:rPr>
          <w:b/>
          <w:i w:val="0"/>
          <w:noProof/>
        </w:rPr>
        <w:t>Dodatno poročanje za namene določitve GSPI in dodelitve stopenj blažilnika za GSPI</w:t>
      </w:r>
    </w:p>
    <w:p w:rsidR="00716EA9" w:rsidRPr="009158D0" w:rsidRDefault="00447AA0" w:rsidP="00447AA0">
      <w:pPr>
        <w:pStyle w:val="ManualNumPar1"/>
        <w:rPr>
          <w:noProof/>
        </w:rPr>
      </w:pPr>
      <w:r w:rsidRPr="00447AA0">
        <w:rPr>
          <w:noProof/>
        </w:rPr>
        <w:t>1.</w:t>
      </w:r>
      <w:r w:rsidRPr="00447AA0">
        <w:rPr>
          <w:noProof/>
        </w:rPr>
        <w:tab/>
      </w:r>
      <w:r w:rsidR="00716EA9" w:rsidRPr="009158D0">
        <w:rPr>
          <w:noProof/>
        </w:rPr>
        <w:t>EU nadrejene institucije, EU nadrejeni finančni holdingi in EU nadrejeni mešani finančni holdingi pri poročanju dodatnih informacij za določitev GSPI in dodelitev stopenj blažilnika za GSPI v skladu s členom 131 Direktive 2013/36/EU vsako četrtletje na konsolidirani podlagi predložijo informacije, določene v oddelku 11 „Dodatno poročanje za namene določitve GSPI in dodelitve stopenj blažilnika za GSPI“ Priloge I k tej uredbi, če sta izpolnjena oba naslednja pogoja:</w:t>
      </w:r>
    </w:p>
    <w:p w:rsidR="00AB5213" w:rsidRPr="009158D0" w:rsidRDefault="00447AA0" w:rsidP="00447AA0">
      <w:pPr>
        <w:pStyle w:val="Point1"/>
        <w:rPr>
          <w:noProof/>
        </w:rPr>
      </w:pPr>
      <w:r w:rsidRPr="00447AA0">
        <w:rPr>
          <w:noProof/>
        </w:rPr>
        <w:t>(a)</w:t>
      </w:r>
      <w:r w:rsidRPr="00447AA0">
        <w:rPr>
          <w:noProof/>
        </w:rPr>
        <w:tab/>
      </w:r>
      <w:r w:rsidR="00AB5213" w:rsidRPr="009158D0">
        <w:rPr>
          <w:noProof/>
        </w:rPr>
        <w:t>mera skupne izpostavljenosti skupine, vključno z zavarovalniškimi podrejenimi družbami, je enaka ali večja od 125 000 000 000 EUR;</w:t>
      </w:r>
    </w:p>
    <w:p w:rsidR="00AB5213" w:rsidRPr="009158D0" w:rsidRDefault="00447AA0" w:rsidP="00447AA0">
      <w:pPr>
        <w:pStyle w:val="Point1"/>
        <w:rPr>
          <w:noProof/>
        </w:rPr>
      </w:pPr>
      <w:r w:rsidRPr="00447AA0">
        <w:rPr>
          <w:noProof/>
        </w:rPr>
        <w:t>(b)</w:t>
      </w:r>
      <w:r w:rsidRPr="00447AA0">
        <w:rPr>
          <w:noProof/>
        </w:rPr>
        <w:tab/>
      </w:r>
      <w:r w:rsidR="00AB5213" w:rsidRPr="009158D0">
        <w:rPr>
          <w:noProof/>
        </w:rPr>
        <w:t>EU nadrejena institucija, katera koli od njenih podrejenih družb ali katera koli podružnica, ki jo upravlja nadrejena institucija ali podrejena družba, se nahaja v sodelujoči državi članici iz člena 4 Uredbe (EU) št. 806/2014 Evropskega parlamenta in Sveta</w:t>
      </w:r>
      <w:r w:rsidR="00AB5213" w:rsidRPr="00FA6A20">
        <w:rPr>
          <w:rStyle w:val="FootnoteReference"/>
          <w:noProof/>
          <w:lang w:eastAsia="fr-BE"/>
        </w:rPr>
        <w:footnoteReference w:id="11"/>
      </w:r>
      <w:r w:rsidR="00AB5213" w:rsidRPr="009158D0">
        <w:rPr>
          <w:noProof/>
        </w:rPr>
        <w:t>.</w:t>
      </w:r>
    </w:p>
    <w:p w:rsidR="00716EA9" w:rsidRPr="009158D0" w:rsidRDefault="00447AA0" w:rsidP="00447AA0">
      <w:pPr>
        <w:pStyle w:val="ManualNumPar1"/>
        <w:rPr>
          <w:noProof/>
        </w:rPr>
      </w:pPr>
      <w:r w:rsidRPr="00447AA0">
        <w:rPr>
          <w:noProof/>
        </w:rPr>
        <w:t>2.</w:t>
      </w:r>
      <w:r w:rsidRPr="00447AA0">
        <w:rPr>
          <w:noProof/>
        </w:rPr>
        <w:tab/>
      </w:r>
      <w:r w:rsidR="00557F8A" w:rsidRPr="009158D0">
        <w:rPr>
          <w:noProof/>
        </w:rPr>
        <w:t>Institucije pri poročanju dodatnih informacij za določitev GSPI in dodelitev stopenj blažilnika za GSPI v skladu s členom 131 Direktive 2013/36/EU vsako četrtletje na posamični podlagi predložijo informacije, določene v oddelku 11 „Dodatno poročanje za namene določitve GSPI in dodelitve stopenj blažilnika za GSPI“ Priloge I k tej uredbi, če so izpolnjeni vsi naslednji pogoji:</w:t>
      </w:r>
    </w:p>
    <w:p w:rsidR="00AB5213" w:rsidRPr="009158D0" w:rsidRDefault="00447AA0" w:rsidP="00447AA0">
      <w:pPr>
        <w:pStyle w:val="Point1"/>
        <w:rPr>
          <w:noProof/>
        </w:rPr>
      </w:pPr>
      <w:r w:rsidRPr="00447AA0">
        <w:rPr>
          <w:noProof/>
        </w:rPr>
        <w:t>(a)</w:t>
      </w:r>
      <w:r w:rsidRPr="00447AA0">
        <w:rPr>
          <w:noProof/>
        </w:rPr>
        <w:tab/>
      </w:r>
      <w:r w:rsidR="00AB5213" w:rsidRPr="009158D0">
        <w:rPr>
          <w:noProof/>
        </w:rPr>
        <w:t>mera skupne izpostavljenosti institucije je enaka ali večja od 125 000 000 000 EUR;</w:t>
      </w:r>
    </w:p>
    <w:p w:rsidR="00AB5213" w:rsidRPr="009158D0" w:rsidRDefault="00447AA0" w:rsidP="00447AA0">
      <w:pPr>
        <w:pStyle w:val="Point1"/>
        <w:rPr>
          <w:noProof/>
        </w:rPr>
      </w:pPr>
      <w:r w:rsidRPr="00447AA0">
        <w:rPr>
          <w:noProof/>
        </w:rPr>
        <w:t>(b)</w:t>
      </w:r>
      <w:r w:rsidRPr="00447AA0">
        <w:rPr>
          <w:noProof/>
        </w:rPr>
        <w:tab/>
      </w:r>
      <w:r w:rsidR="00AB5213" w:rsidRPr="009158D0">
        <w:rPr>
          <w:noProof/>
        </w:rPr>
        <w:t>institucija se nahaja v sodelujoči državi članici, kot je navedeno v členu 4 Uredbe (EU) št. 806/2014;</w:t>
      </w:r>
    </w:p>
    <w:p w:rsidR="00AB5213" w:rsidRPr="009158D0" w:rsidRDefault="00447AA0" w:rsidP="00447AA0">
      <w:pPr>
        <w:pStyle w:val="Point1"/>
        <w:rPr>
          <w:noProof/>
        </w:rPr>
      </w:pPr>
      <w:r w:rsidRPr="00447AA0">
        <w:rPr>
          <w:noProof/>
        </w:rPr>
        <w:t>(c)</w:t>
      </w:r>
      <w:r w:rsidRPr="00447AA0">
        <w:rPr>
          <w:noProof/>
        </w:rPr>
        <w:tab/>
      </w:r>
      <w:r w:rsidR="00AB5213" w:rsidRPr="009158D0">
        <w:rPr>
          <w:noProof/>
        </w:rPr>
        <w:t>institucija ni del skupine, za katero se izvaja konsolidirani nadzor („samostojna institucija“).</w:t>
      </w:r>
    </w:p>
    <w:p w:rsidR="00716EA9" w:rsidRPr="009158D0" w:rsidRDefault="00447AA0" w:rsidP="00447AA0">
      <w:pPr>
        <w:pStyle w:val="ManualNumPar1"/>
        <w:rPr>
          <w:noProof/>
        </w:rPr>
      </w:pPr>
      <w:r w:rsidRPr="00447AA0">
        <w:rPr>
          <w:noProof/>
        </w:rPr>
        <w:t>3.</w:t>
      </w:r>
      <w:r w:rsidRPr="00447AA0">
        <w:rPr>
          <w:noProof/>
        </w:rPr>
        <w:tab/>
      </w:r>
      <w:r w:rsidR="00716EA9" w:rsidRPr="009158D0">
        <w:rPr>
          <w:noProof/>
        </w:rPr>
        <w:t>Z odstopanjem od člena 3(1), točka (b), institucije predložijo informacije iz odstavkov 1 in 2 tega člena do konca delovnega dne na naslednje datume predložitve: 1. julija, 1. oktobra, 2. januarja in 1. aprila.</w:t>
      </w:r>
    </w:p>
    <w:p w:rsidR="00716EA9" w:rsidRPr="009158D0" w:rsidRDefault="00447AA0" w:rsidP="00447AA0">
      <w:pPr>
        <w:pStyle w:val="ManualNumPar1"/>
        <w:rPr>
          <w:noProof/>
        </w:rPr>
      </w:pPr>
      <w:r w:rsidRPr="00447AA0">
        <w:rPr>
          <w:noProof/>
        </w:rPr>
        <w:t>4.</w:t>
      </w:r>
      <w:r w:rsidRPr="00447AA0">
        <w:rPr>
          <w:noProof/>
        </w:rPr>
        <w:tab/>
      </w:r>
      <w:r w:rsidR="00716EA9" w:rsidRPr="009158D0">
        <w:rPr>
          <w:noProof/>
        </w:rPr>
        <w:t>Z odstopanjem od člena 4 v zvezi s pragom iz odstavka 1, točka (a), in odstavka 2, točka (a), tega člena velja naslednje:</w:t>
      </w:r>
    </w:p>
    <w:p w:rsidR="00AB5213" w:rsidRPr="009158D0" w:rsidRDefault="00447AA0" w:rsidP="00447AA0">
      <w:pPr>
        <w:pStyle w:val="Point1"/>
        <w:rPr>
          <w:noProof/>
        </w:rPr>
      </w:pPr>
      <w:r w:rsidRPr="00447AA0">
        <w:rPr>
          <w:noProof/>
        </w:rPr>
        <w:t>(a)</w:t>
      </w:r>
      <w:r w:rsidRPr="00447AA0">
        <w:rPr>
          <w:noProof/>
        </w:rPr>
        <w:tab/>
      </w:r>
      <w:r w:rsidR="00AB5213" w:rsidRPr="009158D0">
        <w:rPr>
          <w:noProof/>
        </w:rPr>
        <w:t>EU nadrejena institucija, EU nadrejeni finančni holding, EU nadrejeni mešani finančni holding ali samostojna institucija, kot je ustrezno, začne takoj poročati informacije iz odstavkov 1 in 2 v skladu s tem členom, kadar njena mera izpostavljenosti količnika finančnega vzvoda na koncu obračunskega leta preseže določeni prag, in navedene informacije poroča za konec zadevnega obračunskega leta in naslednje tri četrtletne referenčne datume;</w:t>
      </w:r>
    </w:p>
    <w:p w:rsidR="00AB5213" w:rsidRPr="009158D0" w:rsidRDefault="00447AA0" w:rsidP="00447AA0">
      <w:pPr>
        <w:pStyle w:val="Point1"/>
        <w:rPr>
          <w:noProof/>
        </w:rPr>
      </w:pPr>
      <w:r w:rsidRPr="00447AA0">
        <w:rPr>
          <w:noProof/>
        </w:rPr>
        <w:t>(b)</w:t>
      </w:r>
      <w:r w:rsidRPr="00447AA0">
        <w:rPr>
          <w:noProof/>
        </w:rPr>
        <w:tab/>
      </w:r>
      <w:r w:rsidR="00AB5213" w:rsidRPr="009158D0">
        <w:rPr>
          <w:noProof/>
        </w:rPr>
        <w:t>EU nadrejena institucija, EU nadrejeni finančni holding, EU nadrejeni mešani finančni holding ali samostojna institucija, kot je ustrezno, takoj preneha poročati informacije iz odstavkov 1 in 2 v skladu s tem členom, kadar njena mera izpostavljenosti količnika finančnega vzvoda na koncu obračunskega leta ne dosega več določenega praga.</w:t>
      </w:r>
    </w:p>
    <w:p w:rsidR="00716EA9" w:rsidRPr="009158D0" w:rsidRDefault="00716EA9" w:rsidP="00E537F5">
      <w:pPr>
        <w:pStyle w:val="Titrearticle"/>
        <w:rPr>
          <w:noProof/>
          <w:szCs w:val="24"/>
        </w:rPr>
      </w:pPr>
      <w:r w:rsidRPr="009158D0">
        <w:rPr>
          <w:noProof/>
        </w:rPr>
        <w:t>Člen 21</w:t>
      </w:r>
    </w:p>
    <w:p w:rsidR="00716EA9" w:rsidRPr="009158D0" w:rsidRDefault="00716EA9" w:rsidP="0066303A">
      <w:pPr>
        <w:pStyle w:val="Titrearticle"/>
        <w:spacing w:before="0"/>
        <w:rPr>
          <w:b/>
          <w:bCs/>
          <w:i w:val="0"/>
          <w:iCs/>
          <w:noProof/>
          <w:szCs w:val="24"/>
        </w:rPr>
      </w:pPr>
      <w:bookmarkStart w:id="2" w:name="_Hlk175233444"/>
      <w:r w:rsidRPr="009158D0">
        <w:rPr>
          <w:b/>
          <w:i w:val="0"/>
          <w:noProof/>
        </w:rPr>
        <w:t>Poročanje o obrestnem tveganju v netrgovalni knjigi na posamični in konsolidirani podlagi</w:t>
      </w:r>
    </w:p>
    <w:p w:rsidR="00716EA9" w:rsidRPr="009158D0" w:rsidRDefault="000B3834" w:rsidP="00716EA9">
      <w:pPr>
        <w:rPr>
          <w:rFonts w:eastAsia="Times New Roman"/>
          <w:noProof/>
          <w:color w:val="000000" w:themeColor="text1"/>
          <w:szCs w:val="24"/>
        </w:rPr>
      </w:pPr>
      <w:r w:rsidRPr="009158D0">
        <w:rPr>
          <w:noProof/>
        </w:rPr>
        <w:t>Institucije, ki poročajo informacije o obrestnem tveganju v netrgovalni knjigi v skladu s členom 84(5), členom 84(6) in členom 98(5a) Direktive 2013/36/EU na posamični in konsolidirani podlagi, predložijo informacije iz navedenih členov, kot so določene v oddelku 12 „Poročanje o obrestnem tveganju v netrgovalni knjigi“ Priloge I k tej uredbi z naslednjo pogostostjo:</w:t>
      </w:r>
    </w:p>
    <w:p w:rsidR="00F5752D" w:rsidRPr="009158D0" w:rsidRDefault="00447AA0" w:rsidP="00447AA0">
      <w:pPr>
        <w:pStyle w:val="Point0"/>
        <w:rPr>
          <w:noProof/>
        </w:rPr>
      </w:pPr>
      <w:r w:rsidRPr="00447AA0">
        <w:rPr>
          <w:noProof/>
        </w:rPr>
        <w:t>(a)</w:t>
      </w:r>
      <w:r w:rsidRPr="00447AA0">
        <w:rPr>
          <w:noProof/>
        </w:rPr>
        <w:tab/>
      </w:r>
      <w:r w:rsidR="00247A56" w:rsidRPr="009158D0">
        <w:rPr>
          <w:noProof/>
        </w:rPr>
        <w:t>vse institucije: vsako četrtletje predlogo J 01.00 iz oddelka 12 Priloge I;</w:t>
      </w:r>
    </w:p>
    <w:p w:rsidR="00F5752D" w:rsidRPr="009158D0" w:rsidRDefault="00447AA0" w:rsidP="00447AA0">
      <w:pPr>
        <w:pStyle w:val="Point0"/>
        <w:rPr>
          <w:noProof/>
        </w:rPr>
      </w:pPr>
      <w:r w:rsidRPr="00447AA0">
        <w:rPr>
          <w:noProof/>
        </w:rPr>
        <w:t>(b)</w:t>
      </w:r>
      <w:r w:rsidRPr="00447AA0">
        <w:rPr>
          <w:noProof/>
        </w:rPr>
        <w:tab/>
      </w:r>
      <w:r w:rsidR="00247A56" w:rsidRPr="009158D0">
        <w:rPr>
          <w:noProof/>
        </w:rPr>
        <w:t>velike institucije: vsako četrtletje predloge J 02.00, J 05.00 in J 08.00 iz oddelka 12 Priloge I;</w:t>
      </w:r>
    </w:p>
    <w:p w:rsidR="00F5752D" w:rsidRPr="009158D0" w:rsidRDefault="00447AA0" w:rsidP="00447AA0">
      <w:pPr>
        <w:pStyle w:val="Point0"/>
        <w:rPr>
          <w:noProof/>
        </w:rPr>
      </w:pPr>
      <w:r w:rsidRPr="00447AA0">
        <w:rPr>
          <w:noProof/>
        </w:rPr>
        <w:t>(c)</w:t>
      </w:r>
      <w:r w:rsidRPr="00447AA0">
        <w:rPr>
          <w:noProof/>
        </w:rPr>
        <w:tab/>
      </w:r>
      <w:r w:rsidR="00247A56" w:rsidRPr="009158D0">
        <w:rPr>
          <w:noProof/>
        </w:rPr>
        <w:t>institucije, ki niso niti velike niti majhne in nekompleksne institucije: vsako četrtletje predlogi J 03.00 in J 06.00 iz oddelka 12 Priloge I;</w:t>
      </w:r>
    </w:p>
    <w:p w:rsidR="00F5752D" w:rsidRPr="009158D0" w:rsidRDefault="00447AA0" w:rsidP="00447AA0">
      <w:pPr>
        <w:pStyle w:val="Point0"/>
        <w:rPr>
          <w:noProof/>
        </w:rPr>
      </w:pPr>
      <w:r w:rsidRPr="00447AA0">
        <w:rPr>
          <w:noProof/>
        </w:rPr>
        <w:t>(d)</w:t>
      </w:r>
      <w:r w:rsidRPr="00447AA0">
        <w:rPr>
          <w:noProof/>
        </w:rPr>
        <w:tab/>
      </w:r>
      <w:r w:rsidR="00247A56" w:rsidRPr="009158D0">
        <w:rPr>
          <w:noProof/>
        </w:rPr>
        <w:t>majhne in nekompleksne institucije: vsako četrtletje predlogi J 04.00 in J 07.00 iz oddelka 12 Priloge I;</w:t>
      </w:r>
    </w:p>
    <w:p w:rsidR="00F5752D" w:rsidRPr="009158D0" w:rsidRDefault="00447AA0" w:rsidP="00447AA0">
      <w:pPr>
        <w:pStyle w:val="Point0"/>
        <w:rPr>
          <w:noProof/>
        </w:rPr>
      </w:pPr>
      <w:r w:rsidRPr="00447AA0">
        <w:rPr>
          <w:noProof/>
        </w:rPr>
        <w:t>(e)</w:t>
      </w:r>
      <w:r w:rsidRPr="00447AA0">
        <w:rPr>
          <w:noProof/>
        </w:rPr>
        <w:tab/>
      </w:r>
      <w:r w:rsidR="00247A56" w:rsidRPr="009158D0">
        <w:rPr>
          <w:noProof/>
        </w:rPr>
        <w:t>institucije, ki niso niti velike niti majhne in nekompleksne institucije, ter majhne in nekompleksne institucije: vsako četrtletje predlogo J 09.00 iz oddelka 12 Priloge I;</w:t>
      </w:r>
    </w:p>
    <w:p w:rsidR="00F5752D" w:rsidRPr="009158D0" w:rsidRDefault="00447AA0" w:rsidP="00447AA0">
      <w:pPr>
        <w:pStyle w:val="Point0"/>
        <w:rPr>
          <w:noProof/>
        </w:rPr>
      </w:pPr>
      <w:r w:rsidRPr="00447AA0">
        <w:rPr>
          <w:noProof/>
        </w:rPr>
        <w:t>(f)</w:t>
      </w:r>
      <w:r w:rsidRPr="00447AA0">
        <w:rPr>
          <w:noProof/>
        </w:rPr>
        <w:tab/>
      </w:r>
      <w:r w:rsidR="00247A56" w:rsidRPr="009158D0">
        <w:rPr>
          <w:noProof/>
        </w:rPr>
        <w:t>velike institucije: vsako leto predlogi J 10.01 in J 10.02 iz oddelka 12 Priloge I;</w:t>
      </w:r>
    </w:p>
    <w:p w:rsidR="00F5752D" w:rsidRPr="009158D0" w:rsidRDefault="00447AA0" w:rsidP="00447AA0">
      <w:pPr>
        <w:pStyle w:val="Point0"/>
        <w:rPr>
          <w:noProof/>
        </w:rPr>
      </w:pPr>
      <w:r w:rsidRPr="00447AA0">
        <w:rPr>
          <w:noProof/>
        </w:rPr>
        <w:t>(g)</w:t>
      </w:r>
      <w:r w:rsidRPr="00447AA0">
        <w:rPr>
          <w:noProof/>
        </w:rPr>
        <w:tab/>
      </w:r>
      <w:r w:rsidR="00247A56" w:rsidRPr="009158D0">
        <w:rPr>
          <w:noProof/>
        </w:rPr>
        <w:t>institucije, ki niso niti velike niti majhne in nekompleksne institucije, ter majhne in nekompleksne institucije: vsako leto predlogi J 11.01 in J 11.02 iz oddelka 12 Priloge I.</w:t>
      </w:r>
    </w:p>
    <w:bookmarkEnd w:id="2"/>
    <w:p w:rsidR="002823A7" w:rsidRPr="009158D0" w:rsidRDefault="002823A7" w:rsidP="0017149C">
      <w:pPr>
        <w:pStyle w:val="Titrearticle"/>
        <w:tabs>
          <w:tab w:val="left" w:pos="567"/>
        </w:tabs>
        <w:rPr>
          <w:noProof/>
          <w:szCs w:val="24"/>
        </w:rPr>
      </w:pPr>
      <w:r w:rsidRPr="009158D0">
        <w:rPr>
          <w:noProof/>
        </w:rPr>
        <w:t>Člen 22</w:t>
      </w:r>
    </w:p>
    <w:p w:rsidR="002823A7" w:rsidRPr="009158D0" w:rsidRDefault="002823A7" w:rsidP="0017149C">
      <w:pPr>
        <w:pStyle w:val="Titrearticle"/>
        <w:tabs>
          <w:tab w:val="left" w:pos="567"/>
        </w:tabs>
        <w:spacing w:before="0"/>
        <w:rPr>
          <w:rFonts w:eastAsia="Times New Roman"/>
          <w:noProof/>
          <w:szCs w:val="24"/>
        </w:rPr>
      </w:pPr>
      <w:r w:rsidRPr="009158D0">
        <w:rPr>
          <w:b/>
          <w:i w:val="0"/>
          <w:noProof/>
        </w:rPr>
        <w:t>Rešitve informacijske tehnologije, predloge za poročanje in navodila</w:t>
      </w:r>
    </w:p>
    <w:p w:rsidR="002823A7" w:rsidRPr="009158D0" w:rsidRDefault="00447AA0" w:rsidP="00447AA0">
      <w:pPr>
        <w:pStyle w:val="ManualNumPar1"/>
        <w:rPr>
          <w:rFonts w:eastAsia="Times New Roman"/>
          <w:noProof/>
          <w:szCs w:val="24"/>
        </w:rPr>
      </w:pPr>
      <w:r w:rsidRPr="00447AA0">
        <w:rPr>
          <w:noProof/>
        </w:rPr>
        <w:t>1.</w:t>
      </w:r>
      <w:r w:rsidRPr="00447AA0">
        <w:rPr>
          <w:noProof/>
        </w:rPr>
        <w:tab/>
      </w:r>
      <w:r w:rsidR="001B3873" w:rsidRPr="009158D0">
        <w:rPr>
          <w:noProof/>
        </w:rPr>
        <w:t xml:space="preserve">EBA zagotovi, da so rešitve informacijske tehnologije, vključno s predlogami in navodili za poročanje, razvite na podlagi člena 430(7) Uredbe (EU) št. 575/2013, vedno skladne z enotnimi obrazci za poročanje iz te uredbe ter vključujejo vse podatkovne točke in informacije, navedene v Prilogi I k tej uredbi. </w:t>
      </w:r>
    </w:p>
    <w:p w:rsidR="002823A7" w:rsidRPr="009158D0" w:rsidRDefault="00447AA0" w:rsidP="00447AA0">
      <w:pPr>
        <w:pStyle w:val="ManualNumPar1"/>
        <w:rPr>
          <w:rFonts w:eastAsia="Times New Roman"/>
          <w:noProof/>
          <w:szCs w:val="24"/>
        </w:rPr>
      </w:pPr>
      <w:r w:rsidRPr="00447AA0">
        <w:rPr>
          <w:noProof/>
        </w:rPr>
        <w:t>2.</w:t>
      </w:r>
      <w:r w:rsidRPr="00447AA0">
        <w:rPr>
          <w:noProof/>
        </w:rPr>
        <w:tab/>
      </w:r>
      <w:r w:rsidR="002823A7" w:rsidRPr="009158D0">
        <w:rPr>
          <w:noProof/>
        </w:rPr>
        <w:t>EBA objavi rešitve informacijske tehnologije, predloge za poročanje in navodila iz odstavka 1 na svojem spletnem mestu. EBA te rešitve informacijske tehnologije posodablja in zagotavlja v vseh uradnih jezikih.</w:t>
      </w:r>
    </w:p>
    <w:p w:rsidR="00716EA9" w:rsidRPr="009158D0" w:rsidRDefault="00716EA9" w:rsidP="00E537F5">
      <w:pPr>
        <w:pStyle w:val="Titrearticle"/>
        <w:rPr>
          <w:noProof/>
          <w:szCs w:val="24"/>
        </w:rPr>
      </w:pPr>
      <w:r w:rsidRPr="009158D0">
        <w:rPr>
          <w:noProof/>
        </w:rPr>
        <w:t>Člen 23</w:t>
      </w:r>
    </w:p>
    <w:p w:rsidR="00716EA9" w:rsidRPr="009158D0" w:rsidRDefault="00716EA9" w:rsidP="002A7D3F">
      <w:pPr>
        <w:pStyle w:val="Titrearticle"/>
        <w:spacing w:before="0"/>
        <w:rPr>
          <w:b/>
          <w:bCs/>
          <w:i w:val="0"/>
          <w:iCs/>
          <w:noProof/>
          <w:szCs w:val="24"/>
        </w:rPr>
      </w:pPr>
      <w:r w:rsidRPr="009158D0">
        <w:rPr>
          <w:b/>
          <w:i w:val="0"/>
          <w:noProof/>
        </w:rPr>
        <w:t>Formati izmenjave podatkov in informacije, ki se priložijo predloženim podatkom</w:t>
      </w:r>
    </w:p>
    <w:p w:rsidR="00716EA9" w:rsidRPr="009158D0" w:rsidRDefault="00447AA0" w:rsidP="00447AA0">
      <w:pPr>
        <w:pStyle w:val="ManualNumPar1"/>
        <w:rPr>
          <w:noProof/>
        </w:rPr>
      </w:pPr>
      <w:r w:rsidRPr="00447AA0">
        <w:rPr>
          <w:noProof/>
        </w:rPr>
        <w:t>1.</w:t>
      </w:r>
      <w:r w:rsidRPr="00447AA0">
        <w:rPr>
          <w:noProof/>
        </w:rPr>
        <w:tab/>
      </w:r>
      <w:r w:rsidR="00716EA9" w:rsidRPr="009158D0">
        <w:rPr>
          <w:noProof/>
        </w:rPr>
        <w:t>Institucije informacije, ki jih je treba zagotoviti v skladu s to uredbo, predložijo v formatih izmenjave podatkov in oblikah predstavitve, ki jih določijo pristojni organi, upoštevajo opredelitev podatkovne točke modela podatkovnih točk in formule za validacijo iz rešitev informacijske tehnologije, ki so na voljo na spletnem mestu EBA, ter izpolnjujejo naslednje zahteve:</w:t>
      </w:r>
    </w:p>
    <w:p w:rsidR="00716EA9" w:rsidRPr="009158D0" w:rsidRDefault="00447AA0" w:rsidP="00447AA0">
      <w:pPr>
        <w:pStyle w:val="Point1"/>
        <w:rPr>
          <w:noProof/>
        </w:rPr>
      </w:pPr>
      <w:r w:rsidRPr="00447AA0">
        <w:rPr>
          <w:noProof/>
        </w:rPr>
        <w:t>(a)</w:t>
      </w:r>
      <w:r w:rsidRPr="00447AA0">
        <w:rPr>
          <w:noProof/>
        </w:rPr>
        <w:tab/>
      </w:r>
      <w:r w:rsidR="00712164" w:rsidRPr="009158D0">
        <w:rPr>
          <w:noProof/>
        </w:rPr>
        <w:t>v predložitev podatkov ne vključijo informacij, ki se ne zahtevajo ali niso relevantne;</w:t>
      </w:r>
    </w:p>
    <w:p w:rsidR="00716EA9" w:rsidRPr="009158D0" w:rsidRDefault="00447AA0" w:rsidP="00447AA0">
      <w:pPr>
        <w:pStyle w:val="Point1"/>
        <w:rPr>
          <w:noProof/>
        </w:rPr>
      </w:pPr>
      <w:r w:rsidRPr="00447AA0">
        <w:rPr>
          <w:noProof/>
        </w:rPr>
        <w:t>(b)</w:t>
      </w:r>
      <w:r w:rsidRPr="00447AA0">
        <w:rPr>
          <w:noProof/>
        </w:rPr>
        <w:tab/>
      </w:r>
      <w:r w:rsidR="00712164" w:rsidRPr="009158D0">
        <w:rPr>
          <w:noProof/>
        </w:rPr>
        <w:t>numerične vrednosti predložijo, kot sledi:</w:t>
      </w:r>
    </w:p>
    <w:p w:rsidR="00716EA9" w:rsidRPr="009158D0" w:rsidRDefault="00716EA9" w:rsidP="00C856B2">
      <w:pPr>
        <w:pStyle w:val="Point2"/>
        <w:rPr>
          <w:noProof/>
        </w:rPr>
      </w:pPr>
      <w:r w:rsidRPr="009158D0">
        <w:rPr>
          <w:noProof/>
        </w:rPr>
        <w:t>(i)</w:t>
      </w:r>
      <w:r w:rsidRPr="009158D0">
        <w:rPr>
          <w:noProof/>
        </w:rPr>
        <w:tab/>
        <w:t>podatkovne točke podatkov vrste „monetarno“ poročajo z najmanjšim ekvivalentom natančnosti na deset tisoč enot;</w:t>
      </w:r>
    </w:p>
    <w:p w:rsidR="00716EA9" w:rsidRPr="009158D0" w:rsidRDefault="00716EA9" w:rsidP="00C856B2">
      <w:pPr>
        <w:pStyle w:val="Point2"/>
        <w:rPr>
          <w:noProof/>
        </w:rPr>
      </w:pPr>
      <w:r w:rsidRPr="009158D0">
        <w:rPr>
          <w:noProof/>
        </w:rPr>
        <w:t>(ii)</w:t>
      </w:r>
      <w:r w:rsidRPr="009158D0">
        <w:rPr>
          <w:noProof/>
        </w:rPr>
        <w:tab/>
        <w:t>podatkovne točke podatkov vrste „odstotek“ izrazijo na enoto z najmanjšim ekvivalentom natančnosti na štiri decimalna mesta;</w:t>
      </w:r>
    </w:p>
    <w:p w:rsidR="00716EA9" w:rsidRPr="009158D0" w:rsidRDefault="00716EA9" w:rsidP="00C856B2">
      <w:pPr>
        <w:pStyle w:val="Point2"/>
        <w:rPr>
          <w:noProof/>
        </w:rPr>
      </w:pPr>
      <w:r w:rsidRPr="009158D0">
        <w:rPr>
          <w:noProof/>
        </w:rPr>
        <w:t>(iii)</w:t>
      </w:r>
      <w:r w:rsidRPr="009158D0">
        <w:rPr>
          <w:noProof/>
        </w:rPr>
        <w:tab/>
        <w:t>pri poročanju podatkovnih točk podatkov vrste „celo število“ ne uporabljajo decimalnih mest in uporabljajo ekvivalent natančnosti na enoto;</w:t>
      </w:r>
    </w:p>
    <w:p w:rsidR="00716EA9" w:rsidRPr="009158D0" w:rsidRDefault="00447AA0" w:rsidP="00447AA0">
      <w:pPr>
        <w:pStyle w:val="Point1"/>
        <w:rPr>
          <w:noProof/>
        </w:rPr>
      </w:pPr>
      <w:r w:rsidRPr="00447AA0">
        <w:rPr>
          <w:noProof/>
        </w:rPr>
        <w:t>(c)</w:t>
      </w:r>
      <w:r w:rsidRPr="00447AA0">
        <w:rPr>
          <w:noProof/>
        </w:rPr>
        <w:tab/>
      </w:r>
      <w:r w:rsidR="000F605E" w:rsidRPr="009158D0">
        <w:rPr>
          <w:noProof/>
        </w:rPr>
        <w:t>institucije in zavarovalnice identificirajo izključno z njihovim identifikatorjem pravnih subjektov (LEI);</w:t>
      </w:r>
    </w:p>
    <w:p w:rsidR="00716EA9" w:rsidRPr="009158D0" w:rsidRDefault="00447AA0" w:rsidP="00447AA0">
      <w:pPr>
        <w:pStyle w:val="Point1"/>
        <w:rPr>
          <w:noProof/>
        </w:rPr>
      </w:pPr>
      <w:r w:rsidRPr="00447AA0">
        <w:rPr>
          <w:noProof/>
        </w:rPr>
        <w:t>(d)</w:t>
      </w:r>
      <w:r w:rsidRPr="00447AA0">
        <w:rPr>
          <w:noProof/>
        </w:rPr>
        <w:tab/>
      </w:r>
      <w:r w:rsidR="000F605E" w:rsidRPr="009158D0">
        <w:rPr>
          <w:noProof/>
        </w:rPr>
        <w:t>pravne subjekte in nasprotne stranke, ki niso institucije in zavarovalnice, identificirajo z njihovim LEI, če je na voljo.</w:t>
      </w:r>
    </w:p>
    <w:p w:rsidR="00716EA9" w:rsidRPr="009158D0" w:rsidRDefault="00447AA0" w:rsidP="00447AA0">
      <w:pPr>
        <w:pStyle w:val="ManualNumPar1"/>
        <w:rPr>
          <w:noProof/>
        </w:rPr>
      </w:pPr>
      <w:r w:rsidRPr="00447AA0">
        <w:rPr>
          <w:noProof/>
        </w:rPr>
        <w:t>2.</w:t>
      </w:r>
      <w:r w:rsidRPr="00447AA0">
        <w:rPr>
          <w:noProof/>
        </w:rPr>
        <w:tab/>
      </w:r>
      <w:r w:rsidR="00716EA9" w:rsidRPr="009158D0">
        <w:rPr>
          <w:noProof/>
        </w:rPr>
        <w:t>Institucije skupaj s predloženimi informacijami predložijo naslednje informacije:</w:t>
      </w:r>
    </w:p>
    <w:p w:rsidR="00716EA9" w:rsidRPr="009158D0" w:rsidRDefault="00447AA0" w:rsidP="00447AA0">
      <w:pPr>
        <w:pStyle w:val="Point1"/>
        <w:rPr>
          <w:noProof/>
        </w:rPr>
      </w:pPr>
      <w:r w:rsidRPr="00447AA0">
        <w:rPr>
          <w:noProof/>
        </w:rPr>
        <w:t>(a)</w:t>
      </w:r>
      <w:r w:rsidRPr="00447AA0">
        <w:rPr>
          <w:noProof/>
        </w:rPr>
        <w:tab/>
      </w:r>
      <w:r w:rsidR="00712164" w:rsidRPr="009158D0">
        <w:rPr>
          <w:noProof/>
        </w:rPr>
        <w:t>referenčni datum in referenčno obdobje poročanja;</w:t>
      </w:r>
    </w:p>
    <w:p w:rsidR="00716EA9" w:rsidRPr="009158D0" w:rsidRDefault="00447AA0" w:rsidP="00447AA0">
      <w:pPr>
        <w:pStyle w:val="Point1"/>
        <w:rPr>
          <w:noProof/>
        </w:rPr>
      </w:pPr>
      <w:r w:rsidRPr="00447AA0">
        <w:rPr>
          <w:noProof/>
        </w:rPr>
        <w:t>(b)</w:t>
      </w:r>
      <w:r w:rsidRPr="00447AA0">
        <w:rPr>
          <w:noProof/>
        </w:rPr>
        <w:tab/>
      </w:r>
      <w:r w:rsidR="00712164" w:rsidRPr="009158D0">
        <w:rPr>
          <w:noProof/>
        </w:rPr>
        <w:t>valuto poročanja;</w:t>
      </w:r>
    </w:p>
    <w:p w:rsidR="00716EA9" w:rsidRPr="009158D0" w:rsidRDefault="00447AA0" w:rsidP="00447AA0">
      <w:pPr>
        <w:pStyle w:val="Point1"/>
        <w:rPr>
          <w:noProof/>
        </w:rPr>
      </w:pPr>
      <w:r w:rsidRPr="00447AA0">
        <w:rPr>
          <w:noProof/>
        </w:rPr>
        <w:t>(c)</w:t>
      </w:r>
      <w:r w:rsidRPr="00447AA0">
        <w:rPr>
          <w:noProof/>
        </w:rPr>
        <w:tab/>
      </w:r>
      <w:r w:rsidR="00712164" w:rsidRPr="009158D0">
        <w:rPr>
          <w:noProof/>
        </w:rPr>
        <w:t>računovodski standard;</w:t>
      </w:r>
    </w:p>
    <w:p w:rsidR="00716EA9" w:rsidRPr="009158D0" w:rsidRDefault="00447AA0" w:rsidP="00447AA0">
      <w:pPr>
        <w:pStyle w:val="Point1"/>
        <w:rPr>
          <w:noProof/>
        </w:rPr>
      </w:pPr>
      <w:r w:rsidRPr="00447AA0">
        <w:rPr>
          <w:noProof/>
        </w:rPr>
        <w:t>(d)</w:t>
      </w:r>
      <w:r w:rsidRPr="00447AA0">
        <w:rPr>
          <w:noProof/>
        </w:rPr>
        <w:tab/>
      </w:r>
      <w:r w:rsidR="00712164" w:rsidRPr="009158D0">
        <w:rPr>
          <w:noProof/>
        </w:rPr>
        <w:t>identifikator pravnih subjektov (LEI) institucije poročevalke;</w:t>
      </w:r>
    </w:p>
    <w:p w:rsidR="00716EA9" w:rsidRPr="009158D0" w:rsidRDefault="00447AA0" w:rsidP="00447AA0">
      <w:pPr>
        <w:pStyle w:val="Point1"/>
        <w:rPr>
          <w:noProof/>
        </w:rPr>
      </w:pPr>
      <w:r w:rsidRPr="00447AA0">
        <w:rPr>
          <w:noProof/>
        </w:rPr>
        <w:t>(e)</w:t>
      </w:r>
      <w:r w:rsidRPr="00447AA0">
        <w:rPr>
          <w:noProof/>
        </w:rPr>
        <w:tab/>
      </w:r>
      <w:r w:rsidR="00712164" w:rsidRPr="009158D0">
        <w:rPr>
          <w:noProof/>
        </w:rPr>
        <w:t>obseg konsolidacije.</w:t>
      </w:r>
    </w:p>
    <w:p w:rsidR="00716EA9" w:rsidRPr="009158D0" w:rsidRDefault="00716EA9" w:rsidP="00E537F5">
      <w:pPr>
        <w:pStyle w:val="Titrearticle"/>
        <w:rPr>
          <w:noProof/>
          <w:szCs w:val="24"/>
        </w:rPr>
      </w:pPr>
      <w:r w:rsidRPr="009158D0">
        <w:rPr>
          <w:noProof/>
        </w:rPr>
        <w:t>Člen 24</w:t>
      </w:r>
    </w:p>
    <w:p w:rsidR="00716EA9" w:rsidRPr="009158D0" w:rsidRDefault="00716EA9" w:rsidP="002A7D3F">
      <w:pPr>
        <w:pStyle w:val="Titrearticle"/>
        <w:spacing w:before="0"/>
        <w:rPr>
          <w:b/>
          <w:bCs/>
          <w:i w:val="0"/>
          <w:iCs/>
          <w:noProof/>
          <w:szCs w:val="24"/>
        </w:rPr>
      </w:pPr>
      <w:r w:rsidRPr="009158D0">
        <w:rPr>
          <w:b/>
          <w:i w:val="0"/>
          <w:noProof/>
        </w:rPr>
        <w:t>Prehodne določbe</w:t>
      </w:r>
    </w:p>
    <w:p w:rsidR="00716EA9" w:rsidRPr="009158D0" w:rsidRDefault="00447AA0" w:rsidP="00447AA0">
      <w:pPr>
        <w:pStyle w:val="ManualNumPar1"/>
        <w:rPr>
          <w:noProof/>
        </w:rPr>
      </w:pPr>
      <w:r w:rsidRPr="00447AA0">
        <w:rPr>
          <w:noProof/>
        </w:rPr>
        <w:t>1.</w:t>
      </w:r>
      <w:r w:rsidRPr="00447AA0">
        <w:rPr>
          <w:noProof/>
        </w:rPr>
        <w:tab/>
      </w:r>
      <w:r w:rsidR="00716EA9" w:rsidRPr="009158D0">
        <w:rPr>
          <w:noProof/>
        </w:rPr>
        <w:t>Datum predložitve za informacije, ki se poročajo vsako četrtletje in ki se nanašajo na referenčni datum 31. marec 2025, je za informacije, ki jih je treba poročati v skladu s členom 5, členi 7 do 10 in členom 15 te uredbe, najpozneje 30. junij 2025.</w:t>
      </w:r>
    </w:p>
    <w:p w:rsidR="00716EA9" w:rsidRPr="009158D0" w:rsidRDefault="00447AA0" w:rsidP="00447AA0">
      <w:pPr>
        <w:pStyle w:val="ManualNumPar1"/>
        <w:rPr>
          <w:noProof/>
        </w:rPr>
      </w:pPr>
      <w:r w:rsidRPr="00447AA0">
        <w:rPr>
          <w:noProof/>
        </w:rPr>
        <w:t>2.</w:t>
      </w:r>
      <w:r w:rsidRPr="00447AA0">
        <w:rPr>
          <w:noProof/>
        </w:rPr>
        <w:tab/>
      </w:r>
      <w:r w:rsidR="00AE3B0A" w:rsidRPr="009158D0">
        <w:rPr>
          <w:noProof/>
        </w:rPr>
        <w:t>Prvi referenčni datum za poročanje informacij o sestavi trgovalne knjige in prerazvrstitvah med knjigami v skladu s členom 5 te uredbe je zadnji delovni dan četrtletja, v katerem se za izračun kapitalskih zahtev iz člena 92(4), točki (b)(i) in (c), ter člena 92(5), točki (b) in (c), Uredbe (EU) št. 575/2013 začnejo uporabljati alternativni pristopi iz dela 3, naslov IV, poglavji 1a in 1b, navedene uredbe.</w:t>
      </w:r>
    </w:p>
    <w:p w:rsidR="00716EA9" w:rsidRPr="009158D0" w:rsidRDefault="00716EA9" w:rsidP="00745A2E">
      <w:pPr>
        <w:pStyle w:val="Titrearticle"/>
        <w:spacing w:before="120" w:after="0"/>
        <w:rPr>
          <w:noProof/>
          <w:szCs w:val="24"/>
        </w:rPr>
      </w:pPr>
      <w:r w:rsidRPr="009158D0">
        <w:rPr>
          <w:noProof/>
        </w:rPr>
        <w:t>Člen 25</w:t>
      </w:r>
    </w:p>
    <w:p w:rsidR="00096030" w:rsidRPr="009158D0" w:rsidRDefault="004B3787" w:rsidP="00C856B2">
      <w:pPr>
        <w:pStyle w:val="Text1"/>
        <w:jc w:val="center"/>
        <w:rPr>
          <w:noProof/>
        </w:rPr>
      </w:pPr>
      <w:r w:rsidRPr="009158D0">
        <w:rPr>
          <w:b/>
          <w:noProof/>
        </w:rPr>
        <w:t>Razveljavitev Izvedbene uredbe (EU) 2021/451</w:t>
      </w:r>
    </w:p>
    <w:p w:rsidR="00FB327E" w:rsidRPr="009158D0" w:rsidRDefault="00447AA0" w:rsidP="00447AA0">
      <w:pPr>
        <w:pStyle w:val="ManualNumPar1"/>
        <w:rPr>
          <w:noProof/>
        </w:rPr>
      </w:pPr>
      <w:r w:rsidRPr="00447AA0">
        <w:rPr>
          <w:noProof/>
        </w:rPr>
        <w:t>1.</w:t>
      </w:r>
      <w:r w:rsidRPr="00447AA0">
        <w:rPr>
          <w:noProof/>
        </w:rPr>
        <w:tab/>
      </w:r>
      <w:r w:rsidR="00FB327E" w:rsidRPr="009158D0">
        <w:rPr>
          <w:noProof/>
        </w:rPr>
        <w:t xml:space="preserve">Izvedbena uredba (EU) 2021/451 se preneha uporabljati 1. januarja 2025, razen člena 5(12) in predlog 18 do 24 Priloge I ter točk 5.1 do 5.7 dela II Priloge II. Člen 15 Izvedbene uredbe (EU) 2021/451 se še naprej uporablja do 31. decembra 2025, in sicer samo za namene člena 5(4) te uredbe. </w:t>
      </w:r>
    </w:p>
    <w:p w:rsidR="00FB327E" w:rsidRPr="009158D0" w:rsidRDefault="00447AA0" w:rsidP="00447AA0">
      <w:pPr>
        <w:pStyle w:val="ManualNumPar1"/>
        <w:rPr>
          <w:noProof/>
        </w:rPr>
      </w:pPr>
      <w:r w:rsidRPr="00447AA0">
        <w:rPr>
          <w:noProof/>
        </w:rPr>
        <w:t>2.</w:t>
      </w:r>
      <w:r w:rsidRPr="00447AA0">
        <w:rPr>
          <w:noProof/>
        </w:rPr>
        <w:tab/>
      </w:r>
      <w:r w:rsidR="00FB327E" w:rsidRPr="009158D0">
        <w:rPr>
          <w:noProof/>
        </w:rPr>
        <w:t xml:space="preserve">Izvedbena uredba (EU) 2021/451 se razveljavi z učinkom od 31. decembra 2025. </w:t>
      </w:r>
    </w:p>
    <w:p w:rsidR="00FB327E" w:rsidRPr="009158D0" w:rsidRDefault="00447AA0" w:rsidP="00447AA0">
      <w:pPr>
        <w:pStyle w:val="ManualNumPar1"/>
        <w:rPr>
          <w:noProof/>
        </w:rPr>
      </w:pPr>
      <w:r w:rsidRPr="00447AA0">
        <w:rPr>
          <w:noProof/>
        </w:rPr>
        <w:t>3.</w:t>
      </w:r>
      <w:r w:rsidRPr="00447AA0">
        <w:rPr>
          <w:noProof/>
        </w:rPr>
        <w:tab/>
      </w:r>
      <w:r w:rsidR="00FB327E" w:rsidRPr="009158D0">
        <w:rPr>
          <w:noProof/>
        </w:rPr>
        <w:t>Sklicevanje na razveljavljeno uredbo se šteje za sklicevanje na to uredbo in se bere v skladu s korelacijsko tabelo iz Priloge II.</w:t>
      </w:r>
    </w:p>
    <w:p w:rsidR="00E537F5" w:rsidRPr="009158D0" w:rsidRDefault="00E537F5" w:rsidP="00E537F5">
      <w:pPr>
        <w:pStyle w:val="Titrearticle"/>
        <w:rPr>
          <w:noProof/>
          <w:szCs w:val="24"/>
        </w:rPr>
      </w:pPr>
      <w:r w:rsidRPr="009158D0">
        <w:rPr>
          <w:noProof/>
        </w:rPr>
        <w:t>Člen 26</w:t>
      </w:r>
    </w:p>
    <w:p w:rsidR="00E537F5" w:rsidRPr="009158D0" w:rsidRDefault="00E537F5" w:rsidP="0056622A">
      <w:pPr>
        <w:pStyle w:val="Titrearticle"/>
        <w:spacing w:before="0"/>
        <w:rPr>
          <w:b/>
          <w:bCs/>
          <w:i w:val="0"/>
          <w:iCs/>
          <w:noProof/>
          <w:szCs w:val="24"/>
        </w:rPr>
      </w:pPr>
      <w:r w:rsidRPr="009158D0">
        <w:rPr>
          <w:b/>
          <w:i w:val="0"/>
          <w:noProof/>
        </w:rPr>
        <w:t>Začetek veljavnosti in uporaba</w:t>
      </w:r>
    </w:p>
    <w:p w:rsidR="00E537F5" w:rsidRPr="009158D0" w:rsidRDefault="00E537F5" w:rsidP="00E537F5">
      <w:pPr>
        <w:spacing w:before="100" w:beforeAutospacing="1" w:after="100" w:afterAutospacing="1"/>
        <w:rPr>
          <w:noProof/>
          <w:color w:val="000000"/>
          <w:szCs w:val="24"/>
        </w:rPr>
      </w:pPr>
      <w:r w:rsidRPr="009158D0">
        <w:rPr>
          <w:noProof/>
          <w:color w:val="000000"/>
        </w:rPr>
        <w:t xml:space="preserve">Ta uredba začne veljati na dan po objavi v </w:t>
      </w:r>
      <w:r w:rsidRPr="009158D0">
        <w:rPr>
          <w:i/>
          <w:noProof/>
          <w:color w:val="000000"/>
        </w:rPr>
        <w:t>Uradnem listu Evropske unije</w:t>
      </w:r>
      <w:r w:rsidRPr="009158D0">
        <w:rPr>
          <w:noProof/>
          <w:color w:val="000000"/>
        </w:rPr>
        <w:t>.</w:t>
      </w:r>
    </w:p>
    <w:p w:rsidR="00E537F5" w:rsidRPr="009158D0" w:rsidRDefault="00E537F5" w:rsidP="00E537F5">
      <w:pPr>
        <w:spacing w:before="100" w:beforeAutospacing="1" w:after="100" w:afterAutospacing="1"/>
        <w:rPr>
          <w:noProof/>
          <w:color w:val="000000"/>
          <w:szCs w:val="24"/>
        </w:rPr>
      </w:pPr>
      <w:r w:rsidRPr="009158D0">
        <w:rPr>
          <w:noProof/>
          <w:color w:val="000000"/>
        </w:rPr>
        <w:t>Uporablja se od [Urad za publikacije: vstaviti datum 6 mesecev po začetku veljavnosti].</w:t>
      </w:r>
    </w:p>
    <w:p w:rsidR="00E537F5" w:rsidRPr="009158D0" w:rsidRDefault="00E537F5" w:rsidP="00E537F5">
      <w:pPr>
        <w:spacing w:before="100" w:beforeAutospacing="1" w:after="100" w:afterAutospacing="1"/>
        <w:rPr>
          <w:noProof/>
          <w:szCs w:val="24"/>
        </w:rPr>
      </w:pPr>
      <w:r w:rsidRPr="009158D0">
        <w:rPr>
          <w:noProof/>
          <w:color w:val="000000"/>
        </w:rPr>
        <w:t>Ta uredba je v celoti zavezujoča in se neposredno uporablja v vseh državah članicah.</w:t>
      </w:r>
    </w:p>
    <w:p w:rsidR="00185C9B" w:rsidRPr="009158D0" w:rsidRDefault="00F67E5F" w:rsidP="005607A2">
      <w:pPr>
        <w:pStyle w:val="Fait"/>
        <w:rPr>
          <w:noProof/>
        </w:rPr>
      </w:pPr>
      <w:r>
        <w:rPr>
          <w:noProof/>
        </w:rPr>
        <w:t>V Bruslju, 29.11.2024</w:t>
      </w:r>
    </w:p>
    <w:p w:rsidR="00185C9B" w:rsidRPr="009158D0" w:rsidRDefault="00185C9B" w:rsidP="005607A2">
      <w:pPr>
        <w:pStyle w:val="Institutionquisigne"/>
        <w:rPr>
          <w:noProof/>
          <w:szCs w:val="24"/>
        </w:rPr>
      </w:pPr>
      <w:r w:rsidRPr="009158D0">
        <w:rPr>
          <w:noProof/>
        </w:rPr>
        <w:tab/>
        <w:t>Za Komisijo</w:t>
      </w:r>
    </w:p>
    <w:p w:rsidR="00185C9B" w:rsidRPr="009158D0" w:rsidRDefault="00E328B4" w:rsidP="00185C9B">
      <w:pPr>
        <w:pStyle w:val="Personnequisigne"/>
        <w:rPr>
          <w:noProof/>
          <w:szCs w:val="24"/>
        </w:rPr>
      </w:pPr>
      <w:r>
        <w:rPr>
          <w:noProof/>
        </w:rPr>
        <w:tab/>
        <w:t>Predsednica</w:t>
      </w:r>
      <w:r>
        <w:rPr>
          <w:noProof/>
        </w:rPr>
        <w:br/>
      </w:r>
      <w:r>
        <w:rPr>
          <w:noProof/>
        </w:rPr>
        <w:tab/>
        <w:t>Ursula VON DER LEYEN</w:t>
      </w:r>
    </w:p>
    <w:sectPr w:rsidR="00185C9B" w:rsidRPr="009158D0" w:rsidSect="00AC5F67">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F67" w:rsidRPr="00AC5F67" w:rsidRDefault="00AC5F67" w:rsidP="00AC5F67">
    <w:pPr>
      <w:pStyle w:val="Footer"/>
      <w:rPr>
        <w:rFonts w:ascii="Arial" w:hAnsi="Arial" w:cs="Arial"/>
        <w:b/>
        <w:sz w:val="48"/>
      </w:rPr>
    </w:pPr>
    <w:r w:rsidRPr="00AC5F67">
      <w:rPr>
        <w:rFonts w:ascii="Arial" w:hAnsi="Arial" w:cs="Arial"/>
        <w:b/>
        <w:sz w:val="48"/>
      </w:rPr>
      <w:t>SL</w:t>
    </w:r>
    <w:r w:rsidRPr="00AC5F67">
      <w:rPr>
        <w:rFonts w:ascii="Arial" w:hAnsi="Arial" w:cs="Arial"/>
        <w:b/>
        <w:sz w:val="48"/>
      </w:rPr>
      <w:tab/>
    </w:r>
    <w:r w:rsidRPr="00AC5F67">
      <w:rPr>
        <w:rFonts w:ascii="Arial" w:hAnsi="Arial" w:cs="Arial"/>
        <w:b/>
        <w:sz w:val="48"/>
      </w:rPr>
      <w:tab/>
    </w:r>
    <w:r w:rsidRPr="00AC5F67">
      <w:tab/>
    </w:r>
    <w:r w:rsidRPr="00AC5F67">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F67" w:rsidRPr="00AC5F67" w:rsidRDefault="00AC5F67" w:rsidP="00AC5F67">
    <w:pPr>
      <w:pStyle w:val="Footer"/>
      <w:rPr>
        <w:rFonts w:ascii="Arial" w:hAnsi="Arial" w:cs="Arial"/>
        <w:b/>
        <w:sz w:val="48"/>
      </w:rPr>
    </w:pPr>
    <w:r w:rsidRPr="00AC5F67">
      <w:rPr>
        <w:rFonts w:ascii="Arial" w:hAnsi="Arial" w:cs="Arial"/>
        <w:b/>
        <w:sz w:val="48"/>
      </w:rPr>
      <w:t>SL</w:t>
    </w:r>
    <w:r w:rsidRPr="00AC5F67">
      <w:rPr>
        <w:rFonts w:ascii="Arial" w:hAnsi="Arial" w:cs="Arial"/>
        <w:b/>
        <w:sz w:val="48"/>
      </w:rPr>
      <w:tab/>
    </w:r>
    <w:r w:rsidRPr="00AC5F67">
      <w:rPr>
        <w:rFonts w:ascii="Arial" w:hAnsi="Arial" w:cs="Arial"/>
        <w:b/>
        <w:sz w:val="48"/>
      </w:rPr>
      <w:tab/>
    </w:r>
    <w:r w:rsidRPr="00AC5F67">
      <w:tab/>
    </w:r>
    <w:r w:rsidRPr="00AC5F67">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F67" w:rsidRDefault="00AC5F6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F67" w:rsidRPr="00AC5F67" w:rsidRDefault="00AC5F67" w:rsidP="00AC5F67">
    <w:pPr>
      <w:pStyle w:val="Footer"/>
      <w:rPr>
        <w:rFonts w:ascii="Arial" w:hAnsi="Arial" w:cs="Arial"/>
        <w:b/>
        <w:sz w:val="48"/>
      </w:rPr>
    </w:pPr>
    <w:r w:rsidRPr="00AC5F67">
      <w:rPr>
        <w:rFonts w:ascii="Arial" w:hAnsi="Arial" w:cs="Arial"/>
        <w:b/>
        <w:sz w:val="48"/>
      </w:rPr>
      <w:t>SL</w:t>
    </w:r>
    <w:r w:rsidRPr="00AC5F67">
      <w:rPr>
        <w:rFonts w:ascii="Arial" w:hAnsi="Arial" w:cs="Arial"/>
        <w:b/>
        <w:sz w:val="48"/>
      </w:rPr>
      <w:tab/>
    </w:r>
    <w:r>
      <w:fldChar w:fldCharType="begin"/>
    </w:r>
    <w:r>
      <w:instrText xml:space="preserve"> PAGE  \* MERGEFORMAT </w:instrText>
    </w:r>
    <w:r>
      <w:fldChar w:fldCharType="separate"/>
    </w:r>
    <w:r w:rsidR="005607A2">
      <w:rPr>
        <w:noProof/>
      </w:rPr>
      <w:t>18</w:t>
    </w:r>
    <w:r>
      <w:fldChar w:fldCharType="end"/>
    </w:r>
    <w:r>
      <w:tab/>
    </w:r>
    <w:r w:rsidRPr="00AC5F67">
      <w:tab/>
    </w:r>
    <w:r w:rsidRPr="00AC5F67">
      <w:rPr>
        <w:rFonts w:ascii="Arial" w:hAnsi="Arial" w:cs="Arial"/>
        <w:b/>
        <w:sz w:val="48"/>
      </w:rPr>
      <w:t>SL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F67" w:rsidRDefault="00AC5F67" w:rsidP="00AC5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pPr>
      <w:r>
        <w:rPr>
          <w:rStyle w:val="FootnoteReference"/>
        </w:rPr>
        <w:footnoteRef/>
      </w:r>
      <w:r>
        <w:tab/>
        <w:t>UL L 176, 27.6.2013, str. 1, ELI: http://data.europa.eu/eli/reg/2013/575/oj.</w:t>
      </w:r>
    </w:p>
  </w:footnote>
  <w:footnote w:id="3">
    <w:p w:rsidR="00716EA9" w:rsidRPr="003B5B26" w:rsidRDefault="00716EA9" w:rsidP="00716EA9">
      <w:pPr>
        <w:pStyle w:val="FootnoteText"/>
      </w:pPr>
      <w:r>
        <w:rPr>
          <w:rStyle w:val="FootnoteReference"/>
        </w:rPr>
        <w:footnoteRef/>
      </w:r>
      <w:r>
        <w:tab/>
        <w:t>Izvedbena uredba Komisije (EU) 2021/451 z dne 17. decembra 2020 o določitvi izvedbenih tehničnih standardov za uporabo Uredbe (EU) št. 575/2013 Evropskega parlamenta in Sveta v zvezi z nadzorniškim poročanjem institucij in razveljavitvi Izvedbene uredbe (EU) št. 680/2014 (UL L 97, 19.3.2021, str. 1, ELI: http://data.europa.eu/eli/reg_impl/2021/451/oj).</w:t>
      </w:r>
    </w:p>
  </w:footnote>
  <w:footnote w:id="4">
    <w:p w:rsidR="00716EA9" w:rsidRPr="00332EF3" w:rsidRDefault="00716EA9" w:rsidP="00716EA9">
      <w:pPr>
        <w:pStyle w:val="FootnoteText"/>
      </w:pPr>
      <w:r>
        <w:rPr>
          <w:rStyle w:val="FootnoteReference"/>
        </w:rPr>
        <w:footnoteRef/>
      </w:r>
      <w:r>
        <w:tab/>
        <w:t>Uredba (EU) 2024/1623 Evropskega parlamenta in Sveta z dne 31. maja 2024 o spremembi Uredbe (EU) št. 575/2013 glede zahtev za kreditno tveganje, tveganje prilagoditve kreditnega vrednotenja, operativno tveganje, tržno tveganje in izstopni prag (UL L, 2024/1623, 19.6.2024, ELI: </w:t>
      </w:r>
      <w:hyperlink r:id="rId1" w:tgtFrame="_blank" w:tooltip="Dostop do tega dokumenta prek evropskega zakonodajnega identifikatorja (ELI)." w:history="1">
        <w:r>
          <w:t>http://data.europa.eu/eli/reg/2024/1623/oj</w:t>
        </w:r>
      </w:hyperlink>
      <w:r>
        <w:t>).</w:t>
      </w:r>
    </w:p>
  </w:footnote>
  <w:footnote w:id="5">
    <w:p w:rsidR="00716EA9" w:rsidRPr="00635B40" w:rsidRDefault="00716EA9" w:rsidP="00716EA9">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 ELI: http://data.europa.eu/eli/reg/2010/1093/oj).</w:t>
      </w:r>
    </w:p>
  </w:footnote>
  <w:footnote w:id="6">
    <w:p w:rsidR="00716EA9" w:rsidRPr="001222BC" w:rsidRDefault="00716EA9" w:rsidP="00716EA9">
      <w:pPr>
        <w:pStyle w:val="FootnoteText"/>
      </w:pPr>
      <w:r>
        <w:rPr>
          <w:rStyle w:val="FootnoteReference"/>
        </w:rPr>
        <w:footnoteRef/>
      </w:r>
      <w:r>
        <w:tab/>
      </w:r>
      <w:r>
        <w:rPr>
          <w:color w:val="333333"/>
          <w:shd w:val="clear" w:color="auto" w:fill="FFFFFF"/>
        </w:rPr>
        <w:t>Direktiva 2013/36/EU Evropskega parlamenta in Sveta z dne 26. junija 2013 o dostopu do dejavnosti kreditnih institucij in bonitetnem nadzoru kreditnih institucij, spremembi Direktive 2002/87/ES in razveljavitvi direktiv 2006/48/ES in 2006/49/ES (UL L 176, 27.6.2013, str. 338, ELI: </w:t>
      </w:r>
      <w:hyperlink r:id="rId2" w:tooltip="Dostop do tega dokumenta prek evropskega zakonodajnega identifikatorja (ELI)." w:history="1">
        <w:r>
          <w:rPr>
            <w:color w:val="333333"/>
          </w:rPr>
          <w:t>http://data.europa.eu/eli/dir/2013/36/oj</w:t>
        </w:r>
      </w:hyperlink>
      <w:r>
        <w:rPr>
          <w:color w:val="333333"/>
          <w:shd w:val="clear" w:color="auto" w:fill="FFFFFF"/>
        </w:rPr>
        <w:t>).</w:t>
      </w:r>
    </w:p>
  </w:footnote>
  <w:footnote w:id="7">
    <w:p w:rsidR="00716EA9" w:rsidRPr="001222BC" w:rsidRDefault="00716EA9" w:rsidP="00716EA9">
      <w:pPr>
        <w:pStyle w:val="FootnoteText"/>
      </w:pPr>
      <w:r>
        <w:rPr>
          <w:rStyle w:val="FootnoteReference"/>
        </w:rPr>
        <w:footnoteRef/>
      </w:r>
      <w:r>
        <w:tab/>
      </w:r>
      <w:r>
        <w:rPr>
          <w:color w:val="333333"/>
          <w:shd w:val="clear" w:color="auto" w:fill="FFFFFF"/>
        </w:rPr>
        <w:t xml:space="preserve">Direktiva (EU) 2019/2034 </w:t>
      </w:r>
      <w:bookmarkStart w:id="1" w:name="_Hlk172136107"/>
      <w:r>
        <w:rPr>
          <w:color w:val="333333"/>
          <w:shd w:val="clear" w:color="auto" w:fill="FFFFFF"/>
        </w:rPr>
        <w:t>Evropskega Parlamenta in Sveta</w:t>
      </w:r>
      <w:bookmarkEnd w:id="1"/>
      <w:r>
        <w:rPr>
          <w:color w:val="333333"/>
          <w:shd w:val="clear" w:color="auto" w:fill="FFFFFF"/>
        </w:rPr>
        <w:t xml:space="preserve"> z dne 27. novembra 2019 o bonitetnem nadzoru investicijskih podjetij ter o spremembi direktiv 2002/87/ES, 2009/65/ES, 2011/61/EU, 2013/36/EU, 2014/59/EU in 2014/65/EU (UL L 314, 5.12.2019, str. 64, ELI: </w:t>
      </w:r>
      <w:hyperlink r:id="rId3" w:tooltip="Dostop do tega dokumenta prek evropskega zakonodajnega identifikatorja (ELI)." w:history="1">
        <w:r>
          <w:rPr>
            <w:color w:val="333333"/>
          </w:rPr>
          <w:t>http://data.europa.eu/eli/dir/2019/2034/oj</w:t>
        </w:r>
      </w:hyperlink>
      <w:r>
        <w:rPr>
          <w:color w:val="333333"/>
          <w:shd w:val="clear" w:color="auto" w:fill="FFFFFF"/>
        </w:rPr>
        <w:t>).</w:t>
      </w:r>
    </w:p>
  </w:footnote>
  <w:footnote w:id="8">
    <w:p w:rsidR="00797855" w:rsidRPr="00797855" w:rsidRDefault="00797855" w:rsidP="00C856B2">
      <w:pPr>
        <w:pStyle w:val="FootnoteText"/>
      </w:pPr>
      <w:r>
        <w:rPr>
          <w:rStyle w:val="FootnoteReference"/>
        </w:rPr>
        <w:footnoteRef/>
      </w:r>
      <w:r>
        <w:tab/>
        <w:t>Delegirana uredba Komisije (EU) 2016/101 z dne 26. oktobra 2015 o dopolnitvi Uredbe (EU) št. 575/2013 Evropskega parlamenta in Sveta v zvezi z regulativnimi tehničnimi standardi za preudarno vrednotenje v skladu s členom 105(14) (UL L 21, 28.1.2016, str. 54, ELI: http://data.europa.eu/eli/reg_del/2016/101/oj).</w:t>
      </w:r>
    </w:p>
  </w:footnote>
  <w:footnote w:id="9">
    <w:p w:rsidR="00716EA9" w:rsidRPr="00745490" w:rsidRDefault="00716EA9" w:rsidP="00716EA9">
      <w:pPr>
        <w:pStyle w:val="FootnoteText"/>
      </w:pPr>
      <w:r>
        <w:rPr>
          <w:rStyle w:val="FootnoteReference"/>
        </w:rPr>
        <w:footnoteRef/>
      </w:r>
      <w:r>
        <w:tab/>
      </w:r>
      <w:r>
        <w:rPr>
          <w:color w:val="333333"/>
          <w:shd w:val="clear" w:color="auto" w:fill="FFFFFF"/>
        </w:rPr>
        <w:t>Uredba (ES) št. 1606/2002 Evropskega parlamenta in Sveta z dne 19. julija 2002 o uporabi mednarodnih računovodskih standardov (UL L 243, 11.9.2002, str. 1, ELI: </w:t>
      </w:r>
      <w:r>
        <w:rPr>
          <w:shd w:val="clear" w:color="auto" w:fill="FFFFFF"/>
        </w:rPr>
        <w:t>http://data.europa.eu/eli/reg/2002/1606/oj</w:t>
      </w:r>
      <w:r>
        <w:t>).</w:t>
      </w:r>
    </w:p>
  </w:footnote>
  <w:footnote w:id="10">
    <w:p w:rsidR="00745A2E" w:rsidRPr="00745A2E" w:rsidRDefault="00745A2E" w:rsidP="00C856B2">
      <w:pPr>
        <w:pStyle w:val="FootnoteText"/>
      </w:pPr>
      <w:r>
        <w:rPr>
          <w:rStyle w:val="FootnoteReference"/>
        </w:rPr>
        <w:footnoteRef/>
      </w:r>
      <w:r>
        <w:tab/>
        <w:t>Direktiva 2009/65/ES Evropskega parlamenta in Sveta z dne 13. julija 2009 o usklajevanju zakonov in drugih predpisov o kolektivnih naložbenih podjemih za vlaganja v prenosljive vrednostne papirje (KNPVP) (UL L 302, 17.11.2009, str. 32, ELI: http://data.europa.eu/eli/dir/2009/65/oj).</w:t>
      </w:r>
    </w:p>
  </w:footnote>
  <w:footnote w:id="11">
    <w:p w:rsidR="00AB5213" w:rsidRPr="009F43FA" w:rsidRDefault="00AB5213" w:rsidP="00AB5213">
      <w:pPr>
        <w:pStyle w:val="FootnoteText"/>
      </w:pPr>
      <w:r>
        <w:rPr>
          <w:rStyle w:val="FootnoteReference"/>
        </w:rPr>
        <w:footnoteRef/>
      </w:r>
      <w:r>
        <w:tab/>
      </w:r>
      <w:r>
        <w:rPr>
          <w:color w:val="333333"/>
          <w:shd w:val="clear" w:color="auto" w:fill="FFFFFF"/>
        </w:rPr>
        <w:t>Uredba (EU) št. 806/2014 Evropskega parlamenta in Sveta z dne 15. julija 2014 o določitvi enotnih pravil in enotnega postopka za reševanje kreditnih institucij in določenih investicijskih podjetij v okviru enotnega mehanizma za reševanje in enotnega sklada za reševanje ter o spremembi Uredbe (EU) št. 1093/2010 (</w:t>
      </w:r>
      <w:r>
        <w:rPr>
          <w:rStyle w:val="Emphasis"/>
          <w:i w:val="0"/>
          <w:color w:val="333333"/>
          <w:shd w:val="clear" w:color="auto" w:fill="FFFFFF"/>
        </w:rPr>
        <w:t>UL L 225, 30.7.2014, str. 1,</w:t>
      </w:r>
      <w:r>
        <w:rPr>
          <w:color w:val="333333"/>
          <w:shd w:val="clear" w:color="auto" w:fill="FFFFFF"/>
        </w:rPr>
        <w:t xml:space="preserve"> ELI: </w:t>
      </w:r>
      <w:r>
        <w:rPr>
          <w:shd w:val="clear" w:color="auto" w:fill="FFFFFF"/>
        </w:rPr>
        <w:t>http://data.europa.eu/eli/reg/2014/806/oj</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F67" w:rsidRDefault="00AC5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F67" w:rsidRDefault="00AC5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9: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64CCF07-3A24-4655-80B1-69DDCF1C8137"/>
    <w:docVar w:name="LW_COVERPAGE_TYPE" w:val="1"/>
    <w:docVar w:name="LW_CROSSREFERENCE" w:val="&lt;UNUSED&gt;"/>
    <w:docVar w:name="LW_DATE.ADOPT.CP" w:val="z dne 29.11.2024"/>
    <w:docVar w:name="LW_DATE.ADOPT.CP_DATEFORMAT" w:val="z dne %DATE%"/>
    <w:docVar w:name="LW_DATE.ADOPT.CP_ISODATE" w:val="2024-11-29"/>
    <w:docVar w:name="LW_DocType" w:val="COM"/>
    <w:docVar w:name="LW_EMISSION" w:val="29.11.2024"/>
    <w:docVar w:name="LW_EMISSION_ISODATE" w:val="2024-11-29"/>
    <w:docVar w:name="LW_EMISSION_LOCATION" w:val="BRX"/>
    <w:docVar w:name="LW_EMISSION_PREFIX" w:val="Bruselj, "/>
    <w:docVar w:name="LW_EMISSION_SUFFIX" w:val=" "/>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dolo\u269?itvi izvedbenih tehni\u269?nih standardov za uporabo Uredbe (EU) \u353?t. 575/2013 Evropskega parlamenta in Sveta v zvezi z nadzorni\u353?kim poro\u269?anjem institucij in razveljavitvi Izvedbene uredbe Komisije (EU) 2021/451"/>
    <w:docVar w:name="LW_TYPE.DOC.CP" w:val="IZVEDBENA UREDBA KOMISIJE (EU) \u8230?/\u823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C5B61"/>
    <w:rsid w:val="001D2A25"/>
    <w:rsid w:val="001D68BA"/>
    <w:rsid w:val="001D6DE5"/>
    <w:rsid w:val="001D71A4"/>
    <w:rsid w:val="001E1842"/>
    <w:rsid w:val="001E252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5DF7"/>
    <w:rsid w:val="0030081B"/>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16FF"/>
    <w:rsid w:val="00364BC6"/>
    <w:rsid w:val="00375AD2"/>
    <w:rsid w:val="00377D93"/>
    <w:rsid w:val="003808D8"/>
    <w:rsid w:val="00380C32"/>
    <w:rsid w:val="00383690"/>
    <w:rsid w:val="003841BB"/>
    <w:rsid w:val="003871A3"/>
    <w:rsid w:val="00390C97"/>
    <w:rsid w:val="003938E1"/>
    <w:rsid w:val="0039554C"/>
    <w:rsid w:val="00396ACD"/>
    <w:rsid w:val="00397F7B"/>
    <w:rsid w:val="003A0727"/>
    <w:rsid w:val="003A6B2D"/>
    <w:rsid w:val="003B423F"/>
    <w:rsid w:val="003B5FFE"/>
    <w:rsid w:val="003B7444"/>
    <w:rsid w:val="003C5DE5"/>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47AA0"/>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07A2"/>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323F"/>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131"/>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34624"/>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788C"/>
    <w:rsid w:val="008304EC"/>
    <w:rsid w:val="00831B75"/>
    <w:rsid w:val="00831BBF"/>
    <w:rsid w:val="0083639F"/>
    <w:rsid w:val="008411A4"/>
    <w:rsid w:val="00845534"/>
    <w:rsid w:val="00851A05"/>
    <w:rsid w:val="0085568D"/>
    <w:rsid w:val="008558F9"/>
    <w:rsid w:val="0085650B"/>
    <w:rsid w:val="00861384"/>
    <w:rsid w:val="008637D8"/>
    <w:rsid w:val="00865222"/>
    <w:rsid w:val="00866BF9"/>
    <w:rsid w:val="00872F95"/>
    <w:rsid w:val="00873B0A"/>
    <w:rsid w:val="00875C3C"/>
    <w:rsid w:val="0088235A"/>
    <w:rsid w:val="0089773F"/>
    <w:rsid w:val="008A0DDB"/>
    <w:rsid w:val="008A1AAC"/>
    <w:rsid w:val="008A53EE"/>
    <w:rsid w:val="008B158E"/>
    <w:rsid w:val="008B57C8"/>
    <w:rsid w:val="008C205C"/>
    <w:rsid w:val="008C5351"/>
    <w:rsid w:val="008D4069"/>
    <w:rsid w:val="008D53CD"/>
    <w:rsid w:val="008D5A0B"/>
    <w:rsid w:val="008E2694"/>
    <w:rsid w:val="008E613C"/>
    <w:rsid w:val="008F241F"/>
    <w:rsid w:val="008F42CF"/>
    <w:rsid w:val="00903919"/>
    <w:rsid w:val="00912A7E"/>
    <w:rsid w:val="00912B9C"/>
    <w:rsid w:val="009158D0"/>
    <w:rsid w:val="0092082A"/>
    <w:rsid w:val="00921097"/>
    <w:rsid w:val="00923761"/>
    <w:rsid w:val="00924D2A"/>
    <w:rsid w:val="00940731"/>
    <w:rsid w:val="009429E7"/>
    <w:rsid w:val="009446F6"/>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3208"/>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5F67"/>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71B93"/>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2E45"/>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A7196"/>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33F7"/>
    <w:rsid w:val="00E03A45"/>
    <w:rsid w:val="00E05142"/>
    <w:rsid w:val="00E07235"/>
    <w:rsid w:val="00E10AFE"/>
    <w:rsid w:val="00E145F3"/>
    <w:rsid w:val="00E152DE"/>
    <w:rsid w:val="00E2046B"/>
    <w:rsid w:val="00E223FF"/>
    <w:rsid w:val="00E23312"/>
    <w:rsid w:val="00E26BFF"/>
    <w:rsid w:val="00E26FB5"/>
    <w:rsid w:val="00E279D7"/>
    <w:rsid w:val="00E328B4"/>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549D"/>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67E5F"/>
    <w:rsid w:val="00F71326"/>
    <w:rsid w:val="00F80F79"/>
    <w:rsid w:val="00F86BE8"/>
    <w:rsid w:val="00F90071"/>
    <w:rsid w:val="00F908C1"/>
    <w:rsid w:val="00F90E77"/>
    <w:rsid w:val="00F95EC7"/>
    <w:rsid w:val="00FA0D90"/>
    <w:rsid w:val="00FA423C"/>
    <w:rsid w:val="00FA6A20"/>
    <w:rsid w:val="00FB1067"/>
    <w:rsid w:val="00FB327E"/>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sl-SI"/>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sl-SI"/>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AC5F67"/>
    <w:rPr>
      <w:rFonts w:ascii="Times New Roman" w:hAnsi="Times New Roman" w:cs="Times New Roman"/>
      <w:sz w:val="24"/>
      <w:lang w:val="sl-SI"/>
    </w:rPr>
  </w:style>
  <w:style w:type="character" w:customStyle="1" w:styleId="FooterChar">
    <w:name w:val="Footer Char"/>
    <w:basedOn w:val="DefaultParagraphFont"/>
    <w:link w:val="Footer"/>
    <w:uiPriority w:val="99"/>
    <w:rsid w:val="00AC5F67"/>
    <w:rPr>
      <w:rFonts w:ascii="Times New Roman" w:hAnsi="Times New Roman" w:cs="Times New Roman"/>
      <w:sz w:val="24"/>
      <w:lang w:val="sl-S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l-S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l-S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l-S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l-S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l-S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l-S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l-S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AC5F6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AC5F67"/>
    <w:pPr>
      <w:spacing w:before="0"/>
      <w:jc w:val="right"/>
    </w:pPr>
    <w:rPr>
      <w:sz w:val="28"/>
    </w:rPr>
  </w:style>
  <w:style w:type="paragraph" w:customStyle="1" w:styleId="FooterSensitivity">
    <w:name w:val="Footer Sensitivity"/>
    <w:basedOn w:val="Normal"/>
    <w:rsid w:val="00AC5F6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AC5F67"/>
    <w:pPr>
      <w:tabs>
        <w:tab w:val="center" w:pos="4535"/>
        <w:tab w:val="right" w:pos="9071"/>
      </w:tabs>
      <w:spacing w:before="0"/>
    </w:pPr>
  </w:style>
  <w:style w:type="paragraph" w:customStyle="1" w:styleId="HeaderLandscape">
    <w:name w:val="HeaderLandscape"/>
    <w:basedOn w:val="Normal"/>
    <w:rsid w:val="00AC5F67"/>
    <w:pPr>
      <w:tabs>
        <w:tab w:val="center" w:pos="7285"/>
        <w:tab w:val="right" w:pos="14003"/>
      </w:tabs>
      <w:spacing w:before="0"/>
    </w:pPr>
  </w:style>
  <w:style w:type="paragraph" w:styleId="Footer">
    <w:name w:val="footer"/>
    <w:basedOn w:val="Normal"/>
    <w:link w:val="FooterChar"/>
    <w:uiPriority w:val="99"/>
    <w:unhideWhenUsed/>
    <w:rsid w:val="00AC5F67"/>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AC5F67"/>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F279F9-ADAE-4E40-B021-ED916A45D33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4</TotalTime>
  <Pages>17</Pages>
  <Words>6927</Words>
  <Characters>39484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46319</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40</cp:revision>
  <dcterms:created xsi:type="dcterms:W3CDTF">2024-11-08T11:56:00Z</dcterms:created>
  <dcterms:modified xsi:type="dcterms:W3CDTF">2024-12-03T15:49:00Z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