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186F7E" w:rsidRDefault="006A47D6" w:rsidP="006A47D6">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B502FB99-EF7C-4067-9A65-2C4C49A347C5" style="width:455.25pt;height:414pt">
            <v:imagedata r:id="rId11" o:title=""/>
          </v:shape>
        </w:pict>
      </w:r>
    </w:p>
    <w:p w:rsidR="00185C9B" w:rsidRPr="00186F7E" w:rsidRDefault="00185C9B">
      <w:pPr>
        <w:rPr>
          <w:noProof/>
          <w:szCs w:val="24"/>
        </w:rPr>
        <w:sectPr w:rsidR="00185C9B" w:rsidRPr="00186F7E" w:rsidSect="006A47D6">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186F7E" w:rsidRDefault="0082453D" w:rsidP="0082453D">
      <w:pPr>
        <w:pStyle w:val="Typedudocument"/>
        <w:rPr>
          <w:noProof/>
        </w:rPr>
      </w:pPr>
      <w:bookmarkStart w:id="0" w:name="_GoBack"/>
      <w:bookmarkEnd w:id="0"/>
      <w:r w:rsidRPr="0082453D">
        <w:rPr>
          <w:noProof/>
        </w:rPr>
        <w:lastRenderedPageBreak/>
        <w:t>KOMMISSIONENS GENNEMFØRELSESFORORDNING (EU) …/…</w:t>
      </w:r>
    </w:p>
    <w:p w:rsidR="00185C9B" w:rsidRPr="00186F7E" w:rsidRDefault="005D4D58" w:rsidP="0082453D">
      <w:pPr>
        <w:pStyle w:val="Datedadoption"/>
        <w:rPr>
          <w:noProof/>
        </w:rPr>
      </w:pPr>
      <w:r>
        <w:rPr>
          <w:noProof/>
        </w:rPr>
        <w:t>af 29.11.2024</w:t>
      </w:r>
    </w:p>
    <w:p w:rsidR="00185C9B" w:rsidRPr="00186F7E" w:rsidRDefault="0082453D" w:rsidP="0082453D">
      <w:pPr>
        <w:pStyle w:val="Titreobjet"/>
        <w:rPr>
          <w:noProof/>
        </w:rPr>
      </w:pPr>
      <w:r w:rsidRPr="0082453D">
        <w:rPr>
          <w:noProof/>
        </w:rPr>
        <w:t>om gennemførelsesmæssige tekniske standarder for anvendelsen af Europa-Parlamentets og Rådets forordning (EU) nr. 575/2013 for så vidt angår institutters indberetning med henblik på tilsyn og om ophævelse af Kommissionens gennemførelsesforordning (EU) 2021/451</w:t>
      </w:r>
    </w:p>
    <w:p w:rsidR="00185C9B" w:rsidRPr="00186F7E" w:rsidRDefault="0082453D" w:rsidP="0082453D">
      <w:pPr>
        <w:pStyle w:val="IntrtEEE"/>
        <w:rPr>
          <w:noProof/>
        </w:rPr>
      </w:pPr>
      <w:r w:rsidRPr="0082453D">
        <w:rPr>
          <w:noProof/>
        </w:rPr>
        <w:t>(EØS-relevant tekst)</w:t>
      </w:r>
    </w:p>
    <w:p w:rsidR="00185C9B" w:rsidRPr="00186F7E" w:rsidRDefault="00185C9B" w:rsidP="004E1EF9">
      <w:pPr>
        <w:pStyle w:val="Institutionquiagit"/>
        <w:rPr>
          <w:noProof/>
          <w:szCs w:val="24"/>
        </w:rPr>
      </w:pPr>
      <w:r w:rsidRPr="00186F7E">
        <w:rPr>
          <w:noProof/>
        </w:rPr>
        <w:t>EUROPA-KOMMISSIONEN HAR —</w:t>
      </w:r>
    </w:p>
    <w:p w:rsidR="00185C9B" w:rsidRPr="00186F7E" w:rsidRDefault="00185C9B" w:rsidP="004E1EF9">
      <w:pPr>
        <w:rPr>
          <w:noProof/>
          <w:szCs w:val="24"/>
        </w:rPr>
      </w:pPr>
      <w:r w:rsidRPr="00186F7E">
        <w:rPr>
          <w:noProof/>
        </w:rPr>
        <w:t>under henvisning til traktaten om Den Europæiske Unions funktionsmåde,</w:t>
      </w:r>
    </w:p>
    <w:p w:rsidR="00716EA9" w:rsidRPr="00186F7E" w:rsidRDefault="00716EA9" w:rsidP="00716EA9">
      <w:pPr>
        <w:rPr>
          <w:noProof/>
          <w:szCs w:val="24"/>
        </w:rPr>
      </w:pPr>
      <w:r w:rsidRPr="00186F7E">
        <w:rPr>
          <w:noProof/>
        </w:rPr>
        <w:t>under henvisning til Europa-Parlamentets og Rådets forordning (EU) nr. 575/2013 af 26. juni 2013 om tilsynsmæssige krav til kreditinstitutter og om ændring af forordning (EU) nr. 648/2012</w:t>
      </w:r>
      <w:r w:rsidRPr="00186F7E">
        <w:rPr>
          <w:rStyle w:val="FootnoteReference"/>
          <w:noProof/>
          <w:szCs w:val="24"/>
        </w:rPr>
        <w:footnoteReference w:id="2"/>
      </w:r>
      <w:r w:rsidRPr="00186F7E">
        <w:rPr>
          <w:noProof/>
        </w:rPr>
        <w:t>, særlig artikel 415, stk. 3, tredje afsnit, artikel 415, stk. 3a, tredje afsnit, artikel 430, stk. 7, tredje afsnit, og artikel 430, stk. 9, femte afsnit, og</w:t>
      </w:r>
    </w:p>
    <w:p w:rsidR="00716EA9" w:rsidRPr="00186F7E" w:rsidRDefault="00716EA9" w:rsidP="00716EA9">
      <w:pPr>
        <w:rPr>
          <w:noProof/>
          <w:szCs w:val="24"/>
        </w:rPr>
      </w:pPr>
      <w:r w:rsidRPr="00186F7E">
        <w:rPr>
          <w:noProof/>
        </w:rPr>
        <w:t>ud fra følgende betragtninger:</w:t>
      </w:r>
    </w:p>
    <w:p w:rsidR="00716EA9" w:rsidRPr="00186F7E" w:rsidRDefault="00D23355" w:rsidP="00D23355">
      <w:pPr>
        <w:pStyle w:val="ManualConsidrant"/>
        <w:rPr>
          <w:noProof/>
          <w:szCs w:val="24"/>
        </w:rPr>
      </w:pPr>
      <w:r w:rsidRPr="00D23355">
        <w:rPr>
          <w:noProof/>
        </w:rPr>
        <w:t>(1)</w:t>
      </w:r>
      <w:r w:rsidRPr="00D23355">
        <w:rPr>
          <w:noProof/>
        </w:rPr>
        <w:tab/>
      </w:r>
      <w:r w:rsidR="00716EA9" w:rsidRPr="00186F7E">
        <w:rPr>
          <w:noProof/>
        </w:rPr>
        <w:t>Ved Kommissionens gennemførelsesforordning (EU) 2021/451</w:t>
      </w:r>
      <w:r w:rsidR="00716EA9" w:rsidRPr="00186F7E">
        <w:rPr>
          <w:rStyle w:val="FootnoteReference"/>
          <w:noProof/>
          <w:szCs w:val="24"/>
        </w:rPr>
        <w:footnoteReference w:id="3"/>
      </w:r>
      <w:r w:rsidR="00716EA9" w:rsidRPr="00186F7E">
        <w:rPr>
          <w:noProof/>
        </w:rPr>
        <w:t xml:space="preserve"> er der på grundlag af artikel 415 og 430 i forordning (EU) nr. 575/2013 fastsat en sammenhængende indberetningsordning, herunder krav vedrørende fremlæggelse af oplysninger om kapitalgrundlag og kapitalgrundlagskrav, regnskabsdata, der skal fremlægges i overensstemmelse med internationale regnskabsstandarder (IFRS) og almindeligt anerkendte regnskabsprincipper (GAAP), om tab i forbindelse med udlån med sikkerhed i fast ejendom, om store eksponeringer, gearingsgrad, stabil finansiering, yderligere parametre for likviditetsovervågning, aktivbehæftelser, oplysninger til identificering af globale systemisk vigtige institutter (G-SII'er) og tildeling af G-SII-buffersatser samt oplysninger om renterisiko i anlægsbeholdningen. Gennemførelsesforordning (EU) 2021/451 er blevet ændret flere gange som følge af ændringerne af forordning (EU) nr. 575/2013, som blev vedtaget for at indføre, videreudvikle eller tilpasse tilsynsmæssige elementer.</w:t>
      </w:r>
    </w:p>
    <w:p w:rsidR="00716EA9" w:rsidRPr="00186F7E" w:rsidRDefault="00D23355" w:rsidP="00D23355">
      <w:pPr>
        <w:pStyle w:val="ManualConsidrant"/>
        <w:rPr>
          <w:noProof/>
          <w:szCs w:val="24"/>
        </w:rPr>
      </w:pPr>
      <w:r w:rsidRPr="00D23355">
        <w:rPr>
          <w:noProof/>
        </w:rPr>
        <w:t>(2)</w:t>
      </w:r>
      <w:r w:rsidRPr="00D23355">
        <w:rPr>
          <w:noProof/>
        </w:rPr>
        <w:tab/>
      </w:r>
      <w:r w:rsidR="00716EA9" w:rsidRPr="00186F7E">
        <w:rPr>
          <w:noProof/>
        </w:rPr>
        <w:t>Forordning (EU) nr. 575/2013 blev ændret ved Europa-Parlamentets og Rådets forordning (EU) 2024/1623</w:t>
      </w:r>
      <w:r w:rsidR="00716EA9" w:rsidRPr="00186F7E">
        <w:rPr>
          <w:rStyle w:val="FootnoteReference"/>
          <w:noProof/>
          <w:szCs w:val="24"/>
        </w:rPr>
        <w:footnoteReference w:id="4"/>
      </w:r>
      <w:r w:rsidR="00716EA9" w:rsidRPr="00186F7E">
        <w:rPr>
          <w:noProof/>
        </w:rPr>
        <w:t xml:space="preserve"> for at gennemføre det endelige sæt internationale standarder fra Baselkomitéen for Banktilsyn (Basel III). Disse ændringer bør afspejles i den indberetningsordning, der i øjeblikket er fastsat i gennemførelsesforordning (EU) 2021/451.</w:t>
      </w:r>
    </w:p>
    <w:p w:rsidR="00F470F0" w:rsidRPr="00186F7E" w:rsidRDefault="00D23355" w:rsidP="00D23355">
      <w:pPr>
        <w:pStyle w:val="ManualConsidrant"/>
        <w:rPr>
          <w:noProof/>
          <w:szCs w:val="24"/>
        </w:rPr>
      </w:pPr>
      <w:r w:rsidRPr="00D23355">
        <w:rPr>
          <w:noProof/>
        </w:rPr>
        <w:lastRenderedPageBreak/>
        <w:t>(3)</w:t>
      </w:r>
      <w:r w:rsidRPr="00D23355">
        <w:rPr>
          <w:noProof/>
        </w:rPr>
        <w:tab/>
      </w:r>
      <w:r w:rsidR="00716EA9" w:rsidRPr="00186F7E">
        <w:rPr>
          <w:noProof/>
        </w:rPr>
        <w:t>I betragtning af ændringerne af forordning (EU) nr. 575/2013 er det nødvendigt at revidere kravene vedrørende indberetning af kapitalgrundlag og kapitalgrundlagskrav (outputgulv, kreditrisiko og modpartskreditrisiko, kreditværdijusteringer, markedsrisiko, operationel risiko, tabsdækning for misligholdte eksponeringer og kryptoaktiver), kravene vedrørende indberetning af oplysninger om tab som følge af udlån med sikkerhed i fast ejendom samt kravene vedrørende indberetning af oplysninger om gearingsgraden.</w:t>
      </w:r>
    </w:p>
    <w:p w:rsidR="00716EA9" w:rsidRPr="00186F7E" w:rsidRDefault="00D23355" w:rsidP="00D23355">
      <w:pPr>
        <w:pStyle w:val="ManualConsidrant"/>
        <w:rPr>
          <w:noProof/>
          <w:szCs w:val="24"/>
        </w:rPr>
      </w:pPr>
      <w:r w:rsidRPr="00D23355">
        <w:rPr>
          <w:noProof/>
        </w:rPr>
        <w:t>(4)</w:t>
      </w:r>
      <w:r w:rsidRPr="00D23355">
        <w:rPr>
          <w:noProof/>
        </w:rPr>
        <w:tab/>
      </w:r>
      <w:r w:rsidR="00375AD2" w:rsidRPr="00186F7E">
        <w:rPr>
          <w:noProof/>
        </w:rPr>
        <w:t>I betragtning af det store antal ændringer, der er nødvendige for at gennemføre de nye regler om indberetningsforpligtelser, er det at foretrække at ophæve og erstatte gennemførelsesforordning (EU) 2021/451 frem for blot at ændre nævnte gennemførelsesforordning, da en sådan ændring ville gøre det ekstremt besværligt for de berørte økonomiske aktører at afgøre, hvilke indberetningskrav der gælder for dem.</w:t>
      </w:r>
    </w:p>
    <w:p w:rsidR="00716EA9" w:rsidRPr="00186F7E" w:rsidRDefault="00D23355" w:rsidP="00D23355">
      <w:pPr>
        <w:pStyle w:val="ManualConsidrant"/>
        <w:rPr>
          <w:noProof/>
          <w:szCs w:val="24"/>
        </w:rPr>
      </w:pPr>
      <w:r w:rsidRPr="00D23355">
        <w:rPr>
          <w:noProof/>
        </w:rPr>
        <w:t>(5)</w:t>
      </w:r>
      <w:r w:rsidRPr="00D23355">
        <w:rPr>
          <w:noProof/>
        </w:rPr>
        <w:tab/>
      </w:r>
      <w:r w:rsidR="00D311FE" w:rsidRPr="00186F7E">
        <w:rPr>
          <w:noProof/>
        </w:rPr>
        <w:t>De nye kapitalkravsskemaer bør omfatte indberetning af oplysninger om kapitalgrundlagskravenes og kapitalprocenternes outputgulv og navnlig indberetning af oplysninger om virkningen af de overgangsbestemmelser for outputgulvet, der er fastsat i artikel 465 i forordning (EU) nr. 575/2013. Indberetningsdataene bør omfatte oplysninger om virkningen af outputgulvet og af overgangsbestemmelserne i artikel 465 i forordning (EU) nr. 575/2013. Koncernsolvensskemaerne bør indeholde en ny kolonne til indberetning af oplysninger om justeringen af gulvet for enheder, der er underlagt kapitalgrundlagskrav.</w:t>
      </w:r>
    </w:p>
    <w:p w:rsidR="00716EA9" w:rsidRPr="00186F7E" w:rsidRDefault="00D23355" w:rsidP="00D23355">
      <w:pPr>
        <w:pStyle w:val="ManualConsidrant"/>
        <w:rPr>
          <w:noProof/>
          <w:szCs w:val="24"/>
        </w:rPr>
      </w:pPr>
      <w:r w:rsidRPr="00D23355">
        <w:rPr>
          <w:noProof/>
        </w:rPr>
        <w:t>(6)</w:t>
      </w:r>
      <w:r w:rsidRPr="00D23355">
        <w:rPr>
          <w:noProof/>
        </w:rPr>
        <w:tab/>
      </w:r>
      <w:r w:rsidR="00716EA9" w:rsidRPr="00186F7E">
        <w:rPr>
          <w:noProof/>
        </w:rPr>
        <w:t>Kreditrisikoskemaerne for standardmetoden (Standardised Approach - "SA") bør afspejle ændringerne i eksponeringsklasserne og de nye risikovægte. De bør desuden afspejle den mere detaljerede metode, der anvendes på eksponeringer sikret ved pant i fast ejendom, og bør afspejle visse ændringer i beregningen af eksponeringsværdien af ikkebalanceførte poster, som alle blev indført i forordning (EU) nr. 575/2013 ved forordning (EU) 2024/1623.</w:t>
      </w:r>
    </w:p>
    <w:p w:rsidR="00716EA9" w:rsidRPr="00186F7E" w:rsidRDefault="00D23355" w:rsidP="00D23355">
      <w:pPr>
        <w:pStyle w:val="ManualConsidrant"/>
        <w:rPr>
          <w:noProof/>
          <w:szCs w:val="24"/>
        </w:rPr>
      </w:pPr>
      <w:r w:rsidRPr="00D23355">
        <w:rPr>
          <w:noProof/>
        </w:rPr>
        <w:t>(7)</w:t>
      </w:r>
      <w:r w:rsidRPr="00D23355">
        <w:rPr>
          <w:noProof/>
        </w:rPr>
        <w:tab/>
      </w:r>
      <w:r w:rsidR="00716EA9" w:rsidRPr="00186F7E">
        <w:rPr>
          <w:noProof/>
        </w:rPr>
        <w:t>Kreditrisikoskemaerne for IRB-metoden bør afspejle ændringerne i klassificeringen af eksponeringsklasserne, navnlig for at begrænse anvendelsen af institutters og store virksomheders eksponeringer i forbindelse med den grundlæggende IRB-metode (Foundation Internal Ratings Based Approach - "FIRB"), og de bør omfatte indberetning af oplysninger om nye eksponeringsklasser, herunder offentlige enheder (PSE'er) og regionale eller lokale myndigheder (RGLA'er). Endelig bør indberetning af kreditkonverteringsfaktorerne både af standardtypen og ved egen beregning indgå i de nye skemaer.</w:t>
      </w:r>
    </w:p>
    <w:p w:rsidR="00716EA9" w:rsidRPr="00186F7E" w:rsidRDefault="00D23355" w:rsidP="00D23355">
      <w:pPr>
        <w:pStyle w:val="ManualConsidrant"/>
        <w:rPr>
          <w:noProof/>
          <w:szCs w:val="24"/>
        </w:rPr>
      </w:pPr>
      <w:r w:rsidRPr="00D23355">
        <w:rPr>
          <w:noProof/>
        </w:rPr>
        <w:t>(8)</w:t>
      </w:r>
      <w:r w:rsidRPr="00D23355">
        <w:rPr>
          <w:noProof/>
        </w:rPr>
        <w:tab/>
      </w:r>
      <w:r w:rsidR="00716EA9" w:rsidRPr="00186F7E">
        <w:rPr>
          <w:noProof/>
        </w:rPr>
        <w:t>De nye skemaer til indberetning af oplysninger om tabsdækning for misligholdte eksponeringer bør afspejle ændringerne af omfanget af de eksponeringer, der er omfattet af kravene til tabsdækning, og ændringerne af tidsplanen.</w:t>
      </w:r>
    </w:p>
    <w:p w:rsidR="00716EA9" w:rsidRPr="00186F7E" w:rsidRDefault="00D23355" w:rsidP="00D23355">
      <w:pPr>
        <w:pStyle w:val="ManualConsidrant"/>
        <w:rPr>
          <w:noProof/>
          <w:szCs w:val="24"/>
        </w:rPr>
      </w:pPr>
      <w:r w:rsidRPr="00D23355">
        <w:rPr>
          <w:noProof/>
        </w:rPr>
        <w:t>(9)</w:t>
      </w:r>
      <w:r w:rsidRPr="00D23355">
        <w:rPr>
          <w:noProof/>
        </w:rPr>
        <w:tab/>
      </w:r>
      <w:r w:rsidR="0033133E" w:rsidRPr="00186F7E">
        <w:rPr>
          <w:noProof/>
        </w:rPr>
        <w:t>I et nyt indberetningsskema bør der indberettes oplysninger om eksponeringer mod kryptoaktiver for at afspejle den samlede risikoeksponering for disse eksponeringer.</w:t>
      </w:r>
    </w:p>
    <w:p w:rsidR="00716EA9" w:rsidRPr="00186F7E" w:rsidRDefault="00D23355" w:rsidP="00D23355">
      <w:pPr>
        <w:pStyle w:val="ManualConsidrant"/>
        <w:rPr>
          <w:noProof/>
          <w:szCs w:val="24"/>
        </w:rPr>
      </w:pPr>
      <w:r w:rsidRPr="00D23355">
        <w:rPr>
          <w:noProof/>
        </w:rPr>
        <w:t>(10)</w:t>
      </w:r>
      <w:r w:rsidRPr="00D23355">
        <w:rPr>
          <w:noProof/>
        </w:rPr>
        <w:tab/>
      </w:r>
      <w:r w:rsidR="00716EA9" w:rsidRPr="00186F7E">
        <w:rPr>
          <w:noProof/>
        </w:rPr>
        <w:t>Indberetningen af aggregerede data for hvert nationalt marked for fast ejendom ("IP Losses") bør afspejle de nye specifikke indberetningsforpligtelser, der er fastsat i artikel 430a, stk. 1, i forordning (EU) nr. 575/2013.</w:t>
      </w:r>
    </w:p>
    <w:p w:rsidR="00716EA9" w:rsidRPr="00186F7E" w:rsidRDefault="00D23355" w:rsidP="00D23355">
      <w:pPr>
        <w:pStyle w:val="ManualConsidrant"/>
        <w:rPr>
          <w:noProof/>
          <w:szCs w:val="24"/>
        </w:rPr>
      </w:pPr>
      <w:r w:rsidRPr="00D23355">
        <w:rPr>
          <w:noProof/>
        </w:rPr>
        <w:t>(11)</w:t>
      </w:r>
      <w:r w:rsidRPr="00D23355">
        <w:rPr>
          <w:noProof/>
        </w:rPr>
        <w:tab/>
      </w:r>
      <w:r w:rsidR="00716EA9" w:rsidRPr="00186F7E">
        <w:rPr>
          <w:noProof/>
        </w:rPr>
        <w:t>Indberetningen af kreditværdijusteringer (Credit Valuation Adjustments - "CVA") bør afspejle standardmetoden, basismetoden og den forenklede metode og bør tage højde for visse specifikke indberetningskrav vedrørende CVA-risiko, som alle blev indført ved afsnit VI i forordning (EU) nr. 575/2013.</w:t>
      </w:r>
    </w:p>
    <w:p w:rsidR="00716EA9" w:rsidRPr="00186F7E" w:rsidRDefault="00D23355" w:rsidP="00D23355">
      <w:pPr>
        <w:pStyle w:val="ManualConsidrant"/>
        <w:rPr>
          <w:noProof/>
          <w:szCs w:val="24"/>
        </w:rPr>
      </w:pPr>
      <w:r w:rsidRPr="00D23355">
        <w:rPr>
          <w:noProof/>
        </w:rPr>
        <w:t>(12)</w:t>
      </w:r>
      <w:r w:rsidRPr="00D23355">
        <w:rPr>
          <w:noProof/>
        </w:rPr>
        <w:tab/>
      </w:r>
      <w:r w:rsidR="00716EA9" w:rsidRPr="00186F7E">
        <w:rPr>
          <w:noProof/>
        </w:rPr>
        <w:t xml:space="preserve">Ved forordning (EU) 2024/1623 revideredes rammerne for grænsen mellem positioner i handelsbeholdningen og positioner uden for handelsbeholdningen. Indberetningsskemaerne bør derfor også omfatte indberetning af oplysninger om handelsbeholdningens sammensætning med hensyn til de nye kriterier i artikel 104 i forordning (EU) nr. 575/2013. </w:t>
      </w:r>
    </w:p>
    <w:p w:rsidR="00716EA9" w:rsidRPr="00186F7E" w:rsidRDefault="00D23355" w:rsidP="00D23355">
      <w:pPr>
        <w:pStyle w:val="ManualConsidrant"/>
        <w:rPr>
          <w:noProof/>
          <w:szCs w:val="24"/>
        </w:rPr>
      </w:pPr>
      <w:r w:rsidRPr="00D23355">
        <w:rPr>
          <w:noProof/>
        </w:rPr>
        <w:t>(13)</w:t>
      </w:r>
      <w:r w:rsidRPr="00D23355">
        <w:rPr>
          <w:noProof/>
        </w:rPr>
        <w:tab/>
      </w:r>
      <w:r w:rsidR="007051E2" w:rsidRPr="00186F7E">
        <w:rPr>
          <w:noProof/>
        </w:rPr>
        <w:t>Det er nødvendigt, at skæringsdatoerne for indberetning for så vidt angår kapitalgrundlag, kapitalgrundlagskrav og yderligere indberetningskrav på individuelt og konsolideret grundlag tilpasses til det pågældende regnskabsårs slutdato.</w:t>
      </w:r>
    </w:p>
    <w:p w:rsidR="00716EA9" w:rsidRPr="00186F7E" w:rsidRDefault="00D23355" w:rsidP="00D23355">
      <w:pPr>
        <w:pStyle w:val="ManualConsidrant"/>
        <w:rPr>
          <w:noProof/>
          <w:szCs w:val="24"/>
        </w:rPr>
      </w:pPr>
      <w:r w:rsidRPr="00D23355">
        <w:rPr>
          <w:noProof/>
        </w:rPr>
        <w:t>(14)</w:t>
      </w:r>
      <w:r w:rsidRPr="00D23355">
        <w:rPr>
          <w:noProof/>
        </w:rPr>
        <w:tab/>
      </w:r>
      <w:r w:rsidR="009522F9" w:rsidRPr="00186F7E">
        <w:rPr>
          <w:noProof/>
        </w:rPr>
        <w:t xml:space="preserve">For at give institutterne mulighed for at etablere de indberetningssystemer, der er nødvendige for at opfylde indberetningsforpligtelserne, bør enheder, der for første gang udøver aktiviteter som kreditinstitut, have mere tid til at indsende skemaerne. </w:t>
      </w:r>
    </w:p>
    <w:p w:rsidR="002823A7" w:rsidRPr="00186F7E" w:rsidRDefault="00D23355" w:rsidP="00D23355">
      <w:pPr>
        <w:pStyle w:val="ManualConsidrant"/>
        <w:rPr>
          <w:noProof/>
          <w:szCs w:val="24"/>
        </w:rPr>
      </w:pPr>
      <w:r w:rsidRPr="00D23355">
        <w:rPr>
          <w:noProof/>
        </w:rPr>
        <w:t>(15)</w:t>
      </w:r>
      <w:r w:rsidRPr="00D23355">
        <w:rPr>
          <w:noProof/>
        </w:rPr>
        <w:tab/>
      </w:r>
      <w:r w:rsidR="002823A7" w:rsidRPr="00186F7E">
        <w:rPr>
          <w:noProof/>
        </w:rPr>
        <w:t>Forordning (EU) 2024/1623 ændrede artikel 430, stk. 7, første afsnit, i forordning (EU) nr. 575/2013 og indførte et krav om, at EBA skal udvikle IT-løsninger, herunder indberetningsskemaer og -vejledninger, der skal anvendes af institutterne ved opfyldelse af de indberetningsforpligtelser, der er fastsat i nævnte artikel, stk. 1 til 4.</w:t>
      </w:r>
      <w:r w:rsidR="002823A7" w:rsidRPr="00186F7E">
        <w:rPr>
          <w:noProof/>
          <w:color w:val="000000"/>
        </w:rPr>
        <w:t xml:space="preserve"> De datapunkter og oplysninger, som institutterne skal indberette, og som EBA bør medtage i de pågældende IT-løsninger, bør derfor præciseres med tilstrækkelig klarhed. </w:t>
      </w:r>
      <w:r w:rsidR="002823A7" w:rsidRPr="00186F7E">
        <w:rPr>
          <w:noProof/>
        </w:rPr>
        <w:t>For at give EBA mulighed for at udvikle passende IT-løsninger bør de ensartede indberetningsformater ikke være bindende for så vidt angår strukturen og fremstillingen, da EBA ikke bør være forpligtet til at gengive det grafiske udseende og den tabelstruktur, der er fastsat i bilaget.</w:t>
      </w:r>
      <w:r w:rsidR="002823A7" w:rsidRPr="00186F7E">
        <w:rPr>
          <w:noProof/>
          <w:color w:val="000000"/>
        </w:rPr>
        <w:t xml:space="preserve"> </w:t>
      </w:r>
      <w:r w:rsidR="002823A7" w:rsidRPr="00186F7E">
        <w:rPr>
          <w:noProof/>
        </w:rPr>
        <w:t>EBA bør navnlig kunne afvige fra det grafiske udseende og tabelstrukturen i indberetningsskemaerne, så længe alle påkrævede datapunkter og oplysninger indgår i IT-løsningen.</w:t>
      </w:r>
      <w:r w:rsidR="002823A7" w:rsidRPr="00186F7E">
        <w:rPr>
          <w:noProof/>
          <w:color w:val="000000"/>
        </w:rPr>
        <w:t xml:space="preserve"> </w:t>
      </w:r>
    </w:p>
    <w:p w:rsidR="00716EA9" w:rsidRPr="00186F7E" w:rsidRDefault="00D23355" w:rsidP="00D23355">
      <w:pPr>
        <w:pStyle w:val="ManualConsidrant"/>
        <w:rPr>
          <w:noProof/>
          <w:szCs w:val="24"/>
        </w:rPr>
      </w:pPr>
      <w:r w:rsidRPr="00D23355">
        <w:rPr>
          <w:noProof/>
        </w:rPr>
        <w:t>(16)</w:t>
      </w:r>
      <w:r w:rsidRPr="00D23355">
        <w:rPr>
          <w:noProof/>
        </w:rPr>
        <w:tab/>
      </w:r>
      <w:r w:rsidR="00716EA9" w:rsidRPr="00186F7E">
        <w:rPr>
          <w:noProof/>
        </w:rPr>
        <w:t xml:space="preserve">For at give institutterne tilstrækkelig tid til at tilpasse deres eget interne system og opfylde de reviderede indberetningskrav er det nødvendigt at fastsætte overgangsbestemmelser, hvorved fristen for den første kvartalsvise indberetning udsættes. </w:t>
      </w:r>
    </w:p>
    <w:p w:rsidR="008A53EE" w:rsidRPr="00186F7E" w:rsidRDefault="00D23355" w:rsidP="00D23355">
      <w:pPr>
        <w:pStyle w:val="ManualConsidrant"/>
        <w:rPr>
          <w:noProof/>
          <w:szCs w:val="24"/>
        </w:rPr>
      </w:pPr>
      <w:r w:rsidRPr="00D23355">
        <w:rPr>
          <w:noProof/>
        </w:rPr>
        <w:t>(17)</w:t>
      </w:r>
      <w:r w:rsidRPr="00D23355">
        <w:rPr>
          <w:noProof/>
        </w:rPr>
        <w:tab/>
      </w:r>
      <w:r w:rsidR="008A53EE" w:rsidRPr="00186F7E">
        <w:rPr>
          <w:noProof/>
        </w:rPr>
        <w:t>For at tilpasse tidslinjen for indberetningskravet vedrørende handelsbeholdningens sammensætning til tidslinjen for anvendelsen af de krav vedrørende markedsrisiko, der er fastsat i tredje del, afsnit IV, kapitel 1a og 1b, i forordning (EU) nr. 575/2013, er det nødvendigt at fastsætte en overgangsbestemmelse for at give mulighed for en senere første skæringsdato for nævnte indberetningskrav.</w:t>
      </w:r>
    </w:p>
    <w:p w:rsidR="006427FA" w:rsidRPr="00186F7E" w:rsidRDefault="00D23355" w:rsidP="00D23355">
      <w:pPr>
        <w:pStyle w:val="ManualConsidrant"/>
        <w:rPr>
          <w:noProof/>
          <w:szCs w:val="24"/>
        </w:rPr>
      </w:pPr>
      <w:r w:rsidRPr="00D23355">
        <w:rPr>
          <w:noProof/>
        </w:rPr>
        <w:t>(18)</w:t>
      </w:r>
      <w:r w:rsidRPr="00D23355">
        <w:rPr>
          <w:noProof/>
        </w:rPr>
        <w:tab/>
      </w:r>
      <w:r w:rsidR="006427FA" w:rsidRPr="00186F7E">
        <w:rPr>
          <w:noProof/>
        </w:rPr>
        <w:t>Bestemmelserne i denne forordning er tæt forbundne, eftersom de alle omhandler indberetningskrav for institutter. Af hensyn til sammenhængen mellem disse bestemmelser, og for at de personer, som er omfattet af disse regler, lettere kan få et samlet overblik over og samlet adgang til dem, er det hensigtsmæssigt at samle alle de gennemførelsesmæssige tekniske standarder, der kræves i forordning (EU) nr. 575/2013, i én enkelt forordning.</w:t>
      </w:r>
    </w:p>
    <w:p w:rsidR="00716EA9" w:rsidRPr="00186F7E" w:rsidRDefault="00D23355" w:rsidP="00D23355">
      <w:pPr>
        <w:pStyle w:val="ManualConsidrant"/>
        <w:rPr>
          <w:noProof/>
          <w:szCs w:val="24"/>
        </w:rPr>
      </w:pPr>
      <w:r w:rsidRPr="00D23355">
        <w:rPr>
          <w:noProof/>
        </w:rPr>
        <w:t>(19)</w:t>
      </w:r>
      <w:r w:rsidRPr="00D23355">
        <w:rPr>
          <w:noProof/>
        </w:rPr>
        <w:tab/>
      </w:r>
      <w:r w:rsidR="00716EA9" w:rsidRPr="00186F7E">
        <w:rPr>
          <w:noProof/>
        </w:rPr>
        <w:t xml:space="preserve">Denne forordning er baseret på det udkast til gennemførelsesmæssige tekniske standarder, som Den Europæiske Banktilsynsmyndighed har forelagt Kommissionen. </w:t>
      </w:r>
    </w:p>
    <w:p w:rsidR="00716EA9" w:rsidRPr="00186F7E" w:rsidRDefault="00D23355" w:rsidP="00D23355">
      <w:pPr>
        <w:pStyle w:val="ManualConsidrant"/>
        <w:rPr>
          <w:noProof/>
          <w:szCs w:val="24"/>
        </w:rPr>
      </w:pPr>
      <w:r w:rsidRPr="00D23355">
        <w:rPr>
          <w:noProof/>
        </w:rPr>
        <w:t>(20)</w:t>
      </w:r>
      <w:r w:rsidRPr="00D23355">
        <w:rPr>
          <w:noProof/>
        </w:rPr>
        <w:tab/>
      </w:r>
      <w:r w:rsidR="00716EA9" w:rsidRPr="00186F7E">
        <w:rPr>
          <w:noProof/>
        </w:rPr>
        <w:t>Den Europæiske Banktilsynsmyndighed har afholdt åbne offentlige høringer om det udkast til gennemførelsesmæssige tekniske standarder, som ligger til grund for nærværende forordning, analyseret de potentielle omkostninger og fordele og anmodet interessentgruppen for banker, der er nedsat i henhold til artikel 37 i Europa-Parlamentets og Rådets forordning (EU) nr. 1093/2010</w:t>
      </w:r>
      <w:r w:rsidR="00716EA9" w:rsidRPr="00186F7E">
        <w:rPr>
          <w:rStyle w:val="FootnoteReference"/>
          <w:noProof/>
          <w:szCs w:val="24"/>
        </w:rPr>
        <w:footnoteReference w:id="5"/>
      </w:r>
      <w:r w:rsidR="00716EA9" w:rsidRPr="00186F7E">
        <w:rPr>
          <w:noProof/>
        </w:rPr>
        <w:t>, om rådgivning.</w:t>
      </w:r>
    </w:p>
    <w:p w:rsidR="003D2BEA" w:rsidRPr="00186F7E" w:rsidRDefault="00D23355" w:rsidP="00D23355">
      <w:pPr>
        <w:pStyle w:val="ManualConsidrant"/>
        <w:rPr>
          <w:noProof/>
          <w:szCs w:val="24"/>
        </w:rPr>
      </w:pPr>
      <w:r w:rsidRPr="00D23355">
        <w:rPr>
          <w:noProof/>
        </w:rPr>
        <w:t>(21)</w:t>
      </w:r>
      <w:r w:rsidRPr="00D23355">
        <w:rPr>
          <w:noProof/>
        </w:rPr>
        <w:tab/>
      </w:r>
      <w:r w:rsidR="00716EA9" w:rsidRPr="00186F7E">
        <w:rPr>
          <w:noProof/>
        </w:rPr>
        <w:t>For at give institutterne tilstrækkelig tid til at forberede sig på at indberette i overensstemmelse med denne forordning og artikel 430, stk. 7, i forordning (EU) nr. 575/2013 bør den første anvendelsesdato fastsættes til seks måneder efter ikrafttrædelsesdatoen</w:t>
      </w:r>
    </w:p>
    <w:p w:rsidR="00716EA9" w:rsidRPr="00186F7E" w:rsidRDefault="00D23355" w:rsidP="00D23355">
      <w:pPr>
        <w:pStyle w:val="ManualConsidrant"/>
        <w:rPr>
          <w:noProof/>
          <w:szCs w:val="24"/>
        </w:rPr>
      </w:pPr>
      <w:r w:rsidRPr="00D23355">
        <w:rPr>
          <w:noProof/>
        </w:rPr>
        <w:t>(22)</w:t>
      </w:r>
      <w:r w:rsidRPr="00D23355">
        <w:rPr>
          <w:noProof/>
        </w:rPr>
        <w:tab/>
      </w:r>
      <w:r w:rsidR="003D2BEA" w:rsidRPr="00186F7E">
        <w:rPr>
          <w:noProof/>
        </w:rPr>
        <w:t xml:space="preserve">Med henblik på hurtigst muligt at indføre den reviderede indberetningsordning bør denne forordning træde i kraft dagen efter offentliggørelsen i </w:t>
      </w:r>
      <w:r w:rsidR="003D2BEA" w:rsidRPr="00186F7E">
        <w:rPr>
          <w:i/>
          <w:noProof/>
        </w:rPr>
        <w:t>Den Europæiske Unions Tidende</w:t>
      </w:r>
      <w:r w:rsidR="003D2BEA" w:rsidRPr="00186F7E">
        <w:rPr>
          <w:noProof/>
        </w:rPr>
        <w:t xml:space="preserve"> —</w:t>
      </w:r>
    </w:p>
    <w:p w:rsidR="00185C9B" w:rsidRPr="00186F7E" w:rsidRDefault="00185C9B" w:rsidP="004E1EF9">
      <w:pPr>
        <w:pStyle w:val="Formuledadoption"/>
        <w:rPr>
          <w:noProof/>
          <w:szCs w:val="24"/>
        </w:rPr>
      </w:pPr>
      <w:r w:rsidRPr="00186F7E">
        <w:rPr>
          <w:noProof/>
        </w:rPr>
        <w:t>VEDTAGET DENNE FORORDNING:</w:t>
      </w:r>
    </w:p>
    <w:p w:rsidR="00185C9B" w:rsidRPr="00186F7E" w:rsidRDefault="00185C9B" w:rsidP="00134C2F">
      <w:pPr>
        <w:pStyle w:val="Titrearticle"/>
        <w:spacing w:after="0"/>
        <w:rPr>
          <w:noProof/>
          <w:szCs w:val="24"/>
        </w:rPr>
      </w:pPr>
      <w:r w:rsidRPr="00186F7E">
        <w:rPr>
          <w:noProof/>
        </w:rPr>
        <w:t>Artikel 1</w:t>
      </w:r>
    </w:p>
    <w:p w:rsidR="00716EA9" w:rsidRPr="00186F7E" w:rsidRDefault="00716EA9" w:rsidP="00134C2F">
      <w:pPr>
        <w:pStyle w:val="Titrearticle"/>
        <w:spacing w:before="0"/>
        <w:rPr>
          <w:b/>
          <w:bCs/>
          <w:i w:val="0"/>
          <w:iCs/>
          <w:noProof/>
          <w:szCs w:val="24"/>
        </w:rPr>
      </w:pPr>
      <w:r w:rsidRPr="00186F7E">
        <w:rPr>
          <w:b/>
          <w:i w:val="0"/>
          <w:noProof/>
        </w:rPr>
        <w:t>Indsendelse af oplysninger</w:t>
      </w:r>
    </w:p>
    <w:p w:rsidR="00716EA9" w:rsidRPr="00186F7E" w:rsidRDefault="00716EA9" w:rsidP="00C856B2">
      <w:pPr>
        <w:rPr>
          <w:noProof/>
        </w:rPr>
      </w:pPr>
      <w:r w:rsidRPr="00186F7E">
        <w:rPr>
          <w:noProof/>
        </w:rPr>
        <w:t>Denne forordning fastlægger de ensartede indberetningsformater, den indberetningshyppighed og de indberetningsdatoer, som institutterne anvender ved indberetning til deres kompetente myndigheder, i overensstemmelse med artikel 415, stk. 3 og 3a, i forordning (EU) nr. 575/2013 samt nævnte forordnings artikel 430, stk. 1-4 og stk. 7 og 9.</w:t>
      </w:r>
    </w:p>
    <w:p w:rsidR="00716EA9" w:rsidRPr="00186F7E" w:rsidRDefault="00716EA9" w:rsidP="00716EA9">
      <w:pPr>
        <w:pStyle w:val="Titrearticle"/>
        <w:rPr>
          <w:noProof/>
          <w:szCs w:val="24"/>
        </w:rPr>
      </w:pPr>
      <w:r w:rsidRPr="00186F7E">
        <w:rPr>
          <w:noProof/>
        </w:rPr>
        <w:t>Artikel 2</w:t>
      </w:r>
    </w:p>
    <w:p w:rsidR="00716EA9" w:rsidRPr="00186F7E" w:rsidRDefault="00716EA9" w:rsidP="00F22954">
      <w:pPr>
        <w:pStyle w:val="Titrearticle"/>
        <w:spacing w:before="0"/>
        <w:rPr>
          <w:b/>
          <w:bCs/>
          <w:i w:val="0"/>
          <w:iCs/>
          <w:noProof/>
          <w:szCs w:val="24"/>
        </w:rPr>
      </w:pPr>
      <w:r w:rsidRPr="00186F7E">
        <w:rPr>
          <w:b/>
          <w:i w:val="0"/>
          <w:noProof/>
        </w:rPr>
        <w:t>Skæringsdatoer for indberetning</w:t>
      </w:r>
    </w:p>
    <w:p w:rsidR="00716EA9" w:rsidRPr="00186F7E" w:rsidRDefault="00D23355" w:rsidP="00D23355">
      <w:pPr>
        <w:pStyle w:val="ManualNumPar1"/>
        <w:rPr>
          <w:noProof/>
        </w:rPr>
      </w:pPr>
      <w:r w:rsidRPr="00D23355">
        <w:rPr>
          <w:noProof/>
        </w:rPr>
        <w:t>1.</w:t>
      </w:r>
      <w:r w:rsidRPr="00D23355">
        <w:rPr>
          <w:noProof/>
        </w:rPr>
        <w:tab/>
      </w:r>
      <w:r w:rsidR="00716EA9" w:rsidRPr="00186F7E">
        <w:rPr>
          <w:noProof/>
        </w:rPr>
        <w:t>Institutterne indsender de i bilag I omhandlede oplysninger til de kompetente myndigheder, således som disse oplysninger foreligger på følgende skæringsdatoer for indberetning:</w:t>
      </w:r>
    </w:p>
    <w:p w:rsidR="00716EA9" w:rsidRPr="00186F7E" w:rsidRDefault="00186F7E" w:rsidP="00186F7E">
      <w:pPr>
        <w:pStyle w:val="Point1"/>
        <w:rPr>
          <w:noProof/>
        </w:rPr>
      </w:pPr>
      <w:r w:rsidRPr="00186F7E">
        <w:rPr>
          <w:noProof/>
        </w:rPr>
        <w:t>a)</w:t>
      </w:r>
      <w:r w:rsidRPr="00186F7E">
        <w:rPr>
          <w:noProof/>
        </w:rPr>
        <w:tab/>
      </w:r>
      <w:r w:rsidR="00716EA9" w:rsidRPr="00186F7E">
        <w:rPr>
          <w:noProof/>
        </w:rPr>
        <w:t>månedlig indberetning: på den sidste dag i hver måned</w:t>
      </w:r>
    </w:p>
    <w:p w:rsidR="00716EA9" w:rsidRPr="00186F7E" w:rsidRDefault="00186F7E" w:rsidP="00186F7E">
      <w:pPr>
        <w:pStyle w:val="Point1"/>
        <w:rPr>
          <w:noProof/>
        </w:rPr>
      </w:pPr>
      <w:r w:rsidRPr="00186F7E">
        <w:rPr>
          <w:noProof/>
        </w:rPr>
        <w:t>b)</w:t>
      </w:r>
      <w:r w:rsidRPr="00186F7E">
        <w:rPr>
          <w:noProof/>
        </w:rPr>
        <w:tab/>
      </w:r>
      <w:r w:rsidR="00716EA9" w:rsidRPr="00186F7E">
        <w:rPr>
          <w:noProof/>
        </w:rPr>
        <w:t>kvartalsvis indberetning: 31. marts, 30. juni, 30. september og 31. december</w:t>
      </w:r>
    </w:p>
    <w:p w:rsidR="00716EA9" w:rsidRPr="00186F7E" w:rsidRDefault="00186F7E" w:rsidP="00186F7E">
      <w:pPr>
        <w:pStyle w:val="Point1"/>
        <w:rPr>
          <w:noProof/>
        </w:rPr>
      </w:pPr>
      <w:r w:rsidRPr="00186F7E">
        <w:rPr>
          <w:noProof/>
        </w:rPr>
        <w:t>c)</w:t>
      </w:r>
      <w:r w:rsidRPr="00186F7E">
        <w:rPr>
          <w:noProof/>
        </w:rPr>
        <w:tab/>
      </w:r>
      <w:r w:rsidR="00716EA9" w:rsidRPr="00186F7E">
        <w:rPr>
          <w:noProof/>
        </w:rPr>
        <w:t>halvårlig indberetning: 30. juni og 31. december</w:t>
      </w:r>
    </w:p>
    <w:p w:rsidR="00716EA9" w:rsidRPr="00186F7E" w:rsidRDefault="00186F7E" w:rsidP="00186F7E">
      <w:pPr>
        <w:pStyle w:val="Point1"/>
        <w:rPr>
          <w:noProof/>
        </w:rPr>
      </w:pPr>
      <w:r w:rsidRPr="00186F7E">
        <w:rPr>
          <w:noProof/>
        </w:rPr>
        <w:t>d)</w:t>
      </w:r>
      <w:r w:rsidRPr="00186F7E">
        <w:rPr>
          <w:noProof/>
        </w:rPr>
        <w:tab/>
      </w:r>
      <w:r w:rsidR="00716EA9" w:rsidRPr="00186F7E">
        <w:rPr>
          <w:noProof/>
        </w:rPr>
        <w:t>årlig indberetning: 31. december.</w:t>
      </w:r>
    </w:p>
    <w:p w:rsidR="00716EA9" w:rsidRPr="00186F7E" w:rsidRDefault="00D23355" w:rsidP="00D23355">
      <w:pPr>
        <w:pStyle w:val="ManualNumPar1"/>
        <w:rPr>
          <w:noProof/>
        </w:rPr>
      </w:pPr>
      <w:r w:rsidRPr="00D23355">
        <w:rPr>
          <w:noProof/>
        </w:rPr>
        <w:t>2.</w:t>
      </w:r>
      <w:r w:rsidRPr="00D23355">
        <w:rPr>
          <w:noProof/>
        </w:rPr>
        <w:tab/>
      </w:r>
      <w:r w:rsidR="00A50DF2" w:rsidRPr="00186F7E">
        <w:rPr>
          <w:noProof/>
        </w:rPr>
        <w:t>Institutterne indsender de i bilag I omhandlede regnskabsdata i overensstemmelse med både IFRS og nationale regnskabsregler for en bestemt periode kumulativt fra den første dag i regnskabsåret til skæringsdatoen.</w:t>
      </w:r>
    </w:p>
    <w:p w:rsidR="00716EA9" w:rsidRPr="00186F7E" w:rsidRDefault="00D23355" w:rsidP="00D23355">
      <w:pPr>
        <w:pStyle w:val="ManualNumPar1"/>
        <w:rPr>
          <w:noProof/>
        </w:rPr>
      </w:pPr>
      <w:r w:rsidRPr="00D23355">
        <w:rPr>
          <w:noProof/>
        </w:rPr>
        <w:t>3.</w:t>
      </w:r>
      <w:r w:rsidRPr="00D23355">
        <w:rPr>
          <w:noProof/>
        </w:rPr>
        <w:tab/>
      </w:r>
      <w:r w:rsidR="00A50DF2" w:rsidRPr="00186F7E">
        <w:rPr>
          <w:noProof/>
        </w:rPr>
        <w:t>Institutter, der i henhold til national lovgivning har ret til at indberette deres regnskabsdata på grundlag af deres regnskabsårs afslutning, og hvor dette regnskabsårs afslutning afviger fra kalenderåret, kan justere skæringsdatoerne for indberetning for at bringe disse datoer i overensstemmelse med regnskabsårets afslutning, således at regnskabsdataene, de oplysninger, der indberettes i henhold til artikel 8, og oplysningerne til identifikation af globale systemisk vigtige institutter (G-SII'er) og tildelingen af G-SII-buffersatser indberettes hhv. hver 3., 6. eller 12. måned efter afslutningen af deres regnskabsår.</w:t>
      </w:r>
    </w:p>
    <w:p w:rsidR="00716EA9" w:rsidRPr="00186F7E" w:rsidRDefault="00716EA9" w:rsidP="00716EA9">
      <w:pPr>
        <w:pStyle w:val="Titrearticle"/>
        <w:rPr>
          <w:noProof/>
          <w:szCs w:val="24"/>
        </w:rPr>
      </w:pPr>
      <w:r w:rsidRPr="00186F7E">
        <w:rPr>
          <w:noProof/>
        </w:rPr>
        <w:t>Artikel 3</w:t>
      </w:r>
    </w:p>
    <w:p w:rsidR="00716EA9" w:rsidRPr="00186F7E" w:rsidRDefault="00716EA9" w:rsidP="00F22954">
      <w:pPr>
        <w:pStyle w:val="Titrearticle"/>
        <w:spacing w:before="0"/>
        <w:rPr>
          <w:b/>
          <w:bCs/>
          <w:i w:val="0"/>
          <w:iCs/>
          <w:noProof/>
          <w:szCs w:val="24"/>
        </w:rPr>
      </w:pPr>
      <w:r w:rsidRPr="00186F7E">
        <w:rPr>
          <w:b/>
          <w:i w:val="0"/>
          <w:noProof/>
        </w:rPr>
        <w:t>Indberetningsfrister</w:t>
      </w:r>
    </w:p>
    <w:p w:rsidR="00716EA9" w:rsidRPr="00186F7E" w:rsidRDefault="00D23355" w:rsidP="00D23355">
      <w:pPr>
        <w:pStyle w:val="ManualNumPar1"/>
        <w:rPr>
          <w:noProof/>
        </w:rPr>
      </w:pPr>
      <w:r w:rsidRPr="00D23355">
        <w:rPr>
          <w:noProof/>
        </w:rPr>
        <w:t>1.</w:t>
      </w:r>
      <w:r w:rsidRPr="00D23355">
        <w:rPr>
          <w:noProof/>
        </w:rPr>
        <w:tab/>
      </w:r>
      <w:r w:rsidR="00716EA9" w:rsidRPr="00186F7E">
        <w:rPr>
          <w:noProof/>
        </w:rPr>
        <w:t>Institutterne indsender de i bilag I omhandlede oplysninger til de kompetente myndigheder inden arbejdstids ophør inden for følgende indberetningsfrister:</w:t>
      </w:r>
    </w:p>
    <w:p w:rsidR="00716EA9" w:rsidRPr="00186F7E" w:rsidRDefault="00186F7E" w:rsidP="00186F7E">
      <w:pPr>
        <w:pStyle w:val="Point1"/>
        <w:rPr>
          <w:noProof/>
        </w:rPr>
      </w:pPr>
      <w:r w:rsidRPr="00186F7E">
        <w:rPr>
          <w:noProof/>
        </w:rPr>
        <w:t>a)</w:t>
      </w:r>
      <w:r w:rsidRPr="00186F7E">
        <w:rPr>
          <w:noProof/>
        </w:rPr>
        <w:tab/>
      </w:r>
      <w:r w:rsidR="00716EA9" w:rsidRPr="00186F7E">
        <w:rPr>
          <w:noProof/>
        </w:rPr>
        <w:t>månedlig indberetning: 15. kalenderdag efter skæringsdatoen for indberetning</w:t>
      </w:r>
    </w:p>
    <w:p w:rsidR="00716EA9" w:rsidRPr="00186F7E" w:rsidRDefault="00186F7E" w:rsidP="00186F7E">
      <w:pPr>
        <w:pStyle w:val="Point1"/>
        <w:rPr>
          <w:noProof/>
        </w:rPr>
      </w:pPr>
      <w:r w:rsidRPr="00186F7E">
        <w:rPr>
          <w:noProof/>
        </w:rPr>
        <w:t>b)</w:t>
      </w:r>
      <w:r w:rsidRPr="00186F7E">
        <w:rPr>
          <w:noProof/>
        </w:rPr>
        <w:tab/>
      </w:r>
      <w:r w:rsidR="00716EA9" w:rsidRPr="00186F7E">
        <w:rPr>
          <w:noProof/>
        </w:rPr>
        <w:t>kvartalsvis indberetning: 12. maj, 11. august, 11. november og 11. februar</w:t>
      </w:r>
    </w:p>
    <w:p w:rsidR="00716EA9" w:rsidRPr="00186F7E" w:rsidRDefault="00186F7E" w:rsidP="00186F7E">
      <w:pPr>
        <w:pStyle w:val="Point1"/>
        <w:rPr>
          <w:noProof/>
        </w:rPr>
      </w:pPr>
      <w:r w:rsidRPr="00186F7E">
        <w:rPr>
          <w:noProof/>
        </w:rPr>
        <w:t>c)</w:t>
      </w:r>
      <w:r w:rsidRPr="00186F7E">
        <w:rPr>
          <w:noProof/>
        </w:rPr>
        <w:tab/>
      </w:r>
      <w:r w:rsidR="00716EA9" w:rsidRPr="00186F7E">
        <w:rPr>
          <w:noProof/>
        </w:rPr>
        <w:t>halvårlig indberetning: 11. august og 11. februar</w:t>
      </w:r>
    </w:p>
    <w:p w:rsidR="00716EA9" w:rsidRPr="00186F7E" w:rsidRDefault="00186F7E" w:rsidP="00186F7E">
      <w:pPr>
        <w:pStyle w:val="Point1"/>
        <w:rPr>
          <w:noProof/>
        </w:rPr>
      </w:pPr>
      <w:r w:rsidRPr="00186F7E">
        <w:rPr>
          <w:noProof/>
        </w:rPr>
        <w:t>d)</w:t>
      </w:r>
      <w:r w:rsidRPr="00186F7E">
        <w:rPr>
          <w:noProof/>
        </w:rPr>
        <w:tab/>
      </w:r>
      <w:r w:rsidR="00716EA9" w:rsidRPr="00186F7E">
        <w:rPr>
          <w:noProof/>
        </w:rPr>
        <w:t xml:space="preserve">årlig indberetning: 11. februar. </w:t>
      </w:r>
    </w:p>
    <w:p w:rsidR="00716EA9" w:rsidRPr="00186F7E" w:rsidRDefault="00D23355" w:rsidP="00D23355">
      <w:pPr>
        <w:pStyle w:val="ManualNumPar1"/>
        <w:rPr>
          <w:noProof/>
        </w:rPr>
      </w:pPr>
      <w:r w:rsidRPr="00D23355">
        <w:rPr>
          <w:noProof/>
        </w:rPr>
        <w:t>2.</w:t>
      </w:r>
      <w:r w:rsidRPr="00D23355">
        <w:rPr>
          <w:noProof/>
        </w:rPr>
        <w:tab/>
      </w:r>
      <w:r w:rsidR="00D637BD" w:rsidRPr="00186F7E">
        <w:rPr>
          <w:noProof/>
        </w:rPr>
        <w:t>Hvis indberetningsfristen falder på en lør-, søn- eller helligdag i medlemsstaten for den kompetente myndighed, som indberetningen skal indgives til, indsender det pågældende institut dataene den efterfølgende arbejdsdag.</w:t>
      </w:r>
    </w:p>
    <w:p w:rsidR="00716EA9" w:rsidRPr="00186F7E" w:rsidRDefault="00D23355" w:rsidP="00D23355">
      <w:pPr>
        <w:pStyle w:val="ManualNumPar1"/>
        <w:rPr>
          <w:noProof/>
        </w:rPr>
      </w:pPr>
      <w:r w:rsidRPr="00D23355">
        <w:rPr>
          <w:noProof/>
        </w:rPr>
        <w:t>3.</w:t>
      </w:r>
      <w:r w:rsidRPr="00D23355">
        <w:rPr>
          <w:noProof/>
        </w:rPr>
        <w:tab/>
      </w:r>
      <w:r w:rsidR="00923761" w:rsidRPr="00186F7E">
        <w:rPr>
          <w:noProof/>
        </w:rPr>
        <w:t>Institutter, der indberetter de i bilag I omhandlede regnskabsdata eller oplysninger indberettet i overensstemmelse med artikel 8 eller oplysninger til identificering af G-SII'er og tildeling af G-SII-buffersatser ved anvendelse af justerede skæringsdatoer baseret på afslutningen af deres regnskabsår, jf. artikel 2, stk. 3, kan justere indberetningsfristerne, således at indberetningsperioden forbliver uændret i forhold til den justerede skæringsdato.</w:t>
      </w:r>
    </w:p>
    <w:p w:rsidR="00716EA9" w:rsidRPr="00186F7E" w:rsidRDefault="00D23355" w:rsidP="00D23355">
      <w:pPr>
        <w:pStyle w:val="ManualNumPar1"/>
        <w:rPr>
          <w:noProof/>
        </w:rPr>
      </w:pPr>
      <w:r w:rsidRPr="00D23355">
        <w:rPr>
          <w:noProof/>
        </w:rPr>
        <w:t>4.</w:t>
      </w:r>
      <w:r w:rsidRPr="00D23355">
        <w:rPr>
          <w:noProof/>
        </w:rPr>
        <w:tab/>
      </w:r>
      <w:r w:rsidR="00716EA9" w:rsidRPr="00186F7E">
        <w:rPr>
          <w:noProof/>
        </w:rPr>
        <w:t>Institutter kan indsende ikke-reviderede tal. Hvis reviderede tal afviger fra indsendte ikke-reviderede tal, indsender institutterne de ajourførte, reviderede tal hurtigst muligt. Ikke-reviderede tal er tal, som ikke er forsynet med en uafhængig revisors påtegning, mens reviderede tal er tal, der er revideret af en uafhængig revisor og forsynet med en revisionspåtegning.</w:t>
      </w:r>
    </w:p>
    <w:p w:rsidR="00716EA9" w:rsidRPr="00186F7E" w:rsidRDefault="00D23355" w:rsidP="00D23355">
      <w:pPr>
        <w:pStyle w:val="ManualNumPar1"/>
        <w:rPr>
          <w:noProof/>
        </w:rPr>
      </w:pPr>
      <w:r w:rsidRPr="00D23355">
        <w:rPr>
          <w:noProof/>
        </w:rPr>
        <w:t>5.</w:t>
      </w:r>
      <w:r w:rsidRPr="00D23355">
        <w:rPr>
          <w:noProof/>
        </w:rPr>
        <w:tab/>
      </w:r>
      <w:r w:rsidR="00F22954" w:rsidRPr="00186F7E">
        <w:rPr>
          <w:noProof/>
        </w:rPr>
        <w:t>Institutterne indsender hurtigst muligt de korrektioner af indsendte indberetninger, som ikke er omhandlet i stk. 4, til de kompetente myndigheder.</w:t>
      </w:r>
    </w:p>
    <w:p w:rsidR="00716EA9" w:rsidRPr="00186F7E" w:rsidRDefault="00716EA9" w:rsidP="00716EA9">
      <w:pPr>
        <w:pStyle w:val="Titrearticle"/>
        <w:rPr>
          <w:noProof/>
          <w:szCs w:val="24"/>
        </w:rPr>
      </w:pPr>
      <w:r w:rsidRPr="00186F7E">
        <w:rPr>
          <w:noProof/>
        </w:rPr>
        <w:t>Artikel 4</w:t>
      </w:r>
    </w:p>
    <w:p w:rsidR="00716EA9" w:rsidRPr="00186F7E" w:rsidRDefault="00716EA9" w:rsidP="00F22954">
      <w:pPr>
        <w:pStyle w:val="Titrearticle"/>
        <w:spacing w:before="0"/>
        <w:rPr>
          <w:b/>
          <w:bCs/>
          <w:i w:val="0"/>
          <w:iCs/>
          <w:noProof/>
          <w:szCs w:val="24"/>
        </w:rPr>
      </w:pPr>
      <w:r w:rsidRPr="00186F7E">
        <w:rPr>
          <w:b/>
          <w:i w:val="0"/>
          <w:noProof/>
        </w:rPr>
        <w:t>Indberetningstærskler — entry- og exitkriterier</w:t>
      </w:r>
    </w:p>
    <w:p w:rsidR="00716EA9" w:rsidRPr="00186F7E" w:rsidRDefault="00D23355" w:rsidP="00D23355">
      <w:pPr>
        <w:pStyle w:val="ManualNumPar1"/>
        <w:rPr>
          <w:noProof/>
        </w:rPr>
      </w:pPr>
      <w:r w:rsidRPr="00D23355">
        <w:rPr>
          <w:noProof/>
        </w:rPr>
        <w:t>1.</w:t>
      </w:r>
      <w:r w:rsidRPr="00D23355">
        <w:rPr>
          <w:noProof/>
        </w:rPr>
        <w:tab/>
      </w:r>
      <w:r w:rsidR="003F44DA" w:rsidRPr="00186F7E">
        <w:rPr>
          <w:noProof/>
        </w:rPr>
        <w:t>Små og ikkekomplekse institutter begynder at indberette de i bilag I omhandlede oplysninger på den første skæringsdato for indberetning efter den dato, hvor disse institutter har opfyldt kriterierne i artikel 4, stk. 1, nr. 145), i forordning (EU) nr. 575/2013. Institutter, der ikke længere opfylder disse kriterier, ophører med at indberette disse oplysninger på den første skæringsdato for indberetning efter den dato, hvor de ikke længere opfylder disse kriterier.</w:t>
      </w:r>
    </w:p>
    <w:p w:rsidR="00716EA9" w:rsidRPr="00186F7E" w:rsidRDefault="00D23355" w:rsidP="00D23355">
      <w:pPr>
        <w:pStyle w:val="ManualNumPar1"/>
        <w:rPr>
          <w:noProof/>
        </w:rPr>
      </w:pPr>
      <w:r w:rsidRPr="00D23355">
        <w:rPr>
          <w:noProof/>
        </w:rPr>
        <w:t>2.</w:t>
      </w:r>
      <w:r w:rsidRPr="00D23355">
        <w:rPr>
          <w:noProof/>
        </w:rPr>
        <w:tab/>
      </w:r>
      <w:r w:rsidR="003F44DA" w:rsidRPr="00186F7E">
        <w:rPr>
          <w:noProof/>
        </w:rPr>
        <w:t>Store institutter begynder at indberette de i bilag I omhandlede oplysninger på den første skæringsdato for indberetning efter den dato, hvor disse institutter har opfyldt kriterierne i artikel 4, stk. 1, nr. 146), i forordning (EU) nr. 575/2013. Institutter, der ikke længere opfylder disse kriterier, ophører med at indberette disse oplysninger på den første skæringsdato for indberetning, hvor de ikke længere opfylder disse kriterier.</w:t>
      </w:r>
    </w:p>
    <w:p w:rsidR="00716EA9" w:rsidRPr="00186F7E" w:rsidRDefault="00D23355" w:rsidP="00D23355">
      <w:pPr>
        <w:pStyle w:val="ManualNumPar1"/>
        <w:rPr>
          <w:noProof/>
        </w:rPr>
      </w:pPr>
      <w:r w:rsidRPr="00D23355">
        <w:rPr>
          <w:noProof/>
        </w:rPr>
        <w:t>3.</w:t>
      </w:r>
      <w:r w:rsidRPr="00D23355">
        <w:rPr>
          <w:noProof/>
        </w:rPr>
        <w:tab/>
      </w:r>
      <w:r w:rsidR="00716EA9" w:rsidRPr="00186F7E">
        <w:rPr>
          <w:noProof/>
        </w:rPr>
        <w:t>Institutterne begynder at indberette de oplysninger, der er omhandlet i bilag I og omfattet af tærsklerne i nærværende forordnings artikel 5, stk. 2 og 3, artikel 6, stk. 2 og 3, artikel 11 og 12, artikel 15, stk. 2 til 5, og artikel 17 til 20 på den skæringsdato for indberetning, hvor disse tærskler er blevet overskredet på to på hinanden følgende skæringsdatoer for indberetning. Institutterne kan ophøre med at indberette oplysninger, der er omfattet af de i disse artikler fastsatte tærskler, på den skæringsdato for indberetning, hvor de når ned under de relevante tærskler på tre på hinanden følgende skæringsdatoer.</w:t>
      </w:r>
    </w:p>
    <w:p w:rsidR="00716EA9" w:rsidRPr="00186F7E" w:rsidRDefault="00D23355" w:rsidP="00D23355">
      <w:pPr>
        <w:pStyle w:val="ManualNumPar1"/>
        <w:rPr>
          <w:noProof/>
        </w:rPr>
      </w:pPr>
      <w:r w:rsidRPr="00D23355">
        <w:rPr>
          <w:noProof/>
        </w:rPr>
        <w:t>4.</w:t>
      </w:r>
      <w:r w:rsidRPr="00D23355">
        <w:rPr>
          <w:noProof/>
        </w:rPr>
        <w:tab/>
      </w:r>
      <w:r w:rsidR="00716EA9" w:rsidRPr="00186F7E">
        <w:rPr>
          <w:noProof/>
        </w:rPr>
        <w:t xml:space="preserve">Uanset stk. 3 påbegynder institutterne indberetningen, hvis de opfylder en af følgende betingelser i løbet af de 6 måneder, der går forud for skæringsdatoen: </w:t>
      </w:r>
    </w:p>
    <w:p w:rsidR="00716EA9" w:rsidRPr="00186F7E" w:rsidRDefault="00186F7E" w:rsidP="00186F7E">
      <w:pPr>
        <w:pStyle w:val="Point1"/>
        <w:rPr>
          <w:noProof/>
          <w:color w:val="000000"/>
        </w:rPr>
      </w:pPr>
      <w:r w:rsidRPr="00186F7E">
        <w:rPr>
          <w:noProof/>
        </w:rPr>
        <w:t>a)</w:t>
      </w:r>
      <w:r w:rsidRPr="00186F7E">
        <w:rPr>
          <w:noProof/>
        </w:rPr>
        <w:tab/>
      </w:r>
      <w:r w:rsidR="00716EA9" w:rsidRPr="00186F7E">
        <w:rPr>
          <w:noProof/>
        </w:rPr>
        <w:t>Det pågældende institut har fået tilladelse til at påbegynde sine aktiviteter som kreditinstitut i henhold til artikel 8 i Europa-Parlamentets og Rådets direktiv 2013/36/EU</w:t>
      </w:r>
      <w:r w:rsidR="00716EA9" w:rsidRPr="00186F7E">
        <w:rPr>
          <w:rStyle w:val="FootnoteReference"/>
          <w:rFonts w:eastAsia="Times New Roman"/>
          <w:bCs/>
          <w:noProof/>
          <w:szCs w:val="24"/>
          <w:lang w:eastAsia="fr-BE"/>
        </w:rPr>
        <w:footnoteReference w:id="6"/>
      </w:r>
      <w:r w:rsidR="00716EA9" w:rsidRPr="00186F7E">
        <w:rPr>
          <w:noProof/>
        </w:rPr>
        <w:t>.</w:t>
      </w:r>
    </w:p>
    <w:p w:rsidR="00716EA9" w:rsidRPr="00186F7E" w:rsidRDefault="00186F7E" w:rsidP="00186F7E">
      <w:pPr>
        <w:pStyle w:val="Point1"/>
        <w:rPr>
          <w:noProof/>
          <w:color w:val="000000"/>
        </w:rPr>
      </w:pPr>
      <w:r w:rsidRPr="00186F7E">
        <w:rPr>
          <w:noProof/>
        </w:rPr>
        <w:t>b)</w:t>
      </w:r>
      <w:r w:rsidRPr="00186F7E">
        <w:rPr>
          <w:noProof/>
        </w:rPr>
        <w:tab/>
      </w:r>
      <w:r w:rsidR="00716EA9" w:rsidRPr="00186F7E">
        <w:rPr>
          <w:noProof/>
        </w:rPr>
        <w:t>Instituttet er et investeringsselskab, der er omfattet af forordning (EU) nr. 575/2013 som følge af at have overskredet den tærskel, der er fastsat i nævnte forordnings artikel 4, stk. 1, nr. 1), litra b), eller som følge af en afgørelse truffet af den kompetente myndighed i overensstemmelse med artikel 5 i Europa-Parlamentets og Rådets direktiv (EU) 2019/2034</w:t>
      </w:r>
      <w:r w:rsidR="00716EA9" w:rsidRPr="00186F7E">
        <w:rPr>
          <w:rStyle w:val="FootnoteReference"/>
          <w:rFonts w:eastAsia="Times New Roman"/>
          <w:bCs/>
          <w:noProof/>
          <w:szCs w:val="24"/>
          <w:lang w:eastAsia="fr-BE"/>
        </w:rPr>
        <w:footnoteReference w:id="7"/>
      </w:r>
      <w:r w:rsidR="00716EA9" w:rsidRPr="00186F7E">
        <w:rPr>
          <w:noProof/>
        </w:rPr>
        <w:t>.</w:t>
      </w:r>
    </w:p>
    <w:p w:rsidR="00716EA9" w:rsidRPr="00186F7E" w:rsidRDefault="00186F7E" w:rsidP="00186F7E">
      <w:pPr>
        <w:pStyle w:val="Point1"/>
        <w:rPr>
          <w:noProof/>
          <w:color w:val="000000"/>
        </w:rPr>
      </w:pPr>
      <w:r w:rsidRPr="00186F7E">
        <w:rPr>
          <w:noProof/>
        </w:rPr>
        <w:t>c)</w:t>
      </w:r>
      <w:r w:rsidRPr="00186F7E">
        <w:rPr>
          <w:noProof/>
        </w:rPr>
        <w:tab/>
      </w:r>
      <w:r w:rsidR="00716EA9" w:rsidRPr="00186F7E">
        <w:rPr>
          <w:noProof/>
        </w:rPr>
        <w:t>Instituttet er en enhed, der er fremkommet enten ved en fusion af mindst to institutter eller en opdeling af et institut i mindst to institutter.</w:t>
      </w:r>
    </w:p>
    <w:p w:rsidR="00716EA9" w:rsidRPr="00186F7E" w:rsidRDefault="00D23355" w:rsidP="00D23355">
      <w:pPr>
        <w:pStyle w:val="ManualNumPar1"/>
        <w:rPr>
          <w:noProof/>
        </w:rPr>
      </w:pPr>
      <w:r w:rsidRPr="00D23355">
        <w:rPr>
          <w:noProof/>
        </w:rPr>
        <w:t>5.</w:t>
      </w:r>
      <w:r w:rsidRPr="00D23355">
        <w:rPr>
          <w:noProof/>
        </w:rPr>
        <w:tab/>
      </w:r>
      <w:r w:rsidR="00716EA9" w:rsidRPr="00186F7E">
        <w:rPr>
          <w:noProof/>
        </w:rPr>
        <w:t>For de institutter, der er omhandlet i stk. 4, gælder følgende i forbindelse med indberetning omfattet af tærsklerne i artikel 4 for så vidt angår de to første skæringsdatoer:</w:t>
      </w:r>
    </w:p>
    <w:p w:rsidR="00716EA9" w:rsidRPr="00186F7E" w:rsidRDefault="00186F7E" w:rsidP="00186F7E">
      <w:pPr>
        <w:pStyle w:val="Point1"/>
        <w:rPr>
          <w:noProof/>
        </w:rPr>
      </w:pPr>
      <w:r w:rsidRPr="00186F7E">
        <w:rPr>
          <w:noProof/>
        </w:rPr>
        <w:t>a)</w:t>
      </w:r>
      <w:r w:rsidRPr="00186F7E">
        <w:rPr>
          <w:noProof/>
        </w:rPr>
        <w:tab/>
      </w:r>
      <w:r w:rsidR="0050785B" w:rsidRPr="00186F7E">
        <w:rPr>
          <w:noProof/>
        </w:rPr>
        <w:t>Institutter, der har overskredet den relevante tærskel allerede på den første skæringsdato, indberetter de oplysninger, der er omfattet af denne tærskel, både for den første og den anden skæringsdato.</w:t>
      </w:r>
    </w:p>
    <w:p w:rsidR="00716EA9" w:rsidRPr="00186F7E" w:rsidRDefault="00186F7E" w:rsidP="00186F7E">
      <w:pPr>
        <w:pStyle w:val="Point1"/>
        <w:rPr>
          <w:noProof/>
        </w:rPr>
      </w:pPr>
      <w:r w:rsidRPr="00186F7E">
        <w:rPr>
          <w:noProof/>
        </w:rPr>
        <w:t>b)</w:t>
      </w:r>
      <w:r w:rsidRPr="00186F7E">
        <w:rPr>
          <w:noProof/>
        </w:rPr>
        <w:tab/>
      </w:r>
      <w:r w:rsidR="0050785B" w:rsidRPr="00186F7E">
        <w:rPr>
          <w:noProof/>
        </w:rPr>
        <w:t>Institutter, der kun ved den anden skæringsdato har overskredet den relevante tærskel, indberetter de oplysninger, der er omfattet af denne tærskel, på den anden skæringsdato.</w:t>
      </w:r>
    </w:p>
    <w:p w:rsidR="00716EA9" w:rsidRPr="00186F7E" w:rsidRDefault="00716EA9" w:rsidP="00C856B2">
      <w:pPr>
        <w:pStyle w:val="Text1"/>
        <w:rPr>
          <w:noProof/>
        </w:rPr>
      </w:pPr>
      <w:r w:rsidRPr="00186F7E">
        <w:rPr>
          <w:noProof/>
        </w:rPr>
        <w:t>Institutter, som når ned under de relevante tærskler, der er omhandlet i litra a) og b), på tre på hinanden følgende skæringsdatoer for indberetning, kan ophøre med at indberette oplysninger, der er omfattet af tærsklen, på den næste skæringsdato for indberetning.</w:t>
      </w:r>
    </w:p>
    <w:p w:rsidR="00716EA9" w:rsidRPr="00186F7E" w:rsidRDefault="00716EA9" w:rsidP="00E537F5">
      <w:pPr>
        <w:pStyle w:val="Titrearticle"/>
        <w:rPr>
          <w:noProof/>
          <w:szCs w:val="24"/>
        </w:rPr>
      </w:pPr>
      <w:r w:rsidRPr="00186F7E">
        <w:rPr>
          <w:noProof/>
        </w:rPr>
        <w:t>Artikel 5</w:t>
      </w:r>
    </w:p>
    <w:p w:rsidR="00716EA9" w:rsidRPr="00186F7E" w:rsidRDefault="00716EA9" w:rsidP="00F22954">
      <w:pPr>
        <w:pStyle w:val="Titrearticle"/>
        <w:spacing w:before="0"/>
        <w:rPr>
          <w:b/>
          <w:bCs/>
          <w:i w:val="0"/>
          <w:iCs/>
          <w:noProof/>
          <w:szCs w:val="24"/>
        </w:rPr>
      </w:pPr>
      <w:r w:rsidRPr="00186F7E">
        <w:rPr>
          <w:b/>
          <w:i w:val="0"/>
          <w:noProof/>
        </w:rPr>
        <w:t>Indberetning om kapitalgrundlag og kapitalgrundlagskrav på individuelt grundlag — kvartalsvis indberetning</w:t>
      </w:r>
    </w:p>
    <w:p w:rsidR="00716EA9" w:rsidRPr="00186F7E" w:rsidRDefault="00D23355" w:rsidP="00D23355">
      <w:pPr>
        <w:pStyle w:val="ManualNumPar1"/>
        <w:rPr>
          <w:noProof/>
        </w:rPr>
      </w:pPr>
      <w:r w:rsidRPr="00D23355">
        <w:rPr>
          <w:noProof/>
        </w:rPr>
        <w:t>1.</w:t>
      </w:r>
      <w:r w:rsidRPr="00D23355">
        <w:rPr>
          <w:noProof/>
        </w:rPr>
        <w:tab/>
      </w:r>
      <w:r w:rsidR="00BF6649" w:rsidRPr="00186F7E">
        <w:rPr>
          <w:noProof/>
        </w:rPr>
        <w:t>Institutter, der indberetter oplysninger om kapitalgrundlag og kapitalgrundlagskrav som krævet i henhold til artikel 430, stk. 1, litra a), i forordning (EU) nr. 575/2013, på individuelt grundlag indsender kvartalsvis nævnte oplysninger som anført i afsnit 1 — "Indberetning om kapitalgrundlag og kapitalgrundlagskrav" i bilag I til nærværende forordning.</w:t>
      </w:r>
    </w:p>
    <w:p w:rsidR="00290C23" w:rsidRPr="00186F7E" w:rsidRDefault="00D23355" w:rsidP="00D23355">
      <w:pPr>
        <w:pStyle w:val="ManualNumPar1"/>
        <w:rPr>
          <w:rFonts w:eastAsia="Times New Roman"/>
          <w:noProof/>
        </w:rPr>
      </w:pPr>
      <w:r w:rsidRPr="00D23355">
        <w:rPr>
          <w:noProof/>
        </w:rPr>
        <w:t>2.</w:t>
      </w:r>
      <w:r w:rsidRPr="00D23355">
        <w:rPr>
          <w:noProof/>
        </w:rPr>
        <w:tab/>
      </w:r>
      <w:r w:rsidR="00290C23" w:rsidRPr="00186F7E">
        <w:rPr>
          <w:noProof/>
        </w:rPr>
        <w:t>Institutterne indsender de oplysninger, der er anført i skema C 09.01 og C 09.02, og navnlig oplysningerne om den geografiske fordeling af eksponeringer opgjort efter land, når ikke-indenlandske oprindelige eksponeringer i alle andre lande i alle eksponeringsklasser, der er indberettet i henhold til skema C 04.00, række 0850, er lig med eller overstiger 10 % af de samlede indenlandske og ikke-indenlandske eksponeringer, der er indberettet i henhold til skema C 04.00, række 0860. Eksponeringer betragtes som indenlandske, når de er eksponeringer mod modparter med hjemsted i den medlemsstat, hvor instituttet har sit hjemsted.</w:t>
      </w:r>
    </w:p>
    <w:p w:rsidR="00290C23" w:rsidRPr="00186F7E" w:rsidRDefault="00D23355" w:rsidP="00D23355">
      <w:pPr>
        <w:pStyle w:val="ManualNumPar1"/>
        <w:rPr>
          <w:rFonts w:eastAsia="Times New Roman"/>
          <w:noProof/>
        </w:rPr>
      </w:pPr>
      <w:r w:rsidRPr="00D23355">
        <w:rPr>
          <w:noProof/>
        </w:rPr>
        <w:t>3.</w:t>
      </w:r>
      <w:r w:rsidRPr="00D23355">
        <w:rPr>
          <w:noProof/>
        </w:rPr>
        <w:tab/>
      </w:r>
      <w:r w:rsidR="00290C23" w:rsidRPr="00186F7E">
        <w:rPr>
          <w:noProof/>
        </w:rPr>
        <w:t>Institutter, der anvender kernemetoden i henhold til Kommissionens delegerede forordning (EU) 2016/101</w:t>
      </w:r>
      <w:r w:rsidR="00290C23" w:rsidRPr="00186F7E">
        <w:rPr>
          <w:rStyle w:val="FootnoteReference"/>
          <w:rFonts w:eastAsia="Times New Roman"/>
          <w:noProof/>
          <w:lang w:eastAsia="en-GB" w:bidi="en-GB"/>
        </w:rPr>
        <w:footnoteReference w:id="8"/>
      </w:r>
      <w:r w:rsidR="00290C23" w:rsidRPr="00186F7E">
        <w:rPr>
          <w:noProof/>
        </w:rPr>
        <w:t>, og som overskrider den tærskel, der er omhandlet i nævnte forordnings artikel 4, stk. 1, indberetter de oplysninger, der er omhandlet i skema C 32.03 og C 32.04.</w:t>
      </w:r>
    </w:p>
    <w:p w:rsidR="00716EA9" w:rsidRPr="00186F7E" w:rsidRDefault="00D23355" w:rsidP="00D23355">
      <w:pPr>
        <w:pStyle w:val="ManualNumPar1"/>
        <w:rPr>
          <w:rFonts w:eastAsia="Times New Roman"/>
          <w:noProof/>
        </w:rPr>
      </w:pPr>
      <w:r w:rsidRPr="00D23355">
        <w:rPr>
          <w:noProof/>
        </w:rPr>
        <w:t>4.</w:t>
      </w:r>
      <w:r w:rsidRPr="00D23355">
        <w:rPr>
          <w:noProof/>
        </w:rPr>
        <w:tab/>
      </w:r>
      <w:r w:rsidR="00AB6D3F" w:rsidRPr="00186F7E">
        <w:rPr>
          <w:noProof/>
        </w:rPr>
        <w:t>Med henblik på beregning af kapitalgrundlagskravene som omhandlet i artikel 92, stk. 4, litra b), nr. i), og litra c), og artikel 92, stk. 5, litra b) og c), i forordning (EU) nr. 575/2013 indsender institutterne indtil den 31. december 2025 oplysninger om kapitalgrundlagskrav, som vedrører markedsrisici, i overensstemmelse med artikel 5, stk. 12, i gennemførelsesforordning (EU) 2021/451.</w:t>
      </w:r>
    </w:p>
    <w:p w:rsidR="00716EA9" w:rsidRPr="00186F7E" w:rsidRDefault="00716EA9" w:rsidP="00E537F5">
      <w:pPr>
        <w:pStyle w:val="Titrearticle"/>
        <w:rPr>
          <w:noProof/>
          <w:szCs w:val="24"/>
        </w:rPr>
      </w:pPr>
      <w:r w:rsidRPr="00186F7E">
        <w:rPr>
          <w:noProof/>
        </w:rPr>
        <w:t>Artikel 6</w:t>
      </w:r>
    </w:p>
    <w:p w:rsidR="00716EA9" w:rsidRPr="00186F7E" w:rsidRDefault="00716EA9" w:rsidP="00F22954">
      <w:pPr>
        <w:pStyle w:val="Titrearticle"/>
        <w:spacing w:before="0"/>
        <w:rPr>
          <w:b/>
          <w:bCs/>
          <w:i w:val="0"/>
          <w:iCs/>
          <w:noProof/>
          <w:szCs w:val="24"/>
        </w:rPr>
      </w:pPr>
      <w:r w:rsidRPr="00186F7E">
        <w:rPr>
          <w:b/>
          <w:i w:val="0"/>
          <w:noProof/>
        </w:rPr>
        <w:t>Indberetning om kapitalgrundlag og kapitalgrundlagskrav på individuelt grundlag — halvårlig indberetning</w:t>
      </w:r>
    </w:p>
    <w:p w:rsidR="00716EA9" w:rsidRPr="00186F7E" w:rsidRDefault="00D23355" w:rsidP="00D23355">
      <w:pPr>
        <w:pStyle w:val="ManualNumPar1"/>
        <w:rPr>
          <w:noProof/>
        </w:rPr>
      </w:pPr>
      <w:r w:rsidRPr="00D23355">
        <w:rPr>
          <w:noProof/>
        </w:rPr>
        <w:t>1.</w:t>
      </w:r>
      <w:r w:rsidRPr="00D23355">
        <w:rPr>
          <w:noProof/>
        </w:rPr>
        <w:tab/>
      </w:r>
      <w:r w:rsidR="00266139" w:rsidRPr="00186F7E">
        <w:rPr>
          <w:noProof/>
        </w:rPr>
        <w:t>Institutter, der indberetter oplysninger om kapitalgrundlag og kapitalgrundlagskrav som krævet i henhold til artikel 430, stk. 1, litra a), i forordning (EU) nr. 575/2013 på individuelt grundlag, indsender halvårligt nævnte oplysninger som anført i afsnit 1 — "Indberetning om kapitalgrundlag og kapitalgrundlagskrav" i bilag I.</w:t>
      </w:r>
    </w:p>
    <w:p w:rsidR="00ED139D" w:rsidRPr="00186F7E" w:rsidRDefault="00D23355" w:rsidP="00D23355">
      <w:pPr>
        <w:pStyle w:val="ManualNumPar1"/>
        <w:rPr>
          <w:noProof/>
        </w:rPr>
      </w:pPr>
      <w:r w:rsidRPr="00D23355">
        <w:rPr>
          <w:noProof/>
        </w:rPr>
        <w:t>2.</w:t>
      </w:r>
      <w:r w:rsidRPr="00D23355">
        <w:rPr>
          <w:noProof/>
        </w:rPr>
        <w:tab/>
      </w:r>
      <w:r w:rsidR="00ED139D" w:rsidRPr="00186F7E">
        <w:rPr>
          <w:noProof/>
        </w:rPr>
        <w:t>Institutterne indsender oplysninger om securitiseringseksponeringer som anført i bilag I, afsnit 1 — "Indberetning om kapitalgrundlag og kapitalgrundlagskrav", skema C 14.00 og 14.01, medmindre de indgår i en koncern i det land, hvor de er genstand for kapitalgrundlagskrav.</w:t>
      </w:r>
    </w:p>
    <w:p w:rsidR="003808D8" w:rsidRPr="00186F7E" w:rsidRDefault="00D23355" w:rsidP="00D23355">
      <w:pPr>
        <w:pStyle w:val="ManualNumPar1"/>
        <w:rPr>
          <w:noProof/>
        </w:rPr>
      </w:pPr>
      <w:r w:rsidRPr="00D23355">
        <w:rPr>
          <w:noProof/>
        </w:rPr>
        <w:t>3.</w:t>
      </w:r>
      <w:r w:rsidRPr="00D23355">
        <w:rPr>
          <w:noProof/>
        </w:rPr>
        <w:tab/>
      </w:r>
      <w:r w:rsidR="003808D8" w:rsidRPr="00186F7E">
        <w:rPr>
          <w:noProof/>
        </w:rPr>
        <w:t>Institutterne indsender oplysninger om statsengagementer som følger:</w:t>
      </w:r>
    </w:p>
    <w:p w:rsidR="003808D8" w:rsidRPr="00186F7E" w:rsidRDefault="00186F7E" w:rsidP="00186F7E">
      <w:pPr>
        <w:pStyle w:val="Point1"/>
        <w:rPr>
          <w:noProof/>
        </w:rPr>
      </w:pPr>
      <w:r w:rsidRPr="00186F7E">
        <w:rPr>
          <w:noProof/>
        </w:rPr>
        <w:t>a)</w:t>
      </w:r>
      <w:r w:rsidRPr="00186F7E">
        <w:rPr>
          <w:noProof/>
        </w:rPr>
        <w:tab/>
      </w:r>
      <w:r w:rsidR="003808D8" w:rsidRPr="00186F7E">
        <w:rPr>
          <w:noProof/>
        </w:rPr>
        <w:t>Når den samlede regnskabsmæssige værdi af finansielle aktiver fra modpartens sektor "Offentlig forvaltning og service" er lig med eller overstiger 1 % af summen af den regnskabsmæssige værdi i alt for "Gældsinstrumenter" og "Lån og forskud", indsender institutterne oplysningerne som anført i skema C 33.00.</w:t>
      </w:r>
    </w:p>
    <w:p w:rsidR="003808D8" w:rsidRPr="00186F7E" w:rsidRDefault="00186F7E" w:rsidP="00186F7E">
      <w:pPr>
        <w:pStyle w:val="Point1"/>
        <w:rPr>
          <w:noProof/>
        </w:rPr>
      </w:pPr>
      <w:r w:rsidRPr="00186F7E">
        <w:rPr>
          <w:noProof/>
        </w:rPr>
        <w:t>b)</w:t>
      </w:r>
      <w:r w:rsidRPr="00186F7E">
        <w:rPr>
          <w:noProof/>
        </w:rPr>
        <w:tab/>
      </w:r>
      <w:r w:rsidR="003808D8" w:rsidRPr="00186F7E">
        <w:rPr>
          <w:noProof/>
        </w:rPr>
        <w:t>Når den indberettede værdi for indenlandske eksponeringer for finansielle aktiver, bortset fra derivater, som anført i skema 33.00, række 0010, kolonne 0010, udgør mindre end 90 % af den indberettede værdi for indenlandske og ikke-indenlandske eksponeringer for det samme datapunkt, indsender institutter, der opfylder de i litra a) omhandlede betingelser, oplysningerne som anført i skema C 33.00 med en fuldstændig opgørelse pr. land.</w:t>
      </w:r>
    </w:p>
    <w:p w:rsidR="003808D8" w:rsidRPr="00186F7E" w:rsidRDefault="00186F7E" w:rsidP="00186F7E">
      <w:pPr>
        <w:pStyle w:val="Point1"/>
        <w:rPr>
          <w:noProof/>
        </w:rPr>
      </w:pPr>
      <w:r w:rsidRPr="00186F7E">
        <w:rPr>
          <w:noProof/>
        </w:rPr>
        <w:t>c)</w:t>
      </w:r>
      <w:r w:rsidRPr="00186F7E">
        <w:rPr>
          <w:noProof/>
        </w:rPr>
        <w:tab/>
      </w:r>
      <w:r w:rsidR="003808D8" w:rsidRPr="00186F7E">
        <w:rPr>
          <w:noProof/>
        </w:rPr>
        <w:t>Institutter, der opfylder de i litra a) omhandlede betingelser, og som ikke opfylder de i litra b) omhandlede betingelser, indsender de oplysninger, der er anført i skema C 33.00, med eksponeringer, der er aggregeret på:</w:t>
      </w:r>
    </w:p>
    <w:p w:rsidR="003808D8" w:rsidRPr="00186F7E" w:rsidRDefault="003808D8" w:rsidP="00C856B2">
      <w:pPr>
        <w:pStyle w:val="Point2"/>
        <w:rPr>
          <w:noProof/>
        </w:rPr>
      </w:pPr>
      <w:r w:rsidRPr="00186F7E">
        <w:rPr>
          <w:noProof/>
        </w:rPr>
        <w:t>i)</w:t>
      </w:r>
      <w:r w:rsidRPr="00186F7E">
        <w:rPr>
          <w:noProof/>
        </w:rPr>
        <w:tab/>
        <w:t>samlet niveau og</w:t>
      </w:r>
    </w:p>
    <w:p w:rsidR="003808D8" w:rsidRPr="00186F7E" w:rsidRDefault="003808D8" w:rsidP="00C856B2">
      <w:pPr>
        <w:pStyle w:val="Point2"/>
        <w:rPr>
          <w:noProof/>
        </w:rPr>
      </w:pPr>
      <w:r w:rsidRPr="00186F7E">
        <w:rPr>
          <w:noProof/>
        </w:rPr>
        <w:t>ii)</w:t>
      </w:r>
      <w:r w:rsidRPr="00186F7E">
        <w:rPr>
          <w:noProof/>
        </w:rPr>
        <w:tab/>
        <w:t>indenlandsk plan.</w:t>
      </w:r>
    </w:p>
    <w:p w:rsidR="003808D8" w:rsidRPr="00186F7E" w:rsidRDefault="00D23355" w:rsidP="00D23355">
      <w:pPr>
        <w:pStyle w:val="ManualNumPar1"/>
        <w:rPr>
          <w:noProof/>
        </w:rPr>
      </w:pPr>
      <w:r w:rsidRPr="00D23355">
        <w:rPr>
          <w:noProof/>
        </w:rPr>
        <w:t>4.</w:t>
      </w:r>
      <w:r w:rsidRPr="00D23355">
        <w:rPr>
          <w:noProof/>
        </w:rPr>
        <w:tab/>
      </w:r>
      <w:r w:rsidR="003808D8" w:rsidRPr="00186F7E">
        <w:rPr>
          <w:noProof/>
        </w:rPr>
        <w:t>Institutterne indsender oplysninger om betydelige tab, som vedrører operationelle risici, på følgende måde:</w:t>
      </w:r>
    </w:p>
    <w:p w:rsidR="003808D8" w:rsidRPr="00186F7E" w:rsidRDefault="00186F7E" w:rsidP="00186F7E">
      <w:pPr>
        <w:pStyle w:val="Point1"/>
        <w:rPr>
          <w:noProof/>
        </w:rPr>
      </w:pPr>
      <w:r w:rsidRPr="00186F7E">
        <w:rPr>
          <w:noProof/>
        </w:rPr>
        <w:t>a)</w:t>
      </w:r>
      <w:r w:rsidRPr="00186F7E">
        <w:rPr>
          <w:noProof/>
        </w:rPr>
        <w:tab/>
      </w:r>
      <w:r w:rsidR="003808D8" w:rsidRPr="00186F7E">
        <w:rPr>
          <w:noProof/>
        </w:rPr>
        <w:t>Institutter, der i december 2024 beregner kapitalgrundlagskrav vedrørende operationel risiko i overensstemmelse med tredje del, afsnit III, kapitel 4, i forordning (EU) nr. 575/2013, fortsætter med at indberette nævnte oplysninger som anført i skema 17.01 og 17.02.</w:t>
      </w:r>
    </w:p>
    <w:p w:rsidR="003808D8" w:rsidRPr="00186F7E" w:rsidRDefault="00186F7E" w:rsidP="00186F7E">
      <w:pPr>
        <w:pStyle w:val="Point1"/>
        <w:rPr>
          <w:noProof/>
        </w:rPr>
      </w:pPr>
      <w:r w:rsidRPr="00186F7E">
        <w:rPr>
          <w:noProof/>
        </w:rPr>
        <w:t>b)</w:t>
      </w:r>
      <w:r w:rsidRPr="00186F7E">
        <w:rPr>
          <w:noProof/>
        </w:rPr>
        <w:tab/>
      </w:r>
      <w:r w:rsidR="003808D8" w:rsidRPr="00186F7E">
        <w:rPr>
          <w:noProof/>
        </w:rPr>
        <w:t>Store institutter, der i december 2024 beregner kapitalgrundlagskrav vedrørende operationel risiko i overensstemmelse med tredje del, afsnit III, kapitel 3, i forordning (EU) nr. 575/2013, fortsætter med at indberette nævnte oplysninger som anført i skema 17.01 og 17.02.</w:t>
      </w:r>
    </w:p>
    <w:p w:rsidR="003808D8" w:rsidRPr="00186F7E" w:rsidRDefault="00186F7E" w:rsidP="00186F7E">
      <w:pPr>
        <w:pStyle w:val="Point1"/>
        <w:rPr>
          <w:noProof/>
        </w:rPr>
      </w:pPr>
      <w:r w:rsidRPr="00186F7E">
        <w:rPr>
          <w:noProof/>
        </w:rPr>
        <w:t>c)</w:t>
      </w:r>
      <w:r w:rsidRPr="00186F7E">
        <w:rPr>
          <w:noProof/>
        </w:rPr>
        <w:tab/>
      </w:r>
      <w:r w:rsidR="003808D8" w:rsidRPr="00186F7E">
        <w:rPr>
          <w:noProof/>
        </w:rPr>
        <w:t>Institutter, der ikke er store institutter, og som i december 2024 beregner kapitalgrundlagskrav vedrørende operationel risiko i overensstemmelse med tredje del, afsnit III, kapitel 3, i forordning (EU) nr. 575/2013, fortsætter med at indberette følgende oplysninger:</w:t>
      </w:r>
    </w:p>
    <w:p w:rsidR="003808D8" w:rsidRPr="00186F7E" w:rsidRDefault="003808D8" w:rsidP="00C856B2">
      <w:pPr>
        <w:pStyle w:val="Point2"/>
        <w:rPr>
          <w:noProof/>
        </w:rPr>
      </w:pPr>
      <w:r w:rsidRPr="00186F7E">
        <w:rPr>
          <w:noProof/>
        </w:rPr>
        <w:t>i)</w:t>
      </w:r>
      <w:r w:rsidRPr="00186F7E">
        <w:rPr>
          <w:noProof/>
        </w:rPr>
        <w:tab/>
        <w:t>oplysningerne i skema 17.01, kolonne 0080, for følgende rækker:</w:t>
      </w:r>
    </w:p>
    <w:p w:rsidR="003808D8" w:rsidRPr="00186F7E" w:rsidRDefault="00186F7E" w:rsidP="00186F7E">
      <w:pPr>
        <w:pStyle w:val="Point3"/>
        <w:rPr>
          <w:noProof/>
        </w:rPr>
      </w:pPr>
      <w:r w:rsidRPr="00186F7E">
        <w:rPr>
          <w:noProof/>
        </w:rPr>
        <w:t>1)</w:t>
      </w:r>
      <w:r w:rsidRPr="00186F7E">
        <w:rPr>
          <w:noProof/>
        </w:rPr>
        <w:tab/>
      </w:r>
      <w:r w:rsidR="003808D8" w:rsidRPr="00186F7E">
        <w:rPr>
          <w:noProof/>
        </w:rPr>
        <w:t>antal hændelser (nye hændelser) (række 0910)</w:t>
      </w:r>
    </w:p>
    <w:p w:rsidR="003808D8" w:rsidRPr="00186F7E" w:rsidRDefault="00186F7E" w:rsidP="00186F7E">
      <w:pPr>
        <w:pStyle w:val="Point3"/>
        <w:rPr>
          <w:noProof/>
        </w:rPr>
      </w:pPr>
      <w:r w:rsidRPr="00186F7E">
        <w:rPr>
          <w:noProof/>
        </w:rPr>
        <w:t>2)</w:t>
      </w:r>
      <w:r w:rsidRPr="00186F7E">
        <w:rPr>
          <w:noProof/>
        </w:rPr>
        <w:tab/>
      </w:r>
      <w:r w:rsidR="003808D8" w:rsidRPr="00186F7E">
        <w:rPr>
          <w:noProof/>
        </w:rPr>
        <w:t>bruttotab (nye hændelser) (række 0920)</w:t>
      </w:r>
    </w:p>
    <w:p w:rsidR="003808D8" w:rsidRPr="00186F7E" w:rsidRDefault="00186F7E" w:rsidP="00186F7E">
      <w:pPr>
        <w:pStyle w:val="Point3"/>
        <w:rPr>
          <w:noProof/>
        </w:rPr>
      </w:pPr>
      <w:r w:rsidRPr="00186F7E">
        <w:rPr>
          <w:noProof/>
        </w:rPr>
        <w:t>3)</w:t>
      </w:r>
      <w:r w:rsidRPr="00186F7E">
        <w:rPr>
          <w:noProof/>
        </w:rPr>
        <w:tab/>
      </w:r>
      <w:r w:rsidR="003808D8" w:rsidRPr="00186F7E">
        <w:rPr>
          <w:noProof/>
        </w:rPr>
        <w:t>antal hændelser underlagt tabsjusteringer (række 0930)</w:t>
      </w:r>
    </w:p>
    <w:p w:rsidR="003808D8" w:rsidRPr="00186F7E" w:rsidRDefault="00186F7E" w:rsidP="00186F7E">
      <w:pPr>
        <w:pStyle w:val="Point3"/>
        <w:rPr>
          <w:noProof/>
        </w:rPr>
      </w:pPr>
      <w:r w:rsidRPr="00186F7E">
        <w:rPr>
          <w:noProof/>
        </w:rPr>
        <w:t>4)</w:t>
      </w:r>
      <w:r w:rsidRPr="00186F7E">
        <w:rPr>
          <w:noProof/>
        </w:rPr>
        <w:tab/>
      </w:r>
      <w:r w:rsidR="003808D8" w:rsidRPr="00186F7E">
        <w:rPr>
          <w:noProof/>
        </w:rPr>
        <w:t>tabsjusteringer vedrørende tidligere indberetningsperioder (række 0940)</w:t>
      </w:r>
    </w:p>
    <w:p w:rsidR="003808D8" w:rsidRPr="00186F7E" w:rsidRDefault="00186F7E" w:rsidP="00186F7E">
      <w:pPr>
        <w:pStyle w:val="Point3"/>
        <w:rPr>
          <w:noProof/>
        </w:rPr>
      </w:pPr>
      <w:r w:rsidRPr="00186F7E">
        <w:rPr>
          <w:noProof/>
        </w:rPr>
        <w:t>5)</w:t>
      </w:r>
      <w:r w:rsidRPr="00186F7E">
        <w:rPr>
          <w:noProof/>
        </w:rPr>
        <w:tab/>
      </w:r>
      <w:r w:rsidR="003808D8" w:rsidRPr="00186F7E">
        <w:rPr>
          <w:noProof/>
        </w:rPr>
        <w:t>største enkelttab (række 0950)</w:t>
      </w:r>
    </w:p>
    <w:p w:rsidR="003808D8" w:rsidRPr="00186F7E" w:rsidRDefault="00186F7E" w:rsidP="00186F7E">
      <w:pPr>
        <w:pStyle w:val="Point3"/>
        <w:rPr>
          <w:noProof/>
        </w:rPr>
      </w:pPr>
      <w:r w:rsidRPr="00186F7E">
        <w:rPr>
          <w:noProof/>
        </w:rPr>
        <w:t>6)</w:t>
      </w:r>
      <w:r w:rsidRPr="00186F7E">
        <w:rPr>
          <w:noProof/>
        </w:rPr>
        <w:tab/>
      </w:r>
      <w:r w:rsidR="003808D8" w:rsidRPr="00186F7E">
        <w:rPr>
          <w:noProof/>
        </w:rPr>
        <w:t>summen af de fem største tab (række 0960)</w:t>
      </w:r>
    </w:p>
    <w:p w:rsidR="003808D8" w:rsidRPr="00186F7E" w:rsidRDefault="00186F7E" w:rsidP="00186F7E">
      <w:pPr>
        <w:pStyle w:val="Point3"/>
        <w:rPr>
          <w:noProof/>
        </w:rPr>
      </w:pPr>
      <w:r w:rsidRPr="00186F7E">
        <w:rPr>
          <w:noProof/>
        </w:rPr>
        <w:t>7)</w:t>
      </w:r>
      <w:r w:rsidRPr="00186F7E">
        <w:rPr>
          <w:noProof/>
        </w:rPr>
        <w:tab/>
      </w:r>
      <w:r w:rsidR="003808D8" w:rsidRPr="00186F7E">
        <w:rPr>
          <w:noProof/>
        </w:rPr>
        <w:t>samlet direkte tabsgodtgørelse (undtagen forsikring og andre risikooverførselsmekanismer) (række 0970)</w:t>
      </w:r>
    </w:p>
    <w:p w:rsidR="003808D8" w:rsidRPr="00186F7E" w:rsidRDefault="00186F7E" w:rsidP="00186F7E">
      <w:pPr>
        <w:pStyle w:val="Point3"/>
        <w:rPr>
          <w:noProof/>
        </w:rPr>
      </w:pPr>
      <w:r w:rsidRPr="00186F7E">
        <w:rPr>
          <w:noProof/>
        </w:rPr>
        <w:t>8)</w:t>
      </w:r>
      <w:r w:rsidRPr="00186F7E">
        <w:rPr>
          <w:noProof/>
        </w:rPr>
        <w:tab/>
      </w:r>
      <w:r w:rsidR="003808D8" w:rsidRPr="00186F7E">
        <w:rPr>
          <w:noProof/>
        </w:rPr>
        <w:t>samlet godtgørelse fra forsikring og andre risikooverførselsmekanismer (række 0980)</w:t>
      </w:r>
    </w:p>
    <w:p w:rsidR="003808D8" w:rsidRPr="00186F7E" w:rsidRDefault="003808D8" w:rsidP="00C856B2">
      <w:pPr>
        <w:pStyle w:val="Point2"/>
        <w:rPr>
          <w:noProof/>
        </w:rPr>
      </w:pPr>
      <w:r w:rsidRPr="00186F7E">
        <w:rPr>
          <w:noProof/>
        </w:rPr>
        <w:t>ii)</w:t>
      </w:r>
      <w:r w:rsidRPr="00186F7E">
        <w:rPr>
          <w:noProof/>
        </w:rPr>
        <w:tab/>
        <w:t>oplysningerne i skema C 17.02</w:t>
      </w:r>
    </w:p>
    <w:p w:rsidR="003808D8" w:rsidRPr="00186F7E" w:rsidRDefault="00186F7E" w:rsidP="00186F7E">
      <w:pPr>
        <w:pStyle w:val="Point1"/>
        <w:rPr>
          <w:noProof/>
        </w:rPr>
      </w:pPr>
      <w:r w:rsidRPr="00186F7E">
        <w:rPr>
          <w:noProof/>
        </w:rPr>
        <w:t>d)</w:t>
      </w:r>
      <w:r w:rsidRPr="00186F7E">
        <w:rPr>
          <w:noProof/>
        </w:rPr>
        <w:tab/>
      </w:r>
      <w:r w:rsidR="003808D8" w:rsidRPr="00186F7E">
        <w:rPr>
          <w:noProof/>
        </w:rPr>
        <w:t xml:space="preserve">De i litra c) omhandlede institutter kan indberette det fuldstændige sæt af oplysninger, der er anført i skema C 17.01 og C 17.02. </w:t>
      </w:r>
    </w:p>
    <w:p w:rsidR="003808D8" w:rsidRPr="00186F7E" w:rsidRDefault="00186F7E" w:rsidP="00186F7E">
      <w:pPr>
        <w:pStyle w:val="Point1"/>
        <w:rPr>
          <w:noProof/>
        </w:rPr>
      </w:pPr>
      <w:r w:rsidRPr="00186F7E">
        <w:rPr>
          <w:noProof/>
        </w:rPr>
        <w:t>e)</w:t>
      </w:r>
      <w:r w:rsidRPr="00186F7E">
        <w:rPr>
          <w:noProof/>
        </w:rPr>
        <w:tab/>
      </w:r>
      <w:r w:rsidR="003808D8" w:rsidRPr="00186F7E">
        <w:rPr>
          <w:noProof/>
        </w:rPr>
        <w:t>Store institutter, der i december 2024 beregner kapitalgrundlagskrav vedrørende operationel risiko i overensstemmelse med tredje del, afsnit III, kapitel 2, i forordning (EU) nr. 575/2013, fortsætter med at indberette oplysningerne som anført i skema 17.01 og 17.02.</w:t>
      </w:r>
    </w:p>
    <w:p w:rsidR="003808D8" w:rsidRPr="00186F7E" w:rsidRDefault="00186F7E" w:rsidP="00186F7E">
      <w:pPr>
        <w:pStyle w:val="Point1"/>
        <w:rPr>
          <w:noProof/>
        </w:rPr>
      </w:pPr>
      <w:r w:rsidRPr="00186F7E">
        <w:rPr>
          <w:noProof/>
        </w:rPr>
        <w:t>f)</w:t>
      </w:r>
      <w:r w:rsidRPr="00186F7E">
        <w:rPr>
          <w:noProof/>
        </w:rPr>
        <w:tab/>
      </w:r>
      <w:r w:rsidR="003808D8" w:rsidRPr="00186F7E">
        <w:rPr>
          <w:noProof/>
        </w:rPr>
        <w:t>Institutter, der ikke er store institutter, og som i december 2024 beregner kapitalgrundlagskrav vedrørende operationel risiko i overensstemmelse med tredje del, afsnit III, kapitel 2, i forordning (EU) nr. 575/2013, kan fortsætte med at indberette oplysningerne som anført i skema 17.01 og 17.02.</w:t>
      </w:r>
    </w:p>
    <w:p w:rsidR="00716EA9" w:rsidRPr="00186F7E" w:rsidRDefault="00716EA9" w:rsidP="00E537F5">
      <w:pPr>
        <w:pStyle w:val="Titrearticle"/>
        <w:rPr>
          <w:noProof/>
          <w:szCs w:val="24"/>
        </w:rPr>
      </w:pPr>
      <w:r w:rsidRPr="00186F7E">
        <w:rPr>
          <w:noProof/>
        </w:rPr>
        <w:t>Artikel 7</w:t>
      </w:r>
    </w:p>
    <w:p w:rsidR="00716EA9" w:rsidRPr="00186F7E" w:rsidRDefault="00716EA9" w:rsidP="00F22954">
      <w:pPr>
        <w:pStyle w:val="Titrearticle"/>
        <w:spacing w:before="0"/>
        <w:rPr>
          <w:b/>
          <w:bCs/>
          <w:i w:val="0"/>
          <w:iCs/>
          <w:noProof/>
          <w:szCs w:val="24"/>
        </w:rPr>
      </w:pPr>
      <w:r w:rsidRPr="00186F7E">
        <w:rPr>
          <w:b/>
          <w:i w:val="0"/>
          <w:noProof/>
        </w:rPr>
        <w:t>Indberetning om kapitalgrundlag og kapitalgrundlagskrav på konsolideret grundlag</w:t>
      </w:r>
    </w:p>
    <w:p w:rsidR="00716EA9" w:rsidRPr="00186F7E" w:rsidRDefault="00716EA9" w:rsidP="00C856B2">
      <w:pPr>
        <w:rPr>
          <w:noProof/>
        </w:rPr>
      </w:pPr>
      <w:r w:rsidRPr="00186F7E">
        <w:rPr>
          <w:noProof/>
        </w:rPr>
        <w:t>Institutter, der indberetter oplysninger om kapitalgrundlag og kapitalgrundlagskrav som krævet i henhold til artikel 430, stk. 1, litra a), i forordning (EU) nr. 575/2013 på konsolideret grundlag, indsender nævnte oplysninger som anført i afsnit 1 — "Indberetning om kapitalgrundlag og kapitalgrundlagskrav" i bilag I til nærværende forordning på følgende måde:</w:t>
      </w:r>
    </w:p>
    <w:p w:rsidR="00716EA9" w:rsidRPr="00186F7E" w:rsidRDefault="00186F7E" w:rsidP="00186F7E">
      <w:pPr>
        <w:pStyle w:val="Point0"/>
        <w:rPr>
          <w:noProof/>
          <w:color w:val="000000"/>
        </w:rPr>
      </w:pPr>
      <w:r w:rsidRPr="00186F7E">
        <w:rPr>
          <w:noProof/>
        </w:rPr>
        <w:t>a)</w:t>
      </w:r>
      <w:r w:rsidRPr="00186F7E">
        <w:rPr>
          <w:noProof/>
        </w:rPr>
        <w:tab/>
      </w:r>
      <w:r w:rsidR="00716EA9" w:rsidRPr="00186F7E">
        <w:rPr>
          <w:noProof/>
        </w:rPr>
        <w:t>oplysningskravet i bilag I, som yderligere præciserer indholdet i den indberetning, der kræves i henhold til denne forordnings artikel 5 og 6, med den deri angivne hyppighed</w:t>
      </w:r>
    </w:p>
    <w:p w:rsidR="00716EA9" w:rsidRPr="00186F7E" w:rsidRDefault="00186F7E" w:rsidP="00186F7E">
      <w:pPr>
        <w:pStyle w:val="Point0"/>
        <w:rPr>
          <w:noProof/>
        </w:rPr>
      </w:pPr>
      <w:r w:rsidRPr="00186F7E">
        <w:rPr>
          <w:noProof/>
        </w:rPr>
        <w:t>b)</w:t>
      </w:r>
      <w:r w:rsidRPr="00186F7E">
        <w:rPr>
          <w:noProof/>
        </w:rPr>
        <w:tab/>
      </w:r>
      <w:r w:rsidR="00716EA9" w:rsidRPr="00186F7E">
        <w:rPr>
          <w:noProof/>
        </w:rPr>
        <w:t>oplysningskravet i bilag I, som yderligere præciserer indholdet i indberetningen vedrørende koncernsolvensen for så vidt angår enheder, der er omfattet af konsolideringen, halvårligt.</w:t>
      </w:r>
    </w:p>
    <w:p w:rsidR="00716EA9" w:rsidRPr="00186F7E" w:rsidRDefault="00716EA9" w:rsidP="00E537F5">
      <w:pPr>
        <w:pStyle w:val="Titrearticle"/>
        <w:rPr>
          <w:noProof/>
          <w:szCs w:val="24"/>
        </w:rPr>
      </w:pPr>
      <w:r w:rsidRPr="00186F7E">
        <w:rPr>
          <w:noProof/>
        </w:rPr>
        <w:t>Artikel 8</w:t>
      </w:r>
    </w:p>
    <w:p w:rsidR="00716EA9" w:rsidRPr="00186F7E" w:rsidRDefault="00716EA9" w:rsidP="00F22954">
      <w:pPr>
        <w:pStyle w:val="Titrearticle"/>
        <w:spacing w:before="0"/>
        <w:rPr>
          <w:b/>
          <w:bCs/>
          <w:i w:val="0"/>
          <w:iCs/>
          <w:noProof/>
          <w:szCs w:val="24"/>
        </w:rPr>
      </w:pPr>
      <w:r w:rsidRPr="00186F7E">
        <w:rPr>
          <w:b/>
          <w:i w:val="0"/>
          <w:noProof/>
        </w:rPr>
        <w:t>Indberetning om kapitalgrundlag og kapitalgrundlagskrav — supplerende krav til indberetning på konsolideret og individuelt grundlag</w:t>
      </w:r>
    </w:p>
    <w:p w:rsidR="00AB5213" w:rsidRPr="00186F7E" w:rsidRDefault="00D23355" w:rsidP="00D23355">
      <w:pPr>
        <w:pStyle w:val="ManualNumPar1"/>
        <w:rPr>
          <w:noProof/>
        </w:rPr>
      </w:pPr>
      <w:r w:rsidRPr="00D23355">
        <w:rPr>
          <w:noProof/>
        </w:rPr>
        <w:t>1.</w:t>
      </w:r>
      <w:r w:rsidRPr="00D23355">
        <w:rPr>
          <w:noProof/>
        </w:rPr>
        <w:tab/>
      </w:r>
      <w:r w:rsidR="00716EA9" w:rsidRPr="00186F7E">
        <w:rPr>
          <w:noProof/>
        </w:rPr>
        <w:t>Institutter, der skal offentliggøre de oplysninger, der er omhandlet i artikel 438, litra e) eller h), eller artikel 452, litra b), g) eller h), i forordning (EU) nr. 575/2013, med den hyppighed, der er fastsat i nævnte forordnings artikel 433a eller artikel 433c, på individuelt grundlag i overensstemmelse med nævnte forordnings artikel 6 eller på konsolideret grundlag i overensstemmelse med nævnte forordnings artikel 13, alt efter hvad der er relevant, indsender oplysningerne som anført i skema C 08.03, C 08.04, C08.05, C 08.05.01, C 08.06, C 08.07 og C 34.11 i afsnit 1 — "Indberetning om kapitalgrundlag og kapitalgrundlagskrav" i bilag I til nærværende forordning.</w:t>
      </w:r>
    </w:p>
    <w:p w:rsidR="00716EA9" w:rsidRPr="00186F7E" w:rsidRDefault="00D23355" w:rsidP="00D23355">
      <w:pPr>
        <w:pStyle w:val="ManualNumPar1"/>
        <w:rPr>
          <w:noProof/>
        </w:rPr>
      </w:pPr>
      <w:r w:rsidRPr="00D23355">
        <w:rPr>
          <w:noProof/>
        </w:rPr>
        <w:t>2.</w:t>
      </w:r>
      <w:r w:rsidRPr="00D23355">
        <w:rPr>
          <w:noProof/>
        </w:rPr>
        <w:tab/>
      </w:r>
      <w:r w:rsidR="00716EA9" w:rsidRPr="00186F7E">
        <w:rPr>
          <w:noProof/>
        </w:rPr>
        <w:t>Institutter, der skal offentliggøre de oplysninger, der er omhandlet i artikel 439, litra l), i forordning (EU) nr. 575/2013, med den hyppighed, der er fastsat i nævnte forordnings artikel 433a eller artikel 433c, på individuelt grundlag i overensstemmelse med nævnte forordnings artikel 6 eller på konsolideret grundlag i overensstemmelse med nævnte forordnings artikel 13, alt efter hvad der er relevant, indsender oplysningerne som anført i skema C 34.07 i afsnit 1 — "Indberetning om kapitalgrundlag og kapitalgrundlagskrav" i bilag I til nærværende forordning.</w:t>
      </w:r>
    </w:p>
    <w:p w:rsidR="00716EA9" w:rsidRPr="00186F7E" w:rsidRDefault="00716EA9" w:rsidP="00E537F5">
      <w:pPr>
        <w:pStyle w:val="Titrearticle"/>
        <w:rPr>
          <w:noProof/>
          <w:szCs w:val="24"/>
        </w:rPr>
      </w:pPr>
      <w:r w:rsidRPr="00186F7E">
        <w:rPr>
          <w:noProof/>
        </w:rPr>
        <w:t>Artikel 9</w:t>
      </w:r>
    </w:p>
    <w:p w:rsidR="00716EA9" w:rsidRPr="00186F7E" w:rsidRDefault="00716EA9" w:rsidP="00F22954">
      <w:pPr>
        <w:pStyle w:val="Titrearticle"/>
        <w:spacing w:before="0"/>
        <w:rPr>
          <w:b/>
          <w:bCs/>
          <w:i w:val="0"/>
          <w:iCs/>
          <w:noProof/>
          <w:szCs w:val="24"/>
        </w:rPr>
      </w:pPr>
      <w:r w:rsidRPr="00186F7E">
        <w:rPr>
          <w:b/>
          <w:i w:val="0"/>
          <w:noProof/>
        </w:rPr>
        <w:t>Indberetning om kapitalgrundlag og kapitalgrundlagskrav for investeringsselskaber, som er omfattet af artikel 95 og 96 i forordning (EU) nr. 575/2013, på individuelt grundlag</w:t>
      </w:r>
    </w:p>
    <w:p w:rsidR="00716EA9" w:rsidRPr="00186F7E" w:rsidRDefault="00D23355" w:rsidP="00D23355">
      <w:pPr>
        <w:pStyle w:val="ManualNumPar1"/>
        <w:rPr>
          <w:noProof/>
        </w:rPr>
      </w:pPr>
      <w:r w:rsidRPr="00D23355">
        <w:rPr>
          <w:noProof/>
        </w:rPr>
        <w:t>1.</w:t>
      </w:r>
      <w:r w:rsidRPr="00D23355">
        <w:rPr>
          <w:noProof/>
        </w:rPr>
        <w:tab/>
      </w:r>
      <w:r w:rsidR="000E2BE4" w:rsidRPr="00186F7E">
        <w:rPr>
          <w:noProof/>
        </w:rPr>
        <w:t>Investeringsselskaber, der er omfattet af artikel 95 i forordning (EU) nr. 575/2013, og som anvender overgangsbestemmelserne i artikel 57, stk. 3, i forordning (EU) 2019/2033, indsender kvartalsvis i forbindelse med deres indberetning af oplysninger om kapitalgrundlagskrav, jf. artikel 430, stk. 1, litra a), i forordning (EU) nr. 575/2013, på individuelt grundlag, med undtagelse af oplysninger om gearingsgraden, oplysningerne som anført i skema C 01.00 til C 05.02 i afsnit 1 — "Indberetning om kapitalgrundlag og kapitalgrundlagskrav" i bilag I til nærværende forordning.</w:t>
      </w:r>
    </w:p>
    <w:p w:rsidR="00716EA9" w:rsidRPr="00186F7E" w:rsidRDefault="00D23355" w:rsidP="00D23355">
      <w:pPr>
        <w:pStyle w:val="ManualNumPar1"/>
        <w:rPr>
          <w:noProof/>
        </w:rPr>
      </w:pPr>
      <w:r w:rsidRPr="00D23355">
        <w:rPr>
          <w:noProof/>
        </w:rPr>
        <w:t>2.</w:t>
      </w:r>
      <w:r w:rsidRPr="00D23355">
        <w:rPr>
          <w:noProof/>
        </w:rPr>
        <w:tab/>
      </w:r>
      <w:r w:rsidR="001D71A4" w:rsidRPr="00186F7E">
        <w:rPr>
          <w:noProof/>
        </w:rPr>
        <w:t>Investeringsselskaber, der er omfattet af artikel 96 i forordning (EU) nr. 575/2013, og som anvender overgangsbestemmelserne i artikel 57, stk. 3, i forordning (EU) 2019/2033, indsender i forbindelse med deres indberetning af oplysninger om kapitalgrundlagskrav, jf. artikel 430, stk. 1, litra a), i forordning (EU) nr. 575/2013, på individuelt grundlag, de oplysninger, der er omhandlet i nærværende forordnings artikel 5, stk. 1 til 4, og artikel 6, stk. 2, med den hyppighed, der er fastsat i nævnte artikler, og som anført i afsnit 1 — "Indberetning om kapitalgrundlag og kapitalgrundlagskrav" i bilag I til nærværende forordning.</w:t>
      </w:r>
    </w:p>
    <w:p w:rsidR="00716EA9" w:rsidRPr="00186F7E" w:rsidRDefault="00716EA9" w:rsidP="00E537F5">
      <w:pPr>
        <w:pStyle w:val="Titrearticle"/>
        <w:rPr>
          <w:noProof/>
          <w:szCs w:val="24"/>
        </w:rPr>
      </w:pPr>
      <w:r w:rsidRPr="00186F7E">
        <w:rPr>
          <w:noProof/>
        </w:rPr>
        <w:t>Artikel 10</w:t>
      </w:r>
    </w:p>
    <w:p w:rsidR="00716EA9" w:rsidRPr="00186F7E" w:rsidRDefault="00716EA9" w:rsidP="00F22954">
      <w:pPr>
        <w:pStyle w:val="Titrearticle"/>
        <w:spacing w:before="0"/>
        <w:rPr>
          <w:b/>
          <w:bCs/>
          <w:i w:val="0"/>
          <w:iCs/>
          <w:noProof/>
          <w:szCs w:val="24"/>
        </w:rPr>
      </w:pPr>
      <w:r w:rsidRPr="00186F7E">
        <w:rPr>
          <w:b/>
          <w:i w:val="0"/>
          <w:noProof/>
        </w:rPr>
        <w:t>Indberetning om kapitalgrundlag og kapitalgrundlagskrav for koncerner, der udelukkende består af investeringsselskaber, som er omfattet af artikel 95 og 96 i forordning (EU) nr. 575/2013, på konsolideret grundlag</w:t>
      </w:r>
    </w:p>
    <w:p w:rsidR="00716EA9" w:rsidRPr="00186F7E" w:rsidRDefault="00D23355" w:rsidP="00D23355">
      <w:pPr>
        <w:pStyle w:val="ManualNumPar1"/>
        <w:rPr>
          <w:noProof/>
        </w:rPr>
      </w:pPr>
      <w:r w:rsidRPr="00D23355">
        <w:rPr>
          <w:noProof/>
        </w:rPr>
        <w:t>1.</w:t>
      </w:r>
      <w:r w:rsidRPr="00D23355">
        <w:rPr>
          <w:noProof/>
        </w:rPr>
        <w:tab/>
      </w:r>
      <w:r w:rsidR="00D44B55" w:rsidRPr="00186F7E">
        <w:rPr>
          <w:noProof/>
        </w:rPr>
        <w:t>De investeringsselskaber i koncerner bestående udelukkende af investeringsselskaber, der anvender overgangsbestemmelserne i artikel 57, stk. 3, i forordning (EU) 2019/2033 med henvisning til artikel 95 i forordning (EU) nr. 575/2013, indsender i forbindelse med deres indberetning af oplysninger om kapitalgrundlagskrav, jf. artikel 430, stk. 1, litra a), i forordning (EU) nr. 575/2013, på konsolideret grundlag, med undtagelse af oplysninger om gearingsgraden, oplysningerne som anført i afsnit 1 — "Indberetning om kapitalgrundlag og kapitalgrundlagskrav" i bilag I til nærværende forordning, på følgende måde:</w:t>
      </w:r>
    </w:p>
    <w:p w:rsidR="00D61A8B" w:rsidRPr="00186F7E" w:rsidRDefault="00186F7E" w:rsidP="00186F7E">
      <w:pPr>
        <w:pStyle w:val="Point1"/>
        <w:rPr>
          <w:noProof/>
        </w:rPr>
      </w:pPr>
      <w:r w:rsidRPr="00186F7E">
        <w:rPr>
          <w:noProof/>
        </w:rPr>
        <w:t>a)</w:t>
      </w:r>
      <w:r w:rsidRPr="00186F7E">
        <w:rPr>
          <w:noProof/>
        </w:rPr>
        <w:tab/>
      </w:r>
      <w:r w:rsidR="00D61A8B" w:rsidRPr="00186F7E">
        <w:rPr>
          <w:noProof/>
        </w:rPr>
        <w:t>oplysningerne om kapitalgrundlag og kapitalgrundlagskrav som anført i nærværende forordnings bilag I, afsnit 1, skema C 01.00 til C 05.02, kvartalsvis</w:t>
      </w:r>
    </w:p>
    <w:p w:rsidR="00D61A8B" w:rsidRPr="00186F7E" w:rsidRDefault="00186F7E" w:rsidP="00186F7E">
      <w:pPr>
        <w:pStyle w:val="Point1"/>
        <w:rPr>
          <w:noProof/>
        </w:rPr>
      </w:pPr>
      <w:r w:rsidRPr="00186F7E">
        <w:rPr>
          <w:noProof/>
        </w:rPr>
        <w:t>b)</w:t>
      </w:r>
      <w:r w:rsidRPr="00186F7E">
        <w:rPr>
          <w:noProof/>
        </w:rPr>
        <w:tab/>
      </w:r>
      <w:r w:rsidR="00D61A8B" w:rsidRPr="00186F7E">
        <w:rPr>
          <w:noProof/>
        </w:rPr>
        <w:t>oplysningerne om kapitalgrundlag og kapitalgrundlagskrav for så vidt angår enheder, der er omfattet af konsolideringen, som anført i nærværende forordnings bilag I, afsnit 1, skema C 06.01 til C 06.02, halvårligt.</w:t>
      </w:r>
    </w:p>
    <w:p w:rsidR="00716EA9" w:rsidRPr="00186F7E" w:rsidRDefault="00D23355" w:rsidP="00D23355">
      <w:pPr>
        <w:pStyle w:val="ManualNumPar1"/>
        <w:rPr>
          <w:noProof/>
        </w:rPr>
      </w:pPr>
      <w:r w:rsidRPr="00D23355">
        <w:rPr>
          <w:noProof/>
        </w:rPr>
        <w:t>2.</w:t>
      </w:r>
      <w:r w:rsidRPr="00D23355">
        <w:rPr>
          <w:noProof/>
        </w:rPr>
        <w:tab/>
      </w:r>
      <w:r w:rsidR="00EA1A16" w:rsidRPr="00186F7E">
        <w:rPr>
          <w:noProof/>
        </w:rPr>
        <w:t>De investeringsselskaber i koncerner bestående udelukkende af investeringsselskaber, der anvender overgangsbestemmelserne i artikel 57, stk. 3, i forordning (EU) 2019/2033 med henvisning til artikel 96 i forordning (EU) nr. 575/2013, indsender i forbindelse med deres indberetning af oplysninger om kapitalgrundlagskrav, jf. artikel 430, stk. 1, litra a), i forordning (EU) nr. 575/2013, på konsolideret grundlag, oplysningerne som anført i afsnit 1 — "Indberetning om kapitalgrundlag og kapitalgrundlagskrav" i bilag I til nærværende forordning, på følgende måde:</w:t>
      </w:r>
    </w:p>
    <w:p w:rsidR="00AD54BA" w:rsidRPr="00186F7E" w:rsidRDefault="00186F7E" w:rsidP="00186F7E">
      <w:pPr>
        <w:pStyle w:val="Point1"/>
        <w:rPr>
          <w:noProof/>
        </w:rPr>
      </w:pPr>
      <w:r w:rsidRPr="00186F7E">
        <w:rPr>
          <w:noProof/>
        </w:rPr>
        <w:t>a)</w:t>
      </w:r>
      <w:r w:rsidRPr="00186F7E">
        <w:rPr>
          <w:noProof/>
        </w:rPr>
        <w:tab/>
      </w:r>
      <w:r w:rsidR="00AD54BA" w:rsidRPr="00186F7E">
        <w:rPr>
          <w:noProof/>
        </w:rPr>
        <w:t>oplysninger, der er omhandlet i denne forordnings artikel 5, stk. 1 til 4, og artikel 6, stk. 2, med den i disse artikler fastsatte hyppighed</w:t>
      </w:r>
    </w:p>
    <w:p w:rsidR="00AD54BA" w:rsidRPr="00186F7E" w:rsidRDefault="00186F7E" w:rsidP="00186F7E">
      <w:pPr>
        <w:pStyle w:val="Point1"/>
        <w:rPr>
          <w:noProof/>
        </w:rPr>
      </w:pPr>
      <w:r w:rsidRPr="00186F7E">
        <w:rPr>
          <w:noProof/>
        </w:rPr>
        <w:t>b)</w:t>
      </w:r>
      <w:r w:rsidRPr="00186F7E">
        <w:rPr>
          <w:noProof/>
        </w:rPr>
        <w:tab/>
      </w:r>
      <w:r w:rsidR="00AD54BA" w:rsidRPr="00186F7E">
        <w:rPr>
          <w:noProof/>
        </w:rPr>
        <w:t>oplysninger om enheder, der er omfattet af konsolideringen, som anført i denne forordnings bilag I, afsnit 1, skema C 06.01 til C 06.02, halvårligt.</w:t>
      </w:r>
    </w:p>
    <w:p w:rsidR="00716EA9" w:rsidRPr="00186F7E" w:rsidRDefault="00716EA9" w:rsidP="00E537F5">
      <w:pPr>
        <w:pStyle w:val="Titrearticle"/>
        <w:rPr>
          <w:noProof/>
          <w:szCs w:val="24"/>
        </w:rPr>
      </w:pPr>
      <w:r w:rsidRPr="00186F7E">
        <w:rPr>
          <w:noProof/>
        </w:rPr>
        <w:t>Artikel 11</w:t>
      </w:r>
    </w:p>
    <w:p w:rsidR="00716EA9" w:rsidRPr="00186F7E" w:rsidRDefault="00716EA9" w:rsidP="00F22954">
      <w:pPr>
        <w:pStyle w:val="Titrearticle"/>
        <w:spacing w:before="0"/>
        <w:rPr>
          <w:b/>
          <w:bCs/>
          <w:i w:val="0"/>
          <w:iCs/>
          <w:noProof/>
          <w:szCs w:val="24"/>
        </w:rPr>
      </w:pPr>
      <w:r w:rsidRPr="00186F7E">
        <w:rPr>
          <w:b/>
          <w:i w:val="0"/>
          <w:noProof/>
        </w:rPr>
        <w:t>Indberetning om regnskabsdata på konsolideret grundlag for institutter, der er omfattet af Europa-Parlamentets og Rådets forordning (EF) nr. 1606/2002</w:t>
      </w:r>
      <w:r w:rsidRPr="00186F7E">
        <w:rPr>
          <w:rStyle w:val="FootnoteReference"/>
          <w:i w:val="0"/>
          <w:iCs/>
          <w:noProof/>
          <w:szCs w:val="24"/>
        </w:rPr>
        <w:footnoteReference w:id="9"/>
      </w:r>
    </w:p>
    <w:p w:rsidR="00716EA9" w:rsidRPr="00186F7E" w:rsidRDefault="00DE1415" w:rsidP="00EE077F">
      <w:pPr>
        <w:spacing w:before="100" w:beforeAutospacing="1" w:after="100" w:afterAutospacing="1"/>
        <w:rPr>
          <w:noProof/>
          <w:color w:val="000000"/>
          <w:szCs w:val="24"/>
        </w:rPr>
      </w:pPr>
      <w:r w:rsidRPr="00186F7E">
        <w:rPr>
          <w:noProof/>
          <w:color w:val="000000"/>
        </w:rPr>
        <w:t>Institutter, der indberetter regnskabsdata på konsolideret grundlag, jf. artikel 430, stk. 3 eller 4, i forordning (EU) nr. 575/2013, indsender nævnte data som anført i afsnit 2 — "Indberetning om regnskabsdata i overensstemmelse med IFRS" i bilag I til nærværende forordning med følgende hyppighed:</w:t>
      </w:r>
    </w:p>
    <w:p w:rsidR="00AD54BA" w:rsidRPr="00186F7E" w:rsidRDefault="00186F7E" w:rsidP="00186F7E">
      <w:pPr>
        <w:pStyle w:val="Point0"/>
        <w:rPr>
          <w:noProof/>
        </w:rPr>
      </w:pPr>
      <w:r w:rsidRPr="00186F7E">
        <w:rPr>
          <w:noProof/>
        </w:rPr>
        <w:t>a)</w:t>
      </w:r>
      <w:r w:rsidRPr="00186F7E">
        <w:rPr>
          <w:noProof/>
        </w:rPr>
        <w:tab/>
      </w:r>
      <w:r w:rsidR="00AD54BA" w:rsidRPr="00186F7E">
        <w:rPr>
          <w:noProof/>
        </w:rPr>
        <w:t>kvartalsvis for så vidt angår de oplysninger, der er angivet i denne forordnings bilag I, afsnit 2, skema F 01.01 til F 19.00</w:t>
      </w:r>
    </w:p>
    <w:p w:rsidR="00AD54BA" w:rsidRPr="00186F7E" w:rsidRDefault="00186F7E" w:rsidP="00186F7E">
      <w:pPr>
        <w:pStyle w:val="Point0"/>
        <w:rPr>
          <w:noProof/>
        </w:rPr>
      </w:pPr>
      <w:r w:rsidRPr="00186F7E">
        <w:rPr>
          <w:noProof/>
        </w:rPr>
        <w:t>b)</w:t>
      </w:r>
      <w:r w:rsidRPr="00186F7E">
        <w:rPr>
          <w:noProof/>
        </w:rPr>
        <w:tab/>
      </w:r>
      <w:r w:rsidR="00AD54BA" w:rsidRPr="00186F7E">
        <w:rPr>
          <w:noProof/>
        </w:rPr>
        <w:t>halvårligt for så vidt angår de oplysninger, der er angivet i denne forordnings bilag I, afsnit 2, skema F 30.01 til F 31.02</w:t>
      </w:r>
    </w:p>
    <w:p w:rsidR="00AD54BA" w:rsidRPr="00186F7E" w:rsidRDefault="00186F7E" w:rsidP="00186F7E">
      <w:pPr>
        <w:pStyle w:val="Point0"/>
        <w:rPr>
          <w:noProof/>
        </w:rPr>
      </w:pPr>
      <w:r w:rsidRPr="00186F7E">
        <w:rPr>
          <w:noProof/>
        </w:rPr>
        <w:t>c)</w:t>
      </w:r>
      <w:r w:rsidRPr="00186F7E">
        <w:rPr>
          <w:noProof/>
        </w:rPr>
        <w:tab/>
      </w:r>
      <w:r w:rsidR="00AD54BA" w:rsidRPr="00186F7E">
        <w:rPr>
          <w:noProof/>
        </w:rPr>
        <w:t>årligt for så vidt angår de oplysninger, der er angivet i denne forordnings bilag I, afsnit 2, skema F 40.01 til F 46.00</w:t>
      </w:r>
    </w:p>
    <w:p w:rsidR="00AD54BA" w:rsidRPr="00186F7E" w:rsidRDefault="00186F7E" w:rsidP="00186F7E">
      <w:pPr>
        <w:pStyle w:val="Point0"/>
        <w:rPr>
          <w:noProof/>
        </w:rPr>
      </w:pPr>
      <w:r w:rsidRPr="00186F7E">
        <w:rPr>
          <w:noProof/>
        </w:rPr>
        <w:t>d)</w:t>
      </w:r>
      <w:r w:rsidRPr="00186F7E">
        <w:rPr>
          <w:noProof/>
        </w:rPr>
        <w:tab/>
      </w:r>
      <w:r w:rsidR="00AD54BA" w:rsidRPr="00186F7E">
        <w:rPr>
          <w:noProof/>
        </w:rPr>
        <w:t>kvartalsvis for så vidt angår de oplysninger, der er angivet i denne forordnings bilag I, afsnit 2, skema F 20.01 til F 20.07.1, hvis instituttet overskrider den tærskel, der er fastsat i denne forordnings artikel 5, stk. 2, andet afsnit</w:t>
      </w:r>
    </w:p>
    <w:p w:rsidR="00AD54BA" w:rsidRPr="00186F7E" w:rsidRDefault="00186F7E" w:rsidP="00186F7E">
      <w:pPr>
        <w:pStyle w:val="Point0"/>
        <w:rPr>
          <w:noProof/>
        </w:rPr>
      </w:pPr>
      <w:r w:rsidRPr="00186F7E">
        <w:rPr>
          <w:noProof/>
        </w:rPr>
        <w:t>e)</w:t>
      </w:r>
      <w:r w:rsidRPr="00186F7E">
        <w:rPr>
          <w:noProof/>
        </w:rPr>
        <w:tab/>
      </w:r>
      <w:r w:rsidR="00AD54BA" w:rsidRPr="00186F7E">
        <w:rPr>
          <w:noProof/>
        </w:rPr>
        <w:t>kvartalsvis for så vidt angår de oplysninger, der er anført i denne forordnings bilag I, afsnit 2, skema F 21.00, hvis de materielle aktiver, der er omfattet af operationel leasing, er lig med eller overstiger 10 % af de samlede materielle aktiver som indberettet i overensstemmelse med denne forordnings bilag I, afsnit 2, skema F 01.01</w:t>
      </w:r>
    </w:p>
    <w:p w:rsidR="00AD54BA" w:rsidRPr="00186F7E" w:rsidRDefault="00186F7E" w:rsidP="00186F7E">
      <w:pPr>
        <w:pStyle w:val="Point0"/>
        <w:rPr>
          <w:noProof/>
        </w:rPr>
      </w:pPr>
      <w:r w:rsidRPr="00186F7E">
        <w:rPr>
          <w:noProof/>
        </w:rPr>
        <w:t>f)</w:t>
      </w:r>
      <w:r w:rsidRPr="00186F7E">
        <w:rPr>
          <w:noProof/>
        </w:rPr>
        <w:tab/>
      </w:r>
      <w:r w:rsidR="00AD54BA" w:rsidRPr="00186F7E">
        <w:rPr>
          <w:noProof/>
        </w:rPr>
        <w:t>kvartalsvis for så vidt angår de oplysninger, der er anført i denne forordnings bilag I, afsnit 2, skema F 22.01 og F 22.02, hvis nettoindtægter fra gebyrer og kommissioner er lig med eller overstiger 10 % af summen af nettoindtægter fra gebyrer og kommissioner og nettorenteindtægter som indberettet i overensstemmelse med denne forordnings bilag I, afsnit 2, skema F 02.00</w:t>
      </w:r>
    </w:p>
    <w:p w:rsidR="00AD54BA" w:rsidRPr="00186F7E" w:rsidRDefault="00186F7E" w:rsidP="00186F7E">
      <w:pPr>
        <w:pStyle w:val="Point0"/>
        <w:rPr>
          <w:noProof/>
        </w:rPr>
      </w:pPr>
      <w:r w:rsidRPr="00186F7E">
        <w:rPr>
          <w:noProof/>
        </w:rPr>
        <w:t>g)</w:t>
      </w:r>
      <w:r w:rsidRPr="00186F7E">
        <w:rPr>
          <w:noProof/>
        </w:rPr>
        <w:tab/>
      </w:r>
      <w:r w:rsidR="00AD54BA" w:rsidRPr="00186F7E">
        <w:rPr>
          <w:noProof/>
        </w:rPr>
        <w:t>kvartalsvis for så vidt angår de oplysninger, der er anført i denne forordnings bilag I, afsnit 2, skema F 23.01 til 26.00, hvis begge følgende betingelser er opfyldt:</w:t>
      </w:r>
    </w:p>
    <w:p w:rsidR="00AD54BA" w:rsidRPr="00186F7E" w:rsidRDefault="00AD54BA" w:rsidP="00C856B2">
      <w:pPr>
        <w:pStyle w:val="Point2"/>
        <w:rPr>
          <w:noProof/>
        </w:rPr>
      </w:pPr>
      <w:r w:rsidRPr="00186F7E">
        <w:rPr>
          <w:noProof/>
        </w:rPr>
        <w:t>i)</w:t>
      </w:r>
      <w:r w:rsidRPr="00186F7E">
        <w:rPr>
          <w:noProof/>
        </w:rPr>
        <w:tab/>
        <w:t>instituttet er ikke et lille og ikkekomplekst institut</w:t>
      </w:r>
    </w:p>
    <w:p w:rsidR="00AD54BA" w:rsidRPr="00186F7E" w:rsidRDefault="00AD54BA" w:rsidP="00C856B2">
      <w:pPr>
        <w:pStyle w:val="Point2"/>
        <w:rPr>
          <w:noProof/>
        </w:rPr>
      </w:pPr>
      <w:r w:rsidRPr="00186F7E">
        <w:rPr>
          <w:noProof/>
        </w:rPr>
        <w:t>ii)</w:t>
      </w:r>
      <w:r w:rsidRPr="00186F7E">
        <w:rPr>
          <w:noProof/>
        </w:rPr>
        <w:tab/>
        <w:t>forholdet mellem den regnskabsmæssige bruttoværdi af instituttets lån og forskud, som falder ind under artikel 47a, stk. 3, i forordning (EU) nr. 575/2013, og den samlede regnskabsmæssige bruttoværdi af lån og forskud, som falder ind under nævnte forordnings artikel 47a, stk. 1, er lig med eller overstiger 5 %</w:t>
      </w:r>
    </w:p>
    <w:p w:rsidR="00AD54BA" w:rsidRPr="00186F7E" w:rsidRDefault="00186F7E" w:rsidP="00186F7E">
      <w:pPr>
        <w:pStyle w:val="Point0"/>
        <w:rPr>
          <w:noProof/>
        </w:rPr>
      </w:pPr>
      <w:r w:rsidRPr="00186F7E">
        <w:rPr>
          <w:noProof/>
        </w:rPr>
        <w:t>h)</w:t>
      </w:r>
      <w:r w:rsidRPr="00186F7E">
        <w:rPr>
          <w:noProof/>
        </w:rPr>
        <w:tab/>
      </w:r>
      <w:r w:rsidR="00AD54BA" w:rsidRPr="00186F7E">
        <w:rPr>
          <w:noProof/>
        </w:rPr>
        <w:t>årligt for så vidt angår de oplysninger, der er anført i denne forordnings bilag I, afsnit 2, skema F 47.00, hvis begge betingelser i litra g) i dette stykke er opfyldt.</w:t>
      </w:r>
    </w:p>
    <w:p w:rsidR="00AD54BA" w:rsidRPr="00186F7E" w:rsidRDefault="00AD54BA" w:rsidP="00AD54BA">
      <w:pPr>
        <w:spacing w:before="100" w:beforeAutospacing="1" w:after="100" w:afterAutospacing="1"/>
        <w:rPr>
          <w:noProof/>
          <w:color w:val="000000"/>
          <w:szCs w:val="24"/>
        </w:rPr>
      </w:pPr>
      <w:r w:rsidRPr="00186F7E">
        <w:rPr>
          <w:noProof/>
          <w:color w:val="000000"/>
        </w:rPr>
        <w:t>Med henblik på litra g), nr. ii), omfatter forholdet ikke lån og forskud, der er klassificeret som besiddelse med henblik på salg, kassebeholdninger i centralbanker og andre anfordringsindskud i enten tæller eller nævner.</w:t>
      </w:r>
    </w:p>
    <w:p w:rsidR="00716EA9" w:rsidRPr="00186F7E" w:rsidRDefault="00716EA9" w:rsidP="00E537F5">
      <w:pPr>
        <w:pStyle w:val="Titrearticle"/>
        <w:rPr>
          <w:noProof/>
          <w:szCs w:val="24"/>
        </w:rPr>
      </w:pPr>
      <w:r w:rsidRPr="00186F7E">
        <w:rPr>
          <w:noProof/>
        </w:rPr>
        <w:t>Artikel 12</w:t>
      </w:r>
    </w:p>
    <w:p w:rsidR="00716EA9" w:rsidRPr="00186F7E" w:rsidRDefault="00716EA9" w:rsidP="00F22954">
      <w:pPr>
        <w:pStyle w:val="Titrearticle"/>
        <w:spacing w:before="0"/>
        <w:rPr>
          <w:b/>
          <w:bCs/>
          <w:i w:val="0"/>
          <w:iCs/>
          <w:noProof/>
          <w:szCs w:val="24"/>
        </w:rPr>
      </w:pPr>
      <w:r w:rsidRPr="00186F7E">
        <w:rPr>
          <w:b/>
          <w:i w:val="0"/>
          <w:noProof/>
        </w:rPr>
        <w:t>Indberetning om regnskabsdata på konsolideret grundlag for institutter, der anvender nationale regnskabssystemer</w:t>
      </w:r>
    </w:p>
    <w:p w:rsidR="00AD54BA" w:rsidRPr="00186F7E" w:rsidRDefault="00716EA9" w:rsidP="00DC37AE">
      <w:pPr>
        <w:spacing w:after="0"/>
        <w:rPr>
          <w:rFonts w:eastAsia="Times New Roman"/>
          <w:noProof/>
          <w:color w:val="000000"/>
          <w:szCs w:val="24"/>
        </w:rPr>
      </w:pPr>
      <w:r w:rsidRPr="00186F7E">
        <w:rPr>
          <w:noProof/>
          <w:color w:val="000000"/>
        </w:rPr>
        <w:t>Når en kompetent myndighed har udvidet indberetningskravet vedrørende regnskabsdata til at omfatte institutter, der er etableret i en medlemsstat, jf. artikel 430, stk. 4, i forordning (EU) nr. 575/2013, indsender institutterne regnskabsdata på konsolideret grundlag som anført i afsnit 3 – "Indberetning om regnskabsdata i overensstemmelse GAAP" i bilag I til nærværende forordning med følgende hyppighed:</w:t>
      </w:r>
    </w:p>
    <w:p w:rsidR="00EE077F" w:rsidRPr="00186F7E" w:rsidRDefault="00186F7E" w:rsidP="00186F7E">
      <w:pPr>
        <w:pStyle w:val="Point0"/>
        <w:rPr>
          <w:noProof/>
        </w:rPr>
      </w:pPr>
      <w:r w:rsidRPr="00186F7E">
        <w:rPr>
          <w:noProof/>
        </w:rPr>
        <w:t>a)</w:t>
      </w:r>
      <w:r w:rsidRPr="00186F7E">
        <w:rPr>
          <w:noProof/>
        </w:rPr>
        <w:tab/>
      </w:r>
      <w:r w:rsidR="00EE077F" w:rsidRPr="00186F7E">
        <w:rPr>
          <w:noProof/>
        </w:rPr>
        <w:t>kvartalsvis for så vidt angår de oplysninger, der er angivet i denne forordnings bilag I, afsnit 3, skema F 01.01 til F 19.00</w:t>
      </w:r>
    </w:p>
    <w:p w:rsidR="00EE077F" w:rsidRPr="00186F7E" w:rsidRDefault="00186F7E" w:rsidP="00186F7E">
      <w:pPr>
        <w:pStyle w:val="Point0"/>
        <w:rPr>
          <w:noProof/>
        </w:rPr>
      </w:pPr>
      <w:r w:rsidRPr="00186F7E">
        <w:rPr>
          <w:noProof/>
        </w:rPr>
        <w:t>b)</w:t>
      </w:r>
      <w:r w:rsidRPr="00186F7E">
        <w:rPr>
          <w:noProof/>
        </w:rPr>
        <w:tab/>
      </w:r>
      <w:r w:rsidR="00EE077F" w:rsidRPr="00186F7E">
        <w:rPr>
          <w:noProof/>
        </w:rPr>
        <w:t>halvårligt for så vidt angår de oplysninger, der er angivet i denne forordnings bilag I, afsnit 3, skema F 30.01 til F 31.02</w:t>
      </w:r>
    </w:p>
    <w:p w:rsidR="00EE077F" w:rsidRPr="00186F7E" w:rsidRDefault="00186F7E" w:rsidP="00186F7E">
      <w:pPr>
        <w:pStyle w:val="Point0"/>
        <w:rPr>
          <w:rFonts w:eastAsia="Times New Roman"/>
          <w:noProof/>
        </w:rPr>
      </w:pPr>
      <w:r w:rsidRPr="00186F7E">
        <w:rPr>
          <w:noProof/>
        </w:rPr>
        <w:t>c)</w:t>
      </w:r>
      <w:r w:rsidRPr="00186F7E">
        <w:rPr>
          <w:noProof/>
        </w:rPr>
        <w:tab/>
      </w:r>
      <w:r w:rsidR="00EE077F" w:rsidRPr="00186F7E">
        <w:rPr>
          <w:noProof/>
        </w:rPr>
        <w:t>årligt for så vidt angår de oplysninger, der er angivet i denne forordnings bilag I, afsnit 3, skema F 40.01 til F 46.00</w:t>
      </w:r>
    </w:p>
    <w:p w:rsidR="00EE077F" w:rsidRPr="00186F7E" w:rsidRDefault="00186F7E" w:rsidP="00186F7E">
      <w:pPr>
        <w:pStyle w:val="Point0"/>
        <w:rPr>
          <w:noProof/>
        </w:rPr>
      </w:pPr>
      <w:r w:rsidRPr="00186F7E">
        <w:rPr>
          <w:noProof/>
        </w:rPr>
        <w:t>d)</w:t>
      </w:r>
      <w:r w:rsidRPr="00186F7E">
        <w:rPr>
          <w:noProof/>
        </w:rPr>
        <w:tab/>
      </w:r>
      <w:r w:rsidR="00EE077F" w:rsidRPr="00186F7E">
        <w:rPr>
          <w:noProof/>
        </w:rPr>
        <w:t>kvartalsvis for så vidt angår de oplysninger, der er angivet i denne forordnings bilag I, afsnit 3, skema F 20.01 til F 20.07.1, hvis instituttet overskrider den tærskel, der er fastsat i denne forordnings artikel 5, stk. 2, andet afsnit</w:t>
      </w:r>
    </w:p>
    <w:p w:rsidR="00EE077F" w:rsidRPr="00186F7E" w:rsidRDefault="00186F7E" w:rsidP="00186F7E">
      <w:pPr>
        <w:pStyle w:val="Point0"/>
        <w:rPr>
          <w:rFonts w:eastAsia="Times New Roman"/>
          <w:noProof/>
        </w:rPr>
      </w:pPr>
      <w:r w:rsidRPr="00186F7E">
        <w:rPr>
          <w:noProof/>
        </w:rPr>
        <w:t>e)</w:t>
      </w:r>
      <w:r w:rsidRPr="00186F7E">
        <w:rPr>
          <w:noProof/>
        </w:rPr>
        <w:tab/>
      </w:r>
      <w:r w:rsidR="00EE077F" w:rsidRPr="00186F7E">
        <w:rPr>
          <w:noProof/>
        </w:rPr>
        <w:t>kvartalsvis for så vidt angår de oplysninger, der er anført i denne forordnings bilag I, afsnit 3, skema F 21.00, hvis de materielle aktiver, der er omfattet af operationel leasing, er lig med eller overstiger 10 % af de samlede materielle aktiver som indberettet i overensstemmelse med denne forordnings bilag I, afsnit 3, skema F 01.01</w:t>
      </w:r>
    </w:p>
    <w:p w:rsidR="00EE077F" w:rsidRPr="00186F7E" w:rsidRDefault="00186F7E" w:rsidP="00186F7E">
      <w:pPr>
        <w:pStyle w:val="Point0"/>
        <w:rPr>
          <w:rFonts w:eastAsia="Times New Roman"/>
          <w:noProof/>
        </w:rPr>
      </w:pPr>
      <w:r w:rsidRPr="00186F7E">
        <w:rPr>
          <w:noProof/>
        </w:rPr>
        <w:t>f)</w:t>
      </w:r>
      <w:r w:rsidRPr="00186F7E">
        <w:rPr>
          <w:noProof/>
        </w:rPr>
        <w:tab/>
      </w:r>
      <w:r w:rsidR="00EE077F" w:rsidRPr="00186F7E">
        <w:rPr>
          <w:noProof/>
        </w:rPr>
        <w:t>kvartalsvis for så vidt angår de oplysninger, der er anført i denne forordnings bilag I, afsnit 3, skema F 22.01 og F 22.02, hvis nettoindtægter fra gebyrer og kommissioner er lig med eller overstiger 10 % af summen af nettoindtægter fra gebyrer- og kommissioner og nettorenteindtægter som indberettet i overensstemmelse med denne forordnings bilag I, afsnit 3, skema F 02.00</w:t>
      </w:r>
    </w:p>
    <w:p w:rsidR="00EE077F" w:rsidRPr="00186F7E" w:rsidRDefault="00186F7E" w:rsidP="00186F7E">
      <w:pPr>
        <w:pStyle w:val="Point0"/>
        <w:rPr>
          <w:rFonts w:eastAsia="Times New Roman"/>
          <w:noProof/>
        </w:rPr>
      </w:pPr>
      <w:r w:rsidRPr="00186F7E">
        <w:rPr>
          <w:noProof/>
        </w:rPr>
        <w:t>g)</w:t>
      </w:r>
      <w:r w:rsidRPr="00186F7E">
        <w:rPr>
          <w:noProof/>
        </w:rPr>
        <w:tab/>
      </w:r>
      <w:r w:rsidR="00EE077F" w:rsidRPr="00186F7E">
        <w:rPr>
          <w:noProof/>
        </w:rPr>
        <w:t>kvartalsvis for så vidt angår de oplysninger, der er anført i denne forordnings bilag I, afsnit 3, skema F 23.01 til 26.00, hvis begge følgende betingelser er opfyldt:</w:t>
      </w:r>
    </w:p>
    <w:p w:rsidR="00EE077F" w:rsidRPr="00186F7E" w:rsidRDefault="00186F7E" w:rsidP="00186F7E">
      <w:pPr>
        <w:pStyle w:val="Point0"/>
        <w:rPr>
          <w:noProof/>
        </w:rPr>
      </w:pPr>
      <w:r w:rsidRPr="00186F7E">
        <w:rPr>
          <w:noProof/>
        </w:rPr>
        <w:t>h)</w:t>
      </w:r>
      <w:r w:rsidR="00EE077F" w:rsidRPr="00186F7E">
        <w:rPr>
          <w:noProof/>
        </w:rPr>
        <w:tab/>
        <w:t>instituttet er ikke et lille eller ikkekomplekst institut</w:t>
      </w:r>
    </w:p>
    <w:p w:rsidR="00EE077F" w:rsidRPr="00186F7E" w:rsidRDefault="00186F7E" w:rsidP="00186F7E">
      <w:pPr>
        <w:pStyle w:val="Point0"/>
        <w:rPr>
          <w:noProof/>
        </w:rPr>
      </w:pPr>
      <w:r w:rsidRPr="00186F7E">
        <w:rPr>
          <w:noProof/>
        </w:rPr>
        <w:t>i)</w:t>
      </w:r>
      <w:r w:rsidR="00EE077F" w:rsidRPr="00186F7E">
        <w:rPr>
          <w:noProof/>
        </w:rPr>
        <w:tab/>
        <w:t>forholdet i instituttet som anført i denne forordnings artikel 11, stk. 2, litra g), nr. ii), er lig med eller overstiger 5 %</w:t>
      </w:r>
    </w:p>
    <w:p w:rsidR="00EE077F" w:rsidRPr="00186F7E" w:rsidRDefault="00186F7E" w:rsidP="00186F7E">
      <w:pPr>
        <w:pStyle w:val="Point0"/>
        <w:rPr>
          <w:noProof/>
        </w:rPr>
      </w:pPr>
      <w:r w:rsidRPr="00186F7E">
        <w:rPr>
          <w:noProof/>
        </w:rPr>
        <w:t>j)</w:t>
      </w:r>
      <w:r w:rsidRPr="00186F7E">
        <w:rPr>
          <w:noProof/>
        </w:rPr>
        <w:tab/>
      </w:r>
      <w:r w:rsidR="00EE077F" w:rsidRPr="00186F7E">
        <w:rPr>
          <w:noProof/>
        </w:rPr>
        <w:t>årligt for så vidt angår de oplysninger, der er anført i denne forordnings bilag I, afsnit 3, skema F 47.00, hvis begge betingelser i litra g) i dette stykke er opfyldt.</w:t>
      </w:r>
    </w:p>
    <w:p w:rsidR="00716EA9" w:rsidRPr="00186F7E" w:rsidRDefault="00716EA9" w:rsidP="00E537F5">
      <w:pPr>
        <w:pStyle w:val="Titrearticle"/>
        <w:rPr>
          <w:noProof/>
          <w:szCs w:val="24"/>
        </w:rPr>
      </w:pPr>
      <w:r w:rsidRPr="00186F7E">
        <w:rPr>
          <w:noProof/>
        </w:rPr>
        <w:t>Artikel 13</w:t>
      </w:r>
    </w:p>
    <w:p w:rsidR="00716EA9" w:rsidRPr="00186F7E" w:rsidRDefault="00716EA9" w:rsidP="00F22954">
      <w:pPr>
        <w:pStyle w:val="Titrearticle"/>
        <w:spacing w:before="0"/>
        <w:rPr>
          <w:b/>
          <w:bCs/>
          <w:i w:val="0"/>
          <w:iCs/>
          <w:noProof/>
          <w:szCs w:val="24"/>
        </w:rPr>
      </w:pPr>
      <w:r w:rsidRPr="00186F7E">
        <w:rPr>
          <w:b/>
          <w:i w:val="0"/>
          <w:noProof/>
        </w:rPr>
        <w:t>Indberetning om tab i forbindelse med udlån med sikkerhed i fast ejendom i overensstemmelse med artikel 430a, stk. 1, i forordning (EU) nr. 575/2013 på individuelt og konsolideret grundlag</w:t>
      </w:r>
    </w:p>
    <w:p w:rsidR="00716EA9" w:rsidRPr="00186F7E" w:rsidRDefault="00D23355" w:rsidP="00D23355">
      <w:pPr>
        <w:pStyle w:val="ManualNumPar1"/>
        <w:rPr>
          <w:noProof/>
        </w:rPr>
      </w:pPr>
      <w:r w:rsidRPr="00D23355">
        <w:rPr>
          <w:noProof/>
        </w:rPr>
        <w:t>1.</w:t>
      </w:r>
      <w:r w:rsidRPr="00D23355">
        <w:rPr>
          <w:noProof/>
        </w:rPr>
        <w:tab/>
      </w:r>
      <w:r w:rsidR="00716EA9" w:rsidRPr="00186F7E">
        <w:rPr>
          <w:noProof/>
        </w:rPr>
        <w:t>Institutterne indsender årligt de aggregerede data, der er omhandlet i artikel 430a, stk. 1, i forordning (EU) nr. 575/2013, på konsolideret grundlag som anført i afsnit 4 — "Indberetning om oplysninger om tab i forbindelse med udlån med sikkerhed i fast ejendom" i bilag I til nærværende forordning.</w:t>
      </w:r>
    </w:p>
    <w:p w:rsidR="00716EA9" w:rsidRPr="00186F7E" w:rsidRDefault="00D23355" w:rsidP="00D23355">
      <w:pPr>
        <w:pStyle w:val="ManualNumPar1"/>
        <w:rPr>
          <w:noProof/>
        </w:rPr>
      </w:pPr>
      <w:r w:rsidRPr="00D23355">
        <w:rPr>
          <w:noProof/>
        </w:rPr>
        <w:t>2.</w:t>
      </w:r>
      <w:r w:rsidRPr="00D23355">
        <w:rPr>
          <w:noProof/>
        </w:rPr>
        <w:tab/>
      </w:r>
      <w:r w:rsidR="00716EA9" w:rsidRPr="00186F7E">
        <w:rPr>
          <w:noProof/>
        </w:rPr>
        <w:t>Institutterne indsender årligt de aggregerede data, der er omhandlet i artikel 430a, stk. 1, i forordning (EU) nr. 575/2013, på individuelt grundlag som anført i afsnit 4 — "Indberetning om oplysninger om tab i forbindelse med udlån med sikkerhed i fast ejendom" i bilag I til nærværende forordning.</w:t>
      </w:r>
    </w:p>
    <w:p w:rsidR="00716EA9" w:rsidRPr="00186F7E" w:rsidRDefault="00D23355" w:rsidP="00D23355">
      <w:pPr>
        <w:pStyle w:val="ManualNumPar1"/>
        <w:rPr>
          <w:noProof/>
        </w:rPr>
      </w:pPr>
      <w:r w:rsidRPr="00D23355">
        <w:rPr>
          <w:noProof/>
        </w:rPr>
        <w:t>3.</w:t>
      </w:r>
      <w:r w:rsidRPr="00D23355">
        <w:rPr>
          <w:noProof/>
        </w:rPr>
        <w:tab/>
      </w:r>
      <w:r w:rsidR="00716EA9" w:rsidRPr="00186F7E">
        <w:rPr>
          <w:noProof/>
        </w:rPr>
        <w:t>Hvis et institut har en filial i en anden medlemsstat, indsender denne årligt til værtsmedlemsstatens kompetente myndighed de aggregerede data, der er omhandlet i artikel 430a, stk. 1, i forordning (EU) nr. 575/2013, som anført i afsnit 4 — "Indberetning om oplysninger om tab i forbindelse med udlån med sikkerhed i fast ejendom" i bilag I til nærværende forordning.</w:t>
      </w:r>
    </w:p>
    <w:p w:rsidR="00716EA9" w:rsidRPr="00186F7E" w:rsidRDefault="00716EA9" w:rsidP="00E537F5">
      <w:pPr>
        <w:pStyle w:val="Titrearticle"/>
        <w:rPr>
          <w:noProof/>
          <w:szCs w:val="24"/>
        </w:rPr>
      </w:pPr>
      <w:r w:rsidRPr="00186F7E">
        <w:rPr>
          <w:noProof/>
        </w:rPr>
        <w:t>Artikel 14</w:t>
      </w:r>
    </w:p>
    <w:p w:rsidR="00716EA9" w:rsidRPr="00186F7E" w:rsidRDefault="00716EA9" w:rsidP="00F22954">
      <w:pPr>
        <w:pStyle w:val="Titrearticle"/>
        <w:spacing w:before="0"/>
        <w:rPr>
          <w:b/>
          <w:bCs/>
          <w:i w:val="0"/>
          <w:iCs/>
          <w:noProof/>
          <w:szCs w:val="24"/>
        </w:rPr>
      </w:pPr>
      <w:r w:rsidRPr="00186F7E">
        <w:rPr>
          <w:b/>
          <w:i w:val="0"/>
          <w:noProof/>
        </w:rPr>
        <w:t>Indberetning om store eksponeringer på både individuelt og konsolideret grundlag</w:t>
      </w:r>
    </w:p>
    <w:p w:rsidR="00716EA9" w:rsidRPr="00186F7E" w:rsidRDefault="00DE6B7D" w:rsidP="00716EA9">
      <w:pPr>
        <w:spacing w:after="0"/>
        <w:rPr>
          <w:noProof/>
          <w:color w:val="000000"/>
          <w:szCs w:val="24"/>
        </w:rPr>
      </w:pPr>
      <w:r w:rsidRPr="00186F7E">
        <w:rPr>
          <w:noProof/>
          <w:color w:val="000000"/>
        </w:rPr>
        <w:t>Institutter, der indberetter de oplysninger, der er omhandlet i artikel 394 i forordning (EU) nr. 575/2013, på både individuelt og konsolideret grundlag, indsender kvartalsvis nævnte oplysninger som anført i afsnit 5 — "Indberetning om store eksponeringer og koncentrationsrisiko" i bilag I til nærværende forordning.</w:t>
      </w:r>
    </w:p>
    <w:p w:rsidR="00716EA9" w:rsidRPr="00186F7E" w:rsidRDefault="00716EA9" w:rsidP="00E537F5">
      <w:pPr>
        <w:pStyle w:val="Titrearticle"/>
        <w:rPr>
          <w:noProof/>
          <w:szCs w:val="24"/>
        </w:rPr>
      </w:pPr>
      <w:r w:rsidRPr="00186F7E">
        <w:rPr>
          <w:noProof/>
        </w:rPr>
        <w:t>Artikel 15</w:t>
      </w:r>
    </w:p>
    <w:p w:rsidR="00716EA9" w:rsidRPr="00186F7E" w:rsidRDefault="00716EA9" w:rsidP="00F22954">
      <w:pPr>
        <w:pStyle w:val="Titrearticle"/>
        <w:spacing w:before="0"/>
        <w:rPr>
          <w:b/>
          <w:bCs/>
          <w:i w:val="0"/>
          <w:iCs/>
          <w:noProof/>
          <w:szCs w:val="24"/>
        </w:rPr>
      </w:pPr>
      <w:r w:rsidRPr="00186F7E">
        <w:rPr>
          <w:b/>
          <w:i w:val="0"/>
          <w:noProof/>
        </w:rPr>
        <w:t>Indberetning om gearingsgrad på både individuelt og konsolideret grundlag</w:t>
      </w:r>
    </w:p>
    <w:p w:rsidR="00675E5F" w:rsidRPr="00186F7E" w:rsidRDefault="00D23355" w:rsidP="00D23355">
      <w:pPr>
        <w:pStyle w:val="ManualNumPar1"/>
        <w:rPr>
          <w:noProof/>
        </w:rPr>
      </w:pPr>
      <w:r w:rsidRPr="00D23355">
        <w:rPr>
          <w:noProof/>
        </w:rPr>
        <w:t>1.</w:t>
      </w:r>
      <w:r w:rsidRPr="00D23355">
        <w:rPr>
          <w:noProof/>
        </w:rPr>
        <w:tab/>
      </w:r>
      <w:r w:rsidR="004A4F90" w:rsidRPr="00186F7E">
        <w:rPr>
          <w:noProof/>
        </w:rPr>
        <w:t>Institutter, der indberetter deres gearingsgrad som omhandlet i artikel 430, stk. 1, litra a), i forordning (EU) nr. 575/2013 på både individuelt og konsolideret grundlag, indsender kvartalsvis nævnte oplysninger som anført i afsnit 6 — "Indberetning om gearing" i bilag I til nærværende forordning. Kun store institutter indsender skema C 48.00 om oplysninger om gearingsgradens volatilitet.</w:t>
      </w:r>
    </w:p>
    <w:p w:rsidR="00675E5F" w:rsidRPr="00186F7E" w:rsidRDefault="00D23355" w:rsidP="00D23355">
      <w:pPr>
        <w:pStyle w:val="ManualNumPar1"/>
        <w:rPr>
          <w:noProof/>
        </w:rPr>
      </w:pPr>
      <w:r w:rsidRPr="00D23355">
        <w:rPr>
          <w:noProof/>
        </w:rPr>
        <w:t>2.</w:t>
      </w:r>
      <w:r w:rsidRPr="00D23355">
        <w:rPr>
          <w:noProof/>
        </w:rPr>
        <w:tab/>
      </w:r>
      <w:r w:rsidR="00675E5F" w:rsidRPr="00186F7E">
        <w:rPr>
          <w:noProof/>
        </w:rPr>
        <w:t>De oplysninger, der er anført i skema C 40.00, celle {r0410;k0010}, indberettes kun af følgende:</w:t>
      </w:r>
    </w:p>
    <w:p w:rsidR="00675E5F" w:rsidRPr="00186F7E" w:rsidRDefault="00186F7E" w:rsidP="00186F7E">
      <w:pPr>
        <w:pStyle w:val="Point1"/>
        <w:rPr>
          <w:noProof/>
        </w:rPr>
      </w:pPr>
      <w:r w:rsidRPr="00186F7E">
        <w:rPr>
          <w:noProof/>
        </w:rPr>
        <w:t>a)</w:t>
      </w:r>
      <w:r w:rsidRPr="00186F7E">
        <w:rPr>
          <w:noProof/>
        </w:rPr>
        <w:tab/>
      </w:r>
      <w:r w:rsidR="00675E5F" w:rsidRPr="00186F7E">
        <w:rPr>
          <w:noProof/>
        </w:rPr>
        <w:t>halvårligt af store institutter, der enten er G-SII'er, eller som har udstedt værdipapirer, der er optaget til handel på et reguleret marked</w:t>
      </w:r>
    </w:p>
    <w:p w:rsidR="00675E5F" w:rsidRPr="00186F7E" w:rsidRDefault="00186F7E" w:rsidP="00186F7E">
      <w:pPr>
        <w:pStyle w:val="Point1"/>
        <w:rPr>
          <w:noProof/>
        </w:rPr>
      </w:pPr>
      <w:r w:rsidRPr="00186F7E">
        <w:rPr>
          <w:noProof/>
        </w:rPr>
        <w:t>b)</w:t>
      </w:r>
      <w:r w:rsidRPr="00186F7E">
        <w:rPr>
          <w:noProof/>
        </w:rPr>
        <w:tab/>
      </w:r>
      <w:r w:rsidR="00675E5F" w:rsidRPr="00186F7E">
        <w:rPr>
          <w:noProof/>
        </w:rPr>
        <w:t>årligt af andre store institutter end G-SII'er, som ikke er børsnoterede institutter</w:t>
      </w:r>
    </w:p>
    <w:p w:rsidR="00675E5F" w:rsidRPr="00186F7E" w:rsidRDefault="00186F7E" w:rsidP="00186F7E">
      <w:pPr>
        <w:pStyle w:val="Point1"/>
        <w:rPr>
          <w:noProof/>
        </w:rPr>
      </w:pPr>
      <w:r w:rsidRPr="00186F7E">
        <w:rPr>
          <w:noProof/>
        </w:rPr>
        <w:t>c)</w:t>
      </w:r>
      <w:r w:rsidRPr="00186F7E">
        <w:rPr>
          <w:noProof/>
        </w:rPr>
        <w:tab/>
      </w:r>
      <w:r w:rsidR="00675E5F" w:rsidRPr="00186F7E">
        <w:rPr>
          <w:noProof/>
        </w:rPr>
        <w:t>årligt af andre institutter, som ikke er store institutter, og små og ikke-komplekse institutter, som har udstedt værdipapirer, der er optaget til handel på et reguleret marked.</w:t>
      </w:r>
    </w:p>
    <w:p w:rsidR="00675E5F" w:rsidRPr="00186F7E" w:rsidRDefault="00D23355" w:rsidP="00D23355">
      <w:pPr>
        <w:pStyle w:val="ManualNumPar1"/>
        <w:rPr>
          <w:noProof/>
        </w:rPr>
      </w:pPr>
      <w:r w:rsidRPr="00D23355">
        <w:rPr>
          <w:noProof/>
        </w:rPr>
        <w:t>3.</w:t>
      </w:r>
      <w:r w:rsidRPr="00D23355">
        <w:rPr>
          <w:noProof/>
        </w:rPr>
        <w:tab/>
      </w:r>
      <w:r w:rsidR="00675E5F" w:rsidRPr="00186F7E">
        <w:rPr>
          <w:noProof/>
        </w:rPr>
        <w:t>Institutterne indberetter de yderligere oplysninger om gearingsgrad som anført i skema C 40.00, celle {r0010;k0010}, {r0010;k0020}, {r0020;k0010}, {r0020;k0020}, {r0030;k0070}, {r0040;k0070}, {r0050;k0010}, {r0050;k0020}, {r0060;k0010}, {r0060;k0020} og {r0060;k0070}, hvis mindst en af følgende betingelser er opfyldt:</w:t>
      </w:r>
    </w:p>
    <w:p w:rsidR="00675E5F" w:rsidRPr="00186F7E" w:rsidRDefault="00D23355" w:rsidP="00D23355">
      <w:pPr>
        <w:pStyle w:val="Point1"/>
        <w:rPr>
          <w:noProof/>
        </w:rPr>
      </w:pPr>
      <w:r w:rsidRPr="00D23355">
        <w:rPr>
          <w:noProof/>
        </w:rPr>
        <w:t>(a)</w:t>
      </w:r>
      <w:r w:rsidRPr="00D23355">
        <w:rPr>
          <w:noProof/>
        </w:rPr>
        <w:tab/>
      </w:r>
      <w:r w:rsidR="00675E5F" w:rsidRPr="00186F7E">
        <w:rPr>
          <w:noProof/>
        </w:rPr>
        <w:t>den andel af derivater, der er angivet som derivateksponeringsmålet, divideret med det samlede eksponeringsmål overstiger 1,5 %</w:t>
      </w:r>
    </w:p>
    <w:p w:rsidR="00675E5F" w:rsidRPr="00186F7E" w:rsidRDefault="00D23355" w:rsidP="00D23355">
      <w:pPr>
        <w:pStyle w:val="Point1"/>
        <w:rPr>
          <w:noProof/>
        </w:rPr>
      </w:pPr>
      <w:r w:rsidRPr="00D23355">
        <w:rPr>
          <w:noProof/>
        </w:rPr>
        <w:t>(b)</w:t>
      </w:r>
      <w:r w:rsidRPr="00D23355">
        <w:rPr>
          <w:noProof/>
        </w:rPr>
        <w:tab/>
      </w:r>
      <w:r w:rsidR="00675E5F" w:rsidRPr="00186F7E">
        <w:rPr>
          <w:noProof/>
        </w:rPr>
        <w:t>den andel af derivater, der er angivet som derivateksponeringsmålet, divideret med det samlede eksponeringsmål overstiger 2 %.</w:t>
      </w:r>
    </w:p>
    <w:p w:rsidR="00675E5F" w:rsidRPr="00186F7E" w:rsidRDefault="00797855" w:rsidP="001D2A25">
      <w:pPr>
        <w:pStyle w:val="Text1"/>
        <w:rPr>
          <w:noProof/>
        </w:rPr>
      </w:pPr>
      <w:r w:rsidRPr="00186F7E">
        <w:rPr>
          <w:noProof/>
        </w:rPr>
        <w:t>Hvis et institut kun opfylder betingelsen i første afsnit, litra a), finder entry- og exitkriterierne i denne forordnings artikel 4, stk. 3, anvendelse. Et institut, der opfylder betingelserne i både litra a) og litra b) i første afsnit, begynder at indberette oplysninger om gearingsgrad for den skæringsdato, der følger efter den skæringsdato for indberetning, på hvilken det oversteg tærsklen.</w:t>
      </w:r>
    </w:p>
    <w:p w:rsidR="00675E5F" w:rsidRPr="00186F7E" w:rsidRDefault="00D23355" w:rsidP="00D23355">
      <w:pPr>
        <w:pStyle w:val="ManualNumPar1"/>
        <w:rPr>
          <w:noProof/>
        </w:rPr>
      </w:pPr>
      <w:r w:rsidRPr="00D23355">
        <w:rPr>
          <w:noProof/>
        </w:rPr>
        <w:t>4.</w:t>
      </w:r>
      <w:r w:rsidRPr="00D23355">
        <w:rPr>
          <w:noProof/>
        </w:rPr>
        <w:tab/>
      </w:r>
      <w:r w:rsidR="00675E5F" w:rsidRPr="00186F7E">
        <w:rPr>
          <w:noProof/>
        </w:rPr>
        <w:t>Institutter, for hvilke den nominelle værdi af derivater som anført i skema C 40.00, celle {r0010;c0070}, overstiger 10 000 mio. EUR, indsender de oplysninger, der er omhandlet i skema 40.00, celle {r0010;k0010}, {r0010;k0020}, {r0020;k0010}, {r0020;k0020}, {r0030;k0070}, {r0040;k0070}, {r0050;k0010}, {r0050;k0020}, {r0060;k0010}, {r0060;k0020}, og {r0060;k0070}, selv hvis deres andel af derivater ikke opfylder de stk. 3 fastsatte betingelser.</w:t>
      </w:r>
    </w:p>
    <w:p w:rsidR="00675E5F" w:rsidRPr="00186F7E" w:rsidRDefault="00675E5F" w:rsidP="00C856B2">
      <w:pPr>
        <w:pStyle w:val="Text1"/>
        <w:rPr>
          <w:noProof/>
        </w:rPr>
      </w:pPr>
      <w:r w:rsidRPr="00186F7E">
        <w:rPr>
          <w:noProof/>
        </w:rPr>
        <w:t>Entrykriterierne i denne forordnings artikel 4, stk. 3, finder ikke anvendelse på første afsnit. Institutterne begynder at indberette oplysninger fra den næste skæringsdato for indberetning, når de har overskredet tærsklen på en skæringsdato for indberetning.</w:t>
      </w:r>
    </w:p>
    <w:p w:rsidR="00675E5F" w:rsidRPr="00186F7E" w:rsidRDefault="00D23355" w:rsidP="00D23355">
      <w:pPr>
        <w:pStyle w:val="ManualNumPar1"/>
        <w:rPr>
          <w:noProof/>
        </w:rPr>
      </w:pPr>
      <w:r w:rsidRPr="00D23355">
        <w:rPr>
          <w:noProof/>
        </w:rPr>
        <w:t>5.</w:t>
      </w:r>
      <w:r w:rsidRPr="00D23355">
        <w:rPr>
          <w:noProof/>
        </w:rPr>
        <w:tab/>
      </w:r>
      <w:r w:rsidR="00675E5F" w:rsidRPr="00186F7E">
        <w:rPr>
          <w:noProof/>
        </w:rPr>
        <w:t>Institutterne indberetter de oplysninger, der er omhandlet i skema C 40.00, celle {r0020;k0075}, {r0050;k0075} og {r0050;k0085}, hvis en af følgende betingelser er opfyldt:</w:t>
      </w:r>
    </w:p>
    <w:p w:rsidR="00675E5F" w:rsidRPr="00186F7E" w:rsidRDefault="00186F7E" w:rsidP="00186F7E">
      <w:pPr>
        <w:pStyle w:val="Point1"/>
        <w:rPr>
          <w:noProof/>
        </w:rPr>
      </w:pPr>
      <w:r w:rsidRPr="00186F7E">
        <w:rPr>
          <w:noProof/>
        </w:rPr>
        <w:t>a)</w:t>
      </w:r>
      <w:r w:rsidRPr="00186F7E">
        <w:rPr>
          <w:noProof/>
        </w:rPr>
        <w:tab/>
      </w:r>
      <w:r w:rsidR="00675E5F" w:rsidRPr="00186F7E">
        <w:rPr>
          <w:noProof/>
        </w:rPr>
        <w:t>den mængde kreditderivater, der er omhandlet i skema C 40.00, {r0020;k0070} + {r0050;k0070}, overstiger 300 mio. EUR</w:t>
      </w:r>
    </w:p>
    <w:p w:rsidR="00675E5F" w:rsidRPr="00186F7E" w:rsidRDefault="00186F7E" w:rsidP="00186F7E">
      <w:pPr>
        <w:pStyle w:val="Point1"/>
        <w:rPr>
          <w:noProof/>
        </w:rPr>
      </w:pPr>
      <w:r w:rsidRPr="00186F7E">
        <w:rPr>
          <w:noProof/>
        </w:rPr>
        <w:t>b)</w:t>
      </w:r>
      <w:r w:rsidRPr="00186F7E">
        <w:rPr>
          <w:noProof/>
        </w:rPr>
        <w:tab/>
      </w:r>
      <w:r w:rsidR="00675E5F" w:rsidRPr="00186F7E">
        <w:rPr>
          <w:noProof/>
        </w:rPr>
        <w:t>den mængde kreditderivater, der er omhandlet i skema C 40.00, {r0020;k0070} + {r0050;k0070}, overstiger 500 mio. EUR.</w:t>
      </w:r>
    </w:p>
    <w:p w:rsidR="00716EA9" w:rsidRPr="00186F7E" w:rsidRDefault="00745A2E" w:rsidP="001D2A25">
      <w:pPr>
        <w:pStyle w:val="Text1"/>
        <w:rPr>
          <w:noProof/>
        </w:rPr>
      </w:pPr>
      <w:r w:rsidRPr="00186F7E">
        <w:rPr>
          <w:noProof/>
        </w:rPr>
        <w:t>Hvis et institut kun opfylder betingelsen i første afsnit, litra a), finder entry- og exitkriterierne i denne forordnings artikel 4, stk. 3, anvendelse. Et institut, der opfylder betingelserne i både litra a) og litra b), i første afsnit, begynder at indberette nævnte oplysninger for den skæringsdato, der følger efter den skæringsdato for indberetning, på hvilken det oversteg tærsklen.</w:t>
      </w:r>
    </w:p>
    <w:p w:rsidR="00716EA9" w:rsidRPr="00186F7E" w:rsidRDefault="00716EA9" w:rsidP="00E537F5">
      <w:pPr>
        <w:pStyle w:val="Titrearticle"/>
        <w:rPr>
          <w:noProof/>
          <w:szCs w:val="24"/>
        </w:rPr>
      </w:pPr>
      <w:r w:rsidRPr="00186F7E">
        <w:rPr>
          <w:noProof/>
        </w:rPr>
        <w:t>Artikel 16</w:t>
      </w:r>
    </w:p>
    <w:p w:rsidR="00716EA9" w:rsidRPr="00186F7E" w:rsidRDefault="00716EA9" w:rsidP="00F22954">
      <w:pPr>
        <w:pStyle w:val="Titrearticle"/>
        <w:spacing w:before="0"/>
        <w:rPr>
          <w:b/>
          <w:bCs/>
          <w:i w:val="0"/>
          <w:iCs/>
          <w:noProof/>
          <w:szCs w:val="24"/>
        </w:rPr>
      </w:pPr>
      <w:r w:rsidRPr="00186F7E">
        <w:rPr>
          <w:b/>
          <w:i w:val="0"/>
          <w:noProof/>
        </w:rPr>
        <w:t>Indberetning om likviditetsdækning på både individuelt og konsolideret grundlag</w:t>
      </w:r>
    </w:p>
    <w:p w:rsidR="00716EA9" w:rsidRPr="00186F7E" w:rsidRDefault="00D23355" w:rsidP="00D23355">
      <w:pPr>
        <w:pStyle w:val="ManualNumPar1"/>
        <w:rPr>
          <w:noProof/>
        </w:rPr>
      </w:pPr>
      <w:r w:rsidRPr="00D23355">
        <w:rPr>
          <w:noProof/>
        </w:rPr>
        <w:t>1.</w:t>
      </w:r>
      <w:r w:rsidRPr="00D23355">
        <w:rPr>
          <w:noProof/>
        </w:rPr>
        <w:tab/>
      </w:r>
      <w:r w:rsidR="000056CB" w:rsidRPr="00186F7E">
        <w:rPr>
          <w:noProof/>
        </w:rPr>
        <w:t>Institutter, der indberetter oplysninger om deres likviditetsdækning som omhandlet i artikel 412 i forordning (EU) nr. 575/2013 og krævet i henhold nævnte forordnings artikel 430, stk. 1, litra d), på både individuelt og konsolideret grundlag, indsender månedligt nævnte oplysninger som anført i afsnit 10 — "Indberetning om likviditetsdækning" i bilag I til nærværende forordning.</w:t>
      </w:r>
    </w:p>
    <w:p w:rsidR="00716EA9" w:rsidRPr="00186F7E" w:rsidRDefault="00D23355" w:rsidP="00D23355">
      <w:pPr>
        <w:pStyle w:val="ManualNumPar1"/>
        <w:rPr>
          <w:noProof/>
        </w:rPr>
      </w:pPr>
      <w:r w:rsidRPr="00D23355">
        <w:rPr>
          <w:noProof/>
        </w:rPr>
        <w:t>2.</w:t>
      </w:r>
      <w:r w:rsidRPr="00D23355">
        <w:rPr>
          <w:noProof/>
        </w:rPr>
        <w:tab/>
      </w:r>
      <w:r w:rsidR="00716EA9" w:rsidRPr="00186F7E">
        <w:rPr>
          <w:noProof/>
        </w:rPr>
        <w:t>Med henblik på indberetning af de oplysninger, der er anført i afsnit 10 — "Indberetning om likviditetsdækning" i bilag I til nærværende forordning, tager institutterne hensyn til de oplysninger, der er indsendt for skæringsdatoen, og oplysningerne om pengestrømmene i de 30 kalenderdage, der følger efter skæringsdatoen.</w:t>
      </w:r>
    </w:p>
    <w:p w:rsidR="00716EA9" w:rsidRPr="00186F7E" w:rsidRDefault="00716EA9" w:rsidP="00E537F5">
      <w:pPr>
        <w:pStyle w:val="Titrearticle"/>
        <w:rPr>
          <w:noProof/>
          <w:szCs w:val="24"/>
        </w:rPr>
      </w:pPr>
      <w:r w:rsidRPr="00186F7E">
        <w:rPr>
          <w:noProof/>
        </w:rPr>
        <w:t>Artikel 17</w:t>
      </w:r>
    </w:p>
    <w:p w:rsidR="00716EA9" w:rsidRPr="00186F7E" w:rsidRDefault="00716EA9" w:rsidP="00F22954">
      <w:pPr>
        <w:pStyle w:val="Titrearticle"/>
        <w:spacing w:before="0"/>
        <w:rPr>
          <w:b/>
          <w:bCs/>
          <w:i w:val="0"/>
          <w:iCs/>
          <w:noProof/>
          <w:szCs w:val="24"/>
        </w:rPr>
      </w:pPr>
      <w:r w:rsidRPr="00186F7E">
        <w:rPr>
          <w:b/>
          <w:i w:val="0"/>
          <w:noProof/>
        </w:rPr>
        <w:t>Indberetning om stabil finansiering på både individuelt og konsolideret grundlag</w:t>
      </w:r>
    </w:p>
    <w:p w:rsidR="00716EA9" w:rsidRPr="00186F7E" w:rsidRDefault="00D62A44" w:rsidP="00BA7013">
      <w:pPr>
        <w:rPr>
          <w:noProof/>
          <w:color w:val="000000"/>
          <w:szCs w:val="24"/>
        </w:rPr>
      </w:pPr>
      <w:r w:rsidRPr="00186F7E">
        <w:rPr>
          <w:noProof/>
        </w:rPr>
        <w:t>Institutter, der indberetter oplysninger om deres stabile finansiering som omhandlet i artikel 413 i forordning (EU) nr. 575/2013 og krævet i henhold nævnte forordnings artikel 430, stk. 1, litra d), på både individuelt og konsolideret grundlag, indsender kvartalsvis nævnte oplysninger som anført i afsnit 7 — "Indberetning om stabil finansiering" i bilag I til nærværende forordning på følgende måde:</w:t>
      </w:r>
    </w:p>
    <w:p w:rsidR="00C26E6A" w:rsidRPr="00186F7E" w:rsidRDefault="00186F7E" w:rsidP="00186F7E">
      <w:pPr>
        <w:pStyle w:val="Point0"/>
        <w:rPr>
          <w:noProof/>
        </w:rPr>
      </w:pPr>
      <w:r w:rsidRPr="00186F7E">
        <w:rPr>
          <w:noProof/>
        </w:rPr>
        <w:t>a)</w:t>
      </w:r>
      <w:r w:rsidRPr="00186F7E">
        <w:rPr>
          <w:noProof/>
        </w:rPr>
        <w:tab/>
      </w:r>
      <w:r w:rsidR="00C26E6A" w:rsidRPr="00186F7E">
        <w:rPr>
          <w:noProof/>
        </w:rPr>
        <w:t>små og ikke-komplekse institutter, som har valgt at beregne deres net stable funding ratio (NSFR) ved anvendelse af den metode, der er fastsat i sjette del, afsnit IV, kapital 6 og 7, i forordning (EU) nr. 575/2013, med deres kompetente myndigheds forudgående tilladelse i overensstemmelse med nævnte forordnings artikel 428ai, indsender skema C 82 og C 83</w:t>
      </w:r>
    </w:p>
    <w:p w:rsidR="00C26E6A" w:rsidRPr="00186F7E" w:rsidRDefault="00186F7E" w:rsidP="00186F7E">
      <w:pPr>
        <w:pStyle w:val="Point0"/>
        <w:rPr>
          <w:noProof/>
        </w:rPr>
      </w:pPr>
      <w:r w:rsidRPr="00186F7E">
        <w:rPr>
          <w:noProof/>
        </w:rPr>
        <w:t>b)</w:t>
      </w:r>
      <w:r w:rsidRPr="00186F7E">
        <w:rPr>
          <w:noProof/>
        </w:rPr>
        <w:tab/>
      </w:r>
      <w:r w:rsidR="00C26E6A" w:rsidRPr="00186F7E">
        <w:rPr>
          <w:noProof/>
        </w:rPr>
        <w:t>andre institutter end dem, der er omhandlet i litra a), indsender skema C 80 og C 81</w:t>
      </w:r>
    </w:p>
    <w:p w:rsidR="00C26E6A" w:rsidRPr="00186F7E" w:rsidRDefault="00186F7E" w:rsidP="00186F7E">
      <w:pPr>
        <w:pStyle w:val="Point0"/>
        <w:rPr>
          <w:noProof/>
        </w:rPr>
      </w:pPr>
      <w:r w:rsidRPr="00186F7E">
        <w:rPr>
          <w:noProof/>
        </w:rPr>
        <w:t>c)</w:t>
      </w:r>
      <w:r w:rsidRPr="00186F7E">
        <w:rPr>
          <w:noProof/>
        </w:rPr>
        <w:tab/>
      </w:r>
      <w:r w:rsidR="00C26E6A" w:rsidRPr="00186F7E">
        <w:rPr>
          <w:noProof/>
        </w:rPr>
        <w:t>alle institutter indsender skema C 84.</w:t>
      </w:r>
    </w:p>
    <w:p w:rsidR="00716EA9" w:rsidRPr="00186F7E" w:rsidRDefault="00716EA9" w:rsidP="00E537F5">
      <w:pPr>
        <w:pStyle w:val="Titrearticle"/>
        <w:rPr>
          <w:noProof/>
          <w:szCs w:val="24"/>
        </w:rPr>
      </w:pPr>
      <w:r w:rsidRPr="00186F7E">
        <w:rPr>
          <w:noProof/>
        </w:rPr>
        <w:t>Artikel 18</w:t>
      </w:r>
    </w:p>
    <w:p w:rsidR="00716EA9" w:rsidRPr="00186F7E" w:rsidRDefault="00716EA9" w:rsidP="00F22954">
      <w:pPr>
        <w:pStyle w:val="Titrearticle"/>
        <w:spacing w:before="0"/>
        <w:rPr>
          <w:b/>
          <w:bCs/>
          <w:i w:val="0"/>
          <w:iCs/>
          <w:noProof/>
          <w:szCs w:val="24"/>
        </w:rPr>
      </w:pPr>
      <w:r w:rsidRPr="00186F7E">
        <w:rPr>
          <w:b/>
          <w:i w:val="0"/>
          <w:noProof/>
        </w:rPr>
        <w:t>Indberetning om yderligere parametre for likviditetsovervågning på både individuelt og konsolideret grundlag</w:t>
      </w:r>
    </w:p>
    <w:p w:rsidR="00716EA9" w:rsidRPr="00186F7E" w:rsidRDefault="00D538F2" w:rsidP="007643C7">
      <w:pPr>
        <w:tabs>
          <w:tab w:val="left" w:pos="567"/>
        </w:tabs>
        <w:spacing w:before="100" w:beforeAutospacing="1" w:after="100" w:afterAutospacing="1"/>
        <w:rPr>
          <w:noProof/>
          <w:color w:val="000000"/>
          <w:szCs w:val="24"/>
        </w:rPr>
      </w:pPr>
      <w:r w:rsidRPr="00186F7E">
        <w:rPr>
          <w:noProof/>
        </w:rPr>
        <w:t>Institutter, der indberetter oplysninger om yderligere parametre for likviditetsovervågning som omhandlet i artikel 415, stk. 3, litra b), i forordning (EU) nr. 575/2013 og krævet i henhold til nævnte forordnings artikel 430, stk. 1, litra d), på både individuelt og konsolideret grundlag, indsender nævnte oplysninger som anført i afsnit 9 — "Indberetning om yderligere parametre for likviditetsovervågning" i bilag I til nærværende forordning med følgende hyppighed:</w:t>
      </w:r>
    </w:p>
    <w:p w:rsidR="00F5752D" w:rsidRPr="00186F7E" w:rsidRDefault="00186F7E" w:rsidP="00186F7E">
      <w:pPr>
        <w:pStyle w:val="Point0"/>
        <w:rPr>
          <w:noProof/>
        </w:rPr>
      </w:pPr>
      <w:r w:rsidRPr="00186F7E">
        <w:rPr>
          <w:noProof/>
        </w:rPr>
        <w:t>a)</w:t>
      </w:r>
      <w:r w:rsidRPr="00186F7E">
        <w:rPr>
          <w:noProof/>
        </w:rPr>
        <w:tab/>
      </w:r>
      <w:r w:rsidR="00F5752D" w:rsidRPr="00186F7E">
        <w:rPr>
          <w:noProof/>
        </w:rPr>
        <w:t>store institutter indsender månedligt de oplysninger, der er angivet i denne forordnings bilag I, afsnit 9, skema C 66.01 og 67.00 til C 71.00</w:t>
      </w:r>
    </w:p>
    <w:p w:rsidR="00F5752D" w:rsidRPr="00186F7E" w:rsidRDefault="00186F7E" w:rsidP="00186F7E">
      <w:pPr>
        <w:pStyle w:val="Point0"/>
        <w:rPr>
          <w:noProof/>
        </w:rPr>
      </w:pPr>
      <w:r w:rsidRPr="00186F7E">
        <w:rPr>
          <w:noProof/>
        </w:rPr>
        <w:t>b)</w:t>
      </w:r>
      <w:r w:rsidRPr="00186F7E">
        <w:rPr>
          <w:noProof/>
        </w:rPr>
        <w:tab/>
      </w:r>
      <w:r w:rsidR="00F5752D" w:rsidRPr="00186F7E">
        <w:rPr>
          <w:noProof/>
        </w:rPr>
        <w:t>små og ikkekomplekse institutter indsender kvartalsvis de oplysninger, der er angivet i denne forordnings bilag I, afsnit 9, skema C 66.00, 67.00 og C 71.00</w:t>
      </w:r>
    </w:p>
    <w:p w:rsidR="00F5752D" w:rsidRPr="00186F7E" w:rsidRDefault="00186F7E" w:rsidP="00186F7E">
      <w:pPr>
        <w:pStyle w:val="Point0"/>
        <w:rPr>
          <w:noProof/>
        </w:rPr>
      </w:pPr>
      <w:r w:rsidRPr="00186F7E">
        <w:rPr>
          <w:noProof/>
        </w:rPr>
        <w:t>c)</w:t>
      </w:r>
      <w:r w:rsidRPr="00186F7E">
        <w:rPr>
          <w:noProof/>
        </w:rPr>
        <w:tab/>
      </w:r>
      <w:r w:rsidR="00F5752D" w:rsidRPr="00186F7E">
        <w:rPr>
          <w:noProof/>
        </w:rPr>
        <w:t>institutter, der hverken er store institutter eller små og ikkekomplekse institutter indsender månedligt de oplysninger, der er angivet i denne forordnings bilag I, afsnit 9, skema C 66.01 til C 69.00 samt C 71.00</w:t>
      </w:r>
    </w:p>
    <w:p w:rsidR="00716EA9" w:rsidRPr="00186F7E" w:rsidRDefault="00716EA9" w:rsidP="00E537F5">
      <w:pPr>
        <w:pStyle w:val="Titrearticle"/>
        <w:rPr>
          <w:noProof/>
          <w:szCs w:val="24"/>
        </w:rPr>
      </w:pPr>
      <w:r w:rsidRPr="00186F7E">
        <w:rPr>
          <w:noProof/>
        </w:rPr>
        <w:t>Artikel 19</w:t>
      </w:r>
    </w:p>
    <w:p w:rsidR="00716EA9" w:rsidRPr="00186F7E" w:rsidRDefault="00716EA9" w:rsidP="00F22954">
      <w:pPr>
        <w:pStyle w:val="Titrearticle"/>
        <w:spacing w:before="0"/>
        <w:rPr>
          <w:b/>
          <w:bCs/>
          <w:i w:val="0"/>
          <w:iCs/>
          <w:noProof/>
          <w:szCs w:val="24"/>
        </w:rPr>
      </w:pPr>
      <w:r w:rsidRPr="00186F7E">
        <w:rPr>
          <w:b/>
          <w:i w:val="0"/>
          <w:noProof/>
        </w:rPr>
        <w:t>Indberetning om aktivbehæftelser på både individuelt og konsolideret grundlag</w:t>
      </w:r>
    </w:p>
    <w:p w:rsidR="001D2A25" w:rsidRPr="00186F7E" w:rsidRDefault="00D23355" w:rsidP="00D23355">
      <w:pPr>
        <w:pStyle w:val="ManualNumPar1"/>
        <w:rPr>
          <w:noProof/>
        </w:rPr>
      </w:pPr>
      <w:r w:rsidRPr="00D23355">
        <w:rPr>
          <w:noProof/>
        </w:rPr>
        <w:t>1.</w:t>
      </w:r>
      <w:r w:rsidRPr="00D23355">
        <w:rPr>
          <w:noProof/>
        </w:rPr>
        <w:tab/>
      </w:r>
      <w:r w:rsidR="00716EA9" w:rsidRPr="00186F7E">
        <w:rPr>
          <w:noProof/>
        </w:rPr>
        <w:t>Institutter, der indberetter deres niveau for aktivbehæftelser som omhandlet i artikel 430, stk. 1, litra g), i forordning (EU) nr. 575/2013 på både individuelt og konsolideret grundlag, indsender nævnte oplysninger som anført i afsnit 8 — "Indberetning om aktivbehæftelser" i bilag I til nærværende forordning med følgende hyppighed:</w:t>
      </w:r>
    </w:p>
    <w:p w:rsidR="00F5752D" w:rsidRPr="00186F7E" w:rsidRDefault="00186F7E" w:rsidP="00186F7E">
      <w:pPr>
        <w:pStyle w:val="Point1"/>
        <w:rPr>
          <w:noProof/>
        </w:rPr>
      </w:pPr>
      <w:r w:rsidRPr="00186F7E">
        <w:rPr>
          <w:noProof/>
        </w:rPr>
        <w:t>a)</w:t>
      </w:r>
      <w:r w:rsidRPr="00186F7E">
        <w:rPr>
          <w:noProof/>
        </w:rPr>
        <w:tab/>
      </w:r>
      <w:r w:rsidR="00F5752D" w:rsidRPr="00186F7E">
        <w:rPr>
          <w:noProof/>
        </w:rPr>
        <w:t>kvartalsvis for så vidt angår de oplysninger, der er angivet i denne forordnings bilag I, afsnit 8, skema F 32.01 til F 33.00 samt F 35.00</w:t>
      </w:r>
    </w:p>
    <w:p w:rsidR="00F5752D" w:rsidRPr="00186F7E" w:rsidRDefault="00186F7E" w:rsidP="00186F7E">
      <w:pPr>
        <w:pStyle w:val="Point1"/>
        <w:rPr>
          <w:noProof/>
        </w:rPr>
      </w:pPr>
      <w:r w:rsidRPr="00186F7E">
        <w:rPr>
          <w:noProof/>
        </w:rPr>
        <w:t>b)</w:t>
      </w:r>
      <w:r w:rsidRPr="00186F7E">
        <w:rPr>
          <w:noProof/>
        </w:rPr>
        <w:tab/>
      </w:r>
      <w:r w:rsidR="00F5752D" w:rsidRPr="00186F7E">
        <w:rPr>
          <w:noProof/>
        </w:rPr>
        <w:t>årligt for så vidt angår de oplysninger, der er angivet i denne forordnings bilag I, afsnit 8, skema F 34.00</w:t>
      </w:r>
    </w:p>
    <w:p w:rsidR="00F5752D" w:rsidRPr="00186F7E" w:rsidRDefault="00186F7E" w:rsidP="00186F7E">
      <w:pPr>
        <w:pStyle w:val="Point1"/>
        <w:rPr>
          <w:noProof/>
        </w:rPr>
      </w:pPr>
      <w:r w:rsidRPr="00186F7E">
        <w:rPr>
          <w:noProof/>
        </w:rPr>
        <w:t>c)</w:t>
      </w:r>
      <w:r w:rsidRPr="00186F7E">
        <w:rPr>
          <w:noProof/>
        </w:rPr>
        <w:tab/>
      </w:r>
      <w:r w:rsidR="00F5752D" w:rsidRPr="00186F7E">
        <w:rPr>
          <w:noProof/>
        </w:rPr>
        <w:t>halvårligt for så vidt angår de oplysninger, der er angivet i denne forordnings bilag I, afsnit 8, skema F 36.01 og F 36.02.</w:t>
      </w:r>
    </w:p>
    <w:p w:rsidR="0083639F" w:rsidRPr="00186F7E" w:rsidRDefault="00D23355" w:rsidP="00D23355">
      <w:pPr>
        <w:pStyle w:val="ManualNumPar1"/>
        <w:rPr>
          <w:noProof/>
        </w:rPr>
      </w:pPr>
      <w:r w:rsidRPr="00D23355">
        <w:rPr>
          <w:noProof/>
        </w:rPr>
        <w:t>2.</w:t>
      </w:r>
      <w:r w:rsidRPr="00D23355">
        <w:rPr>
          <w:noProof/>
        </w:rPr>
        <w:tab/>
      </w:r>
      <w:r w:rsidR="00745A2E" w:rsidRPr="00186F7E">
        <w:rPr>
          <w:noProof/>
        </w:rPr>
        <w:t>Institutterne indsender de oplysninger, der er omhandlet i stk. 1, som følger:</w:t>
      </w:r>
    </w:p>
    <w:p w:rsidR="0083639F" w:rsidRPr="00186F7E" w:rsidRDefault="00186F7E" w:rsidP="00186F7E">
      <w:pPr>
        <w:pStyle w:val="Point1"/>
        <w:rPr>
          <w:noProof/>
        </w:rPr>
      </w:pPr>
      <w:r w:rsidRPr="00186F7E">
        <w:rPr>
          <w:noProof/>
        </w:rPr>
        <w:t>a)</w:t>
      </w:r>
      <w:r w:rsidRPr="00186F7E">
        <w:rPr>
          <w:noProof/>
        </w:rPr>
        <w:tab/>
      </w:r>
      <w:r w:rsidR="0083639F" w:rsidRPr="00186F7E">
        <w:rPr>
          <w:noProof/>
        </w:rPr>
        <w:t>Institutterne indsender de oplysninger, der er angivet i del A i afsnit 8 - "Indberetning om aktivbehæftelse".</w:t>
      </w:r>
    </w:p>
    <w:p w:rsidR="0083639F" w:rsidRPr="00186F7E" w:rsidRDefault="00186F7E" w:rsidP="00186F7E">
      <w:pPr>
        <w:pStyle w:val="Point1"/>
        <w:rPr>
          <w:noProof/>
        </w:rPr>
      </w:pPr>
      <w:r w:rsidRPr="00186F7E">
        <w:rPr>
          <w:noProof/>
        </w:rPr>
        <w:t>b)</w:t>
      </w:r>
      <w:r w:rsidRPr="00186F7E">
        <w:rPr>
          <w:noProof/>
        </w:rPr>
        <w:tab/>
      </w:r>
      <w:r w:rsidR="0083639F" w:rsidRPr="00186F7E">
        <w:rPr>
          <w:noProof/>
        </w:rPr>
        <w:t>Store institutter indsender de oplysninger, der er angivet i del B, C og E i afsnit 8 - "Indberetning om aktivbehæftelse".</w:t>
      </w:r>
    </w:p>
    <w:p w:rsidR="0083639F" w:rsidRPr="00186F7E" w:rsidRDefault="00186F7E" w:rsidP="00186F7E">
      <w:pPr>
        <w:pStyle w:val="Point1"/>
        <w:rPr>
          <w:noProof/>
        </w:rPr>
      </w:pPr>
      <w:r w:rsidRPr="00186F7E">
        <w:rPr>
          <w:noProof/>
        </w:rPr>
        <w:t>c)</w:t>
      </w:r>
      <w:r w:rsidRPr="00186F7E">
        <w:rPr>
          <w:noProof/>
        </w:rPr>
        <w:tab/>
      </w:r>
      <w:r w:rsidR="0083639F" w:rsidRPr="00186F7E">
        <w:rPr>
          <w:noProof/>
        </w:rPr>
        <w:t>Institutter, der hverken er store institutter eller små og ikkekomplekse institutter, indberetter de oplysninger, der er angivet i del B, C og E i afsnit 8 "Indberetning om aktivbehæftelse", hvis instituttets niveau for aktivbehæftelse, anført som (Regnskabsmæssig værdi af behæftede aktiver og stillede sikkerheder)/(Aktiver og stillede sikkerheder i alt), er lig med eller overstiger 15 %.</w:t>
      </w:r>
    </w:p>
    <w:p w:rsidR="0083639F" w:rsidRPr="00186F7E" w:rsidRDefault="00186F7E" w:rsidP="00186F7E">
      <w:pPr>
        <w:pStyle w:val="Point1"/>
        <w:rPr>
          <w:noProof/>
        </w:rPr>
      </w:pPr>
      <w:r w:rsidRPr="00186F7E">
        <w:rPr>
          <w:noProof/>
        </w:rPr>
        <w:t>d)</w:t>
      </w:r>
      <w:r w:rsidRPr="00186F7E">
        <w:rPr>
          <w:noProof/>
        </w:rPr>
        <w:tab/>
      </w:r>
      <w:r w:rsidR="0083639F" w:rsidRPr="00186F7E">
        <w:rPr>
          <w:noProof/>
        </w:rPr>
        <w:t>Institutterne indberetter kun de oplysninger, der er anført i del D i afsnit 8 "Indberetning om aktivbehæftelse", hvis de udsteder obligationer som omhandlet i artikel 52, stk. 4, første afsnit, i Europa-Parlamentets og Rådets direktiv 2009/65/EF</w:t>
      </w:r>
      <w:r w:rsidR="0083639F" w:rsidRPr="00186F7E">
        <w:rPr>
          <w:rStyle w:val="FootnoteReference"/>
          <w:noProof/>
          <w:szCs w:val="24"/>
        </w:rPr>
        <w:footnoteReference w:id="10"/>
      </w:r>
      <w:r w:rsidR="0083639F" w:rsidRPr="00186F7E">
        <w:rPr>
          <w:noProof/>
        </w:rPr>
        <w:t>.</w:t>
      </w:r>
    </w:p>
    <w:p w:rsidR="00716EA9" w:rsidRPr="00186F7E" w:rsidRDefault="00716EA9" w:rsidP="00E537F5">
      <w:pPr>
        <w:pStyle w:val="Titrearticle"/>
        <w:rPr>
          <w:noProof/>
          <w:szCs w:val="24"/>
        </w:rPr>
      </w:pPr>
      <w:r w:rsidRPr="00186F7E">
        <w:rPr>
          <w:noProof/>
        </w:rPr>
        <w:t>Artikel 20</w:t>
      </w:r>
    </w:p>
    <w:p w:rsidR="00716EA9" w:rsidRPr="00186F7E" w:rsidRDefault="00716EA9" w:rsidP="0066303A">
      <w:pPr>
        <w:pStyle w:val="Titrearticle"/>
        <w:spacing w:before="0"/>
        <w:rPr>
          <w:b/>
          <w:bCs/>
          <w:i w:val="0"/>
          <w:iCs/>
          <w:noProof/>
          <w:szCs w:val="24"/>
        </w:rPr>
      </w:pPr>
      <w:r w:rsidRPr="00186F7E">
        <w:rPr>
          <w:b/>
          <w:i w:val="0"/>
          <w:noProof/>
        </w:rPr>
        <w:t>Supplerende indberetning med henblik på identificering af G-SII'er og tildeling af G-SII-buffersatser</w:t>
      </w:r>
    </w:p>
    <w:p w:rsidR="00716EA9" w:rsidRPr="00186F7E" w:rsidRDefault="00D23355" w:rsidP="00D23355">
      <w:pPr>
        <w:pStyle w:val="ManualNumPar1"/>
        <w:rPr>
          <w:noProof/>
        </w:rPr>
      </w:pPr>
      <w:r w:rsidRPr="00D23355">
        <w:rPr>
          <w:noProof/>
        </w:rPr>
        <w:t>1.</w:t>
      </w:r>
      <w:r w:rsidRPr="00D23355">
        <w:rPr>
          <w:noProof/>
        </w:rPr>
        <w:tab/>
      </w:r>
      <w:r w:rsidR="00716EA9" w:rsidRPr="00186F7E">
        <w:rPr>
          <w:noProof/>
        </w:rPr>
        <w:t>Når moderinstitutter i Unionen, finansielle moderholdingselskaber i Unionen og blandede finansielle moderholdingselskaber i Unionen indberetter yderligere oplysninger med det formål at identificere G-SII'er og tildele G-SII-buffersatser i henhold til artikel 131 i direktiv 2013/36/EU, skal de kvartalsvis indsende de oplysninger, der er anført i afsnit 11 — "Supplerende indberetning med henblik på identificering af G-SII'er og tildeling af G-SII-buffersatser" i bilag I til nærværende forordning, på konsolideret grundlag, hvis begge følgende betingelser er opfyldt:</w:t>
      </w:r>
    </w:p>
    <w:p w:rsidR="00AB5213" w:rsidRPr="00186F7E" w:rsidRDefault="00186F7E" w:rsidP="00186F7E">
      <w:pPr>
        <w:pStyle w:val="Point1"/>
        <w:rPr>
          <w:noProof/>
        </w:rPr>
      </w:pPr>
      <w:r w:rsidRPr="00186F7E">
        <w:rPr>
          <w:noProof/>
        </w:rPr>
        <w:t>a)</w:t>
      </w:r>
      <w:r w:rsidRPr="00186F7E">
        <w:rPr>
          <w:noProof/>
        </w:rPr>
        <w:tab/>
      </w:r>
      <w:r w:rsidR="00AB5213" w:rsidRPr="00186F7E">
        <w:rPr>
          <w:noProof/>
        </w:rPr>
        <w:t>Koncernens samlede eksponeringsmål, inkl. forsikringsdatterselskaber, er lig med eller overstiger 125 000 000 000 EUR.</w:t>
      </w:r>
    </w:p>
    <w:p w:rsidR="00AB5213" w:rsidRPr="00186F7E" w:rsidRDefault="00186F7E" w:rsidP="00186F7E">
      <w:pPr>
        <w:pStyle w:val="Point1"/>
        <w:rPr>
          <w:noProof/>
        </w:rPr>
      </w:pPr>
      <w:r w:rsidRPr="00186F7E">
        <w:rPr>
          <w:noProof/>
        </w:rPr>
        <w:t>b)</w:t>
      </w:r>
      <w:r w:rsidRPr="00186F7E">
        <w:rPr>
          <w:noProof/>
        </w:rPr>
        <w:tab/>
      </w:r>
      <w:r w:rsidR="00AB5213" w:rsidRPr="00186F7E">
        <w:rPr>
          <w:noProof/>
        </w:rPr>
        <w:t>Moderinstituttet i Unionen eller dets datterselskaber eller filialer, som drives af moderselskabet eller et datterselskab, befinder sig i en deltagende medlemsstat som omhandlet i artikel 4 i Europa-Parlamentets og Rådets forordning (EU) nr. 806/2014</w:t>
      </w:r>
      <w:r w:rsidR="00AB5213" w:rsidRPr="008D7B5B">
        <w:rPr>
          <w:rStyle w:val="FootnoteReference"/>
          <w:noProof/>
          <w:lang w:eastAsia="fr-BE"/>
        </w:rPr>
        <w:footnoteReference w:id="11"/>
      </w:r>
      <w:r w:rsidR="00AB5213" w:rsidRPr="00186F7E">
        <w:rPr>
          <w:noProof/>
        </w:rPr>
        <w:t>.</w:t>
      </w:r>
    </w:p>
    <w:p w:rsidR="00716EA9" w:rsidRPr="00186F7E" w:rsidRDefault="00D23355" w:rsidP="00D23355">
      <w:pPr>
        <w:pStyle w:val="ManualNumPar1"/>
        <w:rPr>
          <w:noProof/>
        </w:rPr>
      </w:pPr>
      <w:r w:rsidRPr="00D23355">
        <w:rPr>
          <w:noProof/>
        </w:rPr>
        <w:t>2.</w:t>
      </w:r>
      <w:r w:rsidRPr="00D23355">
        <w:rPr>
          <w:noProof/>
        </w:rPr>
        <w:tab/>
      </w:r>
      <w:r w:rsidR="00557F8A" w:rsidRPr="00186F7E">
        <w:rPr>
          <w:noProof/>
        </w:rPr>
        <w:t>Når institutterne indberetter yderligere oplysninger med det formål at identificere G-SII'er og tildele G-SII-buffersatser i henhold til artikel 131 i direktiv 2013/36/EU, skal de kvartalsvis indsende de oplysninger, der er anført i afsnit 11 — "Supplerende indberetning med henblik på identificering af G-SII'er og tildeling af G-SII-buffersatser" i bilag I til nærværende forordning, på individuelt grundlag, hvis alle følgende betingelser er opfyldt:</w:t>
      </w:r>
    </w:p>
    <w:p w:rsidR="00AB5213" w:rsidRPr="00186F7E" w:rsidRDefault="00186F7E" w:rsidP="00186F7E">
      <w:pPr>
        <w:pStyle w:val="Point1"/>
        <w:rPr>
          <w:noProof/>
        </w:rPr>
      </w:pPr>
      <w:r w:rsidRPr="00186F7E">
        <w:rPr>
          <w:noProof/>
        </w:rPr>
        <w:t>a)</w:t>
      </w:r>
      <w:r w:rsidRPr="00186F7E">
        <w:rPr>
          <w:noProof/>
        </w:rPr>
        <w:tab/>
      </w:r>
      <w:r w:rsidR="00AB5213" w:rsidRPr="00186F7E">
        <w:rPr>
          <w:noProof/>
        </w:rPr>
        <w:t>Instituttets samlede eksponeringsmål er lig med eller overstiger 125 000 000 000 EUR.</w:t>
      </w:r>
    </w:p>
    <w:p w:rsidR="00AB5213" w:rsidRPr="00186F7E" w:rsidRDefault="00186F7E" w:rsidP="00186F7E">
      <w:pPr>
        <w:pStyle w:val="Point1"/>
        <w:rPr>
          <w:noProof/>
        </w:rPr>
      </w:pPr>
      <w:r w:rsidRPr="00186F7E">
        <w:rPr>
          <w:noProof/>
        </w:rPr>
        <w:t>b)</w:t>
      </w:r>
      <w:r w:rsidRPr="00186F7E">
        <w:rPr>
          <w:noProof/>
        </w:rPr>
        <w:tab/>
      </w:r>
      <w:r w:rsidR="00AB5213" w:rsidRPr="00186F7E">
        <w:rPr>
          <w:noProof/>
        </w:rPr>
        <w:t>Instituttet er beliggende i en deltagende medlemsstat som omhandlet i artikel 4 i forordning (EU) nr. 806/2014.</w:t>
      </w:r>
    </w:p>
    <w:p w:rsidR="00AB5213" w:rsidRPr="00186F7E" w:rsidRDefault="00186F7E" w:rsidP="00186F7E">
      <w:pPr>
        <w:pStyle w:val="Point1"/>
        <w:rPr>
          <w:noProof/>
        </w:rPr>
      </w:pPr>
      <w:r w:rsidRPr="00186F7E">
        <w:rPr>
          <w:noProof/>
        </w:rPr>
        <w:t>c)</w:t>
      </w:r>
      <w:r w:rsidRPr="00186F7E">
        <w:rPr>
          <w:noProof/>
        </w:rPr>
        <w:tab/>
      </w:r>
      <w:r w:rsidR="00AB5213" w:rsidRPr="00186F7E">
        <w:rPr>
          <w:noProof/>
        </w:rPr>
        <w:t>Instituttet er ikke en del af en koncern, der er underlagt konsolideret tilsyn ("selvstændigt institut").</w:t>
      </w:r>
    </w:p>
    <w:p w:rsidR="00716EA9" w:rsidRPr="00186F7E" w:rsidRDefault="00D23355" w:rsidP="00D23355">
      <w:pPr>
        <w:pStyle w:val="ManualNumPar1"/>
        <w:rPr>
          <w:noProof/>
        </w:rPr>
      </w:pPr>
      <w:r w:rsidRPr="00D23355">
        <w:rPr>
          <w:noProof/>
        </w:rPr>
        <w:t>3.</w:t>
      </w:r>
      <w:r w:rsidRPr="00D23355">
        <w:rPr>
          <w:noProof/>
        </w:rPr>
        <w:tab/>
      </w:r>
      <w:r w:rsidR="00716EA9" w:rsidRPr="00186F7E">
        <w:rPr>
          <w:noProof/>
        </w:rPr>
        <w:t>Uanset artikel 3, stk. 1, litra b), indsender institutterne de i stk. 1 og 2 omhandlede oplysninger inden arbejdstids ophør inden for følgende indberetningsfrister: 1. juli, 1. oktober, 2. januar og 1. april.</w:t>
      </w:r>
    </w:p>
    <w:p w:rsidR="00716EA9" w:rsidRPr="00186F7E" w:rsidRDefault="00D23355" w:rsidP="00D23355">
      <w:pPr>
        <w:pStyle w:val="ManualNumPar1"/>
        <w:rPr>
          <w:noProof/>
        </w:rPr>
      </w:pPr>
      <w:r w:rsidRPr="00D23355">
        <w:rPr>
          <w:noProof/>
        </w:rPr>
        <w:t>4.</w:t>
      </w:r>
      <w:r w:rsidRPr="00D23355">
        <w:rPr>
          <w:noProof/>
        </w:rPr>
        <w:tab/>
      </w:r>
      <w:r w:rsidR="00716EA9" w:rsidRPr="00186F7E">
        <w:rPr>
          <w:noProof/>
        </w:rPr>
        <w:t>Uanset artikel 4 gælder følgende med hensyn til de tærskler, der er anført i stk. 1, litra a), og stk. 2, litra a), i denne artikel:</w:t>
      </w:r>
    </w:p>
    <w:p w:rsidR="00AB5213" w:rsidRPr="00186F7E" w:rsidRDefault="00186F7E" w:rsidP="00186F7E">
      <w:pPr>
        <w:pStyle w:val="Point1"/>
        <w:rPr>
          <w:noProof/>
        </w:rPr>
      </w:pPr>
      <w:r w:rsidRPr="00186F7E">
        <w:rPr>
          <w:noProof/>
        </w:rPr>
        <w:t>a)</w:t>
      </w:r>
      <w:r w:rsidRPr="00186F7E">
        <w:rPr>
          <w:noProof/>
        </w:rPr>
        <w:tab/>
      </w:r>
      <w:r w:rsidR="00AB5213" w:rsidRPr="00186F7E">
        <w:rPr>
          <w:noProof/>
        </w:rPr>
        <w:t>moderinstituttet i Unionen, det finansielle moderholdingselskab i Unionen eller det blandede finansielle moderholdingselskab i Unionen eller det selvstændige institut, alt efter hvad der er relevant, begynder straks at indberette de i stk. 1 og 2 omhandlede oplysninger, når eksponeringsmålet bag gearingsgraden overstiger den anførte tærskel fra slutningen af regnskabsåret, og indberetter disse oplysninger for slutningen af det pågældende regnskabsår og på de efterfølgende tre kvartalsvise skæringsdatoer for indberetning</w:t>
      </w:r>
    </w:p>
    <w:p w:rsidR="00AB5213" w:rsidRPr="00186F7E" w:rsidRDefault="00186F7E" w:rsidP="00186F7E">
      <w:pPr>
        <w:pStyle w:val="Point1"/>
        <w:rPr>
          <w:noProof/>
        </w:rPr>
      </w:pPr>
      <w:r w:rsidRPr="00186F7E">
        <w:rPr>
          <w:noProof/>
        </w:rPr>
        <w:t>b)</w:t>
      </w:r>
      <w:r w:rsidRPr="00186F7E">
        <w:rPr>
          <w:noProof/>
        </w:rPr>
        <w:tab/>
      </w:r>
      <w:r w:rsidR="00AB5213" w:rsidRPr="00186F7E">
        <w:rPr>
          <w:noProof/>
        </w:rPr>
        <w:t>moderinstituttet i Unionen, det finansielle moderholdingselskab i Unionen eller det blandede finansielle moderholdingselskab i Unionen eller det selvstændige institut, alt efter hvad der er relevant, ophører straks med at indberette de i stk. 1 og 2 omhandlede oplysninger, når eksponeringsmålet bag gearingsgraden når ned under den anførte tærskel fra slutningen af deres regnskabsår.</w:t>
      </w:r>
    </w:p>
    <w:p w:rsidR="00716EA9" w:rsidRPr="00186F7E" w:rsidRDefault="00716EA9" w:rsidP="00E537F5">
      <w:pPr>
        <w:pStyle w:val="Titrearticle"/>
        <w:rPr>
          <w:noProof/>
          <w:szCs w:val="24"/>
        </w:rPr>
      </w:pPr>
      <w:r w:rsidRPr="00186F7E">
        <w:rPr>
          <w:noProof/>
        </w:rPr>
        <w:t>Artikel 21</w:t>
      </w:r>
    </w:p>
    <w:p w:rsidR="00716EA9" w:rsidRPr="00186F7E" w:rsidRDefault="00716EA9" w:rsidP="0066303A">
      <w:pPr>
        <w:pStyle w:val="Titrearticle"/>
        <w:spacing w:before="0"/>
        <w:rPr>
          <w:b/>
          <w:bCs/>
          <w:i w:val="0"/>
          <w:iCs/>
          <w:noProof/>
          <w:szCs w:val="24"/>
        </w:rPr>
      </w:pPr>
      <w:bookmarkStart w:id="2" w:name="_Hlk175233444"/>
      <w:r w:rsidRPr="00186F7E">
        <w:rPr>
          <w:b/>
          <w:i w:val="0"/>
          <w:noProof/>
        </w:rPr>
        <w:t>Indberetning om renterisiko i anlægsbeholdningen på både individuelt og konsolideret grundlag</w:t>
      </w:r>
    </w:p>
    <w:p w:rsidR="00716EA9" w:rsidRPr="00186F7E" w:rsidRDefault="000B3834" w:rsidP="00716EA9">
      <w:pPr>
        <w:rPr>
          <w:rFonts w:eastAsia="Times New Roman"/>
          <w:noProof/>
          <w:color w:val="000000" w:themeColor="text1"/>
          <w:szCs w:val="24"/>
        </w:rPr>
      </w:pPr>
      <w:r w:rsidRPr="00186F7E">
        <w:rPr>
          <w:noProof/>
        </w:rPr>
        <w:t>Institutter, der indberetter oplysninger om renterisiko i anlægsbeholdningen i overensstemmelse med artikel 84, stk. 5, artikel 84, stk. 6, og artikel 98, stk. 5a, i direktiv 2013/36/EU på både individuelt og konsolideret grundlag, indsender de oplysninger, der er omhandlet i disse artikler, som anført i afsnit 12 — "Indberetning om renterisiko i anlægsbeholdningen" i bilag I til nærværende forordning med følgende hyppighed:</w:t>
      </w:r>
    </w:p>
    <w:p w:rsidR="00F5752D" w:rsidRPr="00186F7E" w:rsidRDefault="00186F7E" w:rsidP="00186F7E">
      <w:pPr>
        <w:pStyle w:val="Point0"/>
        <w:rPr>
          <w:noProof/>
        </w:rPr>
      </w:pPr>
      <w:r w:rsidRPr="00186F7E">
        <w:rPr>
          <w:noProof/>
        </w:rPr>
        <w:t>a)</w:t>
      </w:r>
      <w:r w:rsidRPr="00186F7E">
        <w:rPr>
          <w:noProof/>
        </w:rPr>
        <w:tab/>
      </w:r>
      <w:r w:rsidR="00247A56" w:rsidRPr="00186F7E">
        <w:rPr>
          <w:noProof/>
        </w:rPr>
        <w:t>alle institutter: skema J 01.00 i afsnit 12 i bilag I kvartalsvis</w:t>
      </w:r>
    </w:p>
    <w:p w:rsidR="00F5752D" w:rsidRPr="00186F7E" w:rsidRDefault="00186F7E" w:rsidP="00186F7E">
      <w:pPr>
        <w:pStyle w:val="Point0"/>
        <w:rPr>
          <w:noProof/>
        </w:rPr>
      </w:pPr>
      <w:r w:rsidRPr="00186F7E">
        <w:rPr>
          <w:noProof/>
        </w:rPr>
        <w:t>b)</w:t>
      </w:r>
      <w:r w:rsidRPr="00186F7E">
        <w:rPr>
          <w:noProof/>
        </w:rPr>
        <w:tab/>
      </w:r>
      <w:r w:rsidR="00247A56" w:rsidRPr="00186F7E">
        <w:rPr>
          <w:noProof/>
        </w:rPr>
        <w:t>store institutter: skema J 02.00, J 05.00 og J 08.00 i afsnit 12 i bilag I kvartalsvis</w:t>
      </w:r>
    </w:p>
    <w:p w:rsidR="00F5752D" w:rsidRPr="00186F7E" w:rsidRDefault="00186F7E" w:rsidP="00186F7E">
      <w:pPr>
        <w:pStyle w:val="Point0"/>
        <w:rPr>
          <w:noProof/>
        </w:rPr>
      </w:pPr>
      <w:r w:rsidRPr="00186F7E">
        <w:rPr>
          <w:noProof/>
        </w:rPr>
        <w:t>c)</w:t>
      </w:r>
      <w:r w:rsidRPr="00186F7E">
        <w:rPr>
          <w:noProof/>
        </w:rPr>
        <w:tab/>
      </w:r>
      <w:r w:rsidR="00247A56" w:rsidRPr="00186F7E">
        <w:rPr>
          <w:noProof/>
        </w:rPr>
        <w:t>institutter, der hverken er store institutter eller små og ikkekomplekse institutter: skema J 03.00 og J 06.00 i afsnit 12 i bilag I kvartalsvis</w:t>
      </w:r>
    </w:p>
    <w:p w:rsidR="00F5752D" w:rsidRPr="00186F7E" w:rsidRDefault="00186F7E" w:rsidP="00186F7E">
      <w:pPr>
        <w:pStyle w:val="Point0"/>
        <w:rPr>
          <w:noProof/>
        </w:rPr>
      </w:pPr>
      <w:r w:rsidRPr="00186F7E">
        <w:rPr>
          <w:noProof/>
        </w:rPr>
        <w:t>d)</w:t>
      </w:r>
      <w:r w:rsidRPr="00186F7E">
        <w:rPr>
          <w:noProof/>
        </w:rPr>
        <w:tab/>
      </w:r>
      <w:r w:rsidR="00247A56" w:rsidRPr="00186F7E">
        <w:rPr>
          <w:noProof/>
        </w:rPr>
        <w:t>små og ikkekomplekse institutter: skema J 04.00 og J 07.00 i afsnit 12 i bilag I kvartalsvis</w:t>
      </w:r>
    </w:p>
    <w:p w:rsidR="00F5752D" w:rsidRPr="00186F7E" w:rsidRDefault="00186F7E" w:rsidP="00186F7E">
      <w:pPr>
        <w:pStyle w:val="Point0"/>
        <w:rPr>
          <w:noProof/>
        </w:rPr>
      </w:pPr>
      <w:r w:rsidRPr="00186F7E">
        <w:rPr>
          <w:noProof/>
        </w:rPr>
        <w:t>e)</w:t>
      </w:r>
      <w:r w:rsidRPr="00186F7E">
        <w:rPr>
          <w:noProof/>
        </w:rPr>
        <w:tab/>
      </w:r>
      <w:r w:rsidR="00247A56" w:rsidRPr="00186F7E">
        <w:rPr>
          <w:noProof/>
        </w:rPr>
        <w:t>institutter, der hverken er store institutter eller små og ikkekomplekse institutter, og små og ikkekomplekse institutter: skema J 09.00 i afsnit 12 i bilag I kvartalsvis</w:t>
      </w:r>
    </w:p>
    <w:p w:rsidR="00F5752D" w:rsidRPr="00186F7E" w:rsidRDefault="00186F7E" w:rsidP="00186F7E">
      <w:pPr>
        <w:pStyle w:val="Point0"/>
        <w:rPr>
          <w:noProof/>
        </w:rPr>
      </w:pPr>
      <w:r w:rsidRPr="00186F7E">
        <w:rPr>
          <w:noProof/>
        </w:rPr>
        <w:t>f)</w:t>
      </w:r>
      <w:r w:rsidRPr="00186F7E">
        <w:rPr>
          <w:noProof/>
        </w:rPr>
        <w:tab/>
      </w:r>
      <w:r w:rsidR="00247A56" w:rsidRPr="00186F7E">
        <w:rPr>
          <w:noProof/>
        </w:rPr>
        <w:t>store institutter: skema J 10.01 og J 10.02 i afsnit 12 i bilag I årligt</w:t>
      </w:r>
    </w:p>
    <w:p w:rsidR="00F5752D" w:rsidRPr="00186F7E" w:rsidRDefault="00186F7E" w:rsidP="00186F7E">
      <w:pPr>
        <w:pStyle w:val="Point0"/>
        <w:rPr>
          <w:noProof/>
        </w:rPr>
      </w:pPr>
      <w:r w:rsidRPr="00186F7E">
        <w:rPr>
          <w:noProof/>
        </w:rPr>
        <w:t>g)</w:t>
      </w:r>
      <w:r w:rsidRPr="00186F7E">
        <w:rPr>
          <w:noProof/>
        </w:rPr>
        <w:tab/>
      </w:r>
      <w:r w:rsidR="00247A56" w:rsidRPr="00186F7E">
        <w:rPr>
          <w:noProof/>
        </w:rPr>
        <w:t>institutter, der hverken er store institutter eller små og ikkekomplekse institutter, og små og ikkekomplekse institutter: skema J 11.01 og J 11.02 i afsnit 12 i bilag I årligt.</w:t>
      </w:r>
    </w:p>
    <w:bookmarkEnd w:id="2"/>
    <w:p w:rsidR="002823A7" w:rsidRPr="00186F7E" w:rsidRDefault="002823A7" w:rsidP="0017149C">
      <w:pPr>
        <w:pStyle w:val="Titrearticle"/>
        <w:tabs>
          <w:tab w:val="left" w:pos="567"/>
        </w:tabs>
        <w:rPr>
          <w:noProof/>
          <w:szCs w:val="24"/>
        </w:rPr>
      </w:pPr>
      <w:r w:rsidRPr="00186F7E">
        <w:rPr>
          <w:noProof/>
        </w:rPr>
        <w:t>Artikel 22</w:t>
      </w:r>
    </w:p>
    <w:p w:rsidR="002823A7" w:rsidRPr="00186F7E" w:rsidRDefault="002823A7" w:rsidP="0017149C">
      <w:pPr>
        <w:pStyle w:val="Titrearticle"/>
        <w:tabs>
          <w:tab w:val="left" w:pos="567"/>
        </w:tabs>
        <w:spacing w:before="0"/>
        <w:rPr>
          <w:rFonts w:eastAsia="Times New Roman"/>
          <w:noProof/>
          <w:szCs w:val="24"/>
        </w:rPr>
      </w:pPr>
      <w:r w:rsidRPr="00186F7E">
        <w:rPr>
          <w:b/>
          <w:i w:val="0"/>
          <w:noProof/>
        </w:rPr>
        <w:t>IT-løsninger samt indberetningsskemaer og -vejledninger</w:t>
      </w:r>
    </w:p>
    <w:p w:rsidR="002823A7" w:rsidRPr="00186F7E" w:rsidRDefault="00D23355" w:rsidP="00D23355">
      <w:pPr>
        <w:pStyle w:val="ManualNumPar1"/>
        <w:rPr>
          <w:rFonts w:eastAsia="Times New Roman"/>
          <w:noProof/>
          <w:szCs w:val="24"/>
        </w:rPr>
      </w:pPr>
      <w:r w:rsidRPr="00D23355">
        <w:rPr>
          <w:noProof/>
        </w:rPr>
        <w:t>1.</w:t>
      </w:r>
      <w:r w:rsidRPr="00D23355">
        <w:rPr>
          <w:noProof/>
        </w:rPr>
        <w:tab/>
      </w:r>
      <w:r w:rsidR="001B3873" w:rsidRPr="00186F7E">
        <w:rPr>
          <w:noProof/>
        </w:rPr>
        <w:t xml:space="preserve">EBA sikrer, at de IT-løsninger, herunder indberetningsskemaer og -vejledninger, der er udviklet i medfør af artikel 430, stk. 7, i forordning (EU) nr. 575/2013, til enhver tid er i overensstemmelse med de ensartede indberetningsformater, der er fastsat i nærværende forordning, og omfatter alle de datapunkter og oplysninger, der er anført i bilag I til nærværende forordning. </w:t>
      </w:r>
    </w:p>
    <w:p w:rsidR="002823A7" w:rsidRPr="00186F7E" w:rsidRDefault="00D23355" w:rsidP="00D23355">
      <w:pPr>
        <w:pStyle w:val="ManualNumPar1"/>
        <w:rPr>
          <w:rFonts w:eastAsia="Times New Roman"/>
          <w:noProof/>
          <w:szCs w:val="24"/>
        </w:rPr>
      </w:pPr>
      <w:r w:rsidRPr="00D23355">
        <w:rPr>
          <w:noProof/>
        </w:rPr>
        <w:t>2.</w:t>
      </w:r>
      <w:r w:rsidRPr="00D23355">
        <w:rPr>
          <w:noProof/>
        </w:rPr>
        <w:tab/>
      </w:r>
      <w:r w:rsidR="002823A7" w:rsidRPr="00186F7E">
        <w:rPr>
          <w:noProof/>
        </w:rPr>
        <w:t>EBA stiller de IT-løsninger og indberetningsskemaer og -vejledninger, der er omhandlet i stk. 1, til rådighed på sit websted. EBA holder disse IT-løsninger ajour og tilgængelige på alle officielle sprog.</w:t>
      </w:r>
    </w:p>
    <w:p w:rsidR="00716EA9" w:rsidRPr="00186F7E" w:rsidRDefault="00716EA9" w:rsidP="00E537F5">
      <w:pPr>
        <w:pStyle w:val="Titrearticle"/>
        <w:rPr>
          <w:noProof/>
          <w:szCs w:val="24"/>
        </w:rPr>
      </w:pPr>
      <w:r w:rsidRPr="00186F7E">
        <w:rPr>
          <w:noProof/>
        </w:rPr>
        <w:t>Artikel 23</w:t>
      </w:r>
    </w:p>
    <w:p w:rsidR="00716EA9" w:rsidRPr="00186F7E" w:rsidRDefault="00716EA9" w:rsidP="002A7D3F">
      <w:pPr>
        <w:pStyle w:val="Titrearticle"/>
        <w:spacing w:before="0"/>
        <w:rPr>
          <w:b/>
          <w:bCs/>
          <w:i w:val="0"/>
          <w:iCs/>
          <w:noProof/>
          <w:szCs w:val="24"/>
        </w:rPr>
      </w:pPr>
      <w:r w:rsidRPr="00186F7E">
        <w:rPr>
          <w:b/>
          <w:i w:val="0"/>
          <w:noProof/>
        </w:rPr>
        <w:t>Dataudvekslingsformater og oplysninger, som ledsager indsendelser</w:t>
      </w:r>
    </w:p>
    <w:p w:rsidR="00716EA9" w:rsidRPr="00186F7E" w:rsidRDefault="00D23355" w:rsidP="00D23355">
      <w:pPr>
        <w:pStyle w:val="ManualNumPar1"/>
        <w:rPr>
          <w:noProof/>
        </w:rPr>
      </w:pPr>
      <w:r w:rsidRPr="00D23355">
        <w:rPr>
          <w:noProof/>
        </w:rPr>
        <w:t>1.</w:t>
      </w:r>
      <w:r w:rsidRPr="00D23355">
        <w:rPr>
          <w:noProof/>
        </w:rPr>
        <w:tab/>
      </w:r>
      <w:r w:rsidR="00716EA9" w:rsidRPr="00186F7E">
        <w:rPr>
          <w:noProof/>
        </w:rPr>
        <w:t>Institutterne indsender de oplysninger, der skal indsendes i henhold til denne forordning, i de dataudvekslingsformater og -former, som de kompetente myndigheder kræver, idet de anvender den definition af datapunkt og de valideringsformler, der er angivet i IT-løsningerne og stillet til rådighed på EBA's websted, og overholder følgende:</w:t>
      </w:r>
    </w:p>
    <w:p w:rsidR="00716EA9" w:rsidRPr="00186F7E" w:rsidRDefault="00186F7E" w:rsidP="00186F7E">
      <w:pPr>
        <w:pStyle w:val="Point1"/>
        <w:rPr>
          <w:noProof/>
        </w:rPr>
      </w:pPr>
      <w:r w:rsidRPr="00186F7E">
        <w:rPr>
          <w:noProof/>
        </w:rPr>
        <w:t>a)</w:t>
      </w:r>
      <w:r w:rsidRPr="00186F7E">
        <w:rPr>
          <w:noProof/>
        </w:rPr>
        <w:tab/>
      </w:r>
      <w:r w:rsidR="00712164" w:rsidRPr="00186F7E">
        <w:rPr>
          <w:noProof/>
        </w:rPr>
        <w:t>De må ikke ved indsendelse af data medtage oplysninger, der ikke er påkrævede eller relevante.</w:t>
      </w:r>
    </w:p>
    <w:p w:rsidR="00716EA9" w:rsidRPr="00186F7E" w:rsidRDefault="00186F7E" w:rsidP="00186F7E">
      <w:pPr>
        <w:pStyle w:val="Point1"/>
        <w:rPr>
          <w:noProof/>
        </w:rPr>
      </w:pPr>
      <w:r w:rsidRPr="00186F7E">
        <w:rPr>
          <w:noProof/>
        </w:rPr>
        <w:t>b)</w:t>
      </w:r>
      <w:r w:rsidRPr="00186F7E">
        <w:rPr>
          <w:noProof/>
        </w:rPr>
        <w:tab/>
      </w:r>
      <w:r w:rsidR="00712164" w:rsidRPr="00186F7E">
        <w:rPr>
          <w:noProof/>
        </w:rPr>
        <w:t>De indberetter talværdier som følger:</w:t>
      </w:r>
    </w:p>
    <w:p w:rsidR="00716EA9" w:rsidRPr="00186F7E" w:rsidRDefault="00716EA9" w:rsidP="00C856B2">
      <w:pPr>
        <w:pStyle w:val="Point2"/>
        <w:rPr>
          <w:noProof/>
        </w:rPr>
      </w:pPr>
      <w:r w:rsidRPr="00186F7E">
        <w:rPr>
          <w:noProof/>
        </w:rPr>
        <w:t>i)</w:t>
      </w:r>
      <w:r w:rsidRPr="00186F7E">
        <w:rPr>
          <w:noProof/>
        </w:rPr>
        <w:tab/>
        <w:t>datapunkter af typen "Beløb" indberettes med en minimumspræcision svarende til ti tusinde enheder</w:t>
      </w:r>
    </w:p>
    <w:p w:rsidR="00716EA9" w:rsidRPr="00186F7E" w:rsidRDefault="00716EA9" w:rsidP="00C856B2">
      <w:pPr>
        <w:pStyle w:val="Point2"/>
        <w:rPr>
          <w:noProof/>
        </w:rPr>
      </w:pPr>
      <w:r w:rsidRPr="00186F7E">
        <w:rPr>
          <w:noProof/>
        </w:rPr>
        <w:t>ii)</w:t>
      </w:r>
      <w:r w:rsidRPr="00186F7E">
        <w:rPr>
          <w:noProof/>
        </w:rPr>
        <w:tab/>
        <w:t>datapunkter af typen "Procent" udtrykkes pr. enhed med en minimumspræcision svarende til fire decimaler</w:t>
      </w:r>
    </w:p>
    <w:p w:rsidR="00716EA9" w:rsidRPr="00186F7E" w:rsidRDefault="00716EA9" w:rsidP="00C856B2">
      <w:pPr>
        <w:pStyle w:val="Point2"/>
        <w:rPr>
          <w:noProof/>
        </w:rPr>
      </w:pPr>
      <w:r w:rsidRPr="00186F7E">
        <w:rPr>
          <w:noProof/>
        </w:rPr>
        <w:t>iii)</w:t>
      </w:r>
      <w:r w:rsidRPr="00186F7E">
        <w:rPr>
          <w:noProof/>
        </w:rPr>
        <w:tab/>
        <w:t>ved indberetning af datapunkter af typen "Heltal" anvendes der en præcision svarende til enheder, og der må ikke anvendes decimaler.</w:t>
      </w:r>
    </w:p>
    <w:p w:rsidR="00716EA9" w:rsidRPr="00186F7E" w:rsidRDefault="00186F7E" w:rsidP="00186F7E">
      <w:pPr>
        <w:pStyle w:val="Point1"/>
        <w:rPr>
          <w:noProof/>
        </w:rPr>
      </w:pPr>
      <w:r w:rsidRPr="00186F7E">
        <w:rPr>
          <w:noProof/>
        </w:rPr>
        <w:t>c)</w:t>
      </w:r>
      <w:r w:rsidRPr="00186F7E">
        <w:rPr>
          <w:noProof/>
        </w:rPr>
        <w:tab/>
      </w:r>
      <w:r w:rsidR="000F605E" w:rsidRPr="00186F7E">
        <w:rPr>
          <w:noProof/>
        </w:rPr>
        <w:t>Institutter og forsikringsselskaber identificeres udelukkende ud fra deres ID-kode for juridiske enheder (LEI).</w:t>
      </w:r>
    </w:p>
    <w:p w:rsidR="00716EA9" w:rsidRPr="00186F7E" w:rsidRDefault="00186F7E" w:rsidP="00186F7E">
      <w:pPr>
        <w:pStyle w:val="Point1"/>
        <w:rPr>
          <w:noProof/>
        </w:rPr>
      </w:pPr>
      <w:r w:rsidRPr="00186F7E">
        <w:rPr>
          <w:noProof/>
        </w:rPr>
        <w:t>ci)</w:t>
      </w:r>
      <w:r w:rsidRPr="00186F7E">
        <w:rPr>
          <w:noProof/>
        </w:rPr>
        <w:tab/>
      </w:r>
      <w:r w:rsidR="000F605E" w:rsidRPr="00186F7E">
        <w:rPr>
          <w:noProof/>
        </w:rPr>
        <w:t>Juridiske enheder og modparter, som ikke er institutter og forsikringsselskaber, identificeres ud fra deres LEI, hvis en sådan foreligger.</w:t>
      </w:r>
    </w:p>
    <w:p w:rsidR="00716EA9" w:rsidRPr="00186F7E" w:rsidRDefault="00D23355" w:rsidP="00D23355">
      <w:pPr>
        <w:pStyle w:val="ManualNumPar1"/>
        <w:rPr>
          <w:noProof/>
        </w:rPr>
      </w:pPr>
      <w:r w:rsidRPr="00D23355">
        <w:rPr>
          <w:noProof/>
        </w:rPr>
        <w:t>2.</w:t>
      </w:r>
      <w:r w:rsidRPr="00D23355">
        <w:rPr>
          <w:noProof/>
        </w:rPr>
        <w:tab/>
      </w:r>
      <w:r w:rsidR="00716EA9" w:rsidRPr="00186F7E">
        <w:rPr>
          <w:noProof/>
        </w:rPr>
        <w:t>Institutterne lader de indsendte oplysninger ledsage af følgende oplysninger:</w:t>
      </w:r>
    </w:p>
    <w:p w:rsidR="00716EA9" w:rsidRPr="00186F7E" w:rsidRDefault="00186F7E" w:rsidP="00186F7E">
      <w:pPr>
        <w:pStyle w:val="Point1"/>
        <w:rPr>
          <w:noProof/>
        </w:rPr>
      </w:pPr>
      <w:r w:rsidRPr="00186F7E">
        <w:rPr>
          <w:noProof/>
        </w:rPr>
        <w:t>a)</w:t>
      </w:r>
      <w:r w:rsidRPr="00186F7E">
        <w:rPr>
          <w:noProof/>
        </w:rPr>
        <w:tab/>
      </w:r>
      <w:r w:rsidR="00712164" w:rsidRPr="00186F7E">
        <w:rPr>
          <w:noProof/>
        </w:rPr>
        <w:t>skæringsdatoen for indberetning og referenceperioden</w:t>
      </w:r>
    </w:p>
    <w:p w:rsidR="00716EA9" w:rsidRPr="00186F7E" w:rsidRDefault="00186F7E" w:rsidP="00186F7E">
      <w:pPr>
        <w:pStyle w:val="Point1"/>
        <w:rPr>
          <w:noProof/>
        </w:rPr>
      </w:pPr>
      <w:r w:rsidRPr="00186F7E">
        <w:rPr>
          <w:noProof/>
        </w:rPr>
        <w:t>b)</w:t>
      </w:r>
      <w:r w:rsidRPr="00186F7E">
        <w:rPr>
          <w:noProof/>
        </w:rPr>
        <w:tab/>
      </w:r>
      <w:r w:rsidR="00712164" w:rsidRPr="00186F7E">
        <w:rPr>
          <w:noProof/>
        </w:rPr>
        <w:t>indberetningsvalutaen</w:t>
      </w:r>
    </w:p>
    <w:p w:rsidR="00716EA9" w:rsidRPr="00186F7E" w:rsidRDefault="00186F7E" w:rsidP="00186F7E">
      <w:pPr>
        <w:pStyle w:val="Point1"/>
        <w:rPr>
          <w:noProof/>
        </w:rPr>
      </w:pPr>
      <w:r w:rsidRPr="00186F7E">
        <w:rPr>
          <w:noProof/>
        </w:rPr>
        <w:t>c)</w:t>
      </w:r>
      <w:r w:rsidRPr="00186F7E">
        <w:rPr>
          <w:noProof/>
        </w:rPr>
        <w:tab/>
      </w:r>
      <w:r w:rsidR="00712164" w:rsidRPr="00186F7E">
        <w:rPr>
          <w:noProof/>
        </w:rPr>
        <w:t>regnskabsstandarden</w:t>
      </w:r>
    </w:p>
    <w:p w:rsidR="00716EA9" w:rsidRPr="00186F7E" w:rsidRDefault="00186F7E" w:rsidP="00186F7E">
      <w:pPr>
        <w:pStyle w:val="Point1"/>
        <w:rPr>
          <w:noProof/>
        </w:rPr>
      </w:pPr>
      <w:r w:rsidRPr="00186F7E">
        <w:rPr>
          <w:noProof/>
        </w:rPr>
        <w:t>d)</w:t>
      </w:r>
      <w:r w:rsidRPr="00186F7E">
        <w:rPr>
          <w:noProof/>
        </w:rPr>
        <w:tab/>
      </w:r>
      <w:r w:rsidR="00712164" w:rsidRPr="00186F7E">
        <w:rPr>
          <w:noProof/>
        </w:rPr>
        <w:t>det indberettende instituts ID-kode for juridiske enheder (LEI)</w:t>
      </w:r>
    </w:p>
    <w:p w:rsidR="00716EA9" w:rsidRPr="00186F7E" w:rsidRDefault="00186F7E" w:rsidP="00186F7E">
      <w:pPr>
        <w:pStyle w:val="Point1"/>
        <w:rPr>
          <w:noProof/>
        </w:rPr>
      </w:pPr>
      <w:r w:rsidRPr="00186F7E">
        <w:rPr>
          <w:noProof/>
        </w:rPr>
        <w:t>e)</w:t>
      </w:r>
      <w:r w:rsidRPr="00186F7E">
        <w:rPr>
          <w:noProof/>
        </w:rPr>
        <w:tab/>
      </w:r>
      <w:r w:rsidR="00712164" w:rsidRPr="00186F7E">
        <w:rPr>
          <w:noProof/>
        </w:rPr>
        <w:t>konsolideringens afgrænsning.</w:t>
      </w:r>
    </w:p>
    <w:p w:rsidR="00716EA9" w:rsidRPr="00186F7E" w:rsidRDefault="00716EA9" w:rsidP="00E537F5">
      <w:pPr>
        <w:pStyle w:val="Titrearticle"/>
        <w:rPr>
          <w:noProof/>
          <w:szCs w:val="24"/>
        </w:rPr>
      </w:pPr>
      <w:r w:rsidRPr="00186F7E">
        <w:rPr>
          <w:noProof/>
        </w:rPr>
        <w:t>Artikel 24</w:t>
      </w:r>
    </w:p>
    <w:p w:rsidR="00716EA9" w:rsidRPr="00186F7E" w:rsidRDefault="00716EA9" w:rsidP="002A7D3F">
      <w:pPr>
        <w:pStyle w:val="Titrearticle"/>
        <w:spacing w:before="0"/>
        <w:rPr>
          <w:b/>
          <w:bCs/>
          <w:i w:val="0"/>
          <w:iCs/>
          <w:noProof/>
          <w:szCs w:val="24"/>
        </w:rPr>
      </w:pPr>
      <w:r w:rsidRPr="00186F7E">
        <w:rPr>
          <w:b/>
          <w:i w:val="0"/>
          <w:noProof/>
        </w:rPr>
        <w:t>Overgangsbestemmelser</w:t>
      </w:r>
    </w:p>
    <w:p w:rsidR="00716EA9" w:rsidRPr="00186F7E" w:rsidRDefault="00D23355" w:rsidP="00D23355">
      <w:pPr>
        <w:pStyle w:val="ManualNumPar1"/>
        <w:rPr>
          <w:noProof/>
        </w:rPr>
      </w:pPr>
      <w:r w:rsidRPr="00D23355">
        <w:rPr>
          <w:noProof/>
        </w:rPr>
        <w:t>1.</w:t>
      </w:r>
      <w:r w:rsidRPr="00D23355">
        <w:rPr>
          <w:noProof/>
        </w:rPr>
        <w:tab/>
      </w:r>
      <w:r w:rsidR="00716EA9" w:rsidRPr="00186F7E">
        <w:rPr>
          <w:noProof/>
        </w:rPr>
        <w:t>Fristen for indberetning af oplysninger, der indberettes kvartalsvis i forbindelse med skæringsdatoen den 31. marts 2025, er den 30. juni 2025 for så vidt angår de oplysninger, der skal indberettes i henhold til denne forordnings artikel 5, 7-10 og 15.</w:t>
      </w:r>
    </w:p>
    <w:p w:rsidR="00716EA9" w:rsidRPr="00186F7E" w:rsidRDefault="00D23355" w:rsidP="00D23355">
      <w:pPr>
        <w:pStyle w:val="ManualNumPar1"/>
        <w:rPr>
          <w:noProof/>
        </w:rPr>
      </w:pPr>
      <w:r w:rsidRPr="00D23355">
        <w:rPr>
          <w:noProof/>
        </w:rPr>
        <w:t>2.</w:t>
      </w:r>
      <w:r w:rsidRPr="00D23355">
        <w:rPr>
          <w:noProof/>
        </w:rPr>
        <w:tab/>
      </w:r>
      <w:r w:rsidR="00AE3B0A" w:rsidRPr="00186F7E">
        <w:rPr>
          <w:noProof/>
        </w:rPr>
        <w:t>Den første skæringsdato for oplysninger, der skal indberettes om handelsbeholdningens sammensætning og omklassificeringer mellem beholdninger i henhold til nærværende forordnings artikel 5, er den sidste arbejdsdag i det kvartal, hvor de alternative metoder, der er omhandlet i tredje del, afsnit IV, kapitel 1a og 1b, i forordning (EU) nr. 575/2013, finder anvendelse på beregningen af kapitalgrundlagskravene omhandlet i nævnte forordnings artikel 92, stk. 4, litra b), nr. i), og litra c), og artikel 92, stk. 5, litra b) og c).</w:t>
      </w:r>
    </w:p>
    <w:p w:rsidR="00716EA9" w:rsidRPr="00186F7E" w:rsidRDefault="00716EA9" w:rsidP="00745A2E">
      <w:pPr>
        <w:pStyle w:val="Titrearticle"/>
        <w:spacing w:before="120" w:after="0"/>
        <w:rPr>
          <w:noProof/>
          <w:szCs w:val="24"/>
        </w:rPr>
      </w:pPr>
      <w:r w:rsidRPr="00186F7E">
        <w:rPr>
          <w:noProof/>
        </w:rPr>
        <w:t>Artikel 25</w:t>
      </w:r>
    </w:p>
    <w:p w:rsidR="00096030" w:rsidRPr="00186F7E" w:rsidRDefault="004B3787" w:rsidP="00C856B2">
      <w:pPr>
        <w:pStyle w:val="Text1"/>
        <w:jc w:val="center"/>
        <w:rPr>
          <w:noProof/>
        </w:rPr>
      </w:pPr>
      <w:r w:rsidRPr="00186F7E">
        <w:rPr>
          <w:b/>
          <w:noProof/>
        </w:rPr>
        <w:t>Ophævelse af gennemførelsesforordning (EU) 2021/451</w:t>
      </w:r>
    </w:p>
    <w:p w:rsidR="00FB327E" w:rsidRPr="00186F7E" w:rsidRDefault="00D23355" w:rsidP="00D23355">
      <w:pPr>
        <w:pStyle w:val="ManualNumPar1"/>
        <w:rPr>
          <w:noProof/>
        </w:rPr>
      </w:pPr>
      <w:r w:rsidRPr="00D23355">
        <w:rPr>
          <w:noProof/>
        </w:rPr>
        <w:t>1.</w:t>
      </w:r>
      <w:r w:rsidRPr="00D23355">
        <w:rPr>
          <w:noProof/>
        </w:rPr>
        <w:tab/>
      </w:r>
      <w:r w:rsidR="00FB327E" w:rsidRPr="00186F7E">
        <w:rPr>
          <w:noProof/>
        </w:rPr>
        <w:t xml:space="preserve">Gennemførelsesforordning (EU) 2021/451 ophører med at finde anvendelse fra den 1. januar 2025, bortset fra artikel 5, stk. 12, og bilag I, skema 18-24, og bilag II, del II, punkt 5.1-5.7. Artikel 15 i gennemførelsesforordning (EU) 2021/451 finder anvendelse indtil den 31. december 2025 udelukkende med henblik på nærværende forordnings artikel 5, stk. 4. </w:t>
      </w:r>
    </w:p>
    <w:p w:rsidR="00FB327E" w:rsidRPr="00186F7E" w:rsidRDefault="00D23355" w:rsidP="00D23355">
      <w:pPr>
        <w:pStyle w:val="ManualNumPar1"/>
        <w:rPr>
          <w:noProof/>
        </w:rPr>
      </w:pPr>
      <w:r w:rsidRPr="00D23355">
        <w:rPr>
          <w:noProof/>
        </w:rPr>
        <w:t>2.</w:t>
      </w:r>
      <w:r w:rsidRPr="00D23355">
        <w:rPr>
          <w:noProof/>
        </w:rPr>
        <w:tab/>
      </w:r>
      <w:r w:rsidR="00FB327E" w:rsidRPr="00186F7E">
        <w:rPr>
          <w:noProof/>
        </w:rPr>
        <w:t xml:space="preserve">Gennemførelsesforordning (EU) 2021/451 ophæves med virkning fra den 31. december 2025. </w:t>
      </w:r>
    </w:p>
    <w:p w:rsidR="00FB327E" w:rsidRPr="00186F7E" w:rsidRDefault="00D23355" w:rsidP="00D23355">
      <w:pPr>
        <w:pStyle w:val="ManualNumPar1"/>
        <w:rPr>
          <w:noProof/>
        </w:rPr>
      </w:pPr>
      <w:r w:rsidRPr="00D23355">
        <w:rPr>
          <w:noProof/>
        </w:rPr>
        <w:t>3.</w:t>
      </w:r>
      <w:r w:rsidRPr="00D23355">
        <w:rPr>
          <w:noProof/>
        </w:rPr>
        <w:tab/>
      </w:r>
      <w:r w:rsidR="00FB327E" w:rsidRPr="00186F7E">
        <w:rPr>
          <w:noProof/>
        </w:rPr>
        <w:t>Henvisninger til den ophævede forordning gælder som henvisninger til nærværende forordning og læses efter sammenligningstabellen i bilag II.</w:t>
      </w:r>
    </w:p>
    <w:p w:rsidR="00E537F5" w:rsidRPr="00186F7E" w:rsidRDefault="00E537F5" w:rsidP="00E537F5">
      <w:pPr>
        <w:pStyle w:val="Titrearticle"/>
        <w:rPr>
          <w:noProof/>
          <w:szCs w:val="24"/>
        </w:rPr>
      </w:pPr>
      <w:r w:rsidRPr="00186F7E">
        <w:rPr>
          <w:noProof/>
        </w:rPr>
        <w:t>Artikel 26</w:t>
      </w:r>
    </w:p>
    <w:p w:rsidR="00E537F5" w:rsidRPr="00186F7E" w:rsidRDefault="00E537F5" w:rsidP="0056622A">
      <w:pPr>
        <w:pStyle w:val="Titrearticle"/>
        <w:spacing w:before="0"/>
        <w:rPr>
          <w:b/>
          <w:bCs/>
          <w:i w:val="0"/>
          <w:iCs/>
          <w:noProof/>
          <w:szCs w:val="24"/>
        </w:rPr>
      </w:pPr>
      <w:r w:rsidRPr="00186F7E">
        <w:rPr>
          <w:b/>
          <w:i w:val="0"/>
          <w:noProof/>
        </w:rPr>
        <w:t>Ikrafttræden og anvendelse</w:t>
      </w:r>
    </w:p>
    <w:p w:rsidR="00E537F5" w:rsidRPr="00186F7E" w:rsidRDefault="00E537F5" w:rsidP="00E537F5">
      <w:pPr>
        <w:spacing w:before="100" w:beforeAutospacing="1" w:after="100" w:afterAutospacing="1"/>
        <w:rPr>
          <w:noProof/>
          <w:color w:val="000000"/>
          <w:szCs w:val="24"/>
        </w:rPr>
      </w:pPr>
      <w:r w:rsidRPr="00186F7E">
        <w:rPr>
          <w:noProof/>
          <w:color w:val="000000"/>
        </w:rPr>
        <w:t xml:space="preserve">Denne forordning træder i kraft dagen efter offentliggørelsen i </w:t>
      </w:r>
      <w:r w:rsidRPr="00186F7E">
        <w:rPr>
          <w:i/>
          <w:noProof/>
          <w:color w:val="000000"/>
        </w:rPr>
        <w:t>Den Europæiske Unions Tidende</w:t>
      </w:r>
      <w:r w:rsidRPr="00186F7E">
        <w:rPr>
          <w:noProof/>
          <w:color w:val="000000"/>
        </w:rPr>
        <w:t>.</w:t>
      </w:r>
    </w:p>
    <w:p w:rsidR="00E537F5" w:rsidRPr="00186F7E" w:rsidRDefault="00E537F5" w:rsidP="00E537F5">
      <w:pPr>
        <w:spacing w:before="100" w:beforeAutospacing="1" w:after="100" w:afterAutospacing="1"/>
        <w:rPr>
          <w:noProof/>
          <w:color w:val="000000"/>
          <w:szCs w:val="24"/>
        </w:rPr>
      </w:pPr>
      <w:r w:rsidRPr="00186F7E">
        <w:rPr>
          <w:noProof/>
          <w:color w:val="000000"/>
        </w:rPr>
        <w:t>Den anvendes fra den [OP: indsæt venligst dato: 6 måneder efter ikrafttrædelsesdatoen].</w:t>
      </w:r>
    </w:p>
    <w:p w:rsidR="00E537F5" w:rsidRPr="00186F7E" w:rsidRDefault="00E537F5" w:rsidP="00E537F5">
      <w:pPr>
        <w:spacing w:before="100" w:beforeAutospacing="1" w:after="100" w:afterAutospacing="1"/>
        <w:rPr>
          <w:noProof/>
          <w:szCs w:val="24"/>
        </w:rPr>
      </w:pPr>
      <w:r w:rsidRPr="00186F7E">
        <w:rPr>
          <w:noProof/>
          <w:color w:val="000000"/>
        </w:rPr>
        <w:t>Denne forordning er bindende i alle enkeltheder og gælder umiddelbart i hver medlemsstat.</w:t>
      </w:r>
    </w:p>
    <w:p w:rsidR="00185C9B" w:rsidRPr="00186F7E" w:rsidRDefault="005D4D58" w:rsidP="00C9494F">
      <w:pPr>
        <w:pStyle w:val="Fait"/>
        <w:rPr>
          <w:noProof/>
        </w:rPr>
      </w:pPr>
      <w:r>
        <w:rPr>
          <w:noProof/>
        </w:rPr>
        <w:t>Udfærdiget i Bruxelles, den 29.11.2024.</w:t>
      </w:r>
    </w:p>
    <w:p w:rsidR="00185C9B" w:rsidRPr="00186F7E" w:rsidRDefault="00185C9B" w:rsidP="00C9494F">
      <w:pPr>
        <w:pStyle w:val="Institutionquisigne"/>
        <w:rPr>
          <w:noProof/>
          <w:szCs w:val="24"/>
        </w:rPr>
      </w:pPr>
      <w:r w:rsidRPr="00186F7E">
        <w:rPr>
          <w:noProof/>
        </w:rPr>
        <w:tab/>
        <w:t>På Kommissionens vegne</w:t>
      </w:r>
    </w:p>
    <w:p w:rsidR="00185C9B" w:rsidRPr="00186F7E" w:rsidRDefault="00C03B8F" w:rsidP="00185C9B">
      <w:pPr>
        <w:pStyle w:val="Personnequisigne"/>
        <w:rPr>
          <w:noProof/>
          <w:szCs w:val="24"/>
        </w:rPr>
      </w:pPr>
      <w:r>
        <w:rPr>
          <w:noProof/>
        </w:rPr>
        <w:tab/>
        <w:t>Formand</w:t>
      </w:r>
      <w:r>
        <w:rPr>
          <w:noProof/>
        </w:rPr>
        <w:br/>
      </w:r>
      <w:r>
        <w:rPr>
          <w:noProof/>
        </w:rPr>
        <w:tab/>
        <w:t>Ursula VON DER LEYEN</w:t>
      </w:r>
    </w:p>
    <w:sectPr w:rsidR="00185C9B" w:rsidRPr="00186F7E" w:rsidSect="006A47D6">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7D6" w:rsidRPr="006A47D6" w:rsidRDefault="006A47D6" w:rsidP="006A47D6">
    <w:pPr>
      <w:pStyle w:val="Footer"/>
      <w:rPr>
        <w:rFonts w:ascii="Arial" w:hAnsi="Arial" w:cs="Arial"/>
        <w:b/>
        <w:sz w:val="48"/>
      </w:rPr>
    </w:pPr>
    <w:r w:rsidRPr="006A47D6">
      <w:rPr>
        <w:rFonts w:ascii="Arial" w:hAnsi="Arial" w:cs="Arial"/>
        <w:b/>
        <w:sz w:val="48"/>
      </w:rPr>
      <w:t>DA</w:t>
    </w:r>
    <w:r w:rsidRPr="006A47D6">
      <w:rPr>
        <w:rFonts w:ascii="Arial" w:hAnsi="Arial" w:cs="Arial"/>
        <w:b/>
        <w:sz w:val="48"/>
      </w:rPr>
      <w:tab/>
    </w:r>
    <w:r w:rsidRPr="006A47D6">
      <w:rPr>
        <w:rFonts w:ascii="Arial" w:hAnsi="Arial" w:cs="Arial"/>
        <w:b/>
        <w:sz w:val="48"/>
      </w:rPr>
      <w:tab/>
    </w:r>
    <w:r w:rsidRPr="006A47D6">
      <w:tab/>
    </w:r>
    <w:r w:rsidRPr="006A47D6">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7D6" w:rsidRPr="006A47D6" w:rsidRDefault="006A47D6" w:rsidP="006A47D6">
    <w:pPr>
      <w:pStyle w:val="Footer"/>
      <w:rPr>
        <w:rFonts w:ascii="Arial" w:hAnsi="Arial" w:cs="Arial"/>
        <w:b/>
        <w:sz w:val="48"/>
      </w:rPr>
    </w:pPr>
    <w:r w:rsidRPr="006A47D6">
      <w:rPr>
        <w:rFonts w:ascii="Arial" w:hAnsi="Arial" w:cs="Arial"/>
        <w:b/>
        <w:sz w:val="48"/>
      </w:rPr>
      <w:t>DA</w:t>
    </w:r>
    <w:r w:rsidRPr="006A47D6">
      <w:rPr>
        <w:rFonts w:ascii="Arial" w:hAnsi="Arial" w:cs="Arial"/>
        <w:b/>
        <w:sz w:val="48"/>
      </w:rPr>
      <w:tab/>
    </w:r>
    <w:r w:rsidRPr="006A47D6">
      <w:rPr>
        <w:rFonts w:ascii="Arial" w:hAnsi="Arial" w:cs="Arial"/>
        <w:b/>
        <w:sz w:val="48"/>
      </w:rPr>
      <w:tab/>
    </w:r>
    <w:r w:rsidRPr="006A47D6">
      <w:tab/>
    </w:r>
    <w:r w:rsidRPr="006A47D6">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7D6" w:rsidRDefault="006A47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7D6" w:rsidRPr="006A47D6" w:rsidRDefault="006A47D6" w:rsidP="006A47D6">
    <w:pPr>
      <w:pStyle w:val="Footer"/>
      <w:rPr>
        <w:rFonts w:ascii="Arial" w:hAnsi="Arial" w:cs="Arial"/>
        <w:b/>
        <w:sz w:val="48"/>
      </w:rPr>
    </w:pPr>
    <w:r w:rsidRPr="006A47D6">
      <w:rPr>
        <w:rFonts w:ascii="Arial" w:hAnsi="Arial" w:cs="Arial"/>
        <w:b/>
        <w:sz w:val="48"/>
      </w:rPr>
      <w:t>DA</w:t>
    </w:r>
    <w:r w:rsidRPr="006A47D6">
      <w:rPr>
        <w:rFonts w:ascii="Arial" w:hAnsi="Arial" w:cs="Arial"/>
        <w:b/>
        <w:sz w:val="48"/>
      </w:rPr>
      <w:tab/>
    </w:r>
    <w:r>
      <w:fldChar w:fldCharType="begin"/>
    </w:r>
    <w:r>
      <w:instrText xml:space="preserve"> PAGE  \* MERGEFORMAT </w:instrText>
    </w:r>
    <w:r>
      <w:fldChar w:fldCharType="separate"/>
    </w:r>
    <w:r w:rsidR="00C9494F">
      <w:rPr>
        <w:noProof/>
      </w:rPr>
      <w:t>19</w:t>
    </w:r>
    <w:r>
      <w:fldChar w:fldCharType="end"/>
    </w:r>
    <w:r>
      <w:tab/>
    </w:r>
    <w:r w:rsidRPr="006A47D6">
      <w:tab/>
    </w:r>
    <w:r w:rsidRPr="006A47D6">
      <w:rPr>
        <w:rFonts w:ascii="Arial" w:hAnsi="Arial" w:cs="Arial"/>
        <w:b/>
        <w:sz w:val="48"/>
      </w:rPr>
      <w:t>DA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7D6" w:rsidRDefault="006A47D6" w:rsidP="006A4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186F7E" w:rsidRDefault="00716EA9" w:rsidP="00716EA9">
      <w:pPr>
        <w:pStyle w:val="FootnoteText"/>
      </w:pPr>
      <w:r>
        <w:rPr>
          <w:rStyle w:val="FootnoteReference"/>
        </w:rPr>
        <w:footnoteRef/>
      </w:r>
      <w:r w:rsidRPr="00186F7E">
        <w:tab/>
        <w:t>EUT L 176 af 27.6.2013, s. 1, ELI: http://data.europa.eu/eli/reg/2013/575/oj.</w:t>
      </w:r>
    </w:p>
  </w:footnote>
  <w:footnote w:id="3">
    <w:p w:rsidR="00716EA9" w:rsidRPr="00186F7E" w:rsidRDefault="00716EA9" w:rsidP="00716EA9">
      <w:pPr>
        <w:pStyle w:val="FootnoteText"/>
      </w:pPr>
      <w:r>
        <w:rPr>
          <w:rStyle w:val="FootnoteReference"/>
        </w:rPr>
        <w:footnoteRef/>
      </w:r>
      <w:r w:rsidRPr="00186F7E">
        <w:tab/>
        <w:t>Kommissionens gennemførelsesforordning (EU) 2021/451 af 17. december 2020 om gennemførelsesmæssige tekniske standarder for anvendelsen af Europa-Parlamentets og Rådets forordning (EU) nr. 575/2013 for så vidt angår institutters indberetning med henblik på tilsyn og om ophævelse af Kommissionens gennemførelsesforordning (EU) nr. 680/2014 (EUT L 97 af 19.3.2021, s. 1, ELI: http://data.europa.eu/eli/reg_impl/2021/451/oj).</w:t>
      </w:r>
    </w:p>
  </w:footnote>
  <w:footnote w:id="4">
    <w:p w:rsidR="00716EA9" w:rsidRPr="00186F7E" w:rsidRDefault="00716EA9" w:rsidP="00716EA9">
      <w:pPr>
        <w:pStyle w:val="FootnoteText"/>
      </w:pPr>
      <w:r>
        <w:rPr>
          <w:rStyle w:val="FootnoteReference"/>
        </w:rPr>
        <w:footnoteRef/>
      </w:r>
      <w:r w:rsidRPr="00186F7E">
        <w:tab/>
        <w:t>Europa-Parlamentets og Rådets forordning (EU) 2024/1623 af 31. maj 2024 om ændring af forordning (EU) nr. 575/2013 for så vidt angår krav vedrørende kreditrisiko, kreditværdijusteringsrisiko, operationel risiko, markedsrisiko og outputgulvet (EUT L af 19.6.2024, ELI: </w:t>
      </w:r>
      <w:hyperlink r:id="rId1" w:tgtFrame="_blank" w:tooltip="Giver adgang til dokumentet via dets ELI-URI." w:history="1">
        <w:r w:rsidRPr="00186F7E">
          <w:t>http://data.europa.eu/eli/reg/2024/1623/oj</w:t>
        </w:r>
      </w:hyperlink>
      <w:r w:rsidRPr="00186F7E">
        <w:t>).</w:t>
      </w:r>
    </w:p>
  </w:footnote>
  <w:footnote w:id="5">
    <w:p w:rsidR="00716EA9" w:rsidRPr="00186F7E" w:rsidRDefault="00716EA9" w:rsidP="00716EA9">
      <w:pPr>
        <w:pStyle w:val="FootnoteText"/>
      </w:pPr>
      <w:r>
        <w:rPr>
          <w:rStyle w:val="FootnoteReference"/>
        </w:rPr>
        <w:footnoteRef/>
      </w:r>
      <w:r w:rsidRPr="00186F7E">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 ELI: http://data.europa.eu/eli/reg/2010/1093/oj).</w:t>
      </w:r>
    </w:p>
  </w:footnote>
  <w:footnote w:id="6">
    <w:p w:rsidR="00716EA9" w:rsidRPr="00186F7E" w:rsidRDefault="00716EA9" w:rsidP="00716EA9">
      <w:pPr>
        <w:pStyle w:val="FootnoteText"/>
      </w:pPr>
      <w:r>
        <w:rPr>
          <w:rStyle w:val="FootnoteReference"/>
        </w:rPr>
        <w:footnoteRef/>
      </w:r>
      <w:r w:rsidRPr="00186F7E">
        <w:tab/>
      </w:r>
      <w:r w:rsidRPr="00186F7E">
        <w:rPr>
          <w:color w:val="333333"/>
          <w:shd w:val="clear" w:color="auto" w:fill="FFFFFF"/>
        </w:rPr>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 ELI: </w:t>
      </w:r>
      <w:hyperlink r:id="rId2" w:tooltip="Giver adgang til dokumentet via dets ELI-URI." w:history="1">
        <w:r w:rsidRPr="00186F7E">
          <w:rPr>
            <w:color w:val="333333"/>
          </w:rPr>
          <w:t>http://data.europa.eu/eli/dir/2013/36/oj</w:t>
        </w:r>
      </w:hyperlink>
      <w:r w:rsidRPr="00186F7E">
        <w:rPr>
          <w:color w:val="333333"/>
          <w:shd w:val="clear" w:color="auto" w:fill="FFFFFF"/>
        </w:rPr>
        <w:t>).</w:t>
      </w:r>
    </w:p>
  </w:footnote>
  <w:footnote w:id="7">
    <w:p w:rsidR="00716EA9" w:rsidRPr="00186F7E" w:rsidRDefault="00716EA9" w:rsidP="00716EA9">
      <w:pPr>
        <w:pStyle w:val="FootnoteText"/>
      </w:pPr>
      <w:r>
        <w:rPr>
          <w:rStyle w:val="FootnoteReference"/>
        </w:rPr>
        <w:footnoteRef/>
      </w:r>
      <w:r w:rsidRPr="00186F7E">
        <w:tab/>
        <w:t>Europa-Parlamentets og Rådets direktiv (EU) 2019/2034 af 27. november 2019 om tilsyn med investeringsselskaber og om ændring af direktiv 2002/87/EF, 2009/65/EF, 2011/61/EU, 2013/36/EU, 2014/59/EU og 2014/65/EU (EUT L 314 af 5.12.2019, s. 64, ELI:</w:t>
      </w:r>
      <w:bookmarkStart w:id="1" w:name="_Hlk172136107"/>
      <w:bookmarkEnd w:id="1"/>
      <w:r w:rsidRPr="00186F7E">
        <w:rPr>
          <w:color w:val="333333"/>
          <w:shd w:val="clear" w:color="auto" w:fill="FFFFFF"/>
        </w:rPr>
        <w:t> </w:t>
      </w:r>
      <w:hyperlink r:id="rId3" w:tooltip="Giver adgang til dokumentet via dets ELI-URI." w:history="1">
        <w:r w:rsidRPr="00186F7E">
          <w:rPr>
            <w:color w:val="333333"/>
          </w:rPr>
          <w:t>http://data.europa.eu/eli/dir/2019/2034/oj</w:t>
        </w:r>
      </w:hyperlink>
      <w:r w:rsidRPr="00186F7E">
        <w:rPr>
          <w:color w:val="333333"/>
          <w:shd w:val="clear" w:color="auto" w:fill="FFFFFF"/>
        </w:rPr>
        <w:t>).</w:t>
      </w:r>
    </w:p>
  </w:footnote>
  <w:footnote w:id="8">
    <w:p w:rsidR="00797855" w:rsidRPr="00186F7E" w:rsidRDefault="00797855" w:rsidP="00C856B2">
      <w:pPr>
        <w:pStyle w:val="FootnoteText"/>
      </w:pPr>
      <w:r>
        <w:rPr>
          <w:rStyle w:val="FootnoteReference"/>
        </w:rPr>
        <w:footnoteRef/>
      </w:r>
      <w:r w:rsidRPr="00186F7E">
        <w:tab/>
        <w:t>Kommissionens delegerede forordning (EU) 2016/101 af 26. oktober 2015 om supplerende regler til Europa-Parlamentets og Rådets forordning (EU) nr. 575/2013 for så vidt angår reguleringsmæssige tekniske standarder for forsigtig værdiansættelse i henhold til artikel 105, stk. 14 (EUT L 21 af 28.1.2016, s. 54, ELI: http://data.europa.eu/eli/reg_del/2016/101/oj).</w:t>
      </w:r>
    </w:p>
  </w:footnote>
  <w:footnote w:id="9">
    <w:p w:rsidR="00716EA9" w:rsidRPr="00186F7E" w:rsidRDefault="00716EA9" w:rsidP="00716EA9">
      <w:pPr>
        <w:pStyle w:val="FootnoteText"/>
      </w:pPr>
      <w:r>
        <w:rPr>
          <w:rStyle w:val="FootnoteReference"/>
        </w:rPr>
        <w:footnoteRef/>
      </w:r>
      <w:r w:rsidRPr="00186F7E">
        <w:tab/>
      </w:r>
      <w:r w:rsidRPr="00186F7E">
        <w:rPr>
          <w:color w:val="333333"/>
          <w:shd w:val="clear" w:color="auto" w:fill="FFFFFF"/>
        </w:rPr>
        <w:t>Europa-Parlamentets og Rådets forordning (EF) nr. 1606/2002 af 19. juli 2002 om anvendelse af internationale regnskabsstandarder (EFT L 243 af 11.9.2002, s. 1, ELI: </w:t>
      </w:r>
      <w:r w:rsidRPr="00186F7E">
        <w:rPr>
          <w:shd w:val="clear" w:color="auto" w:fill="FFFFFF"/>
        </w:rPr>
        <w:t>http://data.europa.eu/eli/reg/2002/1606/oj</w:t>
      </w:r>
      <w:r w:rsidRPr="00186F7E">
        <w:t>).</w:t>
      </w:r>
    </w:p>
  </w:footnote>
  <w:footnote w:id="10">
    <w:p w:rsidR="00745A2E" w:rsidRPr="00186F7E" w:rsidRDefault="00745A2E" w:rsidP="00C856B2">
      <w:pPr>
        <w:pStyle w:val="FootnoteText"/>
      </w:pPr>
      <w:r>
        <w:rPr>
          <w:rStyle w:val="FootnoteReference"/>
        </w:rPr>
        <w:footnoteRef/>
      </w:r>
      <w:r w:rsidRPr="00186F7E">
        <w:tab/>
        <w:t>Europa-Parlamentets og Rådets direktiv 2009/65/EF af 13. juli 2009 om samordning af love og administrative bestemmelser om visse institutter for kollektiv investering i værdipapirer (investeringsinstitutter) (omarbejdning) (EUT L 302 af 17.11.2009, s. 32, ELI: http://data.europa.eu/eli/dir/2009/65/oj).</w:t>
      </w:r>
    </w:p>
  </w:footnote>
  <w:footnote w:id="11">
    <w:p w:rsidR="00AB5213" w:rsidRPr="00186F7E" w:rsidRDefault="00AB5213" w:rsidP="00AB5213">
      <w:pPr>
        <w:pStyle w:val="FootnoteText"/>
      </w:pPr>
      <w:r>
        <w:rPr>
          <w:rStyle w:val="FootnoteReference"/>
        </w:rPr>
        <w:footnoteRef/>
      </w:r>
      <w:r w:rsidRPr="00186F7E">
        <w:tab/>
      </w:r>
      <w:r w:rsidRPr="00186F7E">
        <w:rPr>
          <w:color w:val="333333"/>
          <w:shd w:val="clear" w:color="auto" w:fill="FFFFFF"/>
        </w:rPr>
        <w:t>Europa-Parlamentets og Rådets forordning (EU) nr. 806/2014 af 15. juli 2014 om ensartede regler og en ensartet procedure for afvikling af kreditinstitutter og visse investeringsselskaber inden for rammerne af en fælles afviklingsmekanisme og en fælles afviklingsfond og om ændring af forordning (EU) nr. 1093/2010 (EUT L 225 af 30.7.2014, s. 1, ELI: </w:t>
      </w:r>
      <w:r w:rsidRPr="00186F7E">
        <w:rPr>
          <w:shd w:val="clear" w:color="auto" w:fill="FFFFFF"/>
        </w:rPr>
        <w:t>http://data.europa.eu/eli/reg/2014/806/oj</w:t>
      </w:r>
      <w:r w:rsidRPr="00186F7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7D6" w:rsidRDefault="006A47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7D6" w:rsidRDefault="006A47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2"/>
  </w:num>
  <w:num w:numId="30">
    <w:abstractNumId w:val="21"/>
  </w:num>
  <w:num w:numId="31">
    <w:abstractNumId w:val="11"/>
  </w:num>
  <w:num w:numId="32">
    <w:abstractNumId w:val="13"/>
  </w:num>
  <w:num w:numId="33">
    <w:abstractNumId w:val="14"/>
  </w:num>
  <w:num w:numId="34">
    <w:abstractNumId w:val="9"/>
  </w:num>
  <w:num w:numId="35">
    <w:abstractNumId w:val="20"/>
  </w:num>
  <w:num w:numId="36">
    <w:abstractNumId w:val="8"/>
  </w:num>
  <w:num w:numId="37">
    <w:abstractNumId w:val="15"/>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7:1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502FB99-EF7C-4067-9A65-2C4C49A347C5"/>
    <w:docVar w:name="LW_COVERPAGE_TYPE" w:val="1"/>
    <w:docVar w:name="LW_CROSSREFERENCE" w:val="&lt;UNUSED&gt;"/>
    <w:docVar w:name="LW_DATE.ADOPT.CP" w:val="af 29.11.2024"/>
    <w:docVar w:name="LW_DATE.ADOPT.CP_DATEFORMAT" w:val="af %DATE%"/>
    <w:docVar w:name="LW_DATE.ADOPT.CP_ISODATE" w:val="2024-11-29"/>
    <w:docVar w:name="LW_DocType" w:val="COM"/>
    <w:docVar w:name="LW_EMISSION" w:val="29.11.2024"/>
    <w:docVar w:name="LW_EMISSION_ISODATE" w:val="2024-11-29"/>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gennemførelsesmæssige tekniske standarder for anvendelsen af Europa-Parlamentets og Rådets forordning (EU) nr. 575/2013 for så vidt angår institutters indberetning med henblik på tilsyn og om ophævelse af Kommissionens gennemførelsesforordning (EU) 2021/451"/>
    <w:docVar w:name="LW_TYPE.DOC.CP" w:val="KOMMISSIONENS GENNEMFØRELSESFORORDNING (EU) \u8230?/\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86F7E"/>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57B4D"/>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A75D7"/>
    <w:rsid w:val="003B0CBE"/>
    <w:rsid w:val="003B423F"/>
    <w:rsid w:val="003B5FFE"/>
    <w:rsid w:val="003B7444"/>
    <w:rsid w:val="003C2930"/>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2F8E"/>
    <w:rsid w:val="00433221"/>
    <w:rsid w:val="00437AA5"/>
    <w:rsid w:val="004411FE"/>
    <w:rsid w:val="00442C8E"/>
    <w:rsid w:val="00445295"/>
    <w:rsid w:val="00445F3E"/>
    <w:rsid w:val="00450B31"/>
    <w:rsid w:val="004534F7"/>
    <w:rsid w:val="004551DB"/>
    <w:rsid w:val="0046097C"/>
    <w:rsid w:val="00464F13"/>
    <w:rsid w:val="0046608A"/>
    <w:rsid w:val="004660C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0DB8"/>
    <w:rsid w:val="004F19CF"/>
    <w:rsid w:val="004F234A"/>
    <w:rsid w:val="004F3F0D"/>
    <w:rsid w:val="004F6DA7"/>
    <w:rsid w:val="004F7309"/>
    <w:rsid w:val="00500E65"/>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317A"/>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D4D58"/>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47D6"/>
    <w:rsid w:val="006A58E0"/>
    <w:rsid w:val="006B2486"/>
    <w:rsid w:val="006B3B09"/>
    <w:rsid w:val="006B55F5"/>
    <w:rsid w:val="006C0089"/>
    <w:rsid w:val="006C0503"/>
    <w:rsid w:val="006C173C"/>
    <w:rsid w:val="006C2BF7"/>
    <w:rsid w:val="006C431D"/>
    <w:rsid w:val="006C4347"/>
    <w:rsid w:val="006C48BA"/>
    <w:rsid w:val="006C7F7A"/>
    <w:rsid w:val="006D000B"/>
    <w:rsid w:val="006D06B5"/>
    <w:rsid w:val="006D413F"/>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3D0D"/>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511D"/>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453D"/>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0F09"/>
    <w:rsid w:val="0088235A"/>
    <w:rsid w:val="0089773F"/>
    <w:rsid w:val="008A0DDB"/>
    <w:rsid w:val="008A1AAC"/>
    <w:rsid w:val="008A53EE"/>
    <w:rsid w:val="008B158E"/>
    <w:rsid w:val="008B57C8"/>
    <w:rsid w:val="008C205C"/>
    <w:rsid w:val="008D4069"/>
    <w:rsid w:val="008D53CD"/>
    <w:rsid w:val="008D5A0B"/>
    <w:rsid w:val="008D7B5B"/>
    <w:rsid w:val="008E2694"/>
    <w:rsid w:val="008E613C"/>
    <w:rsid w:val="008F241F"/>
    <w:rsid w:val="008F42CF"/>
    <w:rsid w:val="008F7CEE"/>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0DE"/>
    <w:rsid w:val="00B33DCF"/>
    <w:rsid w:val="00B4020A"/>
    <w:rsid w:val="00B4139F"/>
    <w:rsid w:val="00B46CF9"/>
    <w:rsid w:val="00B47406"/>
    <w:rsid w:val="00B55A25"/>
    <w:rsid w:val="00B62075"/>
    <w:rsid w:val="00B670E6"/>
    <w:rsid w:val="00B70B8F"/>
    <w:rsid w:val="00B87166"/>
    <w:rsid w:val="00B92FD3"/>
    <w:rsid w:val="00B94BED"/>
    <w:rsid w:val="00B9619E"/>
    <w:rsid w:val="00BA0799"/>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03B8F"/>
    <w:rsid w:val="00C23DB8"/>
    <w:rsid w:val="00C26E6A"/>
    <w:rsid w:val="00C3271F"/>
    <w:rsid w:val="00C32879"/>
    <w:rsid w:val="00C32A28"/>
    <w:rsid w:val="00C32BE3"/>
    <w:rsid w:val="00C33595"/>
    <w:rsid w:val="00C34339"/>
    <w:rsid w:val="00C3574C"/>
    <w:rsid w:val="00C37160"/>
    <w:rsid w:val="00C3731F"/>
    <w:rsid w:val="00C42B32"/>
    <w:rsid w:val="00C53A24"/>
    <w:rsid w:val="00C567C8"/>
    <w:rsid w:val="00C57DA8"/>
    <w:rsid w:val="00C61EAD"/>
    <w:rsid w:val="00C62414"/>
    <w:rsid w:val="00C639D7"/>
    <w:rsid w:val="00C67CBC"/>
    <w:rsid w:val="00C701C9"/>
    <w:rsid w:val="00C7125C"/>
    <w:rsid w:val="00C72031"/>
    <w:rsid w:val="00C83B23"/>
    <w:rsid w:val="00C84427"/>
    <w:rsid w:val="00C856B2"/>
    <w:rsid w:val="00C85783"/>
    <w:rsid w:val="00C86651"/>
    <w:rsid w:val="00C92528"/>
    <w:rsid w:val="00C9494F"/>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07CF8"/>
    <w:rsid w:val="00D10EE2"/>
    <w:rsid w:val="00D11277"/>
    <w:rsid w:val="00D14967"/>
    <w:rsid w:val="00D23355"/>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da-DK"/>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da-DK"/>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6A47D6"/>
    <w:rPr>
      <w:rFonts w:ascii="Times New Roman" w:hAnsi="Times New Roman" w:cs="Times New Roman"/>
      <w:sz w:val="24"/>
      <w:lang w:val="da-DK"/>
    </w:rPr>
  </w:style>
  <w:style w:type="character" w:customStyle="1" w:styleId="FooterChar">
    <w:name w:val="Footer Char"/>
    <w:basedOn w:val="DefaultParagraphFont"/>
    <w:link w:val="Footer"/>
    <w:uiPriority w:val="99"/>
    <w:rsid w:val="006A47D6"/>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a-DK"/>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a-DK"/>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a-DK"/>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a-DK"/>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a-DK"/>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a-DK"/>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a-DK"/>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A47D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A47D6"/>
    <w:pPr>
      <w:spacing w:before="0"/>
      <w:jc w:val="right"/>
    </w:pPr>
    <w:rPr>
      <w:sz w:val="28"/>
    </w:rPr>
  </w:style>
  <w:style w:type="paragraph" w:customStyle="1" w:styleId="FooterSensitivity">
    <w:name w:val="Footer Sensitivity"/>
    <w:basedOn w:val="Normal"/>
    <w:rsid w:val="006A47D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8"/>
      </w:numPr>
    </w:pPr>
  </w:style>
  <w:style w:type="paragraph" w:customStyle="1" w:styleId="Tiret1">
    <w:name w:val="Tiret 1"/>
    <w:basedOn w:val="Point1"/>
    <w:pPr>
      <w:numPr>
        <w:numId w:val="29"/>
      </w:numPr>
    </w:pPr>
  </w:style>
  <w:style w:type="paragraph" w:customStyle="1" w:styleId="Tiret2">
    <w:name w:val="Tiret 2"/>
    <w:basedOn w:val="Point2"/>
    <w:pPr>
      <w:numPr>
        <w:numId w:val="30"/>
      </w:numPr>
    </w:pPr>
  </w:style>
  <w:style w:type="paragraph" w:customStyle="1" w:styleId="Tiret3">
    <w:name w:val="Tiret 3"/>
    <w:basedOn w:val="Point3"/>
    <w:pPr>
      <w:numPr>
        <w:numId w:val="31"/>
      </w:numPr>
    </w:pPr>
  </w:style>
  <w:style w:type="paragraph" w:customStyle="1" w:styleId="Tiret4">
    <w:name w:val="Tiret 4"/>
    <w:basedOn w:val="Point4"/>
    <w:pPr>
      <w:numPr>
        <w:numId w:val="32"/>
      </w:numPr>
    </w:pPr>
  </w:style>
  <w:style w:type="paragraph" w:customStyle="1" w:styleId="Tiret5">
    <w:name w:val="Tiret 5"/>
    <w:basedOn w:val="Point5"/>
    <w:pPr>
      <w:numPr>
        <w:numId w:val="3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4"/>
      </w:numPr>
    </w:pPr>
  </w:style>
  <w:style w:type="paragraph" w:customStyle="1" w:styleId="NumPar2">
    <w:name w:val="NumPar 2"/>
    <w:basedOn w:val="Normal"/>
    <w:next w:val="Text1"/>
    <w:pPr>
      <w:numPr>
        <w:ilvl w:val="1"/>
        <w:numId w:val="34"/>
      </w:numPr>
    </w:pPr>
  </w:style>
  <w:style w:type="paragraph" w:customStyle="1" w:styleId="NumPar3">
    <w:name w:val="NumPar 3"/>
    <w:basedOn w:val="Normal"/>
    <w:next w:val="Text1"/>
    <w:pPr>
      <w:numPr>
        <w:ilvl w:val="2"/>
        <w:numId w:val="34"/>
      </w:numPr>
    </w:pPr>
  </w:style>
  <w:style w:type="paragraph" w:customStyle="1" w:styleId="NumPar4">
    <w:name w:val="NumPar 4"/>
    <w:basedOn w:val="Normal"/>
    <w:next w:val="Text1"/>
    <w:pPr>
      <w:numPr>
        <w:ilvl w:val="3"/>
        <w:numId w:val="34"/>
      </w:numPr>
    </w:pPr>
  </w:style>
  <w:style w:type="paragraph" w:customStyle="1" w:styleId="NumPar5">
    <w:name w:val="NumPar 5"/>
    <w:basedOn w:val="Normal"/>
    <w:next w:val="Text2"/>
    <w:pPr>
      <w:numPr>
        <w:ilvl w:val="4"/>
        <w:numId w:val="34"/>
      </w:numPr>
    </w:pPr>
  </w:style>
  <w:style w:type="paragraph" w:customStyle="1" w:styleId="NumPar6">
    <w:name w:val="NumPar 6"/>
    <w:basedOn w:val="Normal"/>
    <w:next w:val="Text2"/>
    <w:pPr>
      <w:numPr>
        <w:ilvl w:val="5"/>
        <w:numId w:val="34"/>
      </w:numPr>
    </w:pPr>
  </w:style>
  <w:style w:type="paragraph" w:customStyle="1" w:styleId="NumPar7">
    <w:name w:val="NumPar 7"/>
    <w:basedOn w:val="Normal"/>
    <w:next w:val="Text2"/>
    <w:pPr>
      <w:numPr>
        <w:ilvl w:val="6"/>
        <w:numId w:val="3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6"/>
      </w:numPr>
    </w:pPr>
  </w:style>
  <w:style w:type="paragraph" w:customStyle="1" w:styleId="Point1number">
    <w:name w:val="Point 1 (number)"/>
    <w:basedOn w:val="Normal"/>
    <w:pPr>
      <w:numPr>
        <w:ilvl w:val="2"/>
        <w:numId w:val="36"/>
      </w:numPr>
    </w:pPr>
  </w:style>
  <w:style w:type="paragraph" w:customStyle="1" w:styleId="Point2number">
    <w:name w:val="Point 2 (number)"/>
    <w:basedOn w:val="Normal"/>
    <w:pPr>
      <w:numPr>
        <w:ilvl w:val="4"/>
        <w:numId w:val="36"/>
      </w:numPr>
    </w:pPr>
  </w:style>
  <w:style w:type="paragraph" w:customStyle="1" w:styleId="Point3number">
    <w:name w:val="Point 3 (number)"/>
    <w:basedOn w:val="Normal"/>
    <w:pPr>
      <w:numPr>
        <w:ilvl w:val="6"/>
        <w:numId w:val="36"/>
      </w:numPr>
    </w:pPr>
  </w:style>
  <w:style w:type="paragraph" w:customStyle="1" w:styleId="Point0letter">
    <w:name w:val="Point 0 (letter)"/>
    <w:basedOn w:val="Normal"/>
    <w:pPr>
      <w:numPr>
        <w:ilvl w:val="1"/>
        <w:numId w:val="36"/>
      </w:numPr>
    </w:pPr>
  </w:style>
  <w:style w:type="paragraph" w:customStyle="1" w:styleId="Point1letter">
    <w:name w:val="Point 1 (letter)"/>
    <w:basedOn w:val="Normal"/>
    <w:pPr>
      <w:numPr>
        <w:ilvl w:val="3"/>
        <w:numId w:val="36"/>
      </w:numPr>
    </w:pPr>
  </w:style>
  <w:style w:type="paragraph" w:customStyle="1" w:styleId="Point2letter">
    <w:name w:val="Point 2 (letter)"/>
    <w:basedOn w:val="Normal"/>
    <w:pPr>
      <w:numPr>
        <w:ilvl w:val="5"/>
        <w:numId w:val="36"/>
      </w:numPr>
    </w:pPr>
  </w:style>
  <w:style w:type="paragraph" w:customStyle="1" w:styleId="Point3letter">
    <w:name w:val="Point 3 (letter)"/>
    <w:basedOn w:val="Normal"/>
    <w:pPr>
      <w:numPr>
        <w:ilvl w:val="7"/>
        <w:numId w:val="36"/>
      </w:numPr>
    </w:pPr>
  </w:style>
  <w:style w:type="paragraph" w:customStyle="1" w:styleId="Point4letter">
    <w:name w:val="Point 4 (letter)"/>
    <w:basedOn w:val="Normal"/>
    <w:pPr>
      <w:numPr>
        <w:ilvl w:val="8"/>
        <w:numId w:val="36"/>
      </w:numPr>
    </w:pPr>
  </w:style>
  <w:style w:type="paragraph" w:customStyle="1" w:styleId="Bullet0">
    <w:name w:val="Bullet 0"/>
    <w:basedOn w:val="Normal"/>
    <w:pPr>
      <w:numPr>
        <w:numId w:val="37"/>
      </w:numPr>
    </w:pPr>
  </w:style>
  <w:style w:type="paragraph" w:customStyle="1" w:styleId="Bullet1">
    <w:name w:val="Bullet 1"/>
    <w:basedOn w:val="Normal"/>
    <w:pPr>
      <w:numPr>
        <w:numId w:val="38"/>
      </w:numPr>
    </w:pPr>
  </w:style>
  <w:style w:type="paragraph" w:customStyle="1" w:styleId="Bullet2">
    <w:name w:val="Bullet 2"/>
    <w:basedOn w:val="Normal"/>
    <w:pPr>
      <w:numPr>
        <w:numId w:val="39"/>
      </w:numPr>
    </w:pPr>
  </w:style>
  <w:style w:type="paragraph" w:customStyle="1" w:styleId="Bullet3">
    <w:name w:val="Bullet 3"/>
    <w:basedOn w:val="Normal"/>
    <w:pPr>
      <w:numPr>
        <w:numId w:val="40"/>
      </w:numPr>
    </w:pPr>
  </w:style>
  <w:style w:type="paragraph" w:customStyle="1" w:styleId="Bullet4">
    <w:name w:val="Bullet 4"/>
    <w:basedOn w:val="Normal"/>
    <w:pPr>
      <w:numPr>
        <w:numId w:val="4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6A47D6"/>
    <w:pPr>
      <w:tabs>
        <w:tab w:val="center" w:pos="4535"/>
        <w:tab w:val="right" w:pos="9071"/>
      </w:tabs>
      <w:spacing w:before="0"/>
    </w:pPr>
  </w:style>
  <w:style w:type="paragraph" w:customStyle="1" w:styleId="HeaderLandscape">
    <w:name w:val="HeaderLandscape"/>
    <w:basedOn w:val="Normal"/>
    <w:rsid w:val="006A47D6"/>
    <w:pPr>
      <w:tabs>
        <w:tab w:val="center" w:pos="7285"/>
        <w:tab w:val="right" w:pos="14003"/>
      </w:tabs>
      <w:spacing w:before="0"/>
    </w:pPr>
  </w:style>
  <w:style w:type="paragraph" w:styleId="Footer">
    <w:name w:val="footer"/>
    <w:basedOn w:val="Normal"/>
    <w:link w:val="FooterChar"/>
    <w:uiPriority w:val="99"/>
    <w:unhideWhenUsed/>
    <w:rsid w:val="006A47D6"/>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A47D6"/>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E08A97F4-C55D-487E-9519-E807EF246A3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41</TotalTime>
  <Pages>17</Pages>
  <Words>7625</Words>
  <Characters>43464</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50988</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45</cp:revision>
  <dcterms:created xsi:type="dcterms:W3CDTF">2024-11-08T11:56:00Z</dcterms:created>
  <dcterms:modified xsi:type="dcterms:W3CDTF">2024-12-03T15:57:00Z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