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SV</w:t>
      </w:r>
      <w:r>
        <w:br/>
      </w:r>
      <w:r>
        <w:br/>
      </w:r>
      <w:r>
        <w:t xml:space="preserve">BILAGA II</w:t>
      </w:r>
    </w:p>
    <w:p w14:paraId="3CA35C97" w14:textId="3C491A98" w:rsidR="001B41DF" w:rsidRDefault="001B41DF" w:rsidP="001B41DF">
      <w:pPr>
        <w:jc w:val="center"/>
      </w:pPr>
      <w:r>
        <w:t xml:space="preserve">JÄMFÖRELSETABELL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Den här förordningen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Genomförandeförordning (EU)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4.1, 4.2 och 4.3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4.1, 4.2 och 4.3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4.4 och 4.5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5.1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5.1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5.14 c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6.1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6.1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9.1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9.2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9.2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9.3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10.1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10.2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10.2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10.3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Artikel 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Artikel 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Artikel 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Artikel 14.1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Artikel 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Artikel 15.1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Artikel 15.2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Artikel 15.2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Artikel 15.3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Artikel 15.4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Artikel 15.4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Artikel 15.5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Artikel 15.5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Artikel 15.6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Artikel 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Artikel 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Artikel 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Artikel 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Artikel 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Artikel 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Artikel 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Artikel 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Artikel 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Artikel 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Artikel 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Artikel 20a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Artikel 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–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Artikel 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Artikel 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Bilaga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Bilaga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Bilaga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Bilaga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Bilaga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Bilaga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Bilaga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