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C7109" w14:textId="77777777" w:rsidR="004861D3" w:rsidRDefault="004861D3" w:rsidP="004861D3">
      <w:pPr>
        <w:jc w:val="center"/>
        <w:rPr>
          <w:rFonts w:ascii="Times New Roman" w:hAnsi="Times New Roman"/>
          <w:sz w:val="24"/>
        </w:rPr>
      </w:pPr>
      <w:bookmarkStart w:id="0" w:name="_Toc264038394"/>
      <w:bookmarkStart w:id="1" w:name="_Toc360188317"/>
      <w:bookmarkStart w:id="2" w:name="_Toc473560865"/>
      <w:bookmarkStart w:id="3" w:name="_Toc151714353"/>
      <w:r>
        <w:rPr>
          <w:rFonts w:ascii="Times New Roman" w:hAnsi="Times New Roman"/>
          <w:sz w:val="24"/>
        </w:rPr>
        <w:t>EN</w:t>
      </w:r>
    </w:p>
    <w:p w14:paraId="67796B91" w14:textId="77777777" w:rsidR="004861D3" w:rsidRDefault="004861D3" w:rsidP="004861D3"/>
    <w:p w14:paraId="382078E9" w14:textId="77777777" w:rsidR="004861D3" w:rsidRDefault="004861D3" w:rsidP="004861D3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ANNEX II</w:t>
      </w:r>
    </w:p>
    <w:p w14:paraId="50CB5750" w14:textId="77777777" w:rsidR="004861D3" w:rsidRPr="002A677E" w:rsidRDefault="004861D3" w:rsidP="004861D3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‘</w:t>
      </w:r>
      <w:r w:rsidRPr="002A677E">
        <w:rPr>
          <w:rFonts w:ascii="Times New Roman" w:hAnsi="Times New Roman"/>
          <w:sz w:val="24"/>
        </w:rPr>
        <w:t>ANNEX II</w:t>
      </w:r>
    </w:p>
    <w:p w14:paraId="23E17BA5" w14:textId="77777777" w:rsidR="004861D3" w:rsidRPr="002A677E" w:rsidRDefault="004861D3" w:rsidP="004861D3">
      <w:pPr>
        <w:jc w:val="center"/>
        <w:rPr>
          <w:rFonts w:ascii="Times New Roman" w:hAnsi="Times New Roman"/>
          <w:b/>
          <w:sz w:val="24"/>
          <w:lang w:eastAsia="de-DE"/>
        </w:rPr>
      </w:pPr>
      <w:r w:rsidRPr="002A677E">
        <w:rPr>
          <w:rFonts w:ascii="Times New Roman" w:hAnsi="Times New Roman"/>
          <w:b/>
          <w:sz w:val="24"/>
          <w:lang w:eastAsia="de-DE"/>
        </w:rPr>
        <w:t>INSTRUCTIONS FOR REPORTING ON OWN FUNDS AND OWN FUNDS REQUIREMENTS</w:t>
      </w:r>
    </w:p>
    <w:p w14:paraId="1C512BC8" w14:textId="77777777" w:rsidR="004861D3" w:rsidRPr="002A677E" w:rsidRDefault="004861D3" w:rsidP="004861D3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71094C07" w14:textId="77777777" w:rsidR="004861D3" w:rsidRPr="002A677E" w:rsidRDefault="004861D3" w:rsidP="004861D3">
      <w:pPr>
        <w:pStyle w:val="InstructionsText"/>
      </w:pPr>
      <w:r w:rsidRPr="002A677E">
        <w:t>Table of Contents</w:t>
      </w:r>
    </w:p>
    <w:p w14:paraId="0CB6A77A" w14:textId="459EF019" w:rsidR="004861D3" w:rsidRDefault="004861D3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r w:rsidRPr="002A677E">
        <w:rPr>
          <w:rFonts w:ascii="Times New Roman" w:hAnsi="Times New Roman"/>
          <w:noProof w:val="0"/>
          <w:sz w:val="24"/>
          <w:szCs w:val="24"/>
        </w:rPr>
        <w:fldChar w:fldCharType="begin"/>
      </w:r>
      <w:r w:rsidRPr="002A677E">
        <w:rPr>
          <w:rFonts w:ascii="Times New Roman" w:hAnsi="Times New Roman"/>
          <w:noProof w:val="0"/>
          <w:sz w:val="24"/>
          <w:szCs w:val="24"/>
        </w:rPr>
        <w:instrText xml:space="preserve"> TOC \o "1-3" \h \z \u </w:instrText>
      </w:r>
      <w:r w:rsidRPr="002A677E">
        <w:rPr>
          <w:rFonts w:ascii="Times New Roman" w:hAnsi="Times New Roman"/>
          <w:noProof w:val="0"/>
          <w:sz w:val="24"/>
          <w:szCs w:val="24"/>
        </w:rPr>
        <w:fldChar w:fldCharType="separate"/>
      </w:r>
      <w:hyperlink w:anchor="_Toc151714353" w:history="1">
        <w:r w:rsidRPr="00EC7A8D">
          <w:rPr>
            <w:rStyle w:val="Hyperlink"/>
            <w:rFonts w:ascii="Times New Roman" w:hAnsi="Times New Roman"/>
          </w:rPr>
          <w:t>PART I: GENERAL INSTRUCTIONS</w:t>
        </w:r>
      </w:hyperlink>
    </w:p>
    <w:p w14:paraId="56439B68" w14:textId="4B27817A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4" w:history="1">
        <w:r w:rsidR="004861D3" w:rsidRPr="00EC7A8D">
          <w:rPr>
            <w:rStyle w:val="Hyperlink"/>
            <w:rFonts w:ascii="Times New Roman" w:hAnsi="Times New Roman"/>
          </w:rPr>
          <w:t>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STRUCTURE AND CONVENTIONS</w:t>
        </w:r>
      </w:hyperlink>
    </w:p>
    <w:p w14:paraId="7AADC56F" w14:textId="186A901E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5" w:history="1">
        <w:r w:rsidR="004861D3" w:rsidRPr="00EC7A8D">
          <w:rPr>
            <w:rStyle w:val="Hyperlink"/>
            <w:rFonts w:ascii="Times New Roman" w:hAnsi="Times New Roman"/>
          </w:rPr>
          <w:t>1.1.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STRUCTURE</w:t>
        </w:r>
      </w:hyperlink>
    </w:p>
    <w:p w14:paraId="777C3FA9" w14:textId="764A389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6" w:history="1">
        <w:r w:rsidR="004861D3" w:rsidRPr="00EC7A8D">
          <w:rPr>
            <w:rStyle w:val="Hyperlink"/>
            <w:rFonts w:ascii="Times New Roman" w:hAnsi="Times New Roman"/>
          </w:rPr>
          <w:t>1.2.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Numbering convention</w:t>
        </w:r>
      </w:hyperlink>
    </w:p>
    <w:p w14:paraId="74A33ED6" w14:textId="0A4E3B6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7" w:history="1">
        <w:r w:rsidR="004861D3" w:rsidRPr="00EC7A8D">
          <w:rPr>
            <w:rStyle w:val="Hyperlink"/>
            <w:rFonts w:ascii="Times New Roman" w:hAnsi="Times New Roman"/>
          </w:rPr>
          <w:t>1.3.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Sign convention</w:t>
        </w:r>
      </w:hyperlink>
    </w:p>
    <w:p w14:paraId="35AE8F1B" w14:textId="1EDC73A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8" w:history="1">
        <w:r w:rsidR="004861D3" w:rsidRPr="00EC7A8D">
          <w:rPr>
            <w:rStyle w:val="Hyperlink"/>
            <w:rFonts w:ascii="Times New Roman" w:hAnsi="Times New Roman"/>
          </w:rPr>
          <w:t>PART II: TEMPLATE RELATED INSTRUCTIONS</w:t>
        </w:r>
      </w:hyperlink>
    </w:p>
    <w:p w14:paraId="04B4BFED" w14:textId="703E3DF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9" w:history="1">
        <w:r w:rsidR="004861D3" w:rsidRPr="00EC7A8D">
          <w:rPr>
            <w:rStyle w:val="Hyperlink"/>
            <w:rFonts w:ascii="Times New Roman" w:hAnsi="Times New Roman"/>
          </w:rPr>
          <w:t>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Capital Adequacy Overview (‘CA’)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53394A8" w14:textId="6741428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0" w:history="1">
        <w:r w:rsidR="004861D3" w:rsidRPr="00EC7A8D">
          <w:rPr>
            <w:rStyle w:val="Hyperlink"/>
            <w:rFonts w:ascii="Times New Roman" w:hAnsi="Times New Roman"/>
          </w:rPr>
          <w:t>1.1.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46DAB54A" w14:textId="6AAC18D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1" w:history="1">
        <w:r w:rsidR="004861D3" w:rsidRPr="00EC7A8D">
          <w:rPr>
            <w:rStyle w:val="Hyperlink"/>
            <w:rFonts w:ascii="Times New Roman" w:hAnsi="Times New Roman"/>
          </w:rPr>
          <w:t>1.2.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01.00 - OWN FUNDS (CA1)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F69C3EE" w14:textId="345CE526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2" w:history="1">
        <w:r w:rsidR="004861D3" w:rsidRPr="00EC7A8D">
          <w:rPr>
            <w:rStyle w:val="Hyperlink"/>
            <w:rFonts w:ascii="Times New Roman" w:hAnsi="Times New Roman"/>
          </w:rPr>
          <w:t>1.2.1.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78E5874" w14:textId="09D7BC3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3" w:history="1">
        <w:r w:rsidR="004861D3" w:rsidRPr="00EC7A8D">
          <w:rPr>
            <w:rStyle w:val="Hyperlink"/>
            <w:rFonts w:ascii="Times New Roman" w:hAnsi="Times New Roman"/>
          </w:rPr>
          <w:t>1.3.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02.00 - OWN FUNDS REQUIREMENTS (CA2)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AE42F90" w14:textId="754C3538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4" w:history="1">
        <w:r w:rsidR="004861D3" w:rsidRPr="00EC7A8D">
          <w:rPr>
            <w:rStyle w:val="Hyperlink"/>
            <w:rFonts w:ascii="Times New Roman" w:hAnsi="Times New Roman"/>
          </w:rPr>
          <w:t>1.3.1.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3F015D7C" w14:textId="45374B2F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5" w:history="1">
        <w:r w:rsidR="004861D3" w:rsidRPr="00EC7A8D">
          <w:rPr>
            <w:rStyle w:val="Hyperlink"/>
            <w:rFonts w:ascii="Times New Roman" w:hAnsi="Times New Roman"/>
          </w:rPr>
          <w:t>1.4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03.00 - CAPITAL RATIOS AND CAPITAL LEVELS (CA3)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26C4466" w14:textId="3E6AD5E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6" w:history="1">
        <w:r w:rsidR="004861D3" w:rsidRPr="00EC7A8D">
          <w:rPr>
            <w:rStyle w:val="Hyperlink"/>
            <w:rFonts w:ascii="Times New Roman" w:hAnsi="Times New Roman"/>
          </w:rPr>
          <w:t>1.4.1.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E88DB89" w14:textId="442E471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7" w:history="1">
        <w:r w:rsidR="004861D3" w:rsidRPr="00EC7A8D">
          <w:rPr>
            <w:rStyle w:val="Hyperlink"/>
            <w:rFonts w:ascii="Times New Roman" w:hAnsi="Times New Roman"/>
          </w:rPr>
          <w:t>1.5.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04.00 - MEMORANDUM ITEMS (CA4)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635B18D8" w14:textId="66465976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8" w:history="1">
        <w:r w:rsidR="004861D3" w:rsidRPr="00EC7A8D">
          <w:rPr>
            <w:rStyle w:val="Hyperlink"/>
            <w:rFonts w:ascii="Times New Roman" w:hAnsi="Times New Roman"/>
          </w:rPr>
          <w:t>1.5.1.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38D4FCE6" w14:textId="4AC0ECB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9" w:history="1">
        <w:r w:rsidR="004861D3" w:rsidRPr="00EC7A8D">
          <w:rPr>
            <w:rStyle w:val="Hyperlink"/>
            <w:rFonts w:ascii="Times New Roman" w:hAnsi="Times New Roman"/>
          </w:rPr>
          <w:t>1.6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TRANSITIONAL PROVISIONS and GRANDFATHERED INSTRUMENTS: INSTRUMENTS NOT CONSTITUTING STATE AID (CA5)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5DF6C2A5" w14:textId="5F328E8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0" w:history="1">
        <w:r w:rsidR="004861D3" w:rsidRPr="00EC7A8D">
          <w:rPr>
            <w:rStyle w:val="Hyperlink"/>
            <w:rFonts w:ascii="Times New Roman" w:hAnsi="Times New Roman"/>
          </w:rPr>
          <w:t>1.6.1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5E960B88" w14:textId="30CA6286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1" w:history="1">
        <w:r w:rsidR="004861D3" w:rsidRPr="00EC7A8D">
          <w:rPr>
            <w:rStyle w:val="Hyperlink"/>
            <w:rFonts w:ascii="Times New Roman" w:hAnsi="Times New Roman"/>
          </w:rPr>
          <w:t>1.6.2.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05.01 - TRANSITIONAL PROVISIONS (CA5.1)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D454735" w14:textId="0B62A4F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2" w:history="1">
        <w:r w:rsidR="004861D3" w:rsidRPr="00EC7A8D">
          <w:rPr>
            <w:rStyle w:val="Hyperlink"/>
            <w:rFonts w:ascii="Times New Roman" w:hAnsi="Times New Roman"/>
          </w:rPr>
          <w:t>1.6.2.1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5C99E30" w14:textId="421A70B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3" w:history="1">
        <w:r w:rsidR="004861D3" w:rsidRPr="00EC7A8D">
          <w:rPr>
            <w:rStyle w:val="Hyperlink"/>
            <w:rFonts w:ascii="Times New Roman" w:hAnsi="Times New Roman"/>
          </w:rPr>
          <w:t>1.6.3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05.02 - GRANDFATHERED INSTRUMENTS: INSTRUMENTS NOT CONSTITUING STATE AID (CA5.2)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2C65A6C" w14:textId="4CF6C1BE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4" w:history="1">
        <w:r w:rsidR="004861D3" w:rsidRPr="00EC7A8D">
          <w:rPr>
            <w:rStyle w:val="Hyperlink"/>
            <w:rFonts w:ascii="Times New Roman" w:hAnsi="Times New Roman"/>
          </w:rPr>
          <w:t>1.6.3.1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E87C9E9" w14:textId="5815875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5" w:history="1">
        <w:r w:rsidR="004861D3" w:rsidRPr="00EC7A8D">
          <w:rPr>
            <w:rStyle w:val="Hyperlink"/>
            <w:rFonts w:ascii="Times New Roman" w:hAnsi="Times New Roman"/>
          </w:rPr>
          <w:t>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GROUP SOLVENCY: INFORMATION ON AFFILIATES (GS)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A59BFF8" w14:textId="38DDE3E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6" w:history="1">
        <w:r w:rsidR="004861D3" w:rsidRPr="00EC7A8D">
          <w:rPr>
            <w:rStyle w:val="Hyperlink"/>
            <w:rFonts w:ascii="Times New Roman" w:hAnsi="Times New Roman"/>
          </w:rPr>
          <w:t>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70265C24" w14:textId="1289506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7" w:history="1">
        <w:r w:rsidR="004861D3" w:rsidRPr="00EC7A8D">
          <w:rPr>
            <w:rStyle w:val="Hyperlink"/>
            <w:rFonts w:ascii="Times New Roman" w:hAnsi="Times New Roman"/>
          </w:rPr>
          <w:t>2.2.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Detailed group solvency information</w:t>
        </w:r>
      </w:hyperlink>
    </w:p>
    <w:p w14:paraId="0AA9C31F" w14:textId="0F5387B1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8" w:history="1">
        <w:r w:rsidR="004861D3" w:rsidRPr="00EC7A8D">
          <w:rPr>
            <w:rStyle w:val="Hyperlink"/>
            <w:rFonts w:ascii="Times New Roman" w:hAnsi="Times New Roman"/>
          </w:rPr>
          <w:t>2.3.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Information on the contributions of individual entities to group solvency</w:t>
        </w:r>
      </w:hyperlink>
    </w:p>
    <w:p w14:paraId="2DAF416C" w14:textId="35B22C20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9" w:history="1">
        <w:r w:rsidR="004861D3" w:rsidRPr="00EC7A8D">
          <w:rPr>
            <w:rStyle w:val="Hyperlink"/>
            <w:rFonts w:ascii="Times New Roman" w:hAnsi="Times New Roman"/>
          </w:rPr>
          <w:t>2.4.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06.01 – GROUP SOLVENCY: INFORMATION ON AFFILIATES – Total (GS Total)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76D98D0" w14:textId="23EA19C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0" w:history="1">
        <w:r w:rsidR="004861D3" w:rsidRPr="00EC7A8D">
          <w:rPr>
            <w:rStyle w:val="Hyperlink"/>
            <w:rFonts w:ascii="Times New Roman" w:hAnsi="Times New Roman"/>
          </w:rPr>
          <w:t>2.5.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06.02 – GROUP SOLVENCY: INFORMATION ON AFFILIATES (GS)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28C2F78" w14:textId="6E8C6D2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1" w:history="1">
        <w:r w:rsidR="004861D3" w:rsidRPr="00EC7A8D">
          <w:rPr>
            <w:rStyle w:val="Hyperlink"/>
            <w:rFonts w:ascii="Times New Roman" w:hAnsi="Times New Roman"/>
          </w:rPr>
          <w:t>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Credit Risk Templates</w:t>
        </w:r>
      </w:hyperlink>
    </w:p>
    <w:p w14:paraId="5705C225" w14:textId="6F6E1E47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2" w:history="1">
        <w:r w:rsidR="004861D3" w:rsidRPr="00EC7A8D">
          <w:rPr>
            <w:rStyle w:val="Hyperlink"/>
            <w:rFonts w:ascii="Times New Roman" w:hAnsi="Times New Roman"/>
          </w:rPr>
          <w:t>3.1.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12F5DE16" w14:textId="1A454B80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3" w:history="1">
        <w:r w:rsidR="004861D3" w:rsidRPr="00EC7A8D">
          <w:rPr>
            <w:rStyle w:val="Hyperlink"/>
            <w:rFonts w:ascii="Times New Roman" w:hAnsi="Times New Roman"/>
          </w:rPr>
          <w:t>3.1.1.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Reporting of CRM techniques with substitution effect</w:t>
        </w:r>
      </w:hyperlink>
    </w:p>
    <w:p w14:paraId="7D55B7E6" w14:textId="5EC081ED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4" w:history="1">
        <w:r w:rsidR="004861D3" w:rsidRPr="00EC7A8D">
          <w:rPr>
            <w:rStyle w:val="Hyperlink"/>
            <w:rFonts w:ascii="Times New Roman" w:hAnsi="Times New Roman"/>
          </w:rPr>
          <w:t>3.1.2.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Reporting of Counterparty Credit Risk</w:t>
        </w:r>
      </w:hyperlink>
    </w:p>
    <w:p w14:paraId="5C7CDE73" w14:textId="14716F1E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5" w:history="1">
        <w:r w:rsidR="004861D3" w:rsidRPr="00EC7A8D">
          <w:rPr>
            <w:rStyle w:val="Hyperlink"/>
            <w:rFonts w:ascii="Times New Roman" w:hAnsi="Times New Roman"/>
          </w:rPr>
          <w:t>3.2.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07.00 - Credit and counterparty credit risks and free deliveries: Standardised approach to Capital Requirements (CR SA)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D6ED132" w14:textId="4CA1B760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6" w:history="1">
        <w:r w:rsidR="004861D3" w:rsidRPr="00EC7A8D">
          <w:rPr>
            <w:rStyle w:val="Hyperlink"/>
            <w:rFonts w:ascii="Times New Roman" w:hAnsi="Times New Roman"/>
          </w:rPr>
          <w:t>3.2.1.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5F5C48D3" w14:textId="24F4565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7" w:history="1">
        <w:r w:rsidR="004861D3" w:rsidRPr="00EC7A8D">
          <w:rPr>
            <w:rStyle w:val="Hyperlink"/>
            <w:rFonts w:ascii="Times New Roman" w:hAnsi="Times New Roman"/>
          </w:rPr>
          <w:t>3.2.2.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Scope of the CR SA template</w:t>
        </w:r>
      </w:hyperlink>
    </w:p>
    <w:p w14:paraId="7262A270" w14:textId="1134783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8" w:history="1">
        <w:r w:rsidR="004861D3" w:rsidRPr="00EC7A8D">
          <w:rPr>
            <w:rStyle w:val="Hyperlink"/>
            <w:rFonts w:ascii="Times New Roman" w:hAnsi="Times New Roman"/>
          </w:rPr>
          <w:t>3.2.3.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 xml:space="preserve"> Assignment of exposures to exposure classes under the Standardised approach</w:t>
        </w:r>
      </w:hyperlink>
    </w:p>
    <w:p w14:paraId="4CFE9015" w14:textId="11414D0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9" w:history="1">
        <w:r w:rsidR="004861D3" w:rsidRPr="00EC7A8D">
          <w:rPr>
            <w:rStyle w:val="Hyperlink"/>
            <w:rFonts w:ascii="Times New Roman" w:hAnsi="Times New Roman"/>
          </w:rPr>
          <w:t>3.2.4.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Clarifications on the scope of some specific exposure classes referred to in Article 112 of Regulation (EU) No 575/2013</w:t>
        </w:r>
      </w:hyperlink>
    </w:p>
    <w:p w14:paraId="5CEA56F6" w14:textId="09154D40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0" w:history="1">
        <w:r w:rsidR="004861D3" w:rsidRPr="00EC7A8D">
          <w:rPr>
            <w:rStyle w:val="Hyperlink"/>
            <w:rFonts w:ascii="Times New Roman" w:hAnsi="Times New Roman"/>
          </w:rPr>
          <w:t>3.2.4.1.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Exposure Class “Institutions”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516F356" w14:textId="7E68F99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1" w:history="1">
        <w:r w:rsidR="004861D3" w:rsidRPr="00EC7A8D">
          <w:rPr>
            <w:rStyle w:val="Hyperlink"/>
            <w:rFonts w:ascii="Times New Roman" w:hAnsi="Times New Roman"/>
          </w:rPr>
          <w:t>3.2.4.2.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Exposure Class “Covered Bonds”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C81E728" w14:textId="65EDBB2F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2" w:history="1">
        <w:r w:rsidR="004861D3" w:rsidRPr="00EC7A8D">
          <w:rPr>
            <w:rStyle w:val="Hyperlink"/>
            <w:rFonts w:ascii="Times New Roman" w:hAnsi="Times New Roman"/>
          </w:rPr>
          <w:t>3.2.4.3.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Exposure class “Collective Investment Undertakings”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E8DDD39" w14:textId="3F62CE92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3" w:history="1">
        <w:r w:rsidR="004861D3" w:rsidRPr="00EC7A8D">
          <w:rPr>
            <w:rStyle w:val="Hyperlink"/>
            <w:rFonts w:ascii="Times New Roman" w:hAnsi="Times New Roman"/>
          </w:rPr>
          <w:t>3.2.5.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36C9891" w14:textId="463D794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4" w:history="1">
        <w:r w:rsidR="004861D3" w:rsidRPr="00EC7A8D">
          <w:rPr>
            <w:rStyle w:val="Hyperlink"/>
            <w:rFonts w:ascii="Times New Roman" w:hAnsi="Times New Roman"/>
          </w:rPr>
          <w:t>3.3.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Credit and counterparty credit risks and free deliveries: IRB approach to Own funds Requirements (CR IRB)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825C9BE" w14:textId="3813DFA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5" w:history="1">
        <w:r w:rsidR="004861D3" w:rsidRPr="00EC7A8D">
          <w:rPr>
            <w:rStyle w:val="Hyperlink"/>
            <w:rFonts w:ascii="Times New Roman" w:hAnsi="Times New Roman"/>
          </w:rPr>
          <w:t>3.3.1.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Scope of the CR IRB template</w:t>
        </w:r>
      </w:hyperlink>
    </w:p>
    <w:p w14:paraId="1CB95A6A" w14:textId="036440BA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6" w:history="1">
        <w:r w:rsidR="004861D3" w:rsidRPr="00EC7A8D">
          <w:rPr>
            <w:rStyle w:val="Hyperlink"/>
            <w:rFonts w:ascii="Times New Roman" w:hAnsi="Times New Roman"/>
          </w:rPr>
          <w:t>3.3.2.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Breakdown of the CR IRB template</w:t>
        </w:r>
      </w:hyperlink>
    </w:p>
    <w:p w14:paraId="0DCE4690" w14:textId="6B5051EF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7" w:history="1">
        <w:r w:rsidR="004861D3" w:rsidRPr="00EC7A8D">
          <w:rPr>
            <w:rStyle w:val="Hyperlink"/>
            <w:rFonts w:ascii="Times New Roman" w:hAnsi="Times New Roman"/>
          </w:rPr>
          <w:t>3.3.3.1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3D75C2AD" w14:textId="7FD00B5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8" w:history="1">
        <w:r w:rsidR="004861D3" w:rsidRPr="00EC7A8D">
          <w:rPr>
            <w:rStyle w:val="Hyperlink"/>
            <w:rFonts w:ascii="Times New Roman" w:hAnsi="Times New Roman"/>
          </w:rPr>
          <w:t>3.3.4.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08.02 - Credit and counterparty credit risks and free deliveries: IRB approach to capital requirements: breakdown by obligor grades or pools (CR IRB 2 template)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69BA41CF" w14:textId="0141DEB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9" w:history="1">
        <w:r w:rsidR="004861D3" w:rsidRPr="00EC7A8D">
          <w:rPr>
            <w:rStyle w:val="Hyperlink"/>
            <w:rFonts w:ascii="Times New Roman" w:hAnsi="Times New Roman"/>
          </w:rPr>
          <w:t>3.3.1.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08.03 - Credit risk and free deliveries: IRB approach to Capital Requirements (breakdown by PD ranges (CR IRB 3))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97B8FAC" w14:textId="7AF5B3EE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0" w:history="1">
        <w:r w:rsidR="004861D3" w:rsidRPr="00EC7A8D">
          <w:rPr>
            <w:rStyle w:val="Hyperlink"/>
            <w:rFonts w:ascii="Times New Roman" w:hAnsi="Times New Roman"/>
          </w:rPr>
          <w:t>3.3.1.1.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04437B6D" w14:textId="0055E9C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1" w:history="1">
        <w:r w:rsidR="004861D3" w:rsidRPr="00EC7A8D">
          <w:rPr>
            <w:rStyle w:val="Hyperlink"/>
            <w:rFonts w:ascii="Times New Roman" w:hAnsi="Times New Roman"/>
          </w:rPr>
          <w:t>3.3.1.2.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BE2B215" w14:textId="7B978F00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2" w:history="1">
        <w:r w:rsidR="004861D3" w:rsidRPr="00EC7A8D">
          <w:rPr>
            <w:rStyle w:val="Hyperlink"/>
            <w:rFonts w:ascii="Times New Roman" w:hAnsi="Times New Roman"/>
          </w:rPr>
          <w:t>3.3.2.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08.04 - Credit risk and free deliveries: IRB approach to Capital Requirements (RWEA flow statements (CR IRB 4))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2D68CEC" w14:textId="16943B9E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3" w:history="1">
        <w:r w:rsidR="004861D3" w:rsidRPr="00EC7A8D">
          <w:rPr>
            <w:rStyle w:val="Hyperlink"/>
            <w:rFonts w:ascii="Times New Roman" w:hAnsi="Times New Roman"/>
          </w:rPr>
          <w:t>3.3.2.1.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BE90389" w14:textId="0774600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4" w:history="1">
        <w:r w:rsidR="004861D3" w:rsidRPr="00EC7A8D">
          <w:rPr>
            <w:rStyle w:val="Hyperlink"/>
            <w:rFonts w:ascii="Times New Roman" w:hAnsi="Times New Roman"/>
          </w:rPr>
          <w:t>3.3.2.2.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5399BBF" w14:textId="338B70D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5" w:history="1">
        <w:r w:rsidR="004861D3" w:rsidRPr="00EC7A8D">
          <w:rPr>
            <w:rStyle w:val="Hyperlink"/>
            <w:rFonts w:ascii="Times New Roman" w:hAnsi="Times New Roman"/>
          </w:rPr>
          <w:t>3.3.3.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08.05 - Credit risk and free deliveries: IRB approach to Capital Requirements (Back-testing of PD (CR IRB 5))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6E18EDB0" w14:textId="5EB5B16E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6" w:history="1">
        <w:r w:rsidR="004861D3" w:rsidRPr="00EC7A8D">
          <w:rPr>
            <w:rStyle w:val="Hyperlink"/>
            <w:rFonts w:ascii="Times New Roman" w:hAnsi="Times New Roman"/>
          </w:rPr>
          <w:t>3.3.3.1.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4D636A14" w14:textId="02826051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7" w:history="1">
        <w:r w:rsidR="004861D3" w:rsidRPr="00EC7A8D">
          <w:rPr>
            <w:rStyle w:val="Hyperlink"/>
            <w:rFonts w:ascii="Times New Roman" w:hAnsi="Times New Roman"/>
          </w:rPr>
          <w:t>3.3.3.2.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9E965E4" w14:textId="55CF0868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8" w:history="1">
        <w:r w:rsidR="004861D3" w:rsidRPr="00EC7A8D">
          <w:rPr>
            <w:rStyle w:val="Hyperlink"/>
            <w:rFonts w:ascii="Times New Roman" w:hAnsi="Times New Roman"/>
          </w:rPr>
          <w:t>3.3.4.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08.05.1 - Credit risk and free deliveries: IRB approach to Capital Requirements: Back-testing of PD in accordance with Article 180(1), point (f), of Regulation (EU) No 575/2013 (CR IRB 5B)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9F6D9DC" w14:textId="26EEAD2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9" w:history="1">
        <w:r w:rsidR="004861D3" w:rsidRPr="00EC7A8D">
          <w:rPr>
            <w:rStyle w:val="Hyperlink"/>
            <w:rFonts w:ascii="Times New Roman" w:hAnsi="Times New Roman"/>
          </w:rPr>
          <w:t>3.3.4.1.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5E10947A" w14:textId="46AE4736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0" w:history="1">
        <w:r w:rsidR="004861D3" w:rsidRPr="00EC7A8D">
          <w:rPr>
            <w:rStyle w:val="Hyperlink"/>
            <w:rFonts w:ascii="Times New Roman" w:hAnsi="Times New Roman"/>
          </w:rPr>
          <w:t>3.3.5.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08.06 - Credit risk and free deliveries: IRB approach to Capital Requirements (Specialised lending slotting approach (CR IRB 6))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D1CF811" w14:textId="15670FE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1" w:history="1">
        <w:r w:rsidR="004861D3" w:rsidRPr="00EC7A8D">
          <w:rPr>
            <w:rStyle w:val="Hyperlink"/>
            <w:rFonts w:ascii="Times New Roman" w:hAnsi="Times New Roman"/>
          </w:rPr>
          <w:t>3.3.5.1.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1B6585A9" w14:textId="0C89FF8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2" w:history="1">
        <w:r w:rsidR="004861D3" w:rsidRPr="00EC7A8D">
          <w:rPr>
            <w:rStyle w:val="Hyperlink"/>
            <w:rFonts w:ascii="Times New Roman" w:hAnsi="Times New Roman"/>
          </w:rPr>
          <w:t>3.3.5.2.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0C563F0" w14:textId="010088BA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3" w:history="1">
        <w:r w:rsidR="004861D3" w:rsidRPr="00EC7A8D">
          <w:rPr>
            <w:rStyle w:val="Hyperlink"/>
            <w:rFonts w:ascii="Times New Roman" w:hAnsi="Times New Roman"/>
          </w:rPr>
          <w:t>3.3.6.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08.07 - Credit risk and free deliveries: IRB approach to Capital Requirements (Scope of use of IRB and SA approaches (CR IRB 7))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F97A2DD" w14:textId="0BF67E8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4" w:history="1">
        <w:r w:rsidR="004861D3" w:rsidRPr="00EC7A8D">
          <w:rPr>
            <w:rStyle w:val="Hyperlink"/>
            <w:rFonts w:ascii="Times New Roman" w:hAnsi="Times New Roman"/>
          </w:rPr>
          <w:t>3.3.6.1.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074FC65D" w14:textId="29DC8567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5" w:history="1">
        <w:r w:rsidR="004861D3" w:rsidRPr="00EC7A8D">
          <w:rPr>
            <w:rStyle w:val="Hyperlink"/>
            <w:rFonts w:ascii="Times New Roman" w:hAnsi="Times New Roman"/>
          </w:rPr>
          <w:t>3.3.6.2.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1A799B9B" w14:textId="13A7DD2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6" w:history="1">
        <w:r w:rsidR="004861D3" w:rsidRPr="00EC7A8D">
          <w:rPr>
            <w:rStyle w:val="Hyperlink"/>
            <w:rFonts w:ascii="Times New Roman" w:hAnsi="Times New Roman"/>
          </w:rPr>
          <w:t>3.4.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Credit and counterparty credit risks and free deliveries: Information with geographical breakdown</w:t>
        </w:r>
      </w:hyperlink>
    </w:p>
    <w:p w14:paraId="4653372A" w14:textId="43FB1D82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7" w:history="1">
        <w:r w:rsidR="004861D3" w:rsidRPr="00EC7A8D">
          <w:rPr>
            <w:rStyle w:val="Hyperlink"/>
            <w:rFonts w:ascii="Times New Roman" w:hAnsi="Times New Roman"/>
          </w:rPr>
          <w:t>3.4.1.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09.01 – Geographical breakdown of exposures by residence of the obligor: SA exposures (CR GB 1)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1782665" w14:textId="3873746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8" w:history="1">
        <w:r w:rsidR="004861D3" w:rsidRPr="00EC7A8D">
          <w:rPr>
            <w:rStyle w:val="Hyperlink"/>
            <w:rFonts w:ascii="Times New Roman" w:hAnsi="Times New Roman"/>
          </w:rPr>
          <w:t>3.4.1.1.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965A5E3" w14:textId="54721A9A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9" w:history="1">
        <w:r w:rsidR="004861D3" w:rsidRPr="00EC7A8D">
          <w:rPr>
            <w:rStyle w:val="Hyperlink"/>
            <w:rFonts w:ascii="Times New Roman" w:hAnsi="Times New Roman"/>
          </w:rPr>
          <w:t>3.4.2.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09.02 – Geographical breakdown of exposures by residence of the obligor: IRB exposures (CR GB 2)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B99F452" w14:textId="504CAEAE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0" w:history="1">
        <w:r w:rsidR="004861D3" w:rsidRPr="00EC7A8D">
          <w:rPr>
            <w:rStyle w:val="Hyperlink"/>
            <w:rFonts w:ascii="Times New Roman" w:hAnsi="Times New Roman"/>
          </w:rPr>
          <w:t>3.4.2.1.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C3EC0BB" w14:textId="2E06A74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1" w:history="1">
        <w:r w:rsidR="004861D3" w:rsidRPr="00EC7A8D">
          <w:rPr>
            <w:rStyle w:val="Hyperlink"/>
            <w:rFonts w:ascii="Times New Roman" w:hAnsi="Times New Roman"/>
          </w:rPr>
          <w:t>3.4.3.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09.04 – Breakdown of credit exposures relevant for the calculation of the countercyclical buffer by country and institution-specific countercyclical buffer rate (CCB)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E74C90F" w14:textId="5C4C9142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2" w:history="1">
        <w:r w:rsidR="004861D3" w:rsidRPr="00EC7A8D">
          <w:rPr>
            <w:rStyle w:val="Hyperlink"/>
            <w:rFonts w:ascii="Times New Roman" w:hAnsi="Times New Roman"/>
          </w:rPr>
          <w:t>3.4.3.1.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152197F" w14:textId="53937DC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3" w:history="1">
        <w:r w:rsidR="004861D3" w:rsidRPr="00EC7A8D">
          <w:rPr>
            <w:rStyle w:val="Hyperlink"/>
            <w:rFonts w:ascii="Times New Roman" w:hAnsi="Times New Roman"/>
          </w:rPr>
          <w:t>3.4.3.2.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5A8D6D4" w14:textId="72D43F76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4" w:history="1">
        <w:r w:rsidR="004861D3" w:rsidRPr="00EC7A8D">
          <w:rPr>
            <w:rStyle w:val="Hyperlink"/>
            <w:rFonts w:ascii="Times New Roman" w:hAnsi="Times New Roman"/>
          </w:rPr>
          <w:t>3.5a. C 10.00 – Credit and counterparty credit risks and free deliveries: IRB exposures subject to output floor</w:t>
        </w:r>
      </w:hyperlink>
    </w:p>
    <w:p w14:paraId="19467DFA" w14:textId="15A4EAE6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5" w:history="1">
        <w:r w:rsidR="004861D3" w:rsidRPr="00EC7A8D">
          <w:rPr>
            <w:rStyle w:val="Hyperlink"/>
            <w:rFonts w:ascii="Times New Roman" w:hAnsi="Times New Roman"/>
          </w:rPr>
          <w:t>3.5a.1. General remarks</w:t>
        </w:r>
      </w:hyperlink>
    </w:p>
    <w:p w14:paraId="405B9612" w14:textId="64B883C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6" w:history="1">
        <w:r w:rsidR="004861D3" w:rsidRPr="00EC7A8D">
          <w:rPr>
            <w:rStyle w:val="Hyperlink"/>
            <w:rFonts w:ascii="Times New Roman" w:hAnsi="Times New Roman"/>
          </w:rPr>
          <w:t>3.5a.2. Instructions concerning specific positions</w:t>
        </w:r>
      </w:hyperlink>
    </w:p>
    <w:p w14:paraId="1498F780" w14:textId="639BA291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7" w:history="1">
        <w:r w:rsidR="004861D3" w:rsidRPr="00EC7A8D">
          <w:rPr>
            <w:rStyle w:val="Hyperlink"/>
            <w:rFonts w:ascii="Times New Roman" w:hAnsi="Times New Roman"/>
          </w:rPr>
          <w:t>3.5.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10.01 and C 10.02 – Equity exposures under the internal ratings based approach (CR EQU IRB 1 and CR EQU IRB 2)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B5B9D80" w14:textId="01CB282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8" w:history="1">
        <w:r w:rsidR="004861D3" w:rsidRPr="00EC7A8D">
          <w:rPr>
            <w:rStyle w:val="Hyperlink"/>
            <w:rFonts w:ascii="Times New Roman" w:hAnsi="Times New Roman"/>
          </w:rPr>
          <w:t>3.5.1.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14B61397" w14:textId="02B2008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9" w:history="1">
        <w:r w:rsidR="004861D3" w:rsidRPr="00EC7A8D">
          <w:rPr>
            <w:rStyle w:val="Hyperlink"/>
            <w:rFonts w:ascii="Times New Roman" w:hAnsi="Times New Roman"/>
          </w:rPr>
          <w:t>3.5.2.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 (applicable to both CR EQU IRB 1 and CR EQU IRB 2)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81A4466" w14:textId="516F5EA7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0" w:history="1">
        <w:r w:rsidR="004861D3" w:rsidRPr="00EC7A8D">
          <w:rPr>
            <w:rStyle w:val="Hyperlink"/>
            <w:rFonts w:ascii="Times New Roman" w:hAnsi="Times New Roman"/>
          </w:rPr>
          <w:t>3.6.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11.00 – Settlement/Delivery Risk (CR SETT)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2BECDE8" w14:textId="6F14CA5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1" w:history="1">
        <w:r w:rsidR="004861D3" w:rsidRPr="00EC7A8D">
          <w:rPr>
            <w:rStyle w:val="Hyperlink"/>
            <w:rFonts w:ascii="Times New Roman" w:hAnsi="Times New Roman"/>
          </w:rPr>
          <w:t>3.6.1.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CEDF062" w14:textId="012E7A41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2" w:history="1">
        <w:r w:rsidR="004861D3" w:rsidRPr="00EC7A8D">
          <w:rPr>
            <w:rStyle w:val="Hyperlink"/>
            <w:rFonts w:ascii="Times New Roman" w:hAnsi="Times New Roman"/>
          </w:rPr>
          <w:t>3.6.2.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F2BB4CC" w14:textId="18B209C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3" w:history="1">
        <w:r w:rsidR="004861D3" w:rsidRPr="00EC7A8D">
          <w:rPr>
            <w:rStyle w:val="Hyperlink"/>
            <w:rFonts w:ascii="Times New Roman" w:hAnsi="Times New Roman"/>
          </w:rPr>
          <w:t>3.7.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13.01 - Credit Risk – Securitisations (CR SEC)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AC3BDBE" w14:textId="29C11430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4" w:history="1">
        <w:r w:rsidR="004861D3" w:rsidRPr="00EC7A8D">
          <w:rPr>
            <w:rStyle w:val="Hyperlink"/>
            <w:rFonts w:ascii="Times New Roman" w:hAnsi="Times New Roman"/>
          </w:rPr>
          <w:t>3.7.1.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252EE60" w14:textId="16BE9E06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5" w:history="1">
        <w:r w:rsidR="004861D3" w:rsidRPr="00EC7A8D">
          <w:rPr>
            <w:rStyle w:val="Hyperlink"/>
            <w:rFonts w:ascii="Times New Roman" w:hAnsi="Times New Roman"/>
          </w:rPr>
          <w:t>3.7.2.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28FB63D" w14:textId="49A9EB8F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6" w:history="1">
        <w:r w:rsidR="004861D3" w:rsidRPr="00EC7A8D">
          <w:rPr>
            <w:rStyle w:val="Hyperlink"/>
            <w:rFonts w:ascii="Times New Roman" w:hAnsi="Times New Roman"/>
          </w:rPr>
          <w:t>3.8.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Detailed information on securitisations (SEC DETAILS)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E4F0212" w14:textId="1D028528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7" w:history="1">
        <w:r w:rsidR="004861D3" w:rsidRPr="00EC7A8D">
          <w:rPr>
            <w:rStyle w:val="Hyperlink"/>
            <w:rFonts w:ascii="Times New Roman" w:hAnsi="Times New Roman"/>
          </w:rPr>
          <w:t>3.8.1.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Scope of the SEC DETAILS template</w:t>
        </w:r>
      </w:hyperlink>
    </w:p>
    <w:p w14:paraId="380F6A6B" w14:textId="0DE81F3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8" w:history="1">
        <w:r w:rsidR="004861D3" w:rsidRPr="00EC7A8D">
          <w:rPr>
            <w:rStyle w:val="Hyperlink"/>
            <w:rFonts w:ascii="Times New Roman" w:hAnsi="Times New Roman"/>
          </w:rPr>
          <w:t>3.8.2 Breakdown of the SEC DETAILS template</w:t>
        </w:r>
      </w:hyperlink>
    </w:p>
    <w:p w14:paraId="42726AB4" w14:textId="64899A0F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9" w:history="1">
        <w:r w:rsidR="004861D3" w:rsidRPr="00EC7A8D">
          <w:rPr>
            <w:rStyle w:val="Hyperlink"/>
            <w:rFonts w:ascii="Times New Roman" w:hAnsi="Times New Roman"/>
          </w:rPr>
          <w:t>3.8.3 C 14.00 – Detailed information on securitisations (SEC DETAILS)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A746172" w14:textId="1F99F80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0" w:history="1">
        <w:r w:rsidR="004861D3" w:rsidRPr="00EC7A8D">
          <w:rPr>
            <w:rStyle w:val="Hyperlink"/>
            <w:rFonts w:ascii="Times New Roman" w:hAnsi="Times New Roman"/>
          </w:rPr>
          <w:t>3.8.4.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14.01 – Detailed information on securitisations (SEC DETAILS 2)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DCB1507" w14:textId="393D200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1" w:history="1">
        <w:r w:rsidR="004861D3" w:rsidRPr="00EC7A8D">
          <w:rPr>
            <w:rStyle w:val="Hyperlink"/>
            <w:rFonts w:ascii="Times New Roman" w:hAnsi="Times New Roman"/>
          </w:rPr>
          <w:t>3.9.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Counterparty Credit Risk</w:t>
        </w:r>
      </w:hyperlink>
    </w:p>
    <w:p w14:paraId="12F27361" w14:textId="0E143B8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2" w:history="1">
        <w:r w:rsidR="004861D3" w:rsidRPr="00EC7A8D">
          <w:rPr>
            <w:rStyle w:val="Hyperlink"/>
            <w:rFonts w:ascii="Times New Roman" w:hAnsi="Times New Roman"/>
          </w:rPr>
          <w:t>3.9.1.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Scope of the counterparty credit risk templates</w:t>
        </w:r>
      </w:hyperlink>
    </w:p>
    <w:p w14:paraId="7A410ECD" w14:textId="78346BB0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3" w:history="1">
        <w:r w:rsidR="004861D3" w:rsidRPr="00EC7A8D">
          <w:rPr>
            <w:rStyle w:val="Hyperlink"/>
            <w:rFonts w:ascii="Times New Roman" w:hAnsi="Times New Roman"/>
          </w:rPr>
          <w:t>3.9.2.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34.01 - Size of the derivative business</w:t>
        </w:r>
      </w:hyperlink>
    </w:p>
    <w:p w14:paraId="2CE1C203" w14:textId="20FB1587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4" w:history="1">
        <w:r w:rsidR="004861D3" w:rsidRPr="00EC7A8D">
          <w:rPr>
            <w:rStyle w:val="Hyperlink"/>
            <w:rFonts w:ascii="Times New Roman" w:hAnsi="Times New Roman"/>
          </w:rPr>
          <w:t>3.9.2.1.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BDCCA86" w14:textId="28535BF2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5" w:history="1">
        <w:r w:rsidR="004861D3" w:rsidRPr="00EC7A8D">
          <w:rPr>
            <w:rStyle w:val="Hyperlink"/>
            <w:rFonts w:ascii="Times New Roman" w:hAnsi="Times New Roman"/>
          </w:rPr>
          <w:t>3.9.2.2.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105263EE" w14:textId="6E6EB64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6" w:history="1">
        <w:r w:rsidR="004861D3" w:rsidRPr="00EC7A8D">
          <w:rPr>
            <w:rStyle w:val="Hyperlink"/>
            <w:rFonts w:ascii="Times New Roman" w:hAnsi="Times New Roman"/>
          </w:rPr>
          <w:t>3.9.3.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34.02 - CCR exposures by approach</w:t>
        </w:r>
      </w:hyperlink>
    </w:p>
    <w:p w14:paraId="43D04EA5" w14:textId="6AD4528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7" w:history="1">
        <w:r w:rsidR="004861D3" w:rsidRPr="00EC7A8D">
          <w:rPr>
            <w:rStyle w:val="Hyperlink"/>
            <w:rFonts w:ascii="Times New Roman" w:hAnsi="Times New Roman"/>
          </w:rPr>
          <w:t>3.9.3.1.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965D7B9" w14:textId="35D5EC3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8" w:history="1">
        <w:r w:rsidR="004861D3" w:rsidRPr="00EC7A8D">
          <w:rPr>
            <w:rStyle w:val="Hyperlink"/>
            <w:rFonts w:ascii="Times New Roman" w:hAnsi="Times New Roman"/>
          </w:rPr>
          <w:t>3.9.3.2.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311AE7F" w14:textId="3C918631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9" w:history="1">
        <w:r w:rsidR="004861D3" w:rsidRPr="00EC7A8D">
          <w:rPr>
            <w:rStyle w:val="Hyperlink"/>
            <w:rFonts w:ascii="Times New Roman" w:hAnsi="Times New Roman"/>
          </w:rPr>
          <w:t>3.9.4.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34.03 - CCR exposures treated with standardised approaches: SA-CCR and Simplified SA-CCR</w:t>
        </w:r>
      </w:hyperlink>
    </w:p>
    <w:p w14:paraId="18601342" w14:textId="523E56B7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0" w:history="1">
        <w:r w:rsidR="004861D3" w:rsidRPr="00EC7A8D">
          <w:rPr>
            <w:rStyle w:val="Hyperlink"/>
            <w:rFonts w:ascii="Times New Roman" w:hAnsi="Times New Roman"/>
          </w:rPr>
          <w:t>3.9.4.1.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8CF8BA4" w14:textId="53FDFF77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1" w:history="1">
        <w:r w:rsidR="004861D3" w:rsidRPr="00EC7A8D">
          <w:rPr>
            <w:rStyle w:val="Hyperlink"/>
            <w:rFonts w:ascii="Times New Roman" w:hAnsi="Times New Roman"/>
          </w:rPr>
          <w:t>3.9.4.2.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D2CE30E" w14:textId="1AE811C2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2" w:history="1">
        <w:r w:rsidR="004861D3" w:rsidRPr="00EC7A8D">
          <w:rPr>
            <w:rStyle w:val="Hyperlink"/>
            <w:rFonts w:ascii="Times New Roman" w:hAnsi="Times New Roman"/>
          </w:rPr>
          <w:t>3.9.5.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34.04 - CCR exposures treated with the Original Exposure Method (OEM)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E0F46B6" w14:textId="407AD30F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3" w:history="1">
        <w:r w:rsidR="004861D3" w:rsidRPr="00EC7A8D">
          <w:rPr>
            <w:rStyle w:val="Hyperlink"/>
            <w:rFonts w:ascii="Times New Roman" w:hAnsi="Times New Roman"/>
          </w:rPr>
          <w:t>3.9.5.1.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B18778D" w14:textId="3C1D05F8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4" w:history="1">
        <w:r w:rsidR="004861D3" w:rsidRPr="00EC7A8D">
          <w:rPr>
            <w:rStyle w:val="Hyperlink"/>
            <w:rFonts w:ascii="Times New Roman" w:hAnsi="Times New Roman"/>
          </w:rPr>
          <w:t>3.9.6.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34.05 – CCR exposures treated with the Internal Model Method (IMM)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4AF4857" w14:textId="487D6B3E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5" w:history="1">
        <w:r w:rsidR="004861D3" w:rsidRPr="00EC7A8D">
          <w:rPr>
            <w:rStyle w:val="Hyperlink"/>
            <w:rFonts w:ascii="Times New Roman" w:hAnsi="Times New Roman"/>
          </w:rPr>
          <w:t>3.9.6.1.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3773602" w14:textId="0EF0D73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6" w:history="1">
        <w:r w:rsidR="004861D3" w:rsidRPr="00EC7A8D">
          <w:rPr>
            <w:rStyle w:val="Hyperlink"/>
            <w:rFonts w:ascii="Times New Roman" w:hAnsi="Times New Roman"/>
          </w:rPr>
          <w:t>3.9.7.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34.06 – Top twenty counterparties</w:t>
        </w:r>
      </w:hyperlink>
    </w:p>
    <w:p w14:paraId="0F5F9CB5" w14:textId="483AB2F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7" w:history="1">
        <w:r w:rsidR="004861D3" w:rsidRPr="00EC7A8D">
          <w:rPr>
            <w:rStyle w:val="Hyperlink"/>
            <w:rFonts w:ascii="Times New Roman" w:hAnsi="Times New Roman"/>
          </w:rPr>
          <w:t>3.9.7.1.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20B8526" w14:textId="027471B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8" w:history="1">
        <w:r w:rsidR="004861D3" w:rsidRPr="00EC7A8D">
          <w:rPr>
            <w:rStyle w:val="Hyperlink"/>
            <w:rFonts w:ascii="Times New Roman" w:hAnsi="Times New Roman"/>
          </w:rPr>
          <w:t>3.9.7.2.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EFFE1E3" w14:textId="5B1652D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9" w:history="1">
        <w:r w:rsidR="004861D3" w:rsidRPr="00EC7A8D">
          <w:rPr>
            <w:rStyle w:val="Hyperlink"/>
            <w:rFonts w:ascii="Times New Roman" w:hAnsi="Times New Roman"/>
          </w:rPr>
          <w:t>3.9.8.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34.07 - IRB approach – CCR exposures by exposure class and PD scale</w:t>
        </w:r>
      </w:hyperlink>
    </w:p>
    <w:p w14:paraId="6989AE8F" w14:textId="0210D70A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0" w:history="1">
        <w:r w:rsidR="004861D3" w:rsidRPr="00EC7A8D">
          <w:rPr>
            <w:rStyle w:val="Hyperlink"/>
            <w:rFonts w:ascii="Times New Roman" w:hAnsi="Times New Roman"/>
          </w:rPr>
          <w:t>3.9.8.1.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1FA8FC5" w14:textId="67855B6A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1" w:history="1">
        <w:r w:rsidR="004861D3" w:rsidRPr="00EC7A8D">
          <w:rPr>
            <w:rStyle w:val="Hyperlink"/>
            <w:rFonts w:ascii="Times New Roman" w:hAnsi="Times New Roman"/>
          </w:rPr>
          <w:t>3.9.8.2.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46A6104" w14:textId="28CD5011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2" w:history="1">
        <w:r w:rsidR="004861D3" w:rsidRPr="00EC7A8D">
          <w:rPr>
            <w:rStyle w:val="Hyperlink"/>
            <w:rFonts w:ascii="Times New Roman" w:hAnsi="Times New Roman"/>
          </w:rPr>
          <w:t>3.9.9.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34.08 - Composition of collateral for CCR exposures</w:t>
        </w:r>
      </w:hyperlink>
    </w:p>
    <w:p w14:paraId="6018B83C" w14:textId="3BEDB1DD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3" w:history="1">
        <w:r w:rsidR="004861D3" w:rsidRPr="00EC7A8D">
          <w:rPr>
            <w:rStyle w:val="Hyperlink"/>
            <w:rFonts w:ascii="Times New Roman" w:hAnsi="Times New Roman"/>
          </w:rPr>
          <w:t>3.9.9.1.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F60B136" w14:textId="67B8E9C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4" w:history="1">
        <w:r w:rsidR="004861D3" w:rsidRPr="00EC7A8D">
          <w:rPr>
            <w:rStyle w:val="Hyperlink"/>
            <w:rFonts w:ascii="Times New Roman" w:hAnsi="Times New Roman"/>
          </w:rPr>
          <w:t>3.9.9.2.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B7B2F2C" w14:textId="09BB0B9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5" w:history="1">
        <w:r w:rsidR="004861D3" w:rsidRPr="00EC7A8D">
          <w:rPr>
            <w:rStyle w:val="Hyperlink"/>
            <w:rFonts w:ascii="Times New Roman" w:hAnsi="Times New Roman"/>
          </w:rPr>
          <w:t>3.9.10.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34.09 - Credit derivatives exposures</w:t>
        </w:r>
      </w:hyperlink>
    </w:p>
    <w:p w14:paraId="2FCD7A8F" w14:textId="7708052A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6" w:history="1">
        <w:r w:rsidR="004861D3" w:rsidRPr="00EC7A8D">
          <w:rPr>
            <w:rStyle w:val="Hyperlink"/>
            <w:rFonts w:ascii="Times New Roman" w:hAnsi="Times New Roman"/>
          </w:rPr>
          <w:t>3.9.10.1.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8E3960A" w14:textId="3D9ACF1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7" w:history="1">
        <w:r w:rsidR="004861D3" w:rsidRPr="00EC7A8D">
          <w:rPr>
            <w:rStyle w:val="Hyperlink"/>
            <w:rFonts w:ascii="Times New Roman" w:hAnsi="Times New Roman"/>
          </w:rPr>
          <w:t>3.9.11.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34.10 - Exposures to CCPs</w:t>
        </w:r>
      </w:hyperlink>
    </w:p>
    <w:p w14:paraId="4DFFF285" w14:textId="7D9E511D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8" w:history="1">
        <w:r w:rsidR="004861D3" w:rsidRPr="00EC7A8D">
          <w:rPr>
            <w:rStyle w:val="Hyperlink"/>
            <w:rFonts w:ascii="Times New Roman" w:hAnsi="Times New Roman"/>
          </w:rPr>
          <w:t>3.9.11.1.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F07BFF1" w14:textId="67ECAC6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9" w:history="1">
        <w:r w:rsidR="004861D3" w:rsidRPr="00EC7A8D">
          <w:rPr>
            <w:rStyle w:val="Hyperlink"/>
            <w:rFonts w:ascii="Times New Roman" w:hAnsi="Times New Roman"/>
          </w:rPr>
          <w:t>3.9.11.2.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175B6269" w14:textId="1C75A2A1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0" w:history="1">
        <w:r w:rsidR="004861D3" w:rsidRPr="00EC7A8D">
          <w:rPr>
            <w:rStyle w:val="Hyperlink"/>
            <w:rFonts w:ascii="Times New Roman" w:hAnsi="Times New Roman"/>
          </w:rPr>
          <w:t>3.9.12.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34.11 - Risk weighted exposure amounts (RWEA) flow statements of CCR exposures under the IMM</w:t>
        </w:r>
      </w:hyperlink>
    </w:p>
    <w:p w14:paraId="27DB1250" w14:textId="08B17F8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1" w:history="1">
        <w:r w:rsidR="004861D3" w:rsidRPr="00EC7A8D">
          <w:rPr>
            <w:rStyle w:val="Hyperlink"/>
            <w:rFonts w:ascii="Times New Roman" w:hAnsi="Times New Roman"/>
          </w:rPr>
          <w:t>3.9.12.1.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1A5A5B6F" w14:textId="78A262B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2" w:history="1">
        <w:r w:rsidR="004861D3" w:rsidRPr="00EC7A8D">
          <w:rPr>
            <w:rStyle w:val="Hyperlink"/>
            <w:rFonts w:ascii="Times New Roman" w:hAnsi="Times New Roman"/>
          </w:rPr>
          <w:t>3.9.12.2.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17727909" w14:textId="722B0D1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3" w:history="1">
        <w:r w:rsidR="004861D3" w:rsidRPr="00EC7A8D">
          <w:rPr>
            <w:rStyle w:val="Hyperlink"/>
            <w:rFonts w:ascii="Times New Roman" w:hAnsi="Times New Roman"/>
          </w:rPr>
          <w:t>4.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Operational Risk Templates</w:t>
        </w:r>
      </w:hyperlink>
    </w:p>
    <w:p w14:paraId="1D99FB3B" w14:textId="7F8D7E16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4" w:history="1">
        <w:r w:rsidR="004861D3" w:rsidRPr="00EC7A8D">
          <w:rPr>
            <w:rStyle w:val="Hyperlink"/>
            <w:rFonts w:ascii="Times New Roman" w:hAnsi="Times New Roman"/>
          </w:rPr>
          <w:t>4.1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 xml:space="preserve"> C 16.00 – Operational Risk (OPR)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747B950" w14:textId="5D7DC35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5" w:history="1">
        <w:r w:rsidR="004861D3" w:rsidRPr="00EC7A8D">
          <w:rPr>
            <w:rStyle w:val="Hyperlink"/>
            <w:rFonts w:ascii="Times New Roman" w:hAnsi="Times New Roman"/>
          </w:rPr>
          <w:t>4.1.1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559CF25A" w14:textId="450B4C5F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6" w:history="1">
        <w:r w:rsidR="004861D3" w:rsidRPr="00EC7A8D">
          <w:rPr>
            <w:rStyle w:val="Hyperlink"/>
            <w:rFonts w:ascii="Times New Roman" w:hAnsi="Times New Roman"/>
          </w:rPr>
          <w:t>4.1.2.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10A3AB2" w14:textId="41F73DD1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7" w:history="1">
        <w:r w:rsidR="004861D3" w:rsidRPr="00EC7A8D">
          <w:rPr>
            <w:rStyle w:val="Hyperlink"/>
            <w:rFonts w:ascii="Times New Roman" w:hAnsi="Times New Roman"/>
          </w:rPr>
          <w:t>4.2.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Operational Risk: Detailed information on losses in the last year (OPR DETAILS)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07A6388" w14:textId="00C0388A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8" w:history="1">
        <w:r w:rsidR="004861D3" w:rsidRPr="00EC7A8D">
          <w:rPr>
            <w:rStyle w:val="Hyperlink"/>
            <w:rFonts w:ascii="Times New Roman" w:hAnsi="Times New Roman"/>
          </w:rPr>
          <w:t>4.2.1.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724919F8" w14:textId="3F7B859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9" w:history="1">
        <w:r w:rsidR="004861D3" w:rsidRPr="00EC7A8D">
          <w:rPr>
            <w:rStyle w:val="Hyperlink"/>
            <w:rFonts w:ascii="Times New Roman" w:hAnsi="Times New Roman"/>
          </w:rPr>
          <w:t>4.2.2.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17.01: Operational risk losses and recoveries by business lines and loss event types in the last year (OPR DETAILS 1)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97621F5" w14:textId="0F60309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0" w:history="1">
        <w:r w:rsidR="004861D3" w:rsidRPr="00EC7A8D">
          <w:rPr>
            <w:rStyle w:val="Hyperlink"/>
            <w:rFonts w:ascii="Times New Roman" w:hAnsi="Times New Roman"/>
          </w:rPr>
          <w:t>4.2.2.1.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4401A406" w14:textId="6A8F1D3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1" w:history="1">
        <w:r w:rsidR="004861D3" w:rsidRPr="00EC7A8D">
          <w:rPr>
            <w:rStyle w:val="Hyperlink"/>
            <w:rFonts w:ascii="Times New Roman" w:hAnsi="Times New Roman"/>
          </w:rPr>
          <w:t>4.2.2.2.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DFE42F0" w14:textId="18A41A3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2" w:history="1">
        <w:r w:rsidR="004861D3" w:rsidRPr="00EC7A8D">
          <w:rPr>
            <w:rStyle w:val="Hyperlink"/>
            <w:rFonts w:ascii="Times New Roman" w:hAnsi="Times New Roman"/>
          </w:rPr>
          <w:t>4.2.3.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17.02: Operational risk: Detailed information on the largest loss events in the last year (OPR DETAILS 2)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6E5AB2F9" w14:textId="25583F1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3" w:history="1">
        <w:r w:rsidR="004861D3" w:rsidRPr="00EC7A8D">
          <w:rPr>
            <w:rStyle w:val="Hyperlink"/>
            <w:rFonts w:ascii="Times New Roman" w:hAnsi="Times New Roman"/>
          </w:rPr>
          <w:t>4.2.3.1.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890E6BB" w14:textId="773AC9AF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4" w:history="1">
        <w:r w:rsidR="004861D3" w:rsidRPr="00EC7A8D">
          <w:rPr>
            <w:rStyle w:val="Hyperlink"/>
            <w:rFonts w:ascii="Times New Roman" w:hAnsi="Times New Roman"/>
          </w:rPr>
          <w:t>4.2.3.2.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59F0598A" w14:textId="6B17483A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5" w:history="1">
        <w:r w:rsidR="004861D3" w:rsidRPr="00EC7A8D">
          <w:rPr>
            <w:rStyle w:val="Hyperlink"/>
            <w:rFonts w:ascii="Times New Roman" w:hAnsi="Times New Roman"/>
          </w:rPr>
          <w:t>5.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Market Risk Templates</w:t>
        </w:r>
      </w:hyperlink>
    </w:p>
    <w:p w14:paraId="74A7F984" w14:textId="73F3CD48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6" w:history="1">
        <w:r w:rsidR="004861D3" w:rsidRPr="00EC7A8D">
          <w:rPr>
            <w:rStyle w:val="Hyperlink"/>
            <w:rFonts w:ascii="Times New Roman" w:hAnsi="Times New Roman"/>
          </w:rPr>
          <w:t>5.1.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18.00 – Market Risk: Standardised Approach for Position Risks in Traded Debt Instruments (MKR SA TDI)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6B1C3CDA" w14:textId="5E15A7DA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7" w:history="1">
        <w:r w:rsidR="004861D3" w:rsidRPr="00EC7A8D">
          <w:rPr>
            <w:rStyle w:val="Hyperlink"/>
            <w:rFonts w:ascii="Times New Roman" w:hAnsi="Times New Roman"/>
          </w:rPr>
          <w:t>5.1.1.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55779CC" w14:textId="7980D26D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8" w:history="1">
        <w:r w:rsidR="004861D3" w:rsidRPr="00EC7A8D">
          <w:rPr>
            <w:rStyle w:val="Hyperlink"/>
            <w:rFonts w:ascii="Times New Roman" w:hAnsi="Times New Roman"/>
          </w:rPr>
          <w:t>5.1.2.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7E851A9" w14:textId="1BA08E5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9" w:history="1">
        <w:r w:rsidR="004861D3" w:rsidRPr="00EC7A8D">
          <w:rPr>
            <w:rStyle w:val="Hyperlink"/>
            <w:rFonts w:ascii="Times New Roman" w:hAnsi="Times New Roman"/>
          </w:rPr>
          <w:t>5.2.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19.00 - MARKET RISK: STANDARDISED APPROACH FOR SPECIFIC RISK IN SECURITISATIONS (MKR SA SEC)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691B655" w14:textId="787AD91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0" w:history="1">
        <w:r w:rsidR="004861D3" w:rsidRPr="00EC7A8D">
          <w:rPr>
            <w:rStyle w:val="Hyperlink"/>
            <w:rFonts w:ascii="Times New Roman" w:hAnsi="Times New Roman"/>
          </w:rPr>
          <w:t>5.2.1.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F0CB11F" w14:textId="3DAB878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1" w:history="1">
        <w:r w:rsidR="004861D3" w:rsidRPr="00EC7A8D">
          <w:rPr>
            <w:rStyle w:val="Hyperlink"/>
            <w:rFonts w:ascii="Times New Roman" w:hAnsi="Times New Roman"/>
          </w:rPr>
          <w:t>5.2.2.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4F3CEB9" w14:textId="00865D07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2" w:history="1">
        <w:r w:rsidR="004861D3" w:rsidRPr="00EC7A8D">
          <w:rPr>
            <w:rStyle w:val="Hyperlink"/>
            <w:rFonts w:ascii="Times New Roman" w:hAnsi="Times New Roman"/>
          </w:rPr>
          <w:t>5.3.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20.00 - MARKET RISK: STANDARDISED APPROACH FOR SPECIFIC RISK FOR POSITIONS ASSIGNED TO THE CORRELATION TRADING PORTFOLIO (MKR SA CTP)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84E6E96" w14:textId="33D1571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3" w:history="1">
        <w:r w:rsidR="004861D3" w:rsidRPr="00EC7A8D">
          <w:rPr>
            <w:rStyle w:val="Hyperlink"/>
            <w:rFonts w:ascii="Times New Roman" w:hAnsi="Times New Roman"/>
          </w:rPr>
          <w:t>5.3.1.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73F57975" w14:textId="6743EC69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4" w:history="1">
        <w:r w:rsidR="004861D3" w:rsidRPr="00EC7A8D">
          <w:rPr>
            <w:rStyle w:val="Hyperlink"/>
            <w:rFonts w:ascii="Times New Roman" w:hAnsi="Times New Roman"/>
          </w:rPr>
          <w:t>5.3.2.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B417F35" w14:textId="740E64F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5" w:history="1">
        <w:r w:rsidR="004861D3" w:rsidRPr="00EC7A8D">
          <w:rPr>
            <w:rStyle w:val="Hyperlink"/>
            <w:rFonts w:ascii="Times New Roman" w:hAnsi="Times New Roman"/>
          </w:rPr>
          <w:t>5.4.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21.00 - Market Risk: Standardised Approach for Position Risk in Equities (MKR SA EQU)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AB9D7EB" w14:textId="35694EC7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6" w:history="1">
        <w:r w:rsidR="004861D3" w:rsidRPr="00EC7A8D">
          <w:rPr>
            <w:rStyle w:val="Hyperlink"/>
            <w:rFonts w:ascii="Times New Roman" w:hAnsi="Times New Roman"/>
          </w:rPr>
          <w:t>5.4.1.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169D06AD" w14:textId="5659283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7" w:history="1">
        <w:r w:rsidR="004861D3" w:rsidRPr="00EC7A8D">
          <w:rPr>
            <w:rStyle w:val="Hyperlink"/>
            <w:rFonts w:ascii="Times New Roman" w:hAnsi="Times New Roman"/>
          </w:rPr>
          <w:t>5.4.2.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115C615" w14:textId="56780B5F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8" w:history="1">
        <w:r w:rsidR="004861D3" w:rsidRPr="00EC7A8D">
          <w:rPr>
            <w:rStyle w:val="Hyperlink"/>
            <w:rFonts w:ascii="Times New Roman" w:hAnsi="Times New Roman"/>
          </w:rPr>
          <w:t>5.5.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22.00 - Market Risk: Standardised Approaches for Foreign Exchange Risk (MKR SA FX)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5B5CE60C" w14:textId="281212D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9" w:history="1">
        <w:r w:rsidR="004861D3" w:rsidRPr="00EC7A8D">
          <w:rPr>
            <w:rStyle w:val="Hyperlink"/>
            <w:rFonts w:ascii="Times New Roman" w:hAnsi="Times New Roman"/>
          </w:rPr>
          <w:t>5.5.1.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15F25312" w14:textId="3A213C46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0" w:history="1">
        <w:r w:rsidR="004861D3" w:rsidRPr="00EC7A8D">
          <w:rPr>
            <w:rStyle w:val="Hyperlink"/>
            <w:rFonts w:ascii="Times New Roman" w:hAnsi="Times New Roman"/>
          </w:rPr>
          <w:t>5.5.2.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C69A4EC" w14:textId="3C05808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1" w:history="1">
        <w:r w:rsidR="004861D3" w:rsidRPr="00EC7A8D">
          <w:rPr>
            <w:rStyle w:val="Hyperlink"/>
            <w:rFonts w:ascii="Times New Roman" w:hAnsi="Times New Roman"/>
          </w:rPr>
          <w:t>5.6.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23.00 - Market Risk: Standardised Approaches for Commodities (MKR SA COM)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BE89ADF" w14:textId="2046D6D7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2" w:history="1">
        <w:r w:rsidR="004861D3" w:rsidRPr="00EC7A8D">
          <w:rPr>
            <w:rStyle w:val="Hyperlink"/>
            <w:rFonts w:ascii="Times New Roman" w:hAnsi="Times New Roman"/>
          </w:rPr>
          <w:t>5.6.1.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58A2C23" w14:textId="0C2FC936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3" w:history="1">
        <w:r w:rsidR="004861D3" w:rsidRPr="00EC7A8D">
          <w:rPr>
            <w:rStyle w:val="Hyperlink"/>
            <w:rFonts w:ascii="Times New Roman" w:hAnsi="Times New Roman"/>
          </w:rPr>
          <w:t>5.6.2.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10CC0D5D" w14:textId="204B84B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4" w:history="1">
        <w:r w:rsidR="004861D3" w:rsidRPr="00EC7A8D">
          <w:rPr>
            <w:rStyle w:val="Hyperlink"/>
            <w:rFonts w:ascii="Times New Roman" w:hAnsi="Times New Roman"/>
          </w:rPr>
          <w:t>5.7.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24.00 - Market Risk Internal Model (MKR IM)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F2969AB" w14:textId="2DB80BD0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5" w:history="1">
        <w:r w:rsidR="004861D3" w:rsidRPr="00EC7A8D">
          <w:rPr>
            <w:rStyle w:val="Hyperlink"/>
            <w:rFonts w:ascii="Times New Roman" w:hAnsi="Times New Roman"/>
          </w:rPr>
          <w:t>5.7.1.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72C7D0DC" w14:textId="2FBAD632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6" w:history="1">
        <w:r w:rsidR="004861D3" w:rsidRPr="00EC7A8D">
          <w:rPr>
            <w:rStyle w:val="Hyperlink"/>
            <w:rFonts w:ascii="Times New Roman" w:hAnsi="Times New Roman"/>
          </w:rPr>
          <w:t>5.7.2.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6A47EFB" w14:textId="14EBA8E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7" w:history="1">
        <w:r w:rsidR="004861D3" w:rsidRPr="00EC7A8D">
          <w:rPr>
            <w:rStyle w:val="Hyperlink"/>
            <w:rFonts w:ascii="Times New Roman" w:hAnsi="Times New Roman"/>
          </w:rPr>
          <w:t>5.8. C 25.00 - CREDIT VALUATION ADJUSTMENT RISK (CVA):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FA85527" w14:textId="0A501A78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8" w:history="1">
        <w:r w:rsidR="004861D3" w:rsidRPr="00EC7A8D">
          <w:rPr>
            <w:rStyle w:val="Hyperlink"/>
            <w:rFonts w:ascii="Times New Roman" w:hAnsi="Times New Roman"/>
          </w:rPr>
          <w:t>5.8.1.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17D77749" w14:textId="397CF858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9" w:history="1">
        <w:r w:rsidR="004861D3" w:rsidRPr="00EC7A8D">
          <w:rPr>
            <w:rStyle w:val="Hyperlink"/>
            <w:rFonts w:ascii="Times New Roman" w:hAnsi="Times New Roman"/>
          </w:rPr>
          <w:t>6.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Prudent valuation (PruVal)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007F540" w14:textId="5140F1F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0" w:history="1">
        <w:r w:rsidR="004861D3" w:rsidRPr="00EC7A8D">
          <w:rPr>
            <w:rStyle w:val="Hyperlink"/>
            <w:rFonts w:ascii="Times New Roman" w:hAnsi="Times New Roman"/>
          </w:rPr>
          <w:t>6.1.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32.01 - Prudent Valuation: Fair-Valued Assets and Liabilities (PruVal 1)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C5867E7" w14:textId="75DF021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1" w:history="1">
        <w:r w:rsidR="004861D3" w:rsidRPr="00EC7A8D">
          <w:rPr>
            <w:rStyle w:val="Hyperlink"/>
            <w:rFonts w:ascii="Times New Roman" w:hAnsi="Times New Roman"/>
          </w:rPr>
          <w:t>6.1.1.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696BF9E" w14:textId="79DB873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2" w:history="1">
        <w:r w:rsidR="004861D3" w:rsidRPr="00EC7A8D">
          <w:rPr>
            <w:rStyle w:val="Hyperlink"/>
            <w:rFonts w:ascii="Times New Roman" w:hAnsi="Times New Roman"/>
          </w:rPr>
          <w:t>6.1.2.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5041DACD" w14:textId="1B1B1AB0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3" w:history="1">
        <w:r w:rsidR="004861D3" w:rsidRPr="00EC7A8D">
          <w:rPr>
            <w:rStyle w:val="Hyperlink"/>
            <w:rFonts w:ascii="Times New Roman" w:hAnsi="Times New Roman"/>
          </w:rPr>
          <w:t>6.2.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32.02 - Prudent Valuation: Core Approach (PruVal 2)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973D27A" w14:textId="3950A996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4" w:history="1">
        <w:r w:rsidR="004861D3" w:rsidRPr="00EC7A8D">
          <w:rPr>
            <w:rStyle w:val="Hyperlink"/>
            <w:rFonts w:ascii="Times New Roman" w:hAnsi="Times New Roman"/>
          </w:rPr>
          <w:t>6.2.1.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B5E4A4B" w14:textId="4776F2E2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5" w:history="1">
        <w:r w:rsidR="004861D3" w:rsidRPr="00EC7A8D">
          <w:rPr>
            <w:rStyle w:val="Hyperlink"/>
            <w:rFonts w:ascii="Times New Roman" w:hAnsi="Times New Roman"/>
          </w:rPr>
          <w:t>6.2.2.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B54ED06" w14:textId="28650B80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6" w:history="1">
        <w:r w:rsidR="004861D3" w:rsidRPr="00EC7A8D">
          <w:rPr>
            <w:rStyle w:val="Hyperlink"/>
            <w:rFonts w:ascii="Times New Roman" w:hAnsi="Times New Roman"/>
          </w:rPr>
          <w:t>6.3. C 32.03 - Prudent Valuation: Model Risk AVA (PruVal 3)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415C77C" w14:textId="3CD5A401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7" w:history="1">
        <w:r w:rsidR="004861D3" w:rsidRPr="00EC7A8D">
          <w:rPr>
            <w:rStyle w:val="Hyperlink"/>
            <w:rFonts w:ascii="Times New Roman" w:hAnsi="Times New Roman"/>
          </w:rPr>
          <w:t>6.3.1.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0292C4C1" w14:textId="0C7D453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8" w:history="1">
        <w:r w:rsidR="004861D3" w:rsidRPr="00EC7A8D">
          <w:rPr>
            <w:rStyle w:val="Hyperlink"/>
            <w:rFonts w:ascii="Times New Roman" w:hAnsi="Times New Roman"/>
          </w:rPr>
          <w:t>6.3.2.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5392D862" w14:textId="66DB7751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9" w:history="1">
        <w:r w:rsidR="004861D3" w:rsidRPr="00EC7A8D">
          <w:rPr>
            <w:rStyle w:val="Hyperlink"/>
            <w:rFonts w:ascii="Times New Roman" w:hAnsi="Times New Roman"/>
          </w:rPr>
          <w:t>6.4 C 32.04 - Prudent Valuation: Concentrated positions AVA (PruVal 4)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3841141" w14:textId="1642AF3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0" w:history="1">
        <w:r w:rsidR="004861D3" w:rsidRPr="00EC7A8D">
          <w:rPr>
            <w:rStyle w:val="Hyperlink"/>
            <w:rFonts w:ascii="Times New Roman" w:hAnsi="Times New Roman"/>
          </w:rPr>
          <w:t>6.4.1.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C96B970" w14:textId="3A958CAD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1" w:history="1">
        <w:r w:rsidR="004861D3" w:rsidRPr="00EC7A8D">
          <w:rPr>
            <w:rStyle w:val="Hyperlink"/>
            <w:rFonts w:ascii="Times New Roman" w:hAnsi="Times New Roman"/>
          </w:rPr>
          <w:t>6.4.2.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D54DAD2" w14:textId="2983A67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2" w:history="1">
        <w:r w:rsidR="004861D3" w:rsidRPr="00EC7A8D">
          <w:rPr>
            <w:rStyle w:val="Hyperlink"/>
            <w:rFonts w:ascii="Times New Roman" w:hAnsi="Times New Roman"/>
          </w:rPr>
          <w:t>7.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33.00 - Exposures to General governments (GOV)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B5BA206" w14:textId="5ED8F04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3" w:history="1">
        <w:r w:rsidR="004861D3" w:rsidRPr="00EC7A8D">
          <w:rPr>
            <w:rStyle w:val="Hyperlink"/>
            <w:rFonts w:ascii="Times New Roman" w:hAnsi="Times New Roman"/>
          </w:rPr>
          <w:t>7.1.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4563A435" w14:textId="79983291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4" w:history="1">
        <w:r w:rsidR="004861D3" w:rsidRPr="00EC7A8D">
          <w:rPr>
            <w:rStyle w:val="Hyperlink"/>
            <w:rFonts w:ascii="Times New Roman" w:hAnsi="Times New Roman"/>
          </w:rPr>
          <w:t>7.2.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Scope of the template on exposures to “General governments”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A9F71E7" w14:textId="65415ECD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5" w:history="1">
        <w:r w:rsidR="004861D3" w:rsidRPr="00EC7A8D">
          <w:rPr>
            <w:rStyle w:val="Hyperlink"/>
            <w:rFonts w:ascii="Times New Roman" w:hAnsi="Times New Roman"/>
          </w:rPr>
          <w:t>7.3.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1E16CED" w14:textId="36A72A05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6" w:history="1">
        <w:r w:rsidR="004861D3" w:rsidRPr="00EC7A8D">
          <w:rPr>
            <w:rStyle w:val="Hyperlink"/>
            <w:rFonts w:ascii="Times New Roman" w:hAnsi="Times New Roman"/>
          </w:rPr>
          <w:t>8.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NPE Loss Coverage (NPE LC)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01CC145" w14:textId="4603CC38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7" w:history="1">
        <w:r w:rsidR="004861D3" w:rsidRPr="00EC7A8D">
          <w:rPr>
            <w:rStyle w:val="Hyperlink"/>
            <w:rFonts w:ascii="Times New Roman" w:hAnsi="Times New Roman"/>
          </w:rPr>
          <w:t>8.1.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1A2F79F7" w14:textId="191211C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8" w:history="1">
        <w:r w:rsidR="004861D3" w:rsidRPr="00EC7A8D">
          <w:rPr>
            <w:rStyle w:val="Hyperlink"/>
            <w:rFonts w:ascii="Times New Roman" w:hAnsi="Times New Roman"/>
          </w:rPr>
          <w:t>8.2. C 35.01 – THE CALCULATION OF DEDUCTIONS FOR NON-PERFORMING EXPOSURES (NPE LC1)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A66C2FC" w14:textId="3ED4991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9" w:history="1">
        <w:r w:rsidR="004861D3" w:rsidRPr="00EC7A8D">
          <w:rPr>
            <w:rStyle w:val="Hyperlink"/>
            <w:rFonts w:ascii="Times New Roman" w:hAnsi="Times New Roman"/>
          </w:rPr>
          <w:t>8.2.1.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353179C" w14:textId="116DDD6F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0" w:history="1">
        <w:r w:rsidR="004861D3" w:rsidRPr="00EC7A8D">
          <w:rPr>
            <w:rStyle w:val="Hyperlink"/>
            <w:rFonts w:ascii="Times New Roman" w:hAnsi="Times New Roman"/>
          </w:rPr>
          <w:t>8.3.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35.02 – MINIMUM COVERAGE REQUIREMENTS AND EXPOSURE VALUES OF NON-PERFORMING EXPOSURES EXCLUDING FORBORNE EXPOSURES THAT FALL UNDER ARTICLE 47C (6) OF REGULATION (EU) NO 575/2013 (NPE LC2)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65BDA23F" w14:textId="7875B03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1" w:history="1">
        <w:r w:rsidR="004861D3" w:rsidRPr="00EC7A8D">
          <w:rPr>
            <w:rStyle w:val="Hyperlink"/>
            <w:rFonts w:ascii="Times New Roman" w:hAnsi="Times New Roman"/>
          </w:rPr>
          <w:t>8.3.1.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37063E47" w14:textId="500F5D28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2" w:history="1">
        <w:r w:rsidR="004861D3" w:rsidRPr="00EC7A8D">
          <w:rPr>
            <w:rStyle w:val="Hyperlink"/>
            <w:rFonts w:ascii="Times New Roman" w:hAnsi="Times New Roman"/>
          </w:rPr>
          <w:t>8.4.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35.03 – MINIMUM COVERAGE REQUIREMENTS AND EXPOSURE VALUES OF NON-PERFORMING FORBORNE EXPOSURES THAT FALL UNDER ARTICLE 47C (6) OF REGULATION (EU) NO 575/2013 (NPE LC3)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58FF925" w14:textId="33906F12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3" w:history="1">
        <w:r w:rsidR="004861D3" w:rsidRPr="00EC7A8D">
          <w:rPr>
            <w:rStyle w:val="Hyperlink"/>
            <w:rFonts w:ascii="Times New Roman" w:hAnsi="Times New Roman"/>
          </w:rPr>
          <w:t>8.4.1.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F55C1A0" w14:textId="46FB58F4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4" w:history="1">
        <w:r w:rsidR="004861D3" w:rsidRPr="00EC7A8D">
          <w:rPr>
            <w:rStyle w:val="Hyperlink"/>
            <w:rFonts w:ascii="Times New Roman" w:hAnsi="Times New Roman"/>
          </w:rPr>
          <w:t>9. Trading book and market risk thresholds, the boundary between trading book and non-trading book and reclassifications</w:t>
        </w:r>
      </w:hyperlink>
    </w:p>
    <w:p w14:paraId="17F21861" w14:textId="3D2D50E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5" w:history="1">
        <w:r w:rsidR="004861D3" w:rsidRPr="00EC7A8D">
          <w:rPr>
            <w:rStyle w:val="Hyperlink"/>
            <w:rFonts w:ascii="Times New Roman" w:hAnsi="Times New Roman"/>
          </w:rPr>
          <w:t>9.1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90.00 – Trading book and market risk thresholds</w:t>
        </w:r>
      </w:hyperlink>
    </w:p>
    <w:p w14:paraId="3D9E0174" w14:textId="3F33B180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6" w:history="1">
        <w:r w:rsidR="004861D3" w:rsidRPr="00EC7A8D">
          <w:rPr>
            <w:rStyle w:val="Hyperlink"/>
            <w:rFonts w:ascii="Times New Roman" w:hAnsi="Times New Roman"/>
          </w:rPr>
          <w:t>9.2 The boundary between trading book and non-trading book (BOU)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1AA8C2A" w14:textId="412D02FE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7" w:history="1">
        <w:r w:rsidR="004861D3" w:rsidRPr="00EC7A8D">
          <w:rPr>
            <w:rStyle w:val="Hyperlink"/>
            <w:rFonts w:ascii="Times New Roman" w:hAnsi="Times New Roman"/>
          </w:rPr>
          <w:t>9.2.1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6D01CF9" w14:textId="748F86A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8" w:history="1">
        <w:r w:rsidR="004861D3" w:rsidRPr="00EC7A8D">
          <w:rPr>
            <w:rStyle w:val="Hyperlink"/>
            <w:rFonts w:ascii="Times New Roman" w:hAnsi="Times New Roman"/>
          </w:rPr>
          <w:t>9.2.2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90.05 – Boundary: Trading book (BOU1)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68F43DB8" w14:textId="72689B23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9" w:history="1">
        <w:r w:rsidR="004861D3" w:rsidRPr="00EC7A8D">
          <w:rPr>
            <w:rStyle w:val="Hyperlink"/>
            <w:rFonts w:ascii="Times New Roman" w:hAnsi="Times New Roman"/>
          </w:rPr>
          <w:t>9.2.2.1 General remarks</w:t>
        </w:r>
      </w:hyperlink>
    </w:p>
    <w:p w14:paraId="7CF09DB2" w14:textId="7C7367F8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40" w:history="1">
        <w:r w:rsidR="004861D3" w:rsidRPr="00EC7A8D">
          <w:rPr>
            <w:rStyle w:val="Hyperlink"/>
            <w:rFonts w:ascii="Times New Roman" w:hAnsi="Times New Roman"/>
          </w:rPr>
          <w:t>9.2.2.2 Instructions concerning specific positions</w:t>
        </w:r>
      </w:hyperlink>
    </w:p>
    <w:p w14:paraId="35DEBE69" w14:textId="615E5F1B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41" w:history="1">
        <w:r w:rsidR="004861D3" w:rsidRPr="00EC7A8D">
          <w:rPr>
            <w:rStyle w:val="Hyperlink"/>
            <w:rFonts w:ascii="Times New Roman" w:hAnsi="Times New Roman"/>
          </w:rPr>
          <w:t>9.2.3</w:t>
        </w:r>
        <w:r w:rsidR="004861D3"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="004861D3" w:rsidRPr="00EC7A8D">
          <w:rPr>
            <w:rStyle w:val="Hyperlink"/>
            <w:rFonts w:ascii="Times New Roman" w:hAnsi="Times New Roman"/>
          </w:rPr>
          <w:t>C 90.06 – Boundary: Non-trading book (BOU2)</w:t>
        </w:r>
      </w:hyperlink>
      <w:r w:rsidR="00223F5C"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D3B88A7" w14:textId="0CB34DEC" w:rsidR="004861D3" w:rsidRDefault="006028BB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42" w:history="1">
        <w:r w:rsidR="004861D3" w:rsidRPr="00EC7A8D">
          <w:rPr>
            <w:rStyle w:val="Hyperlink"/>
            <w:rFonts w:ascii="Times New Roman" w:hAnsi="Times New Roman"/>
          </w:rPr>
          <w:t>9.2.3.1 General remarks</w:t>
        </w:r>
      </w:hyperlink>
    </w:p>
    <w:bookmarkStart w:id="4" w:name="_Hlk169859339"/>
    <w:p w14:paraId="2FF64596" w14:textId="18443BB5" w:rsidR="004861D3" w:rsidRDefault="004861D3" w:rsidP="004861D3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r>
        <w:fldChar w:fldCharType="begin"/>
      </w:r>
      <w:r>
        <w:instrText>HYPERLINK \l "_Toc151714543"</w:instrText>
      </w:r>
      <w:r>
        <w:fldChar w:fldCharType="separate"/>
      </w:r>
      <w:r w:rsidRPr="00EC7A8D">
        <w:rPr>
          <w:rStyle w:val="Hyperlink"/>
          <w:rFonts w:ascii="Times New Roman" w:hAnsi="Times New Roman"/>
        </w:rPr>
        <w:t>9.2.3.2 – Instructions concerning specific positions</w:t>
      </w:r>
      <w:r>
        <w:fldChar w:fldCharType="end"/>
      </w:r>
    </w:p>
    <w:p w14:paraId="15D859F2" w14:textId="3623D8E3" w:rsidR="004861D3" w:rsidRDefault="006028BB" w:rsidP="004861D3">
      <w:pPr>
        <w:pStyle w:val="TOC2"/>
      </w:pPr>
      <w:hyperlink w:anchor="_Toc151714544" w:history="1">
        <w:r w:rsidR="004861D3" w:rsidRPr="00EC7A8D">
          <w:rPr>
            <w:rStyle w:val="Hyperlink"/>
            <w:rFonts w:ascii="Times New Roman" w:hAnsi="Times New Roman"/>
          </w:rPr>
          <w:t>9.3 C 24.01 - Trading book boundary - Reclassifications between books (MOV)</w:t>
        </w:r>
      </w:hyperlink>
      <w:r w:rsidR="00223F5C">
        <w:t xml:space="preserve"> </w:t>
      </w:r>
    </w:p>
    <w:bookmarkEnd w:id="4"/>
    <w:p w14:paraId="111FCD6F" w14:textId="7D6DD38F" w:rsidR="004861D3" w:rsidRPr="00223F5C" w:rsidRDefault="004861D3" w:rsidP="006028BB">
      <w:pPr>
        <w:spacing w:before="120"/>
        <w:rPr>
          <w:rFonts w:ascii="Times New Roman" w:eastAsiaTheme="minorEastAsia" w:hAnsi="Times New Roman" w:cs="Times New Roman"/>
          <w:b/>
          <w:bCs/>
          <w:sz w:val="20"/>
          <w:szCs w:val="20"/>
        </w:rPr>
      </w:pPr>
      <w:r w:rsidRPr="00223F5C">
        <w:rPr>
          <w:rFonts w:ascii="Times New Roman" w:eastAsiaTheme="minorEastAsia" w:hAnsi="Times New Roman" w:cs="Times New Roman"/>
          <w:b/>
          <w:bCs/>
          <w:sz w:val="20"/>
          <w:szCs w:val="20"/>
        </w:rPr>
        <w:t>10. C 36.00 - EXPOSURES TO CRYPTO ASSETS</w:t>
      </w:r>
    </w:p>
    <w:p w14:paraId="0927FE3C" w14:textId="5A29BBB9" w:rsidR="004861D3" w:rsidRPr="00223F5C" w:rsidRDefault="004861D3" w:rsidP="004861D3">
      <w:pPr>
        <w:rPr>
          <w:rFonts w:ascii="Times New Roman" w:hAnsi="Times New Roman"/>
          <w:sz w:val="24"/>
        </w:rPr>
      </w:pPr>
      <w:r w:rsidRPr="002A677E">
        <w:rPr>
          <w:rFonts w:ascii="Times New Roman" w:hAnsi="Times New Roman"/>
          <w:sz w:val="24"/>
        </w:rPr>
        <w:fldChar w:fldCharType="end"/>
      </w:r>
      <w:r w:rsidRPr="00223F5C">
        <w:rPr>
          <w:rFonts w:ascii="Times New Roman" w:hAnsi="Times New Roman"/>
          <w:b/>
          <w:bCs/>
          <w:sz w:val="20"/>
          <w:szCs w:val="20"/>
        </w:rPr>
        <w:t>10.1 GENERAL REMARKS</w:t>
      </w:r>
    </w:p>
    <w:p w14:paraId="5E50FF70" w14:textId="3EDFE392" w:rsidR="004861D3" w:rsidRPr="00223F5C" w:rsidRDefault="004861D3" w:rsidP="004861D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23F5C">
        <w:rPr>
          <w:rFonts w:ascii="Times New Roman" w:hAnsi="Times New Roman" w:cs="Times New Roman"/>
          <w:b/>
          <w:bCs/>
          <w:sz w:val="20"/>
          <w:szCs w:val="20"/>
        </w:rPr>
        <w:t>10.2</w:t>
      </w:r>
      <w:r w:rsidR="00223F5C">
        <w:rPr>
          <w:rFonts w:ascii="Times New Roman" w:hAnsi="Times New Roman" w:cs="Times New Roman"/>
          <w:b/>
          <w:bCs/>
          <w:sz w:val="20"/>
          <w:szCs w:val="20"/>
        </w:rPr>
        <w:t xml:space="preserve"> – INSTRUCTIONS CONCERNING SPECIFIC POSITIONS</w:t>
      </w:r>
    </w:p>
    <w:p w14:paraId="721216E7" w14:textId="77777777" w:rsidR="004861D3" w:rsidRDefault="004861D3" w:rsidP="00B65435">
      <w:pPr>
        <w:pStyle w:val="Heading2"/>
        <w:rPr>
          <w:rFonts w:ascii="Times New Roman" w:hAnsi="Times New Roman"/>
        </w:rPr>
      </w:pPr>
    </w:p>
    <w:p w14:paraId="67122CB6" w14:textId="77777777" w:rsidR="00223F5C" w:rsidRDefault="00223F5C" w:rsidP="00223F5C"/>
    <w:p w14:paraId="1D07AAAC" w14:textId="77777777" w:rsidR="00223F5C" w:rsidRPr="00223F5C" w:rsidRDefault="00223F5C" w:rsidP="00223F5C"/>
    <w:p w14:paraId="4B258C86" w14:textId="4BAE2018" w:rsidR="00B65435" w:rsidRPr="002A677E" w:rsidRDefault="00B65435" w:rsidP="00B65435">
      <w:pPr>
        <w:pStyle w:val="Heading2"/>
        <w:rPr>
          <w:rFonts w:ascii="Times New Roman" w:hAnsi="Times New Roman"/>
        </w:rPr>
      </w:pPr>
      <w:r w:rsidRPr="002A677E">
        <w:rPr>
          <w:rFonts w:ascii="Times New Roman" w:hAnsi="Times New Roman"/>
        </w:rPr>
        <w:lastRenderedPageBreak/>
        <w:t>PART I:</w:t>
      </w:r>
      <w:bookmarkEnd w:id="0"/>
      <w:r w:rsidRPr="002A677E">
        <w:rPr>
          <w:rFonts w:ascii="Times New Roman" w:hAnsi="Times New Roman"/>
        </w:rPr>
        <w:t xml:space="preserve"> GENERAL INSTRUCTIONS</w:t>
      </w:r>
      <w:bookmarkEnd w:id="1"/>
      <w:bookmarkEnd w:id="2"/>
      <w:bookmarkEnd w:id="3"/>
    </w:p>
    <w:p w14:paraId="7A8CC652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  <w:lang w:val="en-GB"/>
        </w:rPr>
      </w:pPr>
      <w:bookmarkStart w:id="5" w:name="_Toc360188318"/>
      <w:bookmarkStart w:id="6" w:name="_Toc473560866"/>
      <w:bookmarkStart w:id="7" w:name="_Toc151714354"/>
      <w:r w:rsidRPr="002A677E">
        <w:rPr>
          <w:rFonts w:ascii="Times New Roman" w:hAnsi="Times New Roman" w:cs="Times New Roman"/>
          <w:sz w:val="24"/>
          <w:u w:val="none"/>
          <w:lang w:val="en-GB"/>
        </w:rPr>
        <w:t>1.</w:t>
      </w:r>
      <w:r w:rsidRPr="002A677E">
        <w:rPr>
          <w:rFonts w:ascii="Times New Roman" w:hAnsi="Times New Roman" w:cs="Times New Roman"/>
          <w:sz w:val="24"/>
          <w:u w:val="none"/>
          <w:lang w:val="en-GB"/>
        </w:rPr>
        <w:tab/>
        <w:t>STRUCTURE AND CONVENTIONS</w:t>
      </w:r>
      <w:bookmarkEnd w:id="5"/>
      <w:bookmarkEnd w:id="6"/>
      <w:bookmarkEnd w:id="7"/>
    </w:p>
    <w:p w14:paraId="05A1293C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  <w:lang w:val="en-GB"/>
        </w:rPr>
      </w:pPr>
      <w:bookmarkStart w:id="8" w:name="_Toc360188319"/>
      <w:bookmarkStart w:id="9" w:name="_Toc473560867"/>
      <w:bookmarkStart w:id="10" w:name="_Toc151714355"/>
      <w:bookmarkStart w:id="11" w:name="_Toc264038399"/>
      <w:bookmarkStart w:id="12" w:name="_Toc294018834"/>
      <w:r w:rsidRPr="002A677E">
        <w:rPr>
          <w:rFonts w:ascii="Times New Roman" w:hAnsi="Times New Roman" w:cs="Times New Roman"/>
          <w:sz w:val="24"/>
          <w:u w:val="none"/>
          <w:lang w:val="en-GB"/>
        </w:rPr>
        <w:t>1.1.</w:t>
      </w:r>
      <w:r w:rsidRPr="002A677E">
        <w:rPr>
          <w:rFonts w:ascii="Times New Roman" w:hAnsi="Times New Roman" w:cs="Times New Roman"/>
          <w:sz w:val="24"/>
          <w:u w:val="none"/>
          <w:lang w:val="en-GB"/>
        </w:rPr>
        <w:tab/>
        <w:t>STRUCTURE</w:t>
      </w:r>
      <w:bookmarkEnd w:id="8"/>
      <w:bookmarkEnd w:id="9"/>
      <w:bookmarkEnd w:id="10"/>
    </w:p>
    <w:p w14:paraId="12B79693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1</w:t>
      </w:r>
      <w:r>
        <w:fldChar w:fldCharType="end"/>
      </w:r>
      <w:r w:rsidRPr="002A677E">
        <w:t>.</w:t>
      </w:r>
      <w:r w:rsidRPr="002A677E">
        <w:tab/>
        <w:t>Overall, the framework covers six topics:</w:t>
      </w:r>
    </w:p>
    <w:p w14:paraId="28184C96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 w:rsidRPr="002A677E">
        <w:t>(a)</w:t>
      </w:r>
      <w:r w:rsidRPr="002A677E">
        <w:tab/>
        <w:t xml:space="preserve">capital adequacy, an overview of regulatory capital; total risk exposure amount; prudent valuation; NPE loss </w:t>
      </w:r>
      <w:proofErr w:type="gramStart"/>
      <w:r w:rsidRPr="002A677E">
        <w:t>coverage;</w:t>
      </w:r>
      <w:proofErr w:type="gramEnd"/>
    </w:p>
    <w:p w14:paraId="473EDF66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 w:rsidRPr="002A677E">
        <w:t>(b)</w:t>
      </w:r>
      <w:r w:rsidRPr="002A677E">
        <w:tab/>
        <w:t xml:space="preserve">group solvency, an overview of the fulfilment of the solvency requirements by all individual entities included in the scope of consolidation of the reporting </w:t>
      </w:r>
      <w:proofErr w:type="gramStart"/>
      <w:r w:rsidRPr="002A677E">
        <w:t>entity;</w:t>
      </w:r>
      <w:proofErr w:type="gramEnd"/>
    </w:p>
    <w:p w14:paraId="520D1BC7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 w:rsidRPr="002A677E">
        <w:t>(c)</w:t>
      </w:r>
      <w:r w:rsidRPr="002A677E">
        <w:tab/>
        <w:t>credit risk (including counterparty, dilution and settlement risks</w:t>
      </w:r>
      <w:proofErr w:type="gramStart"/>
      <w:r w:rsidRPr="002A677E">
        <w:t>);</w:t>
      </w:r>
      <w:proofErr w:type="gramEnd"/>
    </w:p>
    <w:p w14:paraId="5BEF8552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 w:rsidRPr="002A677E">
        <w:t>(d)</w:t>
      </w:r>
      <w:r w:rsidRPr="002A677E">
        <w:tab/>
        <w:t>market risk (including position risk in trading book, foreign exchange risk, commodities risk and CVA risk</w:t>
      </w:r>
      <w:proofErr w:type="gramStart"/>
      <w:r w:rsidRPr="002A677E">
        <w:t>);</w:t>
      </w:r>
      <w:proofErr w:type="gramEnd"/>
    </w:p>
    <w:p w14:paraId="0EDA877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 w:rsidRPr="002A677E">
        <w:t>(e)</w:t>
      </w:r>
      <w:r w:rsidRPr="002A677E">
        <w:tab/>
        <w:t xml:space="preserve">operational </w:t>
      </w:r>
      <w:proofErr w:type="gramStart"/>
      <w:r w:rsidRPr="002A677E">
        <w:t>risk;</w:t>
      </w:r>
      <w:proofErr w:type="gramEnd"/>
    </w:p>
    <w:p w14:paraId="74CE70F7" w14:textId="77777777" w:rsidR="006B2A2E" w:rsidRDefault="00B65435" w:rsidP="00B65435">
      <w:pPr>
        <w:pStyle w:val="InstructionsText2"/>
        <w:numPr>
          <w:ilvl w:val="0"/>
          <w:numId w:val="0"/>
        </w:numPr>
        <w:ind w:left="993"/>
        <w:rPr>
          <w:ins w:id="13" w:author="Helene Le Crann" w:date="2024-06-13T19:12:00Z"/>
        </w:rPr>
      </w:pPr>
      <w:r w:rsidRPr="002A677E">
        <w:t xml:space="preserve">(f) general governments </w:t>
      </w:r>
      <w:proofErr w:type="gramStart"/>
      <w:r w:rsidRPr="002A677E">
        <w:t>exposures</w:t>
      </w:r>
      <w:ins w:id="14" w:author="Helene Le Crann" w:date="2024-06-13T19:12:00Z">
        <w:r w:rsidR="006B2A2E">
          <w:t>;</w:t>
        </w:r>
        <w:proofErr w:type="gramEnd"/>
      </w:ins>
    </w:p>
    <w:p w14:paraId="708A95B2" w14:textId="34020AF7" w:rsidR="00B65435" w:rsidRPr="002A677E" w:rsidRDefault="006B2A2E" w:rsidP="00B65435">
      <w:pPr>
        <w:pStyle w:val="InstructionsText2"/>
        <w:numPr>
          <w:ilvl w:val="0"/>
          <w:numId w:val="0"/>
        </w:numPr>
        <w:ind w:left="993"/>
      </w:pPr>
      <w:ins w:id="15" w:author="Helene Le Crann" w:date="2024-06-13T19:12:00Z">
        <w:r>
          <w:t>(g) exposures to crypto assets</w:t>
        </w:r>
      </w:ins>
      <w:ins w:id="16" w:author="Helene Le Crann" w:date="2024-06-13T19:13:00Z">
        <w:r>
          <w:t>.</w:t>
        </w:r>
      </w:ins>
      <w:del w:id="17" w:author="Helene Le Crann" w:date="2024-06-13T19:12:00Z">
        <w:r w:rsidR="00B65435" w:rsidDel="006B2A2E">
          <w:delText>.</w:delText>
        </w:r>
      </w:del>
    </w:p>
    <w:p w14:paraId="0F9DCED8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2</w:t>
      </w:r>
      <w:r>
        <w:fldChar w:fldCharType="end"/>
      </w:r>
      <w:r w:rsidRPr="002A677E">
        <w:t>.</w:t>
      </w:r>
      <w:r w:rsidRPr="002A677E">
        <w:tab/>
        <w:t xml:space="preserve">For each template legal references are provided. Further detailed information </w:t>
      </w:r>
      <w:r>
        <w:t xml:space="preserve">on </w:t>
      </w:r>
      <w:r w:rsidRPr="002A677E">
        <w:t>more general aspects of the reporting of each block of templates, instructions concerning specific positions as well as validation rules are included in this part of this Implementing Regulation.</w:t>
      </w:r>
    </w:p>
    <w:p w14:paraId="3414EDA4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3</w:t>
      </w:r>
      <w:r>
        <w:fldChar w:fldCharType="end"/>
      </w:r>
      <w:r w:rsidRPr="002A677E">
        <w:t>.</w:t>
      </w:r>
      <w:r w:rsidRPr="002A677E">
        <w:tab/>
        <w:t xml:space="preserve">Institutions </w:t>
      </w:r>
      <w:r>
        <w:t>are to</w:t>
      </w:r>
      <w:r w:rsidRPr="002A677E">
        <w:t xml:space="preserve"> report only those templates that are relevant depending on the approach used for determining own funds requirements.</w:t>
      </w:r>
    </w:p>
    <w:p w14:paraId="21ED76C2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  <w:lang w:val="en-GB"/>
        </w:rPr>
      </w:pPr>
      <w:bookmarkStart w:id="18" w:name="_Toc360188320"/>
      <w:bookmarkStart w:id="19" w:name="_Toc473560868"/>
      <w:bookmarkStart w:id="20" w:name="_Toc151714356"/>
      <w:r w:rsidRPr="002A677E">
        <w:rPr>
          <w:rFonts w:ascii="Times New Roman" w:hAnsi="Times New Roman" w:cs="Times New Roman"/>
          <w:sz w:val="24"/>
          <w:u w:val="none"/>
          <w:lang w:val="en-GB"/>
        </w:rPr>
        <w:t>1.2.</w:t>
      </w:r>
      <w:r w:rsidRPr="002A677E">
        <w:rPr>
          <w:rFonts w:ascii="Times New Roman" w:hAnsi="Times New Roman" w:cs="Times New Roman"/>
          <w:sz w:val="24"/>
          <w:u w:val="none"/>
          <w:lang w:val="en-GB"/>
        </w:rPr>
        <w:tab/>
        <w:t>Numbering convention</w:t>
      </w:r>
      <w:bookmarkEnd w:id="18"/>
      <w:bookmarkEnd w:id="19"/>
      <w:bookmarkEnd w:id="20"/>
    </w:p>
    <w:p w14:paraId="2DF1C393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4</w:t>
      </w:r>
      <w:r>
        <w:fldChar w:fldCharType="end"/>
      </w:r>
      <w:r w:rsidRPr="002A677E">
        <w:t>.</w:t>
      </w:r>
      <w:r w:rsidRPr="002A677E">
        <w:tab/>
        <w:t xml:space="preserve">The document follows the labelling convention set in points 5 to 8, when referring to the columns, </w:t>
      </w:r>
      <w:proofErr w:type="gramStart"/>
      <w:r w:rsidRPr="002A677E">
        <w:t>rows</w:t>
      </w:r>
      <w:proofErr w:type="gramEnd"/>
      <w:r w:rsidRPr="002A677E">
        <w:t xml:space="preserve"> and cells of the templates. Those numerical codes are extensively used in the validation rules.</w:t>
      </w:r>
    </w:p>
    <w:p w14:paraId="2EE8A2BD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5</w:t>
      </w:r>
      <w:r>
        <w:fldChar w:fldCharType="end"/>
      </w:r>
      <w:r w:rsidRPr="002A677E">
        <w:t>.</w:t>
      </w:r>
      <w:r w:rsidRPr="002A677E">
        <w:tab/>
        <w:t>The following general notation is followed in the instructions: {Template; Row; Column}.</w:t>
      </w:r>
    </w:p>
    <w:p w14:paraId="2DB7F95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6</w:t>
      </w:r>
      <w:r>
        <w:fldChar w:fldCharType="end"/>
      </w:r>
      <w:r w:rsidRPr="002A677E">
        <w:t>.</w:t>
      </w:r>
      <w:r w:rsidRPr="002A677E">
        <w:tab/>
        <w:t>In the case of validations inside a template, in which only data points of that template are used, notations do not refer to a template: {Row; Column}.</w:t>
      </w:r>
    </w:p>
    <w:p w14:paraId="05E444F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7</w:t>
      </w:r>
      <w:r>
        <w:fldChar w:fldCharType="end"/>
      </w:r>
      <w:r w:rsidRPr="002A677E">
        <w:t>.</w:t>
      </w:r>
      <w:r w:rsidRPr="002A677E">
        <w:tab/>
        <w:t>In the case of templates with only one column, only rows are referred to. {Template; Row}</w:t>
      </w:r>
    </w:p>
    <w:p w14:paraId="21355A9F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8</w:t>
      </w:r>
      <w:r>
        <w:fldChar w:fldCharType="end"/>
      </w:r>
      <w:r w:rsidRPr="002A677E">
        <w:t>.</w:t>
      </w:r>
      <w:r w:rsidRPr="002A677E">
        <w:tab/>
        <w:t>An asterisk sign is used to express that the validation is done for the rows or columns specified before.</w:t>
      </w:r>
    </w:p>
    <w:p w14:paraId="16E2386B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  <w:u w:val="none"/>
          <w:lang w:val="en-GB"/>
        </w:rPr>
      </w:pPr>
      <w:bookmarkStart w:id="21" w:name="_Toc360188321"/>
      <w:bookmarkStart w:id="22" w:name="_Toc473560869"/>
      <w:bookmarkStart w:id="23" w:name="_Toc151714357"/>
      <w:r w:rsidRPr="002A677E">
        <w:rPr>
          <w:rFonts w:ascii="Times New Roman" w:hAnsi="Times New Roman" w:cs="Times New Roman"/>
          <w:sz w:val="24"/>
          <w:u w:val="none"/>
          <w:lang w:val="en-GB"/>
        </w:rPr>
        <w:lastRenderedPageBreak/>
        <w:t>1.3.</w:t>
      </w:r>
      <w:r w:rsidRPr="002A677E">
        <w:rPr>
          <w:rFonts w:ascii="Times New Roman" w:hAnsi="Times New Roman" w:cs="Times New Roman"/>
          <w:sz w:val="24"/>
          <w:u w:val="none"/>
          <w:lang w:val="en-GB"/>
        </w:rPr>
        <w:tab/>
        <w:t>Sign convention</w:t>
      </w:r>
      <w:bookmarkEnd w:id="11"/>
      <w:bookmarkEnd w:id="12"/>
      <w:bookmarkEnd w:id="21"/>
      <w:bookmarkEnd w:id="22"/>
      <w:bookmarkEnd w:id="23"/>
    </w:p>
    <w:p w14:paraId="7F9B0C4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9</w:t>
      </w:r>
      <w:r>
        <w:fldChar w:fldCharType="end"/>
      </w:r>
      <w:r w:rsidRPr="002A677E">
        <w:t>.</w:t>
      </w:r>
      <w:r w:rsidRPr="002A677E">
        <w:tab/>
        <w:t>Any amount that increases the own funds or the capital requirements shall be reported as a positive figure. On the contrary, any amount that reduces the total own funds or the capital requirements shall be reported as a negative figure. Where there is a negative sign (-) preceding the label of an item, no positive figure is expected to be reported for that item.</w:t>
      </w:r>
    </w:p>
    <w:p w14:paraId="7A31F9F8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10</w:t>
      </w:r>
      <w:r>
        <w:fldChar w:fldCharType="end"/>
      </w:r>
      <w:r w:rsidRPr="002A677E">
        <w:t>.</w:t>
      </w:r>
      <w:r>
        <w:t xml:space="preserve"> [empty]</w:t>
      </w:r>
    </w:p>
    <w:p w14:paraId="6A4F8FB5" w14:textId="77777777" w:rsidR="00EE75F2" w:rsidRDefault="00EE75F2"/>
    <w:p w14:paraId="09491342" w14:textId="77777777" w:rsidR="00B65435" w:rsidRDefault="00B65435"/>
    <w:sectPr w:rsidR="00B65435">
      <w:headerReference w:type="even" r:id="rId11"/>
      <w:head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57BE4" w14:textId="77777777" w:rsidR="00B65435" w:rsidRDefault="00B65435" w:rsidP="00B65435">
      <w:pPr>
        <w:spacing w:after="0" w:line="240" w:lineRule="auto"/>
      </w:pPr>
      <w:r>
        <w:separator/>
      </w:r>
    </w:p>
  </w:endnote>
  <w:endnote w:type="continuationSeparator" w:id="0">
    <w:p w14:paraId="6E413653" w14:textId="77777777" w:rsidR="00B65435" w:rsidRDefault="00B65435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F9AD2" w14:textId="77777777" w:rsidR="00B65435" w:rsidRDefault="00B65435" w:rsidP="00B65435">
      <w:pPr>
        <w:spacing w:after="0" w:line="240" w:lineRule="auto"/>
      </w:pPr>
      <w:r>
        <w:separator/>
      </w:r>
    </w:p>
  </w:footnote>
  <w:footnote w:type="continuationSeparator" w:id="0">
    <w:p w14:paraId="218FDA82" w14:textId="77777777" w:rsidR="00B65435" w:rsidRDefault="00B65435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C8024" w14:textId="75D991C5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B654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B65435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7C54E" w14:textId="4486AE37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B654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B65435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1BEAB" w14:textId="0E116B56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B654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B65435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elene Le Crann">
    <w15:presenceInfo w15:providerId="AD" w15:userId="S::Helene.LeCrann@eba.europa.eu::6a288d66-e394-4131-9b26-b15bacf199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51F25"/>
    <w:rsid w:val="00223F5C"/>
    <w:rsid w:val="004861D3"/>
    <w:rsid w:val="006028BB"/>
    <w:rsid w:val="00631623"/>
    <w:rsid w:val="006B2A2E"/>
    <w:rsid w:val="009F1E2D"/>
    <w:rsid w:val="00A6002C"/>
    <w:rsid w:val="00B65435"/>
    <w:rsid w:val="00EE75F2"/>
    <w:rsid w:val="00EF07A1"/>
    <w:rsid w:val="00EF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en-US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4861D3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4861D3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4861D3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4861D3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4861D3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4861D3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x-none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4861D3"/>
    <w:rPr>
      <w:rFonts w:ascii="Arial" w:eastAsia="Arial" w:hAnsi="Arial" w:cs="Times New Roman"/>
      <w:kern w:val="0"/>
      <w:sz w:val="16"/>
      <w:szCs w:val="16"/>
      <w:lang w:val="x-none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4861D3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4861D3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x-none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4861D3"/>
    <w:rPr>
      <w:rFonts w:ascii="Arial" w:eastAsia="Arial" w:hAnsi="Arial" w:cs="Times New Roman"/>
      <w:kern w:val="0"/>
      <w:sz w:val="14"/>
      <w:szCs w:val="14"/>
      <w:lang w:val="x-none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4861D3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4861D3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4861D3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4861D3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4861D3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4861D3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4861D3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4861D3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4861D3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4861D3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4861D3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4861D3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4861D3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4861D3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4861D3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4861D3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4861D3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4861D3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4861D3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4861D3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4861D3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4861D3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4861D3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4861D3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x-none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4861D3"/>
    <w:rPr>
      <w:rFonts w:ascii="Arial" w:eastAsia="Arial" w:hAnsi="Arial" w:cs="Times New Roman"/>
      <w:kern w:val="0"/>
      <w:sz w:val="20"/>
      <w:szCs w:val="20"/>
      <w:lang w:val="x-none" w:eastAsia="de-DE"/>
      <w14:ligatures w14:val="none"/>
    </w:rPr>
  </w:style>
  <w:style w:type="character" w:styleId="EndnoteReference">
    <w:name w:val="endnote reference"/>
    <w:uiPriority w:val="1"/>
    <w:rsid w:val="004861D3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4861D3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4861D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861D3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en-US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61D3"/>
    <w:rPr>
      <w:rFonts w:ascii="Verdana" w:eastAsia="Arial" w:hAnsi="Verdana" w:cs="Times New Roman"/>
      <w:kern w:val="0"/>
      <w:sz w:val="20"/>
      <w:szCs w:val="20"/>
      <w:lang w:val="en-US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4861D3"/>
    <w:rPr>
      <w:b/>
      <w:bCs/>
    </w:rPr>
  </w:style>
  <w:style w:type="character" w:styleId="FollowedHyperlink">
    <w:name w:val="FollowedHyperlink"/>
    <w:uiPriority w:val="99"/>
    <w:rsid w:val="004861D3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4861D3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en-US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861D3"/>
    <w:rPr>
      <w:rFonts w:ascii="Tahoma" w:eastAsia="Arial" w:hAnsi="Tahoma" w:cs="Times New Roman"/>
      <w:kern w:val="0"/>
      <w:sz w:val="16"/>
      <w:szCs w:val="16"/>
      <w:lang w:val="en-US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861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861D3"/>
    <w:rPr>
      <w:rFonts w:ascii="Verdana" w:eastAsia="Arial" w:hAnsi="Verdana" w:cs="Times New Roman"/>
      <w:b/>
      <w:bCs/>
      <w:kern w:val="0"/>
      <w:sz w:val="20"/>
      <w:szCs w:val="20"/>
      <w:lang w:val="en-US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486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4861D3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4861D3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4861D3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4861D3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4861D3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4861D3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4861D3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4861D3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4861D3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4861D3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861D3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4861D3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4861D3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4861D3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4861D3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4861D3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es-ES_tradnl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4861D3"/>
    <w:rPr>
      <w:rFonts w:ascii="Verdana" w:eastAsia="Arial" w:hAnsi="Verdana" w:cs="Times New Roman"/>
      <w:kern w:val="0"/>
      <w:sz w:val="20"/>
      <w:szCs w:val="20"/>
      <w:lang w:val="es-ES_tradnl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4861D3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4861D3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4861D3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4861D3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4861D3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de-DE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4861D3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en-US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861D3"/>
    <w:rPr>
      <w:rFonts w:ascii="Tahoma" w:eastAsia="Arial" w:hAnsi="Tahoma" w:cs="Times New Roman"/>
      <w:kern w:val="0"/>
      <w:sz w:val="16"/>
      <w:szCs w:val="16"/>
      <w:lang w:val="en-US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4861D3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4861D3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4861D3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4861D3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4861D3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4861D3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4861D3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4861D3"/>
    <w:pPr>
      <w:numPr>
        <w:numId w:val="8"/>
      </w:numPr>
    </w:pPr>
  </w:style>
  <w:style w:type="numbering" w:customStyle="1" w:styleId="Formatvorlage3">
    <w:name w:val="Formatvorlage3"/>
    <w:uiPriority w:val="99"/>
    <w:rsid w:val="004861D3"/>
    <w:pPr>
      <w:numPr>
        <w:numId w:val="16"/>
      </w:numPr>
    </w:pPr>
  </w:style>
  <w:style w:type="numbering" w:customStyle="1" w:styleId="Formatvorlage1">
    <w:name w:val="Formatvorlage1"/>
    <w:uiPriority w:val="99"/>
    <w:rsid w:val="004861D3"/>
    <w:pPr>
      <w:numPr>
        <w:numId w:val="7"/>
      </w:numPr>
    </w:pPr>
  </w:style>
  <w:style w:type="numbering" w:customStyle="1" w:styleId="Formatvorlage4">
    <w:name w:val="Formatvorlage4"/>
    <w:uiPriority w:val="99"/>
    <w:rsid w:val="004861D3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4861D3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4861D3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4861D3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4861D3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4861D3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4861D3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4861D3"/>
    <w:rPr>
      <w:color w:val="808080"/>
    </w:rPr>
  </w:style>
  <w:style w:type="paragraph" w:customStyle="1" w:styleId="Default">
    <w:name w:val="Default"/>
    <w:rsid w:val="004861D3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4861D3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861D3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48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4861D3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4861D3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4861D3"/>
    <w:pPr>
      <w:spacing w:before="240" w:after="120" w:line="276" w:lineRule="auto"/>
      <w:jc w:val="both"/>
    </w:pPr>
    <w:rPr>
      <w:rFonts w:eastAsiaTheme="minorEastAsia"/>
      <w:kern w:val="0"/>
      <w:szCs w:val="24"/>
      <w:lang w:val="en-US"/>
      <w14:ligatures w14:val="none"/>
    </w:rPr>
  </w:style>
  <w:style w:type="paragraph" w:customStyle="1" w:styleId="Applicationdirecte">
    <w:name w:val="Application directe"/>
    <w:basedOn w:val="Normal"/>
    <w:next w:val="Fait"/>
    <w:rsid w:val="004861D3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4861D3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4861D3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4861D3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4861D3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en-US"/>
      <w14:ligatures w14:val="none"/>
    </w:rPr>
  </w:style>
  <w:style w:type="paragraph" w:customStyle="1" w:styleId="Tableheader">
    <w:name w:val="Table header"/>
    <w:next w:val="Tabledata"/>
    <w:qFormat/>
    <w:rsid w:val="004861D3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en-US"/>
      <w14:ligatures w14:val="none"/>
    </w:rPr>
  </w:style>
  <w:style w:type="paragraph" w:customStyle="1" w:styleId="Tabledata">
    <w:name w:val="Table data"/>
    <w:basedOn w:val="body"/>
    <w:qFormat/>
    <w:rsid w:val="004861D3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4861D3"/>
    <w:pPr>
      <w:numPr>
        <w:numId w:val="22"/>
      </w:num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4861D3"/>
    <w:pPr>
      <w:spacing w:after="0" w:line="240" w:lineRule="auto"/>
    </w:pPr>
    <w:rPr>
      <w:rFonts w:eastAsiaTheme="minorEastAsia"/>
      <w:kern w:val="0"/>
      <w:sz w:val="24"/>
      <w:szCs w:val="24"/>
      <w:lang w:val="en-US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4861D3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en-US"/>
      <w14:ligatures w14:val="none"/>
    </w:rPr>
  </w:style>
  <w:style w:type="paragraph" w:customStyle="1" w:styleId="Titlelevel1">
    <w:name w:val="Title level 1"/>
    <w:autoRedefine/>
    <w:qFormat/>
    <w:rsid w:val="004861D3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en-US"/>
      <w14:ligatures w14:val="none"/>
    </w:rPr>
  </w:style>
  <w:style w:type="paragraph" w:customStyle="1" w:styleId="Titlelevel3">
    <w:name w:val="Title level 3"/>
    <w:qFormat/>
    <w:rsid w:val="004861D3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en-US"/>
      <w14:ligatures w14:val="none"/>
    </w:rPr>
  </w:style>
  <w:style w:type="paragraph" w:customStyle="1" w:styleId="Titlelevel4">
    <w:name w:val="Title level 4"/>
    <w:next w:val="body"/>
    <w:qFormat/>
    <w:rsid w:val="004861D3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en-US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4861D3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4861D3"/>
    <w:pPr>
      <w:spacing w:after="0" w:line="240" w:lineRule="auto"/>
    </w:pPr>
    <w:rPr>
      <w:rFonts w:eastAsiaTheme="minorEastAsia"/>
      <w:kern w:val="0"/>
      <w:sz w:val="24"/>
      <w:szCs w:val="24"/>
      <w:lang w:val="en-US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4861D3"/>
    <w:pPr>
      <w:spacing w:after="0" w:line="240" w:lineRule="auto"/>
    </w:pPr>
    <w:rPr>
      <w:rFonts w:eastAsiaTheme="minorEastAsia"/>
      <w:caps/>
      <w:kern w:val="0"/>
      <w:sz w:val="16"/>
      <w:szCs w:val="18"/>
      <w:lang w:val="en-US"/>
      <w14:ligatures w14:val="none"/>
    </w:rPr>
  </w:style>
  <w:style w:type="paragraph" w:customStyle="1" w:styleId="bullet1">
    <w:name w:val="bullet 1"/>
    <w:basedOn w:val="body"/>
    <w:next w:val="body"/>
    <w:qFormat/>
    <w:rsid w:val="004861D3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4861D3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4861D3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4861D3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en-US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861D3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en-US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4861D3"/>
  </w:style>
  <w:style w:type="paragraph" w:customStyle="1" w:styleId="Numberedtitlelevel4">
    <w:name w:val="Numbered title level 4"/>
    <w:basedOn w:val="Titlelevel4"/>
    <w:qFormat/>
    <w:rsid w:val="004861D3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4861D3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4861D3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861D3"/>
    <w:rPr>
      <w:bCs/>
      <w:lang w:val="en-GB" w:eastAsia="en-GB"/>
    </w:rPr>
  </w:style>
  <w:style w:type="paragraph" w:styleId="ListBullet">
    <w:name w:val="List Bullet"/>
    <w:basedOn w:val="Normal"/>
    <w:semiHidden/>
    <w:qFormat/>
    <w:rsid w:val="004861D3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en-US"/>
      <w14:ligatures w14:val="none"/>
    </w:rPr>
  </w:style>
  <w:style w:type="paragraph" w:customStyle="1" w:styleId="numberedparagraph">
    <w:name w:val="numbered paragraph"/>
    <w:basedOn w:val="body"/>
    <w:qFormat/>
    <w:rsid w:val="004861D3"/>
    <w:pPr>
      <w:numPr>
        <w:numId w:val="25"/>
      </w:numPr>
    </w:pPr>
  </w:style>
  <w:style w:type="character" w:customStyle="1" w:styleId="Marker">
    <w:name w:val="Marker"/>
    <w:rsid w:val="004861D3"/>
    <w:rPr>
      <w:color w:val="0000FF"/>
      <w:shd w:val="clear" w:color="auto" w:fill="auto"/>
    </w:rPr>
  </w:style>
  <w:style w:type="character" w:customStyle="1" w:styleId="Marker2">
    <w:name w:val="Marker2"/>
    <w:rsid w:val="004861D3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4861D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4861D3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4861D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4861D3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4861D3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4861D3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4861D3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4861D3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4861D3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4861D3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4861D3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en-US"/>
      <w14:ligatures w14:val="none"/>
    </w:rPr>
  </w:style>
  <w:style w:type="paragraph" w:customStyle="1" w:styleId="TableNote">
    <w:name w:val="TableNote"/>
    <w:basedOn w:val="Normal"/>
    <w:rsid w:val="004861D3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4861D3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1">
    <w:name w:val="CM3+1"/>
    <w:basedOn w:val="Default"/>
    <w:next w:val="Default"/>
    <w:uiPriority w:val="99"/>
    <w:rsid w:val="004861D3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13">
    <w:name w:val="CM1+3"/>
    <w:basedOn w:val="Default"/>
    <w:next w:val="Default"/>
    <w:uiPriority w:val="99"/>
    <w:rsid w:val="004861D3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3">
    <w:name w:val="CM3+3"/>
    <w:basedOn w:val="Default"/>
    <w:next w:val="Default"/>
    <w:uiPriority w:val="99"/>
    <w:rsid w:val="004861D3"/>
    <w:rPr>
      <w:rFonts w:ascii="EUAlbertina" w:eastAsiaTheme="minorEastAsia" w:hAnsi="EUAlbertina" w:cstheme="minorBidi"/>
      <w:color w:val="auto"/>
      <w:lang w:val="fr-F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861D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61D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4861D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8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4861D3"/>
  </w:style>
  <w:style w:type="character" w:customStyle="1" w:styleId="cf01">
    <w:name w:val="cf01"/>
    <w:basedOn w:val="DefaultParagraphFont"/>
    <w:rsid w:val="004861D3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4861D3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de-DE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4861D3"/>
    <w:rPr>
      <w:rFonts w:ascii="Liberation Serif" w:eastAsia="SimSun" w:hAnsi="Liberation Serif" w:cs="Lucida Sans"/>
      <w:kern w:val="0"/>
      <w:sz w:val="24"/>
      <w:szCs w:val="24"/>
      <w:lang w:val="de-DE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4861D3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de-DE" w:eastAsia="zh-CN" w:bidi="hi-IN"/>
      <w14:ligatures w14:val="none"/>
    </w:rPr>
  </w:style>
  <w:style w:type="character" w:customStyle="1" w:styleId="cf11">
    <w:name w:val="cf11"/>
    <w:basedOn w:val="DefaultParagraphFont"/>
    <w:rsid w:val="004861D3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dbab2e-3b56-44de-becc-0ec356b33dff">
      <Terms xmlns="http://schemas.microsoft.com/office/infopath/2007/PartnerControls"/>
    </lcf76f155ced4ddcb4097134ff3c332f>
    <TaxCatchAll xmlns="da0bec91-bd15-486a-844a-39cd7890c3e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92A754480E944A1CB10007F634BC1" ma:contentTypeVersion="15" ma:contentTypeDescription="Create a new document." ma:contentTypeScope="" ma:versionID="04fd2bbf83f61cbb7f77305d7d33018e">
  <xsd:schema xmlns:xsd="http://www.w3.org/2001/XMLSchema" xmlns:xs="http://www.w3.org/2001/XMLSchema" xmlns:p="http://schemas.microsoft.com/office/2006/metadata/properties" xmlns:ns2="82dbab2e-3b56-44de-becc-0ec356b33dff" xmlns:ns3="da0bec91-bd15-486a-844a-39cd7890c3eb" targetNamespace="http://schemas.microsoft.com/office/2006/metadata/properties" ma:root="true" ma:fieldsID="9d3dd55a588f94d6839c48f92d239bc8" ns2:_="" ns3:_="">
    <xsd:import namespace="82dbab2e-3b56-44de-becc-0ec356b33dff"/>
    <xsd:import namespace="da0bec91-bd15-486a-844a-39cd7890c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dbab2e-3b56-44de-becc-0ec356b33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39ef8c6-609c-46fa-9e5c-e4dc5d0a7c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bec91-bd15-486a-844a-39cd7890c3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c1d846e-bdaa-4578-b787-1940367c6c23}" ma:internalName="TaxCatchAll" ma:showField="CatchAllData" ma:web="da0bec91-bd15-486a-844a-39cd7890c3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50FC9BF3-AE3E-44E9-9E8E-636ADD526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dbab2e-3b56-44de-becc-0ec356b33dff"/>
    <ds:schemaRef ds:uri="da0bec91-bd15-486a-844a-39cd7890c3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97737B-98EE-4196-B8B4-638EE09FE3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2938</Words>
  <Characters>16753</Characters>
  <Application>Microsoft Office Word</Application>
  <DocSecurity>0</DocSecurity>
  <Lines>139</Lines>
  <Paragraphs>39</Paragraphs>
  <ScaleCrop>false</ScaleCrop>
  <Company>European Banking Authority</Company>
  <LinksUpToDate>false</LinksUpToDate>
  <CharactersWithSpaces>19652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2024-05-20T19:51:00Z</dcterms:created>
  <dcterms:modified xsi:type="dcterms:W3CDTF">2024-06-21T10:03:00Z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0x010100AA092A754480E944A1CB10007F634BC1</vt:lpwstr>
  </property>
</Properties>
</file>