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rFonts w:ascii="Times New Roman" w:hAnsi="Times New Roman"/>
          <w:sz w:val="24"/>
        </w:rPr>
      </w:pPr>
      <w:bookmarkStart w:id="2" w:name="_Toc262568021"/>
      <w:bookmarkStart w:id="3"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0C61E1A5" w14:textId="77777777" w:rsidR="000F1AF3" w:rsidRDefault="00D11E4C" w:rsidP="000F1AF3">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4" w:name="_Toc264033192"/>
      <w:bookmarkEnd w:id="4"/>
      <w:bookmarkEnd w:id="2"/>
      <w:bookmarkEnd w:id="3"/>
      <w:r w:rsidR="000F1AF3">
        <w:rPr>
          <w:rFonts w:ascii="Times New Roman" w:hAnsi="Times New Roman"/>
          <w:b/>
          <w:sz w:val="24"/>
          <w:lang w:eastAsia="de-DE"/>
        </w:rPr>
        <w:t xml:space="preserve">  </w:t>
      </w:r>
    </w:p>
    <w:p w14:paraId="6294B653" w14:textId="77777777" w:rsidR="000F1AF3" w:rsidRDefault="000F1AF3" w:rsidP="000F1AF3">
      <w:pPr>
        <w:rPr>
          <w:rFonts w:ascii="Times New Roman" w:hAnsi="Times New Roman"/>
          <w:b/>
          <w:sz w:val="24"/>
          <w:lang w:eastAsia="de-DE"/>
        </w:rPr>
      </w:pPr>
    </w:p>
    <w:p w14:paraId="1330A6A8" w14:textId="3DC8FCBD" w:rsidR="000F1AF3" w:rsidRPr="002A677E" w:rsidRDefault="000F1AF3" w:rsidP="000F1AF3">
      <w:pPr>
        <w:rPr>
          <w:rFonts w:ascii="Times New Roman" w:hAnsi="Times New Roman"/>
          <w:sz w:val="24"/>
        </w:rPr>
      </w:pPr>
      <w:r>
        <w:rPr>
          <w:rFonts w:ascii="Times New Roman" w:hAnsi="Times New Roman"/>
          <w:sz w:val="24"/>
        </w:rPr>
        <w:t>(…)</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5" w:name="_Toc360188322"/>
      <w:bookmarkStart w:id="6" w:name="_Toc473560870"/>
      <w:bookmarkStart w:id="7" w:name="_Toc151714358"/>
      <w:r w:rsidRPr="002A677E">
        <w:rPr>
          <w:rFonts w:ascii="Times New Roman" w:hAnsi="Times New Roman"/>
          <w:lang w:val="en-GB"/>
        </w:rPr>
        <w:t>PART II: TEMPLATE RELATED INSTRUCTIONS</w:t>
      </w:r>
      <w:bookmarkEnd w:id="5"/>
      <w:bookmarkEnd w:id="6"/>
      <w:bookmarkEnd w:id="7"/>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8" w:name="_Toc260157222"/>
      <w:bookmarkStart w:id="9" w:name="_Toc262566416"/>
      <w:bookmarkStart w:id="10" w:name="_Toc295829987"/>
      <w:bookmarkStart w:id="11" w:name="_Toc310415049"/>
      <w:bookmarkStart w:id="12" w:name="_Toc360188384"/>
      <w:bookmarkStart w:id="13" w:name="_Toc473560935"/>
      <w:bookmarkStart w:id="14" w:name="_Toc152862710"/>
      <w:bookmarkStart w:id="15" w:name="_Toc260157223"/>
      <w:bookmarkStart w:id="16" w:name="_Toc262566417"/>
      <w:bookmarkStart w:id="17" w:name="_Toc264038462"/>
      <w:bookmarkStart w:id="18" w:name="_Toc295829988"/>
      <w:bookmarkStart w:id="19"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8"/>
      <w:bookmarkEnd w:id="9"/>
      <w:bookmarkEnd w:id="10"/>
      <w:bookmarkEnd w:id="11"/>
      <w:bookmarkEnd w:id="12"/>
      <w:bookmarkEnd w:id="13"/>
      <w:bookmarkEnd w:id="14"/>
    </w:p>
    <w:p w14:paraId="06B5D48B" w14:textId="43F202D3" w:rsidR="00AC6255" w:rsidRPr="002A677E" w:rsidDel="00364120" w:rsidRDefault="00CE4C49" w:rsidP="0023700C">
      <w:pPr>
        <w:pStyle w:val="Instructionsberschrift2"/>
        <w:numPr>
          <w:ilvl w:val="0"/>
          <w:numId w:val="0"/>
        </w:numPr>
        <w:ind w:left="357" w:hanging="357"/>
        <w:rPr>
          <w:del w:id="20" w:author="Author"/>
          <w:rFonts w:ascii="Times New Roman" w:hAnsi="Times New Roman" w:cs="Times New Roman"/>
          <w:sz w:val="24"/>
          <w:lang w:val="en-GB"/>
        </w:rPr>
      </w:pPr>
      <w:bookmarkStart w:id="21" w:name="_Toc360188385"/>
      <w:bookmarkStart w:id="22" w:name="_Toc473560936"/>
      <w:del w:id="23" w:author="Author">
        <w:r w:rsidRPr="002A677E" w:rsidDel="00364120">
          <w:rPr>
            <w:rFonts w:ascii="Times New Roman" w:hAnsi="Times New Roman" w:cs="Times New Roman"/>
            <w:sz w:val="24"/>
            <w:lang w:val="en-GB"/>
          </w:rPr>
          <w:delText>4.1</w:delText>
        </w:r>
        <w:r w:rsidRPr="002A677E" w:rsidDel="00364120">
          <w:rPr>
            <w:rFonts w:ascii="Times New Roman" w:hAnsi="Times New Roman" w:cs="Times New Roman"/>
            <w:sz w:val="24"/>
            <w:lang w:val="en-GB"/>
          </w:rPr>
          <w:tab/>
        </w:r>
        <w:r w:rsidRPr="002A677E" w:rsidDel="00364120">
          <w:rPr>
            <w:rFonts w:ascii="Times New Roman" w:hAnsi="Times New Roman" w:cs="Times New Roman"/>
            <w:sz w:val="24"/>
            <w:lang w:val="en-GB"/>
          </w:rPr>
          <w:tab/>
        </w:r>
        <w:r w:rsidR="008B73EE" w:rsidRPr="002A677E" w:rsidDel="00364120">
          <w:rPr>
            <w:rFonts w:ascii="Times New Roman" w:hAnsi="Times New Roman" w:cs="Times New Roman"/>
            <w:sz w:val="24"/>
            <w:lang w:val="en-GB"/>
          </w:rPr>
          <w:delText xml:space="preserve">C 16.00 </w:delText>
        </w:r>
        <w:r w:rsidR="00AC6255" w:rsidRPr="002A677E" w:rsidDel="00364120">
          <w:rPr>
            <w:rFonts w:ascii="Times New Roman" w:hAnsi="Times New Roman" w:cs="Times New Roman"/>
            <w:sz w:val="24"/>
            <w:lang w:val="en-GB"/>
          </w:rPr>
          <w:delText>– Operational Risk</w:delText>
        </w:r>
        <w:bookmarkEnd w:id="15"/>
        <w:bookmarkEnd w:id="16"/>
        <w:bookmarkEnd w:id="17"/>
        <w:bookmarkEnd w:id="18"/>
        <w:bookmarkEnd w:id="19"/>
        <w:bookmarkEnd w:id="21"/>
        <w:r w:rsidR="008B73EE" w:rsidRPr="002A677E" w:rsidDel="00364120">
          <w:rPr>
            <w:rFonts w:ascii="Times New Roman" w:hAnsi="Times New Roman" w:cs="Times New Roman"/>
            <w:sz w:val="24"/>
            <w:lang w:val="en-GB"/>
          </w:rPr>
          <w:delText xml:space="preserve"> (OPR)</w:delText>
        </w:r>
        <w:bookmarkEnd w:id="22"/>
      </w:del>
    </w:p>
    <w:p w14:paraId="08A7854F" w14:textId="6C656681" w:rsidR="00AC6255" w:rsidRPr="002A677E" w:rsidDel="00364120" w:rsidRDefault="00CE4C49" w:rsidP="0023700C">
      <w:pPr>
        <w:pStyle w:val="Instructionsberschrift2"/>
        <w:numPr>
          <w:ilvl w:val="0"/>
          <w:numId w:val="0"/>
        </w:numPr>
        <w:ind w:left="357" w:hanging="357"/>
        <w:rPr>
          <w:del w:id="24" w:author="Author"/>
          <w:rFonts w:ascii="Times New Roman" w:hAnsi="Times New Roman" w:cs="Times New Roman"/>
          <w:sz w:val="24"/>
          <w:u w:val="none"/>
          <w:lang w:val="en-GB"/>
        </w:rPr>
      </w:pPr>
      <w:bookmarkStart w:id="25" w:name="_Toc260157224"/>
      <w:bookmarkStart w:id="26" w:name="_Toc262566418"/>
      <w:bookmarkStart w:id="27" w:name="_Toc264038463"/>
      <w:bookmarkStart w:id="28" w:name="_Toc295829989"/>
      <w:bookmarkStart w:id="29" w:name="_Toc310415051"/>
      <w:bookmarkStart w:id="30" w:name="_Toc360188386"/>
      <w:bookmarkStart w:id="31" w:name="_Toc473560937"/>
      <w:del w:id="32" w:author="Author">
        <w:r w:rsidRPr="002A677E" w:rsidDel="00364120">
          <w:rPr>
            <w:rFonts w:ascii="Times New Roman" w:hAnsi="Times New Roman" w:cs="Times New Roman"/>
            <w:sz w:val="24"/>
            <w:u w:val="none"/>
            <w:lang w:val="en-GB"/>
          </w:rPr>
          <w:delText>4.1.1</w:delText>
        </w:r>
        <w:r w:rsidRPr="002A677E" w:rsidDel="00364120">
          <w:rPr>
            <w:rFonts w:ascii="Times New Roman" w:hAnsi="Times New Roman" w:cs="Times New Roman"/>
            <w:sz w:val="24"/>
            <w:u w:val="none"/>
            <w:lang w:val="en-GB"/>
          </w:rPr>
          <w:tab/>
        </w:r>
        <w:r w:rsidR="00AC6255" w:rsidRPr="002A677E" w:rsidDel="00364120">
          <w:rPr>
            <w:rFonts w:ascii="Times New Roman" w:hAnsi="Times New Roman" w:cs="Times New Roman"/>
            <w:sz w:val="24"/>
            <w:u w:val="none"/>
            <w:lang w:val="en-GB"/>
          </w:rPr>
          <w:delText>General</w:delText>
        </w:r>
        <w:bookmarkEnd w:id="25"/>
        <w:r w:rsidR="00AC6255" w:rsidRPr="002A677E" w:rsidDel="00364120">
          <w:rPr>
            <w:rFonts w:ascii="Times New Roman" w:hAnsi="Times New Roman" w:cs="Times New Roman"/>
            <w:sz w:val="24"/>
            <w:u w:val="none"/>
            <w:lang w:val="en-GB"/>
          </w:rPr>
          <w:delText xml:space="preserve"> Remarks</w:delText>
        </w:r>
        <w:bookmarkEnd w:id="26"/>
        <w:bookmarkEnd w:id="27"/>
        <w:bookmarkEnd w:id="28"/>
        <w:bookmarkEnd w:id="29"/>
        <w:bookmarkEnd w:id="30"/>
        <w:bookmarkEnd w:id="31"/>
        <w:r w:rsidR="00AC6255" w:rsidRPr="002A677E" w:rsidDel="00364120">
          <w:rPr>
            <w:rFonts w:ascii="Times New Roman" w:hAnsi="Times New Roman" w:cs="Times New Roman"/>
            <w:sz w:val="24"/>
            <w:u w:val="none"/>
            <w:lang w:val="en-GB"/>
          </w:rPr>
          <w:delText xml:space="preserve"> </w:delText>
        </w:r>
      </w:del>
    </w:p>
    <w:p w14:paraId="1DB1CCA4" w14:textId="6363CD56"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ins w:id="33" w:author="Author">
        <w:r w:rsidR="00DB52C6">
          <w:t>[empty]</w:t>
        </w:r>
      </w:ins>
      <w:r w:rsidR="005C14B0" w:rsidRPr="002A677E">
        <w:t xml:space="preserve"> </w:t>
      </w:r>
      <w:del w:id="34" w:author="Author">
        <w:r w:rsidR="00AC6255" w:rsidRPr="002A677E" w:rsidDel="00DB52C6">
          <w:delText xml:space="preserve">This template provides information on the calculation of own funds requirements </w:delText>
        </w:r>
        <w:r w:rsidR="00BB22D4" w:rsidRPr="002A677E" w:rsidDel="00DB52C6">
          <w:delText>in accordance with</w:delText>
        </w:r>
        <w:r w:rsidR="00AC6255" w:rsidRPr="002A677E" w:rsidDel="00DB52C6">
          <w:delText xml:space="preserve"> Articles </w:delText>
        </w:r>
        <w:r w:rsidR="00474C49" w:rsidRPr="002A677E" w:rsidDel="00DB52C6">
          <w:delText>312 to 324</w:delText>
        </w:r>
        <w:r w:rsidR="00AC6255" w:rsidRPr="002A677E" w:rsidDel="00DB52C6">
          <w:delText xml:space="preserve"> </w:delText>
        </w:r>
        <w:r w:rsidR="0095353C" w:rsidRPr="001235ED" w:rsidDel="00DB52C6">
          <w:rPr>
            <w:lang w:val="en-US"/>
          </w:rPr>
          <w:delText>of Regulation (EU) No 575/2013</w:delText>
        </w:r>
        <w:r w:rsidR="00AC6255" w:rsidRPr="002A677E" w:rsidDel="00DB52C6">
          <w:delTex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delText>
        </w:r>
        <w:r w:rsidR="001C3443" w:rsidRPr="002A677E" w:rsidDel="00DB52C6">
          <w:delText>.</w:delText>
        </w:r>
      </w:del>
    </w:p>
    <w:p w14:paraId="4904781C" w14:textId="3B87611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137</w:t>
      </w:r>
      <w:r>
        <w:rPr>
          <w:noProof/>
        </w:rPr>
        <w:fldChar w:fldCharType="end"/>
      </w:r>
      <w:r w:rsidR="00125707" w:rsidRPr="002A677E">
        <w:t>.</w:t>
      </w:r>
      <w:r w:rsidR="005C14B0" w:rsidRPr="002A677E">
        <w:t xml:space="preserve"> </w:t>
      </w:r>
      <w:ins w:id="35" w:author="Author">
        <w:r w:rsidR="00DB52C6">
          <w:t xml:space="preserve">[empty] </w:t>
        </w:r>
      </w:ins>
      <w:del w:id="36" w:author="Author">
        <w:r w:rsidR="00AC6255" w:rsidRPr="002A677E" w:rsidDel="00DB52C6">
          <w:delText>Institutions using the BIA, TSA or ASA shall calculate their own funds requirement, based on the information at financial year</w:delText>
        </w:r>
        <w:r w:rsidR="001C3443" w:rsidRPr="002A677E" w:rsidDel="00DB52C6">
          <w:delText>-</w:delText>
        </w:r>
        <w:r w:rsidR="00AC6255" w:rsidRPr="002A677E" w:rsidDel="00DB52C6">
          <w:delText>end. Whe</w:delText>
        </w:r>
        <w:r w:rsidR="001C3443" w:rsidRPr="002A677E" w:rsidDel="00DB52C6">
          <w:delText>re</w:delText>
        </w:r>
        <w:r w:rsidR="00AC6255" w:rsidRPr="002A677E" w:rsidDel="00DB52C6">
          <w:delText xml:space="preserve"> audited figures are not available, institutions may use business estimates. </w:delText>
        </w:r>
        <w:r w:rsidR="001C3443" w:rsidRPr="002A677E" w:rsidDel="00DB52C6">
          <w:delText>Where</w:delText>
        </w:r>
        <w:r w:rsidR="00AC6255" w:rsidRPr="002A677E" w:rsidDel="00DB52C6">
          <w:delText xml:space="preserve"> audited figures are used, institutions </w:delText>
        </w:r>
        <w:r w:rsidR="00974150" w:rsidRPr="002A677E" w:rsidDel="00DB52C6">
          <w:delText xml:space="preserve">shall </w:delText>
        </w:r>
        <w:r w:rsidR="00AC6255" w:rsidRPr="002A677E" w:rsidDel="00DB52C6">
          <w:delText xml:space="preserve">report the audited figures </w:delText>
        </w:r>
        <w:r w:rsidR="00974150" w:rsidRPr="002A677E" w:rsidDel="00DB52C6">
          <w:delText>which</w:delText>
        </w:r>
        <w:r w:rsidR="009A1A9B" w:rsidRPr="002A677E" w:rsidDel="00DB52C6">
          <w:delText xml:space="preserve"> are expected to </w:delText>
        </w:r>
        <w:r w:rsidR="00974150" w:rsidRPr="002A677E" w:rsidDel="00DB52C6">
          <w:delText>remain unchanged</w:delText>
        </w:r>
        <w:r w:rsidR="00AC6255" w:rsidRPr="002A677E" w:rsidDel="00DB52C6">
          <w:delText>. Deviations from this "unchanged" principle are possible, for instance if during that period the exceptional circumstances, such as recent acquisitions or disposals of entities or activities, are met.</w:delText>
        </w:r>
        <w:r w:rsidR="00730040" w:rsidRPr="002A677E" w:rsidDel="00DB52C6">
          <w:delText xml:space="preserve"> </w:delText>
        </w:r>
      </w:del>
    </w:p>
    <w:p w14:paraId="4B809D6B" w14:textId="2347AFE9"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138</w:t>
      </w:r>
      <w:r>
        <w:rPr>
          <w:noProof/>
        </w:rPr>
        <w:fldChar w:fldCharType="end"/>
      </w:r>
      <w:r w:rsidR="00125707" w:rsidRPr="002A677E">
        <w:t>.</w:t>
      </w:r>
      <w:r w:rsidR="00125707" w:rsidRPr="002A677E">
        <w:tab/>
      </w:r>
      <w:ins w:id="37" w:author="Author">
        <w:r w:rsidR="00DB52C6">
          <w:t xml:space="preserve">[empty] </w:t>
        </w:r>
      </w:ins>
      <w:del w:id="38" w:author="Author">
        <w:r w:rsidR="005C14B0" w:rsidRPr="002A677E" w:rsidDel="00DB52C6">
          <w:delText xml:space="preserve"> </w:delText>
        </w:r>
        <w:r w:rsidR="001C3443" w:rsidRPr="002A677E" w:rsidDel="00DB52C6">
          <w:delText>Where</w:delText>
        </w:r>
        <w:r w:rsidR="00AC6255" w:rsidRPr="002A677E" w:rsidDel="00DB52C6">
          <w:delTex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delText>
        </w:r>
        <w:r w:rsidR="001C3443" w:rsidRPr="002A677E" w:rsidDel="00DB52C6">
          <w:delText>T</w:delText>
        </w:r>
        <w:r w:rsidR="00AC6255" w:rsidRPr="002A677E" w:rsidDel="00DB52C6">
          <w:delText xml:space="preserve">he competent authority may </w:delText>
        </w:r>
        <w:r w:rsidR="001C3443" w:rsidRPr="002A677E" w:rsidDel="00DB52C6">
          <w:delText xml:space="preserve">also </w:delText>
        </w:r>
        <w:r w:rsidR="00AC6255" w:rsidRPr="002A677E" w:rsidDel="00DB52C6">
          <w:delText xml:space="preserve">on its own initiative require an institution to modify the calculation. </w:delText>
        </w:r>
        <w:r w:rsidR="001C3443" w:rsidRPr="002A677E" w:rsidDel="00DB52C6">
          <w:delText>A</w:delText>
        </w:r>
        <w:r w:rsidR="00AC6255" w:rsidRPr="002A677E" w:rsidDel="00DB52C6">
          <w:delText xml:space="preserve">n institution </w:delText>
        </w:r>
        <w:r w:rsidR="001C3443" w:rsidRPr="002A677E" w:rsidDel="00DB52C6">
          <w:delText xml:space="preserve">that </w:delText>
        </w:r>
        <w:r w:rsidR="00AC6255" w:rsidRPr="002A677E" w:rsidDel="00DB52C6">
          <w:delText>has been in operation for less than three years may use forward looking business estimates in calculating the relevant indicator</w:delText>
        </w:r>
        <w:r w:rsidR="00B83DDE" w:rsidDel="00DB52C6">
          <w:delText>, p</w:delText>
        </w:r>
        <w:r w:rsidR="00AC6255" w:rsidRPr="002A677E" w:rsidDel="00DB52C6">
          <w:delText>rovided that it starts using historical data as soon as th</w:delText>
        </w:r>
        <w:r w:rsidR="001C3443" w:rsidRPr="002A677E" w:rsidDel="00DB52C6">
          <w:delText>ose data</w:delText>
        </w:r>
        <w:r w:rsidR="00AC6255" w:rsidRPr="002A677E" w:rsidDel="00DB52C6">
          <w:delText xml:space="preserve"> are available.</w:delText>
        </w:r>
      </w:del>
    </w:p>
    <w:p w14:paraId="2023E425" w14:textId="2961A4E3"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139</w:t>
      </w:r>
      <w:r>
        <w:rPr>
          <w:noProof/>
        </w:rPr>
        <w:fldChar w:fldCharType="end"/>
      </w:r>
      <w:r w:rsidR="00125707" w:rsidRPr="002A677E">
        <w:t>.</w:t>
      </w:r>
      <w:r w:rsidR="00125707" w:rsidRPr="002A677E">
        <w:tab/>
      </w:r>
      <w:ins w:id="39" w:author="Author">
        <w:r w:rsidR="00DB52C6">
          <w:t>[empty]</w:t>
        </w:r>
      </w:ins>
      <w:r w:rsidR="005C14B0" w:rsidRPr="002A677E">
        <w:t xml:space="preserve"> </w:t>
      </w:r>
      <w:del w:id="40" w:author="Author">
        <w:r w:rsidR="00AC6255" w:rsidRPr="002A677E" w:rsidDel="00DB52C6">
          <w:delText xml:space="preserve">By columns, this template presents information, for the three most recent years, on the amount of the relevant indicator of the banking activities subject to operational risk and </w:delText>
        </w:r>
        <w:r w:rsidR="00AC6255" w:rsidRPr="002A677E" w:rsidDel="00DB52C6">
          <w:lastRenderedPageBreak/>
          <w:delText xml:space="preserve">on the amount of loans and advances (the latter only applicable in the case of ASA). Next, information on the amount of own funds requirement for operational risk is reported. </w:delText>
        </w:r>
        <w:r w:rsidR="001C3443" w:rsidRPr="002A677E" w:rsidDel="00DB52C6">
          <w:delText>Where</w:delText>
        </w:r>
        <w:r w:rsidR="00AC6255" w:rsidRPr="002A677E" w:rsidDel="00DB52C6">
          <w:delText xml:space="preserve"> applicable, it must be detailed which part of th</w:delText>
        </w:r>
        <w:r w:rsidR="001C3443" w:rsidRPr="002A677E" w:rsidDel="00DB52C6">
          <w:delText>at</w:delText>
        </w:r>
        <w:r w:rsidR="00AC6255" w:rsidRPr="002A677E" w:rsidDel="00DB52C6">
          <w:delText xml:space="preserve"> amount is due to an allocation mechanism. Regarding AMA, memorandum items are added to present a detail of the effect of the expected loss, diversification and mitigation techniques on own funds requirement for operational risk.</w:delText>
        </w:r>
      </w:del>
    </w:p>
    <w:p w14:paraId="1BF423DA" w14:textId="43BEB953"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140</w:t>
      </w:r>
      <w:r>
        <w:rPr>
          <w:noProof/>
        </w:rPr>
        <w:fldChar w:fldCharType="end"/>
      </w:r>
      <w:r w:rsidR="00125707" w:rsidRPr="002A677E">
        <w:t>.</w:t>
      </w:r>
      <w:r w:rsidR="00125707" w:rsidRPr="002A677E">
        <w:tab/>
      </w:r>
      <w:r w:rsidR="005C14B0" w:rsidRPr="002A677E">
        <w:t xml:space="preserve"> </w:t>
      </w:r>
      <w:ins w:id="41" w:author="Author">
        <w:r w:rsidR="00DB52C6">
          <w:t xml:space="preserve">[empty] </w:t>
        </w:r>
      </w:ins>
      <w:del w:id="42" w:author="Author">
        <w:r w:rsidR="00AC6255" w:rsidRPr="002A677E" w:rsidDel="00DB52C6">
          <w:delText>By rows, information is presented by method of calculation of the operational risk own funds requirement detailing business lines for TSA and ASA.</w:delText>
        </w:r>
      </w:del>
    </w:p>
    <w:p w14:paraId="001035D2" w14:textId="3179084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141</w:t>
      </w:r>
      <w:r>
        <w:rPr>
          <w:noProof/>
        </w:rPr>
        <w:fldChar w:fldCharType="end"/>
      </w:r>
      <w:r w:rsidR="00125707" w:rsidRPr="002A677E">
        <w:t>.</w:t>
      </w:r>
      <w:r w:rsidR="00125707" w:rsidRPr="002A677E">
        <w:tab/>
      </w:r>
      <w:ins w:id="43" w:author="Author">
        <w:r w:rsidR="00DB52C6">
          <w:t>[empty]</w:t>
        </w:r>
      </w:ins>
      <w:del w:id="44" w:author="Author">
        <w:r w:rsidR="005C14B0" w:rsidRPr="002A677E" w:rsidDel="00DB52C6">
          <w:delText xml:space="preserve"> </w:delText>
        </w:r>
        <w:r w:rsidR="00AC6255" w:rsidRPr="002A677E" w:rsidDel="00DB52C6">
          <w:delText>This template shall be submitted by all institutions subject to operational risk own funds requirement.</w:delText>
        </w:r>
      </w:del>
    </w:p>
    <w:p w14:paraId="08ED61AE" w14:textId="7D3B2D70" w:rsidR="00AC6255" w:rsidRPr="002A677E" w:rsidDel="00364120" w:rsidRDefault="00125707" w:rsidP="0023700C">
      <w:pPr>
        <w:pStyle w:val="Instructionsberschrift2"/>
        <w:numPr>
          <w:ilvl w:val="0"/>
          <w:numId w:val="0"/>
        </w:numPr>
        <w:ind w:left="357" w:hanging="357"/>
        <w:rPr>
          <w:del w:id="45" w:author="Author"/>
          <w:rFonts w:ascii="Times New Roman" w:hAnsi="Times New Roman" w:cs="Times New Roman"/>
          <w:sz w:val="24"/>
          <w:lang w:val="en-GB"/>
        </w:rPr>
      </w:pPr>
      <w:bookmarkStart w:id="46" w:name="_Toc260157225"/>
      <w:bookmarkStart w:id="47" w:name="_Toc262566419"/>
      <w:bookmarkStart w:id="48" w:name="_Toc264038464"/>
      <w:bookmarkStart w:id="49" w:name="_Toc295829990"/>
      <w:bookmarkStart w:id="50" w:name="_Toc310415052"/>
      <w:bookmarkStart w:id="51" w:name="_Toc360188387"/>
      <w:bookmarkStart w:id="52" w:name="_Toc473560938"/>
      <w:del w:id="53" w:author="Author">
        <w:r w:rsidRPr="002A677E" w:rsidDel="00364120">
          <w:rPr>
            <w:rFonts w:ascii="Times New Roman" w:hAnsi="Times New Roman" w:cs="Times New Roman"/>
            <w:sz w:val="24"/>
            <w:u w:val="none"/>
            <w:lang w:val="en-GB"/>
          </w:rPr>
          <w:delText>4.1.2.</w:delText>
        </w:r>
        <w:r w:rsidRPr="002A677E" w:rsidDel="00364120">
          <w:rPr>
            <w:rFonts w:ascii="Times New Roman" w:hAnsi="Times New Roman" w:cs="Times New Roman"/>
            <w:sz w:val="24"/>
            <w:u w:val="none"/>
            <w:lang w:val="en-GB"/>
          </w:rPr>
          <w:tab/>
        </w:r>
        <w:r w:rsidR="00AC6255" w:rsidRPr="002A677E" w:rsidDel="00364120">
          <w:rPr>
            <w:rFonts w:ascii="Times New Roman" w:hAnsi="Times New Roman" w:cs="Times New Roman"/>
            <w:sz w:val="24"/>
            <w:lang w:val="en-GB"/>
          </w:rPr>
          <w:delText>Instructions concerning specific positions</w:delText>
        </w:r>
        <w:bookmarkEnd w:id="46"/>
        <w:bookmarkEnd w:id="47"/>
        <w:bookmarkEnd w:id="48"/>
        <w:bookmarkEnd w:id="49"/>
        <w:bookmarkEnd w:id="50"/>
        <w:bookmarkEnd w:id="51"/>
        <w:bookmarkEnd w:id="52"/>
      </w:del>
    </w:p>
    <w:p w14:paraId="15C90005" w14:textId="624B24BC" w:rsidR="00AC6255" w:rsidRPr="002A677E" w:rsidDel="00364120" w:rsidRDefault="00AC6255" w:rsidP="00AC6255">
      <w:pPr>
        <w:autoSpaceDE w:val="0"/>
        <w:autoSpaceDN w:val="0"/>
        <w:adjustRightInd w:val="0"/>
        <w:spacing w:before="0" w:after="0"/>
        <w:rPr>
          <w:del w:id="54" w:author="Autho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rsidDel="00364120" w14:paraId="6F42FDD9" w14:textId="7EA556A5" w:rsidTr="00672D2A">
        <w:trPr>
          <w:trHeight w:val="553"/>
          <w:del w:id="55" w:author="Author"/>
        </w:trPr>
        <w:tc>
          <w:tcPr>
            <w:tcW w:w="8862" w:type="dxa"/>
            <w:gridSpan w:val="2"/>
            <w:shd w:val="clear" w:color="auto" w:fill="CCCCCC"/>
          </w:tcPr>
          <w:p w14:paraId="5B127C9A" w14:textId="166A149C" w:rsidR="00AC6255" w:rsidRPr="002A677E" w:rsidDel="00364120" w:rsidRDefault="00AC6255" w:rsidP="000B0B09">
            <w:pPr>
              <w:autoSpaceDE w:val="0"/>
              <w:autoSpaceDN w:val="0"/>
              <w:adjustRightInd w:val="0"/>
              <w:spacing w:after="0"/>
              <w:rPr>
                <w:del w:id="56" w:author="Author"/>
                <w:rFonts w:ascii="Times New Roman" w:hAnsi="Times New Roman"/>
                <w:b/>
                <w:bCs/>
                <w:sz w:val="24"/>
                <w:lang w:eastAsia="nl-BE"/>
              </w:rPr>
            </w:pPr>
            <w:del w:id="57" w:author="Author">
              <w:r w:rsidRPr="002A677E" w:rsidDel="00364120">
                <w:rPr>
                  <w:rFonts w:ascii="Times New Roman" w:hAnsi="Times New Roman"/>
                  <w:b/>
                  <w:bCs/>
                  <w:sz w:val="24"/>
                  <w:lang w:eastAsia="nl-BE"/>
                </w:rPr>
                <w:delText>Columns</w:delText>
              </w:r>
            </w:del>
          </w:p>
        </w:tc>
      </w:tr>
      <w:tr w:rsidR="00AC6255" w:rsidRPr="002A677E" w:rsidDel="00364120" w14:paraId="4391E025" w14:textId="4E0ADDF8" w:rsidTr="00672D2A">
        <w:trPr>
          <w:del w:id="58" w:author="Author"/>
        </w:trPr>
        <w:tc>
          <w:tcPr>
            <w:tcW w:w="985" w:type="dxa"/>
          </w:tcPr>
          <w:p w14:paraId="781156A7" w14:textId="64F82F9A" w:rsidR="00AC6255" w:rsidRPr="002A677E" w:rsidDel="00364120" w:rsidRDefault="00F20C33" w:rsidP="000F70EC">
            <w:pPr>
              <w:autoSpaceDE w:val="0"/>
              <w:autoSpaceDN w:val="0"/>
              <w:adjustRightInd w:val="0"/>
              <w:spacing w:before="0" w:after="0"/>
              <w:rPr>
                <w:del w:id="59" w:author="Author"/>
                <w:rFonts w:ascii="Times New Roman" w:hAnsi="Times New Roman"/>
                <w:bCs/>
                <w:sz w:val="24"/>
                <w:lang w:eastAsia="nl-BE"/>
              </w:rPr>
            </w:pPr>
            <w:del w:id="60"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010</w:delText>
              </w:r>
              <w:r w:rsidR="000F70EC" w:rsidRPr="002A677E" w:rsidDel="00364120">
                <w:rPr>
                  <w:rFonts w:ascii="Times New Roman" w:hAnsi="Times New Roman"/>
                  <w:bCs/>
                  <w:sz w:val="24"/>
                  <w:lang w:eastAsia="nl-BE"/>
                </w:rPr>
                <w:delText>-</w:delText>
              </w: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030</w:delText>
              </w:r>
            </w:del>
          </w:p>
        </w:tc>
        <w:tc>
          <w:tcPr>
            <w:tcW w:w="7877" w:type="dxa"/>
          </w:tcPr>
          <w:p w14:paraId="4C36495E" w14:textId="6487B08B" w:rsidR="00AC6255" w:rsidRPr="002A677E" w:rsidDel="00364120" w:rsidRDefault="00AC6255" w:rsidP="000B0B09">
            <w:pPr>
              <w:autoSpaceDE w:val="0"/>
              <w:autoSpaceDN w:val="0"/>
              <w:adjustRightInd w:val="0"/>
              <w:spacing w:before="0" w:after="0"/>
              <w:jc w:val="left"/>
              <w:rPr>
                <w:del w:id="61" w:author="Author"/>
                <w:rStyle w:val="InstructionsTabelleberschrift"/>
                <w:rFonts w:ascii="Times New Roman" w:hAnsi="Times New Roman"/>
                <w:sz w:val="24"/>
              </w:rPr>
            </w:pPr>
            <w:del w:id="62" w:author="Author">
              <w:r w:rsidRPr="002A677E" w:rsidDel="00364120">
                <w:rPr>
                  <w:rStyle w:val="InstructionsTabelleberschrift"/>
                  <w:rFonts w:ascii="Times New Roman" w:hAnsi="Times New Roman"/>
                  <w:sz w:val="24"/>
                </w:rPr>
                <w:delText>RELEVANT INDICATOR</w:delText>
              </w:r>
            </w:del>
          </w:p>
          <w:p w14:paraId="59A968FF" w14:textId="448CB976" w:rsidR="00AC6255" w:rsidRPr="002A677E" w:rsidDel="00364120" w:rsidRDefault="00AC6255" w:rsidP="000B0B09">
            <w:pPr>
              <w:autoSpaceDE w:val="0"/>
              <w:autoSpaceDN w:val="0"/>
              <w:adjustRightInd w:val="0"/>
              <w:spacing w:before="0" w:after="0"/>
              <w:jc w:val="left"/>
              <w:rPr>
                <w:del w:id="63" w:author="Author"/>
                <w:rFonts w:ascii="Times New Roman" w:hAnsi="Times New Roman"/>
                <w:bCs/>
                <w:sz w:val="24"/>
                <w:lang w:eastAsia="nl-BE"/>
              </w:rPr>
            </w:pPr>
          </w:p>
          <w:p w14:paraId="532DF446" w14:textId="4C48E8CF" w:rsidR="00AC6255" w:rsidRPr="002A677E" w:rsidDel="00364120" w:rsidRDefault="00AC6255" w:rsidP="000B0B09">
            <w:pPr>
              <w:autoSpaceDE w:val="0"/>
              <w:autoSpaceDN w:val="0"/>
              <w:adjustRightInd w:val="0"/>
              <w:spacing w:before="0" w:after="0"/>
              <w:rPr>
                <w:del w:id="64" w:author="Author"/>
                <w:rFonts w:ascii="Times New Roman" w:hAnsi="Times New Roman"/>
                <w:sz w:val="24"/>
                <w:lang w:eastAsia="de-DE"/>
              </w:rPr>
            </w:pPr>
            <w:del w:id="65" w:author="Author">
              <w:r w:rsidRPr="002A677E" w:rsidDel="00364120">
                <w:rPr>
                  <w:rFonts w:ascii="Times New Roman" w:hAnsi="Times New Roman"/>
                  <w:sz w:val="24"/>
                  <w:lang w:eastAsia="de-DE"/>
                </w:rPr>
                <w:delText xml:space="preserve">Institutions using the relevant indicator to calculate the own funds requirement for operational risk (BIA, TSA and ASA) </w:delText>
              </w:r>
              <w:r w:rsidR="001C3443" w:rsidRPr="002A677E" w:rsidDel="00364120">
                <w:rPr>
                  <w:rFonts w:ascii="Times New Roman" w:hAnsi="Times New Roman"/>
                  <w:sz w:val="24"/>
                  <w:lang w:eastAsia="de-DE"/>
                </w:rPr>
                <w:delText xml:space="preserve">shall </w:delText>
              </w:r>
              <w:r w:rsidRPr="002A677E" w:rsidDel="00364120">
                <w:rPr>
                  <w:rFonts w:ascii="Times New Roman" w:hAnsi="Times New Roman"/>
                  <w:sz w:val="24"/>
                  <w:lang w:eastAsia="de-DE"/>
                </w:rPr>
                <w:delText xml:space="preserve">report </w:delText>
              </w:r>
              <w:r w:rsidR="001C3443" w:rsidRPr="002A677E" w:rsidDel="00364120">
                <w:rPr>
                  <w:rFonts w:ascii="Times New Roman" w:hAnsi="Times New Roman"/>
                  <w:sz w:val="24"/>
                  <w:lang w:eastAsia="de-DE"/>
                </w:rPr>
                <w:delText xml:space="preserve">the </w:delText>
              </w:r>
              <w:r w:rsidRPr="002A677E" w:rsidDel="00364120">
                <w:rPr>
                  <w:rFonts w:ascii="Times New Roman" w:hAnsi="Times New Roman"/>
                  <w:sz w:val="24"/>
                  <w:lang w:eastAsia="de-DE"/>
                </w:rPr>
                <w:delText xml:space="preserve">relevant indicator for the respective years in columns </w:delText>
              </w:r>
              <w:r w:rsidR="00F20C33"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010 to </w:delText>
              </w:r>
              <w:r w:rsidR="00F20C33"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030. Moreover, in case of a combined use of different approaches as referred in Article </w:delText>
              </w:r>
              <w:r w:rsidR="00474C49" w:rsidRPr="002A677E" w:rsidDel="00364120">
                <w:rPr>
                  <w:rFonts w:ascii="Times New Roman" w:hAnsi="Times New Roman"/>
                  <w:sz w:val="24"/>
                  <w:lang w:eastAsia="de-DE"/>
                </w:rPr>
                <w:delText xml:space="preserve">314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lang w:eastAsia="de-DE"/>
                </w:rPr>
                <w:delText xml:space="preserve">, institutions </w:delText>
              </w:r>
              <w:r w:rsidR="001C3443" w:rsidRPr="002A677E" w:rsidDel="00364120">
                <w:rPr>
                  <w:rFonts w:ascii="Times New Roman" w:hAnsi="Times New Roman"/>
                  <w:sz w:val="24"/>
                  <w:lang w:eastAsia="de-DE"/>
                </w:rPr>
                <w:delText xml:space="preserve">shall also </w:delText>
              </w:r>
              <w:r w:rsidRPr="002A677E" w:rsidDel="00364120">
                <w:rPr>
                  <w:rFonts w:ascii="Times New Roman" w:hAnsi="Times New Roman"/>
                  <w:sz w:val="24"/>
                  <w:lang w:eastAsia="de-DE"/>
                </w:rPr>
                <w:delText xml:space="preserve">report, for information purposes, relevant </w:delText>
              </w:r>
              <w:r w:rsidR="001C3443" w:rsidRPr="002A677E" w:rsidDel="00364120">
                <w:rPr>
                  <w:rFonts w:ascii="Times New Roman" w:hAnsi="Times New Roman"/>
                  <w:sz w:val="24"/>
                  <w:lang w:eastAsia="de-DE"/>
                </w:rPr>
                <w:delText xml:space="preserve">the </w:delText>
              </w:r>
              <w:r w:rsidRPr="002A677E" w:rsidDel="00364120">
                <w:rPr>
                  <w:rFonts w:ascii="Times New Roman" w:hAnsi="Times New Roman"/>
                  <w:sz w:val="24"/>
                  <w:lang w:eastAsia="de-DE"/>
                </w:rPr>
                <w:delText xml:space="preserve">indicator for the activities subject to AMA. </w:delText>
              </w:r>
              <w:r w:rsidR="001C3443" w:rsidRPr="002A677E" w:rsidDel="00364120">
                <w:rPr>
                  <w:rFonts w:ascii="Times New Roman" w:hAnsi="Times New Roman"/>
                  <w:sz w:val="24"/>
                  <w:lang w:eastAsia="de-DE"/>
                </w:rPr>
                <w:delText xml:space="preserve">The same shall apply </w:delText>
              </w:r>
              <w:r w:rsidRPr="002A677E" w:rsidDel="00364120">
                <w:rPr>
                  <w:rFonts w:ascii="Times New Roman" w:hAnsi="Times New Roman"/>
                  <w:sz w:val="24"/>
                  <w:lang w:eastAsia="de-DE"/>
                </w:rPr>
                <w:delText>for all other AMA banks.</w:delText>
              </w:r>
            </w:del>
          </w:p>
          <w:p w14:paraId="25010204" w14:textId="24183042" w:rsidR="00AC6255" w:rsidRPr="002A677E" w:rsidDel="00364120" w:rsidRDefault="00AC6255" w:rsidP="000B0B09">
            <w:pPr>
              <w:autoSpaceDE w:val="0"/>
              <w:autoSpaceDN w:val="0"/>
              <w:adjustRightInd w:val="0"/>
              <w:spacing w:before="0" w:after="0"/>
              <w:rPr>
                <w:del w:id="66" w:author="Author"/>
                <w:rFonts w:ascii="Times New Roman" w:hAnsi="Times New Roman"/>
                <w:bCs/>
                <w:strike/>
                <w:sz w:val="24"/>
                <w:lang w:eastAsia="nl-BE"/>
              </w:rPr>
            </w:pPr>
          </w:p>
          <w:p w14:paraId="32B70C1A" w14:textId="5DB0D072" w:rsidR="00AC6255" w:rsidRPr="002A677E" w:rsidDel="00364120" w:rsidRDefault="00AC6255" w:rsidP="000B0B09">
            <w:pPr>
              <w:autoSpaceDE w:val="0"/>
              <w:autoSpaceDN w:val="0"/>
              <w:adjustRightInd w:val="0"/>
              <w:spacing w:before="0" w:after="0"/>
              <w:rPr>
                <w:del w:id="67" w:author="Author"/>
                <w:rFonts w:ascii="Times New Roman" w:hAnsi="Times New Roman"/>
                <w:bCs/>
                <w:sz w:val="24"/>
                <w:lang w:eastAsia="nl-BE"/>
              </w:rPr>
            </w:pPr>
            <w:del w:id="68" w:author="Author">
              <w:r w:rsidRPr="002A677E" w:rsidDel="00364120">
                <w:rPr>
                  <w:rFonts w:ascii="Times New Roman" w:hAnsi="Times New Roman"/>
                  <w:sz w:val="24"/>
                  <w:lang w:eastAsia="de-DE"/>
                </w:rPr>
                <w:delText xml:space="preserve">Hereafter, the term "relevant indicator" refers to "the sum of the elements" </w:delText>
              </w:r>
              <w:r w:rsidRPr="002A677E" w:rsidDel="00364120">
                <w:rPr>
                  <w:rFonts w:ascii="Times New Roman" w:hAnsi="Times New Roman"/>
                  <w:sz w:val="24"/>
                </w:rPr>
                <w:delText>at the end of the financial year</w:delText>
              </w:r>
              <w:r w:rsidRPr="002A677E" w:rsidDel="00364120">
                <w:rPr>
                  <w:rFonts w:ascii="Times New Roman" w:hAnsi="Times New Roman"/>
                  <w:sz w:val="24"/>
                  <w:lang w:eastAsia="de-DE"/>
                </w:rPr>
                <w:delText xml:space="preserve"> as </w:delText>
              </w:r>
              <w:r w:rsidR="001C3443" w:rsidRPr="002A677E" w:rsidDel="00364120">
                <w:rPr>
                  <w:rFonts w:ascii="Times New Roman" w:hAnsi="Times New Roman"/>
                  <w:sz w:val="24"/>
                  <w:lang w:eastAsia="de-DE"/>
                </w:rPr>
                <w:delText xml:space="preserve">referred to </w:delText>
              </w:r>
              <w:r w:rsidRPr="002A677E" w:rsidDel="00364120">
                <w:rPr>
                  <w:rFonts w:ascii="Times New Roman" w:hAnsi="Times New Roman"/>
                  <w:sz w:val="24"/>
                  <w:lang w:eastAsia="de-DE"/>
                </w:rPr>
                <w:delText xml:space="preserve">in Article </w:delText>
              </w:r>
              <w:r w:rsidR="00474C49" w:rsidRPr="002A677E" w:rsidDel="00364120">
                <w:rPr>
                  <w:rFonts w:ascii="Times New Roman" w:hAnsi="Times New Roman"/>
                  <w:sz w:val="24"/>
                  <w:lang w:eastAsia="de-DE"/>
                </w:rPr>
                <w:delText>316</w:delText>
              </w:r>
              <w:r w:rsidR="00FD7CAF" w:rsidRPr="002A677E" w:rsidDel="00364120">
                <w:rPr>
                  <w:rFonts w:ascii="Times New Roman" w:hAnsi="Times New Roman"/>
                  <w:sz w:val="24"/>
                  <w:lang w:eastAsia="de-DE"/>
                </w:rPr>
                <w:delText>,</w:delText>
              </w:r>
              <w:r w:rsidR="00474C49" w:rsidRPr="002A677E" w:rsidDel="00364120">
                <w:rPr>
                  <w:rFonts w:ascii="Times New Roman" w:hAnsi="Times New Roman"/>
                  <w:sz w:val="24"/>
                  <w:lang w:eastAsia="de-DE"/>
                </w:rPr>
                <w:delText xml:space="preserve"> </w:delText>
              </w:r>
              <w:r w:rsidR="00FD7CAF" w:rsidRPr="002A677E" w:rsidDel="00364120">
                <w:rPr>
                  <w:rFonts w:ascii="Times New Roman" w:hAnsi="Times New Roman"/>
                  <w:sz w:val="24"/>
                  <w:lang w:eastAsia="de-DE"/>
                </w:rPr>
                <w:delText>Table 1</w:delText>
              </w:r>
              <w:r w:rsidR="00B83DDE" w:rsidDel="00364120">
                <w:rPr>
                  <w:rFonts w:ascii="Times New Roman" w:hAnsi="Times New Roman"/>
                  <w:sz w:val="24"/>
                  <w:lang w:eastAsia="de-DE"/>
                </w:rPr>
                <w:delText>, p</w:delText>
              </w:r>
              <w:r w:rsidR="00FD7CAF" w:rsidRPr="002A677E" w:rsidDel="00364120">
                <w:rPr>
                  <w:rFonts w:ascii="Times New Roman" w:hAnsi="Times New Roman"/>
                  <w:sz w:val="24"/>
                  <w:lang w:eastAsia="de-DE"/>
                </w:rPr>
                <w:delText>oint 1</w:delText>
              </w:r>
              <w:r w:rsidR="0095353C" w:rsidRPr="001235ED" w:rsidDel="00364120">
                <w:rPr>
                  <w:rFonts w:ascii="Times New Roman" w:hAnsi="Times New Roman"/>
                  <w:sz w:val="24"/>
                  <w:lang w:val="en-US"/>
                </w:rPr>
                <w:delText xml:space="preserve"> of Regulation (EU) No 575/2013</w:delText>
              </w:r>
              <w:r w:rsidRPr="002A677E" w:rsidDel="00364120">
                <w:rPr>
                  <w:rFonts w:ascii="Times New Roman" w:hAnsi="Times New Roman"/>
                  <w:sz w:val="24"/>
                  <w:lang w:eastAsia="de-DE"/>
                </w:rPr>
                <w:delText xml:space="preserve">. </w:delText>
              </w:r>
            </w:del>
          </w:p>
          <w:p w14:paraId="33580136" w14:textId="6339A025" w:rsidR="00AC6255" w:rsidRPr="002A677E" w:rsidDel="00364120" w:rsidRDefault="00AC6255" w:rsidP="000B0B09">
            <w:pPr>
              <w:autoSpaceDE w:val="0"/>
              <w:autoSpaceDN w:val="0"/>
              <w:adjustRightInd w:val="0"/>
              <w:spacing w:before="0" w:after="0"/>
              <w:rPr>
                <w:del w:id="69" w:author="Author"/>
                <w:rFonts w:ascii="Times New Roman" w:hAnsi="Times New Roman"/>
                <w:sz w:val="24"/>
                <w:lang w:eastAsia="de-DE"/>
              </w:rPr>
            </w:pPr>
          </w:p>
          <w:p w14:paraId="52333E32" w14:textId="619DD70C" w:rsidR="00AC6255" w:rsidRPr="002A677E" w:rsidDel="00364120" w:rsidRDefault="001C3443" w:rsidP="000B0B09">
            <w:pPr>
              <w:autoSpaceDE w:val="0"/>
              <w:autoSpaceDN w:val="0"/>
              <w:adjustRightInd w:val="0"/>
              <w:spacing w:before="0" w:after="0"/>
              <w:rPr>
                <w:del w:id="70" w:author="Author"/>
                <w:rFonts w:ascii="Times New Roman" w:hAnsi="Times New Roman"/>
                <w:sz w:val="24"/>
                <w:lang w:eastAsia="de-DE"/>
              </w:rPr>
            </w:pPr>
            <w:del w:id="71" w:author="Author">
              <w:r w:rsidRPr="002A677E" w:rsidDel="00364120">
                <w:rPr>
                  <w:rFonts w:ascii="Times New Roman" w:hAnsi="Times New Roman"/>
                  <w:sz w:val="24"/>
                  <w:lang w:eastAsia="de-DE"/>
                </w:rPr>
                <w:delText>Where</w:delText>
              </w:r>
              <w:r w:rsidR="00AC6255" w:rsidRPr="002A677E" w:rsidDel="00364120">
                <w:rPr>
                  <w:rFonts w:ascii="Times New Roman" w:hAnsi="Times New Roman"/>
                  <w:sz w:val="24"/>
                  <w:lang w:eastAsia="de-DE"/>
                </w:rPr>
                <w:delText xml:space="preserve"> the institution has less than 3 years of data on “relevant indicator” available, the available historical data (audited figures) </w:delText>
              </w:r>
              <w:r w:rsidR="00B811B0" w:rsidRPr="002A677E" w:rsidDel="00364120">
                <w:rPr>
                  <w:rFonts w:ascii="Times New Roman" w:hAnsi="Times New Roman"/>
                  <w:sz w:val="24"/>
                  <w:lang w:eastAsia="de-DE"/>
                </w:rPr>
                <w:delText>shall</w:delText>
              </w:r>
              <w:r w:rsidR="00AC6255" w:rsidRPr="002A677E" w:rsidDel="00364120">
                <w:rPr>
                  <w:rFonts w:ascii="Times New Roman" w:hAnsi="Times New Roman"/>
                  <w:sz w:val="24"/>
                  <w:lang w:eastAsia="de-DE"/>
                </w:rPr>
                <w:delText xml:space="preserve"> be assigned by priority to the corresponding columns in the </w:delText>
              </w:r>
              <w:r w:rsidR="00133396" w:rsidRPr="002A677E" w:rsidDel="00364120">
                <w:rPr>
                  <w:rFonts w:ascii="Times New Roman" w:hAnsi="Times New Roman"/>
                  <w:sz w:val="24"/>
                  <w:lang w:eastAsia="de-DE"/>
                </w:rPr>
                <w:delText>template</w:delText>
              </w:r>
              <w:r w:rsidR="00AC6255" w:rsidRPr="002A677E" w:rsidDel="00364120">
                <w:rPr>
                  <w:rFonts w:ascii="Times New Roman" w:hAnsi="Times New Roman"/>
                  <w:sz w:val="24"/>
                  <w:lang w:eastAsia="de-DE"/>
                </w:rPr>
                <w:delText xml:space="preserve">. </w:delText>
              </w:r>
              <w:r w:rsidRPr="002A677E" w:rsidDel="00364120">
                <w:rPr>
                  <w:rFonts w:ascii="Times New Roman" w:hAnsi="Times New Roman"/>
                  <w:sz w:val="24"/>
                  <w:lang w:eastAsia="de-DE"/>
                </w:rPr>
                <w:delText>Where</w:delText>
              </w:r>
              <w:r w:rsidR="00AC6255" w:rsidRPr="002A677E" w:rsidDel="00364120">
                <w:rPr>
                  <w:rFonts w:ascii="Times New Roman" w:hAnsi="Times New Roman"/>
                  <w:sz w:val="24"/>
                  <w:lang w:eastAsia="de-DE"/>
                </w:rPr>
                <w:delText xml:space="preserve">, for instance, historical data for only one year is available, </w:delText>
              </w:r>
              <w:r w:rsidRPr="002A677E" w:rsidDel="00364120">
                <w:rPr>
                  <w:rFonts w:ascii="Times New Roman" w:hAnsi="Times New Roman"/>
                  <w:sz w:val="24"/>
                  <w:lang w:eastAsia="de-DE"/>
                </w:rPr>
                <w:delText>those data</w:delText>
              </w:r>
              <w:r w:rsidR="00AC6255" w:rsidRPr="002A677E" w:rsidDel="00364120">
                <w:rPr>
                  <w:rFonts w:ascii="Times New Roman" w:hAnsi="Times New Roman"/>
                  <w:sz w:val="24"/>
                  <w:lang w:eastAsia="de-DE"/>
                </w:rPr>
                <w:delText xml:space="preserve"> </w:delText>
              </w:r>
              <w:r w:rsidR="00B811B0" w:rsidRPr="002A677E" w:rsidDel="00364120">
                <w:rPr>
                  <w:rFonts w:ascii="Times New Roman" w:hAnsi="Times New Roman"/>
                  <w:sz w:val="24"/>
                  <w:lang w:eastAsia="de-DE"/>
                </w:rPr>
                <w:delText>shall</w:delText>
              </w:r>
              <w:r w:rsidR="00AC6255" w:rsidRPr="002A677E" w:rsidDel="00364120">
                <w:rPr>
                  <w:rFonts w:ascii="Times New Roman" w:hAnsi="Times New Roman"/>
                  <w:sz w:val="24"/>
                  <w:lang w:eastAsia="de-DE"/>
                </w:rPr>
                <w:delText xml:space="preserve"> be reported in column </w:delText>
              </w:r>
              <w:r w:rsidR="00F20C33" w:rsidRPr="002A677E" w:rsidDel="00364120">
                <w:rPr>
                  <w:rFonts w:ascii="Times New Roman" w:hAnsi="Times New Roman"/>
                  <w:sz w:val="24"/>
                  <w:lang w:eastAsia="de-DE"/>
                </w:rPr>
                <w:delText>0</w:delText>
              </w:r>
              <w:r w:rsidR="00AC6255" w:rsidRPr="002A677E" w:rsidDel="00364120">
                <w:rPr>
                  <w:rFonts w:ascii="Times New Roman" w:hAnsi="Times New Roman"/>
                  <w:sz w:val="24"/>
                  <w:lang w:eastAsia="de-DE"/>
                </w:rPr>
                <w:delText xml:space="preserve">030. </w:delText>
              </w:r>
              <w:r w:rsidRPr="002A677E" w:rsidDel="00364120">
                <w:rPr>
                  <w:rFonts w:ascii="Times New Roman" w:hAnsi="Times New Roman"/>
                  <w:sz w:val="24"/>
                  <w:lang w:eastAsia="de-DE"/>
                </w:rPr>
                <w:delText>Where</w:delText>
              </w:r>
              <w:r w:rsidR="00AC6255" w:rsidRPr="002A677E" w:rsidDel="00364120">
                <w:rPr>
                  <w:rFonts w:ascii="Times New Roman" w:hAnsi="Times New Roman"/>
                  <w:sz w:val="24"/>
                  <w:lang w:eastAsia="de-DE"/>
                </w:rPr>
                <w:delText xml:space="preserve"> it seems reasonable, the forward looking estimates </w:delText>
              </w:r>
              <w:r w:rsidR="00B811B0" w:rsidRPr="002A677E" w:rsidDel="00364120">
                <w:rPr>
                  <w:rFonts w:ascii="Times New Roman" w:hAnsi="Times New Roman"/>
                  <w:sz w:val="24"/>
                  <w:lang w:eastAsia="de-DE"/>
                </w:rPr>
                <w:delText>shall</w:delText>
              </w:r>
              <w:r w:rsidR="00AC6255" w:rsidRPr="002A677E" w:rsidDel="00364120">
                <w:rPr>
                  <w:rFonts w:ascii="Times New Roman" w:hAnsi="Times New Roman"/>
                  <w:sz w:val="24"/>
                  <w:lang w:eastAsia="de-DE"/>
                </w:rPr>
                <w:delText xml:space="preserve"> be included in column </w:delText>
              </w:r>
              <w:r w:rsidR="00F20C33" w:rsidRPr="002A677E" w:rsidDel="00364120">
                <w:rPr>
                  <w:rFonts w:ascii="Times New Roman" w:hAnsi="Times New Roman"/>
                  <w:sz w:val="24"/>
                  <w:lang w:eastAsia="de-DE"/>
                </w:rPr>
                <w:delText>0</w:delText>
              </w:r>
              <w:r w:rsidR="00AC6255" w:rsidRPr="002A677E" w:rsidDel="00364120">
                <w:rPr>
                  <w:rFonts w:ascii="Times New Roman" w:hAnsi="Times New Roman"/>
                  <w:sz w:val="24"/>
                  <w:lang w:eastAsia="de-DE"/>
                </w:rPr>
                <w:delText xml:space="preserve">020 (estimate of next year) and column </w:delText>
              </w:r>
              <w:r w:rsidR="00F20C33" w:rsidRPr="002A677E" w:rsidDel="00364120">
                <w:rPr>
                  <w:rFonts w:ascii="Times New Roman" w:hAnsi="Times New Roman"/>
                  <w:sz w:val="24"/>
                  <w:lang w:eastAsia="de-DE"/>
                </w:rPr>
                <w:delText>0</w:delText>
              </w:r>
              <w:r w:rsidR="00AC6255" w:rsidRPr="002A677E" w:rsidDel="00364120">
                <w:rPr>
                  <w:rFonts w:ascii="Times New Roman" w:hAnsi="Times New Roman"/>
                  <w:sz w:val="24"/>
                  <w:lang w:eastAsia="de-DE"/>
                </w:rPr>
                <w:delText>010 (estimate of year +2).</w:delText>
              </w:r>
            </w:del>
          </w:p>
          <w:p w14:paraId="12E5EC3E" w14:textId="7F4FE365" w:rsidR="00AC6255" w:rsidRPr="002A677E" w:rsidDel="00364120" w:rsidRDefault="00AC6255" w:rsidP="000B0B09">
            <w:pPr>
              <w:autoSpaceDE w:val="0"/>
              <w:autoSpaceDN w:val="0"/>
              <w:adjustRightInd w:val="0"/>
              <w:spacing w:before="0" w:after="0"/>
              <w:rPr>
                <w:del w:id="72" w:author="Author"/>
                <w:rFonts w:ascii="Times New Roman" w:hAnsi="Times New Roman"/>
                <w:i/>
                <w:sz w:val="24"/>
              </w:rPr>
            </w:pPr>
          </w:p>
          <w:p w14:paraId="19A4C577" w14:textId="3A5D09A7" w:rsidR="00AC6255" w:rsidRPr="002A677E" w:rsidDel="00364120" w:rsidRDefault="00AC6255" w:rsidP="000B0B09">
            <w:pPr>
              <w:autoSpaceDE w:val="0"/>
              <w:autoSpaceDN w:val="0"/>
              <w:adjustRightInd w:val="0"/>
              <w:spacing w:before="0" w:after="0"/>
              <w:rPr>
                <w:del w:id="73" w:author="Author"/>
                <w:rFonts w:ascii="Times New Roman" w:hAnsi="Times New Roman"/>
                <w:sz w:val="24"/>
              </w:rPr>
            </w:pPr>
            <w:del w:id="74" w:author="Author">
              <w:r w:rsidRPr="002A677E" w:rsidDel="00364120">
                <w:rPr>
                  <w:rFonts w:ascii="Times New Roman" w:hAnsi="Times New Roman"/>
                  <w:sz w:val="24"/>
                </w:rPr>
                <w:delText>Furthermore</w:delText>
              </w:r>
              <w:r w:rsidR="001C3443" w:rsidRPr="002A677E" w:rsidDel="00364120">
                <w:rPr>
                  <w:rFonts w:ascii="Times New Roman" w:hAnsi="Times New Roman"/>
                  <w:sz w:val="24"/>
                </w:rPr>
                <w:delText>,</w:delText>
              </w:r>
              <w:r w:rsidRPr="002A677E" w:rsidDel="00364120">
                <w:rPr>
                  <w:rFonts w:ascii="Times New Roman" w:hAnsi="Times New Roman"/>
                  <w:sz w:val="24"/>
                </w:rPr>
                <w:delText xml:space="preserve"> </w:delText>
              </w:r>
              <w:r w:rsidR="001C3443" w:rsidRPr="002A677E" w:rsidDel="00364120">
                <w:rPr>
                  <w:rFonts w:ascii="Times New Roman" w:hAnsi="Times New Roman"/>
                  <w:sz w:val="24"/>
                </w:rPr>
                <w:delText>where</w:delText>
              </w:r>
              <w:r w:rsidRPr="002A677E" w:rsidDel="00364120">
                <w:rPr>
                  <w:rFonts w:ascii="Times New Roman" w:hAnsi="Times New Roman"/>
                  <w:sz w:val="24"/>
                </w:rPr>
                <w:delText xml:space="preserve"> there are no historical data on </w:delText>
              </w:r>
              <w:r w:rsidRPr="002A677E" w:rsidDel="00364120">
                <w:rPr>
                  <w:rFonts w:ascii="Times New Roman" w:hAnsi="Times New Roman"/>
                  <w:sz w:val="24"/>
                  <w:lang w:eastAsia="de-DE"/>
                </w:rPr>
                <w:delText xml:space="preserve">"relevant indicator" </w:delText>
              </w:r>
              <w:r w:rsidRPr="002A677E" w:rsidDel="00364120">
                <w:rPr>
                  <w:rFonts w:ascii="Times New Roman" w:hAnsi="Times New Roman"/>
                  <w:sz w:val="24"/>
                </w:rPr>
                <w:delText>available</w:delText>
              </w:r>
              <w:r w:rsidR="001C3443" w:rsidRPr="002A677E" w:rsidDel="00364120">
                <w:rPr>
                  <w:rFonts w:ascii="Times New Roman" w:hAnsi="Times New Roman"/>
                  <w:sz w:val="24"/>
                </w:rPr>
                <w:delText>,</w:delText>
              </w:r>
              <w:r w:rsidRPr="002A677E" w:rsidDel="00364120">
                <w:rPr>
                  <w:rFonts w:ascii="Times New Roman" w:hAnsi="Times New Roman"/>
                  <w:sz w:val="24"/>
                </w:rPr>
                <w:delText xml:space="preserve"> the institution may use forward-looking business estimates.</w:delText>
              </w:r>
            </w:del>
          </w:p>
          <w:p w14:paraId="61382FE2" w14:textId="1E4812ED" w:rsidR="00AC6255" w:rsidRPr="002A677E" w:rsidDel="00364120" w:rsidRDefault="00AC6255" w:rsidP="000B0B09">
            <w:pPr>
              <w:autoSpaceDE w:val="0"/>
              <w:autoSpaceDN w:val="0"/>
              <w:adjustRightInd w:val="0"/>
              <w:spacing w:before="0" w:after="0"/>
              <w:jc w:val="left"/>
              <w:rPr>
                <w:del w:id="75" w:author="Author"/>
                <w:rFonts w:ascii="Times New Roman" w:hAnsi="Times New Roman"/>
                <w:bCs/>
                <w:sz w:val="24"/>
                <w:lang w:eastAsia="nl-BE"/>
              </w:rPr>
            </w:pPr>
          </w:p>
        </w:tc>
      </w:tr>
      <w:tr w:rsidR="00AC6255" w:rsidRPr="002A677E" w:rsidDel="00364120" w14:paraId="6E5A5B69" w14:textId="59DCD624" w:rsidTr="00672D2A">
        <w:trPr>
          <w:del w:id="76" w:author="Author"/>
        </w:trPr>
        <w:tc>
          <w:tcPr>
            <w:tcW w:w="985" w:type="dxa"/>
          </w:tcPr>
          <w:p w14:paraId="4E50CC9F" w14:textId="17C82BA3" w:rsidR="00AC6255" w:rsidRPr="002A677E" w:rsidDel="00364120" w:rsidRDefault="00F20C33" w:rsidP="000F70EC">
            <w:pPr>
              <w:autoSpaceDE w:val="0"/>
              <w:autoSpaceDN w:val="0"/>
              <w:adjustRightInd w:val="0"/>
              <w:spacing w:before="0" w:after="0"/>
              <w:rPr>
                <w:del w:id="77" w:author="Author"/>
                <w:rFonts w:ascii="Times New Roman" w:hAnsi="Times New Roman"/>
                <w:bCs/>
                <w:sz w:val="24"/>
                <w:lang w:eastAsia="nl-BE"/>
              </w:rPr>
            </w:pPr>
            <w:del w:id="78"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040-</w:delText>
              </w: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060</w:delText>
              </w:r>
            </w:del>
          </w:p>
        </w:tc>
        <w:tc>
          <w:tcPr>
            <w:tcW w:w="7877" w:type="dxa"/>
          </w:tcPr>
          <w:p w14:paraId="0CC6E028" w14:textId="07436D53" w:rsidR="00AC6255" w:rsidRPr="002A677E" w:rsidDel="00364120" w:rsidRDefault="00AC6255" w:rsidP="000B0B09">
            <w:pPr>
              <w:autoSpaceDE w:val="0"/>
              <w:autoSpaceDN w:val="0"/>
              <w:adjustRightInd w:val="0"/>
              <w:spacing w:before="0" w:after="0"/>
              <w:jc w:val="left"/>
              <w:rPr>
                <w:del w:id="79" w:author="Author"/>
                <w:rStyle w:val="InstructionsTabelleberschrift"/>
                <w:rFonts w:ascii="Times New Roman" w:hAnsi="Times New Roman"/>
                <w:sz w:val="24"/>
              </w:rPr>
            </w:pPr>
            <w:del w:id="80" w:author="Author">
              <w:r w:rsidRPr="002A677E" w:rsidDel="00364120">
                <w:rPr>
                  <w:rStyle w:val="InstructionsTabelleberschrift"/>
                  <w:rFonts w:ascii="Times New Roman" w:hAnsi="Times New Roman"/>
                  <w:sz w:val="24"/>
                </w:rPr>
                <w:delText>LOANS AND ADVANCES (IN THE CASE OF ASA APPLICATION)</w:delText>
              </w:r>
            </w:del>
          </w:p>
          <w:p w14:paraId="449223B1" w14:textId="40C5BF53" w:rsidR="00AC6255" w:rsidRPr="002A677E" w:rsidDel="00364120" w:rsidRDefault="00AC6255" w:rsidP="000B0B09">
            <w:pPr>
              <w:autoSpaceDE w:val="0"/>
              <w:autoSpaceDN w:val="0"/>
              <w:adjustRightInd w:val="0"/>
              <w:spacing w:before="0" w:after="0"/>
              <w:jc w:val="left"/>
              <w:rPr>
                <w:del w:id="81" w:author="Author"/>
                <w:rFonts w:ascii="Times New Roman" w:hAnsi="Times New Roman"/>
                <w:bCs/>
                <w:sz w:val="24"/>
                <w:lang w:eastAsia="nl-BE"/>
              </w:rPr>
            </w:pPr>
          </w:p>
          <w:p w14:paraId="357009E1" w14:textId="06E0D6EC" w:rsidR="00AC6255" w:rsidRPr="002A677E" w:rsidDel="00364120" w:rsidRDefault="00AC6255" w:rsidP="000B0B09">
            <w:pPr>
              <w:autoSpaceDE w:val="0"/>
              <w:autoSpaceDN w:val="0"/>
              <w:adjustRightInd w:val="0"/>
              <w:spacing w:before="0" w:after="0"/>
              <w:rPr>
                <w:del w:id="82" w:author="Author"/>
                <w:rFonts w:ascii="Times New Roman" w:hAnsi="Times New Roman"/>
                <w:sz w:val="24"/>
              </w:rPr>
            </w:pPr>
            <w:del w:id="83" w:author="Author">
              <w:r w:rsidRPr="002A677E" w:rsidDel="00364120">
                <w:rPr>
                  <w:rFonts w:ascii="Times New Roman" w:hAnsi="Times New Roman"/>
                  <w:sz w:val="24"/>
                </w:rPr>
                <w:delText>These columns shall be used to report the amounts of the loans and advances</w:delText>
              </w:r>
              <w:r w:rsidR="0023276A" w:rsidRPr="002A677E" w:rsidDel="00364120">
                <w:rPr>
                  <w:rFonts w:ascii="Times New Roman" w:hAnsi="Times New Roman"/>
                  <w:sz w:val="24"/>
                </w:rPr>
                <w:delText>,</w:delText>
              </w:r>
              <w:r w:rsidRPr="002A677E" w:rsidDel="00364120">
                <w:rPr>
                  <w:rFonts w:ascii="Times New Roman" w:hAnsi="Times New Roman"/>
                  <w:sz w:val="24"/>
                </w:rPr>
                <w:delText xml:space="preserve"> </w:delText>
              </w:r>
              <w:r w:rsidR="0023276A" w:rsidRPr="002A677E" w:rsidDel="00364120">
                <w:rPr>
                  <w:rFonts w:ascii="Times New Roman" w:hAnsi="Times New Roman"/>
                  <w:sz w:val="24"/>
                </w:rPr>
                <w:delText>as referred to in</w:delText>
              </w:r>
              <w:r w:rsidR="00402284" w:rsidDel="00364120">
                <w:rPr>
                  <w:rFonts w:ascii="Times New Roman" w:hAnsi="Times New Roman"/>
                  <w:sz w:val="24"/>
                </w:rPr>
                <w:delText xml:space="preserve"> </w:delText>
              </w:r>
              <w:r w:rsidR="0023276A" w:rsidRPr="002A677E" w:rsidDel="00364120">
                <w:rPr>
                  <w:rFonts w:ascii="Times New Roman" w:hAnsi="Times New Roman"/>
                  <w:sz w:val="24"/>
                </w:rPr>
                <w:delText>Article 319(1)</w:delText>
              </w:r>
              <w:r w:rsidR="00B83DDE" w:rsidDel="00364120">
                <w:rPr>
                  <w:rFonts w:ascii="Times New Roman" w:hAnsi="Times New Roman"/>
                  <w:sz w:val="24"/>
                </w:rPr>
                <w:delText>, p</w:delText>
              </w:r>
              <w:r w:rsidR="00FD7CAF" w:rsidRPr="002A677E" w:rsidDel="00364120">
                <w:rPr>
                  <w:rFonts w:ascii="Times New Roman" w:hAnsi="Times New Roman"/>
                  <w:sz w:val="24"/>
                </w:rPr>
                <w:delText>oint (b)</w:delText>
              </w:r>
              <w:r w:rsidR="00BE1277" w:rsidDel="00364120">
                <w:rPr>
                  <w:rFonts w:ascii="Times New Roman" w:hAnsi="Times New Roman"/>
                  <w:sz w:val="24"/>
                </w:rPr>
                <w:delText>,</w:delText>
              </w:r>
              <w:r w:rsidR="00FD7CAF" w:rsidRPr="002A677E" w:rsidDel="00364120">
                <w:rPr>
                  <w:rFonts w:ascii="Times New Roman" w:hAnsi="Times New Roman"/>
                  <w:sz w:val="24"/>
                </w:rPr>
                <w:delText xml:space="preserve"> </w:delText>
              </w:r>
              <w:r w:rsidR="0095353C" w:rsidRPr="001235ED" w:rsidDel="00364120">
                <w:rPr>
                  <w:rFonts w:ascii="Times New Roman" w:hAnsi="Times New Roman"/>
                  <w:sz w:val="24"/>
                  <w:lang w:val="en-US"/>
                </w:rPr>
                <w:delText>of Regulation (EU) No 575/2013</w:delText>
              </w:r>
              <w:r w:rsidR="0023276A" w:rsidRPr="002A677E" w:rsidDel="00364120">
                <w:rPr>
                  <w:rFonts w:ascii="Times New Roman" w:hAnsi="Times New Roman"/>
                  <w:sz w:val="24"/>
                  <w:lang w:eastAsia="de-DE"/>
                </w:rPr>
                <w:delText>,</w:delText>
              </w:r>
              <w:r w:rsidR="0023276A" w:rsidRPr="002A677E" w:rsidDel="00364120">
                <w:rPr>
                  <w:rFonts w:ascii="Times New Roman" w:hAnsi="Times New Roman"/>
                  <w:sz w:val="24"/>
                </w:rPr>
                <w:delText xml:space="preserve"> </w:delText>
              </w:r>
              <w:r w:rsidRPr="002A677E" w:rsidDel="00364120">
                <w:rPr>
                  <w:rFonts w:ascii="Times New Roman" w:hAnsi="Times New Roman"/>
                  <w:sz w:val="24"/>
                </w:rPr>
                <w:delText>for business lines “</w:delText>
              </w:r>
              <w:r w:rsidR="001C3443" w:rsidRPr="002A677E" w:rsidDel="00364120">
                <w:rPr>
                  <w:rFonts w:ascii="Times New Roman" w:hAnsi="Times New Roman"/>
                  <w:sz w:val="24"/>
                </w:rPr>
                <w:delText>c</w:delText>
              </w:r>
              <w:r w:rsidRPr="002A677E" w:rsidDel="00364120">
                <w:rPr>
                  <w:rFonts w:ascii="Times New Roman" w:hAnsi="Times New Roman"/>
                  <w:sz w:val="24"/>
                </w:rPr>
                <w:delText>ommercial banking” and “</w:delText>
              </w:r>
              <w:r w:rsidR="001C3443" w:rsidRPr="002A677E" w:rsidDel="00364120">
                <w:rPr>
                  <w:rFonts w:ascii="Times New Roman" w:hAnsi="Times New Roman"/>
                  <w:sz w:val="24"/>
                </w:rPr>
                <w:delText>r</w:delText>
              </w:r>
              <w:r w:rsidRPr="002A677E" w:rsidDel="00364120">
                <w:rPr>
                  <w:rFonts w:ascii="Times New Roman" w:hAnsi="Times New Roman"/>
                  <w:sz w:val="24"/>
                </w:rPr>
                <w:delText>etail banking”. Th</w:delText>
              </w:r>
              <w:r w:rsidR="001C3443" w:rsidRPr="002A677E" w:rsidDel="00364120">
                <w:rPr>
                  <w:rFonts w:ascii="Times New Roman" w:hAnsi="Times New Roman"/>
                  <w:sz w:val="24"/>
                </w:rPr>
                <w:delText>o</w:delText>
              </w:r>
              <w:r w:rsidRPr="002A677E" w:rsidDel="00364120">
                <w:rPr>
                  <w:rFonts w:ascii="Times New Roman" w:hAnsi="Times New Roman"/>
                  <w:sz w:val="24"/>
                </w:rPr>
                <w:delText xml:space="preserve">se amounts shall be used to calculate the alternative relevant indicator that leads to the own funds requirements corresponding to the activities subject to </w:delText>
              </w:r>
              <w:r w:rsidR="001C3443" w:rsidRPr="002A677E" w:rsidDel="00364120">
                <w:rPr>
                  <w:rFonts w:ascii="Times New Roman" w:hAnsi="Times New Roman"/>
                  <w:sz w:val="24"/>
                </w:rPr>
                <w:delText>the alternative standard approach</w:delText>
              </w:r>
              <w:r w:rsidRPr="002A677E" w:rsidDel="00364120">
                <w:rPr>
                  <w:rFonts w:ascii="Times New Roman" w:hAnsi="Times New Roman"/>
                  <w:sz w:val="24"/>
                </w:rPr>
                <w:delText xml:space="preserve"> (Article </w:delText>
              </w:r>
              <w:r w:rsidR="00474C49" w:rsidRPr="002A677E" w:rsidDel="00364120">
                <w:rPr>
                  <w:rFonts w:ascii="Times New Roman" w:hAnsi="Times New Roman"/>
                  <w:sz w:val="24"/>
                </w:rPr>
                <w:delText>319</w:delText>
              </w:r>
              <w:r w:rsidRPr="002A677E" w:rsidDel="00364120">
                <w:rPr>
                  <w:rFonts w:ascii="Times New Roman" w:hAnsi="Times New Roman"/>
                  <w:sz w:val="24"/>
                </w:rPr>
                <w:delText>(1)</w:delText>
              </w:r>
              <w:r w:rsidR="00B83DDE" w:rsidDel="00364120">
                <w:rPr>
                  <w:rFonts w:ascii="Times New Roman" w:hAnsi="Times New Roman"/>
                  <w:sz w:val="24"/>
                </w:rPr>
                <w:delText>, p</w:delText>
              </w:r>
              <w:r w:rsidR="00FD7CAF" w:rsidRPr="002A677E" w:rsidDel="00364120">
                <w:rPr>
                  <w:rFonts w:ascii="Times New Roman" w:hAnsi="Times New Roman"/>
                  <w:sz w:val="24"/>
                </w:rPr>
                <w:delText>oint (a)</w:delText>
              </w:r>
              <w:r w:rsidR="00CF5957" w:rsidDel="00364120">
                <w:rPr>
                  <w:rFonts w:ascii="Times New Roman" w:hAnsi="Times New Roman"/>
                  <w:sz w:val="24"/>
                </w:rPr>
                <w:delText>,</w:delText>
              </w:r>
              <w:r w:rsidR="00FD7CAF" w:rsidRPr="002A677E" w:rsidDel="00364120">
                <w:rPr>
                  <w:rFonts w:ascii="Times New Roman" w:hAnsi="Times New Roman"/>
                  <w:sz w:val="24"/>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rPr>
                <w:delText xml:space="preserve">). </w:delText>
              </w:r>
            </w:del>
          </w:p>
          <w:p w14:paraId="2637C8A4" w14:textId="7AA1C2EB" w:rsidR="00AC6255" w:rsidRPr="002A677E" w:rsidDel="00364120" w:rsidRDefault="00AC6255" w:rsidP="000B0B09">
            <w:pPr>
              <w:autoSpaceDE w:val="0"/>
              <w:autoSpaceDN w:val="0"/>
              <w:adjustRightInd w:val="0"/>
              <w:spacing w:before="0" w:after="0"/>
              <w:rPr>
                <w:del w:id="84" w:author="Author"/>
                <w:rFonts w:ascii="Times New Roman" w:hAnsi="Times New Roman"/>
                <w:sz w:val="24"/>
              </w:rPr>
            </w:pPr>
          </w:p>
          <w:p w14:paraId="4519157E" w14:textId="1709465B" w:rsidR="00AC6255" w:rsidRPr="002A677E" w:rsidDel="00364120" w:rsidRDefault="00AC6255" w:rsidP="000B0B09">
            <w:pPr>
              <w:autoSpaceDE w:val="0"/>
              <w:autoSpaceDN w:val="0"/>
              <w:adjustRightInd w:val="0"/>
              <w:spacing w:before="0" w:after="0"/>
              <w:rPr>
                <w:del w:id="85" w:author="Author"/>
                <w:rFonts w:ascii="Times New Roman" w:hAnsi="Times New Roman"/>
                <w:bCs/>
                <w:sz w:val="24"/>
                <w:lang w:eastAsia="nl-BE"/>
              </w:rPr>
            </w:pPr>
            <w:del w:id="86" w:author="Author">
              <w:r w:rsidRPr="002A677E" w:rsidDel="00364120">
                <w:rPr>
                  <w:rFonts w:ascii="Times New Roman" w:hAnsi="Times New Roman"/>
                  <w:sz w:val="24"/>
                </w:rPr>
                <w:lastRenderedPageBreak/>
                <w:delText>For the "commercial banking" business line, securities held in the non-trading book shall also be included.</w:delText>
              </w:r>
            </w:del>
          </w:p>
        </w:tc>
      </w:tr>
      <w:tr w:rsidR="00AC6255" w:rsidRPr="002A677E" w:rsidDel="00364120" w14:paraId="32F72FFF" w14:textId="0CFA1BB5" w:rsidTr="00672D2A">
        <w:trPr>
          <w:del w:id="87" w:author="Author"/>
        </w:trPr>
        <w:tc>
          <w:tcPr>
            <w:tcW w:w="985" w:type="dxa"/>
          </w:tcPr>
          <w:p w14:paraId="1B71C6C7" w14:textId="0100B9EE" w:rsidR="00AC6255" w:rsidRPr="002A677E" w:rsidDel="00364120" w:rsidRDefault="00F20C33" w:rsidP="000B0B09">
            <w:pPr>
              <w:autoSpaceDE w:val="0"/>
              <w:autoSpaceDN w:val="0"/>
              <w:adjustRightInd w:val="0"/>
              <w:spacing w:before="0" w:after="0"/>
              <w:rPr>
                <w:del w:id="88" w:author="Author"/>
                <w:rFonts w:ascii="Times New Roman" w:hAnsi="Times New Roman"/>
                <w:bCs/>
                <w:sz w:val="24"/>
                <w:lang w:eastAsia="nl-BE"/>
              </w:rPr>
            </w:pPr>
            <w:del w:id="89" w:author="Author">
              <w:r w:rsidRPr="002A677E" w:rsidDel="00364120">
                <w:rPr>
                  <w:rFonts w:ascii="Times New Roman" w:hAnsi="Times New Roman"/>
                  <w:bCs/>
                  <w:sz w:val="24"/>
                  <w:lang w:eastAsia="nl-BE"/>
                </w:rPr>
                <w:lastRenderedPageBreak/>
                <w:delText>0</w:delText>
              </w:r>
              <w:r w:rsidR="00AC6255" w:rsidRPr="002A677E" w:rsidDel="00364120">
                <w:rPr>
                  <w:rFonts w:ascii="Times New Roman" w:hAnsi="Times New Roman"/>
                  <w:bCs/>
                  <w:sz w:val="24"/>
                  <w:lang w:eastAsia="nl-BE"/>
                </w:rPr>
                <w:delText>070</w:delText>
              </w:r>
            </w:del>
          </w:p>
        </w:tc>
        <w:tc>
          <w:tcPr>
            <w:tcW w:w="7877" w:type="dxa"/>
          </w:tcPr>
          <w:p w14:paraId="76E38F0A" w14:textId="0312CEBA" w:rsidR="00AC6255" w:rsidRPr="002A677E" w:rsidDel="00364120" w:rsidRDefault="00AC6255" w:rsidP="000B0B09">
            <w:pPr>
              <w:autoSpaceDE w:val="0"/>
              <w:autoSpaceDN w:val="0"/>
              <w:adjustRightInd w:val="0"/>
              <w:spacing w:before="0" w:after="0"/>
              <w:jc w:val="left"/>
              <w:rPr>
                <w:del w:id="90" w:author="Author"/>
                <w:rStyle w:val="InstructionsTabelleberschrift"/>
                <w:rFonts w:ascii="Times New Roman" w:hAnsi="Times New Roman"/>
                <w:sz w:val="24"/>
              </w:rPr>
            </w:pPr>
            <w:del w:id="91" w:author="Author">
              <w:r w:rsidRPr="002A677E" w:rsidDel="00364120">
                <w:rPr>
                  <w:rStyle w:val="InstructionsTabelleberschrift"/>
                  <w:rFonts w:ascii="Times New Roman" w:hAnsi="Times New Roman"/>
                  <w:sz w:val="24"/>
                </w:rPr>
                <w:delText>OWN FUND REQUIREMENT</w:delText>
              </w:r>
            </w:del>
          </w:p>
          <w:p w14:paraId="12F36F2B" w14:textId="03916351" w:rsidR="00AC6255" w:rsidRPr="002A677E" w:rsidDel="00364120" w:rsidRDefault="00AC6255" w:rsidP="000B0B09">
            <w:pPr>
              <w:autoSpaceDE w:val="0"/>
              <w:autoSpaceDN w:val="0"/>
              <w:adjustRightInd w:val="0"/>
              <w:spacing w:before="0" w:after="0"/>
              <w:jc w:val="left"/>
              <w:rPr>
                <w:del w:id="92" w:author="Author"/>
                <w:rFonts w:ascii="Times New Roman" w:hAnsi="Times New Roman"/>
                <w:sz w:val="24"/>
                <w:lang w:eastAsia="de-DE"/>
              </w:rPr>
            </w:pPr>
          </w:p>
          <w:p w14:paraId="1FFC73E7" w14:textId="61441C2F" w:rsidR="00AC6255" w:rsidRPr="002A677E" w:rsidDel="00364120" w:rsidRDefault="00AC6255" w:rsidP="00454CFC">
            <w:pPr>
              <w:autoSpaceDE w:val="0"/>
              <w:autoSpaceDN w:val="0"/>
              <w:adjustRightInd w:val="0"/>
              <w:spacing w:before="0" w:after="0"/>
              <w:jc w:val="left"/>
              <w:rPr>
                <w:del w:id="93" w:author="Author"/>
                <w:rFonts w:ascii="Times New Roman" w:hAnsi="Times New Roman"/>
                <w:bCs/>
                <w:sz w:val="24"/>
                <w:lang w:eastAsia="nl-BE"/>
              </w:rPr>
            </w:pPr>
            <w:del w:id="94" w:author="Author">
              <w:r w:rsidRPr="002A677E" w:rsidDel="00364120">
                <w:rPr>
                  <w:rFonts w:ascii="Times New Roman" w:hAnsi="Times New Roman"/>
                  <w:sz w:val="24"/>
                </w:rPr>
                <w:delText xml:space="preserve">The own fund requirement </w:delText>
              </w:r>
              <w:r w:rsidR="001C3443" w:rsidRPr="002A677E" w:rsidDel="00364120">
                <w:rPr>
                  <w:rFonts w:ascii="Times New Roman" w:hAnsi="Times New Roman"/>
                  <w:sz w:val="24"/>
                </w:rPr>
                <w:delText>shall be</w:delText>
              </w:r>
              <w:r w:rsidRPr="002A677E" w:rsidDel="00364120">
                <w:rPr>
                  <w:rFonts w:ascii="Times New Roman" w:hAnsi="Times New Roman"/>
                  <w:sz w:val="24"/>
                </w:rPr>
                <w:delText xml:space="preserve"> calculated </w:delText>
              </w:r>
              <w:r w:rsidR="00BB22D4" w:rsidRPr="002A677E" w:rsidDel="00364120">
                <w:rPr>
                  <w:rFonts w:ascii="Times New Roman" w:hAnsi="Times New Roman"/>
                  <w:sz w:val="24"/>
                </w:rPr>
                <w:delText>in accordance with</w:delText>
              </w:r>
              <w:r w:rsidRPr="002A677E" w:rsidDel="00364120">
                <w:rPr>
                  <w:rFonts w:ascii="Times New Roman" w:hAnsi="Times New Roman"/>
                  <w:sz w:val="24"/>
                </w:rPr>
                <w:delText xml:space="preserve"> the approach</w:delText>
              </w:r>
              <w:r w:rsidR="001C3443" w:rsidRPr="002A677E" w:rsidDel="00364120">
                <w:rPr>
                  <w:rFonts w:ascii="Times New Roman" w:hAnsi="Times New Roman"/>
                  <w:sz w:val="24"/>
                </w:rPr>
                <w:delText>es</w:delText>
              </w:r>
              <w:r w:rsidRPr="002A677E" w:rsidDel="00364120">
                <w:rPr>
                  <w:rFonts w:ascii="Times New Roman" w:hAnsi="Times New Roman"/>
                  <w:sz w:val="24"/>
                </w:rPr>
                <w:delText xml:space="preserve"> used</w:delText>
              </w:r>
              <w:r w:rsidR="001C3443" w:rsidRPr="002A677E" w:rsidDel="00364120">
                <w:rPr>
                  <w:rFonts w:ascii="Times New Roman" w:hAnsi="Times New Roman"/>
                  <w:sz w:val="24"/>
                </w:rPr>
                <w:delText xml:space="preserve"> </w:delText>
              </w:r>
              <w:r w:rsidR="00454CFC" w:rsidRPr="002A677E" w:rsidDel="00364120">
                <w:rPr>
                  <w:rFonts w:ascii="Times New Roman" w:hAnsi="Times New Roman"/>
                  <w:sz w:val="24"/>
                </w:rPr>
                <w:delText>and in accordance with</w:delText>
              </w:r>
              <w:r w:rsidR="00FD7CAF" w:rsidRPr="002A677E" w:rsidDel="00364120">
                <w:rPr>
                  <w:rFonts w:ascii="Times New Roman" w:hAnsi="Times New Roman"/>
                  <w:sz w:val="24"/>
                </w:rPr>
                <w:delText xml:space="preserve"> </w:delText>
              </w:r>
              <w:r w:rsidRPr="002A677E" w:rsidDel="00364120">
                <w:rPr>
                  <w:rFonts w:ascii="Times New Roman" w:hAnsi="Times New Roman"/>
                  <w:sz w:val="24"/>
                </w:rPr>
                <w:delText xml:space="preserve">Articles </w:delText>
              </w:r>
              <w:r w:rsidR="00955C81" w:rsidRPr="002A677E" w:rsidDel="00364120">
                <w:rPr>
                  <w:rFonts w:ascii="Times New Roman" w:hAnsi="Times New Roman"/>
                  <w:sz w:val="24"/>
                </w:rPr>
                <w:delText xml:space="preserve">312 </w:delText>
              </w:r>
              <w:r w:rsidRPr="002A677E" w:rsidDel="00364120">
                <w:rPr>
                  <w:rFonts w:ascii="Times New Roman" w:hAnsi="Times New Roman"/>
                  <w:sz w:val="24"/>
                </w:rPr>
                <w:delText xml:space="preserve">to </w:delText>
              </w:r>
              <w:r w:rsidR="00955C81" w:rsidRPr="002A677E" w:rsidDel="00364120">
                <w:rPr>
                  <w:rFonts w:ascii="Times New Roman" w:hAnsi="Times New Roman"/>
                  <w:sz w:val="24"/>
                </w:rPr>
                <w:delText xml:space="preserve">324 </w:delText>
              </w:r>
              <w:r w:rsidR="0095353C" w:rsidRPr="001235ED" w:rsidDel="00364120">
                <w:rPr>
                  <w:rFonts w:ascii="Times New Roman" w:hAnsi="Times New Roman"/>
                  <w:sz w:val="24"/>
                  <w:lang w:val="en-US"/>
                </w:rPr>
                <w:delText>of Regulation (EU) No 575/2013</w:delText>
              </w:r>
              <w:r w:rsidR="00F20C33" w:rsidRPr="002A677E" w:rsidDel="00364120">
                <w:rPr>
                  <w:rFonts w:ascii="Times New Roman" w:hAnsi="Times New Roman"/>
                  <w:sz w:val="24"/>
                </w:rPr>
                <w:delText>.</w:delText>
              </w:r>
              <w:r w:rsidR="00730040" w:rsidRPr="002A677E" w:rsidDel="00364120">
                <w:rPr>
                  <w:rFonts w:ascii="Times New Roman" w:hAnsi="Times New Roman"/>
                  <w:sz w:val="24"/>
                </w:rPr>
                <w:delText xml:space="preserve"> </w:delText>
              </w:r>
              <w:r w:rsidRPr="002A677E" w:rsidDel="00364120">
                <w:rPr>
                  <w:rFonts w:ascii="Times New Roman" w:hAnsi="Times New Roman"/>
                  <w:sz w:val="24"/>
                </w:rPr>
                <w:delText xml:space="preserve">The resulting amount </w:delText>
              </w:r>
              <w:r w:rsidR="001C3443" w:rsidRPr="002A677E" w:rsidDel="00364120">
                <w:rPr>
                  <w:rFonts w:ascii="Times New Roman" w:hAnsi="Times New Roman"/>
                  <w:sz w:val="24"/>
                </w:rPr>
                <w:delText>shall be</w:delText>
              </w:r>
              <w:r w:rsidRPr="002A677E" w:rsidDel="00364120">
                <w:rPr>
                  <w:rFonts w:ascii="Times New Roman" w:hAnsi="Times New Roman"/>
                  <w:sz w:val="24"/>
                </w:rPr>
                <w:delText xml:space="preserve"> reported in column </w:delText>
              </w:r>
              <w:r w:rsidR="00F20C33" w:rsidRPr="002A677E" w:rsidDel="00364120">
                <w:rPr>
                  <w:rFonts w:ascii="Times New Roman" w:hAnsi="Times New Roman"/>
                  <w:sz w:val="24"/>
                </w:rPr>
                <w:delText>0</w:delText>
              </w:r>
              <w:r w:rsidRPr="002A677E" w:rsidDel="00364120">
                <w:rPr>
                  <w:rFonts w:ascii="Times New Roman" w:hAnsi="Times New Roman"/>
                  <w:sz w:val="24"/>
                </w:rPr>
                <w:delText>070.</w:delText>
              </w:r>
            </w:del>
          </w:p>
        </w:tc>
      </w:tr>
      <w:tr w:rsidR="00AC6255" w:rsidRPr="002A677E" w:rsidDel="00364120" w14:paraId="51820A09" w14:textId="597AB6F1" w:rsidTr="00672D2A">
        <w:trPr>
          <w:del w:id="95" w:author="Author"/>
        </w:trPr>
        <w:tc>
          <w:tcPr>
            <w:tcW w:w="985" w:type="dxa"/>
          </w:tcPr>
          <w:p w14:paraId="4FF923A0" w14:textId="38117D72" w:rsidR="00AC6255" w:rsidRPr="002A677E" w:rsidDel="00364120" w:rsidRDefault="00F20C33" w:rsidP="000B0B09">
            <w:pPr>
              <w:autoSpaceDE w:val="0"/>
              <w:autoSpaceDN w:val="0"/>
              <w:adjustRightInd w:val="0"/>
              <w:spacing w:before="0" w:after="0"/>
              <w:rPr>
                <w:del w:id="96" w:author="Author"/>
                <w:rFonts w:ascii="Times New Roman" w:hAnsi="Times New Roman"/>
                <w:bCs/>
                <w:sz w:val="24"/>
                <w:lang w:eastAsia="nl-BE"/>
              </w:rPr>
            </w:pPr>
            <w:del w:id="97"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071</w:delText>
              </w:r>
            </w:del>
          </w:p>
        </w:tc>
        <w:tc>
          <w:tcPr>
            <w:tcW w:w="7877" w:type="dxa"/>
          </w:tcPr>
          <w:p w14:paraId="23D890BC" w14:textId="1E87358B" w:rsidR="00AC6255" w:rsidRPr="002A677E" w:rsidDel="00364120" w:rsidRDefault="00AC6255" w:rsidP="000B0B09">
            <w:pPr>
              <w:autoSpaceDE w:val="0"/>
              <w:autoSpaceDN w:val="0"/>
              <w:adjustRightInd w:val="0"/>
              <w:spacing w:before="0" w:after="0"/>
              <w:jc w:val="left"/>
              <w:rPr>
                <w:del w:id="98" w:author="Author"/>
                <w:rStyle w:val="InstructionsTabelleberschrift"/>
                <w:rFonts w:ascii="Times New Roman" w:hAnsi="Times New Roman"/>
                <w:sz w:val="24"/>
              </w:rPr>
            </w:pPr>
            <w:del w:id="99" w:author="Author">
              <w:r w:rsidRPr="002A677E" w:rsidDel="00364120">
                <w:rPr>
                  <w:rStyle w:val="InstructionsTabelleberschrift"/>
                  <w:rFonts w:ascii="Times New Roman" w:hAnsi="Times New Roman"/>
                  <w:sz w:val="24"/>
                </w:rPr>
                <w:delText>TOTAL OPERATIONAL RISK EXPOSURE AMOUNT</w:delText>
              </w:r>
            </w:del>
          </w:p>
          <w:p w14:paraId="46354D72" w14:textId="3624169F" w:rsidR="00454CFC" w:rsidRPr="002A677E" w:rsidDel="00364120" w:rsidRDefault="00AC6255" w:rsidP="0002267E">
            <w:pPr>
              <w:rPr>
                <w:del w:id="100" w:author="Author"/>
                <w:rFonts w:ascii="Times New Roman" w:hAnsi="Times New Roman"/>
                <w:sz w:val="24"/>
              </w:rPr>
            </w:pPr>
            <w:del w:id="101" w:author="Author">
              <w:r w:rsidRPr="002A677E" w:rsidDel="00364120">
                <w:delText xml:space="preserve">Article 92(4) </w:delText>
              </w:r>
              <w:r w:rsidR="0095353C" w:rsidRPr="001235ED" w:rsidDel="00364120">
                <w:rPr>
                  <w:rFonts w:ascii="Times New Roman" w:hAnsi="Times New Roman"/>
                  <w:sz w:val="24"/>
                  <w:lang w:val="en-US"/>
                </w:rPr>
                <w:delText>of Regulation (EU) No 575/2013</w:delText>
              </w:r>
              <w:r w:rsidRPr="002A677E" w:rsidDel="00364120">
                <w:delText xml:space="preserve"> </w:delText>
              </w:r>
            </w:del>
          </w:p>
          <w:p w14:paraId="05E8DD64" w14:textId="7216384C" w:rsidR="00AC6255" w:rsidRPr="002A677E" w:rsidDel="00364120" w:rsidRDefault="00AC6255" w:rsidP="0002267E">
            <w:pPr>
              <w:rPr>
                <w:del w:id="102" w:author="Author"/>
                <w:rStyle w:val="InstructionsTabelleberschrift"/>
                <w:rFonts w:ascii="Times New Roman" w:hAnsi="Times New Roman"/>
                <w:b w:val="0"/>
                <w:sz w:val="24"/>
              </w:rPr>
            </w:pPr>
            <w:del w:id="103" w:author="Author">
              <w:r w:rsidRPr="001235ED" w:rsidDel="00364120">
                <w:rPr>
                  <w:rFonts w:ascii="Times New Roman" w:hAnsi="Times New Roman"/>
                  <w:sz w:val="24"/>
                </w:rPr>
                <w:delText xml:space="preserve">Own funds requirements in column </w:delText>
              </w:r>
              <w:r w:rsidR="00F20C33" w:rsidRPr="002A677E" w:rsidDel="00364120">
                <w:rPr>
                  <w:rFonts w:ascii="Times New Roman" w:hAnsi="Times New Roman"/>
                  <w:sz w:val="24"/>
                </w:rPr>
                <w:delText>0</w:delText>
              </w:r>
              <w:r w:rsidRPr="002A677E" w:rsidDel="00364120">
                <w:rPr>
                  <w:rFonts w:ascii="Times New Roman" w:hAnsi="Times New Roman"/>
                  <w:sz w:val="24"/>
                </w:rPr>
                <w:delText>070 multiplied by 12.5.</w:delText>
              </w:r>
            </w:del>
          </w:p>
        </w:tc>
      </w:tr>
      <w:tr w:rsidR="00AC6255" w:rsidRPr="002A677E" w:rsidDel="00364120" w14:paraId="3B5657E3" w14:textId="2BAD91C7" w:rsidTr="00672D2A">
        <w:trPr>
          <w:del w:id="104" w:author="Author"/>
        </w:trPr>
        <w:tc>
          <w:tcPr>
            <w:tcW w:w="985" w:type="dxa"/>
          </w:tcPr>
          <w:p w14:paraId="04C7EAC4" w14:textId="0AE9DD45" w:rsidR="00AC6255" w:rsidRPr="002A677E" w:rsidDel="00364120" w:rsidRDefault="00F20C33" w:rsidP="000B0B09">
            <w:pPr>
              <w:autoSpaceDE w:val="0"/>
              <w:autoSpaceDN w:val="0"/>
              <w:adjustRightInd w:val="0"/>
              <w:spacing w:before="0" w:after="0"/>
              <w:rPr>
                <w:del w:id="105" w:author="Author"/>
                <w:rFonts w:ascii="Times New Roman" w:hAnsi="Times New Roman"/>
                <w:bCs/>
                <w:sz w:val="24"/>
                <w:lang w:eastAsia="nl-BE"/>
              </w:rPr>
            </w:pPr>
            <w:del w:id="106"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080</w:delText>
              </w:r>
            </w:del>
          </w:p>
        </w:tc>
        <w:tc>
          <w:tcPr>
            <w:tcW w:w="7877" w:type="dxa"/>
          </w:tcPr>
          <w:p w14:paraId="04861F79" w14:textId="78934662" w:rsidR="00AC6255" w:rsidRPr="002A677E" w:rsidDel="00364120" w:rsidRDefault="00AC6255" w:rsidP="000B0B09">
            <w:pPr>
              <w:autoSpaceDE w:val="0"/>
              <w:autoSpaceDN w:val="0"/>
              <w:adjustRightInd w:val="0"/>
              <w:spacing w:before="0" w:after="0"/>
              <w:jc w:val="left"/>
              <w:rPr>
                <w:del w:id="107" w:author="Author"/>
                <w:rStyle w:val="InstructionsTabelleberschrift"/>
                <w:rFonts w:ascii="Times New Roman" w:hAnsi="Times New Roman"/>
                <w:sz w:val="24"/>
              </w:rPr>
            </w:pPr>
            <w:del w:id="108" w:author="Author">
              <w:r w:rsidRPr="002A677E" w:rsidDel="00364120">
                <w:rPr>
                  <w:rStyle w:val="InstructionsTabelleberschrift"/>
                  <w:rFonts w:ascii="Times New Roman" w:hAnsi="Times New Roman"/>
                  <w:sz w:val="24"/>
                </w:rPr>
                <w:delText>OF WHICH: DUE TO AN ALLOCATION MECHANISM</w:delText>
              </w:r>
            </w:del>
          </w:p>
          <w:p w14:paraId="28721643" w14:textId="45001B55" w:rsidR="00AC6255" w:rsidRPr="002A677E" w:rsidDel="00364120" w:rsidRDefault="00AC6255" w:rsidP="000B0B09">
            <w:pPr>
              <w:autoSpaceDE w:val="0"/>
              <w:autoSpaceDN w:val="0"/>
              <w:adjustRightInd w:val="0"/>
              <w:spacing w:before="0" w:after="0"/>
              <w:jc w:val="left"/>
              <w:rPr>
                <w:del w:id="109" w:author="Author"/>
                <w:rFonts w:ascii="Times New Roman" w:hAnsi="Times New Roman"/>
                <w:bCs/>
                <w:sz w:val="24"/>
                <w:lang w:eastAsia="nl-BE"/>
              </w:rPr>
            </w:pPr>
          </w:p>
          <w:p w14:paraId="3BCCCFBF" w14:textId="2946D14C" w:rsidR="00AC6255" w:rsidRPr="002A677E" w:rsidDel="00364120" w:rsidRDefault="003E7AEC" w:rsidP="000B0B09">
            <w:pPr>
              <w:jc w:val="left"/>
              <w:rPr>
                <w:del w:id="110" w:author="Author"/>
                <w:rFonts w:ascii="Times New Roman" w:hAnsi="Times New Roman"/>
                <w:bCs/>
                <w:sz w:val="24"/>
              </w:rPr>
            </w:pPr>
            <w:del w:id="111" w:author="Author">
              <w:r w:rsidRPr="002A677E" w:rsidDel="00364120">
                <w:rPr>
                  <w:rFonts w:ascii="Times New Roman" w:hAnsi="Times New Roman"/>
                  <w:bCs/>
                  <w:sz w:val="24"/>
                </w:rPr>
                <w:delText>Where a permission to use the AMA at consolidated level (</w:delText>
              </w:r>
              <w:r w:rsidR="00AC6255" w:rsidRPr="002A677E" w:rsidDel="00364120">
                <w:rPr>
                  <w:rFonts w:ascii="Times New Roman" w:hAnsi="Times New Roman"/>
                  <w:bCs/>
                  <w:sz w:val="24"/>
                </w:rPr>
                <w:delText>Article 18</w:delText>
              </w:r>
              <w:r w:rsidR="00E86638" w:rsidRPr="002A677E" w:rsidDel="00364120">
                <w:rPr>
                  <w:rFonts w:ascii="Times New Roman" w:hAnsi="Times New Roman"/>
                  <w:bCs/>
                  <w:sz w:val="24"/>
                </w:rPr>
                <w:delText>(</w:delText>
              </w:r>
              <w:r w:rsidR="00AC6255" w:rsidRPr="002A677E" w:rsidDel="00364120">
                <w:rPr>
                  <w:rFonts w:ascii="Times New Roman" w:hAnsi="Times New Roman"/>
                  <w:bCs/>
                  <w:sz w:val="24"/>
                </w:rPr>
                <w:delText>1</w:delText>
              </w:r>
              <w:r w:rsidR="00E86638" w:rsidRPr="002A677E" w:rsidDel="00364120">
                <w:rPr>
                  <w:rFonts w:ascii="Times New Roman" w:hAnsi="Times New Roman"/>
                  <w:bCs/>
                  <w:sz w:val="24"/>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bCs/>
                  <w:sz w:val="24"/>
                </w:rPr>
                <w:delText xml:space="preserve">) has been granted </w:delText>
              </w:r>
              <w:r w:rsidR="00AC6255" w:rsidRPr="002A677E" w:rsidDel="00364120">
                <w:rPr>
                  <w:rFonts w:ascii="Times New Roman" w:hAnsi="Times New Roman"/>
                  <w:sz w:val="24"/>
                </w:rPr>
                <w:delText xml:space="preserve">in </w:delText>
              </w:r>
              <w:r w:rsidRPr="002A677E" w:rsidDel="00364120">
                <w:rPr>
                  <w:rFonts w:ascii="Times New Roman" w:hAnsi="Times New Roman"/>
                  <w:sz w:val="24"/>
                </w:rPr>
                <w:delText xml:space="preserve">accordance with </w:delText>
              </w:r>
              <w:r w:rsidR="00AC6255" w:rsidRPr="002A677E" w:rsidDel="00364120">
                <w:rPr>
                  <w:rFonts w:ascii="Times New Roman" w:hAnsi="Times New Roman"/>
                  <w:sz w:val="24"/>
                </w:rPr>
                <w:delText xml:space="preserve">Article </w:delText>
              </w:r>
              <w:r w:rsidR="00474C49" w:rsidRPr="002A677E" w:rsidDel="00364120">
                <w:rPr>
                  <w:rFonts w:ascii="Times New Roman" w:hAnsi="Times New Roman"/>
                  <w:sz w:val="24"/>
                </w:rPr>
                <w:delText>312</w:delText>
              </w:r>
              <w:r w:rsidR="00AC6255" w:rsidRPr="002A677E" w:rsidDel="00364120">
                <w:rPr>
                  <w:rFonts w:ascii="Times New Roman" w:hAnsi="Times New Roman"/>
                  <w:sz w:val="24"/>
                </w:rPr>
                <w:delText xml:space="preserve">(2) </w:delText>
              </w:r>
              <w:r w:rsidR="0095353C" w:rsidRPr="001235ED" w:rsidDel="00364120">
                <w:rPr>
                  <w:rFonts w:ascii="Times New Roman" w:hAnsi="Times New Roman"/>
                  <w:sz w:val="24"/>
                  <w:lang w:val="en-US"/>
                </w:rPr>
                <w:delText xml:space="preserve">of that Regulation </w:delText>
              </w:r>
              <w:r w:rsidRPr="002A677E" w:rsidDel="00364120">
                <w:rPr>
                  <w:rFonts w:ascii="Times New Roman" w:hAnsi="Times New Roman"/>
                  <w:sz w:val="24"/>
                </w:rPr>
                <w:delText xml:space="preserve">, </w:delText>
              </w:r>
              <w:r w:rsidR="00AC6255" w:rsidRPr="002A677E" w:rsidDel="00364120">
                <w:rPr>
                  <w:rFonts w:ascii="Times New Roman" w:hAnsi="Times New Roman"/>
                  <w:sz w:val="24"/>
                </w:rPr>
                <w:delText xml:space="preserve">operational risk capital </w:delText>
              </w:r>
              <w:r w:rsidRPr="002A677E" w:rsidDel="00364120">
                <w:rPr>
                  <w:rFonts w:ascii="Times New Roman" w:hAnsi="Times New Roman"/>
                  <w:sz w:val="24"/>
                </w:rPr>
                <w:delText xml:space="preserve">shall be allocated </w:delText>
              </w:r>
              <w:r w:rsidR="00AC6255" w:rsidRPr="002A677E" w:rsidDel="00364120">
                <w:rPr>
                  <w:rFonts w:ascii="Times New Roman" w:hAnsi="Times New Roman"/>
                  <w:sz w:val="24"/>
                </w:rPr>
                <w:delText xml:space="preserve">between the different entities of the group </w:delText>
              </w:r>
              <w:r w:rsidRPr="002A677E" w:rsidDel="00364120">
                <w:rPr>
                  <w:rFonts w:ascii="Times New Roman" w:hAnsi="Times New Roman"/>
                  <w:sz w:val="24"/>
                </w:rPr>
                <w:delText xml:space="preserve">on the basis of the methodology applied by the institutions to consider </w:delText>
              </w:r>
              <w:r w:rsidR="00AC6255" w:rsidRPr="002A677E" w:rsidDel="00364120">
                <w:rPr>
                  <w:rFonts w:ascii="Times New Roman" w:hAnsi="Times New Roman"/>
                  <w:sz w:val="24"/>
                </w:rPr>
                <w:delText xml:space="preserve">diversification effects in the risk measurement system used by a EU parent credit institution and its subsidiaries or jointly by the subsidiaries of an EU parent financial holding company or </w:delText>
              </w:r>
              <w:r w:rsidR="001C3443" w:rsidRPr="002A677E" w:rsidDel="00364120">
                <w:rPr>
                  <w:rFonts w:ascii="Times New Roman" w:hAnsi="Times New Roman"/>
                  <w:sz w:val="24"/>
                </w:rPr>
                <w:delText xml:space="preserve">an </w:delText>
              </w:r>
              <w:r w:rsidR="00AC6255" w:rsidRPr="002A677E" w:rsidDel="00364120">
                <w:rPr>
                  <w:rFonts w:ascii="Times New Roman" w:hAnsi="Times New Roman"/>
                  <w:sz w:val="24"/>
                </w:rPr>
                <w:delText>EU parent mixed financial holding company.</w:delText>
              </w:r>
              <w:r w:rsidRPr="002A677E" w:rsidDel="00364120">
                <w:rPr>
                  <w:rFonts w:ascii="Times New Roman" w:hAnsi="Times New Roman"/>
                  <w:sz w:val="24"/>
                </w:rPr>
                <w:delText xml:space="preserve"> The result of that allocation shall be reported in this column. </w:delText>
              </w:r>
            </w:del>
          </w:p>
          <w:p w14:paraId="3B4AB033" w14:textId="1CD8291A" w:rsidR="00AC6255" w:rsidRPr="002A677E" w:rsidDel="00364120" w:rsidRDefault="00AC6255" w:rsidP="000B0B09">
            <w:pPr>
              <w:autoSpaceDE w:val="0"/>
              <w:autoSpaceDN w:val="0"/>
              <w:adjustRightInd w:val="0"/>
              <w:spacing w:before="0" w:after="0"/>
              <w:jc w:val="left"/>
              <w:rPr>
                <w:del w:id="112" w:author="Author"/>
                <w:rFonts w:ascii="Times New Roman" w:hAnsi="Times New Roman"/>
                <w:bCs/>
                <w:sz w:val="24"/>
                <w:lang w:eastAsia="nl-BE"/>
              </w:rPr>
            </w:pPr>
          </w:p>
        </w:tc>
      </w:tr>
      <w:tr w:rsidR="00AC6255" w:rsidRPr="002A677E" w:rsidDel="00364120" w14:paraId="0722D6AF" w14:textId="65891DD7" w:rsidTr="00672D2A">
        <w:trPr>
          <w:del w:id="113" w:author="Author"/>
        </w:trPr>
        <w:tc>
          <w:tcPr>
            <w:tcW w:w="985" w:type="dxa"/>
          </w:tcPr>
          <w:p w14:paraId="7A76849D" w14:textId="29B8FAA5" w:rsidR="00AC6255" w:rsidRPr="002A677E" w:rsidDel="00364120" w:rsidRDefault="00F20C33" w:rsidP="000F70EC">
            <w:pPr>
              <w:autoSpaceDE w:val="0"/>
              <w:autoSpaceDN w:val="0"/>
              <w:adjustRightInd w:val="0"/>
              <w:spacing w:before="0" w:after="0"/>
              <w:rPr>
                <w:del w:id="114" w:author="Author"/>
                <w:rFonts w:ascii="Times New Roman" w:hAnsi="Times New Roman"/>
                <w:bCs/>
                <w:sz w:val="24"/>
                <w:lang w:eastAsia="nl-BE"/>
              </w:rPr>
            </w:pPr>
            <w:del w:id="115"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090-</w:delText>
              </w: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120</w:delText>
              </w:r>
            </w:del>
          </w:p>
        </w:tc>
        <w:tc>
          <w:tcPr>
            <w:tcW w:w="7877" w:type="dxa"/>
          </w:tcPr>
          <w:p w14:paraId="2FCA837B" w14:textId="5FD4107B" w:rsidR="00AC6255" w:rsidRPr="002A677E" w:rsidDel="00364120" w:rsidRDefault="00AC6255" w:rsidP="000B0B09">
            <w:pPr>
              <w:autoSpaceDE w:val="0"/>
              <w:autoSpaceDN w:val="0"/>
              <w:adjustRightInd w:val="0"/>
              <w:spacing w:before="0" w:after="0"/>
              <w:jc w:val="left"/>
              <w:rPr>
                <w:del w:id="116" w:author="Author"/>
                <w:rStyle w:val="InstructionsTabelleberschrift"/>
                <w:rFonts w:ascii="Times New Roman" w:hAnsi="Times New Roman"/>
                <w:sz w:val="24"/>
              </w:rPr>
            </w:pPr>
            <w:del w:id="117" w:author="Author">
              <w:r w:rsidRPr="002A677E" w:rsidDel="00364120">
                <w:rPr>
                  <w:rStyle w:val="InstructionsTabelleberschrift"/>
                  <w:rFonts w:ascii="Times New Roman" w:hAnsi="Times New Roman"/>
                  <w:sz w:val="24"/>
                </w:rPr>
                <w:delText>AMA MEMORANDUM ITEMS TO BE REPORTED IF APPLICABLE</w:delText>
              </w:r>
            </w:del>
          </w:p>
        </w:tc>
      </w:tr>
      <w:tr w:rsidR="00AC6255" w:rsidRPr="002A677E" w:rsidDel="00364120" w14:paraId="60E52A1B" w14:textId="7A371E1D" w:rsidTr="00672D2A">
        <w:trPr>
          <w:del w:id="118" w:author="Author"/>
        </w:trPr>
        <w:tc>
          <w:tcPr>
            <w:tcW w:w="985" w:type="dxa"/>
          </w:tcPr>
          <w:p w14:paraId="5E92B89C" w14:textId="559FA49D" w:rsidR="00AC6255" w:rsidRPr="002A677E" w:rsidDel="00364120" w:rsidRDefault="00F20C33" w:rsidP="000B0B09">
            <w:pPr>
              <w:autoSpaceDE w:val="0"/>
              <w:autoSpaceDN w:val="0"/>
              <w:adjustRightInd w:val="0"/>
              <w:spacing w:before="0" w:after="0"/>
              <w:rPr>
                <w:del w:id="119" w:author="Author"/>
                <w:rFonts w:ascii="Times New Roman" w:hAnsi="Times New Roman"/>
                <w:bCs/>
                <w:sz w:val="24"/>
                <w:lang w:eastAsia="nl-BE"/>
              </w:rPr>
            </w:pPr>
            <w:del w:id="120"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090</w:delText>
              </w:r>
            </w:del>
          </w:p>
        </w:tc>
        <w:tc>
          <w:tcPr>
            <w:tcW w:w="7877" w:type="dxa"/>
          </w:tcPr>
          <w:p w14:paraId="3DC12BFD" w14:textId="50BA9F6A" w:rsidR="00AC6255" w:rsidRPr="002A677E" w:rsidDel="00364120" w:rsidRDefault="00AC6255" w:rsidP="000B0B09">
            <w:pPr>
              <w:autoSpaceDE w:val="0"/>
              <w:autoSpaceDN w:val="0"/>
              <w:adjustRightInd w:val="0"/>
              <w:spacing w:before="0" w:after="0"/>
              <w:jc w:val="left"/>
              <w:rPr>
                <w:del w:id="121" w:author="Author"/>
                <w:rStyle w:val="InstructionsTabelleberschrift"/>
                <w:rFonts w:ascii="Times New Roman" w:hAnsi="Times New Roman"/>
                <w:sz w:val="24"/>
              </w:rPr>
            </w:pPr>
            <w:del w:id="122" w:author="Author">
              <w:r w:rsidRPr="002A677E" w:rsidDel="00364120">
                <w:rPr>
                  <w:rStyle w:val="InstructionsTabelleberschrift"/>
                  <w:rFonts w:ascii="Times New Roman" w:hAnsi="Times New Roman"/>
                  <w:sz w:val="24"/>
                </w:rPr>
                <w:delText>OWN FUNDS REQUIREMENT BEFORE ALLEVIATION DUE TO EXPECTED LOSS, DIVERSIFICATION AND RISK MITIGATION TECHNIQUES</w:delText>
              </w:r>
            </w:del>
          </w:p>
          <w:p w14:paraId="36C1514B" w14:textId="2282984D" w:rsidR="00AC6255" w:rsidRPr="002A677E" w:rsidDel="00364120" w:rsidRDefault="00AC6255" w:rsidP="000B0B09">
            <w:pPr>
              <w:autoSpaceDE w:val="0"/>
              <w:autoSpaceDN w:val="0"/>
              <w:adjustRightInd w:val="0"/>
              <w:spacing w:before="0" w:after="0"/>
              <w:jc w:val="left"/>
              <w:rPr>
                <w:del w:id="123" w:author="Author"/>
                <w:rFonts w:ascii="Times New Roman" w:hAnsi="Times New Roman"/>
                <w:bCs/>
                <w:sz w:val="24"/>
                <w:lang w:eastAsia="nl-BE"/>
              </w:rPr>
            </w:pPr>
          </w:p>
          <w:p w14:paraId="31586F8E" w14:textId="62D693DC" w:rsidR="00AC6255" w:rsidRPr="002A677E" w:rsidDel="00364120" w:rsidRDefault="00AC6255" w:rsidP="000B0B09">
            <w:pPr>
              <w:autoSpaceDE w:val="0"/>
              <w:autoSpaceDN w:val="0"/>
              <w:adjustRightInd w:val="0"/>
              <w:spacing w:before="0" w:after="0"/>
              <w:rPr>
                <w:del w:id="124" w:author="Author"/>
                <w:rFonts w:ascii="Times New Roman" w:hAnsi="Times New Roman"/>
                <w:sz w:val="24"/>
                <w:lang w:eastAsia="de-DE"/>
              </w:rPr>
            </w:pPr>
            <w:del w:id="125" w:author="Author">
              <w:r w:rsidRPr="002A677E" w:rsidDel="00364120">
                <w:rPr>
                  <w:rFonts w:ascii="Times New Roman" w:hAnsi="Times New Roman"/>
                  <w:sz w:val="24"/>
                  <w:lang w:eastAsia="de-DE"/>
                </w:rPr>
                <w:delText>The own funds requirement reported in column 090 is the one of column 070 but calculated before taking into account the alleviation effects due to expected loss, diversification and risk mitigation techniques (see below).</w:delText>
              </w:r>
            </w:del>
          </w:p>
          <w:p w14:paraId="28BC751A" w14:textId="5CF33B4F" w:rsidR="00AC6255" w:rsidRPr="002A677E" w:rsidDel="00364120" w:rsidRDefault="00AC6255" w:rsidP="000B0B09">
            <w:pPr>
              <w:autoSpaceDE w:val="0"/>
              <w:autoSpaceDN w:val="0"/>
              <w:adjustRightInd w:val="0"/>
              <w:spacing w:before="0" w:after="0"/>
              <w:jc w:val="left"/>
              <w:rPr>
                <w:del w:id="126" w:author="Author"/>
                <w:rFonts w:ascii="Times New Roman" w:hAnsi="Times New Roman"/>
                <w:bCs/>
                <w:sz w:val="24"/>
                <w:lang w:eastAsia="nl-BE"/>
              </w:rPr>
            </w:pPr>
          </w:p>
        </w:tc>
      </w:tr>
      <w:tr w:rsidR="00AC6255" w:rsidRPr="002A677E" w:rsidDel="00364120" w14:paraId="28635187" w14:textId="1E4C289D" w:rsidTr="00672D2A">
        <w:trPr>
          <w:del w:id="127" w:author="Author"/>
        </w:trPr>
        <w:tc>
          <w:tcPr>
            <w:tcW w:w="985" w:type="dxa"/>
          </w:tcPr>
          <w:p w14:paraId="528D2879" w14:textId="01FB9551" w:rsidR="00AC6255" w:rsidRPr="002A677E" w:rsidDel="00364120" w:rsidRDefault="00F20C33" w:rsidP="000B0B09">
            <w:pPr>
              <w:autoSpaceDE w:val="0"/>
              <w:autoSpaceDN w:val="0"/>
              <w:adjustRightInd w:val="0"/>
              <w:spacing w:before="0" w:after="0"/>
              <w:rPr>
                <w:del w:id="128" w:author="Author"/>
                <w:rFonts w:ascii="Times New Roman" w:hAnsi="Times New Roman"/>
                <w:bCs/>
                <w:sz w:val="24"/>
                <w:lang w:eastAsia="nl-BE"/>
              </w:rPr>
            </w:pPr>
            <w:del w:id="129"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100</w:delText>
              </w:r>
            </w:del>
          </w:p>
        </w:tc>
        <w:tc>
          <w:tcPr>
            <w:tcW w:w="7877" w:type="dxa"/>
          </w:tcPr>
          <w:p w14:paraId="0C567B8F" w14:textId="1B0ED8BF" w:rsidR="00AC6255" w:rsidRPr="002A677E" w:rsidDel="00364120" w:rsidRDefault="00AC6255" w:rsidP="000B0B09">
            <w:pPr>
              <w:autoSpaceDE w:val="0"/>
              <w:autoSpaceDN w:val="0"/>
              <w:adjustRightInd w:val="0"/>
              <w:spacing w:before="0" w:after="0"/>
              <w:jc w:val="left"/>
              <w:rPr>
                <w:del w:id="130" w:author="Author"/>
                <w:rStyle w:val="InstructionsTabelleberschrift"/>
                <w:rFonts w:ascii="Times New Roman" w:hAnsi="Times New Roman"/>
                <w:sz w:val="24"/>
              </w:rPr>
            </w:pPr>
            <w:del w:id="131" w:author="Author">
              <w:r w:rsidRPr="002A677E" w:rsidDel="00364120">
                <w:rPr>
                  <w:rStyle w:val="InstructionsTabelleberschrift"/>
                  <w:rFonts w:ascii="Times New Roman" w:hAnsi="Times New Roman"/>
                  <w:sz w:val="24"/>
                </w:rPr>
                <w:delText>(-) ALLEVIATION OF OWN FUNDS REQUIREMENTS DUE TO THE EXPECTED LOSS CAPTURED IN BUSINESS PRACTICES</w:delText>
              </w:r>
            </w:del>
          </w:p>
          <w:p w14:paraId="6CCEC901" w14:textId="239DE829" w:rsidR="00AC6255" w:rsidRPr="002A677E" w:rsidDel="00364120" w:rsidRDefault="00AC6255" w:rsidP="000B0B09">
            <w:pPr>
              <w:autoSpaceDE w:val="0"/>
              <w:autoSpaceDN w:val="0"/>
              <w:adjustRightInd w:val="0"/>
              <w:spacing w:before="0" w:after="0"/>
              <w:jc w:val="left"/>
              <w:rPr>
                <w:del w:id="132" w:author="Author"/>
                <w:rFonts w:ascii="Times New Roman" w:hAnsi="Times New Roman"/>
                <w:bCs/>
                <w:sz w:val="24"/>
                <w:lang w:eastAsia="nl-BE"/>
              </w:rPr>
            </w:pPr>
          </w:p>
          <w:p w14:paraId="54022412" w14:textId="376A55C2" w:rsidR="00AC6255" w:rsidRPr="002A677E" w:rsidDel="00364120" w:rsidRDefault="00AC6255" w:rsidP="000B0B09">
            <w:pPr>
              <w:autoSpaceDE w:val="0"/>
              <w:autoSpaceDN w:val="0"/>
              <w:adjustRightInd w:val="0"/>
              <w:spacing w:before="0" w:after="0"/>
              <w:rPr>
                <w:del w:id="133" w:author="Author"/>
                <w:rFonts w:ascii="Times New Roman" w:hAnsi="Times New Roman"/>
                <w:sz w:val="24"/>
                <w:lang w:eastAsia="de-DE"/>
              </w:rPr>
            </w:pPr>
            <w:del w:id="134" w:author="Author">
              <w:r w:rsidRPr="002A677E" w:rsidDel="00364120">
                <w:rPr>
                  <w:rFonts w:ascii="Times New Roman" w:hAnsi="Times New Roman"/>
                  <w:sz w:val="24"/>
                  <w:lang w:eastAsia="de-DE"/>
                </w:rPr>
                <w:delText>In column 100</w:delText>
              </w:r>
              <w:r w:rsidR="001C3443" w:rsidRPr="002A677E" w:rsidDel="00364120">
                <w:rPr>
                  <w:rFonts w:ascii="Times New Roman" w:hAnsi="Times New Roman"/>
                  <w:sz w:val="24"/>
                  <w:lang w:eastAsia="de-DE"/>
                </w:rPr>
                <w:delText>,</w:delText>
              </w:r>
              <w:r w:rsidRPr="002A677E" w:rsidDel="00364120">
                <w:rPr>
                  <w:rFonts w:ascii="Times New Roman" w:hAnsi="Times New Roman"/>
                  <w:sz w:val="24"/>
                  <w:lang w:eastAsia="de-DE"/>
                </w:rPr>
                <w:delText xml:space="preserve"> the alleviation of own funds requirements due to expected loss captured in internal business practices (as referred to in Article </w:delText>
              </w:r>
              <w:r w:rsidR="00474C49" w:rsidRPr="002A677E" w:rsidDel="00364120">
                <w:rPr>
                  <w:rFonts w:ascii="Times New Roman" w:hAnsi="Times New Roman"/>
                  <w:sz w:val="24"/>
                  <w:lang w:eastAsia="de-DE"/>
                </w:rPr>
                <w:delText>322</w:delText>
              </w:r>
              <w:r w:rsidRPr="002A677E" w:rsidDel="00364120">
                <w:rPr>
                  <w:rFonts w:ascii="Times New Roman" w:hAnsi="Times New Roman"/>
                  <w:sz w:val="24"/>
                  <w:lang w:eastAsia="de-DE"/>
                </w:rPr>
                <w:delText>(2)</w:delText>
              </w:r>
              <w:r w:rsidR="00B83DDE" w:rsidDel="00364120">
                <w:rPr>
                  <w:rFonts w:ascii="Times New Roman" w:hAnsi="Times New Roman"/>
                  <w:sz w:val="24"/>
                  <w:lang w:eastAsia="de-DE"/>
                </w:rPr>
                <w:delText>, p</w:delText>
              </w:r>
              <w:r w:rsidR="00FD7CAF" w:rsidRPr="002A677E" w:rsidDel="00364120">
                <w:rPr>
                  <w:rFonts w:ascii="Times New Roman" w:hAnsi="Times New Roman"/>
                  <w:sz w:val="24"/>
                  <w:lang w:eastAsia="de-DE"/>
                </w:rPr>
                <w:delText>oint (a)</w:delText>
              </w:r>
              <w:r w:rsidR="00CF5957" w:rsidDel="00364120">
                <w:rPr>
                  <w:rFonts w:ascii="Times New Roman" w:hAnsi="Times New Roman"/>
                  <w:sz w:val="24"/>
                  <w:lang w:eastAsia="de-DE"/>
                </w:rPr>
                <w:delText>,</w:delText>
              </w:r>
              <w:r w:rsidR="00FD7CAF" w:rsidRPr="002A677E" w:rsidDel="00364120">
                <w:rPr>
                  <w:rFonts w:ascii="Times New Roman" w:hAnsi="Times New Roman"/>
                  <w:sz w:val="24"/>
                  <w:lang w:eastAsia="de-DE"/>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lang w:eastAsia="de-DE"/>
                </w:rPr>
                <w:delText xml:space="preserve">) </w:delText>
              </w:r>
              <w:r w:rsidR="001C3443" w:rsidRPr="002A677E" w:rsidDel="00364120">
                <w:rPr>
                  <w:rFonts w:ascii="Times New Roman" w:hAnsi="Times New Roman"/>
                  <w:sz w:val="24"/>
                  <w:lang w:eastAsia="de-DE"/>
                </w:rPr>
                <w:delText>shall</w:delText>
              </w:r>
              <w:r w:rsidRPr="002A677E" w:rsidDel="00364120">
                <w:rPr>
                  <w:rFonts w:ascii="Times New Roman" w:hAnsi="Times New Roman"/>
                  <w:sz w:val="24"/>
                  <w:lang w:eastAsia="de-DE"/>
                </w:rPr>
                <w:delText xml:space="preserve"> reported.</w:delText>
              </w:r>
            </w:del>
          </w:p>
          <w:p w14:paraId="712EB85A" w14:textId="0568BDF6" w:rsidR="00AC6255" w:rsidRPr="002A677E" w:rsidDel="00364120" w:rsidRDefault="00AC6255" w:rsidP="000B0B09">
            <w:pPr>
              <w:autoSpaceDE w:val="0"/>
              <w:autoSpaceDN w:val="0"/>
              <w:adjustRightInd w:val="0"/>
              <w:spacing w:before="0" w:after="0"/>
              <w:jc w:val="left"/>
              <w:rPr>
                <w:del w:id="135" w:author="Author"/>
                <w:rFonts w:ascii="Times New Roman" w:hAnsi="Times New Roman"/>
                <w:bCs/>
                <w:sz w:val="24"/>
                <w:lang w:eastAsia="nl-BE"/>
              </w:rPr>
            </w:pPr>
          </w:p>
        </w:tc>
      </w:tr>
      <w:tr w:rsidR="00AC6255" w:rsidRPr="002A677E" w:rsidDel="00364120" w14:paraId="214661E2" w14:textId="7837B502" w:rsidTr="00672D2A">
        <w:trPr>
          <w:del w:id="136" w:author="Author"/>
        </w:trPr>
        <w:tc>
          <w:tcPr>
            <w:tcW w:w="985" w:type="dxa"/>
          </w:tcPr>
          <w:p w14:paraId="053B7333" w14:textId="51530E2F" w:rsidR="00AC6255" w:rsidRPr="002A677E" w:rsidDel="00364120" w:rsidRDefault="00F20C33" w:rsidP="000B0B09">
            <w:pPr>
              <w:autoSpaceDE w:val="0"/>
              <w:autoSpaceDN w:val="0"/>
              <w:adjustRightInd w:val="0"/>
              <w:spacing w:before="0" w:after="0"/>
              <w:rPr>
                <w:del w:id="137" w:author="Author"/>
                <w:rFonts w:ascii="Times New Roman" w:hAnsi="Times New Roman"/>
                <w:bCs/>
                <w:sz w:val="24"/>
                <w:lang w:eastAsia="nl-BE"/>
              </w:rPr>
            </w:pPr>
            <w:del w:id="138"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110</w:delText>
              </w:r>
            </w:del>
          </w:p>
        </w:tc>
        <w:tc>
          <w:tcPr>
            <w:tcW w:w="7877" w:type="dxa"/>
          </w:tcPr>
          <w:p w14:paraId="54BF261F" w14:textId="0158057F" w:rsidR="00AC6255" w:rsidRPr="002A677E" w:rsidDel="00364120" w:rsidRDefault="00AC6255" w:rsidP="000B0B09">
            <w:pPr>
              <w:autoSpaceDE w:val="0"/>
              <w:autoSpaceDN w:val="0"/>
              <w:adjustRightInd w:val="0"/>
              <w:spacing w:before="0" w:after="0"/>
              <w:jc w:val="left"/>
              <w:rPr>
                <w:del w:id="139" w:author="Author"/>
                <w:rStyle w:val="InstructionsTabelleberschrift"/>
                <w:rFonts w:ascii="Times New Roman" w:hAnsi="Times New Roman"/>
                <w:sz w:val="24"/>
              </w:rPr>
            </w:pPr>
            <w:del w:id="140" w:author="Author">
              <w:r w:rsidRPr="002A677E" w:rsidDel="00364120">
                <w:rPr>
                  <w:rStyle w:val="InstructionsTabelleberschrift"/>
                  <w:rFonts w:ascii="Times New Roman" w:hAnsi="Times New Roman"/>
                  <w:sz w:val="24"/>
                </w:rPr>
                <w:delText>(-) ALLEVIATION OF OWN FUNDS REQUIREMENTS DUE TO DIVERSIFICATION</w:delText>
              </w:r>
            </w:del>
          </w:p>
          <w:p w14:paraId="44264EC0" w14:textId="0217E222" w:rsidR="00AC6255" w:rsidRPr="002A677E" w:rsidDel="00364120" w:rsidRDefault="00AC6255" w:rsidP="000B0B09">
            <w:pPr>
              <w:rPr>
                <w:del w:id="141" w:author="Author"/>
                <w:rFonts w:ascii="Times New Roman" w:hAnsi="Times New Roman"/>
                <w:sz w:val="24"/>
              </w:rPr>
            </w:pPr>
            <w:del w:id="142" w:author="Author">
              <w:r w:rsidRPr="002A677E" w:rsidDel="00364120">
                <w:rPr>
                  <w:rFonts w:ascii="Times New Roman" w:hAnsi="Times New Roman"/>
                  <w:sz w:val="24"/>
                </w:rPr>
                <w:delText>The diversification effect</w:delText>
              </w:r>
              <w:r w:rsidR="00730040" w:rsidRPr="002A677E" w:rsidDel="00364120">
                <w:rPr>
                  <w:rFonts w:ascii="Times New Roman" w:hAnsi="Times New Roman"/>
                  <w:sz w:val="24"/>
                </w:rPr>
                <w:delText xml:space="preserve"> </w:delText>
              </w:r>
              <w:r w:rsidR="005E7FAD" w:rsidRPr="002A677E" w:rsidDel="00364120">
                <w:rPr>
                  <w:rFonts w:ascii="Times New Roman" w:hAnsi="Times New Roman"/>
                  <w:sz w:val="24"/>
                </w:rPr>
                <w:delText>reported in this column</w:delText>
              </w:r>
              <w:r w:rsidRPr="002A677E" w:rsidDel="00364120">
                <w:rPr>
                  <w:rFonts w:ascii="Times New Roman" w:hAnsi="Times New Roman"/>
                  <w:sz w:val="24"/>
                </w:rPr>
                <w:delText xml:space="preserve"> </w:delText>
              </w:r>
              <w:r w:rsidR="001C3443" w:rsidRPr="002A677E" w:rsidDel="00364120">
                <w:rPr>
                  <w:rFonts w:ascii="Times New Roman" w:hAnsi="Times New Roman"/>
                  <w:sz w:val="24"/>
                </w:rPr>
                <w:delText>shall be</w:delText>
              </w:r>
              <w:r w:rsidRPr="002A677E" w:rsidDel="00364120">
                <w:rPr>
                  <w:rFonts w:ascii="Times New Roman" w:hAnsi="Times New Roman"/>
                  <w:sz w:val="24"/>
                </w:rPr>
                <w:delTex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delText>
              </w:r>
              <w:r w:rsidR="001C3443" w:rsidRPr="002A677E" w:rsidDel="00364120">
                <w:rPr>
                  <w:rFonts w:ascii="Times New Roman" w:hAnsi="Times New Roman"/>
                  <w:sz w:val="24"/>
                </w:rPr>
                <w:delText>re</w:delText>
              </w:r>
              <w:r w:rsidRPr="002A677E" w:rsidDel="00364120">
                <w:rPr>
                  <w:rFonts w:ascii="Times New Roman" w:hAnsi="Times New Roman"/>
                  <w:sz w:val="24"/>
                </w:rPr>
                <w:delText xml:space="preserve"> the institution </w:delText>
              </w:r>
              <w:r w:rsidRPr="002A677E" w:rsidDel="00364120">
                <w:rPr>
                  <w:rFonts w:ascii="Times New Roman" w:hAnsi="Times New Roman"/>
                  <w:sz w:val="24"/>
                </w:rPr>
                <w:lastRenderedPageBreak/>
                <w:delText xml:space="preserve">does not use explicit correlations structure between the risk classes, hence the AMA capital is </w:delText>
              </w:r>
              <w:r w:rsidR="001C3443" w:rsidRPr="002A677E" w:rsidDel="00364120">
                <w:rPr>
                  <w:rFonts w:ascii="Times New Roman" w:hAnsi="Times New Roman"/>
                  <w:sz w:val="24"/>
                </w:rPr>
                <w:delText>calculated</w:delText>
              </w:r>
              <w:r w:rsidRPr="002A677E" w:rsidDel="00364120">
                <w:rPr>
                  <w:rFonts w:ascii="Times New Roman" w:hAnsi="Times New Roman"/>
                  <w:sz w:val="24"/>
                </w:rPr>
                <w:delText xml:space="preserve"> as the sum of the individual operational risk measures of the chosen risk classes. In th</w:delText>
              </w:r>
              <w:r w:rsidR="001C3443" w:rsidRPr="002A677E" w:rsidDel="00364120">
                <w:rPr>
                  <w:rFonts w:ascii="Times New Roman" w:hAnsi="Times New Roman"/>
                  <w:sz w:val="24"/>
                </w:rPr>
                <w:delText>at</w:delText>
              </w:r>
              <w:r w:rsidRPr="002A677E" w:rsidDel="00364120">
                <w:rPr>
                  <w:rFonts w:ascii="Times New Roman" w:hAnsi="Times New Roman"/>
                  <w:sz w:val="24"/>
                </w:rPr>
                <w:delText xml:space="preserve"> case</w:delText>
              </w:r>
              <w:r w:rsidR="001C3443" w:rsidRPr="002A677E" w:rsidDel="00364120">
                <w:rPr>
                  <w:rFonts w:ascii="Times New Roman" w:hAnsi="Times New Roman"/>
                  <w:sz w:val="24"/>
                </w:rPr>
                <w:delText>,</w:delText>
              </w:r>
              <w:r w:rsidRPr="002A677E" w:rsidDel="00364120">
                <w:rPr>
                  <w:rFonts w:ascii="Times New Roman" w:hAnsi="Times New Roman"/>
                  <w:sz w:val="24"/>
                </w:rPr>
                <w:delText xml:space="preserve"> the correlation between the risk classes is assumed </w:delText>
              </w:r>
              <w:r w:rsidR="001C3443" w:rsidRPr="002A677E" w:rsidDel="00364120">
                <w:rPr>
                  <w:rFonts w:ascii="Times New Roman" w:hAnsi="Times New Roman"/>
                  <w:sz w:val="24"/>
                </w:rPr>
                <w:delText>to be</w:delText>
              </w:r>
              <w:r w:rsidRPr="002A677E" w:rsidDel="00364120">
                <w:rPr>
                  <w:rFonts w:ascii="Times New Roman" w:hAnsi="Times New Roman"/>
                  <w:sz w:val="24"/>
                </w:rPr>
                <w:delText xml:space="preserve"> 100</w:delText>
              </w:r>
              <w:r w:rsidR="00B856D5" w:rsidDel="00364120">
                <w:delText> </w:delText>
              </w:r>
              <w:r w:rsidRPr="002A677E" w:rsidDel="00364120">
                <w:rPr>
                  <w:rFonts w:ascii="Times New Roman" w:hAnsi="Times New Roman"/>
                  <w:sz w:val="24"/>
                </w:rPr>
                <w:delText>% and the value in the column has to be set to zero. Conversely, whe</w:delText>
              </w:r>
              <w:r w:rsidR="001C3443" w:rsidRPr="002A677E" w:rsidDel="00364120">
                <w:rPr>
                  <w:rFonts w:ascii="Times New Roman" w:hAnsi="Times New Roman"/>
                  <w:sz w:val="24"/>
                </w:rPr>
                <w:delText>re</w:delText>
              </w:r>
              <w:r w:rsidRPr="002A677E" w:rsidDel="00364120">
                <w:rPr>
                  <w:rFonts w:ascii="Times New Roman" w:hAnsi="Times New Roman"/>
                  <w:sz w:val="24"/>
                </w:rPr>
                <w:delText xml:space="preserve"> the institution c</w:delText>
              </w:r>
              <w:r w:rsidR="001C3443" w:rsidRPr="002A677E" w:rsidDel="00364120">
                <w:rPr>
                  <w:rFonts w:ascii="Times New Roman" w:hAnsi="Times New Roman"/>
                  <w:sz w:val="24"/>
                </w:rPr>
                <w:delText>alculates</w:delText>
              </w:r>
              <w:r w:rsidRPr="002A677E" w:rsidDel="00364120">
                <w:rPr>
                  <w:rFonts w:ascii="Times New Roman" w:hAnsi="Times New Roman"/>
                  <w:sz w:val="24"/>
                </w:rPr>
                <w:delText xml:space="preserve"> an explicit correlations structure between risk classes, it has to include in this column the difference between the AMA capital as stemming from the “default case” and </w:delText>
              </w:r>
              <w:r w:rsidR="001C3443" w:rsidRPr="002A677E" w:rsidDel="00364120">
                <w:rPr>
                  <w:rFonts w:ascii="Times New Roman" w:hAnsi="Times New Roman"/>
                  <w:sz w:val="24"/>
                </w:rPr>
                <w:delText xml:space="preserve">the AMA capital </w:delText>
              </w:r>
              <w:r w:rsidRPr="002A677E" w:rsidDel="00364120">
                <w:rPr>
                  <w:rFonts w:ascii="Times New Roman" w:hAnsi="Times New Roman"/>
                  <w:sz w:val="24"/>
                </w:rPr>
                <w:delText>obtained after applying the correlations structure between the risk classes. The value reflects the “diversification capacity” of the AMA model, that is the ability of the model to capture the not simultaneous occurrence of severe operational risk loss events. In column 110</w:delText>
              </w:r>
              <w:r w:rsidR="001C3443" w:rsidRPr="002A677E" w:rsidDel="00364120">
                <w:rPr>
                  <w:rFonts w:ascii="Times New Roman" w:hAnsi="Times New Roman"/>
                  <w:sz w:val="24"/>
                </w:rPr>
                <w:delText>,</w:delText>
              </w:r>
              <w:r w:rsidRPr="002A677E" w:rsidDel="00364120">
                <w:rPr>
                  <w:rFonts w:ascii="Times New Roman" w:hAnsi="Times New Roman"/>
                  <w:sz w:val="24"/>
                </w:rPr>
                <w:delText xml:space="preserve"> the amount by which the assumed correlation structure decreases the AMA capital relative to the assumption of 100</w:delText>
              </w:r>
              <w:r w:rsidR="00B856D5" w:rsidDel="00364120">
                <w:delText> </w:delText>
              </w:r>
              <w:r w:rsidRPr="002A677E" w:rsidDel="00364120">
                <w:rPr>
                  <w:rFonts w:ascii="Times New Roman" w:hAnsi="Times New Roman"/>
                  <w:sz w:val="24"/>
                </w:rPr>
                <w:delText>% correlation has to be reported.</w:delText>
              </w:r>
            </w:del>
          </w:p>
          <w:p w14:paraId="0CA7ED47" w14:textId="694ADE1C" w:rsidR="00AC6255" w:rsidRPr="002A677E" w:rsidDel="00364120" w:rsidRDefault="00AC6255" w:rsidP="000B0B09">
            <w:pPr>
              <w:autoSpaceDE w:val="0"/>
              <w:autoSpaceDN w:val="0"/>
              <w:adjustRightInd w:val="0"/>
              <w:spacing w:before="0" w:after="0"/>
              <w:jc w:val="left"/>
              <w:rPr>
                <w:del w:id="143" w:author="Author"/>
                <w:rFonts w:ascii="Times New Roman" w:hAnsi="Times New Roman"/>
                <w:bCs/>
                <w:sz w:val="24"/>
                <w:lang w:eastAsia="nl-BE"/>
              </w:rPr>
            </w:pPr>
          </w:p>
        </w:tc>
      </w:tr>
      <w:tr w:rsidR="00AC6255" w:rsidRPr="002A677E" w:rsidDel="00364120" w14:paraId="2734F154" w14:textId="6CA26173" w:rsidTr="00672D2A">
        <w:trPr>
          <w:del w:id="144" w:author="Author"/>
        </w:trPr>
        <w:tc>
          <w:tcPr>
            <w:tcW w:w="985" w:type="dxa"/>
          </w:tcPr>
          <w:p w14:paraId="2425F192" w14:textId="512F7213" w:rsidR="00AC6255" w:rsidRPr="002A677E" w:rsidDel="00364120" w:rsidRDefault="00F20C33" w:rsidP="000B0B09">
            <w:pPr>
              <w:autoSpaceDE w:val="0"/>
              <w:autoSpaceDN w:val="0"/>
              <w:adjustRightInd w:val="0"/>
              <w:spacing w:before="0" w:after="0"/>
              <w:rPr>
                <w:del w:id="145" w:author="Author"/>
                <w:rFonts w:ascii="Times New Roman" w:hAnsi="Times New Roman"/>
                <w:bCs/>
                <w:sz w:val="24"/>
                <w:lang w:eastAsia="nl-BE"/>
              </w:rPr>
            </w:pPr>
            <w:del w:id="146" w:author="Author">
              <w:r w:rsidRPr="002A677E" w:rsidDel="00364120">
                <w:rPr>
                  <w:rFonts w:ascii="Times New Roman" w:hAnsi="Times New Roman"/>
                  <w:bCs/>
                  <w:sz w:val="24"/>
                  <w:lang w:eastAsia="nl-BE"/>
                </w:rPr>
                <w:lastRenderedPageBreak/>
                <w:delText>0</w:delText>
              </w:r>
              <w:r w:rsidR="00AC6255" w:rsidRPr="002A677E" w:rsidDel="00364120">
                <w:rPr>
                  <w:rFonts w:ascii="Times New Roman" w:hAnsi="Times New Roman"/>
                  <w:bCs/>
                  <w:sz w:val="24"/>
                  <w:lang w:eastAsia="nl-BE"/>
                </w:rPr>
                <w:delText>120</w:delText>
              </w:r>
            </w:del>
          </w:p>
        </w:tc>
        <w:tc>
          <w:tcPr>
            <w:tcW w:w="7877" w:type="dxa"/>
          </w:tcPr>
          <w:p w14:paraId="5EB1390A" w14:textId="16D90087" w:rsidR="00AC6255" w:rsidRPr="002A677E" w:rsidDel="00364120" w:rsidRDefault="00AC6255" w:rsidP="000B0B09">
            <w:pPr>
              <w:autoSpaceDE w:val="0"/>
              <w:autoSpaceDN w:val="0"/>
              <w:adjustRightInd w:val="0"/>
              <w:spacing w:before="0" w:after="0"/>
              <w:jc w:val="left"/>
              <w:rPr>
                <w:del w:id="147" w:author="Author"/>
                <w:rFonts w:ascii="Times New Roman" w:hAnsi="Times New Roman"/>
                <w:sz w:val="24"/>
                <w:lang w:eastAsia="de-DE"/>
              </w:rPr>
            </w:pPr>
            <w:del w:id="148" w:author="Author">
              <w:r w:rsidRPr="002A677E" w:rsidDel="00364120">
                <w:rPr>
                  <w:rStyle w:val="InstructionsTabelleberschrift"/>
                  <w:rFonts w:ascii="Times New Roman" w:hAnsi="Times New Roman"/>
                  <w:sz w:val="24"/>
                </w:rPr>
                <w:delText>(-) ALLEVIATION OF OWN FUNDS REQUIREMENT DUE TO RISK MITIGATION TECHNIQUES (INSURANCE AND OTHER RISK TRANSFER MECHANISMS)</w:delText>
              </w:r>
            </w:del>
          </w:p>
          <w:p w14:paraId="4FE62E04" w14:textId="1DF5F45E" w:rsidR="00AC6255" w:rsidRPr="002A677E" w:rsidDel="00364120" w:rsidRDefault="00AC6255" w:rsidP="000B0B09">
            <w:pPr>
              <w:autoSpaceDE w:val="0"/>
              <w:autoSpaceDN w:val="0"/>
              <w:adjustRightInd w:val="0"/>
              <w:spacing w:before="0" w:after="0"/>
              <w:jc w:val="left"/>
              <w:rPr>
                <w:del w:id="149" w:author="Author"/>
                <w:rFonts w:ascii="Times New Roman" w:hAnsi="Times New Roman"/>
                <w:sz w:val="24"/>
                <w:lang w:eastAsia="de-DE"/>
              </w:rPr>
            </w:pPr>
          </w:p>
          <w:p w14:paraId="4C80332F" w14:textId="4158A1D2" w:rsidR="00AC6255" w:rsidRPr="002A677E" w:rsidDel="00364120" w:rsidRDefault="005E7FAD" w:rsidP="000B0B09">
            <w:pPr>
              <w:autoSpaceDE w:val="0"/>
              <w:autoSpaceDN w:val="0"/>
              <w:adjustRightInd w:val="0"/>
              <w:spacing w:before="0" w:after="0"/>
              <w:jc w:val="left"/>
              <w:rPr>
                <w:del w:id="150" w:author="Author"/>
                <w:rFonts w:ascii="Times New Roman" w:hAnsi="Times New Roman"/>
                <w:sz w:val="24"/>
                <w:lang w:eastAsia="de-DE"/>
              </w:rPr>
            </w:pPr>
            <w:del w:id="151" w:author="Author">
              <w:r w:rsidRPr="002A677E" w:rsidDel="00364120">
                <w:rPr>
                  <w:rFonts w:ascii="Times New Roman" w:hAnsi="Times New Roman"/>
                  <w:sz w:val="24"/>
                  <w:lang w:eastAsia="de-DE"/>
                </w:rPr>
                <w:delText>T</w:delText>
              </w:r>
              <w:r w:rsidR="00AC6255" w:rsidRPr="002A677E" w:rsidDel="00364120">
                <w:rPr>
                  <w:rFonts w:ascii="Times New Roman" w:hAnsi="Times New Roman"/>
                  <w:sz w:val="24"/>
                  <w:lang w:eastAsia="de-DE"/>
                </w:rPr>
                <w:delText xml:space="preserve">he impact of insurance and other risk transfer mechanisms </w:delText>
              </w:r>
              <w:r w:rsidR="001C3443" w:rsidRPr="002A677E" w:rsidDel="00364120">
                <w:rPr>
                  <w:rFonts w:ascii="Times New Roman" w:hAnsi="Times New Roman"/>
                  <w:sz w:val="24"/>
                  <w:lang w:eastAsia="de-DE"/>
                </w:rPr>
                <w:delText>as referred to in</w:delText>
              </w:r>
              <w:r w:rsidR="00AC6255" w:rsidRPr="002A677E" w:rsidDel="00364120">
                <w:rPr>
                  <w:rFonts w:ascii="Times New Roman" w:hAnsi="Times New Roman"/>
                  <w:sz w:val="24"/>
                  <w:lang w:eastAsia="de-DE"/>
                </w:rPr>
                <w:delText xml:space="preserve"> Article </w:delText>
              </w:r>
              <w:r w:rsidR="00474C49" w:rsidRPr="002A677E" w:rsidDel="00364120">
                <w:rPr>
                  <w:rFonts w:ascii="Times New Roman" w:hAnsi="Times New Roman"/>
                  <w:sz w:val="24"/>
                  <w:lang w:eastAsia="de-DE"/>
                </w:rPr>
                <w:delText>323</w:delText>
              </w:r>
              <w:r w:rsidR="00AC6255" w:rsidRPr="002A677E" w:rsidDel="00364120">
                <w:rPr>
                  <w:rFonts w:ascii="Times New Roman" w:hAnsi="Times New Roman"/>
                  <w:sz w:val="24"/>
                  <w:lang w:eastAsia="de-DE"/>
                </w:rPr>
                <w:delText xml:space="preserve"> </w:delText>
              </w:r>
              <w:r w:rsidR="0095353C" w:rsidRPr="001235ED" w:rsidDel="00364120">
                <w:rPr>
                  <w:rFonts w:ascii="Times New Roman" w:hAnsi="Times New Roman"/>
                  <w:sz w:val="24"/>
                  <w:lang w:val="en-US"/>
                </w:rPr>
                <w:delText>of Regulation (EU) No 575/2013</w:delText>
              </w:r>
              <w:r w:rsidR="00AC6255" w:rsidRPr="002A677E" w:rsidDel="00364120">
                <w:rPr>
                  <w:rFonts w:ascii="Times New Roman" w:hAnsi="Times New Roman"/>
                  <w:sz w:val="24"/>
                  <w:lang w:eastAsia="de-DE"/>
                </w:rPr>
                <w:delText xml:space="preserve"> </w:delText>
              </w:r>
              <w:r w:rsidR="001C3443" w:rsidRPr="002A677E" w:rsidDel="00364120">
                <w:rPr>
                  <w:rFonts w:ascii="Times New Roman" w:hAnsi="Times New Roman"/>
                  <w:sz w:val="24"/>
                  <w:lang w:eastAsia="de-DE"/>
                </w:rPr>
                <w:delText>shall be</w:delText>
              </w:r>
              <w:r w:rsidR="00AC6255" w:rsidRPr="002A677E" w:rsidDel="00364120">
                <w:rPr>
                  <w:rFonts w:ascii="Times New Roman" w:hAnsi="Times New Roman"/>
                  <w:sz w:val="24"/>
                  <w:lang w:eastAsia="de-DE"/>
                </w:rPr>
                <w:delText xml:space="preserve"> reported</w:delText>
              </w:r>
              <w:r w:rsidRPr="002A677E" w:rsidDel="00364120">
                <w:rPr>
                  <w:rFonts w:ascii="Times New Roman" w:hAnsi="Times New Roman"/>
                  <w:sz w:val="24"/>
                  <w:lang w:eastAsia="de-DE"/>
                </w:rPr>
                <w:delText xml:space="preserve"> in this column.</w:delText>
              </w:r>
            </w:del>
          </w:p>
          <w:p w14:paraId="6D3862D8" w14:textId="0044DB6C" w:rsidR="00AC6255" w:rsidRPr="002A677E" w:rsidDel="00364120" w:rsidRDefault="00AC6255" w:rsidP="000B0B09">
            <w:pPr>
              <w:autoSpaceDE w:val="0"/>
              <w:autoSpaceDN w:val="0"/>
              <w:adjustRightInd w:val="0"/>
              <w:spacing w:before="0" w:after="0"/>
              <w:jc w:val="left"/>
              <w:rPr>
                <w:del w:id="152" w:author="Author"/>
                <w:rFonts w:ascii="Times New Roman" w:hAnsi="Times New Roman"/>
                <w:bCs/>
                <w:sz w:val="24"/>
                <w:lang w:eastAsia="nl-BE"/>
              </w:rPr>
            </w:pPr>
          </w:p>
        </w:tc>
      </w:tr>
    </w:tbl>
    <w:p w14:paraId="351AFCE8" w14:textId="2C8160DB" w:rsidR="00AC6255" w:rsidRPr="002A677E" w:rsidDel="00364120" w:rsidRDefault="00AC6255" w:rsidP="00AC6255">
      <w:pPr>
        <w:autoSpaceDE w:val="0"/>
        <w:autoSpaceDN w:val="0"/>
        <w:adjustRightInd w:val="0"/>
        <w:spacing w:before="0" w:after="0"/>
        <w:rPr>
          <w:del w:id="153" w:author="Author"/>
          <w:rFonts w:ascii="Times New Roman" w:hAnsi="Times New Roman"/>
          <w:sz w:val="24"/>
          <w:lang w:eastAsia="de-DE"/>
        </w:rPr>
      </w:pPr>
    </w:p>
    <w:p w14:paraId="67651E81" w14:textId="7A6D7EF5" w:rsidR="00AC6255" w:rsidRPr="002A677E" w:rsidDel="00364120" w:rsidRDefault="00AC6255" w:rsidP="00AC6255">
      <w:pPr>
        <w:autoSpaceDE w:val="0"/>
        <w:autoSpaceDN w:val="0"/>
        <w:adjustRightInd w:val="0"/>
        <w:spacing w:before="0" w:after="0"/>
        <w:rPr>
          <w:del w:id="154" w:author="Author"/>
          <w:rFonts w:ascii="Times New Roman" w:hAnsi="Times New Roman"/>
          <w:sz w:val="24"/>
          <w:lang w:eastAsia="de-DE"/>
        </w:rPr>
      </w:pPr>
    </w:p>
    <w:p w14:paraId="2D502CFB" w14:textId="55AC6F32" w:rsidR="00AC6255" w:rsidRPr="002A677E" w:rsidDel="00364120" w:rsidRDefault="00AC6255" w:rsidP="00AC6255">
      <w:pPr>
        <w:pStyle w:val="PlainText"/>
        <w:jc w:val="both"/>
        <w:rPr>
          <w:del w:id="155" w:author="Autho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rsidDel="00364120" w14:paraId="1067B6C8" w14:textId="0A4D7FB9" w:rsidTr="00672D2A">
        <w:trPr>
          <w:trHeight w:val="518"/>
          <w:del w:id="156" w:author="Author"/>
        </w:trPr>
        <w:tc>
          <w:tcPr>
            <w:tcW w:w="8862" w:type="dxa"/>
            <w:gridSpan w:val="2"/>
            <w:shd w:val="clear" w:color="auto" w:fill="CCCCCC"/>
          </w:tcPr>
          <w:p w14:paraId="77DA6528" w14:textId="58CEA2EF" w:rsidR="00AC6255" w:rsidRPr="002A677E" w:rsidDel="00364120" w:rsidRDefault="00AC6255" w:rsidP="000B0B09">
            <w:pPr>
              <w:autoSpaceDE w:val="0"/>
              <w:autoSpaceDN w:val="0"/>
              <w:adjustRightInd w:val="0"/>
              <w:spacing w:after="0"/>
              <w:rPr>
                <w:del w:id="157" w:author="Author"/>
                <w:rFonts w:ascii="Times New Roman" w:hAnsi="Times New Roman"/>
                <w:b/>
                <w:bCs/>
                <w:sz w:val="24"/>
                <w:lang w:eastAsia="nl-BE"/>
              </w:rPr>
            </w:pPr>
            <w:del w:id="158" w:author="Author">
              <w:r w:rsidRPr="002A677E" w:rsidDel="00364120">
                <w:rPr>
                  <w:rFonts w:ascii="Times New Roman" w:hAnsi="Times New Roman"/>
                  <w:b/>
                  <w:bCs/>
                  <w:sz w:val="24"/>
                  <w:lang w:eastAsia="nl-BE"/>
                </w:rPr>
                <w:delText>Rows</w:delText>
              </w:r>
            </w:del>
          </w:p>
        </w:tc>
      </w:tr>
      <w:tr w:rsidR="00AC6255" w:rsidRPr="002A677E" w:rsidDel="00364120" w14:paraId="1B7282C6" w14:textId="13198C98" w:rsidTr="00672D2A">
        <w:trPr>
          <w:del w:id="159" w:author="Author"/>
        </w:trPr>
        <w:tc>
          <w:tcPr>
            <w:tcW w:w="985" w:type="dxa"/>
          </w:tcPr>
          <w:p w14:paraId="75DBC4E2" w14:textId="0FC6F58B" w:rsidR="00AC6255" w:rsidRPr="002A677E" w:rsidDel="00364120" w:rsidRDefault="005E7FAD" w:rsidP="000B0B09">
            <w:pPr>
              <w:autoSpaceDE w:val="0"/>
              <w:autoSpaceDN w:val="0"/>
              <w:adjustRightInd w:val="0"/>
              <w:spacing w:before="0" w:after="0"/>
              <w:rPr>
                <w:del w:id="160" w:author="Author"/>
                <w:rFonts w:ascii="Times New Roman" w:hAnsi="Times New Roman"/>
                <w:bCs/>
                <w:sz w:val="24"/>
                <w:lang w:eastAsia="nl-BE"/>
              </w:rPr>
            </w:pPr>
            <w:del w:id="161"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 xml:space="preserve">010 </w:delText>
              </w:r>
            </w:del>
          </w:p>
        </w:tc>
        <w:tc>
          <w:tcPr>
            <w:tcW w:w="7877" w:type="dxa"/>
          </w:tcPr>
          <w:p w14:paraId="0B1D1514" w14:textId="7FBB5E8F" w:rsidR="00AC6255" w:rsidRPr="002A677E" w:rsidDel="00364120" w:rsidRDefault="00AC6255" w:rsidP="000B0B09">
            <w:pPr>
              <w:autoSpaceDE w:val="0"/>
              <w:autoSpaceDN w:val="0"/>
              <w:adjustRightInd w:val="0"/>
              <w:spacing w:before="0" w:after="0"/>
              <w:rPr>
                <w:del w:id="162" w:author="Author"/>
                <w:rStyle w:val="InstructionsTabelleberschrift"/>
                <w:rFonts w:ascii="Times New Roman" w:hAnsi="Times New Roman"/>
                <w:sz w:val="24"/>
              </w:rPr>
            </w:pPr>
            <w:del w:id="163" w:author="Author">
              <w:r w:rsidRPr="002A677E" w:rsidDel="00364120">
                <w:rPr>
                  <w:rStyle w:val="InstructionsTabelleberschrift"/>
                  <w:rFonts w:ascii="Times New Roman" w:hAnsi="Times New Roman"/>
                  <w:sz w:val="24"/>
                </w:rPr>
                <w:delText>BANKING ACTIVITIES SUBJECT TO BASIC INDICATOR APPROACH (BIA)</w:delText>
              </w:r>
            </w:del>
          </w:p>
          <w:p w14:paraId="75BE6738" w14:textId="522792A7" w:rsidR="00AC6255" w:rsidRPr="002A677E" w:rsidDel="00364120" w:rsidRDefault="00AC6255" w:rsidP="000B0B09">
            <w:pPr>
              <w:pStyle w:val="PlainText"/>
              <w:jc w:val="both"/>
              <w:rPr>
                <w:del w:id="164" w:author="Author"/>
                <w:rFonts w:ascii="Times New Roman" w:eastAsia="Times New Roman" w:hAnsi="Times New Roman"/>
                <w:sz w:val="24"/>
                <w:szCs w:val="24"/>
                <w:lang w:val="en-GB" w:eastAsia="de-DE"/>
              </w:rPr>
            </w:pPr>
          </w:p>
          <w:p w14:paraId="248AD013" w14:textId="1C5251A9" w:rsidR="00AC6255" w:rsidRPr="002A677E" w:rsidDel="00364120" w:rsidRDefault="00AC6255" w:rsidP="000B0B09">
            <w:pPr>
              <w:pStyle w:val="PlainText"/>
              <w:jc w:val="both"/>
              <w:rPr>
                <w:del w:id="165" w:author="Author"/>
                <w:rFonts w:ascii="Times New Roman" w:eastAsia="Times New Roman" w:hAnsi="Times New Roman"/>
                <w:sz w:val="24"/>
                <w:szCs w:val="24"/>
                <w:lang w:val="en-GB" w:eastAsia="de-DE"/>
              </w:rPr>
            </w:pPr>
            <w:del w:id="166" w:author="Author">
              <w:r w:rsidRPr="002A677E" w:rsidDel="00364120">
                <w:rPr>
                  <w:rFonts w:ascii="Times New Roman" w:eastAsia="Times New Roman" w:hAnsi="Times New Roman"/>
                  <w:sz w:val="24"/>
                  <w:szCs w:val="24"/>
                  <w:lang w:val="en-GB"/>
                </w:rPr>
                <w:delText xml:space="preserve">This row shall present the amounts corresponding to activities subject to the BIA to calculate the own funds requirement for operational risk (Articles </w:delText>
              </w:r>
              <w:r w:rsidR="00474C49" w:rsidRPr="002A677E" w:rsidDel="00364120">
                <w:rPr>
                  <w:rFonts w:ascii="Times New Roman" w:eastAsia="Times New Roman" w:hAnsi="Times New Roman"/>
                  <w:sz w:val="24"/>
                  <w:szCs w:val="24"/>
                  <w:lang w:val="en-GB"/>
                </w:rPr>
                <w:delText xml:space="preserve">315 </w:delText>
              </w:r>
              <w:r w:rsidRPr="002A677E" w:rsidDel="00364120">
                <w:rPr>
                  <w:rFonts w:ascii="Times New Roman" w:eastAsia="Times New Roman" w:hAnsi="Times New Roman"/>
                  <w:sz w:val="24"/>
                  <w:szCs w:val="24"/>
                  <w:lang w:val="en-GB"/>
                </w:rPr>
                <w:delText xml:space="preserve">and </w:delText>
              </w:r>
              <w:r w:rsidR="00474C49" w:rsidRPr="002A677E" w:rsidDel="00364120">
                <w:rPr>
                  <w:rFonts w:ascii="Times New Roman" w:eastAsia="Times New Roman" w:hAnsi="Times New Roman"/>
                  <w:sz w:val="24"/>
                  <w:szCs w:val="24"/>
                  <w:lang w:val="en-GB"/>
                </w:rPr>
                <w:delText>316</w:delText>
              </w:r>
              <w:r w:rsidRPr="002A677E" w:rsidDel="00364120">
                <w:rPr>
                  <w:rFonts w:ascii="Times New Roman" w:eastAsia="Times New Roman" w:hAnsi="Times New Roman"/>
                  <w:sz w:val="24"/>
                  <w:szCs w:val="24"/>
                  <w:lang w:val="en-GB"/>
                </w:rPr>
                <w:delText xml:space="preserve"> </w:delText>
              </w:r>
              <w:r w:rsidR="0095353C" w:rsidRPr="001235ED" w:rsidDel="00364120">
                <w:rPr>
                  <w:rFonts w:ascii="Times New Roman" w:hAnsi="Times New Roman"/>
                  <w:sz w:val="24"/>
                  <w:szCs w:val="24"/>
                  <w:lang w:val="en-US"/>
                </w:rPr>
                <w:delText>of Regulation (EU) No 575/2013</w:delText>
              </w:r>
              <w:r w:rsidRPr="002A677E" w:rsidDel="00364120">
                <w:rPr>
                  <w:rFonts w:ascii="Times New Roman" w:eastAsia="Times New Roman" w:hAnsi="Times New Roman"/>
                  <w:sz w:val="24"/>
                  <w:szCs w:val="24"/>
                  <w:lang w:val="en-GB"/>
                </w:rPr>
                <w:delText>).</w:delText>
              </w:r>
            </w:del>
          </w:p>
          <w:p w14:paraId="7C5D1EC6" w14:textId="1D1393CB" w:rsidR="00AC6255" w:rsidRPr="002A677E" w:rsidDel="00364120" w:rsidRDefault="00AC6255" w:rsidP="000B0B09">
            <w:pPr>
              <w:pStyle w:val="PlainText"/>
              <w:jc w:val="both"/>
              <w:rPr>
                <w:del w:id="167" w:author="Author"/>
                <w:rFonts w:ascii="Times New Roman" w:eastAsia="Times New Roman" w:hAnsi="Times New Roman"/>
                <w:bCs/>
                <w:sz w:val="24"/>
                <w:szCs w:val="24"/>
                <w:lang w:val="en-GB" w:eastAsia="nl-BE"/>
              </w:rPr>
            </w:pPr>
          </w:p>
        </w:tc>
      </w:tr>
      <w:tr w:rsidR="00AC6255" w:rsidRPr="002A677E" w:rsidDel="00364120" w14:paraId="759793B6" w14:textId="4342799E" w:rsidTr="00672D2A">
        <w:trPr>
          <w:del w:id="168" w:author="Author"/>
        </w:trPr>
        <w:tc>
          <w:tcPr>
            <w:tcW w:w="985" w:type="dxa"/>
          </w:tcPr>
          <w:p w14:paraId="130FAEB0" w14:textId="0BDB03F4" w:rsidR="00AC6255" w:rsidRPr="002A677E" w:rsidDel="00364120" w:rsidRDefault="005E7FAD" w:rsidP="000B0B09">
            <w:pPr>
              <w:autoSpaceDE w:val="0"/>
              <w:autoSpaceDN w:val="0"/>
              <w:adjustRightInd w:val="0"/>
              <w:spacing w:before="0" w:after="0"/>
              <w:rPr>
                <w:del w:id="169" w:author="Author"/>
                <w:rFonts w:ascii="Times New Roman" w:hAnsi="Times New Roman"/>
                <w:bCs/>
                <w:sz w:val="24"/>
                <w:lang w:eastAsia="nl-BE"/>
              </w:rPr>
            </w:pPr>
            <w:del w:id="170"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020</w:delText>
              </w:r>
            </w:del>
          </w:p>
        </w:tc>
        <w:tc>
          <w:tcPr>
            <w:tcW w:w="7877" w:type="dxa"/>
          </w:tcPr>
          <w:p w14:paraId="5BAD57B9" w14:textId="4BE04104" w:rsidR="00AC6255" w:rsidRPr="002A677E" w:rsidDel="00364120" w:rsidRDefault="00AC6255" w:rsidP="000B0B09">
            <w:pPr>
              <w:autoSpaceDE w:val="0"/>
              <w:autoSpaceDN w:val="0"/>
              <w:adjustRightInd w:val="0"/>
              <w:spacing w:before="0" w:after="0"/>
              <w:rPr>
                <w:del w:id="171" w:author="Author"/>
                <w:rStyle w:val="InstructionsTabelleberschrift"/>
                <w:rFonts w:ascii="Times New Roman" w:hAnsi="Times New Roman"/>
                <w:sz w:val="24"/>
              </w:rPr>
            </w:pPr>
            <w:del w:id="172" w:author="Author">
              <w:r w:rsidRPr="002A677E" w:rsidDel="00364120">
                <w:rPr>
                  <w:rStyle w:val="InstructionsTabelleberschrift"/>
                  <w:rFonts w:ascii="Times New Roman" w:hAnsi="Times New Roman"/>
                  <w:sz w:val="24"/>
                </w:rPr>
                <w:delText>BANKING ACTIVITIES SUBJECT TO STANDARISED (TSA)/ ALTERNATIVE STANDARDISED (ASA) APPROACHES</w:delText>
              </w:r>
            </w:del>
          </w:p>
          <w:p w14:paraId="240B407B" w14:textId="752B116A" w:rsidR="00AC6255" w:rsidRPr="002A677E" w:rsidDel="00364120" w:rsidRDefault="00AC6255" w:rsidP="000B0B09">
            <w:pPr>
              <w:autoSpaceDE w:val="0"/>
              <w:autoSpaceDN w:val="0"/>
              <w:adjustRightInd w:val="0"/>
              <w:spacing w:before="0" w:after="0"/>
              <w:rPr>
                <w:del w:id="173" w:author="Author"/>
                <w:rFonts w:ascii="Times New Roman" w:hAnsi="Times New Roman"/>
                <w:sz w:val="24"/>
                <w:lang w:eastAsia="de-DE"/>
              </w:rPr>
            </w:pPr>
          </w:p>
          <w:p w14:paraId="5EB57437" w14:textId="30E28989" w:rsidR="00AC6255" w:rsidRPr="002A677E" w:rsidDel="00364120" w:rsidRDefault="00AC6255" w:rsidP="000B0B09">
            <w:pPr>
              <w:autoSpaceDE w:val="0"/>
              <w:autoSpaceDN w:val="0"/>
              <w:adjustRightInd w:val="0"/>
              <w:spacing w:before="0" w:after="0"/>
              <w:rPr>
                <w:del w:id="174" w:author="Author"/>
                <w:rFonts w:ascii="Times New Roman" w:hAnsi="Times New Roman"/>
                <w:sz w:val="24"/>
                <w:lang w:eastAsia="de-DE"/>
              </w:rPr>
            </w:pPr>
            <w:del w:id="175" w:author="Author">
              <w:r w:rsidRPr="002A677E" w:rsidDel="00364120">
                <w:rPr>
                  <w:rFonts w:ascii="Times New Roman" w:hAnsi="Times New Roman"/>
                  <w:sz w:val="24"/>
                  <w:lang w:eastAsia="de-DE"/>
                </w:rPr>
                <w:delText xml:space="preserve">The </w:delText>
              </w:r>
              <w:r w:rsidRPr="002A677E" w:rsidDel="00364120">
                <w:rPr>
                  <w:rFonts w:ascii="Times New Roman" w:hAnsi="Times New Roman"/>
                  <w:sz w:val="24"/>
                </w:rPr>
                <w:delText xml:space="preserve">own funds requirement </w:delText>
              </w:r>
              <w:r w:rsidRPr="002A677E" w:rsidDel="00364120">
                <w:rPr>
                  <w:rFonts w:ascii="Times New Roman" w:hAnsi="Times New Roman"/>
                  <w:sz w:val="24"/>
                  <w:lang w:eastAsia="de-DE"/>
                </w:rPr>
                <w:delText xml:space="preserve">calculated </w:delText>
              </w:r>
              <w:r w:rsidR="00BB22D4" w:rsidRPr="002A677E" w:rsidDel="00364120">
                <w:rPr>
                  <w:rFonts w:ascii="Times New Roman" w:hAnsi="Times New Roman"/>
                  <w:sz w:val="24"/>
                  <w:lang w:eastAsia="de-DE"/>
                </w:rPr>
                <w:delText>in accordance with</w:delText>
              </w:r>
              <w:r w:rsidRPr="002A677E" w:rsidDel="00364120">
                <w:rPr>
                  <w:rFonts w:ascii="Times New Roman" w:hAnsi="Times New Roman"/>
                  <w:sz w:val="24"/>
                  <w:lang w:eastAsia="de-DE"/>
                </w:rPr>
                <w:delText xml:space="preserve"> the TSA and ASA (Articles </w:delText>
              </w:r>
              <w:r w:rsidR="00F249CD" w:rsidRPr="002A677E" w:rsidDel="00364120">
                <w:rPr>
                  <w:rFonts w:ascii="Times New Roman" w:hAnsi="Times New Roman"/>
                  <w:sz w:val="24"/>
                  <w:lang w:eastAsia="de-DE"/>
                </w:rPr>
                <w:delText>317</w:delText>
              </w:r>
              <w:r w:rsidR="001C3443" w:rsidRPr="002A677E" w:rsidDel="00364120">
                <w:rPr>
                  <w:rFonts w:ascii="Times New Roman" w:hAnsi="Times New Roman"/>
                  <w:sz w:val="24"/>
                  <w:lang w:eastAsia="de-DE"/>
                </w:rPr>
                <w:delText>, 318 and</w:delText>
              </w:r>
              <w:r w:rsidRPr="002A677E" w:rsidDel="00364120">
                <w:rPr>
                  <w:rFonts w:ascii="Times New Roman" w:hAnsi="Times New Roman"/>
                  <w:sz w:val="24"/>
                  <w:lang w:eastAsia="de-DE"/>
                </w:rPr>
                <w:delText xml:space="preserve"> </w:delText>
              </w:r>
              <w:r w:rsidR="00474C49" w:rsidRPr="002A677E" w:rsidDel="00364120">
                <w:rPr>
                  <w:rFonts w:ascii="Times New Roman" w:hAnsi="Times New Roman"/>
                  <w:sz w:val="24"/>
                  <w:lang w:eastAsia="de-DE"/>
                </w:rPr>
                <w:delText>319</w:delText>
              </w:r>
              <w:r w:rsidRPr="002A677E" w:rsidDel="00364120">
                <w:rPr>
                  <w:rFonts w:ascii="Times New Roman" w:hAnsi="Times New Roman"/>
                  <w:sz w:val="24"/>
                  <w:lang w:eastAsia="de-DE"/>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lang w:eastAsia="de-DE"/>
                </w:rPr>
                <w:delText xml:space="preserve">) </w:delText>
              </w:r>
              <w:r w:rsidR="00A95FD0" w:rsidRPr="002A677E" w:rsidDel="00364120">
                <w:rPr>
                  <w:rFonts w:ascii="Times New Roman" w:hAnsi="Times New Roman"/>
                  <w:sz w:val="24"/>
                  <w:lang w:eastAsia="de-DE"/>
                </w:rPr>
                <w:delText>shall be reported</w:delText>
              </w:r>
              <w:r w:rsidRPr="002A677E" w:rsidDel="00364120">
                <w:rPr>
                  <w:rFonts w:ascii="Times New Roman" w:hAnsi="Times New Roman"/>
                  <w:sz w:val="24"/>
                  <w:lang w:eastAsia="de-DE"/>
                </w:rPr>
                <w:delText>.</w:delText>
              </w:r>
            </w:del>
          </w:p>
          <w:p w14:paraId="72385165" w14:textId="7DC32A80" w:rsidR="00AC6255" w:rsidRPr="002A677E" w:rsidDel="00364120" w:rsidRDefault="00AC6255" w:rsidP="000B0B09">
            <w:pPr>
              <w:autoSpaceDE w:val="0"/>
              <w:autoSpaceDN w:val="0"/>
              <w:adjustRightInd w:val="0"/>
              <w:spacing w:before="0" w:after="0"/>
              <w:rPr>
                <w:del w:id="176" w:author="Author"/>
                <w:rFonts w:ascii="Times New Roman" w:hAnsi="Times New Roman"/>
                <w:bCs/>
                <w:sz w:val="24"/>
                <w:lang w:eastAsia="nl-BE"/>
              </w:rPr>
            </w:pPr>
          </w:p>
        </w:tc>
      </w:tr>
      <w:tr w:rsidR="00AC6255" w:rsidRPr="002A677E" w:rsidDel="00364120" w14:paraId="49FFDDC5" w14:textId="0053C119" w:rsidTr="00672D2A">
        <w:trPr>
          <w:trHeight w:val="1705"/>
          <w:del w:id="177" w:author="Author"/>
        </w:trPr>
        <w:tc>
          <w:tcPr>
            <w:tcW w:w="985" w:type="dxa"/>
          </w:tcPr>
          <w:p w14:paraId="530AAF6B" w14:textId="6FC5443F" w:rsidR="00AC6255" w:rsidRPr="002A677E" w:rsidDel="00364120" w:rsidRDefault="005E7FAD" w:rsidP="000F70EC">
            <w:pPr>
              <w:autoSpaceDE w:val="0"/>
              <w:autoSpaceDN w:val="0"/>
              <w:adjustRightInd w:val="0"/>
              <w:spacing w:before="0" w:after="0"/>
              <w:rPr>
                <w:del w:id="178" w:author="Author"/>
                <w:rFonts w:ascii="Times New Roman" w:hAnsi="Times New Roman"/>
                <w:bCs/>
                <w:sz w:val="24"/>
                <w:lang w:eastAsia="nl-BE"/>
              </w:rPr>
            </w:pPr>
            <w:del w:id="179"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030-</w:delText>
              </w: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100</w:delText>
              </w:r>
            </w:del>
          </w:p>
        </w:tc>
        <w:tc>
          <w:tcPr>
            <w:tcW w:w="7877" w:type="dxa"/>
          </w:tcPr>
          <w:p w14:paraId="5BF870EA" w14:textId="679DDA7A" w:rsidR="00AC6255" w:rsidRPr="002A677E" w:rsidDel="00364120" w:rsidRDefault="00AC6255" w:rsidP="000B0B09">
            <w:pPr>
              <w:rPr>
                <w:del w:id="180" w:author="Author"/>
                <w:rStyle w:val="InstructionsTabelleberschrift"/>
                <w:rFonts w:ascii="Times New Roman" w:hAnsi="Times New Roman"/>
                <w:sz w:val="24"/>
              </w:rPr>
            </w:pPr>
            <w:del w:id="181" w:author="Author">
              <w:r w:rsidRPr="002A677E" w:rsidDel="00364120">
                <w:rPr>
                  <w:rStyle w:val="InstructionsTabelleberschrift"/>
                  <w:rFonts w:ascii="Times New Roman" w:hAnsi="Times New Roman"/>
                  <w:sz w:val="24"/>
                </w:rPr>
                <w:delText>SUBJECT TO TSA</w:delText>
              </w:r>
            </w:del>
          </w:p>
          <w:p w14:paraId="6510A110" w14:textId="6A3B4F07" w:rsidR="00AC6255" w:rsidRPr="002A677E" w:rsidDel="00364120" w:rsidRDefault="001C3443" w:rsidP="00FD7CAF">
            <w:pPr>
              <w:autoSpaceDE w:val="0"/>
              <w:autoSpaceDN w:val="0"/>
              <w:adjustRightInd w:val="0"/>
              <w:spacing w:before="0" w:after="0"/>
              <w:jc w:val="left"/>
              <w:rPr>
                <w:del w:id="182" w:author="Author"/>
                <w:rFonts w:ascii="Times New Roman" w:hAnsi="Times New Roman"/>
                <w:bCs/>
                <w:sz w:val="24"/>
                <w:lang w:eastAsia="nl-BE"/>
              </w:rPr>
            </w:pPr>
            <w:del w:id="183" w:author="Author">
              <w:r w:rsidRPr="002A677E" w:rsidDel="00364120">
                <w:rPr>
                  <w:rFonts w:ascii="Times New Roman" w:hAnsi="Times New Roman"/>
                  <w:sz w:val="24"/>
                </w:rPr>
                <w:delText xml:space="preserve">Where </w:delText>
              </w:r>
              <w:r w:rsidR="00AC6255" w:rsidRPr="002A677E" w:rsidDel="00364120">
                <w:rPr>
                  <w:rFonts w:ascii="Times New Roman" w:hAnsi="Times New Roman"/>
                  <w:sz w:val="24"/>
                </w:rPr>
                <w:delText>the TSA</w:delText>
              </w:r>
              <w:r w:rsidRPr="002A677E" w:rsidDel="00364120">
                <w:rPr>
                  <w:rFonts w:ascii="Times New Roman" w:hAnsi="Times New Roman"/>
                  <w:sz w:val="24"/>
                </w:rPr>
                <w:delText xml:space="preserve"> is used</w:delText>
              </w:r>
              <w:r w:rsidR="00AC6255" w:rsidRPr="002A677E" w:rsidDel="00364120">
                <w:rPr>
                  <w:rFonts w:ascii="Times New Roman" w:hAnsi="Times New Roman"/>
                  <w:sz w:val="24"/>
                </w:rPr>
                <w:delText xml:space="preserve">, </w:delText>
              </w:r>
              <w:r w:rsidRPr="002A677E" w:rsidDel="00364120">
                <w:rPr>
                  <w:rFonts w:ascii="Times New Roman" w:hAnsi="Times New Roman"/>
                  <w:sz w:val="24"/>
                </w:rPr>
                <w:delText xml:space="preserve">the </w:delText>
              </w:r>
              <w:r w:rsidR="00AC6255" w:rsidRPr="002A677E" w:rsidDel="00364120">
                <w:rPr>
                  <w:rFonts w:ascii="Times New Roman" w:hAnsi="Times New Roman"/>
                  <w:sz w:val="24"/>
                </w:rPr>
                <w:delText xml:space="preserve">relevant indicator for each respective year shall be distributed in rows </w:delText>
              </w:r>
              <w:r w:rsidR="005E7FAD" w:rsidRPr="002A677E" w:rsidDel="00364120">
                <w:rPr>
                  <w:rFonts w:ascii="Times New Roman" w:hAnsi="Times New Roman"/>
                  <w:sz w:val="24"/>
                </w:rPr>
                <w:delText>0</w:delText>
              </w:r>
              <w:r w:rsidR="00AC6255" w:rsidRPr="002A677E" w:rsidDel="00364120">
                <w:rPr>
                  <w:rFonts w:ascii="Times New Roman" w:hAnsi="Times New Roman"/>
                  <w:sz w:val="24"/>
                </w:rPr>
                <w:delText xml:space="preserve">030 to </w:delText>
              </w:r>
              <w:r w:rsidR="005E7FAD" w:rsidRPr="002A677E" w:rsidDel="00364120">
                <w:rPr>
                  <w:rFonts w:ascii="Times New Roman" w:hAnsi="Times New Roman"/>
                  <w:sz w:val="24"/>
                </w:rPr>
                <w:delText>0</w:delText>
              </w:r>
              <w:r w:rsidR="00AC6255" w:rsidRPr="002A677E" w:rsidDel="00364120">
                <w:rPr>
                  <w:rFonts w:ascii="Times New Roman" w:hAnsi="Times New Roman"/>
                  <w:sz w:val="24"/>
                </w:rPr>
                <w:delText xml:space="preserve">100 amongst the business lines </w:delText>
              </w:r>
              <w:r w:rsidRPr="002A677E" w:rsidDel="00364120">
                <w:rPr>
                  <w:rFonts w:ascii="Times New Roman" w:hAnsi="Times New Roman"/>
                  <w:sz w:val="24"/>
                </w:rPr>
                <w:delText>referred to</w:delText>
              </w:r>
              <w:r w:rsidR="00AC6255" w:rsidRPr="002A677E" w:rsidDel="00364120">
                <w:rPr>
                  <w:rFonts w:ascii="Times New Roman" w:hAnsi="Times New Roman"/>
                  <w:sz w:val="24"/>
                </w:rPr>
                <w:delText xml:space="preserve"> in Article </w:delText>
              </w:r>
              <w:r w:rsidR="00474C49" w:rsidRPr="002A677E" w:rsidDel="00364120">
                <w:rPr>
                  <w:rFonts w:ascii="Times New Roman" w:hAnsi="Times New Roman"/>
                  <w:sz w:val="24"/>
                </w:rPr>
                <w:delText>317</w:delText>
              </w:r>
              <w:r w:rsidR="00FD7CAF" w:rsidRPr="002A677E" w:rsidDel="00364120">
                <w:rPr>
                  <w:rFonts w:ascii="Times New Roman" w:hAnsi="Times New Roman"/>
                  <w:sz w:val="24"/>
                </w:rPr>
                <w:delText>,</w:delText>
              </w:r>
              <w:r w:rsidR="0042594B" w:rsidRPr="002A677E" w:rsidDel="00364120">
                <w:rPr>
                  <w:rFonts w:ascii="Times New Roman" w:hAnsi="Times New Roman"/>
                  <w:sz w:val="24"/>
                </w:rPr>
                <w:delText xml:space="preserve"> </w:delText>
              </w:r>
              <w:r w:rsidR="00FD7CAF" w:rsidRPr="002A677E" w:rsidDel="00364120">
                <w:rPr>
                  <w:rFonts w:ascii="Times New Roman" w:hAnsi="Times New Roman"/>
                  <w:sz w:val="24"/>
                </w:rPr>
                <w:delText xml:space="preserve">Table 2 </w:delText>
              </w:r>
              <w:r w:rsidR="0095353C" w:rsidRPr="001235ED" w:rsidDel="00364120">
                <w:rPr>
                  <w:rFonts w:ascii="Times New Roman" w:hAnsi="Times New Roman"/>
                  <w:sz w:val="24"/>
                  <w:lang w:val="en-US"/>
                </w:rPr>
                <w:delText>of Regulation (EU) No 575/2013</w:delText>
              </w:r>
              <w:r w:rsidR="00AC6255" w:rsidRPr="002A677E" w:rsidDel="00364120">
                <w:rPr>
                  <w:rFonts w:ascii="Times New Roman" w:hAnsi="Times New Roman"/>
                  <w:sz w:val="24"/>
                </w:rPr>
                <w:delText xml:space="preserve">. The mapping of activities into business lines </w:delText>
              </w:r>
              <w:r w:rsidR="00A95FD0" w:rsidRPr="002A677E" w:rsidDel="00364120">
                <w:rPr>
                  <w:rFonts w:ascii="Times New Roman" w:hAnsi="Times New Roman"/>
                  <w:sz w:val="24"/>
                </w:rPr>
                <w:delText xml:space="preserve">shall </w:delText>
              </w:r>
              <w:r w:rsidR="00AC6255" w:rsidRPr="002A677E" w:rsidDel="00364120">
                <w:rPr>
                  <w:rFonts w:ascii="Times New Roman" w:hAnsi="Times New Roman"/>
                  <w:sz w:val="24"/>
                </w:rPr>
                <w:delText xml:space="preserve">follow the principles described in Article </w:delText>
              </w:r>
              <w:r w:rsidR="00474C49" w:rsidRPr="002A677E" w:rsidDel="00364120">
                <w:rPr>
                  <w:rFonts w:ascii="Times New Roman" w:hAnsi="Times New Roman"/>
                  <w:sz w:val="24"/>
                </w:rPr>
                <w:delText xml:space="preserve">318 </w:delText>
              </w:r>
              <w:r w:rsidR="0095353C" w:rsidRPr="001235ED" w:rsidDel="00364120">
                <w:rPr>
                  <w:rFonts w:ascii="Times New Roman" w:hAnsi="Times New Roman"/>
                  <w:sz w:val="24"/>
                  <w:lang w:val="en-US"/>
                </w:rPr>
                <w:delText>of Regulation (EU) No 575/2013</w:delText>
              </w:r>
              <w:r w:rsidR="00AC6255" w:rsidRPr="002A677E" w:rsidDel="00364120">
                <w:rPr>
                  <w:rFonts w:ascii="Times New Roman" w:hAnsi="Times New Roman"/>
                  <w:sz w:val="24"/>
                </w:rPr>
                <w:delText>.</w:delText>
              </w:r>
            </w:del>
          </w:p>
        </w:tc>
      </w:tr>
      <w:tr w:rsidR="00AC6255" w:rsidRPr="002A677E" w:rsidDel="00364120" w14:paraId="3D002E26" w14:textId="14519263" w:rsidTr="00672D2A">
        <w:trPr>
          <w:del w:id="184" w:author="Author"/>
        </w:trPr>
        <w:tc>
          <w:tcPr>
            <w:tcW w:w="985" w:type="dxa"/>
          </w:tcPr>
          <w:p w14:paraId="77EBAB2D" w14:textId="4A8C9BF8" w:rsidR="00AC6255" w:rsidRPr="002A677E" w:rsidDel="00364120" w:rsidRDefault="005E7FAD" w:rsidP="000F70EC">
            <w:pPr>
              <w:autoSpaceDE w:val="0"/>
              <w:autoSpaceDN w:val="0"/>
              <w:adjustRightInd w:val="0"/>
              <w:spacing w:before="0" w:after="0"/>
              <w:rPr>
                <w:del w:id="185" w:author="Author"/>
                <w:rFonts w:ascii="Times New Roman" w:hAnsi="Times New Roman"/>
                <w:bCs/>
                <w:sz w:val="24"/>
                <w:lang w:eastAsia="nl-BE"/>
              </w:rPr>
            </w:pPr>
            <w:del w:id="186" w:author="Autho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110-</w:delText>
              </w:r>
              <w:r w:rsidRPr="002A677E" w:rsidDel="00364120">
                <w:rPr>
                  <w:rFonts w:ascii="Times New Roman" w:hAnsi="Times New Roman"/>
                  <w:bCs/>
                  <w:sz w:val="24"/>
                  <w:lang w:eastAsia="nl-BE"/>
                </w:rPr>
                <w:delText>0</w:delText>
              </w:r>
              <w:r w:rsidR="00AC6255" w:rsidRPr="002A677E" w:rsidDel="00364120">
                <w:rPr>
                  <w:rFonts w:ascii="Times New Roman" w:hAnsi="Times New Roman"/>
                  <w:bCs/>
                  <w:sz w:val="24"/>
                  <w:lang w:eastAsia="nl-BE"/>
                </w:rPr>
                <w:delText>120</w:delText>
              </w:r>
            </w:del>
          </w:p>
        </w:tc>
        <w:tc>
          <w:tcPr>
            <w:tcW w:w="7877" w:type="dxa"/>
          </w:tcPr>
          <w:p w14:paraId="2712CAAB" w14:textId="641592D5" w:rsidR="00AC6255" w:rsidRPr="002A677E" w:rsidDel="00364120" w:rsidRDefault="00AC6255" w:rsidP="000B0B09">
            <w:pPr>
              <w:autoSpaceDE w:val="0"/>
              <w:autoSpaceDN w:val="0"/>
              <w:adjustRightInd w:val="0"/>
              <w:spacing w:before="0" w:after="0"/>
              <w:jc w:val="left"/>
              <w:rPr>
                <w:del w:id="187" w:author="Author"/>
                <w:rStyle w:val="InstructionsTabelleberschrift"/>
                <w:rFonts w:ascii="Times New Roman" w:hAnsi="Times New Roman"/>
                <w:sz w:val="24"/>
              </w:rPr>
            </w:pPr>
            <w:del w:id="188" w:author="Author">
              <w:r w:rsidRPr="002A677E" w:rsidDel="00364120">
                <w:rPr>
                  <w:rStyle w:val="InstructionsTabelleberschrift"/>
                  <w:rFonts w:ascii="Times New Roman" w:hAnsi="Times New Roman"/>
                  <w:sz w:val="24"/>
                </w:rPr>
                <w:delText>SUBJECT TO ASA</w:delText>
              </w:r>
            </w:del>
          </w:p>
          <w:p w14:paraId="16F5DC90" w14:textId="267E8688" w:rsidR="00AC6255" w:rsidRPr="002A677E" w:rsidDel="00364120" w:rsidRDefault="00AC6255" w:rsidP="000B0B09">
            <w:pPr>
              <w:rPr>
                <w:del w:id="189" w:author="Author"/>
                <w:rFonts w:ascii="Times New Roman" w:hAnsi="Times New Roman"/>
                <w:sz w:val="24"/>
              </w:rPr>
            </w:pPr>
            <w:del w:id="190" w:author="Author">
              <w:r w:rsidRPr="002A677E" w:rsidDel="00364120">
                <w:rPr>
                  <w:rFonts w:ascii="Times New Roman" w:hAnsi="Times New Roman"/>
                  <w:sz w:val="24"/>
                  <w:lang w:eastAsia="de-DE"/>
                </w:rPr>
                <w:delText xml:space="preserve">Institutions using the ASA (Article </w:delText>
              </w:r>
              <w:r w:rsidR="00474C49" w:rsidRPr="002A677E" w:rsidDel="00364120">
                <w:rPr>
                  <w:rFonts w:ascii="Times New Roman" w:hAnsi="Times New Roman"/>
                  <w:sz w:val="24"/>
                  <w:lang w:eastAsia="de-DE"/>
                </w:rPr>
                <w:delText>319</w:delText>
              </w:r>
              <w:r w:rsidRPr="002A677E" w:rsidDel="00364120">
                <w:rPr>
                  <w:rFonts w:ascii="Times New Roman" w:hAnsi="Times New Roman"/>
                  <w:sz w:val="24"/>
                  <w:lang w:eastAsia="de-DE"/>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lang w:eastAsia="de-DE"/>
                </w:rPr>
                <w:delText>)</w:delText>
              </w:r>
              <w:r w:rsidR="00A95FD0" w:rsidRPr="002A677E" w:rsidDel="00364120">
                <w:rPr>
                  <w:rFonts w:ascii="Times New Roman" w:hAnsi="Times New Roman"/>
                  <w:sz w:val="24"/>
                  <w:lang w:eastAsia="de-DE"/>
                </w:rPr>
                <w:delText xml:space="preserve"> shall</w:delText>
              </w:r>
              <w:r w:rsidRPr="002A677E" w:rsidDel="00364120">
                <w:rPr>
                  <w:rFonts w:ascii="Times New Roman" w:hAnsi="Times New Roman"/>
                  <w:sz w:val="24"/>
                  <w:lang w:eastAsia="de-DE"/>
                </w:rPr>
                <w:delText xml:space="preserve"> report for the respective years </w:delText>
              </w:r>
              <w:r w:rsidR="0006666B" w:rsidRPr="002A677E" w:rsidDel="00364120">
                <w:rPr>
                  <w:rFonts w:ascii="Times New Roman" w:hAnsi="Times New Roman"/>
                  <w:sz w:val="24"/>
                  <w:lang w:eastAsia="de-DE"/>
                </w:rPr>
                <w:delText xml:space="preserve">the </w:delText>
              </w:r>
              <w:r w:rsidRPr="002A677E" w:rsidDel="00364120">
                <w:rPr>
                  <w:rFonts w:ascii="Times New Roman" w:hAnsi="Times New Roman"/>
                  <w:sz w:val="24"/>
                  <w:lang w:eastAsia="de-DE"/>
                </w:rPr>
                <w:delText xml:space="preserve">relevant indicator separately for each business </w:delText>
              </w:r>
              <w:r w:rsidRPr="002A677E" w:rsidDel="00364120">
                <w:rPr>
                  <w:rFonts w:ascii="Times New Roman" w:hAnsi="Times New Roman"/>
                  <w:sz w:val="24"/>
                  <w:lang w:eastAsia="de-DE"/>
                </w:rPr>
                <w:lastRenderedPageBreak/>
                <w:delText xml:space="preserve">line in rows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030 to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050 and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080 to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100 and in rows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 xml:space="preserve">110 and </w:delText>
              </w:r>
              <w:r w:rsidR="005E7FAD" w:rsidRPr="002A677E" w:rsidDel="00364120">
                <w:rPr>
                  <w:rFonts w:ascii="Times New Roman" w:hAnsi="Times New Roman"/>
                  <w:sz w:val="24"/>
                  <w:lang w:eastAsia="de-DE"/>
                </w:rPr>
                <w:delText>0</w:delText>
              </w:r>
              <w:r w:rsidRPr="002A677E" w:rsidDel="00364120">
                <w:rPr>
                  <w:rFonts w:ascii="Times New Roman" w:hAnsi="Times New Roman"/>
                  <w:sz w:val="24"/>
                  <w:lang w:eastAsia="de-DE"/>
                </w:rPr>
                <w:delText>120 for business lines "</w:delText>
              </w:r>
              <w:r w:rsidR="00A369C3" w:rsidRPr="002A677E" w:rsidDel="00364120">
                <w:rPr>
                  <w:rFonts w:ascii="Times New Roman" w:hAnsi="Times New Roman"/>
                  <w:sz w:val="24"/>
                  <w:lang w:eastAsia="de-DE"/>
                </w:rPr>
                <w:delText>c</w:delText>
              </w:r>
              <w:r w:rsidRPr="002A677E" w:rsidDel="00364120">
                <w:rPr>
                  <w:rFonts w:ascii="Times New Roman" w:hAnsi="Times New Roman"/>
                  <w:sz w:val="24"/>
                  <w:lang w:eastAsia="de-DE"/>
                </w:rPr>
                <w:delText>ommercial banking" and "</w:delText>
              </w:r>
              <w:r w:rsidR="00A369C3" w:rsidRPr="002A677E" w:rsidDel="00364120">
                <w:rPr>
                  <w:rFonts w:ascii="Times New Roman" w:hAnsi="Times New Roman"/>
                  <w:sz w:val="24"/>
                  <w:lang w:eastAsia="de-DE"/>
                </w:rPr>
                <w:delText>r</w:delText>
              </w:r>
              <w:r w:rsidRPr="002A677E" w:rsidDel="00364120">
                <w:rPr>
                  <w:rFonts w:ascii="Times New Roman" w:hAnsi="Times New Roman"/>
                  <w:sz w:val="24"/>
                  <w:lang w:eastAsia="de-DE"/>
                </w:rPr>
                <w:delText xml:space="preserve">etail banking". </w:delText>
              </w:r>
            </w:del>
          </w:p>
          <w:p w14:paraId="711B3D00" w14:textId="346EA8E1" w:rsidR="00AC6255" w:rsidRPr="002A677E" w:rsidDel="00364120" w:rsidRDefault="00AC6255" w:rsidP="0042594B">
            <w:pPr>
              <w:autoSpaceDE w:val="0"/>
              <w:autoSpaceDN w:val="0"/>
              <w:adjustRightInd w:val="0"/>
              <w:spacing w:before="0" w:after="0"/>
              <w:rPr>
                <w:del w:id="191" w:author="Author"/>
                <w:rFonts w:ascii="Times New Roman" w:hAnsi="Times New Roman"/>
                <w:bCs/>
                <w:sz w:val="24"/>
                <w:lang w:eastAsia="nl-BE"/>
              </w:rPr>
            </w:pPr>
            <w:del w:id="192" w:author="Author">
              <w:r w:rsidRPr="002A677E" w:rsidDel="00364120">
                <w:rPr>
                  <w:rStyle w:val="InstructionsTabelleText"/>
                  <w:rFonts w:ascii="Times New Roman" w:hAnsi="Times New Roman"/>
                  <w:sz w:val="24"/>
                </w:rPr>
                <w:delText xml:space="preserve">Rows 110 and 120 shall present the amount of </w:delText>
              </w:r>
              <w:r w:rsidR="00A369C3" w:rsidRPr="002A677E" w:rsidDel="00364120">
                <w:rPr>
                  <w:rStyle w:val="InstructionsTabelleText"/>
                  <w:rFonts w:ascii="Times New Roman" w:hAnsi="Times New Roman"/>
                  <w:sz w:val="24"/>
                </w:rPr>
                <w:delText xml:space="preserve">the </w:delText>
              </w:r>
              <w:r w:rsidRPr="002A677E" w:rsidDel="00364120">
                <w:rPr>
                  <w:rFonts w:ascii="Times New Roman" w:hAnsi="Times New Roman"/>
                  <w:sz w:val="24"/>
                  <w:lang w:eastAsia="de-DE"/>
                </w:rPr>
                <w:delText xml:space="preserve">relevant indicator </w:delText>
              </w:r>
              <w:r w:rsidRPr="002A677E" w:rsidDel="00364120">
                <w:rPr>
                  <w:rStyle w:val="InstructionsTabelleText"/>
                  <w:rFonts w:ascii="Times New Roman" w:hAnsi="Times New Roman"/>
                  <w:sz w:val="24"/>
                </w:rPr>
                <w:delText>of activities subject to ASA</w:delText>
              </w:r>
              <w:r w:rsidR="00A369C3" w:rsidRPr="002A677E" w:rsidDel="00364120">
                <w:rPr>
                  <w:rStyle w:val="InstructionsTabelleText"/>
                  <w:rFonts w:ascii="Times New Roman" w:hAnsi="Times New Roman"/>
                  <w:sz w:val="24"/>
                </w:rPr>
                <w:delText>,</w:delText>
              </w:r>
              <w:r w:rsidRPr="002A677E" w:rsidDel="00364120">
                <w:rPr>
                  <w:rStyle w:val="InstructionsTabelleText"/>
                  <w:rFonts w:ascii="Times New Roman" w:hAnsi="Times New Roman"/>
                  <w:sz w:val="24"/>
                </w:rPr>
                <w:delText xml:space="preserve"> distinguishing between th</w:delText>
              </w:r>
              <w:r w:rsidR="00A369C3" w:rsidRPr="002A677E" w:rsidDel="00364120">
                <w:rPr>
                  <w:rStyle w:val="InstructionsTabelleText"/>
                  <w:rFonts w:ascii="Times New Roman" w:hAnsi="Times New Roman"/>
                  <w:sz w:val="24"/>
                </w:rPr>
                <w:delText>e amount</w:delText>
              </w:r>
              <w:r w:rsidRPr="002A677E" w:rsidDel="00364120">
                <w:rPr>
                  <w:rStyle w:val="InstructionsTabelleText"/>
                  <w:rFonts w:ascii="Times New Roman" w:hAnsi="Times New Roman"/>
                  <w:sz w:val="24"/>
                </w:rPr>
                <w:delText xml:space="preserve"> corresponding to the business line “</w:delText>
              </w:r>
              <w:r w:rsidR="00A369C3" w:rsidRPr="002A677E" w:rsidDel="00364120">
                <w:rPr>
                  <w:rStyle w:val="InstructionsTabelleText"/>
                  <w:rFonts w:ascii="Times New Roman" w:hAnsi="Times New Roman"/>
                  <w:sz w:val="24"/>
                </w:rPr>
                <w:delText>c</w:delText>
              </w:r>
              <w:r w:rsidRPr="002A677E" w:rsidDel="00364120">
                <w:rPr>
                  <w:rStyle w:val="InstructionsTabelleText"/>
                  <w:rFonts w:ascii="Times New Roman" w:hAnsi="Times New Roman"/>
                  <w:sz w:val="24"/>
                </w:rPr>
                <w:delText>ommercial banking” and th</w:delText>
              </w:r>
              <w:r w:rsidR="00A369C3" w:rsidRPr="002A677E" w:rsidDel="00364120">
                <w:rPr>
                  <w:rStyle w:val="InstructionsTabelleText"/>
                  <w:rFonts w:ascii="Times New Roman" w:hAnsi="Times New Roman"/>
                  <w:sz w:val="24"/>
                </w:rPr>
                <w:delText>e amounts</w:delText>
              </w:r>
              <w:r w:rsidRPr="002A677E" w:rsidDel="00364120">
                <w:rPr>
                  <w:rStyle w:val="InstructionsTabelleText"/>
                  <w:rFonts w:ascii="Times New Roman" w:hAnsi="Times New Roman"/>
                  <w:sz w:val="24"/>
                </w:rPr>
                <w:delText xml:space="preserve"> corresponding to the business line “</w:delText>
              </w:r>
              <w:r w:rsidR="00A369C3" w:rsidRPr="002A677E" w:rsidDel="00364120">
                <w:rPr>
                  <w:rStyle w:val="InstructionsTabelleText"/>
                  <w:rFonts w:ascii="Times New Roman" w:hAnsi="Times New Roman"/>
                  <w:sz w:val="24"/>
                </w:rPr>
                <w:delText>r</w:delText>
              </w:r>
              <w:r w:rsidRPr="002A677E" w:rsidDel="00364120">
                <w:rPr>
                  <w:rStyle w:val="InstructionsTabelleText"/>
                  <w:rFonts w:ascii="Times New Roman" w:hAnsi="Times New Roman"/>
                  <w:sz w:val="24"/>
                </w:rPr>
                <w:delText xml:space="preserve">etail banking” (Article </w:delText>
              </w:r>
              <w:r w:rsidR="00474C49" w:rsidRPr="002A677E" w:rsidDel="00364120">
                <w:rPr>
                  <w:rStyle w:val="InstructionsTabelleText"/>
                  <w:rFonts w:ascii="Times New Roman" w:hAnsi="Times New Roman"/>
                  <w:sz w:val="24"/>
                </w:rPr>
                <w:delText xml:space="preserve">319 </w:delText>
              </w:r>
              <w:r w:rsidR="0095353C" w:rsidRPr="001235ED" w:rsidDel="00364120">
                <w:rPr>
                  <w:rFonts w:ascii="Times New Roman" w:hAnsi="Times New Roman"/>
                  <w:sz w:val="24"/>
                  <w:lang w:val="en-US"/>
                </w:rPr>
                <w:delText>of Regulation (EU) No 575/2013</w:delText>
              </w:r>
              <w:r w:rsidRPr="002A677E" w:rsidDel="00364120">
                <w:rPr>
                  <w:rStyle w:val="InstructionsTabelleText"/>
                  <w:rFonts w:ascii="Times New Roman" w:hAnsi="Times New Roman"/>
                  <w:sz w:val="24"/>
                </w:rPr>
                <w:delText>). There can be amounts for the rows corresponding to “</w:delText>
              </w:r>
              <w:r w:rsidR="00A369C3" w:rsidRPr="002A677E" w:rsidDel="00364120">
                <w:rPr>
                  <w:rStyle w:val="InstructionsTabelleText"/>
                  <w:rFonts w:ascii="Times New Roman" w:hAnsi="Times New Roman"/>
                  <w:sz w:val="24"/>
                </w:rPr>
                <w:delText>c</w:delText>
              </w:r>
              <w:r w:rsidRPr="002A677E" w:rsidDel="00364120">
                <w:rPr>
                  <w:rStyle w:val="InstructionsTabelleText"/>
                  <w:rFonts w:ascii="Times New Roman" w:hAnsi="Times New Roman"/>
                  <w:sz w:val="24"/>
                </w:rPr>
                <w:delText>ommercial banking” and “</w:delText>
              </w:r>
              <w:r w:rsidR="00A369C3" w:rsidRPr="002A677E" w:rsidDel="00364120">
                <w:rPr>
                  <w:rStyle w:val="InstructionsTabelleText"/>
                  <w:rFonts w:ascii="Times New Roman" w:hAnsi="Times New Roman"/>
                  <w:sz w:val="24"/>
                </w:rPr>
                <w:delText>r</w:delText>
              </w:r>
              <w:r w:rsidRPr="002A677E" w:rsidDel="00364120">
                <w:rPr>
                  <w:rStyle w:val="InstructionsTabelleText"/>
                  <w:rFonts w:ascii="Times New Roman" w:hAnsi="Times New Roman"/>
                  <w:sz w:val="24"/>
                </w:rPr>
                <w:delText xml:space="preserve">etail banking” under the TSA (rows </w:delText>
              </w:r>
              <w:r w:rsidR="005E7FAD" w:rsidRPr="002A677E" w:rsidDel="00364120">
                <w:rPr>
                  <w:rStyle w:val="InstructionsTabelleText"/>
                  <w:rFonts w:ascii="Times New Roman" w:hAnsi="Times New Roman"/>
                  <w:sz w:val="24"/>
                </w:rPr>
                <w:delText>0</w:delText>
              </w:r>
              <w:r w:rsidRPr="002A677E" w:rsidDel="00364120">
                <w:rPr>
                  <w:rStyle w:val="InstructionsTabelleText"/>
                  <w:rFonts w:ascii="Times New Roman" w:hAnsi="Times New Roman"/>
                  <w:sz w:val="24"/>
                </w:rPr>
                <w:delText xml:space="preserve">060 and </w:delText>
              </w:r>
              <w:r w:rsidR="005E7FAD" w:rsidRPr="002A677E" w:rsidDel="00364120">
                <w:rPr>
                  <w:rStyle w:val="InstructionsTabelleText"/>
                  <w:rFonts w:ascii="Times New Roman" w:hAnsi="Times New Roman"/>
                  <w:sz w:val="24"/>
                </w:rPr>
                <w:delText>0</w:delText>
              </w:r>
              <w:r w:rsidRPr="002A677E" w:rsidDel="00364120">
                <w:rPr>
                  <w:rStyle w:val="InstructionsTabelleText"/>
                  <w:rFonts w:ascii="Times New Roman" w:hAnsi="Times New Roman"/>
                  <w:sz w:val="24"/>
                </w:rPr>
                <w:delText xml:space="preserve">070) as well as under the ASA rows </w:delText>
              </w:r>
              <w:r w:rsidR="005E7FAD" w:rsidRPr="002A677E" w:rsidDel="00364120">
                <w:rPr>
                  <w:rStyle w:val="InstructionsTabelleText"/>
                  <w:rFonts w:ascii="Times New Roman" w:hAnsi="Times New Roman"/>
                  <w:sz w:val="24"/>
                </w:rPr>
                <w:delText>0</w:delText>
              </w:r>
              <w:r w:rsidRPr="002A677E" w:rsidDel="00364120">
                <w:rPr>
                  <w:rStyle w:val="InstructionsTabelleText"/>
                  <w:rFonts w:ascii="Times New Roman" w:hAnsi="Times New Roman"/>
                  <w:sz w:val="24"/>
                </w:rPr>
                <w:delText xml:space="preserve">110 and </w:delText>
              </w:r>
              <w:r w:rsidR="005E7FAD" w:rsidRPr="002A677E" w:rsidDel="00364120">
                <w:rPr>
                  <w:rStyle w:val="InstructionsTabelleText"/>
                  <w:rFonts w:ascii="Times New Roman" w:hAnsi="Times New Roman"/>
                  <w:sz w:val="24"/>
                </w:rPr>
                <w:delText>0</w:delText>
              </w:r>
              <w:r w:rsidRPr="002A677E" w:rsidDel="00364120">
                <w:rPr>
                  <w:rStyle w:val="InstructionsTabelleText"/>
                  <w:rFonts w:ascii="Times New Roman" w:hAnsi="Times New Roman"/>
                  <w:sz w:val="24"/>
                </w:rPr>
                <w:delText>120 (e.g. if a subsidiary is subject to TSA whereas the parent entity is subject to ASA).</w:delText>
              </w:r>
            </w:del>
          </w:p>
        </w:tc>
      </w:tr>
      <w:tr w:rsidR="00AC6255" w:rsidRPr="002A677E" w:rsidDel="00364120" w14:paraId="1FFF79B6" w14:textId="666F5F11" w:rsidTr="00672D2A">
        <w:trPr>
          <w:del w:id="193" w:author="Author"/>
        </w:trPr>
        <w:tc>
          <w:tcPr>
            <w:tcW w:w="985" w:type="dxa"/>
          </w:tcPr>
          <w:p w14:paraId="4AF7391A" w14:textId="441EC806" w:rsidR="00AC6255" w:rsidRPr="002A677E" w:rsidDel="00364120" w:rsidRDefault="005E7FAD" w:rsidP="000B0B09">
            <w:pPr>
              <w:autoSpaceDE w:val="0"/>
              <w:autoSpaceDN w:val="0"/>
              <w:adjustRightInd w:val="0"/>
              <w:spacing w:before="0" w:after="0"/>
              <w:rPr>
                <w:del w:id="194" w:author="Author"/>
                <w:rFonts w:ascii="Times New Roman" w:hAnsi="Times New Roman"/>
                <w:bCs/>
                <w:sz w:val="24"/>
                <w:lang w:eastAsia="nl-BE"/>
              </w:rPr>
            </w:pPr>
            <w:del w:id="195" w:author="Author">
              <w:r w:rsidRPr="002A677E" w:rsidDel="00364120">
                <w:rPr>
                  <w:rFonts w:ascii="Times New Roman" w:hAnsi="Times New Roman"/>
                  <w:bCs/>
                  <w:sz w:val="24"/>
                  <w:lang w:eastAsia="nl-BE"/>
                </w:rPr>
                <w:lastRenderedPageBreak/>
                <w:delText>0</w:delText>
              </w:r>
              <w:r w:rsidR="00AC6255" w:rsidRPr="002A677E" w:rsidDel="00364120">
                <w:rPr>
                  <w:rFonts w:ascii="Times New Roman" w:hAnsi="Times New Roman"/>
                  <w:bCs/>
                  <w:sz w:val="24"/>
                  <w:lang w:eastAsia="nl-BE"/>
                </w:rPr>
                <w:delText>130</w:delText>
              </w:r>
            </w:del>
          </w:p>
        </w:tc>
        <w:tc>
          <w:tcPr>
            <w:tcW w:w="7877" w:type="dxa"/>
          </w:tcPr>
          <w:p w14:paraId="0956775C" w14:textId="06AF3906" w:rsidR="00AC6255" w:rsidRPr="002A677E" w:rsidDel="00364120" w:rsidRDefault="00AC6255" w:rsidP="000B0B09">
            <w:pPr>
              <w:autoSpaceDE w:val="0"/>
              <w:autoSpaceDN w:val="0"/>
              <w:adjustRightInd w:val="0"/>
              <w:spacing w:before="0" w:after="0"/>
              <w:rPr>
                <w:del w:id="196" w:author="Author"/>
                <w:rStyle w:val="InstructionsTabelleberschrift"/>
                <w:rFonts w:ascii="Times New Roman" w:hAnsi="Times New Roman"/>
                <w:sz w:val="24"/>
              </w:rPr>
            </w:pPr>
            <w:del w:id="197" w:author="Author">
              <w:r w:rsidRPr="002A677E" w:rsidDel="00364120">
                <w:rPr>
                  <w:rStyle w:val="InstructionsTabelleberschrift"/>
                  <w:rFonts w:ascii="Times New Roman" w:hAnsi="Times New Roman"/>
                  <w:sz w:val="24"/>
                </w:rPr>
                <w:delText>BANKING ACTIVITIES SUBJECT TO ADVANCED MEASUREMENT APPROACHES AMA</w:delText>
              </w:r>
            </w:del>
          </w:p>
          <w:p w14:paraId="552DC0E3" w14:textId="0B2B59AC" w:rsidR="00AC6255" w:rsidRPr="002A677E" w:rsidDel="00364120" w:rsidRDefault="00AC6255" w:rsidP="000B0B09">
            <w:pPr>
              <w:autoSpaceDE w:val="0"/>
              <w:autoSpaceDN w:val="0"/>
              <w:adjustRightInd w:val="0"/>
              <w:spacing w:before="0" w:after="0"/>
              <w:rPr>
                <w:del w:id="198" w:author="Author"/>
                <w:rFonts w:ascii="Times New Roman" w:hAnsi="Times New Roman"/>
                <w:bCs/>
                <w:sz w:val="24"/>
                <w:lang w:eastAsia="nl-BE"/>
              </w:rPr>
            </w:pPr>
          </w:p>
          <w:p w14:paraId="574DB4B5" w14:textId="58382E63" w:rsidR="00AC6255" w:rsidRPr="002A677E" w:rsidDel="00364120" w:rsidRDefault="00AC6255" w:rsidP="000B0B09">
            <w:pPr>
              <w:autoSpaceDE w:val="0"/>
              <w:autoSpaceDN w:val="0"/>
              <w:adjustRightInd w:val="0"/>
              <w:spacing w:before="0" w:after="0"/>
              <w:rPr>
                <w:del w:id="199" w:author="Author"/>
                <w:rFonts w:ascii="Times New Roman" w:hAnsi="Times New Roman"/>
                <w:sz w:val="24"/>
              </w:rPr>
            </w:pPr>
            <w:del w:id="200" w:author="Author">
              <w:r w:rsidRPr="002A677E" w:rsidDel="00364120">
                <w:rPr>
                  <w:rFonts w:ascii="Times New Roman" w:hAnsi="Times New Roman"/>
                  <w:sz w:val="24"/>
                </w:rPr>
                <w:delText xml:space="preserve">The relevant data for AMA institutions (Article </w:delText>
              </w:r>
              <w:r w:rsidR="00474C49" w:rsidRPr="002A677E" w:rsidDel="00364120">
                <w:rPr>
                  <w:rFonts w:ascii="Times New Roman" w:hAnsi="Times New Roman"/>
                  <w:sz w:val="24"/>
                </w:rPr>
                <w:delText>312</w:delText>
              </w:r>
              <w:r w:rsidR="0042594B" w:rsidRPr="002A677E" w:rsidDel="00364120">
                <w:rPr>
                  <w:rFonts w:ascii="Times New Roman" w:hAnsi="Times New Roman"/>
                  <w:sz w:val="24"/>
                </w:rPr>
                <w:delText>(2)</w:delText>
              </w:r>
              <w:r w:rsidR="00474C49" w:rsidRPr="002A677E" w:rsidDel="00364120">
                <w:rPr>
                  <w:rFonts w:ascii="Times New Roman" w:hAnsi="Times New Roman"/>
                  <w:sz w:val="24"/>
                </w:rPr>
                <w:delText xml:space="preserve"> </w:delText>
              </w:r>
              <w:r w:rsidRPr="002A677E" w:rsidDel="00364120">
                <w:rPr>
                  <w:rFonts w:ascii="Times New Roman" w:hAnsi="Times New Roman"/>
                  <w:sz w:val="24"/>
                </w:rPr>
                <w:delText>and Article</w:delText>
              </w:r>
              <w:r w:rsidR="00705025" w:rsidRPr="002A677E" w:rsidDel="00364120">
                <w:rPr>
                  <w:rFonts w:ascii="Times New Roman" w:hAnsi="Times New Roman"/>
                  <w:sz w:val="24"/>
                </w:rPr>
                <w:delText>s</w:delText>
              </w:r>
              <w:r w:rsidRPr="002A677E" w:rsidDel="00364120">
                <w:rPr>
                  <w:rFonts w:ascii="Times New Roman" w:hAnsi="Times New Roman"/>
                  <w:sz w:val="24"/>
                </w:rPr>
                <w:delText xml:space="preserve"> </w:delText>
              </w:r>
              <w:r w:rsidR="00474C49" w:rsidRPr="002A677E" w:rsidDel="00364120">
                <w:rPr>
                  <w:rFonts w:ascii="Times New Roman" w:hAnsi="Times New Roman"/>
                  <w:sz w:val="24"/>
                </w:rPr>
                <w:delText>321</w:delText>
              </w:r>
              <w:r w:rsidR="00A369C3" w:rsidRPr="002A677E" w:rsidDel="00364120">
                <w:rPr>
                  <w:rFonts w:ascii="Times New Roman" w:hAnsi="Times New Roman"/>
                  <w:sz w:val="24"/>
                </w:rPr>
                <w:delText>, 322 and</w:delText>
              </w:r>
              <w:r w:rsidRPr="002A677E" w:rsidDel="00364120">
                <w:rPr>
                  <w:rFonts w:ascii="Times New Roman" w:hAnsi="Times New Roman"/>
                  <w:sz w:val="24"/>
                </w:rPr>
                <w:delText xml:space="preserve"> </w:delText>
              </w:r>
              <w:r w:rsidR="00474C49" w:rsidRPr="002A677E" w:rsidDel="00364120">
                <w:rPr>
                  <w:rFonts w:ascii="Times New Roman" w:hAnsi="Times New Roman"/>
                  <w:sz w:val="24"/>
                </w:rPr>
                <w:delText>323</w:delText>
              </w:r>
              <w:r w:rsidRPr="002A677E" w:rsidDel="00364120">
                <w:rPr>
                  <w:rFonts w:ascii="Times New Roman" w:hAnsi="Times New Roman"/>
                  <w:sz w:val="24"/>
                </w:rPr>
                <w:delText xml:space="preserve"> </w:delText>
              </w:r>
              <w:r w:rsidR="0095353C" w:rsidRPr="001235ED" w:rsidDel="00364120">
                <w:rPr>
                  <w:rFonts w:ascii="Times New Roman" w:hAnsi="Times New Roman"/>
                  <w:sz w:val="24"/>
                  <w:lang w:val="en-US"/>
                </w:rPr>
                <w:delText>of Regulation (EU) No 575/2013</w:delText>
              </w:r>
              <w:r w:rsidRPr="002A677E" w:rsidDel="00364120">
                <w:rPr>
                  <w:rFonts w:ascii="Times New Roman" w:hAnsi="Times New Roman"/>
                  <w:sz w:val="24"/>
                </w:rPr>
                <w:delText xml:space="preserve">) </w:delText>
              </w:r>
              <w:r w:rsidR="00A95FD0" w:rsidRPr="002A677E" w:rsidDel="00364120">
                <w:rPr>
                  <w:rFonts w:ascii="Times New Roman" w:hAnsi="Times New Roman"/>
                  <w:sz w:val="24"/>
                </w:rPr>
                <w:delText xml:space="preserve">shall be </w:delText>
              </w:r>
              <w:r w:rsidRPr="002A677E" w:rsidDel="00364120">
                <w:rPr>
                  <w:rFonts w:ascii="Times New Roman" w:hAnsi="Times New Roman"/>
                  <w:sz w:val="24"/>
                </w:rPr>
                <w:delText xml:space="preserve">reported. </w:delText>
              </w:r>
            </w:del>
          </w:p>
          <w:p w14:paraId="5B1A6157" w14:textId="7E588199" w:rsidR="00AC6255" w:rsidRPr="002A677E" w:rsidDel="00364120" w:rsidRDefault="00AC6255" w:rsidP="000B0B09">
            <w:pPr>
              <w:autoSpaceDE w:val="0"/>
              <w:autoSpaceDN w:val="0"/>
              <w:adjustRightInd w:val="0"/>
              <w:spacing w:before="0" w:after="0"/>
              <w:rPr>
                <w:del w:id="201" w:author="Author"/>
                <w:rFonts w:ascii="Times New Roman" w:hAnsi="Times New Roman"/>
                <w:sz w:val="24"/>
              </w:rPr>
            </w:pPr>
          </w:p>
          <w:p w14:paraId="1E151B6D" w14:textId="7C4F3D29" w:rsidR="00AC6255" w:rsidRPr="002A677E" w:rsidDel="00364120" w:rsidRDefault="00A369C3" w:rsidP="000B0B09">
            <w:pPr>
              <w:autoSpaceDE w:val="0"/>
              <w:autoSpaceDN w:val="0"/>
              <w:adjustRightInd w:val="0"/>
              <w:spacing w:before="0" w:after="0"/>
              <w:rPr>
                <w:del w:id="202" w:author="Author"/>
                <w:rFonts w:ascii="Times New Roman" w:hAnsi="Times New Roman"/>
                <w:sz w:val="24"/>
                <w:lang w:eastAsia="de-DE"/>
              </w:rPr>
            </w:pPr>
            <w:del w:id="203" w:author="Author">
              <w:r w:rsidRPr="002A677E" w:rsidDel="00364120">
                <w:rPr>
                  <w:rFonts w:ascii="Times New Roman" w:hAnsi="Times New Roman"/>
                  <w:sz w:val="24"/>
                  <w:lang w:eastAsia="de-DE"/>
                </w:rPr>
                <w:delText xml:space="preserve">Where </w:delText>
              </w:r>
              <w:r w:rsidR="00AC6255" w:rsidRPr="002A677E" w:rsidDel="00364120">
                <w:rPr>
                  <w:rFonts w:ascii="Times New Roman" w:hAnsi="Times New Roman"/>
                  <w:sz w:val="24"/>
                  <w:lang w:eastAsia="de-DE"/>
                </w:rPr>
                <w:delText>different approaches</w:delText>
              </w:r>
              <w:r w:rsidRPr="002A677E" w:rsidDel="00364120">
                <w:rPr>
                  <w:rFonts w:ascii="Times New Roman" w:hAnsi="Times New Roman"/>
                  <w:sz w:val="24"/>
                  <w:lang w:eastAsia="de-DE"/>
                </w:rPr>
                <w:delText xml:space="preserve"> are combined</w:delText>
              </w:r>
              <w:r w:rsidR="00AC6255" w:rsidRPr="002A677E" w:rsidDel="00364120">
                <w:rPr>
                  <w:rFonts w:ascii="Times New Roman" w:hAnsi="Times New Roman"/>
                  <w:sz w:val="24"/>
                  <w:lang w:eastAsia="de-DE"/>
                </w:rPr>
                <w:delText xml:space="preserve"> as indicated in Article </w:delText>
              </w:r>
              <w:r w:rsidR="00474C49" w:rsidRPr="002A677E" w:rsidDel="00364120">
                <w:rPr>
                  <w:rFonts w:ascii="Times New Roman" w:hAnsi="Times New Roman"/>
                  <w:sz w:val="24"/>
                  <w:lang w:eastAsia="de-DE"/>
                </w:rPr>
                <w:delText xml:space="preserve">314 </w:delText>
              </w:r>
              <w:r w:rsidR="0095353C" w:rsidRPr="001235ED" w:rsidDel="00364120">
                <w:rPr>
                  <w:rFonts w:ascii="Times New Roman" w:hAnsi="Times New Roman"/>
                  <w:sz w:val="24"/>
                  <w:lang w:val="en-US"/>
                </w:rPr>
                <w:delText>of Regulation (EU) No 575/2013</w:delText>
              </w:r>
              <w:r w:rsidR="00AC6255" w:rsidRPr="002A677E" w:rsidDel="00364120">
                <w:rPr>
                  <w:rFonts w:ascii="Times New Roman" w:hAnsi="Times New Roman"/>
                  <w:sz w:val="24"/>
                  <w:lang w:eastAsia="de-DE"/>
                </w:rPr>
                <w:delText xml:space="preserve">, information on relevant indicator for activities subject to AMA </w:delText>
              </w:r>
              <w:r w:rsidR="00B811B0" w:rsidRPr="002A677E" w:rsidDel="00364120">
                <w:rPr>
                  <w:rFonts w:ascii="Times New Roman" w:hAnsi="Times New Roman"/>
                  <w:sz w:val="24"/>
                  <w:lang w:eastAsia="de-DE"/>
                </w:rPr>
                <w:delText>shall</w:delText>
              </w:r>
              <w:r w:rsidR="00AC6255" w:rsidRPr="002A677E" w:rsidDel="00364120">
                <w:rPr>
                  <w:rFonts w:ascii="Times New Roman" w:hAnsi="Times New Roman"/>
                  <w:sz w:val="24"/>
                  <w:lang w:eastAsia="de-DE"/>
                </w:rPr>
                <w:delText xml:space="preserve"> be reported. </w:delText>
              </w:r>
              <w:r w:rsidRPr="002A677E" w:rsidDel="00364120">
                <w:rPr>
                  <w:rFonts w:ascii="Times New Roman" w:hAnsi="Times New Roman"/>
                  <w:sz w:val="24"/>
                  <w:lang w:eastAsia="de-DE"/>
                </w:rPr>
                <w:delText xml:space="preserve">The same shall apply for </w:delText>
              </w:r>
              <w:r w:rsidR="00AC6255" w:rsidRPr="002A677E" w:rsidDel="00364120">
                <w:rPr>
                  <w:rFonts w:ascii="Times New Roman" w:hAnsi="Times New Roman"/>
                  <w:sz w:val="24"/>
                  <w:lang w:eastAsia="de-DE"/>
                </w:rPr>
                <w:delText>all other AMA banks.</w:delText>
              </w:r>
            </w:del>
          </w:p>
          <w:p w14:paraId="2AC9EFC1" w14:textId="06EA5299" w:rsidR="00AC6255" w:rsidRPr="002A677E" w:rsidDel="00364120" w:rsidRDefault="00AC6255" w:rsidP="000B0B09">
            <w:pPr>
              <w:autoSpaceDE w:val="0"/>
              <w:autoSpaceDN w:val="0"/>
              <w:adjustRightInd w:val="0"/>
              <w:spacing w:before="0" w:after="0"/>
              <w:rPr>
                <w:del w:id="204" w:author="Author"/>
                <w:rFonts w:ascii="Times New Roman" w:hAnsi="Times New Roman"/>
                <w:bCs/>
                <w:sz w:val="24"/>
                <w:lang w:eastAsia="nl-BE"/>
              </w:rPr>
            </w:pPr>
          </w:p>
        </w:tc>
      </w:tr>
    </w:tbl>
    <w:p w14:paraId="26ECF03E" w14:textId="544A408C" w:rsidR="00AC6255" w:rsidRPr="00334179" w:rsidDel="00364120" w:rsidRDefault="00AC6255" w:rsidP="00B04BAE">
      <w:pPr>
        <w:pStyle w:val="Instructionsberschrift2"/>
        <w:numPr>
          <w:ilvl w:val="0"/>
          <w:numId w:val="0"/>
        </w:numPr>
        <w:ind w:left="720" w:hanging="360"/>
        <w:rPr>
          <w:del w:id="205" w:author="Author"/>
        </w:rPr>
      </w:pPr>
    </w:p>
    <w:p w14:paraId="23737963" w14:textId="77777777" w:rsidR="0062765D" w:rsidRPr="0062765D" w:rsidRDefault="0062765D" w:rsidP="0062765D">
      <w:pPr>
        <w:keepNext/>
        <w:spacing w:before="240" w:after="240"/>
        <w:ind w:left="357" w:hanging="357"/>
        <w:outlineLvl w:val="1"/>
        <w:rPr>
          <w:ins w:id="206" w:author="Author"/>
          <w:rFonts w:ascii="Times New Roman" w:eastAsia="Arial" w:hAnsi="Times New Roman"/>
          <w:sz w:val="24"/>
          <w:u w:val="single"/>
          <w:lang w:eastAsia="x-none"/>
        </w:rPr>
      </w:pPr>
      <w:bookmarkStart w:id="207" w:name="_Toc152862711"/>
      <w:ins w:id="208" w:author="Author">
        <w:r w:rsidRPr="0062765D">
          <w:rPr>
            <w:rFonts w:ascii="Times New Roman" w:eastAsia="Arial" w:hAnsi="Times New Roman"/>
            <w:sz w:val="24"/>
            <w:lang w:eastAsia="x-none"/>
          </w:rPr>
          <w:t>4.1.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Reporting of own funds requirements for Operational risk</w:t>
        </w:r>
        <w:bookmarkEnd w:id="207"/>
      </w:ins>
    </w:p>
    <w:p w14:paraId="200487A9" w14:textId="77777777" w:rsidR="0062765D" w:rsidRPr="0062765D" w:rsidRDefault="0062765D" w:rsidP="0062765D">
      <w:pPr>
        <w:keepNext/>
        <w:spacing w:before="240" w:after="240"/>
        <w:ind w:left="357" w:hanging="357"/>
        <w:outlineLvl w:val="1"/>
        <w:rPr>
          <w:ins w:id="209" w:author="Author"/>
          <w:rFonts w:ascii="Times New Roman" w:eastAsia="Arial" w:hAnsi="Times New Roman"/>
          <w:sz w:val="24"/>
          <w:u w:val="single"/>
          <w:lang w:eastAsia="x-none"/>
        </w:rPr>
      </w:pPr>
      <w:bookmarkStart w:id="210" w:name="_Toc152862712"/>
      <w:ins w:id="211" w:author="Author">
        <w:r w:rsidRPr="0062765D">
          <w:rPr>
            <w:rFonts w:ascii="Times New Roman" w:eastAsia="Arial" w:hAnsi="Times New Roman"/>
            <w:sz w:val="24"/>
            <w:lang w:eastAsia="x-none"/>
          </w:rPr>
          <w:t>4.1.1.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General Remarks</w:t>
        </w:r>
        <w:bookmarkEnd w:id="210"/>
      </w:ins>
    </w:p>
    <w:p w14:paraId="60C67A56" w14:textId="5F0C19D1" w:rsidR="0062765D" w:rsidRPr="0062765D" w:rsidRDefault="0062765D" w:rsidP="00855EF0">
      <w:pPr>
        <w:spacing w:before="0" w:after="240"/>
        <w:ind w:left="360" w:hanging="360"/>
        <w:rPr>
          <w:ins w:id="212" w:author="Author"/>
          <w:rFonts w:ascii="Times New Roman" w:hAnsi="Times New Roman"/>
          <w:noProof/>
          <w:sz w:val="24"/>
          <w:lang w:eastAsia="de-DE"/>
        </w:rPr>
      </w:pPr>
      <w:ins w:id="213" w:author="Autho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ins>
    </w:p>
    <w:p w14:paraId="2BDF4A3C" w14:textId="48C88916" w:rsidR="00A85FE5" w:rsidRPr="0062765D" w:rsidRDefault="00DB52C6" w:rsidP="00F72493">
      <w:pPr>
        <w:spacing w:before="0" w:after="240"/>
        <w:ind w:left="360" w:hanging="360"/>
        <w:rPr>
          <w:ins w:id="214" w:author="Author"/>
          <w:rFonts w:ascii="Times New Roman" w:hAnsi="Times New Roman"/>
          <w:noProof/>
          <w:sz w:val="24"/>
          <w:lang w:eastAsia="de-DE"/>
        </w:rPr>
      </w:pPr>
      <w:ins w:id="215" w:author="Author">
        <w:r>
          <w:rPr>
            <w:rFonts w:ascii="Times New Roman" w:hAnsi="Times New Roman"/>
            <w:noProof/>
            <w:sz w:val="24"/>
            <w:lang w:eastAsia="de-DE"/>
          </w:rPr>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ins>
    </w:p>
    <w:p w14:paraId="3F5B8138" w14:textId="1377326F" w:rsidR="0062765D" w:rsidRPr="0062765D" w:rsidRDefault="00DB52C6" w:rsidP="0062765D">
      <w:pPr>
        <w:spacing w:before="0" w:after="240"/>
        <w:ind w:left="360" w:hanging="360"/>
        <w:rPr>
          <w:ins w:id="216" w:author="Author"/>
          <w:rFonts w:ascii="Times New Roman" w:hAnsi="Times New Roman"/>
          <w:noProof/>
          <w:sz w:val="24"/>
          <w:lang w:eastAsia="de-DE"/>
        </w:rPr>
      </w:pPr>
      <w:ins w:id="217" w:author="Autho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ins>
      <w:r w:rsidR="00A96300">
        <w:rPr>
          <w:rFonts w:ascii="Times New Roman" w:hAnsi="Times New Roman"/>
          <w:noProof/>
          <w:sz w:val="24"/>
          <w:lang w:eastAsia="de-DE"/>
        </w:rPr>
        <w:t>f</w:t>
      </w:r>
      <w:ins w:id="218" w:author="Autho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ins>
    </w:p>
    <w:p w14:paraId="34790AA0" w14:textId="4FE91511" w:rsidR="0062765D" w:rsidRDefault="00DB52C6" w:rsidP="0062765D">
      <w:pPr>
        <w:spacing w:before="0" w:after="240"/>
        <w:ind w:left="360" w:hanging="360"/>
        <w:rPr>
          <w:ins w:id="219" w:author="Author"/>
          <w:rFonts w:ascii="Times New Roman" w:hAnsi="Times New Roman"/>
          <w:sz w:val="24"/>
          <w:lang w:eastAsia="de-DE"/>
        </w:rPr>
      </w:pPr>
      <w:ins w:id="220" w:author="Author">
        <w:r>
          <w:rPr>
            <w:rFonts w:ascii="Times New Roman" w:hAnsi="Times New Roman"/>
            <w:sz w:val="24"/>
            <w:lang w:eastAsia="de-DE"/>
          </w:rPr>
          <w:t>141d</w:t>
        </w:r>
        <w:r w:rsidR="0062765D" w:rsidRPr="0062765D">
          <w:rPr>
            <w:rFonts w:ascii="Times New Roman" w:hAnsi="Times New Roman"/>
            <w:sz w:val="24"/>
            <w:lang w:eastAsia="de-DE"/>
          </w:rPr>
          <w:t xml:space="preserve">. Where audited figures are not available, institutions may use business estimates. Where audited figures are used, institutions shall report the audited figures which are expected to remain unchanged. Deviations from this "unchanged" principle are possible in accordance with Article 315 paragraphs 1 and 2 of Regulation (EU) No 575/2013. </w:t>
        </w:r>
      </w:ins>
    </w:p>
    <w:p w14:paraId="27F080A5" w14:textId="6DE910D0" w:rsidR="00FA5064" w:rsidRDefault="00DB52C6" w:rsidP="00FA5064">
      <w:pPr>
        <w:spacing w:before="0" w:after="240"/>
        <w:ind w:left="360" w:hanging="360"/>
        <w:rPr>
          <w:ins w:id="221" w:author="Author"/>
          <w:rFonts w:ascii="Times New Roman" w:hAnsi="Times New Roman"/>
          <w:sz w:val="24"/>
          <w:lang w:eastAsia="de-DE"/>
        </w:rPr>
      </w:pPr>
      <w:ins w:id="222" w:author="Author">
        <w:r>
          <w:rPr>
            <w:rFonts w:ascii="Times New Roman" w:hAnsi="Times New Roman"/>
            <w:sz w:val="24"/>
            <w:lang w:eastAsia="de-DE"/>
          </w:rPr>
          <w:t>141e</w:t>
        </w:r>
        <w:r w:rsidR="00FA5064" w:rsidRPr="0062765D">
          <w:rPr>
            <w:rFonts w:ascii="Times New Roman" w:hAnsi="Times New Roman"/>
            <w:sz w:val="24"/>
            <w:lang w:eastAsia="de-DE"/>
          </w:rPr>
          <w:t xml:space="preserve">. Institutions shall not include in reporting any figures </w:t>
        </w:r>
        <w:proofErr w:type="spellStart"/>
        <w:r w:rsidR="00FA5064" w:rsidRPr="0062765D">
          <w:rPr>
            <w:rFonts w:ascii="Times New Roman" w:hAnsi="Times New Roman"/>
            <w:sz w:val="24"/>
            <w:lang w:eastAsia="de-DE"/>
          </w:rPr>
          <w:t>refering</w:t>
        </w:r>
        <w:proofErr w:type="spellEnd"/>
        <w:r w:rsidR="00FA5064" w:rsidRPr="0062765D">
          <w:rPr>
            <w:rFonts w:ascii="Times New Roman" w:hAnsi="Times New Roman"/>
            <w:sz w:val="24"/>
            <w:lang w:eastAsia="de-DE"/>
          </w:rPr>
          <w:t xml:space="preserve"> to items determined in accordance with Article 314(</w:t>
        </w:r>
        <w:r w:rsidR="00FA5064" w:rsidRPr="12C2E25E">
          <w:rPr>
            <w:rFonts w:ascii="Times New Roman" w:hAnsi="Times New Roman"/>
            <w:sz w:val="24"/>
            <w:lang w:eastAsia="de-DE"/>
          </w:rPr>
          <w:t>7</w:t>
        </w:r>
        <w:r w:rsidR="00FA5064" w:rsidRPr="0062765D">
          <w:rPr>
            <w:rFonts w:ascii="Times New Roman" w:hAnsi="Times New Roman"/>
            <w:sz w:val="24"/>
            <w:lang w:eastAsia="de-DE"/>
          </w:rPr>
          <w:t>) of Regulation (EU) No 575/2013 and as further specified in the regulatory technical standard to be developed under Articles 314(</w:t>
        </w:r>
        <w:r w:rsidR="001B4C43">
          <w:rPr>
            <w:rFonts w:ascii="Times New Roman" w:hAnsi="Times New Roman"/>
            <w:sz w:val="24"/>
            <w:lang w:eastAsia="de-DE"/>
          </w:rPr>
          <w:t>9</w:t>
        </w:r>
        <w:r w:rsidR="00FA5064" w:rsidRPr="0062765D">
          <w:rPr>
            <w:rFonts w:ascii="Times New Roman" w:hAnsi="Times New Roman"/>
            <w:sz w:val="24"/>
            <w:lang w:eastAsia="de-DE"/>
          </w:rPr>
          <w:t xml:space="preserve">). </w:t>
        </w:r>
      </w:ins>
    </w:p>
    <w:p w14:paraId="65A130C3" w14:textId="77777777" w:rsidR="008E3C30" w:rsidRDefault="00DB52C6" w:rsidP="001A7684">
      <w:pPr>
        <w:spacing w:before="0" w:after="240"/>
        <w:ind w:left="360" w:hanging="360"/>
        <w:rPr>
          <w:rFonts w:ascii="Calibri" w:eastAsia="MS PGothic" w:hAnsi="Calibri" w:cs="Arial"/>
          <w:sz w:val="22"/>
          <w:lang w:val="en-US" w:bidi="en-GB"/>
        </w:rPr>
      </w:pPr>
      <w:ins w:id="223" w:author="Author">
        <w:r>
          <w:rPr>
            <w:rFonts w:ascii="Times New Roman" w:hAnsi="Times New Roman"/>
            <w:sz w:val="24"/>
            <w:lang w:eastAsia="de-DE"/>
          </w:rPr>
          <w:lastRenderedPageBreak/>
          <w:t>141f</w:t>
        </w:r>
        <w:r w:rsidR="00FA5064" w:rsidRPr="0062765D">
          <w:rPr>
            <w:lang w:eastAsia="de-DE"/>
          </w:rPr>
          <w:t xml:space="preserve">. </w:t>
        </w:r>
        <w:r w:rsidR="00BA118D" w:rsidRPr="00BA118D">
          <w:rPr>
            <w:rFonts w:ascii="Calibri" w:eastAsia="MS PGothic" w:hAnsi="Calibri" w:cs="Arial"/>
            <w:sz w:val="22"/>
            <w:lang w:bidi="en-GB"/>
          </w:rPr>
          <w:t xml:space="preserve">For the calculation </w:t>
        </w:r>
        <w:r w:rsidR="00BA118D" w:rsidRPr="00BA118D">
          <w:rPr>
            <w:rFonts w:ascii="Calibri" w:eastAsia="MS PGothic" w:hAnsi="Calibri" w:cs="Arial"/>
            <w:sz w:val="22"/>
            <w:lang w:val="en-US" w:bidi="en-GB"/>
          </w:rPr>
          <w:t>of the BI</w:t>
        </w:r>
        <w:r w:rsidR="001A7684">
          <w:rPr>
            <w:rFonts w:ascii="Calibri" w:eastAsia="MS PGothic" w:hAnsi="Calibri" w:cs="Arial"/>
            <w:sz w:val="22"/>
            <w:lang w:val="en-US" w:bidi="en-GB"/>
          </w:rPr>
          <w:t xml:space="preserve"> </w:t>
        </w:r>
        <w:r w:rsidR="001A7684" w:rsidRPr="001A7684">
          <w:rPr>
            <w:rFonts w:ascii="Calibri" w:eastAsia="MS PGothic" w:hAnsi="Calibri" w:cs="Arial"/>
            <w:sz w:val="22"/>
            <w:lang w:val="en-US" w:bidi="en-GB"/>
          </w:rPr>
          <w:t xml:space="preserve">(e.g. in the case of institutions </w:t>
        </w:r>
        <w:r w:rsidR="001A7684">
          <w:rPr>
            <w:rFonts w:ascii="Calibri" w:eastAsia="MS PGothic" w:hAnsi="Calibri" w:cs="Arial"/>
            <w:sz w:val="22"/>
            <w:lang w:val="en-US" w:bidi="en-GB"/>
          </w:rPr>
          <w:t>having</w:t>
        </w:r>
        <w:r w:rsidR="001A7684" w:rsidRPr="001A7684">
          <w:rPr>
            <w:rFonts w:ascii="Calibri" w:eastAsia="MS PGothic" w:hAnsi="Calibri" w:cs="Arial"/>
            <w:sz w:val="22"/>
            <w:lang w:val="en-US" w:bidi="en-GB"/>
          </w:rPr>
          <w:t xml:space="preserve"> subsidiaries with a currency other than the</w:t>
        </w:r>
        <w:r w:rsidR="001A7684">
          <w:rPr>
            <w:rFonts w:ascii="Calibri" w:eastAsia="MS PGothic" w:hAnsi="Calibri" w:cs="Arial"/>
            <w:sz w:val="22"/>
            <w:lang w:val="en-US" w:bidi="en-GB"/>
          </w:rPr>
          <w:t xml:space="preserve"> reporting currency of the institution</w:t>
        </w:r>
        <w:r w:rsidR="001A7684" w:rsidRPr="001A7684">
          <w:rPr>
            <w:rFonts w:ascii="Calibri" w:eastAsia="MS PGothic" w:hAnsi="Calibri" w:cs="Arial"/>
            <w:sz w:val="22"/>
            <w:lang w:val="en-US" w:bidi="en-GB"/>
          </w:rPr>
          <w:t>)</w:t>
        </w:r>
        <w:r w:rsidR="001A7684">
          <w:rPr>
            <w:lang w:val="en-US" w:bidi="en-GB"/>
          </w:rPr>
          <w:t xml:space="preserve"> </w:t>
        </w:r>
        <w:r w:rsidR="00BA118D" w:rsidRPr="00BA118D">
          <w:rPr>
            <w:rFonts w:ascii="Calibri" w:eastAsia="MS PGothic" w:hAnsi="Calibri" w:cs="Arial"/>
            <w:sz w:val="22"/>
            <w:lang w:val="en-US" w:bidi="en-GB"/>
          </w:rPr>
          <w:t>institutions sh</w:t>
        </w:r>
        <w:r w:rsidR="001A7684">
          <w:rPr>
            <w:rFonts w:ascii="Calibri" w:eastAsia="MS PGothic" w:hAnsi="Calibri" w:cs="Arial"/>
            <w:sz w:val="22"/>
            <w:lang w:val="en-US" w:bidi="en-GB"/>
          </w:rPr>
          <w:t>all</w:t>
        </w:r>
        <w:r w:rsidR="00BA118D" w:rsidRPr="00BA118D">
          <w:rPr>
            <w:rFonts w:ascii="Calibri" w:eastAsia="MS PGothic" w:hAnsi="Calibri" w:cs="Arial"/>
            <w:sz w:val="22"/>
            <w:lang w:val="en-US" w:bidi="en-GB"/>
          </w:rPr>
          <w:t xml:space="preserve"> apply the relevant </w:t>
        </w:r>
        <w:r w:rsidR="001A7684">
          <w:rPr>
            <w:rFonts w:ascii="Calibri" w:eastAsia="MS PGothic" w:hAnsi="Calibri" w:cs="Arial"/>
            <w:sz w:val="22"/>
            <w:lang w:val="en-US" w:bidi="en-GB"/>
          </w:rPr>
          <w:t>exchange rate</w:t>
        </w:r>
        <w:r w:rsidR="00BA118D" w:rsidRPr="00BA118D">
          <w:rPr>
            <w:rFonts w:ascii="Calibri" w:eastAsia="MS PGothic" w:hAnsi="Calibri" w:cs="Arial"/>
            <w:sz w:val="22"/>
            <w:lang w:val="en-US" w:bidi="en-GB"/>
          </w:rPr>
          <w:t xml:space="preserve"> for</w:t>
        </w:r>
        <w:r w:rsidR="00210EEA" w:rsidRPr="00210EEA">
          <w:rPr>
            <w:rFonts w:ascii="Calibri" w:eastAsia="MS PGothic" w:hAnsi="Calibri" w:cs="Arial"/>
            <w:sz w:val="22"/>
            <w:lang w:val="en-US" w:bidi="en-GB"/>
          </w:rPr>
          <w:t xml:space="preserve"> </w:t>
        </w:r>
        <w:r w:rsidR="00210EEA">
          <w:rPr>
            <w:rFonts w:ascii="Calibri" w:eastAsia="MS PGothic" w:hAnsi="Calibri" w:cs="Arial"/>
            <w:sz w:val="22"/>
            <w:lang w:val="en-US" w:bidi="en-GB"/>
          </w:rPr>
          <w:t>each of the three years, on which basis the BI is computed</w:t>
        </w:r>
      </w:ins>
      <w:r w:rsidR="00210EEA">
        <w:rPr>
          <w:rFonts w:ascii="Calibri" w:eastAsia="MS PGothic" w:hAnsi="Calibri" w:cs="Arial"/>
          <w:sz w:val="22"/>
          <w:lang w:val="en-US" w:bidi="en-GB"/>
        </w:rPr>
        <w:t>,</w:t>
      </w:r>
      <w:ins w:id="224" w:author="Author">
        <w:r w:rsidR="00BA118D" w:rsidRPr="00BA118D">
          <w:rPr>
            <w:rFonts w:ascii="Calibri" w:eastAsia="MS PGothic" w:hAnsi="Calibri" w:cs="Arial"/>
            <w:sz w:val="22"/>
            <w:lang w:val="en-US" w:bidi="en-GB"/>
          </w:rPr>
          <w:t xml:space="preserve"> </w:t>
        </w:r>
        <w:r w:rsidR="001A7684">
          <w:rPr>
            <w:rFonts w:ascii="Calibri" w:eastAsia="MS PGothic" w:hAnsi="Calibri" w:cs="Arial"/>
            <w:sz w:val="22"/>
            <w:lang w:val="en-US" w:bidi="en-GB"/>
          </w:rPr>
          <w:t>in accordance</w:t>
        </w:r>
        <w:r w:rsidR="00BA118D" w:rsidRPr="00BA118D">
          <w:rPr>
            <w:rFonts w:ascii="Calibri" w:eastAsia="MS PGothic" w:hAnsi="Calibri" w:cs="Arial"/>
            <w:sz w:val="22"/>
            <w:lang w:val="en-US" w:bidi="en-GB"/>
          </w:rPr>
          <w:t xml:space="preserve"> with the applicable accounting framework</w:t>
        </w:r>
        <w:r w:rsidR="001A7684">
          <w:rPr>
            <w:rFonts w:ascii="Calibri" w:eastAsia="MS PGothic" w:hAnsi="Calibri" w:cs="Arial"/>
            <w:sz w:val="22"/>
            <w:lang w:val="en-US" w:bidi="en-GB"/>
          </w:rPr>
          <w:t>. Thus,</w:t>
        </w:r>
        <w:r w:rsidR="00BA118D" w:rsidRPr="00BA118D">
          <w:rPr>
            <w:rFonts w:ascii="Calibri" w:eastAsia="MS PGothic" w:hAnsi="Calibri" w:cs="Arial"/>
            <w:sz w:val="22"/>
            <w:lang w:val="en-US" w:bidi="en-GB"/>
          </w:rPr>
          <w:t xml:space="preserve"> the </w:t>
        </w:r>
        <w:r w:rsidR="001A7684">
          <w:rPr>
            <w:rFonts w:ascii="Calibri" w:eastAsia="MS PGothic" w:hAnsi="Calibri" w:cs="Arial"/>
            <w:sz w:val="22"/>
            <w:lang w:val="en-US" w:bidi="en-GB"/>
          </w:rPr>
          <w:t xml:space="preserve">exchange </w:t>
        </w:r>
        <w:r w:rsidR="001A7684" w:rsidRPr="00BA118D">
          <w:rPr>
            <w:rFonts w:ascii="Calibri" w:eastAsia="MS PGothic" w:hAnsi="Calibri" w:cs="Arial"/>
            <w:sz w:val="22"/>
            <w:lang w:val="en-US" w:bidi="en-GB"/>
          </w:rPr>
          <w:t>rate</w:t>
        </w:r>
        <w:r w:rsidR="00BA118D" w:rsidRPr="00BA118D">
          <w:rPr>
            <w:rFonts w:ascii="Calibri" w:eastAsia="MS PGothic" w:hAnsi="Calibri" w:cs="Arial"/>
            <w:sz w:val="22"/>
            <w:lang w:val="en-US" w:bidi="en-GB"/>
          </w:rPr>
          <w:t xml:space="preserve"> used in the respective year sh</w:t>
        </w:r>
        <w:r w:rsidR="001A7684">
          <w:rPr>
            <w:rFonts w:ascii="Calibri" w:eastAsia="MS PGothic" w:hAnsi="Calibri" w:cs="Arial"/>
            <w:sz w:val="22"/>
            <w:lang w:val="en-US" w:bidi="en-GB"/>
          </w:rPr>
          <w:t>all</w:t>
        </w:r>
        <w:r w:rsidR="00BA118D" w:rsidRPr="00BA118D">
          <w:rPr>
            <w:rFonts w:ascii="Calibri" w:eastAsia="MS PGothic" w:hAnsi="Calibri" w:cs="Arial"/>
            <w:sz w:val="22"/>
            <w:lang w:val="en-US" w:bidi="en-GB"/>
          </w:rPr>
          <w:t xml:space="preserve"> not be updated in every reporting date. </w:t>
        </w:r>
      </w:ins>
    </w:p>
    <w:p w14:paraId="06A7780A" w14:textId="58C20260" w:rsidR="006E63FF" w:rsidRPr="001A7684" w:rsidRDefault="008E3C30" w:rsidP="001A7684">
      <w:pPr>
        <w:spacing w:before="0" w:after="240"/>
        <w:ind w:left="360" w:hanging="360"/>
        <w:rPr>
          <w:ins w:id="225" w:author="Author"/>
          <w:rFonts w:ascii="Calibri" w:eastAsia="MS PGothic" w:hAnsi="Calibri" w:cs="Arial"/>
          <w:sz w:val="22"/>
          <w:lang w:val="en-US" w:bidi="en-GB"/>
        </w:rPr>
      </w:pPr>
      <w:r>
        <w:rPr>
          <w:rFonts w:ascii="Times New Roman" w:hAnsi="Times New Roman"/>
          <w:sz w:val="24"/>
          <w:lang w:val="en-US" w:eastAsia="de-DE"/>
        </w:rPr>
        <w:t>141g.</w:t>
      </w:r>
      <w:r>
        <w:rPr>
          <w:rFonts w:ascii="Calibri" w:eastAsia="MS PGothic" w:hAnsi="Calibri" w:cs="Arial"/>
          <w:sz w:val="22"/>
          <w:lang w:val="en-US" w:bidi="en-GB"/>
        </w:rPr>
        <w:t xml:space="preserve"> </w:t>
      </w:r>
      <w:ins w:id="226" w:author="Author">
        <w:r w:rsidR="00BA118D" w:rsidRPr="00BA118D">
          <w:rPr>
            <w:rFonts w:ascii="Calibri" w:eastAsia="MS PGothic" w:hAnsi="Calibri" w:cs="Arial"/>
            <w:sz w:val="22"/>
            <w:lang w:val="en-US" w:bidi="en-GB"/>
          </w:rPr>
          <w:t>Regarding the application of the thresholds to compute the BIC</w:t>
        </w:r>
        <w:r w:rsidR="00BA118D">
          <w:rPr>
            <w:rFonts w:ascii="Calibri" w:eastAsia="MS PGothic" w:hAnsi="Calibri" w:cs="Arial"/>
            <w:sz w:val="22"/>
            <w:lang w:val="en-US" w:bidi="en-GB"/>
          </w:rPr>
          <w:t xml:space="preserve"> according to Article 313 of </w:t>
        </w:r>
        <w:r w:rsidR="00BA118D" w:rsidRPr="001A7684">
          <w:rPr>
            <w:rFonts w:ascii="Calibri" w:eastAsia="MS PGothic" w:hAnsi="Calibri" w:cs="Arial"/>
            <w:sz w:val="22"/>
            <w:lang w:val="en-US" w:bidi="en-GB"/>
          </w:rPr>
          <w:t>Regulation (EU) No 575/2013,</w:t>
        </w:r>
        <w:r w:rsidR="00BA118D" w:rsidRPr="00BA118D">
          <w:rPr>
            <w:rFonts w:ascii="Calibri" w:eastAsia="MS PGothic" w:hAnsi="Calibri" w:cs="Arial"/>
            <w:sz w:val="22"/>
            <w:lang w:val="en-US" w:bidi="en-GB"/>
          </w:rPr>
          <w:t xml:space="preserve"> institutions belonging out of the Euro area which report the supervisory information in their local currency, sh</w:t>
        </w:r>
        <w:r w:rsidR="001A7684">
          <w:rPr>
            <w:rFonts w:ascii="Calibri" w:eastAsia="MS PGothic" w:hAnsi="Calibri" w:cs="Arial"/>
            <w:sz w:val="22"/>
            <w:lang w:val="en-US" w:bidi="en-GB"/>
          </w:rPr>
          <w:t>all</w:t>
        </w:r>
        <w:r w:rsidR="00BA118D" w:rsidRPr="00BA118D">
          <w:rPr>
            <w:rFonts w:ascii="Calibri" w:eastAsia="MS PGothic" w:hAnsi="Calibri" w:cs="Arial"/>
            <w:sz w:val="22"/>
            <w:lang w:val="en-US" w:bidi="en-GB"/>
          </w:rPr>
          <w:t xml:space="preserve"> use the average exchange rate for the period for which the BIC is computed</w:t>
        </w:r>
      </w:ins>
      <w:r w:rsidR="001A7684">
        <w:rPr>
          <w:rFonts w:ascii="Calibri" w:eastAsia="MS PGothic" w:hAnsi="Calibri" w:cs="Arial"/>
          <w:sz w:val="22"/>
          <w:lang w:val="en-US" w:bidi="en-GB"/>
        </w:rPr>
        <w:t xml:space="preserve"> </w:t>
      </w:r>
      <w:ins w:id="227" w:author="Author">
        <w:r w:rsidR="001A7684">
          <w:rPr>
            <w:rFonts w:ascii="Calibri" w:eastAsia="MS PGothic" w:hAnsi="Calibri" w:cs="Arial"/>
            <w:sz w:val="22"/>
            <w:lang w:val="en-US" w:bidi="en-GB"/>
          </w:rPr>
          <w:t>(average for the last three financial years) in accordance with</w:t>
        </w:r>
        <w:r w:rsidR="00BA118D" w:rsidRPr="00BA118D">
          <w:rPr>
            <w:rFonts w:ascii="Calibri" w:eastAsia="MS PGothic" w:hAnsi="Calibri" w:cs="Arial"/>
            <w:sz w:val="22"/>
            <w:lang w:val="en-US" w:bidi="en-GB"/>
          </w:rPr>
          <w:t xml:space="preserve"> the accounting framework</w:t>
        </w:r>
        <w:r w:rsidR="00BA118D" w:rsidRPr="001A7684">
          <w:rPr>
            <w:rFonts w:ascii="Calibri" w:eastAsia="MS PGothic" w:hAnsi="Calibri" w:cs="Arial"/>
            <w:sz w:val="22"/>
            <w:lang w:val="en-US" w:bidi="en-GB"/>
          </w:rPr>
          <w:t xml:space="preserve">, for </w:t>
        </w:r>
        <w:r w:rsidR="00BA118D" w:rsidRPr="00BA118D">
          <w:rPr>
            <w:rFonts w:ascii="Calibri" w:eastAsia="MS PGothic" w:hAnsi="Calibri" w:cs="Arial"/>
            <w:sz w:val="22"/>
            <w:lang w:val="en-US" w:bidi="en-GB"/>
          </w:rPr>
          <w:t>the conversion of the threshold into their local currency.</w:t>
        </w:r>
      </w:ins>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lang w:val="en-US" w:eastAsia="x-none"/>
        </w:rPr>
      </w:pPr>
      <w:bookmarkStart w:id="228" w:name="_Toc152862713"/>
      <w:ins w:id="229" w:author="Author">
        <w:r w:rsidRPr="0062765D">
          <w:rPr>
            <w:rFonts w:ascii="Times New Roman" w:eastAsia="Arial" w:hAnsi="Times New Roman"/>
            <w:sz w:val="24"/>
            <w:u w:val="single"/>
            <w:lang w:eastAsia="x-none"/>
          </w:rPr>
          <w:t>4.1.2.</w:t>
        </w:r>
        <w:r w:rsidRPr="0062765D">
          <w:rPr>
            <w:rFonts w:ascii="Times New Roman" w:eastAsia="Arial" w:hAnsi="Times New Roman"/>
            <w:sz w:val="24"/>
            <w:u w:val="single"/>
            <w:lang w:eastAsia="x-none"/>
          </w:rPr>
          <w:tab/>
        </w:r>
        <w:r w:rsidRPr="0062765D">
          <w:rPr>
            <w:rFonts w:ascii="Times New Roman" w:eastAsia="Arial" w:hAnsi="Times New Roman"/>
            <w:sz w:val="24"/>
            <w:u w:val="single"/>
            <w:lang w:val="en-US" w:eastAsia="x-none"/>
          </w:rPr>
          <w:t>C 16.01 Operational Risk – Own funds requirements (OPR OFR)</w:t>
        </w:r>
      </w:ins>
      <w:bookmarkEnd w:id="228"/>
    </w:p>
    <w:p w14:paraId="37EA392E" w14:textId="08491DA9" w:rsidR="0060540A" w:rsidRPr="00F83296" w:rsidRDefault="006B71D2" w:rsidP="00F83296">
      <w:pPr>
        <w:spacing w:before="0" w:after="240"/>
        <w:ind w:left="360" w:hanging="360"/>
        <w:rPr>
          <w:ins w:id="230" w:author="Author"/>
          <w:rFonts w:ascii="Times New Roman" w:eastAsia="Arial" w:hAnsi="Times New Roman"/>
          <w:sz w:val="24"/>
          <w:u w:val="single"/>
          <w:lang w:val="en-US" w:eastAsia="x-none"/>
        </w:rPr>
      </w:pPr>
      <w:ins w:id="231" w:author="Author">
        <w:r>
          <w:rPr>
            <w:rFonts w:ascii="Times New Roman" w:hAnsi="Times New Roman"/>
            <w:sz w:val="24"/>
            <w:lang w:eastAsia="de-DE"/>
          </w:rPr>
          <w:t>141</w:t>
        </w:r>
      </w:ins>
      <w:r w:rsidR="008E3C30">
        <w:rPr>
          <w:rFonts w:ascii="Times New Roman" w:hAnsi="Times New Roman"/>
          <w:sz w:val="24"/>
          <w:lang w:eastAsia="de-DE"/>
        </w:rPr>
        <w:t>h</w:t>
      </w:r>
      <w:ins w:id="232" w:author="Autho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The information in this template is computed taking into account the amounts for the last three financial years.</w:t>
        </w:r>
      </w:ins>
    </w:p>
    <w:p w14:paraId="4A1DC110" w14:textId="03CEE5BE" w:rsidR="0062765D" w:rsidRPr="0062765D" w:rsidRDefault="0062765D" w:rsidP="0062765D">
      <w:pPr>
        <w:spacing w:before="0" w:after="240"/>
        <w:rPr>
          <w:ins w:id="233" w:author="Author"/>
          <w:rFonts w:ascii="Times New Roman" w:hAnsi="Times New Roman"/>
          <w:sz w:val="24"/>
          <w:u w:val="single"/>
          <w:lang w:eastAsia="de-DE"/>
        </w:rPr>
      </w:pPr>
      <w:ins w:id="234" w:author="Autho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ins>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ins w:id="235" w:author="Author"/>
        </w:trPr>
        <w:tc>
          <w:tcPr>
            <w:tcW w:w="1225" w:type="dxa"/>
            <w:shd w:val="clear" w:color="auto" w:fill="BFBFBF" w:themeFill="background1" w:themeFillShade="BF"/>
          </w:tcPr>
          <w:p w14:paraId="72846797" w14:textId="77777777" w:rsidR="0062765D" w:rsidRPr="0062765D" w:rsidRDefault="0062765D" w:rsidP="0062765D">
            <w:pPr>
              <w:spacing w:before="0" w:after="0"/>
              <w:rPr>
                <w:ins w:id="236" w:author="Author"/>
                <w:rFonts w:ascii="Times New Roman" w:hAnsi="Times New Roman"/>
                <w:sz w:val="24"/>
                <w:lang w:eastAsia="nl-BE"/>
              </w:rPr>
            </w:pPr>
            <w:ins w:id="237" w:author="Author">
              <w:r w:rsidRPr="0062765D">
                <w:rPr>
                  <w:rFonts w:ascii="Times New Roman" w:hAnsi="Times New Roman"/>
                  <w:b/>
                  <w:bCs/>
                  <w:sz w:val="24"/>
                  <w:lang w:eastAsia="nl-BE"/>
                </w:rPr>
                <w:t>Columns</w:t>
              </w:r>
            </w:ins>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ins w:id="238" w:author="Author"/>
                <w:rFonts w:ascii="Times New Roman" w:hAnsi="Times New Roman"/>
                <w:b/>
                <w:bCs/>
                <w:sz w:val="24"/>
                <w:u w:val="single"/>
              </w:rPr>
            </w:pPr>
            <w:ins w:id="239" w:author="Author">
              <w:r w:rsidRPr="0062765D">
                <w:rPr>
                  <w:rFonts w:ascii="Times New Roman" w:hAnsi="Times New Roman"/>
                  <w:b/>
                  <w:bCs/>
                  <w:sz w:val="24"/>
                  <w:u w:val="single"/>
                </w:rPr>
                <w:t>Legal references and instructions</w:t>
              </w:r>
            </w:ins>
          </w:p>
        </w:tc>
      </w:tr>
      <w:tr w:rsidR="0062765D" w:rsidRPr="0062765D" w14:paraId="757FFFEF" w14:textId="77777777" w:rsidTr="00B9490A">
        <w:trPr>
          <w:trHeight w:val="300"/>
          <w:ins w:id="240" w:author="Author"/>
        </w:trPr>
        <w:tc>
          <w:tcPr>
            <w:tcW w:w="1225" w:type="dxa"/>
          </w:tcPr>
          <w:p w14:paraId="0E504078" w14:textId="77777777" w:rsidR="0062765D" w:rsidRPr="0062765D" w:rsidRDefault="0062765D" w:rsidP="0062765D">
            <w:pPr>
              <w:jc w:val="left"/>
              <w:rPr>
                <w:ins w:id="241" w:author="Author"/>
                <w:rFonts w:ascii="Times New Roman" w:hAnsi="Times New Roman"/>
                <w:bCs/>
                <w:sz w:val="24"/>
                <w:u w:val="single"/>
              </w:rPr>
            </w:pPr>
            <w:ins w:id="242" w:author="Author">
              <w:r w:rsidRPr="0062765D">
                <w:rPr>
                  <w:rFonts w:ascii="Times New Roman" w:hAnsi="Times New Roman"/>
                  <w:sz w:val="24"/>
                  <w:lang w:eastAsia="nl-BE"/>
                </w:rPr>
                <w:t>0010</w:t>
              </w:r>
            </w:ins>
          </w:p>
        </w:tc>
        <w:tc>
          <w:tcPr>
            <w:tcW w:w="7789" w:type="dxa"/>
          </w:tcPr>
          <w:p w14:paraId="37C5F7E9" w14:textId="77777777" w:rsidR="0062765D" w:rsidRPr="0062765D" w:rsidRDefault="0062765D" w:rsidP="0062765D">
            <w:pPr>
              <w:jc w:val="left"/>
              <w:rPr>
                <w:ins w:id="243" w:author="Author"/>
                <w:rFonts w:ascii="Times New Roman" w:hAnsi="Times New Roman"/>
                <w:b/>
                <w:bCs/>
                <w:sz w:val="24"/>
                <w:u w:val="single"/>
              </w:rPr>
            </w:pPr>
            <w:ins w:id="244" w:author="Author">
              <w:r w:rsidRPr="0062765D">
                <w:rPr>
                  <w:rFonts w:ascii="Times New Roman" w:hAnsi="Times New Roman"/>
                  <w:b/>
                  <w:bCs/>
                  <w:sz w:val="24"/>
                  <w:u w:val="single"/>
                </w:rPr>
                <w:t>Value</w:t>
              </w:r>
            </w:ins>
          </w:p>
          <w:p w14:paraId="40C487F3" w14:textId="77777777" w:rsidR="0062765D" w:rsidRDefault="0062765D" w:rsidP="0062765D">
            <w:pPr>
              <w:jc w:val="left"/>
              <w:rPr>
                <w:ins w:id="245" w:author="Author"/>
                <w:rFonts w:ascii="Times New Roman" w:hAnsi="Times New Roman"/>
                <w:sz w:val="24"/>
              </w:rPr>
            </w:pPr>
            <w:ins w:id="246" w:author="Author">
              <w:r w:rsidRPr="0062765D">
                <w:rPr>
                  <w:rFonts w:ascii="Times New Roman" w:hAnsi="Times New Roman"/>
                  <w:sz w:val="24"/>
                </w:rPr>
                <w:t>The value of the BI and its three components: ILDC, SC and FC.</w:t>
              </w:r>
            </w:ins>
          </w:p>
          <w:p w14:paraId="4EA05B1B" w14:textId="77777777" w:rsidR="0062765D" w:rsidRPr="0062765D" w:rsidRDefault="0062765D" w:rsidP="0062765D">
            <w:pPr>
              <w:jc w:val="left"/>
              <w:rPr>
                <w:ins w:id="247" w:author="Author"/>
                <w:rFonts w:ascii="Times New Roman" w:hAnsi="Times New Roman"/>
                <w:sz w:val="24"/>
              </w:rPr>
            </w:pPr>
            <w:ins w:id="248" w:author="Author">
              <w:r w:rsidRPr="0062765D">
                <w:rPr>
                  <w:rFonts w:ascii="Times New Roman" w:hAnsi="Times New Roman"/>
                  <w:sz w:val="24"/>
                </w:rPr>
                <w:t>The value includes the adjustments due to the impact of mergers, acquisitions and disposals in accordance with Article 315 paragraphs 1 and 2 of Regulation (EU) No 575/2013.</w:t>
              </w:r>
            </w:ins>
          </w:p>
          <w:p w14:paraId="160B8F2D" w14:textId="15A9C124" w:rsidR="00BC5ECA" w:rsidRDefault="00BC5ECA" w:rsidP="00BC5ECA">
            <w:pPr>
              <w:jc w:val="left"/>
              <w:rPr>
                <w:ins w:id="249" w:author="Author"/>
                <w:rFonts w:ascii="Times New Roman" w:hAnsi="Times New Roman"/>
                <w:sz w:val="24"/>
              </w:rPr>
            </w:pPr>
            <w:ins w:id="250" w:author="Author">
              <w:r w:rsidRPr="0062765D">
                <w:rPr>
                  <w:rFonts w:ascii="Times New Roman" w:hAnsi="Times New Roman"/>
                  <w:sz w:val="24"/>
                </w:rPr>
                <w:t xml:space="preserve">In the case of the FC the value shall reflect either the accounting value determined using the accounting </w:t>
              </w:r>
              <w:r w:rsidR="0029748B">
                <w:rPr>
                  <w:rFonts w:ascii="Times New Roman" w:hAnsi="Times New Roman"/>
                  <w:sz w:val="24"/>
                </w:rPr>
                <w:t>approach</w:t>
              </w:r>
              <w:del w:id="251" w:author="Author">
                <w:r w:rsidRPr="0062765D" w:rsidDel="0029748B">
                  <w:rPr>
                    <w:rFonts w:ascii="Times New Roman" w:hAnsi="Times New Roman"/>
                    <w:sz w:val="24"/>
                  </w:rPr>
                  <w:delText>boundary</w:delText>
                </w:r>
              </w:del>
              <w:r w:rsidRPr="0062765D">
                <w:rPr>
                  <w:rFonts w:ascii="Times New Roman" w:hAnsi="Times New Roman"/>
                  <w:sz w:val="24"/>
                </w:rPr>
                <w:t xml:space="preserve"> or </w:t>
              </w:r>
              <w:r w:rsidR="0029748B">
                <w:rPr>
                  <w:rFonts w:ascii="Times New Roman" w:hAnsi="Times New Roman"/>
                  <w:sz w:val="24"/>
                </w:rPr>
                <w:t xml:space="preserve">accounting value </w:t>
              </w:r>
              <w:r w:rsidRPr="0062765D">
                <w:rPr>
                  <w:rFonts w:ascii="Times New Roman" w:hAnsi="Times New Roman"/>
                  <w:sz w:val="24"/>
                </w:rPr>
                <w:t xml:space="preserve">using the prudential boundary (Prudential Boundary Approach - PBA) for identifying the items of the trading book and banking book. </w:t>
              </w:r>
              <w:r>
                <w:rPr>
                  <w:rFonts w:ascii="Times New Roman" w:hAnsi="Times New Roman"/>
                  <w:sz w:val="24"/>
                </w:rPr>
                <w:t>Information on the approach used will be reported in row 0110.</w:t>
              </w:r>
            </w:ins>
          </w:p>
          <w:p w14:paraId="78D3EEE0" w14:textId="54806951" w:rsidR="00DC6108" w:rsidRPr="0062765D" w:rsidRDefault="00DC6108" w:rsidP="0062765D">
            <w:pPr>
              <w:jc w:val="left"/>
              <w:rPr>
                <w:ins w:id="252" w:author="Author"/>
                <w:rFonts w:ascii="Times New Roman" w:hAnsi="Times New Roman"/>
                <w:sz w:val="24"/>
              </w:rPr>
            </w:pPr>
          </w:p>
        </w:tc>
      </w:tr>
      <w:tr w:rsidR="0062765D" w:rsidRPr="0062765D" w14:paraId="7AE3F4FB" w14:textId="77777777" w:rsidTr="00B9490A">
        <w:trPr>
          <w:trHeight w:val="300"/>
          <w:ins w:id="253" w:author="Author"/>
        </w:trPr>
        <w:tc>
          <w:tcPr>
            <w:tcW w:w="1225" w:type="dxa"/>
          </w:tcPr>
          <w:p w14:paraId="4A8A57B4" w14:textId="77777777" w:rsidR="0062765D" w:rsidRPr="0062765D" w:rsidRDefault="0062765D" w:rsidP="0062765D">
            <w:pPr>
              <w:rPr>
                <w:ins w:id="254" w:author="Author"/>
                <w:rFonts w:ascii="Times New Roman" w:hAnsi="Times New Roman"/>
                <w:sz w:val="24"/>
                <w:lang w:eastAsia="nl-BE"/>
              </w:rPr>
            </w:pPr>
            <w:ins w:id="255" w:author="Author">
              <w:r w:rsidRPr="0062765D">
                <w:rPr>
                  <w:rFonts w:ascii="Times New Roman" w:hAnsi="Times New Roman"/>
                  <w:sz w:val="24"/>
                  <w:lang w:eastAsia="nl-BE"/>
                </w:rPr>
                <w:t>0020</w:t>
              </w:r>
            </w:ins>
          </w:p>
        </w:tc>
        <w:tc>
          <w:tcPr>
            <w:tcW w:w="7789" w:type="dxa"/>
          </w:tcPr>
          <w:p w14:paraId="3853732D" w14:textId="77777777" w:rsidR="0062765D" w:rsidRPr="0062765D" w:rsidRDefault="0062765D" w:rsidP="0062765D">
            <w:pPr>
              <w:jc w:val="left"/>
              <w:rPr>
                <w:ins w:id="256" w:author="Author"/>
                <w:rFonts w:ascii="Times New Roman" w:hAnsi="Times New Roman"/>
                <w:b/>
                <w:bCs/>
                <w:sz w:val="24"/>
                <w:u w:val="single"/>
              </w:rPr>
            </w:pPr>
            <w:ins w:id="257" w:author="Author">
              <w:r w:rsidRPr="0062765D">
                <w:rPr>
                  <w:rFonts w:ascii="Times New Roman" w:hAnsi="Times New Roman"/>
                  <w:b/>
                  <w:bCs/>
                  <w:sz w:val="24"/>
                  <w:u w:val="single"/>
                </w:rPr>
                <w:t>of which:  adjustments due to merge/acquisition of entities or activities</w:t>
              </w:r>
            </w:ins>
          </w:p>
          <w:p w14:paraId="74765691" w14:textId="77777777" w:rsidR="0062765D" w:rsidRPr="0062765D" w:rsidRDefault="0062765D" w:rsidP="0062765D">
            <w:pPr>
              <w:jc w:val="left"/>
              <w:rPr>
                <w:ins w:id="258" w:author="Author"/>
                <w:rFonts w:ascii="Times New Roman" w:hAnsi="Times New Roman"/>
                <w:bCs/>
                <w:sz w:val="24"/>
              </w:rPr>
            </w:pPr>
            <w:ins w:id="259" w:author="Autho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ins>
          </w:p>
        </w:tc>
      </w:tr>
      <w:tr w:rsidR="0062765D" w:rsidRPr="0062765D" w14:paraId="6B1C004B" w14:textId="77777777" w:rsidTr="00B9490A">
        <w:trPr>
          <w:trHeight w:val="300"/>
          <w:ins w:id="260" w:author="Author"/>
        </w:trPr>
        <w:tc>
          <w:tcPr>
            <w:tcW w:w="1225" w:type="dxa"/>
          </w:tcPr>
          <w:p w14:paraId="163A2836" w14:textId="77777777" w:rsidR="0062765D" w:rsidRPr="0062765D" w:rsidRDefault="0062765D" w:rsidP="0062765D">
            <w:pPr>
              <w:rPr>
                <w:ins w:id="261" w:author="Author"/>
                <w:rFonts w:ascii="Times New Roman" w:hAnsi="Times New Roman"/>
                <w:sz w:val="24"/>
                <w:lang w:eastAsia="nl-BE"/>
              </w:rPr>
            </w:pPr>
            <w:ins w:id="262" w:author="Author">
              <w:r w:rsidRPr="0062765D">
                <w:rPr>
                  <w:rFonts w:ascii="Times New Roman" w:hAnsi="Times New Roman"/>
                  <w:sz w:val="24"/>
                  <w:lang w:eastAsia="nl-BE"/>
                </w:rPr>
                <w:t>0030</w:t>
              </w:r>
            </w:ins>
          </w:p>
        </w:tc>
        <w:tc>
          <w:tcPr>
            <w:tcW w:w="7789" w:type="dxa"/>
          </w:tcPr>
          <w:p w14:paraId="5025702A" w14:textId="77777777" w:rsidR="0062765D" w:rsidRPr="0062765D" w:rsidRDefault="0062765D" w:rsidP="0062765D">
            <w:pPr>
              <w:jc w:val="left"/>
              <w:rPr>
                <w:ins w:id="263" w:author="Author"/>
                <w:rFonts w:ascii="Times New Roman" w:hAnsi="Times New Roman"/>
                <w:b/>
                <w:bCs/>
                <w:sz w:val="24"/>
                <w:u w:val="single"/>
              </w:rPr>
            </w:pPr>
            <w:ins w:id="264" w:author="Author">
              <w:r w:rsidRPr="0062765D">
                <w:rPr>
                  <w:rFonts w:ascii="Times New Roman" w:hAnsi="Times New Roman"/>
                  <w:b/>
                  <w:bCs/>
                  <w:sz w:val="24"/>
                  <w:u w:val="single"/>
                </w:rPr>
                <w:t xml:space="preserve"> (Adjustments due to disposal of entities or activities)</w:t>
              </w:r>
            </w:ins>
          </w:p>
          <w:p w14:paraId="474CDF36" w14:textId="77777777" w:rsidR="0062765D" w:rsidRPr="0062765D" w:rsidRDefault="0062765D" w:rsidP="0062765D">
            <w:pPr>
              <w:jc w:val="left"/>
              <w:rPr>
                <w:ins w:id="265" w:author="Author"/>
                <w:rFonts w:ascii="Times New Roman" w:hAnsi="Times New Roman"/>
                <w:b/>
                <w:bCs/>
                <w:sz w:val="24"/>
                <w:u w:val="single"/>
              </w:rPr>
            </w:pPr>
            <w:ins w:id="266" w:author="Autho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ins>
          </w:p>
        </w:tc>
      </w:tr>
      <w:tr w:rsidR="0062765D" w:rsidRPr="0062765D" w14:paraId="29E6E185" w14:textId="77777777" w:rsidTr="00B9490A">
        <w:trPr>
          <w:trHeight w:val="300"/>
          <w:ins w:id="267" w:author="Author"/>
        </w:trPr>
        <w:tc>
          <w:tcPr>
            <w:tcW w:w="1225" w:type="dxa"/>
          </w:tcPr>
          <w:p w14:paraId="2C4429BE" w14:textId="77777777" w:rsidR="0062765D" w:rsidRPr="0062765D" w:rsidRDefault="0062765D" w:rsidP="0062765D">
            <w:pPr>
              <w:rPr>
                <w:ins w:id="268" w:author="Author"/>
                <w:rFonts w:ascii="Times New Roman" w:hAnsi="Times New Roman"/>
                <w:sz w:val="24"/>
                <w:lang w:eastAsia="nl-BE"/>
              </w:rPr>
            </w:pPr>
            <w:ins w:id="269" w:author="Author">
              <w:r w:rsidRPr="0062765D">
                <w:rPr>
                  <w:rFonts w:ascii="Times New Roman" w:hAnsi="Times New Roman"/>
                  <w:sz w:val="24"/>
                  <w:lang w:eastAsia="nl-BE"/>
                </w:rPr>
                <w:t>0040</w:t>
              </w:r>
            </w:ins>
          </w:p>
        </w:tc>
        <w:tc>
          <w:tcPr>
            <w:tcW w:w="7789" w:type="dxa"/>
          </w:tcPr>
          <w:p w14:paraId="4E023876" w14:textId="77777777" w:rsidR="0062765D" w:rsidRPr="0062765D" w:rsidRDefault="0062765D" w:rsidP="0062765D">
            <w:pPr>
              <w:rPr>
                <w:ins w:id="270" w:author="Author"/>
                <w:rFonts w:ascii="Times New Roman" w:hAnsi="Times New Roman"/>
                <w:b/>
                <w:bCs/>
                <w:sz w:val="24"/>
                <w:u w:val="single"/>
              </w:rPr>
            </w:pPr>
            <w:ins w:id="271" w:author="Author">
              <w:r w:rsidRPr="0062765D">
                <w:rPr>
                  <w:rFonts w:ascii="Times New Roman" w:hAnsi="Times New Roman"/>
                  <w:b/>
                  <w:bCs/>
                  <w:sz w:val="24"/>
                  <w:u w:val="single"/>
                </w:rPr>
                <w:t xml:space="preserve">Own funds requirements </w:t>
              </w:r>
            </w:ins>
          </w:p>
          <w:p w14:paraId="035197F4" w14:textId="117EFD3B" w:rsidR="0062765D" w:rsidRDefault="0062765D" w:rsidP="0062765D">
            <w:pPr>
              <w:rPr>
                <w:ins w:id="272" w:author="Author"/>
                <w:rFonts w:ascii="Times New Roman" w:hAnsi="Times New Roman"/>
                <w:sz w:val="24"/>
              </w:rPr>
            </w:pPr>
            <w:ins w:id="273" w:author="Author">
              <w:r w:rsidRPr="0062765D">
                <w:rPr>
                  <w:rFonts w:ascii="Times New Roman" w:hAnsi="Times New Roman"/>
                  <w:sz w:val="24"/>
                </w:rPr>
                <w:t>The OFR shall be calculated in accordance with Article</w:t>
              </w:r>
              <w:r w:rsidR="001B4C43">
                <w:rPr>
                  <w:rFonts w:ascii="Times New Roman" w:hAnsi="Times New Roman"/>
                  <w:sz w:val="24"/>
                </w:rPr>
                <w:t>s</w:t>
              </w:r>
              <w:r w:rsidRPr="0062765D">
                <w:rPr>
                  <w:rFonts w:ascii="Times New Roman" w:hAnsi="Times New Roman"/>
                  <w:sz w:val="24"/>
                </w:rPr>
                <w:t xml:space="preserve"> 312</w:t>
              </w:r>
              <w:r w:rsidR="001B4C43">
                <w:rPr>
                  <w:rFonts w:ascii="Times New Roman" w:hAnsi="Times New Roman"/>
                  <w:sz w:val="24"/>
                </w:rPr>
                <w:t xml:space="preserve"> to </w:t>
              </w:r>
              <w:del w:id="274" w:author="Author">
                <w:r w:rsidRPr="0062765D" w:rsidDel="001B4C43">
                  <w:rPr>
                    <w:rFonts w:ascii="Times New Roman" w:hAnsi="Times New Roman"/>
                    <w:sz w:val="24"/>
                  </w:rPr>
                  <w:delText xml:space="preserve"> and Article</w:delText>
                </w:r>
              </w:del>
              <w:r w:rsidRPr="0062765D">
                <w:rPr>
                  <w:rFonts w:ascii="Times New Roman" w:hAnsi="Times New Roman"/>
                  <w:sz w:val="24"/>
                </w:rPr>
                <w:t xml:space="preserve"> 31</w:t>
              </w:r>
              <w:r w:rsidR="001B4C43">
                <w:rPr>
                  <w:rFonts w:ascii="Times New Roman" w:hAnsi="Times New Roman"/>
                  <w:sz w:val="24"/>
                </w:rPr>
                <w:t>4</w:t>
              </w:r>
              <w:del w:id="275" w:author="Author">
                <w:r w:rsidRPr="0062765D" w:rsidDel="001B4C43">
                  <w:rPr>
                    <w:rFonts w:ascii="Times New Roman" w:hAnsi="Times New Roman"/>
                    <w:sz w:val="24"/>
                  </w:rPr>
                  <w:delText>3</w:delText>
                </w:r>
              </w:del>
              <w:r w:rsidRPr="0062765D">
                <w:rPr>
                  <w:rFonts w:ascii="Times New Roman" w:hAnsi="Times New Roman"/>
                  <w:sz w:val="24"/>
                </w:rPr>
                <w:t xml:space="preserve"> of Regulation (EU) No 575/2013.</w:t>
              </w:r>
              <w:r w:rsidR="00AF4023">
                <w:rPr>
                  <w:rFonts w:ascii="Times New Roman" w:hAnsi="Times New Roman"/>
                  <w:sz w:val="24"/>
                </w:rPr>
                <w:t xml:space="preserve"> (the BIC)</w:t>
              </w:r>
            </w:ins>
          </w:p>
          <w:p w14:paraId="459E44D5" w14:textId="36477AA5" w:rsidR="00C44D1A" w:rsidRPr="00C44D1A" w:rsidRDefault="00C44D1A" w:rsidP="00C44D1A">
            <w:pPr>
              <w:rPr>
                <w:ins w:id="276" w:author="Author"/>
                <w:rFonts w:ascii="Times New Roman" w:hAnsi="Times New Roman"/>
                <w:sz w:val="24"/>
              </w:rPr>
            </w:pPr>
            <w:ins w:id="277" w:author="Author">
              <w:r w:rsidRPr="00C44D1A">
                <w:rPr>
                  <w:rFonts w:ascii="Times New Roman" w:hAnsi="Times New Roman"/>
                  <w:sz w:val="24"/>
                </w:rPr>
                <w:lastRenderedPageBreak/>
                <w:t xml:space="preserve">Where an institution is subject to the derogation referred to in Article 314(4) of Regulation (EU) No 575/2013, the institution shall </w:t>
              </w:r>
              <w:r>
                <w:rPr>
                  <w:rFonts w:ascii="Times New Roman" w:hAnsi="Times New Roman"/>
                  <w:sz w:val="24"/>
                </w:rPr>
                <w:t>add to the own funds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ins>
          </w:p>
          <w:p w14:paraId="463CE9EC" w14:textId="2BBB634A" w:rsidR="001D111F" w:rsidRPr="0062765D" w:rsidRDefault="001D111F" w:rsidP="0062765D">
            <w:pPr>
              <w:rPr>
                <w:ins w:id="278" w:author="Author"/>
                <w:rFonts w:ascii="Times New Roman" w:hAnsi="Times New Roman"/>
                <w:sz w:val="24"/>
              </w:rPr>
            </w:pPr>
          </w:p>
        </w:tc>
      </w:tr>
      <w:tr w:rsidR="0062765D" w:rsidRPr="0062765D" w14:paraId="11E50E11" w14:textId="77777777" w:rsidTr="00B9490A">
        <w:trPr>
          <w:trHeight w:val="300"/>
          <w:ins w:id="279" w:author="Author"/>
        </w:trPr>
        <w:tc>
          <w:tcPr>
            <w:tcW w:w="1225" w:type="dxa"/>
          </w:tcPr>
          <w:p w14:paraId="19667C8B" w14:textId="77777777" w:rsidR="0062765D" w:rsidRPr="0062765D" w:rsidRDefault="0062765D" w:rsidP="0062765D">
            <w:pPr>
              <w:rPr>
                <w:ins w:id="280" w:author="Author"/>
                <w:rFonts w:ascii="Times New Roman" w:hAnsi="Times New Roman"/>
                <w:sz w:val="24"/>
                <w:lang w:eastAsia="nl-BE"/>
              </w:rPr>
            </w:pPr>
            <w:ins w:id="281" w:author="Author">
              <w:r w:rsidRPr="0062765D">
                <w:rPr>
                  <w:rFonts w:ascii="Times New Roman" w:hAnsi="Times New Roman"/>
                  <w:sz w:val="24"/>
                  <w:lang w:eastAsia="nl-BE"/>
                </w:rPr>
                <w:lastRenderedPageBreak/>
                <w:t>0050</w:t>
              </w:r>
            </w:ins>
          </w:p>
        </w:tc>
        <w:tc>
          <w:tcPr>
            <w:tcW w:w="7789" w:type="dxa"/>
          </w:tcPr>
          <w:p w14:paraId="0BC49014" w14:textId="77777777" w:rsidR="0062765D" w:rsidRPr="0062765D" w:rsidRDefault="0062765D" w:rsidP="0062765D">
            <w:pPr>
              <w:rPr>
                <w:ins w:id="282" w:author="Author"/>
                <w:rFonts w:ascii="Times New Roman" w:hAnsi="Times New Roman"/>
                <w:b/>
                <w:bCs/>
                <w:sz w:val="24"/>
                <w:u w:val="single"/>
              </w:rPr>
            </w:pPr>
            <w:ins w:id="283" w:author="Author">
              <w:r w:rsidRPr="0062765D">
                <w:rPr>
                  <w:rFonts w:ascii="Times New Roman" w:hAnsi="Times New Roman"/>
                  <w:b/>
                  <w:bCs/>
                  <w:sz w:val="24"/>
                  <w:u w:val="single"/>
                </w:rPr>
                <w:t>Risk exposure amount</w:t>
              </w:r>
            </w:ins>
          </w:p>
          <w:p w14:paraId="0ED80FDB" w14:textId="77777777" w:rsidR="0062765D" w:rsidRPr="0062765D" w:rsidRDefault="0062765D" w:rsidP="0062765D">
            <w:pPr>
              <w:rPr>
                <w:ins w:id="284" w:author="Author"/>
                <w:rFonts w:ascii="Times New Roman" w:hAnsi="Times New Roman"/>
                <w:bCs/>
                <w:sz w:val="24"/>
              </w:rPr>
            </w:pPr>
            <w:ins w:id="285" w:author="Author">
              <w:r w:rsidRPr="0062765D">
                <w:rPr>
                  <w:rFonts w:ascii="Times New Roman" w:hAnsi="Times New Roman"/>
                  <w:sz w:val="24"/>
                </w:rPr>
                <w:t>The risk exposure amount (REA) shall be calculated in accordance with Article 92 of Regulation (EU) No 575/2013.</w:t>
              </w:r>
            </w:ins>
          </w:p>
        </w:tc>
      </w:tr>
    </w:tbl>
    <w:p w14:paraId="1B595CEC" w14:textId="77777777" w:rsidR="0062765D" w:rsidRPr="0062765D" w:rsidRDefault="0062765D" w:rsidP="0062765D">
      <w:pPr>
        <w:spacing w:before="0" w:after="240"/>
        <w:rPr>
          <w:ins w:id="286" w:author="Author"/>
          <w:rFonts w:ascii="Times New Roman" w:hAnsi="Times New Roman"/>
          <w:sz w:val="24"/>
          <w:lang w:eastAsia="de-DE"/>
        </w:rPr>
      </w:pPr>
    </w:p>
    <w:p w14:paraId="4E4E8CCB" w14:textId="77777777" w:rsidR="0062765D" w:rsidRPr="0062765D" w:rsidRDefault="0062765D" w:rsidP="0062765D">
      <w:pPr>
        <w:spacing w:before="0" w:after="240"/>
        <w:rPr>
          <w:ins w:id="287" w:author="Author"/>
          <w:rFonts w:ascii="Times New Roman" w:hAnsi="Times New Roman"/>
          <w:sz w:val="24"/>
          <w:lang w:eastAsia="de-DE"/>
        </w:rPr>
      </w:pPr>
      <w:ins w:id="288" w:author="Author">
        <w:r w:rsidRPr="0062765D">
          <w:rPr>
            <w:rFonts w:ascii="Times New Roman" w:hAnsi="Times New Roman"/>
            <w:sz w:val="24"/>
            <w:lang w:eastAsia="de-DE"/>
          </w:rPr>
          <w:t>Instructions by row:</w:t>
        </w:r>
      </w:ins>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ins w:id="289" w:author="Author"/>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ins w:id="290" w:author="Author"/>
                <w:rFonts w:ascii="Times New Roman" w:hAnsi="Times New Roman"/>
                <w:b/>
                <w:bCs/>
                <w:sz w:val="24"/>
                <w:lang w:eastAsia="nl-BE"/>
              </w:rPr>
            </w:pPr>
            <w:ins w:id="291" w:author="Author">
              <w:r w:rsidRPr="0062765D">
                <w:rPr>
                  <w:rFonts w:ascii="Times New Roman" w:hAnsi="Times New Roman"/>
                  <w:b/>
                  <w:bCs/>
                  <w:sz w:val="24"/>
                  <w:lang w:eastAsia="nl-BE"/>
                </w:rPr>
                <w:t>Rows</w:t>
              </w:r>
            </w:ins>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ins w:id="292" w:author="Author"/>
                <w:rFonts w:ascii="Times New Roman" w:hAnsi="Times New Roman"/>
                <w:sz w:val="24"/>
                <w:lang w:eastAsia="nl-BE"/>
              </w:rPr>
            </w:pPr>
            <w:ins w:id="293" w:author="Author">
              <w:r w:rsidRPr="0062765D">
                <w:rPr>
                  <w:rFonts w:ascii="Times New Roman" w:hAnsi="Times New Roman"/>
                  <w:b/>
                  <w:bCs/>
                  <w:sz w:val="24"/>
                  <w:u w:val="single"/>
                </w:rPr>
                <w:t>Legal references and instructions</w:t>
              </w:r>
            </w:ins>
          </w:p>
        </w:tc>
      </w:tr>
      <w:tr w:rsidR="001E3A3B" w:rsidRPr="0062765D" w14:paraId="14B5E521" w14:textId="77777777" w:rsidTr="00F26CC7">
        <w:trPr>
          <w:trHeight w:val="1210"/>
          <w:ins w:id="294" w:author="Author"/>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ins w:id="295" w:author="Author"/>
                <w:rFonts w:ascii="Times New Roman" w:hAnsi="Times New Roman"/>
                <w:sz w:val="24"/>
              </w:rPr>
            </w:pPr>
            <w:ins w:id="296" w:author="Author">
              <w:r>
                <w:rPr>
                  <w:rFonts w:ascii="Times New Roman" w:hAnsi="Times New Roman"/>
                  <w:sz w:val="24"/>
                </w:rPr>
                <w:t xml:space="preserve">0010 </w:t>
              </w:r>
            </w:ins>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ins w:id="297" w:author="Author"/>
                <w:rFonts w:ascii="Times New Roman" w:hAnsi="Times New Roman"/>
                <w:b/>
                <w:bCs/>
                <w:sz w:val="24"/>
                <w:u w:val="single"/>
              </w:rPr>
            </w:pPr>
            <w:ins w:id="298" w:author="Author">
              <w:r w:rsidRPr="00137C27">
                <w:rPr>
                  <w:rFonts w:ascii="Times New Roman" w:hAnsi="Times New Roman"/>
                  <w:b/>
                  <w:bCs/>
                  <w:sz w:val="24"/>
                  <w:u w:val="single"/>
                </w:rPr>
                <w:t>Business indicator component and ASA</w:t>
              </w:r>
            </w:ins>
          </w:p>
          <w:p w14:paraId="66A9A1ED" w14:textId="0DE5504B" w:rsidR="00137C27" w:rsidRPr="0062765D" w:rsidRDefault="00E0541A" w:rsidP="0062765D">
            <w:pPr>
              <w:jc w:val="left"/>
              <w:rPr>
                <w:ins w:id="299" w:author="Author"/>
                <w:rFonts w:ascii="Times New Roman" w:hAnsi="Times New Roman"/>
                <w:b/>
                <w:bCs/>
                <w:sz w:val="24"/>
                <w:u w:val="single"/>
              </w:rPr>
            </w:pPr>
            <w:ins w:id="300" w:author="Author">
              <w:r w:rsidRPr="00E92741">
                <w:rPr>
                  <w:rFonts w:ascii="Times New Roman" w:hAnsi="Times New Roman"/>
                  <w:sz w:val="24"/>
                </w:rPr>
                <w:t>Article 31</w:t>
              </w:r>
              <w:r>
                <w:rPr>
                  <w:rFonts w:ascii="Times New Roman" w:hAnsi="Times New Roman"/>
                  <w:sz w:val="24"/>
                </w:rPr>
                <w:t>3</w:t>
              </w:r>
              <w:del w:id="301" w:author="Author">
                <w:r w:rsidRPr="00E92741" w:rsidDel="00F60EF2">
                  <w:rPr>
                    <w:rFonts w:ascii="Times New Roman" w:hAnsi="Times New Roman"/>
                    <w:sz w:val="24"/>
                  </w:rPr>
                  <w:delText>2</w:delText>
                </w:r>
              </w:del>
              <w:r w:rsidRPr="00E92741">
                <w:rPr>
                  <w:rFonts w:ascii="Times New Roman" w:hAnsi="Times New Roman"/>
                  <w:sz w:val="24"/>
                </w:rPr>
                <w:t xml:space="preserve"> and Article 314(4) of Regulation (EU) No 575/</w:t>
              </w:r>
              <w:r>
                <w:rPr>
                  <w:rFonts w:ascii="Times New Roman" w:hAnsi="Times New Roman"/>
                  <w:sz w:val="24"/>
                </w:rPr>
                <w:t>2013.</w:t>
              </w:r>
            </w:ins>
          </w:p>
        </w:tc>
      </w:tr>
      <w:tr w:rsidR="0062765D" w:rsidRPr="0062765D" w14:paraId="3CC09CD7" w14:textId="77777777" w:rsidTr="00F26CC7">
        <w:trPr>
          <w:trHeight w:val="1210"/>
          <w:ins w:id="302" w:author="Author"/>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ins w:id="303" w:author="Author"/>
                <w:rFonts w:ascii="Times New Roman" w:hAnsi="Times New Roman"/>
                <w:sz w:val="24"/>
              </w:rPr>
            </w:pPr>
            <w:ins w:id="304" w:author="Author">
              <w:r w:rsidRPr="0062765D">
                <w:rPr>
                  <w:rFonts w:ascii="Times New Roman" w:hAnsi="Times New Roman"/>
                  <w:sz w:val="24"/>
                </w:rPr>
                <w:t>0020</w:t>
              </w:r>
            </w:ins>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ins w:id="305" w:author="Author"/>
                <w:rFonts w:ascii="Times New Roman" w:hAnsi="Times New Roman"/>
                <w:b/>
                <w:bCs/>
                <w:sz w:val="24"/>
                <w:u w:val="single"/>
              </w:rPr>
            </w:pPr>
            <w:ins w:id="306" w:author="Author">
              <w:r w:rsidRPr="0062765D">
                <w:rPr>
                  <w:rFonts w:ascii="Times New Roman" w:hAnsi="Times New Roman"/>
                  <w:b/>
                  <w:bCs/>
                  <w:sz w:val="24"/>
                  <w:u w:val="single"/>
                </w:rPr>
                <w:t>Business indicator</w:t>
              </w:r>
            </w:ins>
          </w:p>
          <w:p w14:paraId="75392277" w14:textId="77777777" w:rsidR="00A12BD5" w:rsidRDefault="0062765D" w:rsidP="0062765D">
            <w:pPr>
              <w:jc w:val="left"/>
              <w:rPr>
                <w:ins w:id="307" w:author="Author"/>
                <w:rFonts w:ascii="Times New Roman" w:hAnsi="Times New Roman"/>
                <w:sz w:val="24"/>
              </w:rPr>
            </w:pPr>
            <w:ins w:id="308" w:author="Autho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ins>
          </w:p>
          <w:p w14:paraId="55A108AA" w14:textId="4A73CF97" w:rsidR="00A55F29" w:rsidRPr="00A55F29" w:rsidRDefault="00A55F29" w:rsidP="00A55F29">
            <w:pPr>
              <w:jc w:val="left"/>
              <w:rPr>
                <w:ins w:id="309" w:author="Author"/>
                <w:rFonts w:ascii="Times New Roman" w:hAnsi="Times New Roman"/>
                <w:sz w:val="24"/>
              </w:rPr>
            </w:pPr>
            <w:ins w:id="310" w:author="Author">
              <w:r w:rsidRPr="00A55F29">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Pr>
                  <w:rFonts w:ascii="Times New Roman" w:hAnsi="Times New Roman"/>
                  <w:sz w:val="24"/>
                </w:rPr>
                <w:t xml:space="preserve"> in scope of the derogation</w:t>
              </w:r>
              <w:r w:rsidRPr="00A55F29">
                <w:rPr>
                  <w:rFonts w:ascii="Times New Roman" w:hAnsi="Times New Roman"/>
                  <w:sz w:val="24"/>
                </w:rPr>
                <w:t xml:space="preserve">.  </w:t>
              </w:r>
            </w:ins>
          </w:p>
          <w:p w14:paraId="2D2342A6" w14:textId="12FFF9D6" w:rsidR="00A55F29" w:rsidRPr="0062765D" w:rsidRDefault="00A55F29" w:rsidP="0062765D">
            <w:pPr>
              <w:jc w:val="left"/>
              <w:rPr>
                <w:ins w:id="311" w:author="Author"/>
                <w:rFonts w:ascii="Times New Roman" w:hAnsi="Times New Roman"/>
                <w:sz w:val="24"/>
              </w:rPr>
            </w:pPr>
          </w:p>
        </w:tc>
      </w:tr>
      <w:tr w:rsidR="0062765D" w:rsidRPr="0062765D" w14:paraId="43DCA039" w14:textId="77777777" w:rsidTr="00F26CC7">
        <w:trPr>
          <w:trHeight w:val="504"/>
          <w:ins w:id="312"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ins w:id="313" w:author="Author"/>
                <w:rFonts w:ascii="Times New Roman" w:hAnsi="Times New Roman"/>
                <w:sz w:val="24"/>
              </w:rPr>
            </w:pPr>
            <w:ins w:id="314" w:author="Author">
              <w:r w:rsidRPr="0062765D">
                <w:rPr>
                  <w:rFonts w:ascii="Times New Roman" w:hAnsi="Times New Roman"/>
                  <w:sz w:val="24"/>
                </w:rPr>
                <w:t>0030</w:t>
              </w:r>
            </w:ins>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ins w:id="315" w:author="Author"/>
                <w:rFonts w:ascii="Times New Roman" w:hAnsi="Times New Roman"/>
                <w:b/>
                <w:bCs/>
                <w:sz w:val="24"/>
                <w:u w:val="single"/>
              </w:rPr>
            </w:pPr>
            <w:ins w:id="316" w:author="Author">
              <w:r w:rsidRPr="0062765D">
                <w:rPr>
                  <w:rFonts w:ascii="Times New Roman" w:hAnsi="Times New Roman"/>
                  <w:b/>
                  <w:bCs/>
                  <w:sz w:val="24"/>
                  <w:u w:val="single"/>
                </w:rPr>
                <w:t>Interest, leases and dividend component</w:t>
              </w:r>
            </w:ins>
          </w:p>
          <w:p w14:paraId="47773943" w14:textId="2CF555A2" w:rsidR="0062765D" w:rsidRPr="0062765D" w:rsidRDefault="0062765D" w:rsidP="0062765D">
            <w:pPr>
              <w:jc w:val="left"/>
              <w:rPr>
                <w:ins w:id="317" w:author="Author"/>
                <w:rFonts w:ascii="Times New Roman" w:hAnsi="Times New Roman"/>
                <w:b/>
                <w:bCs/>
                <w:sz w:val="24"/>
                <w:u w:val="single"/>
              </w:rPr>
            </w:pPr>
            <w:ins w:id="318" w:author="Autho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ins>
          </w:p>
        </w:tc>
      </w:tr>
      <w:tr w:rsidR="0062765D" w:rsidRPr="0062765D" w14:paraId="77939D32" w14:textId="77777777" w:rsidTr="00F26CC7">
        <w:trPr>
          <w:trHeight w:val="504"/>
          <w:ins w:id="319"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ins w:id="320" w:author="Author"/>
                <w:rFonts w:ascii="Times New Roman" w:hAnsi="Times New Roman"/>
                <w:sz w:val="24"/>
              </w:rPr>
            </w:pPr>
            <w:ins w:id="321" w:author="Author">
              <w:r w:rsidRPr="0062765D">
                <w:rPr>
                  <w:rFonts w:ascii="Times New Roman" w:hAnsi="Times New Roman"/>
                  <w:sz w:val="24"/>
                </w:rPr>
                <w:t>0040</w:t>
              </w:r>
            </w:ins>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ins w:id="322" w:author="Author"/>
                <w:rFonts w:ascii="Times New Roman" w:hAnsi="Times New Roman"/>
                <w:b/>
                <w:bCs/>
                <w:sz w:val="24"/>
                <w:u w:val="single"/>
              </w:rPr>
            </w:pPr>
            <w:ins w:id="323" w:author="Author">
              <w:r w:rsidRPr="0062765D">
                <w:rPr>
                  <w:rFonts w:ascii="Times New Roman" w:hAnsi="Times New Roman"/>
                  <w:b/>
                  <w:bCs/>
                  <w:sz w:val="24"/>
                  <w:u w:val="single"/>
                </w:rPr>
                <w:t>ILDC related to the individual institution / consolidated Group (excluding entities considered by Article 314(</w:t>
              </w:r>
              <w:r w:rsidR="428A35F1" w:rsidRPr="12C2E25E">
                <w:rPr>
                  <w:rFonts w:ascii="Times New Roman" w:hAnsi="Times New Roman"/>
                  <w:b/>
                  <w:bCs/>
                  <w:sz w:val="24"/>
                  <w:u w:val="single"/>
                </w:rPr>
                <w:t>3</w:t>
              </w:r>
            </w:ins>
            <w:r w:rsidR="00757765">
              <w:rPr>
                <w:rFonts w:ascii="Times New Roman" w:hAnsi="Times New Roman"/>
                <w:b/>
                <w:bCs/>
                <w:sz w:val="24"/>
                <w:u w:val="single"/>
              </w:rPr>
              <w:t>)</w:t>
            </w:r>
          </w:p>
          <w:p w14:paraId="20179C90" w14:textId="77777777" w:rsidR="0062765D" w:rsidRPr="0062765D" w:rsidRDefault="0062765D" w:rsidP="0062765D">
            <w:pPr>
              <w:jc w:val="left"/>
              <w:rPr>
                <w:ins w:id="324" w:author="Author"/>
                <w:rFonts w:ascii="Times New Roman" w:hAnsi="Times New Roman"/>
                <w:color w:val="000000" w:themeColor="text1"/>
                <w:sz w:val="24"/>
                <w:lang w:val="en-US"/>
              </w:rPr>
            </w:pPr>
            <w:ins w:id="325" w:author="Autho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ins>
          </w:p>
          <w:p w14:paraId="44DE0AF1" w14:textId="683B00BD" w:rsidR="0062765D" w:rsidRPr="0062765D" w:rsidRDefault="0062765D" w:rsidP="0062765D">
            <w:pPr>
              <w:jc w:val="left"/>
              <w:rPr>
                <w:ins w:id="326" w:author="Author"/>
                <w:rFonts w:ascii="Times New Roman" w:hAnsi="Times New Roman"/>
                <w:color w:val="000000" w:themeColor="text1"/>
                <w:sz w:val="24"/>
              </w:rPr>
            </w:pPr>
            <w:ins w:id="327" w:author="Author">
              <w:r w:rsidRPr="22327785">
                <w:rPr>
                  <w:rFonts w:ascii="Times New Roman" w:hAnsi="Times New Roman"/>
                  <w:color w:val="000000" w:themeColor="text1"/>
                  <w:sz w:val="24"/>
                </w:rPr>
                <w:t>In case of consolidated reporting, where an institution is subject to the derogation referred to in Article 314(</w:t>
              </w:r>
              <w:r w:rsidR="31BE6697" w:rsidRPr="22327785">
                <w:rPr>
                  <w:rFonts w:ascii="Times New Roman" w:hAnsi="Times New Roman"/>
                  <w:color w:val="000000" w:themeColor="text1"/>
                  <w:sz w:val="24"/>
                </w:rPr>
                <w:t>3</w:t>
              </w:r>
              <w:r w:rsidRPr="22327785">
                <w:rPr>
                  <w:rFonts w:ascii="Times New Roman" w:hAnsi="Times New Roman"/>
                  <w:color w:val="000000" w:themeColor="text1"/>
                  <w:sz w:val="24"/>
                </w:rPr>
                <w:t xml:space="preserve">) of Regulation (EU) No 575/2013, the institution shall not include any figures that are part of the computation of the ILDC calculated separately for those specific subsidiary institutions. Intercompany balances between the subsidiaries considered by the article and the rest of the group shall be eliminated.  </w:t>
              </w:r>
            </w:ins>
          </w:p>
          <w:p w14:paraId="15569619" w14:textId="0D6BDA72" w:rsidR="0062765D" w:rsidRPr="0062765D" w:rsidRDefault="0062765D" w:rsidP="0062765D">
            <w:pPr>
              <w:jc w:val="left"/>
              <w:rPr>
                <w:ins w:id="328" w:author="Author"/>
                <w:rFonts w:ascii="Times New Roman" w:hAnsi="Times New Roman"/>
                <w:color w:val="000000" w:themeColor="text1"/>
                <w:sz w:val="24"/>
              </w:rPr>
            </w:pPr>
            <w:ins w:id="329" w:author="Author">
              <w:r w:rsidRPr="22327785">
                <w:rPr>
                  <w:rFonts w:ascii="Times New Roman" w:hAnsi="Times New Roman"/>
                  <w:color w:val="000000" w:themeColor="text1"/>
                  <w:sz w:val="24"/>
                </w:rPr>
                <w:lastRenderedPageBreak/>
                <w:t>Where an institution is subject to the derogation referred to in Article 314(</w:t>
              </w:r>
              <w:r w:rsidR="5DC7392C" w:rsidRPr="22327785">
                <w:rPr>
                  <w:rFonts w:ascii="Times New Roman" w:hAnsi="Times New Roman"/>
                  <w:color w:val="000000" w:themeColor="text1"/>
                  <w:sz w:val="24"/>
                </w:rPr>
                <w:t>4</w:t>
              </w:r>
              <w:r w:rsidRPr="22327785">
                <w:rPr>
                  <w:rFonts w:ascii="Times New Roman" w:hAnsi="Times New Roman"/>
                  <w:color w:val="000000" w:themeColor="text1"/>
                  <w:sz w:val="24"/>
                </w:rPr>
                <w:t>) of Regulation (EU) No 575/2013, the institution shall not include any figures from retail banking and/or commercial banking business lines</w:t>
              </w:r>
              <w:r w:rsidR="00F26CC7">
                <w:rPr>
                  <w:rFonts w:ascii="Times New Roman" w:hAnsi="Times New Roman"/>
                  <w:color w:val="000000" w:themeColor="text1"/>
                  <w:sz w:val="24"/>
                </w:rPr>
                <w:t xml:space="preserve"> in scope of the derogation</w:t>
              </w:r>
              <w:r w:rsidRPr="22327785">
                <w:rPr>
                  <w:rFonts w:ascii="Times New Roman" w:hAnsi="Times New Roman"/>
                  <w:color w:val="000000" w:themeColor="text1"/>
                  <w:sz w:val="24"/>
                </w:rPr>
                <w:t xml:space="preserve">.  </w:t>
              </w:r>
            </w:ins>
          </w:p>
          <w:p w14:paraId="35C8E8B1" w14:textId="398C1E78" w:rsidR="0062765D" w:rsidRPr="0062765D" w:rsidRDefault="0062765D" w:rsidP="0062765D">
            <w:pPr>
              <w:jc w:val="left"/>
              <w:rPr>
                <w:ins w:id="330" w:author="Author"/>
                <w:rFonts w:ascii="Times New Roman" w:hAnsi="Times New Roman"/>
                <w:color w:val="000000" w:themeColor="text1"/>
                <w:sz w:val="24"/>
                <w:lang w:val="en-US"/>
              </w:rPr>
            </w:pPr>
          </w:p>
        </w:tc>
      </w:tr>
      <w:tr w:rsidR="0062765D" w:rsidRPr="0062765D" w14:paraId="10F82FD5" w14:textId="77777777" w:rsidTr="00F26CC7">
        <w:trPr>
          <w:trHeight w:val="1635"/>
          <w:ins w:id="331"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ins w:id="332" w:author="Author"/>
                <w:rFonts w:ascii="Times New Roman" w:hAnsi="Times New Roman"/>
                <w:sz w:val="24"/>
              </w:rPr>
            </w:pPr>
            <w:ins w:id="333" w:author="Author">
              <w:r w:rsidRPr="0062765D">
                <w:rPr>
                  <w:rFonts w:ascii="Times New Roman" w:hAnsi="Times New Roman"/>
                  <w:sz w:val="24"/>
                </w:rPr>
                <w:lastRenderedPageBreak/>
                <w:t>0050</w:t>
              </w:r>
            </w:ins>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ins w:id="334" w:author="Author"/>
                <w:rFonts w:ascii="Times New Roman" w:hAnsi="Times New Roman"/>
                <w:b/>
                <w:bCs/>
                <w:sz w:val="24"/>
                <w:u w:val="single"/>
              </w:rPr>
            </w:pPr>
            <w:ins w:id="335" w:author="Autho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ins>
          </w:p>
          <w:p w14:paraId="574F1C29" w14:textId="67440620" w:rsidR="0062765D" w:rsidRPr="004A5A87" w:rsidRDefault="0062765D" w:rsidP="0062765D">
            <w:pPr>
              <w:jc w:val="left"/>
              <w:rPr>
                <w:ins w:id="336" w:author="Author"/>
                <w:rFonts w:ascii="Times New Roman" w:hAnsi="Times New Roman"/>
                <w:color w:val="000000" w:themeColor="text1"/>
                <w:sz w:val="24"/>
                <w:lang w:val="en-US"/>
              </w:rPr>
            </w:pPr>
            <w:ins w:id="337" w:author="Autho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w:t>
              </w:r>
            </w:ins>
            <w:del w:id="338" w:author="Author">
              <w:r w:rsidRPr="0062765D" w:rsidDel="00E434A1">
                <w:rPr>
                  <w:rFonts w:ascii="Times New Roman" w:hAnsi="Times New Roman"/>
                  <w:color w:val="000000" w:themeColor="text1"/>
                  <w:sz w:val="24"/>
                </w:rPr>
                <w:delText xml:space="preserve"> </w:delText>
              </w:r>
            </w:del>
            <w:ins w:id="339" w:author="Author">
              <w:r w:rsidRPr="0062765D">
                <w:rPr>
                  <w:rFonts w:ascii="Times New Roman" w:hAnsi="Times New Roman"/>
                  <w:color w:val="000000" w:themeColor="text1"/>
                  <w:sz w:val="24"/>
                </w:rPr>
                <w:t xml:space="preserve">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ins>
          </w:p>
        </w:tc>
      </w:tr>
      <w:tr w:rsidR="0062765D" w:rsidRPr="0062765D" w14:paraId="73ACC69C" w14:textId="77777777" w:rsidTr="00F26CC7">
        <w:trPr>
          <w:trHeight w:val="504"/>
          <w:ins w:id="340"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ins w:id="341" w:author="Author"/>
                <w:rFonts w:ascii="Times New Roman" w:hAnsi="Times New Roman"/>
                <w:sz w:val="24"/>
              </w:rPr>
            </w:pPr>
            <w:ins w:id="342" w:author="Autho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ins>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ins w:id="343" w:author="Author"/>
                <w:rFonts w:ascii="Times New Roman" w:hAnsi="Times New Roman"/>
                <w:b/>
                <w:bCs/>
                <w:sz w:val="24"/>
                <w:u w:val="single"/>
              </w:rPr>
            </w:pPr>
            <w:ins w:id="344" w:author="Author">
              <w:r w:rsidRPr="0062765D">
                <w:rPr>
                  <w:rFonts w:ascii="Times New Roman" w:hAnsi="Times New Roman"/>
                  <w:b/>
                  <w:bCs/>
                  <w:sz w:val="24"/>
                  <w:u w:val="single"/>
                </w:rPr>
                <w:t>Services component</w:t>
              </w:r>
            </w:ins>
          </w:p>
          <w:p w14:paraId="68E6D128" w14:textId="742461BD" w:rsidR="0062765D" w:rsidRDefault="0062765D" w:rsidP="0062765D">
            <w:pPr>
              <w:jc w:val="left"/>
              <w:rPr>
                <w:ins w:id="345" w:author="Author"/>
                <w:rFonts w:ascii="Times New Roman" w:hAnsi="Times New Roman"/>
                <w:color w:val="000000" w:themeColor="text1"/>
                <w:sz w:val="24"/>
              </w:rPr>
            </w:pPr>
            <w:ins w:id="346" w:author="Autho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ins>
          </w:p>
          <w:p w14:paraId="79F2D39A" w14:textId="2F1617D4" w:rsidR="0062765D" w:rsidRPr="004A5A87" w:rsidRDefault="00F26CC7" w:rsidP="0062765D">
            <w:pPr>
              <w:jc w:val="left"/>
              <w:rPr>
                <w:ins w:id="347" w:author="Author"/>
                <w:rFonts w:ascii="Times New Roman" w:hAnsi="Times New Roman"/>
                <w:color w:val="000000" w:themeColor="text1"/>
                <w:sz w:val="24"/>
              </w:rPr>
            </w:pPr>
            <w:ins w:id="348" w:author="Author">
              <w:r w:rsidRPr="00F26CC7">
                <w:rPr>
                  <w:rFonts w:ascii="Times New Roman" w:hAnsi="Times New Roman"/>
                  <w:color w:val="000000" w:themeColor="text1"/>
                  <w:sz w:val="24"/>
                </w:rPr>
                <w:t xml:space="preserve">Where an institution is subject to the derogation referred to in Article 314(4) of Regulation (EU) No 575/2013, the institution shall not include any figures from retail banking and/or commercial banking business lines in scope of the derogation.  </w:t>
              </w:r>
            </w:ins>
          </w:p>
        </w:tc>
      </w:tr>
      <w:tr w:rsidR="0062765D" w:rsidRPr="0062765D" w14:paraId="6FF92BD0" w14:textId="77777777" w:rsidTr="00F26CC7">
        <w:trPr>
          <w:trHeight w:val="504"/>
          <w:ins w:id="349"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ins w:id="350" w:author="Author"/>
                <w:rFonts w:ascii="Times New Roman" w:hAnsi="Times New Roman"/>
                <w:sz w:val="24"/>
              </w:rPr>
            </w:pPr>
            <w:ins w:id="351" w:author="Author">
              <w:r w:rsidRPr="0062765D">
                <w:rPr>
                  <w:rFonts w:ascii="Times New Roman" w:hAnsi="Times New Roman"/>
                  <w:sz w:val="24"/>
                </w:rPr>
                <w:t>00</w:t>
              </w:r>
              <w:r w:rsidR="00F86288">
                <w:rPr>
                  <w:rFonts w:ascii="Times New Roman" w:hAnsi="Times New Roman"/>
                  <w:sz w:val="24"/>
                </w:rPr>
                <w:t>7</w:t>
              </w:r>
              <w:r w:rsidRPr="0062765D">
                <w:rPr>
                  <w:rFonts w:ascii="Times New Roman" w:hAnsi="Times New Roman"/>
                  <w:sz w:val="24"/>
                </w:rPr>
                <w:t>0</w:t>
              </w:r>
            </w:ins>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ins w:id="352" w:author="Author"/>
                <w:rFonts w:ascii="Times New Roman" w:hAnsi="Times New Roman"/>
                <w:b/>
                <w:bCs/>
                <w:sz w:val="24"/>
                <w:u w:val="single"/>
              </w:rPr>
            </w:pPr>
            <w:ins w:id="353" w:author="Author">
              <w:r w:rsidRPr="0062765D">
                <w:rPr>
                  <w:rFonts w:ascii="Times New Roman" w:hAnsi="Times New Roman"/>
                  <w:b/>
                  <w:bCs/>
                  <w:sz w:val="24"/>
                  <w:u w:val="single"/>
                </w:rPr>
                <w:t xml:space="preserve">Financial component </w:t>
              </w:r>
            </w:ins>
          </w:p>
          <w:p w14:paraId="25D11A82" w14:textId="0487D2A6" w:rsidR="004A5A87" w:rsidRPr="00C2709D" w:rsidRDefault="004A5A87" w:rsidP="0062765D">
            <w:pPr>
              <w:jc w:val="left"/>
              <w:rPr>
                <w:ins w:id="354" w:author="Author"/>
                <w:rFonts w:ascii="Times New Roman" w:hAnsi="Times New Roman"/>
                <w:color w:val="000000" w:themeColor="text1"/>
                <w:sz w:val="24"/>
              </w:rPr>
            </w:pPr>
            <w:ins w:id="355" w:author="Autho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ins>
          </w:p>
          <w:p w14:paraId="7BCC8437" w14:textId="4EAEDFEB" w:rsidR="0062765D" w:rsidRPr="0062765D" w:rsidRDefault="00F26CC7" w:rsidP="0062765D">
            <w:pPr>
              <w:jc w:val="left"/>
              <w:rPr>
                <w:ins w:id="356" w:author="Author"/>
                <w:rFonts w:ascii="Times New Roman" w:hAnsi="Times New Roman"/>
                <w:color w:val="000000" w:themeColor="text1"/>
                <w:sz w:val="24"/>
                <w:lang w:val="en-US"/>
              </w:rPr>
            </w:pPr>
            <w:ins w:id="357" w:author="Autho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ins>
          </w:p>
        </w:tc>
      </w:tr>
      <w:tr w:rsidR="00F86288" w:rsidRPr="0062765D" w14:paraId="62850383" w14:textId="77777777" w:rsidTr="00F26CC7">
        <w:trPr>
          <w:trHeight w:val="504"/>
          <w:ins w:id="358"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ins w:id="359" w:author="Author"/>
                <w:rFonts w:ascii="Times New Roman" w:hAnsi="Times New Roman"/>
                <w:sz w:val="24"/>
              </w:rPr>
            </w:pPr>
            <w:ins w:id="360" w:author="Author">
              <w:r>
                <w:rPr>
                  <w:rFonts w:ascii="Times New Roman" w:hAnsi="Times New Roman"/>
                  <w:sz w:val="24"/>
                </w:rPr>
                <w:t>0080</w:t>
              </w:r>
            </w:ins>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ins w:id="361" w:author="Author"/>
                <w:rFonts w:ascii="Times New Roman" w:hAnsi="Times New Roman"/>
                <w:b/>
                <w:bCs/>
                <w:sz w:val="24"/>
                <w:u w:val="single"/>
              </w:rPr>
            </w:pPr>
            <w:ins w:id="362" w:author="Author">
              <w:r w:rsidRPr="00A8279E">
                <w:rPr>
                  <w:rFonts w:ascii="Times New Roman" w:hAnsi="Times New Roman"/>
                  <w:b/>
                  <w:bCs/>
                  <w:sz w:val="24"/>
                  <w:u w:val="single"/>
                </w:rPr>
                <w:t>ASA under Article 314(4) (Retail banking)</w:t>
              </w:r>
            </w:ins>
          </w:p>
          <w:p w14:paraId="35824B06" w14:textId="79A2A47B" w:rsidR="00452946" w:rsidRPr="00C2709D" w:rsidRDefault="00452946" w:rsidP="0062765D">
            <w:pPr>
              <w:jc w:val="left"/>
              <w:rPr>
                <w:ins w:id="363" w:author="Author"/>
                <w:rFonts w:ascii="Times New Roman" w:hAnsi="Times New Roman"/>
                <w:sz w:val="24"/>
                <w:u w:val="single"/>
              </w:rPr>
            </w:pPr>
            <w:ins w:id="364" w:author="Author">
              <w:r w:rsidRPr="00C2709D">
                <w:rPr>
                  <w:rFonts w:ascii="Times New Roman" w:hAnsi="Times New Roman"/>
                  <w:sz w:val="24"/>
                  <w:u w:val="single"/>
                </w:rPr>
                <w:t>Article 314(4) for retail banking business line</w:t>
              </w:r>
            </w:ins>
          </w:p>
        </w:tc>
      </w:tr>
      <w:tr w:rsidR="00F86288" w:rsidRPr="0062765D" w14:paraId="37626D9D" w14:textId="77777777" w:rsidTr="00C2709D">
        <w:trPr>
          <w:trHeight w:val="504"/>
          <w:ins w:id="365"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ins w:id="366" w:author="Author"/>
                <w:rFonts w:ascii="Times New Roman" w:hAnsi="Times New Roman"/>
                <w:sz w:val="24"/>
              </w:rPr>
            </w:pPr>
            <w:ins w:id="367" w:author="Author">
              <w:r>
                <w:rPr>
                  <w:rFonts w:ascii="Times New Roman" w:hAnsi="Times New Roman"/>
                  <w:sz w:val="24"/>
                </w:rPr>
                <w:t>0090</w:t>
              </w:r>
            </w:ins>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ins w:id="368" w:author="Author"/>
                <w:rFonts w:ascii="Times New Roman" w:hAnsi="Times New Roman"/>
                <w:b/>
                <w:bCs/>
                <w:sz w:val="24"/>
                <w:u w:val="single"/>
              </w:rPr>
            </w:pPr>
            <w:ins w:id="369" w:author="Author">
              <w:r w:rsidRPr="00452946">
                <w:rPr>
                  <w:rFonts w:ascii="Times New Roman" w:hAnsi="Times New Roman"/>
                  <w:b/>
                  <w:bCs/>
                  <w:sz w:val="24"/>
                  <w:u w:val="single"/>
                </w:rPr>
                <w:t>ASA under Article 314(4) (Commercial banking)</w:t>
              </w:r>
            </w:ins>
          </w:p>
          <w:p w14:paraId="03643C1A" w14:textId="1F6FF309" w:rsidR="00452946" w:rsidRPr="00C2709D" w:rsidRDefault="00452946" w:rsidP="0062765D">
            <w:pPr>
              <w:jc w:val="left"/>
              <w:rPr>
                <w:ins w:id="370" w:author="Author"/>
                <w:rFonts w:ascii="Times New Roman" w:hAnsi="Times New Roman"/>
                <w:sz w:val="24"/>
              </w:rPr>
            </w:pPr>
            <w:ins w:id="371" w:author="Author">
              <w:r w:rsidRPr="00C2709D">
                <w:rPr>
                  <w:rFonts w:ascii="Times New Roman" w:hAnsi="Times New Roman"/>
                  <w:sz w:val="24"/>
                </w:rPr>
                <w:t>Article 314(4) for commercial banking business line</w:t>
              </w:r>
            </w:ins>
          </w:p>
        </w:tc>
      </w:tr>
      <w:tr w:rsidR="0062765D" w:rsidRPr="0062765D" w14:paraId="54CEB826" w14:textId="77777777" w:rsidTr="00C2709D">
        <w:trPr>
          <w:trHeight w:val="504"/>
          <w:ins w:id="372" w:author="Author"/>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ins w:id="373" w:author="Author"/>
                <w:rFonts w:ascii="Times New Roman" w:hAnsi="Times New Roman"/>
                <w:sz w:val="24"/>
              </w:rPr>
            </w:pPr>
            <w:ins w:id="374" w:author="Author">
              <w:r w:rsidRPr="0062765D">
                <w:rPr>
                  <w:rFonts w:ascii="Times New Roman" w:hAnsi="Times New Roman"/>
                  <w:sz w:val="24"/>
                </w:rPr>
                <w:t>0100</w:t>
              </w:r>
            </w:ins>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ins w:id="375" w:author="Author"/>
                <w:rFonts w:ascii="Times New Roman" w:hAnsi="Times New Roman"/>
                <w:b/>
                <w:bCs/>
                <w:sz w:val="24"/>
                <w:u w:val="single"/>
              </w:rPr>
            </w:pPr>
            <w:ins w:id="376" w:author="Author">
              <w:r w:rsidRPr="0062765D">
                <w:rPr>
                  <w:rFonts w:ascii="Times New Roman" w:hAnsi="Times New Roman"/>
                  <w:b/>
                  <w:bCs/>
                  <w:sz w:val="24"/>
                  <w:u w:val="single"/>
                </w:rPr>
                <w:t>Memorandum Item: ILDC related to the individual institution /consolidated Group (including entities considered by Article 314(</w:t>
              </w:r>
              <w:r w:rsidR="2ABD104B" w:rsidRPr="12C2E25E">
                <w:rPr>
                  <w:rFonts w:ascii="Times New Roman" w:hAnsi="Times New Roman"/>
                  <w:b/>
                  <w:bCs/>
                  <w:sz w:val="24"/>
                  <w:u w:val="single"/>
                </w:rPr>
                <w:t>3</w:t>
              </w:r>
              <w:r w:rsidRPr="0062765D">
                <w:rPr>
                  <w:rFonts w:ascii="Times New Roman" w:hAnsi="Times New Roman"/>
                  <w:b/>
                  <w:bCs/>
                  <w:sz w:val="24"/>
                  <w:u w:val="single"/>
                </w:rPr>
                <w:t>)</w:t>
              </w:r>
            </w:ins>
            <w:r w:rsidR="00623144">
              <w:rPr>
                <w:rFonts w:ascii="Times New Roman" w:hAnsi="Times New Roman"/>
                <w:b/>
                <w:bCs/>
                <w:sz w:val="24"/>
                <w:u w:val="single"/>
              </w:rPr>
              <w:t>)</w:t>
            </w:r>
            <w:ins w:id="377" w:author="Author">
              <w:r w:rsidRPr="0062765D">
                <w:rPr>
                  <w:rFonts w:ascii="Times New Roman" w:hAnsi="Times New Roman"/>
                  <w:b/>
                  <w:bCs/>
                  <w:sz w:val="24"/>
                  <w:u w:val="single"/>
                </w:rPr>
                <w:t xml:space="preserve"> </w:t>
              </w:r>
            </w:ins>
          </w:p>
          <w:p w14:paraId="0A3600F0" w14:textId="676E665D" w:rsidR="00623144" w:rsidRPr="00623144" w:rsidRDefault="0062765D" w:rsidP="0062765D">
            <w:pPr>
              <w:jc w:val="left"/>
              <w:rPr>
                <w:ins w:id="378" w:author="Author"/>
                <w:rFonts w:ascii="Times New Roman" w:hAnsi="Times New Roman"/>
                <w:bCs/>
                <w:sz w:val="24"/>
              </w:rPr>
            </w:pPr>
            <w:ins w:id="379" w:author="Author">
              <w:r w:rsidRPr="0062765D">
                <w:rPr>
                  <w:rFonts w:ascii="Times New Roman" w:hAnsi="Times New Roman"/>
                  <w:sz w:val="24"/>
                </w:rPr>
                <w:t xml:space="preserve">Where an institution is subject to the derogation </w:t>
              </w:r>
              <w:proofErr w:type="spellStart"/>
              <w:r w:rsidRPr="0062765D">
                <w:rPr>
                  <w:rFonts w:ascii="Times New Roman" w:hAnsi="Times New Roman"/>
                  <w:sz w:val="24"/>
                  <w:lang w:val="en-US"/>
                </w:rPr>
                <w:t>refered</w:t>
              </w:r>
              <w:proofErr w:type="spellEnd"/>
              <w:r w:rsidRPr="0062765D">
                <w:rPr>
                  <w:rFonts w:ascii="Times New Roman" w:hAnsi="Times New Roman"/>
                  <w:sz w:val="24"/>
                  <w:lang w:val="en-US"/>
                </w:rPr>
                <w:t xml:space="preserve"> to in Article 314 paragraph </w:t>
              </w:r>
              <w:r w:rsidR="25428D19" w:rsidRPr="12C2E25E">
                <w:rPr>
                  <w:rFonts w:ascii="Times New Roman" w:hAnsi="Times New Roman"/>
                  <w:sz w:val="24"/>
                  <w:lang w:val="en-US"/>
                </w:rPr>
                <w:t>3</w:t>
              </w:r>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ins>
          </w:p>
        </w:tc>
      </w:tr>
      <w:tr w:rsidR="00502B1A" w:rsidRPr="0062765D" w14:paraId="5FE8A1DE" w14:textId="77777777" w:rsidTr="00C2709D">
        <w:trPr>
          <w:trHeight w:val="504"/>
          <w:ins w:id="380" w:author="Author"/>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ins w:id="381" w:author="Author"/>
                <w:rFonts w:ascii="Times New Roman" w:hAnsi="Times New Roman"/>
                <w:sz w:val="24"/>
              </w:rPr>
            </w:pPr>
            <w:ins w:id="382" w:author="Author">
              <w:r>
                <w:rPr>
                  <w:rFonts w:ascii="Times New Roman" w:hAnsi="Times New Roman"/>
                  <w:sz w:val="24"/>
                </w:rPr>
                <w:t>0110</w:t>
              </w:r>
            </w:ins>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ins w:id="383" w:author="Author"/>
                <w:rFonts w:ascii="Times New Roman" w:hAnsi="Times New Roman"/>
                <w:b/>
                <w:bCs/>
                <w:sz w:val="24"/>
                <w:u w:val="single"/>
              </w:rPr>
            </w:pPr>
            <w:ins w:id="384" w:author="Author">
              <w:r>
                <w:rPr>
                  <w:rFonts w:ascii="Times New Roman" w:hAnsi="Times New Roman"/>
                  <w:b/>
                  <w:bCs/>
                  <w:sz w:val="24"/>
                  <w:u w:val="single"/>
                </w:rPr>
                <w:t>Approach used for calculating FC</w:t>
              </w:r>
            </w:ins>
          </w:p>
          <w:p w14:paraId="446F68C8" w14:textId="24CA5412" w:rsidR="009A383C" w:rsidRDefault="0046793D" w:rsidP="009A383C">
            <w:pPr>
              <w:jc w:val="left"/>
              <w:rPr>
                <w:ins w:id="385" w:author="Author"/>
                <w:rFonts w:ascii="Times New Roman" w:hAnsi="Times New Roman"/>
                <w:color w:val="000000" w:themeColor="text1"/>
                <w:sz w:val="24"/>
              </w:rPr>
            </w:pPr>
            <w:ins w:id="386" w:author="Author">
              <w:r>
                <w:rPr>
                  <w:rFonts w:ascii="Times New Roman" w:hAnsi="Times New Roman"/>
                  <w:color w:val="000000" w:themeColor="text1"/>
                  <w:sz w:val="24"/>
                </w:rPr>
                <w:t xml:space="preserve">Institutions shall report which is the approach they have used (the accounting </w:t>
              </w:r>
            </w:ins>
            <w:r w:rsidR="008E3C30">
              <w:rPr>
                <w:rFonts w:ascii="Times New Roman" w:hAnsi="Times New Roman"/>
                <w:color w:val="000000" w:themeColor="text1"/>
                <w:sz w:val="24"/>
              </w:rPr>
              <w:t>approach</w:t>
            </w:r>
            <w:ins w:id="387" w:author="Author">
              <w:r>
                <w:rPr>
                  <w:rFonts w:ascii="Times New Roman" w:hAnsi="Times New Roman"/>
                  <w:color w:val="000000" w:themeColor="text1"/>
                  <w:sz w:val="24"/>
                </w:rPr>
                <w:t xml:space="preserve"> or the prudential </w:t>
              </w:r>
            </w:ins>
            <w:r w:rsidR="003A4E0E">
              <w:rPr>
                <w:rFonts w:ascii="Times New Roman" w:hAnsi="Times New Roman"/>
                <w:color w:val="000000" w:themeColor="text1"/>
                <w:sz w:val="24"/>
              </w:rPr>
              <w:t>boundary) for</w:t>
            </w:r>
            <w:ins w:id="388" w:author="Autho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del w:id="389" w:author="Author">
                <w:r w:rsidR="009A383C" w:rsidRPr="0062765D" w:rsidDel="0046793D">
                  <w:rPr>
                    <w:rFonts w:ascii="Times New Roman" w:hAnsi="Times New Roman"/>
                    <w:color w:val="000000" w:themeColor="text1"/>
                    <w:sz w:val="24"/>
                  </w:rPr>
                  <w:delText xml:space="preserve">. </w:delText>
                </w:r>
              </w:del>
            </w:ins>
          </w:p>
          <w:p w14:paraId="6D07D0F8" w14:textId="41B2F1DC" w:rsidR="009A383C" w:rsidRPr="0062765D" w:rsidRDefault="009A383C" w:rsidP="0062765D">
            <w:pPr>
              <w:jc w:val="left"/>
              <w:rPr>
                <w:ins w:id="390" w:author="Author"/>
                <w:rFonts w:ascii="Times New Roman" w:hAnsi="Times New Roman"/>
                <w:b/>
                <w:bCs/>
                <w:sz w:val="24"/>
                <w:u w:val="single"/>
              </w:rPr>
            </w:pPr>
          </w:p>
        </w:tc>
      </w:tr>
      <w:tr w:rsidR="00502B1A" w:rsidRPr="0062765D" w14:paraId="049EAB8B" w14:textId="77777777" w:rsidTr="00F26CC7">
        <w:trPr>
          <w:trHeight w:val="504"/>
          <w:ins w:id="391" w:author="Author"/>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ins w:id="392" w:author="Author"/>
                <w:rFonts w:ascii="Times New Roman" w:hAnsi="Times New Roman"/>
                <w:sz w:val="24"/>
              </w:rPr>
            </w:pPr>
            <w:ins w:id="393" w:author="Author">
              <w:r>
                <w:rPr>
                  <w:rFonts w:ascii="Times New Roman" w:hAnsi="Times New Roman"/>
                  <w:sz w:val="24"/>
                </w:rPr>
                <w:lastRenderedPageBreak/>
                <w:t>0120</w:t>
              </w:r>
            </w:ins>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ins w:id="394" w:author="Author"/>
                <w:rFonts w:ascii="Times New Roman" w:hAnsi="Times New Roman"/>
                <w:b/>
                <w:bCs/>
                <w:sz w:val="24"/>
                <w:u w:val="single"/>
              </w:rPr>
            </w:pPr>
            <w:ins w:id="395" w:author="Author">
              <w:r>
                <w:rPr>
                  <w:rFonts w:ascii="Times New Roman" w:hAnsi="Times New Roman"/>
                  <w:b/>
                  <w:bCs/>
                  <w:sz w:val="24"/>
                  <w:u w:val="single"/>
                </w:rPr>
                <w:t xml:space="preserve">Other operating expenses </w:t>
              </w:r>
            </w:ins>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 xml:space="preserve">Other </w:t>
            </w:r>
            <w:ins w:id="396" w:author="Author">
              <w:r w:rsidR="00C92CA2" w:rsidRPr="003A4E0E">
                <w:rPr>
                  <w:rFonts w:ascii="Times New Roman" w:hAnsi="Times New Roman"/>
                  <w:color w:val="000000" w:themeColor="text1"/>
                  <w:sz w:val="24"/>
                </w:rPr>
                <w:t xml:space="preserve">operating expenses in accordance with </w:t>
              </w:r>
              <w:r w:rsidR="00C92CA2" w:rsidRPr="0062765D">
                <w:rPr>
                  <w:rFonts w:ascii="Times New Roman" w:hAnsi="Times New Roman"/>
                  <w:color w:val="000000" w:themeColor="text1"/>
                  <w:sz w:val="24"/>
                </w:rPr>
                <w:t>Article 314(</w:t>
              </w:r>
              <w:r w:rsidR="00C92CA2" w:rsidRPr="12C2E25E">
                <w:rPr>
                  <w:rFonts w:ascii="Times New Roman" w:hAnsi="Times New Roman"/>
                  <w:color w:val="000000" w:themeColor="text1"/>
                  <w:sz w:val="24"/>
                </w:rPr>
                <w:t>5</w:t>
              </w:r>
              <w:r w:rsidR="00C92CA2" w:rsidRPr="0062765D">
                <w:rPr>
                  <w:rFonts w:ascii="Times New Roman" w:hAnsi="Times New Roman"/>
                  <w:color w:val="000000" w:themeColor="text1"/>
                  <w:sz w:val="24"/>
                </w:rPr>
                <w:t xml:space="preserve">) </w:t>
              </w:r>
              <w:r w:rsidR="00C92CA2" w:rsidRPr="003A4E0E">
                <w:rPr>
                  <w:rFonts w:ascii="Times New Roman" w:hAnsi="Times New Roman"/>
                  <w:color w:val="000000" w:themeColor="text1"/>
                  <w:sz w:val="24"/>
                </w:rPr>
                <w:t>of Regulation (EU) No 575/2013</w:t>
              </w:r>
              <w:r w:rsidR="00C92CA2">
                <w:rPr>
                  <w:rFonts w:ascii="Times New Roman" w:hAnsi="Times New Roman"/>
                  <w:color w:val="000000" w:themeColor="text1"/>
                  <w:sz w:val="24"/>
                </w:rPr>
                <w:t>.</w:t>
              </w:r>
            </w:ins>
          </w:p>
          <w:p w14:paraId="2B660A1C" w14:textId="344F4D8C" w:rsidR="000B40F9" w:rsidRPr="0062765D" w:rsidRDefault="000B40F9" w:rsidP="000B40F9">
            <w:pPr>
              <w:jc w:val="left"/>
              <w:rPr>
                <w:ins w:id="397" w:author="Autho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bookmarkStart w:id="398" w:name="_Toc473560939"/>
      <w:bookmarkStart w:id="399" w:name="_Toc473560940"/>
      <w:bookmarkStart w:id="400" w:name="_Toc473560941"/>
      <w:bookmarkStart w:id="401" w:name="_Toc473560942"/>
      <w:bookmarkStart w:id="402" w:name="_Toc473560943"/>
      <w:bookmarkStart w:id="403" w:name="_Toc473560944"/>
      <w:bookmarkStart w:id="404" w:name="_Toc473560945"/>
      <w:bookmarkStart w:id="405" w:name="_Toc473560946"/>
      <w:bookmarkStart w:id="406" w:name="_Toc473560947"/>
      <w:bookmarkStart w:id="407" w:name="_Toc473560948"/>
      <w:bookmarkStart w:id="408" w:name="_Toc473560949"/>
      <w:bookmarkStart w:id="409" w:name="_Toc473560950"/>
      <w:bookmarkStart w:id="410" w:name="_Toc473560951"/>
      <w:bookmarkStart w:id="411" w:name="_Toc473560952"/>
      <w:bookmarkStart w:id="412" w:name="_Toc473560953"/>
      <w:bookmarkStart w:id="413" w:name="_Toc473560954"/>
      <w:bookmarkStart w:id="414" w:name="_Toc473560955"/>
      <w:bookmarkStart w:id="415" w:name="_Toc473560956"/>
      <w:bookmarkStart w:id="416" w:name="_Toc473560957"/>
      <w:bookmarkStart w:id="417" w:name="_Toc473560958"/>
      <w:bookmarkStart w:id="418" w:name="_Toc473560959"/>
      <w:bookmarkStart w:id="419" w:name="_Toc473560960"/>
      <w:bookmarkStart w:id="420" w:name="_Toc473560961"/>
      <w:bookmarkStart w:id="421" w:name="_Toc473560962"/>
      <w:bookmarkStart w:id="422" w:name="_Toc473560963"/>
      <w:bookmarkStart w:id="423" w:name="_Toc473560964"/>
      <w:bookmarkStart w:id="424" w:name="_Toc473560965"/>
      <w:bookmarkStart w:id="425" w:name="_Toc473560966"/>
      <w:bookmarkStart w:id="426" w:name="_Toc473560967"/>
      <w:bookmarkStart w:id="427" w:name="_Toc473560968"/>
      <w:bookmarkStart w:id="428" w:name="_Toc473560969"/>
      <w:bookmarkStart w:id="429" w:name="_Toc473560970"/>
      <w:bookmarkStart w:id="430" w:name="_Toc473560989"/>
      <w:bookmarkStart w:id="431" w:name="_Toc473560990"/>
      <w:bookmarkStart w:id="432" w:name="_Toc473561022"/>
      <w:bookmarkStart w:id="433" w:name="_Toc473561023"/>
      <w:bookmarkStart w:id="434" w:name="_Toc15286271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433"/>
      <w:bookmarkEnd w:id="434"/>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435" w:name="_Toc473561024"/>
      <w:bookmarkStart w:id="436"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435"/>
      <w:bookmarkEnd w:id="436"/>
    </w:p>
    <w:p w14:paraId="4AD0CC5E" w14:textId="11470677" w:rsidR="002871CE" w:rsidRDefault="005C14B0" w:rsidP="00915A37">
      <w:pPr>
        <w:pStyle w:val="InstructionsText2"/>
        <w:numPr>
          <w:ilvl w:val="0"/>
          <w:numId w:val="133"/>
        </w:numPr>
        <w:rPr>
          <w:ins w:id="437" w:author="Author"/>
        </w:rPr>
      </w:pPr>
      <w:bookmarkStart w:id="438"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ins w:id="439" w:author="Autho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ins>
      <w:r w:rsidR="00FD54FC" w:rsidRPr="002A677E">
        <w:t xml:space="preserve">. Template C 17.02 (OPR DETAILS 2) provides detailed information on the largest loss events in the </w:t>
      </w:r>
      <w:r w:rsidR="001F6487" w:rsidRPr="002A677E">
        <w:t>most recent</w:t>
      </w:r>
      <w:r w:rsidR="00FD54FC" w:rsidRPr="002A677E">
        <w:t xml:space="preserve"> year. </w:t>
      </w:r>
      <w:ins w:id="440" w:author="Author">
        <w:r w:rsidR="00292CEA" w:rsidRPr="00292CEA">
          <w:t>Only events that result in a loss should be captured</w:t>
        </w:r>
        <w:r w:rsidR="002871CE">
          <w:t xml:space="preserve">. </w:t>
        </w:r>
      </w:ins>
    </w:p>
    <w:p w14:paraId="2FD685B4" w14:textId="42F38B19" w:rsidR="00C30107" w:rsidRDefault="00C30107" w:rsidP="00E434A1">
      <w:pPr>
        <w:pStyle w:val="InstructionsText2"/>
        <w:numPr>
          <w:ilvl w:val="0"/>
          <w:numId w:val="0"/>
        </w:numPr>
        <w:rPr>
          <w:ins w:id="441" w:author="Author"/>
        </w:rPr>
      </w:pPr>
      <w:ins w:id="442" w:author="Author">
        <w:r>
          <w:t>Table 1:  Event types for operational risk events</w:t>
        </w:r>
      </w:ins>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ins w:id="443" w:author="Author"/>
        </w:trPr>
        <w:tc>
          <w:tcPr>
            <w:tcW w:w="2686" w:type="dxa"/>
            <w:tcMar>
              <w:top w:w="30" w:type="dxa"/>
              <w:left w:w="30" w:type="dxa"/>
              <w:bottom w:w="30" w:type="dxa"/>
              <w:right w:w="30" w:type="dxa"/>
            </w:tcMar>
          </w:tcPr>
          <w:p w14:paraId="12D5C5B7" w14:textId="77777777" w:rsidR="00C30107" w:rsidRPr="001619AF" w:rsidRDefault="00C30107">
            <w:pPr>
              <w:spacing w:before="60" w:after="60"/>
              <w:rPr>
                <w:ins w:id="444" w:author="Author"/>
                <w:rFonts w:ascii="Times New Roman" w:hAnsi="Times New Roman"/>
                <w:b/>
                <w:bCs/>
                <w:sz w:val="24"/>
                <w:lang w:eastAsia="de-DE"/>
              </w:rPr>
            </w:pPr>
            <w:ins w:id="445" w:author="Author">
              <w:r w:rsidRPr="001619AF">
                <w:rPr>
                  <w:rFonts w:ascii="Times New Roman" w:hAnsi="Times New Roman"/>
                  <w:b/>
                  <w:bCs/>
                  <w:sz w:val="24"/>
                  <w:lang w:eastAsia="de-DE"/>
                </w:rPr>
                <w:t>Event-Type Category</w:t>
              </w:r>
            </w:ins>
          </w:p>
        </w:tc>
        <w:tc>
          <w:tcPr>
            <w:tcW w:w="6450" w:type="dxa"/>
            <w:tcMar>
              <w:top w:w="30" w:type="dxa"/>
              <w:left w:w="30" w:type="dxa"/>
              <w:bottom w:w="30" w:type="dxa"/>
              <w:right w:w="30" w:type="dxa"/>
            </w:tcMar>
          </w:tcPr>
          <w:p w14:paraId="2E0EB72D" w14:textId="77777777" w:rsidR="00C30107" w:rsidRPr="001619AF" w:rsidRDefault="00C30107">
            <w:pPr>
              <w:spacing w:before="60" w:after="60"/>
              <w:rPr>
                <w:ins w:id="446" w:author="Author"/>
                <w:rFonts w:ascii="Times New Roman" w:hAnsi="Times New Roman"/>
                <w:b/>
                <w:bCs/>
                <w:sz w:val="24"/>
                <w:lang w:eastAsia="de-DE"/>
              </w:rPr>
            </w:pPr>
            <w:ins w:id="447" w:author="Author">
              <w:r w:rsidRPr="001619AF">
                <w:rPr>
                  <w:rFonts w:ascii="Times New Roman" w:hAnsi="Times New Roman"/>
                  <w:b/>
                  <w:bCs/>
                  <w:sz w:val="24"/>
                  <w:lang w:eastAsia="de-DE"/>
                </w:rPr>
                <w:t>Definition</w:t>
              </w:r>
            </w:ins>
          </w:p>
        </w:tc>
      </w:tr>
      <w:tr w:rsidR="00C30107" w14:paraId="5ACB2D58" w14:textId="77777777" w:rsidTr="00E62FFE">
        <w:trPr>
          <w:trHeight w:val="300"/>
          <w:ins w:id="448" w:author="Author"/>
        </w:trPr>
        <w:tc>
          <w:tcPr>
            <w:tcW w:w="2686" w:type="dxa"/>
            <w:tcMar>
              <w:top w:w="30" w:type="dxa"/>
              <w:left w:w="30" w:type="dxa"/>
              <w:bottom w:w="30" w:type="dxa"/>
              <w:right w:w="30" w:type="dxa"/>
            </w:tcMar>
          </w:tcPr>
          <w:p w14:paraId="68A1B329" w14:textId="77777777" w:rsidR="00C30107" w:rsidRPr="001619AF" w:rsidRDefault="00C30107">
            <w:pPr>
              <w:spacing w:before="60" w:after="60"/>
              <w:rPr>
                <w:ins w:id="449" w:author="Author"/>
                <w:rFonts w:ascii="Times New Roman" w:hAnsi="Times New Roman"/>
                <w:sz w:val="24"/>
                <w:lang w:eastAsia="de-DE"/>
              </w:rPr>
            </w:pPr>
            <w:ins w:id="450" w:author="Author">
              <w:r w:rsidRPr="001619AF">
                <w:rPr>
                  <w:rFonts w:ascii="Times New Roman" w:hAnsi="Times New Roman"/>
                  <w:sz w:val="24"/>
                  <w:lang w:eastAsia="de-DE"/>
                </w:rPr>
                <w:t>Internal fraud</w:t>
              </w:r>
            </w:ins>
          </w:p>
        </w:tc>
        <w:tc>
          <w:tcPr>
            <w:tcW w:w="6450" w:type="dxa"/>
            <w:tcMar>
              <w:top w:w="30" w:type="dxa"/>
              <w:left w:w="30" w:type="dxa"/>
              <w:bottom w:w="30" w:type="dxa"/>
              <w:right w:w="30" w:type="dxa"/>
            </w:tcMar>
          </w:tcPr>
          <w:p w14:paraId="1E631938" w14:textId="77777777" w:rsidR="00C30107" w:rsidRPr="001619AF" w:rsidRDefault="00C30107">
            <w:pPr>
              <w:spacing w:before="60" w:after="60"/>
              <w:rPr>
                <w:ins w:id="451" w:author="Author"/>
                <w:rFonts w:ascii="Times New Roman" w:hAnsi="Times New Roman"/>
                <w:sz w:val="24"/>
                <w:lang w:eastAsia="de-DE"/>
              </w:rPr>
            </w:pPr>
            <w:ins w:id="452" w:author="Author">
              <w:r w:rsidRPr="001619AF">
                <w:rPr>
                  <w:rFonts w:ascii="Times New Roman" w:hAnsi="Times New Roman"/>
                  <w:sz w:val="24"/>
                  <w:lang w:eastAsia="de-DE"/>
                </w:rPr>
                <w:t>Losses due to acts of a type intended to defraud, misappropriate property or circumvent regulations, the law or company policy, excluding diversity/discrimination events, which involves at least one internal party</w:t>
              </w:r>
            </w:ins>
          </w:p>
        </w:tc>
      </w:tr>
      <w:tr w:rsidR="00C30107" w14:paraId="37555D1F" w14:textId="77777777" w:rsidTr="00E62FFE">
        <w:trPr>
          <w:trHeight w:val="300"/>
          <w:ins w:id="453" w:author="Author"/>
        </w:trPr>
        <w:tc>
          <w:tcPr>
            <w:tcW w:w="2686" w:type="dxa"/>
            <w:tcMar>
              <w:top w:w="30" w:type="dxa"/>
              <w:left w:w="30" w:type="dxa"/>
              <w:bottom w:w="30" w:type="dxa"/>
              <w:right w:w="30" w:type="dxa"/>
            </w:tcMar>
          </w:tcPr>
          <w:p w14:paraId="3F97650E" w14:textId="77777777" w:rsidR="00C30107" w:rsidRPr="001619AF" w:rsidRDefault="00C30107">
            <w:pPr>
              <w:spacing w:before="60" w:after="60"/>
              <w:rPr>
                <w:ins w:id="454" w:author="Author"/>
                <w:rFonts w:ascii="Times New Roman" w:hAnsi="Times New Roman"/>
                <w:sz w:val="24"/>
                <w:lang w:eastAsia="de-DE"/>
              </w:rPr>
            </w:pPr>
            <w:ins w:id="455" w:author="Author">
              <w:r w:rsidRPr="001619AF">
                <w:rPr>
                  <w:rFonts w:ascii="Times New Roman" w:hAnsi="Times New Roman"/>
                  <w:sz w:val="24"/>
                  <w:lang w:eastAsia="de-DE"/>
                </w:rPr>
                <w:t>External fraud</w:t>
              </w:r>
            </w:ins>
          </w:p>
        </w:tc>
        <w:tc>
          <w:tcPr>
            <w:tcW w:w="6450" w:type="dxa"/>
            <w:tcMar>
              <w:top w:w="30" w:type="dxa"/>
              <w:left w:w="30" w:type="dxa"/>
              <w:bottom w:w="30" w:type="dxa"/>
              <w:right w:w="30" w:type="dxa"/>
            </w:tcMar>
          </w:tcPr>
          <w:p w14:paraId="2E0CACFE" w14:textId="77777777" w:rsidR="00C30107" w:rsidRPr="001619AF" w:rsidRDefault="00C30107">
            <w:pPr>
              <w:spacing w:before="60" w:after="60"/>
              <w:rPr>
                <w:ins w:id="456" w:author="Author"/>
                <w:rFonts w:ascii="Times New Roman" w:hAnsi="Times New Roman"/>
                <w:sz w:val="24"/>
                <w:lang w:eastAsia="de-DE"/>
              </w:rPr>
            </w:pPr>
            <w:ins w:id="457" w:author="Author">
              <w:r w:rsidRPr="001619AF">
                <w:rPr>
                  <w:rFonts w:ascii="Times New Roman" w:hAnsi="Times New Roman"/>
                  <w:sz w:val="24"/>
                  <w:lang w:eastAsia="de-DE"/>
                </w:rPr>
                <w:t>Losses due to acts of a type intended to defraud, misappropriate property or circumvent the law, by a third party</w:t>
              </w:r>
            </w:ins>
          </w:p>
        </w:tc>
      </w:tr>
      <w:tr w:rsidR="00C30107" w14:paraId="1CC049D6" w14:textId="77777777" w:rsidTr="00E62FFE">
        <w:trPr>
          <w:trHeight w:val="300"/>
          <w:ins w:id="458" w:author="Author"/>
        </w:trPr>
        <w:tc>
          <w:tcPr>
            <w:tcW w:w="2686" w:type="dxa"/>
            <w:tcMar>
              <w:top w:w="30" w:type="dxa"/>
              <w:left w:w="30" w:type="dxa"/>
              <w:bottom w:w="30" w:type="dxa"/>
              <w:right w:w="30" w:type="dxa"/>
            </w:tcMar>
          </w:tcPr>
          <w:p w14:paraId="60E247B9" w14:textId="77777777" w:rsidR="00C30107" w:rsidRPr="001619AF" w:rsidRDefault="00C30107">
            <w:pPr>
              <w:spacing w:before="60" w:after="60"/>
              <w:rPr>
                <w:ins w:id="459" w:author="Author"/>
                <w:rFonts w:ascii="Times New Roman" w:hAnsi="Times New Roman"/>
                <w:sz w:val="24"/>
                <w:lang w:eastAsia="de-DE"/>
              </w:rPr>
            </w:pPr>
            <w:ins w:id="460" w:author="Author">
              <w:r w:rsidRPr="001619AF">
                <w:rPr>
                  <w:rFonts w:ascii="Times New Roman" w:hAnsi="Times New Roman"/>
                  <w:sz w:val="24"/>
                  <w:lang w:eastAsia="de-DE"/>
                </w:rPr>
                <w:t>Employment Practices and Workplace Safety</w:t>
              </w:r>
            </w:ins>
          </w:p>
        </w:tc>
        <w:tc>
          <w:tcPr>
            <w:tcW w:w="6450" w:type="dxa"/>
            <w:tcMar>
              <w:top w:w="30" w:type="dxa"/>
              <w:left w:w="30" w:type="dxa"/>
              <w:bottom w:w="30" w:type="dxa"/>
              <w:right w:w="30" w:type="dxa"/>
            </w:tcMar>
          </w:tcPr>
          <w:p w14:paraId="63E67FC3" w14:textId="77777777" w:rsidR="00C30107" w:rsidRPr="001619AF" w:rsidRDefault="00C30107">
            <w:pPr>
              <w:spacing w:before="60" w:after="60"/>
              <w:rPr>
                <w:ins w:id="461" w:author="Author"/>
                <w:rFonts w:ascii="Times New Roman" w:hAnsi="Times New Roman"/>
                <w:sz w:val="24"/>
                <w:lang w:eastAsia="de-DE"/>
              </w:rPr>
            </w:pPr>
            <w:ins w:id="462" w:author="Autho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ins>
          </w:p>
        </w:tc>
      </w:tr>
      <w:tr w:rsidR="00C30107" w14:paraId="6D787E8A" w14:textId="77777777" w:rsidTr="00E62FFE">
        <w:trPr>
          <w:trHeight w:val="300"/>
          <w:ins w:id="463" w:author="Author"/>
        </w:trPr>
        <w:tc>
          <w:tcPr>
            <w:tcW w:w="2686" w:type="dxa"/>
            <w:tcMar>
              <w:top w:w="30" w:type="dxa"/>
              <w:left w:w="30" w:type="dxa"/>
              <w:bottom w:w="30" w:type="dxa"/>
              <w:right w:w="30" w:type="dxa"/>
            </w:tcMar>
          </w:tcPr>
          <w:p w14:paraId="17DD6319" w14:textId="77777777" w:rsidR="00C30107" w:rsidRPr="001619AF" w:rsidRDefault="00C30107">
            <w:pPr>
              <w:spacing w:before="60" w:after="60"/>
              <w:rPr>
                <w:ins w:id="464" w:author="Author"/>
                <w:rFonts w:ascii="Times New Roman" w:hAnsi="Times New Roman"/>
                <w:sz w:val="24"/>
                <w:lang w:eastAsia="de-DE"/>
              </w:rPr>
            </w:pPr>
            <w:ins w:id="465" w:author="Author">
              <w:r w:rsidRPr="001619AF">
                <w:rPr>
                  <w:rFonts w:ascii="Times New Roman" w:hAnsi="Times New Roman"/>
                  <w:sz w:val="24"/>
                  <w:lang w:eastAsia="de-DE"/>
                </w:rPr>
                <w:t>Clients, Products &amp; Business Practices</w:t>
              </w:r>
            </w:ins>
          </w:p>
        </w:tc>
        <w:tc>
          <w:tcPr>
            <w:tcW w:w="6450" w:type="dxa"/>
            <w:tcMar>
              <w:top w:w="30" w:type="dxa"/>
              <w:left w:w="30" w:type="dxa"/>
              <w:bottom w:w="30" w:type="dxa"/>
              <w:right w:w="30" w:type="dxa"/>
            </w:tcMar>
          </w:tcPr>
          <w:p w14:paraId="232F6D15" w14:textId="77777777" w:rsidR="00C30107" w:rsidRPr="001619AF" w:rsidRDefault="00C30107">
            <w:pPr>
              <w:spacing w:before="60" w:after="60"/>
              <w:rPr>
                <w:ins w:id="466" w:author="Author"/>
                <w:rFonts w:ascii="Times New Roman" w:hAnsi="Times New Roman"/>
                <w:sz w:val="24"/>
                <w:lang w:eastAsia="de-DE"/>
              </w:rPr>
            </w:pPr>
            <w:ins w:id="467" w:author="Autho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ins>
          </w:p>
        </w:tc>
      </w:tr>
      <w:tr w:rsidR="00C30107" w14:paraId="06698FCA" w14:textId="77777777" w:rsidTr="00E62FFE">
        <w:trPr>
          <w:trHeight w:val="300"/>
          <w:ins w:id="468" w:author="Author"/>
        </w:trPr>
        <w:tc>
          <w:tcPr>
            <w:tcW w:w="2686" w:type="dxa"/>
            <w:tcMar>
              <w:top w:w="30" w:type="dxa"/>
              <w:left w:w="30" w:type="dxa"/>
              <w:bottom w:w="30" w:type="dxa"/>
              <w:right w:w="30" w:type="dxa"/>
            </w:tcMar>
          </w:tcPr>
          <w:p w14:paraId="429B7203" w14:textId="77777777" w:rsidR="00C30107" w:rsidRPr="001619AF" w:rsidRDefault="00C30107">
            <w:pPr>
              <w:spacing w:before="60" w:after="60"/>
              <w:rPr>
                <w:ins w:id="469" w:author="Author"/>
                <w:rFonts w:ascii="Times New Roman" w:hAnsi="Times New Roman"/>
                <w:sz w:val="24"/>
                <w:lang w:eastAsia="de-DE"/>
              </w:rPr>
            </w:pPr>
            <w:ins w:id="470" w:author="Author">
              <w:r w:rsidRPr="001619AF">
                <w:rPr>
                  <w:rFonts w:ascii="Times New Roman" w:hAnsi="Times New Roman"/>
                  <w:sz w:val="24"/>
                  <w:lang w:eastAsia="de-DE"/>
                </w:rPr>
                <w:t>Damage to Physical Assets</w:t>
              </w:r>
            </w:ins>
          </w:p>
        </w:tc>
        <w:tc>
          <w:tcPr>
            <w:tcW w:w="6450" w:type="dxa"/>
            <w:tcMar>
              <w:top w:w="30" w:type="dxa"/>
              <w:left w:w="30" w:type="dxa"/>
              <w:bottom w:w="30" w:type="dxa"/>
              <w:right w:w="30" w:type="dxa"/>
            </w:tcMar>
          </w:tcPr>
          <w:p w14:paraId="6071BCEC" w14:textId="77777777" w:rsidR="00C30107" w:rsidRPr="001619AF" w:rsidRDefault="00C30107">
            <w:pPr>
              <w:spacing w:before="60" w:after="60"/>
              <w:rPr>
                <w:ins w:id="471" w:author="Author"/>
                <w:rFonts w:ascii="Times New Roman" w:hAnsi="Times New Roman"/>
                <w:sz w:val="24"/>
                <w:lang w:eastAsia="de-DE"/>
              </w:rPr>
            </w:pPr>
            <w:ins w:id="472" w:author="Author">
              <w:r w:rsidRPr="001619AF">
                <w:rPr>
                  <w:rFonts w:ascii="Times New Roman" w:hAnsi="Times New Roman"/>
                  <w:sz w:val="24"/>
                  <w:lang w:eastAsia="de-DE"/>
                </w:rPr>
                <w:t>Losses arising from loss or damage to physical assets from natural disaster or other events</w:t>
              </w:r>
            </w:ins>
          </w:p>
        </w:tc>
      </w:tr>
      <w:tr w:rsidR="00C30107" w14:paraId="54C7B685" w14:textId="77777777" w:rsidTr="00E62FFE">
        <w:trPr>
          <w:trHeight w:val="300"/>
          <w:ins w:id="473" w:author="Author"/>
        </w:trPr>
        <w:tc>
          <w:tcPr>
            <w:tcW w:w="2686" w:type="dxa"/>
            <w:tcMar>
              <w:top w:w="30" w:type="dxa"/>
              <w:left w:w="30" w:type="dxa"/>
              <w:bottom w:w="30" w:type="dxa"/>
              <w:right w:w="30" w:type="dxa"/>
            </w:tcMar>
          </w:tcPr>
          <w:p w14:paraId="1ABDFAFF" w14:textId="77777777" w:rsidR="00C30107" w:rsidRPr="001619AF" w:rsidRDefault="00C30107">
            <w:pPr>
              <w:spacing w:before="60" w:after="60"/>
              <w:rPr>
                <w:ins w:id="474" w:author="Author"/>
                <w:rFonts w:ascii="Times New Roman" w:hAnsi="Times New Roman"/>
                <w:sz w:val="24"/>
                <w:lang w:eastAsia="de-DE"/>
              </w:rPr>
            </w:pPr>
            <w:ins w:id="475" w:author="Author">
              <w:r w:rsidRPr="001619AF">
                <w:rPr>
                  <w:rFonts w:ascii="Times New Roman" w:hAnsi="Times New Roman"/>
                  <w:sz w:val="24"/>
                  <w:lang w:eastAsia="de-DE"/>
                </w:rPr>
                <w:t>Business disruption and system failures</w:t>
              </w:r>
            </w:ins>
          </w:p>
        </w:tc>
        <w:tc>
          <w:tcPr>
            <w:tcW w:w="6450" w:type="dxa"/>
            <w:tcMar>
              <w:top w:w="30" w:type="dxa"/>
              <w:left w:w="30" w:type="dxa"/>
              <w:bottom w:w="30" w:type="dxa"/>
              <w:right w:w="30" w:type="dxa"/>
            </w:tcMar>
          </w:tcPr>
          <w:p w14:paraId="0552CE79" w14:textId="77777777" w:rsidR="00C30107" w:rsidRPr="001619AF" w:rsidRDefault="00C30107">
            <w:pPr>
              <w:spacing w:before="60" w:after="60"/>
              <w:rPr>
                <w:ins w:id="476" w:author="Author"/>
                <w:rFonts w:ascii="Times New Roman" w:hAnsi="Times New Roman"/>
                <w:sz w:val="24"/>
                <w:lang w:eastAsia="de-DE"/>
              </w:rPr>
            </w:pPr>
            <w:ins w:id="477" w:author="Author">
              <w:r w:rsidRPr="001619AF">
                <w:rPr>
                  <w:rFonts w:ascii="Times New Roman" w:hAnsi="Times New Roman"/>
                  <w:sz w:val="24"/>
                  <w:lang w:eastAsia="de-DE"/>
                </w:rPr>
                <w:t>Losses arising from disruption of business or system failures</w:t>
              </w:r>
            </w:ins>
          </w:p>
        </w:tc>
      </w:tr>
      <w:tr w:rsidR="00C30107" w14:paraId="649DAAC7" w14:textId="77777777" w:rsidTr="00E62FFE">
        <w:trPr>
          <w:trHeight w:val="300"/>
          <w:ins w:id="478" w:author="Author"/>
        </w:trPr>
        <w:tc>
          <w:tcPr>
            <w:tcW w:w="2686" w:type="dxa"/>
            <w:tcMar>
              <w:top w:w="30" w:type="dxa"/>
              <w:left w:w="30" w:type="dxa"/>
              <w:bottom w:w="30" w:type="dxa"/>
              <w:right w:w="30" w:type="dxa"/>
            </w:tcMar>
          </w:tcPr>
          <w:p w14:paraId="0CB1FFDC" w14:textId="77777777" w:rsidR="00C30107" w:rsidRPr="001619AF" w:rsidRDefault="00C30107">
            <w:pPr>
              <w:spacing w:before="60" w:after="60"/>
              <w:rPr>
                <w:ins w:id="479" w:author="Author"/>
                <w:rFonts w:ascii="Times New Roman" w:hAnsi="Times New Roman"/>
                <w:sz w:val="24"/>
                <w:lang w:eastAsia="de-DE"/>
              </w:rPr>
            </w:pPr>
            <w:ins w:id="480" w:author="Author">
              <w:r w:rsidRPr="001619AF">
                <w:rPr>
                  <w:rFonts w:ascii="Times New Roman" w:hAnsi="Times New Roman"/>
                  <w:sz w:val="24"/>
                  <w:lang w:eastAsia="de-DE"/>
                </w:rPr>
                <w:t>Execution, Delivery &amp; Process Management</w:t>
              </w:r>
            </w:ins>
          </w:p>
        </w:tc>
        <w:tc>
          <w:tcPr>
            <w:tcW w:w="6450" w:type="dxa"/>
            <w:tcMar>
              <w:top w:w="30" w:type="dxa"/>
              <w:left w:w="30" w:type="dxa"/>
              <w:bottom w:w="30" w:type="dxa"/>
              <w:right w:w="30" w:type="dxa"/>
            </w:tcMar>
          </w:tcPr>
          <w:p w14:paraId="23B151D9" w14:textId="77777777" w:rsidR="00C30107" w:rsidRPr="001619AF" w:rsidRDefault="00C30107">
            <w:pPr>
              <w:spacing w:before="60" w:after="60"/>
              <w:rPr>
                <w:ins w:id="481" w:author="Author"/>
                <w:rFonts w:ascii="Times New Roman" w:hAnsi="Times New Roman"/>
                <w:sz w:val="24"/>
                <w:lang w:eastAsia="de-DE"/>
              </w:rPr>
            </w:pPr>
            <w:ins w:id="482" w:author="Author">
              <w:r w:rsidRPr="001619AF">
                <w:rPr>
                  <w:rFonts w:ascii="Times New Roman" w:hAnsi="Times New Roman"/>
                  <w:sz w:val="24"/>
                  <w:lang w:eastAsia="de-DE"/>
                </w:rPr>
                <w:t>Losses from failed transaction processing or process management, from relations with trade counterparties and vendors</w:t>
              </w:r>
            </w:ins>
          </w:p>
        </w:tc>
      </w:tr>
    </w:tbl>
    <w:p w14:paraId="18C5F03D" w14:textId="77777777" w:rsidR="00C30107" w:rsidRDefault="00C30107" w:rsidP="00E434A1">
      <w:pPr>
        <w:pStyle w:val="InstructionsText2"/>
        <w:numPr>
          <w:ilvl w:val="0"/>
          <w:numId w:val="0"/>
        </w:numPr>
        <w:rPr>
          <w:ins w:id="483" w:author="Author"/>
        </w:rPr>
      </w:pPr>
    </w:p>
    <w:p w14:paraId="38E4F126" w14:textId="7EF0B194" w:rsidR="00C30107" w:rsidRDefault="00C30107" w:rsidP="00E434A1">
      <w:pPr>
        <w:pStyle w:val="InstructionsText2"/>
        <w:numPr>
          <w:ilvl w:val="0"/>
          <w:numId w:val="0"/>
        </w:numPr>
        <w:rPr>
          <w:ins w:id="484" w:author="Author"/>
        </w:rPr>
      </w:pPr>
      <w:ins w:id="485" w:author="Author">
        <w:r>
          <w:t xml:space="preserve">Table 2:  </w:t>
        </w:r>
        <w:r w:rsidR="00105D77">
          <w:t xml:space="preserve">Business lines </w:t>
        </w:r>
      </w:ins>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ins w:id="486"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ins w:id="487" w:author="Author"/>
                <w:rFonts w:ascii="Times New Roman" w:hAnsi="Times New Roman"/>
                <w:b/>
                <w:bCs/>
                <w:sz w:val="24"/>
              </w:rPr>
            </w:pPr>
            <w:ins w:id="488" w:author="Author">
              <w:r w:rsidRPr="288775FB">
                <w:rPr>
                  <w:rFonts w:ascii="Times New Roman" w:hAnsi="Times New Roman"/>
                  <w:b/>
                  <w:bCs/>
                  <w:sz w:val="24"/>
                </w:rPr>
                <w:lastRenderedPageBreak/>
                <w:t>Business line</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ins w:id="489" w:author="Author"/>
                <w:rFonts w:ascii="Times New Roman" w:hAnsi="Times New Roman"/>
                <w:b/>
                <w:bCs/>
                <w:sz w:val="24"/>
              </w:rPr>
            </w:pPr>
            <w:ins w:id="490" w:author="Author">
              <w:r w:rsidRPr="288775FB">
                <w:rPr>
                  <w:rFonts w:ascii="Times New Roman" w:hAnsi="Times New Roman"/>
                  <w:b/>
                  <w:bCs/>
                  <w:sz w:val="24"/>
                </w:rPr>
                <w:t>List of activities</w:t>
              </w:r>
            </w:ins>
          </w:p>
        </w:tc>
      </w:tr>
      <w:tr w:rsidR="00105D77" w14:paraId="13EBFD82" w14:textId="77777777" w:rsidTr="00E62FFE">
        <w:trPr>
          <w:trHeight w:val="3211"/>
          <w:ins w:id="491"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ins w:id="492" w:author="Author"/>
                <w:rFonts w:ascii="Times New Roman" w:hAnsi="Times New Roman"/>
                <w:sz w:val="24"/>
              </w:rPr>
            </w:pPr>
            <w:ins w:id="493" w:author="Author">
              <w:r w:rsidRPr="288775FB">
                <w:rPr>
                  <w:rFonts w:ascii="Times New Roman" w:hAnsi="Times New Roman"/>
                  <w:sz w:val="24"/>
                </w:rPr>
                <w:t>Corporate finance</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ins w:id="494" w:author="Author"/>
                <w:rFonts w:ascii="Times New Roman" w:hAnsi="Times New Roman"/>
                <w:sz w:val="24"/>
              </w:rPr>
            </w:pPr>
            <w:ins w:id="495" w:author="Author">
              <w:r w:rsidRPr="288775FB">
                <w:rPr>
                  <w:rFonts w:ascii="Times New Roman" w:hAnsi="Times New Roman"/>
                  <w:sz w:val="24"/>
                </w:rPr>
                <w:t>Underwriting of financial instruments or placing of financial instruments on a firm commitment basis</w:t>
              </w:r>
            </w:ins>
          </w:p>
          <w:p w14:paraId="2E81165F" w14:textId="77777777" w:rsidR="00105D77" w:rsidRDefault="00105D77">
            <w:pPr>
              <w:spacing w:before="60" w:after="60"/>
              <w:rPr>
                <w:ins w:id="496" w:author="Author"/>
                <w:rFonts w:ascii="Times New Roman" w:hAnsi="Times New Roman"/>
                <w:sz w:val="24"/>
              </w:rPr>
            </w:pPr>
            <w:ins w:id="497" w:author="Author">
              <w:r w:rsidRPr="288775FB">
                <w:rPr>
                  <w:rFonts w:ascii="Times New Roman" w:hAnsi="Times New Roman"/>
                  <w:sz w:val="24"/>
                </w:rPr>
                <w:t>Services related to underwriting</w:t>
              </w:r>
            </w:ins>
          </w:p>
          <w:p w14:paraId="294412EE" w14:textId="77777777" w:rsidR="00105D77" w:rsidRDefault="00105D77">
            <w:pPr>
              <w:spacing w:before="60" w:after="60"/>
              <w:rPr>
                <w:ins w:id="498" w:author="Author"/>
                <w:rFonts w:ascii="Times New Roman" w:hAnsi="Times New Roman"/>
                <w:sz w:val="24"/>
              </w:rPr>
            </w:pPr>
            <w:ins w:id="499" w:author="Author">
              <w:r w:rsidRPr="288775FB">
                <w:rPr>
                  <w:rFonts w:ascii="Times New Roman" w:hAnsi="Times New Roman"/>
                  <w:sz w:val="24"/>
                </w:rPr>
                <w:t>Investment advice</w:t>
              </w:r>
            </w:ins>
          </w:p>
          <w:p w14:paraId="3396F4D3" w14:textId="77777777" w:rsidR="00105D77" w:rsidRDefault="00105D77">
            <w:pPr>
              <w:spacing w:before="60" w:after="60"/>
              <w:rPr>
                <w:ins w:id="500" w:author="Author"/>
                <w:rFonts w:ascii="Times New Roman" w:hAnsi="Times New Roman"/>
                <w:sz w:val="24"/>
              </w:rPr>
            </w:pPr>
            <w:ins w:id="501" w:author="Author">
              <w:r w:rsidRPr="288775FB">
                <w:rPr>
                  <w:rFonts w:ascii="Times New Roman" w:hAnsi="Times New Roman"/>
                  <w:sz w:val="24"/>
                </w:rPr>
                <w:t>Advice to undertakings on capital structure, industrial strategy and related matters and advice and services relating to the mergers and the purchase of undertakings</w:t>
              </w:r>
            </w:ins>
          </w:p>
          <w:p w14:paraId="413B1D9E" w14:textId="77777777" w:rsidR="00105D77" w:rsidRDefault="00105D77">
            <w:pPr>
              <w:spacing w:before="60" w:after="60"/>
              <w:rPr>
                <w:ins w:id="502" w:author="Author"/>
                <w:rFonts w:ascii="Times New Roman" w:hAnsi="Times New Roman"/>
                <w:sz w:val="24"/>
              </w:rPr>
            </w:pPr>
            <w:ins w:id="503" w:author="Author">
              <w:r w:rsidRPr="288775FB">
                <w:rPr>
                  <w:rFonts w:ascii="Times New Roman" w:hAnsi="Times New Roman"/>
                  <w:sz w:val="24"/>
                </w:rPr>
                <w:t>Investment research and financial analysis and other forms of general recommendation relating to transactions in financial instruments</w:t>
              </w:r>
            </w:ins>
          </w:p>
        </w:tc>
      </w:tr>
      <w:tr w:rsidR="00105D77" w14:paraId="60B3E933" w14:textId="77777777" w:rsidTr="00E62FFE">
        <w:trPr>
          <w:trHeight w:val="2472"/>
          <w:ins w:id="504"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ins w:id="505" w:author="Author"/>
                <w:rFonts w:ascii="Times New Roman" w:hAnsi="Times New Roman"/>
                <w:sz w:val="24"/>
              </w:rPr>
            </w:pPr>
            <w:ins w:id="506" w:author="Author">
              <w:r w:rsidRPr="288775FB">
                <w:rPr>
                  <w:rFonts w:ascii="Times New Roman" w:hAnsi="Times New Roman"/>
                  <w:sz w:val="24"/>
                </w:rPr>
                <w:t>Trading and sales</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ins w:id="507" w:author="Author"/>
                <w:rFonts w:ascii="Times New Roman" w:hAnsi="Times New Roman"/>
                <w:sz w:val="24"/>
              </w:rPr>
            </w:pPr>
            <w:ins w:id="508" w:author="Author">
              <w:r w:rsidRPr="288775FB">
                <w:rPr>
                  <w:rFonts w:ascii="Times New Roman" w:hAnsi="Times New Roman"/>
                  <w:sz w:val="24"/>
                </w:rPr>
                <w:t>Dealing on own account</w:t>
              </w:r>
            </w:ins>
          </w:p>
          <w:p w14:paraId="2C39E21A" w14:textId="77777777" w:rsidR="00105D77" w:rsidRDefault="00105D77">
            <w:pPr>
              <w:spacing w:before="60" w:after="60"/>
              <w:rPr>
                <w:ins w:id="509" w:author="Author"/>
                <w:rFonts w:ascii="Times New Roman" w:hAnsi="Times New Roman"/>
                <w:sz w:val="24"/>
              </w:rPr>
            </w:pPr>
            <w:ins w:id="510" w:author="Author">
              <w:r w:rsidRPr="288775FB">
                <w:rPr>
                  <w:rFonts w:ascii="Times New Roman" w:hAnsi="Times New Roman"/>
                  <w:sz w:val="24"/>
                </w:rPr>
                <w:t>Money broking</w:t>
              </w:r>
            </w:ins>
          </w:p>
          <w:p w14:paraId="43A3C940" w14:textId="77777777" w:rsidR="00105D77" w:rsidRDefault="00105D77">
            <w:pPr>
              <w:spacing w:before="60" w:after="60"/>
              <w:rPr>
                <w:ins w:id="511" w:author="Author"/>
                <w:rFonts w:ascii="Times New Roman" w:hAnsi="Times New Roman"/>
                <w:sz w:val="24"/>
              </w:rPr>
            </w:pPr>
            <w:ins w:id="512" w:author="Author">
              <w:r w:rsidRPr="288775FB">
                <w:rPr>
                  <w:rFonts w:ascii="Times New Roman" w:hAnsi="Times New Roman"/>
                  <w:sz w:val="24"/>
                </w:rPr>
                <w:t>Reception and transmission of orders in relation to one or more financial instruments</w:t>
              </w:r>
            </w:ins>
          </w:p>
          <w:p w14:paraId="7D6C72DD" w14:textId="77777777" w:rsidR="00105D77" w:rsidRDefault="00105D77">
            <w:pPr>
              <w:spacing w:before="60" w:after="60"/>
              <w:rPr>
                <w:ins w:id="513" w:author="Author"/>
                <w:rFonts w:ascii="Times New Roman" w:hAnsi="Times New Roman"/>
                <w:sz w:val="24"/>
              </w:rPr>
            </w:pPr>
            <w:ins w:id="514" w:author="Author">
              <w:r w:rsidRPr="288775FB">
                <w:rPr>
                  <w:rFonts w:ascii="Times New Roman" w:hAnsi="Times New Roman"/>
                  <w:sz w:val="24"/>
                </w:rPr>
                <w:t>Execution of orders on behalf of clients</w:t>
              </w:r>
            </w:ins>
          </w:p>
          <w:p w14:paraId="447F8797" w14:textId="77777777" w:rsidR="00105D77" w:rsidRDefault="00105D77">
            <w:pPr>
              <w:spacing w:before="60" w:after="60"/>
              <w:rPr>
                <w:ins w:id="515" w:author="Author"/>
                <w:rFonts w:ascii="Times New Roman" w:hAnsi="Times New Roman"/>
                <w:sz w:val="24"/>
              </w:rPr>
            </w:pPr>
            <w:ins w:id="516" w:author="Author">
              <w:r w:rsidRPr="288775FB">
                <w:rPr>
                  <w:rFonts w:ascii="Times New Roman" w:hAnsi="Times New Roman"/>
                  <w:sz w:val="24"/>
                </w:rPr>
                <w:t>Placing of financial instruments without a firm commitment basis</w:t>
              </w:r>
            </w:ins>
          </w:p>
          <w:p w14:paraId="6B8176B5" w14:textId="77777777" w:rsidR="00105D77" w:rsidRDefault="00105D77">
            <w:pPr>
              <w:spacing w:before="60" w:after="60"/>
              <w:rPr>
                <w:ins w:id="517" w:author="Author"/>
                <w:rFonts w:ascii="Times New Roman" w:hAnsi="Times New Roman"/>
                <w:sz w:val="24"/>
              </w:rPr>
            </w:pPr>
            <w:ins w:id="518" w:author="Author">
              <w:r w:rsidRPr="288775FB">
                <w:rPr>
                  <w:rFonts w:ascii="Times New Roman" w:hAnsi="Times New Roman"/>
                  <w:sz w:val="24"/>
                </w:rPr>
                <w:t>Operation of Multilateral Trading Facilities</w:t>
              </w:r>
            </w:ins>
          </w:p>
        </w:tc>
      </w:tr>
      <w:tr w:rsidR="00105D77" w14:paraId="71FDE058" w14:textId="77777777" w:rsidTr="00E62FFE">
        <w:trPr>
          <w:trHeight w:val="1695"/>
          <w:ins w:id="519"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ins w:id="520" w:author="Author"/>
                <w:rFonts w:ascii="Times New Roman" w:hAnsi="Times New Roman"/>
                <w:sz w:val="24"/>
              </w:rPr>
            </w:pPr>
            <w:ins w:id="521" w:author="Author">
              <w:r w:rsidRPr="288775FB">
                <w:rPr>
                  <w:rFonts w:ascii="Times New Roman" w:hAnsi="Times New Roman"/>
                  <w:sz w:val="24"/>
                </w:rPr>
                <w:t>Retail brokerage</w:t>
              </w:r>
            </w:ins>
          </w:p>
          <w:p w14:paraId="1644FF45" w14:textId="77777777" w:rsidR="00105D77" w:rsidRDefault="00105D77">
            <w:pPr>
              <w:spacing w:before="60" w:after="60"/>
              <w:rPr>
                <w:ins w:id="522" w:author="Author"/>
                <w:rFonts w:ascii="Times New Roman" w:hAnsi="Times New Roman"/>
                <w:sz w:val="24"/>
              </w:rPr>
            </w:pPr>
            <w:ins w:id="523" w:author="Author">
              <w:r w:rsidRPr="288775FB">
                <w:rPr>
                  <w:rFonts w:ascii="Times New Roman" w:hAnsi="Times New Roman"/>
                  <w:sz w:val="24"/>
                </w:rPr>
                <w:t>(Activities with natural persons or with SMEs meeting the criteria set out in Article 123 for the retail exposure class)</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ins w:id="524" w:author="Author"/>
                <w:rFonts w:ascii="Times New Roman" w:hAnsi="Times New Roman"/>
                <w:sz w:val="24"/>
              </w:rPr>
            </w:pPr>
            <w:ins w:id="525" w:author="Author">
              <w:r w:rsidRPr="288775FB">
                <w:rPr>
                  <w:rFonts w:ascii="Times New Roman" w:hAnsi="Times New Roman"/>
                  <w:sz w:val="24"/>
                </w:rPr>
                <w:t>Reception and transmission of orders in relation to one or more financial instruments</w:t>
              </w:r>
            </w:ins>
          </w:p>
          <w:p w14:paraId="0A298DA8" w14:textId="77777777" w:rsidR="00105D77" w:rsidRDefault="00105D77">
            <w:pPr>
              <w:spacing w:before="60" w:after="60"/>
              <w:rPr>
                <w:ins w:id="526" w:author="Author"/>
                <w:rFonts w:ascii="Times New Roman" w:hAnsi="Times New Roman"/>
                <w:sz w:val="24"/>
              </w:rPr>
            </w:pPr>
            <w:ins w:id="527" w:author="Author">
              <w:r w:rsidRPr="288775FB">
                <w:rPr>
                  <w:rFonts w:ascii="Times New Roman" w:hAnsi="Times New Roman"/>
                  <w:sz w:val="24"/>
                </w:rPr>
                <w:t>Execution of orders on behalf of clients</w:t>
              </w:r>
            </w:ins>
          </w:p>
          <w:p w14:paraId="772C1A67" w14:textId="77777777" w:rsidR="00105D77" w:rsidRDefault="00105D77">
            <w:pPr>
              <w:spacing w:before="60" w:after="60"/>
              <w:rPr>
                <w:ins w:id="528" w:author="Author"/>
                <w:rFonts w:ascii="Times New Roman" w:hAnsi="Times New Roman"/>
                <w:sz w:val="24"/>
              </w:rPr>
            </w:pPr>
            <w:ins w:id="529" w:author="Author">
              <w:r w:rsidRPr="288775FB">
                <w:rPr>
                  <w:rFonts w:ascii="Times New Roman" w:hAnsi="Times New Roman"/>
                  <w:sz w:val="24"/>
                </w:rPr>
                <w:t>Placing of financial instruments without a firm commitment basis</w:t>
              </w:r>
            </w:ins>
          </w:p>
        </w:tc>
      </w:tr>
      <w:tr w:rsidR="00105D77" w14:paraId="6B99BB33" w14:textId="77777777" w:rsidTr="00E62FFE">
        <w:trPr>
          <w:trHeight w:val="1544"/>
          <w:ins w:id="530"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ins w:id="531" w:author="Author"/>
                <w:rFonts w:ascii="Times New Roman" w:hAnsi="Times New Roman"/>
                <w:sz w:val="24"/>
              </w:rPr>
            </w:pPr>
            <w:ins w:id="532" w:author="Author">
              <w:r w:rsidRPr="288775FB">
                <w:rPr>
                  <w:rFonts w:ascii="Times New Roman" w:hAnsi="Times New Roman"/>
                  <w:sz w:val="24"/>
                </w:rPr>
                <w:t>Commercial banking</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ins w:id="533" w:author="Author"/>
                <w:rFonts w:ascii="Times New Roman" w:hAnsi="Times New Roman"/>
                <w:sz w:val="24"/>
              </w:rPr>
            </w:pPr>
            <w:ins w:id="534" w:author="Author">
              <w:r w:rsidRPr="288775FB">
                <w:rPr>
                  <w:rFonts w:ascii="Times New Roman" w:hAnsi="Times New Roman"/>
                  <w:sz w:val="24"/>
                </w:rPr>
                <w:t>Acceptance of deposits and other repayable funds</w:t>
              </w:r>
            </w:ins>
          </w:p>
          <w:p w14:paraId="76F23BE8" w14:textId="77777777" w:rsidR="00105D77" w:rsidRDefault="00105D77">
            <w:pPr>
              <w:spacing w:before="60" w:after="60"/>
              <w:rPr>
                <w:ins w:id="535" w:author="Author"/>
                <w:rFonts w:ascii="Times New Roman" w:hAnsi="Times New Roman"/>
                <w:sz w:val="24"/>
              </w:rPr>
            </w:pPr>
            <w:ins w:id="536" w:author="Author">
              <w:r w:rsidRPr="288775FB">
                <w:rPr>
                  <w:rFonts w:ascii="Times New Roman" w:hAnsi="Times New Roman"/>
                  <w:sz w:val="24"/>
                </w:rPr>
                <w:t>Lending</w:t>
              </w:r>
            </w:ins>
          </w:p>
          <w:p w14:paraId="45F13788" w14:textId="77777777" w:rsidR="00105D77" w:rsidRDefault="00105D77">
            <w:pPr>
              <w:spacing w:before="60" w:after="60"/>
              <w:rPr>
                <w:ins w:id="537" w:author="Author"/>
                <w:rFonts w:ascii="Times New Roman" w:hAnsi="Times New Roman"/>
                <w:sz w:val="24"/>
              </w:rPr>
            </w:pPr>
            <w:ins w:id="538" w:author="Author">
              <w:r w:rsidRPr="288775FB">
                <w:rPr>
                  <w:rFonts w:ascii="Times New Roman" w:hAnsi="Times New Roman"/>
                  <w:sz w:val="24"/>
                </w:rPr>
                <w:t>Financial leasing</w:t>
              </w:r>
            </w:ins>
          </w:p>
          <w:p w14:paraId="51EC26CF" w14:textId="77777777" w:rsidR="00105D77" w:rsidRDefault="00105D77">
            <w:pPr>
              <w:spacing w:before="60" w:after="60"/>
              <w:rPr>
                <w:ins w:id="539" w:author="Author"/>
                <w:rFonts w:ascii="Times New Roman" w:hAnsi="Times New Roman"/>
                <w:sz w:val="24"/>
              </w:rPr>
            </w:pPr>
            <w:ins w:id="540" w:author="Author">
              <w:r w:rsidRPr="288775FB">
                <w:rPr>
                  <w:rFonts w:ascii="Times New Roman" w:hAnsi="Times New Roman"/>
                  <w:sz w:val="24"/>
                </w:rPr>
                <w:t>Guarantees and commitments</w:t>
              </w:r>
            </w:ins>
          </w:p>
        </w:tc>
      </w:tr>
      <w:tr w:rsidR="00105D77" w14:paraId="72830314" w14:textId="77777777" w:rsidTr="00E62FFE">
        <w:trPr>
          <w:trHeight w:val="1410"/>
          <w:ins w:id="541"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ins w:id="542" w:author="Author"/>
                <w:rFonts w:ascii="Times New Roman" w:hAnsi="Times New Roman"/>
                <w:sz w:val="24"/>
              </w:rPr>
            </w:pPr>
            <w:ins w:id="543" w:author="Author">
              <w:r w:rsidRPr="288775FB">
                <w:rPr>
                  <w:rFonts w:ascii="Times New Roman" w:hAnsi="Times New Roman"/>
                  <w:sz w:val="24"/>
                </w:rPr>
                <w:t>Retail banking</w:t>
              </w:r>
            </w:ins>
          </w:p>
          <w:p w14:paraId="7CAFF922" w14:textId="77777777" w:rsidR="00105D77" w:rsidRDefault="00105D77">
            <w:pPr>
              <w:spacing w:before="60" w:after="60"/>
              <w:rPr>
                <w:ins w:id="544" w:author="Author"/>
                <w:rFonts w:ascii="Times New Roman" w:hAnsi="Times New Roman"/>
                <w:sz w:val="24"/>
              </w:rPr>
            </w:pPr>
            <w:ins w:id="545" w:author="Author">
              <w:r w:rsidRPr="288775FB">
                <w:rPr>
                  <w:rFonts w:ascii="Times New Roman" w:hAnsi="Times New Roman"/>
                  <w:sz w:val="24"/>
                </w:rPr>
                <w:t>(Activities with natural persons or with SMEs meeting the criteria set out in Article 123 for the retail exposure class)</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ins w:id="546" w:author="Author"/>
                <w:rFonts w:ascii="Times New Roman" w:hAnsi="Times New Roman"/>
                <w:sz w:val="24"/>
              </w:rPr>
            </w:pPr>
            <w:ins w:id="547" w:author="Author">
              <w:r w:rsidRPr="288775FB">
                <w:rPr>
                  <w:rFonts w:ascii="Times New Roman" w:hAnsi="Times New Roman"/>
                  <w:sz w:val="24"/>
                </w:rPr>
                <w:t>Acceptance of deposits and other repayable funds</w:t>
              </w:r>
            </w:ins>
          </w:p>
          <w:p w14:paraId="36AF04A5" w14:textId="77777777" w:rsidR="00105D77" w:rsidRDefault="00105D77">
            <w:pPr>
              <w:spacing w:before="60" w:after="60"/>
              <w:rPr>
                <w:ins w:id="548" w:author="Author"/>
                <w:rFonts w:ascii="Times New Roman" w:hAnsi="Times New Roman"/>
                <w:sz w:val="24"/>
              </w:rPr>
            </w:pPr>
            <w:ins w:id="549" w:author="Author">
              <w:r w:rsidRPr="288775FB">
                <w:rPr>
                  <w:rFonts w:ascii="Times New Roman" w:hAnsi="Times New Roman"/>
                  <w:sz w:val="24"/>
                </w:rPr>
                <w:t>Lending</w:t>
              </w:r>
            </w:ins>
          </w:p>
          <w:p w14:paraId="7351F485" w14:textId="77777777" w:rsidR="00105D77" w:rsidRDefault="00105D77">
            <w:pPr>
              <w:spacing w:before="60" w:after="60"/>
              <w:rPr>
                <w:ins w:id="550" w:author="Author"/>
                <w:rFonts w:ascii="Times New Roman" w:hAnsi="Times New Roman"/>
                <w:sz w:val="24"/>
              </w:rPr>
            </w:pPr>
            <w:ins w:id="551" w:author="Author">
              <w:r w:rsidRPr="288775FB">
                <w:rPr>
                  <w:rFonts w:ascii="Times New Roman" w:hAnsi="Times New Roman"/>
                  <w:sz w:val="24"/>
                </w:rPr>
                <w:t>Financial leasing</w:t>
              </w:r>
            </w:ins>
          </w:p>
          <w:p w14:paraId="2A1E9691" w14:textId="77777777" w:rsidR="00105D77" w:rsidRDefault="00105D77">
            <w:pPr>
              <w:spacing w:before="60" w:after="60"/>
              <w:rPr>
                <w:ins w:id="552" w:author="Author"/>
                <w:rFonts w:ascii="Times New Roman" w:hAnsi="Times New Roman"/>
                <w:sz w:val="24"/>
              </w:rPr>
            </w:pPr>
            <w:ins w:id="553" w:author="Author">
              <w:r w:rsidRPr="288775FB">
                <w:rPr>
                  <w:rFonts w:ascii="Times New Roman" w:hAnsi="Times New Roman"/>
                  <w:sz w:val="24"/>
                </w:rPr>
                <w:t>Guarantees and commitments</w:t>
              </w:r>
            </w:ins>
          </w:p>
        </w:tc>
      </w:tr>
      <w:tr w:rsidR="00105D77" w14:paraId="76DC3A73" w14:textId="77777777" w:rsidTr="00E62FFE">
        <w:trPr>
          <w:trHeight w:val="1035"/>
          <w:ins w:id="554"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ins w:id="555" w:author="Author"/>
                <w:rFonts w:ascii="Times New Roman" w:hAnsi="Times New Roman"/>
                <w:sz w:val="24"/>
              </w:rPr>
            </w:pPr>
            <w:ins w:id="556" w:author="Author">
              <w:r w:rsidRPr="288775FB">
                <w:rPr>
                  <w:rFonts w:ascii="Times New Roman" w:hAnsi="Times New Roman"/>
                  <w:sz w:val="24"/>
                </w:rPr>
                <w:t>Payment and settlement</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ins w:id="557" w:author="Author"/>
                <w:rFonts w:ascii="Times New Roman" w:hAnsi="Times New Roman"/>
                <w:sz w:val="24"/>
              </w:rPr>
            </w:pPr>
            <w:ins w:id="558" w:author="Author">
              <w:r w:rsidRPr="288775FB">
                <w:rPr>
                  <w:rFonts w:ascii="Times New Roman" w:hAnsi="Times New Roman"/>
                  <w:sz w:val="24"/>
                </w:rPr>
                <w:t>Money transmission services,</w:t>
              </w:r>
            </w:ins>
          </w:p>
          <w:p w14:paraId="44972E69" w14:textId="77777777" w:rsidR="00105D77" w:rsidRDefault="00105D77">
            <w:pPr>
              <w:spacing w:before="60" w:after="60"/>
              <w:rPr>
                <w:ins w:id="559" w:author="Author"/>
                <w:rFonts w:ascii="Times New Roman" w:hAnsi="Times New Roman"/>
                <w:sz w:val="24"/>
              </w:rPr>
            </w:pPr>
            <w:ins w:id="560" w:author="Author">
              <w:r w:rsidRPr="288775FB">
                <w:rPr>
                  <w:rFonts w:ascii="Times New Roman" w:hAnsi="Times New Roman"/>
                  <w:sz w:val="24"/>
                </w:rPr>
                <w:t>Issuing and administering means of payment</w:t>
              </w:r>
            </w:ins>
          </w:p>
        </w:tc>
      </w:tr>
      <w:tr w:rsidR="00105D77" w14:paraId="30CA4827" w14:textId="77777777" w:rsidTr="00E62FFE">
        <w:trPr>
          <w:trHeight w:val="1226"/>
          <w:ins w:id="561"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ins w:id="562" w:author="Author"/>
                <w:rFonts w:ascii="Times New Roman" w:hAnsi="Times New Roman"/>
                <w:sz w:val="24"/>
              </w:rPr>
            </w:pPr>
            <w:ins w:id="563" w:author="Author">
              <w:r w:rsidRPr="288775FB">
                <w:rPr>
                  <w:rFonts w:ascii="Times New Roman" w:hAnsi="Times New Roman"/>
                  <w:sz w:val="24"/>
                </w:rPr>
                <w:lastRenderedPageBreak/>
                <w:t>Agency services</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ins w:id="564" w:author="Author"/>
                <w:rFonts w:ascii="Times New Roman" w:hAnsi="Times New Roman"/>
                <w:sz w:val="24"/>
              </w:rPr>
            </w:pPr>
            <w:ins w:id="565" w:author="Author">
              <w:r w:rsidRPr="288775FB">
                <w:rPr>
                  <w:rFonts w:ascii="Times New Roman" w:hAnsi="Times New Roman"/>
                  <w:sz w:val="24"/>
                </w:rPr>
                <w:t>Safekeeping and administration of financial instruments for the account of clients, including custodianship and related services such as cash/collateral management</w:t>
              </w:r>
            </w:ins>
          </w:p>
        </w:tc>
      </w:tr>
      <w:tr w:rsidR="00105D77" w14:paraId="00CB6421" w14:textId="77777777" w:rsidTr="00E62FFE">
        <w:trPr>
          <w:trHeight w:val="1110"/>
          <w:ins w:id="566"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ins w:id="567" w:author="Author"/>
                <w:rFonts w:ascii="Times New Roman" w:hAnsi="Times New Roman"/>
                <w:sz w:val="24"/>
              </w:rPr>
            </w:pPr>
            <w:ins w:id="568" w:author="Author">
              <w:r w:rsidRPr="288775FB">
                <w:rPr>
                  <w:rFonts w:ascii="Times New Roman" w:hAnsi="Times New Roman"/>
                  <w:sz w:val="24"/>
                </w:rPr>
                <w:t>Asset management</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ins w:id="569" w:author="Author"/>
                <w:rFonts w:ascii="Times New Roman" w:hAnsi="Times New Roman"/>
                <w:sz w:val="24"/>
              </w:rPr>
            </w:pPr>
            <w:ins w:id="570" w:author="Author">
              <w:r w:rsidRPr="288775FB">
                <w:rPr>
                  <w:rFonts w:ascii="Times New Roman" w:hAnsi="Times New Roman"/>
                  <w:sz w:val="24"/>
                </w:rPr>
                <w:t>Portfolio management</w:t>
              </w:r>
            </w:ins>
          </w:p>
          <w:p w14:paraId="1153DFEB" w14:textId="77777777" w:rsidR="00105D77" w:rsidRDefault="00105D77">
            <w:pPr>
              <w:spacing w:before="60" w:after="60"/>
              <w:rPr>
                <w:ins w:id="571" w:author="Author"/>
                <w:rFonts w:ascii="Times New Roman" w:hAnsi="Times New Roman"/>
                <w:sz w:val="24"/>
              </w:rPr>
            </w:pPr>
            <w:ins w:id="572" w:author="Author">
              <w:r w:rsidRPr="288775FB">
                <w:rPr>
                  <w:rFonts w:ascii="Times New Roman" w:hAnsi="Times New Roman"/>
                  <w:sz w:val="24"/>
                </w:rPr>
                <w:t>Managing of UCITS</w:t>
              </w:r>
            </w:ins>
          </w:p>
          <w:p w14:paraId="59C1F470" w14:textId="77777777" w:rsidR="00105D77" w:rsidRDefault="00105D77">
            <w:pPr>
              <w:spacing w:before="60" w:after="60"/>
              <w:rPr>
                <w:ins w:id="573" w:author="Author"/>
                <w:rFonts w:ascii="Times New Roman" w:hAnsi="Times New Roman"/>
                <w:sz w:val="24"/>
              </w:rPr>
            </w:pPr>
            <w:ins w:id="574" w:author="Author">
              <w:r w:rsidRPr="288775FB">
                <w:rPr>
                  <w:rFonts w:ascii="Times New Roman" w:hAnsi="Times New Roman"/>
                  <w:sz w:val="24"/>
                </w:rPr>
                <w:t>Other forms of asset management</w:t>
              </w:r>
            </w:ins>
          </w:p>
        </w:tc>
      </w:tr>
      <w:tr w:rsidR="00105D77" w14:paraId="3543DFD5" w14:textId="77777777" w:rsidTr="00E62FFE">
        <w:trPr>
          <w:trHeight w:val="742"/>
          <w:ins w:id="575" w:author="Author"/>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ins w:id="576" w:author="Author"/>
                <w:rFonts w:ascii="Times New Roman" w:hAnsi="Times New Roman"/>
                <w:color w:val="333333"/>
                <w:sz w:val="24"/>
              </w:rPr>
            </w:pPr>
            <w:ins w:id="577" w:author="Author">
              <w:r w:rsidRPr="001619AF">
                <w:rPr>
                  <w:rFonts w:ascii="Times New Roman" w:hAnsi="Times New Roman"/>
                  <w:color w:val="333333"/>
                  <w:sz w:val="24"/>
                </w:rPr>
                <w:t>Corporate items</w:t>
              </w:r>
            </w:ins>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ins w:id="578" w:author="Author"/>
                <w:rFonts w:ascii="Times New Roman" w:eastAsia="Verdana" w:hAnsi="Times New Roman"/>
                <w:sz w:val="24"/>
              </w:rPr>
            </w:pPr>
            <w:ins w:id="579" w:author="Autho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ins>
          </w:p>
        </w:tc>
      </w:tr>
    </w:tbl>
    <w:p w14:paraId="5EFFCA85" w14:textId="77777777" w:rsidR="00C30107" w:rsidRDefault="00C30107" w:rsidP="00E434A1">
      <w:pPr>
        <w:pStyle w:val="InstructionsText2"/>
        <w:numPr>
          <w:ilvl w:val="0"/>
          <w:numId w:val="0"/>
        </w:numPr>
        <w:rPr>
          <w:ins w:id="580" w:author="Author"/>
        </w:rPr>
      </w:pPr>
    </w:p>
    <w:p w14:paraId="3089C09D" w14:textId="77777777" w:rsidR="00C30107" w:rsidRPr="002A677E" w:rsidRDefault="00C30107" w:rsidP="00E434A1">
      <w:pPr>
        <w:pStyle w:val="InstructionsText2"/>
        <w:numPr>
          <w:ilvl w:val="0"/>
          <w:numId w:val="0"/>
        </w:numPr>
      </w:pPr>
    </w:p>
    <w:bookmarkEnd w:id="438"/>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rsidR="00125707" w:rsidRPr="002A677E">
        <w:t>.</w:t>
      </w:r>
      <w:r w:rsidR="005C14B0" w:rsidRPr="002A677E">
        <w:t xml:space="preserve"> </w:t>
      </w:r>
      <w:r w:rsidR="00FD54FC" w:rsidRPr="002A677E">
        <w:t xml:space="preserve">Operational risk losses </w:t>
      </w:r>
      <w:ins w:id="581" w:author="Author">
        <w:r w:rsidR="003D3A95" w:rsidRPr="001619AF">
          <w:rPr>
            <w:color w:val="000000" w:themeColor="text1"/>
          </w:rPr>
          <w:t>related to credit risk that are accounted for in the risk weighted exposure amount for credit risk</w:t>
        </w:r>
        <w:r w:rsidR="003D3A95" w:rsidRPr="002A677E" w:rsidDel="003D3A95">
          <w:t xml:space="preserve"> </w:t>
        </w:r>
      </w:ins>
      <w:r w:rsidR="00FD54FC" w:rsidRPr="002A677E">
        <w:t xml:space="preserve">(boundary credit-related operational risk events) are neither considered in template C 17.01 nor </w:t>
      </w:r>
      <w:ins w:id="582" w:author="Author">
        <w:r w:rsidR="003D3A95">
          <w:t xml:space="preserve">in </w:t>
        </w:r>
      </w:ins>
      <w:r w:rsidR="00FD54FC" w:rsidRPr="002A677E">
        <w:t>template C 17.02</w:t>
      </w:r>
      <w:ins w:id="583" w:author="Author">
        <w:r w:rsidR="00941255">
          <w:t xml:space="preserve"> according to Article 317(5</w:t>
        </w:r>
      </w:ins>
      <w:r w:rsidR="00E62FFE">
        <w:t>) Regulation</w:t>
      </w:r>
      <w:ins w:id="584" w:author="Author">
        <w:r w:rsidR="00941255">
          <w:t xml:space="preserve"> (EU) No 575/2013.</w:t>
        </w:r>
      </w:ins>
      <w:r w:rsidR="00FD54FC" w:rsidRPr="002A677E">
        <w:t>.</w:t>
      </w:r>
    </w:p>
    <w:p w14:paraId="26DEA8B1" w14:textId="4AA4F10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rsidR="00125707" w:rsidRPr="002A677E">
        <w:t>.</w:t>
      </w:r>
      <w:r w:rsidR="005C14B0" w:rsidRPr="002A677E">
        <w:t xml:space="preserve"> </w:t>
      </w:r>
      <w:ins w:id="585" w:author="Author">
        <w:r w:rsidR="006B71D2">
          <w:t xml:space="preserve">[empty] </w:t>
        </w:r>
      </w:ins>
      <w:del w:id="586" w:author="Author">
        <w:r w:rsidR="00FD54FC" w:rsidRPr="002A677E" w:rsidDel="006B71D2">
          <w:delText xml:space="preserve">In case of a combined use of different approaches for the calculation of own funds requirements for operational risk </w:delText>
        </w:r>
        <w:r w:rsidR="00BB22D4" w:rsidRPr="002A677E" w:rsidDel="006B71D2">
          <w:delText>in accordance with</w:delText>
        </w:r>
        <w:r w:rsidR="00FD54FC" w:rsidRPr="002A677E" w:rsidDel="006B71D2">
          <w:delText xml:space="preserve"> Article 314 </w:delText>
        </w:r>
        <w:r w:rsidR="0095353C" w:rsidRPr="008C1630" w:rsidDel="006B71D2">
          <w:rPr>
            <w:lang w:val="en-US"/>
          </w:rPr>
          <w:delText>of Regulation (EU) No 575/2013</w:delText>
        </w:r>
        <w:r w:rsidR="00FD54FC" w:rsidRPr="002A677E" w:rsidDel="006B71D2">
          <w:delText>, losses and recoveries registered by an institution shall be reported in C 17.0</w:delText>
        </w:r>
        <w:r w:rsidR="00417984" w:rsidRPr="002A677E" w:rsidDel="006B71D2">
          <w:delText>1</w:delText>
        </w:r>
        <w:r w:rsidR="00FD54FC" w:rsidRPr="002A677E" w:rsidDel="006B71D2">
          <w:delText xml:space="preserve"> and C 17.02</w:delText>
        </w:r>
        <w:r w:rsidR="001F6487" w:rsidRPr="002A677E" w:rsidDel="006B71D2">
          <w:delText>,</w:delText>
        </w:r>
        <w:r w:rsidR="00FD54FC" w:rsidRPr="002A677E" w:rsidDel="006B71D2">
          <w:delText xml:space="preserve"> irrespective of the approach applied to calculate own funds requirements.</w:delText>
        </w:r>
      </w:del>
    </w:p>
    <w:p w14:paraId="46FA5B8D" w14:textId="2A45FFA8"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ins w:id="587" w:author="Author">
        <w:r w:rsidR="001B4C43">
          <w:t xml:space="preserve"> in</w:t>
        </w:r>
      </w:ins>
      <w:r w:rsidR="0023276A" w:rsidRPr="002A677E">
        <w:t xml:space="preserve"> </w:t>
      </w:r>
      <w:ins w:id="588" w:author="Author">
        <w:r w:rsidR="00EE5C67">
          <w:t>Article 318(1)</w:t>
        </w:r>
      </w:ins>
      <w:r w:rsidR="0062765D">
        <w:t xml:space="preserve"> </w:t>
      </w:r>
      <w:r w:rsidR="0095353C" w:rsidRPr="008C1630">
        <w:rPr>
          <w:lang w:val="en-US"/>
        </w:rPr>
        <w:t>of Regulation (EU) No 575/2013</w:t>
      </w:r>
      <w:r w:rsidR="0023276A" w:rsidRPr="002A677E">
        <w:t xml:space="preserve"> </w:t>
      </w:r>
      <w:del w:id="589" w:author="Author">
        <w:r w:rsidR="0023276A" w:rsidRPr="002A677E" w:rsidDel="000D67C6">
          <w:delText>-</w:delText>
        </w:r>
      </w:del>
      <w:ins w:id="590" w:author="Author">
        <w:r w:rsidR="000D67C6">
          <w:t>–</w:t>
        </w:r>
      </w:ins>
      <w:r w:rsidR="0023276A" w:rsidRPr="002A677E">
        <w:t xml:space="preserve"> </w:t>
      </w:r>
      <w:ins w:id="591" w:author="Author">
        <w:r w:rsidR="000D67C6">
          <w:t>linked to an</w:t>
        </w:r>
      </w:ins>
      <w:r w:rsidR="0062765D">
        <w:t xml:space="preserve"> </w:t>
      </w:r>
      <w:r w:rsidR="00FD54FC" w:rsidRPr="002A677E">
        <w:t>operational risk even</w:t>
      </w:r>
      <w:r w:rsidR="0062765D">
        <w:t xml:space="preserve"> </w:t>
      </w:r>
      <w:r w:rsidR="00FD54FC" w:rsidRPr="002A677E">
        <w:t xml:space="preserve">before recoveries of any </w:t>
      </w:r>
      <w:ins w:id="592" w:author="Author">
        <w:r w:rsidR="000D67C6">
          <w:t>type</w:t>
        </w:r>
      </w:ins>
      <w:r w:rsidR="00FD54FC" w:rsidRPr="002A677E">
        <w:t xml:space="preserve">, without prejudice to “rapidly recovered loss events” as defined below. </w:t>
      </w:r>
    </w:p>
    <w:p w14:paraId="0D97147B" w14:textId="2528C9AF"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w:t>
      </w:r>
      <w:ins w:id="593" w:author="Author">
        <w:r w:rsidR="00B92F87">
          <w:t>– as referred</w:t>
        </w:r>
        <w:r w:rsidR="001B4C43">
          <w:t xml:space="preserve"> to</w:t>
        </w:r>
        <w:r w:rsidR="00B92F87">
          <w:t xml:space="preserve"> in Article 318(1) </w:t>
        </w:r>
      </w:ins>
      <w:r w:rsidR="0062765D">
        <w:t>-</w:t>
      </w:r>
      <w:ins w:id="594" w:author="Author">
        <w:r w:rsidR="00B92F87">
          <w:t xml:space="preserve"> one or multiple independent occurrences, related to the original operational risk event, separated in time, in which funds or inflows of economic benefits are received from a third party.</w:t>
        </w:r>
      </w:ins>
      <w:del w:id="595" w:author="Author">
        <w:r w:rsidR="00FD54FC" w:rsidRPr="002A677E" w:rsidDel="00B92F87">
          <w:delText xml:space="preserve">an independent occurrence related to the original operational risk loss that is separate in time, in which funds or inflows of economic benefits are received from first or third parties, such as insurers or other parties. Recoveries are broken down into </w:delText>
        </w:r>
        <w:r w:rsidR="005A020C" w:rsidRPr="002A677E" w:rsidDel="00B92F87">
          <w:delText xml:space="preserve">recoveries from insurance and other risk transfer mechanisms and </w:delText>
        </w:r>
        <w:r w:rsidR="00FD54FC" w:rsidRPr="002A677E" w:rsidDel="00B92F87">
          <w:delText>direct recoveries.</w:delText>
        </w:r>
      </w:del>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147</w:t>
      </w:r>
      <w:r>
        <w:rPr>
          <w:noProof/>
        </w:rP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53054218"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del w:id="596" w:author="Author">
        <w:r w:rsidR="00FD54FC" w:rsidRPr="002A677E" w:rsidDel="009349EC">
          <w:delText>.</w:delText>
        </w:r>
      </w:del>
      <w:ins w:id="597" w:author="Author">
        <w:r w:rsidR="009349EC">
          <w:t>, as referred to in Article 317(4)(a) of Regulation (EU) No 575/2013.</w:t>
        </w:r>
      </w:ins>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70B08C2C" w:rsidR="00FD54FC" w:rsidRDefault="00E434A1" w:rsidP="00E434A1">
      <w:pPr>
        <w:pStyle w:val="InstructionsText2"/>
        <w:numPr>
          <w:ilvl w:val="0"/>
          <w:numId w:val="0"/>
        </w:numPr>
      </w:pPr>
      <w:r>
        <w:lastRenderedPageBreak/>
        <w:fldChar w:fldCharType="begin"/>
      </w:r>
      <w:r>
        <w:instrText xml:space="preserve"> seq paragraphs </w:instrText>
      </w:r>
      <w:r>
        <w:fldChar w:fldCharType="separate"/>
      </w:r>
      <w:r w:rsidR="00771068" w:rsidRPr="002A677E">
        <w:rPr>
          <w:noProof/>
        </w:rPr>
        <w:t>149</w:t>
      </w:r>
      <w:r>
        <w:rPr>
          <w:noProof/>
        </w:rPr>
        <w:fldChar w:fldCharType="end"/>
      </w:r>
      <w:r w:rsidR="00125707" w:rsidRPr="002A677E">
        <w:t>.</w:t>
      </w:r>
      <w:r w:rsidR="00125707" w:rsidRPr="002A677E">
        <w:tab/>
      </w:r>
      <w:r w:rsidR="005C14B0" w:rsidRPr="002A677E">
        <w:t xml:space="preserve"> </w:t>
      </w:r>
      <w:r w:rsidR="00FD54FC" w:rsidRPr="002A677E">
        <w:t>Losses caused by a common operational risk event or by multiple events linked to an initial operational risk event generating events or losses (‘root-event’)</w:t>
      </w:r>
      <w:ins w:id="598" w:author="Author">
        <w:r w:rsidR="00FA04B2">
          <w:t xml:space="preserve"> </w:t>
        </w:r>
        <w:r w:rsidR="00EC1707" w:rsidRPr="002A677E">
          <w:t xml:space="preserve">shall </w:t>
        </w:r>
        <w:r w:rsidR="00EC1707" w:rsidRPr="00281598">
          <w:t>be summed up for the purpose of calculating the threshold for reporting</w:t>
        </w:r>
        <w:r w:rsidR="00EC1707" w:rsidRPr="002A677E">
          <w:t>.</w:t>
        </w:r>
      </w:ins>
      <w:r w:rsidR="00FA04B2">
        <w:t xml:space="preserve"> </w:t>
      </w:r>
      <w:ins w:id="599" w:author="Author">
        <w:r w:rsidR="00FA04B2">
          <w:t>In the case the total net amount computed for a period of 10 years crosses the threshold, t</w:t>
        </w:r>
        <w:r w:rsidR="00B46F04">
          <w:t>he loss</w:t>
        </w:r>
        <w:r w:rsidR="00DB3F35">
          <w:t>es</w:t>
        </w:r>
        <w:r w:rsidR="00B46F04">
          <w:t xml:space="preserve"> and adjustments</w:t>
        </w:r>
      </w:ins>
      <w:r w:rsidR="00FD54FC" w:rsidRPr="002A677E">
        <w:t xml:space="preserve"> </w:t>
      </w:r>
      <w:ins w:id="600" w:author="Author">
        <w:r w:rsidR="00226298">
          <w:t>should be reported</w:t>
        </w:r>
        <w:del w:id="601" w:author="Author">
          <w:r w:rsidR="00226298" w:rsidDel="00FA04B2">
            <w:delText xml:space="preserve"> </w:delText>
          </w:r>
        </w:del>
        <w:r w:rsidR="00FA04B2">
          <w:t xml:space="preserve"> </w:t>
        </w:r>
        <w:r w:rsidR="00226298">
          <w:t>following the accounting impact</w:t>
        </w:r>
      </w:ins>
      <w:r w:rsidR="008E3C30">
        <w:t>,</w:t>
      </w:r>
      <w:ins w:id="602" w:author="Author">
        <w:r w:rsidR="00226298">
          <w:t xml:space="preserve"> </w:t>
        </w:r>
        <w:r w:rsidR="00CB7D2C">
          <w:t>in accordance with</w:t>
        </w:r>
      </w:ins>
      <w:r w:rsidR="0062765D">
        <w:t xml:space="preserve"> </w:t>
      </w:r>
      <w:ins w:id="603" w:author="Author">
        <w:r w:rsidR="00226298">
          <w:t>Article 317(3)(c) and Article 318(1) of Regulation (EU) No 575/2013</w:t>
        </w:r>
        <w:r w:rsidR="00FA04B2">
          <w:t xml:space="preserve">, even though the impact in a particular period may be lower than the threshold. </w:t>
        </w:r>
        <w:del w:id="604" w:author="Author">
          <w:r w:rsidR="00226298" w:rsidDel="00FA04B2">
            <w:delText>.</w:delText>
          </w:r>
        </w:del>
      </w:ins>
    </w:p>
    <w:p w14:paraId="6BE2D156" w14:textId="77777777" w:rsidR="00226298" w:rsidRPr="002A677E" w:rsidRDefault="00226298" w:rsidP="00E434A1">
      <w:pPr>
        <w:pStyle w:val="InstructionsText2"/>
        <w:numPr>
          <w:ilvl w:val="0"/>
          <w:numId w:val="0"/>
        </w:numPr>
        <w:rPr>
          <w:ins w:id="605" w:author="Author"/>
        </w:r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6" w:name="_Toc473561025"/>
      <w:bookmarkStart w:id="607" w:name="_Toc15286271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606"/>
      <w:bookmarkEnd w:id="607"/>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8" w:name="_Toc473561026"/>
      <w:bookmarkStart w:id="609"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08"/>
      <w:bookmarkEnd w:id="609"/>
    </w:p>
    <w:p w14:paraId="1B1EFECB" w14:textId="6858A92C"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151</w:t>
      </w:r>
      <w:r>
        <w:rPr>
          <w:noProof/>
        </w:rPr>
        <w:fldChar w:fldCharType="end"/>
      </w:r>
      <w:r w:rsidR="005C14B0" w:rsidRPr="002A677E">
        <w:t xml:space="preserve"> </w:t>
      </w:r>
      <w:del w:id="610" w:author="Author">
        <w:r w:rsidR="00FD54FC" w:rsidRPr="002A677E">
          <w:delText xml:space="preserve">In </w:delText>
        </w:r>
        <w:r w:rsidR="00FD54FC" w:rsidRPr="002A677E" w:rsidDel="00BC41EE">
          <w:delText>t</w:delText>
        </w:r>
      </w:del>
      <w:ins w:id="611" w:author="Author">
        <w:r w:rsidR="00BC41EE">
          <w:t>T</w:t>
        </w:r>
      </w:ins>
      <w:r w:rsidR="00FD54FC" w:rsidRPr="002A677E">
        <w:t xml:space="preserve">emplate C 17.01, </w:t>
      </w:r>
      <w:del w:id="612" w:author="Author">
        <w:r w:rsidR="00FD54FC" w:rsidRPr="002A677E">
          <w:delText>the</w:delText>
        </w:r>
      </w:del>
      <w:ins w:id="613" w:author="Author">
        <w:r w:rsidR="00DF4F3C">
          <w:t>summarises the</w:t>
        </w:r>
      </w:ins>
      <w:r w:rsidR="00FD54FC" w:rsidRPr="002A677E">
        <w:t xml:space="preserve"> information </w:t>
      </w:r>
      <w:ins w:id="614" w:author="Author">
        <w:r w:rsidR="00DF4F3C">
          <w:t xml:space="preserve">on </w:t>
        </w:r>
      </w:ins>
      <w:del w:id="615" w:author="Author">
        <w:r w:rsidR="001F6487" w:rsidRPr="002A677E">
          <w:delText>shall be</w:delText>
        </w:r>
        <w:r w:rsidR="00FD54FC" w:rsidRPr="002A677E">
          <w:delText xml:space="preserve"> presented by distributing the </w:delText>
        </w:r>
      </w:del>
      <w:ins w:id="616" w:author="Author">
        <w:r w:rsidR="00DF4F3C">
          <w:t xml:space="preserve"> </w:t>
        </w:r>
      </w:ins>
      <w:r w:rsidR="00FD54FC" w:rsidRPr="002A677E">
        <w:t>losses and recoveries above internal thresholds</w:t>
      </w:r>
      <w:ins w:id="617" w:author="Author">
        <w:r w:rsidR="00FD54FC" w:rsidRPr="002A677E">
          <w:t xml:space="preserve"> </w:t>
        </w:r>
        <w:r w:rsidR="008218A6">
          <w:t>registered by an institution in the last year</w:t>
        </w:r>
      </w:ins>
      <w:r w:rsidR="00FD54FC" w:rsidRPr="002A677E">
        <w:t xml:space="preserve"> </w:t>
      </w:r>
      <w:ins w:id="618" w:author="Author">
        <w:r w:rsidR="00D459E0">
          <w:t xml:space="preserve">by event types and business lines </w:t>
        </w:r>
        <w:r w:rsidR="009016B6">
          <w:t>following the definitions in</w:t>
        </w:r>
        <w:del w:id="619" w:author="Author">
          <w:r w:rsidR="00D459E0" w:rsidDel="009016B6">
            <w:delText xml:space="preserve"> </w:delText>
          </w:r>
          <w:r w:rsidR="00D459E0">
            <w:delText>in</w:delText>
          </w:r>
        </w:del>
        <w:r w:rsidR="00D459E0">
          <w:t xml:space="preserve"> Table 1 and </w:t>
        </w:r>
        <w:r w:rsidR="004F605C">
          <w:t xml:space="preserve">Table </w:t>
        </w:r>
        <w:r w:rsidR="00D459E0">
          <w:t xml:space="preserve">2 </w:t>
        </w:r>
        <w:r w:rsidR="009016B6">
          <w:t xml:space="preserve"> in </w:t>
        </w:r>
        <w:r w:rsidR="004F605C">
          <w:t>this section</w:t>
        </w:r>
        <w:r w:rsidR="00DF1A5D">
          <w:t>.</w:t>
        </w:r>
        <w:r w:rsidR="00D459E0">
          <w:t xml:space="preserve"> </w:t>
        </w:r>
      </w:ins>
      <w:del w:id="620" w:author="Author">
        <w:r w:rsidR="00FD54FC" w:rsidRPr="002A677E" w:rsidDel="00D459E0">
          <w:delText xml:space="preserve">amongst business lines (as </w:delText>
        </w:r>
        <w:r w:rsidR="001F6487" w:rsidRPr="002A677E" w:rsidDel="00D459E0">
          <w:delText>listed</w:delText>
        </w:r>
        <w:r w:rsidR="00FD54FC" w:rsidRPr="002A677E" w:rsidDel="00D459E0">
          <w:delText xml:space="preserve"> in Article 317</w:delText>
        </w:r>
        <w:r w:rsidR="00FD7CAF" w:rsidRPr="002A677E" w:rsidDel="00D459E0">
          <w:delText>,</w:delText>
        </w:r>
        <w:r w:rsidR="00133396" w:rsidRPr="002A677E" w:rsidDel="00D459E0">
          <w:delText xml:space="preserve"> </w:delText>
        </w:r>
        <w:r w:rsidR="00FD7CAF" w:rsidRPr="002A677E" w:rsidDel="00D459E0">
          <w:delText xml:space="preserve">Table 2 </w:delText>
        </w:r>
        <w:r w:rsidR="0095353C" w:rsidRPr="001235ED" w:rsidDel="00D459E0">
          <w:rPr>
            <w:lang w:val="en-US"/>
          </w:rPr>
          <w:delText>of Regulation (EU) No 575/2013</w:delText>
        </w:r>
        <w:r w:rsidR="001F6487" w:rsidRPr="002A677E" w:rsidDel="00D459E0">
          <w:delText>,</w:delText>
        </w:r>
        <w:r w:rsidR="00FD54FC" w:rsidRPr="002A677E" w:rsidDel="00D459E0">
          <w:delText xml:space="preserve"> including the additional business line "</w:delText>
        </w:r>
        <w:r w:rsidR="001F6487" w:rsidRPr="002A677E" w:rsidDel="00D459E0">
          <w:delText>c</w:delText>
        </w:r>
        <w:r w:rsidR="00FD54FC" w:rsidRPr="002A677E" w:rsidDel="00D459E0">
          <w:delText>orporate items" referred to in Article 322(3)</w:delText>
        </w:r>
        <w:r w:rsidR="00B83DDE" w:rsidDel="00D459E0">
          <w:delText>, p</w:delText>
        </w:r>
        <w:r w:rsidR="00FD7CAF" w:rsidRPr="002A677E" w:rsidDel="00D459E0">
          <w:delText>oint (b)</w:delText>
        </w:r>
        <w:r w:rsidR="00BE1277" w:rsidDel="00D459E0">
          <w:delText>,</w:delText>
        </w:r>
        <w:r w:rsidR="00FD7CAF" w:rsidRPr="002A677E" w:rsidDel="00D459E0">
          <w:delText xml:space="preserve"> </w:delText>
        </w:r>
        <w:r w:rsidR="0095353C" w:rsidRPr="001235ED" w:rsidDel="00D459E0">
          <w:rPr>
            <w:lang w:val="en-US"/>
          </w:rPr>
          <w:delText>of Regulation (EU) No 575/2013</w:delText>
        </w:r>
        <w:r w:rsidR="00FD54FC" w:rsidRPr="002A677E" w:rsidDel="00D459E0">
          <w:delText xml:space="preserve">) </w:delText>
        </w:r>
        <w:r w:rsidR="001F6487" w:rsidRPr="002A677E" w:rsidDel="00D459E0">
          <w:delText xml:space="preserve">and loss </w:delText>
        </w:r>
        <w:r w:rsidR="00FD54FC" w:rsidRPr="002A677E" w:rsidDel="00D459E0">
          <w:delText xml:space="preserve">event types (as </w:delText>
        </w:r>
        <w:r w:rsidR="001F6487" w:rsidRPr="002A677E" w:rsidDel="00D459E0">
          <w:delText>referred to in</w:delText>
        </w:r>
        <w:r w:rsidR="00FD54FC" w:rsidRPr="002A677E" w:rsidDel="00D459E0">
          <w:delText xml:space="preserve"> in Article 324 </w:delText>
        </w:r>
        <w:r w:rsidR="0095353C" w:rsidRPr="001235ED" w:rsidDel="00D459E0">
          <w:rPr>
            <w:lang w:val="en-US"/>
          </w:rPr>
          <w:delText>of Regulation (EU) No 575/2013</w:delText>
        </w:r>
        <w:r w:rsidR="001F6487" w:rsidRPr="002A677E" w:rsidDel="00D459E0">
          <w:delText xml:space="preserve">). </w:delText>
        </w:r>
      </w:del>
      <w:r w:rsidR="001F6487" w:rsidRPr="002A677E">
        <w:t>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E434A1" w:rsidP="00E434A1">
      <w:pPr>
        <w:pStyle w:val="InstructionsText2"/>
        <w:numPr>
          <w:ilvl w:val="0"/>
          <w:numId w:val="0"/>
        </w:numPr>
        <w:rPr>
          <w:ins w:id="621" w:author="Author"/>
        </w:rPr>
      </w:pPr>
      <w:r>
        <w:fldChar w:fldCharType="begin"/>
      </w:r>
      <w:r>
        <w:instrText xml:space="preserve"> seq paragraphs </w:instrText>
      </w:r>
      <w:r>
        <w:fldChar w:fldCharType="separate"/>
      </w:r>
      <w:r w:rsidR="00771068"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rPr>
          <w:ins w:id="622" w:author="Author"/>
        </w:rPr>
      </w:pPr>
      <w:ins w:id="623" w:author="Author">
        <w:r>
          <w:t xml:space="preserve">154a. </w:t>
        </w:r>
        <w:r w:rsidR="008A1E95" w:rsidRPr="001619AF">
          <w:t xml:space="preserve">Loss recoveries shall be reported with a positive sign. </w:t>
        </w:r>
      </w:ins>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4" w:name="_Toc473561027"/>
      <w:bookmarkStart w:id="625"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624"/>
      <w:bookmarkEnd w:id="6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1C359BE7" w:rsidR="00FD54FC" w:rsidDel="0084728B" w:rsidRDefault="00FD54FC" w:rsidP="0084728B">
            <w:pPr>
              <w:rPr>
                <w:del w:id="626" w:author="Autho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event types</w:t>
            </w:r>
            <w:r w:rsidR="00E62FFE">
              <w:rPr>
                <w:rFonts w:ascii="Times New Roman" w:hAnsi="Times New Roman"/>
                <w:sz w:val="24"/>
              </w:rPr>
              <w:t>.</w:t>
            </w:r>
            <w:ins w:id="627" w:author="Author">
              <w:del w:id="628" w:author="Author">
                <w:r w:rsidR="0084728B">
                  <w:rPr>
                    <w:rFonts w:ascii="Times New Roman" w:hAnsi="Times New Roman"/>
                    <w:sz w:val="24"/>
                  </w:rPr>
                  <w:delText>.</w:delText>
                </w:r>
                <w:r w:rsidR="0084728B" w:rsidRPr="002A677E" w:rsidDel="0084728B">
                  <w:rPr>
                    <w:rFonts w:ascii="Times New Roman" w:hAnsi="Times New Roman"/>
                    <w:sz w:val="24"/>
                  </w:rPr>
                  <w:delText xml:space="preserve"> </w:delText>
                </w:r>
              </w:del>
            </w:ins>
            <w:del w:id="629" w:author="Author">
              <w:r w:rsidR="001F6487" w:rsidRPr="002A677E" w:rsidDel="0084728B">
                <w:rPr>
                  <w:rFonts w:ascii="Times New Roman" w:hAnsi="Times New Roman"/>
                  <w:sz w:val="24"/>
                </w:rPr>
                <w:delText xml:space="preserve">referred to </w:delText>
              </w:r>
              <w:r w:rsidRPr="002A677E" w:rsidDel="0084728B">
                <w:rPr>
                  <w:rFonts w:ascii="Times New Roman" w:hAnsi="Times New Roman"/>
                  <w:sz w:val="24"/>
                </w:rPr>
                <w:delText xml:space="preserve">in Article 324 </w:delText>
              </w:r>
              <w:r w:rsidR="0095353C" w:rsidRPr="001235ED" w:rsidDel="0084728B">
                <w:rPr>
                  <w:rFonts w:ascii="Times New Roman" w:hAnsi="Times New Roman"/>
                  <w:sz w:val="24"/>
                  <w:lang w:val="en-US"/>
                </w:rPr>
                <w:delText>of Regulation (EU) No 575/2013</w:delText>
              </w:r>
              <w:r w:rsidRPr="002A677E" w:rsidDel="0084728B">
                <w:rPr>
                  <w:rFonts w:ascii="Times New Roman" w:hAnsi="Times New Roman"/>
                  <w:sz w:val="24"/>
                  <w:lang w:eastAsia="de-DE"/>
                </w:rPr>
                <w:delText>.</w:delText>
              </w:r>
              <w:r w:rsidRPr="002A677E" w:rsidDel="0084728B">
                <w:rPr>
                  <w:rFonts w:ascii="Times New Roman" w:hAnsi="Times New Roman"/>
                  <w:sz w:val="24"/>
                </w:rPr>
                <w:delText xml:space="preserve"> </w:delText>
              </w:r>
            </w:del>
          </w:p>
          <w:p w14:paraId="77CB6459" w14:textId="77777777" w:rsidR="0084728B" w:rsidRPr="002A677E" w:rsidRDefault="0084728B" w:rsidP="0084728B">
            <w:pPr>
              <w:rPr>
                <w:ins w:id="630" w:author="Author"/>
                <w:rFonts w:ascii="Times New Roman" w:hAnsi="Times New Roman"/>
                <w:sz w:val="24"/>
              </w:rPr>
            </w:pPr>
          </w:p>
          <w:p w14:paraId="3023C2E3" w14:textId="595555F5" w:rsidR="00FD54FC" w:rsidRPr="002A677E" w:rsidRDefault="00FD54FC" w:rsidP="0084728B">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that calculate</w:t>
            </w:r>
            <w:ins w:id="631" w:author="Author">
              <w:r w:rsidR="00B320ED">
                <w:rPr>
                  <w:rFonts w:ascii="Times New Roman" w:hAnsi="Times New Roman"/>
                  <w:bCs/>
                  <w:sz w:val="24"/>
                  <w:lang w:eastAsia="nl-BE"/>
                </w:rPr>
                <w:t>d</w:t>
              </w:r>
            </w:ins>
            <w:r w:rsidR="00871877" w:rsidRPr="002A677E">
              <w:rPr>
                <w:rFonts w:ascii="Times New Roman" w:hAnsi="Times New Roman"/>
                <w:bCs/>
                <w:sz w:val="24"/>
                <w:lang w:eastAsia="nl-BE"/>
              </w:rPr>
              <w:t xml:space="preserve"> </w:t>
            </w:r>
            <w:ins w:id="632" w:author="Author">
              <w:r w:rsidR="00B30A1C">
                <w:rPr>
                  <w:rFonts w:ascii="Times New Roman" w:hAnsi="Times New Roman"/>
                  <w:sz w:val="24"/>
                  <w:lang w:eastAsia="nl-BE"/>
                </w:rPr>
                <w:t xml:space="preserve">in December </w:t>
              </w:r>
              <w:del w:id="633" w:author="Author">
                <w:r w:rsidR="00B30A1C" w:rsidDel="00E62FFE">
                  <w:rPr>
                    <w:rFonts w:ascii="Times New Roman" w:hAnsi="Times New Roman"/>
                    <w:sz w:val="24"/>
                    <w:lang w:eastAsia="nl-BE"/>
                  </w:rPr>
                  <w:delText xml:space="preserve">2024  </w:delText>
                </w:r>
              </w:del>
            </w:ins>
            <w:del w:id="634" w:author="Author">
              <w:r w:rsidR="00871877" w:rsidRPr="002A677E" w:rsidDel="00E62FFE">
                <w:rPr>
                  <w:rFonts w:ascii="Times New Roman" w:hAnsi="Times New Roman"/>
                  <w:bCs/>
                  <w:sz w:val="24"/>
                  <w:lang w:eastAsia="nl-BE"/>
                </w:rPr>
                <w:delText>their</w:delText>
              </w:r>
            </w:del>
            <w:ins w:id="635" w:author="Author">
              <w:r w:rsidR="00E62FFE">
                <w:rPr>
                  <w:rFonts w:ascii="Times New Roman" w:hAnsi="Times New Roman"/>
                  <w:sz w:val="24"/>
                  <w:lang w:eastAsia="nl-BE"/>
                </w:rPr>
                <w:t>2024 their</w:t>
              </w:r>
            </w:ins>
            <w:r w:rsidR="00871877" w:rsidRPr="002A677E">
              <w:rPr>
                <w:rFonts w:ascii="Times New Roman" w:hAnsi="Times New Roman"/>
                <w:bCs/>
                <w:sz w:val="24"/>
                <w:lang w:eastAsia="nl-BE"/>
              </w:rPr>
              <w:t xml:space="preserve">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w:t>
            </w:r>
            <w:ins w:id="636" w:author="Author">
              <w:r w:rsidR="00FD41A1">
                <w:rPr>
                  <w:rFonts w:ascii="Times New Roman" w:hAnsi="Times New Roman"/>
                  <w:bCs/>
                  <w:sz w:val="24"/>
                  <w:lang w:eastAsia="nl-BE"/>
                </w:rPr>
                <w:t>0</w:t>
              </w:r>
            </w:ins>
            <w:r w:rsidRPr="002A677E">
              <w:rPr>
                <w:rFonts w:ascii="Times New Roman" w:hAnsi="Times New Roman"/>
                <w:bCs/>
                <w:sz w:val="24"/>
                <w:lang w:eastAsia="nl-BE"/>
              </w:rPr>
              <w:t>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w:t>
            </w:r>
            <w:ins w:id="637" w:author="Author">
              <w:r w:rsidR="00431185">
                <w:rPr>
                  <w:rStyle w:val="InstructionsTabelleText"/>
                  <w:rFonts w:ascii="Times New Roman" w:hAnsi="Times New Roman"/>
                  <w:sz w:val="24"/>
                </w:rPr>
                <w:t>0</w:t>
              </w:r>
            </w:ins>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29F5DF86"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w:t>
            </w:r>
            <w:ins w:id="638" w:author="Author">
              <w:r w:rsidR="000A2694" w:rsidRPr="01913746">
                <w:rPr>
                  <w:rStyle w:val="InstructionsTabelleText"/>
                  <w:rFonts w:ascii="Times New Roman" w:hAnsi="Times New Roman"/>
                  <w:sz w:val="24"/>
                </w:rPr>
                <w:t xml:space="preserve">already defined and used </w:t>
              </w:r>
            </w:ins>
            <w:del w:id="639" w:author="Author">
              <w:r w:rsidRPr="002A677E" w:rsidDel="000A2694">
                <w:rPr>
                  <w:rStyle w:val="InstructionsTabelleText"/>
                  <w:rFonts w:ascii="Times New Roman" w:hAnsi="Times New Roman"/>
                  <w:sz w:val="24"/>
                </w:rPr>
                <w:delText>they are using</w:delText>
              </w:r>
            </w:del>
            <w:r w:rsidRPr="002A677E">
              <w:rPr>
                <w:rStyle w:val="InstructionsTabelleText"/>
                <w:rFonts w:ascii="Times New Roman" w:hAnsi="Times New Roman"/>
                <w:sz w:val="24"/>
              </w:rPr>
              <w:t xml:space="preserve"> for the internal loss data collection</w:t>
            </w:r>
            <w:ins w:id="640" w:author="Author">
              <w:r w:rsidR="000A2694">
                <w:rPr>
                  <w:rStyle w:val="InstructionsTabelleText"/>
                  <w:rFonts w:ascii="Times New Roman" w:hAnsi="Times New Roman"/>
                  <w:sz w:val="24"/>
                </w:rPr>
                <w:t>.</w:t>
              </w:r>
            </w:ins>
            <w:r w:rsidRPr="002A677E">
              <w:rPr>
                <w:rStyle w:val="InstructionsTabelleText"/>
                <w:rFonts w:ascii="Times New Roman" w:hAnsi="Times New Roman"/>
                <w:sz w:val="24"/>
              </w:rPr>
              <w:t xml:space="preserve"> </w:t>
            </w:r>
            <w:del w:id="641" w:author="Author">
              <w:r w:rsidRPr="002A677E" w:rsidDel="000A2694">
                <w:rPr>
                  <w:rStyle w:val="InstructionsTabelleText"/>
                  <w:rFonts w:ascii="Times New Roman" w:hAnsi="Times New Roman"/>
                  <w:sz w:val="24"/>
                </w:rPr>
                <w:delText xml:space="preserve">in accordance with </w:delText>
              </w:r>
              <w:r w:rsidR="00705025" w:rsidRPr="002A677E" w:rsidDel="000A2694">
                <w:rPr>
                  <w:rStyle w:val="InstructionsTabelleText"/>
                  <w:rFonts w:ascii="Times New Roman" w:hAnsi="Times New Roman"/>
                  <w:sz w:val="24"/>
                </w:rPr>
                <w:delText>the last sentence of</w:delText>
              </w:r>
              <w:r w:rsidR="00402284" w:rsidDel="000A2694">
                <w:rPr>
                  <w:rStyle w:val="InstructionsTabelleText"/>
                  <w:rFonts w:ascii="Times New Roman" w:hAnsi="Times New Roman"/>
                  <w:sz w:val="24"/>
                </w:rPr>
                <w:delText xml:space="preserve"> </w:delText>
              </w:r>
              <w:r w:rsidRPr="002A677E" w:rsidDel="000A2694">
                <w:rPr>
                  <w:rStyle w:val="InstructionsTabelleText"/>
                  <w:rFonts w:ascii="Times New Roman" w:hAnsi="Times New Roman"/>
                  <w:sz w:val="24"/>
                </w:rPr>
                <w:delText>Article 322(3)</w:delText>
              </w:r>
              <w:r w:rsidR="00B83DDE" w:rsidDel="000A2694">
                <w:rPr>
                  <w:rStyle w:val="InstructionsTabelleText"/>
                  <w:rFonts w:ascii="Times New Roman" w:hAnsi="Times New Roman"/>
                  <w:sz w:val="24"/>
                </w:rPr>
                <w:delText>, p</w:delText>
              </w:r>
              <w:r w:rsidR="00FD7CAF" w:rsidRPr="002A677E" w:rsidDel="000A2694">
                <w:rPr>
                  <w:rStyle w:val="InstructionsTabelleText"/>
                  <w:rFonts w:ascii="Times New Roman" w:hAnsi="Times New Roman"/>
                  <w:sz w:val="24"/>
                </w:rPr>
                <w:delText>oint (c)</w:delText>
              </w:r>
              <w:r w:rsidR="00BE1277" w:rsidDel="000A2694">
                <w:rPr>
                  <w:rStyle w:val="InstructionsTabelleText"/>
                  <w:rFonts w:ascii="Times New Roman" w:hAnsi="Times New Roman"/>
                  <w:sz w:val="24"/>
                </w:rPr>
                <w:delText>,</w:delText>
              </w:r>
              <w:r w:rsidR="00FD7CAF" w:rsidRPr="002A677E" w:rsidDel="000A2694">
                <w:rPr>
                  <w:rStyle w:val="InstructionsTabelleText"/>
                  <w:rFonts w:ascii="Times New Roman" w:hAnsi="Times New Roman"/>
                  <w:sz w:val="24"/>
                </w:rPr>
                <w:delText xml:space="preserve"> </w:delText>
              </w:r>
              <w:r w:rsidR="0095353C" w:rsidRPr="001235ED" w:rsidDel="000A2694">
                <w:rPr>
                  <w:rFonts w:ascii="Times New Roman" w:hAnsi="Times New Roman"/>
                  <w:sz w:val="24"/>
                  <w:lang w:val="en-US"/>
                </w:rPr>
                <w:delText>of Regulation (EU) No 575/2013</w:delText>
              </w:r>
              <w:r w:rsidRPr="002A677E" w:rsidDel="000A2694">
                <w:rPr>
                  <w:rStyle w:val="InstructionsTabelleText"/>
                  <w:rFonts w:ascii="Times New Roman" w:hAnsi="Times New Roman"/>
                  <w:sz w:val="24"/>
                </w:rPr>
                <w:delText xml:space="preserve">. </w:delText>
              </w:r>
            </w:del>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6DED3FAD"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w:t>
            </w:r>
            <w:del w:id="642" w:author="Author">
              <w:r w:rsidR="00FD54FC" w:rsidRPr="002A677E" w:rsidDel="000A2694">
                <w:rPr>
                  <w:rStyle w:val="InstructionsTabelleText"/>
                  <w:rFonts w:ascii="Times New Roman" w:hAnsi="Times New Roman"/>
                  <w:sz w:val="24"/>
                </w:rPr>
                <w:delText xml:space="preserve">regulatory </w:delText>
              </w:r>
            </w:del>
            <w:r w:rsidR="00FD54FC" w:rsidRPr="002A677E">
              <w:rPr>
                <w:rStyle w:val="InstructionsTabelleText"/>
                <w:rFonts w:ascii="Times New Roman" w:hAnsi="Times New Roman"/>
                <w:sz w:val="24"/>
              </w:rPr>
              <w:t xml:space="preserve">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1123D94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ins w:id="643" w:author="Author">
              <w:r w:rsidR="00953D93">
                <w:rPr>
                  <w:rFonts w:ascii="Times New Roman" w:hAnsi="Times New Roman"/>
                  <w:sz w:val="24"/>
                  <w:szCs w:val="24"/>
                  <w:lang w:val="en-GB"/>
                </w:rPr>
                <w:t xml:space="preserve"> loss event type and</w:t>
              </w:r>
            </w:ins>
            <w:r w:rsidRPr="002A677E">
              <w:rPr>
                <w:rFonts w:ascii="Times New Roman" w:hAnsi="Times New Roman"/>
                <w:sz w:val="24"/>
                <w:szCs w:val="24"/>
                <w:lang w:val="en-GB"/>
              </w:rPr>
              <w:t xml:space="preserve"> business line </w:t>
            </w:r>
            <w:del w:id="644" w:author="Author">
              <w:r w:rsidR="001F6487" w:rsidRPr="002A677E">
                <w:rPr>
                  <w:rFonts w:ascii="Times New Roman" w:hAnsi="Times New Roman"/>
                  <w:sz w:val="24"/>
                  <w:szCs w:val="24"/>
                  <w:lang w:val="en-GB"/>
                </w:rPr>
                <w:delText xml:space="preserve">referred to </w:delText>
              </w:r>
              <w:r w:rsidRPr="002A677E">
                <w:rPr>
                  <w:rFonts w:ascii="Times New Roman" w:hAnsi="Times New Roman"/>
                  <w:sz w:val="24"/>
                  <w:szCs w:val="24"/>
                  <w:lang w:val="en-GB"/>
                </w:rPr>
                <w:delText xml:space="preserve">in </w:delText>
              </w:r>
              <w:r w:rsidRPr="002A677E" w:rsidDel="00436929">
                <w:rPr>
                  <w:rFonts w:ascii="Times New Roman" w:hAnsi="Times New Roman"/>
                  <w:sz w:val="24"/>
                  <w:szCs w:val="24"/>
                  <w:lang w:val="en-GB"/>
                </w:rPr>
                <w:delText>Article 317(4)</w:delText>
              </w:r>
              <w:r w:rsidR="00FD7CAF" w:rsidRPr="002A677E" w:rsidDel="00436929">
                <w:rPr>
                  <w:rFonts w:ascii="Times New Roman" w:hAnsi="Times New Roman"/>
                  <w:sz w:val="24"/>
                  <w:szCs w:val="24"/>
                  <w:lang w:val="en-GB"/>
                </w:rPr>
                <w:delText>,</w:delText>
              </w:r>
              <w:r w:rsidR="00133396" w:rsidRPr="002A677E" w:rsidDel="00436929">
                <w:rPr>
                  <w:rFonts w:ascii="Times New Roman" w:hAnsi="Times New Roman"/>
                  <w:sz w:val="24"/>
                  <w:szCs w:val="24"/>
                  <w:lang w:val="en-GB"/>
                </w:rPr>
                <w:delText xml:space="preserve"> </w:delText>
              </w:r>
              <w:r w:rsidR="00FD7CAF" w:rsidRPr="002A677E" w:rsidDel="00436929">
                <w:rPr>
                  <w:rFonts w:ascii="Times New Roman" w:hAnsi="Times New Roman"/>
                  <w:sz w:val="24"/>
                  <w:szCs w:val="24"/>
                  <w:lang w:val="en-GB"/>
                </w:rPr>
                <w:delText xml:space="preserve">Table 2 </w:delText>
              </w:r>
              <w:r w:rsidR="0095353C" w:rsidRPr="001235ED" w:rsidDel="00436929">
                <w:rPr>
                  <w:rFonts w:ascii="Times New Roman" w:hAnsi="Times New Roman"/>
                  <w:sz w:val="24"/>
                  <w:szCs w:val="24"/>
                  <w:lang w:val="en-US"/>
                </w:rPr>
                <w:delText>of Regulation (EU) No 575/2013</w:delText>
              </w:r>
              <w:r w:rsidRPr="002A677E" w:rsidDel="00436929">
                <w:rPr>
                  <w:rFonts w:ascii="Times New Roman" w:hAnsi="Times New Roman"/>
                  <w:sz w:val="24"/>
                  <w:szCs w:val="24"/>
                  <w:lang w:val="en-GB" w:eastAsia="de-DE"/>
                </w:rPr>
                <w:delText>, including the additional business line "Corporate items" as referred to in</w:delText>
              </w:r>
              <w:r w:rsidRPr="002A677E" w:rsidDel="00436929">
                <w:rPr>
                  <w:rFonts w:ascii="Times New Roman" w:hAnsi="Times New Roman"/>
                  <w:sz w:val="24"/>
                  <w:szCs w:val="24"/>
                  <w:lang w:val="en-GB"/>
                </w:rPr>
                <w:delText xml:space="preserve"> Article 322(3)</w:delText>
              </w:r>
              <w:r w:rsidR="00B83DDE" w:rsidDel="00436929">
                <w:rPr>
                  <w:rFonts w:ascii="Times New Roman" w:hAnsi="Times New Roman"/>
                  <w:sz w:val="24"/>
                  <w:szCs w:val="24"/>
                  <w:lang w:val="en-GB"/>
                </w:rPr>
                <w:delText>, p</w:delText>
              </w:r>
              <w:r w:rsidR="00FD7CAF" w:rsidRPr="002A677E" w:rsidDel="00436929">
                <w:rPr>
                  <w:rFonts w:ascii="Times New Roman" w:hAnsi="Times New Roman"/>
                  <w:sz w:val="24"/>
                  <w:szCs w:val="24"/>
                  <w:lang w:val="en-GB"/>
                </w:rPr>
                <w:delText>oint (b)</w:delText>
              </w:r>
              <w:r w:rsidR="00BE1277" w:rsidDel="00436929">
                <w:rPr>
                  <w:rFonts w:ascii="Times New Roman" w:hAnsi="Times New Roman"/>
                  <w:sz w:val="24"/>
                  <w:szCs w:val="24"/>
                  <w:lang w:val="en-GB"/>
                </w:rPr>
                <w:delText>,</w:delText>
              </w:r>
              <w:r w:rsidR="00FD7CAF" w:rsidRPr="002A677E" w:rsidDel="00436929">
                <w:rPr>
                  <w:rFonts w:ascii="Times New Roman" w:hAnsi="Times New Roman"/>
                  <w:sz w:val="24"/>
                  <w:szCs w:val="24"/>
                  <w:lang w:val="en-GB"/>
                </w:rPr>
                <w:delText xml:space="preserve"> </w:delText>
              </w:r>
              <w:r w:rsidR="0095353C" w:rsidRPr="001235ED" w:rsidDel="00436929">
                <w:rPr>
                  <w:rFonts w:ascii="Times New Roman" w:hAnsi="Times New Roman"/>
                  <w:sz w:val="24"/>
                  <w:szCs w:val="24"/>
                  <w:lang w:val="en-US"/>
                </w:rPr>
                <w:delText>of that Regulation</w:delText>
              </w:r>
              <w:r w:rsidRPr="002A677E" w:rsidDel="00436929">
                <w:rPr>
                  <w:rFonts w:ascii="Times New Roman" w:hAnsi="Times New Roman"/>
                  <w:sz w:val="24"/>
                  <w:szCs w:val="24"/>
                  <w:lang w:val="en-GB" w:eastAsia="de-DE"/>
                </w:rPr>
                <w:delText xml:space="preserve">, and for each </w:delText>
              </w:r>
              <w:r w:rsidR="00650B6C" w:rsidRPr="002A677E" w:rsidDel="00436929">
                <w:rPr>
                  <w:rFonts w:ascii="Times New Roman" w:hAnsi="Times New Roman"/>
                  <w:sz w:val="24"/>
                  <w:szCs w:val="24"/>
                  <w:lang w:val="en-GB" w:eastAsia="de-DE"/>
                </w:rPr>
                <w:delText xml:space="preserve">loss </w:delText>
              </w:r>
              <w:r w:rsidRPr="002A677E" w:rsidDel="00436929">
                <w:rPr>
                  <w:rFonts w:ascii="Times New Roman" w:hAnsi="Times New Roman"/>
                  <w:sz w:val="24"/>
                  <w:szCs w:val="24"/>
                  <w:lang w:val="en-GB" w:eastAsia="de-DE"/>
                </w:rPr>
                <w:delText xml:space="preserve">event type, </w:delText>
              </w:r>
            </w:del>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483F4D2F"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Institutions that calculate</w:t>
            </w:r>
            <w:ins w:id="645" w:author="Author">
              <w:r w:rsidR="00D57047">
                <w:rPr>
                  <w:rFonts w:ascii="Times New Roman" w:hAnsi="Times New Roman"/>
                  <w:sz w:val="24"/>
                  <w:lang w:eastAsia="de-DE"/>
                </w:rPr>
                <w:t>d</w:t>
              </w:r>
            </w:ins>
            <w:r w:rsidRPr="002A677E">
              <w:rPr>
                <w:rFonts w:ascii="Times New Roman" w:hAnsi="Times New Roman"/>
                <w:sz w:val="24"/>
                <w:lang w:eastAsia="de-DE"/>
              </w:rPr>
              <w:t xml:space="preserve"> their own funds requirement </w:t>
            </w:r>
            <w:r w:rsidR="00BB22D4" w:rsidRPr="002A677E">
              <w:rPr>
                <w:rFonts w:ascii="Times New Roman" w:hAnsi="Times New Roman"/>
                <w:sz w:val="24"/>
                <w:lang w:eastAsia="de-DE"/>
              </w:rPr>
              <w:t>in</w:t>
            </w:r>
            <w:ins w:id="646" w:author="Author">
              <w:r w:rsidR="0001698A">
                <w:rPr>
                  <w:rFonts w:ascii="Times New Roman" w:hAnsi="Times New Roman"/>
                  <w:sz w:val="24"/>
                  <w:lang w:eastAsia="de-DE"/>
                </w:rPr>
                <w:t xml:space="preserve"> </w:t>
              </w:r>
              <w:r w:rsidR="0001698A" w:rsidRPr="5405D524">
                <w:rPr>
                  <w:rFonts w:ascii="Times New Roman" w:hAnsi="Times New Roman"/>
                  <w:sz w:val="24"/>
                  <w:lang w:eastAsia="de-DE"/>
                </w:rPr>
                <w:t xml:space="preserve">December </w:t>
              </w:r>
              <w:del w:id="647" w:author="Author">
                <w:r w:rsidR="0001698A" w:rsidRPr="5405D524" w:rsidDel="00E62FFE">
                  <w:rPr>
                    <w:rFonts w:ascii="Times New Roman" w:hAnsi="Times New Roman"/>
                    <w:sz w:val="24"/>
                    <w:lang w:eastAsia="de-DE"/>
                  </w:rPr>
                  <w:delText xml:space="preserve">2024 </w:delText>
                </w:r>
              </w:del>
            </w:ins>
            <w:del w:id="648" w:author="Author">
              <w:r w:rsidR="00BB22D4" w:rsidRPr="002A677E" w:rsidDel="00E62FFE">
                <w:rPr>
                  <w:rFonts w:ascii="Times New Roman" w:hAnsi="Times New Roman"/>
                  <w:sz w:val="24"/>
                  <w:lang w:eastAsia="de-DE"/>
                </w:rPr>
                <w:delText xml:space="preserve"> accordance</w:delText>
              </w:r>
            </w:del>
            <w:ins w:id="649" w:author="Author">
              <w:r w:rsidR="00E62FFE" w:rsidRPr="5405D524">
                <w:rPr>
                  <w:rFonts w:ascii="Times New Roman" w:hAnsi="Times New Roman"/>
                  <w:sz w:val="24"/>
                  <w:lang w:eastAsia="de-DE"/>
                </w:rPr>
                <w:t>2024</w:t>
              </w:r>
              <w:r w:rsidR="00E62FFE">
                <w:rPr>
                  <w:rFonts w:ascii="Times New Roman" w:hAnsi="Times New Roman"/>
                  <w:sz w:val="24"/>
                  <w:lang w:eastAsia="de-DE"/>
                </w:rPr>
                <w:t xml:space="preserve"> in</w:t>
              </w:r>
              <w:r w:rsidR="00E62FFE" w:rsidRPr="5405D524">
                <w:rPr>
                  <w:rFonts w:ascii="Times New Roman" w:hAnsi="Times New Roman"/>
                  <w:sz w:val="24"/>
                  <w:lang w:eastAsia="de-DE"/>
                </w:rPr>
                <w:t xml:space="preserve"> </w:t>
              </w:r>
              <w:r w:rsidR="00E62FFE" w:rsidRPr="002A677E">
                <w:rPr>
                  <w:rFonts w:ascii="Times New Roman" w:hAnsi="Times New Roman"/>
                  <w:sz w:val="24"/>
                  <w:lang w:eastAsia="de-DE"/>
                </w:rPr>
                <w:t>accordance</w:t>
              </w:r>
            </w:ins>
            <w:r w:rsidR="00BB22D4" w:rsidRPr="002A677E">
              <w:rPr>
                <w:rFonts w:ascii="Times New Roman" w:hAnsi="Times New Roman"/>
                <w:sz w:val="24"/>
                <w:lang w:eastAsia="de-DE"/>
              </w:rPr>
              <w:t xml:space="preserv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6B95FC01"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del w:id="650" w:author="Author">
              <w:r w:rsidRPr="002A677E" w:rsidDel="00CB5A21">
                <w:rPr>
                  <w:rFonts w:ascii="Times New Roman" w:hAnsi="Times New Roman"/>
                  <w:sz w:val="24"/>
                  <w:lang w:eastAsia="de-DE"/>
                </w:rPr>
                <w:delText xml:space="preserve">accumulated </w:delText>
              </w:r>
            </w:del>
            <w:ins w:id="651" w:author="Autho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ins>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5311E53"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ins w:id="652" w:author="Author">
              <w:del w:id="653" w:author="Author">
                <w:r w:rsidR="00E723F5" w:rsidRPr="01913746">
                  <w:rPr>
                    <w:rFonts w:ascii="Times New Roman" w:hAnsi="Times New Roman"/>
                    <w:sz w:val="24"/>
                    <w:lang w:eastAsia="de-DE"/>
                  </w:rPr>
                  <w:delText xml:space="preserve">referred </w:delText>
                </w:r>
              </w:del>
              <w:r w:rsidR="00E65359">
                <w:rPr>
                  <w:rFonts w:ascii="Times New Roman" w:hAnsi="Times New Roman"/>
                  <w:sz w:val="24"/>
                  <w:lang w:eastAsia="de-DE"/>
                </w:rPr>
                <w:t>in accordance with</w:t>
              </w:r>
              <w:del w:id="654" w:author="Author">
                <w:r w:rsidR="00E723F5" w:rsidRPr="01913746">
                  <w:rPr>
                    <w:rFonts w:ascii="Times New Roman" w:hAnsi="Times New Roman"/>
                    <w:sz w:val="24"/>
                    <w:lang w:eastAsia="de-DE"/>
                  </w:rPr>
                  <w:delText>to in</w:delText>
                </w:r>
              </w:del>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ins>
            <w:del w:id="655" w:author="Author">
              <w:r w:rsidRPr="002A677E" w:rsidDel="00E723F5">
                <w:rPr>
                  <w:rFonts w:ascii="Times New Roman" w:hAnsi="Times New Roman"/>
                  <w:sz w:val="24"/>
                  <w:lang w:eastAsia="de-DE"/>
                </w:rPr>
                <w:delText>(e.g. direct charges</w:delText>
              </w:r>
              <w:r w:rsidR="00B83DDE" w:rsidDel="00E723F5">
                <w:rPr>
                  <w:rFonts w:ascii="Times New Roman" w:hAnsi="Times New Roman"/>
                  <w:sz w:val="24"/>
                  <w:lang w:eastAsia="de-DE"/>
                </w:rPr>
                <w:delText>, p</w:delText>
              </w:r>
              <w:r w:rsidRPr="002A677E" w:rsidDel="00E723F5">
                <w:rPr>
                  <w:rFonts w:ascii="Times New Roman" w:hAnsi="Times New Roman"/>
                  <w:sz w:val="24"/>
                  <w:lang w:eastAsia="de-DE"/>
                </w:rPr>
                <w:delText xml:space="preserve">rovisions, settlements). </w:delText>
              </w:r>
            </w:del>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 xml:space="preserve">included in any previous </w:t>
            </w:r>
            <w:r w:rsidRPr="002A677E">
              <w:rPr>
                <w:rFonts w:ascii="Times New Roman" w:hAnsi="Times New Roman"/>
                <w:sz w:val="24"/>
                <w:lang w:eastAsia="de-DE"/>
              </w:rPr>
              <w:lastRenderedPageBreak/>
              <w:t>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lastRenderedPageBreak/>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8F48E9A"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del w:id="656" w:author="Author">
              <w:r w:rsidR="005A020C" w:rsidRPr="002A677E" w:rsidDel="00FD17D7">
                <w:rPr>
                  <w:rFonts w:ascii="Times New Roman" w:hAnsi="Times New Roman"/>
                  <w:sz w:val="24"/>
                  <w:lang w:eastAsia="de-DE"/>
                </w:rPr>
                <w:delText xml:space="preserve">Article 323 </w:delText>
              </w:r>
              <w:r w:rsidR="0095353C" w:rsidRPr="001235ED" w:rsidDel="00FD17D7">
                <w:rPr>
                  <w:rFonts w:ascii="Times New Roman" w:hAnsi="Times New Roman"/>
                  <w:sz w:val="24"/>
                  <w:lang w:val="en-US"/>
                </w:rPr>
                <w:delText>of Regulation (EU) No 575/2013</w:delText>
              </w:r>
            </w:del>
            <w:ins w:id="657" w:author="Author">
              <w:r w:rsidR="00FD17D7">
                <w:rPr>
                  <w:rFonts w:ascii="Times New Roman" w:hAnsi="Times New Roman"/>
                  <w:sz w:val="24"/>
                  <w:lang w:eastAsia="de-DE"/>
                </w:rPr>
                <w:t>insurance</w:t>
              </w:r>
            </w:ins>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00FD54FC">
            <w:pPr>
              <w:rPr>
                <w:ins w:id="658" w:author="Author"/>
                <w:rFonts w:ascii="Times New Roman" w:hAnsi="Times New Roman"/>
                <w:sz w:val="24"/>
                <w:lang w:eastAsia="de-D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495FBED8"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del w:id="659" w:author="Author">
              <w:r w:rsidRPr="002A677E" w:rsidDel="00EF57B0">
                <w:rPr>
                  <w:rStyle w:val="InstructionsTabelleberschrift"/>
                  <w:rFonts w:ascii="Times New Roman" w:hAnsi="Times New Roman"/>
                  <w:sz w:val="24"/>
                  <w:lang w:eastAsia="es-ES_tradnl"/>
                </w:rPr>
                <w:delText>and other risk transfer mechanisms</w:delText>
              </w:r>
            </w:del>
          </w:p>
          <w:p w14:paraId="22B75DB4" w14:textId="2E75C956"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w:t>
            </w:r>
            <w:del w:id="660" w:author="Author">
              <w:r w:rsidRPr="002A677E" w:rsidDel="00EF57B0">
                <w:rPr>
                  <w:rFonts w:ascii="Times New Roman" w:hAnsi="Times New Roman"/>
                  <w:sz w:val="24"/>
                  <w:lang w:eastAsia="de-DE"/>
                </w:rPr>
                <w:delText xml:space="preserve">and other risk transfer mechanisms </w:delText>
              </w:r>
            </w:del>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ins w:id="661" w:author="Author">
              <w:r w:rsidR="00831ABE">
                <w:rPr>
                  <w:rFonts w:ascii="Times New Roman" w:hAnsi="Times New Roman"/>
                  <w:sz w:val="24"/>
                  <w:lang w:eastAsia="de-DE"/>
                </w:rPr>
                <w:t>in accordance with</w:t>
              </w:r>
            </w:ins>
            <w:del w:id="662" w:author="Author">
              <w:r w:rsidRPr="002A677E">
                <w:rPr>
                  <w:rFonts w:ascii="Times New Roman" w:hAnsi="Times New Roman"/>
                  <w:sz w:val="24"/>
                  <w:lang w:eastAsia="de-DE"/>
                </w:rPr>
                <w:delText xml:space="preserve">which </w:delText>
              </w:r>
              <w:r w:rsidR="00070AF9" w:rsidRPr="002A677E">
                <w:rPr>
                  <w:rFonts w:ascii="Times New Roman" w:hAnsi="Times New Roman"/>
                  <w:sz w:val="24"/>
                  <w:lang w:eastAsia="de-DE"/>
                </w:rPr>
                <w:delText>are subject to</w:delText>
              </w:r>
            </w:del>
            <w:ins w:id="663" w:author="Author">
              <w:r w:rsidR="007907BA">
                <w:rPr>
                  <w:rFonts w:ascii="Times New Roman" w:hAnsi="Times New Roman"/>
                  <w:sz w:val="24"/>
                  <w:lang w:eastAsia="de-DE"/>
                </w:rPr>
                <w:t xml:space="preserve"> Article 317(1) and</w:t>
              </w:r>
            </w:ins>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ins w:id="664" w:author="Author">
              <w:r w:rsidR="00DE0496">
                <w:rPr>
                  <w:rFonts w:ascii="Times New Roman" w:hAnsi="Times New Roman"/>
                  <w:sz w:val="24"/>
                  <w:lang w:eastAsia="de-DE"/>
                </w:rPr>
                <w:t>18</w:t>
              </w:r>
            </w:ins>
            <w:del w:id="665" w:author="Author">
              <w:r w:rsidRPr="002A677E" w:rsidDel="00DE0496">
                <w:rPr>
                  <w:rFonts w:ascii="Times New Roman" w:hAnsi="Times New Roman"/>
                  <w:sz w:val="24"/>
                  <w:lang w:eastAsia="de-DE"/>
                </w:rPr>
                <w:delText>23</w:delText>
              </w:r>
            </w:del>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76207CDC"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w:t>
            </w:r>
            <w:del w:id="666" w:author="Author">
              <w:r w:rsidRPr="002A677E" w:rsidDel="00597C8C">
                <w:rPr>
                  <w:rFonts w:ascii="Times New Roman" w:hAnsi="Times New Roman"/>
                  <w:sz w:val="24"/>
                  <w:lang w:eastAsia="de-DE"/>
                </w:rPr>
                <w:delText xml:space="preserve">and other risk transfer mechanisms </w:delText>
              </w:r>
            </w:del>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w:t>
            </w:r>
            <w:del w:id="667" w:author="Author">
              <w:r w:rsidRPr="002A677E" w:rsidDel="00597C8C">
                <w:rPr>
                  <w:rFonts w:ascii="Times New Roman" w:hAnsi="Times New Roman"/>
                  <w:sz w:val="24"/>
                  <w:lang w:eastAsia="de-DE"/>
                </w:rPr>
                <w:delText xml:space="preserve">and other risk transfer mechanisms </w:delText>
              </w:r>
            </w:del>
            <w:r w:rsidRPr="002A677E">
              <w:rPr>
                <w:rFonts w:ascii="Times New Roman" w:hAnsi="Times New Roman"/>
                <w:sz w:val="24"/>
                <w:lang w:eastAsia="de-DE"/>
              </w:rPr>
              <w:t xml:space="preserve">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3872AFD4"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Pr="002A677E">
              <w:rPr>
                <w:rFonts w:ascii="Times New Roman" w:hAnsi="Times New Roman"/>
                <w:sz w:val="24"/>
                <w:lang w:eastAsia="de-DE"/>
              </w:rPr>
              <w:lastRenderedPageBreak/>
              <w:t>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w:t>
            </w:r>
            <w:ins w:id="668" w:author="Author">
              <w:r w:rsidR="003B2C7F">
                <w:rPr>
                  <w:rFonts w:ascii="Times New Roman" w:hAnsi="Times New Roman"/>
                  <w:sz w:val="24"/>
                  <w:lang w:eastAsia="de-DE"/>
                </w:rPr>
                <w:t xml:space="preserve"> that</w:t>
              </w:r>
            </w:ins>
            <w:r w:rsidRPr="002A677E">
              <w:rPr>
                <w:rFonts w:ascii="Times New Roman" w:hAnsi="Times New Roman"/>
                <w:sz w:val="24"/>
                <w:lang w:eastAsia="de-DE"/>
              </w:rPr>
              <w:t xml:space="preserve"> calculat</w:t>
            </w:r>
            <w:ins w:id="669" w:author="Author">
              <w:r w:rsidR="003B2C7F">
                <w:rPr>
                  <w:rFonts w:ascii="Times New Roman" w:hAnsi="Times New Roman"/>
                  <w:sz w:val="24"/>
                  <w:lang w:eastAsia="de-DE"/>
                </w:rPr>
                <w:t>ed</w:t>
              </w:r>
            </w:ins>
            <w:del w:id="670" w:author="Author">
              <w:r w:rsidRPr="002A677E" w:rsidDel="003B2C7F">
                <w:rPr>
                  <w:rFonts w:ascii="Times New Roman" w:hAnsi="Times New Roman"/>
                  <w:sz w:val="24"/>
                  <w:lang w:eastAsia="de-DE"/>
                </w:rPr>
                <w:delText>ing</w:delText>
              </w:r>
            </w:del>
            <w:ins w:id="671" w:author="Author">
              <w:r w:rsidR="003B2C7F">
                <w:rPr>
                  <w:rFonts w:ascii="Times New Roman" w:hAnsi="Times New Roman"/>
                  <w:sz w:val="24"/>
                  <w:lang w:eastAsia="de-DE"/>
                </w:rPr>
                <w:t xml:space="preserve"> in December 2024</w:t>
              </w:r>
            </w:ins>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w:t>
            </w:r>
            <w:ins w:id="672" w:author="Author">
              <w:r w:rsidR="00F03A91">
                <w:rPr>
                  <w:rFonts w:ascii="Times New Roman" w:hAnsi="Times New Roman"/>
                  <w:sz w:val="24"/>
                  <w:lang w:eastAsia="de-DE"/>
                </w:rPr>
                <w:t xml:space="preserve"> </w:t>
              </w:r>
            </w:ins>
            <w:r w:rsidRPr="002A677E">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4897C153"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w:t>
            </w:r>
            <w:del w:id="673" w:author="Author">
              <w:r w:rsidRPr="002A677E">
                <w:rPr>
                  <w:rFonts w:ascii="Times New Roman" w:hAnsi="Times New Roman"/>
                  <w:sz w:val="24"/>
                  <w:lang w:eastAsia="de-DE"/>
                </w:rPr>
                <w:delText xml:space="preserve">listed in </w:delText>
              </w:r>
              <w:r w:rsidRPr="002A677E" w:rsidDel="00F03A91">
                <w:rPr>
                  <w:rFonts w:ascii="Times New Roman" w:hAnsi="Times New Roman"/>
                  <w:sz w:val="24"/>
                  <w:lang w:eastAsia="de-DE"/>
                </w:rPr>
                <w:delText>Article 317(4)</w:delText>
              </w:r>
              <w:r w:rsidR="00FD7CAF" w:rsidRPr="002A677E" w:rsidDel="00F03A91">
                <w:rPr>
                  <w:rFonts w:ascii="Times New Roman" w:hAnsi="Times New Roman"/>
                  <w:sz w:val="24"/>
                  <w:lang w:eastAsia="de-DE"/>
                </w:rPr>
                <w:delText>,</w:delText>
              </w:r>
              <w:r w:rsidRPr="002A677E" w:rsidDel="00F03A91">
                <w:rPr>
                  <w:rFonts w:ascii="Times New Roman" w:hAnsi="Times New Roman"/>
                  <w:sz w:val="24"/>
                  <w:lang w:eastAsia="de-DE"/>
                </w:rPr>
                <w:delText xml:space="preserve"> </w:delText>
              </w:r>
              <w:r w:rsidR="00FD7CAF" w:rsidRPr="002A677E" w:rsidDel="00F03A91">
                <w:rPr>
                  <w:rFonts w:ascii="Times New Roman" w:hAnsi="Times New Roman"/>
                  <w:sz w:val="24"/>
                  <w:lang w:eastAsia="de-DE"/>
                </w:rPr>
                <w:delText xml:space="preserve">Table 2 </w:delText>
              </w:r>
              <w:r w:rsidR="0095353C" w:rsidRPr="001235ED" w:rsidDel="00F03A91">
                <w:rPr>
                  <w:rFonts w:ascii="Times New Roman" w:hAnsi="Times New Roman"/>
                  <w:sz w:val="24"/>
                  <w:lang w:val="en-US"/>
                </w:rPr>
                <w:delText>of Regulation (EU) No 575/2013</w:delText>
              </w:r>
              <w:r w:rsidRPr="002A677E" w:rsidDel="00F03A91">
                <w:rPr>
                  <w:rFonts w:ascii="Times New Roman" w:hAnsi="Times New Roman"/>
                  <w:sz w:val="24"/>
                  <w:lang w:eastAsia="de-DE"/>
                </w:rPr>
                <w:delText xml:space="preserve"> </w:delText>
              </w:r>
              <w:r w:rsidRPr="002A677E">
                <w:rPr>
                  <w:rFonts w:ascii="Times New Roman" w:hAnsi="Times New Roman"/>
                  <w:sz w:val="24"/>
                  <w:lang w:eastAsia="de-DE"/>
                </w:rPr>
                <w:delText>or the business line "</w:delText>
              </w:r>
              <w:r w:rsidR="001F6487" w:rsidRPr="002A677E">
                <w:rPr>
                  <w:rFonts w:ascii="Times New Roman" w:hAnsi="Times New Roman"/>
                  <w:sz w:val="24"/>
                  <w:lang w:eastAsia="de-DE"/>
                </w:rPr>
                <w:delText>c</w:delText>
              </w:r>
              <w:r w:rsidRPr="002A677E">
                <w:rPr>
                  <w:rFonts w:ascii="Times New Roman" w:hAnsi="Times New Roman"/>
                  <w:sz w:val="24"/>
                  <w:lang w:eastAsia="de-DE"/>
                </w:rPr>
                <w:delText xml:space="preserve">orporate items" </w:delText>
              </w:r>
              <w:r w:rsidRPr="002A677E" w:rsidDel="00DA5B75">
                <w:rPr>
                  <w:rFonts w:ascii="Times New Roman" w:hAnsi="Times New Roman"/>
                  <w:sz w:val="24"/>
                  <w:lang w:eastAsia="de-DE"/>
                </w:rPr>
                <w:delText>as referred to in Article 322(3)</w:delText>
              </w:r>
              <w:r w:rsidR="00B83DDE" w:rsidDel="00DA5B75">
                <w:rPr>
                  <w:rFonts w:ascii="Times New Roman" w:hAnsi="Times New Roman"/>
                  <w:sz w:val="24"/>
                  <w:lang w:eastAsia="de-DE"/>
                </w:rPr>
                <w:delText>, p</w:delText>
              </w:r>
              <w:r w:rsidR="00FD7CAF" w:rsidRPr="002A677E" w:rsidDel="00DA5B75">
                <w:rPr>
                  <w:rFonts w:ascii="Times New Roman" w:hAnsi="Times New Roman"/>
                  <w:sz w:val="24"/>
                  <w:lang w:eastAsia="de-DE"/>
                </w:rPr>
                <w:delText>oint (b)</w:delText>
              </w:r>
              <w:r w:rsidR="00BE1277" w:rsidDel="00DA5B75">
                <w:rPr>
                  <w:rFonts w:ascii="Times New Roman" w:hAnsi="Times New Roman"/>
                  <w:sz w:val="24"/>
                  <w:lang w:eastAsia="de-DE"/>
                </w:rPr>
                <w:delText>,</w:delText>
              </w:r>
              <w:r w:rsidR="00FD7CAF" w:rsidRPr="002A677E" w:rsidDel="00DA5B75">
                <w:rPr>
                  <w:rFonts w:ascii="Times New Roman" w:hAnsi="Times New Roman"/>
                  <w:sz w:val="24"/>
                  <w:lang w:eastAsia="de-DE"/>
                </w:rPr>
                <w:delText xml:space="preserve"> </w:delText>
              </w:r>
              <w:r w:rsidR="0095353C" w:rsidRPr="001235ED" w:rsidDel="00DA5B75">
                <w:rPr>
                  <w:rFonts w:ascii="Times New Roman" w:hAnsi="Times New Roman"/>
                  <w:sz w:val="24"/>
                  <w:lang w:val="en-US"/>
                </w:rPr>
                <w:delText>of that Regulation</w:delText>
              </w:r>
              <w:r w:rsidR="00402284">
                <w:rPr>
                  <w:rFonts w:ascii="Times New Roman" w:hAnsi="Times New Roman"/>
                  <w:sz w:val="24"/>
                  <w:lang w:val="en-US"/>
                </w:rPr>
                <w:delText xml:space="preserve"> </w:delText>
              </w:r>
            </w:del>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6B86AD05"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w:t>
            </w:r>
            <w:del w:id="674" w:author="Author">
              <w:r w:rsidRPr="002A677E" w:rsidDel="00DA5B75">
                <w:rPr>
                  <w:rFonts w:ascii="Times New Roman" w:hAnsi="Times New Roman"/>
                  <w:sz w:val="24"/>
                  <w:lang w:eastAsia="de-DE"/>
                </w:rPr>
                <w:delText xml:space="preserve">either </w:delText>
              </w:r>
            </w:del>
            <w:r w:rsidRPr="002A677E">
              <w:rPr>
                <w:rFonts w:ascii="Times New Roman" w:hAnsi="Times New Roman"/>
                <w:sz w:val="24"/>
                <w:lang w:eastAsia="de-DE"/>
              </w:rPr>
              <w:t>to a business line</w:t>
            </w:r>
            <w:ins w:id="675" w:author="Author">
              <w:r w:rsidR="00DA5B75">
                <w:rPr>
                  <w:rFonts w:ascii="Times New Roman" w:hAnsi="Times New Roman"/>
                  <w:sz w:val="24"/>
                  <w:lang w:eastAsia="de-DE"/>
                </w:rPr>
                <w:t xml:space="preserve"> </w:t>
              </w:r>
            </w:ins>
            <w:del w:id="676" w:author="Author">
              <w:r w:rsidRPr="002A677E" w:rsidDel="00DA5B75">
                <w:rPr>
                  <w:rFonts w:ascii="Times New Roman" w:hAnsi="Times New Roman"/>
                  <w:sz w:val="24"/>
                  <w:lang w:eastAsia="de-DE"/>
                </w:rPr>
                <w:delText xml:space="preserve">listed in </w:delText>
              </w:r>
              <w:r w:rsidR="001E0C80" w:rsidRPr="002A677E" w:rsidDel="00DA5B75">
                <w:rPr>
                  <w:rFonts w:ascii="Times New Roman" w:hAnsi="Times New Roman"/>
                  <w:sz w:val="24"/>
                  <w:lang w:eastAsia="de-DE"/>
                </w:rPr>
                <w:delText xml:space="preserve">of </w:delText>
              </w:r>
              <w:r w:rsidRPr="002A677E" w:rsidDel="00DA5B75">
                <w:rPr>
                  <w:rFonts w:ascii="Times New Roman" w:hAnsi="Times New Roman"/>
                  <w:sz w:val="24"/>
                  <w:lang w:eastAsia="de-DE"/>
                </w:rPr>
                <w:delText>Article 317(4)</w:delText>
              </w:r>
              <w:r w:rsidR="00FD7CAF" w:rsidRPr="002A677E" w:rsidDel="00DA5B75">
                <w:rPr>
                  <w:rFonts w:ascii="Times New Roman" w:hAnsi="Times New Roman"/>
                  <w:sz w:val="24"/>
                  <w:lang w:eastAsia="de-DE"/>
                </w:rPr>
                <w:delText>,</w:delText>
              </w:r>
              <w:r w:rsidRPr="002A677E" w:rsidDel="00DA5B75">
                <w:rPr>
                  <w:rFonts w:ascii="Times New Roman" w:hAnsi="Times New Roman"/>
                  <w:sz w:val="24"/>
                  <w:lang w:eastAsia="de-DE"/>
                </w:rPr>
                <w:delText xml:space="preserve"> </w:delText>
              </w:r>
              <w:r w:rsidR="00FD7CAF" w:rsidRPr="002A677E" w:rsidDel="00DA5B75">
                <w:rPr>
                  <w:rFonts w:ascii="Times New Roman" w:hAnsi="Times New Roman"/>
                  <w:sz w:val="24"/>
                  <w:lang w:eastAsia="de-DE"/>
                </w:rPr>
                <w:delText xml:space="preserve">Table 2 </w:delText>
              </w:r>
              <w:r w:rsidR="0095353C" w:rsidRPr="001235ED" w:rsidDel="00DA5B75">
                <w:rPr>
                  <w:rFonts w:ascii="Times New Roman" w:hAnsi="Times New Roman"/>
                  <w:sz w:val="24"/>
                  <w:lang w:val="en-US"/>
                </w:rPr>
                <w:delText>of Regulation (EU) No 575/2013</w:delText>
              </w:r>
              <w:r w:rsidRPr="002A677E" w:rsidDel="00DA5B75">
                <w:rPr>
                  <w:rFonts w:ascii="Times New Roman" w:hAnsi="Times New Roman"/>
                  <w:sz w:val="24"/>
                  <w:lang w:eastAsia="de-DE"/>
                </w:rPr>
                <w:delText xml:space="preserve"> or the business line "</w:delText>
              </w:r>
              <w:r w:rsidR="00F41508" w:rsidRPr="002A677E" w:rsidDel="00DA5B75">
                <w:rPr>
                  <w:rFonts w:ascii="Times New Roman" w:hAnsi="Times New Roman"/>
                  <w:sz w:val="24"/>
                  <w:lang w:eastAsia="de-DE"/>
                </w:rPr>
                <w:delText>c</w:delText>
              </w:r>
              <w:r w:rsidRPr="002A677E" w:rsidDel="00DA5B75">
                <w:rPr>
                  <w:rFonts w:ascii="Times New Roman" w:hAnsi="Times New Roman"/>
                  <w:sz w:val="24"/>
                  <w:lang w:eastAsia="de-DE"/>
                </w:rPr>
                <w:delText>orporate items" referred to in Article 322(3)</w:delText>
              </w:r>
              <w:r w:rsidR="00B83DDE" w:rsidDel="00DA5B75">
                <w:rPr>
                  <w:rFonts w:ascii="Times New Roman" w:hAnsi="Times New Roman"/>
                  <w:sz w:val="24"/>
                  <w:lang w:eastAsia="de-DE"/>
                </w:rPr>
                <w:delText>, p</w:delText>
              </w:r>
              <w:r w:rsidR="00FD7CAF" w:rsidRPr="002A677E" w:rsidDel="00DA5B75">
                <w:rPr>
                  <w:rFonts w:ascii="Times New Roman" w:hAnsi="Times New Roman"/>
                  <w:sz w:val="24"/>
                  <w:lang w:eastAsia="de-DE"/>
                </w:rPr>
                <w:delText>oint (b)</w:delText>
              </w:r>
              <w:r w:rsidR="00BE1277" w:rsidDel="00DA5B75">
                <w:rPr>
                  <w:rFonts w:ascii="Times New Roman" w:hAnsi="Times New Roman"/>
                  <w:sz w:val="24"/>
                  <w:lang w:eastAsia="de-DE"/>
                </w:rPr>
                <w:delText>,</w:delText>
              </w:r>
              <w:r w:rsidR="00FD7CAF" w:rsidRPr="002A677E" w:rsidDel="00DA5B75">
                <w:rPr>
                  <w:rFonts w:ascii="Times New Roman" w:hAnsi="Times New Roman"/>
                  <w:sz w:val="24"/>
                  <w:lang w:eastAsia="de-DE"/>
                </w:rPr>
                <w:delText xml:space="preserve"> </w:delText>
              </w:r>
              <w:r w:rsidR="0095353C" w:rsidRPr="001235ED" w:rsidDel="00DA5B75">
                <w:rPr>
                  <w:rFonts w:ascii="Times New Roman" w:hAnsi="Times New Roman"/>
                  <w:sz w:val="24"/>
                  <w:lang w:val="en-US"/>
                </w:rPr>
                <w:delText>of that Regulation</w:delText>
              </w:r>
            </w:del>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256995C4"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w:t>
            </w:r>
            <w:ins w:id="677" w:author="Author">
              <w:r w:rsidR="00192A34">
                <w:rPr>
                  <w:rFonts w:ascii="Times New Roman" w:hAnsi="Times New Roman"/>
                  <w:sz w:val="24"/>
                  <w:lang w:eastAsia="de-DE"/>
                </w:rPr>
                <w:t>ed in December 2024</w:t>
              </w:r>
            </w:ins>
            <w:del w:id="678" w:author="Author">
              <w:r w:rsidRPr="002A677E" w:rsidDel="00192A34">
                <w:rPr>
                  <w:rFonts w:ascii="Times New Roman" w:hAnsi="Times New Roman"/>
                  <w:sz w:val="24"/>
                  <w:lang w:eastAsia="de-DE"/>
                </w:rPr>
                <w:delText>ing</w:delText>
              </w:r>
            </w:del>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58AEF18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840) shall be reported. Provided that the institution has assigned all its losses</w:t>
            </w:r>
            <w:del w:id="679" w:author="Author">
              <w:r w:rsidRPr="002A677E" w:rsidDel="009E402A">
                <w:rPr>
                  <w:rFonts w:ascii="Times New Roman" w:hAnsi="Times New Roman"/>
                  <w:sz w:val="24"/>
                  <w:lang w:eastAsia="de-DE"/>
                </w:rPr>
                <w:delText xml:space="preserve"> either</w:delText>
              </w:r>
            </w:del>
            <w:r w:rsidRPr="002A677E">
              <w:rPr>
                <w:rFonts w:ascii="Times New Roman" w:hAnsi="Times New Roman"/>
                <w:sz w:val="24"/>
                <w:lang w:eastAsia="de-DE"/>
              </w:rPr>
              <w:t xml:space="preserve"> to a business line </w:t>
            </w:r>
            <w:del w:id="680" w:author="Author">
              <w:r w:rsidRPr="002A677E">
                <w:rPr>
                  <w:rFonts w:ascii="Times New Roman" w:hAnsi="Times New Roman"/>
                  <w:sz w:val="24"/>
                  <w:lang w:eastAsia="de-DE"/>
                </w:rPr>
                <w:delText xml:space="preserve">listed </w:delText>
              </w:r>
            </w:del>
            <w:ins w:id="681" w:author="Author">
              <w:del w:id="682" w:author="Author">
                <w:r w:rsidR="009E402A" w:rsidRPr="01913746">
                  <w:rPr>
                    <w:rFonts w:ascii="Times New Roman" w:hAnsi="Times New Roman"/>
                    <w:sz w:val="24"/>
                    <w:lang w:eastAsia="de-DE"/>
                  </w:rPr>
                  <w:delText xml:space="preserve">in </w:delText>
                </w:r>
              </w:del>
            </w:ins>
            <w:del w:id="683" w:author="Author">
              <w:r w:rsidRPr="002A677E" w:rsidDel="009E402A">
                <w:rPr>
                  <w:rFonts w:ascii="Times New Roman" w:hAnsi="Times New Roman"/>
                  <w:sz w:val="24"/>
                  <w:lang w:eastAsia="de-DE"/>
                </w:rPr>
                <w:delText>Article 317(4)</w:delText>
              </w:r>
              <w:r w:rsidR="00FD7CAF" w:rsidRPr="002A677E" w:rsidDel="009E402A">
                <w:rPr>
                  <w:rFonts w:ascii="Times New Roman" w:hAnsi="Times New Roman"/>
                  <w:sz w:val="24"/>
                  <w:lang w:eastAsia="de-DE"/>
                </w:rPr>
                <w:delText>,</w:delText>
              </w:r>
              <w:r w:rsidRPr="002A677E" w:rsidDel="009E402A">
                <w:rPr>
                  <w:rFonts w:ascii="Times New Roman" w:hAnsi="Times New Roman"/>
                  <w:sz w:val="24"/>
                  <w:lang w:eastAsia="de-DE"/>
                </w:rPr>
                <w:delText xml:space="preserve"> </w:delText>
              </w:r>
              <w:r w:rsidR="00FD7CAF" w:rsidRPr="002A677E" w:rsidDel="009E402A">
                <w:rPr>
                  <w:rFonts w:ascii="Times New Roman" w:hAnsi="Times New Roman"/>
                  <w:sz w:val="24"/>
                  <w:lang w:eastAsia="de-DE"/>
                </w:rPr>
                <w:delText xml:space="preserve">Table 2 </w:delText>
              </w:r>
              <w:r w:rsidR="0095353C" w:rsidRPr="001235ED" w:rsidDel="009E402A">
                <w:rPr>
                  <w:rFonts w:ascii="Times New Roman" w:hAnsi="Times New Roman"/>
                  <w:sz w:val="24"/>
                  <w:lang w:val="en-US"/>
                </w:rPr>
                <w:delText>of Regulation (EU) No 575/2013</w:delText>
              </w:r>
              <w:r w:rsidRPr="002A677E" w:rsidDel="009E402A">
                <w:rPr>
                  <w:rFonts w:ascii="Times New Roman" w:hAnsi="Times New Roman"/>
                  <w:sz w:val="24"/>
                  <w:lang w:eastAsia="de-DE"/>
                </w:rPr>
                <w:delText xml:space="preserve"> or the business line "</w:delText>
              </w:r>
              <w:r w:rsidR="00F41508" w:rsidRPr="002A677E" w:rsidDel="009E402A">
                <w:rPr>
                  <w:rFonts w:ascii="Times New Roman" w:hAnsi="Times New Roman"/>
                  <w:sz w:val="24"/>
                  <w:lang w:eastAsia="de-DE"/>
                </w:rPr>
                <w:delText>c</w:delText>
              </w:r>
              <w:r w:rsidRPr="002A677E" w:rsidDel="009E402A">
                <w:rPr>
                  <w:rFonts w:ascii="Times New Roman" w:hAnsi="Times New Roman"/>
                  <w:sz w:val="24"/>
                  <w:lang w:eastAsia="de-DE"/>
                </w:rPr>
                <w:delText>orporate items" referred to in Article 322(3)</w:delText>
              </w:r>
              <w:r w:rsidR="00B83DDE" w:rsidDel="009E402A">
                <w:rPr>
                  <w:rFonts w:ascii="Times New Roman" w:hAnsi="Times New Roman"/>
                  <w:sz w:val="24"/>
                  <w:lang w:eastAsia="de-DE"/>
                </w:rPr>
                <w:delText>, p</w:delText>
              </w:r>
              <w:r w:rsidR="00FD7CAF" w:rsidRPr="002A677E" w:rsidDel="009E402A">
                <w:rPr>
                  <w:rFonts w:ascii="Times New Roman" w:hAnsi="Times New Roman"/>
                  <w:sz w:val="24"/>
                  <w:lang w:eastAsia="de-DE"/>
                </w:rPr>
                <w:delText>oint (b)</w:delText>
              </w:r>
              <w:r w:rsidR="00BE1277" w:rsidDel="009E402A">
                <w:rPr>
                  <w:rFonts w:ascii="Times New Roman" w:hAnsi="Times New Roman"/>
                  <w:sz w:val="24"/>
                  <w:lang w:eastAsia="de-DE"/>
                </w:rPr>
                <w:delText>,</w:delText>
              </w:r>
              <w:r w:rsidR="00FD7CAF" w:rsidRPr="002A677E" w:rsidDel="009E402A">
                <w:rPr>
                  <w:rFonts w:ascii="Times New Roman" w:hAnsi="Times New Roman"/>
                  <w:sz w:val="24"/>
                  <w:lang w:eastAsia="de-DE"/>
                </w:rPr>
                <w:delText xml:space="preserve"> </w:delText>
              </w:r>
              <w:r w:rsidR="0095353C" w:rsidRPr="001235ED" w:rsidDel="009E402A">
                <w:rPr>
                  <w:rFonts w:ascii="Times New Roman" w:hAnsi="Times New Roman"/>
                  <w:sz w:val="24"/>
                  <w:lang w:val="en-US"/>
                </w:rPr>
                <w:delText>of that Regulation</w:delText>
              </w:r>
              <w:r w:rsidRPr="002A677E" w:rsidDel="009E402A">
                <w:rPr>
                  <w:rFonts w:ascii="Times New Roman" w:hAnsi="Times New Roman"/>
                  <w:sz w:val="24"/>
                  <w:lang w:eastAsia="de-DE"/>
                </w:rPr>
                <w:delText xml:space="preserve">, </w:delText>
              </w:r>
            </w:del>
            <w:r w:rsidRPr="002A677E">
              <w:rPr>
                <w:rFonts w:ascii="Times New Roman" w:hAnsi="Times New Roman"/>
                <w:sz w:val="24"/>
                <w:lang w:eastAsia="de-DE"/>
              </w:rPr>
              <w:t xml:space="preserve">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766DBFB0"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w:t>
            </w:r>
            <w:del w:id="684" w:author="Author">
              <w:r w:rsidRPr="002A677E" w:rsidDel="00D82D8F">
                <w:rPr>
                  <w:rFonts w:ascii="Times New Roman" w:hAnsi="Times New Roman"/>
                  <w:sz w:val="24"/>
                  <w:lang w:eastAsia="de-DE"/>
                </w:rPr>
                <w:delText xml:space="preserve">either </w:delText>
              </w:r>
            </w:del>
            <w:r w:rsidRPr="002A677E">
              <w:rPr>
                <w:rFonts w:ascii="Times New Roman" w:hAnsi="Times New Roman"/>
                <w:sz w:val="24"/>
                <w:lang w:eastAsia="de-DE"/>
              </w:rPr>
              <w:t>to a business line listed</w:t>
            </w:r>
            <w:ins w:id="685" w:author="Author">
              <w:del w:id="686" w:author="Author">
                <w:r w:rsidR="00D82D8F">
                  <w:rPr>
                    <w:rFonts w:ascii="Times New Roman" w:hAnsi="Times New Roman"/>
                    <w:sz w:val="24"/>
                    <w:lang w:eastAsia="de-DE"/>
                  </w:rPr>
                  <w:delText>.</w:delText>
                </w:r>
              </w:del>
            </w:ins>
            <w:del w:id="687" w:author="Author">
              <w:r w:rsidRPr="002A677E" w:rsidDel="00D82D8F">
                <w:rPr>
                  <w:rFonts w:ascii="Times New Roman" w:hAnsi="Times New Roman"/>
                  <w:sz w:val="24"/>
                  <w:lang w:eastAsia="de-DE"/>
                </w:rPr>
                <w:delText>in Article 317(4)</w:delText>
              </w:r>
              <w:r w:rsidR="00FD7CAF" w:rsidRPr="002A677E" w:rsidDel="00D82D8F">
                <w:rPr>
                  <w:rFonts w:ascii="Times New Roman" w:hAnsi="Times New Roman"/>
                  <w:sz w:val="24"/>
                  <w:lang w:eastAsia="de-DE"/>
                </w:rPr>
                <w:delText>,</w:delText>
              </w:r>
              <w:r w:rsidRPr="002A677E" w:rsidDel="00D82D8F">
                <w:rPr>
                  <w:rFonts w:ascii="Times New Roman" w:hAnsi="Times New Roman"/>
                  <w:sz w:val="24"/>
                  <w:lang w:eastAsia="de-DE"/>
                </w:rPr>
                <w:delText xml:space="preserve"> </w:delText>
              </w:r>
              <w:r w:rsidR="00FD7CAF" w:rsidRPr="002A677E" w:rsidDel="00D82D8F">
                <w:rPr>
                  <w:rFonts w:ascii="Times New Roman" w:hAnsi="Times New Roman"/>
                  <w:sz w:val="24"/>
                  <w:lang w:eastAsia="de-DE"/>
                </w:rPr>
                <w:delText xml:space="preserve">Table 2 </w:delText>
              </w:r>
              <w:r w:rsidR="0095353C" w:rsidRPr="001235ED" w:rsidDel="00D82D8F">
                <w:rPr>
                  <w:rFonts w:ascii="Times New Roman" w:hAnsi="Times New Roman"/>
                  <w:sz w:val="24"/>
                  <w:lang w:val="en-US"/>
                </w:rPr>
                <w:delText>of Regulation (EU) No 575/2013</w:delText>
              </w:r>
              <w:r w:rsidRPr="002A677E" w:rsidDel="00D82D8F">
                <w:rPr>
                  <w:rFonts w:ascii="Times New Roman" w:hAnsi="Times New Roman"/>
                  <w:sz w:val="24"/>
                  <w:lang w:eastAsia="de-DE"/>
                </w:rPr>
                <w:delText xml:space="preserve"> or the business line "</w:delText>
              </w:r>
              <w:r w:rsidR="00F41508" w:rsidRPr="002A677E" w:rsidDel="00D82D8F">
                <w:rPr>
                  <w:rFonts w:ascii="Times New Roman" w:hAnsi="Times New Roman"/>
                  <w:sz w:val="24"/>
                  <w:lang w:eastAsia="de-DE"/>
                </w:rPr>
                <w:delText>c</w:delText>
              </w:r>
              <w:r w:rsidRPr="002A677E" w:rsidDel="00D82D8F">
                <w:rPr>
                  <w:rFonts w:ascii="Times New Roman" w:hAnsi="Times New Roman"/>
                  <w:sz w:val="24"/>
                  <w:lang w:eastAsia="de-DE"/>
                </w:rPr>
                <w:delText xml:space="preserve">orporate items" referred to in </w:delText>
              </w:r>
              <w:r w:rsidR="00705025" w:rsidRPr="002A677E" w:rsidDel="00D82D8F">
                <w:rPr>
                  <w:rFonts w:ascii="Times New Roman" w:hAnsi="Times New Roman"/>
                  <w:sz w:val="24"/>
                  <w:lang w:eastAsia="de-DE"/>
                </w:rPr>
                <w:delText>Article 322(3)</w:delText>
              </w:r>
              <w:r w:rsidR="00B83DDE" w:rsidDel="00D82D8F">
                <w:rPr>
                  <w:rFonts w:ascii="Times New Roman" w:hAnsi="Times New Roman"/>
                  <w:sz w:val="24"/>
                  <w:lang w:eastAsia="de-DE"/>
                </w:rPr>
                <w:delText>, p</w:delText>
              </w:r>
              <w:r w:rsidR="00FD7CAF" w:rsidRPr="002A677E" w:rsidDel="00D82D8F">
                <w:rPr>
                  <w:rFonts w:ascii="Times New Roman" w:hAnsi="Times New Roman"/>
                  <w:sz w:val="24"/>
                  <w:lang w:eastAsia="de-DE"/>
                </w:rPr>
                <w:delText>oint (b)</w:delText>
              </w:r>
              <w:r w:rsidR="00BE1277" w:rsidDel="00D82D8F">
                <w:rPr>
                  <w:rFonts w:ascii="Times New Roman" w:hAnsi="Times New Roman"/>
                  <w:sz w:val="24"/>
                  <w:lang w:eastAsia="de-DE"/>
                </w:rPr>
                <w:delText>,</w:delText>
              </w:r>
              <w:r w:rsidR="00FD7CAF" w:rsidRPr="002A677E" w:rsidDel="00D82D8F">
                <w:rPr>
                  <w:rFonts w:ascii="Times New Roman" w:hAnsi="Times New Roman"/>
                  <w:sz w:val="24"/>
                  <w:lang w:eastAsia="de-DE"/>
                </w:rPr>
                <w:delText xml:space="preserve"> </w:delText>
              </w:r>
              <w:r w:rsidR="0095353C" w:rsidRPr="001235ED" w:rsidDel="00D82D8F">
                <w:rPr>
                  <w:rFonts w:ascii="Times New Roman" w:hAnsi="Times New Roman"/>
                  <w:sz w:val="24"/>
                  <w:lang w:val="en-US"/>
                </w:rPr>
                <w:delText>of that Regulation</w:delText>
              </w:r>
            </w:del>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5EAD3306"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w:t>
            </w:r>
            <w:del w:id="688" w:author="Author">
              <w:r w:rsidRPr="002A677E" w:rsidDel="00D82D8F">
                <w:rPr>
                  <w:rFonts w:ascii="Times New Roman" w:hAnsi="Times New Roman"/>
                  <w:sz w:val="24"/>
                  <w:lang w:eastAsia="de-DE"/>
                </w:rPr>
                <w:delText xml:space="preserve">either </w:delText>
              </w:r>
            </w:del>
            <w:r w:rsidRPr="002A677E">
              <w:rPr>
                <w:rFonts w:ascii="Times New Roman" w:hAnsi="Times New Roman"/>
                <w:sz w:val="24"/>
                <w:lang w:eastAsia="de-DE"/>
              </w:rPr>
              <w:t>to a business line listed</w:t>
            </w:r>
            <w:ins w:id="689" w:author="Author">
              <w:del w:id="690" w:author="Author">
                <w:r w:rsidR="00D82D8F">
                  <w:rPr>
                    <w:rFonts w:ascii="Times New Roman" w:hAnsi="Times New Roman"/>
                    <w:sz w:val="24"/>
                    <w:lang w:eastAsia="de-DE"/>
                  </w:rPr>
                  <w:delText>.</w:delText>
                </w:r>
              </w:del>
            </w:ins>
            <w:del w:id="691" w:author="Author">
              <w:r w:rsidRPr="002A677E" w:rsidDel="00D82D8F">
                <w:rPr>
                  <w:rFonts w:ascii="Times New Roman" w:hAnsi="Times New Roman"/>
                  <w:sz w:val="24"/>
                  <w:lang w:eastAsia="de-DE"/>
                </w:rPr>
                <w:delText>in</w:delText>
              </w:r>
              <w:r w:rsidR="00402284" w:rsidDel="00D82D8F">
                <w:rPr>
                  <w:rFonts w:ascii="Times New Roman" w:hAnsi="Times New Roman"/>
                  <w:sz w:val="24"/>
                  <w:lang w:eastAsia="de-DE"/>
                </w:rPr>
                <w:delText xml:space="preserve"> </w:delText>
              </w:r>
              <w:r w:rsidRPr="002A677E" w:rsidDel="00D82D8F">
                <w:rPr>
                  <w:rFonts w:ascii="Times New Roman" w:hAnsi="Times New Roman"/>
                  <w:sz w:val="24"/>
                  <w:lang w:eastAsia="de-DE"/>
                </w:rPr>
                <w:delText>Article 317(4)</w:delText>
              </w:r>
              <w:r w:rsidR="00FD7CAF" w:rsidRPr="002A677E" w:rsidDel="00D82D8F">
                <w:rPr>
                  <w:rFonts w:ascii="Times New Roman" w:hAnsi="Times New Roman"/>
                  <w:sz w:val="24"/>
                  <w:lang w:eastAsia="de-DE"/>
                </w:rPr>
                <w:delText>,</w:delText>
              </w:r>
              <w:r w:rsidRPr="002A677E" w:rsidDel="00D82D8F">
                <w:rPr>
                  <w:rFonts w:ascii="Times New Roman" w:hAnsi="Times New Roman"/>
                  <w:sz w:val="24"/>
                  <w:lang w:eastAsia="de-DE"/>
                </w:rPr>
                <w:delText xml:space="preserve"> </w:delText>
              </w:r>
              <w:r w:rsidR="00FD7CAF" w:rsidRPr="002A677E" w:rsidDel="00D82D8F">
                <w:rPr>
                  <w:rFonts w:ascii="Times New Roman" w:hAnsi="Times New Roman"/>
                  <w:sz w:val="24"/>
                  <w:lang w:eastAsia="de-DE"/>
                </w:rPr>
                <w:delText xml:space="preserve">Table 2 </w:delText>
              </w:r>
              <w:r w:rsidR="0095353C" w:rsidRPr="001235ED" w:rsidDel="00D82D8F">
                <w:rPr>
                  <w:rFonts w:ascii="Times New Roman" w:hAnsi="Times New Roman"/>
                  <w:sz w:val="24"/>
                  <w:lang w:val="en-US"/>
                </w:rPr>
                <w:delText>of Regulation (EU) No 575/2013</w:delText>
              </w:r>
              <w:r w:rsidRPr="002A677E" w:rsidDel="00D82D8F">
                <w:rPr>
                  <w:rFonts w:ascii="Times New Roman" w:hAnsi="Times New Roman"/>
                  <w:sz w:val="24"/>
                  <w:lang w:eastAsia="de-DE"/>
                </w:rPr>
                <w:delText xml:space="preserve"> or the business line "</w:delText>
              </w:r>
              <w:r w:rsidR="00F41508" w:rsidRPr="002A677E" w:rsidDel="00D82D8F">
                <w:rPr>
                  <w:rFonts w:ascii="Times New Roman" w:hAnsi="Times New Roman"/>
                  <w:sz w:val="24"/>
                  <w:lang w:eastAsia="de-DE"/>
                </w:rPr>
                <w:delText>c</w:delText>
              </w:r>
              <w:r w:rsidRPr="002A677E" w:rsidDel="00D82D8F">
                <w:rPr>
                  <w:rFonts w:ascii="Times New Roman" w:hAnsi="Times New Roman"/>
                  <w:sz w:val="24"/>
                  <w:lang w:eastAsia="de-DE"/>
                </w:rPr>
                <w:delText xml:space="preserve">orporate items" referred to in </w:delText>
              </w:r>
              <w:r w:rsidR="00705025" w:rsidRPr="002A677E" w:rsidDel="00D82D8F">
                <w:rPr>
                  <w:rFonts w:ascii="Times New Roman" w:hAnsi="Times New Roman"/>
                  <w:sz w:val="24"/>
                  <w:lang w:eastAsia="de-DE"/>
                </w:rPr>
                <w:delText>Article 322(3)</w:delText>
              </w:r>
              <w:r w:rsidR="00B83DDE" w:rsidDel="00D82D8F">
                <w:rPr>
                  <w:rFonts w:ascii="Times New Roman" w:hAnsi="Times New Roman"/>
                  <w:sz w:val="24"/>
                  <w:lang w:eastAsia="de-DE"/>
                </w:rPr>
                <w:delText>, p</w:delText>
              </w:r>
              <w:r w:rsidR="00FD7CAF" w:rsidRPr="002A677E" w:rsidDel="00D82D8F">
                <w:rPr>
                  <w:rFonts w:ascii="Times New Roman" w:hAnsi="Times New Roman"/>
                  <w:sz w:val="24"/>
                  <w:lang w:eastAsia="de-DE"/>
                </w:rPr>
                <w:delText>oint (b)</w:delText>
              </w:r>
              <w:r w:rsidR="00BE1277" w:rsidDel="00D82D8F">
                <w:rPr>
                  <w:rFonts w:ascii="Times New Roman" w:hAnsi="Times New Roman"/>
                  <w:sz w:val="24"/>
                  <w:lang w:eastAsia="de-DE"/>
                </w:rPr>
                <w:delText>,</w:delText>
              </w:r>
              <w:r w:rsidR="00FD7CAF" w:rsidRPr="002A677E" w:rsidDel="00D82D8F">
                <w:rPr>
                  <w:rFonts w:ascii="Times New Roman" w:hAnsi="Times New Roman"/>
                  <w:sz w:val="24"/>
                  <w:lang w:eastAsia="de-DE"/>
                </w:rPr>
                <w:delText xml:space="preserve"> </w:delText>
              </w:r>
              <w:r w:rsidR="0095353C" w:rsidRPr="001235ED" w:rsidDel="00D82D8F">
                <w:rPr>
                  <w:rFonts w:ascii="Times New Roman" w:hAnsi="Times New Roman"/>
                  <w:sz w:val="24"/>
                  <w:lang w:val="en-US"/>
                </w:rPr>
                <w:delText xml:space="preserve">of that Regulation </w:delText>
              </w:r>
              <w:r w:rsidRPr="002A677E" w:rsidDel="00D82D8F">
                <w:rPr>
                  <w:rFonts w:ascii="Times New Roman" w:hAnsi="Times New Roman"/>
                  <w:sz w:val="24"/>
                  <w:lang w:eastAsia="de-DE"/>
                </w:rPr>
                <w:delText>respectively</w:delText>
              </w:r>
            </w:del>
            <w:r w:rsidRPr="002A677E">
              <w:rPr>
                <w:rFonts w:ascii="Times New Roman" w:hAnsi="Times New Roman"/>
                <w:sz w:val="24"/>
                <w:lang w:eastAsia="de-DE"/>
              </w:rPr>
              <w:t xml:space="preserve">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51F9C90F"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lastRenderedPageBreak/>
              <w:t xml:space="preserve">Provided that the institution has assigned all its losses </w:t>
            </w:r>
            <w:del w:id="692" w:author="Author">
              <w:r w:rsidRPr="001235ED" w:rsidDel="00D05C59">
                <w:rPr>
                  <w:rFonts w:ascii="Times New Roman" w:hAnsi="Times New Roman"/>
                  <w:sz w:val="24"/>
                  <w:lang w:eastAsia="de-DE"/>
                </w:rPr>
                <w:delText xml:space="preserve">either </w:delText>
              </w:r>
            </w:del>
            <w:r w:rsidRPr="001235ED">
              <w:rPr>
                <w:rFonts w:ascii="Times New Roman" w:hAnsi="Times New Roman"/>
                <w:sz w:val="24"/>
                <w:lang w:eastAsia="de-DE"/>
              </w:rPr>
              <w:t>to a business line listed</w:t>
            </w:r>
            <w:r w:rsidR="00E62FFE">
              <w:rPr>
                <w:rFonts w:ascii="Times New Roman" w:hAnsi="Times New Roman"/>
                <w:sz w:val="24"/>
                <w:lang w:eastAsia="de-DE"/>
              </w:rPr>
              <w:t xml:space="preserve"> </w:t>
            </w:r>
            <w:ins w:id="693" w:author="Author">
              <w:del w:id="694" w:author="Author">
                <w:r w:rsidR="00D05C59">
                  <w:rPr>
                    <w:rFonts w:ascii="Times New Roman" w:hAnsi="Times New Roman"/>
                    <w:sz w:val="24"/>
                    <w:lang w:eastAsia="de-DE"/>
                  </w:rPr>
                  <w:delText>.</w:delText>
                </w:r>
              </w:del>
            </w:ins>
            <w:del w:id="695" w:author="Author">
              <w:r w:rsidRPr="001235ED">
                <w:rPr>
                  <w:rFonts w:ascii="Times New Roman" w:hAnsi="Times New Roman"/>
                  <w:sz w:val="24"/>
                  <w:lang w:eastAsia="de-DE"/>
                </w:rPr>
                <w:delText xml:space="preserve"> </w:delText>
              </w:r>
              <w:r w:rsidRPr="001235ED" w:rsidDel="00D05C59">
                <w:rPr>
                  <w:rFonts w:ascii="Times New Roman" w:hAnsi="Times New Roman"/>
                  <w:sz w:val="24"/>
                  <w:lang w:eastAsia="de-DE"/>
                </w:rPr>
                <w:delText xml:space="preserve">in </w:delText>
              </w:r>
              <w:r w:rsidR="00FD7CAF" w:rsidRPr="002A677E" w:rsidDel="00D05C59">
                <w:rPr>
                  <w:rFonts w:ascii="Times New Roman" w:hAnsi="Times New Roman"/>
                  <w:sz w:val="24"/>
                  <w:lang w:eastAsia="de-DE"/>
                </w:rPr>
                <w:delText xml:space="preserve">Article 317(4), Table 2 </w:delText>
              </w:r>
              <w:r w:rsidR="007062FD" w:rsidRPr="001235ED" w:rsidDel="00D05C59">
                <w:rPr>
                  <w:rFonts w:ascii="Times New Roman" w:hAnsi="Times New Roman"/>
                  <w:sz w:val="24"/>
                  <w:lang w:val="en-US"/>
                </w:rPr>
                <w:delText>of Regulation (EU) No 575/2013</w:delText>
              </w:r>
              <w:r w:rsidRPr="002A677E" w:rsidDel="00D05C59">
                <w:rPr>
                  <w:rFonts w:ascii="Times New Roman" w:hAnsi="Times New Roman"/>
                  <w:sz w:val="24"/>
                  <w:lang w:eastAsia="de-DE"/>
                </w:rPr>
                <w:delText xml:space="preserve"> or the business line "</w:delText>
              </w:r>
              <w:r w:rsidR="00F41508" w:rsidRPr="002A677E" w:rsidDel="00D05C59">
                <w:rPr>
                  <w:rFonts w:ascii="Times New Roman" w:hAnsi="Times New Roman"/>
                  <w:sz w:val="24"/>
                  <w:lang w:eastAsia="de-DE"/>
                </w:rPr>
                <w:delText>c</w:delText>
              </w:r>
              <w:r w:rsidRPr="002A677E" w:rsidDel="00D05C59">
                <w:rPr>
                  <w:rFonts w:ascii="Times New Roman" w:hAnsi="Times New Roman"/>
                  <w:sz w:val="24"/>
                  <w:lang w:eastAsia="de-DE"/>
                </w:rPr>
                <w:delText xml:space="preserve">orporate items" referred to in </w:delText>
              </w:r>
              <w:r w:rsidR="00FD7CAF" w:rsidRPr="002A677E" w:rsidDel="00D05C59">
                <w:rPr>
                  <w:rFonts w:ascii="Times New Roman" w:hAnsi="Times New Roman"/>
                  <w:sz w:val="24"/>
                  <w:lang w:eastAsia="de-DE"/>
                </w:rPr>
                <w:delText>Article 322(3)</w:delText>
              </w:r>
              <w:r w:rsidR="00B83DDE" w:rsidDel="00D05C59">
                <w:rPr>
                  <w:rFonts w:ascii="Times New Roman" w:hAnsi="Times New Roman"/>
                  <w:sz w:val="24"/>
                  <w:lang w:eastAsia="de-DE"/>
                </w:rPr>
                <w:delText>, p</w:delText>
              </w:r>
              <w:r w:rsidR="00FD7CAF" w:rsidRPr="002A677E" w:rsidDel="00D05C59">
                <w:rPr>
                  <w:rFonts w:ascii="Times New Roman" w:hAnsi="Times New Roman"/>
                  <w:sz w:val="24"/>
                  <w:lang w:eastAsia="de-DE"/>
                </w:rPr>
                <w:delText>oint (b)</w:delText>
              </w:r>
              <w:r w:rsidR="00BE1277" w:rsidDel="00D05C59">
                <w:rPr>
                  <w:rFonts w:ascii="Times New Roman" w:hAnsi="Times New Roman"/>
                  <w:sz w:val="24"/>
                  <w:lang w:eastAsia="de-DE"/>
                </w:rPr>
                <w:delText>,</w:delText>
              </w:r>
              <w:r w:rsidR="00FD7CAF" w:rsidRPr="002A677E" w:rsidDel="00D05C59">
                <w:rPr>
                  <w:rFonts w:ascii="Times New Roman" w:hAnsi="Times New Roman"/>
                  <w:sz w:val="24"/>
                  <w:lang w:eastAsia="de-DE"/>
                </w:rPr>
                <w:delText xml:space="preserve"> </w:delText>
              </w:r>
              <w:r w:rsidR="007062FD" w:rsidRPr="001235ED" w:rsidDel="00D05C59">
                <w:rPr>
                  <w:rFonts w:ascii="Times New Roman" w:hAnsi="Times New Roman"/>
                  <w:sz w:val="24"/>
                  <w:lang w:val="en-US"/>
                </w:rPr>
                <w:delText>of Regulation (EU) No 575/2013</w:delText>
              </w:r>
              <w:r w:rsidR="00AB6610" w:rsidRPr="002A677E" w:rsidDel="00D05C59">
                <w:rPr>
                  <w:rFonts w:ascii="Times New Roman" w:hAnsi="Times New Roman"/>
                  <w:sz w:val="24"/>
                  <w:lang w:eastAsia="de-DE"/>
                </w:rPr>
                <w:delText xml:space="preserve"> </w:delText>
              </w:r>
            </w:del>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3765CA2E"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w:t>
            </w:r>
            <w:del w:id="696" w:author="Author">
              <w:r w:rsidRPr="001235ED" w:rsidDel="00D05C59">
                <w:rPr>
                  <w:rFonts w:ascii="Times New Roman" w:hAnsi="Times New Roman"/>
                  <w:sz w:val="24"/>
                  <w:lang w:eastAsia="de-DE"/>
                </w:rPr>
                <w:delText xml:space="preserve">either </w:delText>
              </w:r>
            </w:del>
            <w:r w:rsidRPr="001235ED">
              <w:rPr>
                <w:rFonts w:ascii="Times New Roman" w:hAnsi="Times New Roman"/>
                <w:sz w:val="24"/>
                <w:lang w:eastAsia="de-DE"/>
              </w:rPr>
              <w:t>to a business line listed</w:t>
            </w:r>
            <w:r w:rsidR="00E62FFE">
              <w:rPr>
                <w:rFonts w:ascii="Times New Roman" w:hAnsi="Times New Roman"/>
                <w:sz w:val="24"/>
                <w:lang w:eastAsia="de-DE"/>
              </w:rPr>
              <w:t xml:space="preserve"> </w:t>
            </w:r>
            <w:ins w:id="697" w:author="Author">
              <w:del w:id="698" w:author="Author">
                <w:r w:rsidR="00D05C59">
                  <w:rPr>
                    <w:rFonts w:ascii="Times New Roman" w:hAnsi="Times New Roman"/>
                    <w:sz w:val="24"/>
                    <w:lang w:eastAsia="de-DE"/>
                  </w:rPr>
                  <w:delText>.</w:delText>
                </w:r>
              </w:del>
            </w:ins>
            <w:del w:id="699" w:author="Author">
              <w:r w:rsidRPr="001235ED" w:rsidDel="00D05C59">
                <w:rPr>
                  <w:rFonts w:ascii="Times New Roman" w:hAnsi="Times New Roman"/>
                  <w:sz w:val="24"/>
                  <w:lang w:eastAsia="de-DE"/>
                </w:rPr>
                <w:delText xml:space="preserve">in </w:delText>
              </w:r>
              <w:r w:rsidR="00FD7CAF" w:rsidRPr="002A677E" w:rsidDel="00D05C59">
                <w:rPr>
                  <w:rFonts w:ascii="Times New Roman" w:hAnsi="Times New Roman"/>
                  <w:sz w:val="24"/>
                  <w:lang w:eastAsia="de-DE"/>
                </w:rPr>
                <w:delText xml:space="preserve">Article 317(4), Table 2 </w:delText>
              </w:r>
              <w:r w:rsidR="007062FD" w:rsidRPr="001235ED" w:rsidDel="00D05C59">
                <w:rPr>
                  <w:rFonts w:ascii="Times New Roman" w:hAnsi="Times New Roman"/>
                  <w:sz w:val="24"/>
                  <w:lang w:val="en-US"/>
                </w:rPr>
                <w:delText>of Regulation (EU) No 575/2013</w:delText>
              </w:r>
              <w:r w:rsidRPr="002A677E" w:rsidDel="00D05C59">
                <w:rPr>
                  <w:rFonts w:ascii="Times New Roman" w:hAnsi="Times New Roman"/>
                  <w:sz w:val="24"/>
                  <w:lang w:eastAsia="de-DE"/>
                </w:rPr>
                <w:delText xml:space="preserve"> or the business line "</w:delText>
              </w:r>
              <w:r w:rsidR="00F41508" w:rsidRPr="002A677E" w:rsidDel="00D05C59">
                <w:rPr>
                  <w:rFonts w:ascii="Times New Roman" w:hAnsi="Times New Roman"/>
                  <w:sz w:val="24"/>
                  <w:lang w:eastAsia="de-DE"/>
                </w:rPr>
                <w:delText>c</w:delText>
              </w:r>
              <w:r w:rsidRPr="002A677E" w:rsidDel="00D05C59">
                <w:rPr>
                  <w:rFonts w:ascii="Times New Roman" w:hAnsi="Times New Roman"/>
                  <w:sz w:val="24"/>
                  <w:lang w:eastAsia="de-DE"/>
                </w:rPr>
                <w:delText xml:space="preserve">orporate items" referred to in </w:delText>
              </w:r>
              <w:r w:rsidR="00FD7CAF" w:rsidRPr="002A677E" w:rsidDel="00D05C59">
                <w:rPr>
                  <w:rFonts w:ascii="Times New Roman" w:hAnsi="Times New Roman"/>
                  <w:sz w:val="24"/>
                  <w:lang w:eastAsia="de-DE"/>
                </w:rPr>
                <w:delText>Article 322(3)</w:delText>
              </w:r>
              <w:r w:rsidR="00B83DDE" w:rsidDel="00D05C59">
                <w:rPr>
                  <w:rFonts w:ascii="Times New Roman" w:hAnsi="Times New Roman"/>
                  <w:sz w:val="24"/>
                  <w:lang w:eastAsia="de-DE"/>
                </w:rPr>
                <w:delText>, p</w:delText>
              </w:r>
              <w:r w:rsidR="00FD7CAF" w:rsidRPr="002A677E" w:rsidDel="00D05C59">
                <w:rPr>
                  <w:rFonts w:ascii="Times New Roman" w:hAnsi="Times New Roman"/>
                  <w:sz w:val="24"/>
                  <w:lang w:eastAsia="de-DE"/>
                </w:rPr>
                <w:delText>oint (b)</w:delText>
              </w:r>
              <w:r w:rsidR="00BE1277" w:rsidDel="00D05C59">
                <w:rPr>
                  <w:rFonts w:ascii="Times New Roman" w:hAnsi="Times New Roman"/>
                  <w:sz w:val="24"/>
                  <w:lang w:eastAsia="de-DE"/>
                </w:rPr>
                <w:delText>,</w:delText>
              </w:r>
              <w:r w:rsidR="00FD7CAF" w:rsidRPr="002A677E" w:rsidDel="00D05C59">
                <w:rPr>
                  <w:rFonts w:ascii="Times New Roman" w:hAnsi="Times New Roman"/>
                  <w:sz w:val="24"/>
                  <w:lang w:eastAsia="de-DE"/>
                </w:rPr>
                <w:delText xml:space="preserve"> </w:delText>
              </w:r>
              <w:r w:rsidR="007062FD" w:rsidRPr="001235ED" w:rsidDel="00D05C59">
                <w:rPr>
                  <w:rFonts w:ascii="Times New Roman" w:hAnsi="Times New Roman"/>
                  <w:sz w:val="24"/>
                  <w:lang w:val="en-US"/>
                </w:rPr>
                <w:delText>of Regulation (EU) No 575/2013</w:delText>
              </w:r>
            </w:del>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3981892"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del w:id="700" w:author="Author">
              <w:r w:rsidRPr="002A677E" w:rsidDel="00597C8C">
                <w:rPr>
                  <w:rStyle w:val="InstructionsTabelleberschrift"/>
                  <w:rFonts w:ascii="Times New Roman" w:hAnsi="Times New Roman"/>
                  <w:sz w:val="24"/>
                </w:rPr>
                <w:delText>and other risk transfer mechanisms</w:delText>
              </w:r>
            </w:del>
          </w:p>
          <w:p w14:paraId="105A6F22" w14:textId="49E25BFF"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w:t>
            </w:r>
            <w:del w:id="701" w:author="Author">
              <w:r w:rsidRPr="002A677E" w:rsidDel="00D05C59">
                <w:rPr>
                  <w:rFonts w:ascii="Times New Roman" w:hAnsi="Times New Roman"/>
                  <w:sz w:val="24"/>
                  <w:lang w:eastAsia="de-DE"/>
                </w:rPr>
                <w:delText xml:space="preserve">either </w:delText>
              </w:r>
            </w:del>
            <w:r w:rsidRPr="002A677E">
              <w:rPr>
                <w:rFonts w:ascii="Times New Roman" w:hAnsi="Times New Roman"/>
                <w:sz w:val="24"/>
                <w:lang w:eastAsia="de-DE"/>
              </w:rPr>
              <w:t>to a business line listed</w:t>
            </w:r>
            <w:ins w:id="702" w:author="Author">
              <w:del w:id="703" w:author="Author">
                <w:r w:rsidR="00D05C59">
                  <w:rPr>
                    <w:rFonts w:ascii="Times New Roman" w:hAnsi="Times New Roman"/>
                    <w:sz w:val="24"/>
                    <w:lang w:eastAsia="de-DE"/>
                  </w:rPr>
                  <w:delText>.</w:delText>
                </w:r>
              </w:del>
            </w:ins>
            <w:del w:id="704" w:author="Author">
              <w:r w:rsidRPr="002A677E" w:rsidDel="00D05C59">
                <w:rPr>
                  <w:rFonts w:ascii="Times New Roman" w:hAnsi="Times New Roman"/>
                  <w:sz w:val="24"/>
                  <w:lang w:eastAsia="de-DE"/>
                </w:rPr>
                <w:delText xml:space="preserve">in </w:delText>
              </w:r>
              <w:r w:rsidR="00FD7CAF" w:rsidRPr="002A677E" w:rsidDel="00D05C59">
                <w:rPr>
                  <w:rFonts w:ascii="Times New Roman" w:hAnsi="Times New Roman"/>
                  <w:sz w:val="24"/>
                  <w:lang w:eastAsia="de-DE"/>
                </w:rPr>
                <w:delText xml:space="preserve">Article 317(4), Table 2 </w:delText>
              </w:r>
              <w:r w:rsidR="007062FD" w:rsidRPr="001235ED" w:rsidDel="00D05C59">
                <w:rPr>
                  <w:rFonts w:ascii="Times New Roman" w:hAnsi="Times New Roman"/>
                  <w:sz w:val="24"/>
                  <w:lang w:val="en-US"/>
                </w:rPr>
                <w:delText>of Regulation (EU) No 575/2013</w:delText>
              </w:r>
              <w:r w:rsidRPr="002A677E" w:rsidDel="00D05C59">
                <w:rPr>
                  <w:rFonts w:ascii="Times New Roman" w:hAnsi="Times New Roman"/>
                  <w:sz w:val="24"/>
                  <w:lang w:eastAsia="de-DE"/>
                </w:rPr>
                <w:delText xml:space="preserve"> or the business line "</w:delText>
              </w:r>
              <w:r w:rsidR="00F41508" w:rsidRPr="002A677E" w:rsidDel="00D05C59">
                <w:rPr>
                  <w:rFonts w:ascii="Times New Roman" w:hAnsi="Times New Roman"/>
                  <w:sz w:val="24"/>
                  <w:lang w:eastAsia="de-DE"/>
                </w:rPr>
                <w:delText>c</w:delText>
              </w:r>
              <w:r w:rsidRPr="002A677E" w:rsidDel="00D05C59">
                <w:rPr>
                  <w:rFonts w:ascii="Times New Roman" w:hAnsi="Times New Roman"/>
                  <w:sz w:val="24"/>
                  <w:lang w:eastAsia="de-DE"/>
                </w:rPr>
                <w:delText xml:space="preserve">orporate items" referred to in </w:delText>
              </w:r>
              <w:r w:rsidR="00FD7CAF" w:rsidRPr="002A677E" w:rsidDel="00D05C59">
                <w:rPr>
                  <w:rFonts w:ascii="Times New Roman" w:hAnsi="Times New Roman"/>
                  <w:sz w:val="24"/>
                  <w:lang w:eastAsia="de-DE"/>
                </w:rPr>
                <w:delText>Article 322(3)</w:delText>
              </w:r>
              <w:r w:rsidR="00B83DDE" w:rsidDel="00D05C59">
                <w:rPr>
                  <w:rFonts w:ascii="Times New Roman" w:hAnsi="Times New Roman"/>
                  <w:sz w:val="24"/>
                  <w:lang w:eastAsia="de-DE"/>
                </w:rPr>
                <w:delText>, p</w:delText>
              </w:r>
              <w:r w:rsidR="00FD7CAF" w:rsidRPr="002A677E" w:rsidDel="00D05C59">
                <w:rPr>
                  <w:rFonts w:ascii="Times New Roman" w:hAnsi="Times New Roman"/>
                  <w:sz w:val="24"/>
                  <w:lang w:eastAsia="de-DE"/>
                </w:rPr>
                <w:delText>oint (b)</w:delText>
              </w:r>
              <w:r w:rsidR="00BE1277" w:rsidDel="00D05C59">
                <w:rPr>
                  <w:rFonts w:ascii="Times New Roman" w:hAnsi="Times New Roman"/>
                  <w:sz w:val="24"/>
                  <w:lang w:eastAsia="de-DE"/>
                </w:rPr>
                <w:delText>,</w:delText>
              </w:r>
              <w:r w:rsidR="00FD7CAF" w:rsidRPr="002A677E" w:rsidDel="00D05C59">
                <w:rPr>
                  <w:rFonts w:ascii="Times New Roman" w:hAnsi="Times New Roman"/>
                  <w:sz w:val="24"/>
                  <w:lang w:eastAsia="de-DE"/>
                </w:rPr>
                <w:delText xml:space="preserve"> </w:delText>
              </w:r>
              <w:r w:rsidR="007062FD" w:rsidRPr="001235ED" w:rsidDel="00D05C59">
                <w:rPr>
                  <w:rFonts w:ascii="Times New Roman" w:hAnsi="Times New Roman"/>
                  <w:sz w:val="24"/>
                  <w:lang w:val="en-US"/>
                </w:rPr>
                <w:delText xml:space="preserve">of that Regulation </w:delText>
              </w:r>
              <w:r w:rsidRPr="002A677E" w:rsidDel="00D05C59">
                <w:rPr>
                  <w:rFonts w:ascii="Times New Roman" w:hAnsi="Times New Roman"/>
                  <w:sz w:val="24"/>
                  <w:lang w:eastAsia="de-DE"/>
                </w:rPr>
                <w:delText>,</w:delText>
              </w:r>
            </w:del>
            <w:r w:rsidRPr="002A677E">
              <w:rPr>
                <w:rFonts w:ascii="Times New Roman" w:hAnsi="Times New Roman"/>
                <w:sz w:val="24"/>
                <w:lang w:eastAsia="de-DE"/>
              </w:rPr>
              <w:t xml:space="preserve"> the total recovery from insurance </w:t>
            </w:r>
            <w:del w:id="705" w:author="Author">
              <w:r w:rsidRPr="002A677E" w:rsidDel="00597C8C">
                <w:rPr>
                  <w:rFonts w:ascii="Times New Roman" w:hAnsi="Times New Roman"/>
                  <w:sz w:val="24"/>
                  <w:lang w:eastAsia="de-DE"/>
                </w:rPr>
                <w:delText xml:space="preserve">and other risk transfer mechanisms </w:delText>
              </w:r>
            </w:del>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w:t>
            </w:r>
            <w:del w:id="706" w:author="Author">
              <w:r w:rsidRPr="002A677E" w:rsidDel="00597C8C">
                <w:rPr>
                  <w:rFonts w:ascii="Times New Roman" w:hAnsi="Times New Roman"/>
                  <w:sz w:val="24"/>
                  <w:lang w:eastAsia="de-DE"/>
                </w:rPr>
                <w:delText xml:space="preserve">and other risk transfer mechanisms </w:delText>
              </w:r>
            </w:del>
            <w:r w:rsidRPr="002A677E">
              <w:rPr>
                <w:rFonts w:ascii="Times New Roman" w:hAnsi="Times New Roman"/>
                <w:sz w:val="24"/>
                <w:lang w:eastAsia="de-DE"/>
              </w:rPr>
              <w:t>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7" w:name="_Toc473561028"/>
      <w:bookmarkStart w:id="708"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707"/>
      <w:bookmarkEnd w:id="70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9" w:name="_Toc473561029"/>
      <w:bookmarkStart w:id="710"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09"/>
      <w:bookmarkEnd w:id="71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156</w:t>
      </w:r>
      <w:r>
        <w:rPr>
          <w:noProof/>
        </w:rP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E434A1">
      <w:pPr>
        <w:pStyle w:val="InstructionsText2"/>
        <w:numPr>
          <w:ilvl w:val="0"/>
          <w:numId w:val="0"/>
        </w:numPr>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E434A1">
      <w:pPr>
        <w:pStyle w:val="InstructionsText2"/>
        <w:numPr>
          <w:ilvl w:val="0"/>
          <w:numId w:val="0"/>
        </w:numPr>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002A677E">
        <w:lastRenderedPageBreak/>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E434A1">
      <w:pPr>
        <w:pStyle w:val="InstructionsText2"/>
        <w:numPr>
          <w:ilvl w:val="0"/>
          <w:numId w:val="0"/>
        </w:numPr>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rPr>
          <w:ins w:id="711" w:author="Author"/>
        </w:r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4CC07326" w14:textId="52CA0063" w:rsidR="003D4EF8" w:rsidRPr="002A677E" w:rsidDel="00696D33" w:rsidRDefault="003D4EF8" w:rsidP="00E434A1">
      <w:pPr>
        <w:pStyle w:val="InstructionsText2"/>
        <w:numPr>
          <w:ilvl w:val="0"/>
          <w:numId w:val="0"/>
        </w:numPr>
        <w:rPr>
          <w:del w:id="712" w:author="Author"/>
        </w:rPr>
      </w:pP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3" w:name="_Toc473561030"/>
      <w:bookmarkStart w:id="714"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713"/>
      <w:bookmarkEnd w:id="714"/>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E6CEC23"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ins w:id="715" w:author="Autho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ins>
            <w:del w:id="716" w:author="Author">
              <w:r w:rsidR="00E62FFE" w:rsidDel="00B571F5">
                <w:rPr>
                  <w:rFonts w:ascii="Times New Roman" w:hAnsi="Times New Roman"/>
                  <w:sz w:val="24"/>
                  <w:lang w:eastAsia="de-DE"/>
                </w:rPr>
                <w:delText>2</w:delText>
              </w:r>
            </w:del>
            <w:ins w:id="717" w:author="Author">
              <w:del w:id="718" w:author="Author">
                <w:r w:rsidR="00182DC9">
                  <w:rPr>
                    <w:rFonts w:ascii="Times New Roman" w:hAnsi="Times New Roman"/>
                    <w:sz w:val="24"/>
                    <w:lang w:eastAsia="de-DE"/>
                  </w:rPr>
                  <w:delText>1</w:delText>
                </w:r>
              </w:del>
              <w:r w:rsidR="00182DC9">
                <w:rPr>
                  <w:rFonts w:ascii="Times New Roman" w:hAnsi="Times New Roman"/>
                  <w:sz w:val="24"/>
                  <w:lang w:eastAsia="de-DE"/>
                </w:rPr>
                <w:t>.</w:t>
              </w:r>
            </w:ins>
            <w:r w:rsidR="00FD54FC" w:rsidRPr="002A677E">
              <w:rPr>
                <w:rFonts w:ascii="Times New Roman" w:hAnsi="Times New Roman"/>
                <w:sz w:val="24"/>
                <w:lang w:eastAsia="de-DE"/>
              </w:rPr>
              <w:t xml:space="preserve"> </w:t>
            </w:r>
            <w:del w:id="719" w:author="Author">
              <w:r w:rsidR="00FD54FC" w:rsidRPr="002A677E" w:rsidDel="00182DC9">
                <w:rPr>
                  <w:rFonts w:ascii="Times New Roman" w:hAnsi="Times New Roman"/>
                  <w:sz w:val="24"/>
                  <w:lang w:eastAsia="de-DE"/>
                </w:rPr>
                <w:delText xml:space="preserve">Article 324 </w:delText>
              </w:r>
              <w:r w:rsidR="007062FD" w:rsidRPr="001235ED" w:rsidDel="00182DC9">
                <w:rPr>
                  <w:rFonts w:ascii="Times New Roman" w:hAnsi="Times New Roman"/>
                  <w:sz w:val="24"/>
                  <w:lang w:val="en-US"/>
                </w:rPr>
                <w:delText>of Regulation (EU) No 575/2013</w:delText>
              </w:r>
              <w:r w:rsidRPr="002A677E" w:rsidDel="00182DC9">
                <w:rPr>
                  <w:rFonts w:ascii="Times New Roman" w:hAnsi="Times New Roman"/>
                  <w:sz w:val="24"/>
                  <w:lang w:eastAsia="de-DE"/>
                </w:rPr>
                <w:delText>.</w:delText>
              </w:r>
            </w:del>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2D49429E"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lastRenderedPageBreak/>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ins w:id="720" w:author="Author">
              <w:r w:rsidR="00346234" w:rsidRPr="01913746">
                <w:rPr>
                  <w:rFonts w:ascii="Times New Roman" w:hAnsi="Times New Roman"/>
                  <w:sz w:val="24"/>
                  <w:lang w:val="en-US"/>
                </w:rPr>
                <w:t>Table 2</w:t>
              </w:r>
              <w:r w:rsidR="00762178">
                <w:rPr>
                  <w:rFonts w:ascii="Times New Roman" w:hAnsi="Times New Roman"/>
                  <w:sz w:val="24"/>
                  <w:lang w:val="en-US"/>
                </w:rPr>
                <w:t xml:space="preserve">, </w:t>
              </w:r>
              <w:del w:id="721" w:author="Author">
                <w:r w:rsidR="00346234" w:rsidRPr="01913746">
                  <w:rPr>
                    <w:rFonts w:ascii="Times New Roman" w:hAnsi="Times New Roman"/>
                    <w:sz w:val="24"/>
                    <w:lang w:val="en-US"/>
                  </w:rPr>
                  <w:delText xml:space="preserve"> </w:delText>
                </w:r>
              </w:del>
              <w:r w:rsidR="00346234">
                <w:rPr>
                  <w:rFonts w:ascii="Times New Roman" w:hAnsi="Times New Roman"/>
                  <w:sz w:val="24"/>
                  <w:lang w:val="en-US"/>
                </w:rPr>
                <w:t>section 4.2.</w:t>
              </w:r>
              <w:r w:rsidR="00B571F5">
                <w:rPr>
                  <w:rFonts w:ascii="Times New Roman" w:hAnsi="Times New Roman"/>
                  <w:sz w:val="24"/>
                  <w:lang w:val="en-US"/>
                </w:rPr>
                <w:t>1</w:t>
              </w:r>
            </w:ins>
            <w:del w:id="722" w:author="Author">
              <w:r w:rsidR="00E62FFE" w:rsidDel="00B571F5">
                <w:rPr>
                  <w:rFonts w:ascii="Times New Roman" w:hAnsi="Times New Roman"/>
                  <w:sz w:val="24"/>
                  <w:lang w:val="en-US"/>
                </w:rPr>
                <w:delText>2</w:delText>
              </w:r>
            </w:del>
            <w:ins w:id="723" w:author="Author">
              <w:del w:id="724" w:author="Author">
                <w:r w:rsidR="00346234">
                  <w:rPr>
                    <w:rFonts w:ascii="Times New Roman" w:hAnsi="Times New Roman"/>
                    <w:sz w:val="24"/>
                    <w:lang w:val="en-US"/>
                  </w:rPr>
                  <w:delText>1</w:delText>
                </w:r>
              </w:del>
              <w:r w:rsidR="00346234">
                <w:rPr>
                  <w:rFonts w:ascii="Times New Roman" w:hAnsi="Times New Roman"/>
                  <w:sz w:val="24"/>
                  <w:lang w:val="en-US"/>
                </w:rPr>
                <w:t xml:space="preserve">. </w:t>
              </w:r>
              <w:del w:id="725" w:author="Author">
                <w:r w:rsidR="00346234" w:rsidRPr="01913746" w:rsidDel="00B571F5">
                  <w:rPr>
                    <w:rFonts w:ascii="Times New Roman" w:hAnsi="Times New Roman"/>
                    <w:sz w:val="24"/>
                    <w:lang w:eastAsia="de-DE"/>
                  </w:rPr>
                  <w:delText>.</w:delText>
                </w:r>
              </w:del>
            </w:ins>
            <w:del w:id="726" w:author="Author">
              <w:r w:rsidRPr="002A677E" w:rsidDel="00346234">
                <w:rPr>
                  <w:rFonts w:ascii="Times New Roman" w:hAnsi="Times New Roman"/>
                  <w:sz w:val="24"/>
                  <w:lang w:eastAsia="de-DE"/>
                </w:rPr>
                <w:delText xml:space="preserve">as </w:delText>
              </w:r>
              <w:r w:rsidR="00F41508" w:rsidRPr="002A677E" w:rsidDel="00346234">
                <w:rPr>
                  <w:rFonts w:ascii="Times New Roman" w:hAnsi="Times New Roman"/>
                  <w:sz w:val="24"/>
                  <w:lang w:eastAsia="de-DE"/>
                </w:rPr>
                <w:delText xml:space="preserve">referred to </w:delText>
              </w:r>
              <w:r w:rsidRPr="002A677E" w:rsidDel="00346234">
                <w:rPr>
                  <w:rFonts w:ascii="Times New Roman" w:hAnsi="Times New Roman"/>
                  <w:sz w:val="24"/>
                  <w:lang w:eastAsia="de-DE"/>
                </w:rPr>
                <w:delText>in</w:delText>
              </w:r>
              <w:r w:rsidR="00F41508" w:rsidRPr="002A677E" w:rsidDel="00346234">
                <w:rPr>
                  <w:rFonts w:ascii="Times New Roman" w:hAnsi="Times New Roman"/>
                  <w:sz w:val="24"/>
                  <w:lang w:eastAsia="de-DE"/>
                </w:rPr>
                <w:delText xml:space="preserve"> </w:delText>
              </w:r>
              <w:r w:rsidR="00FD7CAF" w:rsidRPr="002A677E" w:rsidDel="00346234">
                <w:rPr>
                  <w:rFonts w:ascii="Times New Roman" w:hAnsi="Times New Roman"/>
                  <w:sz w:val="24"/>
                  <w:lang w:eastAsia="de-DE"/>
                </w:rPr>
                <w:delText xml:space="preserve">Article 317(4), Table 2 </w:delText>
              </w:r>
              <w:r w:rsidR="007062FD" w:rsidRPr="001235ED" w:rsidDel="00346234">
                <w:rPr>
                  <w:rFonts w:ascii="Times New Roman" w:hAnsi="Times New Roman"/>
                  <w:sz w:val="24"/>
                  <w:lang w:val="en-US"/>
                </w:rPr>
                <w:delText>of Regulation (EU) No 575/2013</w:delText>
              </w:r>
              <w:r w:rsidRPr="002A677E" w:rsidDel="00346234">
                <w:rPr>
                  <w:rFonts w:ascii="Times New Roman" w:hAnsi="Times New Roman"/>
                  <w:sz w:val="24"/>
                  <w:lang w:eastAsia="de-DE"/>
                </w:rPr>
                <w:delText xml:space="preserve"> </w:delText>
              </w:r>
              <w:r w:rsidR="00AB6610" w:rsidRPr="002A677E" w:rsidDel="00346234">
                <w:rPr>
                  <w:rFonts w:ascii="Times New Roman" w:hAnsi="Times New Roman"/>
                  <w:sz w:val="24"/>
                  <w:lang w:eastAsia="de-DE"/>
                </w:rPr>
                <w:delText>and</w:delText>
              </w:r>
              <w:r w:rsidR="0023276A" w:rsidRPr="002A677E" w:rsidDel="00346234">
                <w:rPr>
                  <w:rFonts w:ascii="Times New Roman" w:hAnsi="Times New Roman"/>
                  <w:sz w:val="24"/>
                  <w:lang w:eastAsia="de-DE"/>
                </w:rPr>
                <w:delText xml:space="preserve"> </w:delText>
              </w:r>
              <w:r w:rsidR="00D24331" w:rsidRPr="002A677E" w:rsidDel="00346234">
                <w:rPr>
                  <w:rFonts w:ascii="Times New Roman" w:hAnsi="Times New Roman"/>
                  <w:sz w:val="24"/>
                  <w:lang w:eastAsia="de-DE"/>
                </w:rPr>
                <w:delText>Article 322(3)</w:delText>
              </w:r>
              <w:r w:rsidR="00B83DDE" w:rsidDel="00346234">
                <w:rPr>
                  <w:rFonts w:ascii="Times New Roman" w:hAnsi="Times New Roman"/>
                  <w:sz w:val="24"/>
                  <w:lang w:eastAsia="de-DE"/>
                </w:rPr>
                <w:delText>, p</w:delText>
              </w:r>
              <w:r w:rsidR="00D24331" w:rsidRPr="002A677E" w:rsidDel="00346234">
                <w:rPr>
                  <w:rFonts w:ascii="Times New Roman" w:hAnsi="Times New Roman"/>
                  <w:sz w:val="24"/>
                  <w:lang w:eastAsia="de-DE"/>
                </w:rPr>
                <w:delText>oint (b)</w:delText>
              </w:r>
              <w:r w:rsidR="00BE1277" w:rsidDel="00346234">
                <w:rPr>
                  <w:rFonts w:ascii="Times New Roman" w:hAnsi="Times New Roman"/>
                  <w:sz w:val="24"/>
                  <w:lang w:eastAsia="de-DE"/>
                </w:rPr>
                <w:delText>,</w:delText>
              </w:r>
              <w:r w:rsidR="00D24331" w:rsidRPr="002A677E" w:rsidDel="00346234">
                <w:rPr>
                  <w:rFonts w:ascii="Times New Roman" w:hAnsi="Times New Roman"/>
                  <w:sz w:val="24"/>
                  <w:lang w:eastAsia="de-DE"/>
                </w:rPr>
                <w:delText xml:space="preserve"> </w:delText>
              </w:r>
              <w:r w:rsidR="007062FD" w:rsidRPr="001235ED" w:rsidDel="00346234">
                <w:rPr>
                  <w:rFonts w:ascii="Times New Roman" w:hAnsi="Times New Roman"/>
                  <w:sz w:val="24"/>
                  <w:lang w:val="en-US"/>
                </w:rPr>
                <w:delText>of that Regulation</w:delText>
              </w:r>
              <w:r w:rsidRPr="002A677E" w:rsidDel="00346234">
                <w:rPr>
                  <w:rFonts w:ascii="Times New Roman" w:hAnsi="Times New Roman"/>
                  <w:sz w:val="24"/>
                  <w:lang w:eastAsia="de-DE"/>
                </w:rPr>
                <w:delText>.</w:delText>
              </w:r>
            </w:del>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‘Non-LEI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9"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8EF2F9F"/>
    <w:multiLevelType w:val="hybridMultilevel"/>
    <w:tmpl w:val="653ACFBC"/>
    <w:lvl w:ilvl="0" w:tplc="E08C075C">
      <w:start w:val="169"/>
      <w:numFmt w:val="decimal"/>
      <w:lvlText w:val="%1."/>
      <w:lvlJc w:val="left"/>
      <w:pPr>
        <w:ind w:left="1452" w:hanging="4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7" w15:restartNumberingAfterBreak="0">
    <w:nsid w:val="1FEF4ACC"/>
    <w:multiLevelType w:val="hybridMultilevel"/>
    <w:tmpl w:val="1AD0173E"/>
    <w:lvl w:ilvl="0" w:tplc="E48EAC22">
      <w:start w:val="136"/>
      <w:numFmt w:val="decimal"/>
      <w:lvlText w:val="%1."/>
      <w:lvlJc w:val="left"/>
      <w:pPr>
        <w:ind w:left="1735" w:hanging="4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9A68EA"/>
    <w:multiLevelType w:val="multilevel"/>
    <w:tmpl w:val="FDAEB47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4"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BDB2CB7"/>
    <w:multiLevelType w:val="hybridMultilevel"/>
    <w:tmpl w:val="8F005A4A"/>
    <w:lvl w:ilvl="0" w:tplc="236C6A50">
      <w:start w:val="1"/>
      <w:numFmt w:val="bullet"/>
      <w:lvlText w:val=""/>
      <w:lvlJc w:val="left"/>
      <w:pPr>
        <w:ind w:left="1080" w:hanging="360"/>
      </w:pPr>
      <w:rPr>
        <w:rFonts w:ascii="Symbol" w:hAnsi="Symbol" w:hint="default"/>
      </w:rPr>
    </w:lvl>
    <w:lvl w:ilvl="1" w:tplc="06FC4D16">
      <w:start w:val="1"/>
      <w:numFmt w:val="bullet"/>
      <w:lvlText w:val="o"/>
      <w:lvlJc w:val="left"/>
      <w:pPr>
        <w:ind w:left="1800" w:hanging="360"/>
      </w:pPr>
      <w:rPr>
        <w:rFonts w:ascii="Courier New" w:hAnsi="Courier New" w:hint="default"/>
      </w:rPr>
    </w:lvl>
    <w:lvl w:ilvl="2" w:tplc="9B70C3FA">
      <w:start w:val="1"/>
      <w:numFmt w:val="bullet"/>
      <w:lvlText w:val=""/>
      <w:lvlJc w:val="left"/>
      <w:pPr>
        <w:ind w:left="2520" w:hanging="360"/>
      </w:pPr>
      <w:rPr>
        <w:rFonts w:ascii="Wingdings" w:hAnsi="Wingdings" w:hint="default"/>
      </w:rPr>
    </w:lvl>
    <w:lvl w:ilvl="3" w:tplc="D70A3176">
      <w:start w:val="1"/>
      <w:numFmt w:val="bullet"/>
      <w:lvlText w:val=""/>
      <w:lvlJc w:val="left"/>
      <w:pPr>
        <w:ind w:left="3240" w:hanging="360"/>
      </w:pPr>
      <w:rPr>
        <w:rFonts w:ascii="Symbol" w:hAnsi="Symbol" w:hint="default"/>
      </w:rPr>
    </w:lvl>
    <w:lvl w:ilvl="4" w:tplc="0444F4D0">
      <w:start w:val="1"/>
      <w:numFmt w:val="bullet"/>
      <w:lvlText w:val="o"/>
      <w:lvlJc w:val="left"/>
      <w:pPr>
        <w:ind w:left="3960" w:hanging="360"/>
      </w:pPr>
      <w:rPr>
        <w:rFonts w:ascii="Courier New" w:hAnsi="Courier New" w:hint="default"/>
      </w:rPr>
    </w:lvl>
    <w:lvl w:ilvl="5" w:tplc="708893DE">
      <w:start w:val="1"/>
      <w:numFmt w:val="bullet"/>
      <w:lvlText w:val=""/>
      <w:lvlJc w:val="left"/>
      <w:pPr>
        <w:ind w:left="4680" w:hanging="360"/>
      </w:pPr>
      <w:rPr>
        <w:rFonts w:ascii="Wingdings" w:hAnsi="Wingdings" w:hint="default"/>
      </w:rPr>
    </w:lvl>
    <w:lvl w:ilvl="6" w:tplc="2294D30E">
      <w:start w:val="1"/>
      <w:numFmt w:val="bullet"/>
      <w:lvlText w:val=""/>
      <w:lvlJc w:val="left"/>
      <w:pPr>
        <w:ind w:left="5400" w:hanging="360"/>
      </w:pPr>
      <w:rPr>
        <w:rFonts w:ascii="Symbol" w:hAnsi="Symbol" w:hint="default"/>
      </w:rPr>
    </w:lvl>
    <w:lvl w:ilvl="7" w:tplc="65945E56">
      <w:start w:val="1"/>
      <w:numFmt w:val="bullet"/>
      <w:lvlText w:val="o"/>
      <w:lvlJc w:val="left"/>
      <w:pPr>
        <w:ind w:left="6120" w:hanging="360"/>
      </w:pPr>
      <w:rPr>
        <w:rFonts w:ascii="Courier New" w:hAnsi="Courier New" w:hint="default"/>
      </w:rPr>
    </w:lvl>
    <w:lvl w:ilvl="8" w:tplc="9342CB1E">
      <w:start w:val="1"/>
      <w:numFmt w:val="bullet"/>
      <w:lvlText w:val=""/>
      <w:lvlJc w:val="left"/>
      <w:pPr>
        <w:ind w:left="6840" w:hanging="360"/>
      </w:pPr>
      <w:rPr>
        <w:rFonts w:ascii="Wingdings" w:hAnsi="Wingdings" w:hint="default"/>
      </w:rPr>
    </w:lvl>
  </w:abstractNum>
  <w:abstractNum w:abstractNumId="2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28" w15:restartNumberingAfterBreak="0">
    <w:nsid w:val="2F7D7F02"/>
    <w:multiLevelType w:val="multilevel"/>
    <w:tmpl w:val="0407001D"/>
    <w:numStyleLink w:val="Formatvorlage3"/>
  </w:abstractNum>
  <w:abstractNum w:abstractNumId="29"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5" w15:restartNumberingAfterBreak="0">
    <w:nsid w:val="3A3A7175"/>
    <w:multiLevelType w:val="hybridMultilevel"/>
    <w:tmpl w:val="6ECAAF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3B6D41"/>
    <w:multiLevelType w:val="hybridMultilevel"/>
    <w:tmpl w:val="638C4F34"/>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F0855E3"/>
    <w:multiLevelType w:val="hybridMultilevel"/>
    <w:tmpl w:val="750E3EE4"/>
    <w:lvl w:ilvl="0" w:tplc="49E09BF8">
      <w:start w:val="156"/>
      <w:numFmt w:val="decimal"/>
      <w:lvlText w:val="%1."/>
      <w:lvlJc w:val="left"/>
      <w:pPr>
        <w:ind w:left="1452" w:hanging="460"/>
      </w:pPr>
      <w:rPr>
        <w:rFonts w:hint="default"/>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40"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06346F0"/>
    <w:multiLevelType w:val="hybridMultilevel"/>
    <w:tmpl w:val="9182C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4769545E"/>
    <w:multiLevelType w:val="hybridMultilevel"/>
    <w:tmpl w:val="BC103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3" w15:restartNumberingAfterBreak="0">
    <w:nsid w:val="547258C9"/>
    <w:multiLevelType w:val="hybridMultilevel"/>
    <w:tmpl w:val="BE78866E"/>
    <w:lvl w:ilvl="0" w:tplc="C0A0588A">
      <w:start w:val="1"/>
      <w:numFmt w:val="bullet"/>
      <w:lvlText w:val=""/>
      <w:lvlJc w:val="left"/>
      <w:pPr>
        <w:ind w:left="720" w:hanging="360"/>
      </w:pPr>
      <w:rPr>
        <w:rFonts w:ascii="Symbol" w:hAnsi="Symbol"/>
      </w:rPr>
    </w:lvl>
    <w:lvl w:ilvl="1" w:tplc="2FCAB45C">
      <w:start w:val="1"/>
      <w:numFmt w:val="bullet"/>
      <w:lvlText w:val=""/>
      <w:lvlJc w:val="left"/>
      <w:pPr>
        <w:ind w:left="720" w:hanging="360"/>
      </w:pPr>
      <w:rPr>
        <w:rFonts w:ascii="Symbol" w:hAnsi="Symbol"/>
      </w:rPr>
    </w:lvl>
    <w:lvl w:ilvl="2" w:tplc="B9208830">
      <w:start w:val="1"/>
      <w:numFmt w:val="bullet"/>
      <w:lvlText w:val=""/>
      <w:lvlJc w:val="left"/>
      <w:pPr>
        <w:ind w:left="720" w:hanging="360"/>
      </w:pPr>
      <w:rPr>
        <w:rFonts w:ascii="Symbol" w:hAnsi="Symbol"/>
      </w:rPr>
    </w:lvl>
    <w:lvl w:ilvl="3" w:tplc="034CC388">
      <w:start w:val="1"/>
      <w:numFmt w:val="bullet"/>
      <w:lvlText w:val=""/>
      <w:lvlJc w:val="left"/>
      <w:pPr>
        <w:ind w:left="720" w:hanging="360"/>
      </w:pPr>
      <w:rPr>
        <w:rFonts w:ascii="Symbol" w:hAnsi="Symbol"/>
      </w:rPr>
    </w:lvl>
    <w:lvl w:ilvl="4" w:tplc="AF5E1756">
      <w:start w:val="1"/>
      <w:numFmt w:val="bullet"/>
      <w:lvlText w:val=""/>
      <w:lvlJc w:val="left"/>
      <w:pPr>
        <w:ind w:left="720" w:hanging="360"/>
      </w:pPr>
      <w:rPr>
        <w:rFonts w:ascii="Symbol" w:hAnsi="Symbol"/>
      </w:rPr>
    </w:lvl>
    <w:lvl w:ilvl="5" w:tplc="8BF4A86C">
      <w:start w:val="1"/>
      <w:numFmt w:val="bullet"/>
      <w:lvlText w:val=""/>
      <w:lvlJc w:val="left"/>
      <w:pPr>
        <w:ind w:left="720" w:hanging="360"/>
      </w:pPr>
      <w:rPr>
        <w:rFonts w:ascii="Symbol" w:hAnsi="Symbol"/>
      </w:rPr>
    </w:lvl>
    <w:lvl w:ilvl="6" w:tplc="A1E43E7E">
      <w:start w:val="1"/>
      <w:numFmt w:val="bullet"/>
      <w:lvlText w:val=""/>
      <w:lvlJc w:val="left"/>
      <w:pPr>
        <w:ind w:left="720" w:hanging="360"/>
      </w:pPr>
      <w:rPr>
        <w:rFonts w:ascii="Symbol" w:hAnsi="Symbol"/>
      </w:rPr>
    </w:lvl>
    <w:lvl w:ilvl="7" w:tplc="D146290A">
      <w:start w:val="1"/>
      <w:numFmt w:val="bullet"/>
      <w:lvlText w:val=""/>
      <w:lvlJc w:val="left"/>
      <w:pPr>
        <w:ind w:left="720" w:hanging="360"/>
      </w:pPr>
      <w:rPr>
        <w:rFonts w:ascii="Symbol" w:hAnsi="Symbol"/>
      </w:rPr>
    </w:lvl>
    <w:lvl w:ilvl="8" w:tplc="E50ECCE2">
      <w:start w:val="1"/>
      <w:numFmt w:val="bullet"/>
      <w:lvlText w:val=""/>
      <w:lvlJc w:val="left"/>
      <w:pPr>
        <w:ind w:left="720" w:hanging="360"/>
      </w:pPr>
      <w:rPr>
        <w:rFonts w:ascii="Symbol" w:hAnsi="Symbol"/>
      </w:rPr>
    </w:lvl>
  </w:abstractNum>
  <w:abstractNum w:abstractNumId="54" w15:restartNumberingAfterBreak="0">
    <w:nsid w:val="55D10AC8"/>
    <w:multiLevelType w:val="hybridMultilevel"/>
    <w:tmpl w:val="94563B4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7" w15:restartNumberingAfterBreak="0">
    <w:nsid w:val="5B0D5CB4"/>
    <w:multiLevelType w:val="hybridMultilevel"/>
    <w:tmpl w:val="540CA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6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6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66"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8"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766D04A6"/>
    <w:multiLevelType w:val="hybridMultilevel"/>
    <w:tmpl w:val="C3C0112A"/>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77D16BEE"/>
    <w:multiLevelType w:val="hybridMultilevel"/>
    <w:tmpl w:val="9828A97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1338356">
    <w:abstractNumId w:val="3"/>
  </w:num>
  <w:num w:numId="2" w16cid:durableId="183522244">
    <w:abstractNumId w:val="59"/>
  </w:num>
  <w:num w:numId="3" w16cid:durableId="1448502459">
    <w:abstractNumId w:val="71"/>
  </w:num>
  <w:num w:numId="4" w16cid:durableId="889880339">
    <w:abstractNumId w:val="48"/>
  </w:num>
  <w:num w:numId="5" w16cid:durableId="1701934099">
    <w:abstractNumId w:val="64"/>
  </w:num>
  <w:num w:numId="6" w16cid:durableId="1184323459">
    <w:abstractNumId w:val="38"/>
  </w:num>
  <w:num w:numId="7" w16cid:durableId="1581868774">
    <w:abstractNumId w:val="70"/>
  </w:num>
  <w:num w:numId="8" w16cid:durableId="2051303454">
    <w:abstractNumId w:val="14"/>
  </w:num>
  <w:num w:numId="9" w16cid:durableId="1143890874">
    <w:abstractNumId w:val="62"/>
  </w:num>
  <w:num w:numId="10" w16cid:durableId="1965963049">
    <w:abstractNumId w:val="32"/>
  </w:num>
  <w:num w:numId="11" w16cid:durableId="1458716913">
    <w:abstractNumId w:val="50"/>
  </w:num>
  <w:num w:numId="12" w16cid:durableId="177084388">
    <w:abstractNumId w:val="22"/>
  </w:num>
  <w:num w:numId="13" w16cid:durableId="1790856664">
    <w:abstractNumId w:val="63"/>
  </w:num>
  <w:num w:numId="14" w16cid:durableId="1769737822">
    <w:abstractNumId w:val="58"/>
  </w:num>
  <w:num w:numId="15" w16cid:durableId="1279684757">
    <w:abstractNumId w:val="30"/>
  </w:num>
  <w:num w:numId="16" w16cid:durableId="950014290">
    <w:abstractNumId w:val="49"/>
  </w:num>
  <w:num w:numId="17" w16cid:durableId="2020161557">
    <w:abstractNumId w:val="28"/>
  </w:num>
  <w:num w:numId="18" w16cid:durableId="201554976">
    <w:abstractNumId w:val="65"/>
  </w:num>
  <w:num w:numId="19" w16cid:durableId="177550538">
    <w:abstractNumId w:val="8"/>
  </w:num>
  <w:num w:numId="20" w16cid:durableId="188304141">
    <w:abstractNumId w:val="12"/>
  </w:num>
  <w:num w:numId="21" w16cid:durableId="1689141194">
    <w:abstractNumId w:val="31"/>
  </w:num>
  <w:num w:numId="22" w16cid:durableId="1528255444">
    <w:abstractNumId w:val="45"/>
  </w:num>
  <w:num w:numId="23" w16cid:durableId="1735394876">
    <w:abstractNumId w:val="56"/>
  </w:num>
  <w:num w:numId="24" w16cid:durableId="947203339">
    <w:abstractNumId w:val="66"/>
  </w:num>
  <w:num w:numId="25" w16cid:durableId="129398761">
    <w:abstractNumId w:val="13"/>
  </w:num>
  <w:num w:numId="26" w16cid:durableId="832260126">
    <w:abstractNumId w:val="42"/>
  </w:num>
  <w:num w:numId="27" w16cid:durableId="319433869">
    <w:abstractNumId w:val="52"/>
  </w:num>
  <w:num w:numId="28" w16cid:durableId="1763138746">
    <w:abstractNumId w:val="9"/>
  </w:num>
  <w:num w:numId="29" w16cid:durableId="935988430">
    <w:abstractNumId w:val="10"/>
  </w:num>
  <w:num w:numId="30" w16cid:durableId="1112171793">
    <w:abstractNumId w:val="60"/>
  </w:num>
  <w:num w:numId="31" w16cid:durableId="2051571335">
    <w:abstractNumId w:val="73"/>
  </w:num>
  <w:num w:numId="32" w16cid:durableId="856770119">
    <w:abstractNumId w:val="18"/>
  </w:num>
  <w:num w:numId="33" w16cid:durableId="65742169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8849946">
    <w:abstractNumId w:val="24"/>
  </w:num>
  <w:num w:numId="35" w16cid:durableId="703024217">
    <w:abstractNumId w:val="76"/>
  </w:num>
  <w:num w:numId="36" w16cid:durableId="1106928801">
    <w:abstractNumId w:val="4"/>
  </w:num>
  <w:num w:numId="37" w16cid:durableId="990518852">
    <w:abstractNumId w:val="68"/>
  </w:num>
  <w:num w:numId="38" w16cid:durableId="1984385342">
    <w:abstractNumId w:val="72"/>
  </w:num>
  <w:num w:numId="39" w16cid:durableId="353461949">
    <w:abstractNumId w:val="43"/>
  </w:num>
  <w:num w:numId="40" w16cid:durableId="2063013796">
    <w:abstractNumId w:val="2"/>
  </w:num>
  <w:num w:numId="41" w16cid:durableId="762845825">
    <w:abstractNumId w:val="33"/>
  </w:num>
  <w:num w:numId="42" w16cid:durableId="1041706266">
    <w:abstractNumId w:val="69"/>
  </w:num>
  <w:num w:numId="43" w16cid:durableId="659577669">
    <w:abstractNumId w:val="1"/>
  </w:num>
  <w:num w:numId="44" w16cid:durableId="386492986">
    <w:abstractNumId w:val="67"/>
  </w:num>
  <w:num w:numId="45" w16cid:durableId="978190496">
    <w:abstractNumId w:val="51"/>
  </w:num>
  <w:num w:numId="46" w16cid:durableId="162478141">
    <w:abstractNumId w:val="0"/>
  </w:num>
  <w:num w:numId="47" w16cid:durableId="1430082906">
    <w:abstractNumId w:val="23"/>
  </w:num>
  <w:num w:numId="48" w16cid:durableId="1095709613">
    <w:abstractNumId w:val="47"/>
  </w:num>
  <w:num w:numId="49" w16cid:durableId="1040087398">
    <w:abstractNumId w:val="34"/>
  </w:num>
  <w:num w:numId="50" w16cid:durableId="1109200044">
    <w:abstractNumId w:val="63"/>
  </w:num>
  <w:num w:numId="51" w16cid:durableId="943074357">
    <w:abstractNumId w:val="30"/>
  </w:num>
  <w:num w:numId="52" w16cid:durableId="137890962">
    <w:abstractNumId w:val="6"/>
  </w:num>
  <w:num w:numId="53" w16cid:durableId="631836783">
    <w:abstractNumId w:val="55"/>
  </w:num>
  <w:num w:numId="54" w16cid:durableId="1025516621">
    <w:abstractNumId w:val="36"/>
  </w:num>
  <w:num w:numId="55" w16cid:durableId="20010776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74528528">
    <w:abstractNumId w:val="7"/>
  </w:num>
  <w:num w:numId="57" w16cid:durableId="767972081">
    <w:abstractNumId w:val="16"/>
  </w:num>
  <w:num w:numId="58" w16cid:durableId="1104763661">
    <w:abstractNumId w:val="25"/>
  </w:num>
  <w:num w:numId="59" w16cid:durableId="168955746">
    <w:abstractNumId w:val="30"/>
  </w:num>
  <w:num w:numId="60" w16cid:durableId="1202866312">
    <w:abstractNumId w:val="30"/>
  </w:num>
  <w:num w:numId="61" w16cid:durableId="1134905911">
    <w:abstractNumId w:val="30"/>
  </w:num>
  <w:num w:numId="62" w16cid:durableId="712118914">
    <w:abstractNumId w:val="21"/>
  </w:num>
  <w:num w:numId="63" w16cid:durableId="987902906">
    <w:abstractNumId w:val="63"/>
  </w:num>
  <w:num w:numId="64" w16cid:durableId="235555217">
    <w:abstractNumId w:val="63"/>
  </w:num>
  <w:num w:numId="65" w16cid:durableId="1255281968">
    <w:abstractNumId w:val="63"/>
  </w:num>
  <w:num w:numId="66" w16cid:durableId="1928152609">
    <w:abstractNumId w:val="30"/>
  </w:num>
  <w:num w:numId="67" w16cid:durableId="238633556">
    <w:abstractNumId w:val="30"/>
  </w:num>
  <w:num w:numId="68" w16cid:durableId="120652283">
    <w:abstractNumId w:val="30"/>
  </w:num>
  <w:num w:numId="69" w16cid:durableId="71246730">
    <w:abstractNumId w:val="30"/>
  </w:num>
  <w:num w:numId="70" w16cid:durableId="1005090067">
    <w:abstractNumId w:val="30"/>
  </w:num>
  <w:num w:numId="71" w16cid:durableId="2090930089">
    <w:abstractNumId w:val="17"/>
  </w:num>
  <w:num w:numId="72" w16cid:durableId="661399260">
    <w:abstractNumId w:val="30"/>
  </w:num>
  <w:num w:numId="73" w16cid:durableId="479881726">
    <w:abstractNumId w:val="30"/>
  </w:num>
  <w:num w:numId="74" w16cid:durableId="172570785">
    <w:abstractNumId w:val="30"/>
  </w:num>
  <w:num w:numId="75" w16cid:durableId="507406625">
    <w:abstractNumId w:val="30"/>
  </w:num>
  <w:num w:numId="76" w16cid:durableId="660352806">
    <w:abstractNumId w:val="30"/>
  </w:num>
  <w:num w:numId="77" w16cid:durableId="2057969629">
    <w:abstractNumId w:val="30"/>
  </w:num>
  <w:num w:numId="78" w16cid:durableId="896935632">
    <w:abstractNumId w:val="29"/>
  </w:num>
  <w:num w:numId="79" w16cid:durableId="786579404">
    <w:abstractNumId w:val="35"/>
  </w:num>
  <w:num w:numId="80" w16cid:durableId="1983730352">
    <w:abstractNumId w:val="74"/>
  </w:num>
  <w:num w:numId="81" w16cid:durableId="1613171282">
    <w:abstractNumId w:val="30"/>
  </w:num>
  <w:num w:numId="82" w16cid:durableId="377750400">
    <w:abstractNumId w:val="30"/>
  </w:num>
  <w:num w:numId="83" w16cid:durableId="1383409845">
    <w:abstractNumId w:val="30"/>
  </w:num>
  <w:num w:numId="84" w16cid:durableId="1038362135">
    <w:abstractNumId w:val="63"/>
  </w:num>
  <w:num w:numId="85" w16cid:durableId="1588809259">
    <w:abstractNumId w:val="63"/>
  </w:num>
  <w:num w:numId="86" w16cid:durableId="353043648">
    <w:abstractNumId w:val="63"/>
  </w:num>
  <w:num w:numId="87" w16cid:durableId="274871337">
    <w:abstractNumId w:val="63"/>
  </w:num>
  <w:num w:numId="88" w16cid:durableId="1494681881">
    <w:abstractNumId w:val="30"/>
  </w:num>
  <w:num w:numId="89" w16cid:durableId="1915241942">
    <w:abstractNumId w:val="30"/>
  </w:num>
  <w:num w:numId="90" w16cid:durableId="7368640">
    <w:abstractNumId w:val="30"/>
  </w:num>
  <w:num w:numId="91" w16cid:durableId="673921904">
    <w:abstractNumId w:val="30"/>
    <w:lvlOverride w:ilvl="0">
      <w:startOverride w:val="1"/>
    </w:lvlOverride>
  </w:num>
  <w:num w:numId="92" w16cid:durableId="1952004876">
    <w:abstractNumId w:val="30"/>
  </w:num>
  <w:num w:numId="93" w16cid:durableId="973826979">
    <w:abstractNumId w:val="30"/>
  </w:num>
  <w:num w:numId="94" w16cid:durableId="1968271437">
    <w:abstractNumId w:val="30"/>
  </w:num>
  <w:num w:numId="95" w16cid:durableId="604732219">
    <w:abstractNumId w:val="30"/>
  </w:num>
  <w:num w:numId="96" w16cid:durableId="729692058">
    <w:abstractNumId w:val="30"/>
  </w:num>
  <w:num w:numId="97" w16cid:durableId="1384980659">
    <w:abstractNumId w:val="30"/>
  </w:num>
  <w:num w:numId="98" w16cid:durableId="1044061194">
    <w:abstractNumId w:val="53"/>
  </w:num>
  <w:num w:numId="99" w16cid:durableId="151338462">
    <w:abstractNumId w:val="15"/>
  </w:num>
  <w:num w:numId="100" w16cid:durableId="1957638803">
    <w:abstractNumId w:val="75"/>
  </w:num>
  <w:num w:numId="101" w16cid:durableId="153298203">
    <w:abstractNumId w:val="46"/>
  </w:num>
  <w:num w:numId="102" w16cid:durableId="311446267">
    <w:abstractNumId w:val="37"/>
  </w:num>
  <w:num w:numId="103" w16cid:durableId="1076902494">
    <w:abstractNumId w:val="54"/>
  </w:num>
  <w:num w:numId="104" w16cid:durableId="1769960940">
    <w:abstractNumId w:val="27"/>
  </w:num>
  <w:num w:numId="105" w16cid:durableId="998850646">
    <w:abstractNumId w:val="57"/>
  </w:num>
  <w:num w:numId="106" w16cid:durableId="1660840690">
    <w:abstractNumId w:val="19"/>
  </w:num>
  <w:num w:numId="107" w16cid:durableId="786386585">
    <w:abstractNumId w:val="30"/>
  </w:num>
  <w:num w:numId="108" w16cid:durableId="680013010">
    <w:abstractNumId w:val="41"/>
  </w:num>
  <w:num w:numId="109" w16cid:durableId="1536967711">
    <w:abstractNumId w:val="26"/>
  </w:num>
  <w:num w:numId="110" w16cid:durableId="522524046">
    <w:abstractNumId w:val="5"/>
  </w:num>
  <w:num w:numId="111" w16cid:durableId="985475566">
    <w:abstractNumId w:val="40"/>
  </w:num>
  <w:num w:numId="112" w16cid:durableId="1183324465">
    <w:abstractNumId w:val="20"/>
  </w:num>
  <w:num w:numId="113" w16cid:durableId="700400114">
    <w:abstractNumId w:val="30"/>
  </w:num>
  <w:num w:numId="114" w16cid:durableId="727384551">
    <w:abstractNumId w:val="30"/>
  </w:num>
  <w:num w:numId="115" w16cid:durableId="261109636">
    <w:abstractNumId w:val="30"/>
  </w:num>
  <w:num w:numId="116" w16cid:durableId="1812672116">
    <w:abstractNumId w:val="30"/>
  </w:num>
  <w:num w:numId="117" w16cid:durableId="837575409">
    <w:abstractNumId w:val="30"/>
  </w:num>
  <w:num w:numId="118" w16cid:durableId="1359313107">
    <w:abstractNumId w:val="30"/>
  </w:num>
  <w:num w:numId="119" w16cid:durableId="2137748255">
    <w:abstractNumId w:val="30"/>
  </w:num>
  <w:num w:numId="120" w16cid:durableId="482813878">
    <w:abstractNumId w:val="30"/>
  </w:num>
  <w:num w:numId="121" w16cid:durableId="2069647199">
    <w:abstractNumId w:val="30"/>
  </w:num>
  <w:num w:numId="122" w16cid:durableId="1234895312">
    <w:abstractNumId w:val="30"/>
  </w:num>
  <w:num w:numId="123" w16cid:durableId="1951350203">
    <w:abstractNumId w:val="30"/>
  </w:num>
  <w:num w:numId="124" w16cid:durableId="2001958340">
    <w:abstractNumId w:val="30"/>
  </w:num>
  <w:num w:numId="125" w16cid:durableId="244846764">
    <w:abstractNumId w:val="39"/>
  </w:num>
  <w:num w:numId="126" w16cid:durableId="1455171236">
    <w:abstractNumId w:val="11"/>
  </w:num>
  <w:num w:numId="127" w16cid:durableId="2122601017">
    <w:abstractNumId w:val="30"/>
  </w:num>
  <w:num w:numId="128" w16cid:durableId="2034919539">
    <w:abstractNumId w:val="30"/>
  </w:num>
  <w:num w:numId="129" w16cid:durableId="1279557425">
    <w:abstractNumId w:val="30"/>
  </w:num>
  <w:num w:numId="130" w16cid:durableId="906719538">
    <w:abstractNumId w:val="30"/>
  </w:num>
  <w:num w:numId="131" w16cid:durableId="107241455">
    <w:abstractNumId w:val="63"/>
  </w:num>
  <w:num w:numId="132" w16cid:durableId="2060662018">
    <w:abstractNumId w:val="63"/>
  </w:num>
  <w:num w:numId="133" w16cid:durableId="1329746507">
    <w:abstractNumId w:val="44"/>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665A"/>
    <w:rsid w:val="006D6AE0"/>
    <w:rsid w:val="006D71F3"/>
    <w:rsid w:val="006D7512"/>
    <w:rsid w:val="006E01DA"/>
    <w:rsid w:val="006E0809"/>
    <w:rsid w:val="006E0E76"/>
    <w:rsid w:val="006E0FC4"/>
    <w:rsid w:val="006E192D"/>
    <w:rsid w:val="006E1A84"/>
    <w:rsid w:val="006E3440"/>
    <w:rsid w:val="006E347B"/>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Change w:id="0" w:author="Author">
        <w:pPr>
          <w:tabs>
            <w:tab w:val="left" w:pos="794"/>
            <w:tab w:val="right" w:leader="dot" w:pos="9071"/>
          </w:tabs>
          <w:spacing w:before="120" w:after="60"/>
          <w:ind w:left="794" w:hanging="794"/>
          <w:jc w:val="both"/>
        </w:pPr>
      </w:pPrChange>
    </w:pPr>
    <w:rPr>
      <w:b/>
      <w:smallCaps/>
      <w:noProof/>
      <w:szCs w:val="22"/>
      <w:rPrChange w:id="0" w:author="Author">
        <w:rPr>
          <w:rFonts w:ascii="Verdana" w:hAnsi="Verdana"/>
          <w:b/>
          <w:smallCaps/>
          <w:noProof/>
          <w:szCs w:val="22"/>
          <w:lang w:val="en-GB" w:eastAsia="en-US" w:bidi="ar-SA"/>
        </w:rPr>
      </w:rPrChange>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Change w:id="1" w:author="Author">
        <w:pPr>
          <w:spacing w:after="120"/>
          <w:jc w:val="both"/>
        </w:pPr>
      </w:pPrChange>
    </w:pPr>
    <w:rPr>
      <w:rFonts w:ascii="Times New Roman" w:hAnsi="Times New Roman"/>
      <w:sz w:val="24"/>
      <w:lang w:eastAsia="de-DE"/>
      <w:rPrChange w:id="1"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A5856DE3-E858-4CD4-BDC8-7E7EC5FA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7781</Words>
  <Characters>44356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52033</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2024-01-18T11:29:00Z</dcterms:created>
  <dcterms:modified xsi:type="dcterms:W3CDTF">2024-06-19T15:30:00Z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