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94" w:rsidRPr="00AE5977" w:rsidRDefault="00B3749A" w:rsidP="00B3749A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6485ECF9-3FC3-4E73-B012-EBC119D9CC28" style="width:455.25pt;height:454.5pt">
            <v:imagedata r:id="rId7" o:title=""/>
          </v:shape>
        </w:pict>
      </w:r>
    </w:p>
    <w:p w:rsidR="001D506C" w:rsidRPr="00AE5977" w:rsidRDefault="001D506C">
      <w:pPr>
        <w:rPr>
          <w:noProof/>
        </w:rPr>
        <w:sectPr w:rsidR="001D506C" w:rsidRPr="00AE5977" w:rsidSect="00B3749A">
          <w:footerReference w:type="even" r:id="rId8"/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1D506C" w:rsidRPr="00AE5977" w:rsidRDefault="00AE5977" w:rsidP="00AE5977">
      <w:pPr>
        <w:pStyle w:val="Typedudocument"/>
        <w:rPr>
          <w:noProof/>
        </w:rPr>
      </w:pPr>
      <w:bookmarkStart w:id="0" w:name="_GoBack"/>
      <w:bookmarkEnd w:id="0"/>
      <w:r w:rsidRPr="00AE5977">
        <w:rPr>
          <w:noProof/>
        </w:rPr>
        <w:lastRenderedPageBreak/>
        <w:t>A BIZOTTSÁG (EU) .../... VÉGREHAJTÁSI RENDELETE</w:t>
      </w:r>
    </w:p>
    <w:p w:rsidR="001D506C" w:rsidRPr="00AE5977" w:rsidRDefault="00C849F1" w:rsidP="00AE5977">
      <w:pPr>
        <w:pStyle w:val="Datedadoption"/>
        <w:rPr>
          <w:noProof/>
        </w:rPr>
      </w:pPr>
      <w:r>
        <w:rPr>
          <w:noProof/>
        </w:rPr>
        <w:t>(2024.6.6.)</w:t>
      </w:r>
    </w:p>
    <w:p w:rsidR="001D506C" w:rsidRPr="00AE5977" w:rsidRDefault="00AE5977" w:rsidP="00AE5977">
      <w:pPr>
        <w:pStyle w:val="Titreobjet"/>
        <w:rPr>
          <w:noProof/>
        </w:rPr>
      </w:pPr>
      <w:r w:rsidRPr="00AE5977">
        <w:rPr>
          <w:noProof/>
        </w:rPr>
        <w:t xml:space="preserve">az 575/2013/EU európai parlamenti és tanácsi rendeletnek és a 2014/59/EU európai parlamenti és tanácsi irányelvnek a szavatolótőkére és a leírható, illetve átalakítható kötelezettségekre vonatkozó minimumkövetelmény felügyeleti adatszolgáltatása és nyilvánosságra hozatala tekintetében történő alkalmazására vonatkozó végrehajtás-technikai standardok megállapításáról szóló (EU) 2021/763 végrehajtási rendelet módosításáról </w:t>
      </w:r>
      <w:r w:rsidRPr="00AE5977">
        <w:rPr>
          <w:noProof/>
        </w:rPr>
        <w:br/>
      </w:r>
    </w:p>
    <w:p w:rsidR="001D506C" w:rsidRPr="00AE5977" w:rsidRDefault="00AE5977" w:rsidP="00AE5977">
      <w:pPr>
        <w:pStyle w:val="IntrtEEE"/>
        <w:rPr>
          <w:noProof/>
        </w:rPr>
      </w:pPr>
      <w:r w:rsidRPr="00AE5977">
        <w:rPr>
          <w:noProof/>
        </w:rPr>
        <w:t>(EGT-vonatkozású szöveg)</w:t>
      </w:r>
    </w:p>
    <w:p w:rsidR="001D506C" w:rsidRPr="00AE5977" w:rsidRDefault="001D506C" w:rsidP="004E1EF9">
      <w:pPr>
        <w:pStyle w:val="Institutionquiagit"/>
        <w:rPr>
          <w:noProof/>
        </w:rPr>
      </w:pPr>
      <w:r w:rsidRPr="00AE5977">
        <w:rPr>
          <w:noProof/>
        </w:rPr>
        <w:t>AZ EURÓPAI BIZOTTSÁG,</w:t>
      </w:r>
    </w:p>
    <w:p w:rsidR="001D506C" w:rsidRPr="00AE5977" w:rsidRDefault="001D506C" w:rsidP="004E1EF9">
      <w:pPr>
        <w:rPr>
          <w:noProof/>
        </w:rPr>
      </w:pPr>
      <w:r w:rsidRPr="00AE5977">
        <w:rPr>
          <w:noProof/>
        </w:rPr>
        <w:t>tekintettel az Európai Unió működéséről szóló szerződésre,</w:t>
      </w:r>
    </w:p>
    <w:p w:rsidR="000E6FD2" w:rsidRPr="00AE5977" w:rsidRDefault="000E6FD2" w:rsidP="000E6FD2">
      <w:pPr>
        <w:rPr>
          <w:noProof/>
        </w:rPr>
      </w:pPr>
      <w:r w:rsidRPr="00AE5977">
        <w:rPr>
          <w:noProof/>
        </w:rPr>
        <w:t>tekintettel a hitelintézetekre vonatkozó prudenciális követelményekről és a 648/2012/EU rendelet módosításáról szóló, 2013. június 26-i 575/2013/EU európai parlamenti és tanácsi rendeletre</w:t>
      </w:r>
      <w:r w:rsidRPr="00AE5977">
        <w:rPr>
          <w:rStyle w:val="FootnoteReference"/>
          <w:noProof/>
        </w:rPr>
        <w:footnoteReference w:id="1"/>
      </w:r>
      <w:r w:rsidRPr="00AE5977">
        <w:rPr>
          <w:noProof/>
        </w:rPr>
        <w:t xml:space="preserve"> és különösen annak 430. cikke (7) bekezdésének ötödik albekezdésére, valamint 434a. cikkének ötödik albekezdésére,</w:t>
      </w:r>
    </w:p>
    <w:p w:rsidR="000E6FD2" w:rsidRPr="00AE5977" w:rsidRDefault="000E6FD2" w:rsidP="000E6FD2">
      <w:pPr>
        <w:rPr>
          <w:noProof/>
        </w:rPr>
      </w:pPr>
      <w:r w:rsidRPr="00AE5977">
        <w:rPr>
          <w:noProof/>
        </w:rPr>
        <w:t>tekintettel a hitelintézetek és befektetési vállalkozások helyreállítását és szanálását célzó keretrendszer létrehozásáról és a 82/891/EGK tanácsi irányelv, a 2001/24/EK, 2002/47/EK, 2004/25/EK, 2005/56/EK, 2007/36/EK, 2011/35/EU, 2012/30/EU és 2013/36/EU irányelv, valamint az 1093/2010/EU és a 648/2012/EU európai parlamenti és tanácsi rendelet módosításáról szóló, 2014. május 15-i 2014/59/EU európai parlamenti és tanácsi irányelvre</w:t>
      </w:r>
      <w:r w:rsidRPr="00AE5977">
        <w:rPr>
          <w:rStyle w:val="FootnoteReference"/>
          <w:noProof/>
        </w:rPr>
        <w:footnoteReference w:id="2"/>
      </w:r>
      <w:r w:rsidRPr="00AE5977">
        <w:rPr>
          <w:noProof/>
        </w:rPr>
        <w:t xml:space="preserve"> és különösen annak 45i. cikke (5) bekezdésének ötödik albekezdésére, valamint 45i. cikke (6) bekezdésének ötödik albekezdésére,</w:t>
      </w:r>
    </w:p>
    <w:p w:rsidR="001D506C" w:rsidRPr="00AE5977" w:rsidRDefault="001D506C" w:rsidP="004E1EF9">
      <w:pPr>
        <w:rPr>
          <w:noProof/>
        </w:rPr>
      </w:pPr>
      <w:r w:rsidRPr="00AE5977">
        <w:rPr>
          <w:noProof/>
        </w:rPr>
        <w:t>mivel:</w:t>
      </w:r>
    </w:p>
    <w:p w:rsidR="00F83DBF" w:rsidRPr="00AE5977" w:rsidRDefault="00F83DBF" w:rsidP="0052704B">
      <w:pPr>
        <w:pStyle w:val="ManualConsidrant"/>
        <w:rPr>
          <w:noProof/>
        </w:rPr>
      </w:pPr>
      <w:r>
        <w:rPr>
          <w:noProof/>
        </w:rPr>
        <w:t>(1)</w:t>
      </w:r>
      <w:r>
        <w:rPr>
          <w:noProof/>
        </w:rPr>
        <w:tab/>
      </w:r>
      <w:r w:rsidRPr="00AE5977">
        <w:rPr>
          <w:noProof/>
        </w:rPr>
        <w:t xml:space="preserve">Az (EU) 2022/2036 </w:t>
      </w:r>
      <w:bookmarkStart w:id="1" w:name="_Hlk159320995"/>
      <w:r w:rsidRPr="00AE5977">
        <w:rPr>
          <w:noProof/>
        </w:rPr>
        <w:t>európai parlamenti és tanácsi rendelet</w:t>
      </w:r>
      <w:r w:rsidRPr="00AE5977">
        <w:rPr>
          <w:rStyle w:val="FootnoteReference"/>
          <w:noProof/>
        </w:rPr>
        <w:footnoteReference w:id="3"/>
      </w:r>
      <w:bookmarkEnd w:id="1"/>
      <w:r w:rsidRPr="00AE5977">
        <w:rPr>
          <w:noProof/>
        </w:rPr>
        <w:t xml:space="preserve"> az 575/2013/EU rendeletbe bevezette azt a követelményt, hogy a szanálás alá vonható csoporton belüli közbenső szervezeteknek a leírható, illetve átalakítható kötelezettségelemekből le kell vonniuk a szavatolótőke-instrumentumok és a leírható, illetve átalakítható kötelezettséginstrumentumok azon állományát, amelyet az 575/2013/EU rendelet 92b. cikkében meghatározott követelménynek („teljes belső veszteségviselő képességre vonatkozó követelmény” vagy „belső TLAC”) vagy a 2014/59/EU irányelv</w:t>
      </w:r>
      <w:r w:rsidRPr="00AE5977">
        <w:rPr>
          <w:rStyle w:val="FootnoteReference"/>
          <w:noProof/>
        </w:rPr>
        <w:footnoteReference w:id="4"/>
      </w:r>
      <w:r w:rsidRPr="00AE5977">
        <w:rPr>
          <w:noProof/>
        </w:rPr>
        <w:t xml:space="preserve"> 45f. cikkében meghatározott követelménynek (a szavatolótőkére és a leírható, illetve átalakítható kötelezettségekre vonatkozó belső minimumkövetelmény vagy belső MREL) való megfeleléshez használnak, amennyiben ezeket a szavatolótőke-instrumentumokat és leírható, illetve átalakítható kötelezettséginstrumentumokat olyan szervezetek bocsátották ki, amelyek nem minősülnek szanálás alá vonható szervezetnek, és ugyanahhoz a szanálás alá vonható csoporthoz tartoznak. Ezért ezt a levonási követelményt figyelembe kell venni az (EU) 2021/763 bizottsági végrehajtási rendeletben</w:t>
      </w:r>
      <w:r w:rsidRPr="00AE5977">
        <w:rPr>
          <w:rStyle w:val="FootnoteReference"/>
          <w:bCs/>
          <w:noProof/>
        </w:rPr>
        <w:footnoteReference w:id="5"/>
      </w:r>
      <w:r w:rsidRPr="00AE5977">
        <w:rPr>
          <w:noProof/>
        </w:rPr>
        <w:t xml:space="preserve"> meghatározott, a belső MREL-re és a belső TLAC-ra vonatkozó harmonizált információk közzétételére szolgáló táblákban. Ezt a levonási követelményt az illetékes és a szanálási hatóságok rendelkezésére bocsátott harmonizált információknak is tükrözniük kell.</w:t>
      </w:r>
    </w:p>
    <w:p w:rsidR="00686AFD" w:rsidRPr="00AE5977" w:rsidRDefault="00686AFD" w:rsidP="002103AD">
      <w:pPr>
        <w:pStyle w:val="ManualConsidrant"/>
        <w:rPr>
          <w:noProof/>
        </w:rPr>
      </w:pPr>
      <w:r>
        <w:rPr>
          <w:noProof/>
        </w:rPr>
        <w:t>(2)</w:t>
      </w:r>
      <w:r>
        <w:rPr>
          <w:noProof/>
        </w:rPr>
        <w:tab/>
      </w:r>
      <w:r w:rsidRPr="00AE5977">
        <w:rPr>
          <w:noProof/>
        </w:rPr>
        <w:t>A 2014/59/EU irányelvnek és a 806/2014/EU rendeletnek a szavatolótőkére és a leírható, illetve átalakítható kötelezettségekre vonatkozó minimumkövetelmény egyes vonatkozásai tekintetében történő módosításáról szóló (EU) 2024/1174 európai parlamenti és tanácsi irányelv</w:t>
      </w:r>
      <w:r w:rsidRPr="00AE5977">
        <w:rPr>
          <w:rStyle w:val="FootnoteReference"/>
          <w:noProof/>
        </w:rPr>
        <w:footnoteReference w:id="6"/>
      </w:r>
      <w:r w:rsidRPr="00AE5977">
        <w:rPr>
          <w:noProof/>
        </w:rPr>
        <w:t xml:space="preserve"> tovább módosította az 575/2013/EU rendeletben meghatározott levonási követelményt: a 2014/59/EU irányelvben és a 806/2014/EU rendeletben meghatározta, hogy a szanálás alá vonható csoporton belüli közbenső szervezetek a felszámolandó szervezetek által kibocsátott szavatolótőke-instrumentumaik állományát csak akkor vonhatják le, ha a felszámolandó szervezetek ugyanazon szanálás alá vonható csoporthoz tartoznak és nem minősülnek szanálás alá vonható szervezetnek, az említett állományok lényegességéhez kapcsolódó bizonyos feltételek mellett. Ezeknek a módosításoknak tükröződniük kell a közzétételi táblák és az illetékes hatóságoknak és szanálási hatóságoknak benyújtandó adatszolgáltatási táblák harmonizált információiban is.</w:t>
      </w:r>
    </w:p>
    <w:p w:rsidR="00F83DBF" w:rsidRPr="00AE5977" w:rsidRDefault="00F83DBF" w:rsidP="00302BB5">
      <w:pPr>
        <w:pStyle w:val="ManualConsidrant"/>
        <w:rPr>
          <w:noProof/>
        </w:rPr>
      </w:pPr>
      <w:r>
        <w:rPr>
          <w:noProof/>
        </w:rPr>
        <w:t>(3)</w:t>
      </w:r>
      <w:r>
        <w:rPr>
          <w:noProof/>
        </w:rPr>
        <w:tab/>
      </w:r>
      <w:r w:rsidRPr="00AE5977">
        <w:rPr>
          <w:noProof/>
        </w:rPr>
        <w:t>Az 575/2013/EU rendelet 92a. vagy 92b. cikkében meghatározott követelmények (TLAC-követelmény) vagy a 2014/59/EU irányelv 45. cikkében meghatározott követelmény (MREL-követelmény) hatálya alá tartozó szervezetek az 575/2013/EU rendelet 78a. cikkével összhangban – szanálási hatóságuk előzetes engedélyével – lehívhatnak, visszaválthatnak, visszafizethetnek vagy visszavásárolhatnak leírható, illetve átalakítható kötelezettséginstrumentumokat. Az ilyen engedélyben szereplő összegeket a szervezetek nem fordíthatják az MREL- vagy a TLAC-követelmény teljesítésére. Ezért meg kell határozni, hogy az ilyen engedély hatását miként kell bemutatni a közzétételi táblákban, valamint az illetékes hatóságok és a szanálási hatóságok felé történő adatszolgáltatási táblákban.</w:t>
      </w:r>
    </w:p>
    <w:p w:rsidR="00F83DBF" w:rsidRPr="00AE5977" w:rsidRDefault="00F83DBF" w:rsidP="00F83DBF">
      <w:pPr>
        <w:pStyle w:val="ManualConsidrant"/>
        <w:rPr>
          <w:noProof/>
        </w:rPr>
      </w:pPr>
      <w:r>
        <w:rPr>
          <w:noProof/>
        </w:rPr>
        <w:t>(4)</w:t>
      </w:r>
      <w:r>
        <w:rPr>
          <w:noProof/>
        </w:rPr>
        <w:tab/>
      </w:r>
      <w:r w:rsidRPr="00AE5977">
        <w:rPr>
          <w:noProof/>
        </w:rPr>
        <w:t>Az (EU) 2021/763 végrehajtási rendeletet ezért ennek megfelelően módosítani kell.</w:t>
      </w:r>
    </w:p>
    <w:p w:rsidR="00F83DBF" w:rsidRPr="00AE5977" w:rsidRDefault="00F83DBF" w:rsidP="00F83DBF">
      <w:pPr>
        <w:pStyle w:val="ManualConsidrant"/>
        <w:rPr>
          <w:noProof/>
        </w:rPr>
      </w:pPr>
      <w:r>
        <w:rPr>
          <w:noProof/>
        </w:rPr>
        <w:t>(5)</w:t>
      </w:r>
      <w:r>
        <w:rPr>
          <w:noProof/>
        </w:rPr>
        <w:tab/>
      </w:r>
      <w:r w:rsidRPr="00AE5977">
        <w:rPr>
          <w:noProof/>
        </w:rPr>
        <w:t xml:space="preserve">Ez a rendelet az Európai Bankhatóság által a Bizottsághoz benyújtott végrehajtás-technikai standardtervezeteken alapul. </w:t>
      </w:r>
    </w:p>
    <w:p w:rsidR="00F83DBF" w:rsidRPr="00AE5977" w:rsidRDefault="00F83DBF" w:rsidP="00F83DBF">
      <w:pPr>
        <w:pStyle w:val="ManualConsidrant"/>
        <w:rPr>
          <w:noProof/>
        </w:rPr>
      </w:pPr>
      <w:r>
        <w:rPr>
          <w:noProof/>
        </w:rPr>
        <w:t>(6)</w:t>
      </w:r>
      <w:r>
        <w:rPr>
          <w:noProof/>
        </w:rPr>
        <w:tab/>
      </w:r>
      <w:r w:rsidRPr="00AE5977">
        <w:rPr>
          <w:noProof/>
        </w:rPr>
        <w:t>Az Európai Bankhatóság nyilvános konzultációt folytatott az e rendelet alapját képező végrehajtás-technikai standardtervezetekről, elemezte az esetleges kapcsolódó költségeket és hasznot, továbbá kikérte az 1093/2010/EU európai parlamenti és tanácsi rendelet</w:t>
      </w:r>
      <w:r w:rsidRPr="00AE5977">
        <w:rPr>
          <w:rStyle w:val="FootnoteReference"/>
          <w:noProof/>
        </w:rPr>
        <w:footnoteReference w:id="7"/>
      </w:r>
      <w:r w:rsidRPr="00AE5977">
        <w:rPr>
          <w:noProof/>
        </w:rPr>
        <w:t xml:space="preserve"> 37. cikkével összhangban létrehozott Banki Érdekképviseleti Csoport tanácsát.</w:t>
      </w:r>
    </w:p>
    <w:p w:rsidR="00DB127D" w:rsidRPr="00AE5977" w:rsidRDefault="00DB127D" w:rsidP="00F83DBF">
      <w:pPr>
        <w:pStyle w:val="ManualConsidrant"/>
        <w:rPr>
          <w:noProof/>
        </w:rPr>
      </w:pPr>
      <w:r>
        <w:rPr>
          <w:noProof/>
        </w:rPr>
        <w:t>(7)</w:t>
      </w:r>
      <w:r>
        <w:rPr>
          <w:noProof/>
        </w:rPr>
        <w:tab/>
      </w:r>
      <w:r w:rsidRPr="00AE5977">
        <w:rPr>
          <w:noProof/>
        </w:rPr>
        <w:t xml:space="preserve">Annak érdekében, hogy az 575/2013/EU rendelet vagy a 2014/59/EU irányelv szerinti adatszolgáltatási vagy közzétételi kötelezettség hatálya alá tartozó szervezeteknek elegendő idejük legyen alkalmazkodni </w:t>
      </w:r>
      <w:bookmarkStart w:id="2" w:name="_Hlk160034996"/>
      <w:r w:rsidRPr="00AE5977">
        <w:rPr>
          <w:noProof/>
        </w:rPr>
        <w:t>a táblák és a harmonizált információk módosításaihoz</w:t>
      </w:r>
      <w:bookmarkEnd w:id="2"/>
      <w:r w:rsidRPr="00AE5977">
        <w:rPr>
          <w:noProof/>
        </w:rPr>
        <w:t>, a módosítások alkalmazása hat hónappal a hatálybalépést követően kezdődik,</w:t>
      </w:r>
    </w:p>
    <w:p w:rsidR="001D506C" w:rsidRPr="00AE5977" w:rsidRDefault="001D506C" w:rsidP="004E1EF9">
      <w:pPr>
        <w:pStyle w:val="Formuledadoption"/>
        <w:rPr>
          <w:noProof/>
        </w:rPr>
      </w:pPr>
      <w:r w:rsidRPr="00AE5977">
        <w:rPr>
          <w:noProof/>
        </w:rPr>
        <w:t>ELFOGADTA EZT A RENDELETET:</w:t>
      </w:r>
    </w:p>
    <w:p w:rsidR="001D506C" w:rsidRPr="00AE5977" w:rsidRDefault="001D506C" w:rsidP="004E1EF9">
      <w:pPr>
        <w:pStyle w:val="Titrearticle"/>
        <w:rPr>
          <w:noProof/>
        </w:rPr>
      </w:pPr>
      <w:r w:rsidRPr="00AE5977">
        <w:rPr>
          <w:noProof/>
        </w:rPr>
        <w:t>1. cikk</w:t>
      </w:r>
    </w:p>
    <w:p w:rsidR="008D3341" w:rsidRPr="00AE5977" w:rsidRDefault="008D3341" w:rsidP="00220108">
      <w:pPr>
        <w:pStyle w:val="Titrearticle"/>
        <w:rPr>
          <w:noProof/>
        </w:rPr>
      </w:pPr>
      <w:r w:rsidRPr="00AE5977">
        <w:rPr>
          <w:noProof/>
        </w:rPr>
        <w:t>Az (EU) 2021/763 végrehajtási rendelet módosításai</w:t>
      </w:r>
    </w:p>
    <w:p w:rsidR="00F83DBF" w:rsidRPr="00AE5977" w:rsidRDefault="00F83DBF" w:rsidP="00F83DBF">
      <w:pPr>
        <w:rPr>
          <w:noProof/>
        </w:rPr>
      </w:pPr>
      <w:r w:rsidRPr="00AE5977">
        <w:rPr>
          <w:noProof/>
        </w:rPr>
        <w:t>Az (EU) 2021/763 végrehajtási rendelet a következőképpen módosul:</w:t>
      </w:r>
    </w:p>
    <w:p w:rsidR="00F83DBF" w:rsidRPr="00AE5977" w:rsidRDefault="004603A2" w:rsidP="006F059F">
      <w:pPr>
        <w:pStyle w:val="ManualNumPar1"/>
        <w:rPr>
          <w:noProof/>
        </w:rPr>
      </w:pPr>
      <w:r>
        <w:rPr>
          <w:noProof/>
        </w:rPr>
        <w:t>1.</w:t>
      </w:r>
      <w:r>
        <w:rPr>
          <w:noProof/>
        </w:rPr>
        <w:tab/>
      </w:r>
      <w:r w:rsidRPr="00AE5977">
        <w:rPr>
          <w:noProof/>
        </w:rPr>
        <w:t>Az I. mellékletben szereplő M 02.00 és M 03.00 tábla helyébe az e rendelet I. mellékletében szereplő M 02.00 és M 03.00 tábla lép.</w:t>
      </w:r>
    </w:p>
    <w:p w:rsidR="00F83DBF" w:rsidRPr="00AE5977" w:rsidRDefault="00F83DBF" w:rsidP="006F059F">
      <w:pPr>
        <w:pStyle w:val="ManualNumPar1"/>
        <w:rPr>
          <w:noProof/>
        </w:rPr>
      </w:pPr>
      <w:r>
        <w:rPr>
          <w:noProof/>
        </w:rPr>
        <w:t>2.</w:t>
      </w:r>
      <w:r>
        <w:rPr>
          <w:noProof/>
        </w:rPr>
        <w:tab/>
      </w:r>
      <w:r w:rsidRPr="00AE5977">
        <w:rPr>
          <w:noProof/>
        </w:rPr>
        <w:t>A II. melléklet helyébe e rendelet II. mellékletének szövege lép.</w:t>
      </w:r>
    </w:p>
    <w:p w:rsidR="00F83DBF" w:rsidRPr="00AE5977" w:rsidRDefault="004603A2" w:rsidP="006F059F">
      <w:pPr>
        <w:pStyle w:val="ManualNumPar1"/>
        <w:rPr>
          <w:noProof/>
        </w:rPr>
      </w:pPr>
      <w:r>
        <w:rPr>
          <w:noProof/>
        </w:rPr>
        <w:t>3.</w:t>
      </w:r>
      <w:r>
        <w:rPr>
          <w:noProof/>
        </w:rPr>
        <w:tab/>
      </w:r>
      <w:r w:rsidRPr="00AE5977">
        <w:rPr>
          <w:noProof/>
        </w:rPr>
        <w:t>Az V. mellékletben szereplő EU TLAC1 és EU ILAC tábla helyébe az e rendelet III. mellékletében szereplő EU TLAC1 és EU ILAC tábla lép.</w:t>
      </w:r>
    </w:p>
    <w:p w:rsidR="00F83DBF" w:rsidRPr="00AE5977" w:rsidRDefault="00F83DBF" w:rsidP="006F059F">
      <w:pPr>
        <w:pStyle w:val="ManualNumPar1"/>
        <w:rPr>
          <w:noProof/>
        </w:rPr>
      </w:pPr>
      <w:r>
        <w:rPr>
          <w:noProof/>
        </w:rPr>
        <w:t>4.</w:t>
      </w:r>
      <w:r>
        <w:rPr>
          <w:noProof/>
        </w:rPr>
        <w:tab/>
      </w:r>
      <w:r w:rsidRPr="00AE5977">
        <w:rPr>
          <w:noProof/>
        </w:rPr>
        <w:t>A VI. melléklet helyébe e rendelet IV. mellékletének szövege lép.</w:t>
      </w:r>
    </w:p>
    <w:p w:rsidR="00F83DBF" w:rsidRPr="00AE5977" w:rsidRDefault="00F83DBF" w:rsidP="00F83DBF">
      <w:pPr>
        <w:pStyle w:val="Titrearticle"/>
        <w:rPr>
          <w:noProof/>
        </w:rPr>
      </w:pPr>
      <w:r w:rsidRPr="00AE5977">
        <w:rPr>
          <w:noProof/>
        </w:rPr>
        <w:t>2. cikk</w:t>
      </w:r>
    </w:p>
    <w:p w:rsidR="00CC305D" w:rsidRPr="00AE5977" w:rsidRDefault="00CC305D" w:rsidP="00583FFA">
      <w:pPr>
        <w:jc w:val="center"/>
        <w:rPr>
          <w:b/>
          <w:bCs/>
          <w:noProof/>
          <w:color w:val="000000"/>
        </w:rPr>
      </w:pPr>
      <w:r w:rsidRPr="00AE5977">
        <w:rPr>
          <w:b/>
          <w:noProof/>
          <w:color w:val="000000"/>
        </w:rPr>
        <w:t>Hatálybalépés és alkalmazás</w:t>
      </w:r>
    </w:p>
    <w:p w:rsidR="00F83DBF" w:rsidRPr="00AE5977" w:rsidRDefault="00F83DBF" w:rsidP="00F83DBF">
      <w:pPr>
        <w:rPr>
          <w:noProof/>
          <w:color w:val="000000"/>
        </w:rPr>
      </w:pPr>
      <w:r w:rsidRPr="00AE5977">
        <w:rPr>
          <w:noProof/>
          <w:color w:val="000000"/>
        </w:rPr>
        <w:t xml:space="preserve">Ez a rendelet az </w:t>
      </w:r>
      <w:r w:rsidRPr="00AE5977">
        <w:rPr>
          <w:i/>
          <w:noProof/>
          <w:color w:val="000000"/>
        </w:rPr>
        <w:t>Európai Unió Hivatalos Lapjában</w:t>
      </w:r>
      <w:r w:rsidRPr="00AE5977">
        <w:rPr>
          <w:noProof/>
          <w:color w:val="000000"/>
        </w:rPr>
        <w:t xml:space="preserve"> való kihirdetését követő huszadik napon lép hatályba.</w:t>
      </w:r>
    </w:p>
    <w:p w:rsidR="00F83DBF" w:rsidRPr="00AE5977" w:rsidRDefault="00F83DBF" w:rsidP="00F83DBF">
      <w:pPr>
        <w:rPr>
          <w:noProof/>
          <w:color w:val="000000"/>
        </w:rPr>
      </w:pPr>
      <w:r w:rsidRPr="00AE5977">
        <w:rPr>
          <w:noProof/>
          <w:color w:val="000000"/>
        </w:rPr>
        <w:t xml:space="preserve">Ezt a rendeletet </w:t>
      </w:r>
      <w:r w:rsidRPr="00AE5977">
        <w:rPr>
          <w:i/>
          <w:noProof/>
          <w:color w:val="000000"/>
        </w:rPr>
        <w:t>[Kiadóhivatal, kérjük, illesszék be az e módosító rendelet hatálybalépésének napját hat hónappal követő dátumot]</w:t>
      </w:r>
      <w:r w:rsidRPr="00AE5977">
        <w:rPr>
          <w:noProof/>
          <w:color w:val="000000"/>
        </w:rPr>
        <w:t xml:space="preserve">-tól/-től kell alkalmazni. </w:t>
      </w:r>
    </w:p>
    <w:p w:rsidR="001D506C" w:rsidRPr="00AE5977" w:rsidRDefault="001D506C" w:rsidP="004E1EF9">
      <w:pPr>
        <w:pStyle w:val="Applicationdirecte"/>
        <w:keepNext/>
        <w:keepLines/>
        <w:rPr>
          <w:noProof/>
        </w:rPr>
      </w:pPr>
      <w:r w:rsidRPr="00AE5977">
        <w:rPr>
          <w:noProof/>
        </w:rPr>
        <w:t>Ez a rendelet teljes egészében kötelező és közvetlenül alkalmazandó valamennyi tagállamban.</w:t>
      </w:r>
    </w:p>
    <w:p w:rsidR="001D506C" w:rsidRPr="00AE5977" w:rsidRDefault="00C849F1" w:rsidP="007A5CC6">
      <w:pPr>
        <w:pStyle w:val="Fait"/>
        <w:rPr>
          <w:noProof/>
        </w:rPr>
      </w:pPr>
      <w:r>
        <w:rPr>
          <w:noProof/>
        </w:rPr>
        <w:t>Kelt Brüsszelben, -án/-én. 2024.6.6.</w:t>
      </w:r>
    </w:p>
    <w:p w:rsidR="001D506C" w:rsidRPr="00AE5977" w:rsidRDefault="001D506C" w:rsidP="007A5CC6">
      <w:pPr>
        <w:pStyle w:val="Institutionquisigne"/>
        <w:rPr>
          <w:noProof/>
        </w:rPr>
      </w:pPr>
      <w:r w:rsidRPr="00AE5977">
        <w:rPr>
          <w:noProof/>
        </w:rPr>
        <w:tab/>
        <w:t>a Bizottság részéről</w:t>
      </w:r>
    </w:p>
    <w:p w:rsidR="00F718B8" w:rsidRPr="00AE5977" w:rsidRDefault="000D786B" w:rsidP="007A5CC6">
      <w:pPr>
        <w:pStyle w:val="Personnequisigne"/>
        <w:keepNext/>
        <w:rPr>
          <w:noProof/>
        </w:rPr>
      </w:pPr>
      <w:r>
        <w:rPr>
          <w:noProof/>
        </w:rPr>
        <w:tab/>
        <w:t>elnök</w:t>
      </w:r>
      <w:r>
        <w:rPr>
          <w:noProof/>
        </w:rPr>
        <w:br/>
      </w:r>
      <w:r>
        <w:rPr>
          <w:noProof/>
        </w:rPr>
        <w:tab/>
        <w:t>Ursula VON DER LEYEN</w:t>
      </w:r>
    </w:p>
    <w:p w:rsidR="00C402D1" w:rsidRPr="00AE5977" w:rsidRDefault="00C402D1" w:rsidP="00C402D1">
      <w:pPr>
        <w:pStyle w:val="Personnequisigne"/>
        <w:rPr>
          <w:noProof/>
        </w:rPr>
      </w:pPr>
    </w:p>
    <w:sectPr w:rsidR="00C402D1" w:rsidRPr="00AE5977" w:rsidSect="00B3749A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DE8" w:rsidRDefault="00852DE8" w:rsidP="001D506C">
      <w:pPr>
        <w:spacing w:before="0" w:after="0"/>
      </w:pPr>
      <w:r>
        <w:separator/>
      </w:r>
    </w:p>
  </w:endnote>
  <w:endnote w:type="continuationSeparator" w:id="0">
    <w:p w:rsidR="00852DE8" w:rsidRDefault="00852DE8" w:rsidP="001D506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49A" w:rsidRPr="00B3749A" w:rsidRDefault="00B3749A" w:rsidP="00B3749A">
    <w:pPr>
      <w:pStyle w:val="Footer"/>
      <w:rPr>
        <w:rFonts w:ascii="Arial" w:hAnsi="Arial" w:cs="Arial"/>
        <w:b/>
        <w:sz w:val="48"/>
      </w:rPr>
    </w:pPr>
    <w:r w:rsidRPr="00B3749A">
      <w:rPr>
        <w:rFonts w:ascii="Arial" w:hAnsi="Arial" w:cs="Arial"/>
        <w:b/>
        <w:sz w:val="48"/>
      </w:rPr>
      <w:t>HU</w:t>
    </w:r>
    <w:r w:rsidRPr="00B3749A">
      <w:rPr>
        <w:rFonts w:ascii="Arial" w:hAnsi="Arial" w:cs="Arial"/>
        <w:b/>
        <w:sz w:val="48"/>
      </w:rPr>
      <w:tab/>
    </w:r>
    <w:r w:rsidRPr="00B3749A">
      <w:rPr>
        <w:rFonts w:ascii="Arial" w:hAnsi="Arial" w:cs="Arial"/>
        <w:b/>
        <w:sz w:val="48"/>
      </w:rPr>
      <w:tab/>
    </w:r>
    <w:r w:rsidRPr="00B3749A">
      <w:tab/>
    </w:r>
    <w:r w:rsidRPr="00B3749A">
      <w:rPr>
        <w:rFonts w:ascii="Arial" w:hAnsi="Arial" w:cs="Arial"/>
        <w:b/>
        <w:sz w:val="48"/>
      </w:rPr>
      <w:t>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49A" w:rsidRPr="00B3749A" w:rsidRDefault="00B3749A" w:rsidP="00B3749A">
    <w:pPr>
      <w:pStyle w:val="Footer"/>
      <w:rPr>
        <w:rFonts w:ascii="Arial" w:hAnsi="Arial" w:cs="Arial"/>
        <w:b/>
        <w:sz w:val="48"/>
      </w:rPr>
    </w:pPr>
    <w:r w:rsidRPr="00B3749A">
      <w:rPr>
        <w:rFonts w:ascii="Arial" w:hAnsi="Arial" w:cs="Arial"/>
        <w:b/>
        <w:sz w:val="48"/>
      </w:rPr>
      <w:t>HU</w:t>
    </w:r>
    <w:r w:rsidRPr="00B3749A">
      <w:rPr>
        <w:rFonts w:ascii="Arial" w:hAnsi="Arial" w:cs="Arial"/>
        <w:b/>
        <w:sz w:val="48"/>
      </w:rPr>
      <w:tab/>
    </w:r>
    <w:r w:rsidRPr="00B3749A">
      <w:rPr>
        <w:rFonts w:ascii="Arial" w:hAnsi="Arial" w:cs="Arial"/>
        <w:b/>
        <w:sz w:val="48"/>
      </w:rPr>
      <w:tab/>
    </w:r>
    <w:r w:rsidRPr="00B3749A">
      <w:tab/>
    </w:r>
    <w:r w:rsidRPr="00B3749A">
      <w:rPr>
        <w:rFonts w:ascii="Arial" w:hAnsi="Arial" w:cs="Arial"/>
        <w:b/>
        <w:sz w:val="48"/>
      </w:rPr>
      <w:t>HU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49A" w:rsidRDefault="00B3749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49A" w:rsidRPr="00B3749A" w:rsidRDefault="00B3749A" w:rsidP="00B3749A">
    <w:pPr>
      <w:pStyle w:val="Footer"/>
      <w:rPr>
        <w:rFonts w:ascii="Arial" w:hAnsi="Arial" w:cs="Arial"/>
        <w:b/>
        <w:sz w:val="48"/>
      </w:rPr>
    </w:pPr>
    <w:r w:rsidRPr="00B3749A">
      <w:rPr>
        <w:rFonts w:ascii="Arial" w:hAnsi="Arial" w:cs="Arial"/>
        <w:b/>
        <w:sz w:val="48"/>
      </w:rPr>
      <w:t>HU</w:t>
    </w:r>
    <w:r w:rsidRPr="00B3749A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7A5CC6">
      <w:rPr>
        <w:noProof/>
      </w:rPr>
      <w:t>3</w:t>
    </w:r>
    <w:r>
      <w:fldChar w:fldCharType="end"/>
    </w:r>
    <w:r>
      <w:tab/>
    </w:r>
    <w:r w:rsidRPr="00B3749A">
      <w:tab/>
    </w:r>
    <w:r w:rsidRPr="00B3749A">
      <w:rPr>
        <w:rFonts w:ascii="Arial" w:hAnsi="Arial" w:cs="Arial"/>
        <w:b/>
        <w:sz w:val="48"/>
      </w:rPr>
      <w:t>HU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49A" w:rsidRDefault="00B3749A" w:rsidP="00B374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DE8" w:rsidRDefault="00852DE8" w:rsidP="001D506C">
      <w:pPr>
        <w:spacing w:before="0" w:after="0"/>
      </w:pPr>
      <w:r>
        <w:separator/>
      </w:r>
    </w:p>
  </w:footnote>
  <w:footnote w:type="continuationSeparator" w:id="0">
    <w:p w:rsidR="00852DE8" w:rsidRDefault="00852DE8" w:rsidP="001D506C">
      <w:pPr>
        <w:spacing w:before="0" w:after="0"/>
      </w:pPr>
      <w:r>
        <w:continuationSeparator/>
      </w:r>
    </w:p>
  </w:footnote>
  <w:footnote w:id="1">
    <w:p w:rsidR="000E6FD2" w:rsidRPr="00DA38A7" w:rsidRDefault="000E6FD2" w:rsidP="000E6FD2">
      <w:pPr>
        <w:pStyle w:val="FootnoteText"/>
      </w:pPr>
      <w:r>
        <w:rPr>
          <w:rStyle w:val="FootnoteReference"/>
        </w:rPr>
        <w:footnoteRef/>
      </w:r>
      <w:r>
        <w:tab/>
        <w:t xml:space="preserve">HL L 176., 2013.6.27., 1. o., ELI: http://data.europa.eu/eli/reg/2013/575/oj. </w:t>
      </w:r>
    </w:p>
  </w:footnote>
  <w:footnote w:id="2">
    <w:p w:rsidR="000E6FD2" w:rsidRPr="00DA38A7" w:rsidRDefault="000E6FD2" w:rsidP="000E6FD2">
      <w:pPr>
        <w:pStyle w:val="FootnoteText"/>
      </w:pPr>
      <w:r>
        <w:rPr>
          <w:rStyle w:val="FootnoteReference"/>
        </w:rPr>
        <w:footnoteRef/>
      </w:r>
      <w:r>
        <w:tab/>
        <w:t xml:space="preserve">HL L 173., 2014.6.12., 190. o., ELI: http://data.europa.eu/eli/dir/2014/59/oj. </w:t>
      </w:r>
    </w:p>
  </w:footnote>
  <w:footnote w:id="3">
    <w:p w:rsidR="00F83DBF" w:rsidRPr="001734AB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Az Európai Parlament és a Tanács (EU) 2022/2036 rendelete (2022. október 19.) az 575/2013/EU rendeletnek és a 2014/59/EU irányelvnek a több pontból kiinduló szanálási stratégiával rendelkező globálisan rendszerszinten jelentős intézmények prudenciális kezelése, valamint a szavatolótőkére és a leírható, illetve átalakítható kötelezettségekre vonatkozó minimumkövetelménynek való megfelelés szempontjából figyelembe vehető instrumentumok közvetett jegyzésére vonatkozó módszerek tekintetében történő módosításáról (HL L 275., 2022.10.25., 1. o., ELI: http://data.europa.eu/eli/reg/2022/2036/oj)</w:t>
      </w:r>
    </w:p>
  </w:footnote>
  <w:footnote w:id="4">
    <w:p w:rsidR="00F83DBF" w:rsidRPr="002B6E0A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Az Európai Parlament és a Tanács 2014/59/EU irányelve (2014. május 15.) a hitelintézetek és befektetési vállalkozások helyreállítását és szanálását célzó keretrendszer létrehozásáról és a 82/891/EGK tanácsi irányelv, a 2001/24/EK, 2002/47/EK, 2004/25/EK, 2005/56/EK, 2007/36/EK, 2011/35/EU, 2012/30/EU és 2013/36/EU irányelv, valamint az 1093/2010/EU és a 648/2012/EU európai parlamenti és tanácsi rendelet módosításáról (HL L 173., 2014.6.12., 190. o.).</w:t>
      </w:r>
    </w:p>
  </w:footnote>
  <w:footnote w:id="5">
    <w:p w:rsidR="00F83DBF" w:rsidRPr="00BA3525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A Bizottság (EU) 2021/763 végrehajtási rendelete (2021. április 23.) az 575/2013/EU európai parlamenti és tanácsi rendeletnek és a 2014/59/EU európai parlamenti és tanácsi irányelvnek a szavatolótőkére és a leírható, illetve átalakítható kötelezettségekre vonatkozó minimumkövetelmény felügyeleti adatszolgáltatása és nyilvánosságra hozatala tekintetében történő alkalmazására vonatkozó végrehajtás-technikai standardok megállapításáról (HL L 168., 2021.5.12., 1. o.).</w:t>
      </w:r>
    </w:p>
  </w:footnote>
  <w:footnote w:id="6">
    <w:p w:rsidR="00686AFD" w:rsidRPr="00686AFD" w:rsidRDefault="00686AFD" w:rsidP="00686AFD">
      <w:pPr>
        <w:pStyle w:val="FootnoteText"/>
      </w:pPr>
      <w:r>
        <w:rPr>
          <w:rStyle w:val="FootnoteReference"/>
        </w:rPr>
        <w:footnoteRef/>
      </w:r>
      <w:r>
        <w:tab/>
        <w:t>Az Európai Parlament és a Tanács (EU) 2024/1174 irányelve (2024. április 11.) a 2014/59/EU irányelvnek és a 806/2014/EU rendeletnek a szavatolótőkére és a leírható, illetve átalakítható kötelezettségekre vonatkozó minimumkövetelmény egyes vonatkozásai tekintetében történő módosításáról (HL L, 2024/1174, 2024.4.22.).</w:t>
      </w:r>
    </w:p>
  </w:footnote>
  <w:footnote w:id="7">
    <w:p w:rsidR="00F83DBF" w:rsidRPr="00B64E68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Az Európai Parlament és a Tanács 1093/2010/EU rendelete (2010. november 24.) az európai felügyeleti hatóság (Európai Bankhatóság) létrehozásáról, a 716/2009/EK határozat módosításáról és a 2009/78/EK bizottsági határozat hatályon kívül helyezéséről (HL L 331., 2010.12.15., 12. o., ELI: http://data.europa.eu/eli/reg/2010/1093/oj).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49A" w:rsidRDefault="00B374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49A" w:rsidRDefault="00B374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102CECA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CD87D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B5403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ABC3B8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1AE141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AF26C8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9DB25E9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3" w15:restartNumberingAfterBreak="0">
    <w:nsid w:val="7E042D9D"/>
    <w:multiLevelType w:val="multilevel"/>
    <w:tmpl w:val="47BAFBF6"/>
    <w:styleLink w:val="LFO29"/>
    <w:lvl w:ilvl="0">
      <w:start w:val="1"/>
      <w:numFmt w:val="decimal"/>
      <w:lvlText w:val="(%1)"/>
      <w:lvlJc w:val="left"/>
      <w:pPr>
        <w:ind w:left="709" w:hanging="709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7"/>
  </w:num>
  <w:num w:numId="2">
    <w:abstractNumId w:val="23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22"/>
    <w:lvlOverride w:ilvl="0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2"/>
  </w:num>
  <w:num w:numId="14">
    <w:abstractNumId w:val="21"/>
  </w:num>
  <w:num w:numId="15">
    <w:abstractNumId w:val="11"/>
  </w:num>
  <w:num w:numId="16">
    <w:abstractNumId w:val="13"/>
  </w:num>
  <w:num w:numId="17">
    <w:abstractNumId w:val="14"/>
  </w:num>
  <w:num w:numId="18">
    <w:abstractNumId w:val="9"/>
  </w:num>
  <w:num w:numId="19">
    <w:abstractNumId w:val="20"/>
  </w:num>
  <w:num w:numId="20">
    <w:abstractNumId w:val="8"/>
  </w:num>
  <w:num w:numId="21">
    <w:abstractNumId w:val="15"/>
  </w:num>
  <w:num w:numId="22">
    <w:abstractNumId w:val="17"/>
  </w:num>
  <w:num w:numId="23">
    <w:abstractNumId w:val="18"/>
  </w:num>
  <w:num w:numId="24">
    <w:abstractNumId w:val="10"/>
  </w:num>
  <w:num w:numId="25">
    <w:abstractNumId w:val="16"/>
  </w:num>
  <w:num w:numId="26">
    <w:abstractNumId w:val="22"/>
  </w:num>
  <w:num w:numId="27">
    <w:abstractNumId w:val="19"/>
  </w:num>
  <w:num w:numId="28">
    <w:abstractNumId w:val="12"/>
  </w:num>
  <w:num w:numId="29">
    <w:abstractNumId w:val="21"/>
  </w:num>
  <w:num w:numId="30">
    <w:abstractNumId w:val="11"/>
  </w:num>
  <w:num w:numId="31">
    <w:abstractNumId w:val="13"/>
  </w:num>
  <w:num w:numId="32">
    <w:abstractNumId w:val="14"/>
  </w:num>
  <w:num w:numId="33">
    <w:abstractNumId w:val="9"/>
  </w:num>
  <w:num w:numId="34">
    <w:abstractNumId w:val="20"/>
  </w:num>
  <w:num w:numId="35">
    <w:abstractNumId w:val="8"/>
  </w:num>
  <w:num w:numId="36">
    <w:abstractNumId w:val="15"/>
  </w:num>
  <w:num w:numId="37">
    <w:abstractNumId w:val="17"/>
  </w:num>
  <w:num w:numId="38">
    <w:abstractNumId w:val="18"/>
  </w:num>
  <w:num w:numId="39">
    <w:abstractNumId w:val="10"/>
  </w:num>
  <w:num w:numId="40">
    <w:abstractNumId w:val="16"/>
  </w:num>
  <w:num w:numId="41">
    <w:abstractNumId w:val="22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hideSpellingErrors/>
  <w:hideGrammaticalErrors/>
  <w:attachedTemplate r:id="rId1"/>
  <w:revisionView w:markup="0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QCDateTime" w:val="2024-05-30 11:45:07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6485ECF9-3FC3-4E73-B012-EBC119D9CC28"/>
    <w:docVar w:name="LW_COVERPAGE_TYPE" w:val="1"/>
    <w:docVar w:name="LW_CROSSREFERENCE" w:val="&lt;UNUSED&gt;"/>
    <w:docVar w:name="LW_DATE.ADOPT.CP" w:val="(2024.6.6.)"/>
    <w:docVar w:name="LW_DATE.ADOPT.CP_DATEFORMAT" w:val="(%DATE%)"/>
    <w:docVar w:name="LW_DATE.ADOPT.CP_ISODATE" w:val="2024-06-06"/>
    <w:docVar w:name="LW_DocType" w:val="COM"/>
    <w:docVar w:name="LW_EMISSION" w:val="2024.6.6."/>
    <w:docVar w:name="LW_EMISSION_ISODATE" w:val="2024-06-06"/>
    <w:docVar w:name="LW_EMISSION_LOCATION" w:val="BRX"/>
    <w:docVar w:name="LW_EMISSION_PREFIX" w:val="Brüsszel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EGT-vonatkozású szöveg)"/>
    <w:docVar w:name="LW_LANGUE" w:val="HU"/>
    <w:docVar w:name="LW_LANGUESFAISANTFOI.CP" w:val="&lt;UNUSED&gt;"/>
    <w:docVar w:name="LW_LEVEL_OF_SENSITIVITY" w:val="Standard treatment"/>
    <w:docVar w:name="LW_NOM.INST" w:val="EURÓPAI BIZOTTSÁG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4) 3624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az 575/2013/EU európai parlamenti és tanácsi rendeletnek és a 2014/59/EU európai parlamenti és tanácsi irányelvnek a szavatolót\u337?kére és a leírható, illetve átalakítható kötelezettségekre vonatkozó minimumkövetelmény felügyeleti adatszolgáltatása és nyilvánosságra hozatala tekintetében történ\u337? alkalmazására vonatkozó végrehajtás-technikai standardok megállapításáról szóló (EU) 2021/763 végrehajtási rendelet módosításáról _x000b_"/>
    <w:docVar w:name="LW_TYPE.DOC.CP" w:val="A BIZOTTSÁG (EU) .../... VÉGREHAJTÁSI RENDELETE"/>
    <w:docVar w:name="LwApiVersions" w:val="LW4CoDe 1.24.5.0; LW 9.0, Build 20240221"/>
  </w:docVars>
  <w:rsids>
    <w:rsidRoot w:val="001D506C"/>
    <w:rsid w:val="00093B4B"/>
    <w:rsid w:val="000955EB"/>
    <w:rsid w:val="000B009E"/>
    <w:rsid w:val="000B7A7D"/>
    <w:rsid w:val="000D786B"/>
    <w:rsid w:val="000E194A"/>
    <w:rsid w:val="000E62A9"/>
    <w:rsid w:val="000E6B56"/>
    <w:rsid w:val="000E6FD2"/>
    <w:rsid w:val="0013442E"/>
    <w:rsid w:val="00152894"/>
    <w:rsid w:val="00185DB3"/>
    <w:rsid w:val="001B397F"/>
    <w:rsid w:val="001B6C2F"/>
    <w:rsid w:val="001D506C"/>
    <w:rsid w:val="00220108"/>
    <w:rsid w:val="0022339B"/>
    <w:rsid w:val="0025716C"/>
    <w:rsid w:val="00292AC6"/>
    <w:rsid w:val="002B65CA"/>
    <w:rsid w:val="002C09C1"/>
    <w:rsid w:val="002F0DF7"/>
    <w:rsid w:val="002F1E29"/>
    <w:rsid w:val="002F5B7F"/>
    <w:rsid w:val="00302BB5"/>
    <w:rsid w:val="0031489C"/>
    <w:rsid w:val="00314C67"/>
    <w:rsid w:val="00363DC5"/>
    <w:rsid w:val="00370470"/>
    <w:rsid w:val="00380338"/>
    <w:rsid w:val="003819BF"/>
    <w:rsid w:val="0038725C"/>
    <w:rsid w:val="00391381"/>
    <w:rsid w:val="00396ACD"/>
    <w:rsid w:val="003C0C4B"/>
    <w:rsid w:val="00437AA5"/>
    <w:rsid w:val="0044282B"/>
    <w:rsid w:val="004603A2"/>
    <w:rsid w:val="00492396"/>
    <w:rsid w:val="004B3865"/>
    <w:rsid w:val="004C38F7"/>
    <w:rsid w:val="004E19F9"/>
    <w:rsid w:val="00517205"/>
    <w:rsid w:val="0052704B"/>
    <w:rsid w:val="005279D9"/>
    <w:rsid w:val="00542487"/>
    <w:rsid w:val="00580629"/>
    <w:rsid w:val="00582810"/>
    <w:rsid w:val="00583FFA"/>
    <w:rsid w:val="00595540"/>
    <w:rsid w:val="005B5FA6"/>
    <w:rsid w:val="005E1E85"/>
    <w:rsid w:val="005F222A"/>
    <w:rsid w:val="005F33FF"/>
    <w:rsid w:val="006654AB"/>
    <w:rsid w:val="006813A6"/>
    <w:rsid w:val="00686AFD"/>
    <w:rsid w:val="006A083E"/>
    <w:rsid w:val="006A2A68"/>
    <w:rsid w:val="006F059F"/>
    <w:rsid w:val="006F7EFE"/>
    <w:rsid w:val="00703C0B"/>
    <w:rsid w:val="0075467B"/>
    <w:rsid w:val="0079343F"/>
    <w:rsid w:val="007A5CC6"/>
    <w:rsid w:val="007D0861"/>
    <w:rsid w:val="007D1225"/>
    <w:rsid w:val="007E010B"/>
    <w:rsid w:val="00802FC2"/>
    <w:rsid w:val="0081293E"/>
    <w:rsid w:val="0084238A"/>
    <w:rsid w:val="00852DE8"/>
    <w:rsid w:val="008C4EE4"/>
    <w:rsid w:val="008C58B7"/>
    <w:rsid w:val="008C62AF"/>
    <w:rsid w:val="008C63FE"/>
    <w:rsid w:val="008D0E5E"/>
    <w:rsid w:val="008D3341"/>
    <w:rsid w:val="008E2694"/>
    <w:rsid w:val="00907EC9"/>
    <w:rsid w:val="00940731"/>
    <w:rsid w:val="009476D9"/>
    <w:rsid w:val="009702E0"/>
    <w:rsid w:val="009712C1"/>
    <w:rsid w:val="009719B6"/>
    <w:rsid w:val="009731D1"/>
    <w:rsid w:val="00985A34"/>
    <w:rsid w:val="009957C5"/>
    <w:rsid w:val="009A1A98"/>
    <w:rsid w:val="009D430F"/>
    <w:rsid w:val="00A10BBD"/>
    <w:rsid w:val="00A2735C"/>
    <w:rsid w:val="00A565C7"/>
    <w:rsid w:val="00A61FE3"/>
    <w:rsid w:val="00A63976"/>
    <w:rsid w:val="00AE5977"/>
    <w:rsid w:val="00B0742B"/>
    <w:rsid w:val="00B247D1"/>
    <w:rsid w:val="00B3749A"/>
    <w:rsid w:val="00B50A87"/>
    <w:rsid w:val="00B54AC5"/>
    <w:rsid w:val="00B74403"/>
    <w:rsid w:val="00B84713"/>
    <w:rsid w:val="00B851FA"/>
    <w:rsid w:val="00BE38E4"/>
    <w:rsid w:val="00C3731F"/>
    <w:rsid w:val="00C402D1"/>
    <w:rsid w:val="00C62ABE"/>
    <w:rsid w:val="00C72F66"/>
    <w:rsid w:val="00C849F1"/>
    <w:rsid w:val="00C9371C"/>
    <w:rsid w:val="00CB4B4C"/>
    <w:rsid w:val="00CC305D"/>
    <w:rsid w:val="00CE02BF"/>
    <w:rsid w:val="00D15425"/>
    <w:rsid w:val="00D15677"/>
    <w:rsid w:val="00D37A87"/>
    <w:rsid w:val="00D455A5"/>
    <w:rsid w:val="00D60353"/>
    <w:rsid w:val="00D72B14"/>
    <w:rsid w:val="00D73411"/>
    <w:rsid w:val="00D917AD"/>
    <w:rsid w:val="00DA38A7"/>
    <w:rsid w:val="00DB127D"/>
    <w:rsid w:val="00DB4B20"/>
    <w:rsid w:val="00E07235"/>
    <w:rsid w:val="00E247EB"/>
    <w:rsid w:val="00E33C9F"/>
    <w:rsid w:val="00E83C6F"/>
    <w:rsid w:val="00E9509D"/>
    <w:rsid w:val="00E979AB"/>
    <w:rsid w:val="00EC39BC"/>
    <w:rsid w:val="00EE140B"/>
    <w:rsid w:val="00F02755"/>
    <w:rsid w:val="00F35E14"/>
    <w:rsid w:val="00F41B40"/>
    <w:rsid w:val="00F718B8"/>
    <w:rsid w:val="00F733AF"/>
    <w:rsid w:val="00F767D0"/>
    <w:rsid w:val="00F83DBF"/>
    <w:rsid w:val="00FC2396"/>
    <w:rsid w:val="00F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hu-HU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4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4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4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4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4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4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4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1D506C"/>
    <w:pPr>
      <w:numPr>
        <w:numId w:val="1"/>
      </w:numPr>
    </w:pPr>
    <w:rPr>
      <w:rFonts w:eastAsia="Times New Roman"/>
      <w:lang w:eastAsia="en-GB"/>
    </w:rPr>
  </w:style>
  <w:style w:type="numbering" w:customStyle="1" w:styleId="LFO29">
    <w:name w:val="LFO29"/>
    <w:basedOn w:val="NoList"/>
    <w:rsid w:val="00F83DBF"/>
    <w:pPr>
      <w:numPr>
        <w:numId w:val="2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93B4B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093B4B"/>
    <w:pPr>
      <w:spacing w:after="0"/>
    </w:pPr>
  </w:style>
  <w:style w:type="paragraph" w:styleId="ListBullet2">
    <w:name w:val="List Bullet 2"/>
    <w:basedOn w:val="Normal"/>
    <w:uiPriority w:val="99"/>
    <w:semiHidden/>
    <w:unhideWhenUsed/>
    <w:rsid w:val="00093B4B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93B4B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93B4B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093B4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93B4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93B4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93B4B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85D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D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DB3"/>
    <w:rPr>
      <w:rFonts w:ascii="Times New Roman" w:hAnsi="Times New Roman" w:cs="Times New Roman"/>
      <w:sz w:val="20"/>
      <w:szCs w:val="20"/>
      <w:lang w:val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D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DB3"/>
    <w:rPr>
      <w:rFonts w:ascii="Times New Roman" w:hAnsi="Times New Roman" w:cs="Times New Roman"/>
      <w:b/>
      <w:bCs/>
      <w:sz w:val="20"/>
      <w:szCs w:val="20"/>
      <w:lang w:val="hu-HU"/>
    </w:rPr>
  </w:style>
  <w:style w:type="character" w:styleId="Hyperlink">
    <w:name w:val="Hyperlink"/>
    <w:basedOn w:val="DefaultParagraphFont"/>
    <w:uiPriority w:val="99"/>
    <w:unhideWhenUsed/>
    <w:rsid w:val="00185DB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85DB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E6FD2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686AFD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3749A"/>
    <w:rPr>
      <w:rFonts w:ascii="Times New Roman" w:hAnsi="Times New Roman" w:cs="Times New Roman"/>
      <w:sz w:val="24"/>
      <w:lang w:val="hu-HU"/>
    </w:rPr>
  </w:style>
  <w:style w:type="character" w:customStyle="1" w:styleId="FooterChar">
    <w:name w:val="Footer Char"/>
    <w:basedOn w:val="DefaultParagraphFont"/>
    <w:link w:val="Footer"/>
    <w:uiPriority w:val="99"/>
    <w:rsid w:val="00B3749A"/>
    <w:rPr>
      <w:rFonts w:ascii="Times New Roman" w:hAnsi="Times New Roman" w:cs="Times New Roman"/>
      <w:sz w:val="24"/>
      <w:lang w:val="hu-HU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B3749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B3749A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B3749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7"/>
      </w:numPr>
    </w:pPr>
  </w:style>
  <w:style w:type="paragraph" w:customStyle="1" w:styleId="Tiret1">
    <w:name w:val="Tiret 1"/>
    <w:basedOn w:val="Point1"/>
    <w:pPr>
      <w:numPr>
        <w:numId w:val="28"/>
      </w:numPr>
    </w:pPr>
  </w:style>
  <w:style w:type="paragraph" w:customStyle="1" w:styleId="Tiret2">
    <w:name w:val="Tiret 2"/>
    <w:basedOn w:val="Point2"/>
    <w:pPr>
      <w:numPr>
        <w:numId w:val="29"/>
      </w:numPr>
    </w:pPr>
  </w:style>
  <w:style w:type="paragraph" w:customStyle="1" w:styleId="Tiret3">
    <w:name w:val="Tiret 3"/>
    <w:basedOn w:val="Point3"/>
    <w:pPr>
      <w:numPr>
        <w:numId w:val="30"/>
      </w:numPr>
    </w:pPr>
  </w:style>
  <w:style w:type="paragraph" w:customStyle="1" w:styleId="Tiret4">
    <w:name w:val="Tiret 4"/>
    <w:basedOn w:val="Point4"/>
    <w:pPr>
      <w:numPr>
        <w:numId w:val="31"/>
      </w:numPr>
    </w:pPr>
  </w:style>
  <w:style w:type="paragraph" w:customStyle="1" w:styleId="Tiret5">
    <w:name w:val="Tiret 5"/>
    <w:basedOn w:val="Point5"/>
    <w:pPr>
      <w:numPr>
        <w:numId w:val="32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33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33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33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33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33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33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33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5"/>
      </w:numPr>
    </w:pPr>
  </w:style>
  <w:style w:type="paragraph" w:customStyle="1" w:styleId="Point1number">
    <w:name w:val="Point 1 (number)"/>
    <w:basedOn w:val="Normal"/>
    <w:pPr>
      <w:numPr>
        <w:ilvl w:val="2"/>
        <w:numId w:val="35"/>
      </w:numPr>
    </w:pPr>
  </w:style>
  <w:style w:type="paragraph" w:customStyle="1" w:styleId="Point2number">
    <w:name w:val="Point 2 (number)"/>
    <w:basedOn w:val="Normal"/>
    <w:pPr>
      <w:numPr>
        <w:ilvl w:val="4"/>
        <w:numId w:val="35"/>
      </w:numPr>
    </w:pPr>
  </w:style>
  <w:style w:type="paragraph" w:customStyle="1" w:styleId="Point3number">
    <w:name w:val="Point 3 (number)"/>
    <w:basedOn w:val="Normal"/>
    <w:pPr>
      <w:numPr>
        <w:ilvl w:val="6"/>
        <w:numId w:val="35"/>
      </w:numPr>
    </w:pPr>
  </w:style>
  <w:style w:type="paragraph" w:customStyle="1" w:styleId="Point0letter">
    <w:name w:val="Point 0 (letter)"/>
    <w:basedOn w:val="Normal"/>
    <w:pPr>
      <w:numPr>
        <w:ilvl w:val="1"/>
        <w:numId w:val="35"/>
      </w:numPr>
    </w:pPr>
  </w:style>
  <w:style w:type="paragraph" w:customStyle="1" w:styleId="Point1letter">
    <w:name w:val="Point 1 (letter)"/>
    <w:basedOn w:val="Normal"/>
    <w:pPr>
      <w:numPr>
        <w:ilvl w:val="3"/>
        <w:numId w:val="35"/>
      </w:numPr>
    </w:pPr>
  </w:style>
  <w:style w:type="paragraph" w:customStyle="1" w:styleId="Point2letter">
    <w:name w:val="Point 2 (letter)"/>
    <w:basedOn w:val="Normal"/>
    <w:pPr>
      <w:numPr>
        <w:ilvl w:val="5"/>
        <w:numId w:val="35"/>
      </w:numPr>
    </w:pPr>
  </w:style>
  <w:style w:type="paragraph" w:customStyle="1" w:styleId="Point3letter">
    <w:name w:val="Point 3 (letter)"/>
    <w:basedOn w:val="Normal"/>
    <w:pPr>
      <w:numPr>
        <w:ilvl w:val="7"/>
        <w:numId w:val="35"/>
      </w:numPr>
    </w:pPr>
  </w:style>
  <w:style w:type="paragraph" w:customStyle="1" w:styleId="Point4letter">
    <w:name w:val="Point 4 (letter)"/>
    <w:basedOn w:val="Normal"/>
    <w:pPr>
      <w:numPr>
        <w:ilvl w:val="8"/>
        <w:numId w:val="35"/>
      </w:numPr>
    </w:pPr>
  </w:style>
  <w:style w:type="paragraph" w:customStyle="1" w:styleId="Bullet0">
    <w:name w:val="Bullet 0"/>
    <w:basedOn w:val="Normal"/>
    <w:pPr>
      <w:numPr>
        <w:numId w:val="36"/>
      </w:numPr>
    </w:pPr>
  </w:style>
  <w:style w:type="paragraph" w:customStyle="1" w:styleId="Bullet1">
    <w:name w:val="Bullet 1"/>
    <w:basedOn w:val="Normal"/>
    <w:pPr>
      <w:numPr>
        <w:numId w:val="37"/>
      </w:numPr>
    </w:pPr>
  </w:style>
  <w:style w:type="paragraph" w:customStyle="1" w:styleId="Bullet2">
    <w:name w:val="Bullet 2"/>
    <w:basedOn w:val="Normal"/>
    <w:pPr>
      <w:numPr>
        <w:numId w:val="38"/>
      </w:numPr>
    </w:pPr>
  </w:style>
  <w:style w:type="paragraph" w:customStyle="1" w:styleId="Bullet3">
    <w:name w:val="Bullet 3"/>
    <w:basedOn w:val="Normal"/>
    <w:pPr>
      <w:numPr>
        <w:numId w:val="39"/>
      </w:numPr>
    </w:pPr>
  </w:style>
  <w:style w:type="paragraph" w:customStyle="1" w:styleId="Bullet4">
    <w:name w:val="Bullet 4"/>
    <w:basedOn w:val="Normal"/>
    <w:pPr>
      <w:numPr>
        <w:numId w:val="40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41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B3749A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B3749A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749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B3749A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4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2024-05-28T14:34:00Z</dcterms:created>
  <dcterms:modified xsi:type="dcterms:W3CDTF">2024-05-30T09:45:00Z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2024-03-04T17:51:00Z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31943418-602c-49b3-ab6d-07ca073faced</vt:lpwstr>
  </property>
  <property fmtid="{D5CDD505-2E9C-101B-9397-08002B2CF9AE}" pid="8" name="MSIP_Label_6bd9ddd1-4d20-43f6-abfa-fc3c07406f94_ContentBits">
    <vt:lpwstr>0</vt:lpwstr>
  </property>
  <property fmtid="{D5CDD505-2E9C-101B-9397-08002B2CF9AE}" pid="9" name="Level of sensitivity">
    <vt:lpwstr>Standard treatment</vt:lpwstr>
  </property>
  <property fmtid="{D5CDD505-2E9C-101B-9397-08002B2CF9AE}" pid="10" name="Category">
    <vt:lpwstr>COM/AA</vt:lpwstr>
  </property>
  <property fmtid="{D5CDD505-2E9C-101B-9397-08002B2CF9AE}" pid="11" name="Last edited using">
    <vt:lpwstr>LW 9.0, Build 20230317</vt:lpwstr>
  </property>
  <property fmtid="{D5CDD505-2E9C-101B-9397-08002B2CF9AE}" pid="12" name="Part">
    <vt:lpwstr>1</vt:lpwstr>
  </property>
  <property fmtid="{D5CDD505-2E9C-101B-9397-08002B2CF9AE}" pid="13" name="Total parts">
    <vt:lpwstr>1</vt:lpwstr>
  </property>
  <property fmtid="{D5CDD505-2E9C-101B-9397-08002B2CF9AE}" pid="14" name="LWTemplateID">
    <vt:lpwstr>SJ-004</vt:lpwstr>
  </property>
  <property fmtid="{D5CDD505-2E9C-101B-9397-08002B2CF9AE}" pid="15" name="DQCStatus">
    <vt:lpwstr>Green (DQC version 03)</vt:lpwstr>
  </property>
</Properties>
</file>