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894" w:rsidRPr="0015116F" w:rsidRDefault="00974F74" w:rsidP="00974F74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35A320DA-E607-4B7A-B7D5-0E95D7155715" style="width:455.25pt;height:454.5pt">
            <v:imagedata r:id="rId7" o:title=""/>
          </v:shape>
        </w:pict>
      </w:r>
    </w:p>
    <w:p w:rsidR="001D506C" w:rsidRPr="0015116F" w:rsidRDefault="001D506C">
      <w:pPr>
        <w:rPr>
          <w:noProof/>
        </w:rPr>
        <w:sectPr w:rsidR="001D506C" w:rsidRPr="0015116F" w:rsidSect="00974F74">
          <w:footerReference w:type="even" r:id="rId8"/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1D506C" w:rsidRPr="0015116F" w:rsidRDefault="00D129D7" w:rsidP="00D129D7">
      <w:pPr>
        <w:pStyle w:val="Typedudocument"/>
        <w:rPr>
          <w:noProof/>
        </w:rPr>
      </w:pPr>
      <w:bookmarkStart w:id="0" w:name="_GoBack"/>
      <w:bookmarkEnd w:id="0"/>
      <w:r w:rsidRPr="00D129D7">
        <w:rPr>
          <w:noProof/>
        </w:rPr>
        <w:lastRenderedPageBreak/>
        <w:t>REGOLAMENTO DI ESECUZIONE (UE) …/... DELLA COMMISSIONE</w:t>
      </w:r>
    </w:p>
    <w:p w:rsidR="001D506C" w:rsidRPr="0015116F" w:rsidRDefault="00E24D20" w:rsidP="00D129D7">
      <w:pPr>
        <w:pStyle w:val="Datedadoption"/>
        <w:rPr>
          <w:noProof/>
        </w:rPr>
      </w:pPr>
      <w:r>
        <w:rPr>
          <w:noProof/>
        </w:rPr>
        <w:t>del 6.6.2024</w:t>
      </w:r>
    </w:p>
    <w:p w:rsidR="001D506C" w:rsidRPr="0015116F" w:rsidRDefault="00D129D7" w:rsidP="00D129D7">
      <w:pPr>
        <w:pStyle w:val="Titreobjet"/>
        <w:rPr>
          <w:noProof/>
        </w:rPr>
      </w:pPr>
      <w:r w:rsidRPr="00D129D7">
        <w:rPr>
          <w:noProof/>
        </w:rPr>
        <w:t>che modifica il regolamento di esecuzione (UE) 2021/763 della Commissione che stabilisce norme tecniche di attuazione per l'applicazione del regolamento (UE) n. 575/2013 del Parlamento europeo e del Consiglio e della direttiva 2014/59/UE del Parlamento europeo e del Consiglio per quanto riguarda la segnalazione a fini di vigilanza e l'informativa al pubblico in materia di requisito minimo di fondi propri e passività ammissibili</w:t>
      </w:r>
      <w:r w:rsidRPr="00D129D7">
        <w:rPr>
          <w:noProof/>
        </w:rPr>
        <w:br/>
      </w:r>
    </w:p>
    <w:p w:rsidR="001D506C" w:rsidRPr="0015116F" w:rsidRDefault="00D129D7" w:rsidP="00D129D7">
      <w:pPr>
        <w:pStyle w:val="IntrtEEE"/>
        <w:rPr>
          <w:noProof/>
        </w:rPr>
      </w:pPr>
      <w:r w:rsidRPr="00D129D7">
        <w:rPr>
          <w:noProof/>
        </w:rPr>
        <w:t>(Testo rilevante ai fini del SEE)</w:t>
      </w:r>
    </w:p>
    <w:p w:rsidR="001D506C" w:rsidRPr="0015116F" w:rsidRDefault="001D506C" w:rsidP="004E1EF9">
      <w:pPr>
        <w:pStyle w:val="Institutionquiagit"/>
        <w:rPr>
          <w:noProof/>
        </w:rPr>
      </w:pPr>
      <w:r w:rsidRPr="0015116F">
        <w:rPr>
          <w:noProof/>
        </w:rPr>
        <w:t>LA COMMISSIONE EUROPEA,</w:t>
      </w:r>
    </w:p>
    <w:p w:rsidR="001D506C" w:rsidRPr="0015116F" w:rsidRDefault="001D506C" w:rsidP="004E1EF9">
      <w:pPr>
        <w:rPr>
          <w:noProof/>
        </w:rPr>
      </w:pPr>
      <w:r w:rsidRPr="0015116F">
        <w:rPr>
          <w:noProof/>
          <w:color w:val="000000"/>
        </w:rPr>
        <w:t>visto il trattato sul funzionamento dell</w:t>
      </w:r>
      <w:r w:rsidR="00D129D7">
        <w:rPr>
          <w:noProof/>
          <w:color w:val="000000"/>
        </w:rPr>
        <w:t>'</w:t>
      </w:r>
      <w:r w:rsidRPr="0015116F">
        <w:rPr>
          <w:noProof/>
          <w:color w:val="000000"/>
        </w:rPr>
        <w:t>Unione europea</w:t>
      </w:r>
      <w:r w:rsidRPr="0015116F">
        <w:rPr>
          <w:noProof/>
        </w:rPr>
        <w:t>,</w:t>
      </w:r>
    </w:p>
    <w:p w:rsidR="000E6FD2" w:rsidRPr="0015116F" w:rsidRDefault="000E6FD2" w:rsidP="000E6FD2">
      <w:pPr>
        <w:rPr>
          <w:noProof/>
        </w:rPr>
      </w:pPr>
      <w:r w:rsidRPr="0015116F">
        <w:rPr>
          <w:noProof/>
        </w:rPr>
        <w:t>visto il regolamento (UE) n. 575/2013 del Parlamento europeo e del Consiglio, del 26</w:t>
      </w:r>
      <w:r w:rsidR="00D129D7">
        <w:rPr>
          <w:noProof/>
        </w:rPr>
        <w:t> </w:t>
      </w:r>
      <w:r w:rsidRPr="0015116F">
        <w:rPr>
          <w:noProof/>
        </w:rPr>
        <w:t>giugno</w:t>
      </w:r>
      <w:r w:rsidR="00D129D7">
        <w:rPr>
          <w:noProof/>
        </w:rPr>
        <w:t> </w:t>
      </w:r>
      <w:r w:rsidRPr="0015116F">
        <w:rPr>
          <w:noProof/>
        </w:rPr>
        <w:t>2013, relativo ai requisiti prudenziali per gli enti creditizi e che modifica il regolamento (UE) n. 648/2012</w:t>
      </w:r>
      <w:r w:rsidRPr="0015116F">
        <w:rPr>
          <w:rStyle w:val="FootnoteReference"/>
          <w:noProof/>
        </w:rPr>
        <w:footnoteReference w:id="1"/>
      </w:r>
      <w:r w:rsidRPr="0015116F">
        <w:rPr>
          <w:noProof/>
        </w:rPr>
        <w:t>, in particolare l</w:t>
      </w:r>
      <w:r w:rsidR="00D129D7">
        <w:rPr>
          <w:noProof/>
        </w:rPr>
        <w:t>'</w:t>
      </w:r>
      <w:r w:rsidRPr="0015116F">
        <w:rPr>
          <w:noProof/>
        </w:rPr>
        <w:t>articolo 430, paragrafo 7, quinto comma, e l</w:t>
      </w:r>
      <w:r w:rsidR="00D129D7">
        <w:rPr>
          <w:noProof/>
        </w:rPr>
        <w:t>'</w:t>
      </w:r>
      <w:r w:rsidRPr="0015116F">
        <w:rPr>
          <w:noProof/>
        </w:rPr>
        <w:t>articolo 434 bis, quinto comma,</w:t>
      </w:r>
    </w:p>
    <w:p w:rsidR="000E6FD2" w:rsidRPr="0015116F" w:rsidRDefault="000E6FD2" w:rsidP="000E6FD2">
      <w:pPr>
        <w:rPr>
          <w:noProof/>
        </w:rPr>
      </w:pPr>
      <w:r w:rsidRPr="0015116F">
        <w:rPr>
          <w:noProof/>
        </w:rPr>
        <w:t>vista la direttiva 2014/59/UE del Parlamento europeo e del Consiglio, del 15 maggio 2014, che istituisce un quadro di risanamento e risoluzione degli enti creditizi e delle imprese di investimento e che modifica la direttiva 82/891/CEE del Consiglio, e le direttive 2001/24/CE, 2002/47/CE, 2004/25/CE, 2005/56/CE, 2007/36/CE, 2011/35/UE, 2012/30/UE e 2013/36/UE e i regolamenti (UE) n. 1093/2010 e (UE) n. 648/2012, del Parlamento europeo e del Consiglio</w:t>
      </w:r>
      <w:r w:rsidRPr="0015116F">
        <w:rPr>
          <w:rStyle w:val="FootnoteReference"/>
          <w:noProof/>
        </w:rPr>
        <w:footnoteReference w:id="2"/>
      </w:r>
      <w:r w:rsidRPr="0015116F">
        <w:rPr>
          <w:noProof/>
        </w:rPr>
        <w:t>, in particolare l</w:t>
      </w:r>
      <w:r w:rsidR="00D129D7">
        <w:rPr>
          <w:noProof/>
        </w:rPr>
        <w:t>'</w:t>
      </w:r>
      <w:r w:rsidRPr="0015116F">
        <w:rPr>
          <w:noProof/>
        </w:rPr>
        <w:t>articolo 45 decies, paragrafo 5, quinto comma, e paragrafo 6, quinto comma,</w:t>
      </w:r>
    </w:p>
    <w:p w:rsidR="001D506C" w:rsidRPr="0015116F" w:rsidRDefault="001D506C" w:rsidP="004E1EF9">
      <w:pPr>
        <w:rPr>
          <w:noProof/>
        </w:rPr>
      </w:pPr>
      <w:r w:rsidRPr="0015116F">
        <w:rPr>
          <w:noProof/>
        </w:rPr>
        <w:t>considerando quanto segue:</w:t>
      </w:r>
    </w:p>
    <w:p w:rsidR="00F83DBF" w:rsidRPr="0015116F" w:rsidRDefault="00F83DBF" w:rsidP="0052704B">
      <w:pPr>
        <w:pStyle w:val="ManualConsidrant"/>
        <w:rPr>
          <w:noProof/>
        </w:rPr>
      </w:pPr>
      <w:r>
        <w:rPr>
          <w:noProof/>
        </w:rPr>
        <w:t>(1)</w:t>
      </w:r>
      <w:r>
        <w:rPr>
          <w:noProof/>
        </w:rPr>
        <w:tab/>
      </w:r>
      <w:r w:rsidRPr="0015116F">
        <w:rPr>
          <w:noProof/>
        </w:rPr>
        <w:t xml:space="preserve">Il regolamento (UE) 2022/2036 del </w:t>
      </w:r>
      <w:bookmarkStart w:id="1" w:name="_Hlk159320995"/>
      <w:r w:rsidRPr="0015116F">
        <w:rPr>
          <w:noProof/>
        </w:rPr>
        <w:t>Parlamento europeo e del Consiglio</w:t>
      </w:r>
      <w:r w:rsidRPr="0015116F">
        <w:rPr>
          <w:rStyle w:val="FootnoteReference"/>
          <w:noProof/>
        </w:rPr>
        <w:footnoteReference w:id="3"/>
      </w:r>
      <w:bookmarkEnd w:id="1"/>
      <w:r w:rsidRPr="0015116F">
        <w:rPr>
          <w:noProof/>
        </w:rPr>
        <w:t xml:space="preserve"> ha introdotto nel regolamento (UE) n. 575/2013 l</w:t>
      </w:r>
      <w:r w:rsidR="00D129D7">
        <w:rPr>
          <w:noProof/>
        </w:rPr>
        <w:t>'</w:t>
      </w:r>
      <w:r w:rsidRPr="0015116F">
        <w:rPr>
          <w:noProof/>
        </w:rPr>
        <w:t>obbligo che impone alle entità intermedie di un gruppo soggetto a risoluzione di dedurre dagli elementi di passività ammissibili gli strumenti di fondi propri e gli strumenti di passività ammissibili da esse detenuti utilizzati per conformarsi al requisito di cui all</w:t>
      </w:r>
      <w:r w:rsidR="00D129D7">
        <w:rPr>
          <w:noProof/>
        </w:rPr>
        <w:t>'</w:t>
      </w:r>
      <w:r w:rsidRPr="0015116F">
        <w:rPr>
          <w:noProof/>
        </w:rPr>
        <w:t>articolo 92 ter del regolamento (UE) n. 575/2013 (</w:t>
      </w:r>
      <w:r w:rsidR="00D129D7">
        <w:rPr>
          <w:noProof/>
        </w:rPr>
        <w:t>"</w:t>
      </w:r>
      <w:r w:rsidRPr="0015116F">
        <w:rPr>
          <w:noProof/>
        </w:rPr>
        <w:t>requisito di capacità totale interna di assorbimento delle perdite</w:t>
      </w:r>
      <w:r w:rsidR="00D129D7">
        <w:rPr>
          <w:noProof/>
        </w:rPr>
        <w:t>"</w:t>
      </w:r>
      <w:r w:rsidRPr="0015116F">
        <w:rPr>
          <w:noProof/>
        </w:rPr>
        <w:t xml:space="preserve"> o </w:t>
      </w:r>
      <w:r w:rsidR="00D129D7">
        <w:rPr>
          <w:noProof/>
        </w:rPr>
        <w:t>"</w:t>
      </w:r>
      <w:r w:rsidRPr="0015116F">
        <w:rPr>
          <w:noProof/>
        </w:rPr>
        <w:t>TLAC interna</w:t>
      </w:r>
      <w:r w:rsidR="00D129D7">
        <w:rPr>
          <w:noProof/>
        </w:rPr>
        <w:t>"</w:t>
      </w:r>
      <w:r w:rsidRPr="0015116F">
        <w:rPr>
          <w:noProof/>
        </w:rPr>
        <w:t>) o al requisito di cui all</w:t>
      </w:r>
      <w:r w:rsidR="00D129D7">
        <w:rPr>
          <w:noProof/>
        </w:rPr>
        <w:t>'</w:t>
      </w:r>
      <w:r w:rsidRPr="0015116F">
        <w:rPr>
          <w:noProof/>
        </w:rPr>
        <w:t>articolo 45 septies della direttiva 2014/59/UE</w:t>
      </w:r>
      <w:r w:rsidRPr="0015116F">
        <w:rPr>
          <w:rStyle w:val="FootnoteReference"/>
          <w:noProof/>
        </w:rPr>
        <w:footnoteReference w:id="4"/>
      </w:r>
      <w:r w:rsidRPr="0015116F">
        <w:rPr>
          <w:noProof/>
        </w:rPr>
        <w:t xml:space="preserve"> (</w:t>
      </w:r>
      <w:r w:rsidR="00D129D7">
        <w:rPr>
          <w:noProof/>
        </w:rPr>
        <w:t>"</w:t>
      </w:r>
      <w:r w:rsidRPr="0015116F">
        <w:rPr>
          <w:noProof/>
        </w:rPr>
        <w:t>requisito minimo di fondi propri e passività ammissibili interno</w:t>
      </w:r>
      <w:r w:rsidR="00D129D7">
        <w:rPr>
          <w:noProof/>
        </w:rPr>
        <w:t>"</w:t>
      </w:r>
      <w:r w:rsidRPr="0015116F">
        <w:rPr>
          <w:noProof/>
        </w:rPr>
        <w:t xml:space="preserve"> o </w:t>
      </w:r>
      <w:r w:rsidR="00D129D7">
        <w:rPr>
          <w:noProof/>
        </w:rPr>
        <w:t>"</w:t>
      </w:r>
      <w:r w:rsidRPr="0015116F">
        <w:rPr>
          <w:noProof/>
        </w:rPr>
        <w:t>MREL interno</w:t>
      </w:r>
      <w:r w:rsidR="00D129D7">
        <w:rPr>
          <w:noProof/>
        </w:rPr>
        <w:t>"</w:t>
      </w:r>
      <w:r w:rsidRPr="0015116F">
        <w:rPr>
          <w:noProof/>
        </w:rPr>
        <w:t>), se tali strumenti di fondi propri e strumenti di passività ammissibili sono stati emessi da entità che non sono entità soggette a risoluzione e che appartengono allo stesso gruppo soggetto a risoluzione. È pertanto necessario tenere conto di tale obbligo di deduzione nei modelli per l</w:t>
      </w:r>
      <w:r w:rsidR="00D129D7">
        <w:rPr>
          <w:noProof/>
        </w:rPr>
        <w:t>'</w:t>
      </w:r>
      <w:r w:rsidRPr="0015116F">
        <w:rPr>
          <w:noProof/>
        </w:rPr>
        <w:t>informativa al pubblico in merito alle informazioni armonizzate sul MREL interno e sulla TLAC interna di cui al regolamento di esecuzione (UE) 2021/763 della Commissione</w:t>
      </w:r>
      <w:r w:rsidRPr="0015116F">
        <w:rPr>
          <w:rStyle w:val="FootnoteReference"/>
          <w:bCs/>
          <w:noProof/>
        </w:rPr>
        <w:footnoteReference w:id="5"/>
      </w:r>
      <w:r w:rsidRPr="0015116F">
        <w:rPr>
          <w:noProof/>
        </w:rPr>
        <w:t>. È altresì opportuno tenere conto di tale obbligo di deduzione nelle informazioni armonizzate fornite alle autorità competenti e alle autorità di risoluzione.</w:t>
      </w:r>
    </w:p>
    <w:p w:rsidR="00686AFD" w:rsidRPr="0015116F" w:rsidRDefault="00686AFD" w:rsidP="002103AD">
      <w:pPr>
        <w:pStyle w:val="ManualConsidrant"/>
        <w:rPr>
          <w:noProof/>
        </w:rPr>
      </w:pPr>
      <w:r>
        <w:rPr>
          <w:noProof/>
        </w:rPr>
        <w:t>(2)</w:t>
      </w:r>
      <w:r>
        <w:rPr>
          <w:noProof/>
        </w:rPr>
        <w:tab/>
      </w:r>
      <w:r w:rsidRPr="0015116F">
        <w:rPr>
          <w:noProof/>
        </w:rPr>
        <w:t>La direttiva (UE) 2024/1174 del Parlamento europeo e del Consiglio che modifica la direttiva 2014/59/UE e il regolamento (UE) n. 806/2014 per quanto riguarda taluni aspetti del requisito minimo di fondi propri e passività ammissibili</w:t>
      </w:r>
      <w:r w:rsidRPr="0015116F">
        <w:rPr>
          <w:rStyle w:val="FootnoteReference"/>
          <w:noProof/>
        </w:rPr>
        <w:footnoteReference w:id="6"/>
      </w:r>
      <w:r w:rsidRPr="0015116F">
        <w:rPr>
          <w:noProof/>
        </w:rPr>
        <w:t xml:space="preserve"> ha ulteriormente modificato l</w:t>
      </w:r>
      <w:r w:rsidR="00D129D7">
        <w:rPr>
          <w:noProof/>
        </w:rPr>
        <w:t>'</w:t>
      </w:r>
      <w:r w:rsidRPr="0015116F">
        <w:rPr>
          <w:noProof/>
        </w:rPr>
        <w:t>obbligo di deduzione di cui al regolamento (UE) n. 575/2013, specificando nella direttiva 2014/59/UE e nel regolamento (UE) n. 806/2014 che le entità intermedie di un gruppo soggetto a risoluzione sono tenute a dedurre solo gli strumenti di fondi propri detenuti emessi da entità soggette a liquidazione che appartengono allo stesso gruppo soggetto a risoluzione e non sono entità soggette a risoluzione, a determinate condizioni relative alla rilevanza di tali strumenti detenuti. È</w:t>
      </w:r>
      <w:r w:rsidR="00D129D7">
        <w:rPr>
          <w:noProof/>
        </w:rPr>
        <w:t> </w:t>
      </w:r>
      <w:r w:rsidRPr="0015116F">
        <w:rPr>
          <w:noProof/>
        </w:rPr>
        <w:t>opportuno tenere conto anche di tali modifiche nelle informazioni armonizzate fornite nei modelli per l</w:t>
      </w:r>
      <w:r w:rsidR="00D129D7">
        <w:rPr>
          <w:noProof/>
        </w:rPr>
        <w:t>'</w:t>
      </w:r>
      <w:r w:rsidRPr="0015116F">
        <w:rPr>
          <w:noProof/>
        </w:rPr>
        <w:t>informativa al pubblico e la segnalazione alle autorità competenti e alle autorità di risoluzione.</w:t>
      </w:r>
    </w:p>
    <w:p w:rsidR="00F83DBF" w:rsidRPr="0015116F" w:rsidRDefault="00F83DBF" w:rsidP="00302BB5">
      <w:pPr>
        <w:pStyle w:val="ManualConsidrant"/>
        <w:rPr>
          <w:noProof/>
        </w:rPr>
      </w:pPr>
      <w:r>
        <w:rPr>
          <w:noProof/>
        </w:rPr>
        <w:t>(3)</w:t>
      </w:r>
      <w:r>
        <w:rPr>
          <w:noProof/>
        </w:rPr>
        <w:tab/>
      </w:r>
      <w:r w:rsidRPr="0015116F">
        <w:rPr>
          <w:noProof/>
        </w:rPr>
        <w:t>Le entità soggette ai requisiti di cui all</w:t>
      </w:r>
      <w:r w:rsidR="00D129D7">
        <w:rPr>
          <w:noProof/>
        </w:rPr>
        <w:t>'</w:t>
      </w:r>
      <w:r w:rsidRPr="0015116F">
        <w:rPr>
          <w:noProof/>
        </w:rPr>
        <w:t>articolo 92 bis o all</w:t>
      </w:r>
      <w:r w:rsidR="00D129D7">
        <w:rPr>
          <w:noProof/>
        </w:rPr>
        <w:t>'</w:t>
      </w:r>
      <w:r w:rsidRPr="0015116F">
        <w:rPr>
          <w:noProof/>
        </w:rPr>
        <w:t>articolo 92 ter del regolamento (UE) n. 575/2013 (</w:t>
      </w:r>
      <w:r w:rsidR="00D129D7">
        <w:rPr>
          <w:noProof/>
        </w:rPr>
        <w:t>"</w:t>
      </w:r>
      <w:r w:rsidRPr="0015116F">
        <w:rPr>
          <w:noProof/>
        </w:rPr>
        <w:t>requisito TLAC</w:t>
      </w:r>
      <w:r w:rsidR="00D129D7">
        <w:rPr>
          <w:noProof/>
        </w:rPr>
        <w:t>"</w:t>
      </w:r>
      <w:r w:rsidRPr="0015116F">
        <w:rPr>
          <w:noProof/>
        </w:rPr>
        <w:t>) o al requisito di cui all</w:t>
      </w:r>
      <w:r w:rsidR="00D129D7">
        <w:rPr>
          <w:noProof/>
        </w:rPr>
        <w:t>'</w:t>
      </w:r>
      <w:r w:rsidRPr="0015116F">
        <w:rPr>
          <w:noProof/>
        </w:rPr>
        <w:t>articolo 45 della direttiva 2014/59/UE (</w:t>
      </w:r>
      <w:r w:rsidR="00D129D7">
        <w:rPr>
          <w:noProof/>
        </w:rPr>
        <w:t>"</w:t>
      </w:r>
      <w:r w:rsidRPr="0015116F">
        <w:rPr>
          <w:noProof/>
        </w:rPr>
        <w:t>requisito MREL</w:t>
      </w:r>
      <w:r w:rsidR="00D129D7">
        <w:rPr>
          <w:noProof/>
        </w:rPr>
        <w:t>"</w:t>
      </w:r>
      <w:r w:rsidRPr="0015116F">
        <w:rPr>
          <w:noProof/>
        </w:rPr>
        <w:t>) possono, previa autorizzazione della rispettiva autorità di risoluzione, rimborsare, anche anticipatamente, ripagare o riacquistare strumenti di passività ammissibili conformemente all</w:t>
      </w:r>
      <w:r w:rsidR="00D129D7">
        <w:rPr>
          <w:noProof/>
        </w:rPr>
        <w:t>'</w:t>
      </w:r>
      <w:r w:rsidRPr="0015116F">
        <w:rPr>
          <w:noProof/>
        </w:rPr>
        <w:t>articolo 78 bis del regolamento (UE) n. 575/2013. Gli importi rientranti nell</w:t>
      </w:r>
      <w:r w:rsidR="00D129D7">
        <w:rPr>
          <w:noProof/>
        </w:rPr>
        <w:t>'</w:t>
      </w:r>
      <w:r w:rsidRPr="0015116F">
        <w:rPr>
          <w:noProof/>
        </w:rPr>
        <w:t>ambito di tale autorizzazione riducono la capacità delle entità di soddisfare il requisito MREL o il requisito TLAC. È pertanto necessario specificare il modo in cui si dovrebbe tenere conto dell</w:t>
      </w:r>
      <w:r w:rsidR="00D129D7">
        <w:rPr>
          <w:noProof/>
        </w:rPr>
        <w:t>'</w:t>
      </w:r>
      <w:r w:rsidRPr="0015116F">
        <w:rPr>
          <w:noProof/>
        </w:rPr>
        <w:t>impatto di tale autorizzazione nell</w:t>
      </w:r>
      <w:r w:rsidR="00D129D7">
        <w:rPr>
          <w:noProof/>
        </w:rPr>
        <w:t>'</w:t>
      </w:r>
      <w:r w:rsidRPr="0015116F">
        <w:rPr>
          <w:noProof/>
        </w:rPr>
        <w:t>informativa al pubblico e nelle segnalazioni alle autorità competenti e alle autorità di risoluzione.</w:t>
      </w:r>
    </w:p>
    <w:p w:rsidR="00F83DBF" w:rsidRPr="0015116F" w:rsidRDefault="00F83DBF" w:rsidP="00F83DBF">
      <w:pPr>
        <w:pStyle w:val="ManualConsidrant"/>
        <w:rPr>
          <w:noProof/>
        </w:rPr>
      </w:pPr>
      <w:r>
        <w:rPr>
          <w:noProof/>
        </w:rPr>
        <w:t>(4)</w:t>
      </w:r>
      <w:r>
        <w:rPr>
          <w:noProof/>
        </w:rPr>
        <w:tab/>
      </w:r>
      <w:r w:rsidRPr="0015116F">
        <w:rPr>
          <w:noProof/>
        </w:rPr>
        <w:t>È pertanto opportuno modificare di conseguenza il regolamento di esecuzione (UE) 2021/763.</w:t>
      </w:r>
    </w:p>
    <w:p w:rsidR="00F83DBF" w:rsidRPr="0015116F" w:rsidRDefault="00F83DBF" w:rsidP="00F83DBF">
      <w:pPr>
        <w:pStyle w:val="ManualConsidrant"/>
        <w:rPr>
          <w:noProof/>
        </w:rPr>
      </w:pPr>
      <w:r>
        <w:rPr>
          <w:noProof/>
        </w:rPr>
        <w:t>(5)</w:t>
      </w:r>
      <w:r>
        <w:rPr>
          <w:noProof/>
        </w:rPr>
        <w:tab/>
      </w:r>
      <w:r w:rsidRPr="0015116F">
        <w:rPr>
          <w:noProof/>
        </w:rPr>
        <w:t>Il presente regolamento si basa sui progetti di norme tecniche di attuazione che l</w:t>
      </w:r>
      <w:r w:rsidR="00D129D7">
        <w:rPr>
          <w:noProof/>
        </w:rPr>
        <w:t>'</w:t>
      </w:r>
      <w:r w:rsidRPr="0015116F">
        <w:rPr>
          <w:noProof/>
        </w:rPr>
        <w:t>Autorità bancaria europea ha presentato alla Commissione.</w:t>
      </w:r>
    </w:p>
    <w:p w:rsidR="00F83DBF" w:rsidRPr="0015116F" w:rsidRDefault="00F83DBF" w:rsidP="00F83DBF">
      <w:pPr>
        <w:pStyle w:val="ManualConsidrant"/>
        <w:rPr>
          <w:noProof/>
        </w:rPr>
      </w:pPr>
      <w:r>
        <w:rPr>
          <w:noProof/>
        </w:rPr>
        <w:t>(6)</w:t>
      </w:r>
      <w:r>
        <w:rPr>
          <w:noProof/>
        </w:rPr>
        <w:tab/>
      </w:r>
      <w:r w:rsidRPr="0015116F">
        <w:rPr>
          <w:noProof/>
        </w:rPr>
        <w:t>L</w:t>
      </w:r>
      <w:r w:rsidR="00D129D7">
        <w:rPr>
          <w:noProof/>
        </w:rPr>
        <w:t>'</w:t>
      </w:r>
      <w:r w:rsidRPr="0015116F">
        <w:rPr>
          <w:noProof/>
        </w:rPr>
        <w:t>Autorità bancaria europea ha effettuato consultazioni pubbliche sui progetti di norme tecniche di attuazione sui quali è basato il presente regolamento, ha analizzato i relativi costi e benefici potenziali e ha chiesto la consulenza del gruppo delle parti interessate nel settore bancario istituito in conformità dell</w:t>
      </w:r>
      <w:r w:rsidR="00D129D7">
        <w:rPr>
          <w:noProof/>
        </w:rPr>
        <w:t>'</w:t>
      </w:r>
      <w:r w:rsidRPr="0015116F">
        <w:rPr>
          <w:noProof/>
        </w:rPr>
        <w:t>articolo 37 del regolamento (UE) n. 1093/2010 del Parlamento europeo e del Consiglio</w:t>
      </w:r>
      <w:r w:rsidRPr="0015116F">
        <w:rPr>
          <w:rStyle w:val="FootnoteReference"/>
          <w:noProof/>
        </w:rPr>
        <w:footnoteReference w:id="7"/>
      </w:r>
      <w:r w:rsidRPr="0015116F">
        <w:rPr>
          <w:noProof/>
        </w:rPr>
        <w:t>.</w:t>
      </w:r>
    </w:p>
    <w:p w:rsidR="00DB127D" w:rsidRPr="0015116F" w:rsidRDefault="00DB127D" w:rsidP="00F83DBF">
      <w:pPr>
        <w:pStyle w:val="ManualConsidrant"/>
        <w:rPr>
          <w:noProof/>
        </w:rPr>
      </w:pPr>
      <w:r>
        <w:rPr>
          <w:noProof/>
        </w:rPr>
        <w:t>(7)</w:t>
      </w:r>
      <w:r>
        <w:rPr>
          <w:noProof/>
        </w:rPr>
        <w:tab/>
      </w:r>
      <w:r w:rsidRPr="0015116F">
        <w:rPr>
          <w:noProof/>
        </w:rPr>
        <w:t>Affinché le entità soggette all</w:t>
      </w:r>
      <w:r w:rsidR="00D129D7">
        <w:rPr>
          <w:noProof/>
        </w:rPr>
        <w:t>'</w:t>
      </w:r>
      <w:r w:rsidRPr="0015116F">
        <w:rPr>
          <w:noProof/>
        </w:rPr>
        <w:t xml:space="preserve">obbligo di segnalare e rendere pubbliche le informazioni a norma del regolamento (UE) n. 575/2013 o della direttiva 2014/59/UE abbiano tempo sufficiente per adattarsi </w:t>
      </w:r>
      <w:bookmarkStart w:id="2" w:name="_Hlk160034996"/>
      <w:r w:rsidRPr="0015116F">
        <w:rPr>
          <w:noProof/>
        </w:rPr>
        <w:t xml:space="preserve">alle modifiche dei modelli e delle informazioni armonizzate, tali modifiche dovrebbero </w:t>
      </w:r>
      <w:bookmarkEnd w:id="2"/>
      <w:r w:rsidRPr="0015116F">
        <w:rPr>
          <w:noProof/>
        </w:rPr>
        <w:t>iniziare ad applicarsi sei mesi dopo la data di entrata in vigore,</w:t>
      </w:r>
    </w:p>
    <w:p w:rsidR="001D506C" w:rsidRPr="0015116F" w:rsidRDefault="001D506C" w:rsidP="004E1EF9">
      <w:pPr>
        <w:pStyle w:val="Formuledadoption"/>
        <w:rPr>
          <w:noProof/>
        </w:rPr>
      </w:pPr>
      <w:r w:rsidRPr="0015116F">
        <w:rPr>
          <w:noProof/>
        </w:rPr>
        <w:t>HA ADOTTATO IL PRESENTE REGOLAMENTO:</w:t>
      </w:r>
    </w:p>
    <w:p w:rsidR="001D506C" w:rsidRPr="0015116F" w:rsidRDefault="001D506C" w:rsidP="004E1EF9">
      <w:pPr>
        <w:pStyle w:val="Titrearticle"/>
        <w:rPr>
          <w:noProof/>
        </w:rPr>
      </w:pPr>
      <w:r w:rsidRPr="0015116F">
        <w:rPr>
          <w:noProof/>
        </w:rPr>
        <w:t>Articolo 1</w:t>
      </w:r>
    </w:p>
    <w:p w:rsidR="008D3341" w:rsidRPr="0015116F" w:rsidRDefault="008D3341" w:rsidP="00220108">
      <w:pPr>
        <w:pStyle w:val="Titrearticle"/>
        <w:rPr>
          <w:noProof/>
        </w:rPr>
      </w:pPr>
      <w:r w:rsidRPr="0015116F">
        <w:rPr>
          <w:noProof/>
        </w:rPr>
        <w:t>Modifiche del regolamento di esecuzione (UE) 2021/763</w:t>
      </w:r>
    </w:p>
    <w:p w:rsidR="00F83DBF" w:rsidRPr="0015116F" w:rsidRDefault="00F83DBF" w:rsidP="00F83DBF">
      <w:pPr>
        <w:rPr>
          <w:noProof/>
        </w:rPr>
      </w:pPr>
      <w:r w:rsidRPr="0015116F">
        <w:rPr>
          <w:noProof/>
        </w:rPr>
        <w:t>Il regolamento di esecuzione (UE) 2021/763 è così modificato:</w:t>
      </w:r>
    </w:p>
    <w:p w:rsidR="00F83DBF" w:rsidRPr="0015116F" w:rsidRDefault="004603A2" w:rsidP="000B009E">
      <w:pPr>
        <w:pStyle w:val="Point0"/>
        <w:rPr>
          <w:noProof/>
        </w:rPr>
      </w:pPr>
      <w:r>
        <w:rPr>
          <w:noProof/>
        </w:rPr>
        <w:t>(1)</w:t>
      </w:r>
      <w:r>
        <w:rPr>
          <w:noProof/>
        </w:rPr>
        <w:tab/>
      </w:r>
      <w:r w:rsidRPr="0015116F">
        <w:rPr>
          <w:noProof/>
        </w:rPr>
        <w:t>i modelli M 02.00 e M 03.00 di cui all</w:t>
      </w:r>
      <w:r w:rsidR="00D129D7">
        <w:rPr>
          <w:noProof/>
        </w:rPr>
        <w:t>'</w:t>
      </w:r>
      <w:r w:rsidRPr="0015116F">
        <w:rPr>
          <w:noProof/>
        </w:rPr>
        <w:t>allegato I sono sostituiti dai modelli M 02.00 e M 03.00 di cui all</w:t>
      </w:r>
      <w:r w:rsidR="00D129D7">
        <w:rPr>
          <w:noProof/>
        </w:rPr>
        <w:t>'</w:t>
      </w:r>
      <w:r w:rsidRPr="0015116F">
        <w:rPr>
          <w:noProof/>
        </w:rPr>
        <w:t>allegato I del presente regolamento;</w:t>
      </w:r>
    </w:p>
    <w:p w:rsidR="00F83DBF" w:rsidRPr="0015116F" w:rsidRDefault="00F83DBF" w:rsidP="00220108">
      <w:pPr>
        <w:pStyle w:val="Point0"/>
        <w:rPr>
          <w:noProof/>
        </w:rPr>
      </w:pPr>
      <w:r>
        <w:rPr>
          <w:noProof/>
        </w:rPr>
        <w:t>(2)</w:t>
      </w:r>
      <w:r>
        <w:rPr>
          <w:noProof/>
        </w:rPr>
        <w:tab/>
      </w:r>
      <w:r w:rsidRPr="0015116F">
        <w:rPr>
          <w:noProof/>
        </w:rPr>
        <w:t>l</w:t>
      </w:r>
      <w:r w:rsidR="00D129D7">
        <w:rPr>
          <w:noProof/>
        </w:rPr>
        <w:t>'</w:t>
      </w:r>
      <w:r w:rsidRPr="0015116F">
        <w:rPr>
          <w:noProof/>
        </w:rPr>
        <w:t>allegato II è sostituito dal testo di cui all</w:t>
      </w:r>
      <w:r w:rsidR="00D129D7">
        <w:rPr>
          <w:noProof/>
        </w:rPr>
        <w:t>'</w:t>
      </w:r>
      <w:r w:rsidRPr="0015116F">
        <w:rPr>
          <w:noProof/>
        </w:rPr>
        <w:t>allegato II del presente regolamento;</w:t>
      </w:r>
    </w:p>
    <w:p w:rsidR="00F83DBF" w:rsidRPr="0015116F" w:rsidRDefault="004603A2" w:rsidP="00220108">
      <w:pPr>
        <w:pStyle w:val="Point0"/>
        <w:rPr>
          <w:noProof/>
        </w:rPr>
      </w:pPr>
      <w:r>
        <w:rPr>
          <w:noProof/>
        </w:rPr>
        <w:t>(3)</w:t>
      </w:r>
      <w:r>
        <w:rPr>
          <w:noProof/>
        </w:rPr>
        <w:tab/>
      </w:r>
      <w:r w:rsidRPr="0015116F">
        <w:rPr>
          <w:noProof/>
        </w:rPr>
        <w:t>i modelli EU TLAC1 ed EU ILAC di cui all</w:t>
      </w:r>
      <w:r w:rsidR="00D129D7">
        <w:rPr>
          <w:noProof/>
        </w:rPr>
        <w:t>'</w:t>
      </w:r>
      <w:r w:rsidRPr="0015116F">
        <w:rPr>
          <w:noProof/>
        </w:rPr>
        <w:t>allegato V sono sostituiti dai modelli EU TLAC1 ed EU ILAC di cui all</w:t>
      </w:r>
      <w:r w:rsidR="00D129D7">
        <w:rPr>
          <w:noProof/>
        </w:rPr>
        <w:t>'</w:t>
      </w:r>
      <w:r w:rsidRPr="0015116F">
        <w:rPr>
          <w:noProof/>
        </w:rPr>
        <w:t>allegato III del presente regolamento;</w:t>
      </w:r>
    </w:p>
    <w:p w:rsidR="00F83DBF" w:rsidRPr="0015116F" w:rsidRDefault="00F83DBF" w:rsidP="00220108">
      <w:pPr>
        <w:pStyle w:val="Point0"/>
        <w:rPr>
          <w:noProof/>
        </w:rPr>
      </w:pPr>
      <w:r>
        <w:rPr>
          <w:noProof/>
        </w:rPr>
        <w:t>(4)</w:t>
      </w:r>
      <w:r>
        <w:rPr>
          <w:noProof/>
        </w:rPr>
        <w:tab/>
      </w:r>
      <w:r w:rsidRPr="0015116F">
        <w:rPr>
          <w:noProof/>
        </w:rPr>
        <w:t>l</w:t>
      </w:r>
      <w:r w:rsidR="00D129D7">
        <w:rPr>
          <w:noProof/>
        </w:rPr>
        <w:t>'</w:t>
      </w:r>
      <w:r w:rsidRPr="0015116F">
        <w:rPr>
          <w:noProof/>
        </w:rPr>
        <w:t>allegato VI è sostituito dal testo di cui all</w:t>
      </w:r>
      <w:r w:rsidR="00D129D7">
        <w:rPr>
          <w:noProof/>
        </w:rPr>
        <w:t>'</w:t>
      </w:r>
      <w:r w:rsidRPr="0015116F">
        <w:rPr>
          <w:noProof/>
        </w:rPr>
        <w:t>allegato IV del presente regolamento.</w:t>
      </w:r>
    </w:p>
    <w:p w:rsidR="00F83DBF" w:rsidRPr="0015116F" w:rsidRDefault="00F83DBF" w:rsidP="00F83DBF">
      <w:pPr>
        <w:pStyle w:val="Titrearticle"/>
        <w:rPr>
          <w:noProof/>
        </w:rPr>
      </w:pPr>
      <w:r w:rsidRPr="0015116F">
        <w:rPr>
          <w:noProof/>
        </w:rPr>
        <w:t>Articolo</w:t>
      </w:r>
      <w:r w:rsidR="00D129D7">
        <w:rPr>
          <w:noProof/>
        </w:rPr>
        <w:t xml:space="preserve"> </w:t>
      </w:r>
      <w:r w:rsidRPr="0015116F">
        <w:rPr>
          <w:noProof/>
        </w:rPr>
        <w:t>2</w:t>
      </w:r>
    </w:p>
    <w:p w:rsidR="00CC305D" w:rsidRPr="0015116F" w:rsidRDefault="00CC305D" w:rsidP="00583FFA">
      <w:pPr>
        <w:jc w:val="center"/>
        <w:rPr>
          <w:b/>
          <w:bCs/>
          <w:noProof/>
          <w:color w:val="000000"/>
        </w:rPr>
      </w:pPr>
      <w:r w:rsidRPr="0015116F">
        <w:rPr>
          <w:b/>
          <w:noProof/>
          <w:color w:val="000000"/>
        </w:rPr>
        <w:t>Entrata in vigore e applicazione</w:t>
      </w:r>
    </w:p>
    <w:p w:rsidR="00F83DBF" w:rsidRPr="0015116F" w:rsidRDefault="00F83DBF" w:rsidP="00F83DBF">
      <w:pPr>
        <w:rPr>
          <w:noProof/>
          <w:color w:val="000000"/>
        </w:rPr>
      </w:pPr>
      <w:r w:rsidRPr="0015116F">
        <w:rPr>
          <w:noProof/>
          <w:color w:val="000000"/>
        </w:rPr>
        <w:t xml:space="preserve">Il presente regolamento entra in vigore il ventesimo giorno successivo alla pubblicazione nella </w:t>
      </w:r>
      <w:r w:rsidRPr="0015116F">
        <w:rPr>
          <w:i/>
          <w:noProof/>
          <w:color w:val="000000"/>
        </w:rPr>
        <w:t>Gazzetta ufficiale dell</w:t>
      </w:r>
      <w:r w:rsidR="00D129D7">
        <w:rPr>
          <w:i/>
          <w:noProof/>
          <w:color w:val="000000"/>
        </w:rPr>
        <w:t>'</w:t>
      </w:r>
      <w:r w:rsidRPr="0015116F">
        <w:rPr>
          <w:i/>
          <w:noProof/>
          <w:color w:val="000000"/>
        </w:rPr>
        <w:t>Unione europea</w:t>
      </w:r>
      <w:r w:rsidRPr="0015116F">
        <w:rPr>
          <w:noProof/>
          <w:color w:val="000000"/>
        </w:rPr>
        <w:t>.</w:t>
      </w:r>
    </w:p>
    <w:p w:rsidR="00F83DBF" w:rsidRPr="0015116F" w:rsidRDefault="00F83DBF" w:rsidP="00F83DBF">
      <w:pPr>
        <w:rPr>
          <w:noProof/>
          <w:color w:val="000000"/>
        </w:rPr>
      </w:pPr>
      <w:r w:rsidRPr="0015116F">
        <w:rPr>
          <w:noProof/>
          <w:color w:val="000000"/>
        </w:rPr>
        <w:t xml:space="preserve">Esso si applica a decorrere dal </w:t>
      </w:r>
      <w:r w:rsidRPr="0015116F">
        <w:rPr>
          <w:i/>
          <w:noProof/>
          <w:color w:val="000000"/>
        </w:rPr>
        <w:t>[GU: inserire la data corrispondente a sei mesi dopo la data di entrata in vigore del presente regolamento modificativo]</w:t>
      </w:r>
      <w:r w:rsidRPr="0015116F">
        <w:rPr>
          <w:noProof/>
          <w:color w:val="000000"/>
        </w:rPr>
        <w:t>.</w:t>
      </w:r>
    </w:p>
    <w:p w:rsidR="001D506C" w:rsidRPr="0015116F" w:rsidRDefault="001D506C" w:rsidP="004E1EF9">
      <w:pPr>
        <w:pStyle w:val="Applicationdirecte"/>
        <w:keepNext/>
        <w:keepLines/>
        <w:rPr>
          <w:noProof/>
        </w:rPr>
      </w:pPr>
      <w:r w:rsidRPr="0015116F">
        <w:rPr>
          <w:noProof/>
        </w:rPr>
        <w:t>Il presente regolamento è obbligatorio in tutti i suoi elementi e direttamente applicabile in ciascuno degli Stati membri.</w:t>
      </w:r>
    </w:p>
    <w:p w:rsidR="001D506C" w:rsidRPr="0015116F" w:rsidRDefault="00E24D20" w:rsidP="00290842">
      <w:pPr>
        <w:pStyle w:val="Fait"/>
        <w:rPr>
          <w:noProof/>
        </w:rPr>
      </w:pPr>
      <w:r>
        <w:rPr>
          <w:noProof/>
        </w:rPr>
        <w:t>Fatto a Bruxelles, il 6.6.2024</w:t>
      </w:r>
    </w:p>
    <w:p w:rsidR="001D506C" w:rsidRPr="0015116F" w:rsidRDefault="001D506C" w:rsidP="00290842">
      <w:pPr>
        <w:pStyle w:val="Institutionquisigne"/>
        <w:rPr>
          <w:noProof/>
        </w:rPr>
      </w:pPr>
      <w:r w:rsidRPr="0015116F">
        <w:rPr>
          <w:noProof/>
        </w:rPr>
        <w:tab/>
        <w:t>Per la Commissione</w:t>
      </w:r>
    </w:p>
    <w:p w:rsidR="00F718B8" w:rsidRPr="0015116F" w:rsidRDefault="00274EE9" w:rsidP="00290842">
      <w:pPr>
        <w:pStyle w:val="Personnequisigne"/>
        <w:keepNext/>
        <w:rPr>
          <w:noProof/>
        </w:rPr>
      </w:pPr>
      <w:r>
        <w:rPr>
          <w:noProof/>
        </w:rPr>
        <w:tab/>
        <w:t>La presidente</w:t>
      </w:r>
      <w:r>
        <w:rPr>
          <w:noProof/>
        </w:rPr>
        <w:br/>
      </w:r>
      <w:r>
        <w:rPr>
          <w:noProof/>
        </w:rPr>
        <w:tab/>
        <w:t>Ursula VON DER LEYEN</w:t>
      </w:r>
    </w:p>
    <w:p w:rsidR="00C402D1" w:rsidRPr="0015116F" w:rsidRDefault="00C402D1" w:rsidP="00C402D1">
      <w:pPr>
        <w:pStyle w:val="Personnequisigne"/>
        <w:rPr>
          <w:noProof/>
        </w:rPr>
      </w:pPr>
    </w:p>
    <w:sectPr w:rsidR="00C402D1" w:rsidRPr="0015116F" w:rsidSect="00974F74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DE8" w:rsidRDefault="00852DE8" w:rsidP="001D506C">
      <w:pPr>
        <w:spacing w:before="0" w:after="0"/>
      </w:pPr>
      <w:r>
        <w:separator/>
      </w:r>
    </w:p>
  </w:endnote>
  <w:endnote w:type="continuationSeparator" w:id="0">
    <w:p w:rsidR="00852DE8" w:rsidRDefault="00852DE8" w:rsidP="001D506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F74" w:rsidRPr="00974F74" w:rsidRDefault="00974F74" w:rsidP="00974F74">
    <w:pPr>
      <w:pStyle w:val="Footer"/>
      <w:rPr>
        <w:rFonts w:ascii="Arial" w:hAnsi="Arial" w:cs="Arial"/>
        <w:b/>
        <w:sz w:val="48"/>
      </w:rPr>
    </w:pPr>
    <w:r w:rsidRPr="00974F74">
      <w:rPr>
        <w:rFonts w:ascii="Arial" w:hAnsi="Arial" w:cs="Arial"/>
        <w:b/>
        <w:sz w:val="48"/>
      </w:rPr>
      <w:t>IT</w:t>
    </w:r>
    <w:r w:rsidRPr="00974F74">
      <w:rPr>
        <w:rFonts w:ascii="Arial" w:hAnsi="Arial" w:cs="Arial"/>
        <w:b/>
        <w:sz w:val="48"/>
      </w:rPr>
      <w:tab/>
    </w:r>
    <w:r w:rsidRPr="00974F74">
      <w:rPr>
        <w:rFonts w:ascii="Arial" w:hAnsi="Arial" w:cs="Arial"/>
        <w:b/>
        <w:sz w:val="48"/>
      </w:rPr>
      <w:tab/>
    </w:r>
    <w:r w:rsidRPr="00974F74">
      <w:tab/>
    </w:r>
    <w:r w:rsidRPr="00974F74">
      <w:rPr>
        <w:rFonts w:ascii="Arial" w:hAnsi="Arial" w:cs="Arial"/>
        <w:b/>
        <w:sz w:val="48"/>
      </w:rPr>
      <w:t>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F74" w:rsidRPr="00974F74" w:rsidRDefault="00974F74" w:rsidP="00974F74">
    <w:pPr>
      <w:pStyle w:val="Footer"/>
      <w:rPr>
        <w:rFonts w:ascii="Arial" w:hAnsi="Arial" w:cs="Arial"/>
        <w:b/>
        <w:sz w:val="48"/>
      </w:rPr>
    </w:pPr>
    <w:r w:rsidRPr="00974F74">
      <w:rPr>
        <w:rFonts w:ascii="Arial" w:hAnsi="Arial" w:cs="Arial"/>
        <w:b/>
        <w:sz w:val="48"/>
      </w:rPr>
      <w:t>IT</w:t>
    </w:r>
    <w:r w:rsidRPr="00974F74">
      <w:rPr>
        <w:rFonts w:ascii="Arial" w:hAnsi="Arial" w:cs="Arial"/>
        <w:b/>
        <w:sz w:val="48"/>
      </w:rPr>
      <w:tab/>
    </w:r>
    <w:r w:rsidRPr="00974F74">
      <w:rPr>
        <w:rFonts w:ascii="Arial" w:hAnsi="Arial" w:cs="Arial"/>
        <w:b/>
        <w:sz w:val="48"/>
      </w:rPr>
      <w:tab/>
    </w:r>
    <w:r w:rsidRPr="00974F74">
      <w:tab/>
    </w:r>
    <w:r w:rsidRPr="00974F74">
      <w:rPr>
        <w:rFonts w:ascii="Arial" w:hAnsi="Arial" w:cs="Arial"/>
        <w:b/>
        <w:sz w:val="48"/>
      </w:rPr>
      <w:t>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F74" w:rsidRDefault="00974F7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F74" w:rsidRPr="00974F74" w:rsidRDefault="00974F74" w:rsidP="00974F74">
    <w:pPr>
      <w:pStyle w:val="Footer"/>
      <w:rPr>
        <w:rFonts w:ascii="Arial" w:hAnsi="Arial" w:cs="Arial"/>
        <w:b/>
        <w:sz w:val="48"/>
      </w:rPr>
    </w:pPr>
    <w:r w:rsidRPr="00974F74">
      <w:rPr>
        <w:rFonts w:ascii="Arial" w:hAnsi="Arial" w:cs="Arial"/>
        <w:b/>
        <w:sz w:val="48"/>
      </w:rPr>
      <w:t>IT</w:t>
    </w:r>
    <w:r w:rsidRPr="00974F74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290842">
      <w:rPr>
        <w:noProof/>
      </w:rPr>
      <w:t>3</w:t>
    </w:r>
    <w:r>
      <w:fldChar w:fldCharType="end"/>
    </w:r>
    <w:r>
      <w:tab/>
    </w:r>
    <w:r w:rsidRPr="00974F74">
      <w:tab/>
    </w:r>
    <w:r w:rsidRPr="00974F74">
      <w:rPr>
        <w:rFonts w:ascii="Arial" w:hAnsi="Arial" w:cs="Arial"/>
        <w:b/>
        <w:sz w:val="48"/>
      </w:rPr>
      <w:t>IT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F74" w:rsidRDefault="00974F74" w:rsidP="00974F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DE8" w:rsidRDefault="00852DE8" w:rsidP="001D506C">
      <w:pPr>
        <w:spacing w:before="0" w:after="0"/>
      </w:pPr>
      <w:r>
        <w:separator/>
      </w:r>
    </w:p>
  </w:footnote>
  <w:footnote w:type="continuationSeparator" w:id="0">
    <w:p w:rsidR="00852DE8" w:rsidRDefault="00852DE8" w:rsidP="001D506C">
      <w:pPr>
        <w:spacing w:before="0" w:after="0"/>
      </w:pPr>
      <w:r>
        <w:continuationSeparator/>
      </w:r>
    </w:p>
  </w:footnote>
  <w:footnote w:id="1">
    <w:p w:rsidR="000E6FD2" w:rsidRPr="0015116F" w:rsidRDefault="000E6FD2" w:rsidP="000E6FD2">
      <w:pPr>
        <w:pStyle w:val="FootnoteText"/>
      </w:pPr>
      <w:r>
        <w:rPr>
          <w:rStyle w:val="FootnoteReference"/>
        </w:rPr>
        <w:footnoteRef/>
      </w:r>
      <w:r w:rsidRPr="0015116F">
        <w:tab/>
        <w:t>GU L 176 del 27.6.2013, pag. 1, ELI: http://data.europa.eu/eli/reg/2013/575/oj.</w:t>
      </w:r>
    </w:p>
  </w:footnote>
  <w:footnote w:id="2">
    <w:p w:rsidR="000E6FD2" w:rsidRPr="0015116F" w:rsidRDefault="000E6FD2" w:rsidP="000E6FD2">
      <w:pPr>
        <w:pStyle w:val="FootnoteText"/>
      </w:pPr>
      <w:r>
        <w:rPr>
          <w:rStyle w:val="FootnoteReference"/>
        </w:rPr>
        <w:footnoteRef/>
      </w:r>
      <w:r w:rsidRPr="0015116F">
        <w:tab/>
        <w:t>GU L 173 del 12.6.2014, pag. 190, ELI: http://data.europa.eu/eli/dir/2014/59/oj.</w:t>
      </w:r>
    </w:p>
  </w:footnote>
  <w:footnote w:id="3">
    <w:p w:rsidR="00F83DBF" w:rsidRPr="0015116F" w:rsidRDefault="00F83DBF" w:rsidP="00F83DBF">
      <w:pPr>
        <w:pStyle w:val="FootnoteText"/>
      </w:pPr>
      <w:r>
        <w:rPr>
          <w:rStyle w:val="FootnoteReference"/>
        </w:rPr>
        <w:footnoteRef/>
      </w:r>
      <w:r w:rsidRPr="0015116F">
        <w:tab/>
        <w:t>Regolamento (UE) 2022/2036 del Parlamento europeo e del Consiglio, del 19 ottobre 2022, che modifica il regolamento (UE) n. 575/2013 e la direttiva 2014/59/UE per quanto riguarda il trattamento prudenziale degli enti di importanza sistemica a livello mondiale con strategia di risoluzione a punto di avvio multiplo e metodi di sottoscrizione indiretta degli strumenti ammissibili per il soddisfacimento del requisito minimo di fondi propri e passività ammissibili (GU L 275 del 25.10.2022, pag. 1, ELI:</w:t>
      </w:r>
      <w:r w:rsidR="00D129D7">
        <w:t> </w:t>
      </w:r>
      <w:r w:rsidRPr="0015116F">
        <w:t>http://data.europa.eu/eli/reg/2022/2036/oj).</w:t>
      </w:r>
    </w:p>
  </w:footnote>
  <w:footnote w:id="4">
    <w:p w:rsidR="00F83DBF" w:rsidRPr="0015116F" w:rsidRDefault="00F83DBF" w:rsidP="00F83DBF">
      <w:pPr>
        <w:pStyle w:val="FootnoteText"/>
      </w:pPr>
      <w:r>
        <w:rPr>
          <w:rStyle w:val="FootnoteReference"/>
        </w:rPr>
        <w:footnoteRef/>
      </w:r>
      <w:r w:rsidRPr="0015116F">
        <w:tab/>
        <w:t>Direttiva 2014/59/UE del Parlamento europeo e del Consiglio, del 15 maggio 2014, che istituisce un quadro di risanamento e risoluzione degli enti creditizi e delle imprese di investimento e che modifica la direttiva 82/891/CEE del Consiglio, e le direttive 2001/24/CE, 2002/47/CE, 2004/25/CE, 2005/56/CE, 2007/36/CE, 2011/35/UE, 2012/30/UE e 2013/36/UE e i regolamenti (UE) n. 1093/2010 e (UE) n. 648/2012, del Parlamento europeo e del Consiglio (GU L 173 del 12.6.2014, pag. 190).</w:t>
      </w:r>
    </w:p>
  </w:footnote>
  <w:footnote w:id="5">
    <w:p w:rsidR="00F83DBF" w:rsidRPr="0015116F" w:rsidRDefault="00F83DBF" w:rsidP="00F83DBF">
      <w:pPr>
        <w:pStyle w:val="FootnoteText"/>
      </w:pPr>
      <w:r>
        <w:rPr>
          <w:rStyle w:val="FootnoteReference"/>
        </w:rPr>
        <w:footnoteRef/>
      </w:r>
      <w:r w:rsidRPr="0015116F">
        <w:tab/>
        <w:t>Regolamento di esecuzione (UE) 2021/763 della Commissione, del 23 aprile 2021, che stabilisce norme tecniche di attuazione per l</w:t>
      </w:r>
      <w:r w:rsidR="00D129D7">
        <w:t>'</w:t>
      </w:r>
      <w:r w:rsidRPr="0015116F">
        <w:t>applicazione del regolamento (UE) n. 575/2013 del Parlamento europeo e del Consiglio e della direttiva 2014/59/UE del Parlamento europeo e del Consiglio per quanto riguarda la segnalazione a fini di vigilanza e l</w:t>
      </w:r>
      <w:r w:rsidR="00D129D7">
        <w:t>'</w:t>
      </w:r>
      <w:r w:rsidRPr="0015116F">
        <w:t>informativa al pubblico in materia di requisito minimo di fondi propri e passività ammissibili (GU L 168 del 12.5.2021, pag. 1).</w:t>
      </w:r>
    </w:p>
  </w:footnote>
  <w:footnote w:id="6">
    <w:p w:rsidR="00686AFD" w:rsidRPr="0015116F" w:rsidRDefault="00686AFD" w:rsidP="00686AFD">
      <w:pPr>
        <w:pStyle w:val="FootnoteText"/>
      </w:pPr>
      <w:r>
        <w:rPr>
          <w:rStyle w:val="FootnoteReference"/>
        </w:rPr>
        <w:footnoteRef/>
      </w:r>
      <w:r w:rsidRPr="0015116F">
        <w:tab/>
        <w:t>Direttiva (UE) 2024/1174 del Parlamento europeo e del Consiglio, dell</w:t>
      </w:r>
      <w:r w:rsidR="00D129D7">
        <w:t>'</w:t>
      </w:r>
      <w:r w:rsidRPr="0015116F">
        <w:t>11 aprile 2024, che modifica la direttiva 2014/59/UE e il regolamento (UE) n. 806/2014 per quanto riguarda taluni aspetti del requisito minimo di fondi propri e passività ammissibili (GU L, 2024/1174, 22.4.2024).</w:t>
      </w:r>
    </w:p>
  </w:footnote>
  <w:footnote w:id="7">
    <w:p w:rsidR="00F83DBF" w:rsidRPr="0015116F" w:rsidRDefault="00F83DBF" w:rsidP="00F83DBF">
      <w:pPr>
        <w:pStyle w:val="FootnoteText"/>
      </w:pPr>
      <w:r>
        <w:rPr>
          <w:rStyle w:val="FootnoteReference"/>
        </w:rPr>
        <w:footnoteRef/>
      </w:r>
      <w:r w:rsidR="00D129D7" w:rsidRPr="0015116F">
        <w:tab/>
      </w:r>
      <w:r w:rsidRPr="0015116F">
        <w:t>Regolamento (UE) n. 1093/2010 del Parlamento europeo e del Consiglio, del 24 novembre 2010, che istituisce l</w:t>
      </w:r>
      <w:r w:rsidR="00D129D7">
        <w:t>'</w:t>
      </w:r>
      <w:r w:rsidRPr="0015116F">
        <w:t>Autorità europea di vigilanza (Autorità bancaria europea), modifica la decisione n. 716/2009/CE e abroga la decisione 2009/78/CE della Commissione (GU L 331 del 15.12.2010, pag. 12, ELI: http://data.europa.eu/eli/reg/2010/1093/oj).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F74" w:rsidRDefault="00974F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F74" w:rsidRDefault="00974F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102CECA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CD87D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B5403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BABC3B8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1AE141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AF26C8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9DB25E9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3" w15:restartNumberingAfterBreak="0">
    <w:nsid w:val="7E042D9D"/>
    <w:multiLevelType w:val="multilevel"/>
    <w:tmpl w:val="47BAFBF6"/>
    <w:styleLink w:val="LFO29"/>
    <w:lvl w:ilvl="0">
      <w:start w:val="1"/>
      <w:numFmt w:val="decimal"/>
      <w:lvlText w:val="(%1)"/>
      <w:lvlJc w:val="left"/>
      <w:pPr>
        <w:ind w:left="709" w:hanging="709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7"/>
  </w:num>
  <w:num w:numId="2">
    <w:abstractNumId w:val="23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22"/>
    <w:lvlOverride w:ilvl="0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2"/>
  </w:num>
  <w:num w:numId="14">
    <w:abstractNumId w:val="21"/>
  </w:num>
  <w:num w:numId="15">
    <w:abstractNumId w:val="11"/>
  </w:num>
  <w:num w:numId="16">
    <w:abstractNumId w:val="13"/>
  </w:num>
  <w:num w:numId="17">
    <w:abstractNumId w:val="14"/>
  </w:num>
  <w:num w:numId="18">
    <w:abstractNumId w:val="9"/>
  </w:num>
  <w:num w:numId="19">
    <w:abstractNumId w:val="20"/>
  </w:num>
  <w:num w:numId="20">
    <w:abstractNumId w:val="8"/>
  </w:num>
  <w:num w:numId="21">
    <w:abstractNumId w:val="15"/>
  </w:num>
  <w:num w:numId="22">
    <w:abstractNumId w:val="17"/>
  </w:num>
  <w:num w:numId="23">
    <w:abstractNumId w:val="18"/>
  </w:num>
  <w:num w:numId="24">
    <w:abstractNumId w:val="10"/>
  </w:num>
  <w:num w:numId="25">
    <w:abstractNumId w:val="16"/>
  </w:num>
  <w:num w:numId="26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hideSpellingErrors/>
  <w:hideGrammaticalErrors/>
  <w:attachedTemplate r:id="rId1"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QCDateTime" w:val="2024-05-30 11:44:39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35A320DA-E607-4B7A-B7D5-0E95D7155715"/>
    <w:docVar w:name="LW_COVERPAGE_TYPE" w:val="1"/>
    <w:docVar w:name="LW_CROSSREFERENCE" w:val="&lt;UNUSED&gt;"/>
    <w:docVar w:name="LW_DATE.ADOPT.CP" w:val="del 6.6.2024"/>
    <w:docVar w:name="LW_DATE.ADOPT.CP_DATEFORMAT" w:val="del %DATE%"/>
    <w:docVar w:name="LW_DATE.ADOPT.CP_ISODATE" w:val="2024-06-06"/>
    <w:docVar w:name="LW_DocType" w:val="COM"/>
    <w:docVar w:name="LW_EMISSION" w:val="6.6.2024"/>
    <w:docVar w:name="LW_EMISSION_ISODATE" w:val="2024-06-06"/>
    <w:docVar w:name="LW_EMISSION_LOCATION" w:val="BRX"/>
    <w:docVar w:name="LW_EMISSION_PREFIX" w:val="Bruxelles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sto rilevante ai fini del SEE)"/>
    <w:docVar w:name="LW_LANGUE" w:val="IT"/>
    <w:docVar w:name="LW_LANGUESFAISANTFOI.CP" w:val="&lt;UNUSED&gt;"/>
    <w:docVar w:name="LW_LEVEL_OF_SENSITIVITY" w:val="Standard treatment"/>
    <w:docVar w:name="LW_NOM.INST" w:val="COMMISSIONE EUROPE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4) 3624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che modifica il regolamento di esecuzione (UE) 2021/763 della Commissione che stabilisce norme tecniche di attuazione per l'applicazione del regolamento (UE) n. 575/2013 del Parlamento europeo e del Consiglio e della direttiva 2014/59/UE del Parlamento europeo e del Consiglio per quanto riguarda la segnalazione a fini di vigilanza e l'informativa al pubblico in materia di requisito minimo di fondi propri e passività ammissibili_x000b_"/>
    <w:docVar w:name="LW_TYPE.DOC.CP" w:val="REGOLAMENTO DI ESECUZIONE (UE) \u8230?/... DELLA COMMISSIONE"/>
    <w:docVar w:name="LwApiVersions" w:val="LW4CoDe 1.24.5.0; LW 9.0, Build 20240221"/>
  </w:docVars>
  <w:rsids>
    <w:rsidRoot w:val="001D506C"/>
    <w:rsid w:val="00020CEA"/>
    <w:rsid w:val="00093B4B"/>
    <w:rsid w:val="000955EB"/>
    <w:rsid w:val="000A1BA6"/>
    <w:rsid w:val="000B009E"/>
    <w:rsid w:val="000B7A7D"/>
    <w:rsid w:val="000E6B56"/>
    <w:rsid w:val="000E6FD2"/>
    <w:rsid w:val="00127748"/>
    <w:rsid w:val="0013442E"/>
    <w:rsid w:val="0015116F"/>
    <w:rsid w:val="00152894"/>
    <w:rsid w:val="00185DB3"/>
    <w:rsid w:val="001B397F"/>
    <w:rsid w:val="001B6C2F"/>
    <w:rsid w:val="001D506C"/>
    <w:rsid w:val="00220108"/>
    <w:rsid w:val="0022339B"/>
    <w:rsid w:val="00274EE9"/>
    <w:rsid w:val="00290842"/>
    <w:rsid w:val="00292AC6"/>
    <w:rsid w:val="002B65CA"/>
    <w:rsid w:val="002C09C1"/>
    <w:rsid w:val="002F0DF7"/>
    <w:rsid w:val="002F1E29"/>
    <w:rsid w:val="00302BB5"/>
    <w:rsid w:val="0031489C"/>
    <w:rsid w:val="00314C67"/>
    <w:rsid w:val="00363DC5"/>
    <w:rsid w:val="00370470"/>
    <w:rsid w:val="00380338"/>
    <w:rsid w:val="003819BF"/>
    <w:rsid w:val="0038725C"/>
    <w:rsid w:val="00391381"/>
    <w:rsid w:val="00396ACD"/>
    <w:rsid w:val="003C0C4B"/>
    <w:rsid w:val="00437AA5"/>
    <w:rsid w:val="0044282B"/>
    <w:rsid w:val="004603A2"/>
    <w:rsid w:val="00492396"/>
    <w:rsid w:val="004B3865"/>
    <w:rsid w:val="004B4175"/>
    <w:rsid w:val="004C38F7"/>
    <w:rsid w:val="004E19F9"/>
    <w:rsid w:val="00517205"/>
    <w:rsid w:val="0052704B"/>
    <w:rsid w:val="005279D9"/>
    <w:rsid w:val="00542487"/>
    <w:rsid w:val="00580629"/>
    <w:rsid w:val="00582810"/>
    <w:rsid w:val="00583FFA"/>
    <w:rsid w:val="00595540"/>
    <w:rsid w:val="005B5FA6"/>
    <w:rsid w:val="005E0668"/>
    <w:rsid w:val="005E1E85"/>
    <w:rsid w:val="005F222A"/>
    <w:rsid w:val="005F33FF"/>
    <w:rsid w:val="00624894"/>
    <w:rsid w:val="006654AB"/>
    <w:rsid w:val="006813A6"/>
    <w:rsid w:val="00686AFD"/>
    <w:rsid w:val="006A2A68"/>
    <w:rsid w:val="006F7EFE"/>
    <w:rsid w:val="00703C0B"/>
    <w:rsid w:val="0075268B"/>
    <w:rsid w:val="0075467B"/>
    <w:rsid w:val="007D0861"/>
    <w:rsid w:val="007D1225"/>
    <w:rsid w:val="007E010B"/>
    <w:rsid w:val="00802FC2"/>
    <w:rsid w:val="0081293E"/>
    <w:rsid w:val="0084238A"/>
    <w:rsid w:val="00852DE8"/>
    <w:rsid w:val="008C58B7"/>
    <w:rsid w:val="008C62AF"/>
    <w:rsid w:val="008C63FE"/>
    <w:rsid w:val="008D0E5E"/>
    <w:rsid w:val="008D3341"/>
    <w:rsid w:val="008E2694"/>
    <w:rsid w:val="009206FF"/>
    <w:rsid w:val="00940731"/>
    <w:rsid w:val="009476D9"/>
    <w:rsid w:val="009702E0"/>
    <w:rsid w:val="009712C1"/>
    <w:rsid w:val="009719B6"/>
    <w:rsid w:val="009731D1"/>
    <w:rsid w:val="00974F74"/>
    <w:rsid w:val="00985A34"/>
    <w:rsid w:val="009957C5"/>
    <w:rsid w:val="009A1A98"/>
    <w:rsid w:val="00A10BBD"/>
    <w:rsid w:val="00A2735C"/>
    <w:rsid w:val="00A565C7"/>
    <w:rsid w:val="00A61FE3"/>
    <w:rsid w:val="00A63976"/>
    <w:rsid w:val="00B0742B"/>
    <w:rsid w:val="00B247D1"/>
    <w:rsid w:val="00B50A87"/>
    <w:rsid w:val="00B74403"/>
    <w:rsid w:val="00B84713"/>
    <w:rsid w:val="00B851FA"/>
    <w:rsid w:val="00BE38E4"/>
    <w:rsid w:val="00C3731F"/>
    <w:rsid w:val="00C402D1"/>
    <w:rsid w:val="00C62ABE"/>
    <w:rsid w:val="00C72F66"/>
    <w:rsid w:val="00C936A8"/>
    <w:rsid w:val="00C9371C"/>
    <w:rsid w:val="00CB4B4C"/>
    <w:rsid w:val="00CC305D"/>
    <w:rsid w:val="00CE02BF"/>
    <w:rsid w:val="00D129D7"/>
    <w:rsid w:val="00D15425"/>
    <w:rsid w:val="00D15677"/>
    <w:rsid w:val="00D37A87"/>
    <w:rsid w:val="00D455A5"/>
    <w:rsid w:val="00D60353"/>
    <w:rsid w:val="00D73411"/>
    <w:rsid w:val="00D917AD"/>
    <w:rsid w:val="00DA38A7"/>
    <w:rsid w:val="00DB127D"/>
    <w:rsid w:val="00DB4B20"/>
    <w:rsid w:val="00E07235"/>
    <w:rsid w:val="00E247EB"/>
    <w:rsid w:val="00E24D20"/>
    <w:rsid w:val="00E33C9F"/>
    <w:rsid w:val="00E83C6F"/>
    <w:rsid w:val="00E9509D"/>
    <w:rsid w:val="00E979AB"/>
    <w:rsid w:val="00EC39BC"/>
    <w:rsid w:val="00EE140B"/>
    <w:rsid w:val="00F02755"/>
    <w:rsid w:val="00F41B40"/>
    <w:rsid w:val="00F718B8"/>
    <w:rsid w:val="00F733AF"/>
    <w:rsid w:val="00F767D0"/>
    <w:rsid w:val="00F83DBF"/>
    <w:rsid w:val="00FC2396"/>
    <w:rsid w:val="00F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it-IT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19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19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19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19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19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19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19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1D506C"/>
    <w:pPr>
      <w:numPr>
        <w:numId w:val="1"/>
      </w:numPr>
    </w:pPr>
    <w:rPr>
      <w:rFonts w:eastAsia="Times New Roman"/>
      <w:lang w:eastAsia="en-GB"/>
    </w:rPr>
  </w:style>
  <w:style w:type="numbering" w:customStyle="1" w:styleId="LFO29">
    <w:name w:val="LFO29"/>
    <w:basedOn w:val="NoList"/>
    <w:rsid w:val="00F83DBF"/>
    <w:pPr>
      <w:numPr>
        <w:numId w:val="2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93B4B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093B4B"/>
    <w:pPr>
      <w:spacing w:after="0"/>
    </w:pPr>
  </w:style>
  <w:style w:type="paragraph" w:styleId="ListBullet2">
    <w:name w:val="List Bullet 2"/>
    <w:basedOn w:val="Normal"/>
    <w:uiPriority w:val="99"/>
    <w:semiHidden/>
    <w:unhideWhenUsed/>
    <w:rsid w:val="00093B4B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93B4B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93B4B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093B4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93B4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93B4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93B4B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85D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5D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5DB3"/>
    <w:rPr>
      <w:rFonts w:ascii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D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DB3"/>
    <w:rPr>
      <w:rFonts w:ascii="Times New Roman" w:hAnsi="Times New Roman" w:cs="Times New Roman"/>
      <w:b/>
      <w:bCs/>
      <w:sz w:val="20"/>
      <w:szCs w:val="20"/>
      <w:lang w:val="it-IT"/>
    </w:rPr>
  </w:style>
  <w:style w:type="character" w:styleId="Hyperlink">
    <w:name w:val="Hyperlink"/>
    <w:basedOn w:val="DefaultParagraphFont"/>
    <w:uiPriority w:val="99"/>
    <w:unhideWhenUsed/>
    <w:rsid w:val="00185DB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85DB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E6FD2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686AFD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974F74"/>
    <w:rPr>
      <w:rFonts w:ascii="Times New Roman" w:hAnsi="Times New Roman" w:cs="Times New Roman"/>
      <w:sz w:val="24"/>
      <w:lang w:val="it-IT"/>
    </w:rPr>
  </w:style>
  <w:style w:type="character" w:customStyle="1" w:styleId="FooterChar">
    <w:name w:val="Footer Char"/>
    <w:basedOn w:val="DefaultParagraphFont"/>
    <w:link w:val="Footer"/>
    <w:uiPriority w:val="99"/>
    <w:rsid w:val="00974F74"/>
    <w:rPr>
      <w:rFonts w:ascii="Times New Roman" w:hAnsi="Times New Roman" w:cs="Times New Roman"/>
      <w:sz w:val="24"/>
      <w:lang w:val="it-I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it-IT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it-IT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it-IT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it-IT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it-IT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it-IT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974F7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74F74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974F7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12"/>
      </w:numPr>
    </w:pPr>
  </w:style>
  <w:style w:type="paragraph" w:customStyle="1" w:styleId="Tiret1">
    <w:name w:val="Tiret 1"/>
    <w:basedOn w:val="Point1"/>
    <w:pPr>
      <w:numPr>
        <w:numId w:val="13"/>
      </w:numPr>
    </w:pPr>
  </w:style>
  <w:style w:type="paragraph" w:customStyle="1" w:styleId="Tiret2">
    <w:name w:val="Tiret 2"/>
    <w:basedOn w:val="Point2"/>
    <w:pPr>
      <w:numPr>
        <w:numId w:val="14"/>
      </w:numPr>
    </w:pPr>
  </w:style>
  <w:style w:type="paragraph" w:customStyle="1" w:styleId="Tiret3">
    <w:name w:val="Tiret 3"/>
    <w:basedOn w:val="Point3"/>
    <w:pPr>
      <w:numPr>
        <w:numId w:val="15"/>
      </w:numPr>
    </w:pPr>
  </w:style>
  <w:style w:type="paragraph" w:customStyle="1" w:styleId="Tiret4">
    <w:name w:val="Tiret 4"/>
    <w:basedOn w:val="Point4"/>
    <w:pPr>
      <w:numPr>
        <w:numId w:val="16"/>
      </w:numPr>
    </w:pPr>
  </w:style>
  <w:style w:type="paragraph" w:customStyle="1" w:styleId="Tiret5">
    <w:name w:val="Tiret 5"/>
    <w:basedOn w:val="Point5"/>
    <w:pPr>
      <w:numPr>
        <w:numId w:val="17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18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18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18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18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18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18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18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20"/>
      </w:numPr>
    </w:pPr>
  </w:style>
  <w:style w:type="paragraph" w:customStyle="1" w:styleId="Point1number">
    <w:name w:val="Point 1 (number)"/>
    <w:basedOn w:val="Normal"/>
    <w:pPr>
      <w:numPr>
        <w:ilvl w:val="2"/>
        <w:numId w:val="20"/>
      </w:numPr>
    </w:pPr>
  </w:style>
  <w:style w:type="paragraph" w:customStyle="1" w:styleId="Point2number">
    <w:name w:val="Point 2 (number)"/>
    <w:basedOn w:val="Normal"/>
    <w:pPr>
      <w:numPr>
        <w:ilvl w:val="4"/>
        <w:numId w:val="20"/>
      </w:numPr>
    </w:pPr>
  </w:style>
  <w:style w:type="paragraph" w:customStyle="1" w:styleId="Point3number">
    <w:name w:val="Point 3 (number)"/>
    <w:basedOn w:val="Normal"/>
    <w:pPr>
      <w:numPr>
        <w:ilvl w:val="6"/>
        <w:numId w:val="20"/>
      </w:numPr>
    </w:pPr>
  </w:style>
  <w:style w:type="paragraph" w:customStyle="1" w:styleId="Point0letter">
    <w:name w:val="Point 0 (letter)"/>
    <w:basedOn w:val="Normal"/>
    <w:pPr>
      <w:numPr>
        <w:ilvl w:val="1"/>
        <w:numId w:val="20"/>
      </w:numPr>
    </w:pPr>
  </w:style>
  <w:style w:type="paragraph" w:customStyle="1" w:styleId="Point1letter">
    <w:name w:val="Point 1 (letter)"/>
    <w:basedOn w:val="Normal"/>
    <w:pPr>
      <w:numPr>
        <w:ilvl w:val="3"/>
        <w:numId w:val="20"/>
      </w:numPr>
    </w:pPr>
  </w:style>
  <w:style w:type="paragraph" w:customStyle="1" w:styleId="Point2letter">
    <w:name w:val="Point 2 (letter)"/>
    <w:basedOn w:val="Normal"/>
    <w:pPr>
      <w:numPr>
        <w:ilvl w:val="5"/>
        <w:numId w:val="20"/>
      </w:numPr>
    </w:pPr>
  </w:style>
  <w:style w:type="paragraph" w:customStyle="1" w:styleId="Point3letter">
    <w:name w:val="Point 3 (letter)"/>
    <w:basedOn w:val="Normal"/>
    <w:pPr>
      <w:numPr>
        <w:ilvl w:val="7"/>
        <w:numId w:val="20"/>
      </w:numPr>
    </w:pPr>
  </w:style>
  <w:style w:type="paragraph" w:customStyle="1" w:styleId="Point4letter">
    <w:name w:val="Point 4 (letter)"/>
    <w:basedOn w:val="Normal"/>
    <w:pPr>
      <w:numPr>
        <w:ilvl w:val="8"/>
        <w:numId w:val="20"/>
      </w:numPr>
    </w:pPr>
  </w:style>
  <w:style w:type="paragraph" w:customStyle="1" w:styleId="Bullet0">
    <w:name w:val="Bullet 0"/>
    <w:basedOn w:val="Normal"/>
    <w:pPr>
      <w:numPr>
        <w:numId w:val="21"/>
      </w:numPr>
    </w:pPr>
  </w:style>
  <w:style w:type="paragraph" w:customStyle="1" w:styleId="Bullet1">
    <w:name w:val="Bullet 1"/>
    <w:basedOn w:val="Normal"/>
    <w:pPr>
      <w:numPr>
        <w:numId w:val="22"/>
      </w:numPr>
    </w:pPr>
  </w:style>
  <w:style w:type="paragraph" w:customStyle="1" w:styleId="Bullet2">
    <w:name w:val="Bullet 2"/>
    <w:basedOn w:val="Normal"/>
    <w:pPr>
      <w:numPr>
        <w:numId w:val="23"/>
      </w:numPr>
    </w:pPr>
  </w:style>
  <w:style w:type="paragraph" w:customStyle="1" w:styleId="Bullet3">
    <w:name w:val="Bullet 3"/>
    <w:basedOn w:val="Normal"/>
    <w:pPr>
      <w:numPr>
        <w:numId w:val="24"/>
      </w:numPr>
    </w:pPr>
  </w:style>
  <w:style w:type="paragraph" w:customStyle="1" w:styleId="Bullet4">
    <w:name w:val="Bullet 4"/>
    <w:basedOn w:val="Normal"/>
    <w:pPr>
      <w:numPr>
        <w:numId w:val="25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26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974F74"/>
    <w:pPr>
      <w:tabs>
        <w:tab w:val="center" w:pos="4535"/>
        <w:tab w:val="right" w:pos="9071"/>
      </w:tabs>
      <w:spacing w:before="0"/>
    </w:pPr>
  </w:style>
  <w:style w:type="paragraph" w:customStyle="1" w:styleId="HeaderLandscape">
    <w:name w:val="HeaderLandscape"/>
    <w:basedOn w:val="Normal"/>
    <w:rsid w:val="00974F74"/>
    <w:pPr>
      <w:tabs>
        <w:tab w:val="center" w:pos="7285"/>
        <w:tab w:val="right" w:pos="14003"/>
      </w:tabs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974F74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974F74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4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2024-05-28T14:34:00Z</dcterms:created>
  <dcterms:modified xsi:type="dcterms:W3CDTF">2024-05-30T09:44:00Z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2024-03-04T17:51:00Z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31943418-602c-49b3-ab6d-07ca073faced</vt:lpwstr>
  </property>
  <property fmtid="{D5CDD505-2E9C-101B-9397-08002B2CF9AE}" pid="8" name="MSIP_Label_6bd9ddd1-4d20-43f6-abfa-fc3c07406f94_ContentBits">
    <vt:lpwstr>0</vt:lpwstr>
  </property>
  <property fmtid="{D5CDD505-2E9C-101B-9397-08002B2CF9AE}" pid="9" name="Level of sensitivity">
    <vt:lpwstr>Standard treatment</vt:lpwstr>
  </property>
  <property fmtid="{D5CDD505-2E9C-101B-9397-08002B2CF9AE}" pid="10" name="Category">
    <vt:lpwstr>COM/AA</vt:lpwstr>
  </property>
  <property fmtid="{D5CDD505-2E9C-101B-9397-08002B2CF9AE}" pid="11" name="Last edited using">
    <vt:lpwstr>LW 9.0, Build 20230317</vt:lpwstr>
  </property>
  <property fmtid="{D5CDD505-2E9C-101B-9397-08002B2CF9AE}" pid="12" name="Part">
    <vt:lpwstr>1</vt:lpwstr>
  </property>
  <property fmtid="{D5CDD505-2E9C-101B-9397-08002B2CF9AE}" pid="13" name="Total parts">
    <vt:lpwstr>1</vt:lpwstr>
  </property>
  <property fmtid="{D5CDD505-2E9C-101B-9397-08002B2CF9AE}" pid="14" name="LWTemplateID">
    <vt:lpwstr>SJ-004</vt:lpwstr>
  </property>
  <property fmtid="{D5CDD505-2E9C-101B-9397-08002B2CF9AE}" pid="15" name="DQCStatus">
    <vt:lpwstr>Green (DQC version 03)</vt:lpwstr>
  </property>
</Properties>
</file>