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426BCD" w:rsidRDefault="009C4981" w:rsidP="009C4981">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8E64C79E-8DA2-4E88-B4CD-E53FEAFC3DCE" style="width:455.25pt;height:441pt">
            <v:imagedata r:id="rId7" o:title=""/>
          </v:shape>
        </w:pict>
      </w:r>
    </w:p>
    <w:p w:rsidR="001D506C" w:rsidRPr="00426BCD" w:rsidRDefault="001D506C">
      <w:pPr>
        <w:rPr>
          <w:noProof/>
        </w:rPr>
        <w:sectPr w:rsidR="001D506C" w:rsidRPr="00426BCD" w:rsidSect="009C4981">
          <w:footerReference w:type="even" r:id="rId8"/>
          <w:footerReference w:type="default" r:id="rId9"/>
          <w:pgSz w:w="11907" w:h="16839"/>
          <w:pgMar w:top="1134" w:right="1417" w:bottom="1134" w:left="1417" w:header="709" w:footer="709" w:gutter="0"/>
          <w:pgNumType w:start="0"/>
          <w:cols w:space="720"/>
          <w:docGrid w:linePitch="360"/>
        </w:sectPr>
      </w:pPr>
    </w:p>
    <w:p w:rsidR="001D506C" w:rsidRPr="00426BCD" w:rsidRDefault="00426BCD" w:rsidP="00426BCD">
      <w:pPr>
        <w:pStyle w:val="Typedudocument"/>
        <w:rPr>
          <w:noProof/>
        </w:rPr>
      </w:pPr>
      <w:bookmarkStart w:id="0" w:name="_GoBack"/>
      <w:bookmarkEnd w:id="0"/>
      <w:r w:rsidRPr="00426BCD">
        <w:rPr>
          <w:noProof/>
        </w:rPr>
        <w:lastRenderedPageBreak/>
        <w:t>KOMMISSIONENS GENNEMFØRELSESFORORDNING (EU) …/…</w:t>
      </w:r>
    </w:p>
    <w:p w:rsidR="001D506C" w:rsidRPr="00426BCD" w:rsidRDefault="00AC68C0" w:rsidP="00426BCD">
      <w:pPr>
        <w:pStyle w:val="Datedadoption"/>
        <w:rPr>
          <w:noProof/>
        </w:rPr>
      </w:pPr>
      <w:r>
        <w:rPr>
          <w:noProof/>
        </w:rPr>
        <w:t>af 6.6.2024</w:t>
      </w:r>
    </w:p>
    <w:p w:rsidR="001D506C" w:rsidRPr="00426BCD" w:rsidRDefault="00426BCD" w:rsidP="00426BCD">
      <w:pPr>
        <w:pStyle w:val="Titreobjet"/>
        <w:rPr>
          <w:noProof/>
        </w:rPr>
      </w:pPr>
      <w:r w:rsidRPr="00426BCD">
        <w:rPr>
          <w:noProof/>
        </w:rPr>
        <w:t xml:space="preserve">om ændring af gennemførelsesforordning (EU) 2021/763 om gennemførelsesmæssige tekniske standarder for anvendelsen af Europa-Parlamentets og Rådets forordning (EU) nr. 575/2013 og Europa-Parlamentets og Rådets direktiv 2014/59/EU for så vidt angår indberetning med henblik på tilsyn og offentliggørelse af minimumskravet til kapitalgrundlag og nedskrivningsrelevante passiver  </w:t>
      </w:r>
      <w:r w:rsidRPr="00426BCD">
        <w:rPr>
          <w:noProof/>
        </w:rPr>
        <w:br/>
      </w:r>
    </w:p>
    <w:p w:rsidR="001D506C" w:rsidRPr="00426BCD" w:rsidRDefault="00426BCD" w:rsidP="00426BCD">
      <w:pPr>
        <w:pStyle w:val="IntrtEEE"/>
        <w:rPr>
          <w:noProof/>
        </w:rPr>
      </w:pPr>
      <w:r w:rsidRPr="00426BCD">
        <w:rPr>
          <w:noProof/>
        </w:rPr>
        <w:t>(EØS-relevant tekst)</w:t>
      </w:r>
    </w:p>
    <w:p w:rsidR="001D506C" w:rsidRPr="00426BCD" w:rsidRDefault="001D506C" w:rsidP="004E1EF9">
      <w:pPr>
        <w:pStyle w:val="Institutionquiagit"/>
        <w:rPr>
          <w:noProof/>
        </w:rPr>
      </w:pPr>
      <w:r w:rsidRPr="00426BCD">
        <w:rPr>
          <w:noProof/>
        </w:rPr>
        <w:t>EUROPA-KOMMISSIONEN HAR —</w:t>
      </w:r>
    </w:p>
    <w:p w:rsidR="001D506C" w:rsidRPr="00426BCD" w:rsidRDefault="001D506C" w:rsidP="004E1EF9">
      <w:pPr>
        <w:rPr>
          <w:noProof/>
        </w:rPr>
      </w:pPr>
      <w:r w:rsidRPr="00426BCD">
        <w:rPr>
          <w:noProof/>
        </w:rPr>
        <w:t>under henvisning til traktaten om Den Europæiske Unions funktionsmåde,</w:t>
      </w:r>
    </w:p>
    <w:p w:rsidR="000E6FD2" w:rsidRPr="00426BCD" w:rsidRDefault="000E6FD2" w:rsidP="000E6FD2">
      <w:pPr>
        <w:rPr>
          <w:noProof/>
        </w:rPr>
      </w:pPr>
      <w:r w:rsidRPr="00426BCD">
        <w:rPr>
          <w:noProof/>
        </w:rPr>
        <w:t>under henvisning til Europa-Parlamentets og Rådets forordning (EU) nr. 575/2013 af 26. juni 2013 om tilsynsmæssige krav til kreditinstitutter og om ændring af forordning (EU) nr. 648/2012</w:t>
      </w:r>
      <w:r w:rsidRPr="00426BCD">
        <w:rPr>
          <w:rStyle w:val="FootnoteReference"/>
          <w:noProof/>
        </w:rPr>
        <w:footnoteReference w:id="1"/>
      </w:r>
      <w:r w:rsidRPr="00426BCD">
        <w:rPr>
          <w:noProof/>
        </w:rPr>
        <w:t>, særlig artikel 430, stk. 7, femte afsnit, og artikel 434a, femte afsnit,</w:t>
      </w:r>
    </w:p>
    <w:p w:rsidR="000E6FD2" w:rsidRPr="00426BCD" w:rsidRDefault="000E6FD2" w:rsidP="000E6FD2">
      <w:pPr>
        <w:rPr>
          <w:noProof/>
        </w:rPr>
      </w:pPr>
      <w:r w:rsidRPr="00426BCD">
        <w:rPr>
          <w:noProof/>
        </w:rPr>
        <w:t>under henvisning til Europa-Parlamentets og Rådets direktiv 2014/59/EU af 15. maj 2014 om et regelsæt for genopretning og afvikling af kreditinstitutter og investeringsselskaber og om ændring af Rådets direktiv 82/891/EØF og Europa-Parlamentets og Rådets direktiv 2001/24/EF, 2002/47/EF, 2004/25/EF, 2005/56/EF, 2007/36/EF, 2011/35/EU, 2012/30/EU og 2013/36/EU samt forordning (EU) nr. 1093/2010 og (EU) nr. 648/2012</w:t>
      </w:r>
      <w:r w:rsidRPr="00426BCD">
        <w:rPr>
          <w:rStyle w:val="FootnoteReference"/>
          <w:noProof/>
        </w:rPr>
        <w:footnoteReference w:id="2"/>
      </w:r>
      <w:r w:rsidRPr="00426BCD">
        <w:rPr>
          <w:noProof/>
        </w:rPr>
        <w:t>, særlig artikel 45i, stk. 5, femte afsnit, og artikel 45i, stk. 6, femte afsnit, og</w:t>
      </w:r>
    </w:p>
    <w:p w:rsidR="001D506C" w:rsidRPr="00426BCD" w:rsidRDefault="001D506C" w:rsidP="004E1EF9">
      <w:pPr>
        <w:rPr>
          <w:noProof/>
        </w:rPr>
      </w:pPr>
      <w:r w:rsidRPr="00426BCD">
        <w:rPr>
          <w:noProof/>
        </w:rPr>
        <w:t>ud fra følgende betragtninger:</w:t>
      </w:r>
    </w:p>
    <w:p w:rsidR="00F83DBF" w:rsidRPr="00426BCD" w:rsidRDefault="00F83DBF" w:rsidP="0052704B">
      <w:pPr>
        <w:pStyle w:val="ManualConsidrant"/>
        <w:rPr>
          <w:noProof/>
        </w:rPr>
      </w:pPr>
      <w:r>
        <w:rPr>
          <w:noProof/>
        </w:rPr>
        <w:t>(1)</w:t>
      </w:r>
      <w:r>
        <w:rPr>
          <w:noProof/>
        </w:rPr>
        <w:tab/>
      </w:r>
      <w:r w:rsidRPr="00426BCD">
        <w:rPr>
          <w:noProof/>
        </w:rPr>
        <w:t xml:space="preserve">Ved </w:t>
      </w:r>
      <w:bookmarkStart w:id="1" w:name="_Hlk159320995"/>
      <w:r w:rsidRPr="00426BCD">
        <w:rPr>
          <w:noProof/>
        </w:rPr>
        <w:t>Europa-Parlamentets og Rådets forordning (EU) 2022/2036</w:t>
      </w:r>
      <w:r w:rsidRPr="00426BCD">
        <w:rPr>
          <w:rStyle w:val="FootnoteReference"/>
          <w:noProof/>
        </w:rPr>
        <w:footnoteReference w:id="3"/>
      </w:r>
      <w:bookmarkEnd w:id="1"/>
      <w:r w:rsidRPr="00426BCD">
        <w:rPr>
          <w:noProof/>
        </w:rPr>
        <w:t xml:space="preserve"> blev der i forordning (EU) nr. 575/2013 indført et krav om, at mellemliggende enheder i en afviklingskoncern skal fradrage i nedskrivningsrelevante passivposter deres besiddelser af kapitalgrundlagsinstrumenter og nedskrivningsrelevante passivinstrumenter, som anvendes med henblik på opfyldelse af kravene i artikel 92b i forordning (EU) nr. 575/2013 (kravet vedrørende "intern tabsabsorberingskapacitet" eller "internt TLAC") eller kravet i artikel 45f i direktiv 2014/59/EU</w:t>
      </w:r>
      <w:r w:rsidRPr="00426BCD">
        <w:rPr>
          <w:rStyle w:val="FootnoteReference"/>
          <w:noProof/>
        </w:rPr>
        <w:footnoteReference w:id="4"/>
      </w:r>
      <w:r w:rsidRPr="00426BCD">
        <w:rPr>
          <w:noProof/>
        </w:rPr>
        <w:t xml:space="preserve"> (internt "minimumskrav for kapitalgrundlag og nedskrivningsrelevante passiver" eller "internt MREL"), såfremt disse kapitalgrundlagsinstrumenter og nedskrivningsrelevante passivinstrumenter blev udstedt af enheder, der ikke selv er afviklingsenheder, og som indgår i den samme afviklingskoncern. Det er derfor nødvendigt, at dette fradragskrav afspejles i skemaerne til offentliggørelse af harmoniserede oplysninger om internt MREL og internt TLAC, jf. Kommissionens gennemførelsesforordning (EU) 2021/763</w:t>
      </w:r>
      <w:r w:rsidRPr="00426BCD">
        <w:rPr>
          <w:rStyle w:val="FootnoteReference"/>
          <w:bCs/>
          <w:noProof/>
        </w:rPr>
        <w:footnoteReference w:id="5"/>
      </w:r>
      <w:r w:rsidRPr="00426BCD">
        <w:rPr>
          <w:noProof/>
        </w:rPr>
        <w:t>. Dette fradragskrav bør ligeledes afspejles i de harmoniserede oplysninger, der indgives til kompetente myndigheder og afviklingsmyndigheder.</w:t>
      </w:r>
    </w:p>
    <w:p w:rsidR="00686AFD" w:rsidRPr="00426BCD" w:rsidRDefault="00686AFD" w:rsidP="002103AD">
      <w:pPr>
        <w:pStyle w:val="ManualConsidrant"/>
        <w:rPr>
          <w:noProof/>
        </w:rPr>
      </w:pPr>
      <w:r>
        <w:rPr>
          <w:noProof/>
        </w:rPr>
        <w:t>(2)</w:t>
      </w:r>
      <w:r>
        <w:rPr>
          <w:noProof/>
        </w:rPr>
        <w:tab/>
      </w:r>
      <w:r w:rsidRPr="00426BCD">
        <w:rPr>
          <w:noProof/>
        </w:rPr>
        <w:t>Europa-Parlamentets og Rådets direktiv (EU) 2024/1174 om ændring af direktiv 2014/59/EU og forordning (EU) nr. 806/2014 for så vidt angår visse aspekter af minimumskravet til kapitalgrundlag og nedskrivningsrelevante passiver</w:t>
      </w:r>
      <w:r w:rsidRPr="00426BCD">
        <w:rPr>
          <w:rStyle w:val="FootnoteReference"/>
          <w:noProof/>
        </w:rPr>
        <w:footnoteReference w:id="6"/>
      </w:r>
      <w:r w:rsidRPr="00426BCD">
        <w:rPr>
          <w:noProof/>
        </w:rPr>
        <w:t xml:space="preserve"> blev fradragskravet i forordning (EU) nr. 575/2013 yderligere ændret, idet det i henholdsvis direktiv 2014/59/EU og forordning (EU) nr. 806/2014 præciseres, at mellemliggende enheder i en afviklingskoncern kun skal fradrage de af deres besiddelser af kapitalgrundlagsinstrumenter, som er udstedt af likvidationsenheder, der indgår i den samme afviklingskoncern, og som ikke selv er afviklingsenheder, med forbehold af visse betingelser vedrørende nævnte besiddelsers væsentlighed. Disse ændringer bør ligeledes afspejles i de harmoniserede oplysninger, der formidles i skemaer til indberetning og offentliggørelse, som indgives til kompetente myndigheder og afviklingsmyndigheder.</w:t>
      </w:r>
    </w:p>
    <w:p w:rsidR="00F83DBF" w:rsidRPr="00426BCD" w:rsidRDefault="00F83DBF" w:rsidP="00302BB5">
      <w:pPr>
        <w:pStyle w:val="ManualConsidrant"/>
        <w:rPr>
          <w:noProof/>
        </w:rPr>
      </w:pPr>
      <w:r>
        <w:rPr>
          <w:noProof/>
        </w:rPr>
        <w:t>(3)</w:t>
      </w:r>
      <w:r>
        <w:rPr>
          <w:noProof/>
        </w:rPr>
        <w:tab/>
      </w:r>
      <w:r w:rsidRPr="00426BCD">
        <w:rPr>
          <w:noProof/>
        </w:rPr>
        <w:t>Enheder, som er omfattet af kravene i artikel 92a eller artikel 92b i forordning (EU) nr. 575/2013 ("TLAC-kravet") eller kravet i artikel 45 i direktiv 2014/59/EU ("MREL"), kan med forudgående tilladelse fra deres afviklingsmyndighed opkræve, indfri, tilbagebetale eller genkøbe nedskrivningsrelevante passivinstrumenter i overensstemmelse med artikel 78a i forordning (EU) nr. 575/2013. Beløb, som er dækket en af sådan tilladelse, mindsker enhedernes kapacitet til at opfylde MREL- eller TLAC-kravet. Det er derfor nødvendigt at præcisere, hvordan indvirkningen af en sådan tilladelse bør afspejles i offentliggørelser og indberetning, der indgives til kompetente myndigheder og afviklingsmyndigheder.</w:t>
      </w:r>
    </w:p>
    <w:p w:rsidR="00F83DBF" w:rsidRPr="00426BCD" w:rsidRDefault="00F83DBF" w:rsidP="00F83DBF">
      <w:pPr>
        <w:pStyle w:val="ManualConsidrant"/>
        <w:rPr>
          <w:noProof/>
        </w:rPr>
      </w:pPr>
      <w:r>
        <w:rPr>
          <w:noProof/>
        </w:rPr>
        <w:t>(4)</w:t>
      </w:r>
      <w:r>
        <w:rPr>
          <w:noProof/>
        </w:rPr>
        <w:tab/>
      </w:r>
      <w:r w:rsidRPr="00426BCD">
        <w:rPr>
          <w:noProof/>
        </w:rPr>
        <w:t>Gennemførelsesforordning (EU) 2021/763 bør derfor ændres.</w:t>
      </w:r>
    </w:p>
    <w:p w:rsidR="00F83DBF" w:rsidRPr="00426BCD" w:rsidRDefault="00F83DBF" w:rsidP="00F83DBF">
      <w:pPr>
        <w:pStyle w:val="ManualConsidrant"/>
        <w:rPr>
          <w:noProof/>
        </w:rPr>
      </w:pPr>
      <w:r>
        <w:rPr>
          <w:noProof/>
        </w:rPr>
        <w:t>(5)</w:t>
      </w:r>
      <w:r>
        <w:rPr>
          <w:noProof/>
        </w:rPr>
        <w:tab/>
      </w:r>
      <w:r w:rsidRPr="00426BCD">
        <w:rPr>
          <w:noProof/>
        </w:rPr>
        <w:t xml:space="preserve">Nærværende forordning er baseret på det udkast til gennemførelsesmæssige tekniske standarder, som Den Europæiske Banktilsynsmyndighed har forelagt Kommissionen. </w:t>
      </w:r>
    </w:p>
    <w:p w:rsidR="00F83DBF" w:rsidRPr="00426BCD" w:rsidRDefault="00F83DBF" w:rsidP="00F83DBF">
      <w:pPr>
        <w:pStyle w:val="ManualConsidrant"/>
        <w:rPr>
          <w:noProof/>
        </w:rPr>
      </w:pPr>
      <w:r>
        <w:rPr>
          <w:noProof/>
        </w:rPr>
        <w:t>(6)</w:t>
      </w:r>
      <w:r>
        <w:rPr>
          <w:noProof/>
        </w:rPr>
        <w:tab/>
      </w:r>
      <w:r w:rsidRPr="00426BCD">
        <w:rPr>
          <w:noProof/>
        </w:rPr>
        <w:t>Den Europæiske Banktilsynsmyndighed har afholdt åbne offentlige høringer om det udkast til gennemførelsesmæssige tekniske standarder, som ligger til grund for nærværende forordning, analyseret de potentielle omkostninger og fordele og anmodet interessentgruppen for banker, der er nedsat i henhold til artikel 37 i Europa-Parlamentets og Rådets forordning (EU) nr. 1093/2010, om rådgivning</w:t>
      </w:r>
      <w:r w:rsidRPr="00426BCD">
        <w:rPr>
          <w:rStyle w:val="FootnoteReference"/>
          <w:noProof/>
        </w:rPr>
        <w:footnoteReference w:id="7"/>
      </w:r>
      <w:r w:rsidRPr="00426BCD">
        <w:rPr>
          <w:noProof/>
        </w:rPr>
        <w:t>.</w:t>
      </w:r>
    </w:p>
    <w:p w:rsidR="00DB127D" w:rsidRPr="00426BCD" w:rsidRDefault="00DB127D" w:rsidP="00F83DBF">
      <w:pPr>
        <w:pStyle w:val="ManualConsidrant"/>
        <w:rPr>
          <w:noProof/>
        </w:rPr>
      </w:pPr>
      <w:r>
        <w:rPr>
          <w:noProof/>
        </w:rPr>
        <w:t>(7)</w:t>
      </w:r>
      <w:r>
        <w:rPr>
          <w:noProof/>
        </w:rPr>
        <w:tab/>
      </w:r>
      <w:r w:rsidRPr="00426BCD">
        <w:rPr>
          <w:noProof/>
        </w:rPr>
        <w:t xml:space="preserve">For at give enheder, der er omfattet af forpligtelsen til at indberette eller offentliggøre oplysninger i overensstemmelse med forordning (EU) nr. 575/2013 eller direktiv 2014/59/EU, tilstrækkelig tid til at tilpasse sig </w:t>
      </w:r>
      <w:bookmarkStart w:id="2" w:name="_Hlk160034996"/>
      <w:r w:rsidRPr="00426BCD">
        <w:rPr>
          <w:noProof/>
        </w:rPr>
        <w:t>ændringerne i skemaer og harmoniserede oplysninger</w:t>
      </w:r>
      <w:bookmarkEnd w:id="2"/>
      <w:r w:rsidRPr="00426BCD">
        <w:rPr>
          <w:noProof/>
        </w:rPr>
        <w:t xml:space="preserve"> bør ændringerne begynde at finde anvendelse seks måneder efter datoen for dens ikrafttræden —</w:t>
      </w:r>
    </w:p>
    <w:p w:rsidR="001D506C" w:rsidRPr="00426BCD" w:rsidRDefault="001D506C" w:rsidP="004E1EF9">
      <w:pPr>
        <w:pStyle w:val="Formuledadoption"/>
        <w:rPr>
          <w:noProof/>
        </w:rPr>
      </w:pPr>
      <w:r w:rsidRPr="00426BCD">
        <w:rPr>
          <w:noProof/>
        </w:rPr>
        <w:t>VEDTAGET DENNE FORORDNING:</w:t>
      </w:r>
    </w:p>
    <w:p w:rsidR="001D506C" w:rsidRPr="00426BCD" w:rsidRDefault="001D506C" w:rsidP="004E1EF9">
      <w:pPr>
        <w:pStyle w:val="Titrearticle"/>
        <w:rPr>
          <w:noProof/>
        </w:rPr>
      </w:pPr>
      <w:r w:rsidRPr="00426BCD">
        <w:rPr>
          <w:noProof/>
        </w:rPr>
        <w:t>Artikel 1</w:t>
      </w:r>
    </w:p>
    <w:p w:rsidR="008D3341" w:rsidRPr="00426BCD" w:rsidRDefault="008D3341" w:rsidP="00220108">
      <w:pPr>
        <w:pStyle w:val="Titrearticle"/>
        <w:rPr>
          <w:noProof/>
        </w:rPr>
      </w:pPr>
      <w:r w:rsidRPr="00426BCD">
        <w:rPr>
          <w:noProof/>
        </w:rPr>
        <w:t>Ændringer af gennemførelsesforordning (EU) 2021/763</w:t>
      </w:r>
    </w:p>
    <w:p w:rsidR="00F83DBF" w:rsidRPr="00426BCD" w:rsidRDefault="00F83DBF" w:rsidP="00F83DBF">
      <w:pPr>
        <w:rPr>
          <w:noProof/>
        </w:rPr>
      </w:pPr>
      <w:r w:rsidRPr="00426BCD">
        <w:rPr>
          <w:noProof/>
        </w:rPr>
        <w:t>I gennemførelsesforordning (EU) 2021/763 foretages følgende ændringer:</w:t>
      </w:r>
    </w:p>
    <w:p w:rsidR="00F83DBF" w:rsidRPr="00426BCD" w:rsidRDefault="00426BCD" w:rsidP="00426BCD">
      <w:pPr>
        <w:pStyle w:val="Point0"/>
        <w:rPr>
          <w:noProof/>
        </w:rPr>
      </w:pPr>
      <w:r>
        <w:rPr>
          <w:noProof/>
        </w:rPr>
        <w:t>1)</w:t>
      </w:r>
      <w:r>
        <w:rPr>
          <w:noProof/>
        </w:rPr>
        <w:tab/>
      </w:r>
      <w:r w:rsidR="004603A2" w:rsidRPr="00426BCD">
        <w:rPr>
          <w:noProof/>
        </w:rPr>
        <w:t>Skema M 02.00 og M 03.00 i bilag I erstattes af skema M 02.00 og M 03.00 i bilag I til nærværende forordning.</w:t>
      </w:r>
    </w:p>
    <w:p w:rsidR="00F83DBF" w:rsidRPr="00426BCD" w:rsidRDefault="00426BCD" w:rsidP="00426BCD">
      <w:pPr>
        <w:pStyle w:val="Point0"/>
        <w:rPr>
          <w:noProof/>
        </w:rPr>
      </w:pPr>
      <w:r>
        <w:rPr>
          <w:noProof/>
        </w:rPr>
        <w:t>2)</w:t>
      </w:r>
      <w:r>
        <w:rPr>
          <w:noProof/>
        </w:rPr>
        <w:tab/>
      </w:r>
      <w:r w:rsidR="00F83DBF" w:rsidRPr="00426BCD">
        <w:rPr>
          <w:noProof/>
        </w:rPr>
        <w:t>Bilag II erstattes af teksten i bilag II til nærværende forordning.</w:t>
      </w:r>
    </w:p>
    <w:p w:rsidR="00F83DBF" w:rsidRPr="00426BCD" w:rsidRDefault="00426BCD" w:rsidP="00426BCD">
      <w:pPr>
        <w:pStyle w:val="Point0"/>
        <w:rPr>
          <w:noProof/>
        </w:rPr>
      </w:pPr>
      <w:r>
        <w:rPr>
          <w:noProof/>
        </w:rPr>
        <w:t>3)</w:t>
      </w:r>
      <w:r>
        <w:rPr>
          <w:noProof/>
        </w:rPr>
        <w:tab/>
      </w:r>
      <w:r w:rsidR="004603A2" w:rsidRPr="00426BCD">
        <w:rPr>
          <w:noProof/>
        </w:rPr>
        <w:t>Skema EU TLAC1 og EU ILAC i bilag V erstattes af skema EU TLAC1 og EU ILAC i bilag III til nærværende forordning.</w:t>
      </w:r>
    </w:p>
    <w:p w:rsidR="00F83DBF" w:rsidRPr="00426BCD" w:rsidRDefault="00426BCD" w:rsidP="00426BCD">
      <w:pPr>
        <w:pStyle w:val="Point0"/>
        <w:rPr>
          <w:noProof/>
        </w:rPr>
      </w:pPr>
      <w:r>
        <w:rPr>
          <w:noProof/>
        </w:rPr>
        <w:t>4)</w:t>
      </w:r>
      <w:r>
        <w:rPr>
          <w:noProof/>
        </w:rPr>
        <w:tab/>
      </w:r>
      <w:r w:rsidR="00F83DBF" w:rsidRPr="00426BCD">
        <w:rPr>
          <w:noProof/>
        </w:rPr>
        <w:t>Bilag VI erstattes af teksten i bilag IV til nærværende forordning.</w:t>
      </w:r>
    </w:p>
    <w:p w:rsidR="00F83DBF" w:rsidRPr="00426BCD" w:rsidRDefault="00F83DBF" w:rsidP="00F83DBF">
      <w:pPr>
        <w:pStyle w:val="Titrearticle"/>
        <w:rPr>
          <w:noProof/>
        </w:rPr>
      </w:pPr>
      <w:r w:rsidRPr="00426BCD">
        <w:rPr>
          <w:noProof/>
        </w:rPr>
        <w:t>Artikel 2</w:t>
      </w:r>
    </w:p>
    <w:p w:rsidR="00CC305D" w:rsidRPr="00426BCD" w:rsidRDefault="00CC305D" w:rsidP="00583FFA">
      <w:pPr>
        <w:jc w:val="center"/>
        <w:rPr>
          <w:b/>
          <w:bCs/>
          <w:noProof/>
          <w:color w:val="000000"/>
        </w:rPr>
      </w:pPr>
      <w:r w:rsidRPr="00426BCD">
        <w:rPr>
          <w:b/>
          <w:noProof/>
          <w:color w:val="000000"/>
        </w:rPr>
        <w:t>Ikrafttræden og anvendelse</w:t>
      </w:r>
    </w:p>
    <w:p w:rsidR="00F83DBF" w:rsidRPr="00426BCD" w:rsidRDefault="00F83DBF" w:rsidP="00F83DBF">
      <w:pPr>
        <w:rPr>
          <w:noProof/>
          <w:color w:val="000000"/>
        </w:rPr>
      </w:pPr>
      <w:r w:rsidRPr="00426BCD">
        <w:rPr>
          <w:noProof/>
          <w:color w:val="000000"/>
        </w:rPr>
        <w:t xml:space="preserve">Denne forordning træder i kraft på tyvendedagen efter offentliggørelsen i </w:t>
      </w:r>
      <w:r w:rsidRPr="00426BCD">
        <w:rPr>
          <w:i/>
          <w:noProof/>
          <w:color w:val="000000"/>
        </w:rPr>
        <w:t>Den Europæiske Unions Tidende</w:t>
      </w:r>
      <w:r w:rsidRPr="00426BCD">
        <w:rPr>
          <w:noProof/>
          <w:color w:val="000000"/>
        </w:rPr>
        <w:t>.</w:t>
      </w:r>
    </w:p>
    <w:p w:rsidR="00F83DBF" w:rsidRPr="00426BCD" w:rsidRDefault="00F83DBF" w:rsidP="00F83DBF">
      <w:pPr>
        <w:rPr>
          <w:noProof/>
          <w:color w:val="000000"/>
        </w:rPr>
      </w:pPr>
      <w:r w:rsidRPr="00426BCD">
        <w:rPr>
          <w:noProof/>
          <w:color w:val="000000"/>
        </w:rPr>
        <w:t xml:space="preserve">Den finder anvendelse fra den </w:t>
      </w:r>
      <w:r w:rsidRPr="00426BCD">
        <w:rPr>
          <w:i/>
          <w:noProof/>
          <w:color w:val="000000"/>
        </w:rPr>
        <w:t>[Publikationskontoret: Indsæt venligst datoen = seks måneder efter datoen for denne ændringsforordnings ikrafttræden ]</w:t>
      </w:r>
      <w:r w:rsidRPr="00426BCD">
        <w:rPr>
          <w:noProof/>
          <w:color w:val="000000"/>
        </w:rPr>
        <w:t xml:space="preserve">. </w:t>
      </w:r>
    </w:p>
    <w:p w:rsidR="001D506C" w:rsidRPr="00426BCD" w:rsidRDefault="001D506C" w:rsidP="004E1EF9">
      <w:pPr>
        <w:pStyle w:val="Applicationdirecte"/>
        <w:keepNext/>
        <w:keepLines/>
        <w:rPr>
          <w:noProof/>
        </w:rPr>
      </w:pPr>
      <w:r w:rsidRPr="00426BCD">
        <w:rPr>
          <w:noProof/>
        </w:rPr>
        <w:t>Denne forordning er bindende i alle enkeltheder og gælder umiddelbart i medlemsstaterne.</w:t>
      </w:r>
    </w:p>
    <w:p w:rsidR="001D506C" w:rsidRPr="00426BCD" w:rsidRDefault="00AC68C0" w:rsidP="0027193B">
      <w:pPr>
        <w:pStyle w:val="Fait"/>
        <w:rPr>
          <w:noProof/>
        </w:rPr>
      </w:pPr>
      <w:r>
        <w:rPr>
          <w:noProof/>
        </w:rPr>
        <w:t>Udfærdiget i Bruxelles, den 6.6.2024.</w:t>
      </w:r>
    </w:p>
    <w:p w:rsidR="001D506C" w:rsidRPr="00426BCD" w:rsidRDefault="001D506C" w:rsidP="0027193B">
      <w:pPr>
        <w:pStyle w:val="Institutionquisigne"/>
        <w:rPr>
          <w:noProof/>
        </w:rPr>
      </w:pPr>
      <w:r w:rsidRPr="00426BCD">
        <w:rPr>
          <w:noProof/>
        </w:rPr>
        <w:tab/>
        <w:t>På Kommissionens vegne</w:t>
      </w:r>
    </w:p>
    <w:p w:rsidR="00F718B8" w:rsidRPr="00426BCD" w:rsidRDefault="00D67268" w:rsidP="0027193B">
      <w:pPr>
        <w:pStyle w:val="Personnequisigne"/>
        <w:keepNext/>
        <w:rPr>
          <w:noProof/>
        </w:rPr>
      </w:pPr>
      <w:r>
        <w:rPr>
          <w:noProof/>
        </w:rPr>
        <w:tab/>
        <w:t>Formand</w:t>
      </w:r>
      <w:r>
        <w:rPr>
          <w:noProof/>
        </w:rPr>
        <w:br/>
      </w:r>
      <w:r>
        <w:rPr>
          <w:noProof/>
        </w:rPr>
        <w:tab/>
        <w:t>Ursula VON DER LEYEN</w:t>
      </w:r>
    </w:p>
    <w:p w:rsidR="00C402D1" w:rsidRPr="00426BCD" w:rsidRDefault="00C402D1" w:rsidP="00C402D1">
      <w:pPr>
        <w:pStyle w:val="Personnequisigne"/>
        <w:rPr>
          <w:noProof/>
        </w:rPr>
      </w:pPr>
    </w:p>
    <w:sectPr w:rsidR="00C402D1" w:rsidRPr="00426BCD" w:rsidSect="009C4981">
      <w:headerReference w:type="even" r:id="rId10"/>
      <w:footerReference w:type="even" r:id="rId11"/>
      <w:footerReference w:type="default" r:id="rId12"/>
      <w:headerReference w:type="first" r:id="rId13"/>
      <w:footerReference w:type="first" r:id="rId14"/>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DE8" w:rsidRDefault="00852DE8" w:rsidP="001D506C">
      <w:pPr>
        <w:spacing w:before="0" w:after="0"/>
      </w:pPr>
      <w:r>
        <w:separator/>
      </w:r>
    </w:p>
  </w:endnote>
  <w:endnote w:type="continuationSeparator" w:id="0">
    <w:p w:rsidR="00852DE8" w:rsidRDefault="00852DE8" w:rsidP="001D50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981" w:rsidRPr="009C4981" w:rsidRDefault="009C4981" w:rsidP="009C4981">
    <w:pPr>
      <w:pStyle w:val="Footer"/>
      <w:rPr>
        <w:rFonts w:ascii="Arial" w:hAnsi="Arial" w:cs="Arial"/>
        <w:b/>
        <w:sz w:val="48"/>
      </w:rPr>
    </w:pPr>
    <w:r w:rsidRPr="009C4981">
      <w:rPr>
        <w:rFonts w:ascii="Arial" w:hAnsi="Arial" w:cs="Arial"/>
        <w:b/>
        <w:sz w:val="48"/>
      </w:rPr>
      <w:t>DA</w:t>
    </w:r>
    <w:r w:rsidRPr="009C4981">
      <w:rPr>
        <w:rFonts w:ascii="Arial" w:hAnsi="Arial" w:cs="Arial"/>
        <w:b/>
        <w:sz w:val="48"/>
      </w:rPr>
      <w:tab/>
    </w:r>
    <w:r w:rsidRPr="009C4981">
      <w:rPr>
        <w:rFonts w:ascii="Arial" w:hAnsi="Arial" w:cs="Arial"/>
        <w:b/>
        <w:sz w:val="48"/>
      </w:rPr>
      <w:tab/>
    </w:r>
    <w:r w:rsidRPr="009C4981">
      <w:tab/>
    </w:r>
    <w:r w:rsidRPr="009C4981">
      <w:rPr>
        <w:rFonts w:ascii="Arial" w:hAnsi="Arial" w:cs="Arial"/>
        <w:b/>
        <w:sz w:val="48"/>
      </w:rPr>
      <w:t>DA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981" w:rsidRPr="009C4981" w:rsidRDefault="009C4981" w:rsidP="009C4981">
    <w:pPr>
      <w:pStyle w:val="Footer"/>
      <w:rPr>
        <w:rFonts w:ascii="Arial" w:hAnsi="Arial" w:cs="Arial"/>
        <w:b/>
        <w:sz w:val="48"/>
      </w:rPr>
    </w:pPr>
    <w:r w:rsidRPr="009C4981">
      <w:rPr>
        <w:rFonts w:ascii="Arial" w:hAnsi="Arial" w:cs="Arial"/>
        <w:b/>
        <w:sz w:val="48"/>
      </w:rPr>
      <w:t>DA</w:t>
    </w:r>
    <w:r w:rsidRPr="009C4981">
      <w:rPr>
        <w:rFonts w:ascii="Arial" w:hAnsi="Arial" w:cs="Arial"/>
        <w:b/>
        <w:sz w:val="48"/>
      </w:rPr>
      <w:tab/>
    </w:r>
    <w:r w:rsidRPr="009C4981">
      <w:rPr>
        <w:rFonts w:ascii="Arial" w:hAnsi="Arial" w:cs="Arial"/>
        <w:b/>
        <w:sz w:val="48"/>
      </w:rPr>
      <w:tab/>
    </w:r>
    <w:r w:rsidRPr="009C4981">
      <w:tab/>
    </w:r>
    <w:r w:rsidRPr="009C4981">
      <w:rPr>
        <w:rFonts w:ascii="Arial" w:hAnsi="Arial" w:cs="Arial"/>
        <w:b/>
        <w:sz w:val="48"/>
      </w:rPr>
      <w:t>DA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981" w:rsidRDefault="009C498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981" w:rsidRPr="009C4981" w:rsidRDefault="009C4981" w:rsidP="009C4981">
    <w:pPr>
      <w:pStyle w:val="Footer"/>
      <w:rPr>
        <w:rFonts w:ascii="Arial" w:hAnsi="Arial" w:cs="Arial"/>
        <w:b/>
        <w:sz w:val="48"/>
      </w:rPr>
    </w:pPr>
    <w:r w:rsidRPr="009C4981">
      <w:rPr>
        <w:rFonts w:ascii="Arial" w:hAnsi="Arial" w:cs="Arial"/>
        <w:b/>
        <w:sz w:val="48"/>
      </w:rPr>
      <w:t>DA</w:t>
    </w:r>
    <w:r w:rsidRPr="009C4981">
      <w:rPr>
        <w:rFonts w:ascii="Arial" w:hAnsi="Arial" w:cs="Arial"/>
        <w:b/>
        <w:sz w:val="48"/>
      </w:rPr>
      <w:tab/>
    </w:r>
    <w:r>
      <w:fldChar w:fldCharType="begin"/>
    </w:r>
    <w:r>
      <w:instrText xml:space="preserve"> PAGE  \* MERGEFORMAT </w:instrText>
    </w:r>
    <w:r>
      <w:fldChar w:fldCharType="separate"/>
    </w:r>
    <w:r w:rsidR="0027193B">
      <w:rPr>
        <w:noProof/>
      </w:rPr>
      <w:t>3</w:t>
    </w:r>
    <w:r>
      <w:fldChar w:fldCharType="end"/>
    </w:r>
    <w:r>
      <w:tab/>
    </w:r>
    <w:r w:rsidRPr="009C4981">
      <w:tab/>
    </w:r>
    <w:r w:rsidRPr="009C4981">
      <w:rPr>
        <w:rFonts w:ascii="Arial" w:hAnsi="Arial" w:cs="Arial"/>
        <w:b/>
        <w:sz w:val="48"/>
      </w:rPr>
      <w:t>DA</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981" w:rsidRDefault="009C4981" w:rsidP="009C49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DE8" w:rsidRDefault="00852DE8" w:rsidP="001D506C">
      <w:pPr>
        <w:spacing w:before="0" w:after="0"/>
      </w:pPr>
      <w:r>
        <w:separator/>
      </w:r>
    </w:p>
  </w:footnote>
  <w:footnote w:type="continuationSeparator" w:id="0">
    <w:p w:rsidR="00852DE8" w:rsidRDefault="00852DE8" w:rsidP="001D506C">
      <w:pPr>
        <w:spacing w:before="0" w:after="0"/>
      </w:pPr>
      <w:r>
        <w:continuationSeparator/>
      </w:r>
    </w:p>
  </w:footnote>
  <w:footnote w:id="1">
    <w:p w:rsidR="000E6FD2" w:rsidRPr="00426BCD" w:rsidRDefault="000E6FD2" w:rsidP="000E6FD2">
      <w:pPr>
        <w:pStyle w:val="FootnoteText"/>
      </w:pPr>
      <w:r>
        <w:rPr>
          <w:rStyle w:val="FootnoteReference"/>
        </w:rPr>
        <w:footnoteRef/>
      </w:r>
      <w:r w:rsidRPr="00426BCD">
        <w:tab/>
        <w:t xml:space="preserve">EUT L 176 af 27.6.2013, s. 1, ELI: http://data.europa.eu/eli/reg/2013/575/oj. </w:t>
      </w:r>
    </w:p>
  </w:footnote>
  <w:footnote w:id="2">
    <w:p w:rsidR="000E6FD2" w:rsidRPr="00426BCD" w:rsidRDefault="000E6FD2" w:rsidP="000E6FD2">
      <w:pPr>
        <w:pStyle w:val="FootnoteText"/>
      </w:pPr>
      <w:r>
        <w:rPr>
          <w:rStyle w:val="FootnoteReference"/>
        </w:rPr>
        <w:footnoteRef/>
      </w:r>
      <w:r w:rsidRPr="00426BCD">
        <w:tab/>
        <w:t xml:space="preserve">EUT L 173 af 12.6.2014, s. 190, ELI: http://data.europa.eu/eli/dir/2014/59/oj. </w:t>
      </w:r>
    </w:p>
  </w:footnote>
  <w:footnote w:id="3">
    <w:p w:rsidR="00F83DBF" w:rsidRPr="00426BCD" w:rsidRDefault="00F83DBF" w:rsidP="00F83DBF">
      <w:pPr>
        <w:pStyle w:val="FootnoteText"/>
      </w:pPr>
      <w:r>
        <w:rPr>
          <w:rStyle w:val="FootnoteReference"/>
        </w:rPr>
        <w:footnoteRef/>
      </w:r>
      <w:r w:rsidRPr="00426BCD">
        <w:tab/>
        <w:t>Europa-Parlamentets og Rådets forordning (EU) 2022/2036 af 19. oktober 2022 om ændring af forordning (EU) nr. 575/2013 og direktiv 2014/59/EU for så vidt angår den tilsynsmæssige behandling af globale systemisk vigtige institutter med en multiple-point-of-entry-afviklingsstrategi og metoder til indirekte tegning af instrumenter, der er nedskrivningsrelevante med henblik på at opfylde minimumskravet til kapitalgrundlag og nedskrivningsrelevante passiver (EUT L 275 af 25.10.2022, s. 1, ELI: http://data.europa.eu/eli/reg/2022/2036/oj)</w:t>
      </w:r>
    </w:p>
  </w:footnote>
  <w:footnote w:id="4">
    <w:p w:rsidR="00F83DBF" w:rsidRPr="00426BCD" w:rsidRDefault="00F83DBF" w:rsidP="00F83DBF">
      <w:pPr>
        <w:pStyle w:val="FootnoteText"/>
      </w:pPr>
      <w:r>
        <w:rPr>
          <w:rStyle w:val="FootnoteReference"/>
        </w:rPr>
        <w:footnoteRef/>
      </w:r>
      <w:r w:rsidRPr="00426BCD">
        <w:tab/>
        <w:t>Europa-Parlamentets og Rådets direktiv 2014/59/EU af 15. maj 2014 om et regelsæt for genopretning og afvikling af kreditinstitutter og investeringsselskaber og om ændring af Rådets direktiv 82/891/EØF og Europa-Parlamentets og Rådets direktiv 2001/24/EF, 2002/47/EF, 2004/25/EF, 2005/56/EF, 2007/36/EF, 2011/35/EU, 2012/30/EU og 2013/36/EU samt forordning (EU) nr. 1093/2010 og (EU) nr. 648/2012 (EUT L 173 af 12.6.2014, s. 190).</w:t>
      </w:r>
    </w:p>
  </w:footnote>
  <w:footnote w:id="5">
    <w:p w:rsidR="00F83DBF" w:rsidRPr="00426BCD" w:rsidRDefault="00F83DBF" w:rsidP="00F83DBF">
      <w:pPr>
        <w:pStyle w:val="FootnoteText"/>
      </w:pPr>
      <w:r>
        <w:rPr>
          <w:rStyle w:val="FootnoteReference"/>
        </w:rPr>
        <w:footnoteRef/>
      </w:r>
      <w:r w:rsidRPr="00426BCD">
        <w:tab/>
        <w:t>Kommissionens gennemførelsesforordning (EU) 2021/763 af 23. april 2021 om gennemførelsesmæssige tekniske standarder for anvendelsen af Europa-Parlamentets og Rådets forordning (EU) nr. 575/2013 og Europa-Parlamentets og Rådets direktiv 2014/59/EU for så vidt angår indberetning med henblik på tilsyn og offentliggørelse af minimumskravet til kapitalgrundlag og nedskrivningsrelevante passiver (EUT L 168 af 12.5.2021, s. 1).</w:t>
      </w:r>
    </w:p>
  </w:footnote>
  <w:footnote w:id="6">
    <w:p w:rsidR="00686AFD" w:rsidRPr="00426BCD" w:rsidRDefault="00686AFD" w:rsidP="00686AFD">
      <w:pPr>
        <w:pStyle w:val="FootnoteText"/>
      </w:pPr>
      <w:r>
        <w:rPr>
          <w:rStyle w:val="FootnoteReference"/>
        </w:rPr>
        <w:footnoteRef/>
      </w:r>
      <w:r w:rsidRPr="00426BCD">
        <w:tab/>
        <w:t>Europa-Parlamentets og Rådets direktiv (EU) 2024/1174 af 11. april 2024 om ændring af direktiv 2014/59/EU og forordning (EU) nr. 806/2014 for så vidt angår visse aspekter af minimumskravet til kapitalgrundlag og nedskrivningsrelevante passiver (EUT L, 2024/1174, 22.4.2024).</w:t>
      </w:r>
    </w:p>
  </w:footnote>
  <w:footnote w:id="7">
    <w:p w:rsidR="00F83DBF" w:rsidRPr="00426BCD" w:rsidRDefault="00F83DBF" w:rsidP="00F83DBF">
      <w:pPr>
        <w:pStyle w:val="FootnoteText"/>
      </w:pPr>
      <w:r>
        <w:rPr>
          <w:rStyle w:val="FootnoteReference"/>
        </w:rPr>
        <w:footnoteRef/>
      </w:r>
      <w:r w:rsidRPr="00426BCD">
        <w:tab/>
        <w:t>Europa-Parlamentets og Rådets forordning (EU) nr. 1093/2010 af 24. november 2010 om oprettelse af en europæisk tilsynsmyndighed (Den Europæiske Banktilsynsmyndighed), om ændring af afgørelse nr. 716/2009/EF og om ophævelse af Kommissionens afgørelse 2009/78/EF (EUT L 331 af 15.12.2010, s.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981" w:rsidRDefault="009C49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981" w:rsidRDefault="009C49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102CEC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CD87DA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5403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ABC3B8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1AE141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F26C86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DB25E9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3" w15:restartNumberingAfterBreak="0">
    <w:nsid w:val="7E042D9D"/>
    <w:multiLevelType w:val="multilevel"/>
    <w:tmpl w:val="47BAFBF6"/>
    <w:styleLink w:val="LFO29"/>
    <w:lvl w:ilvl="0">
      <w:start w:val="1"/>
      <w:numFmt w:val="decimal"/>
      <w:lvlText w:val="(%1)"/>
      <w:lvlJc w:val="left"/>
      <w:pPr>
        <w:ind w:left="709" w:hanging="709"/>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7"/>
  </w:num>
  <w:num w:numId="2">
    <w:abstractNumId w:val="23"/>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2"/>
    <w:lvlOverride w:ilvl="0">
      <w:startOverride w:val="1"/>
    </w:lvlOverride>
  </w:num>
  <w:num w:numId="11">
    <w:abstractNumId w:val="19"/>
  </w:num>
  <w:num w:numId="12">
    <w:abstractNumId w:val="12"/>
  </w:num>
  <w:num w:numId="13">
    <w:abstractNumId w:val="21"/>
  </w:num>
  <w:num w:numId="14">
    <w:abstractNumId w:val="11"/>
  </w:num>
  <w:num w:numId="15">
    <w:abstractNumId w:val="13"/>
  </w:num>
  <w:num w:numId="16">
    <w:abstractNumId w:val="14"/>
  </w:num>
  <w:num w:numId="17">
    <w:abstractNumId w:val="9"/>
  </w:num>
  <w:num w:numId="18">
    <w:abstractNumId w:val="20"/>
  </w:num>
  <w:num w:numId="19">
    <w:abstractNumId w:val="8"/>
  </w:num>
  <w:num w:numId="20">
    <w:abstractNumId w:val="15"/>
  </w:num>
  <w:num w:numId="21">
    <w:abstractNumId w:val="17"/>
  </w:num>
  <w:num w:numId="22">
    <w:abstractNumId w:val="18"/>
  </w:num>
  <w:num w:numId="23">
    <w:abstractNumId w:val="10"/>
  </w:num>
  <w:num w:numId="24">
    <w:abstractNumId w:val="16"/>
  </w:num>
  <w:num w:numId="25">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hideSpellingErrors/>
  <w:hideGrammaticalErrors/>
  <w:attachedTemplate r:id="rId1"/>
  <w:revisionView w:markup="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05-30 11:47:04"/>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8E64C79E-8DA2-4E88-B4CD-E53FEAFC3DCE"/>
    <w:docVar w:name="LW_COVERPAGE_TYPE" w:val="1"/>
    <w:docVar w:name="LW_CROSSREFERENCE" w:val="&lt;UNUSED&gt;"/>
    <w:docVar w:name="LW_DATE.ADOPT.CP" w:val="af 6.6.2024"/>
    <w:docVar w:name="LW_DATE.ADOPT.CP_DATEFORMAT" w:val="af %DATE%"/>
    <w:docVar w:name="LW_DATE.ADOPT.CP_ISODATE" w:val="2024-06-06"/>
    <w:docVar w:name="LW_DocType" w:val="COM"/>
    <w:docVar w:name="LW_EMISSION" w:val="6.6.2024"/>
    <w:docVar w:name="LW_EMISSION_ISODATE" w:val="2024-06-06"/>
    <w:docVar w:name="LW_EMISSION_LOCATION" w:val="BRX"/>
    <w:docVar w:name="LW_EMISSION_PREFIX" w:val="Bruxelles, den "/>
    <w:docVar w:name="LW_EMISSION_SUFFIX" w:val=" "/>
    <w:docVar w:name="LW_ID_DOCMODEL" w:val="SJ-004"/>
    <w:docVar w:name="LW_ID_DOCSIGNATURE" w:val="SJ-004"/>
    <w:docVar w:name="LW_ID_DOCSTRUCTURE" w:val="COM/AA"/>
    <w:docVar w:name="LW_ID_DOCTYPE" w:val="SJ-004"/>
    <w:docVar w:name="LW_INTERETEEE.CP" w:val="(EØS-relevant tekst)"/>
    <w:docVar w:name="LW_LANGUE" w:val="DA"/>
    <w:docVar w:name="LW_LANGUESFAISANTFOI.CP" w:val="&lt;UNUSED&gt;"/>
    <w:docVar w:name="LW_LEVEL_OF_SENSITIVITY" w:val="Standard treatment"/>
    <w:docVar w:name="LW_NOM.INST" w:val="EUROPA-KOMMISSIONEN"/>
    <w:docVar w:name="LW_NOM.INST_JOINTDOC" w:val="&lt;EMPTY&gt;"/>
    <w:docVar w:name="LW_PART_NBR" w:val="1"/>
    <w:docVar w:name="LW_PART_NBR_TOTAL" w:val="1"/>
    <w:docVar w:name="LW_REF.INST.NEW" w:val="C"/>
    <w:docVar w:name="LW_REF.INST.NEW_ADOPTED" w:val="final"/>
    <w:docVar w:name="LW_REF.INST.NEW_TEXT" w:val="(2024) 3624"/>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ændring af gennemførelsesforordning (EU) 2021/763 om gennemførelsesmæssige tekniske standarder for anvendelsen af Europa-Parlamentets og Rådets forordning (EU) nr. 575/2013 og Europa-Parlamentets og Rådets direktiv 2014/59/EU for så vidt angår indberetning med henblik på tilsyn og offentliggørelse af minimumskravet til kapitalgrundlag og nedskrivningsrelevante passiver  _x000b_"/>
    <w:docVar w:name="LW_TYPE.DOC.CP" w:val="KOMMISSIONENS GENNEMFØRELSESFORORDNING (EU) \u8230?/\u8230?"/>
    <w:docVar w:name="LwApiVersions" w:val="LW4CoDe 1.24.5.0; LW 9.0, Build 20240221"/>
  </w:docVars>
  <w:rsids>
    <w:rsidRoot w:val="001D506C"/>
    <w:rsid w:val="00093B4B"/>
    <w:rsid w:val="000955EB"/>
    <w:rsid w:val="000B009E"/>
    <w:rsid w:val="000B7A7D"/>
    <w:rsid w:val="000E6B56"/>
    <w:rsid w:val="000E6FD2"/>
    <w:rsid w:val="0013442E"/>
    <w:rsid w:val="00152894"/>
    <w:rsid w:val="0016647D"/>
    <w:rsid w:val="00185DB3"/>
    <w:rsid w:val="001B397F"/>
    <w:rsid w:val="001B6C2F"/>
    <w:rsid w:val="001D506C"/>
    <w:rsid w:val="00220108"/>
    <w:rsid w:val="0022339B"/>
    <w:rsid w:val="0027193B"/>
    <w:rsid w:val="00292AC6"/>
    <w:rsid w:val="002B65CA"/>
    <w:rsid w:val="002C09C1"/>
    <w:rsid w:val="002F0DF7"/>
    <w:rsid w:val="002F1E29"/>
    <w:rsid w:val="00302BB5"/>
    <w:rsid w:val="0031489C"/>
    <w:rsid w:val="00314C67"/>
    <w:rsid w:val="0036274C"/>
    <w:rsid w:val="00363DC5"/>
    <w:rsid w:val="00370470"/>
    <w:rsid w:val="00380338"/>
    <w:rsid w:val="003819BF"/>
    <w:rsid w:val="0038725C"/>
    <w:rsid w:val="00391381"/>
    <w:rsid w:val="00396ACD"/>
    <w:rsid w:val="003C0C4B"/>
    <w:rsid w:val="00426BCD"/>
    <w:rsid w:val="00437AA5"/>
    <w:rsid w:val="0044282B"/>
    <w:rsid w:val="004603A2"/>
    <w:rsid w:val="00492396"/>
    <w:rsid w:val="004B3865"/>
    <w:rsid w:val="004C38F7"/>
    <w:rsid w:val="004E19F9"/>
    <w:rsid w:val="00517205"/>
    <w:rsid w:val="0052704B"/>
    <w:rsid w:val="005279D9"/>
    <w:rsid w:val="00532F1A"/>
    <w:rsid w:val="00542487"/>
    <w:rsid w:val="00580629"/>
    <w:rsid w:val="00582810"/>
    <w:rsid w:val="00583FFA"/>
    <w:rsid w:val="00595540"/>
    <w:rsid w:val="005B5FA6"/>
    <w:rsid w:val="005E1E85"/>
    <w:rsid w:val="005E57B1"/>
    <w:rsid w:val="005F222A"/>
    <w:rsid w:val="005F33FF"/>
    <w:rsid w:val="006654AB"/>
    <w:rsid w:val="006813A6"/>
    <w:rsid w:val="00686AFD"/>
    <w:rsid w:val="006A2A68"/>
    <w:rsid w:val="006C582A"/>
    <w:rsid w:val="006F7EFE"/>
    <w:rsid w:val="00703C0B"/>
    <w:rsid w:val="0075467B"/>
    <w:rsid w:val="007D0861"/>
    <w:rsid w:val="007D1225"/>
    <w:rsid w:val="007E010B"/>
    <w:rsid w:val="00802FC2"/>
    <w:rsid w:val="0081293E"/>
    <w:rsid w:val="0084238A"/>
    <w:rsid w:val="00842BA8"/>
    <w:rsid w:val="00852DE8"/>
    <w:rsid w:val="008566E1"/>
    <w:rsid w:val="008C58B7"/>
    <w:rsid w:val="008C62AF"/>
    <w:rsid w:val="008C63FE"/>
    <w:rsid w:val="008D0E5E"/>
    <w:rsid w:val="008D3341"/>
    <w:rsid w:val="008E2694"/>
    <w:rsid w:val="00940731"/>
    <w:rsid w:val="009476D9"/>
    <w:rsid w:val="009702E0"/>
    <w:rsid w:val="009712C1"/>
    <w:rsid w:val="009719B6"/>
    <w:rsid w:val="009731D1"/>
    <w:rsid w:val="00985A34"/>
    <w:rsid w:val="00994B5C"/>
    <w:rsid w:val="009957C5"/>
    <w:rsid w:val="009A1A98"/>
    <w:rsid w:val="009C4981"/>
    <w:rsid w:val="00A10BBD"/>
    <w:rsid w:val="00A23E37"/>
    <w:rsid w:val="00A2735C"/>
    <w:rsid w:val="00A5391B"/>
    <w:rsid w:val="00A565C7"/>
    <w:rsid w:val="00A61FE3"/>
    <w:rsid w:val="00A63976"/>
    <w:rsid w:val="00AC68C0"/>
    <w:rsid w:val="00AD3F9E"/>
    <w:rsid w:val="00B0742B"/>
    <w:rsid w:val="00B247D1"/>
    <w:rsid w:val="00B50A87"/>
    <w:rsid w:val="00B74403"/>
    <w:rsid w:val="00B84713"/>
    <w:rsid w:val="00B851FA"/>
    <w:rsid w:val="00BE38E4"/>
    <w:rsid w:val="00C3731F"/>
    <w:rsid w:val="00C402D1"/>
    <w:rsid w:val="00C62ABE"/>
    <w:rsid w:val="00C72F66"/>
    <w:rsid w:val="00C9371C"/>
    <w:rsid w:val="00CB4B4C"/>
    <w:rsid w:val="00CC305D"/>
    <w:rsid w:val="00CE02BF"/>
    <w:rsid w:val="00D15425"/>
    <w:rsid w:val="00D15677"/>
    <w:rsid w:val="00D37A87"/>
    <w:rsid w:val="00D455A5"/>
    <w:rsid w:val="00D60353"/>
    <w:rsid w:val="00D64130"/>
    <w:rsid w:val="00D67268"/>
    <w:rsid w:val="00D73411"/>
    <w:rsid w:val="00D917AD"/>
    <w:rsid w:val="00D955F8"/>
    <w:rsid w:val="00DA38A7"/>
    <w:rsid w:val="00DB127D"/>
    <w:rsid w:val="00DB4B20"/>
    <w:rsid w:val="00DF791C"/>
    <w:rsid w:val="00E07235"/>
    <w:rsid w:val="00E247EB"/>
    <w:rsid w:val="00E30EB7"/>
    <w:rsid w:val="00E33C9F"/>
    <w:rsid w:val="00E83C6F"/>
    <w:rsid w:val="00E9509D"/>
    <w:rsid w:val="00E979AB"/>
    <w:rsid w:val="00EC39BC"/>
    <w:rsid w:val="00EE140B"/>
    <w:rsid w:val="00F02755"/>
    <w:rsid w:val="00F41B40"/>
    <w:rsid w:val="00F66EB5"/>
    <w:rsid w:val="00F718B8"/>
    <w:rsid w:val="00F733AF"/>
    <w:rsid w:val="00F767D0"/>
    <w:rsid w:val="00F83DBF"/>
    <w:rsid w:val="00FC2396"/>
    <w:rsid w:val="00FE4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Heading1">
    <w:name w:val="heading 1"/>
    <w:basedOn w:val="Normal"/>
    <w:next w:val="Text1"/>
    <w:link w:val="Heading1Char"/>
    <w:uiPriority w:val="9"/>
    <w:qFormat/>
    <w:pPr>
      <w:keepNext/>
      <w:numPr>
        <w:numId w:val="18"/>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8"/>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8"/>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8"/>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8"/>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8"/>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8"/>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D506C"/>
    <w:pPr>
      <w:numPr>
        <w:numId w:val="1"/>
      </w:numPr>
    </w:pPr>
    <w:rPr>
      <w:rFonts w:eastAsia="Times New Roman"/>
      <w:lang w:eastAsia="en-GB"/>
    </w:rPr>
  </w:style>
  <w:style w:type="numbering" w:customStyle="1" w:styleId="LFO29">
    <w:name w:val="LFO29"/>
    <w:basedOn w:val="NoList"/>
    <w:rsid w:val="00F83DBF"/>
    <w:pPr>
      <w:numPr>
        <w:numId w:val="2"/>
      </w:numPr>
    </w:pPr>
  </w:style>
  <w:style w:type="paragraph" w:styleId="Caption">
    <w:name w:val="caption"/>
    <w:basedOn w:val="Normal"/>
    <w:next w:val="Normal"/>
    <w:uiPriority w:val="35"/>
    <w:semiHidden/>
    <w:unhideWhenUsed/>
    <w:qFormat/>
    <w:rsid w:val="00093B4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093B4B"/>
    <w:pPr>
      <w:spacing w:after="0"/>
    </w:pPr>
  </w:style>
  <w:style w:type="paragraph" w:styleId="ListBullet2">
    <w:name w:val="List Bullet 2"/>
    <w:basedOn w:val="Normal"/>
    <w:uiPriority w:val="99"/>
    <w:semiHidden/>
    <w:unhideWhenUsed/>
    <w:rsid w:val="00093B4B"/>
    <w:pPr>
      <w:numPr>
        <w:numId w:val="3"/>
      </w:numPr>
      <w:contextualSpacing/>
    </w:pPr>
  </w:style>
  <w:style w:type="paragraph" w:styleId="ListBullet3">
    <w:name w:val="List Bullet 3"/>
    <w:basedOn w:val="Normal"/>
    <w:uiPriority w:val="99"/>
    <w:semiHidden/>
    <w:unhideWhenUsed/>
    <w:rsid w:val="00093B4B"/>
    <w:pPr>
      <w:numPr>
        <w:numId w:val="4"/>
      </w:numPr>
      <w:contextualSpacing/>
    </w:pPr>
  </w:style>
  <w:style w:type="paragraph" w:styleId="ListBullet4">
    <w:name w:val="List Bullet 4"/>
    <w:basedOn w:val="Normal"/>
    <w:uiPriority w:val="99"/>
    <w:semiHidden/>
    <w:unhideWhenUsed/>
    <w:rsid w:val="00093B4B"/>
    <w:pPr>
      <w:numPr>
        <w:numId w:val="5"/>
      </w:numPr>
      <w:contextualSpacing/>
    </w:pPr>
  </w:style>
  <w:style w:type="paragraph" w:styleId="ListNumber">
    <w:name w:val="List Number"/>
    <w:basedOn w:val="Normal"/>
    <w:uiPriority w:val="99"/>
    <w:semiHidden/>
    <w:unhideWhenUsed/>
    <w:rsid w:val="00093B4B"/>
    <w:pPr>
      <w:numPr>
        <w:numId w:val="6"/>
      </w:numPr>
      <w:contextualSpacing/>
    </w:pPr>
  </w:style>
  <w:style w:type="paragraph" w:styleId="ListNumber2">
    <w:name w:val="List Number 2"/>
    <w:basedOn w:val="Normal"/>
    <w:uiPriority w:val="99"/>
    <w:semiHidden/>
    <w:unhideWhenUsed/>
    <w:rsid w:val="00093B4B"/>
    <w:pPr>
      <w:numPr>
        <w:numId w:val="7"/>
      </w:numPr>
      <w:contextualSpacing/>
    </w:pPr>
  </w:style>
  <w:style w:type="paragraph" w:styleId="ListNumber3">
    <w:name w:val="List Number 3"/>
    <w:basedOn w:val="Normal"/>
    <w:uiPriority w:val="99"/>
    <w:semiHidden/>
    <w:unhideWhenUsed/>
    <w:rsid w:val="00093B4B"/>
    <w:pPr>
      <w:numPr>
        <w:numId w:val="8"/>
      </w:numPr>
      <w:contextualSpacing/>
    </w:pPr>
  </w:style>
  <w:style w:type="paragraph" w:styleId="ListNumber4">
    <w:name w:val="List Number 4"/>
    <w:basedOn w:val="Normal"/>
    <w:uiPriority w:val="99"/>
    <w:semiHidden/>
    <w:unhideWhenUsed/>
    <w:rsid w:val="00093B4B"/>
    <w:pPr>
      <w:numPr>
        <w:numId w:val="9"/>
      </w:numPr>
      <w:contextualSpacing/>
    </w:pPr>
  </w:style>
  <w:style w:type="character" w:styleId="CommentReference">
    <w:name w:val="annotation reference"/>
    <w:basedOn w:val="DefaultParagraphFont"/>
    <w:uiPriority w:val="99"/>
    <w:semiHidden/>
    <w:unhideWhenUsed/>
    <w:rsid w:val="00185DB3"/>
    <w:rPr>
      <w:sz w:val="16"/>
      <w:szCs w:val="16"/>
    </w:rPr>
  </w:style>
  <w:style w:type="paragraph" w:styleId="CommentText">
    <w:name w:val="annotation text"/>
    <w:basedOn w:val="Normal"/>
    <w:link w:val="CommentTextChar"/>
    <w:uiPriority w:val="99"/>
    <w:unhideWhenUsed/>
    <w:rsid w:val="00185DB3"/>
    <w:rPr>
      <w:sz w:val="20"/>
      <w:szCs w:val="20"/>
    </w:rPr>
  </w:style>
  <w:style w:type="character" w:customStyle="1" w:styleId="CommentTextChar">
    <w:name w:val="Comment Text Char"/>
    <w:basedOn w:val="DefaultParagraphFont"/>
    <w:link w:val="CommentText"/>
    <w:uiPriority w:val="99"/>
    <w:rsid w:val="00185DB3"/>
    <w:rPr>
      <w:rFonts w:ascii="Times New Roman" w:hAnsi="Times New Roman" w:cs="Times New Roman"/>
      <w:sz w:val="20"/>
      <w:szCs w:val="20"/>
      <w:lang w:val="da-DK"/>
    </w:rPr>
  </w:style>
  <w:style w:type="paragraph" w:styleId="CommentSubject">
    <w:name w:val="annotation subject"/>
    <w:basedOn w:val="CommentText"/>
    <w:next w:val="CommentText"/>
    <w:link w:val="CommentSubjectChar"/>
    <w:uiPriority w:val="99"/>
    <w:semiHidden/>
    <w:unhideWhenUsed/>
    <w:rsid w:val="00185DB3"/>
    <w:rPr>
      <w:b/>
      <w:bCs/>
    </w:rPr>
  </w:style>
  <w:style w:type="character" w:customStyle="1" w:styleId="CommentSubjectChar">
    <w:name w:val="Comment Subject Char"/>
    <w:basedOn w:val="CommentTextChar"/>
    <w:link w:val="CommentSubject"/>
    <w:uiPriority w:val="99"/>
    <w:semiHidden/>
    <w:rsid w:val="00185DB3"/>
    <w:rPr>
      <w:rFonts w:ascii="Times New Roman" w:hAnsi="Times New Roman" w:cs="Times New Roman"/>
      <w:b/>
      <w:bCs/>
      <w:sz w:val="20"/>
      <w:szCs w:val="20"/>
      <w:lang w:val="da-DK"/>
    </w:rPr>
  </w:style>
  <w:style w:type="character" w:styleId="Hyperlink">
    <w:name w:val="Hyperlink"/>
    <w:basedOn w:val="DefaultParagraphFont"/>
    <w:uiPriority w:val="99"/>
    <w:unhideWhenUsed/>
    <w:rsid w:val="00185DB3"/>
    <w:rPr>
      <w:color w:val="0000FF" w:themeColor="hyperlink"/>
      <w:u w:val="single"/>
    </w:rPr>
  </w:style>
  <w:style w:type="character" w:customStyle="1" w:styleId="UnresolvedMention">
    <w:name w:val="Unresolved Mention"/>
    <w:basedOn w:val="DefaultParagraphFont"/>
    <w:uiPriority w:val="99"/>
    <w:semiHidden/>
    <w:unhideWhenUsed/>
    <w:rsid w:val="00185DB3"/>
    <w:rPr>
      <w:color w:val="605E5C"/>
      <w:shd w:val="clear" w:color="auto" w:fill="E1DFDD"/>
    </w:rPr>
  </w:style>
  <w:style w:type="paragraph" w:styleId="Revision">
    <w:name w:val="Revision"/>
    <w:hidden/>
    <w:uiPriority w:val="99"/>
    <w:semiHidden/>
    <w:rsid w:val="000E6FD2"/>
    <w:pPr>
      <w:spacing w:after="0" w:line="240" w:lineRule="auto"/>
    </w:pPr>
    <w:rPr>
      <w:rFonts w:ascii="Times New Roman" w:hAnsi="Times New Roman" w:cs="Times New Roman"/>
      <w:sz w:val="24"/>
    </w:rPr>
  </w:style>
  <w:style w:type="paragraph" w:styleId="ListParagraph">
    <w:name w:val="List Paragraph"/>
    <w:basedOn w:val="Normal"/>
    <w:uiPriority w:val="34"/>
    <w:qFormat/>
    <w:rsid w:val="00686AFD"/>
    <w:pPr>
      <w:ind w:left="720"/>
      <w:contextualSpacing/>
    </w:pPr>
  </w:style>
  <w:style w:type="character" w:customStyle="1" w:styleId="HeaderChar">
    <w:name w:val="Header Char"/>
    <w:basedOn w:val="DefaultParagraphFont"/>
    <w:link w:val="Header"/>
    <w:uiPriority w:val="99"/>
    <w:rsid w:val="009C4981"/>
    <w:rPr>
      <w:rFonts w:ascii="Times New Roman" w:hAnsi="Times New Roman" w:cs="Times New Roman"/>
      <w:sz w:val="24"/>
      <w:lang w:val="da-DK"/>
    </w:rPr>
  </w:style>
  <w:style w:type="character" w:customStyle="1" w:styleId="FooterChar">
    <w:name w:val="Footer Char"/>
    <w:basedOn w:val="DefaultParagraphFont"/>
    <w:link w:val="Footer"/>
    <w:uiPriority w:val="99"/>
    <w:rsid w:val="009C4981"/>
    <w:rPr>
      <w:rFonts w:ascii="Times New Roman" w:hAnsi="Times New Roman" w:cs="Times New Roman"/>
      <w:sz w:val="24"/>
      <w:lang w:val="da-DK"/>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da-DK"/>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da-DK"/>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da-DK"/>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da-DK"/>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da-DK"/>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da-DK"/>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da-DK"/>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9C4981"/>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C4981"/>
    <w:pPr>
      <w:spacing w:before="0"/>
      <w:jc w:val="right"/>
    </w:pPr>
    <w:rPr>
      <w:sz w:val="28"/>
    </w:rPr>
  </w:style>
  <w:style w:type="paragraph" w:customStyle="1" w:styleId="FooterSensitivity">
    <w:name w:val="Footer Sensitivity"/>
    <w:basedOn w:val="Normal"/>
    <w:rsid w:val="009C4981"/>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1"/>
      </w:numPr>
    </w:pPr>
  </w:style>
  <w:style w:type="paragraph" w:customStyle="1" w:styleId="Tiret1">
    <w:name w:val="Tiret 1"/>
    <w:basedOn w:val="Point1"/>
    <w:pPr>
      <w:numPr>
        <w:numId w:val="12"/>
      </w:numPr>
    </w:pPr>
  </w:style>
  <w:style w:type="paragraph" w:customStyle="1" w:styleId="Tiret2">
    <w:name w:val="Tiret 2"/>
    <w:basedOn w:val="Point2"/>
    <w:pPr>
      <w:numPr>
        <w:numId w:val="13"/>
      </w:numPr>
    </w:pPr>
  </w:style>
  <w:style w:type="paragraph" w:customStyle="1" w:styleId="Tiret3">
    <w:name w:val="Tiret 3"/>
    <w:basedOn w:val="Point3"/>
    <w:pPr>
      <w:numPr>
        <w:numId w:val="14"/>
      </w:numPr>
    </w:pPr>
  </w:style>
  <w:style w:type="paragraph" w:customStyle="1" w:styleId="Tiret4">
    <w:name w:val="Tiret 4"/>
    <w:basedOn w:val="Point4"/>
    <w:pPr>
      <w:numPr>
        <w:numId w:val="15"/>
      </w:numPr>
    </w:pPr>
  </w:style>
  <w:style w:type="paragraph" w:customStyle="1" w:styleId="Tiret5">
    <w:name w:val="Tiret 5"/>
    <w:basedOn w:val="Point5"/>
    <w:pPr>
      <w:numPr>
        <w:numId w:val="16"/>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7"/>
      </w:numPr>
    </w:pPr>
  </w:style>
  <w:style w:type="paragraph" w:customStyle="1" w:styleId="NumPar2">
    <w:name w:val="NumPar 2"/>
    <w:basedOn w:val="Normal"/>
    <w:next w:val="Text1"/>
    <w:pPr>
      <w:numPr>
        <w:ilvl w:val="1"/>
        <w:numId w:val="17"/>
      </w:numPr>
    </w:pPr>
  </w:style>
  <w:style w:type="paragraph" w:customStyle="1" w:styleId="NumPar3">
    <w:name w:val="NumPar 3"/>
    <w:basedOn w:val="Normal"/>
    <w:next w:val="Text1"/>
    <w:pPr>
      <w:numPr>
        <w:ilvl w:val="2"/>
        <w:numId w:val="17"/>
      </w:numPr>
    </w:pPr>
  </w:style>
  <w:style w:type="paragraph" w:customStyle="1" w:styleId="NumPar4">
    <w:name w:val="NumPar 4"/>
    <w:basedOn w:val="Normal"/>
    <w:next w:val="Text1"/>
    <w:pPr>
      <w:numPr>
        <w:ilvl w:val="3"/>
        <w:numId w:val="17"/>
      </w:numPr>
    </w:pPr>
  </w:style>
  <w:style w:type="paragraph" w:customStyle="1" w:styleId="NumPar5">
    <w:name w:val="NumPar 5"/>
    <w:basedOn w:val="Normal"/>
    <w:next w:val="Text2"/>
    <w:pPr>
      <w:numPr>
        <w:ilvl w:val="4"/>
        <w:numId w:val="17"/>
      </w:numPr>
    </w:pPr>
  </w:style>
  <w:style w:type="paragraph" w:customStyle="1" w:styleId="NumPar6">
    <w:name w:val="NumPar 6"/>
    <w:basedOn w:val="Normal"/>
    <w:next w:val="Text2"/>
    <w:pPr>
      <w:numPr>
        <w:ilvl w:val="5"/>
        <w:numId w:val="17"/>
      </w:numPr>
    </w:pPr>
  </w:style>
  <w:style w:type="paragraph" w:customStyle="1" w:styleId="NumPar7">
    <w:name w:val="NumPar 7"/>
    <w:basedOn w:val="Normal"/>
    <w:next w:val="Text2"/>
    <w:pPr>
      <w:numPr>
        <w:ilvl w:val="6"/>
        <w:numId w:val="17"/>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9"/>
      </w:numPr>
    </w:pPr>
  </w:style>
  <w:style w:type="paragraph" w:customStyle="1" w:styleId="Point1number">
    <w:name w:val="Point 1 (number)"/>
    <w:basedOn w:val="Normal"/>
    <w:pPr>
      <w:numPr>
        <w:ilvl w:val="2"/>
        <w:numId w:val="19"/>
      </w:numPr>
    </w:pPr>
  </w:style>
  <w:style w:type="paragraph" w:customStyle="1" w:styleId="Point2number">
    <w:name w:val="Point 2 (number)"/>
    <w:basedOn w:val="Normal"/>
    <w:pPr>
      <w:numPr>
        <w:ilvl w:val="4"/>
        <w:numId w:val="19"/>
      </w:numPr>
    </w:pPr>
  </w:style>
  <w:style w:type="paragraph" w:customStyle="1" w:styleId="Point3number">
    <w:name w:val="Point 3 (number)"/>
    <w:basedOn w:val="Normal"/>
    <w:pPr>
      <w:numPr>
        <w:ilvl w:val="6"/>
        <w:numId w:val="19"/>
      </w:numPr>
    </w:pPr>
  </w:style>
  <w:style w:type="paragraph" w:customStyle="1" w:styleId="Point0letter">
    <w:name w:val="Point 0 (letter)"/>
    <w:basedOn w:val="Normal"/>
    <w:pPr>
      <w:numPr>
        <w:ilvl w:val="1"/>
        <w:numId w:val="19"/>
      </w:numPr>
    </w:pPr>
  </w:style>
  <w:style w:type="paragraph" w:customStyle="1" w:styleId="Point1letter">
    <w:name w:val="Point 1 (letter)"/>
    <w:basedOn w:val="Normal"/>
    <w:pPr>
      <w:numPr>
        <w:ilvl w:val="3"/>
        <w:numId w:val="19"/>
      </w:numPr>
    </w:pPr>
  </w:style>
  <w:style w:type="paragraph" w:customStyle="1" w:styleId="Point2letter">
    <w:name w:val="Point 2 (letter)"/>
    <w:basedOn w:val="Normal"/>
    <w:pPr>
      <w:numPr>
        <w:ilvl w:val="5"/>
        <w:numId w:val="19"/>
      </w:numPr>
    </w:pPr>
  </w:style>
  <w:style w:type="paragraph" w:customStyle="1" w:styleId="Point3letter">
    <w:name w:val="Point 3 (letter)"/>
    <w:basedOn w:val="Normal"/>
    <w:pPr>
      <w:numPr>
        <w:ilvl w:val="7"/>
        <w:numId w:val="19"/>
      </w:numPr>
    </w:pPr>
  </w:style>
  <w:style w:type="paragraph" w:customStyle="1" w:styleId="Point4letter">
    <w:name w:val="Point 4 (letter)"/>
    <w:basedOn w:val="Normal"/>
    <w:pPr>
      <w:numPr>
        <w:ilvl w:val="8"/>
        <w:numId w:val="19"/>
      </w:numPr>
    </w:pPr>
  </w:style>
  <w:style w:type="paragraph" w:customStyle="1" w:styleId="Bullet0">
    <w:name w:val="Bullet 0"/>
    <w:basedOn w:val="Normal"/>
    <w:pPr>
      <w:numPr>
        <w:numId w:val="20"/>
      </w:numPr>
    </w:pPr>
  </w:style>
  <w:style w:type="paragraph" w:customStyle="1" w:styleId="Bullet1">
    <w:name w:val="Bullet 1"/>
    <w:basedOn w:val="Normal"/>
    <w:pPr>
      <w:numPr>
        <w:numId w:val="21"/>
      </w:numPr>
    </w:pPr>
  </w:style>
  <w:style w:type="paragraph" w:customStyle="1" w:styleId="Bullet2">
    <w:name w:val="Bullet 2"/>
    <w:basedOn w:val="Normal"/>
    <w:pPr>
      <w:numPr>
        <w:numId w:val="22"/>
      </w:numPr>
    </w:pPr>
  </w:style>
  <w:style w:type="paragraph" w:customStyle="1" w:styleId="Bullet3">
    <w:name w:val="Bullet 3"/>
    <w:basedOn w:val="Normal"/>
    <w:pPr>
      <w:numPr>
        <w:numId w:val="23"/>
      </w:numPr>
    </w:pPr>
  </w:style>
  <w:style w:type="paragraph" w:customStyle="1" w:styleId="Bullet4">
    <w:name w:val="Bullet 4"/>
    <w:basedOn w:val="Normal"/>
    <w:pPr>
      <w:numPr>
        <w:numId w:val="24"/>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5"/>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9C4981"/>
    <w:pPr>
      <w:tabs>
        <w:tab w:val="center" w:pos="4535"/>
        <w:tab w:val="right" w:pos="9071"/>
      </w:tabs>
      <w:spacing w:before="0"/>
    </w:pPr>
  </w:style>
  <w:style w:type="paragraph" w:customStyle="1" w:styleId="HeaderLandscape">
    <w:name w:val="HeaderLandscape"/>
    <w:basedOn w:val="Normal"/>
    <w:rsid w:val="009C4981"/>
    <w:pPr>
      <w:tabs>
        <w:tab w:val="center" w:pos="7285"/>
        <w:tab w:val="right" w:pos="14003"/>
      </w:tabs>
      <w:spacing w:before="0"/>
    </w:pPr>
  </w:style>
  <w:style w:type="paragraph" w:styleId="Footer">
    <w:name w:val="footer"/>
    <w:basedOn w:val="Normal"/>
    <w:link w:val="FooterChar"/>
    <w:uiPriority w:val="99"/>
    <w:unhideWhenUsed/>
    <w:rsid w:val="009C4981"/>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9C4981"/>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0</TotalTime>
  <Pages>4</Pages>
  <Words>920</Words>
  <Characters>5249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2024-05-28T14:34:00Z</dcterms:created>
  <dcterms:modified xsi:type="dcterms:W3CDTF">2024-05-30T09:47:00Z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2024-03-04T17:51:00Z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31943418-602c-49b3-ab6d-07ca073faced</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Category">
    <vt:lpwstr>COM/AA</vt:lpwstr>
  </property>
  <property fmtid="{D5CDD505-2E9C-101B-9397-08002B2CF9AE}" pid="11" name="Last edited using">
    <vt:lpwstr>LW 9.0, Build 20230317</vt:lpwstr>
  </property>
  <property fmtid="{D5CDD505-2E9C-101B-9397-08002B2CF9AE}" pid="12" name="Part">
    <vt:lpwstr>1</vt:lpwstr>
  </property>
  <property fmtid="{D5CDD505-2E9C-101B-9397-08002B2CF9AE}" pid="13" name="Total parts">
    <vt:lpwstr>1</vt:lpwstr>
  </property>
  <property fmtid="{D5CDD505-2E9C-101B-9397-08002B2CF9AE}" pid="14" name="LWTemplateID">
    <vt:lpwstr>SJ-004</vt:lpwstr>
  </property>
  <property fmtid="{D5CDD505-2E9C-101B-9397-08002B2CF9AE}" pid="15" name="DQCStatus">
    <vt:lpwstr>Green (DQC version 03)</vt:lpwstr>
  </property>
</Properties>
</file>