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894" w:rsidRPr="009C7585" w:rsidRDefault="00F935FE" w:rsidP="00F935FE">
      <w:pPr>
        <w:pStyle w:val="Pagedecouverture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EC58DCE6-C748-42E1-A0BB-CD55937A0C56" style="width:455.25pt;height:441pt">
            <v:imagedata r:id="rId7" o:title=""/>
          </v:shape>
        </w:pict>
      </w:r>
    </w:p>
    <w:p w:rsidR="001D506C" w:rsidRPr="009C7585" w:rsidRDefault="001D506C">
      <w:pPr>
        <w:rPr>
          <w:noProof/>
        </w:rPr>
        <w:sectPr w:rsidR="001D506C" w:rsidRPr="009C7585" w:rsidSect="00F935F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1D506C" w:rsidRPr="009C7585" w:rsidRDefault="009C7585" w:rsidP="009C7585">
      <w:pPr>
        <w:pStyle w:val="Typedudocument"/>
        <w:rPr>
          <w:noProof/>
        </w:rPr>
      </w:pPr>
      <w:bookmarkStart w:id="0" w:name="_GoBack"/>
      <w:bookmarkEnd w:id="0"/>
      <w:r w:rsidRPr="009C7585">
        <w:rPr>
          <w:noProof/>
        </w:rPr>
        <w:lastRenderedPageBreak/>
        <w:t>PROVÁDĚCÍ NAŘÍZENÍ KOMISE (EU) …/...</w:t>
      </w:r>
    </w:p>
    <w:p w:rsidR="001D506C" w:rsidRPr="009C7585" w:rsidRDefault="00E47565" w:rsidP="009C7585">
      <w:pPr>
        <w:pStyle w:val="Datedadoption"/>
        <w:rPr>
          <w:noProof/>
        </w:rPr>
      </w:pPr>
      <w:r>
        <w:rPr>
          <w:noProof/>
        </w:rPr>
        <w:t>ze dne 6.6.2024,</w:t>
      </w:r>
    </w:p>
    <w:p w:rsidR="001D506C" w:rsidRPr="009C7585" w:rsidRDefault="009C7585" w:rsidP="009C7585">
      <w:pPr>
        <w:pStyle w:val="Titreobjet"/>
        <w:rPr>
          <w:noProof/>
        </w:rPr>
      </w:pPr>
      <w:r w:rsidRPr="009C7585">
        <w:rPr>
          <w:noProof/>
        </w:rPr>
        <w:t xml:space="preserve">kterým se mění prováděcí nařízení (EU) 2021/763, kterým se stanoví prováděcí technické normy pro uplatňování nařízení Evropského parlamentu a Rady (EU) č. 575/2013 a směrnice Evropského parlamentu a Rady 2014/59/EU s ohledem na podávání zpráv pro účely dohledu a zveřejňování minimálních požadavků na kapitál a způsobilé závazky </w:t>
      </w:r>
      <w:r w:rsidRPr="009C7585">
        <w:rPr>
          <w:noProof/>
        </w:rPr>
        <w:br/>
      </w:r>
    </w:p>
    <w:p w:rsidR="001D506C" w:rsidRPr="009C7585" w:rsidRDefault="009C7585" w:rsidP="009C7585">
      <w:pPr>
        <w:pStyle w:val="IntrtEEE"/>
        <w:rPr>
          <w:noProof/>
        </w:rPr>
      </w:pPr>
      <w:r w:rsidRPr="009C7585">
        <w:rPr>
          <w:noProof/>
        </w:rPr>
        <w:t>(Text s významem pro EHP)</w:t>
      </w:r>
    </w:p>
    <w:p w:rsidR="001D506C" w:rsidRPr="009C7585" w:rsidRDefault="001D506C" w:rsidP="004E1EF9">
      <w:pPr>
        <w:pStyle w:val="Institutionquiagit"/>
        <w:rPr>
          <w:noProof/>
        </w:rPr>
      </w:pPr>
      <w:r w:rsidRPr="009C7585">
        <w:rPr>
          <w:noProof/>
        </w:rPr>
        <w:t>EVROPSKÁ KOMISE,</w:t>
      </w:r>
    </w:p>
    <w:p w:rsidR="001D506C" w:rsidRPr="009C7585" w:rsidRDefault="001D506C" w:rsidP="004E1EF9">
      <w:pPr>
        <w:rPr>
          <w:noProof/>
        </w:rPr>
      </w:pPr>
      <w:r w:rsidRPr="009C7585">
        <w:rPr>
          <w:noProof/>
          <w:color w:val="000000"/>
        </w:rPr>
        <w:t>s ohledem na Smlouvu o fungování Evropské unie</w:t>
      </w:r>
      <w:r w:rsidRPr="009C7585">
        <w:rPr>
          <w:noProof/>
        </w:rPr>
        <w:t>,</w:t>
      </w:r>
    </w:p>
    <w:p w:rsidR="000E6FD2" w:rsidRPr="009C7585" w:rsidRDefault="000E6FD2" w:rsidP="000E6FD2">
      <w:pPr>
        <w:rPr>
          <w:noProof/>
        </w:rPr>
      </w:pPr>
      <w:r w:rsidRPr="009C7585">
        <w:rPr>
          <w:noProof/>
        </w:rPr>
        <w:t>s ohledem na nařízení Evropského parlamentu a Rady (EU) č. 575/2013 ze dne 26. června 2013 o obezřetnostních požadavcích na úvěrové instituce a o změně nařízení (EU) č. 648/2012</w:t>
      </w:r>
      <w:r w:rsidRPr="009C7585">
        <w:rPr>
          <w:rStyle w:val="FootnoteReference"/>
          <w:noProof/>
        </w:rPr>
        <w:footnoteReference w:id="1"/>
      </w:r>
      <w:r w:rsidRPr="009C7585">
        <w:rPr>
          <w:noProof/>
        </w:rPr>
        <w:t>, a zejména na čl. 430 odst. 7 pátý pododstavec a čl. 434a pátý pododstavec uvedeného nařízení,</w:t>
      </w:r>
    </w:p>
    <w:p w:rsidR="000E6FD2" w:rsidRPr="009C7585" w:rsidRDefault="000E6FD2" w:rsidP="000E6FD2">
      <w:pPr>
        <w:rPr>
          <w:noProof/>
        </w:rPr>
      </w:pPr>
      <w:r w:rsidRPr="009C7585">
        <w:rPr>
          <w:noProof/>
        </w:rPr>
        <w:t>s ohledem na směrnici Evropského parlamentu a Rady 2014/59/EU ze dne 15. května 2014, kterou se stanoví rámec pro ozdravné postupy a řešení krize úvěrových institucí a investičních podniků a kterou se mění směrnice Rady 82/891/EHS, směrnice Evropského parlamentu a Rady 2001/24/ES, 2002/47/ES, 2004/25/ES, 2005/56/ES, 2007/36/ES, 2011/35/EU, 2012/30/EU a 2013/36/EU a nařízení Evropského parlamentu a Rady (EU) č. 1093/2010 a (EU) č. 648/2012</w:t>
      </w:r>
      <w:r w:rsidRPr="009C7585">
        <w:rPr>
          <w:rStyle w:val="FootnoteReference"/>
          <w:noProof/>
        </w:rPr>
        <w:footnoteReference w:id="2"/>
      </w:r>
      <w:r w:rsidRPr="009C7585">
        <w:rPr>
          <w:noProof/>
        </w:rPr>
        <w:t>, a zejména na čl. 45i odst. 5 pátý pododstavec a čl. 45i odst. 6 pátý pododstavec uvedené směrnice,</w:t>
      </w:r>
    </w:p>
    <w:p w:rsidR="001D506C" w:rsidRPr="009C7585" w:rsidRDefault="001D506C" w:rsidP="004E1EF9">
      <w:pPr>
        <w:rPr>
          <w:noProof/>
        </w:rPr>
      </w:pPr>
      <w:r w:rsidRPr="009C7585">
        <w:rPr>
          <w:noProof/>
        </w:rPr>
        <w:t>vzhledem k těmto důvodům:</w:t>
      </w:r>
    </w:p>
    <w:p w:rsidR="00F83DBF" w:rsidRPr="009C7585" w:rsidRDefault="00F83DBF" w:rsidP="0052704B">
      <w:pPr>
        <w:pStyle w:val="ManualConsidrant"/>
        <w:rPr>
          <w:noProof/>
        </w:rPr>
      </w:pPr>
      <w:r>
        <w:rPr>
          <w:noProof/>
        </w:rPr>
        <w:t>(1)</w:t>
      </w:r>
      <w:r>
        <w:rPr>
          <w:noProof/>
        </w:rPr>
        <w:tab/>
      </w:r>
      <w:r w:rsidRPr="009C7585">
        <w:rPr>
          <w:noProof/>
        </w:rPr>
        <w:t xml:space="preserve">Nařízení </w:t>
      </w:r>
      <w:bookmarkStart w:id="1" w:name="_Hlk159320995"/>
      <w:r w:rsidRPr="009C7585">
        <w:rPr>
          <w:noProof/>
        </w:rPr>
        <w:t>Evropského parlamentu a Rady (EU) 2022/2036</w:t>
      </w:r>
      <w:r w:rsidRPr="009C7585">
        <w:rPr>
          <w:rStyle w:val="FootnoteReference"/>
          <w:noProof/>
        </w:rPr>
        <w:footnoteReference w:id="3"/>
      </w:r>
      <w:bookmarkEnd w:id="1"/>
      <w:r w:rsidRPr="009C7585">
        <w:rPr>
          <w:noProof/>
        </w:rPr>
        <w:t xml:space="preserve"> zavedlo do nařízení (EU) č. 575/2013 požadavek, aby zprostředkující subjekty ve skupině řešící krizi odečetly od položek způsobilých závazků své kapitálové investice do kapitálových nástrojů a nástrojů způsobilých závazků použitých pro splnění požadavku stanoveného v článku 92b nařízení (EU) č. 575/2013 („interní požadavek na celkovou kapacitu pro absorpci ztrát“ nebo „interní TLAC“) nebo požadavku stanoveného v článku 45f směrnice 2014/59/EU</w:t>
      </w:r>
      <w:r w:rsidRPr="009C7585">
        <w:rPr>
          <w:rStyle w:val="FootnoteReference"/>
          <w:noProof/>
        </w:rPr>
        <w:footnoteReference w:id="4"/>
      </w:r>
      <w:r w:rsidRPr="009C7585">
        <w:rPr>
          <w:noProof/>
        </w:rPr>
        <w:t xml:space="preserve"> („interní minimální požadavek na kapitál a způsobilé závazky“ nebo „interní MREL“), pokud tyto kapitálové nástroje a nástroje způsobilých závazků vydaly subjekty, které samy nejsou subjekty řešícími krizi a patří do stejné skupiny řešící krizi. Tento požadavek na odpočet je proto nutné zohlednit v šablonách pro zveřejňování harmonizovaných informací o interním MREL a interním TLAC stanovených v prováděcím nařízení Komise (EU) 2021/763</w:t>
      </w:r>
      <w:r w:rsidRPr="009C7585">
        <w:rPr>
          <w:rStyle w:val="FootnoteReference"/>
          <w:bCs/>
          <w:noProof/>
        </w:rPr>
        <w:footnoteReference w:id="5"/>
      </w:r>
      <w:r w:rsidRPr="009C7585">
        <w:rPr>
          <w:noProof/>
        </w:rPr>
        <w:t>. Tento požadavek na odpočet by měl být rovněž zohledněn v harmonizovaných informacích poskytovaných příslušným orgánům a orgánům příslušným k řešení krize.</w:t>
      </w:r>
    </w:p>
    <w:p w:rsidR="00686AFD" w:rsidRPr="009C7585" w:rsidRDefault="00686AFD" w:rsidP="002103AD">
      <w:pPr>
        <w:pStyle w:val="ManualConsidrant"/>
        <w:rPr>
          <w:noProof/>
        </w:rPr>
      </w:pPr>
      <w:r>
        <w:rPr>
          <w:noProof/>
        </w:rPr>
        <w:t>(2)</w:t>
      </w:r>
      <w:r>
        <w:rPr>
          <w:noProof/>
        </w:rPr>
        <w:tab/>
      </w:r>
      <w:r w:rsidRPr="009C7585">
        <w:rPr>
          <w:noProof/>
        </w:rPr>
        <w:t>Směrnice Evropského parlamentu a Rady (EU) 2024/1174, kterou se mění směrnice 2014/59/EU a nařízení (EU) č. 806/2014, pokud jde o některé aspekty minimálního požadavku na kapitál a způsobilé závazky</w:t>
      </w:r>
      <w:r w:rsidRPr="009C7585">
        <w:rPr>
          <w:rStyle w:val="FootnoteReference"/>
          <w:noProof/>
        </w:rPr>
        <w:footnoteReference w:id="6"/>
      </w:r>
      <w:r w:rsidRPr="009C7585">
        <w:rPr>
          <w:noProof/>
        </w:rPr>
        <w:t>, požadavek na odpočet stanovený v nařízení (EU) č. 575/2013 dále změnila tím, že ve směrnici 2014/59/EU a v nařízení (EU) č. 806/2014 upřesnila, že zprostředkující subjekty ve skupině řešící krizi mohou odečíst pouze své kapitálové investice do kapitálových nástrojů vydaných subjekty v likvidaci, které patří do stejné skupiny řešící krizi a samy nejsou subjekty řešícími krizi, za určitých podmínek souvisejících s významem těchto kapitálových investic. I tyto změny by měly být zohledněny v harmonizovaných informacích poskytovaných v šablonách pro zveřejňování informací a podávání zpráv příslušným orgánům a orgánům příslušným k řešení krize.</w:t>
      </w:r>
    </w:p>
    <w:p w:rsidR="00F83DBF" w:rsidRPr="009C7585" w:rsidRDefault="00F83DBF" w:rsidP="00302BB5">
      <w:pPr>
        <w:pStyle w:val="ManualConsidrant"/>
        <w:rPr>
          <w:noProof/>
        </w:rPr>
      </w:pPr>
      <w:r>
        <w:rPr>
          <w:noProof/>
        </w:rPr>
        <w:t>(3)</w:t>
      </w:r>
      <w:r>
        <w:rPr>
          <w:noProof/>
        </w:rPr>
        <w:tab/>
      </w:r>
      <w:r w:rsidRPr="009C7585">
        <w:rPr>
          <w:noProof/>
        </w:rPr>
        <w:t>Subjekty, které podléhají požadavkům stanoveným v článku 92a nebo 92b nařízení (EU) č. 575/2013 („TLAC“) nebo požadavku stanovenému v článku 45 směrnice 2014/59/EU („MREL“), mohou s předchozím svolením svého orgánu příslušného k řešení krize vypovědět, umořit, splatit nebo zpětně odkoupit nástroje způsobilých závazků v souladu s článkem 78a nařízení (EU) č. 575/2013. Částky, na které se toto svolení vztahuje, snižují schopnost subjektů splnit požadavek MREL nebo TLAC. Proto je nutné upřesnit, jak by měl být dopad takového svolení zohledněn ve zveřejňování informací a podávání zpráv příslušným orgánům a orgánům příslušným k řešení krize.</w:t>
      </w:r>
    </w:p>
    <w:p w:rsidR="00F83DBF" w:rsidRPr="009C7585" w:rsidRDefault="00F83DBF" w:rsidP="00F83DBF">
      <w:pPr>
        <w:pStyle w:val="ManualConsidrant"/>
        <w:rPr>
          <w:noProof/>
        </w:rPr>
      </w:pPr>
      <w:r>
        <w:rPr>
          <w:noProof/>
        </w:rPr>
        <w:t>(4)</w:t>
      </w:r>
      <w:r>
        <w:rPr>
          <w:noProof/>
        </w:rPr>
        <w:tab/>
      </w:r>
      <w:r w:rsidRPr="009C7585">
        <w:rPr>
          <w:noProof/>
        </w:rPr>
        <w:t>Prováděcí nařízení (EU) 2021/763 by proto mělo být odpovídajícím způsobem změněno.</w:t>
      </w:r>
    </w:p>
    <w:p w:rsidR="00F83DBF" w:rsidRPr="009C7585" w:rsidRDefault="00F83DBF" w:rsidP="00F83DBF">
      <w:pPr>
        <w:pStyle w:val="ManualConsidrant"/>
        <w:rPr>
          <w:noProof/>
        </w:rPr>
      </w:pPr>
      <w:r>
        <w:rPr>
          <w:noProof/>
        </w:rPr>
        <w:t>(5)</w:t>
      </w:r>
      <w:r>
        <w:rPr>
          <w:noProof/>
        </w:rPr>
        <w:tab/>
      </w:r>
      <w:r w:rsidRPr="009C7585">
        <w:rPr>
          <w:noProof/>
        </w:rPr>
        <w:t xml:space="preserve">Toto nařízení vychází z návrhu prováděcích technických norem, které Komisi předložil Evropský orgán pro bankovnictví. </w:t>
      </w:r>
    </w:p>
    <w:p w:rsidR="00F83DBF" w:rsidRPr="009C7585" w:rsidRDefault="00F83DBF" w:rsidP="00F83DBF">
      <w:pPr>
        <w:pStyle w:val="ManualConsidrant"/>
        <w:rPr>
          <w:noProof/>
        </w:rPr>
      </w:pPr>
      <w:r>
        <w:rPr>
          <w:noProof/>
        </w:rPr>
        <w:t>(6)</w:t>
      </w:r>
      <w:r>
        <w:rPr>
          <w:noProof/>
        </w:rPr>
        <w:tab/>
      </w:r>
      <w:r w:rsidRPr="009C7585">
        <w:rPr>
          <w:noProof/>
        </w:rPr>
        <w:t>Orgán EBA uskutečnil k návrhu prováděcích technických norem, z nichž toto nařízení vychází, otevřené veřejné konzultace, analyzoval potenciální související náklady a přínosy a požádal o stanovisko skupinu subjektů působících v bankovnictví zřízenou v souladu s článkem 37 nařízení Evropského parlamentu a Rady (EU) č. 1093/2010</w:t>
      </w:r>
      <w:r w:rsidRPr="009C7585">
        <w:rPr>
          <w:rStyle w:val="FootnoteReference"/>
          <w:noProof/>
        </w:rPr>
        <w:footnoteReference w:id="7"/>
      </w:r>
      <w:r w:rsidRPr="009C7585">
        <w:rPr>
          <w:noProof/>
        </w:rPr>
        <w:t>.</w:t>
      </w:r>
    </w:p>
    <w:p w:rsidR="00DB127D" w:rsidRPr="009C7585" w:rsidRDefault="00DB127D" w:rsidP="00F83DBF">
      <w:pPr>
        <w:pStyle w:val="ManualConsidrant"/>
        <w:rPr>
          <w:noProof/>
        </w:rPr>
      </w:pPr>
      <w:r>
        <w:rPr>
          <w:noProof/>
        </w:rPr>
        <w:t>(7)</w:t>
      </w:r>
      <w:r>
        <w:rPr>
          <w:noProof/>
        </w:rPr>
        <w:tab/>
      </w:r>
      <w:r w:rsidRPr="009C7585">
        <w:rPr>
          <w:noProof/>
        </w:rPr>
        <w:t xml:space="preserve">Aby měly subjekty, které podléhají povinnosti podávat zprávy nebo zveřejňovat informace v souladu s nařízením (EU) č. 575/2013 nebo směrnicí 2014/59/EU, dostatek času se </w:t>
      </w:r>
      <w:bookmarkStart w:id="2" w:name="_Hlk160034996"/>
      <w:r w:rsidRPr="009C7585">
        <w:rPr>
          <w:noProof/>
        </w:rPr>
        <w:t xml:space="preserve">změnám v šablonách a harmonizovaných informacích přizpůsobit, měly by se </w:t>
      </w:r>
      <w:bookmarkEnd w:id="2"/>
      <w:r w:rsidRPr="009C7585">
        <w:rPr>
          <w:noProof/>
        </w:rPr>
        <w:t>změny začít používat po šesti měsících od vstupu tohoto nařízení v platnost,</w:t>
      </w:r>
    </w:p>
    <w:p w:rsidR="001D506C" w:rsidRPr="009C7585" w:rsidRDefault="001D506C" w:rsidP="004E1EF9">
      <w:pPr>
        <w:pStyle w:val="Formuledadoption"/>
        <w:rPr>
          <w:noProof/>
        </w:rPr>
      </w:pPr>
      <w:r w:rsidRPr="009C7585">
        <w:rPr>
          <w:noProof/>
        </w:rPr>
        <w:t>PŘIJALA TOTO NAŘÍZENÍ:</w:t>
      </w:r>
    </w:p>
    <w:p w:rsidR="001D506C" w:rsidRPr="009C7585" w:rsidRDefault="001D506C" w:rsidP="004E1EF9">
      <w:pPr>
        <w:pStyle w:val="Titrearticle"/>
        <w:rPr>
          <w:noProof/>
        </w:rPr>
      </w:pPr>
      <w:r w:rsidRPr="009C7585">
        <w:rPr>
          <w:noProof/>
        </w:rPr>
        <w:t>Článek 1</w:t>
      </w:r>
    </w:p>
    <w:p w:rsidR="008D3341" w:rsidRPr="009C7585" w:rsidRDefault="008D3341" w:rsidP="00220108">
      <w:pPr>
        <w:pStyle w:val="Titrearticle"/>
        <w:rPr>
          <w:noProof/>
        </w:rPr>
      </w:pPr>
      <w:r w:rsidRPr="009C7585">
        <w:rPr>
          <w:noProof/>
        </w:rPr>
        <w:t>Změny prováděcího nařízení (EU) 2021/763</w:t>
      </w:r>
    </w:p>
    <w:p w:rsidR="00F83DBF" w:rsidRPr="009C7585" w:rsidRDefault="00F83DBF" w:rsidP="00F83DBF">
      <w:pPr>
        <w:rPr>
          <w:noProof/>
        </w:rPr>
      </w:pPr>
      <w:r w:rsidRPr="009C7585">
        <w:rPr>
          <w:noProof/>
        </w:rPr>
        <w:t>Prováděcí nařízení (EU) 2021/763 se mění takto:</w:t>
      </w:r>
    </w:p>
    <w:p w:rsidR="00F83DBF" w:rsidRPr="009C7585" w:rsidRDefault="00FA41E5" w:rsidP="00FA41E5">
      <w:pPr>
        <w:pStyle w:val="Point0"/>
        <w:rPr>
          <w:noProof/>
        </w:rPr>
      </w:pPr>
      <w:r>
        <w:rPr>
          <w:noProof/>
        </w:rPr>
        <w:t>1)</w:t>
      </w:r>
      <w:r>
        <w:rPr>
          <w:noProof/>
        </w:rPr>
        <w:tab/>
      </w:r>
      <w:r w:rsidR="004603A2" w:rsidRPr="009C7585">
        <w:rPr>
          <w:noProof/>
        </w:rPr>
        <w:t>šablony M 02.00 a M 03.00 uvedené v příloze I se nahrazují šablonami M 02.00 a M 03.00 uvedenými v příloze I tohoto nařízení;</w:t>
      </w:r>
    </w:p>
    <w:p w:rsidR="00F83DBF" w:rsidRPr="009C7585" w:rsidRDefault="00FA41E5" w:rsidP="00FA41E5">
      <w:pPr>
        <w:pStyle w:val="Point0"/>
        <w:rPr>
          <w:noProof/>
        </w:rPr>
      </w:pPr>
      <w:r>
        <w:rPr>
          <w:noProof/>
        </w:rPr>
        <w:t>2)</w:t>
      </w:r>
      <w:r>
        <w:rPr>
          <w:noProof/>
        </w:rPr>
        <w:tab/>
      </w:r>
      <w:r w:rsidR="00F83DBF" w:rsidRPr="009C7585">
        <w:rPr>
          <w:noProof/>
        </w:rPr>
        <w:t>příloha II se nahrazuje zněním uvedeným v příloze II tohoto nařízení;</w:t>
      </w:r>
    </w:p>
    <w:p w:rsidR="00F83DBF" w:rsidRPr="009C7585" w:rsidRDefault="00FA41E5" w:rsidP="00FA41E5">
      <w:pPr>
        <w:pStyle w:val="Point0"/>
        <w:rPr>
          <w:noProof/>
        </w:rPr>
      </w:pPr>
      <w:r>
        <w:rPr>
          <w:noProof/>
        </w:rPr>
        <w:t>3)</w:t>
      </w:r>
      <w:r>
        <w:rPr>
          <w:noProof/>
        </w:rPr>
        <w:tab/>
      </w:r>
      <w:r w:rsidR="004603A2" w:rsidRPr="009C7585">
        <w:rPr>
          <w:noProof/>
        </w:rPr>
        <w:t>šablony EU TLAC1 a EU ILAC uvedené v příloze V se nahrazují šablonami EU TLAC1 a EU ILAC uvedenými v příloze III tohoto nařízení;</w:t>
      </w:r>
    </w:p>
    <w:p w:rsidR="00F83DBF" w:rsidRPr="009C7585" w:rsidRDefault="00FA41E5" w:rsidP="00FA41E5">
      <w:pPr>
        <w:pStyle w:val="Point0"/>
        <w:rPr>
          <w:noProof/>
        </w:rPr>
      </w:pPr>
      <w:r>
        <w:rPr>
          <w:noProof/>
        </w:rPr>
        <w:t>4)</w:t>
      </w:r>
      <w:r>
        <w:rPr>
          <w:noProof/>
        </w:rPr>
        <w:tab/>
      </w:r>
      <w:r w:rsidR="00F83DBF" w:rsidRPr="009C7585">
        <w:rPr>
          <w:noProof/>
        </w:rPr>
        <w:t>příloha VI se nahrazuje zněním uvedeným v příloze IV tohoto nařízení.</w:t>
      </w:r>
    </w:p>
    <w:p w:rsidR="00F83DBF" w:rsidRPr="009C7585" w:rsidRDefault="00F83DBF" w:rsidP="00F83DBF">
      <w:pPr>
        <w:pStyle w:val="Titrearticle"/>
        <w:rPr>
          <w:noProof/>
        </w:rPr>
      </w:pPr>
      <w:r w:rsidRPr="009C7585">
        <w:rPr>
          <w:noProof/>
        </w:rPr>
        <w:t>Článek 2</w:t>
      </w:r>
    </w:p>
    <w:p w:rsidR="00CC305D" w:rsidRPr="009C7585" w:rsidRDefault="00CC305D" w:rsidP="00583FFA">
      <w:pPr>
        <w:jc w:val="center"/>
        <w:rPr>
          <w:b/>
          <w:bCs/>
          <w:noProof/>
          <w:color w:val="000000"/>
        </w:rPr>
      </w:pPr>
      <w:r w:rsidRPr="009C7585">
        <w:rPr>
          <w:b/>
          <w:noProof/>
          <w:color w:val="000000"/>
        </w:rPr>
        <w:t>Vstup v platnost a použitelnost</w:t>
      </w:r>
    </w:p>
    <w:p w:rsidR="00F83DBF" w:rsidRPr="009C7585" w:rsidRDefault="00F83DBF" w:rsidP="00F83DBF">
      <w:pPr>
        <w:rPr>
          <w:noProof/>
          <w:color w:val="000000"/>
        </w:rPr>
      </w:pPr>
      <w:r w:rsidRPr="009C7585">
        <w:rPr>
          <w:noProof/>
          <w:color w:val="000000"/>
        </w:rPr>
        <w:t xml:space="preserve">Toto nařízení vstupuje v platnost dvacátým dnem po vyhlášení v </w:t>
      </w:r>
      <w:r w:rsidRPr="009C7585">
        <w:rPr>
          <w:i/>
          <w:noProof/>
          <w:color w:val="000000"/>
        </w:rPr>
        <w:t>Úředním věstníku Evropské unie</w:t>
      </w:r>
      <w:r w:rsidRPr="009C7585">
        <w:rPr>
          <w:noProof/>
          <w:color w:val="000000"/>
        </w:rPr>
        <w:t>.</w:t>
      </w:r>
    </w:p>
    <w:p w:rsidR="00F83DBF" w:rsidRPr="009C7585" w:rsidRDefault="00F83DBF" w:rsidP="00F83DBF">
      <w:pPr>
        <w:rPr>
          <w:noProof/>
          <w:color w:val="000000"/>
        </w:rPr>
      </w:pPr>
      <w:r w:rsidRPr="009C7585">
        <w:rPr>
          <w:noProof/>
          <w:color w:val="000000"/>
        </w:rPr>
        <w:t xml:space="preserve">Použije se ode dne </w:t>
      </w:r>
      <w:r w:rsidRPr="009C7585">
        <w:rPr>
          <w:i/>
          <w:noProof/>
          <w:color w:val="000000"/>
        </w:rPr>
        <w:t>[Úřad pro publikace: vložte datum = šest měsíců ode dne vstupu tohoto pozměňujícího nařízení v platnost]</w:t>
      </w:r>
      <w:r w:rsidRPr="009C7585">
        <w:rPr>
          <w:noProof/>
          <w:color w:val="000000"/>
        </w:rPr>
        <w:t xml:space="preserve">. </w:t>
      </w:r>
    </w:p>
    <w:p w:rsidR="001D506C" w:rsidRPr="009C7585" w:rsidRDefault="001D506C" w:rsidP="004E1EF9">
      <w:pPr>
        <w:pStyle w:val="Applicationdirecte"/>
        <w:keepNext/>
        <w:keepLines/>
        <w:rPr>
          <w:noProof/>
        </w:rPr>
      </w:pPr>
      <w:r w:rsidRPr="009C7585">
        <w:rPr>
          <w:noProof/>
        </w:rPr>
        <w:t>Toto nařízení je závazné v celém rozsahu a přímo použitelné ve všech členských státech.</w:t>
      </w:r>
    </w:p>
    <w:p w:rsidR="001D506C" w:rsidRPr="009C7585" w:rsidRDefault="00E47565" w:rsidP="00073EC6">
      <w:pPr>
        <w:pStyle w:val="Fait"/>
        <w:rPr>
          <w:noProof/>
        </w:rPr>
      </w:pPr>
      <w:r>
        <w:rPr>
          <w:noProof/>
        </w:rPr>
        <w:t>V Bruselu dne 6.6.2024</w:t>
      </w:r>
    </w:p>
    <w:p w:rsidR="001D506C" w:rsidRPr="009C7585" w:rsidRDefault="001D506C" w:rsidP="00073EC6">
      <w:pPr>
        <w:pStyle w:val="Institutionquisigne"/>
        <w:rPr>
          <w:noProof/>
        </w:rPr>
      </w:pPr>
      <w:r w:rsidRPr="009C7585">
        <w:rPr>
          <w:noProof/>
        </w:rPr>
        <w:tab/>
        <w:t>Za Komisi</w:t>
      </w:r>
    </w:p>
    <w:p w:rsidR="00F718B8" w:rsidRPr="009C7585" w:rsidRDefault="0039464C" w:rsidP="00073EC6">
      <w:pPr>
        <w:pStyle w:val="Personnequisigne"/>
        <w:keepNext/>
        <w:rPr>
          <w:noProof/>
        </w:rPr>
      </w:pPr>
      <w:r>
        <w:rPr>
          <w:noProof/>
        </w:rPr>
        <w:tab/>
        <w:t>předsedkyně</w:t>
      </w:r>
      <w:r>
        <w:rPr>
          <w:noProof/>
        </w:rPr>
        <w:br/>
      </w:r>
      <w:r>
        <w:rPr>
          <w:noProof/>
        </w:rPr>
        <w:tab/>
        <w:t>Ursula VON DER LEYEN</w:t>
      </w:r>
    </w:p>
    <w:p w:rsidR="00C402D1" w:rsidRPr="009C7585" w:rsidRDefault="00C402D1" w:rsidP="00C402D1">
      <w:pPr>
        <w:pStyle w:val="Personnequisigne"/>
        <w:rPr>
          <w:noProof/>
        </w:rPr>
      </w:pPr>
    </w:p>
    <w:sectPr w:rsidR="00C402D1" w:rsidRPr="009C7585" w:rsidSect="00F935FE">
      <w:headerReference w:type="even" r:id="rId14"/>
      <w:footerReference w:type="even" r:id="rId15"/>
      <w:footerReference w:type="default" r:id="rId16"/>
      <w:headerReference w:type="first" r:id="rId17"/>
      <w:footerReference w:type="first" r:id="rId18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DE8" w:rsidRDefault="00852DE8" w:rsidP="001D506C">
      <w:pPr>
        <w:spacing w:before="0" w:after="0"/>
      </w:pPr>
      <w:r>
        <w:separator/>
      </w:r>
    </w:p>
  </w:endnote>
  <w:endnote w:type="continuationSeparator" w:id="0">
    <w:p w:rsidR="00852DE8" w:rsidRDefault="00852DE8" w:rsidP="001D506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5FE" w:rsidRPr="00F935FE" w:rsidRDefault="00F935FE" w:rsidP="00F935FE">
    <w:pPr>
      <w:pStyle w:val="Footer"/>
      <w:rPr>
        <w:rFonts w:ascii="Arial" w:hAnsi="Arial" w:cs="Arial"/>
        <w:b/>
        <w:sz w:val="48"/>
      </w:rPr>
    </w:pPr>
    <w:r w:rsidRPr="00F935FE">
      <w:rPr>
        <w:rFonts w:ascii="Arial" w:hAnsi="Arial" w:cs="Arial"/>
        <w:b/>
        <w:sz w:val="48"/>
      </w:rPr>
      <w:t>CS</w:t>
    </w:r>
    <w:r w:rsidRPr="00F935FE">
      <w:rPr>
        <w:rFonts w:ascii="Arial" w:hAnsi="Arial" w:cs="Arial"/>
        <w:b/>
        <w:sz w:val="48"/>
      </w:rPr>
      <w:tab/>
    </w:r>
    <w:r w:rsidRPr="00F935FE">
      <w:rPr>
        <w:rFonts w:ascii="Arial" w:hAnsi="Arial" w:cs="Arial"/>
        <w:b/>
        <w:sz w:val="48"/>
      </w:rPr>
      <w:tab/>
    </w:r>
    <w:r w:rsidRPr="00F935FE">
      <w:tab/>
    </w:r>
    <w:r w:rsidRPr="00F935FE">
      <w:rPr>
        <w:rFonts w:ascii="Arial" w:hAnsi="Arial" w:cs="Arial"/>
        <w:b/>
        <w:sz w:val="48"/>
      </w:rPr>
      <w:t>CS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5FE" w:rsidRPr="00F935FE" w:rsidRDefault="00F935FE" w:rsidP="00F935FE">
    <w:pPr>
      <w:pStyle w:val="Footer"/>
      <w:rPr>
        <w:rFonts w:ascii="Arial" w:hAnsi="Arial" w:cs="Arial"/>
        <w:b/>
        <w:sz w:val="48"/>
      </w:rPr>
    </w:pPr>
    <w:r w:rsidRPr="00F935FE">
      <w:rPr>
        <w:rFonts w:ascii="Arial" w:hAnsi="Arial" w:cs="Arial"/>
        <w:b/>
        <w:sz w:val="48"/>
      </w:rPr>
      <w:t>CS</w:t>
    </w:r>
    <w:r w:rsidRPr="00F935FE">
      <w:rPr>
        <w:rFonts w:ascii="Arial" w:hAnsi="Arial" w:cs="Arial"/>
        <w:b/>
        <w:sz w:val="48"/>
      </w:rPr>
      <w:tab/>
    </w:r>
    <w:r w:rsidRPr="00F935FE">
      <w:rPr>
        <w:rFonts w:ascii="Arial" w:hAnsi="Arial" w:cs="Arial"/>
        <w:b/>
        <w:sz w:val="48"/>
      </w:rPr>
      <w:tab/>
    </w:r>
    <w:r w:rsidRPr="00F935FE">
      <w:tab/>
    </w:r>
    <w:r w:rsidRPr="00F935FE">
      <w:rPr>
        <w:rFonts w:ascii="Arial" w:hAnsi="Arial" w:cs="Arial"/>
        <w:b/>
        <w:sz w:val="48"/>
      </w:rPr>
      <w:t>CS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5FE" w:rsidRPr="00F935FE" w:rsidRDefault="00F935FE" w:rsidP="00F935F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5FE" w:rsidRDefault="00F935FE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5FE" w:rsidRPr="00F935FE" w:rsidRDefault="00F935FE" w:rsidP="00F935FE">
    <w:pPr>
      <w:pStyle w:val="Footer"/>
      <w:rPr>
        <w:rFonts w:ascii="Arial" w:hAnsi="Arial" w:cs="Arial"/>
        <w:b/>
        <w:sz w:val="48"/>
      </w:rPr>
    </w:pPr>
    <w:r w:rsidRPr="00F935FE">
      <w:rPr>
        <w:rFonts w:ascii="Arial" w:hAnsi="Arial" w:cs="Arial"/>
        <w:b/>
        <w:sz w:val="48"/>
      </w:rPr>
      <w:t>CS</w:t>
    </w:r>
    <w:r w:rsidRPr="00F935FE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073EC6">
      <w:rPr>
        <w:noProof/>
      </w:rPr>
      <w:t>3</w:t>
    </w:r>
    <w:r>
      <w:fldChar w:fldCharType="end"/>
    </w:r>
    <w:r>
      <w:tab/>
    </w:r>
    <w:r w:rsidRPr="00F935FE">
      <w:tab/>
    </w:r>
    <w:r w:rsidRPr="00F935FE">
      <w:rPr>
        <w:rFonts w:ascii="Arial" w:hAnsi="Arial" w:cs="Arial"/>
        <w:b/>
        <w:sz w:val="48"/>
      </w:rPr>
      <w:t>CS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5FE" w:rsidRDefault="00F935FE" w:rsidP="00F935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DE8" w:rsidRDefault="00852DE8" w:rsidP="001D506C">
      <w:pPr>
        <w:spacing w:before="0" w:after="0"/>
      </w:pPr>
      <w:r>
        <w:separator/>
      </w:r>
    </w:p>
  </w:footnote>
  <w:footnote w:type="continuationSeparator" w:id="0">
    <w:p w:rsidR="00852DE8" w:rsidRDefault="00852DE8" w:rsidP="001D506C">
      <w:pPr>
        <w:spacing w:before="0" w:after="0"/>
      </w:pPr>
      <w:r>
        <w:continuationSeparator/>
      </w:r>
    </w:p>
  </w:footnote>
  <w:footnote w:id="1">
    <w:p w:rsidR="000E6FD2" w:rsidRPr="00DA38A7" w:rsidRDefault="000E6FD2" w:rsidP="000E6FD2">
      <w:pPr>
        <w:pStyle w:val="FootnoteText"/>
      </w:pPr>
      <w:r>
        <w:rPr>
          <w:rStyle w:val="FootnoteReference"/>
        </w:rPr>
        <w:footnoteRef/>
      </w:r>
      <w:r>
        <w:tab/>
        <w:t xml:space="preserve">Úř. věst. L 176, 27.6.2013, s. 1, ELI: http://data.europa.eu/eli/reg/2013/575/oj. </w:t>
      </w:r>
    </w:p>
  </w:footnote>
  <w:footnote w:id="2">
    <w:p w:rsidR="000E6FD2" w:rsidRPr="00DA38A7" w:rsidRDefault="000E6FD2" w:rsidP="000E6FD2">
      <w:pPr>
        <w:pStyle w:val="FootnoteText"/>
      </w:pPr>
      <w:r>
        <w:rPr>
          <w:rStyle w:val="FootnoteReference"/>
        </w:rPr>
        <w:footnoteRef/>
      </w:r>
      <w:r>
        <w:tab/>
        <w:t xml:space="preserve">Úř. věst. L 173, 12.6.2014, s. 190, ELI: http://data.europa.eu/eli/dir/2014/59/oj. </w:t>
      </w:r>
    </w:p>
  </w:footnote>
  <w:footnote w:id="3">
    <w:p w:rsidR="00F83DBF" w:rsidRPr="001734AB" w:rsidRDefault="00F83DBF" w:rsidP="00F83DBF">
      <w:pPr>
        <w:pStyle w:val="FootnoteText"/>
      </w:pPr>
      <w:r>
        <w:rPr>
          <w:rStyle w:val="FootnoteReference"/>
        </w:rPr>
        <w:footnoteRef/>
      </w:r>
      <w:r>
        <w:tab/>
        <w:t>Nařízení Evropského parlamentu a Rady (EU) 2022/2036 ze dne 19. října 2022, kterým se mění nařízení (EU) č. 575/2013 a směrnice 2014/59/EU, pokud jde o obezřetnostní přístup ke globálním systémově významným institucím se strategií řešení krize ve více subjektech a metody nepřímého upisování nástrojů způsobilých pro splnění minimálního požadavku na kapitál a způsobilé závazky (Úř. věst. L 275, 25.10.2022, s. 1, ELI: http://data.europa.eu/eli/reg/2022/2036/oj)</w:t>
      </w:r>
    </w:p>
  </w:footnote>
  <w:footnote w:id="4">
    <w:p w:rsidR="00F83DBF" w:rsidRPr="002B6E0A" w:rsidRDefault="00F83DBF" w:rsidP="00F83DBF">
      <w:pPr>
        <w:pStyle w:val="FootnoteText"/>
      </w:pPr>
      <w:r>
        <w:rPr>
          <w:rStyle w:val="FootnoteReference"/>
        </w:rPr>
        <w:footnoteRef/>
      </w:r>
      <w:r>
        <w:tab/>
        <w:t>Směrnice Evropského parlamentu a Rady 2014/59/EU ze dne 15. května 2014, kterou se stanoví rámec pro ozdravné postupy a řešení krize úvěrových institucí a investičních podniků a kterou se mění směrnice Rady 82/891/EHS, směrnice Evropského parlamentu a Rady 2001/24/ES, 2002/47/ES, 2004/25/ES, 2005/56/ES, 2007/36/ES, 2011/35/EU, 2012/30/EU a 2013/36/EU a nařízení Evropského parlamentu a Rady (EU) č. 1093/2010 a (EU) č. 648/2012 (Úř. věst. L 173, 12.6.2014, s. 190).</w:t>
      </w:r>
    </w:p>
  </w:footnote>
  <w:footnote w:id="5">
    <w:p w:rsidR="00F83DBF" w:rsidRPr="00BA3525" w:rsidRDefault="00F83DBF" w:rsidP="00F83DBF">
      <w:pPr>
        <w:pStyle w:val="FootnoteText"/>
      </w:pPr>
      <w:r>
        <w:rPr>
          <w:rStyle w:val="FootnoteReference"/>
        </w:rPr>
        <w:footnoteRef/>
      </w:r>
      <w:r>
        <w:tab/>
        <w:t>Prováděcí nařízení Komise (EU) 2021/763 ze dne 23. dubna 2021, kterým se stanoví prováděcí technické normy pro uplatňování nařízení Evropského parlamentu a Rady (EU) č. 575/2013 a směrnice Evropského parlamentu a Rady 2014/59/EU s ohledem na podávání zpráv pro účely dohledu a zveřejňování minimálních požadavků na kapitál a způsobilé závazky (Úř. věst. L 168, 12.5.2021, s. 1).</w:t>
      </w:r>
    </w:p>
  </w:footnote>
  <w:footnote w:id="6">
    <w:p w:rsidR="00686AFD" w:rsidRPr="00686AFD" w:rsidRDefault="00686AFD" w:rsidP="00686AFD">
      <w:pPr>
        <w:pStyle w:val="FootnoteText"/>
      </w:pPr>
      <w:r>
        <w:rPr>
          <w:rStyle w:val="FootnoteReference"/>
        </w:rPr>
        <w:footnoteRef/>
      </w:r>
      <w:r>
        <w:tab/>
        <w:t>Směrnice Evropského parlamentu a Rady (EU) 2024/1174 ze dne 11. dubna 2024, kterou se mění směrnice 2014/59/EU a nařízení (EU) č. 806/2014, pokud jde o některé aspekty minimálního požadavku na kapitál a způsobilé závazky (Úř. věst. L, 2024/1174, 22.4.2024).</w:t>
      </w:r>
    </w:p>
  </w:footnote>
  <w:footnote w:id="7">
    <w:p w:rsidR="00F83DBF" w:rsidRPr="00B64E68" w:rsidRDefault="00F83DBF" w:rsidP="00F83DBF">
      <w:pPr>
        <w:pStyle w:val="FootnoteText"/>
      </w:pPr>
      <w:r>
        <w:rPr>
          <w:rStyle w:val="FootnoteReference"/>
        </w:rPr>
        <w:footnoteRef/>
      </w:r>
      <w:r>
        <w:tab/>
        <w:t>Nařízení Evropského parlamentu a Rady (EU) č. 1093/2010 ze dne 24. listopadu 2010 o zřízení Evropského orgánu dohledu (Evropského orgánu pro bankovnictví), o změně rozhodnutí č. 716/2009/ES a o zrušení rozhodnutí Komise 2009/78/ES (Úř. věst. L 331, 15.12.2010, s. 12, ELI: http://data.europa.eu/eli/reg/2010/1093/oj).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5FE" w:rsidRPr="00F935FE" w:rsidRDefault="00F935FE" w:rsidP="00F935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5FE" w:rsidRPr="00F935FE" w:rsidRDefault="00F935FE" w:rsidP="00F935F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5FE" w:rsidRPr="00F935FE" w:rsidRDefault="00F935FE" w:rsidP="00F935F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5FE" w:rsidRDefault="00F935FE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5FE" w:rsidRDefault="00F935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102CECA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4CD87DA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B54038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BABC3B8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A1AE141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AF26C86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9DB25E9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7B7A921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3" w15:restartNumberingAfterBreak="0">
    <w:nsid w:val="7E042D9D"/>
    <w:multiLevelType w:val="multilevel"/>
    <w:tmpl w:val="47BAFBF6"/>
    <w:styleLink w:val="LFO29"/>
    <w:lvl w:ilvl="0">
      <w:start w:val="1"/>
      <w:numFmt w:val="decimal"/>
      <w:lvlText w:val="(%1)"/>
      <w:lvlJc w:val="left"/>
      <w:pPr>
        <w:ind w:left="709" w:hanging="709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7"/>
  </w:num>
  <w:num w:numId="2">
    <w:abstractNumId w:val="23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1"/>
  </w:num>
  <w:num w:numId="9">
    <w:abstractNumId w:val="0"/>
  </w:num>
  <w:num w:numId="10">
    <w:abstractNumId w:val="22"/>
    <w:lvlOverride w:ilvl="0">
      <w:startOverride w:val="1"/>
    </w:lvlOverride>
  </w:num>
  <w:num w:numId="11">
    <w:abstractNumId w:val="19"/>
  </w:num>
  <w:num w:numId="12">
    <w:abstractNumId w:val="12"/>
  </w:num>
  <w:num w:numId="13">
    <w:abstractNumId w:val="21"/>
  </w:num>
  <w:num w:numId="14">
    <w:abstractNumId w:val="11"/>
  </w:num>
  <w:num w:numId="15">
    <w:abstractNumId w:val="13"/>
  </w:num>
  <w:num w:numId="16">
    <w:abstractNumId w:val="14"/>
  </w:num>
  <w:num w:numId="17">
    <w:abstractNumId w:val="9"/>
  </w:num>
  <w:num w:numId="18">
    <w:abstractNumId w:val="20"/>
  </w:num>
  <w:num w:numId="19">
    <w:abstractNumId w:val="8"/>
  </w:num>
  <w:num w:numId="20">
    <w:abstractNumId w:val="15"/>
  </w:num>
  <w:num w:numId="21">
    <w:abstractNumId w:val="17"/>
  </w:num>
  <w:num w:numId="22">
    <w:abstractNumId w:val="18"/>
  </w:num>
  <w:num w:numId="23">
    <w:abstractNumId w:val="10"/>
  </w:num>
  <w:num w:numId="24">
    <w:abstractNumId w:val="16"/>
  </w:num>
  <w:num w:numId="25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hideSpellingErrors/>
  <w:hideGrammaticalErrors/>
  <w:attachedTemplate r:id="rId1"/>
  <w:revisionView w:markup="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QCDateTime" w:val="2024-05-30 11:45:31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Green"/>
    <w:docVar w:name="DQCVersion" w:val="3"/>
    <w:docVar w:name="DQCWithWarnings" w:val="0"/>
    <w:docVar w:name="LW_CORRIGENDUM" w:val="&lt;UNUSED&gt;"/>
    <w:docVar w:name="LW_COVERPAGE_EXISTS" w:val="True"/>
    <w:docVar w:name="LW_COVERPAGE_GUID" w:val="EC58DCE6-C748-42E1-A0BB-CD55937A0C56"/>
    <w:docVar w:name="LW_COVERPAGE_TYPE" w:val="1"/>
    <w:docVar w:name="LW_CROSSREFERENCE" w:val="&lt;UNUSED&gt;"/>
    <w:docVar w:name="LW_DATE.ADOPT.CP" w:val="ze dne 6.6.2024,"/>
    <w:docVar w:name="LW_DATE.ADOPT.CP_DATEFORMAT" w:val="ze dne %DATE%,"/>
    <w:docVar w:name="LW_DATE.ADOPT.CP_ISODATE" w:val="2024-06-06"/>
    <w:docVar w:name="LW_DocType" w:val="COM"/>
    <w:docVar w:name="LW_EMISSION" w:val="6.6.2024"/>
    <w:docVar w:name="LW_EMISSION_ISODATE" w:val="2024-06-06"/>
    <w:docVar w:name="LW_EMISSION_LOCATION" w:val="BRX"/>
    <w:docVar w:name="LW_EMISSION_PREFIX" w:val="V Bruselu dne "/>
    <w:docVar w:name="LW_EMISSION_SUFFIX" w:val=" 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xt s významem pro EHP)"/>
    <w:docVar w:name="LW_LANGUE" w:val="CS"/>
    <w:docVar w:name="LW_LANGUESFAISANTFOI.CP" w:val="&lt;UNUSED&gt;"/>
    <w:docVar w:name="LW_LEVEL_OF_SENSITIVITY" w:val="Standard treatment"/>
    <w:docVar w:name="LW_NOM.INST" w:val="EVROPSKÁ KOMISE"/>
    <w:docVar w:name="LW_NOM.INST_JOINTDOC" w:val="&lt;EMPTY&gt;"/>
    <w:docVar w:name="LW_PART_NBR" w:val="1"/>
    <w:docVar w:name="LW_PART_NBR_TOTAL" w:val="1"/>
    <w:docVar w:name="LW_REF.INST.NEW" w:val="C"/>
    <w:docVar w:name="LW_REF.INST.NEW_ADOPTED" w:val="final"/>
    <w:docVar w:name="LW_REF.INST.NEW_TEXT" w:val="(2024) 3624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kterým se m\u283?ní provád\u283?cí na\u345?ízení (EU) 2021/763, kterým se stanoví provád\u283?cí technické normy pro uplat\u328?ování na\u345?ízení Evropského parlamentu a Rady (EU) \u269?. 575/2013 a sm\u283?rnice Evropského parlamentu a Rady 2014/59/EU s ohledem na podávání zpráv pro ú\u269?ely dohledu a zve\u345?ej\u328?ování minimálních po\u382?adavk\u367? na kapitál a zp\u367?sobilé závazky _x000b_"/>
    <w:docVar w:name="LW_TYPE.DOC.CP" w:val="PROVÁD\u282?CÍ NA\u344?ÍZENÍ KOMISE (EU) \u8230?/..."/>
    <w:docVar w:name="LwApiVersions" w:val="LW4CoDe 1.24.5.0; LW 9.0, Build 20240221"/>
  </w:docVars>
  <w:rsids>
    <w:rsidRoot w:val="001D506C"/>
    <w:rsid w:val="00073EC6"/>
    <w:rsid w:val="00093B4B"/>
    <w:rsid w:val="000955EB"/>
    <w:rsid w:val="000B009E"/>
    <w:rsid w:val="000B7A7D"/>
    <w:rsid w:val="000E6B56"/>
    <w:rsid w:val="000E6FD2"/>
    <w:rsid w:val="0013442E"/>
    <w:rsid w:val="00152894"/>
    <w:rsid w:val="00185DB3"/>
    <w:rsid w:val="001B397F"/>
    <w:rsid w:val="001B6C2F"/>
    <w:rsid w:val="001D506C"/>
    <w:rsid w:val="00220108"/>
    <w:rsid w:val="0022339B"/>
    <w:rsid w:val="0022635F"/>
    <w:rsid w:val="00292AC6"/>
    <w:rsid w:val="002B65CA"/>
    <w:rsid w:val="002C09C1"/>
    <w:rsid w:val="002F0DF7"/>
    <w:rsid w:val="002F1E29"/>
    <w:rsid w:val="00302BB5"/>
    <w:rsid w:val="0031489C"/>
    <w:rsid w:val="00314C67"/>
    <w:rsid w:val="00363DC5"/>
    <w:rsid w:val="00370470"/>
    <w:rsid w:val="00380338"/>
    <w:rsid w:val="003819BF"/>
    <w:rsid w:val="0038725C"/>
    <w:rsid w:val="00391381"/>
    <w:rsid w:val="0039464C"/>
    <w:rsid w:val="00396ACD"/>
    <w:rsid w:val="003C0C4B"/>
    <w:rsid w:val="00437AA5"/>
    <w:rsid w:val="0044282B"/>
    <w:rsid w:val="004603A2"/>
    <w:rsid w:val="004811F2"/>
    <w:rsid w:val="00492396"/>
    <w:rsid w:val="004B11A6"/>
    <w:rsid w:val="004B3865"/>
    <w:rsid w:val="004C38F7"/>
    <w:rsid w:val="004E19F9"/>
    <w:rsid w:val="00517205"/>
    <w:rsid w:val="0052704B"/>
    <w:rsid w:val="005279D9"/>
    <w:rsid w:val="00542487"/>
    <w:rsid w:val="00580629"/>
    <w:rsid w:val="00582810"/>
    <w:rsid w:val="00583FFA"/>
    <w:rsid w:val="00595540"/>
    <w:rsid w:val="005B5FA6"/>
    <w:rsid w:val="005E1E85"/>
    <w:rsid w:val="005F222A"/>
    <w:rsid w:val="005F33FF"/>
    <w:rsid w:val="006654AB"/>
    <w:rsid w:val="006813A6"/>
    <w:rsid w:val="00686AFD"/>
    <w:rsid w:val="006A2A68"/>
    <w:rsid w:val="006F7EFE"/>
    <w:rsid w:val="00703C0B"/>
    <w:rsid w:val="0075467B"/>
    <w:rsid w:val="007D0861"/>
    <w:rsid w:val="007D1225"/>
    <w:rsid w:val="007E010B"/>
    <w:rsid w:val="00802FC2"/>
    <w:rsid w:val="0081293E"/>
    <w:rsid w:val="0084238A"/>
    <w:rsid w:val="00852DE8"/>
    <w:rsid w:val="008C58B7"/>
    <w:rsid w:val="008C62AF"/>
    <w:rsid w:val="008C63FE"/>
    <w:rsid w:val="008D0E5E"/>
    <w:rsid w:val="008D3341"/>
    <w:rsid w:val="008E2694"/>
    <w:rsid w:val="0091355F"/>
    <w:rsid w:val="00940731"/>
    <w:rsid w:val="009476D9"/>
    <w:rsid w:val="009702E0"/>
    <w:rsid w:val="009712C1"/>
    <w:rsid w:val="009719B6"/>
    <w:rsid w:val="009731D1"/>
    <w:rsid w:val="00985A34"/>
    <w:rsid w:val="009957C5"/>
    <w:rsid w:val="009A1A98"/>
    <w:rsid w:val="009B2281"/>
    <w:rsid w:val="009C7585"/>
    <w:rsid w:val="00A10BBD"/>
    <w:rsid w:val="00A2735C"/>
    <w:rsid w:val="00A565C7"/>
    <w:rsid w:val="00A61FE3"/>
    <w:rsid w:val="00A63976"/>
    <w:rsid w:val="00B0742B"/>
    <w:rsid w:val="00B247D1"/>
    <w:rsid w:val="00B50A87"/>
    <w:rsid w:val="00B74403"/>
    <w:rsid w:val="00B84713"/>
    <w:rsid w:val="00B851FA"/>
    <w:rsid w:val="00BA7156"/>
    <w:rsid w:val="00BE38E4"/>
    <w:rsid w:val="00C3731F"/>
    <w:rsid w:val="00C402D1"/>
    <w:rsid w:val="00C62ABE"/>
    <w:rsid w:val="00C72F66"/>
    <w:rsid w:val="00C9371C"/>
    <w:rsid w:val="00CB4B4C"/>
    <w:rsid w:val="00CC305D"/>
    <w:rsid w:val="00CE02BF"/>
    <w:rsid w:val="00D11FA5"/>
    <w:rsid w:val="00D15425"/>
    <w:rsid w:val="00D15677"/>
    <w:rsid w:val="00D37A87"/>
    <w:rsid w:val="00D455A5"/>
    <w:rsid w:val="00D60353"/>
    <w:rsid w:val="00D73411"/>
    <w:rsid w:val="00D917AD"/>
    <w:rsid w:val="00DA38A7"/>
    <w:rsid w:val="00DB127D"/>
    <w:rsid w:val="00DB4B20"/>
    <w:rsid w:val="00E07235"/>
    <w:rsid w:val="00E247EB"/>
    <w:rsid w:val="00E32204"/>
    <w:rsid w:val="00E33C9F"/>
    <w:rsid w:val="00E47565"/>
    <w:rsid w:val="00E83C6F"/>
    <w:rsid w:val="00E9509D"/>
    <w:rsid w:val="00E979AB"/>
    <w:rsid w:val="00EC39BC"/>
    <w:rsid w:val="00EE140B"/>
    <w:rsid w:val="00F02755"/>
    <w:rsid w:val="00F41B40"/>
    <w:rsid w:val="00F718B8"/>
    <w:rsid w:val="00F733AF"/>
    <w:rsid w:val="00F767D0"/>
    <w:rsid w:val="00F83DBF"/>
    <w:rsid w:val="00F935FE"/>
    <w:rsid w:val="00FA41E5"/>
    <w:rsid w:val="00FC2396"/>
    <w:rsid w:val="00FE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cs-CZ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18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18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18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18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rsid w:val="001D506C"/>
    <w:pPr>
      <w:numPr>
        <w:numId w:val="1"/>
      </w:numPr>
    </w:pPr>
    <w:rPr>
      <w:rFonts w:eastAsia="Times New Roman"/>
      <w:lang w:eastAsia="en-GB"/>
    </w:rPr>
  </w:style>
  <w:style w:type="numbering" w:customStyle="1" w:styleId="LFO29">
    <w:name w:val="LFO29"/>
    <w:basedOn w:val="NoList"/>
    <w:rsid w:val="00F83DBF"/>
    <w:pPr>
      <w:numPr>
        <w:numId w:val="2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093B4B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093B4B"/>
    <w:pPr>
      <w:spacing w:after="0"/>
    </w:pPr>
  </w:style>
  <w:style w:type="paragraph" w:styleId="ListBullet2">
    <w:name w:val="List Bullet 2"/>
    <w:basedOn w:val="Normal"/>
    <w:uiPriority w:val="99"/>
    <w:semiHidden/>
    <w:unhideWhenUsed/>
    <w:rsid w:val="00093B4B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093B4B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093B4B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093B4B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093B4B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093B4B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093B4B"/>
    <w:pPr>
      <w:numPr>
        <w:numId w:val="9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85D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85D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85DB3"/>
    <w:rPr>
      <w:rFonts w:ascii="Times New Roman" w:hAnsi="Times New Roman" w:cs="Times New Roman"/>
      <w:sz w:val="20"/>
      <w:szCs w:val="20"/>
      <w:lang w:val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5D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5DB3"/>
    <w:rPr>
      <w:rFonts w:ascii="Times New Roman" w:hAnsi="Times New Roman" w:cs="Times New Roman"/>
      <w:b/>
      <w:bCs/>
      <w:sz w:val="20"/>
      <w:szCs w:val="20"/>
      <w:lang w:val="cs-CZ"/>
    </w:rPr>
  </w:style>
  <w:style w:type="character" w:styleId="Hyperlink">
    <w:name w:val="Hyperlink"/>
    <w:basedOn w:val="DefaultParagraphFont"/>
    <w:uiPriority w:val="99"/>
    <w:unhideWhenUsed/>
    <w:rsid w:val="00185DB3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85DB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E6FD2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686AFD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F935FE"/>
    <w:rPr>
      <w:rFonts w:ascii="Times New Roman" w:hAnsi="Times New Roman" w:cs="Times New Roman"/>
      <w:sz w:val="24"/>
      <w:lang w:val="cs-CZ"/>
    </w:rPr>
  </w:style>
  <w:style w:type="character" w:customStyle="1" w:styleId="FooterChar">
    <w:name w:val="Footer Char"/>
    <w:basedOn w:val="DefaultParagraphFont"/>
    <w:link w:val="Footer"/>
    <w:uiPriority w:val="99"/>
    <w:rsid w:val="00F935FE"/>
    <w:rPr>
      <w:rFonts w:ascii="Times New Roman" w:hAnsi="Times New Roman" w:cs="Times New Roman"/>
      <w:sz w:val="24"/>
      <w:lang w:val="cs-CZ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lang w:val="cs-CZ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lang w:val="cs-CZ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lang w:val="cs-CZ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lang w:val="cs-CZ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lang w:val="cs-CZ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lang w:val="cs-CZ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lang w:val="cs-CZ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F935F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F935FE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F935F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"/>
    <w:pPr>
      <w:numPr>
        <w:numId w:val="11"/>
      </w:numPr>
    </w:pPr>
  </w:style>
  <w:style w:type="paragraph" w:customStyle="1" w:styleId="Tiret1">
    <w:name w:val="Tiret 1"/>
    <w:basedOn w:val="Point1"/>
    <w:pPr>
      <w:numPr>
        <w:numId w:val="12"/>
      </w:numPr>
    </w:pPr>
  </w:style>
  <w:style w:type="paragraph" w:customStyle="1" w:styleId="Tiret2">
    <w:name w:val="Tiret 2"/>
    <w:basedOn w:val="Point2"/>
    <w:pPr>
      <w:numPr>
        <w:numId w:val="13"/>
      </w:numPr>
    </w:pPr>
  </w:style>
  <w:style w:type="paragraph" w:customStyle="1" w:styleId="Tiret3">
    <w:name w:val="Tiret 3"/>
    <w:basedOn w:val="Point3"/>
    <w:pPr>
      <w:numPr>
        <w:numId w:val="14"/>
      </w:numPr>
    </w:pPr>
  </w:style>
  <w:style w:type="paragraph" w:customStyle="1" w:styleId="Tiret4">
    <w:name w:val="Tiret 4"/>
    <w:basedOn w:val="Point4"/>
    <w:pPr>
      <w:numPr>
        <w:numId w:val="15"/>
      </w:numPr>
    </w:pPr>
  </w:style>
  <w:style w:type="paragraph" w:customStyle="1" w:styleId="Tiret5">
    <w:name w:val="Tiret 5"/>
    <w:basedOn w:val="Point5"/>
    <w:pPr>
      <w:numPr>
        <w:numId w:val="16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17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17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17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17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17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17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17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19"/>
      </w:numPr>
    </w:pPr>
  </w:style>
  <w:style w:type="paragraph" w:customStyle="1" w:styleId="Point1number">
    <w:name w:val="Point 1 (number)"/>
    <w:basedOn w:val="Normal"/>
    <w:pPr>
      <w:numPr>
        <w:ilvl w:val="2"/>
        <w:numId w:val="19"/>
      </w:numPr>
    </w:pPr>
  </w:style>
  <w:style w:type="paragraph" w:customStyle="1" w:styleId="Point2number">
    <w:name w:val="Point 2 (number)"/>
    <w:basedOn w:val="Normal"/>
    <w:pPr>
      <w:numPr>
        <w:ilvl w:val="4"/>
        <w:numId w:val="19"/>
      </w:numPr>
    </w:pPr>
  </w:style>
  <w:style w:type="paragraph" w:customStyle="1" w:styleId="Point3number">
    <w:name w:val="Point 3 (number)"/>
    <w:basedOn w:val="Normal"/>
    <w:pPr>
      <w:numPr>
        <w:ilvl w:val="6"/>
        <w:numId w:val="19"/>
      </w:numPr>
    </w:pPr>
  </w:style>
  <w:style w:type="paragraph" w:customStyle="1" w:styleId="Point0letter">
    <w:name w:val="Point 0 (letter)"/>
    <w:basedOn w:val="Normal"/>
    <w:pPr>
      <w:numPr>
        <w:ilvl w:val="1"/>
        <w:numId w:val="19"/>
      </w:numPr>
    </w:pPr>
  </w:style>
  <w:style w:type="paragraph" w:customStyle="1" w:styleId="Point1letter">
    <w:name w:val="Point 1 (letter)"/>
    <w:basedOn w:val="Normal"/>
    <w:pPr>
      <w:numPr>
        <w:ilvl w:val="3"/>
        <w:numId w:val="19"/>
      </w:numPr>
    </w:pPr>
  </w:style>
  <w:style w:type="paragraph" w:customStyle="1" w:styleId="Point2letter">
    <w:name w:val="Point 2 (letter)"/>
    <w:basedOn w:val="Normal"/>
    <w:pPr>
      <w:numPr>
        <w:ilvl w:val="5"/>
        <w:numId w:val="19"/>
      </w:numPr>
    </w:pPr>
  </w:style>
  <w:style w:type="paragraph" w:customStyle="1" w:styleId="Point3letter">
    <w:name w:val="Point 3 (letter)"/>
    <w:basedOn w:val="Normal"/>
    <w:pPr>
      <w:numPr>
        <w:ilvl w:val="7"/>
        <w:numId w:val="19"/>
      </w:numPr>
    </w:pPr>
  </w:style>
  <w:style w:type="paragraph" w:customStyle="1" w:styleId="Point4letter">
    <w:name w:val="Point 4 (letter)"/>
    <w:basedOn w:val="Normal"/>
    <w:pPr>
      <w:numPr>
        <w:ilvl w:val="8"/>
        <w:numId w:val="19"/>
      </w:numPr>
    </w:pPr>
  </w:style>
  <w:style w:type="paragraph" w:customStyle="1" w:styleId="Bullet0">
    <w:name w:val="Bullet 0"/>
    <w:basedOn w:val="Normal"/>
    <w:pPr>
      <w:numPr>
        <w:numId w:val="20"/>
      </w:numPr>
    </w:pPr>
  </w:style>
  <w:style w:type="paragraph" w:customStyle="1" w:styleId="Bullet1">
    <w:name w:val="Bullet 1"/>
    <w:basedOn w:val="Normal"/>
    <w:pPr>
      <w:numPr>
        <w:numId w:val="21"/>
      </w:numPr>
    </w:pPr>
  </w:style>
  <w:style w:type="paragraph" w:customStyle="1" w:styleId="Bullet2">
    <w:name w:val="Bullet 2"/>
    <w:basedOn w:val="Normal"/>
    <w:pPr>
      <w:numPr>
        <w:numId w:val="22"/>
      </w:numPr>
    </w:pPr>
  </w:style>
  <w:style w:type="paragraph" w:customStyle="1" w:styleId="Bullet3">
    <w:name w:val="Bullet 3"/>
    <w:basedOn w:val="Normal"/>
    <w:pPr>
      <w:numPr>
        <w:numId w:val="23"/>
      </w:numPr>
    </w:pPr>
  </w:style>
  <w:style w:type="paragraph" w:customStyle="1" w:styleId="Bullet4">
    <w:name w:val="Bullet 4"/>
    <w:basedOn w:val="Normal"/>
    <w:pPr>
      <w:numPr>
        <w:numId w:val="24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25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itreobjetPagedecouverture">
    <w:name w:val="Titre objet (Page de couverture)"/>
    <w:basedOn w:val="Titreobjet"/>
    <w:next w:val="IntrtEEEPagedecouverture"/>
  </w:style>
  <w:style w:type="paragraph" w:customStyle="1" w:styleId="TypedudocumentPagedecouverture">
    <w:name w:val="Type du document (Page de couverture)"/>
    <w:basedOn w:val="Typedudocument"/>
    <w:next w:val="Titreobje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  <w:style w:type="paragraph" w:styleId="Header">
    <w:name w:val="header"/>
    <w:basedOn w:val="Normal"/>
    <w:link w:val="HeaderChar"/>
    <w:uiPriority w:val="99"/>
    <w:unhideWhenUsed/>
    <w:rsid w:val="00F935FE"/>
    <w:pPr>
      <w:tabs>
        <w:tab w:val="center" w:pos="4535"/>
        <w:tab w:val="right" w:pos="9071"/>
      </w:tabs>
      <w:spacing w:before="0"/>
    </w:pPr>
  </w:style>
  <w:style w:type="paragraph" w:customStyle="1" w:styleId="HeaderLandscape">
    <w:name w:val="HeaderLandscape"/>
    <w:basedOn w:val="Normal"/>
    <w:rsid w:val="00F935FE"/>
    <w:pPr>
      <w:tabs>
        <w:tab w:val="center" w:pos="7285"/>
        <w:tab w:val="right" w:pos="14003"/>
      </w:tabs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F935FE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customStyle="1" w:styleId="FooterLandscape">
    <w:name w:val="FooterLandscape"/>
    <w:basedOn w:val="Normal"/>
    <w:rsid w:val="00F935FE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3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0</TotalTime>
  <Pages>4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2024-05-28T14:34:00Z</dcterms:created>
  <dcterms:modified xsi:type="dcterms:W3CDTF">2024-05-30T09:45:00Z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2024-03-04T17:51:00Z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31943418-602c-49b3-ab6d-07ca073faced</vt:lpwstr>
  </property>
  <property fmtid="{D5CDD505-2E9C-101B-9397-08002B2CF9AE}" pid="8" name="MSIP_Label_6bd9ddd1-4d20-43f6-abfa-fc3c07406f94_ContentBits">
    <vt:lpwstr>0</vt:lpwstr>
  </property>
  <property fmtid="{D5CDD505-2E9C-101B-9397-08002B2CF9AE}" pid="9" name="Level of sensitivity">
    <vt:lpwstr>Standard treatment</vt:lpwstr>
  </property>
  <property fmtid="{D5CDD505-2E9C-101B-9397-08002B2CF9AE}" pid="10" name="Category">
    <vt:lpwstr>COM/AA</vt:lpwstr>
  </property>
  <property fmtid="{D5CDD505-2E9C-101B-9397-08002B2CF9AE}" pid="11" name="Last edited using">
    <vt:lpwstr>LW 9.0, Build 20230317</vt:lpwstr>
  </property>
  <property fmtid="{D5CDD505-2E9C-101B-9397-08002B2CF9AE}" pid="12" name="Part">
    <vt:lpwstr>1</vt:lpwstr>
  </property>
  <property fmtid="{D5CDD505-2E9C-101B-9397-08002B2CF9AE}" pid="13" name="Total parts">
    <vt:lpwstr>1</vt:lpwstr>
  </property>
  <property fmtid="{D5CDD505-2E9C-101B-9397-08002B2CF9AE}" pid="14" name="LWTemplateID">
    <vt:lpwstr>SJ-004</vt:lpwstr>
  </property>
  <property fmtid="{D5CDD505-2E9C-101B-9397-08002B2CF9AE}" pid="15" name="DQCStatus">
    <vt:lpwstr>Green (DQC version 03)</vt:lpwstr>
  </property>
</Properties>
</file>