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B120B3" w:rsidRDefault="001015CE" w:rsidP="001015CE">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9DA4E9A8-4A12-40D8-B789-E9F05BF29278" style="width:455.25pt;height:454.5pt">
            <v:imagedata r:id="rId7" o:title=""/>
          </v:shape>
        </w:pict>
      </w:r>
    </w:p>
    <w:p w:rsidR="001D506C" w:rsidRPr="00B120B3" w:rsidRDefault="001D506C">
      <w:pPr>
        <w:rPr>
          <w:noProof/>
        </w:rPr>
        <w:sectPr w:rsidR="001D506C" w:rsidRPr="00B120B3" w:rsidSect="001015CE">
          <w:footerReference w:type="even" r:id="rId8"/>
          <w:footerReference w:type="default" r:id="rId9"/>
          <w:pgSz w:w="11907" w:h="16839"/>
          <w:pgMar w:top="1134" w:right="1417" w:bottom="1134" w:left="1417" w:header="709" w:footer="709" w:gutter="0"/>
          <w:pgNumType w:start="0"/>
          <w:cols w:space="720"/>
          <w:docGrid w:linePitch="360"/>
        </w:sectPr>
      </w:pPr>
    </w:p>
    <w:p w:rsidR="001D506C" w:rsidRPr="00B120B3" w:rsidRDefault="00B51358" w:rsidP="00B51358">
      <w:pPr>
        <w:pStyle w:val="Typedudocument"/>
        <w:rPr>
          <w:noProof/>
        </w:rPr>
      </w:pPr>
      <w:bookmarkStart w:id="0" w:name="_GoBack"/>
      <w:bookmarkEnd w:id="0"/>
      <w:r w:rsidRPr="00B51358">
        <w:rPr>
          <w:noProof/>
        </w:rPr>
        <w:lastRenderedPageBreak/>
        <w:t>REGULAMENTUL DE PUNERE ÎN APLICARE (UE) …/… AL COMISIEI</w:t>
      </w:r>
    </w:p>
    <w:p w:rsidR="001D506C" w:rsidRPr="00B120B3" w:rsidRDefault="00E42516" w:rsidP="00B51358">
      <w:pPr>
        <w:pStyle w:val="Datedadoption"/>
        <w:rPr>
          <w:noProof/>
        </w:rPr>
      </w:pPr>
      <w:r>
        <w:rPr>
          <w:noProof/>
        </w:rPr>
        <w:t>din 6.6.2024</w:t>
      </w:r>
    </w:p>
    <w:p w:rsidR="001D506C" w:rsidRPr="00B120B3" w:rsidRDefault="00B51358" w:rsidP="00B51358">
      <w:pPr>
        <w:pStyle w:val="Titreobjet"/>
        <w:rPr>
          <w:noProof/>
        </w:rPr>
      </w:pPr>
      <w:r w:rsidRPr="00B51358">
        <w:rPr>
          <w:noProof/>
        </w:rPr>
        <w:t xml:space="preserve">de modificare a Regulamentului de punere în aplicare (UE) 2021/763 de stabilire a standardelor tehnice de punere în aplicare pentru aplicarea Regulamentului (UE) nr. 575/2013 al Parlamentului European și al Consiliului și a Directivei 2014/59/UE a Parlamentului European și a Consiliului în ceea ce privește raportarea în scopuri de supraveghere și publicarea cerinței minime de fonduri proprii și datorii eligibile </w:t>
      </w:r>
      <w:r w:rsidRPr="00B51358">
        <w:rPr>
          <w:noProof/>
        </w:rPr>
        <w:br/>
      </w:r>
    </w:p>
    <w:p w:rsidR="001D506C" w:rsidRPr="00B120B3" w:rsidRDefault="00B51358" w:rsidP="00B51358">
      <w:pPr>
        <w:pStyle w:val="IntrtEEE"/>
        <w:rPr>
          <w:noProof/>
        </w:rPr>
      </w:pPr>
      <w:r w:rsidRPr="00B51358">
        <w:rPr>
          <w:noProof/>
        </w:rPr>
        <w:t>(Text cu relevanță pentru SEE)</w:t>
      </w:r>
    </w:p>
    <w:p w:rsidR="001D506C" w:rsidRPr="00B120B3" w:rsidRDefault="001D506C" w:rsidP="004E1EF9">
      <w:pPr>
        <w:pStyle w:val="Institutionquiagit"/>
        <w:rPr>
          <w:noProof/>
        </w:rPr>
      </w:pPr>
      <w:r w:rsidRPr="00B120B3">
        <w:rPr>
          <w:noProof/>
        </w:rPr>
        <w:t>COMISIA EUROPEANĂ,</w:t>
      </w:r>
    </w:p>
    <w:p w:rsidR="001D506C" w:rsidRPr="00B120B3" w:rsidRDefault="001D506C" w:rsidP="004E1EF9">
      <w:pPr>
        <w:rPr>
          <w:noProof/>
        </w:rPr>
      </w:pPr>
      <w:r w:rsidRPr="00B120B3">
        <w:rPr>
          <w:noProof/>
          <w:color w:val="000000"/>
        </w:rPr>
        <w:t>având în vedere Tratatul privind funcționarea Uniunii Europene</w:t>
      </w:r>
      <w:r w:rsidRPr="00B120B3">
        <w:rPr>
          <w:noProof/>
        </w:rPr>
        <w:t>,</w:t>
      </w:r>
    </w:p>
    <w:p w:rsidR="000E6FD2" w:rsidRPr="00B120B3" w:rsidRDefault="000E6FD2" w:rsidP="000E6FD2">
      <w:pPr>
        <w:rPr>
          <w:noProof/>
        </w:rPr>
      </w:pPr>
      <w:r w:rsidRPr="00B120B3">
        <w:rPr>
          <w:noProof/>
        </w:rPr>
        <w:t>având în vedere Regulamentul (UE) nr. 575/2013 al Parlamentului European și al Consiliului din 26 iunie 2013 privind cerințele prudențiale pentru instituțiile de credit și de modificare a Regulamentului (UE) nr. 648/2012</w:t>
      </w:r>
      <w:r w:rsidRPr="00B120B3">
        <w:rPr>
          <w:rStyle w:val="FootnoteReference"/>
          <w:noProof/>
        </w:rPr>
        <w:footnoteReference w:id="1"/>
      </w:r>
      <w:r w:rsidRPr="00B120B3">
        <w:rPr>
          <w:noProof/>
        </w:rPr>
        <w:t>, în special articolul 430 alineatul (7) al cincilea paragraf și articolul 434a al cincilea paragraf,</w:t>
      </w:r>
    </w:p>
    <w:p w:rsidR="000E6FD2" w:rsidRPr="00B120B3" w:rsidRDefault="000E6FD2" w:rsidP="000E6FD2">
      <w:pPr>
        <w:rPr>
          <w:noProof/>
        </w:rPr>
      </w:pPr>
      <w:r w:rsidRPr="00B120B3">
        <w:rPr>
          <w:noProof/>
        </w:rPr>
        <w:t>având în vedere Directiva 2014/59/UE a Parlamentului European și a Consiliului din 15</w:t>
      </w:r>
      <w:r w:rsidR="00B51358">
        <w:rPr>
          <w:noProof/>
        </w:rPr>
        <w:t> </w:t>
      </w:r>
      <w:r w:rsidRPr="00B120B3">
        <w:rPr>
          <w:noProof/>
        </w:rPr>
        <w:t>mai</w:t>
      </w:r>
      <w:r w:rsidR="00B51358">
        <w:rPr>
          <w:noProof/>
        </w:rPr>
        <w:t> </w:t>
      </w:r>
      <w:r w:rsidRPr="00B120B3">
        <w:rPr>
          <w:noProof/>
        </w:rPr>
        <w:t>2014 de instituire a unui cadru pentru redresarea și rezoluția instituțiilor de credit și a firmelor de investiții și de modificare a Directivei 82/891/CEE a Consiliului și a Directivelor</w:t>
      </w:r>
      <w:r w:rsidR="00B51358">
        <w:rPr>
          <w:noProof/>
        </w:rPr>
        <w:t> </w:t>
      </w:r>
      <w:r w:rsidRPr="00B120B3">
        <w:rPr>
          <w:noProof/>
        </w:rPr>
        <w:t>2001/24/CE, 2002/47/CE, 2004/25/CE, 2005/56/CE, 2007/36/CE, 2011/35/UE, 2012/30/UE și 2013/36/UE ale Parlamentului European și ale Consiliului, precum și a Regulamentelor (UE) nr. 1093/2010 și (UE) nr. 648/2012 ale Parlamentului European și ale Consiliului</w:t>
      </w:r>
      <w:r w:rsidRPr="00B120B3">
        <w:rPr>
          <w:rStyle w:val="FootnoteReference"/>
          <w:noProof/>
        </w:rPr>
        <w:footnoteReference w:id="2"/>
      </w:r>
      <w:r w:rsidRPr="00B120B3">
        <w:rPr>
          <w:noProof/>
        </w:rPr>
        <w:t>, în special articolul 45i alineatul (5) al cincilea paragraf și articolul 45i alineatul</w:t>
      </w:r>
      <w:r w:rsidR="00B51358">
        <w:rPr>
          <w:noProof/>
        </w:rPr>
        <w:t> </w:t>
      </w:r>
      <w:r w:rsidRPr="00B120B3">
        <w:rPr>
          <w:noProof/>
        </w:rPr>
        <w:t>(6) al cincilea paragraf,</w:t>
      </w:r>
    </w:p>
    <w:p w:rsidR="001D506C" w:rsidRPr="00B120B3" w:rsidRDefault="001D506C" w:rsidP="004E1EF9">
      <w:pPr>
        <w:rPr>
          <w:noProof/>
        </w:rPr>
      </w:pPr>
      <w:r w:rsidRPr="00B120B3">
        <w:rPr>
          <w:noProof/>
        </w:rPr>
        <w:t>întrucât:</w:t>
      </w:r>
    </w:p>
    <w:p w:rsidR="00F83DBF" w:rsidRPr="00B120B3" w:rsidRDefault="00F83DBF" w:rsidP="0052704B">
      <w:pPr>
        <w:pStyle w:val="ManualConsidrant"/>
        <w:rPr>
          <w:noProof/>
        </w:rPr>
      </w:pPr>
      <w:r>
        <w:rPr>
          <w:noProof/>
        </w:rPr>
        <w:t>(1)</w:t>
      </w:r>
      <w:r>
        <w:rPr>
          <w:noProof/>
        </w:rPr>
        <w:tab/>
      </w:r>
      <w:r w:rsidRPr="00B120B3">
        <w:rPr>
          <w:noProof/>
        </w:rPr>
        <w:t xml:space="preserve">Regulamentul (UE) 2022/2036 al </w:t>
      </w:r>
      <w:bookmarkStart w:id="1" w:name="_Hlk159320995"/>
      <w:r w:rsidRPr="00B120B3">
        <w:rPr>
          <w:noProof/>
        </w:rPr>
        <w:t>Parlamentului European și al Consiliului</w:t>
      </w:r>
      <w:r w:rsidRPr="00B120B3">
        <w:rPr>
          <w:rStyle w:val="FootnoteReference"/>
          <w:noProof/>
        </w:rPr>
        <w:footnoteReference w:id="3"/>
      </w:r>
      <w:bookmarkEnd w:id="1"/>
      <w:r w:rsidRPr="00B120B3">
        <w:rPr>
          <w:noProof/>
        </w:rPr>
        <w:t xml:space="preserve"> a introdus în Regulamentul (UE) nr. 575/2013 cerința conform căreia entitățile intermediare dintr-un grup de rezoluție trebuie să deducă din elementele de datorii eligibile deținerile lor de instrumente de fonduri proprii și de instrumente de datorii eligibile utilizate pentru respectarea cerinței prevăzute la articolul 92b din Regulamentul</w:t>
      </w:r>
      <w:r w:rsidR="00B51358">
        <w:rPr>
          <w:noProof/>
        </w:rPr>
        <w:t> </w:t>
      </w:r>
      <w:r w:rsidRPr="00B120B3">
        <w:rPr>
          <w:noProof/>
        </w:rPr>
        <w:t>(UE)</w:t>
      </w:r>
      <w:r w:rsidR="00B51358">
        <w:rPr>
          <w:noProof/>
        </w:rPr>
        <w:t> </w:t>
      </w:r>
      <w:r w:rsidRPr="00B120B3">
        <w:rPr>
          <w:noProof/>
        </w:rPr>
        <w:t>nr. 575/2013 („cerința privind capacitatea totală internă de absorbție a pierderilor” sau „TLAC internă”) sau a cerinței prevăzute la articolul 45f din Directiva 2014/59/UE</w:t>
      </w:r>
      <w:r w:rsidRPr="00B120B3">
        <w:rPr>
          <w:rStyle w:val="FootnoteReference"/>
          <w:noProof/>
        </w:rPr>
        <w:footnoteReference w:id="4"/>
      </w:r>
      <w:r w:rsidRPr="00B120B3">
        <w:rPr>
          <w:noProof/>
        </w:rPr>
        <w:t xml:space="preserve"> („cerința minimă internă de fonduri proprii și datorii eligibile sau „MREL internă”) în cazul în care respectivele instrumente de fonduri proprii și instrumente de datorii eligibile au fost emise de entități care nu sunt ele însele entități de rezoluție și care aparțin aceluiași grup de rezoluție. Prin urmare, este necesar să se reflecte această cerință de deducere în modelele pentru publicarea informațiilor armonizate privind MREL internă și TLAC internă prevăzute în Regulamentul de punere în aplicare (UE) 2021/763 al Comisiei</w:t>
      </w:r>
      <w:r w:rsidRPr="00B120B3">
        <w:rPr>
          <w:rStyle w:val="FootnoteReference"/>
          <w:bCs/>
          <w:noProof/>
        </w:rPr>
        <w:footnoteReference w:id="5"/>
      </w:r>
      <w:r w:rsidRPr="00B120B3">
        <w:rPr>
          <w:noProof/>
        </w:rPr>
        <w:t>. Această cerință de deducere ar trebui să se reflecte, de asemenea, în informațiile armonizate furnizate autorităților competente și autorităților de rezoluție.</w:t>
      </w:r>
    </w:p>
    <w:p w:rsidR="00686AFD" w:rsidRPr="00B120B3" w:rsidRDefault="00686AFD" w:rsidP="002103AD">
      <w:pPr>
        <w:pStyle w:val="ManualConsidrant"/>
        <w:rPr>
          <w:noProof/>
        </w:rPr>
      </w:pPr>
      <w:r>
        <w:rPr>
          <w:noProof/>
        </w:rPr>
        <w:t>(2)</w:t>
      </w:r>
      <w:r>
        <w:rPr>
          <w:noProof/>
        </w:rPr>
        <w:tab/>
      </w:r>
      <w:r w:rsidRPr="00B120B3">
        <w:rPr>
          <w:noProof/>
        </w:rPr>
        <w:t>Directiva (UE) 2024/1174 a Parlamentului European și a Consiliului de modificare a Directivei 2014/59/UE și a Regulamentului (UE) nr. 806/2014 în ceea ce privește anumite aspecte ale cerinței minime de fonduri proprii și datorii eligibile</w:t>
      </w:r>
      <w:r w:rsidRPr="00B120B3">
        <w:rPr>
          <w:rStyle w:val="FootnoteReference"/>
          <w:noProof/>
        </w:rPr>
        <w:footnoteReference w:id="6"/>
      </w:r>
      <w:r w:rsidRPr="00B120B3">
        <w:rPr>
          <w:noProof/>
        </w:rPr>
        <w:t xml:space="preserve"> a modificat ulterior cerința de deducere prevăzută în Regulamentul (UE) nr. 575/2013, precizând în Directiva 2014/59/UE și în Regulamentul (UE) nr. 806/2014 faptul că entitățile intermediare dintr-un grup de rezoluție trebuie să își deducă numai deținerile de instrumente de fonduri proprii emise de entități destinate lichidării care aparțin aceluiași grup de rezoluție și care nu sunt la rândul lor entități de rezoluție, sub rezerva anumitor condiții legate de importanța semnificativă a deținerilor respective. Aceste modificări ar trebui să se reflecte, de asemenea, în informațiile armonizate prezentate în modelele pentru publicarea informațiilor și raportarea către autoritățile competente și autoritățile de rezoluție.</w:t>
      </w:r>
    </w:p>
    <w:p w:rsidR="00F83DBF" w:rsidRPr="00B120B3" w:rsidRDefault="00F83DBF" w:rsidP="00302BB5">
      <w:pPr>
        <w:pStyle w:val="ManualConsidrant"/>
        <w:rPr>
          <w:noProof/>
        </w:rPr>
      </w:pPr>
      <w:r>
        <w:rPr>
          <w:noProof/>
        </w:rPr>
        <w:t>(3)</w:t>
      </w:r>
      <w:r>
        <w:rPr>
          <w:noProof/>
        </w:rPr>
        <w:tab/>
      </w:r>
      <w:r w:rsidRPr="00B120B3">
        <w:rPr>
          <w:noProof/>
        </w:rPr>
        <w:t>Entitățile care intră sub incidența cerințelor prevăzute la articolul 92a sau la articolul</w:t>
      </w:r>
      <w:r w:rsidR="00B51358">
        <w:rPr>
          <w:noProof/>
        </w:rPr>
        <w:t> </w:t>
      </w:r>
      <w:r w:rsidRPr="00B120B3">
        <w:rPr>
          <w:noProof/>
        </w:rPr>
        <w:t>92b din Regulamentul (UE) nr. 575/2013 („cerința privind TLAC”) sau al cerinței prevăzute la articolul 45 din Directiva 2014/59/UE („MREL”) pot, cu aprobarea prealabilă a autorității lor de rezoluție, să exercite opțiunea call, să răscumpere sau să ramburseze instrumente de datorii eligibile în conformitate cu articolul 78a din Regulamentul (UE) nr. 575/2013. Cuantumurile acoperite de o astfel de aprobare reduc capacitatea entităților de a îndeplini MREL sau cerința privind TLAC. Este, așadar, necesar să se precizeze felul în care impactul acestei aprobări ar trebui să se reflecte în informațiile publicate și în raportarea către autoritățile competente și autoritățile de rezoluție.</w:t>
      </w:r>
    </w:p>
    <w:p w:rsidR="00F83DBF" w:rsidRPr="00B120B3" w:rsidRDefault="00F83DBF" w:rsidP="00F83DBF">
      <w:pPr>
        <w:pStyle w:val="ManualConsidrant"/>
        <w:rPr>
          <w:noProof/>
        </w:rPr>
      </w:pPr>
      <w:r>
        <w:rPr>
          <w:noProof/>
        </w:rPr>
        <w:t>(4)</w:t>
      </w:r>
      <w:r>
        <w:rPr>
          <w:noProof/>
        </w:rPr>
        <w:tab/>
      </w:r>
      <w:r w:rsidRPr="00B120B3">
        <w:rPr>
          <w:noProof/>
        </w:rPr>
        <w:t>Prin urmare, Regulamentul de punere în aplicare (UE) 2021/763 ar trebui modificat în consecință.</w:t>
      </w:r>
    </w:p>
    <w:p w:rsidR="00F83DBF" w:rsidRPr="00B120B3" w:rsidRDefault="00F83DBF" w:rsidP="00F83DBF">
      <w:pPr>
        <w:pStyle w:val="ManualConsidrant"/>
        <w:rPr>
          <w:noProof/>
        </w:rPr>
      </w:pPr>
      <w:r>
        <w:rPr>
          <w:noProof/>
        </w:rPr>
        <w:t>(5)</w:t>
      </w:r>
      <w:r>
        <w:rPr>
          <w:noProof/>
        </w:rPr>
        <w:tab/>
      </w:r>
      <w:r w:rsidRPr="00B120B3">
        <w:rPr>
          <w:noProof/>
        </w:rPr>
        <w:t xml:space="preserve">Prezentul regulament se bazează pe proiectul de standarde tehnice de punere în aplicare transmis Comisiei de Autoritatea Bancară Europeană. </w:t>
      </w:r>
    </w:p>
    <w:p w:rsidR="00F83DBF" w:rsidRPr="00B120B3" w:rsidRDefault="00F83DBF" w:rsidP="00F83DBF">
      <w:pPr>
        <w:pStyle w:val="ManualConsidrant"/>
        <w:rPr>
          <w:noProof/>
        </w:rPr>
      </w:pPr>
      <w:r>
        <w:rPr>
          <w:noProof/>
        </w:rPr>
        <w:t>(6)</w:t>
      </w:r>
      <w:r>
        <w:rPr>
          <w:noProof/>
        </w:rPr>
        <w:tab/>
      </w:r>
      <w:r w:rsidRPr="00B120B3">
        <w:rPr>
          <w:noProof/>
        </w:rPr>
        <w:t>Autoritatea Bancară Europeană a efectuat consultări publice deschise cu privire la proiectul de standarde tehnice de punere în aplicare pe care se bazează prezentul regulament, a analizat costurile și beneficiile potențiale aferente și a solicitat opinia Grupului părților interesate din domeniul bancar, instituit în conformitate cu articolul 37 din Regulamentul (UE) nr. 1093/2010 al Parlamentului European și al Consiliului</w:t>
      </w:r>
      <w:r w:rsidRPr="00B120B3">
        <w:rPr>
          <w:rStyle w:val="FootnoteReference"/>
          <w:noProof/>
        </w:rPr>
        <w:footnoteReference w:id="7"/>
      </w:r>
      <w:r w:rsidRPr="00B120B3">
        <w:rPr>
          <w:noProof/>
        </w:rPr>
        <w:t>.</w:t>
      </w:r>
    </w:p>
    <w:p w:rsidR="00DB127D" w:rsidRPr="00B120B3" w:rsidRDefault="00DB127D" w:rsidP="00F83DBF">
      <w:pPr>
        <w:pStyle w:val="ManualConsidrant"/>
        <w:rPr>
          <w:noProof/>
        </w:rPr>
      </w:pPr>
      <w:r>
        <w:rPr>
          <w:noProof/>
        </w:rPr>
        <w:t>(7)</w:t>
      </w:r>
      <w:r>
        <w:rPr>
          <w:noProof/>
        </w:rPr>
        <w:tab/>
      </w:r>
      <w:r w:rsidRPr="00B120B3">
        <w:rPr>
          <w:noProof/>
        </w:rPr>
        <w:t>Pentru ca entitățile care fac obiectul obligației de raportare sau de publicare de informații în conformitate cu Regulamentul (UE) nr. 575/2013 sau cu Directiva</w:t>
      </w:r>
      <w:r w:rsidR="00B51358">
        <w:rPr>
          <w:noProof/>
        </w:rPr>
        <w:t> </w:t>
      </w:r>
      <w:r w:rsidRPr="00B120B3">
        <w:rPr>
          <w:noProof/>
        </w:rPr>
        <w:t>2014/59/UE să aibă suficient timp pentru a se adapta la</w:t>
      </w:r>
      <w:bookmarkStart w:id="2" w:name="_Hlk160034996"/>
      <w:r w:rsidRPr="00B120B3">
        <w:rPr>
          <w:noProof/>
        </w:rPr>
        <w:t xml:space="preserve"> modificările aduse modelelor și informațiilor armonizate, modificările ar trebui</w:t>
      </w:r>
      <w:bookmarkEnd w:id="2"/>
      <w:r w:rsidRPr="00B120B3">
        <w:rPr>
          <w:noProof/>
        </w:rPr>
        <w:t xml:space="preserve"> să înceapă să se aplice la șase luni de la data intrării în vigoare,</w:t>
      </w:r>
    </w:p>
    <w:p w:rsidR="001D506C" w:rsidRPr="00B120B3" w:rsidRDefault="001D506C" w:rsidP="004E1EF9">
      <w:pPr>
        <w:pStyle w:val="Formuledadoption"/>
        <w:rPr>
          <w:noProof/>
        </w:rPr>
      </w:pPr>
      <w:r w:rsidRPr="00B120B3">
        <w:rPr>
          <w:noProof/>
        </w:rPr>
        <w:t>ADOPTĂ PREZENTUL REGULAMENT:</w:t>
      </w:r>
    </w:p>
    <w:p w:rsidR="001D506C" w:rsidRPr="00B120B3" w:rsidRDefault="001D506C" w:rsidP="004E1EF9">
      <w:pPr>
        <w:pStyle w:val="Titrearticle"/>
        <w:rPr>
          <w:noProof/>
        </w:rPr>
      </w:pPr>
      <w:r w:rsidRPr="00B120B3">
        <w:rPr>
          <w:noProof/>
        </w:rPr>
        <w:t>Articolul 1</w:t>
      </w:r>
    </w:p>
    <w:p w:rsidR="008D3341" w:rsidRPr="00B120B3" w:rsidRDefault="008D3341" w:rsidP="00220108">
      <w:pPr>
        <w:pStyle w:val="Titrearticle"/>
        <w:rPr>
          <w:noProof/>
        </w:rPr>
      </w:pPr>
      <w:r w:rsidRPr="00B120B3">
        <w:rPr>
          <w:noProof/>
        </w:rPr>
        <w:t>Modificări ale Regulamentului de punere în aplicare (UE) 2021/763</w:t>
      </w:r>
    </w:p>
    <w:p w:rsidR="00F83DBF" w:rsidRPr="00B120B3" w:rsidRDefault="00F83DBF" w:rsidP="00F83DBF">
      <w:pPr>
        <w:rPr>
          <w:noProof/>
        </w:rPr>
      </w:pPr>
      <w:r w:rsidRPr="00B120B3">
        <w:rPr>
          <w:noProof/>
        </w:rPr>
        <w:t>Regulamentul de punere în aplicare (UE) 2021/763 se modifică după cum urmează:</w:t>
      </w:r>
    </w:p>
    <w:p w:rsidR="00F83DBF" w:rsidRPr="00B120B3" w:rsidRDefault="004603A2" w:rsidP="000B009E">
      <w:pPr>
        <w:pStyle w:val="Point0"/>
        <w:rPr>
          <w:noProof/>
        </w:rPr>
      </w:pPr>
      <w:r>
        <w:rPr>
          <w:noProof/>
        </w:rPr>
        <w:t>(1)</w:t>
      </w:r>
      <w:r>
        <w:rPr>
          <w:noProof/>
        </w:rPr>
        <w:tab/>
      </w:r>
      <w:r w:rsidRPr="00B120B3">
        <w:rPr>
          <w:noProof/>
        </w:rPr>
        <w:t>Modelele M 02.00 și M 03.00 prevăzute în anexa I se înlocuiesc cu modelele</w:t>
      </w:r>
      <w:r w:rsidR="007A1D89">
        <w:rPr>
          <w:noProof/>
        </w:rPr>
        <w:t> </w:t>
      </w:r>
      <w:r w:rsidRPr="00B120B3">
        <w:rPr>
          <w:noProof/>
        </w:rPr>
        <w:t>M</w:t>
      </w:r>
      <w:r w:rsidR="007A1D89">
        <w:rPr>
          <w:noProof/>
        </w:rPr>
        <w:t> </w:t>
      </w:r>
      <w:r w:rsidRPr="00B120B3">
        <w:rPr>
          <w:noProof/>
        </w:rPr>
        <w:t>02.00 și M 03.00 prevăzute în anexa I la prezentul regulament.</w:t>
      </w:r>
    </w:p>
    <w:p w:rsidR="00F83DBF" w:rsidRPr="00B120B3" w:rsidRDefault="00F83DBF" w:rsidP="00220108">
      <w:pPr>
        <w:pStyle w:val="Point0"/>
        <w:rPr>
          <w:noProof/>
        </w:rPr>
      </w:pPr>
      <w:r>
        <w:rPr>
          <w:noProof/>
        </w:rPr>
        <w:t>(2)</w:t>
      </w:r>
      <w:r>
        <w:rPr>
          <w:noProof/>
        </w:rPr>
        <w:tab/>
      </w:r>
      <w:r w:rsidRPr="00B120B3">
        <w:rPr>
          <w:noProof/>
        </w:rPr>
        <w:t>Anexa II se înlocuiește cu textul din anexa II la prezentul regulament.</w:t>
      </w:r>
    </w:p>
    <w:p w:rsidR="00F83DBF" w:rsidRPr="00B120B3" w:rsidRDefault="004603A2" w:rsidP="00220108">
      <w:pPr>
        <w:pStyle w:val="Point0"/>
        <w:rPr>
          <w:noProof/>
        </w:rPr>
      </w:pPr>
      <w:r>
        <w:rPr>
          <w:noProof/>
        </w:rPr>
        <w:t>(3)</w:t>
      </w:r>
      <w:r>
        <w:rPr>
          <w:noProof/>
        </w:rPr>
        <w:tab/>
      </w:r>
      <w:r w:rsidRPr="00B120B3">
        <w:rPr>
          <w:noProof/>
        </w:rPr>
        <w:t xml:space="preserve">Modelele EU TLAC1 și EU ILAC prevăzute în anexa V se înlocuiesc cu modelele </w:t>
      </w:r>
      <w:r w:rsidR="007A1D89">
        <w:rPr>
          <w:noProof/>
        </w:rPr>
        <w:t> </w:t>
      </w:r>
      <w:r w:rsidRPr="00B120B3">
        <w:rPr>
          <w:noProof/>
        </w:rPr>
        <w:t>EU TLAC1 și EU ILAC prevăzute în anexa III la prezentul regulament.</w:t>
      </w:r>
    </w:p>
    <w:p w:rsidR="00F83DBF" w:rsidRPr="00B120B3" w:rsidRDefault="00F83DBF" w:rsidP="00220108">
      <w:pPr>
        <w:pStyle w:val="Point0"/>
        <w:rPr>
          <w:noProof/>
        </w:rPr>
      </w:pPr>
      <w:r>
        <w:rPr>
          <w:noProof/>
        </w:rPr>
        <w:t>(4)</w:t>
      </w:r>
      <w:r>
        <w:rPr>
          <w:noProof/>
        </w:rPr>
        <w:tab/>
      </w:r>
      <w:r w:rsidRPr="00B120B3">
        <w:rPr>
          <w:noProof/>
        </w:rPr>
        <w:t>Anexa VI se înlocuiește cu textul din anexa IV la prezentul regulament.</w:t>
      </w:r>
    </w:p>
    <w:p w:rsidR="00F83DBF" w:rsidRPr="00B120B3" w:rsidRDefault="00F83DBF" w:rsidP="00F83DBF">
      <w:pPr>
        <w:pStyle w:val="Titrearticle"/>
        <w:rPr>
          <w:noProof/>
        </w:rPr>
      </w:pPr>
      <w:r w:rsidRPr="00B120B3">
        <w:rPr>
          <w:noProof/>
        </w:rPr>
        <w:t>Articolul 2</w:t>
      </w:r>
    </w:p>
    <w:p w:rsidR="00CC305D" w:rsidRPr="00B120B3" w:rsidRDefault="00CC305D" w:rsidP="00583FFA">
      <w:pPr>
        <w:jc w:val="center"/>
        <w:rPr>
          <w:b/>
          <w:bCs/>
          <w:noProof/>
          <w:color w:val="000000"/>
        </w:rPr>
      </w:pPr>
      <w:r w:rsidRPr="00B120B3">
        <w:rPr>
          <w:b/>
          <w:noProof/>
          <w:color w:val="000000"/>
        </w:rPr>
        <w:t>Intrare în vigoare și aplicare</w:t>
      </w:r>
    </w:p>
    <w:p w:rsidR="00F83DBF" w:rsidRPr="00B120B3" w:rsidRDefault="00F83DBF" w:rsidP="00F83DBF">
      <w:pPr>
        <w:rPr>
          <w:noProof/>
          <w:color w:val="000000"/>
        </w:rPr>
      </w:pPr>
      <w:r w:rsidRPr="00B120B3">
        <w:rPr>
          <w:noProof/>
          <w:color w:val="000000"/>
        </w:rPr>
        <w:t xml:space="preserve">Prezentul regulament intră în vigoare în a douăzecea zi de la data publicării în </w:t>
      </w:r>
      <w:r w:rsidRPr="00B120B3">
        <w:rPr>
          <w:i/>
          <w:noProof/>
          <w:color w:val="000000"/>
        </w:rPr>
        <w:t>Jurnalul</w:t>
      </w:r>
      <w:r w:rsidR="00B51358">
        <w:rPr>
          <w:i/>
          <w:noProof/>
          <w:color w:val="000000"/>
        </w:rPr>
        <w:t> </w:t>
      </w:r>
      <w:r w:rsidRPr="00B120B3">
        <w:rPr>
          <w:i/>
          <w:noProof/>
          <w:color w:val="000000"/>
        </w:rPr>
        <w:t>Oficial al Uniunii Europene</w:t>
      </w:r>
      <w:r w:rsidRPr="00B120B3">
        <w:rPr>
          <w:noProof/>
          <w:color w:val="000000"/>
        </w:rPr>
        <w:t>.</w:t>
      </w:r>
    </w:p>
    <w:p w:rsidR="00F83DBF" w:rsidRPr="00B120B3" w:rsidRDefault="00F83DBF" w:rsidP="00F83DBF">
      <w:pPr>
        <w:rPr>
          <w:noProof/>
          <w:color w:val="000000"/>
        </w:rPr>
      </w:pPr>
      <w:r w:rsidRPr="00B120B3">
        <w:rPr>
          <w:noProof/>
          <w:color w:val="000000"/>
        </w:rPr>
        <w:t xml:space="preserve">Se aplică de la </w:t>
      </w:r>
      <w:r w:rsidRPr="00B120B3">
        <w:rPr>
          <w:i/>
          <w:noProof/>
          <w:color w:val="000000"/>
        </w:rPr>
        <w:t>[OP: a se introduce data, respectiv șase luni de la intrarea în vigoare a prezentului regulament de modificare]</w:t>
      </w:r>
      <w:r w:rsidRPr="00B120B3">
        <w:rPr>
          <w:noProof/>
          <w:color w:val="000000"/>
        </w:rPr>
        <w:t xml:space="preserve">. </w:t>
      </w:r>
    </w:p>
    <w:p w:rsidR="001D506C" w:rsidRPr="00B120B3" w:rsidRDefault="001D506C" w:rsidP="004E1EF9">
      <w:pPr>
        <w:pStyle w:val="Applicationdirecte"/>
        <w:keepNext/>
        <w:keepLines/>
        <w:rPr>
          <w:noProof/>
        </w:rPr>
      </w:pPr>
      <w:r w:rsidRPr="00B120B3">
        <w:rPr>
          <w:noProof/>
        </w:rPr>
        <w:t>Prezentul regulament este obligatoriu în toate elementele sale și se aplică direct în toate statele</w:t>
      </w:r>
      <w:r w:rsidR="00B51358">
        <w:rPr>
          <w:noProof/>
        </w:rPr>
        <w:t> </w:t>
      </w:r>
      <w:r w:rsidRPr="00B120B3">
        <w:rPr>
          <w:noProof/>
        </w:rPr>
        <w:t>membre.</w:t>
      </w:r>
    </w:p>
    <w:p w:rsidR="001D506C" w:rsidRPr="00B120B3" w:rsidRDefault="00E42516" w:rsidP="00426865">
      <w:pPr>
        <w:pStyle w:val="Fait"/>
        <w:rPr>
          <w:noProof/>
        </w:rPr>
      </w:pPr>
      <w:r>
        <w:rPr>
          <w:noProof/>
        </w:rPr>
        <w:t>Adoptat la Bruxelles, 6.6.2024</w:t>
      </w:r>
    </w:p>
    <w:p w:rsidR="001D506C" w:rsidRPr="00B120B3" w:rsidRDefault="001D506C" w:rsidP="00426865">
      <w:pPr>
        <w:pStyle w:val="Institutionquisigne"/>
        <w:rPr>
          <w:noProof/>
        </w:rPr>
      </w:pPr>
      <w:r w:rsidRPr="00B120B3">
        <w:rPr>
          <w:noProof/>
        </w:rPr>
        <w:tab/>
        <w:t>Pentru Comisie,</w:t>
      </w:r>
    </w:p>
    <w:p w:rsidR="00F718B8" w:rsidRPr="00B120B3" w:rsidRDefault="005E3963" w:rsidP="00426865">
      <w:pPr>
        <w:pStyle w:val="Personnequisigne"/>
        <w:keepNext/>
        <w:rPr>
          <w:noProof/>
        </w:rPr>
      </w:pPr>
      <w:r>
        <w:rPr>
          <w:noProof/>
        </w:rPr>
        <w:tab/>
        <w:t>Președinta</w:t>
      </w:r>
      <w:r>
        <w:rPr>
          <w:noProof/>
        </w:rPr>
        <w:br/>
      </w:r>
      <w:r>
        <w:rPr>
          <w:noProof/>
        </w:rPr>
        <w:tab/>
        <w:t>Ursula VON DER LEYEN</w:t>
      </w:r>
    </w:p>
    <w:p w:rsidR="00C402D1" w:rsidRPr="00B120B3" w:rsidRDefault="00C402D1" w:rsidP="00C402D1">
      <w:pPr>
        <w:pStyle w:val="Personnequisigne"/>
        <w:rPr>
          <w:noProof/>
        </w:rPr>
      </w:pPr>
    </w:p>
    <w:sectPr w:rsidR="00C402D1" w:rsidRPr="00B120B3" w:rsidSect="001015CE">
      <w:headerReference w:type="even" r:id="rId10"/>
      <w:footerReference w:type="even" r:id="rId11"/>
      <w:footerReference w:type="default" r:id="rId12"/>
      <w:headerReference w:type="firs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CE" w:rsidRPr="001015CE" w:rsidRDefault="001015CE" w:rsidP="001015CE">
    <w:pPr>
      <w:pStyle w:val="Footer"/>
      <w:rPr>
        <w:rFonts w:ascii="Arial" w:hAnsi="Arial" w:cs="Arial"/>
        <w:b/>
        <w:sz w:val="48"/>
      </w:rPr>
    </w:pPr>
    <w:r w:rsidRPr="001015CE">
      <w:rPr>
        <w:rFonts w:ascii="Arial" w:hAnsi="Arial" w:cs="Arial"/>
        <w:b/>
        <w:sz w:val="48"/>
      </w:rPr>
      <w:t>RO</w:t>
    </w:r>
    <w:r w:rsidRPr="001015CE">
      <w:rPr>
        <w:rFonts w:ascii="Arial" w:hAnsi="Arial" w:cs="Arial"/>
        <w:b/>
        <w:sz w:val="48"/>
      </w:rPr>
      <w:tab/>
    </w:r>
    <w:r w:rsidRPr="001015CE">
      <w:rPr>
        <w:rFonts w:ascii="Arial" w:hAnsi="Arial" w:cs="Arial"/>
        <w:b/>
        <w:sz w:val="48"/>
      </w:rPr>
      <w:tab/>
    </w:r>
    <w:r w:rsidRPr="001015CE">
      <w:tab/>
    </w:r>
    <w:r w:rsidRPr="001015CE">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CE" w:rsidRPr="001015CE" w:rsidRDefault="001015CE" w:rsidP="001015CE">
    <w:pPr>
      <w:pStyle w:val="Footer"/>
      <w:rPr>
        <w:rFonts w:ascii="Arial" w:hAnsi="Arial" w:cs="Arial"/>
        <w:b/>
        <w:sz w:val="48"/>
      </w:rPr>
    </w:pPr>
    <w:r w:rsidRPr="001015CE">
      <w:rPr>
        <w:rFonts w:ascii="Arial" w:hAnsi="Arial" w:cs="Arial"/>
        <w:b/>
        <w:sz w:val="48"/>
      </w:rPr>
      <w:t>RO</w:t>
    </w:r>
    <w:r w:rsidRPr="001015CE">
      <w:rPr>
        <w:rFonts w:ascii="Arial" w:hAnsi="Arial" w:cs="Arial"/>
        <w:b/>
        <w:sz w:val="48"/>
      </w:rPr>
      <w:tab/>
    </w:r>
    <w:r w:rsidRPr="001015CE">
      <w:rPr>
        <w:rFonts w:ascii="Arial" w:hAnsi="Arial" w:cs="Arial"/>
        <w:b/>
        <w:sz w:val="48"/>
      </w:rPr>
      <w:tab/>
    </w:r>
    <w:r w:rsidRPr="001015CE">
      <w:tab/>
    </w:r>
    <w:r w:rsidRPr="001015CE">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CE" w:rsidRDefault="001015C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CE" w:rsidRPr="001015CE" w:rsidRDefault="001015CE" w:rsidP="001015CE">
    <w:pPr>
      <w:pStyle w:val="Footer"/>
      <w:rPr>
        <w:rFonts w:ascii="Arial" w:hAnsi="Arial" w:cs="Arial"/>
        <w:b/>
        <w:sz w:val="48"/>
      </w:rPr>
    </w:pPr>
    <w:r w:rsidRPr="001015CE">
      <w:rPr>
        <w:rFonts w:ascii="Arial" w:hAnsi="Arial" w:cs="Arial"/>
        <w:b/>
        <w:sz w:val="48"/>
      </w:rPr>
      <w:t>RO</w:t>
    </w:r>
    <w:r w:rsidRPr="001015CE">
      <w:rPr>
        <w:rFonts w:ascii="Arial" w:hAnsi="Arial" w:cs="Arial"/>
        <w:b/>
        <w:sz w:val="48"/>
      </w:rPr>
      <w:tab/>
    </w:r>
    <w:r>
      <w:fldChar w:fldCharType="begin"/>
    </w:r>
    <w:r>
      <w:instrText xml:space="preserve"> PAGE  \* MERGEFORMAT </w:instrText>
    </w:r>
    <w:r>
      <w:fldChar w:fldCharType="separate"/>
    </w:r>
    <w:r w:rsidR="00426865">
      <w:rPr>
        <w:noProof/>
      </w:rPr>
      <w:t>4</w:t>
    </w:r>
    <w:r>
      <w:fldChar w:fldCharType="end"/>
    </w:r>
    <w:r>
      <w:tab/>
    </w:r>
    <w:r w:rsidRPr="001015CE">
      <w:tab/>
    </w:r>
    <w:r w:rsidRPr="001015CE">
      <w:rPr>
        <w:rFonts w:ascii="Arial" w:hAnsi="Arial" w:cs="Arial"/>
        <w:b/>
        <w:sz w:val="48"/>
      </w:rPr>
      <w:t>RO</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CE" w:rsidRDefault="001015CE" w:rsidP="001015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B51358" w:rsidRDefault="000E6FD2" w:rsidP="000E6FD2">
      <w:pPr>
        <w:pStyle w:val="FootnoteText"/>
      </w:pPr>
      <w:r w:rsidRPr="00B51358">
        <w:rPr>
          <w:rStyle w:val="FootnoteReference"/>
        </w:rPr>
        <w:footnoteRef/>
      </w:r>
      <w:r w:rsidRPr="00B51358">
        <w:tab/>
        <w:t xml:space="preserve">JO L 176, 27.6.2013, p. 1, ELI: http://data.europa.eu/eli/reg/2013/575/oj. </w:t>
      </w:r>
    </w:p>
  </w:footnote>
  <w:footnote w:id="2">
    <w:p w:rsidR="000E6FD2" w:rsidRPr="00B51358" w:rsidRDefault="000E6FD2" w:rsidP="000E6FD2">
      <w:pPr>
        <w:pStyle w:val="FootnoteText"/>
      </w:pPr>
      <w:r w:rsidRPr="00B51358">
        <w:rPr>
          <w:rStyle w:val="FootnoteReference"/>
        </w:rPr>
        <w:footnoteRef/>
      </w:r>
      <w:r w:rsidRPr="00B51358">
        <w:tab/>
        <w:t xml:space="preserve">JO L 173, 12.6.2014, p. 190, ELI: http://data.europa.eu/eli/dir/2014/59/oj. </w:t>
      </w:r>
    </w:p>
  </w:footnote>
  <w:footnote w:id="3">
    <w:p w:rsidR="00F83DBF" w:rsidRPr="00B51358" w:rsidRDefault="00F83DBF" w:rsidP="00F83DBF">
      <w:pPr>
        <w:pStyle w:val="FootnoteText"/>
      </w:pPr>
      <w:r w:rsidRPr="00B51358">
        <w:rPr>
          <w:rStyle w:val="FootnoteReference"/>
        </w:rPr>
        <w:footnoteRef/>
      </w:r>
      <w:r w:rsidRPr="00B51358">
        <w:tab/>
        <w:t>Regulamentul (UE) 2022/2036 al Parlamentului European și al Consiliului din 19 octombrie 2022 de modificare a Regulamentului (UE) nr. 575/2013 și a Directivei 2014/59/UE în ceea ce privește tratamentul prudențial al instituțiilor de importanță sistemică globală, cu o strategie de rezoluție cu mai multe puncte de intrare, și metode pentru subscrierea indirectă de instrumente eligibile în vederea îndeplinirii cerinței minime de fonduri proprii și datorii eligibile (JO L 275, 25.10.2022, p. 1, ELI: http://data.europa.eu/eli/reg/2022/2036/oj)</w:t>
      </w:r>
      <w:r w:rsidR="00B120B3" w:rsidRPr="00B51358">
        <w:t>.</w:t>
      </w:r>
    </w:p>
  </w:footnote>
  <w:footnote w:id="4">
    <w:p w:rsidR="00F83DBF" w:rsidRPr="00B51358" w:rsidRDefault="00F83DBF" w:rsidP="00F83DBF">
      <w:pPr>
        <w:pStyle w:val="FootnoteText"/>
      </w:pPr>
      <w:r w:rsidRPr="00B51358">
        <w:rPr>
          <w:rStyle w:val="FootnoteReference"/>
        </w:rPr>
        <w:footnoteRef/>
      </w:r>
      <w:r w:rsidRPr="00B51358">
        <w:tab/>
        <w:t>Directiva 2014/59/UE a Parlamentului European și a Consiliului din 15 mai 2014 de instituire a unui cadru pentru redresarea și rezoluția instituțiilor de credit și a firmelor de investiții și de modificare a Directivei 82/891/CEE a Consiliului și a Directivelor 2001/24/CE, 2002/47/CE, 2004/25/CE, 2005/56/CE, 2007/36/CE, 2011/35/UE, 2012/30/UE și 2013/36/UE ale Parlamentului European și ale Consiliului, precum și a Regulamentelor (UE) nr. 1093/2010 și (UE) nr. 648/2012 ale Parlamentului</w:t>
      </w:r>
      <w:r w:rsidR="00B51358">
        <w:t> </w:t>
      </w:r>
      <w:r w:rsidRPr="00B51358">
        <w:t>European și ale Consiliului (JO L 173, 12.6.2014, p. 190).</w:t>
      </w:r>
    </w:p>
  </w:footnote>
  <w:footnote w:id="5">
    <w:p w:rsidR="00F83DBF" w:rsidRPr="00B51358" w:rsidRDefault="00F83DBF" w:rsidP="00F83DBF">
      <w:pPr>
        <w:pStyle w:val="FootnoteText"/>
      </w:pPr>
      <w:r w:rsidRPr="00B51358">
        <w:rPr>
          <w:rStyle w:val="FootnoteReference"/>
        </w:rPr>
        <w:footnoteRef/>
      </w:r>
      <w:r w:rsidRPr="00B51358">
        <w:tab/>
        <w:t>Regulamentul de punere în aplicare (UE) 2021/763 al Comisiei din 23 aprilie 2021 de stabilire a standardelor tehnice de punere în aplicare pentru aplicarea Regulamentului (UE) nr. 575/2013 al Parlamentului European și al Consiliului și a Directivei 2014/59/UE a Parlamentului European și a Consiliului în ceea ce privește raportarea în scopuri de supraveghere și publicarea cerinței minime de fonduri proprii și datorii eligibile (JO L 168, 12.5.2021, p. 1).</w:t>
      </w:r>
    </w:p>
  </w:footnote>
  <w:footnote w:id="6">
    <w:p w:rsidR="00686AFD" w:rsidRPr="00B51358" w:rsidRDefault="00686AFD" w:rsidP="00686AFD">
      <w:pPr>
        <w:pStyle w:val="FootnoteText"/>
      </w:pPr>
      <w:r w:rsidRPr="00B51358">
        <w:rPr>
          <w:rStyle w:val="FootnoteReference"/>
        </w:rPr>
        <w:footnoteRef/>
      </w:r>
      <w:r w:rsidRPr="00B51358">
        <w:tab/>
        <w:t>Directiva (UE) 2024/1174 a Parlamentului European și a Consiliului din 11 aprilie 2024 de modificare a Directivei 2014/59/UE și a Regulamentului (UE) nr. 806/2014 în ceea ce privește anumite aspecte ale cerinței minime de fonduri proprii și datorii eligibile (JO L, 2024/1174, 22.4.2024).</w:t>
      </w:r>
    </w:p>
  </w:footnote>
  <w:footnote w:id="7">
    <w:p w:rsidR="00F83DBF" w:rsidRPr="00B51358" w:rsidRDefault="00F83DBF" w:rsidP="00F83DBF">
      <w:pPr>
        <w:pStyle w:val="FootnoteText"/>
      </w:pPr>
      <w:r w:rsidRPr="00B51358">
        <w:rPr>
          <w:rStyle w:val="FootnoteReference"/>
        </w:rPr>
        <w:footnoteRef/>
      </w:r>
      <w:r w:rsidRPr="00B51358">
        <w:tab/>
        <w:t>Regulamentul (UE) nr. 1093/2010 al Parlamentului European și al Consiliului din 24 noiembrie 2010 de instituire a Autorității europene de supraveghere (Autoritatea Bancară Europeană), de modificare a Deciziei nr. 716/2009/CE și de abrogare a Deciziei 2009/78/CE a Comisiei (JO L 331, 15.12.2010,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CE" w:rsidRDefault="001015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CE" w:rsidRDefault="001015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14"/>
  </w:num>
  <w:num w:numId="18">
    <w:abstractNumId w:val="9"/>
  </w:num>
  <w:num w:numId="19">
    <w:abstractNumId w:val="20"/>
  </w:num>
  <w:num w:numId="20">
    <w:abstractNumId w:val="8"/>
  </w:num>
  <w:num w:numId="21">
    <w:abstractNumId w:val="15"/>
  </w:num>
  <w:num w:numId="22">
    <w:abstractNumId w:val="17"/>
  </w:num>
  <w:num w:numId="23">
    <w:abstractNumId w:val="18"/>
  </w:num>
  <w:num w:numId="24">
    <w:abstractNumId w:val="10"/>
  </w:num>
  <w:num w:numId="25">
    <w:abstractNumId w:val="16"/>
  </w:num>
  <w:num w:numId="2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6:2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9DA4E9A8-4A12-40D8-B789-E9F05BF29278"/>
    <w:docVar w:name="LW_COVERPAGE_TYPE" w:val="1"/>
    <w:docVar w:name="LW_CROSSREFERENCE" w:val="&lt;UNUSED&gt;"/>
    <w:docVar w:name="LW_DATE.ADOPT.CP" w:val="din 6.6.2024"/>
    <w:docVar w:name="LW_DATE.ADOPT.CP_DATEFORMAT" w:val="din %DATE%"/>
    <w:docVar w:name="LW_DATE.ADOPT.CP_ISODATE" w:val="2024-06-06"/>
    <w:docVar w:name="LW_DocType" w:val="COM"/>
    <w:docVar w:name="LW_EMISSION" w:val="6.6.2024"/>
    <w:docVar w:name="LW_EMISSION_ISODATE" w:val="2024-06-06"/>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xt cu relevan\u539?\u259?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e modificare a Regulamentului de punere în aplicare (UE) 2021/763 de stabilire a standardelor tehnice de punere în aplicare pentru aplicarea Regulamentului (UE) nr. 575/2013 al Parlamentului European \u537?i al Consiliului \u537?i a Directivei 2014/59/UE a Parlamentului European \u537?i a Consiliului în ceea ce prive\u537?te raportarea în scopuri de supraveghere \u537?i publicarea cerin\u539?ei minime de fonduri proprii \u537?i datorii eligibile _x000b_"/>
    <w:docVar w:name="LW_TYPE.DOC.CP" w:val="REGULAMENTUL DE PUNERE ÎN APLICARE (UE) \u8230?/\u8230? AL COMISIEI"/>
    <w:docVar w:name="LwApiVersions" w:val="LW4CoDe 1.24.5.0; LW 9.0, Build 20240221"/>
  </w:docVars>
  <w:rsids>
    <w:rsidRoot w:val="001D506C"/>
    <w:rsid w:val="00093B4B"/>
    <w:rsid w:val="000955EB"/>
    <w:rsid w:val="000B009E"/>
    <w:rsid w:val="000B7A7D"/>
    <w:rsid w:val="000E6B56"/>
    <w:rsid w:val="000E6FD2"/>
    <w:rsid w:val="001015CE"/>
    <w:rsid w:val="0013442E"/>
    <w:rsid w:val="00152894"/>
    <w:rsid w:val="00185DB3"/>
    <w:rsid w:val="001B397F"/>
    <w:rsid w:val="001B6C2F"/>
    <w:rsid w:val="001D506C"/>
    <w:rsid w:val="001E7194"/>
    <w:rsid w:val="00220108"/>
    <w:rsid w:val="0022339B"/>
    <w:rsid w:val="00292AC6"/>
    <w:rsid w:val="002B65CA"/>
    <w:rsid w:val="002C09C1"/>
    <w:rsid w:val="002F0DF7"/>
    <w:rsid w:val="002F1E29"/>
    <w:rsid w:val="00302BB5"/>
    <w:rsid w:val="0031489C"/>
    <w:rsid w:val="00314C67"/>
    <w:rsid w:val="00363DC5"/>
    <w:rsid w:val="00370470"/>
    <w:rsid w:val="00380338"/>
    <w:rsid w:val="003819BF"/>
    <w:rsid w:val="0038725C"/>
    <w:rsid w:val="00391381"/>
    <w:rsid w:val="00395A77"/>
    <w:rsid w:val="00396ACD"/>
    <w:rsid w:val="003C0C4B"/>
    <w:rsid w:val="00426865"/>
    <w:rsid w:val="00437AA5"/>
    <w:rsid w:val="0044282B"/>
    <w:rsid w:val="004603A2"/>
    <w:rsid w:val="00492396"/>
    <w:rsid w:val="004B3865"/>
    <w:rsid w:val="004C38F7"/>
    <w:rsid w:val="004E19F9"/>
    <w:rsid w:val="00517205"/>
    <w:rsid w:val="0052704B"/>
    <w:rsid w:val="005279D9"/>
    <w:rsid w:val="005401F6"/>
    <w:rsid w:val="00542487"/>
    <w:rsid w:val="00580629"/>
    <w:rsid w:val="00582810"/>
    <w:rsid w:val="00583FFA"/>
    <w:rsid w:val="00595540"/>
    <w:rsid w:val="005B5FA6"/>
    <w:rsid w:val="005E1E85"/>
    <w:rsid w:val="005E3963"/>
    <w:rsid w:val="005F222A"/>
    <w:rsid w:val="005F33FF"/>
    <w:rsid w:val="006654AB"/>
    <w:rsid w:val="00680930"/>
    <w:rsid w:val="006813A6"/>
    <w:rsid w:val="00686AFD"/>
    <w:rsid w:val="006A2A68"/>
    <w:rsid w:val="006F7EFE"/>
    <w:rsid w:val="00703C0B"/>
    <w:rsid w:val="0075467B"/>
    <w:rsid w:val="007A1D89"/>
    <w:rsid w:val="007D0861"/>
    <w:rsid w:val="007D1225"/>
    <w:rsid w:val="007E010B"/>
    <w:rsid w:val="00802FC2"/>
    <w:rsid w:val="0081293E"/>
    <w:rsid w:val="0084238A"/>
    <w:rsid w:val="00852DE8"/>
    <w:rsid w:val="008C58B7"/>
    <w:rsid w:val="008C62AF"/>
    <w:rsid w:val="008C63FE"/>
    <w:rsid w:val="008D0E5E"/>
    <w:rsid w:val="008D3341"/>
    <w:rsid w:val="008E2694"/>
    <w:rsid w:val="00940731"/>
    <w:rsid w:val="009476D9"/>
    <w:rsid w:val="009702E0"/>
    <w:rsid w:val="009712C1"/>
    <w:rsid w:val="009719B6"/>
    <w:rsid w:val="009731D1"/>
    <w:rsid w:val="00985A34"/>
    <w:rsid w:val="009957C5"/>
    <w:rsid w:val="009A1A98"/>
    <w:rsid w:val="009D525D"/>
    <w:rsid w:val="00A10BBD"/>
    <w:rsid w:val="00A2735C"/>
    <w:rsid w:val="00A565C7"/>
    <w:rsid w:val="00A61FE3"/>
    <w:rsid w:val="00A63976"/>
    <w:rsid w:val="00B0742B"/>
    <w:rsid w:val="00B120B3"/>
    <w:rsid w:val="00B247D1"/>
    <w:rsid w:val="00B50A87"/>
    <w:rsid w:val="00B51358"/>
    <w:rsid w:val="00B66B0C"/>
    <w:rsid w:val="00B74403"/>
    <w:rsid w:val="00B84713"/>
    <w:rsid w:val="00B851FA"/>
    <w:rsid w:val="00BC7A75"/>
    <w:rsid w:val="00BE38E4"/>
    <w:rsid w:val="00C3731F"/>
    <w:rsid w:val="00C402D1"/>
    <w:rsid w:val="00C62ABE"/>
    <w:rsid w:val="00C72F66"/>
    <w:rsid w:val="00C9371C"/>
    <w:rsid w:val="00CB4B4C"/>
    <w:rsid w:val="00CC305D"/>
    <w:rsid w:val="00CE02BF"/>
    <w:rsid w:val="00D15425"/>
    <w:rsid w:val="00D15677"/>
    <w:rsid w:val="00D37A87"/>
    <w:rsid w:val="00D455A5"/>
    <w:rsid w:val="00D60353"/>
    <w:rsid w:val="00D73411"/>
    <w:rsid w:val="00D917AD"/>
    <w:rsid w:val="00DA38A7"/>
    <w:rsid w:val="00DB127D"/>
    <w:rsid w:val="00DB4B20"/>
    <w:rsid w:val="00E07235"/>
    <w:rsid w:val="00E247EB"/>
    <w:rsid w:val="00E33C9F"/>
    <w:rsid w:val="00E42516"/>
    <w:rsid w:val="00E71D85"/>
    <w:rsid w:val="00E83C6F"/>
    <w:rsid w:val="00E9509D"/>
    <w:rsid w:val="00E979AB"/>
    <w:rsid w:val="00EC39BC"/>
    <w:rsid w:val="00EE140B"/>
    <w:rsid w:val="00F02755"/>
    <w:rsid w:val="00F41B40"/>
    <w:rsid w:val="00F61CC7"/>
    <w:rsid w:val="00F718B8"/>
    <w:rsid w:val="00F733AF"/>
    <w:rsid w:val="00F767D0"/>
    <w:rsid w:val="00F83DBF"/>
    <w:rsid w:val="00FC2396"/>
    <w:rsid w:val="00FE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ro-RO"/>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1015CE"/>
    <w:rPr>
      <w:rFonts w:ascii="Times New Roman" w:hAnsi="Times New Roman" w:cs="Times New Roman"/>
      <w:sz w:val="24"/>
      <w:lang w:val="ro-RO"/>
    </w:rPr>
  </w:style>
  <w:style w:type="character" w:customStyle="1" w:styleId="FooterChar">
    <w:name w:val="Footer Char"/>
    <w:basedOn w:val="DefaultParagraphFont"/>
    <w:link w:val="Footer"/>
    <w:uiPriority w:val="99"/>
    <w:rsid w:val="001015CE"/>
    <w:rPr>
      <w:rFonts w:ascii="Times New Roman" w:hAnsi="Times New Roman" w:cs="Times New Roman"/>
      <w:sz w:val="24"/>
      <w:lang w:val="ro-RO"/>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ro-RO"/>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ro-RO"/>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ro-RO"/>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ro-RO"/>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ro-RO"/>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ro-RO"/>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ro-RO"/>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015CE"/>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015CE"/>
    <w:pPr>
      <w:spacing w:before="0"/>
      <w:jc w:val="right"/>
    </w:pPr>
    <w:rPr>
      <w:sz w:val="28"/>
    </w:rPr>
  </w:style>
  <w:style w:type="paragraph" w:customStyle="1" w:styleId="FooterSensitivity">
    <w:name w:val="Footer Sensitivity"/>
    <w:basedOn w:val="Normal"/>
    <w:rsid w:val="001015CE"/>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2"/>
      </w:numPr>
    </w:pPr>
  </w:style>
  <w:style w:type="paragraph" w:customStyle="1" w:styleId="Tiret1">
    <w:name w:val="Tiret 1"/>
    <w:basedOn w:val="Point1"/>
    <w:pPr>
      <w:numPr>
        <w:numId w:val="13"/>
      </w:numPr>
    </w:pPr>
  </w:style>
  <w:style w:type="paragraph" w:customStyle="1" w:styleId="Tiret2">
    <w:name w:val="Tiret 2"/>
    <w:basedOn w:val="Point2"/>
    <w:pPr>
      <w:numPr>
        <w:numId w:val="14"/>
      </w:numPr>
    </w:pPr>
  </w:style>
  <w:style w:type="paragraph" w:customStyle="1" w:styleId="Tiret3">
    <w:name w:val="Tiret 3"/>
    <w:basedOn w:val="Point3"/>
    <w:pPr>
      <w:numPr>
        <w:numId w:val="15"/>
      </w:numPr>
    </w:pPr>
  </w:style>
  <w:style w:type="paragraph" w:customStyle="1" w:styleId="Tiret4">
    <w:name w:val="Tiret 4"/>
    <w:basedOn w:val="Point4"/>
    <w:pPr>
      <w:numPr>
        <w:numId w:val="16"/>
      </w:numPr>
    </w:pPr>
  </w:style>
  <w:style w:type="paragraph" w:customStyle="1" w:styleId="Tiret5">
    <w:name w:val="Tiret 5"/>
    <w:basedOn w:val="Point5"/>
    <w:pPr>
      <w:numPr>
        <w:numId w:val="1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8"/>
      </w:numPr>
    </w:pPr>
  </w:style>
  <w:style w:type="paragraph" w:customStyle="1" w:styleId="NumPar2">
    <w:name w:val="NumPar 2"/>
    <w:basedOn w:val="Normal"/>
    <w:next w:val="Text1"/>
    <w:pPr>
      <w:numPr>
        <w:ilvl w:val="1"/>
        <w:numId w:val="18"/>
      </w:numPr>
    </w:pPr>
  </w:style>
  <w:style w:type="paragraph" w:customStyle="1" w:styleId="NumPar3">
    <w:name w:val="NumPar 3"/>
    <w:basedOn w:val="Normal"/>
    <w:next w:val="Text1"/>
    <w:pPr>
      <w:numPr>
        <w:ilvl w:val="2"/>
        <w:numId w:val="18"/>
      </w:numPr>
    </w:pPr>
  </w:style>
  <w:style w:type="paragraph" w:customStyle="1" w:styleId="NumPar4">
    <w:name w:val="NumPar 4"/>
    <w:basedOn w:val="Normal"/>
    <w:next w:val="Text1"/>
    <w:pPr>
      <w:numPr>
        <w:ilvl w:val="3"/>
        <w:numId w:val="18"/>
      </w:numPr>
    </w:pPr>
  </w:style>
  <w:style w:type="paragraph" w:customStyle="1" w:styleId="NumPar5">
    <w:name w:val="NumPar 5"/>
    <w:basedOn w:val="Normal"/>
    <w:next w:val="Text2"/>
    <w:pPr>
      <w:numPr>
        <w:ilvl w:val="4"/>
        <w:numId w:val="18"/>
      </w:numPr>
    </w:pPr>
  </w:style>
  <w:style w:type="paragraph" w:customStyle="1" w:styleId="NumPar6">
    <w:name w:val="NumPar 6"/>
    <w:basedOn w:val="Normal"/>
    <w:next w:val="Text2"/>
    <w:pPr>
      <w:numPr>
        <w:ilvl w:val="5"/>
        <w:numId w:val="18"/>
      </w:numPr>
    </w:pPr>
  </w:style>
  <w:style w:type="paragraph" w:customStyle="1" w:styleId="NumPar7">
    <w:name w:val="NumPar 7"/>
    <w:basedOn w:val="Normal"/>
    <w:next w:val="Text2"/>
    <w:pPr>
      <w:numPr>
        <w:ilvl w:val="6"/>
        <w:numId w:val="1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0"/>
      </w:numPr>
    </w:pPr>
  </w:style>
  <w:style w:type="paragraph" w:customStyle="1" w:styleId="Point1number">
    <w:name w:val="Point 1 (number)"/>
    <w:basedOn w:val="Normal"/>
    <w:pPr>
      <w:numPr>
        <w:ilvl w:val="2"/>
        <w:numId w:val="20"/>
      </w:numPr>
    </w:pPr>
  </w:style>
  <w:style w:type="paragraph" w:customStyle="1" w:styleId="Point2number">
    <w:name w:val="Point 2 (number)"/>
    <w:basedOn w:val="Normal"/>
    <w:pPr>
      <w:numPr>
        <w:ilvl w:val="4"/>
        <w:numId w:val="20"/>
      </w:numPr>
    </w:pPr>
  </w:style>
  <w:style w:type="paragraph" w:customStyle="1" w:styleId="Point3number">
    <w:name w:val="Point 3 (number)"/>
    <w:basedOn w:val="Normal"/>
    <w:pPr>
      <w:numPr>
        <w:ilvl w:val="6"/>
        <w:numId w:val="20"/>
      </w:numPr>
    </w:pPr>
  </w:style>
  <w:style w:type="paragraph" w:customStyle="1" w:styleId="Point0letter">
    <w:name w:val="Point 0 (letter)"/>
    <w:basedOn w:val="Normal"/>
    <w:pPr>
      <w:numPr>
        <w:ilvl w:val="1"/>
        <w:numId w:val="20"/>
      </w:numPr>
    </w:pPr>
  </w:style>
  <w:style w:type="paragraph" w:customStyle="1" w:styleId="Point1letter">
    <w:name w:val="Point 1 (letter)"/>
    <w:basedOn w:val="Normal"/>
    <w:pPr>
      <w:numPr>
        <w:ilvl w:val="3"/>
        <w:numId w:val="20"/>
      </w:numPr>
    </w:pPr>
  </w:style>
  <w:style w:type="paragraph" w:customStyle="1" w:styleId="Point2letter">
    <w:name w:val="Point 2 (letter)"/>
    <w:basedOn w:val="Normal"/>
    <w:pPr>
      <w:numPr>
        <w:ilvl w:val="5"/>
        <w:numId w:val="20"/>
      </w:numPr>
    </w:pPr>
  </w:style>
  <w:style w:type="paragraph" w:customStyle="1" w:styleId="Point3letter">
    <w:name w:val="Point 3 (letter)"/>
    <w:basedOn w:val="Normal"/>
    <w:pPr>
      <w:numPr>
        <w:ilvl w:val="7"/>
        <w:numId w:val="20"/>
      </w:numPr>
    </w:pPr>
  </w:style>
  <w:style w:type="paragraph" w:customStyle="1" w:styleId="Point4letter">
    <w:name w:val="Point 4 (letter)"/>
    <w:basedOn w:val="Normal"/>
    <w:pPr>
      <w:numPr>
        <w:ilvl w:val="8"/>
        <w:numId w:val="20"/>
      </w:numPr>
    </w:pPr>
  </w:style>
  <w:style w:type="paragraph" w:customStyle="1" w:styleId="Bullet0">
    <w:name w:val="Bullet 0"/>
    <w:basedOn w:val="Normal"/>
    <w:pPr>
      <w:numPr>
        <w:numId w:val="21"/>
      </w:numPr>
    </w:pPr>
  </w:style>
  <w:style w:type="paragraph" w:customStyle="1" w:styleId="Bullet1">
    <w:name w:val="Bullet 1"/>
    <w:basedOn w:val="Normal"/>
    <w:pPr>
      <w:numPr>
        <w:numId w:val="22"/>
      </w:numPr>
    </w:pPr>
  </w:style>
  <w:style w:type="paragraph" w:customStyle="1" w:styleId="Bullet2">
    <w:name w:val="Bullet 2"/>
    <w:basedOn w:val="Normal"/>
    <w:pPr>
      <w:numPr>
        <w:numId w:val="23"/>
      </w:numPr>
    </w:pPr>
  </w:style>
  <w:style w:type="paragraph" w:customStyle="1" w:styleId="Bullet3">
    <w:name w:val="Bullet 3"/>
    <w:basedOn w:val="Normal"/>
    <w:pPr>
      <w:numPr>
        <w:numId w:val="24"/>
      </w:numPr>
    </w:pPr>
  </w:style>
  <w:style w:type="paragraph" w:customStyle="1" w:styleId="Bullet4">
    <w:name w:val="Bullet 4"/>
    <w:basedOn w:val="Normal"/>
    <w:pPr>
      <w:numPr>
        <w:numId w:val="2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1015CE"/>
    <w:pPr>
      <w:tabs>
        <w:tab w:val="center" w:pos="4535"/>
        <w:tab w:val="right" w:pos="9071"/>
      </w:tabs>
      <w:spacing w:before="0"/>
    </w:pPr>
  </w:style>
  <w:style w:type="paragraph" w:customStyle="1" w:styleId="HeaderLandscape">
    <w:name w:val="HeaderLandscape"/>
    <w:basedOn w:val="Normal"/>
    <w:rsid w:val="001015CE"/>
    <w:pPr>
      <w:tabs>
        <w:tab w:val="center" w:pos="7285"/>
        <w:tab w:val="right" w:pos="14003"/>
      </w:tabs>
      <w:spacing w:before="0"/>
    </w:pPr>
  </w:style>
  <w:style w:type="paragraph" w:styleId="Footer">
    <w:name w:val="footer"/>
    <w:basedOn w:val="Normal"/>
    <w:link w:val="FooterChar"/>
    <w:uiPriority w:val="99"/>
    <w:unhideWhenUsed/>
    <w:rsid w:val="001015CE"/>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1015CE"/>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5</Pages>
  <Words>1015</Words>
  <Characters>5789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