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Default="001454FE" w:rsidP="001454F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58BCA80-D558-489F-A19E-97862FAB91BF" style="width:455.25pt;height:441pt">
            <v:imagedata r:id="rId7" o:title=""/>
          </v:shape>
        </w:pict>
      </w:r>
    </w:p>
    <w:p w:rsidR="001D506C" w:rsidRPr="00922C91" w:rsidRDefault="001D506C">
      <w:pPr>
        <w:rPr>
          <w:noProof/>
        </w:rPr>
        <w:sectPr w:rsidR="001D506C" w:rsidRPr="00922C91" w:rsidSect="001454FE">
          <w:footerReference w:type="even" r:id="rId8"/>
          <w:footerReference w:type="default" r:id="rId9"/>
          <w:pgSz w:w="11907" w:h="16839"/>
          <w:pgMar w:top="1134" w:right="1417" w:bottom="1134" w:left="1417" w:header="709" w:footer="709" w:gutter="0"/>
          <w:pgNumType w:start="0"/>
          <w:cols w:space="720"/>
          <w:docGrid w:linePitch="360"/>
        </w:sectPr>
      </w:pPr>
    </w:p>
    <w:p w:rsidR="001D506C" w:rsidRPr="00922C91" w:rsidRDefault="000E6B56" w:rsidP="000E6B56">
      <w:pPr>
        <w:pStyle w:val="Typedudocument"/>
        <w:rPr>
          <w:noProof/>
        </w:rPr>
      </w:pPr>
      <w:bookmarkStart w:id="0" w:name="_GoBack"/>
      <w:bookmarkEnd w:id="0"/>
      <w:r w:rsidRPr="000E6B56">
        <w:rPr>
          <w:noProof/>
        </w:rPr>
        <w:lastRenderedPageBreak/>
        <w:t>COMMISSION IMPLEMENTING REGULATION (EU) …/...</w:t>
      </w:r>
    </w:p>
    <w:p w:rsidR="001D506C" w:rsidRPr="00922C91" w:rsidRDefault="00DD1384" w:rsidP="000E6B56">
      <w:pPr>
        <w:pStyle w:val="Datedadoption"/>
        <w:rPr>
          <w:noProof/>
        </w:rPr>
      </w:pPr>
      <w:r>
        <w:rPr>
          <w:noProof/>
        </w:rPr>
        <w:t>of 6.6.2024</w:t>
      </w:r>
    </w:p>
    <w:p w:rsidR="001D506C" w:rsidRPr="00922C91" w:rsidRDefault="000E6B56" w:rsidP="000E6B56">
      <w:pPr>
        <w:pStyle w:val="Titreobjet"/>
        <w:rPr>
          <w:noProof/>
        </w:rPr>
      </w:pPr>
      <w:r w:rsidRPr="000E6B56">
        <w:rPr>
          <w:noProof/>
        </w:rPr>
        <w:t xml:space="preserve">amending Implementing Regulation (EU) 2021/763 laying down implementing technical standards for the application of Regulation (EU) No 575/2013 of the European Parliament and of the Council and Directive 2014/59/EU of the European Parliament and of the Council with regard to the supervisory reporting and public disclosure of the minimum requirement for own funds and eligible liabilities </w:t>
      </w:r>
      <w:r w:rsidRPr="000E6B56">
        <w:rPr>
          <w:noProof/>
        </w:rPr>
        <w:br/>
      </w:r>
    </w:p>
    <w:p w:rsidR="001D506C" w:rsidRPr="001D506C" w:rsidRDefault="000E6B56" w:rsidP="000E6B56">
      <w:pPr>
        <w:pStyle w:val="IntrtEEE"/>
        <w:rPr>
          <w:noProof/>
        </w:rPr>
      </w:pPr>
      <w:r w:rsidRPr="000E6B56">
        <w:rPr>
          <w:noProof/>
        </w:rPr>
        <w:t>(Text with EEA relevance)</w:t>
      </w:r>
    </w:p>
    <w:p w:rsidR="001D506C" w:rsidRPr="00922C91" w:rsidRDefault="001D506C" w:rsidP="004E1EF9">
      <w:pPr>
        <w:pStyle w:val="Institutionquiagit"/>
        <w:rPr>
          <w:noProof/>
        </w:rPr>
      </w:pPr>
      <w:r w:rsidRPr="00922C91">
        <w:rPr>
          <w:noProof/>
        </w:rPr>
        <w:t>THE EUROPEAN COMMISSION,</w:t>
      </w:r>
    </w:p>
    <w:p w:rsidR="001D506C" w:rsidRPr="00922C91" w:rsidRDefault="001D506C" w:rsidP="004E1EF9">
      <w:pPr>
        <w:rPr>
          <w:noProof/>
        </w:rPr>
      </w:pPr>
      <w:r w:rsidRPr="00922C91">
        <w:rPr>
          <w:noProof/>
          <w:color w:val="000000"/>
        </w:rPr>
        <w:t>Having regard to the Treaty on the Functioning of the European Union</w:t>
      </w:r>
      <w:r w:rsidRPr="00922C91">
        <w:rPr>
          <w:noProof/>
        </w:rPr>
        <w:t>,</w:t>
      </w:r>
    </w:p>
    <w:p w:rsidR="000E6FD2" w:rsidRDefault="000E6FD2" w:rsidP="000E6FD2">
      <w:pPr>
        <w:rPr>
          <w:noProof/>
        </w:rPr>
      </w:pPr>
      <w:r>
        <w:rPr>
          <w:noProof/>
        </w:rPr>
        <w:t xml:space="preserve">Having regard to Regulation (EU) No 575/2013 of the European Parliament and of the Council </w:t>
      </w:r>
      <w:r w:rsidR="00985A34">
        <w:rPr>
          <w:noProof/>
        </w:rPr>
        <w:t xml:space="preserve">of 26 June 2013 </w:t>
      </w:r>
      <w:r>
        <w:rPr>
          <w:noProof/>
        </w:rPr>
        <w:t>on prudential requirements for credit institutions and amending Regulation (EU) No 648/2012</w:t>
      </w:r>
      <w:r w:rsidRPr="00922C91">
        <w:rPr>
          <w:rStyle w:val="FootnoteReference"/>
          <w:noProof/>
        </w:rPr>
        <w:footnoteReference w:id="1"/>
      </w:r>
      <w:r>
        <w:rPr>
          <w:noProof/>
        </w:rPr>
        <w:t>, and in particular Article 430(7)</w:t>
      </w:r>
      <w:r w:rsidR="0022339B">
        <w:rPr>
          <w:noProof/>
        </w:rPr>
        <w:t>,</w:t>
      </w:r>
      <w:r w:rsidR="0022339B" w:rsidRPr="0022339B">
        <w:rPr>
          <w:noProof/>
        </w:rPr>
        <w:t xml:space="preserve"> </w:t>
      </w:r>
      <w:r w:rsidR="0022339B">
        <w:rPr>
          <w:noProof/>
        </w:rPr>
        <w:t>fifth subparagraph,</w:t>
      </w:r>
      <w:r>
        <w:rPr>
          <w:noProof/>
        </w:rPr>
        <w:t xml:space="preserve"> and Article 434a</w:t>
      </w:r>
      <w:r w:rsidR="0022339B">
        <w:rPr>
          <w:noProof/>
        </w:rPr>
        <w:t>, fifth subparagraph,</w:t>
      </w:r>
      <w:r>
        <w:rPr>
          <w:noProof/>
        </w:rPr>
        <w:t xml:space="preserve"> thereof,</w:t>
      </w:r>
    </w:p>
    <w:p w:rsidR="000E6FD2" w:rsidRDefault="000E6FD2" w:rsidP="000E6FD2">
      <w:pPr>
        <w:rPr>
          <w:noProof/>
        </w:rPr>
      </w:pPr>
      <w:r>
        <w:rPr>
          <w:noProof/>
        </w:rPr>
        <w:t xml:space="preserve">Having regard to Directive 2014/59/EU of the European Parliament and of the Council </w:t>
      </w:r>
      <w:r w:rsidR="004B3865">
        <w:rPr>
          <w:noProof/>
        </w:rPr>
        <w:t xml:space="preserve">of 15 May 2014 </w:t>
      </w:r>
      <w:r>
        <w:rPr>
          <w:noProof/>
        </w:rPr>
        <w:t>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Pr="00922C91">
        <w:rPr>
          <w:rStyle w:val="FootnoteReference"/>
          <w:noProof/>
        </w:rPr>
        <w:footnoteReference w:id="2"/>
      </w:r>
      <w:r>
        <w:rPr>
          <w:noProof/>
        </w:rPr>
        <w:t>, and in particular Article 45i(5)</w:t>
      </w:r>
      <w:r w:rsidR="0022339B">
        <w:rPr>
          <w:noProof/>
        </w:rPr>
        <w:t>, fifth subparagraph,</w:t>
      </w:r>
      <w:r>
        <w:rPr>
          <w:noProof/>
        </w:rPr>
        <w:t xml:space="preserve"> and </w:t>
      </w:r>
      <w:r w:rsidR="0022339B">
        <w:rPr>
          <w:noProof/>
        </w:rPr>
        <w:t>Article 45i</w:t>
      </w:r>
      <w:r>
        <w:rPr>
          <w:noProof/>
        </w:rPr>
        <w:t>(6)</w:t>
      </w:r>
      <w:r w:rsidR="0022339B">
        <w:rPr>
          <w:noProof/>
        </w:rPr>
        <w:t>, fifth subparagraph,</w:t>
      </w:r>
      <w:r>
        <w:rPr>
          <w:noProof/>
        </w:rPr>
        <w:t xml:space="preserve"> thereof,</w:t>
      </w:r>
    </w:p>
    <w:p w:rsidR="001D506C" w:rsidRPr="00922C91" w:rsidRDefault="001D506C" w:rsidP="004E1EF9">
      <w:pPr>
        <w:rPr>
          <w:noProof/>
        </w:rPr>
      </w:pPr>
      <w:r w:rsidRPr="00922C91">
        <w:rPr>
          <w:noProof/>
        </w:rPr>
        <w:t>Whereas:</w:t>
      </w:r>
    </w:p>
    <w:p w:rsidR="00F83DBF" w:rsidRDefault="00F83DBF" w:rsidP="0052704B">
      <w:pPr>
        <w:pStyle w:val="ManualConsidrant"/>
        <w:rPr>
          <w:noProof/>
        </w:rPr>
      </w:pPr>
      <w:r>
        <w:rPr>
          <w:noProof/>
        </w:rPr>
        <w:t>(1)</w:t>
      </w:r>
      <w:r>
        <w:rPr>
          <w:noProof/>
        </w:rPr>
        <w:tab/>
      </w:r>
      <w:r w:rsidRPr="007A44ED">
        <w:rPr>
          <w:noProof/>
        </w:rPr>
        <w:t>Regulation (EU) 2022/2036</w:t>
      </w:r>
      <w:r w:rsidR="005F222A">
        <w:rPr>
          <w:noProof/>
        </w:rPr>
        <w:t xml:space="preserve"> </w:t>
      </w:r>
      <w:r w:rsidR="005F222A" w:rsidRPr="00B8689F">
        <w:rPr>
          <w:noProof/>
        </w:rPr>
        <w:t xml:space="preserve">of the </w:t>
      </w:r>
      <w:bookmarkStart w:id="1" w:name="_Hlk159320995"/>
      <w:r w:rsidR="005F222A" w:rsidRPr="00B8689F">
        <w:rPr>
          <w:noProof/>
        </w:rPr>
        <w:t>European Parliament and of the Council</w:t>
      </w:r>
      <w:bookmarkEnd w:id="1"/>
      <w:r w:rsidRPr="007A44ED">
        <w:rPr>
          <w:rStyle w:val="FootnoteReference"/>
          <w:noProof/>
        </w:rPr>
        <w:footnoteReference w:id="3"/>
      </w:r>
      <w:r w:rsidRPr="007A44ED">
        <w:rPr>
          <w:noProof/>
        </w:rPr>
        <w:t xml:space="preserve"> introduced</w:t>
      </w:r>
      <w:r w:rsidR="00D15677">
        <w:rPr>
          <w:noProof/>
        </w:rPr>
        <w:t xml:space="preserve"> into Regulation (</w:t>
      </w:r>
      <w:r w:rsidR="00D15677" w:rsidRPr="005F112C">
        <w:rPr>
          <w:noProof/>
        </w:rPr>
        <w:t>EU) No 575/2013</w:t>
      </w:r>
      <w:r w:rsidR="00703C0B">
        <w:rPr>
          <w:noProof/>
        </w:rPr>
        <w:t xml:space="preserve"> </w:t>
      </w:r>
      <w:r w:rsidRPr="007A44ED">
        <w:rPr>
          <w:noProof/>
        </w:rPr>
        <w:t xml:space="preserve">the requirement that intermediate entities in a resolution group </w:t>
      </w:r>
      <w:r w:rsidR="00D15677">
        <w:rPr>
          <w:noProof/>
        </w:rPr>
        <w:t>are to</w:t>
      </w:r>
      <w:r w:rsidR="00D15677" w:rsidRPr="007A44ED">
        <w:rPr>
          <w:noProof/>
        </w:rPr>
        <w:t xml:space="preserve"> </w:t>
      </w:r>
      <w:r w:rsidRPr="007A44ED">
        <w:rPr>
          <w:noProof/>
        </w:rPr>
        <w:t>deduct</w:t>
      </w:r>
      <w:r w:rsidR="005279D9" w:rsidRPr="005279D9">
        <w:rPr>
          <w:noProof/>
        </w:rPr>
        <w:t xml:space="preserve"> </w:t>
      </w:r>
      <w:r w:rsidR="005279D9" w:rsidRPr="008C58B7">
        <w:rPr>
          <w:noProof/>
        </w:rPr>
        <w:t>from eligible liabilities items</w:t>
      </w:r>
      <w:r w:rsidR="008C58B7">
        <w:rPr>
          <w:noProof/>
        </w:rPr>
        <w:t xml:space="preserve"> </w:t>
      </w:r>
      <w:r w:rsidRPr="007A44ED">
        <w:rPr>
          <w:noProof/>
        </w:rPr>
        <w:t xml:space="preserve">their holdings of </w:t>
      </w:r>
      <w:r w:rsidR="005F33FF">
        <w:rPr>
          <w:noProof/>
        </w:rPr>
        <w:t xml:space="preserve">own funds instruments and eligible liabilities instruments used </w:t>
      </w:r>
      <w:r w:rsidRPr="007A44ED">
        <w:rPr>
          <w:noProof/>
        </w:rPr>
        <w:t>for the compliance with the requirement</w:t>
      </w:r>
      <w:r w:rsidR="005F33FF">
        <w:rPr>
          <w:noProof/>
        </w:rPr>
        <w:t xml:space="preserve"> set out in</w:t>
      </w:r>
      <w:r w:rsidRPr="007A44ED">
        <w:rPr>
          <w:noProof/>
        </w:rPr>
        <w:t xml:space="preserve"> Article 92b of Regulation (EU) No 575/2013 (‘internal</w:t>
      </w:r>
      <w:r w:rsidR="005279D9">
        <w:rPr>
          <w:noProof/>
        </w:rPr>
        <w:t xml:space="preserve"> Total Loss-absorbing Capacity</w:t>
      </w:r>
      <w:r w:rsidRPr="007A44ED">
        <w:rPr>
          <w:noProof/>
        </w:rPr>
        <w:t xml:space="preserve"> requirement’</w:t>
      </w:r>
      <w:r w:rsidR="00CB4B4C">
        <w:rPr>
          <w:noProof/>
        </w:rPr>
        <w:t xml:space="preserve"> or </w:t>
      </w:r>
      <w:r w:rsidR="005279D9">
        <w:rPr>
          <w:noProof/>
        </w:rPr>
        <w:t xml:space="preserve">‘internal </w:t>
      </w:r>
      <w:r w:rsidR="005279D9" w:rsidRPr="007A44ED">
        <w:rPr>
          <w:noProof/>
        </w:rPr>
        <w:t>TLAC</w:t>
      </w:r>
      <w:r w:rsidR="00703C0B">
        <w:rPr>
          <w:noProof/>
        </w:rPr>
        <w:t>’</w:t>
      </w:r>
      <w:r w:rsidRPr="007A44ED">
        <w:rPr>
          <w:noProof/>
        </w:rPr>
        <w:t xml:space="preserve">) or </w:t>
      </w:r>
      <w:r w:rsidR="005F33FF">
        <w:rPr>
          <w:noProof/>
        </w:rPr>
        <w:t xml:space="preserve">the requirement set out in </w:t>
      </w:r>
      <w:r w:rsidRPr="008C58B7">
        <w:rPr>
          <w:noProof/>
        </w:rPr>
        <w:t>Article 45</w:t>
      </w:r>
      <w:r w:rsidR="005279D9" w:rsidRPr="008C58B7">
        <w:rPr>
          <w:noProof/>
        </w:rPr>
        <w:t>f</w:t>
      </w:r>
      <w:r w:rsidRPr="007A44ED">
        <w:rPr>
          <w:noProof/>
        </w:rPr>
        <w:t xml:space="preserve"> of Directive 2014/59/EU</w:t>
      </w:r>
      <w:r w:rsidRPr="007A44ED">
        <w:rPr>
          <w:rStyle w:val="FootnoteReference"/>
          <w:noProof/>
        </w:rPr>
        <w:footnoteReference w:id="4"/>
      </w:r>
      <w:r w:rsidRPr="007A44ED">
        <w:rPr>
          <w:noProof/>
        </w:rPr>
        <w:t xml:space="preserve"> (</w:t>
      </w:r>
      <w:r w:rsidR="005279D9">
        <w:rPr>
          <w:noProof/>
        </w:rPr>
        <w:t>‘</w:t>
      </w:r>
      <w:r w:rsidR="005279D9" w:rsidRPr="007A44ED">
        <w:rPr>
          <w:noProof/>
        </w:rPr>
        <w:t>internal</w:t>
      </w:r>
      <w:r w:rsidR="005F33FF">
        <w:rPr>
          <w:noProof/>
        </w:rPr>
        <w:t xml:space="preserve"> </w:t>
      </w:r>
      <w:r w:rsidR="005279D9" w:rsidRPr="009567F2">
        <w:rPr>
          <w:noProof/>
        </w:rPr>
        <w:t>minimum requirement for own funds and eligible liabilities</w:t>
      </w:r>
      <w:r w:rsidR="004B3865">
        <w:rPr>
          <w:noProof/>
        </w:rPr>
        <w:t>’</w:t>
      </w:r>
      <w:r w:rsidR="00CB4B4C">
        <w:rPr>
          <w:noProof/>
        </w:rPr>
        <w:t xml:space="preserve"> or</w:t>
      </w:r>
      <w:r w:rsidR="00703C0B">
        <w:rPr>
          <w:noProof/>
        </w:rPr>
        <w:t xml:space="preserve"> </w:t>
      </w:r>
      <w:r w:rsidRPr="007A44ED">
        <w:rPr>
          <w:noProof/>
        </w:rPr>
        <w:t>‘internal MREL’)</w:t>
      </w:r>
      <w:r w:rsidR="00DA38A7">
        <w:rPr>
          <w:noProof/>
        </w:rPr>
        <w:t xml:space="preserve"> </w:t>
      </w:r>
      <w:r w:rsidR="005F33FF">
        <w:rPr>
          <w:noProof/>
        </w:rPr>
        <w:t xml:space="preserve">where those own funds </w:t>
      </w:r>
      <w:r w:rsidR="005F33FF">
        <w:rPr>
          <w:noProof/>
        </w:rPr>
        <w:lastRenderedPageBreak/>
        <w:t xml:space="preserve">instruments and eligible liabilities instruments were </w:t>
      </w:r>
      <w:r w:rsidRPr="007A44ED">
        <w:rPr>
          <w:noProof/>
        </w:rPr>
        <w:t xml:space="preserve">issued by entities that are not themselves resolution entities and </w:t>
      </w:r>
      <w:r w:rsidR="005279D9">
        <w:rPr>
          <w:noProof/>
        </w:rPr>
        <w:t>that</w:t>
      </w:r>
      <w:r w:rsidR="005279D9" w:rsidRPr="007A44ED">
        <w:rPr>
          <w:noProof/>
        </w:rPr>
        <w:t xml:space="preserve"> </w:t>
      </w:r>
      <w:r w:rsidRPr="007A44ED">
        <w:rPr>
          <w:noProof/>
        </w:rPr>
        <w:t xml:space="preserve">belong to the same resolution group. </w:t>
      </w:r>
      <w:r w:rsidR="006A2A68">
        <w:rPr>
          <w:noProof/>
        </w:rPr>
        <w:t xml:space="preserve">Therefore, it is necessary </w:t>
      </w:r>
      <w:r w:rsidRPr="007A44ED">
        <w:rPr>
          <w:noProof/>
        </w:rPr>
        <w:t xml:space="preserve">to reflect this </w:t>
      </w:r>
      <w:r w:rsidR="005E1E85">
        <w:rPr>
          <w:noProof/>
        </w:rPr>
        <w:t xml:space="preserve">deduction </w:t>
      </w:r>
      <w:r w:rsidRPr="007A44ED">
        <w:rPr>
          <w:noProof/>
        </w:rPr>
        <w:t xml:space="preserve">requirement in the templates for the public disclosure of harmonised information on internal MREL and internal TLAC set out in </w:t>
      </w:r>
      <w:r w:rsidR="00CC305D">
        <w:rPr>
          <w:noProof/>
        </w:rPr>
        <w:t xml:space="preserve">Commission </w:t>
      </w:r>
      <w:r w:rsidRPr="007A44ED">
        <w:rPr>
          <w:noProof/>
        </w:rPr>
        <w:t>Implementing Regulation (EU) 2021/763</w:t>
      </w:r>
      <w:r w:rsidRPr="00C9371C">
        <w:rPr>
          <w:rStyle w:val="FootnoteReference"/>
          <w:bCs/>
          <w:noProof/>
        </w:rPr>
        <w:footnoteReference w:id="5"/>
      </w:r>
      <w:r w:rsidRPr="007A44ED">
        <w:rPr>
          <w:noProof/>
        </w:rPr>
        <w:t xml:space="preserve">. This deduction </w:t>
      </w:r>
      <w:r w:rsidR="005E1E85">
        <w:rPr>
          <w:noProof/>
        </w:rPr>
        <w:t xml:space="preserve">requirement </w:t>
      </w:r>
      <w:r w:rsidRPr="007A44ED">
        <w:rPr>
          <w:noProof/>
        </w:rPr>
        <w:t>should equally be reflected in the harmonised information provided to competent and resolution authorities.</w:t>
      </w:r>
    </w:p>
    <w:p w:rsidR="00686AFD" w:rsidRPr="008C63FE" w:rsidRDefault="00686AFD" w:rsidP="002103AD">
      <w:pPr>
        <w:pStyle w:val="ManualConsidrant"/>
        <w:rPr>
          <w:noProof/>
          <w:lang w:val="en-IE"/>
        </w:rPr>
      </w:pPr>
      <w:r>
        <w:rPr>
          <w:noProof/>
        </w:rPr>
        <w:t>(2)</w:t>
      </w:r>
      <w:r>
        <w:rPr>
          <w:noProof/>
        </w:rPr>
        <w:tab/>
      </w:r>
      <w:r w:rsidRPr="008C63FE">
        <w:rPr>
          <w:noProof/>
          <w:lang w:val="en-IE"/>
        </w:rPr>
        <w:t>Directive</w:t>
      </w:r>
      <w:r w:rsidR="003C0C4B">
        <w:rPr>
          <w:noProof/>
          <w:lang w:val="en-IE"/>
        </w:rPr>
        <w:t xml:space="preserve"> (EU)</w:t>
      </w:r>
      <w:r w:rsidRPr="008C63FE">
        <w:rPr>
          <w:noProof/>
          <w:lang w:val="en-IE"/>
        </w:rPr>
        <w:t xml:space="preserve"> </w:t>
      </w:r>
      <w:r w:rsidR="003C0C4B" w:rsidRPr="003C0C4B">
        <w:rPr>
          <w:noProof/>
          <w:lang w:val="en-IE"/>
        </w:rPr>
        <w:t>2</w:t>
      </w:r>
      <w:r w:rsidR="008C63FE">
        <w:rPr>
          <w:noProof/>
          <w:lang w:val="en-IE"/>
        </w:rPr>
        <w:t>024/</w:t>
      </w:r>
      <w:r w:rsidR="003C0C4B">
        <w:rPr>
          <w:noProof/>
          <w:lang w:val="en-IE"/>
        </w:rPr>
        <w:t>1174</w:t>
      </w:r>
      <w:r w:rsidR="008C63FE">
        <w:rPr>
          <w:noProof/>
          <w:lang w:val="en-IE"/>
        </w:rPr>
        <w:t xml:space="preserve"> of </w:t>
      </w:r>
      <w:r w:rsidR="003C0C4B">
        <w:rPr>
          <w:noProof/>
        </w:rPr>
        <w:t>the European Parliament and of the Council</w:t>
      </w:r>
      <w:r w:rsidR="003C0C4B" w:rsidRPr="008C63FE">
        <w:rPr>
          <w:noProof/>
          <w:lang w:val="en-IE"/>
        </w:rPr>
        <w:t xml:space="preserve"> </w:t>
      </w:r>
      <w:r w:rsidR="008C63FE" w:rsidRPr="008C63FE">
        <w:rPr>
          <w:noProof/>
          <w:lang w:val="en-IE"/>
        </w:rPr>
        <w:t>amending Directive 2014/59/EU and Regulation (EU) No 806/2014 as regards certain aspects of the minimum requirement for own funds and</w:t>
      </w:r>
      <w:r w:rsidR="008C63FE">
        <w:rPr>
          <w:noProof/>
          <w:lang w:val="en-IE"/>
        </w:rPr>
        <w:t xml:space="preserve"> </w:t>
      </w:r>
      <w:r w:rsidR="008C63FE" w:rsidRPr="008C63FE">
        <w:rPr>
          <w:noProof/>
          <w:lang w:val="en-IE"/>
        </w:rPr>
        <w:t>eligible liabilities</w:t>
      </w:r>
      <w:r>
        <w:rPr>
          <w:rStyle w:val="FootnoteReference"/>
          <w:noProof/>
        </w:rPr>
        <w:footnoteReference w:id="6"/>
      </w:r>
      <w:r w:rsidRPr="008C63FE">
        <w:rPr>
          <w:noProof/>
          <w:lang w:val="en-IE"/>
        </w:rPr>
        <w:t xml:space="preserve"> </w:t>
      </w:r>
      <w:r w:rsidR="0038725C" w:rsidRPr="008C63FE">
        <w:rPr>
          <w:noProof/>
          <w:lang w:val="en-IE"/>
        </w:rPr>
        <w:t xml:space="preserve">further </w:t>
      </w:r>
      <w:r w:rsidRPr="008C63FE">
        <w:rPr>
          <w:noProof/>
          <w:lang w:val="en-IE"/>
        </w:rPr>
        <w:t xml:space="preserve">amended the deduction requirement laid down in Regulation (EU) </w:t>
      </w:r>
      <w:r w:rsidR="00CB4B4C" w:rsidRPr="008C63FE">
        <w:rPr>
          <w:noProof/>
          <w:lang w:val="en-IE"/>
        </w:rPr>
        <w:t>No 575/2013</w:t>
      </w:r>
      <w:r w:rsidRPr="008C63FE">
        <w:rPr>
          <w:noProof/>
          <w:lang w:val="en-IE"/>
        </w:rPr>
        <w:t xml:space="preserve"> </w:t>
      </w:r>
      <w:r w:rsidR="00CB4B4C" w:rsidRPr="008C63FE">
        <w:rPr>
          <w:noProof/>
          <w:lang w:val="en-IE"/>
        </w:rPr>
        <w:t xml:space="preserve">by </w:t>
      </w:r>
      <w:r w:rsidRPr="008C63FE">
        <w:rPr>
          <w:noProof/>
          <w:lang w:val="en-IE"/>
        </w:rPr>
        <w:t>specifying</w:t>
      </w:r>
      <w:r w:rsidR="00CB4B4C" w:rsidRPr="008C63FE">
        <w:rPr>
          <w:noProof/>
          <w:lang w:val="en-IE"/>
        </w:rPr>
        <w:t xml:space="preserve"> in Directive 2014/59/EU and Regulation (EU) No 806/2014</w:t>
      </w:r>
      <w:r w:rsidRPr="008C63FE">
        <w:rPr>
          <w:noProof/>
          <w:lang w:val="en-IE"/>
        </w:rPr>
        <w:t xml:space="preserve"> that intermediate entities in a resolution group </w:t>
      </w:r>
      <w:r w:rsidR="00B0742B" w:rsidRPr="008C63FE">
        <w:rPr>
          <w:noProof/>
          <w:lang w:val="en-IE"/>
        </w:rPr>
        <w:t>are</w:t>
      </w:r>
      <w:r w:rsidRPr="008C63FE">
        <w:rPr>
          <w:noProof/>
          <w:lang w:val="en-IE"/>
        </w:rPr>
        <w:t xml:space="preserve"> only </w:t>
      </w:r>
      <w:r w:rsidR="00B0742B" w:rsidRPr="008C63FE">
        <w:rPr>
          <w:noProof/>
          <w:lang w:val="en-IE"/>
        </w:rPr>
        <w:t xml:space="preserve">to </w:t>
      </w:r>
      <w:r w:rsidRPr="008C63FE">
        <w:rPr>
          <w:noProof/>
          <w:lang w:val="en-IE"/>
        </w:rPr>
        <w:t xml:space="preserve">deduct their holdings of own funds instruments issued by liquidation entities </w:t>
      </w:r>
      <w:r w:rsidR="0038725C" w:rsidRPr="008C63FE">
        <w:rPr>
          <w:noProof/>
          <w:lang w:val="en-IE"/>
        </w:rPr>
        <w:t>that</w:t>
      </w:r>
      <w:r w:rsidRPr="008C63FE">
        <w:rPr>
          <w:noProof/>
          <w:lang w:val="en-IE"/>
        </w:rPr>
        <w:t xml:space="preserve"> belong to the same resolution group</w:t>
      </w:r>
      <w:r>
        <w:rPr>
          <w:noProof/>
        </w:rPr>
        <w:t xml:space="preserve"> and </w:t>
      </w:r>
      <w:r w:rsidRPr="008C63FE">
        <w:rPr>
          <w:noProof/>
          <w:lang w:val="en-IE"/>
        </w:rPr>
        <w:t>are not themselves resolution entities,</w:t>
      </w:r>
      <w:r w:rsidRPr="00C9371C">
        <w:rPr>
          <w:noProof/>
        </w:rPr>
        <w:t xml:space="preserve"> </w:t>
      </w:r>
      <w:r>
        <w:rPr>
          <w:noProof/>
        </w:rPr>
        <w:t xml:space="preserve">subject to certain conditions related to the materiality of </w:t>
      </w:r>
      <w:r w:rsidR="0038725C">
        <w:rPr>
          <w:noProof/>
        </w:rPr>
        <w:t>those</w:t>
      </w:r>
      <w:r>
        <w:rPr>
          <w:noProof/>
        </w:rPr>
        <w:t xml:space="preserve"> holdings. </w:t>
      </w:r>
      <w:r w:rsidR="0038725C">
        <w:rPr>
          <w:noProof/>
        </w:rPr>
        <w:t>Those</w:t>
      </w:r>
      <w:r>
        <w:rPr>
          <w:noProof/>
        </w:rPr>
        <w:t xml:space="preserve"> </w:t>
      </w:r>
      <w:r w:rsidR="0038725C">
        <w:rPr>
          <w:noProof/>
        </w:rPr>
        <w:t>amendments</w:t>
      </w:r>
      <w:r>
        <w:rPr>
          <w:noProof/>
        </w:rPr>
        <w:t xml:space="preserve"> should </w:t>
      </w:r>
      <w:r w:rsidR="0038725C">
        <w:rPr>
          <w:noProof/>
        </w:rPr>
        <w:t xml:space="preserve">also </w:t>
      </w:r>
      <w:r>
        <w:rPr>
          <w:noProof/>
        </w:rPr>
        <w:t xml:space="preserve">be reflected in the harmonised information provided in </w:t>
      </w:r>
      <w:r w:rsidRPr="007A44ED">
        <w:rPr>
          <w:noProof/>
        </w:rPr>
        <w:t xml:space="preserve">templates for the public disclosure </w:t>
      </w:r>
      <w:r>
        <w:rPr>
          <w:noProof/>
        </w:rPr>
        <w:t xml:space="preserve">and reporting to competent </w:t>
      </w:r>
      <w:r w:rsidR="0038725C">
        <w:rPr>
          <w:noProof/>
        </w:rPr>
        <w:t xml:space="preserve">authorities </w:t>
      </w:r>
      <w:r>
        <w:rPr>
          <w:noProof/>
        </w:rPr>
        <w:t>and resolution authorities.</w:t>
      </w:r>
    </w:p>
    <w:p w:rsidR="00F83DBF" w:rsidRPr="007A44ED" w:rsidRDefault="00F83DBF" w:rsidP="00302BB5">
      <w:pPr>
        <w:pStyle w:val="ManualConsidrant"/>
        <w:rPr>
          <w:noProof/>
        </w:rPr>
      </w:pPr>
      <w:r>
        <w:rPr>
          <w:noProof/>
        </w:rPr>
        <w:t>(3)</w:t>
      </w:r>
      <w:r>
        <w:rPr>
          <w:noProof/>
        </w:rPr>
        <w:tab/>
      </w:r>
      <w:r w:rsidRPr="007A44ED">
        <w:rPr>
          <w:noProof/>
        </w:rPr>
        <w:t xml:space="preserve">Entities subject to the requirements </w:t>
      </w:r>
      <w:r w:rsidR="0038725C">
        <w:rPr>
          <w:noProof/>
        </w:rPr>
        <w:t>set out in</w:t>
      </w:r>
      <w:r w:rsidR="0038725C" w:rsidRPr="007A44ED">
        <w:rPr>
          <w:noProof/>
        </w:rPr>
        <w:t xml:space="preserve"> </w:t>
      </w:r>
      <w:r w:rsidRPr="007A44ED">
        <w:rPr>
          <w:noProof/>
        </w:rPr>
        <w:t xml:space="preserve">Article 92a or </w:t>
      </w:r>
      <w:r w:rsidR="00CE02BF">
        <w:rPr>
          <w:noProof/>
        </w:rPr>
        <w:t xml:space="preserve">Article </w:t>
      </w:r>
      <w:r w:rsidRPr="007A44ED">
        <w:rPr>
          <w:noProof/>
        </w:rPr>
        <w:t xml:space="preserve">92b of Regulation (EU) No 575/2013 (‘TLAC requirement’) or </w:t>
      </w:r>
      <w:r w:rsidR="0038725C">
        <w:rPr>
          <w:noProof/>
        </w:rPr>
        <w:t xml:space="preserve">the requirement set out in </w:t>
      </w:r>
      <w:r w:rsidRPr="007A44ED">
        <w:rPr>
          <w:noProof/>
        </w:rPr>
        <w:t xml:space="preserve">Article 45 of Directive 2014/59/EU (‘MREL’) may, with the prior permission of their resolution authority, call, redeem, repay or repurchase eligible liabilities instruments in accordance with Article 78a of Regulation (EU) No 575/2013. Amounts covered by such a permission reduce the entities’ capacity to meet the MREL or </w:t>
      </w:r>
      <w:r w:rsidR="0038725C">
        <w:rPr>
          <w:noProof/>
        </w:rPr>
        <w:t xml:space="preserve">the </w:t>
      </w:r>
      <w:r w:rsidRPr="007A44ED">
        <w:rPr>
          <w:noProof/>
        </w:rPr>
        <w:t xml:space="preserve">TLAC requirement. </w:t>
      </w:r>
      <w:r w:rsidR="00E9509D">
        <w:rPr>
          <w:noProof/>
        </w:rPr>
        <w:t xml:space="preserve">Therefore, </w:t>
      </w:r>
      <w:r w:rsidR="0038725C">
        <w:rPr>
          <w:noProof/>
        </w:rPr>
        <w:t>it is necessary to</w:t>
      </w:r>
      <w:r w:rsidR="0038725C" w:rsidRPr="007A44ED">
        <w:rPr>
          <w:noProof/>
        </w:rPr>
        <w:t xml:space="preserve"> </w:t>
      </w:r>
      <w:r w:rsidR="0038725C">
        <w:rPr>
          <w:noProof/>
        </w:rPr>
        <w:t>specify</w:t>
      </w:r>
      <w:r w:rsidR="0038725C" w:rsidRPr="007A44ED">
        <w:rPr>
          <w:noProof/>
        </w:rPr>
        <w:t xml:space="preserve"> </w:t>
      </w:r>
      <w:r w:rsidRPr="007A44ED">
        <w:rPr>
          <w:noProof/>
        </w:rPr>
        <w:t xml:space="preserve">how the impact of </w:t>
      </w:r>
      <w:r w:rsidR="004603A2">
        <w:rPr>
          <w:noProof/>
        </w:rPr>
        <w:t xml:space="preserve">such a </w:t>
      </w:r>
      <w:r w:rsidRPr="007A44ED">
        <w:rPr>
          <w:noProof/>
        </w:rPr>
        <w:t xml:space="preserve">permission </w:t>
      </w:r>
      <w:r w:rsidR="0038725C">
        <w:rPr>
          <w:noProof/>
        </w:rPr>
        <w:t>should</w:t>
      </w:r>
      <w:r w:rsidRPr="007A44ED">
        <w:rPr>
          <w:noProof/>
        </w:rPr>
        <w:t xml:space="preserve"> be reflected in public disclosures and reporting to </w:t>
      </w:r>
      <w:r w:rsidR="0038725C">
        <w:rPr>
          <w:noProof/>
        </w:rPr>
        <w:t xml:space="preserve">competent authorities and resolution </w:t>
      </w:r>
      <w:r w:rsidRPr="007A44ED">
        <w:rPr>
          <w:noProof/>
        </w:rPr>
        <w:t>authorities.</w:t>
      </w:r>
    </w:p>
    <w:p w:rsidR="00F83DBF" w:rsidRPr="007A44ED" w:rsidRDefault="00F83DBF" w:rsidP="00F83DBF">
      <w:pPr>
        <w:pStyle w:val="ManualConsidrant"/>
        <w:rPr>
          <w:noProof/>
        </w:rPr>
      </w:pPr>
      <w:r>
        <w:rPr>
          <w:noProof/>
        </w:rPr>
        <w:t>(4)</w:t>
      </w:r>
      <w:r>
        <w:rPr>
          <w:noProof/>
        </w:rPr>
        <w:tab/>
      </w:r>
      <w:r w:rsidRPr="007A44ED">
        <w:rPr>
          <w:noProof/>
        </w:rPr>
        <w:t xml:space="preserve">Implementing Regulation (EU) 2021/763 should </w:t>
      </w:r>
      <w:r w:rsidR="00DB127D">
        <w:rPr>
          <w:noProof/>
        </w:rPr>
        <w:t>therefore be amended accordingly</w:t>
      </w:r>
      <w:r w:rsidRPr="007A44ED">
        <w:rPr>
          <w:noProof/>
        </w:rPr>
        <w:t>.</w:t>
      </w:r>
    </w:p>
    <w:p w:rsidR="00F83DBF" w:rsidRPr="007A44ED" w:rsidRDefault="00F83DBF" w:rsidP="00F83DBF">
      <w:pPr>
        <w:pStyle w:val="ManualConsidrant"/>
        <w:rPr>
          <w:noProof/>
        </w:rPr>
      </w:pPr>
      <w:r>
        <w:rPr>
          <w:noProof/>
        </w:rPr>
        <w:t>(5)</w:t>
      </w:r>
      <w:r>
        <w:rPr>
          <w:noProof/>
        </w:rPr>
        <w:tab/>
      </w:r>
      <w:r w:rsidRPr="007A44ED">
        <w:rPr>
          <w:noProof/>
        </w:rPr>
        <w:t xml:space="preserve">This Regulation is based on the draft implementing technical standards submitted to the Commission by the European Banking Authority. </w:t>
      </w:r>
    </w:p>
    <w:p w:rsidR="00F83DBF" w:rsidRDefault="00F83DBF" w:rsidP="00F83DBF">
      <w:pPr>
        <w:pStyle w:val="ManualConsidrant"/>
        <w:rPr>
          <w:noProof/>
        </w:rPr>
      </w:pPr>
      <w:r>
        <w:rPr>
          <w:noProof/>
        </w:rPr>
        <w:t>(6)</w:t>
      </w:r>
      <w:r>
        <w:rPr>
          <w:noProof/>
        </w:rPr>
        <w:tab/>
      </w:r>
      <w:r w:rsidRPr="007A44ED">
        <w:rPr>
          <w:noProof/>
        </w:rPr>
        <w:t>The European Banking Authority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 1093/2010 of the European Parliament and of the Council</w:t>
      </w:r>
      <w:r w:rsidRPr="007A44ED">
        <w:rPr>
          <w:rStyle w:val="FootnoteReference"/>
          <w:noProof/>
        </w:rPr>
        <w:footnoteReference w:id="7"/>
      </w:r>
      <w:r w:rsidR="00DA38A7">
        <w:rPr>
          <w:noProof/>
        </w:rPr>
        <w:t>.</w:t>
      </w:r>
    </w:p>
    <w:p w:rsidR="00DB127D" w:rsidRPr="007A44ED" w:rsidRDefault="00DB127D" w:rsidP="00F83DBF">
      <w:pPr>
        <w:pStyle w:val="ManualConsidrant"/>
        <w:rPr>
          <w:noProof/>
        </w:rPr>
      </w:pPr>
      <w:r>
        <w:rPr>
          <w:noProof/>
        </w:rPr>
        <w:t>(7)</w:t>
      </w:r>
      <w:r>
        <w:rPr>
          <w:noProof/>
        </w:rPr>
        <w:tab/>
        <w:t>To provide e</w:t>
      </w:r>
      <w:r w:rsidRPr="007A44ED">
        <w:rPr>
          <w:noProof/>
        </w:rPr>
        <w:t>ntities subject to the obligation to report or disclose information in accordance with Regulation (EU) No 575/2013 or Directive 2014/59/EU</w:t>
      </w:r>
      <w:r w:rsidRPr="00583FFA">
        <w:rPr>
          <w:noProof/>
        </w:rPr>
        <w:t xml:space="preserve"> </w:t>
      </w:r>
      <w:r>
        <w:rPr>
          <w:noProof/>
        </w:rPr>
        <w:t>with sufficient t</w:t>
      </w:r>
      <w:r w:rsidRPr="00583FFA">
        <w:rPr>
          <w:noProof/>
        </w:rPr>
        <w:t>ime</w:t>
      </w:r>
      <w:r>
        <w:rPr>
          <w:noProof/>
        </w:rPr>
        <w:t xml:space="preserve"> </w:t>
      </w:r>
      <w:r w:rsidRPr="00583FFA">
        <w:rPr>
          <w:noProof/>
        </w:rPr>
        <w:t xml:space="preserve">to adapt </w:t>
      </w:r>
      <w:bookmarkStart w:id="2" w:name="_Hlk160034996"/>
      <w:r w:rsidRPr="00583FFA">
        <w:rPr>
          <w:noProof/>
        </w:rPr>
        <w:t xml:space="preserve">to the </w:t>
      </w:r>
      <w:r>
        <w:rPr>
          <w:noProof/>
        </w:rPr>
        <w:t>changes in templates and harmonised</w:t>
      </w:r>
      <w:r w:rsidR="00C62ABE">
        <w:rPr>
          <w:noProof/>
        </w:rPr>
        <w:t xml:space="preserve"> information</w:t>
      </w:r>
      <w:r w:rsidR="004B3865">
        <w:rPr>
          <w:noProof/>
        </w:rPr>
        <w:t>, the changes should</w:t>
      </w:r>
      <w:r>
        <w:rPr>
          <w:noProof/>
        </w:rPr>
        <w:t xml:space="preserve"> </w:t>
      </w:r>
      <w:bookmarkEnd w:id="2"/>
      <w:r>
        <w:rPr>
          <w:noProof/>
        </w:rPr>
        <w:t>start to apply</w:t>
      </w:r>
      <w:r w:rsidRPr="007A44ED">
        <w:rPr>
          <w:noProof/>
        </w:rPr>
        <w:t xml:space="preserve"> six months </w:t>
      </w:r>
      <w:r>
        <w:rPr>
          <w:noProof/>
        </w:rPr>
        <w:t>after its</w:t>
      </w:r>
      <w:r w:rsidRPr="007A44ED">
        <w:rPr>
          <w:noProof/>
        </w:rPr>
        <w:t xml:space="preserve"> date of entry into force</w:t>
      </w:r>
      <w:r>
        <w:rPr>
          <w:noProof/>
        </w:rPr>
        <w:t>.</w:t>
      </w:r>
    </w:p>
    <w:p w:rsidR="001D506C" w:rsidRPr="00922C91" w:rsidRDefault="001D506C" w:rsidP="004E1EF9">
      <w:pPr>
        <w:pStyle w:val="Formuledadoption"/>
        <w:rPr>
          <w:noProof/>
        </w:rPr>
      </w:pPr>
      <w:r w:rsidRPr="00922C91">
        <w:rPr>
          <w:noProof/>
        </w:rPr>
        <w:t>HAS ADOPTED THIS REGULATION:</w:t>
      </w:r>
    </w:p>
    <w:p w:rsidR="001D506C" w:rsidRPr="00922C91" w:rsidRDefault="001D506C" w:rsidP="004E1EF9">
      <w:pPr>
        <w:pStyle w:val="Titrearticle"/>
        <w:rPr>
          <w:noProof/>
        </w:rPr>
      </w:pPr>
      <w:r w:rsidRPr="00922C91">
        <w:rPr>
          <w:noProof/>
        </w:rPr>
        <w:t>Article 1</w:t>
      </w:r>
    </w:p>
    <w:p w:rsidR="008D3341" w:rsidRPr="00583FFA" w:rsidRDefault="008D3341" w:rsidP="00220108">
      <w:pPr>
        <w:pStyle w:val="Titrearticle"/>
        <w:rPr>
          <w:noProof/>
        </w:rPr>
      </w:pPr>
      <w:r w:rsidRPr="00583FFA">
        <w:rPr>
          <w:noProof/>
        </w:rPr>
        <w:t>Amendments to Implementing Regulation (EU) 2021/763</w:t>
      </w:r>
    </w:p>
    <w:p w:rsidR="00F83DBF" w:rsidRPr="007A44ED" w:rsidRDefault="00F83DBF" w:rsidP="00F83DBF">
      <w:pPr>
        <w:rPr>
          <w:noProof/>
        </w:rPr>
      </w:pPr>
      <w:r w:rsidRPr="007A44ED">
        <w:rPr>
          <w:noProof/>
        </w:rPr>
        <w:t>Implementing Regulation (EU) 2021/763 is amended as follows:</w:t>
      </w:r>
    </w:p>
    <w:p w:rsidR="00F83DBF" w:rsidRPr="007A44ED" w:rsidRDefault="004603A2" w:rsidP="000B009E">
      <w:pPr>
        <w:pStyle w:val="Point0"/>
        <w:rPr>
          <w:noProof/>
        </w:rPr>
      </w:pPr>
      <w:r>
        <w:rPr>
          <w:noProof/>
        </w:rPr>
        <w:t>(1)</w:t>
      </w:r>
      <w:r>
        <w:rPr>
          <w:noProof/>
        </w:rPr>
        <w:tab/>
        <w:t>t</w:t>
      </w:r>
      <w:r w:rsidR="00F83DBF" w:rsidRPr="007A44ED">
        <w:rPr>
          <w:noProof/>
        </w:rPr>
        <w:t xml:space="preserve">emplates M 02.00 and M 03.00 </w:t>
      </w:r>
      <w:r w:rsidR="00B851FA">
        <w:rPr>
          <w:noProof/>
        </w:rPr>
        <w:t xml:space="preserve">set out in </w:t>
      </w:r>
      <w:r w:rsidR="00F83DBF" w:rsidRPr="007A44ED">
        <w:rPr>
          <w:noProof/>
        </w:rPr>
        <w:t>Annex I are replaced by templates M 02.00 and M 03.00 set out in Annex I to this Regulation.</w:t>
      </w:r>
    </w:p>
    <w:p w:rsidR="00F83DBF" w:rsidRPr="007A44ED" w:rsidRDefault="00F83DBF" w:rsidP="00220108">
      <w:pPr>
        <w:pStyle w:val="Point0"/>
        <w:rPr>
          <w:noProof/>
        </w:rPr>
      </w:pPr>
      <w:r>
        <w:rPr>
          <w:noProof/>
        </w:rPr>
        <w:t>(2)</w:t>
      </w:r>
      <w:r>
        <w:rPr>
          <w:noProof/>
        </w:rPr>
        <w:tab/>
      </w:r>
      <w:r w:rsidRPr="007A44ED">
        <w:rPr>
          <w:noProof/>
        </w:rPr>
        <w:t>Annex II is replaced by the text in Annex II to this Regulation.</w:t>
      </w:r>
    </w:p>
    <w:p w:rsidR="00F83DBF" w:rsidRPr="007A44ED" w:rsidRDefault="004603A2" w:rsidP="00220108">
      <w:pPr>
        <w:pStyle w:val="Point0"/>
        <w:rPr>
          <w:noProof/>
        </w:rPr>
      </w:pPr>
      <w:r>
        <w:rPr>
          <w:noProof/>
        </w:rPr>
        <w:t>(3)</w:t>
      </w:r>
      <w:r>
        <w:rPr>
          <w:noProof/>
        </w:rPr>
        <w:tab/>
        <w:t>t</w:t>
      </w:r>
      <w:r w:rsidR="00F83DBF" w:rsidRPr="007A44ED">
        <w:rPr>
          <w:noProof/>
        </w:rPr>
        <w:t>emplate</w:t>
      </w:r>
      <w:r w:rsidR="00F83DBF">
        <w:rPr>
          <w:noProof/>
        </w:rPr>
        <w:t>s</w:t>
      </w:r>
      <w:r w:rsidR="00F83DBF" w:rsidRPr="007A44ED">
        <w:rPr>
          <w:noProof/>
        </w:rPr>
        <w:t xml:space="preserve"> EU TLAC1 </w:t>
      </w:r>
      <w:r w:rsidR="00F83DBF">
        <w:rPr>
          <w:noProof/>
        </w:rPr>
        <w:t xml:space="preserve">and EU ILAC </w:t>
      </w:r>
      <w:r w:rsidR="00B851FA">
        <w:rPr>
          <w:noProof/>
        </w:rPr>
        <w:t>set out in</w:t>
      </w:r>
      <w:r w:rsidR="00F83DBF" w:rsidRPr="007A44ED">
        <w:rPr>
          <w:noProof/>
        </w:rPr>
        <w:t xml:space="preserve"> Annex V </w:t>
      </w:r>
      <w:r w:rsidR="00F83DBF">
        <w:rPr>
          <w:noProof/>
        </w:rPr>
        <w:t>are</w:t>
      </w:r>
      <w:r w:rsidR="00F83DBF" w:rsidRPr="007A44ED">
        <w:rPr>
          <w:noProof/>
        </w:rPr>
        <w:t xml:space="preserve"> replaced by template</w:t>
      </w:r>
      <w:r w:rsidR="00F83DBF">
        <w:rPr>
          <w:noProof/>
        </w:rPr>
        <w:t>s</w:t>
      </w:r>
      <w:r w:rsidR="00F83DBF" w:rsidRPr="007A44ED">
        <w:rPr>
          <w:noProof/>
        </w:rPr>
        <w:t xml:space="preserve"> EU TLAC1 </w:t>
      </w:r>
      <w:r w:rsidR="00F83DBF">
        <w:rPr>
          <w:noProof/>
        </w:rPr>
        <w:t xml:space="preserve">and EU ILAC </w:t>
      </w:r>
      <w:r w:rsidR="00F83DBF" w:rsidRPr="007A44ED">
        <w:rPr>
          <w:noProof/>
        </w:rPr>
        <w:t>set out in Annex III to this Regulation.</w:t>
      </w:r>
    </w:p>
    <w:p w:rsidR="00F83DBF" w:rsidRPr="007A44ED" w:rsidRDefault="00F83DBF" w:rsidP="00220108">
      <w:pPr>
        <w:pStyle w:val="Point0"/>
        <w:rPr>
          <w:noProof/>
        </w:rPr>
      </w:pPr>
      <w:r>
        <w:rPr>
          <w:noProof/>
        </w:rPr>
        <w:t>(4)</w:t>
      </w:r>
      <w:r>
        <w:rPr>
          <w:noProof/>
        </w:rPr>
        <w:tab/>
      </w:r>
      <w:r w:rsidRPr="007A44ED">
        <w:rPr>
          <w:noProof/>
        </w:rPr>
        <w:t>Annex VI is replaced by the text in Annex IV to this Regulation.</w:t>
      </w:r>
    </w:p>
    <w:p w:rsidR="00F83DBF" w:rsidRPr="007A44ED" w:rsidRDefault="00F83DBF" w:rsidP="00F83DBF">
      <w:pPr>
        <w:pStyle w:val="Titrearticle"/>
        <w:rPr>
          <w:noProof/>
        </w:rPr>
      </w:pPr>
      <w:r w:rsidRPr="007A44ED">
        <w:rPr>
          <w:noProof/>
        </w:rPr>
        <w:t>Article 2</w:t>
      </w:r>
    </w:p>
    <w:p w:rsidR="00CC305D" w:rsidRPr="00583FFA" w:rsidRDefault="00CC305D" w:rsidP="00583FFA">
      <w:pPr>
        <w:jc w:val="center"/>
        <w:rPr>
          <w:b/>
          <w:bCs/>
          <w:noProof/>
          <w:color w:val="000000"/>
        </w:rPr>
      </w:pPr>
      <w:r w:rsidRPr="00583FFA">
        <w:rPr>
          <w:b/>
          <w:bCs/>
          <w:noProof/>
          <w:color w:val="000000"/>
        </w:rPr>
        <w:t>Entry into force and application</w:t>
      </w:r>
    </w:p>
    <w:p w:rsidR="00F83DBF" w:rsidRPr="007A44ED" w:rsidRDefault="00F83DBF" w:rsidP="00F83DBF">
      <w:pPr>
        <w:rPr>
          <w:noProof/>
          <w:color w:val="000000"/>
        </w:rPr>
      </w:pPr>
      <w:r w:rsidRPr="007A44ED">
        <w:rPr>
          <w:noProof/>
          <w:color w:val="000000"/>
        </w:rPr>
        <w:t xml:space="preserve">This Regulation shall enter into force on the twentieth day following that of its publication in the </w:t>
      </w:r>
      <w:r w:rsidRPr="007A44ED">
        <w:rPr>
          <w:i/>
          <w:noProof/>
          <w:color w:val="000000"/>
        </w:rPr>
        <w:t>Official Journal of the European Union</w:t>
      </w:r>
      <w:r w:rsidRPr="007A44ED">
        <w:rPr>
          <w:noProof/>
          <w:color w:val="000000"/>
        </w:rPr>
        <w:t>.</w:t>
      </w:r>
    </w:p>
    <w:p w:rsidR="00F83DBF" w:rsidRPr="007A44ED" w:rsidRDefault="00F83DBF" w:rsidP="00F83DBF">
      <w:pPr>
        <w:rPr>
          <w:noProof/>
          <w:color w:val="000000"/>
        </w:rPr>
      </w:pPr>
      <w:r w:rsidRPr="007A44ED">
        <w:rPr>
          <w:noProof/>
          <w:color w:val="000000"/>
        </w:rPr>
        <w:t xml:space="preserve">It shall apply from </w:t>
      </w:r>
      <w:r w:rsidRPr="007A44ED">
        <w:rPr>
          <w:i/>
          <w:iCs/>
          <w:noProof/>
          <w:color w:val="000000"/>
        </w:rPr>
        <w:t xml:space="preserve">[OJ please insert the date six months after </w:t>
      </w:r>
      <w:r w:rsidR="00B851FA">
        <w:rPr>
          <w:i/>
          <w:iCs/>
          <w:noProof/>
          <w:color w:val="000000"/>
        </w:rPr>
        <w:t xml:space="preserve">the date of </w:t>
      </w:r>
      <w:r w:rsidRPr="007A44ED">
        <w:rPr>
          <w:i/>
          <w:iCs/>
          <w:noProof/>
          <w:color w:val="000000"/>
        </w:rPr>
        <w:t>entry into force</w:t>
      </w:r>
      <w:r w:rsidR="00B851FA" w:rsidRPr="00B851FA">
        <w:rPr>
          <w:i/>
          <w:iCs/>
          <w:noProof/>
          <w:color w:val="000000"/>
        </w:rPr>
        <w:t xml:space="preserve"> </w:t>
      </w:r>
      <w:r w:rsidR="00B851FA">
        <w:rPr>
          <w:i/>
          <w:iCs/>
          <w:noProof/>
          <w:color w:val="000000"/>
        </w:rPr>
        <w:t>of this amending Regulation</w:t>
      </w:r>
      <w:r w:rsidRPr="007A44ED">
        <w:rPr>
          <w:i/>
          <w:iCs/>
          <w:noProof/>
          <w:color w:val="000000"/>
        </w:rPr>
        <w:t>]</w:t>
      </w:r>
      <w:r w:rsidRPr="007A44ED">
        <w:rPr>
          <w:noProof/>
          <w:color w:val="000000"/>
        </w:rPr>
        <w:t xml:space="preserve">. </w:t>
      </w:r>
    </w:p>
    <w:p w:rsidR="001D506C" w:rsidRDefault="001D506C" w:rsidP="004E1EF9">
      <w:pPr>
        <w:pStyle w:val="Applicationdirecte"/>
        <w:keepNext/>
        <w:keepLines/>
        <w:rPr>
          <w:noProof/>
        </w:rPr>
      </w:pPr>
      <w:r w:rsidRPr="00922C91">
        <w:rPr>
          <w:noProof/>
        </w:rPr>
        <w:t>This Regulation shall be binding in its entirety and directly applicable in the Member States.</w:t>
      </w:r>
    </w:p>
    <w:p w:rsidR="001D506C" w:rsidRDefault="00DD1384" w:rsidP="00642B29">
      <w:pPr>
        <w:pStyle w:val="Fait"/>
        <w:rPr>
          <w:noProof/>
        </w:rPr>
      </w:pPr>
      <w:r>
        <w:rPr>
          <w:noProof/>
        </w:rPr>
        <w:t>Done at Brussels, 6.6.2024</w:t>
      </w:r>
    </w:p>
    <w:p w:rsidR="001D506C" w:rsidRDefault="001D506C" w:rsidP="00642B29">
      <w:pPr>
        <w:pStyle w:val="Institutionquisigne"/>
        <w:rPr>
          <w:noProof/>
        </w:rPr>
      </w:pPr>
      <w:r w:rsidRPr="001D506C">
        <w:rPr>
          <w:noProof/>
        </w:rPr>
        <w:tab/>
        <w:t>For the Commission</w:t>
      </w:r>
    </w:p>
    <w:p w:rsidR="00F718B8" w:rsidRDefault="00B96A3B" w:rsidP="00642B29">
      <w:pPr>
        <w:pStyle w:val="Personnequisigne"/>
        <w:keepNext/>
        <w:rPr>
          <w:noProof/>
        </w:rPr>
      </w:pPr>
      <w:r>
        <w:rPr>
          <w:noProof/>
        </w:rPr>
        <w:tab/>
        <w:t>The President</w:t>
      </w:r>
      <w:r>
        <w:rPr>
          <w:noProof/>
        </w:rPr>
        <w:br/>
      </w:r>
      <w:r>
        <w:rPr>
          <w:noProof/>
        </w:rPr>
        <w:tab/>
        <w:t>Ursula VON DER LEYEN</w:t>
      </w:r>
    </w:p>
    <w:p w:rsidR="00C402D1" w:rsidRPr="00C402D1" w:rsidRDefault="00C402D1" w:rsidP="00C402D1">
      <w:pPr>
        <w:pStyle w:val="Personnequisigne"/>
        <w:rPr>
          <w:noProof/>
        </w:rPr>
      </w:pPr>
    </w:p>
    <w:sectPr w:rsidR="00C402D1" w:rsidRPr="00C402D1" w:rsidSect="001454FE">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Pr="001454FE" w:rsidRDefault="001454FE" w:rsidP="001454FE">
    <w:pPr>
      <w:pStyle w:val="Footer"/>
      <w:rPr>
        <w:rFonts w:ascii="Arial" w:hAnsi="Arial" w:cs="Arial"/>
        <w:b/>
        <w:sz w:val="48"/>
      </w:rPr>
    </w:pPr>
    <w:r w:rsidRPr="001454FE">
      <w:rPr>
        <w:rFonts w:ascii="Arial" w:hAnsi="Arial" w:cs="Arial"/>
        <w:b/>
        <w:sz w:val="48"/>
      </w:rPr>
      <w:t>EN</w:t>
    </w:r>
    <w:r w:rsidRPr="001454FE">
      <w:rPr>
        <w:rFonts w:ascii="Arial" w:hAnsi="Arial" w:cs="Arial"/>
        <w:b/>
        <w:sz w:val="48"/>
      </w:rPr>
      <w:tab/>
    </w:r>
    <w:r w:rsidRPr="001454FE">
      <w:rPr>
        <w:rFonts w:ascii="Arial" w:hAnsi="Arial" w:cs="Arial"/>
        <w:b/>
        <w:sz w:val="48"/>
      </w:rPr>
      <w:tab/>
    </w:r>
    <w:r w:rsidRPr="001454FE">
      <w:tab/>
    </w:r>
    <w:r w:rsidRPr="001454FE">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Pr="001454FE" w:rsidRDefault="001454FE" w:rsidP="001454FE">
    <w:pPr>
      <w:pStyle w:val="Footer"/>
      <w:rPr>
        <w:rFonts w:ascii="Arial" w:hAnsi="Arial" w:cs="Arial"/>
        <w:b/>
        <w:sz w:val="48"/>
      </w:rPr>
    </w:pPr>
    <w:r w:rsidRPr="001454FE">
      <w:rPr>
        <w:rFonts w:ascii="Arial" w:hAnsi="Arial" w:cs="Arial"/>
        <w:b/>
        <w:sz w:val="48"/>
      </w:rPr>
      <w:t>EN</w:t>
    </w:r>
    <w:r w:rsidRPr="001454FE">
      <w:rPr>
        <w:rFonts w:ascii="Arial" w:hAnsi="Arial" w:cs="Arial"/>
        <w:b/>
        <w:sz w:val="48"/>
      </w:rPr>
      <w:tab/>
    </w:r>
    <w:r w:rsidRPr="001454FE">
      <w:rPr>
        <w:rFonts w:ascii="Arial" w:hAnsi="Arial" w:cs="Arial"/>
        <w:b/>
        <w:sz w:val="48"/>
      </w:rPr>
      <w:tab/>
    </w:r>
    <w:r w:rsidRPr="001454FE">
      <w:tab/>
    </w:r>
    <w:r w:rsidRPr="001454FE">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Default="001454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Pr="001454FE" w:rsidRDefault="001454FE" w:rsidP="001454FE">
    <w:pPr>
      <w:pStyle w:val="Footer"/>
      <w:rPr>
        <w:rFonts w:ascii="Arial" w:hAnsi="Arial" w:cs="Arial"/>
        <w:b/>
        <w:sz w:val="48"/>
      </w:rPr>
    </w:pPr>
    <w:r w:rsidRPr="001454FE">
      <w:rPr>
        <w:rFonts w:ascii="Arial" w:hAnsi="Arial" w:cs="Arial"/>
        <w:b/>
        <w:sz w:val="48"/>
      </w:rPr>
      <w:t>EN</w:t>
    </w:r>
    <w:r w:rsidRPr="001454FE">
      <w:rPr>
        <w:rFonts w:ascii="Arial" w:hAnsi="Arial" w:cs="Arial"/>
        <w:b/>
        <w:sz w:val="48"/>
      </w:rPr>
      <w:tab/>
    </w:r>
    <w:r>
      <w:fldChar w:fldCharType="begin"/>
    </w:r>
    <w:r>
      <w:instrText xml:space="preserve"> PAGE  \* MERGEFORMAT </w:instrText>
    </w:r>
    <w:r>
      <w:fldChar w:fldCharType="separate"/>
    </w:r>
    <w:r w:rsidR="00642B29">
      <w:rPr>
        <w:noProof/>
      </w:rPr>
      <w:t>3</w:t>
    </w:r>
    <w:r>
      <w:fldChar w:fldCharType="end"/>
    </w:r>
    <w:r>
      <w:tab/>
    </w:r>
    <w:r w:rsidRPr="001454FE">
      <w:tab/>
    </w:r>
    <w:r w:rsidRPr="001454FE">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Default="001454FE" w:rsidP="00145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DA38A7" w:rsidRDefault="000E6FD2" w:rsidP="000E6FD2">
      <w:pPr>
        <w:pStyle w:val="FootnoteText"/>
        <w:rPr>
          <w:lang w:val="de-AT"/>
        </w:rPr>
      </w:pPr>
      <w:r>
        <w:rPr>
          <w:rStyle w:val="FootnoteReference"/>
        </w:rPr>
        <w:footnoteRef/>
      </w:r>
      <w:r w:rsidRPr="00DA38A7">
        <w:rPr>
          <w:lang w:val="de-AT"/>
        </w:rPr>
        <w:tab/>
        <w:t>OJ L 176, 27.6.2013, p. 1</w:t>
      </w:r>
      <w:r w:rsidR="005F222A" w:rsidRPr="00990F2B">
        <w:rPr>
          <w:lang w:val="sv-SE"/>
        </w:rPr>
        <w:t>, ELI: http://data.europa.eu/eli/reg/2013/575/oj</w:t>
      </w:r>
      <w:r w:rsidRPr="00DA38A7">
        <w:rPr>
          <w:lang w:val="de-AT"/>
        </w:rPr>
        <w:t xml:space="preserve">. </w:t>
      </w:r>
    </w:p>
  </w:footnote>
  <w:footnote w:id="2">
    <w:p w:rsidR="000E6FD2" w:rsidRPr="00DA38A7" w:rsidRDefault="000E6FD2" w:rsidP="000E6FD2">
      <w:pPr>
        <w:pStyle w:val="FootnoteText"/>
        <w:rPr>
          <w:lang w:val="de-AT"/>
        </w:rPr>
      </w:pPr>
      <w:r>
        <w:rPr>
          <w:rStyle w:val="FootnoteReference"/>
        </w:rPr>
        <w:footnoteRef/>
      </w:r>
      <w:r w:rsidRPr="00DA38A7">
        <w:rPr>
          <w:lang w:val="de-AT"/>
        </w:rPr>
        <w:tab/>
        <w:t>OJ L 173, 12.6.2014, p. 190</w:t>
      </w:r>
      <w:r w:rsidR="005F222A" w:rsidRPr="00990F2B">
        <w:rPr>
          <w:lang w:val="sv-SE"/>
        </w:rPr>
        <w:t>, ELI: http://data.europa.eu/eli/dir/2014/59/oj</w:t>
      </w:r>
      <w:r w:rsidRPr="00DA38A7">
        <w:rPr>
          <w:lang w:val="de-AT"/>
        </w:rPr>
        <w:t xml:space="preserve">. </w:t>
      </w:r>
    </w:p>
  </w:footnote>
  <w:footnote w:id="3">
    <w:p w:rsidR="00F83DBF" w:rsidRPr="001734AB" w:rsidRDefault="00F83DBF" w:rsidP="00F83DBF">
      <w:pPr>
        <w:pStyle w:val="FootnoteText"/>
      </w:pPr>
      <w:r w:rsidRPr="00185DB3">
        <w:rPr>
          <w:rStyle w:val="FootnoteReference"/>
        </w:rPr>
        <w:footnoteRef/>
      </w:r>
      <w:r w:rsidR="00185DB3">
        <w:tab/>
      </w:r>
      <w:r w:rsidRPr="001734AB">
        <w:t>Regulation (EU) 2022/2036</w:t>
      </w:r>
      <w:r>
        <w:t xml:space="preserve"> of the European Parliament and of the Council </w:t>
      </w:r>
      <w:r w:rsidRPr="001734AB">
        <w:t>of 19 October 2022</w:t>
      </w:r>
      <w:r>
        <w:t xml:space="preserve"> </w:t>
      </w:r>
      <w:r w:rsidRPr="001734AB">
        <w:t>amending Regulation (EU) No 575/2013 and Directive 2014/59/EU as regards the prudential treatment of global systemically important institutions with a multiple-point-of-entry resolution strategy and methods for the indirect subscription of instruments eligible for meeting the minimum requirement for own funds and eligible liabilities</w:t>
      </w:r>
      <w:r>
        <w:t xml:space="preserve"> (OJ </w:t>
      </w:r>
      <w:r w:rsidRPr="001734AB">
        <w:t>L 275, 25.10.2022, p. 1</w:t>
      </w:r>
      <w:r w:rsidR="005F222A">
        <w:t>,</w:t>
      </w:r>
      <w:r w:rsidR="005F222A" w:rsidRPr="00F82D46">
        <w:t xml:space="preserve"> ELI: http://data.europa.eu/eli/reg/2022/2036/oj</w:t>
      </w:r>
      <w:r>
        <w:t>)</w:t>
      </w:r>
    </w:p>
  </w:footnote>
  <w:footnote w:id="4">
    <w:p w:rsidR="00F83DBF" w:rsidRPr="002B6E0A" w:rsidRDefault="00F83DBF" w:rsidP="00F83DBF">
      <w:pPr>
        <w:pStyle w:val="FootnoteText"/>
      </w:pPr>
      <w:r>
        <w:rPr>
          <w:rStyle w:val="FootnoteReference"/>
        </w:rPr>
        <w:footnoteRef/>
      </w:r>
      <w:r>
        <w:tab/>
      </w:r>
      <w:r w:rsidRPr="00280288">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t xml:space="preserve"> (O</w:t>
      </w:r>
      <w:r w:rsidR="008C62AF">
        <w:t>J</w:t>
      </w:r>
      <w:r>
        <w:t xml:space="preserve"> L 173, 12.06.2014, p190-348)</w:t>
      </w:r>
    </w:p>
  </w:footnote>
  <w:footnote w:id="5">
    <w:p w:rsidR="00F83DBF" w:rsidRPr="00BA3525" w:rsidRDefault="00F83DBF" w:rsidP="00F83DBF">
      <w:pPr>
        <w:pStyle w:val="FootnoteText"/>
      </w:pPr>
      <w:r w:rsidRPr="00185DB3">
        <w:rPr>
          <w:rStyle w:val="FootnoteReference"/>
        </w:rPr>
        <w:footnoteRef/>
      </w:r>
      <w:r w:rsidR="00185DB3">
        <w:tab/>
      </w:r>
      <w:r w:rsidRPr="00575F13">
        <w:t>Commission Implementing Regulation (EU) 2021/763 of 23 April 2021 laying down implementing technical standards for the application of Regulation (EU) No 575/2013 of the European Parliament and of the Council and Directive 2014/59/EU of the European Parliament and of the Council with regard to the supervisory reporting and public disclosure of the minimum requirement for own funds and eligible liabilities (OJ L 168, 12.5.2021, p. 1)</w:t>
      </w:r>
    </w:p>
  </w:footnote>
  <w:footnote w:id="6">
    <w:p w:rsidR="00686AFD" w:rsidRPr="00686AFD" w:rsidRDefault="00686AFD" w:rsidP="00686AFD">
      <w:pPr>
        <w:pStyle w:val="FootnoteText"/>
        <w:rPr>
          <w:lang w:val="en-IE"/>
        </w:rPr>
      </w:pPr>
      <w:r w:rsidRPr="009702E0">
        <w:rPr>
          <w:rStyle w:val="FootnoteReference"/>
        </w:rPr>
        <w:footnoteRef/>
      </w:r>
      <w:r w:rsidR="009702E0">
        <w:tab/>
      </w:r>
      <w:r w:rsidR="003C0C4B" w:rsidRPr="003C0C4B">
        <w:t>Directive (EU) 2024/1174 of the European Parliament and of the Council of 11 April 2024 amending Directive 2014/59/EU and Regulation (EU) No 806/2014 as regards certain aspects of the minimum requirement for own funds and eligible liabilities</w:t>
      </w:r>
      <w:r w:rsidR="003C0C4B">
        <w:t xml:space="preserve"> (OJ L</w:t>
      </w:r>
      <w:r w:rsidR="008C62AF" w:rsidRPr="008C62AF">
        <w:t>, 2024/1174, 22.4.2024</w:t>
      </w:r>
      <w:r w:rsidR="008C62AF">
        <w:t>).</w:t>
      </w:r>
    </w:p>
  </w:footnote>
  <w:footnote w:id="7">
    <w:p w:rsidR="00F83DBF" w:rsidRPr="00B64E68" w:rsidRDefault="00F83DBF" w:rsidP="00F83DBF">
      <w:pPr>
        <w:pStyle w:val="FootnoteText"/>
      </w:pPr>
      <w:r w:rsidRPr="00185DB3">
        <w:rPr>
          <w:rStyle w:val="FootnoteReference"/>
        </w:rPr>
        <w:footnoteRef/>
      </w:r>
      <w:r w:rsidR="00185DB3">
        <w:tab/>
      </w:r>
      <w:r>
        <w:rPr>
          <w:noProof/>
        </w:rPr>
        <w:t xml:space="preserve">Regulation (EU) No 1093/2010 of the European Parliament and of the Council </w:t>
      </w:r>
      <w:r w:rsidRPr="00D326FD">
        <w:rPr>
          <w:noProof/>
        </w:rPr>
        <w:t>of 24 November 2010 establishing a European Supervisory Authority (European Banking Authority), amending Decision No 716/2009/EC and repealing Commission Decision 2009/78/EC</w:t>
      </w:r>
      <w:r>
        <w:rPr>
          <w:noProof/>
        </w:rPr>
        <w:t xml:space="preserve">, (OJ L </w:t>
      </w:r>
      <w:r>
        <w:t>331, 15.12.2010, p. 12</w:t>
      </w:r>
      <w:r w:rsidR="00DB127D">
        <w:t>, E</w:t>
      </w:r>
      <w:r w:rsidR="00DB127D" w:rsidRPr="005F6913">
        <w:t>LI: http://data.europa.eu/eli/reg/2010/1093/oj</w:t>
      </w:r>
      <w:r w:rsidR="00DB127D">
        <w:t>)</w:t>
      </w:r>
      <w:r w:rsidR="00DB127D">
        <w:rPr>
          <w:noProo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Default="00145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4FE" w:rsidRDefault="00145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0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58BCA80-D558-489F-A19E-97862FAB91BF"/>
    <w:docVar w:name="LW_COVERPAGE_TYPE" w:val="1"/>
    <w:docVar w:name="LW_CROSSREFERENCE" w:val="&lt;UNUSED&gt;"/>
    <w:docVar w:name="LW_DATE.ADOPT.CP" w:val="of 6.6.2024"/>
    <w:docVar w:name="LW_DATE.ADOPT.CP_DATEFORMAT" w:val="of %DATE%"/>
    <w:docVar w:name="LW_DATE.ADOPT.CP_ISODATE" w:val="2024-06-06"/>
    <w:docVar w:name="LW_DocType" w:val="COM"/>
    <w:docVar w:name="LW_EMISSION" w:val="6.6.2024"/>
    <w:docVar w:name="LW_EMISSION_ISODATE" w:val="2024-06-06"/>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Implementing Regulation (EU) 2021/763 laying down implementing technical standards for the application of Regulation (EU) No 575/2013 of the European Parliament and of the Council and Directive 2014/59/EU of the European Parliament and of the Council with regard to the supervisory reporting and public disclosure of the minimum requirement for own funds and eligible liabilities _x000b_"/>
    <w:docVar w:name="LW_TYPE.DOC.CP" w:val="COMMISSION IMPLEMENTING REGULATION (EU) \u8230?/..."/>
    <w:docVar w:name="LwApiVersions" w:val="LW4CoDe 1.24.5.0; LW 9.0, Build 20240221"/>
  </w:docVars>
  <w:rsids>
    <w:rsidRoot w:val="001D506C"/>
    <w:rsid w:val="00093B4B"/>
    <w:rsid w:val="000955EB"/>
    <w:rsid w:val="000B009E"/>
    <w:rsid w:val="000B7A7D"/>
    <w:rsid w:val="000E6B56"/>
    <w:rsid w:val="000E6FD2"/>
    <w:rsid w:val="0013442E"/>
    <w:rsid w:val="001454FE"/>
    <w:rsid w:val="00152894"/>
    <w:rsid w:val="00185DB3"/>
    <w:rsid w:val="001B397F"/>
    <w:rsid w:val="001B6C2F"/>
    <w:rsid w:val="001D506C"/>
    <w:rsid w:val="00220108"/>
    <w:rsid w:val="0022339B"/>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3F2455"/>
    <w:rsid w:val="00404DAA"/>
    <w:rsid w:val="00437AA5"/>
    <w:rsid w:val="0044282B"/>
    <w:rsid w:val="004603A2"/>
    <w:rsid w:val="00492396"/>
    <w:rsid w:val="004B3865"/>
    <w:rsid w:val="004C38F7"/>
    <w:rsid w:val="004E19F9"/>
    <w:rsid w:val="00517205"/>
    <w:rsid w:val="0052704B"/>
    <w:rsid w:val="005279D9"/>
    <w:rsid w:val="00542487"/>
    <w:rsid w:val="00580629"/>
    <w:rsid w:val="00582810"/>
    <w:rsid w:val="00583FFA"/>
    <w:rsid w:val="00595540"/>
    <w:rsid w:val="005B5FA6"/>
    <w:rsid w:val="005E1E85"/>
    <w:rsid w:val="005F222A"/>
    <w:rsid w:val="005F33FF"/>
    <w:rsid w:val="00642B29"/>
    <w:rsid w:val="006654AB"/>
    <w:rsid w:val="006813A6"/>
    <w:rsid w:val="00686AFD"/>
    <w:rsid w:val="006A2A68"/>
    <w:rsid w:val="006F7EFE"/>
    <w:rsid w:val="00703C0B"/>
    <w:rsid w:val="0075467B"/>
    <w:rsid w:val="007D0861"/>
    <w:rsid w:val="007D1225"/>
    <w:rsid w:val="007E010B"/>
    <w:rsid w:val="00802FC2"/>
    <w:rsid w:val="0081293E"/>
    <w:rsid w:val="0084238A"/>
    <w:rsid w:val="00852DE8"/>
    <w:rsid w:val="008C58B7"/>
    <w:rsid w:val="008C62AF"/>
    <w:rsid w:val="008C63FE"/>
    <w:rsid w:val="008D0E5E"/>
    <w:rsid w:val="008D3341"/>
    <w:rsid w:val="008E2694"/>
    <w:rsid w:val="00940731"/>
    <w:rsid w:val="009476D9"/>
    <w:rsid w:val="009702E0"/>
    <w:rsid w:val="00970502"/>
    <w:rsid w:val="009712C1"/>
    <w:rsid w:val="009719B6"/>
    <w:rsid w:val="009731D1"/>
    <w:rsid w:val="00985A34"/>
    <w:rsid w:val="009957C5"/>
    <w:rsid w:val="009A1A98"/>
    <w:rsid w:val="00A10BBD"/>
    <w:rsid w:val="00A2735C"/>
    <w:rsid w:val="00A565C7"/>
    <w:rsid w:val="00A61FE3"/>
    <w:rsid w:val="00A63976"/>
    <w:rsid w:val="00B0742B"/>
    <w:rsid w:val="00B247D1"/>
    <w:rsid w:val="00B50A87"/>
    <w:rsid w:val="00B74403"/>
    <w:rsid w:val="00B84713"/>
    <w:rsid w:val="00B851FA"/>
    <w:rsid w:val="00B95567"/>
    <w:rsid w:val="00B96A3B"/>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A38A7"/>
    <w:rsid w:val="00DB127D"/>
    <w:rsid w:val="00DB4B20"/>
    <w:rsid w:val="00DD1384"/>
    <w:rsid w:val="00E07235"/>
    <w:rsid w:val="00E247EB"/>
    <w:rsid w:val="00E33C9F"/>
    <w:rsid w:val="00E83C6F"/>
    <w:rsid w:val="00E9509D"/>
    <w:rsid w:val="00E979AB"/>
    <w:rsid w:val="00EA7B52"/>
    <w:rsid w:val="00EC39BC"/>
    <w:rsid w:val="00EE140B"/>
    <w:rsid w:val="00F02755"/>
    <w:rsid w:val="00F41B40"/>
    <w:rsid w:val="00F718B8"/>
    <w:rsid w:val="00F733AF"/>
    <w:rsid w:val="00F767D0"/>
    <w:rsid w:val="00F83DBF"/>
    <w:rsid w:val="00FC2396"/>
    <w:rsid w:val="00FD14DA"/>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en-GB"/>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1454FE"/>
    <w:rPr>
      <w:rFonts w:ascii="Times New Roman" w:hAnsi="Times New Roman" w:cs="Times New Roman"/>
      <w:sz w:val="24"/>
      <w:lang w:val="en-GB"/>
    </w:rPr>
  </w:style>
  <w:style w:type="character" w:customStyle="1" w:styleId="FooterChar">
    <w:name w:val="Footer Char"/>
    <w:basedOn w:val="DefaultParagraphFont"/>
    <w:link w:val="Footer"/>
    <w:uiPriority w:val="99"/>
    <w:rsid w:val="001454FE"/>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454F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454FE"/>
    <w:pPr>
      <w:spacing w:before="0"/>
      <w:jc w:val="right"/>
    </w:pPr>
    <w:rPr>
      <w:sz w:val="28"/>
    </w:rPr>
  </w:style>
  <w:style w:type="paragraph" w:customStyle="1" w:styleId="FooterSensitivity">
    <w:name w:val="Footer Sensitivity"/>
    <w:basedOn w:val="Normal"/>
    <w:rsid w:val="001454F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454FE"/>
    <w:pPr>
      <w:tabs>
        <w:tab w:val="center" w:pos="4535"/>
        <w:tab w:val="right" w:pos="9071"/>
      </w:tabs>
      <w:spacing w:before="0"/>
    </w:pPr>
  </w:style>
  <w:style w:type="paragraph" w:customStyle="1" w:styleId="HeaderLandscape">
    <w:name w:val="HeaderLandscape"/>
    <w:basedOn w:val="Normal"/>
    <w:rsid w:val="001454FE"/>
    <w:pPr>
      <w:tabs>
        <w:tab w:val="center" w:pos="7285"/>
        <w:tab w:val="right" w:pos="14003"/>
      </w:tabs>
      <w:spacing w:before="0"/>
    </w:pPr>
  </w:style>
  <w:style w:type="paragraph" w:styleId="Footer">
    <w:name w:val="footer"/>
    <w:basedOn w:val="Normal"/>
    <w:link w:val="FooterChar"/>
    <w:uiPriority w:val="99"/>
    <w:unhideWhenUsed/>
    <w:rsid w:val="001454F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454F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