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11345A" w:rsidRDefault="0023149E" w:rsidP="0023149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576BA47-43A1-4D5A-B4DD-0CC111428FFE" style="width:455.25pt;height:441pt">
            <v:imagedata r:id="rId7" o:title=""/>
          </v:shape>
        </w:pict>
      </w:r>
    </w:p>
    <w:p w:rsidR="001D506C" w:rsidRPr="0011345A" w:rsidRDefault="001D506C">
      <w:pPr>
        <w:rPr>
          <w:noProof/>
        </w:rPr>
        <w:sectPr w:rsidR="001D506C" w:rsidRPr="0011345A" w:rsidSect="0023149E">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11345A" w:rsidRDefault="0011345A" w:rsidP="0011345A">
      <w:pPr>
        <w:pStyle w:val="Typedudocument"/>
        <w:rPr>
          <w:noProof/>
        </w:rPr>
      </w:pPr>
      <w:bookmarkStart w:id="0" w:name="_GoBack"/>
      <w:bookmarkEnd w:id="0"/>
      <w:r w:rsidRPr="0011345A">
        <w:rPr>
          <w:noProof/>
        </w:rPr>
        <w:lastRenderedPageBreak/>
        <w:t>KOMMISSIONENS GENOMFÖRANDEFÖRORDNING (EU) …/…</w:t>
      </w:r>
    </w:p>
    <w:p w:rsidR="001D506C" w:rsidRPr="0011345A" w:rsidRDefault="007D0FDB" w:rsidP="0011345A">
      <w:pPr>
        <w:pStyle w:val="Datedadoption"/>
        <w:rPr>
          <w:noProof/>
        </w:rPr>
      </w:pPr>
      <w:r>
        <w:rPr>
          <w:noProof/>
        </w:rPr>
        <w:t>av den 6.6.2024</w:t>
      </w:r>
    </w:p>
    <w:p w:rsidR="001D506C" w:rsidRPr="0011345A" w:rsidRDefault="0011345A" w:rsidP="0011345A">
      <w:pPr>
        <w:pStyle w:val="Titreobjet"/>
        <w:rPr>
          <w:noProof/>
        </w:rPr>
      </w:pPr>
      <w:r w:rsidRPr="0011345A">
        <w:rPr>
          <w:noProof/>
        </w:rPr>
        <w:t xml:space="preserve">om ändring av kommissionens genomförandeförordning (EU) 2021/763 om tekniska standarder för genomförande för tillämpningen av Europaparlamentets och rådets förordning (EU) nr 575/2013 och Europaparlamentets och rådets direktiv 2014/59/EU vad gäller tillsynsrapportering och offentliggörande avseende minimikravet för kapitalbas och kvalificerade skulder </w:t>
      </w:r>
      <w:r w:rsidRPr="0011345A">
        <w:rPr>
          <w:noProof/>
        </w:rPr>
        <w:br/>
      </w:r>
    </w:p>
    <w:p w:rsidR="001D506C" w:rsidRPr="0011345A" w:rsidRDefault="0011345A" w:rsidP="0011345A">
      <w:pPr>
        <w:pStyle w:val="IntrtEEE"/>
        <w:rPr>
          <w:noProof/>
        </w:rPr>
      </w:pPr>
      <w:r w:rsidRPr="0011345A">
        <w:rPr>
          <w:noProof/>
        </w:rPr>
        <w:t>(Text av betydelse för EES)</w:t>
      </w:r>
    </w:p>
    <w:p w:rsidR="001D506C" w:rsidRPr="0011345A" w:rsidRDefault="0011345A" w:rsidP="004E1EF9">
      <w:pPr>
        <w:pStyle w:val="Institutionquiagit"/>
        <w:rPr>
          <w:noProof/>
        </w:rPr>
      </w:pPr>
      <w:r>
        <w:rPr>
          <w:noProof/>
        </w:rPr>
        <w:t>EUROPEISKA KOMMISSIONEN HAR ANTAGIT DENNA FÖRORDNING</w:t>
      </w:r>
    </w:p>
    <w:p w:rsidR="001D506C" w:rsidRPr="0011345A" w:rsidRDefault="001D506C" w:rsidP="004E1EF9">
      <w:pPr>
        <w:rPr>
          <w:noProof/>
        </w:rPr>
      </w:pPr>
      <w:r w:rsidRPr="0011345A">
        <w:rPr>
          <w:noProof/>
        </w:rPr>
        <w:t>med beaktande av fördraget om Europeiska unionens funktionssätt,</w:t>
      </w:r>
    </w:p>
    <w:p w:rsidR="000E6FD2" w:rsidRPr="0011345A" w:rsidRDefault="000E6FD2" w:rsidP="000E6FD2">
      <w:pPr>
        <w:rPr>
          <w:noProof/>
        </w:rPr>
      </w:pPr>
      <w:r w:rsidRPr="0011345A">
        <w:rPr>
          <w:noProof/>
        </w:rPr>
        <w:t>med beaktande av Europaparlamentets och rådets förordning (EU) nr 575/2013 av den 26 juni 2013 om tillsynskrav för kreditinstitut och om ändring av förordning (EU) nr 648/2012</w:t>
      </w:r>
      <w:r w:rsidRPr="0011345A">
        <w:rPr>
          <w:rStyle w:val="FootnoteReference"/>
          <w:noProof/>
        </w:rPr>
        <w:footnoteReference w:id="1"/>
      </w:r>
      <w:r w:rsidRPr="0011345A">
        <w:rPr>
          <w:noProof/>
        </w:rPr>
        <w:t>, särskilt artikel 430.7 femte stycket och artikel 434a femte stycket,</w:t>
      </w:r>
    </w:p>
    <w:p w:rsidR="000E6FD2" w:rsidRPr="0011345A" w:rsidRDefault="000E6FD2" w:rsidP="000E6FD2">
      <w:pPr>
        <w:rPr>
          <w:noProof/>
        </w:rPr>
      </w:pPr>
      <w:r w:rsidRPr="0011345A">
        <w:rPr>
          <w:noProof/>
        </w:rPr>
        <w:t>med beaktande av Europaparlamentets och rådets direktiv 2014/59/EU av den 15 maj 2014 om inrättande av en ram för återhämtning och resolution av kreditinstitut och värdepappersföretag och om ändring av rådets direktiv 82/891/EEG och Europaparlamentets och rådets direktiv 2001/24/EG, 2002/47/EG, 2004/25/EG, 2005/56/EG, 2007/36/EG, 2011/35/EU, 2012/30/EU och 2013/36/EU, samt Europaparlamentets och rådets förordningar (EU) nr 1093/2010 och (EU) nr 648/2012</w:t>
      </w:r>
      <w:r w:rsidRPr="0011345A">
        <w:rPr>
          <w:rStyle w:val="FootnoteReference"/>
          <w:noProof/>
        </w:rPr>
        <w:footnoteReference w:id="2"/>
      </w:r>
      <w:r w:rsidRPr="0011345A">
        <w:rPr>
          <w:noProof/>
        </w:rPr>
        <w:t>, särskilt artikel 45i.5 femte stycket och artikel 45i.6 femte stycket, och</w:t>
      </w:r>
    </w:p>
    <w:p w:rsidR="001D506C" w:rsidRPr="0011345A" w:rsidRDefault="001D506C" w:rsidP="004E1EF9">
      <w:pPr>
        <w:rPr>
          <w:noProof/>
        </w:rPr>
      </w:pPr>
      <w:r w:rsidRPr="0011345A">
        <w:rPr>
          <w:noProof/>
        </w:rPr>
        <w:t>av följande skäl:</w:t>
      </w:r>
    </w:p>
    <w:p w:rsidR="00F83DBF" w:rsidRPr="0011345A" w:rsidRDefault="00F83DBF" w:rsidP="0052704B">
      <w:pPr>
        <w:pStyle w:val="ManualConsidrant"/>
        <w:rPr>
          <w:noProof/>
        </w:rPr>
      </w:pPr>
      <w:r>
        <w:rPr>
          <w:noProof/>
        </w:rPr>
        <w:t>(1)</w:t>
      </w:r>
      <w:r>
        <w:rPr>
          <w:noProof/>
        </w:rPr>
        <w:tab/>
      </w:r>
      <w:r w:rsidRPr="0011345A">
        <w:rPr>
          <w:noProof/>
        </w:rPr>
        <w:t xml:space="preserve">Genom </w:t>
      </w:r>
      <w:bookmarkStart w:id="1" w:name="_Hlk159320995"/>
      <w:r w:rsidRPr="0011345A">
        <w:rPr>
          <w:noProof/>
        </w:rPr>
        <w:t>Europaparlamentets och rådets förordning</w:t>
      </w:r>
      <w:bookmarkEnd w:id="1"/>
      <w:r w:rsidRPr="0011345A">
        <w:rPr>
          <w:noProof/>
        </w:rPr>
        <w:t xml:space="preserve"> (EU) 2022/2036</w:t>
      </w:r>
      <w:r w:rsidRPr="0011345A">
        <w:rPr>
          <w:rStyle w:val="FootnoteReference"/>
          <w:noProof/>
        </w:rPr>
        <w:footnoteReference w:id="3"/>
      </w:r>
      <w:r w:rsidRPr="0011345A">
        <w:rPr>
          <w:noProof/>
        </w:rPr>
        <w:t xml:space="preserve"> infördes ett krav i förordning (EU) nr 575/2013 som innebär att förmedlande enheter i en resolutionsgrupp från kvalificerade skuldposter ska dra av sina innehav av kapitalbasinstrument och kvalificerade skuldinstrument som används för att uppfylla kravet i artikel 92b i förordning (EU) nr 575/2013 (</w:t>
      </w:r>
      <w:r w:rsidRPr="0011345A">
        <w:rPr>
          <w:i/>
          <w:noProof/>
        </w:rPr>
        <w:t>internt krav på total förlustabsorberingskapacitet</w:t>
      </w:r>
      <w:r w:rsidRPr="0011345A">
        <w:rPr>
          <w:noProof/>
        </w:rPr>
        <w:t xml:space="preserve"> eller </w:t>
      </w:r>
      <w:r w:rsidRPr="0011345A">
        <w:rPr>
          <w:i/>
          <w:noProof/>
        </w:rPr>
        <w:t>internt TLAC-krav</w:t>
      </w:r>
      <w:r w:rsidRPr="0011345A">
        <w:rPr>
          <w:noProof/>
        </w:rPr>
        <w:t>) eller kravet i artikel 45f i direktiv 2014/59/EU</w:t>
      </w:r>
      <w:r w:rsidRPr="0011345A">
        <w:rPr>
          <w:rStyle w:val="FootnoteReference"/>
          <w:noProof/>
        </w:rPr>
        <w:footnoteReference w:id="4"/>
      </w:r>
      <w:r w:rsidRPr="0011345A">
        <w:rPr>
          <w:noProof/>
        </w:rPr>
        <w:t xml:space="preserve"> (</w:t>
      </w:r>
      <w:r w:rsidRPr="0011345A">
        <w:rPr>
          <w:i/>
          <w:noProof/>
        </w:rPr>
        <w:t>internt minimikrav för kapitalbas och kvalificerade skulder</w:t>
      </w:r>
      <w:r w:rsidRPr="0011345A">
        <w:rPr>
          <w:noProof/>
        </w:rPr>
        <w:t xml:space="preserve"> eller </w:t>
      </w:r>
      <w:r w:rsidRPr="0011345A">
        <w:rPr>
          <w:i/>
          <w:noProof/>
        </w:rPr>
        <w:t>internt MREL-krav</w:t>
      </w:r>
      <w:r w:rsidRPr="0011345A">
        <w:rPr>
          <w:noProof/>
        </w:rPr>
        <w:t>), om dessa kapitalbasinstrument och kvalificerade skuldinstrument emitterats av enheter som inte själva är resolutionsenheter och som tillhör samma resolutionsgrupp. Detta avdragskrav måste därför återspeglas i de mallar för offentliggörande av harmoniserad information om interna MREL-krav och interna TLAC-krav som fastställs i kommissionens genomförandeförordning (EU) 2021/763</w:t>
      </w:r>
      <w:r w:rsidRPr="0011345A">
        <w:rPr>
          <w:rStyle w:val="FootnoteReference"/>
          <w:bCs/>
          <w:noProof/>
        </w:rPr>
        <w:footnoteReference w:id="5"/>
      </w:r>
      <w:r w:rsidRPr="0011345A">
        <w:rPr>
          <w:noProof/>
        </w:rPr>
        <w:t>. Avdragskravet bör också återspeglas i den harmoniserade information som lämnas till behöriga myndigheter och resolutionsmyndigheter.</w:t>
      </w:r>
    </w:p>
    <w:p w:rsidR="00686AFD" w:rsidRPr="0011345A" w:rsidRDefault="00686AFD" w:rsidP="002103AD">
      <w:pPr>
        <w:pStyle w:val="ManualConsidrant"/>
        <w:rPr>
          <w:noProof/>
        </w:rPr>
      </w:pPr>
      <w:r>
        <w:rPr>
          <w:noProof/>
        </w:rPr>
        <w:t>(2)</w:t>
      </w:r>
      <w:r>
        <w:rPr>
          <w:noProof/>
        </w:rPr>
        <w:tab/>
      </w:r>
      <w:r w:rsidRPr="0011345A">
        <w:rPr>
          <w:noProof/>
        </w:rPr>
        <w:t>Europaparlamentets och rådets direktiv (EU) 2024/1174 om ändring av direktiv 2014/59/EU och förordning (EU) nr 806/2014 vad gäller vissa aspekter av minimikravet för kapitalbas och kvalificerade skulder</w:t>
      </w:r>
      <w:r w:rsidRPr="0011345A">
        <w:rPr>
          <w:rStyle w:val="FootnoteReference"/>
          <w:noProof/>
        </w:rPr>
        <w:footnoteReference w:id="6"/>
      </w:r>
      <w:r w:rsidRPr="0011345A">
        <w:rPr>
          <w:noProof/>
        </w:rPr>
        <w:t xml:space="preserve"> ändrade ytterligare avdragskravet i förordning (EU) nr 575/2013 genom att specificera i direktiv 2014/59/EU och förordning (EU) nr 806/2014 att förmedlande enheter i en resolutionsgrupp endast ska dra av sina innehav av kapitalbasinstrument som emitterats av avvecklingsenheter som tillhör samma resolutionsgrupp och inte själva är resolutionsenheter, med förbehåll för vissa villkor som rör dessa innehavs väsentlighet. Dessa ändringar bör också återspeglas i den harmoniserade information som lämnas i mallar för offentliggörande och rapportering till behöriga myndigheter och resolutionsmyndigheter.</w:t>
      </w:r>
    </w:p>
    <w:p w:rsidR="00F83DBF" w:rsidRPr="0011345A" w:rsidRDefault="00F83DBF" w:rsidP="00302BB5">
      <w:pPr>
        <w:pStyle w:val="ManualConsidrant"/>
        <w:rPr>
          <w:noProof/>
        </w:rPr>
      </w:pPr>
      <w:r>
        <w:rPr>
          <w:noProof/>
        </w:rPr>
        <w:t>(3)</w:t>
      </w:r>
      <w:r>
        <w:rPr>
          <w:noProof/>
        </w:rPr>
        <w:tab/>
      </w:r>
      <w:r w:rsidRPr="0011345A">
        <w:rPr>
          <w:noProof/>
        </w:rPr>
        <w:t>Enheter som omfattas av kraven i artikel 92a eller artikel 92b i förordning (EU) nr 575/2013 (</w:t>
      </w:r>
      <w:r w:rsidRPr="0011345A">
        <w:rPr>
          <w:i/>
          <w:noProof/>
        </w:rPr>
        <w:t>TLAC-krav</w:t>
      </w:r>
      <w:r w:rsidRPr="0011345A">
        <w:rPr>
          <w:noProof/>
        </w:rPr>
        <w:t>) eller kravet i artikel 45 i direktiv 2014/59/EU (</w:t>
      </w:r>
      <w:r w:rsidRPr="0011345A">
        <w:rPr>
          <w:i/>
          <w:noProof/>
        </w:rPr>
        <w:t>MREL-krav</w:t>
      </w:r>
      <w:r w:rsidRPr="0011345A">
        <w:rPr>
          <w:noProof/>
        </w:rPr>
        <w:t>) får, med förhandstillstånd från sin resolutionsmyndighet, köpa, lösa in, återbetala eller återköpa kvalificerade skuldinstrument i enlighet med artikel 78a i förordning (EU) nr 575/2013. Belopp som omfattas av ett sådant tillstånd minskar enheternas kapacitet att uppfylla MREL-kravet eller TLAC-kravet. Det är därför nödvändigt att specificera hur effekterna av ett sådant tillstånd bör återspeglas i offentliggjord information och rapportering till behöriga myndigheter och resolutionsmyndigheter.</w:t>
      </w:r>
    </w:p>
    <w:p w:rsidR="00F83DBF" w:rsidRPr="0011345A" w:rsidRDefault="00F83DBF" w:rsidP="00F83DBF">
      <w:pPr>
        <w:pStyle w:val="ManualConsidrant"/>
        <w:rPr>
          <w:noProof/>
        </w:rPr>
      </w:pPr>
      <w:r>
        <w:rPr>
          <w:noProof/>
        </w:rPr>
        <w:t>(4)</w:t>
      </w:r>
      <w:r>
        <w:rPr>
          <w:noProof/>
        </w:rPr>
        <w:tab/>
      </w:r>
      <w:r w:rsidRPr="0011345A">
        <w:rPr>
          <w:noProof/>
        </w:rPr>
        <w:t>Genomförandeförordning (EU) 2021/763 bör därför ändras i enlighet med detta.</w:t>
      </w:r>
    </w:p>
    <w:p w:rsidR="00F83DBF" w:rsidRPr="0011345A" w:rsidRDefault="00F83DBF" w:rsidP="00F83DBF">
      <w:pPr>
        <w:pStyle w:val="ManualConsidrant"/>
        <w:rPr>
          <w:noProof/>
        </w:rPr>
      </w:pPr>
      <w:r>
        <w:rPr>
          <w:noProof/>
        </w:rPr>
        <w:t>(5)</w:t>
      </w:r>
      <w:r>
        <w:rPr>
          <w:noProof/>
        </w:rPr>
        <w:tab/>
      </w:r>
      <w:r w:rsidRPr="0011345A">
        <w:rPr>
          <w:noProof/>
        </w:rPr>
        <w:t xml:space="preserve">Denna förordning grundar sig på det förslag till tekniska genomförandestandarder som Europeiska bankmyndigheten har lagt fram för kommissionen. </w:t>
      </w:r>
    </w:p>
    <w:p w:rsidR="00F83DBF" w:rsidRPr="0011345A" w:rsidRDefault="00F83DBF" w:rsidP="00F83DBF">
      <w:pPr>
        <w:pStyle w:val="ManualConsidrant"/>
        <w:rPr>
          <w:noProof/>
        </w:rPr>
      </w:pPr>
      <w:r>
        <w:rPr>
          <w:noProof/>
        </w:rPr>
        <w:t>(6)</w:t>
      </w:r>
      <w:r>
        <w:rPr>
          <w:noProof/>
        </w:rPr>
        <w:tab/>
      </w:r>
      <w:r w:rsidRPr="0011345A">
        <w:rPr>
          <w:noProof/>
        </w:rPr>
        <w:t>Europeiska bankmyndigheten har anordnat öppna offentliga samråd om det förslag till tekniska genomförandestandarder som den här förordningen grundas på, gjort en analys av möjliga kostnader och fördelar samt begärt råd från den bankintressentgrupp som inrättats i enlighet med artikel 37 i Europaparlamentets och rådets förordning (EU) nr 1093/2010</w:t>
      </w:r>
      <w:r w:rsidRPr="0011345A">
        <w:rPr>
          <w:rStyle w:val="FootnoteReference"/>
          <w:noProof/>
        </w:rPr>
        <w:footnoteReference w:id="7"/>
      </w:r>
      <w:r w:rsidRPr="0011345A">
        <w:rPr>
          <w:noProof/>
        </w:rPr>
        <w:t>.</w:t>
      </w:r>
    </w:p>
    <w:p w:rsidR="00DB127D" w:rsidRPr="0011345A" w:rsidRDefault="00DB127D" w:rsidP="00F83DBF">
      <w:pPr>
        <w:pStyle w:val="ManualConsidrant"/>
        <w:rPr>
          <w:noProof/>
        </w:rPr>
      </w:pPr>
      <w:r>
        <w:rPr>
          <w:noProof/>
        </w:rPr>
        <w:t>(7)</w:t>
      </w:r>
      <w:r>
        <w:rPr>
          <w:noProof/>
        </w:rPr>
        <w:tab/>
      </w:r>
      <w:r w:rsidRPr="0011345A">
        <w:rPr>
          <w:noProof/>
        </w:rPr>
        <w:t xml:space="preserve">För att ge enheter som omfattas av skyldigheten att rapportera eller offentliggöra information i enlighet med förordning (EU) nr 575/2013 eller direktiv 2014/59/EU tillräckligt med tid för att anpassa sig till </w:t>
      </w:r>
      <w:bookmarkStart w:id="2" w:name="_Hlk160034996"/>
      <w:r w:rsidRPr="0011345A">
        <w:rPr>
          <w:noProof/>
        </w:rPr>
        <w:t>ändringarna i mallarna och den harmoniserade informationen</w:t>
      </w:r>
      <w:bookmarkEnd w:id="2"/>
      <w:r w:rsidRPr="0011345A">
        <w:rPr>
          <w:noProof/>
        </w:rPr>
        <w:t xml:space="preserve"> bör ändringarna börja tillämpas sex månader efter dagen för ikraftträdandet.</w:t>
      </w:r>
    </w:p>
    <w:p w:rsidR="001D506C" w:rsidRPr="0011345A" w:rsidRDefault="001D506C" w:rsidP="004E1EF9">
      <w:pPr>
        <w:pStyle w:val="Formuledadoption"/>
        <w:rPr>
          <w:noProof/>
        </w:rPr>
      </w:pPr>
      <w:r w:rsidRPr="0011345A">
        <w:rPr>
          <w:noProof/>
        </w:rPr>
        <w:t>HÄRIGENOM FÖRESKRIVS FÖLJANDE.</w:t>
      </w:r>
    </w:p>
    <w:p w:rsidR="001D506C" w:rsidRPr="0011345A" w:rsidRDefault="001D506C" w:rsidP="004E1EF9">
      <w:pPr>
        <w:pStyle w:val="Titrearticle"/>
        <w:rPr>
          <w:noProof/>
        </w:rPr>
      </w:pPr>
      <w:r w:rsidRPr="0011345A">
        <w:rPr>
          <w:noProof/>
        </w:rPr>
        <w:t>Artikel 1</w:t>
      </w:r>
    </w:p>
    <w:p w:rsidR="008D3341" w:rsidRPr="0011345A" w:rsidRDefault="008D3341" w:rsidP="00220108">
      <w:pPr>
        <w:pStyle w:val="Titrearticle"/>
        <w:rPr>
          <w:noProof/>
        </w:rPr>
      </w:pPr>
      <w:r w:rsidRPr="0011345A">
        <w:rPr>
          <w:noProof/>
        </w:rPr>
        <w:t>Ändringar av genomförandeförordning (EU) 2021/763</w:t>
      </w:r>
    </w:p>
    <w:p w:rsidR="00F83DBF" w:rsidRPr="0011345A" w:rsidRDefault="00F83DBF" w:rsidP="00F83DBF">
      <w:pPr>
        <w:rPr>
          <w:noProof/>
        </w:rPr>
      </w:pPr>
      <w:r w:rsidRPr="0011345A">
        <w:rPr>
          <w:noProof/>
        </w:rPr>
        <w:t>Genomförandeförordning (EU) 2021/763 ska ändras på följande sätt:</w:t>
      </w:r>
    </w:p>
    <w:p w:rsidR="00F83DBF" w:rsidRPr="0011345A" w:rsidRDefault="004603A2" w:rsidP="000B009E">
      <w:pPr>
        <w:pStyle w:val="Point0"/>
        <w:rPr>
          <w:noProof/>
        </w:rPr>
      </w:pPr>
      <w:r>
        <w:rPr>
          <w:noProof/>
        </w:rPr>
        <w:t>(1)</w:t>
      </w:r>
      <w:r>
        <w:rPr>
          <w:noProof/>
        </w:rPr>
        <w:tab/>
      </w:r>
      <w:r w:rsidRPr="0011345A">
        <w:rPr>
          <w:noProof/>
        </w:rPr>
        <w:t>Mallarna M 02.00 och M 03.00 i bilaga I ska ersättas med mallarna M 02.00 och M 03.00 i bilaga I till den här förordningen.</w:t>
      </w:r>
    </w:p>
    <w:p w:rsidR="00F83DBF" w:rsidRPr="0011345A" w:rsidRDefault="00F83DBF" w:rsidP="00220108">
      <w:pPr>
        <w:pStyle w:val="Point0"/>
        <w:rPr>
          <w:noProof/>
        </w:rPr>
      </w:pPr>
      <w:r>
        <w:rPr>
          <w:noProof/>
        </w:rPr>
        <w:t>(2)</w:t>
      </w:r>
      <w:r>
        <w:rPr>
          <w:noProof/>
        </w:rPr>
        <w:tab/>
      </w:r>
      <w:r w:rsidRPr="0011345A">
        <w:rPr>
          <w:noProof/>
        </w:rPr>
        <w:t>Bilaga II ska ersättas med texten i bilaga II till den här förordningen.</w:t>
      </w:r>
    </w:p>
    <w:p w:rsidR="00F83DBF" w:rsidRPr="0011345A" w:rsidRDefault="004603A2" w:rsidP="00220108">
      <w:pPr>
        <w:pStyle w:val="Point0"/>
        <w:rPr>
          <w:noProof/>
        </w:rPr>
      </w:pPr>
      <w:r>
        <w:rPr>
          <w:noProof/>
        </w:rPr>
        <w:t>(3)</w:t>
      </w:r>
      <w:r>
        <w:rPr>
          <w:noProof/>
        </w:rPr>
        <w:tab/>
      </w:r>
      <w:r w:rsidRPr="0011345A">
        <w:rPr>
          <w:noProof/>
        </w:rPr>
        <w:t>Mallarna EU TLAC1 och EU ILAC i bilaga V ska ersättas med mallarna EU TLAC1 och EU ILAC i bilaga III till den här förordningen.</w:t>
      </w:r>
    </w:p>
    <w:p w:rsidR="00F83DBF" w:rsidRPr="0011345A" w:rsidRDefault="00F83DBF" w:rsidP="00220108">
      <w:pPr>
        <w:pStyle w:val="Point0"/>
        <w:rPr>
          <w:noProof/>
        </w:rPr>
      </w:pPr>
      <w:r>
        <w:rPr>
          <w:noProof/>
        </w:rPr>
        <w:t>(4)</w:t>
      </w:r>
      <w:r>
        <w:rPr>
          <w:noProof/>
        </w:rPr>
        <w:tab/>
      </w:r>
      <w:r w:rsidRPr="0011345A">
        <w:rPr>
          <w:noProof/>
        </w:rPr>
        <w:t>Bilaga VI ska ersättas med texten i bilaga IV till den här förordningen.</w:t>
      </w:r>
    </w:p>
    <w:p w:rsidR="00F83DBF" w:rsidRPr="0011345A" w:rsidRDefault="00F83DBF" w:rsidP="00F83DBF">
      <w:pPr>
        <w:pStyle w:val="Titrearticle"/>
        <w:rPr>
          <w:noProof/>
        </w:rPr>
      </w:pPr>
      <w:r w:rsidRPr="0011345A">
        <w:rPr>
          <w:noProof/>
        </w:rPr>
        <w:t>Artikel 2</w:t>
      </w:r>
    </w:p>
    <w:p w:rsidR="00CC305D" w:rsidRPr="0011345A" w:rsidRDefault="00CC305D" w:rsidP="00583FFA">
      <w:pPr>
        <w:jc w:val="center"/>
        <w:rPr>
          <w:b/>
          <w:bCs/>
          <w:noProof/>
          <w:color w:val="000000"/>
        </w:rPr>
      </w:pPr>
      <w:r w:rsidRPr="0011345A">
        <w:rPr>
          <w:b/>
          <w:noProof/>
          <w:color w:val="000000"/>
        </w:rPr>
        <w:t>Ikraftträdande och tillämpning</w:t>
      </w:r>
    </w:p>
    <w:p w:rsidR="00F83DBF" w:rsidRPr="0011345A" w:rsidRDefault="00F83DBF" w:rsidP="00F83DBF">
      <w:pPr>
        <w:rPr>
          <w:noProof/>
          <w:color w:val="000000"/>
        </w:rPr>
      </w:pPr>
      <w:r w:rsidRPr="0011345A">
        <w:rPr>
          <w:noProof/>
          <w:color w:val="000000"/>
        </w:rPr>
        <w:t xml:space="preserve">Denna förordning träder i kraft den tjugonde dagen efter det att den har offentliggjorts i </w:t>
      </w:r>
      <w:r w:rsidRPr="0011345A">
        <w:rPr>
          <w:i/>
          <w:noProof/>
          <w:color w:val="000000"/>
        </w:rPr>
        <w:t>Europeiska unionens officiella tidning</w:t>
      </w:r>
      <w:r w:rsidRPr="0011345A">
        <w:rPr>
          <w:noProof/>
          <w:color w:val="000000"/>
        </w:rPr>
        <w:t>.</w:t>
      </w:r>
    </w:p>
    <w:p w:rsidR="00F83DBF" w:rsidRPr="0011345A" w:rsidRDefault="00F83DBF" w:rsidP="00F83DBF">
      <w:pPr>
        <w:rPr>
          <w:noProof/>
          <w:color w:val="000000"/>
        </w:rPr>
      </w:pPr>
      <w:r w:rsidRPr="0011345A">
        <w:rPr>
          <w:noProof/>
          <w:color w:val="000000"/>
        </w:rPr>
        <w:t xml:space="preserve">Den ska tillämpas från och med den [EUT: </w:t>
      </w:r>
      <w:r w:rsidRPr="0011345A">
        <w:rPr>
          <w:i/>
          <w:noProof/>
          <w:color w:val="000000"/>
        </w:rPr>
        <w:t>för in datum sex månader efter ikraftträdandet av denna ändringsförordning</w:t>
      </w:r>
      <w:r w:rsidRPr="0011345A">
        <w:rPr>
          <w:noProof/>
          <w:color w:val="000000"/>
        </w:rPr>
        <w:t xml:space="preserve">]. </w:t>
      </w:r>
    </w:p>
    <w:p w:rsidR="001D506C" w:rsidRPr="0011345A" w:rsidRDefault="001D506C" w:rsidP="004E1EF9">
      <w:pPr>
        <w:pStyle w:val="Applicationdirecte"/>
        <w:keepNext/>
        <w:keepLines/>
        <w:rPr>
          <w:noProof/>
        </w:rPr>
      </w:pPr>
      <w:r w:rsidRPr="0011345A">
        <w:rPr>
          <w:noProof/>
        </w:rPr>
        <w:t>Denna förordning är till alla delar bindande och direkt tillämplig i alla medlemsstater.</w:t>
      </w:r>
    </w:p>
    <w:p w:rsidR="001D506C" w:rsidRPr="0011345A" w:rsidRDefault="007D0FDB" w:rsidP="00CF256C">
      <w:pPr>
        <w:pStyle w:val="Fait"/>
        <w:rPr>
          <w:noProof/>
        </w:rPr>
      </w:pPr>
      <w:r>
        <w:rPr>
          <w:noProof/>
        </w:rPr>
        <w:t>Utfärdad i Bryssel den 6.6.2024</w:t>
      </w:r>
    </w:p>
    <w:p w:rsidR="001D506C" w:rsidRPr="0011345A" w:rsidRDefault="001D506C" w:rsidP="00CF256C">
      <w:pPr>
        <w:pStyle w:val="Institutionquisigne"/>
        <w:rPr>
          <w:noProof/>
        </w:rPr>
      </w:pPr>
      <w:r w:rsidRPr="0011345A">
        <w:rPr>
          <w:noProof/>
        </w:rPr>
        <w:tab/>
        <w:t>På kommissionens vägnar</w:t>
      </w:r>
    </w:p>
    <w:p w:rsidR="00F718B8" w:rsidRPr="0011345A" w:rsidRDefault="00016E83" w:rsidP="00CF256C">
      <w:pPr>
        <w:pStyle w:val="Personnequisigne"/>
        <w:keepNext/>
        <w:rPr>
          <w:noProof/>
        </w:rPr>
      </w:pPr>
      <w:r>
        <w:rPr>
          <w:noProof/>
        </w:rPr>
        <w:tab/>
        <w:t>Ordförande</w:t>
      </w:r>
      <w:r>
        <w:rPr>
          <w:noProof/>
        </w:rPr>
        <w:br/>
      </w:r>
      <w:r>
        <w:rPr>
          <w:noProof/>
        </w:rPr>
        <w:tab/>
        <w:t>Ursula VON DER LEYEN</w:t>
      </w:r>
    </w:p>
    <w:p w:rsidR="00C402D1" w:rsidRPr="0011345A" w:rsidRDefault="00C402D1" w:rsidP="00C402D1">
      <w:pPr>
        <w:pStyle w:val="Personnequisigne"/>
        <w:rPr>
          <w:noProof/>
        </w:rPr>
      </w:pPr>
    </w:p>
    <w:sectPr w:rsidR="00C402D1" w:rsidRPr="0011345A" w:rsidSect="0023149E">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Footer"/>
      <w:rPr>
        <w:rFonts w:ascii="Arial" w:hAnsi="Arial" w:cs="Arial"/>
        <w:b/>
        <w:sz w:val="48"/>
      </w:rPr>
    </w:pPr>
    <w:r w:rsidRPr="0023149E">
      <w:rPr>
        <w:rFonts w:ascii="Arial" w:hAnsi="Arial" w:cs="Arial"/>
        <w:b/>
        <w:sz w:val="48"/>
      </w:rPr>
      <w:t>SV</w:t>
    </w:r>
    <w:r w:rsidRPr="0023149E">
      <w:rPr>
        <w:rFonts w:ascii="Arial" w:hAnsi="Arial" w:cs="Arial"/>
        <w:b/>
        <w:sz w:val="48"/>
      </w:rPr>
      <w:tab/>
    </w:r>
    <w:r w:rsidRPr="0023149E">
      <w:rPr>
        <w:rFonts w:ascii="Arial" w:hAnsi="Arial" w:cs="Arial"/>
        <w:b/>
        <w:sz w:val="48"/>
      </w:rPr>
      <w:tab/>
    </w:r>
    <w:r w:rsidRPr="0023149E">
      <w:tab/>
    </w:r>
    <w:r w:rsidRPr="0023149E">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Footer"/>
      <w:rPr>
        <w:rFonts w:ascii="Arial" w:hAnsi="Arial" w:cs="Arial"/>
        <w:b/>
        <w:sz w:val="48"/>
      </w:rPr>
    </w:pPr>
    <w:r w:rsidRPr="0023149E">
      <w:rPr>
        <w:rFonts w:ascii="Arial" w:hAnsi="Arial" w:cs="Arial"/>
        <w:b/>
        <w:sz w:val="48"/>
      </w:rPr>
      <w:t>SV</w:t>
    </w:r>
    <w:r w:rsidRPr="0023149E">
      <w:rPr>
        <w:rFonts w:ascii="Arial" w:hAnsi="Arial" w:cs="Arial"/>
        <w:b/>
        <w:sz w:val="48"/>
      </w:rPr>
      <w:tab/>
    </w:r>
    <w:r w:rsidRPr="0023149E">
      <w:rPr>
        <w:rFonts w:ascii="Arial" w:hAnsi="Arial" w:cs="Arial"/>
        <w:b/>
        <w:sz w:val="48"/>
      </w:rPr>
      <w:tab/>
    </w:r>
    <w:r w:rsidRPr="0023149E">
      <w:tab/>
    </w:r>
    <w:r w:rsidRPr="0023149E">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Default="0023149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Footer"/>
      <w:rPr>
        <w:rFonts w:ascii="Arial" w:hAnsi="Arial" w:cs="Arial"/>
        <w:b/>
        <w:sz w:val="48"/>
      </w:rPr>
    </w:pPr>
    <w:r w:rsidRPr="0023149E">
      <w:rPr>
        <w:rFonts w:ascii="Arial" w:hAnsi="Arial" w:cs="Arial"/>
        <w:b/>
        <w:sz w:val="48"/>
      </w:rPr>
      <w:t>SV</w:t>
    </w:r>
    <w:r w:rsidRPr="0023149E">
      <w:rPr>
        <w:rFonts w:ascii="Arial" w:hAnsi="Arial" w:cs="Arial"/>
        <w:b/>
        <w:sz w:val="48"/>
      </w:rPr>
      <w:tab/>
    </w:r>
    <w:r>
      <w:fldChar w:fldCharType="begin"/>
    </w:r>
    <w:r>
      <w:instrText xml:space="preserve"> PAGE  \* MERGEFORMAT </w:instrText>
    </w:r>
    <w:r>
      <w:fldChar w:fldCharType="separate"/>
    </w:r>
    <w:r w:rsidR="00CF256C">
      <w:rPr>
        <w:noProof/>
      </w:rPr>
      <w:t>3</w:t>
    </w:r>
    <w:r>
      <w:fldChar w:fldCharType="end"/>
    </w:r>
    <w:r>
      <w:tab/>
    </w:r>
    <w:r w:rsidRPr="0023149E">
      <w:tab/>
    </w:r>
    <w:r w:rsidRPr="0023149E">
      <w:rPr>
        <w:rFonts w:ascii="Arial" w:hAnsi="Arial" w:cs="Arial"/>
        <w:b/>
        <w:sz w:val="48"/>
      </w:rPr>
      <w:t>SV</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Default="0023149E" w:rsidP="00231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A38A7" w:rsidRDefault="000E6FD2" w:rsidP="000E6FD2">
      <w:pPr>
        <w:pStyle w:val="FootnoteText"/>
      </w:pPr>
      <w:r>
        <w:rPr>
          <w:rStyle w:val="FootnoteReference"/>
        </w:rPr>
        <w:footnoteRef/>
      </w:r>
      <w:r>
        <w:tab/>
        <w:t xml:space="preserve">EUT L 176, 27.6.2013, s. 1, ELI: http://data.europa.eu/eli/reg/2013/575/oj. </w:t>
      </w:r>
    </w:p>
  </w:footnote>
  <w:footnote w:id="2">
    <w:p w:rsidR="000E6FD2" w:rsidRPr="00DA38A7" w:rsidRDefault="000E6FD2" w:rsidP="000E6FD2">
      <w:pPr>
        <w:pStyle w:val="FootnoteText"/>
      </w:pPr>
      <w:r>
        <w:rPr>
          <w:rStyle w:val="FootnoteReference"/>
        </w:rPr>
        <w:footnoteRef/>
      </w:r>
      <w:r>
        <w:tab/>
        <w:t xml:space="preserve">EUT L 173, 12.6.2014, s. 190, ELI: http://data.europa.eu/eli/dir/2014/59/oj. </w:t>
      </w:r>
    </w:p>
  </w:footnote>
  <w:footnote w:id="3">
    <w:p w:rsidR="00F83DBF" w:rsidRPr="001734AB" w:rsidRDefault="00F83DBF" w:rsidP="00F83DBF">
      <w:pPr>
        <w:pStyle w:val="FootnoteText"/>
      </w:pPr>
      <w:r>
        <w:rPr>
          <w:rStyle w:val="FootnoteReference"/>
        </w:rPr>
        <w:footnoteRef/>
      </w:r>
      <w:r>
        <w:tab/>
        <w:t>Europaparlamentets och rådets förordning (EU) 2022/2036 av den 19 oktober 2022 om ändring av förordning (EU) nr 575/2013 och direktiv 2014/59/EU vad gäller tillsynsbehandlingen av globala systemviktiga institut med en resolutionsstrategi med flera ingångspunkter och metoder för den indirekta teckningen av instrument som är kvalificerade för att uppfylla minimikravet för kapitalbas och kvalificerade skulder (EUT L 275, 25.10.2022, s. 1, ELI:http://data.europa.eu/eli/reg/2022/2036/oj)</w:t>
      </w:r>
    </w:p>
  </w:footnote>
  <w:footnote w:id="4">
    <w:p w:rsidR="00F83DBF" w:rsidRPr="002B6E0A" w:rsidRDefault="00F83DBF" w:rsidP="00F83DBF">
      <w:pPr>
        <w:pStyle w:val="FootnoteText"/>
      </w:pPr>
      <w:r>
        <w:rPr>
          <w:rStyle w:val="FootnoteReference"/>
        </w:rPr>
        <w:footnoteRef/>
      </w:r>
      <w:r>
        <w:tab/>
        <w:t>Europaparlamentets och rådets direktiv 2014/59/EU av den 15 maj 2014 om inrättande av en ram för återhämtning och resolution av kreditinstitut och värdepappersföretag och om ändring av rådets direktiv 82/891/EEG och direktiven 2001/24/EG, 2002/47/EG, 2004/25/EG, 2005/56/EG, 2007/36/EG, 2011/35/EU, 2012/30/EU och 2013/36/EU samt Europaparlamentets och rådets förordningar (EU) nr 1093/2010 och (EU) nr 648/2012 (EUT L 173, 12.6.2014, s. 190).</w:t>
      </w:r>
    </w:p>
  </w:footnote>
  <w:footnote w:id="5">
    <w:p w:rsidR="00F83DBF" w:rsidRPr="00BA3525" w:rsidRDefault="00F83DBF" w:rsidP="00F83DBF">
      <w:pPr>
        <w:pStyle w:val="FootnoteText"/>
      </w:pPr>
      <w:r>
        <w:rPr>
          <w:rStyle w:val="FootnoteReference"/>
        </w:rPr>
        <w:footnoteRef/>
      </w:r>
      <w:r>
        <w:tab/>
        <w:t>Kommissionens genomförandeförordning (EU) 2021/763 av den 23 april 2021 om tekniska standarder för genomförande för tillämpningen av Europaparlamentets och rådets förordning (EU) nr 575/2013 och Europaparlamentets och rådets direktiv 2014/59/EU vad gäller tillsynsrapportering och offentliggörande avseende minimikravet för kapitalbas och kvalificerade skulder (EUT L 168, 12.5.2021, s. 1).</w:t>
      </w:r>
    </w:p>
  </w:footnote>
  <w:footnote w:id="6">
    <w:p w:rsidR="00686AFD" w:rsidRPr="00686AFD" w:rsidRDefault="00686AFD" w:rsidP="00686AFD">
      <w:pPr>
        <w:pStyle w:val="FootnoteText"/>
      </w:pPr>
      <w:r>
        <w:rPr>
          <w:rStyle w:val="FootnoteReference"/>
        </w:rPr>
        <w:footnoteRef/>
      </w:r>
      <w:r>
        <w:tab/>
        <w:t>Europaparlamentets och rådets direktiv (EU) 2024/1174 av den 11 april 2024 om ändring av direktiv 2014/59/EU och förordning (EU) nr 806/2014 vad gäller vissa aspekter av minimikravet för kapitalbas och kvalificerade skulder (EUT L, 2024/1174, 22.4.2024).</w:t>
      </w:r>
    </w:p>
  </w:footnote>
  <w:footnote w:id="7">
    <w:p w:rsidR="00F83DBF" w:rsidRPr="00B64E68" w:rsidRDefault="00F83DBF" w:rsidP="00F83DBF">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Pr="0023149E" w:rsidRDefault="0023149E" w:rsidP="002314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Default="002314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49E" w:rsidRDefault="002314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0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576BA47-43A1-4D5A-B4DD-0CC111428FFE"/>
    <w:docVar w:name="LW_COVERPAGE_TYPE" w:val="1"/>
    <w:docVar w:name="LW_CROSSREFERENCE" w:val="&lt;UNUSED&gt;"/>
    <w:docVar w:name="LW_DATE.ADOPT.CP" w:val="av den 6.6.2024"/>
    <w:docVar w:name="LW_DATE.ADOPT.CP_DATEFORMAT" w:val="av den %DATE%"/>
    <w:docVar w:name="LW_DATE.ADOPT.CP_ISODATE" w:val="2024-06-06"/>
    <w:docVar w:name="LW_DocType" w:val="COM"/>
    <w:docVar w:name="LW_EMISSION" w:val="6.6.2024"/>
    <w:docVar w:name="LW_EMISSION_ISODATE" w:val="2024-06-06"/>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ändring av kommissionens genomförandeförordning (EU) 2021/763 om tekniska standarder för genomförande för tillämpningen av Europaparlamentets och rådets förordning (EU) nr 575/2013 och Europaparlamentets och rådets direktiv 2014/59/EU vad gäller tillsynsrapportering och offentliggörande avseende minimikravet för kapitalbas och kvalificerade skulder _x000b_"/>
    <w:docVar w:name="LW_TYPE.DOC.CP" w:val="KOMMISSIONENS GENOMFÖRANDEFÖRORDNING (EU) \u8230?/\u8230?"/>
    <w:docVar w:name="LwApiVersions" w:val="LW4CoDe 1.24.5.0; LW 9.0, Build 20240221"/>
  </w:docVars>
  <w:rsids>
    <w:rsidRoot w:val="001D506C"/>
    <w:rsid w:val="00016E83"/>
    <w:rsid w:val="00093B4B"/>
    <w:rsid w:val="000955EB"/>
    <w:rsid w:val="000B009E"/>
    <w:rsid w:val="000B7A7D"/>
    <w:rsid w:val="000E6B56"/>
    <w:rsid w:val="000E6FD2"/>
    <w:rsid w:val="0011345A"/>
    <w:rsid w:val="0013442E"/>
    <w:rsid w:val="00152894"/>
    <w:rsid w:val="00185DB3"/>
    <w:rsid w:val="001B397F"/>
    <w:rsid w:val="001B55D6"/>
    <w:rsid w:val="001B6C2F"/>
    <w:rsid w:val="001D506C"/>
    <w:rsid w:val="00220108"/>
    <w:rsid w:val="0022339B"/>
    <w:rsid w:val="0023149E"/>
    <w:rsid w:val="00292AC6"/>
    <w:rsid w:val="002B0CB3"/>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437AA5"/>
    <w:rsid w:val="0044282B"/>
    <w:rsid w:val="004603A2"/>
    <w:rsid w:val="00492396"/>
    <w:rsid w:val="004B3865"/>
    <w:rsid w:val="004C38F7"/>
    <w:rsid w:val="004E19F9"/>
    <w:rsid w:val="0051537E"/>
    <w:rsid w:val="00517205"/>
    <w:rsid w:val="0052704B"/>
    <w:rsid w:val="005279D9"/>
    <w:rsid w:val="00542487"/>
    <w:rsid w:val="005758F8"/>
    <w:rsid w:val="00580629"/>
    <w:rsid w:val="00582810"/>
    <w:rsid w:val="00583FFA"/>
    <w:rsid w:val="00595540"/>
    <w:rsid w:val="005B5FA6"/>
    <w:rsid w:val="005E1E85"/>
    <w:rsid w:val="005F222A"/>
    <w:rsid w:val="005F33FF"/>
    <w:rsid w:val="006654AB"/>
    <w:rsid w:val="006813A6"/>
    <w:rsid w:val="00686AFD"/>
    <w:rsid w:val="006A2A68"/>
    <w:rsid w:val="006C4E5E"/>
    <w:rsid w:val="006F7EFE"/>
    <w:rsid w:val="00703C0B"/>
    <w:rsid w:val="0075467B"/>
    <w:rsid w:val="007D0861"/>
    <w:rsid w:val="007D0FDB"/>
    <w:rsid w:val="007D1225"/>
    <w:rsid w:val="007E010B"/>
    <w:rsid w:val="00802FC2"/>
    <w:rsid w:val="0081293E"/>
    <w:rsid w:val="0084238A"/>
    <w:rsid w:val="008456DB"/>
    <w:rsid w:val="00852DE8"/>
    <w:rsid w:val="008C58B7"/>
    <w:rsid w:val="008C62AF"/>
    <w:rsid w:val="008C63FE"/>
    <w:rsid w:val="008D0E5E"/>
    <w:rsid w:val="008D3341"/>
    <w:rsid w:val="008E2694"/>
    <w:rsid w:val="00940731"/>
    <w:rsid w:val="009476D9"/>
    <w:rsid w:val="009702E0"/>
    <w:rsid w:val="009712C1"/>
    <w:rsid w:val="009719B6"/>
    <w:rsid w:val="009731D1"/>
    <w:rsid w:val="00985A34"/>
    <w:rsid w:val="009957C5"/>
    <w:rsid w:val="009A1A98"/>
    <w:rsid w:val="00A10BBD"/>
    <w:rsid w:val="00A2735C"/>
    <w:rsid w:val="00A565C7"/>
    <w:rsid w:val="00A61FE3"/>
    <w:rsid w:val="00A63976"/>
    <w:rsid w:val="00B0742B"/>
    <w:rsid w:val="00B247D1"/>
    <w:rsid w:val="00B425AA"/>
    <w:rsid w:val="00B50A87"/>
    <w:rsid w:val="00B74403"/>
    <w:rsid w:val="00B84713"/>
    <w:rsid w:val="00B851FA"/>
    <w:rsid w:val="00BE38E4"/>
    <w:rsid w:val="00C04FB5"/>
    <w:rsid w:val="00C311CE"/>
    <w:rsid w:val="00C3731F"/>
    <w:rsid w:val="00C402D1"/>
    <w:rsid w:val="00C62ABE"/>
    <w:rsid w:val="00C72F66"/>
    <w:rsid w:val="00C9371C"/>
    <w:rsid w:val="00CB4B4C"/>
    <w:rsid w:val="00CC305D"/>
    <w:rsid w:val="00CE02BF"/>
    <w:rsid w:val="00CF256C"/>
    <w:rsid w:val="00D15425"/>
    <w:rsid w:val="00D15677"/>
    <w:rsid w:val="00D37A87"/>
    <w:rsid w:val="00D455A5"/>
    <w:rsid w:val="00D60353"/>
    <w:rsid w:val="00D73411"/>
    <w:rsid w:val="00D917AD"/>
    <w:rsid w:val="00DA38A7"/>
    <w:rsid w:val="00DB127D"/>
    <w:rsid w:val="00DB4B20"/>
    <w:rsid w:val="00E07235"/>
    <w:rsid w:val="00E247EB"/>
    <w:rsid w:val="00E33C9F"/>
    <w:rsid w:val="00E83C6F"/>
    <w:rsid w:val="00E9509D"/>
    <w:rsid w:val="00E979AB"/>
    <w:rsid w:val="00EC39BC"/>
    <w:rsid w:val="00EE140B"/>
    <w:rsid w:val="00F02755"/>
    <w:rsid w:val="00F41B40"/>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sv-SE"/>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23149E"/>
    <w:rPr>
      <w:rFonts w:ascii="Times New Roman" w:hAnsi="Times New Roman" w:cs="Times New Roman"/>
      <w:sz w:val="24"/>
      <w:lang w:val="sv-SE"/>
    </w:rPr>
  </w:style>
  <w:style w:type="character" w:customStyle="1" w:styleId="FooterChar">
    <w:name w:val="Footer Char"/>
    <w:basedOn w:val="DefaultParagraphFont"/>
    <w:link w:val="Footer"/>
    <w:uiPriority w:val="99"/>
    <w:rsid w:val="0023149E"/>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v-S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v-S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v-S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v-S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v-S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v-S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v-S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3149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3149E"/>
    <w:pPr>
      <w:spacing w:before="0"/>
      <w:jc w:val="right"/>
    </w:pPr>
    <w:rPr>
      <w:sz w:val="28"/>
    </w:rPr>
  </w:style>
  <w:style w:type="paragraph" w:customStyle="1" w:styleId="FooterSensitivity">
    <w:name w:val="Footer Sensitivity"/>
    <w:basedOn w:val="Normal"/>
    <w:rsid w:val="0023149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Tiret5">
    <w:name w:val="Tiret 5"/>
    <w:basedOn w:val="Point5"/>
    <w:pPr>
      <w:numPr>
        <w:numId w:val="1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8"/>
      </w:numPr>
    </w:pPr>
  </w:style>
  <w:style w:type="paragraph" w:customStyle="1" w:styleId="NumPar2">
    <w:name w:val="NumPar 2"/>
    <w:basedOn w:val="Normal"/>
    <w:next w:val="Text1"/>
    <w:pPr>
      <w:numPr>
        <w:ilvl w:val="1"/>
        <w:numId w:val="18"/>
      </w:numPr>
    </w:pPr>
  </w:style>
  <w:style w:type="paragraph" w:customStyle="1" w:styleId="NumPar3">
    <w:name w:val="NumPar 3"/>
    <w:basedOn w:val="Normal"/>
    <w:next w:val="Text1"/>
    <w:pPr>
      <w:numPr>
        <w:ilvl w:val="2"/>
        <w:numId w:val="18"/>
      </w:numPr>
    </w:pPr>
  </w:style>
  <w:style w:type="paragraph" w:customStyle="1" w:styleId="NumPar4">
    <w:name w:val="NumPar 4"/>
    <w:basedOn w:val="Normal"/>
    <w:next w:val="Text1"/>
    <w:pPr>
      <w:numPr>
        <w:ilvl w:val="3"/>
        <w:numId w:val="18"/>
      </w:numPr>
    </w:pPr>
  </w:style>
  <w:style w:type="paragraph" w:customStyle="1" w:styleId="NumPar5">
    <w:name w:val="NumPar 5"/>
    <w:basedOn w:val="Normal"/>
    <w:next w:val="Text2"/>
    <w:pPr>
      <w:numPr>
        <w:ilvl w:val="4"/>
        <w:numId w:val="18"/>
      </w:numPr>
    </w:pPr>
  </w:style>
  <w:style w:type="paragraph" w:customStyle="1" w:styleId="NumPar6">
    <w:name w:val="NumPar 6"/>
    <w:basedOn w:val="Normal"/>
    <w:next w:val="Text2"/>
    <w:pPr>
      <w:numPr>
        <w:ilvl w:val="5"/>
        <w:numId w:val="18"/>
      </w:numPr>
    </w:pPr>
  </w:style>
  <w:style w:type="paragraph" w:customStyle="1" w:styleId="NumPar7">
    <w:name w:val="NumPar 7"/>
    <w:basedOn w:val="Normal"/>
    <w:next w:val="Text2"/>
    <w:pPr>
      <w:numPr>
        <w:ilvl w:val="6"/>
        <w:numId w:val="1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0"/>
      </w:numPr>
    </w:pPr>
  </w:style>
  <w:style w:type="paragraph" w:customStyle="1" w:styleId="Point1number">
    <w:name w:val="Point 1 (number)"/>
    <w:basedOn w:val="Normal"/>
    <w:pPr>
      <w:numPr>
        <w:ilvl w:val="2"/>
        <w:numId w:val="20"/>
      </w:numPr>
    </w:pPr>
  </w:style>
  <w:style w:type="paragraph" w:customStyle="1" w:styleId="Point2number">
    <w:name w:val="Point 2 (number)"/>
    <w:basedOn w:val="Normal"/>
    <w:pPr>
      <w:numPr>
        <w:ilvl w:val="4"/>
        <w:numId w:val="20"/>
      </w:numPr>
    </w:pPr>
  </w:style>
  <w:style w:type="paragraph" w:customStyle="1" w:styleId="Point3number">
    <w:name w:val="Point 3 (number)"/>
    <w:basedOn w:val="Normal"/>
    <w:pPr>
      <w:numPr>
        <w:ilvl w:val="6"/>
        <w:numId w:val="20"/>
      </w:numPr>
    </w:pPr>
  </w:style>
  <w:style w:type="paragraph" w:customStyle="1" w:styleId="Point0letter">
    <w:name w:val="Point 0 (letter)"/>
    <w:basedOn w:val="Normal"/>
    <w:pPr>
      <w:numPr>
        <w:ilvl w:val="1"/>
        <w:numId w:val="20"/>
      </w:numPr>
    </w:pPr>
  </w:style>
  <w:style w:type="paragraph" w:customStyle="1" w:styleId="Point1letter">
    <w:name w:val="Point 1 (letter)"/>
    <w:basedOn w:val="Normal"/>
    <w:pPr>
      <w:numPr>
        <w:ilvl w:val="3"/>
        <w:numId w:val="20"/>
      </w:numPr>
    </w:pPr>
  </w:style>
  <w:style w:type="paragraph" w:customStyle="1" w:styleId="Point2letter">
    <w:name w:val="Point 2 (letter)"/>
    <w:basedOn w:val="Normal"/>
    <w:pPr>
      <w:numPr>
        <w:ilvl w:val="5"/>
        <w:numId w:val="20"/>
      </w:numPr>
    </w:pPr>
  </w:style>
  <w:style w:type="paragraph" w:customStyle="1" w:styleId="Point3letter">
    <w:name w:val="Point 3 (letter)"/>
    <w:basedOn w:val="Normal"/>
    <w:pPr>
      <w:numPr>
        <w:ilvl w:val="7"/>
        <w:numId w:val="20"/>
      </w:numPr>
    </w:pPr>
  </w:style>
  <w:style w:type="paragraph" w:customStyle="1" w:styleId="Point4letter">
    <w:name w:val="Point 4 (letter)"/>
    <w:basedOn w:val="Normal"/>
    <w:pPr>
      <w:numPr>
        <w:ilvl w:val="8"/>
        <w:numId w:val="20"/>
      </w:numPr>
    </w:pPr>
  </w:style>
  <w:style w:type="paragraph" w:customStyle="1" w:styleId="Bullet0">
    <w:name w:val="Bullet 0"/>
    <w:basedOn w:val="Normal"/>
    <w:pPr>
      <w:numPr>
        <w:numId w:val="21"/>
      </w:numPr>
    </w:pPr>
  </w:style>
  <w:style w:type="paragraph" w:customStyle="1" w:styleId="Bullet1">
    <w:name w:val="Bullet 1"/>
    <w:basedOn w:val="Normal"/>
    <w:pPr>
      <w:numPr>
        <w:numId w:val="22"/>
      </w:numPr>
    </w:pPr>
  </w:style>
  <w:style w:type="paragraph" w:customStyle="1" w:styleId="Bullet2">
    <w:name w:val="Bullet 2"/>
    <w:basedOn w:val="Normal"/>
    <w:pPr>
      <w:numPr>
        <w:numId w:val="23"/>
      </w:numPr>
    </w:pPr>
  </w:style>
  <w:style w:type="paragraph" w:customStyle="1" w:styleId="Bullet3">
    <w:name w:val="Bullet 3"/>
    <w:basedOn w:val="Normal"/>
    <w:pPr>
      <w:numPr>
        <w:numId w:val="24"/>
      </w:numPr>
    </w:pPr>
  </w:style>
  <w:style w:type="paragraph" w:customStyle="1" w:styleId="Bullet4">
    <w:name w:val="Bullet 4"/>
    <w:basedOn w:val="Normal"/>
    <w:pPr>
      <w:numPr>
        <w:numId w:val="2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3149E"/>
    <w:pPr>
      <w:tabs>
        <w:tab w:val="center" w:pos="4535"/>
        <w:tab w:val="right" w:pos="9071"/>
      </w:tabs>
      <w:spacing w:before="0"/>
    </w:pPr>
  </w:style>
  <w:style w:type="paragraph" w:customStyle="1" w:styleId="HeaderLandscape">
    <w:name w:val="HeaderLandscape"/>
    <w:basedOn w:val="Normal"/>
    <w:rsid w:val="0023149E"/>
    <w:pPr>
      <w:tabs>
        <w:tab w:val="center" w:pos="7285"/>
        <w:tab w:val="right" w:pos="14003"/>
      </w:tabs>
      <w:spacing w:before="0"/>
    </w:pPr>
  </w:style>
  <w:style w:type="paragraph" w:styleId="Footer">
    <w:name w:val="footer"/>
    <w:basedOn w:val="Normal"/>
    <w:link w:val="FooterChar"/>
    <w:uiPriority w:val="99"/>
    <w:unhideWhenUsed/>
    <w:rsid w:val="0023149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3149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