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8E4000" w:rsidRDefault="00C47D44" w:rsidP="00C47D44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ECD1D6F2-82A3-4314-A9FF-7F233A9F2F69" style="width:455.25pt;height:441pt">
            <v:imagedata r:id="rId7" o:title=""/>
          </v:shape>
        </w:pict>
      </w:r>
    </w:p>
    <w:p w:rsidR="001D506C" w:rsidRPr="008E4000" w:rsidRDefault="001D506C">
      <w:pPr>
        <w:rPr>
          <w:noProof/>
        </w:rPr>
        <w:sectPr w:rsidR="001D506C" w:rsidRPr="008E4000" w:rsidSect="00C47D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8E4000" w:rsidRDefault="008E4000" w:rsidP="008E4000">
      <w:pPr>
        <w:pStyle w:val="Typedudocument"/>
        <w:rPr>
          <w:noProof/>
        </w:rPr>
      </w:pPr>
      <w:bookmarkStart w:id="0" w:name="_GoBack"/>
      <w:bookmarkEnd w:id="0"/>
      <w:r w:rsidRPr="008E4000">
        <w:rPr>
          <w:noProof/>
        </w:rPr>
        <w:lastRenderedPageBreak/>
        <w:t>PROVEDBENA UREDBA KOMISIJE (EU) …/...</w:t>
      </w:r>
    </w:p>
    <w:p w:rsidR="001D506C" w:rsidRPr="008E4000" w:rsidRDefault="00CF2071" w:rsidP="008E4000">
      <w:pPr>
        <w:pStyle w:val="Datedadoption"/>
        <w:rPr>
          <w:noProof/>
        </w:rPr>
      </w:pPr>
      <w:r>
        <w:rPr>
          <w:noProof/>
        </w:rPr>
        <w:t>оd 6.6.2024.</w:t>
      </w:r>
    </w:p>
    <w:p w:rsidR="001D506C" w:rsidRPr="008E4000" w:rsidRDefault="008E4000" w:rsidP="008E4000">
      <w:pPr>
        <w:pStyle w:val="Titreobjet"/>
        <w:rPr>
          <w:noProof/>
        </w:rPr>
      </w:pPr>
      <w:r w:rsidRPr="008E4000">
        <w:rPr>
          <w:noProof/>
        </w:rPr>
        <w:t xml:space="preserve">o izmjeni Provedbene uredbe (EU) 2021/763 o utvrđivanju provedbenih tehničkih standarda za primjenu Uredbe (EU) br. 575/2013 Europskog parlamenta i Vijeća i Direktive 2014/59/EU Europskog parlamenta i Vijeća u pogledu nadzornog izvješćivanja i javne objave minimalnog zahtjeva za regulatorni kapital i prihvatljive obveze </w:t>
      </w:r>
      <w:r w:rsidRPr="008E4000">
        <w:rPr>
          <w:noProof/>
        </w:rPr>
        <w:br/>
      </w:r>
    </w:p>
    <w:p w:rsidR="001D506C" w:rsidRPr="008E4000" w:rsidRDefault="008E4000" w:rsidP="008E4000">
      <w:pPr>
        <w:pStyle w:val="IntrtEEE"/>
        <w:rPr>
          <w:noProof/>
        </w:rPr>
      </w:pPr>
      <w:r w:rsidRPr="008E4000">
        <w:rPr>
          <w:noProof/>
        </w:rPr>
        <w:t>(Tekst značajan za EGP)</w:t>
      </w:r>
    </w:p>
    <w:p w:rsidR="001D506C" w:rsidRPr="008E4000" w:rsidRDefault="001D506C" w:rsidP="004E1EF9">
      <w:pPr>
        <w:pStyle w:val="Institutionquiagit"/>
        <w:rPr>
          <w:noProof/>
        </w:rPr>
      </w:pPr>
      <w:r w:rsidRPr="008E4000">
        <w:rPr>
          <w:noProof/>
        </w:rPr>
        <w:t>EUROPSKA KOMISIJA,</w:t>
      </w:r>
    </w:p>
    <w:p w:rsidR="001D506C" w:rsidRPr="008E4000" w:rsidRDefault="001D506C" w:rsidP="004E1EF9">
      <w:pPr>
        <w:rPr>
          <w:noProof/>
        </w:rPr>
      </w:pPr>
      <w:r w:rsidRPr="008E4000">
        <w:rPr>
          <w:noProof/>
          <w:color w:val="000000"/>
        </w:rPr>
        <w:t>uzimajući u obzir Ugovor o funkcioniranju Europske unije</w:t>
      </w:r>
      <w:r w:rsidRPr="008E4000">
        <w:rPr>
          <w:noProof/>
        </w:rPr>
        <w:t>,</w:t>
      </w:r>
    </w:p>
    <w:p w:rsidR="000E6FD2" w:rsidRPr="008E4000" w:rsidRDefault="000E6FD2" w:rsidP="000E6FD2">
      <w:pPr>
        <w:rPr>
          <w:noProof/>
        </w:rPr>
      </w:pPr>
      <w:r w:rsidRPr="008E4000">
        <w:rPr>
          <w:noProof/>
        </w:rPr>
        <w:t>uzimajući u obzir Uredbu (EU) br. 575/2013 Europskog parlamenta i Vijeća od 26. lipnja 2013. o bonitetnim zahtjevima za kreditne institucije i o izmjeni Uredbe (EU) br. 648/2012</w:t>
      </w:r>
      <w:r w:rsidRPr="008E4000">
        <w:rPr>
          <w:rStyle w:val="FootnoteReference"/>
          <w:noProof/>
        </w:rPr>
        <w:footnoteReference w:id="1"/>
      </w:r>
      <w:r w:rsidRPr="008E4000">
        <w:rPr>
          <w:noProof/>
        </w:rPr>
        <w:t>, a posebno njezin članak 430. stavak 7. treći podstavak i članak 434.a peti podstavak,</w:t>
      </w:r>
    </w:p>
    <w:p w:rsidR="000E6FD2" w:rsidRPr="008E4000" w:rsidRDefault="000E6FD2" w:rsidP="000E6FD2">
      <w:pPr>
        <w:rPr>
          <w:noProof/>
        </w:rPr>
      </w:pPr>
      <w:r w:rsidRPr="008E4000">
        <w:rPr>
          <w:noProof/>
        </w:rPr>
        <w:t>uzimajući u obzir Direktivu 2014/59/EU Europskog parlamenta i Vijeća od 15. svibnja 2014. o uspostavi okvira za oporavak i sanaciju kreditnih institucija i investicijskih društava te o izmjeni Direktive Vijeća 82/891/EEZ i direktiva 2001/24/EZ, 2002/47/EZ, 2004/25/EZ, 2005/56/EZ, 2007/36/EZ, 2011/35/EU, 2012/30/EU i 2013/36/EU te uredbi (EU) br. 1093/2010 i (EU) br. 648/2012 Europskog parlamenta i Vijeća</w:t>
      </w:r>
      <w:r w:rsidRPr="008E4000">
        <w:rPr>
          <w:rStyle w:val="FootnoteReference"/>
          <w:noProof/>
        </w:rPr>
        <w:footnoteReference w:id="2"/>
      </w:r>
      <w:r w:rsidRPr="008E4000">
        <w:rPr>
          <w:noProof/>
        </w:rPr>
        <w:t>, a posebno njezin članak 45.i stavak 5. peti podstavak i stavak 6. peti podstavak,</w:t>
      </w:r>
    </w:p>
    <w:p w:rsidR="001D506C" w:rsidRPr="008E4000" w:rsidRDefault="001D506C" w:rsidP="004E1EF9">
      <w:pPr>
        <w:rPr>
          <w:noProof/>
        </w:rPr>
      </w:pPr>
      <w:r w:rsidRPr="008E4000">
        <w:rPr>
          <w:noProof/>
        </w:rPr>
        <w:t>budući da:</w:t>
      </w:r>
    </w:p>
    <w:p w:rsidR="00F83DBF" w:rsidRPr="008E4000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8E4000">
        <w:rPr>
          <w:noProof/>
        </w:rPr>
        <w:t xml:space="preserve">Uredbom (EU) 2022/2036 </w:t>
      </w:r>
      <w:bookmarkStart w:id="1" w:name="_Hlk159320995"/>
      <w:r w:rsidRPr="008E4000">
        <w:rPr>
          <w:noProof/>
        </w:rPr>
        <w:t>Europskog parlamenta i Vijeća</w:t>
      </w:r>
      <w:r w:rsidRPr="008E4000">
        <w:rPr>
          <w:rStyle w:val="FootnoteReference"/>
          <w:noProof/>
        </w:rPr>
        <w:footnoteReference w:id="3"/>
      </w:r>
      <w:bookmarkEnd w:id="1"/>
      <w:r w:rsidRPr="008E4000">
        <w:rPr>
          <w:noProof/>
        </w:rPr>
        <w:t xml:space="preserve"> u Uredbu (EU) br. 575/2013 uveden je zahtjev da posrednici u sanacijskoj grupi od stavki prihvatljivih obveza odbiju svoja ulaganja u instrumente regulatornog kapitala i instrumente prihvatljivih obveza koja su poslužila za ispunjenje zahtjeva iz članka 92.b Uredbe (EU) br. 575/2013 (interni „zahtjev za ukupni kapacitet pokrivanja gubitaka” ili „interni TLAC”) odnosno zahtjeva iz članka 45.f Direktive 2014/59/EU</w:t>
      </w:r>
      <w:r w:rsidRPr="008E4000">
        <w:rPr>
          <w:rStyle w:val="FootnoteReference"/>
          <w:noProof/>
        </w:rPr>
        <w:footnoteReference w:id="4"/>
      </w:r>
      <w:r w:rsidRPr="008E4000">
        <w:rPr>
          <w:noProof/>
        </w:rPr>
        <w:t xml:space="preserve"> (interni „minimalni zahtjev za regulatorni kapital i prihvatljive obveze” ili „interni MREL”) ako su te instrumente regulatornog kapitala i instrumente prihvatljivih obveza izdali subjekti koji nisu sanacijski subjekti i pripadaju istoj sanacijskoj grupi. Zato bi obrasci za javne objave usklađenih informacija o internom MREL-u i internom TLAC-u utvrđenima u Provedbenoj uredbi Komisije (EU) 2021/763</w:t>
      </w:r>
      <w:r w:rsidRPr="008E4000">
        <w:rPr>
          <w:rStyle w:val="FootnoteReference"/>
          <w:bCs/>
          <w:noProof/>
        </w:rPr>
        <w:footnoteReference w:id="5"/>
      </w:r>
      <w:r w:rsidRPr="008E4000">
        <w:rPr>
          <w:noProof/>
        </w:rPr>
        <w:t xml:space="preserve"> trebali odražavati taj zahtjev za odbitak, a jednako bi ga trebale odražavati i usklađene informacije koje se dostavljaju nadležnim i sanacijskim tijelima.</w:t>
      </w:r>
    </w:p>
    <w:p w:rsidR="00686AFD" w:rsidRPr="008E4000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8E4000">
        <w:rPr>
          <w:noProof/>
        </w:rPr>
        <w:t>Direktivom (EU) 2024/1174 Europskog parlamenta i Vijeća o izmjeni Direktive 2014/59/EU i Uredbe (EU) br. 806/2014 u pogledu određenih aspekata minimalnog zahtjeva za regulatorni kapital i prihvatljive obveze</w:t>
      </w:r>
      <w:r w:rsidRPr="008E4000">
        <w:rPr>
          <w:rStyle w:val="FootnoteReference"/>
          <w:noProof/>
        </w:rPr>
        <w:footnoteReference w:id="6"/>
      </w:r>
      <w:r w:rsidRPr="008E4000">
        <w:rPr>
          <w:noProof/>
        </w:rPr>
        <w:t xml:space="preserve"> dodatno je izmijenjen zahtjev o odbitku iz Uredbe (EU) br. 575/2013 time što je u Direktivi 2014/59/EU i Uredbi (EU) br. 806/2014 utvrđeno da posrednici u sanacijskoj grupi mogu odbiti samo svoja ulaganja u instrumente regulatornog kapitala koje su izdali subjekti planirani za likvidaciju koji pripadaju istoj sanacijskoj grupi, a sami nisu sanacijska tijela, i to pod određenim uvjetima koji se odnose na značajnost tih ulaganja. Te bi se izmjene trebale odražavati i u usklađenim informacijama koje se dostavljaju u obrascima za javne objave i u izvješćima nadležnim i sanacijskim tijelima.</w:t>
      </w:r>
    </w:p>
    <w:p w:rsidR="00F83DBF" w:rsidRPr="008E4000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8E4000">
        <w:rPr>
          <w:noProof/>
        </w:rPr>
        <w:t>Subjekti na koje se primjenjuju zahtjevi iz članka 92.a ili članka 92.b Uredbe (EU) br. 575/2013 („zahtjev za TLAC”) odnosno zahtjev iz članka 45. Direktive 2014/59/EU („MREL”) mogu uz prethodno odobrenje svojeg sanacijskog tijela kupiti, otkupiti, otplatiti ili ponovno kupiti instrumente prihvatljivih obveza u skladu s člankom 78.a Uredbe (EU) br. 575/2013. Iznosi na koje se takvo odobrenje odnosi umanjuju kapacitet subjekata za ispunjenje zahtjeva za MREL ili TLAC. Zato treba utvrditi kako bi učinak takvog odobrenja trebalo iskazivati u javnim objavama i izvješćima nadležnim i sanacijskim tijelima.</w:t>
      </w:r>
    </w:p>
    <w:p w:rsidR="00F83DBF" w:rsidRPr="008E4000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8E4000">
        <w:rPr>
          <w:noProof/>
        </w:rPr>
        <w:t>Provedbenu uredbu (EU) 2021/763 trebalo bi stoga na odgovarajući način izmijeniti.</w:t>
      </w:r>
    </w:p>
    <w:p w:rsidR="00F83DBF" w:rsidRPr="008E4000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8E4000">
        <w:rPr>
          <w:noProof/>
        </w:rPr>
        <w:t xml:space="preserve">Ova Uredba temelji se na nacrtu provedbenih tehničkih standarda koji je Komisiji dostavilo Europsko nadzorno tijelo za bankarstvo. </w:t>
      </w:r>
    </w:p>
    <w:p w:rsidR="00F83DBF" w:rsidRPr="008E4000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8E4000">
        <w:rPr>
          <w:noProof/>
        </w:rPr>
        <w:t>Europsko nadzorno tijelo za bankarstvo provelo je otvoreno javno savjetovanje o nacrtu provedbenih tehničkih standarda na kojem se temelji ova Uredba, analiziralo je moguće povezane troškove i koristi te zatražilo savjet Interesne skupine za bankarstvo osnovane u skladu s člankom 37. Uredbe (EU) br. 1093/2010 Europskog parlamenta i Vijeća</w:t>
      </w:r>
      <w:r w:rsidRPr="008E4000">
        <w:rPr>
          <w:rStyle w:val="FootnoteReference"/>
          <w:noProof/>
        </w:rPr>
        <w:footnoteReference w:id="7"/>
      </w:r>
      <w:r w:rsidRPr="008E4000">
        <w:rPr>
          <w:noProof/>
        </w:rPr>
        <w:t>.</w:t>
      </w:r>
    </w:p>
    <w:p w:rsidR="00DB127D" w:rsidRPr="008E4000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8E4000">
        <w:rPr>
          <w:noProof/>
        </w:rPr>
        <w:t xml:space="preserve">Kako bi subjekti koji su u skladu s Uredbom (EU) br. 575/2013 ili Direktivom 2014/59/EU dužni dostavljati ili objavljivati informacije imali dovoljno vremena da se prilagode </w:t>
      </w:r>
      <w:bookmarkStart w:id="2" w:name="_Hlk160034996"/>
      <w:r w:rsidRPr="008E4000">
        <w:rPr>
          <w:noProof/>
        </w:rPr>
        <w:t>promjenama obrazaca i usklađenih informacija</w:t>
      </w:r>
      <w:bookmarkEnd w:id="2"/>
      <w:r w:rsidRPr="008E4000">
        <w:rPr>
          <w:noProof/>
        </w:rPr>
        <w:t>, te bi se promjene trebale početi primjenjivati šest mjeseci nakon njezina stupanja na snagu.</w:t>
      </w:r>
    </w:p>
    <w:p w:rsidR="001D506C" w:rsidRPr="008E4000" w:rsidRDefault="001D506C" w:rsidP="004E1EF9">
      <w:pPr>
        <w:pStyle w:val="Formuledadoption"/>
        <w:rPr>
          <w:noProof/>
        </w:rPr>
      </w:pPr>
      <w:r w:rsidRPr="008E4000">
        <w:rPr>
          <w:noProof/>
        </w:rPr>
        <w:t>DONIJELA JE OVU UREDBU:</w:t>
      </w:r>
    </w:p>
    <w:p w:rsidR="001D506C" w:rsidRPr="008E4000" w:rsidRDefault="001D506C" w:rsidP="004E1EF9">
      <w:pPr>
        <w:pStyle w:val="Titrearticle"/>
        <w:rPr>
          <w:noProof/>
        </w:rPr>
      </w:pPr>
      <w:r w:rsidRPr="008E4000">
        <w:rPr>
          <w:noProof/>
        </w:rPr>
        <w:t>Članak 1.</w:t>
      </w:r>
    </w:p>
    <w:p w:rsidR="008D3341" w:rsidRPr="008E4000" w:rsidRDefault="008D3341" w:rsidP="00220108">
      <w:pPr>
        <w:pStyle w:val="Titrearticle"/>
        <w:rPr>
          <w:noProof/>
        </w:rPr>
      </w:pPr>
      <w:r w:rsidRPr="008E4000">
        <w:rPr>
          <w:noProof/>
        </w:rPr>
        <w:t>Izmjene Provedbene uredbe (EU) 2021/763</w:t>
      </w:r>
    </w:p>
    <w:p w:rsidR="00F83DBF" w:rsidRPr="008E4000" w:rsidRDefault="00F83DBF" w:rsidP="00F83DBF">
      <w:pPr>
        <w:rPr>
          <w:noProof/>
        </w:rPr>
      </w:pPr>
      <w:r w:rsidRPr="008E4000">
        <w:rPr>
          <w:noProof/>
        </w:rPr>
        <w:t>Provedbena uredba (EU) 2021/763 mijenja se kako slijedi:</w:t>
      </w:r>
    </w:p>
    <w:p w:rsidR="00F83DBF" w:rsidRPr="008E4000" w:rsidRDefault="004603A2" w:rsidP="000B009E">
      <w:pPr>
        <w:pStyle w:val="Point0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8E4000">
        <w:rPr>
          <w:noProof/>
        </w:rPr>
        <w:t>obrasci M 02.00 i M 03.00 iz Priloga I. zamjenjuju se obrascima M 02.00 i M 03.00 iz Priloga I. ovoj Uredbi;</w:t>
      </w:r>
    </w:p>
    <w:p w:rsidR="00F83DBF" w:rsidRPr="008E4000" w:rsidRDefault="00F83DBF" w:rsidP="00220108">
      <w:pPr>
        <w:pStyle w:val="Point0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8E4000">
        <w:rPr>
          <w:noProof/>
        </w:rPr>
        <w:t>Prilog II. zamjenjuje se tekstom iz Priloga II. ovoj Uredbi;</w:t>
      </w:r>
    </w:p>
    <w:p w:rsidR="00F83DBF" w:rsidRPr="008E4000" w:rsidRDefault="004603A2" w:rsidP="00220108">
      <w:pPr>
        <w:pStyle w:val="Point0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8E4000">
        <w:rPr>
          <w:noProof/>
        </w:rPr>
        <w:t>obrasci EU TLAC1 i EU ILAC iz Priloga V. zamjenjuju se obrascima EU TLAC1 i EU ILAC iz Priloga III. ovoj Uredbi;</w:t>
      </w:r>
    </w:p>
    <w:p w:rsidR="00F83DBF" w:rsidRPr="008E4000" w:rsidRDefault="00F83DBF" w:rsidP="00220108">
      <w:pPr>
        <w:pStyle w:val="Point0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8E4000">
        <w:rPr>
          <w:noProof/>
        </w:rPr>
        <w:t>Prilog VI. zamjenjuje se tekstom iz Priloga IV. ovoj Uredbi.</w:t>
      </w:r>
    </w:p>
    <w:p w:rsidR="00F83DBF" w:rsidRPr="008E4000" w:rsidRDefault="00F83DBF" w:rsidP="00F83DBF">
      <w:pPr>
        <w:pStyle w:val="Titrearticle"/>
        <w:rPr>
          <w:noProof/>
        </w:rPr>
      </w:pPr>
      <w:r w:rsidRPr="008E4000">
        <w:rPr>
          <w:noProof/>
        </w:rPr>
        <w:t>Članak 2.</w:t>
      </w:r>
    </w:p>
    <w:p w:rsidR="00CC305D" w:rsidRPr="008E4000" w:rsidRDefault="00CC305D" w:rsidP="00583FFA">
      <w:pPr>
        <w:jc w:val="center"/>
        <w:rPr>
          <w:b/>
          <w:bCs/>
          <w:noProof/>
          <w:color w:val="000000"/>
        </w:rPr>
      </w:pPr>
      <w:r w:rsidRPr="008E4000">
        <w:rPr>
          <w:b/>
          <w:noProof/>
          <w:color w:val="000000"/>
        </w:rPr>
        <w:t>Stupanje na snagu i primjena</w:t>
      </w:r>
    </w:p>
    <w:p w:rsidR="00F83DBF" w:rsidRPr="008E4000" w:rsidRDefault="00F83DBF" w:rsidP="00F83DBF">
      <w:pPr>
        <w:rPr>
          <w:noProof/>
          <w:color w:val="000000"/>
        </w:rPr>
      </w:pPr>
      <w:r w:rsidRPr="008E4000">
        <w:rPr>
          <w:noProof/>
          <w:color w:val="000000"/>
        </w:rPr>
        <w:t xml:space="preserve">Ova Uredba stupa na snagu dvadesetog dana od dana objave u </w:t>
      </w:r>
      <w:r w:rsidRPr="008E4000">
        <w:rPr>
          <w:i/>
          <w:noProof/>
          <w:color w:val="000000"/>
        </w:rPr>
        <w:t>Službenom listu Europske unije</w:t>
      </w:r>
      <w:r w:rsidRPr="008E4000">
        <w:rPr>
          <w:noProof/>
          <w:color w:val="000000"/>
        </w:rPr>
        <w:t>.</w:t>
      </w:r>
    </w:p>
    <w:p w:rsidR="00F83DBF" w:rsidRPr="008E4000" w:rsidRDefault="00F83DBF" w:rsidP="00F83DBF">
      <w:pPr>
        <w:rPr>
          <w:noProof/>
          <w:color w:val="000000"/>
        </w:rPr>
      </w:pPr>
      <w:r w:rsidRPr="008E4000">
        <w:rPr>
          <w:noProof/>
          <w:color w:val="000000"/>
        </w:rPr>
        <w:t xml:space="preserve">Primjenjuje se od </w:t>
      </w:r>
      <w:r w:rsidRPr="008E4000">
        <w:rPr>
          <w:i/>
          <w:noProof/>
          <w:color w:val="000000"/>
        </w:rPr>
        <w:t>[Ured za publikacije, unijeti datum šest mjeseci nakon stupanja na snagu ove Uredbe o izmjeni]</w:t>
      </w:r>
      <w:r w:rsidRPr="008E4000">
        <w:rPr>
          <w:noProof/>
          <w:color w:val="000000"/>
        </w:rPr>
        <w:t xml:space="preserve">. </w:t>
      </w:r>
    </w:p>
    <w:p w:rsidR="001D506C" w:rsidRPr="008E4000" w:rsidRDefault="001D506C" w:rsidP="004E1EF9">
      <w:pPr>
        <w:pStyle w:val="Applicationdirecte"/>
        <w:keepNext/>
        <w:keepLines/>
        <w:rPr>
          <w:noProof/>
        </w:rPr>
      </w:pPr>
      <w:r w:rsidRPr="008E4000">
        <w:rPr>
          <w:noProof/>
        </w:rPr>
        <w:t>Ova je Uredba u cijelosti obvezujuća i izravno se primjenjuje u svim državama članicama.</w:t>
      </w:r>
    </w:p>
    <w:p w:rsidR="001D506C" w:rsidRPr="008E4000" w:rsidRDefault="00CF2071" w:rsidP="00DD4C66">
      <w:pPr>
        <w:pStyle w:val="Fait"/>
        <w:rPr>
          <w:noProof/>
        </w:rPr>
      </w:pPr>
      <w:r>
        <w:rPr>
          <w:noProof/>
        </w:rPr>
        <w:t>Sastavljeno u Bruxellesu 6.6.2024.</w:t>
      </w:r>
    </w:p>
    <w:p w:rsidR="001D506C" w:rsidRPr="008E4000" w:rsidRDefault="001D506C" w:rsidP="00DD4C66">
      <w:pPr>
        <w:pStyle w:val="Institutionquisigne"/>
        <w:rPr>
          <w:noProof/>
        </w:rPr>
      </w:pPr>
      <w:r w:rsidRPr="008E4000">
        <w:rPr>
          <w:noProof/>
        </w:rPr>
        <w:tab/>
        <w:t>Za Komisiju</w:t>
      </w:r>
    </w:p>
    <w:p w:rsidR="00F718B8" w:rsidRPr="008E4000" w:rsidRDefault="004709A1" w:rsidP="00DD4C66">
      <w:pPr>
        <w:pStyle w:val="Personnequisigne"/>
        <w:keepNext/>
        <w:rPr>
          <w:noProof/>
        </w:rPr>
      </w:pPr>
      <w:r>
        <w:rPr>
          <w:noProof/>
        </w:rPr>
        <w:tab/>
        <w:t>Predsjednica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8E4000" w:rsidRDefault="00C402D1" w:rsidP="00C402D1">
      <w:pPr>
        <w:pStyle w:val="Personnequisigne"/>
        <w:rPr>
          <w:noProof/>
        </w:rPr>
      </w:pPr>
    </w:p>
    <w:sectPr w:rsidR="00C402D1" w:rsidRPr="008E4000" w:rsidSect="00C47D44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Footer"/>
      <w:rPr>
        <w:rFonts w:ascii="Arial" w:hAnsi="Arial" w:cs="Arial"/>
        <w:b/>
        <w:sz w:val="48"/>
      </w:rPr>
    </w:pPr>
    <w:r w:rsidRPr="00C47D44">
      <w:rPr>
        <w:rFonts w:ascii="Arial" w:hAnsi="Arial" w:cs="Arial"/>
        <w:b/>
        <w:sz w:val="48"/>
      </w:rPr>
      <w:t>HR</w:t>
    </w:r>
    <w:r w:rsidRPr="00C47D44">
      <w:rPr>
        <w:rFonts w:ascii="Arial" w:hAnsi="Arial" w:cs="Arial"/>
        <w:b/>
        <w:sz w:val="48"/>
      </w:rPr>
      <w:tab/>
    </w:r>
    <w:r w:rsidRPr="00C47D44">
      <w:rPr>
        <w:rFonts w:ascii="Arial" w:hAnsi="Arial" w:cs="Arial"/>
        <w:b/>
        <w:sz w:val="48"/>
      </w:rPr>
      <w:tab/>
    </w:r>
    <w:r w:rsidRPr="00C47D44">
      <w:tab/>
    </w:r>
    <w:r w:rsidRPr="00C47D44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Footer"/>
      <w:rPr>
        <w:rFonts w:ascii="Arial" w:hAnsi="Arial" w:cs="Arial"/>
        <w:b/>
        <w:sz w:val="48"/>
      </w:rPr>
    </w:pPr>
    <w:r w:rsidRPr="00C47D44">
      <w:rPr>
        <w:rFonts w:ascii="Arial" w:hAnsi="Arial" w:cs="Arial"/>
        <w:b/>
        <w:sz w:val="48"/>
      </w:rPr>
      <w:t>HR</w:t>
    </w:r>
    <w:r w:rsidRPr="00C47D44">
      <w:rPr>
        <w:rFonts w:ascii="Arial" w:hAnsi="Arial" w:cs="Arial"/>
        <w:b/>
        <w:sz w:val="48"/>
      </w:rPr>
      <w:tab/>
    </w:r>
    <w:r w:rsidRPr="00C47D44">
      <w:rPr>
        <w:rFonts w:ascii="Arial" w:hAnsi="Arial" w:cs="Arial"/>
        <w:b/>
        <w:sz w:val="48"/>
      </w:rPr>
      <w:tab/>
    </w:r>
    <w:r w:rsidRPr="00C47D44">
      <w:tab/>
    </w:r>
    <w:r w:rsidRPr="00C47D44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Default="00C47D4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Footer"/>
      <w:rPr>
        <w:rFonts w:ascii="Arial" w:hAnsi="Arial" w:cs="Arial"/>
        <w:b/>
        <w:sz w:val="48"/>
      </w:rPr>
    </w:pPr>
    <w:r w:rsidRPr="00C47D44">
      <w:rPr>
        <w:rFonts w:ascii="Arial" w:hAnsi="Arial" w:cs="Arial"/>
        <w:b/>
        <w:sz w:val="48"/>
      </w:rPr>
      <w:t>HR</w:t>
    </w:r>
    <w:r w:rsidRPr="00C47D4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D4C66">
      <w:rPr>
        <w:noProof/>
      </w:rPr>
      <w:t>3</w:t>
    </w:r>
    <w:r>
      <w:fldChar w:fldCharType="end"/>
    </w:r>
    <w:r>
      <w:tab/>
    </w:r>
    <w:r w:rsidRPr="00C47D44">
      <w:tab/>
    </w:r>
    <w:r w:rsidRPr="00C47D44">
      <w:rPr>
        <w:rFonts w:ascii="Arial" w:hAnsi="Arial" w:cs="Arial"/>
        <w:b/>
        <w:sz w:val="48"/>
      </w:rPr>
      <w:t>HR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Default="00C47D44" w:rsidP="00C47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SL L 176, 27.6.2013., str. 1., ELI: http://data.europa.eu/eli/reg/2013/575/oj. </w:t>
      </w:r>
    </w:p>
  </w:footnote>
  <w:footnote w:id="2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SL L 173, 12.6.2014., str. 190., ELI: http://data.europa.eu/eli/dir/2014/59/oj. </w:t>
      </w:r>
    </w:p>
  </w:footnote>
  <w:footnote w:id="3">
    <w:p w:rsidR="00F83DBF" w:rsidRPr="001734AB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Uredba (EU) 2022/2036 Europskog parlamenta i Vijeća od 19. listopada 2022. o izmjeni Uredbe (EU) br. 575/2013 i Direktive 2014/59/EU u pogledu bonitetnog tretmana globalnih sistemski važnih institucija sa strategijom sanacije s višestrukim točkama pristupanja i metoda za neizravni upis instrumenata prihvatljivih za ispunjenje minimalnog zahtjeva za regulatorni kapital i prihvatljive obveze (SL L 275, 25.10.2022., str. 1., ELI: http://data.europa.eu/eli/reg/2022/2036/oj).</w:t>
      </w:r>
    </w:p>
  </w:footnote>
  <w:footnote w:id="4">
    <w:p w:rsidR="00F83DBF" w:rsidRPr="002B6E0A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Direktiva 2014/59/EU Europskog parlamenta i Vijeća od 15. svibnja 2014. o uspostavi okvira za oporavak i sanaciju kreditnih institucija i investicijskih društava te o izmjeni Direktive Vijeća 82/891/EEZ i direktiva 2001/24/EZ, 2002/47/EZ, 2004/25/EZ, 2005/56/EZ, 2007/36/EZ, 2011/35/EU, 2012/30/EU i 2013/36/EU te uredbi (EU) br. 1093/2010 i (EU) br. 648/2012 Europskog parlamenta i Vijeća (SL L 173, 12.6.2014., str. 190.).</w:t>
      </w:r>
    </w:p>
  </w:footnote>
  <w:footnote w:id="5">
    <w:p w:rsidR="00F83DBF" w:rsidRPr="00BA3525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Provedbena uredba Komisije (EU) 2021/763 оd 23. travnja 2021. o utvrđivanju provedbenih tehničkih standarda za primjenu Uredbe (EU) br. 575/2013 Europskog parlamenta i Vijeća i Direktive 2014/59/EU Europskog parlamenta i Vijeća u pogledu nadzornog izvješćivanja i javne objave minimalnog zahtjeva za regulatorni kapital i prihvatljive obveze (SL L 168, 12.5.2021., str. 1.).</w:t>
      </w:r>
    </w:p>
  </w:footnote>
  <w:footnote w:id="6">
    <w:p w:rsidR="00686AFD" w:rsidRPr="00686AFD" w:rsidRDefault="00686AFD" w:rsidP="00686AFD">
      <w:pPr>
        <w:pStyle w:val="FootnoteText"/>
      </w:pPr>
      <w:r>
        <w:rPr>
          <w:rStyle w:val="FootnoteReference"/>
        </w:rPr>
        <w:footnoteRef/>
      </w:r>
      <w:r>
        <w:tab/>
        <w:t>Direktiva (EU) 2024/1174 Europskog parlamenta i Vijeća od 11. travnja 2024. o izmjeni Direktive 2014/59/EU i Uredbe (EU) br. 806/2014 u pogledu određenih aspekata minimalnog zahtjeva za regulatorni kapital i prihvatljive obveze (SL L, 2024/1174, 22.4.2024.).</w:t>
      </w:r>
    </w:p>
  </w:footnote>
  <w:footnote w:id="7">
    <w:p w:rsidR="00F83DBF" w:rsidRPr="00B64E68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Uredba (EU) br. 1093/2010 Europskog parlamenta i Vijeća od 24. studenog 2010. o osnivanju europskog nadzornog tijela (Europskog nadzornog tijela za bankarstvo), kojom se izmjenjuje Odluka br. 716/2009/EZ i stavlja izvan snage Odluka Komisije 2009/78/EZ (SL L 331, 15.12.2010., str. 12.,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Pr="00C47D44" w:rsidRDefault="00C47D44" w:rsidP="00C47D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Default="00C47D4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44" w:rsidRDefault="00C47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14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2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ECD1D6F2-82A3-4314-A9FF-7F233A9F2F69"/>
    <w:docVar w:name="LW_COVERPAGE_TYPE" w:val="1"/>
    <w:docVar w:name="LW_CROSSREFERENCE" w:val="&lt;UNUSED&gt;"/>
    <w:docVar w:name="LW_DATE.ADOPT.CP" w:val="\u1086?d 6.6.2024."/>
    <w:docVar w:name="LW_DATE.ADOPT.CP_DATEFORMAT" w:val="\u1086?d %DATE%"/>
    <w:docVar w:name="LW_DATE.ADOPT.CP_ISODATE" w:val="2024-06-06"/>
    <w:docVar w:name="LW_DocType" w:val="COM"/>
    <w:docVar w:name="LW_EMISSION" w:val="6.6.2024."/>
    <w:docVar w:name="LW_EMISSION_ISODATE" w:val="2024-06-06"/>
    <w:docVar w:name="LW_EMISSION_LOCATION" w:val="BRX"/>
    <w:docVar w:name="LW_EMISSION_PREFIX" w:val="Bruxelle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zna\u269?ajan za EGP)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o izmjeni Provedbene uredbe (EU) 2021/763 o utvr\u273?ivanju provedbenih tehni\u269?kih standarda za primjenu Uredbe (EU) br. 575/2013 Europskog parlamenta i Vije\u263?a i Direktive 2014/59/EU Europskog parlamenta i Vije\u263?a u pogledu nadzornog izvje\u353?\u263?ivanja i javne objave minimalnog zahtjeva za regulatorni kapital i prihvatljive obveze _x000b_"/>
    <w:docVar w:name="LW_TYPE.DOC.CP" w:val="PROVEDBENA UREDBA KOMISIJE (EU) \u8230?/..."/>
    <w:docVar w:name="LwApiVersions" w:val="LW4CoDe 1.24.5.0; LW 9.0, Build 20240221"/>
  </w:docVars>
  <w:rsids>
    <w:rsidRoot w:val="001D506C"/>
    <w:rsid w:val="00093B4B"/>
    <w:rsid w:val="000955EB"/>
    <w:rsid w:val="000B009E"/>
    <w:rsid w:val="000B7A7D"/>
    <w:rsid w:val="000E6B56"/>
    <w:rsid w:val="000E6FD2"/>
    <w:rsid w:val="0013442E"/>
    <w:rsid w:val="00152894"/>
    <w:rsid w:val="00185DB3"/>
    <w:rsid w:val="001B397F"/>
    <w:rsid w:val="001B6C2F"/>
    <w:rsid w:val="001D506C"/>
    <w:rsid w:val="00220108"/>
    <w:rsid w:val="0022339B"/>
    <w:rsid w:val="00292AC6"/>
    <w:rsid w:val="002B65CA"/>
    <w:rsid w:val="002C09C1"/>
    <w:rsid w:val="002C44D7"/>
    <w:rsid w:val="002F0DF7"/>
    <w:rsid w:val="002F1E29"/>
    <w:rsid w:val="00302BB5"/>
    <w:rsid w:val="0031489C"/>
    <w:rsid w:val="00314C67"/>
    <w:rsid w:val="00363DC5"/>
    <w:rsid w:val="00370470"/>
    <w:rsid w:val="00380338"/>
    <w:rsid w:val="003819BF"/>
    <w:rsid w:val="003832FF"/>
    <w:rsid w:val="0038725C"/>
    <w:rsid w:val="00391381"/>
    <w:rsid w:val="00396ACD"/>
    <w:rsid w:val="003C0C4B"/>
    <w:rsid w:val="00437AA5"/>
    <w:rsid w:val="0044282B"/>
    <w:rsid w:val="004603A2"/>
    <w:rsid w:val="004709A1"/>
    <w:rsid w:val="00492396"/>
    <w:rsid w:val="004B3865"/>
    <w:rsid w:val="004C38F7"/>
    <w:rsid w:val="004E19F9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1E85"/>
    <w:rsid w:val="005F222A"/>
    <w:rsid w:val="005F33FF"/>
    <w:rsid w:val="006654AB"/>
    <w:rsid w:val="006813A6"/>
    <w:rsid w:val="00686AFD"/>
    <w:rsid w:val="006A2A68"/>
    <w:rsid w:val="006F7EFE"/>
    <w:rsid w:val="00703C0B"/>
    <w:rsid w:val="0075467B"/>
    <w:rsid w:val="007D0861"/>
    <w:rsid w:val="007D1225"/>
    <w:rsid w:val="007D7FC9"/>
    <w:rsid w:val="007E010B"/>
    <w:rsid w:val="00802FC2"/>
    <w:rsid w:val="0081293E"/>
    <w:rsid w:val="0084238A"/>
    <w:rsid w:val="00852DE8"/>
    <w:rsid w:val="00871961"/>
    <w:rsid w:val="008C58B7"/>
    <w:rsid w:val="008C62AF"/>
    <w:rsid w:val="008C63FE"/>
    <w:rsid w:val="008D0E5E"/>
    <w:rsid w:val="008D3341"/>
    <w:rsid w:val="008E2694"/>
    <w:rsid w:val="008E4000"/>
    <w:rsid w:val="00940731"/>
    <w:rsid w:val="009476D9"/>
    <w:rsid w:val="009702E0"/>
    <w:rsid w:val="009712C1"/>
    <w:rsid w:val="009719B6"/>
    <w:rsid w:val="009731D1"/>
    <w:rsid w:val="00985A34"/>
    <w:rsid w:val="009957C5"/>
    <w:rsid w:val="009A1A98"/>
    <w:rsid w:val="00A10BBD"/>
    <w:rsid w:val="00A2735C"/>
    <w:rsid w:val="00A565C7"/>
    <w:rsid w:val="00A61FE3"/>
    <w:rsid w:val="00A63976"/>
    <w:rsid w:val="00B0742B"/>
    <w:rsid w:val="00B247D1"/>
    <w:rsid w:val="00B50A87"/>
    <w:rsid w:val="00B54DD5"/>
    <w:rsid w:val="00B74403"/>
    <w:rsid w:val="00B84713"/>
    <w:rsid w:val="00B851FA"/>
    <w:rsid w:val="00BE38E4"/>
    <w:rsid w:val="00C3731F"/>
    <w:rsid w:val="00C402D1"/>
    <w:rsid w:val="00C47D44"/>
    <w:rsid w:val="00C62ABE"/>
    <w:rsid w:val="00C72F66"/>
    <w:rsid w:val="00C9371C"/>
    <w:rsid w:val="00CB4B4C"/>
    <w:rsid w:val="00CC305D"/>
    <w:rsid w:val="00CE02BF"/>
    <w:rsid w:val="00CF18C7"/>
    <w:rsid w:val="00CF2071"/>
    <w:rsid w:val="00D03E1F"/>
    <w:rsid w:val="00D15425"/>
    <w:rsid w:val="00D15677"/>
    <w:rsid w:val="00D37A87"/>
    <w:rsid w:val="00D455A5"/>
    <w:rsid w:val="00D50B58"/>
    <w:rsid w:val="00D60353"/>
    <w:rsid w:val="00D73411"/>
    <w:rsid w:val="00D917AD"/>
    <w:rsid w:val="00DA38A7"/>
    <w:rsid w:val="00DB127D"/>
    <w:rsid w:val="00DB4B20"/>
    <w:rsid w:val="00DD4C66"/>
    <w:rsid w:val="00E07235"/>
    <w:rsid w:val="00E247EB"/>
    <w:rsid w:val="00E33C9F"/>
    <w:rsid w:val="00E83C6F"/>
    <w:rsid w:val="00E9509D"/>
    <w:rsid w:val="00E979AB"/>
    <w:rsid w:val="00EC39BC"/>
    <w:rsid w:val="00EE140B"/>
    <w:rsid w:val="00F02755"/>
    <w:rsid w:val="00F41B40"/>
    <w:rsid w:val="00F718B8"/>
    <w:rsid w:val="00F733AF"/>
    <w:rsid w:val="00F767D0"/>
    <w:rsid w:val="00F83DBF"/>
    <w:rsid w:val="00F92ACE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47D44"/>
    <w:rPr>
      <w:rFonts w:ascii="Times New Roman" w:hAnsi="Times New Roman" w:cs="Times New Roman"/>
      <w:sz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C47D44"/>
    <w:rPr>
      <w:rFonts w:ascii="Times New Roman" w:hAnsi="Times New Roman" w:cs="Times New Roman"/>
      <w:sz w:val="24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hr-HR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C47D4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C47D44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C47D4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2"/>
      </w:numPr>
    </w:pPr>
  </w:style>
  <w:style w:type="paragraph" w:customStyle="1" w:styleId="Tiret1">
    <w:name w:val="Tiret 1"/>
    <w:basedOn w:val="Point1"/>
    <w:pPr>
      <w:numPr>
        <w:numId w:val="13"/>
      </w:numPr>
    </w:pPr>
  </w:style>
  <w:style w:type="paragraph" w:customStyle="1" w:styleId="Tiret2">
    <w:name w:val="Tiret 2"/>
    <w:basedOn w:val="Point2"/>
    <w:pPr>
      <w:numPr>
        <w:numId w:val="14"/>
      </w:numPr>
    </w:pPr>
  </w:style>
  <w:style w:type="paragraph" w:customStyle="1" w:styleId="Tiret3">
    <w:name w:val="Tiret 3"/>
    <w:basedOn w:val="Point3"/>
    <w:pPr>
      <w:numPr>
        <w:numId w:val="15"/>
      </w:numPr>
    </w:pPr>
  </w:style>
  <w:style w:type="paragraph" w:customStyle="1" w:styleId="Tiret4">
    <w:name w:val="Tiret 4"/>
    <w:basedOn w:val="Point4"/>
    <w:pPr>
      <w:numPr>
        <w:numId w:val="16"/>
      </w:numPr>
    </w:pPr>
  </w:style>
  <w:style w:type="paragraph" w:customStyle="1" w:styleId="Tiret5">
    <w:name w:val="Tiret 5"/>
    <w:basedOn w:val="Point5"/>
    <w:pPr>
      <w:numPr>
        <w:numId w:val="1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0"/>
      </w:numPr>
    </w:pPr>
  </w:style>
  <w:style w:type="paragraph" w:customStyle="1" w:styleId="Point1number">
    <w:name w:val="Point 1 (number)"/>
    <w:basedOn w:val="Normal"/>
    <w:pPr>
      <w:numPr>
        <w:ilvl w:val="2"/>
        <w:numId w:val="20"/>
      </w:numPr>
    </w:pPr>
  </w:style>
  <w:style w:type="paragraph" w:customStyle="1" w:styleId="Point2number">
    <w:name w:val="Point 2 (number)"/>
    <w:basedOn w:val="Normal"/>
    <w:pPr>
      <w:numPr>
        <w:ilvl w:val="4"/>
        <w:numId w:val="20"/>
      </w:numPr>
    </w:pPr>
  </w:style>
  <w:style w:type="paragraph" w:customStyle="1" w:styleId="Point3number">
    <w:name w:val="Point 3 (number)"/>
    <w:basedOn w:val="Normal"/>
    <w:pPr>
      <w:numPr>
        <w:ilvl w:val="6"/>
        <w:numId w:val="20"/>
      </w:numPr>
    </w:pPr>
  </w:style>
  <w:style w:type="paragraph" w:customStyle="1" w:styleId="Point0letter">
    <w:name w:val="Point 0 (letter)"/>
    <w:basedOn w:val="Normal"/>
    <w:pPr>
      <w:numPr>
        <w:ilvl w:val="1"/>
        <w:numId w:val="20"/>
      </w:numPr>
    </w:pPr>
  </w:style>
  <w:style w:type="paragraph" w:customStyle="1" w:styleId="Point1letter">
    <w:name w:val="Point 1 (letter)"/>
    <w:basedOn w:val="Normal"/>
    <w:pPr>
      <w:numPr>
        <w:ilvl w:val="3"/>
        <w:numId w:val="20"/>
      </w:numPr>
    </w:pPr>
  </w:style>
  <w:style w:type="paragraph" w:customStyle="1" w:styleId="Point2letter">
    <w:name w:val="Point 2 (letter)"/>
    <w:basedOn w:val="Normal"/>
    <w:pPr>
      <w:numPr>
        <w:ilvl w:val="5"/>
        <w:numId w:val="20"/>
      </w:numPr>
    </w:pPr>
  </w:style>
  <w:style w:type="paragraph" w:customStyle="1" w:styleId="Point3letter">
    <w:name w:val="Point 3 (letter)"/>
    <w:basedOn w:val="Normal"/>
    <w:pPr>
      <w:numPr>
        <w:ilvl w:val="7"/>
        <w:numId w:val="20"/>
      </w:numPr>
    </w:pPr>
  </w:style>
  <w:style w:type="paragraph" w:customStyle="1" w:styleId="Point4letter">
    <w:name w:val="Point 4 (letter)"/>
    <w:basedOn w:val="Normal"/>
    <w:pPr>
      <w:numPr>
        <w:ilvl w:val="8"/>
        <w:numId w:val="20"/>
      </w:numPr>
    </w:pPr>
  </w:style>
  <w:style w:type="paragraph" w:customStyle="1" w:styleId="Bullet0">
    <w:name w:val="Bullet 0"/>
    <w:basedOn w:val="Normal"/>
    <w:pPr>
      <w:numPr>
        <w:numId w:val="21"/>
      </w:numPr>
    </w:pPr>
  </w:style>
  <w:style w:type="paragraph" w:customStyle="1" w:styleId="Bullet1">
    <w:name w:val="Bullet 1"/>
    <w:basedOn w:val="Normal"/>
    <w:pPr>
      <w:numPr>
        <w:numId w:val="22"/>
      </w:numPr>
    </w:pPr>
  </w:style>
  <w:style w:type="paragraph" w:customStyle="1" w:styleId="Bullet2">
    <w:name w:val="Bullet 2"/>
    <w:basedOn w:val="Normal"/>
    <w:pPr>
      <w:numPr>
        <w:numId w:val="23"/>
      </w:numPr>
    </w:pPr>
  </w:style>
  <w:style w:type="paragraph" w:customStyle="1" w:styleId="Bullet3">
    <w:name w:val="Bullet 3"/>
    <w:basedOn w:val="Normal"/>
    <w:pPr>
      <w:numPr>
        <w:numId w:val="24"/>
      </w:numPr>
    </w:pPr>
  </w:style>
  <w:style w:type="paragraph" w:customStyle="1" w:styleId="Bullet4">
    <w:name w:val="Bullet 4"/>
    <w:basedOn w:val="Normal"/>
    <w:pPr>
      <w:numPr>
        <w:numId w:val="2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C47D44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C47D44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C47D4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C47D44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