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894" w:rsidRPr="008D7121" w:rsidRDefault="00F90F57" w:rsidP="00F90F57">
      <w:pPr>
        <w:pStyle w:val="Pagedecouverture"/>
        <w:rPr>
          <w:noProof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alt="150A8F8A-9099-4AA2-AB25-6B03973BC3ED" style="width:455.25pt;height:454.5pt">
            <v:imagedata r:id="rId7" o:title=""/>
          </v:shape>
        </w:pict>
      </w:r>
    </w:p>
    <w:p w:rsidR="001D506C" w:rsidRPr="008D7121" w:rsidRDefault="001D506C">
      <w:pPr>
        <w:rPr>
          <w:noProof/>
        </w:rPr>
        <w:sectPr w:rsidR="001D506C" w:rsidRPr="008D7121" w:rsidSect="00F90F5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39"/>
          <w:pgMar w:top="1134" w:right="1417" w:bottom="1134" w:left="1417" w:header="709" w:footer="709" w:gutter="0"/>
          <w:pgNumType w:start="0"/>
          <w:cols w:space="720"/>
          <w:docGrid w:linePitch="360"/>
        </w:sectPr>
      </w:pPr>
    </w:p>
    <w:p w:rsidR="001D506C" w:rsidRPr="008D7121" w:rsidRDefault="008D7121" w:rsidP="008D7121">
      <w:pPr>
        <w:pStyle w:val="Typedudocument"/>
        <w:rPr>
          <w:noProof/>
        </w:rPr>
      </w:pPr>
      <w:bookmarkStart w:id="0" w:name="_GoBack"/>
      <w:bookmarkEnd w:id="0"/>
      <w:r w:rsidRPr="008D7121">
        <w:rPr>
          <w:noProof/>
        </w:rPr>
        <w:lastRenderedPageBreak/>
        <w:t>REGOLAMENT TA’ IMPLIMENTAZZJONI TAL-KUMMISSJONI (UE) .../...</w:t>
      </w:r>
    </w:p>
    <w:p w:rsidR="001D506C" w:rsidRPr="008D7121" w:rsidRDefault="003F5A37" w:rsidP="008D7121">
      <w:pPr>
        <w:pStyle w:val="Datedadoption"/>
        <w:rPr>
          <w:noProof/>
        </w:rPr>
      </w:pPr>
      <w:r>
        <w:rPr>
          <w:noProof/>
        </w:rPr>
        <w:t>ta'6.6.2024</w:t>
      </w:r>
    </w:p>
    <w:p w:rsidR="001D506C" w:rsidRPr="008D7121" w:rsidRDefault="008D7121" w:rsidP="008D7121">
      <w:pPr>
        <w:pStyle w:val="Titreobjet"/>
        <w:rPr>
          <w:noProof/>
        </w:rPr>
      </w:pPr>
      <w:r w:rsidRPr="008D7121">
        <w:rPr>
          <w:noProof/>
        </w:rPr>
        <w:t xml:space="preserve">li jemenda r-Regolament ta’ Implimentazzjoni tal-Kummissjoni (UE) 2021/763 li jistabbilixxi standards tekniċi ta’ implimentazzjoni għall-applikazzjoni tar-Regolament (UE) Nru 575/2013 tal-Parlament Ewropew u tal-Kunsill u tad-Direttiva 2014/59/UE tal-Parlament Ewropew u tal-Kunsill fir-rigward tar-rapportar superviżorju u d-divulgazzjoni pubblika tar-rekwiżit minimu għall-fondi proprji u l-obbligazzjonijiet eliġibbli </w:t>
      </w:r>
      <w:r w:rsidRPr="008D7121">
        <w:rPr>
          <w:noProof/>
        </w:rPr>
        <w:br/>
      </w:r>
    </w:p>
    <w:p w:rsidR="001D506C" w:rsidRPr="008D7121" w:rsidRDefault="008D7121" w:rsidP="008D7121">
      <w:pPr>
        <w:pStyle w:val="IntrtEEE"/>
        <w:rPr>
          <w:noProof/>
        </w:rPr>
      </w:pPr>
      <w:r w:rsidRPr="008D7121">
        <w:rPr>
          <w:noProof/>
        </w:rPr>
        <w:t>(Test b’rilevanza għaż-ŻEE)</w:t>
      </w:r>
    </w:p>
    <w:p w:rsidR="001D506C" w:rsidRPr="008D7121" w:rsidRDefault="001D506C" w:rsidP="004E1EF9">
      <w:pPr>
        <w:pStyle w:val="Institutionquiagit"/>
        <w:rPr>
          <w:noProof/>
        </w:rPr>
      </w:pPr>
      <w:r w:rsidRPr="008D7121">
        <w:rPr>
          <w:noProof/>
        </w:rPr>
        <w:t>IL-KUMMISSJONI EWROPEA,</w:t>
      </w:r>
    </w:p>
    <w:p w:rsidR="001D506C" w:rsidRPr="008D7121" w:rsidRDefault="001D506C" w:rsidP="004E1EF9">
      <w:pPr>
        <w:rPr>
          <w:noProof/>
        </w:rPr>
      </w:pPr>
      <w:r w:rsidRPr="008D7121">
        <w:rPr>
          <w:noProof/>
        </w:rPr>
        <w:t>Wara li kkunsidrat it-Trattat dwar il-Funzjonament tal-Unjoni Ewropea,</w:t>
      </w:r>
    </w:p>
    <w:p w:rsidR="000E6FD2" w:rsidRPr="008D7121" w:rsidRDefault="000E6FD2" w:rsidP="000E6FD2">
      <w:pPr>
        <w:rPr>
          <w:noProof/>
        </w:rPr>
      </w:pPr>
      <w:r w:rsidRPr="008D7121">
        <w:rPr>
          <w:noProof/>
        </w:rPr>
        <w:t>Wara li kkunsidrat ir-Regolament (UE) Nru 575/2013 tal-Parlament Ewropew u tal-Kunsill tas-26 ta’ Ġunju 2013 dwar ir-rekwiżiti prudenzjali għall-istituzzjonijiet ta’ kreditu u d-ditti tal-investiment u li jemenda r-Regolament (UE) Nru 648/2012</w:t>
      </w:r>
      <w:r w:rsidRPr="008D7121">
        <w:rPr>
          <w:rStyle w:val="FootnoteReference"/>
          <w:noProof/>
        </w:rPr>
        <w:footnoteReference w:id="1"/>
      </w:r>
      <w:r w:rsidRPr="008D7121">
        <w:rPr>
          <w:noProof/>
        </w:rPr>
        <w:t>, u b’mod partikolari l-Artikolu 430(7), il-ħames subparagrafu, u l-Artikolu 434a, il-ħames subparagrafu, tiegħu,</w:t>
      </w:r>
    </w:p>
    <w:p w:rsidR="000E6FD2" w:rsidRPr="008D7121" w:rsidRDefault="000E6FD2" w:rsidP="000E6FD2">
      <w:pPr>
        <w:rPr>
          <w:noProof/>
        </w:rPr>
      </w:pPr>
      <w:r w:rsidRPr="008D7121">
        <w:rPr>
          <w:noProof/>
        </w:rPr>
        <w:t>Wara li kkunsidrat id-Direttiva 2014/59/UE tal-Parlament Ewropew u tal-Kunsill tal-15 ta’ Mejju 2014 li tistabbilixxi qafas għall-irkupru u r-riżoluzzjoni ta’ istituzzjonijiet ta’ kreditu u ditti ta’ investiment u li temenda d-Direttiva tal-Kunsill 82/891/KEE, u d-Direttivi 2001/24/KE, 2002/47/KE, 2004/25/KE, 2005/56/KE, 2007/36/KE, 2011/35/UE, 2012/30/UE u 2013/36/UE, u r-Regolamenti (UE) Nru 1093/2010 u (UE) Nru 648/2012, tal-Parlament Ewropew u tal-Kunsill</w:t>
      </w:r>
      <w:r w:rsidRPr="008D7121">
        <w:rPr>
          <w:rStyle w:val="FootnoteReference"/>
          <w:noProof/>
        </w:rPr>
        <w:footnoteReference w:id="2"/>
      </w:r>
      <w:r w:rsidRPr="008D7121">
        <w:rPr>
          <w:noProof/>
        </w:rPr>
        <w:t xml:space="preserve">, u b’mod partikolari l-Artikolu 45i(5), il-ħames subparagrafu, u l-Artikolu 45i(6), </w:t>
      </w:r>
      <w:r w:rsidR="004C708A">
        <w:rPr>
          <w:noProof/>
        </w:rPr>
        <w:t>i</w:t>
      </w:r>
      <w:r w:rsidRPr="008D7121">
        <w:rPr>
          <w:noProof/>
        </w:rPr>
        <w:t>l-ħames subparagrafu tagħha,</w:t>
      </w:r>
    </w:p>
    <w:p w:rsidR="001D506C" w:rsidRPr="008D7121" w:rsidRDefault="001D506C" w:rsidP="004E1EF9">
      <w:pPr>
        <w:rPr>
          <w:noProof/>
        </w:rPr>
      </w:pPr>
      <w:r w:rsidRPr="008D7121">
        <w:rPr>
          <w:noProof/>
        </w:rPr>
        <w:t>Billi:</w:t>
      </w:r>
    </w:p>
    <w:p w:rsidR="00F83DBF" w:rsidRPr="008D7121" w:rsidRDefault="00F83DBF" w:rsidP="0052704B">
      <w:pPr>
        <w:pStyle w:val="ManualConsidrant"/>
        <w:rPr>
          <w:noProof/>
        </w:rPr>
      </w:pPr>
      <w:r>
        <w:rPr>
          <w:noProof/>
        </w:rPr>
        <w:t>(1)</w:t>
      </w:r>
      <w:r>
        <w:rPr>
          <w:noProof/>
        </w:rPr>
        <w:tab/>
      </w:r>
      <w:r w:rsidRPr="008D7121">
        <w:rPr>
          <w:noProof/>
        </w:rPr>
        <w:t>Ir-Regolament (UE) 2022/2036 tal-</w:t>
      </w:r>
      <w:bookmarkStart w:id="1" w:name="_Hlk159320995"/>
      <w:r w:rsidRPr="008D7121">
        <w:rPr>
          <w:noProof/>
        </w:rPr>
        <w:t>Parlament Ewropew u tal-Kunsill</w:t>
      </w:r>
      <w:r w:rsidRPr="008D7121">
        <w:rPr>
          <w:rStyle w:val="FootnoteReference"/>
          <w:noProof/>
        </w:rPr>
        <w:footnoteReference w:id="3"/>
      </w:r>
      <w:bookmarkEnd w:id="1"/>
      <w:r w:rsidRPr="008D7121">
        <w:rPr>
          <w:noProof/>
        </w:rPr>
        <w:t xml:space="preserve"> introduċa r-rekwiżit, fir-Regolament (UE) Nru 575/2013, li l-entitajiet intermedji fi grupp ta’ riżoluzzjoni għandhom inaqqsu l-parteċipazzjonijiet tagħhom ta’ strumenti ta’ fondi proprji u strumenti tal-obbligazzjonijiet eliġibbli użati għall-konformità mar-rekwiżit stabbilit fl-Artikolu 92b tar-Regolament (UE) Nru 575/2013 (“rekwiżit intern tal-Kapaċità Totali ta’ Assorbiment tat-Telf” jew “TLAC intern”) mill-entrati tal-obbligazzjonijiet eliġibbli jew ir-rekwiżit stabbilit fl-Artikolu 45f tad-Direttiva 2014/59/UE</w:t>
      </w:r>
      <w:r w:rsidRPr="008D7121">
        <w:rPr>
          <w:rStyle w:val="FootnoteReference"/>
          <w:noProof/>
        </w:rPr>
        <w:footnoteReference w:id="4"/>
      </w:r>
      <w:r w:rsidRPr="008D7121">
        <w:rPr>
          <w:noProof/>
        </w:rPr>
        <w:t xml:space="preserve"> (“rekwiżit minimu intern għall-fondi proprji u obbligazzjonijiet eliġibbli jew “MREL intern”) meta dawk l-istrumenti ta’ fondi proprji u l-istrumenti ta’ obbligazzjonijiet eliġibbli jkunu nħarġu minn entitajiet li nfushom ma jkunux entitajiet ta’ riżoluzzjoni u li jappartjenu fl-istess grupp ta’ riżoluzzjoni. Għalhekk, huwa meħtieġ li dan ir-rekwiżit ta’ tnaqqis jiġi rifless fil-mudelli għad-divulgazzjoni pubblika ta’ informazzjoni armonizzata dwar l-MREL intern u t-TLAC intern stabbilit fir-Regolament ta’ Implimentazzjoni tal-Kummissjoni (UE) 2021/763</w:t>
      </w:r>
      <w:r w:rsidRPr="008D7121">
        <w:rPr>
          <w:rStyle w:val="FootnoteReference"/>
          <w:bCs/>
          <w:noProof/>
        </w:rPr>
        <w:footnoteReference w:id="5"/>
      </w:r>
      <w:r w:rsidRPr="008D7121">
        <w:rPr>
          <w:noProof/>
        </w:rPr>
        <w:t>. Dan ir-rekwiżit ta’ tnaqqis jenħtieġ li jiġi rifless bl-istess mod fl-informazzjoni armonizzata pprovduta lill-awtoritajiet kompetenti u ta’ riżoluzzjoni.</w:t>
      </w:r>
    </w:p>
    <w:p w:rsidR="00686AFD" w:rsidRPr="008D7121" w:rsidRDefault="00686AFD" w:rsidP="002103AD">
      <w:pPr>
        <w:pStyle w:val="ManualConsidrant"/>
        <w:rPr>
          <w:noProof/>
        </w:rPr>
      </w:pPr>
      <w:r>
        <w:rPr>
          <w:noProof/>
        </w:rPr>
        <w:t>(2)</w:t>
      </w:r>
      <w:r>
        <w:rPr>
          <w:noProof/>
        </w:rPr>
        <w:tab/>
      </w:r>
      <w:r w:rsidRPr="008D7121">
        <w:rPr>
          <w:noProof/>
        </w:rPr>
        <w:t xml:space="preserve">Id-Direttiva </w:t>
      </w:r>
      <w:r w:rsidR="00955BA3">
        <w:rPr>
          <w:noProof/>
        </w:rPr>
        <w:t xml:space="preserve">(UE) 2024/1174 tal-Parlament Ewropew u tal-Kunsill </w:t>
      </w:r>
      <w:r w:rsidRPr="008D7121">
        <w:rPr>
          <w:noProof/>
        </w:rPr>
        <w:t>li temenda d-Direttiva 2014/59/UE u r-Regolament (UE) Nru 806/2014 fir-rigward ta’ ċerti aspetti tar-rekwiżit minimu għal fondi proprji u obbligazzjonijiet eliġibbli</w:t>
      </w:r>
      <w:r w:rsidRPr="008D7121">
        <w:rPr>
          <w:rStyle w:val="FootnoteReference"/>
          <w:noProof/>
        </w:rPr>
        <w:footnoteReference w:id="6"/>
      </w:r>
      <w:r w:rsidRPr="008D7121">
        <w:rPr>
          <w:noProof/>
        </w:rPr>
        <w:t xml:space="preserve"> temenda ulterjorment ir-rekwiżit ta’ tnaqqis stabbilit fir-Regolament (UE) Nru 575/2013 billi fid-Direttiva 2014/59/UE u r-Regolament (UE) Nru 806/2014 tispeċifika li l-entitajiet intermedji fi grupp ta’ riżoluzzjoni għandhom inaqqsu biss il-parteċipazzjonijiet tagħhom ta’ strumenti ta’ fondi proprji maħruġa minn entitajiet ta’ likwidazzjoni li jappartjenu għall-istess grupp ta’ riżoluzzjoni u li huma stess mhumiex entitajiet ta’ riżoluzzjoni, soġġetti għal ċerti kundizzjonijiet relatati mal-materjalità ta’ dawk il-parteċipazzjonijiet. Jenħtieġ li dawk l-emendi jiġu riflessi wkoll fl-informazzjoni armonizzata pprovduta fil-mudelli għad-divulgazzjoni pubblika u għar-rapportar lill-awtoritajiet kompetenti u lill-awtoritajiet ta’ riżoluzzjoni.</w:t>
      </w:r>
    </w:p>
    <w:p w:rsidR="00F83DBF" w:rsidRPr="008D7121" w:rsidRDefault="00F83DBF" w:rsidP="00302BB5">
      <w:pPr>
        <w:pStyle w:val="ManualConsidrant"/>
        <w:rPr>
          <w:noProof/>
        </w:rPr>
      </w:pPr>
      <w:r>
        <w:rPr>
          <w:noProof/>
        </w:rPr>
        <w:t>(3)</w:t>
      </w:r>
      <w:r>
        <w:rPr>
          <w:noProof/>
        </w:rPr>
        <w:tab/>
      </w:r>
      <w:r w:rsidRPr="008D7121">
        <w:rPr>
          <w:noProof/>
        </w:rPr>
        <w:t>L-entitajiet soġġetti għar-rekwiżiti stabbiliti fl-Artikolu 92a jew l-Artikolu 92b tar-Regolament (UE) Nru 575/2013 (“rekwiżit TLAC”) jew ir-rekwiżit stabbilit fl-Artikolu 45 tad-Direttiva 2014/59/UE (“MREL”) jistgħu, bil-permess minn qabel tal-awtorità ta’ riżoluzzjoni tagħhom, jixtru, jifdu, iħallsu lura jew jixtru mill-ġdid strumenti ta’ obbligazzjonijiet eliġibbli f’konformità mal-Artikolu 78a tar-Regolament (UE) Nru 575/2013. L-ammonti koperti minn tali permess inaqqsu l-kapaċità tal-entitajiet li jissodisfaw ir-rekwiżit tal-MREL jew tat-TLAC. Għaldaqstant, huwa meħtieġ li jiġi speċifikat kif l-impatt ta’ tali permess jenħtieġ li jiġi rifless fid-divulgazzjonijiet pubbliċi u fir-rapportar lill-awtoritajiet kompetenti u lill-awtoritajiet ta’ riżoluzzjoni.</w:t>
      </w:r>
    </w:p>
    <w:p w:rsidR="00F83DBF" w:rsidRPr="008D7121" w:rsidRDefault="00F83DBF" w:rsidP="00F83DBF">
      <w:pPr>
        <w:pStyle w:val="ManualConsidrant"/>
        <w:rPr>
          <w:noProof/>
        </w:rPr>
      </w:pPr>
      <w:r>
        <w:rPr>
          <w:noProof/>
        </w:rPr>
        <w:t>(4)</w:t>
      </w:r>
      <w:r>
        <w:rPr>
          <w:noProof/>
        </w:rPr>
        <w:tab/>
      </w:r>
      <w:r w:rsidRPr="008D7121">
        <w:rPr>
          <w:noProof/>
        </w:rPr>
        <w:t>Għalhekk, jenħtieġ li r-Regolament ta’ Implimentazzjoni (UE) 2021/763 jiġi emendat skont dan.</w:t>
      </w:r>
    </w:p>
    <w:p w:rsidR="00F83DBF" w:rsidRPr="008D7121" w:rsidRDefault="00F83DBF" w:rsidP="00F83DBF">
      <w:pPr>
        <w:pStyle w:val="ManualConsidrant"/>
        <w:rPr>
          <w:noProof/>
        </w:rPr>
      </w:pPr>
      <w:r>
        <w:rPr>
          <w:noProof/>
        </w:rPr>
        <w:t>(5)</w:t>
      </w:r>
      <w:r>
        <w:rPr>
          <w:noProof/>
        </w:rPr>
        <w:tab/>
      </w:r>
      <w:r w:rsidRPr="008D7121">
        <w:rPr>
          <w:noProof/>
        </w:rPr>
        <w:t xml:space="preserve">Dan ir-Regolament huwa bbażat fuq l-abbozz tal-istandards tekniċi ta’ implimentazzjoni ppreżentat lill-Kummissjoni mill-Awtorità Bankarja Ewropea. </w:t>
      </w:r>
    </w:p>
    <w:p w:rsidR="00F83DBF" w:rsidRPr="008D7121" w:rsidRDefault="00F83DBF" w:rsidP="00F83DBF">
      <w:pPr>
        <w:pStyle w:val="ManualConsidrant"/>
        <w:rPr>
          <w:noProof/>
        </w:rPr>
      </w:pPr>
      <w:r>
        <w:rPr>
          <w:noProof/>
        </w:rPr>
        <w:t>(6)</w:t>
      </w:r>
      <w:r>
        <w:rPr>
          <w:noProof/>
        </w:rPr>
        <w:tab/>
      </w:r>
      <w:r w:rsidRPr="008D7121">
        <w:rPr>
          <w:noProof/>
        </w:rPr>
        <w:t>L-Awtorità Bankarja Ewropea wettqet konsultazzjonijiet pubbliċi miftuħa dwar l-abbozz tal-istandards tekniċi ta’ implementazzjoni li dan ir-Regolament huwa bbażat fuqhom, analizzat il-kostijiet u l-benefiċċji potenzjali relatati u talbet l-opinjoni tal-Grupp tal-Partijiet Bankarji Interessati stabbilit f’konformità mal-Artikolu 37 tar-Regolament (UE) Nru 1093/2010 tal-Parlament Ewropew u tal-Kunsill</w:t>
      </w:r>
      <w:r w:rsidRPr="008D7121">
        <w:rPr>
          <w:rStyle w:val="FootnoteReference"/>
          <w:noProof/>
        </w:rPr>
        <w:footnoteReference w:id="7"/>
      </w:r>
      <w:r w:rsidRPr="008D7121">
        <w:rPr>
          <w:noProof/>
        </w:rPr>
        <w:t>.</w:t>
      </w:r>
    </w:p>
    <w:p w:rsidR="00DB127D" w:rsidRPr="008D7121" w:rsidRDefault="00DB127D" w:rsidP="00F83DBF">
      <w:pPr>
        <w:pStyle w:val="ManualConsidrant"/>
        <w:rPr>
          <w:noProof/>
        </w:rPr>
      </w:pPr>
      <w:r>
        <w:rPr>
          <w:noProof/>
        </w:rPr>
        <w:t>(7)</w:t>
      </w:r>
      <w:r>
        <w:rPr>
          <w:noProof/>
        </w:rPr>
        <w:tab/>
      </w:r>
      <w:r w:rsidRPr="008D7121">
        <w:rPr>
          <w:noProof/>
        </w:rPr>
        <w:t xml:space="preserve">Biex l-entitajiet soġġetti għall-obbligu li jirrapportaw jew jiddivulgaw informazzjoni f’konformità mar-Regolament (UE) Nru 575/2013 jew mad-Direttiva 2014/59/UE jingħataw biżżejjed żmien biex jadattaw </w:t>
      </w:r>
      <w:bookmarkStart w:id="2" w:name="_Hlk160034996"/>
      <w:r w:rsidRPr="008D7121">
        <w:rPr>
          <w:noProof/>
        </w:rPr>
        <w:t xml:space="preserve">għall-bidliet fil-mudelli u l-informazzjoni armonizzata, il-bidliet jenħtieġ li </w:t>
      </w:r>
      <w:bookmarkEnd w:id="2"/>
      <w:r w:rsidRPr="008D7121">
        <w:rPr>
          <w:noProof/>
        </w:rPr>
        <w:t>jibdew japplikaw sitt xhur wara d-data tad-dħul fis-seħħ tagħha.</w:t>
      </w:r>
    </w:p>
    <w:p w:rsidR="001D506C" w:rsidRPr="008D7121" w:rsidRDefault="001D506C" w:rsidP="004E1EF9">
      <w:pPr>
        <w:pStyle w:val="Formuledadoption"/>
        <w:rPr>
          <w:noProof/>
        </w:rPr>
      </w:pPr>
      <w:r w:rsidRPr="008D7121">
        <w:rPr>
          <w:noProof/>
        </w:rPr>
        <w:t>ADOTTAT DAN IR-REGOLAMENT:</w:t>
      </w:r>
    </w:p>
    <w:p w:rsidR="001D506C" w:rsidRPr="008D7121" w:rsidRDefault="001D506C" w:rsidP="004E1EF9">
      <w:pPr>
        <w:pStyle w:val="Titrearticle"/>
        <w:rPr>
          <w:noProof/>
        </w:rPr>
      </w:pPr>
      <w:r w:rsidRPr="008D7121">
        <w:rPr>
          <w:noProof/>
        </w:rPr>
        <w:t>Artikolu 1</w:t>
      </w:r>
    </w:p>
    <w:p w:rsidR="008D3341" w:rsidRPr="008D7121" w:rsidRDefault="008D3341" w:rsidP="00220108">
      <w:pPr>
        <w:pStyle w:val="Titrearticle"/>
        <w:rPr>
          <w:noProof/>
        </w:rPr>
      </w:pPr>
      <w:r w:rsidRPr="008D7121">
        <w:rPr>
          <w:noProof/>
        </w:rPr>
        <w:t>Emendi tar-Regolament ta’ Implimentazzjoni (UE) 2021/763</w:t>
      </w:r>
    </w:p>
    <w:p w:rsidR="00F83DBF" w:rsidRPr="008D7121" w:rsidRDefault="00F83DBF" w:rsidP="00F83DBF">
      <w:pPr>
        <w:rPr>
          <w:noProof/>
        </w:rPr>
      </w:pPr>
      <w:r w:rsidRPr="008D7121">
        <w:rPr>
          <w:noProof/>
        </w:rPr>
        <w:t>Ir-Regolament ta’ Implimentazzjoni tal-Kummissjoni (UE) 2021/763 huwa emendat kif ġej:</w:t>
      </w:r>
    </w:p>
    <w:p w:rsidR="00F83DBF" w:rsidRPr="008D7121" w:rsidRDefault="004603A2" w:rsidP="000B009E">
      <w:pPr>
        <w:pStyle w:val="Point0"/>
        <w:rPr>
          <w:noProof/>
        </w:rPr>
      </w:pPr>
      <w:r>
        <w:rPr>
          <w:noProof/>
        </w:rPr>
        <w:t>(1)</w:t>
      </w:r>
      <w:r>
        <w:rPr>
          <w:noProof/>
        </w:rPr>
        <w:tab/>
      </w:r>
      <w:r w:rsidRPr="008D7121">
        <w:rPr>
          <w:noProof/>
        </w:rPr>
        <w:t>il-mudelli M 02.00 u M 03.00 stabbiliti fl-Anness I huma sostitwiti bil-mudelli M 02.00 u M 03.00 stabbiliti fl-Anness I ta’ dan ir-Regolament.</w:t>
      </w:r>
    </w:p>
    <w:p w:rsidR="00F83DBF" w:rsidRPr="008D7121" w:rsidRDefault="00F83DBF" w:rsidP="00220108">
      <w:pPr>
        <w:pStyle w:val="Point0"/>
        <w:rPr>
          <w:noProof/>
        </w:rPr>
      </w:pPr>
      <w:r>
        <w:rPr>
          <w:noProof/>
        </w:rPr>
        <w:t>(2)</w:t>
      </w:r>
      <w:r>
        <w:rPr>
          <w:noProof/>
        </w:rPr>
        <w:tab/>
      </w:r>
      <w:r w:rsidRPr="008D7121">
        <w:rPr>
          <w:noProof/>
        </w:rPr>
        <w:t>L-Anness II huwa sostitwit bit-test tal-Anness II ta’ dan ir-Regolament.</w:t>
      </w:r>
    </w:p>
    <w:p w:rsidR="00F83DBF" w:rsidRPr="008D7121" w:rsidRDefault="004603A2" w:rsidP="00220108">
      <w:pPr>
        <w:pStyle w:val="Point0"/>
        <w:rPr>
          <w:noProof/>
        </w:rPr>
      </w:pPr>
      <w:r>
        <w:rPr>
          <w:noProof/>
        </w:rPr>
        <w:t>(3)</w:t>
      </w:r>
      <w:r>
        <w:rPr>
          <w:noProof/>
        </w:rPr>
        <w:tab/>
      </w:r>
      <w:r w:rsidRPr="008D7121">
        <w:rPr>
          <w:noProof/>
        </w:rPr>
        <w:t>il-mudelli EU TLAC1 u EU ILAC stabbiliti fl-Anness V huma sostitwiti bil-mudelli EU TLAC1 u EU ILAC stabbiliti fl-Anness III ta’ dan ir-Regolament.</w:t>
      </w:r>
    </w:p>
    <w:p w:rsidR="00F83DBF" w:rsidRPr="008D7121" w:rsidRDefault="00F83DBF" w:rsidP="00220108">
      <w:pPr>
        <w:pStyle w:val="Point0"/>
        <w:rPr>
          <w:noProof/>
        </w:rPr>
      </w:pPr>
      <w:r>
        <w:rPr>
          <w:noProof/>
        </w:rPr>
        <w:t>(4)</w:t>
      </w:r>
      <w:r>
        <w:rPr>
          <w:noProof/>
        </w:rPr>
        <w:tab/>
      </w:r>
      <w:r w:rsidRPr="008D7121">
        <w:rPr>
          <w:noProof/>
        </w:rPr>
        <w:t>l-Anness VI huwa sostitwit bit-test tal-Anness IV ta’ dan ir-Regolament.</w:t>
      </w:r>
    </w:p>
    <w:p w:rsidR="00F83DBF" w:rsidRPr="008D7121" w:rsidRDefault="00F83DBF" w:rsidP="00F83DBF">
      <w:pPr>
        <w:pStyle w:val="Titrearticle"/>
        <w:rPr>
          <w:noProof/>
        </w:rPr>
      </w:pPr>
      <w:r w:rsidRPr="008D7121">
        <w:rPr>
          <w:noProof/>
        </w:rPr>
        <w:t>Artikolu 2</w:t>
      </w:r>
    </w:p>
    <w:p w:rsidR="00CC305D" w:rsidRPr="008D7121" w:rsidRDefault="00CC305D" w:rsidP="00583FFA">
      <w:pPr>
        <w:jc w:val="center"/>
        <w:rPr>
          <w:b/>
          <w:bCs/>
          <w:noProof/>
          <w:color w:val="000000"/>
        </w:rPr>
      </w:pPr>
      <w:r w:rsidRPr="008D7121">
        <w:rPr>
          <w:b/>
          <w:noProof/>
          <w:color w:val="000000"/>
        </w:rPr>
        <w:t>Dħul fis-seħħ u applikazzjoni</w:t>
      </w:r>
    </w:p>
    <w:p w:rsidR="00F83DBF" w:rsidRPr="008D7121" w:rsidRDefault="00F83DBF" w:rsidP="00F83DBF">
      <w:pPr>
        <w:rPr>
          <w:noProof/>
          <w:color w:val="000000"/>
        </w:rPr>
      </w:pPr>
      <w:r w:rsidRPr="008D7121">
        <w:rPr>
          <w:noProof/>
          <w:color w:val="000000"/>
        </w:rPr>
        <w:t>Dan ir-Regolament għandu jidħol fis-seħħ fl-għoxrin jum wara dak tal-pubblikazzjoni tiegħu f’</w:t>
      </w:r>
      <w:r w:rsidRPr="008D7121">
        <w:rPr>
          <w:i/>
          <w:noProof/>
          <w:color w:val="000000"/>
        </w:rPr>
        <w:t>Il-Ġurnal Uffiċjali tal-Unjoni Ewropea</w:t>
      </w:r>
      <w:r w:rsidRPr="008D7121">
        <w:rPr>
          <w:noProof/>
          <w:color w:val="000000"/>
        </w:rPr>
        <w:t>.</w:t>
      </w:r>
    </w:p>
    <w:p w:rsidR="00F83DBF" w:rsidRPr="008D7121" w:rsidRDefault="00F83DBF" w:rsidP="00F83DBF">
      <w:pPr>
        <w:rPr>
          <w:noProof/>
          <w:color w:val="000000"/>
        </w:rPr>
      </w:pPr>
      <w:r w:rsidRPr="008D7121">
        <w:rPr>
          <w:noProof/>
          <w:color w:val="000000"/>
        </w:rPr>
        <w:t xml:space="preserve">Għandu japplika minn </w:t>
      </w:r>
      <w:r w:rsidRPr="008D7121">
        <w:rPr>
          <w:i/>
          <w:noProof/>
          <w:color w:val="000000"/>
        </w:rPr>
        <w:t>[ĠU jekk jogħġbok daħħal id-data sitt xhur wara d-data tad-dħul fis-seħħ ta’ dan ir-Regolament emendatorju]</w:t>
      </w:r>
      <w:r w:rsidRPr="008D7121">
        <w:rPr>
          <w:noProof/>
          <w:color w:val="000000"/>
        </w:rPr>
        <w:t xml:space="preserve">. </w:t>
      </w:r>
    </w:p>
    <w:p w:rsidR="001D506C" w:rsidRPr="008D7121" w:rsidRDefault="001D506C" w:rsidP="004E1EF9">
      <w:pPr>
        <w:pStyle w:val="Applicationdirecte"/>
        <w:keepNext/>
        <w:keepLines/>
        <w:rPr>
          <w:noProof/>
        </w:rPr>
      </w:pPr>
      <w:r w:rsidRPr="008D7121">
        <w:rPr>
          <w:noProof/>
        </w:rPr>
        <w:t>Dan ir-Regolament għandu jorbot fl-intier tiegħu u japplika direttament fl-Istati Membri.</w:t>
      </w:r>
    </w:p>
    <w:p w:rsidR="001D506C" w:rsidRPr="008D7121" w:rsidRDefault="003F5A37" w:rsidP="007D2246">
      <w:pPr>
        <w:pStyle w:val="Fait"/>
        <w:rPr>
          <w:noProof/>
        </w:rPr>
      </w:pPr>
      <w:r>
        <w:rPr>
          <w:noProof/>
        </w:rPr>
        <w:t>Magħmul fi Brussell, 6.6.2024</w:t>
      </w:r>
    </w:p>
    <w:p w:rsidR="001D506C" w:rsidRPr="008D7121" w:rsidRDefault="001D506C" w:rsidP="007D2246">
      <w:pPr>
        <w:pStyle w:val="Institutionquisigne"/>
        <w:rPr>
          <w:noProof/>
        </w:rPr>
      </w:pPr>
      <w:r w:rsidRPr="008D7121">
        <w:rPr>
          <w:noProof/>
        </w:rPr>
        <w:tab/>
        <w:t>Għall-Kummissjoni</w:t>
      </w:r>
    </w:p>
    <w:p w:rsidR="00F718B8" w:rsidRPr="008D7121" w:rsidRDefault="00752793" w:rsidP="007D2246">
      <w:pPr>
        <w:pStyle w:val="Personnequisigne"/>
        <w:keepNext/>
        <w:rPr>
          <w:noProof/>
        </w:rPr>
      </w:pPr>
      <w:r>
        <w:rPr>
          <w:noProof/>
        </w:rPr>
        <w:tab/>
        <w:t>Il-President</w:t>
      </w:r>
      <w:r>
        <w:rPr>
          <w:noProof/>
        </w:rPr>
        <w:br/>
      </w:r>
      <w:r>
        <w:rPr>
          <w:noProof/>
        </w:rPr>
        <w:tab/>
        <w:t>Ursula VON DER LEYEN</w:t>
      </w:r>
    </w:p>
    <w:p w:rsidR="00C402D1" w:rsidRPr="008D7121" w:rsidRDefault="00C402D1" w:rsidP="00C402D1">
      <w:pPr>
        <w:pStyle w:val="Personnequisigne"/>
        <w:rPr>
          <w:noProof/>
        </w:rPr>
      </w:pPr>
    </w:p>
    <w:sectPr w:rsidR="00C402D1" w:rsidRPr="008D7121" w:rsidSect="00F90F57">
      <w:headerReference w:type="even" r:id="rId14"/>
      <w:footerReference w:type="even" r:id="rId15"/>
      <w:footerReference w:type="default" r:id="rId16"/>
      <w:headerReference w:type="first" r:id="rId17"/>
      <w:footerReference w:type="first" r:id="rId18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0E5E" w:rsidRDefault="008D0E5E" w:rsidP="001D506C">
      <w:pPr>
        <w:spacing w:before="0" w:after="0"/>
      </w:pPr>
      <w:r>
        <w:separator/>
      </w:r>
    </w:p>
  </w:endnote>
  <w:endnote w:type="continuationSeparator" w:id="0">
    <w:p w:rsidR="008D0E5E" w:rsidRDefault="008D0E5E" w:rsidP="001D506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0F57" w:rsidRPr="00F90F57" w:rsidRDefault="00F90F57" w:rsidP="00F90F57">
    <w:pPr>
      <w:pStyle w:val="Footer"/>
      <w:rPr>
        <w:rFonts w:ascii="Arial" w:hAnsi="Arial" w:cs="Arial"/>
        <w:b/>
        <w:sz w:val="48"/>
      </w:rPr>
    </w:pPr>
    <w:r w:rsidRPr="00F90F57">
      <w:rPr>
        <w:rFonts w:ascii="Arial" w:hAnsi="Arial" w:cs="Arial"/>
        <w:b/>
        <w:sz w:val="48"/>
      </w:rPr>
      <w:t>MT</w:t>
    </w:r>
    <w:r w:rsidRPr="00F90F57">
      <w:rPr>
        <w:rFonts w:ascii="Arial" w:hAnsi="Arial" w:cs="Arial"/>
        <w:b/>
        <w:sz w:val="48"/>
      </w:rPr>
      <w:tab/>
    </w:r>
    <w:r w:rsidRPr="00F90F57">
      <w:rPr>
        <w:rFonts w:ascii="Arial" w:hAnsi="Arial" w:cs="Arial"/>
        <w:b/>
        <w:sz w:val="48"/>
      </w:rPr>
      <w:tab/>
    </w:r>
    <w:r w:rsidRPr="00F90F57">
      <w:tab/>
    </w:r>
    <w:r w:rsidRPr="00F90F57">
      <w:rPr>
        <w:rFonts w:ascii="Arial" w:hAnsi="Arial" w:cs="Arial"/>
        <w:b/>
        <w:sz w:val="48"/>
      </w:rPr>
      <w:t>MT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0F57" w:rsidRPr="00F90F57" w:rsidRDefault="00F90F57" w:rsidP="00F90F57">
    <w:pPr>
      <w:pStyle w:val="Footer"/>
      <w:rPr>
        <w:rFonts w:ascii="Arial" w:hAnsi="Arial" w:cs="Arial"/>
        <w:b/>
        <w:sz w:val="48"/>
      </w:rPr>
    </w:pPr>
    <w:r w:rsidRPr="00F90F57">
      <w:rPr>
        <w:rFonts w:ascii="Arial" w:hAnsi="Arial" w:cs="Arial"/>
        <w:b/>
        <w:sz w:val="48"/>
      </w:rPr>
      <w:t>MT</w:t>
    </w:r>
    <w:r w:rsidRPr="00F90F57">
      <w:rPr>
        <w:rFonts w:ascii="Arial" w:hAnsi="Arial" w:cs="Arial"/>
        <w:b/>
        <w:sz w:val="48"/>
      </w:rPr>
      <w:tab/>
    </w:r>
    <w:r w:rsidRPr="00F90F57">
      <w:rPr>
        <w:rFonts w:ascii="Arial" w:hAnsi="Arial" w:cs="Arial"/>
        <w:b/>
        <w:sz w:val="48"/>
      </w:rPr>
      <w:tab/>
    </w:r>
    <w:r w:rsidRPr="00F90F57">
      <w:tab/>
    </w:r>
    <w:r w:rsidRPr="00F90F57">
      <w:rPr>
        <w:rFonts w:ascii="Arial" w:hAnsi="Arial" w:cs="Arial"/>
        <w:b/>
        <w:sz w:val="48"/>
      </w:rPr>
      <w:t>MT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0F57" w:rsidRPr="00F90F57" w:rsidRDefault="00F90F57" w:rsidP="00F90F57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0F57" w:rsidRDefault="00F90F57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0F57" w:rsidRPr="00F90F57" w:rsidRDefault="00F90F57" w:rsidP="00F90F57">
    <w:pPr>
      <w:pStyle w:val="Footer"/>
      <w:rPr>
        <w:rFonts w:ascii="Arial" w:hAnsi="Arial" w:cs="Arial"/>
        <w:b/>
        <w:sz w:val="48"/>
      </w:rPr>
    </w:pPr>
    <w:r w:rsidRPr="00F90F57">
      <w:rPr>
        <w:rFonts w:ascii="Arial" w:hAnsi="Arial" w:cs="Arial"/>
        <w:b/>
        <w:sz w:val="48"/>
      </w:rPr>
      <w:t>MT</w:t>
    </w:r>
    <w:r w:rsidRPr="00F90F57">
      <w:rPr>
        <w:rFonts w:ascii="Arial" w:hAnsi="Arial" w:cs="Arial"/>
        <w:b/>
        <w:sz w:val="48"/>
      </w:rPr>
      <w:tab/>
    </w:r>
    <w:r>
      <w:fldChar w:fldCharType="begin"/>
    </w:r>
    <w:r>
      <w:instrText xml:space="preserve"> PAGE  \* MERGEFORMAT </w:instrText>
    </w:r>
    <w:r>
      <w:fldChar w:fldCharType="separate"/>
    </w:r>
    <w:r w:rsidR="007D2246">
      <w:rPr>
        <w:noProof/>
      </w:rPr>
      <w:t>3</w:t>
    </w:r>
    <w:r>
      <w:fldChar w:fldCharType="end"/>
    </w:r>
    <w:r>
      <w:tab/>
    </w:r>
    <w:r w:rsidRPr="00F90F57">
      <w:tab/>
    </w:r>
    <w:r w:rsidRPr="00F90F57">
      <w:rPr>
        <w:rFonts w:ascii="Arial" w:hAnsi="Arial" w:cs="Arial"/>
        <w:b/>
        <w:sz w:val="48"/>
      </w:rPr>
      <w:t>MT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0F57" w:rsidRDefault="00F90F57" w:rsidP="00F90F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0E5E" w:rsidRDefault="008D0E5E" w:rsidP="001D506C">
      <w:pPr>
        <w:spacing w:before="0" w:after="0"/>
      </w:pPr>
      <w:r>
        <w:separator/>
      </w:r>
    </w:p>
  </w:footnote>
  <w:footnote w:type="continuationSeparator" w:id="0">
    <w:p w:rsidR="008D0E5E" w:rsidRDefault="008D0E5E" w:rsidP="001D506C">
      <w:pPr>
        <w:spacing w:before="0" w:after="0"/>
      </w:pPr>
      <w:r>
        <w:continuationSeparator/>
      </w:r>
    </w:p>
  </w:footnote>
  <w:footnote w:id="1">
    <w:p w:rsidR="000E6FD2" w:rsidRPr="00DA38A7" w:rsidRDefault="000E6FD2" w:rsidP="000E6FD2">
      <w:pPr>
        <w:pStyle w:val="FootnoteText"/>
      </w:pPr>
      <w:r>
        <w:rPr>
          <w:rStyle w:val="FootnoteReference"/>
        </w:rPr>
        <w:footnoteRef/>
      </w:r>
      <w:r>
        <w:tab/>
        <w:t xml:space="preserve">ĠU L 176, 27.6.2013, p. 1, ELI: http://data.europa.eu/eli/reg/2013/575/oj. </w:t>
      </w:r>
    </w:p>
  </w:footnote>
  <w:footnote w:id="2">
    <w:p w:rsidR="000E6FD2" w:rsidRPr="00DA38A7" w:rsidRDefault="000E6FD2" w:rsidP="000E6FD2">
      <w:pPr>
        <w:pStyle w:val="FootnoteText"/>
      </w:pPr>
      <w:r>
        <w:rPr>
          <w:rStyle w:val="FootnoteReference"/>
        </w:rPr>
        <w:footnoteRef/>
      </w:r>
      <w:r>
        <w:tab/>
        <w:t xml:space="preserve">ĠU L 173, 12.6.2014, p. 190, ELI: http://data.europa.eu/eli/dir/2014/59/oj. </w:t>
      </w:r>
    </w:p>
  </w:footnote>
  <w:footnote w:id="3">
    <w:p w:rsidR="00F83DBF" w:rsidRPr="001734AB" w:rsidRDefault="00F83DBF" w:rsidP="00F83DBF">
      <w:pPr>
        <w:pStyle w:val="FootnoteText"/>
      </w:pPr>
      <w:r>
        <w:rPr>
          <w:rStyle w:val="FootnoteReference"/>
        </w:rPr>
        <w:footnoteRef/>
      </w:r>
      <w:r>
        <w:tab/>
        <w:t>Ir-Regolament (UE) 2022/2036 tal-Parlament Ewropew u tal-Kunsill tad-19 ta’ Ottubru 2022 li jemenda r-Regolament (UE) Nru 575/2013 u d-Direttiva 2014/59/UE fir-rigward tat-trattament prudenzjali ta’ istituzzjonijiet globali sistemikament importanti bi strateġija ta’ riżoluzzjoni b’punti multipli ta’ dħul u metodi għas-sottoskrizzjoni indiretta ta’ strumenti eliġibbli biex jissodisfaw ir-rekwiżit minimu għal fondi proprji u obbligazzjonijiet eliġibbli, (ĠU L 275, 25.10.2022, p. 1, ELI: http://data.europa.eu/eli/reg/2022/2036/oj)</w:t>
      </w:r>
    </w:p>
  </w:footnote>
  <w:footnote w:id="4">
    <w:p w:rsidR="00F83DBF" w:rsidRPr="002B6E0A" w:rsidRDefault="00F83DBF" w:rsidP="00F83DBF">
      <w:pPr>
        <w:pStyle w:val="FootnoteText"/>
      </w:pPr>
      <w:r>
        <w:rPr>
          <w:rStyle w:val="FootnoteReference"/>
        </w:rPr>
        <w:footnoteRef/>
      </w:r>
      <w:r>
        <w:tab/>
        <w:t>Id-Direttiva 2014/59/UE tal-Parlament Ewropew u tal-Kunsill tal-15 ta’ Mejju 2014 li tistabbilixxi qafas għall-irkupru u r-riżoluzzjoni ta’ istituzzjonijiet ta’ kreditu u ditti ta’ investiment u li temenda d-Direttiva tal-Kunsill 82/891/KEE u d-Direttivi 2001/24/KE, 2002/47/KE, 2004/25/KE, 2005/56/KE, 2007/36/KE, 2011/35/UE, 2012/30/UE u 2013/36/UE, u r-Regolamenti (UE) Nru 1093/2010 u (UE) Nru 648/2012, tal-Parlament Ewropew u tal-Kunsill (ĠU L 173, 12.06.2014, p. 190-348)</w:t>
      </w:r>
    </w:p>
  </w:footnote>
  <w:footnote w:id="5">
    <w:p w:rsidR="00F83DBF" w:rsidRPr="00BA3525" w:rsidRDefault="00F83DBF" w:rsidP="00F83DBF">
      <w:pPr>
        <w:pStyle w:val="FootnoteText"/>
      </w:pPr>
      <w:r>
        <w:rPr>
          <w:rStyle w:val="FootnoteReference"/>
        </w:rPr>
        <w:footnoteRef/>
      </w:r>
      <w:r>
        <w:tab/>
        <w:t>Ir-Regolament ta’ Implimentazzjoni tal-Kummissjoni (UE) 2021/763 tat-23 ta’ April 2021 li jistabbilixxi standards tekniċi ta’ implimentazzjoni għall-applikazzjoni tar-Regolament (UE) Nru 575/2013 tal-Parlament Ewropew u tal-Kunsill u tad-Direttiva 2014/59/UE tal-Parlament Ewropew u tal-Kunsill fir-rigward tar-rapportar superviżorju u d-divulgazzjoni pubblika tar-rekwiżit minimu għall-fondi proprji u l-obbligazzjonijiet eliġibbli (ĠU L 168, 12.5.2021, p. 1)</w:t>
      </w:r>
    </w:p>
  </w:footnote>
  <w:footnote w:id="6">
    <w:p w:rsidR="00686AFD" w:rsidRPr="00686AFD" w:rsidRDefault="00686AFD" w:rsidP="00686AFD">
      <w:pPr>
        <w:pStyle w:val="FootnoteText"/>
      </w:pPr>
      <w:r>
        <w:rPr>
          <w:rStyle w:val="FootnoteReference"/>
        </w:rPr>
        <w:footnoteRef/>
      </w:r>
      <w:r>
        <w:tab/>
      </w:r>
      <w:r w:rsidR="00955BA3">
        <w:t>Id-Direttiva (UE) 2024/1174 tal-Parlament Ewropew u tal-Kunsill tal-11 ta’ April 2024</w:t>
      </w:r>
      <w:r>
        <w:t xml:space="preserve"> li temenda d-Direttiva 2014/59/UE u r-Regolament (UE) Nru 806/2014 fir-rigward ta’ ċerti aspetti tar-rekwiżit minimu għal fondi proprji u obbligazzjonijiet eliġibbli, </w:t>
      </w:r>
      <w:r w:rsidR="00955BA3">
        <w:t>(ĠU L, 2024/1174, 22.4.2024).</w:t>
      </w:r>
    </w:p>
  </w:footnote>
  <w:footnote w:id="7">
    <w:p w:rsidR="00F83DBF" w:rsidRPr="00B64E68" w:rsidRDefault="00F83DBF" w:rsidP="00F83DBF">
      <w:pPr>
        <w:pStyle w:val="FootnoteText"/>
      </w:pPr>
      <w:r>
        <w:rPr>
          <w:rStyle w:val="FootnoteReference"/>
        </w:rPr>
        <w:footnoteRef/>
      </w:r>
      <w:r>
        <w:tab/>
        <w:t>Ir-Regolament (UE) Nru 1093/2010 tal-Parlament Ewropew u tal-Kunsill tal-24 ta’ Novembru 2010 li jistabbilixxi Awtorità Superviżorja Ewropea (Awtorità Bankarja Ewropea) u li jemenda d-Deċiżjoni Nru 716/2009/KE u jħassar id-Deċiżjoni tal-Kummissjoni 2009/78/KE (ĠU L 331, 15.12.2010, p. 12, ELI: http://data.europa.eu/eli/reg/2010/1093/oj).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0F57" w:rsidRPr="00F90F57" w:rsidRDefault="00F90F57" w:rsidP="00F90F5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0F57" w:rsidRPr="00F90F57" w:rsidRDefault="00F90F57" w:rsidP="00F90F5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0F57" w:rsidRPr="00F90F57" w:rsidRDefault="00F90F57" w:rsidP="00F90F57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0F57" w:rsidRDefault="00F90F57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0F57" w:rsidRDefault="00F90F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D"/>
    <w:multiLevelType w:val="singleLevel"/>
    <w:tmpl w:val="102CECA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4CD87DA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BB54038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BABC3B8E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A1AE141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AF26C86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9DB25E9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7B7A921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1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3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4" w15:restartNumberingAfterBreak="0">
    <w:nsid w:val="42FC077D"/>
    <w:multiLevelType w:val="singleLevel"/>
    <w:tmpl w:val="4128FD03"/>
    <w:name w:val="Tiret 5"/>
    <w:lvl w:ilvl="0">
      <w:start w:val="1"/>
      <w:numFmt w:val="bullet"/>
      <w:lvlRestart w:val="0"/>
      <w:pStyle w:val="Tiret5"/>
      <w:lvlText w:val="–"/>
      <w:lvlJc w:val="left"/>
      <w:pPr>
        <w:tabs>
          <w:tab w:val="num" w:pos="3685"/>
        </w:tabs>
        <w:ind w:left="3685" w:hanging="567"/>
      </w:pPr>
    </w:lvl>
  </w:abstractNum>
  <w:abstractNum w:abstractNumId="15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6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7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8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1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0" w15:restartNumberingAfterBreak="0">
    <w:nsid w:val="64A12FA4"/>
    <w:multiLevelType w:val="multilevel"/>
    <w:tmpl w:val="428ECF3E"/>
    <w:name w:val="Heading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23" w15:restartNumberingAfterBreak="0">
    <w:nsid w:val="7E042D9D"/>
    <w:multiLevelType w:val="multilevel"/>
    <w:tmpl w:val="47BAFBF6"/>
    <w:styleLink w:val="LFO29"/>
    <w:lvl w:ilvl="0">
      <w:start w:val="1"/>
      <w:numFmt w:val="decimal"/>
      <w:lvlText w:val="(%1)"/>
      <w:lvlJc w:val="left"/>
      <w:pPr>
        <w:ind w:left="709" w:hanging="709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7"/>
  </w:num>
  <w:num w:numId="2">
    <w:abstractNumId w:val="23"/>
  </w:num>
  <w:num w:numId="3">
    <w:abstractNumId w:val="5"/>
  </w:num>
  <w:num w:numId="4">
    <w:abstractNumId w:val="4"/>
  </w:num>
  <w:num w:numId="5">
    <w:abstractNumId w:val="3"/>
  </w:num>
  <w:num w:numId="6">
    <w:abstractNumId w:val="6"/>
  </w:num>
  <w:num w:numId="7">
    <w:abstractNumId w:val="2"/>
  </w:num>
  <w:num w:numId="8">
    <w:abstractNumId w:val="1"/>
  </w:num>
  <w:num w:numId="9">
    <w:abstractNumId w:val="0"/>
  </w:num>
  <w:num w:numId="10">
    <w:abstractNumId w:val="22"/>
    <w:lvlOverride w:ilvl="0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12"/>
  </w:num>
  <w:num w:numId="14">
    <w:abstractNumId w:val="21"/>
  </w:num>
  <w:num w:numId="15">
    <w:abstractNumId w:val="11"/>
  </w:num>
  <w:num w:numId="16">
    <w:abstractNumId w:val="13"/>
  </w:num>
  <w:num w:numId="17">
    <w:abstractNumId w:val="14"/>
  </w:num>
  <w:num w:numId="18">
    <w:abstractNumId w:val="9"/>
  </w:num>
  <w:num w:numId="19">
    <w:abstractNumId w:val="20"/>
  </w:num>
  <w:num w:numId="20">
    <w:abstractNumId w:val="8"/>
  </w:num>
  <w:num w:numId="21">
    <w:abstractNumId w:val="15"/>
  </w:num>
  <w:num w:numId="22">
    <w:abstractNumId w:val="17"/>
  </w:num>
  <w:num w:numId="23">
    <w:abstractNumId w:val="18"/>
  </w:num>
  <w:num w:numId="24">
    <w:abstractNumId w:val="10"/>
  </w:num>
  <w:num w:numId="25">
    <w:abstractNumId w:val="16"/>
  </w:num>
  <w:num w:numId="26">
    <w:abstractNumId w:val="22"/>
  </w:num>
  <w:num w:numId="27">
    <w:abstractNumId w:val="19"/>
  </w:num>
  <w:num w:numId="28">
    <w:abstractNumId w:val="12"/>
  </w:num>
  <w:num w:numId="29">
    <w:abstractNumId w:val="21"/>
  </w:num>
  <w:num w:numId="30">
    <w:abstractNumId w:val="11"/>
  </w:num>
  <w:num w:numId="31">
    <w:abstractNumId w:val="13"/>
  </w:num>
  <w:num w:numId="32">
    <w:abstractNumId w:val="14"/>
  </w:num>
  <w:num w:numId="33">
    <w:abstractNumId w:val="9"/>
  </w:num>
  <w:num w:numId="34">
    <w:abstractNumId w:val="20"/>
  </w:num>
  <w:num w:numId="35">
    <w:abstractNumId w:val="8"/>
  </w:num>
  <w:num w:numId="36">
    <w:abstractNumId w:val="15"/>
  </w:num>
  <w:num w:numId="37">
    <w:abstractNumId w:val="17"/>
  </w:num>
  <w:num w:numId="38">
    <w:abstractNumId w:val="18"/>
  </w:num>
  <w:num w:numId="39">
    <w:abstractNumId w:val="10"/>
  </w:num>
  <w:num w:numId="40">
    <w:abstractNumId w:val="16"/>
  </w:num>
  <w:num w:numId="41">
    <w:abstractNumId w:val="22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movePersonalInformation/>
  <w:removeDateAndTime/>
  <w:hideSpellingErrors/>
  <w:hideGrammaticalErrors/>
  <w:attachedTemplate r:id="rId1"/>
  <w:revisionView w:markup="0"/>
  <w:defaultTabStop w:val="72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QCDateTime" w:val="2024-05-30 11:45:08"/>
    <w:docVar w:name="DQCResult_Distribution" w:val="0;0"/>
    <w:docVar w:name="DQCResult_DocumentContent" w:val="0;0"/>
    <w:docVar w:name="DQCResult_DocumentSize" w:val="0;0"/>
    <w:docVar w:name="DQCResult_InvalidFootnotes" w:val="0;0"/>
    <w:docVar w:name="DQCResult_ModifiedMarkers" w:val="0;0"/>
    <w:docVar w:name="DQCResult_ModifiedNumbering" w:val="0;0"/>
    <w:docVar w:name="DQCResult_Objects" w:val="0;0"/>
    <w:docVar w:name="DQCResult_StructureCheck" w:val="0;0"/>
    <w:docVar w:name="DQCStatus" w:val="Green"/>
    <w:docVar w:name="DQCVersion" w:val="3"/>
    <w:docVar w:name="DQCWithWarnings" w:val="0"/>
    <w:docVar w:name="LW_CORRIGENDUM" w:val="&lt;UNUSED&gt;"/>
    <w:docVar w:name="LW_COVERPAGE_EXISTS" w:val="True"/>
    <w:docVar w:name="LW_COVERPAGE_GUID" w:val="150A8F8A-9099-4AA2-AB25-6B03973BC3ED"/>
    <w:docVar w:name="LW_COVERPAGE_TYPE" w:val="1"/>
    <w:docVar w:name="LW_CROSSREFERENCE" w:val="&lt;UNUSED&gt;"/>
    <w:docVar w:name="LW_DATE.ADOPT.CP" w:val="ta'6.6.2024"/>
    <w:docVar w:name="LW_DATE.ADOPT.CP_DATEFORMAT" w:val="ta'%DATE%"/>
    <w:docVar w:name="LW_DATE.ADOPT.CP_ISODATE" w:val="2024-06-06"/>
    <w:docVar w:name="LW_DocType" w:val="COM"/>
    <w:docVar w:name="LW_EMISSION" w:val="6.6.2024"/>
    <w:docVar w:name="LW_EMISSION_ISODATE" w:val="2024-06-06"/>
    <w:docVar w:name="LW_EMISSION_LOCATION" w:val="BRX"/>
    <w:docVar w:name="LW_EMISSION_PREFIX" w:val="Brussell, "/>
    <w:docVar w:name="LW_EMISSION_SUFFIX" w:val=" "/>
    <w:docVar w:name="LW_ID_DOCMODEL" w:val="SJ-004"/>
    <w:docVar w:name="LW_ID_DOCSIGNATURE" w:val="SJ-004"/>
    <w:docVar w:name="LW_ID_DOCSTRUCTURE" w:val="COM/AA"/>
    <w:docVar w:name="LW_ID_DOCTYPE" w:val="SJ-004"/>
    <w:docVar w:name="LW_INTERETEEE.CP" w:val="(Test b\u8217?rilevanza g\u295?a\u380?-\u379?EE)"/>
    <w:docVar w:name="LW_LANGUE" w:val="MT"/>
    <w:docVar w:name="LW_LANGUESFAISANTFOI.CP" w:val="&lt;UNUSED&gt;"/>
    <w:docVar w:name="LW_LEVEL_OF_SENSITIVITY" w:val="Standard treatment"/>
    <w:docVar w:name="LW_NOM.INST" w:val="IL-KUMMISSJONI EWROPEA"/>
    <w:docVar w:name="LW_NOM.INST_JOINTDOC" w:val="&lt;EMPTY&gt;"/>
    <w:docVar w:name="LW_PART_NBR" w:val="1"/>
    <w:docVar w:name="LW_PART_NBR_TOTAL" w:val="1"/>
    <w:docVar w:name="LW_REF.INST.NEW" w:val="C"/>
    <w:docVar w:name="LW_REF.INST.NEW_ADOPTED" w:val="final"/>
    <w:docVar w:name="LW_REF.INST.NEW_TEXT" w:val="(2024) 3624"/>
    <w:docVar w:name="LW_REF.INTERNE" w:val="&lt;UNUSED&gt;"/>
    <w:docVar w:name="LW_SENSITIVITY" w:val="&lt;?xml version=&quot;1.0&quot; encoding=&quot;utf-8&quot;?&gt;_x000d__x000a_&lt;SensitivityLevel xmlns:xsd=&quot;http://www.w3.org/2001/XMLSchema&quot; xmlns:xsi=&quot;http://www.w3.org/2001/XMLSchema-instance&quot; id=&quot;standard&quot;&gt;_x000d__x000a_  &lt;nicename EN=&quot;Standard treatment&quot; FR=&quot;Traitement standard&quot; /&gt;_x000d__x000a_  &lt;documentProperty&gt;Standard treatment&lt;/documentProperty&gt;_x000d__x000a_  &lt;markingConfig isAvailable=&quot;false&quot; isMandatory=&quot;false&quot; sensitiveMarkingMandatory=&quot;false&quot; specialMarkingMandatory=&quot;true&quot; isOptionDisplayInHeaderAvailable=&quot;true&quot; sensitiveMarkingListSee=&quot;SensitiveMarkings&quot; specialMarkingListSee=&quot;SpecialMarkings&quot; sensitiveFootnoteTextSee=&quot;sensitiveFootnote&quot; specialFootnoteTextSee=&quot;specialFootnote&quot; /&gt;_x000d__x000a_  &lt;chosenMainMarking xsi:nil=&quot;true&quot; /&gt;_x000d__x000a_  &lt;dateMarking xsi:nil=&quot;true&quot; /&gt;_x000d__x000a_  &lt;releasableToConfig isAvailable=&quot;false&quot; institutionListSee=&quot;DefaultInstitutions&quot; /&gt;_x000d__x000a_  &lt;chosenReleasableTo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isRestricted&gt;false&lt;/isRestricted&gt;_x000d__x000a_&lt;/SensitivityLevel&gt;"/>
    <w:docVar w:name="LW_SUPERTITRE" w:val="&lt;UNUSED&gt;"/>
    <w:docVar w:name="LW_TITRE.OBJ.CP" w:val="li jemenda r-Regolament ta\u8217? Implimentazzjoni tal-Kummissjoni (UE) 2021/763 li jistabbilixxi standards tekni\u267?i ta\u8217? implimentazzjoni g\u295?all-applikazzjoni tar-Regolament (UE) Nru 575/2013 tal-Parlament Ewropew u tal-Kunsill u tad-Direttiva 2014/59/UE tal-Parlament Ewropew u tal-Kunsill fir-rigward tar-rapportar supervi\u380?orju u d-divulgazzjoni pubblika tar-rekwi\u380?it minimu g\u295?all-fondi proprji u l-obbligazzjonijiet eli\u289?ibbli _x000b_"/>
    <w:docVar w:name="LW_TYPE.DOC.CP" w:val="REGOLAMENT TA\u8217? IMPLIMENTAZZJONI TAL-KUMMISSJONI (UE) .../..."/>
    <w:docVar w:name="LwApiVersions" w:val="LW4CoDe 1.24.5.0; LW 9.0, Build 20240221"/>
  </w:docVars>
  <w:rsids>
    <w:rsidRoot w:val="001D506C"/>
    <w:rsid w:val="00090C4D"/>
    <w:rsid w:val="00093B4B"/>
    <w:rsid w:val="000B009E"/>
    <w:rsid w:val="000B7A7D"/>
    <w:rsid w:val="000D75DD"/>
    <w:rsid w:val="000E6B56"/>
    <w:rsid w:val="000E6FD2"/>
    <w:rsid w:val="0013442E"/>
    <w:rsid w:val="00152894"/>
    <w:rsid w:val="00185DB3"/>
    <w:rsid w:val="001B397F"/>
    <w:rsid w:val="001B6C2F"/>
    <w:rsid w:val="001D506C"/>
    <w:rsid w:val="00220108"/>
    <w:rsid w:val="0022339B"/>
    <w:rsid w:val="00292AC6"/>
    <w:rsid w:val="002B65CA"/>
    <w:rsid w:val="002C09C1"/>
    <w:rsid w:val="002F0DF7"/>
    <w:rsid w:val="002F1E29"/>
    <w:rsid w:val="00302BB5"/>
    <w:rsid w:val="0031489C"/>
    <w:rsid w:val="00314C67"/>
    <w:rsid w:val="00335CB4"/>
    <w:rsid w:val="00363DC5"/>
    <w:rsid w:val="00370470"/>
    <w:rsid w:val="00380338"/>
    <w:rsid w:val="0038725C"/>
    <w:rsid w:val="00391381"/>
    <w:rsid w:val="00396ACD"/>
    <w:rsid w:val="003F5A37"/>
    <w:rsid w:val="00437AA5"/>
    <w:rsid w:val="0044282B"/>
    <w:rsid w:val="004603A2"/>
    <w:rsid w:val="00492396"/>
    <w:rsid w:val="004B3865"/>
    <w:rsid w:val="004C708A"/>
    <w:rsid w:val="004D1CE4"/>
    <w:rsid w:val="004E19F9"/>
    <w:rsid w:val="00517205"/>
    <w:rsid w:val="0052704B"/>
    <w:rsid w:val="005279D9"/>
    <w:rsid w:val="00542487"/>
    <w:rsid w:val="00580629"/>
    <w:rsid w:val="00582810"/>
    <w:rsid w:val="00583FFA"/>
    <w:rsid w:val="00595540"/>
    <w:rsid w:val="005B5FA6"/>
    <w:rsid w:val="005E1E85"/>
    <w:rsid w:val="005F222A"/>
    <w:rsid w:val="005F33FF"/>
    <w:rsid w:val="00644A57"/>
    <w:rsid w:val="006654AB"/>
    <w:rsid w:val="006813A6"/>
    <w:rsid w:val="00686AFD"/>
    <w:rsid w:val="006A2A68"/>
    <w:rsid w:val="006B3DF1"/>
    <w:rsid w:val="006F7EFE"/>
    <w:rsid w:val="00703C0B"/>
    <w:rsid w:val="00752793"/>
    <w:rsid w:val="0075467B"/>
    <w:rsid w:val="007D0861"/>
    <w:rsid w:val="007D1225"/>
    <w:rsid w:val="007D2246"/>
    <w:rsid w:val="007E010B"/>
    <w:rsid w:val="00802FC2"/>
    <w:rsid w:val="0081293E"/>
    <w:rsid w:val="0084238A"/>
    <w:rsid w:val="008C58B7"/>
    <w:rsid w:val="008C63FE"/>
    <w:rsid w:val="008D0E5E"/>
    <w:rsid w:val="008D3341"/>
    <w:rsid w:val="008D7121"/>
    <w:rsid w:val="008E2694"/>
    <w:rsid w:val="00940731"/>
    <w:rsid w:val="009476D9"/>
    <w:rsid w:val="00955BA3"/>
    <w:rsid w:val="009702E0"/>
    <w:rsid w:val="009712C1"/>
    <w:rsid w:val="009719B6"/>
    <w:rsid w:val="009731D1"/>
    <w:rsid w:val="00985A34"/>
    <w:rsid w:val="009957C5"/>
    <w:rsid w:val="009A1A98"/>
    <w:rsid w:val="009C5B99"/>
    <w:rsid w:val="009D0A73"/>
    <w:rsid w:val="00A10BBD"/>
    <w:rsid w:val="00A2735C"/>
    <w:rsid w:val="00A565C7"/>
    <w:rsid w:val="00A61FE3"/>
    <w:rsid w:val="00A63976"/>
    <w:rsid w:val="00A86840"/>
    <w:rsid w:val="00AF7920"/>
    <w:rsid w:val="00B0742B"/>
    <w:rsid w:val="00B247D1"/>
    <w:rsid w:val="00B253B1"/>
    <w:rsid w:val="00B50A87"/>
    <w:rsid w:val="00B5778D"/>
    <w:rsid w:val="00B74403"/>
    <w:rsid w:val="00B84713"/>
    <w:rsid w:val="00B851FA"/>
    <w:rsid w:val="00BA44BA"/>
    <w:rsid w:val="00BE38E4"/>
    <w:rsid w:val="00C070F4"/>
    <w:rsid w:val="00C26314"/>
    <w:rsid w:val="00C3731F"/>
    <w:rsid w:val="00C402D1"/>
    <w:rsid w:val="00C62ABE"/>
    <w:rsid w:val="00C72F66"/>
    <w:rsid w:val="00C9371C"/>
    <w:rsid w:val="00CB4B4C"/>
    <w:rsid w:val="00CC02AA"/>
    <w:rsid w:val="00CC305D"/>
    <w:rsid w:val="00CE02BF"/>
    <w:rsid w:val="00D15425"/>
    <w:rsid w:val="00D15677"/>
    <w:rsid w:val="00D37A87"/>
    <w:rsid w:val="00D455A5"/>
    <w:rsid w:val="00D60353"/>
    <w:rsid w:val="00D73411"/>
    <w:rsid w:val="00D917AD"/>
    <w:rsid w:val="00DA38A7"/>
    <w:rsid w:val="00DB127D"/>
    <w:rsid w:val="00DB4B20"/>
    <w:rsid w:val="00DE295D"/>
    <w:rsid w:val="00DE673A"/>
    <w:rsid w:val="00E07235"/>
    <w:rsid w:val="00E247EB"/>
    <w:rsid w:val="00E33C9F"/>
    <w:rsid w:val="00E46107"/>
    <w:rsid w:val="00E83C6F"/>
    <w:rsid w:val="00E9509D"/>
    <w:rsid w:val="00E979AB"/>
    <w:rsid w:val="00EC39BC"/>
    <w:rsid w:val="00EE140B"/>
    <w:rsid w:val="00F41B40"/>
    <w:rsid w:val="00F6671D"/>
    <w:rsid w:val="00F718B8"/>
    <w:rsid w:val="00F733AF"/>
    <w:rsid w:val="00F767D0"/>
    <w:rsid w:val="00F83DBF"/>
    <w:rsid w:val="00F90F57"/>
    <w:rsid w:val="00FB1E8C"/>
    <w:rsid w:val="00FC2396"/>
    <w:rsid w:val="00FE4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  <w:lang w:val="mt-MT"/>
    </w:rPr>
  </w:style>
  <w:style w:type="paragraph" w:styleId="Heading1">
    <w:name w:val="heading 1"/>
    <w:basedOn w:val="Normal"/>
    <w:next w:val="Text1"/>
    <w:link w:val="Heading1Char"/>
    <w:uiPriority w:val="9"/>
    <w:qFormat/>
    <w:pPr>
      <w:keepNext/>
      <w:numPr>
        <w:numId w:val="34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pPr>
      <w:keepNext/>
      <w:numPr>
        <w:ilvl w:val="1"/>
        <w:numId w:val="34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pPr>
      <w:keepNext/>
      <w:numPr>
        <w:ilvl w:val="2"/>
        <w:numId w:val="34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pPr>
      <w:keepNext/>
      <w:numPr>
        <w:ilvl w:val="3"/>
        <w:numId w:val="34"/>
      </w:numPr>
      <w:outlineLvl w:val="3"/>
    </w:pPr>
    <w:rPr>
      <w:rFonts w:eastAsiaTheme="majorEastAsia"/>
      <w:bCs/>
      <w:iCs/>
    </w:rPr>
  </w:style>
  <w:style w:type="paragraph" w:styleId="Heading5">
    <w:name w:val="heading 5"/>
    <w:basedOn w:val="Normal"/>
    <w:next w:val="Text2"/>
    <w:link w:val="Heading5Char"/>
    <w:uiPriority w:val="9"/>
    <w:semiHidden/>
    <w:unhideWhenUsed/>
    <w:qFormat/>
    <w:pPr>
      <w:keepNext/>
      <w:numPr>
        <w:ilvl w:val="4"/>
        <w:numId w:val="34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Text2"/>
    <w:link w:val="Heading6Char"/>
    <w:uiPriority w:val="9"/>
    <w:semiHidden/>
    <w:unhideWhenUsed/>
    <w:qFormat/>
    <w:pPr>
      <w:keepNext/>
      <w:numPr>
        <w:ilvl w:val="5"/>
        <w:numId w:val="34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Text2"/>
    <w:link w:val="Heading7Char"/>
    <w:uiPriority w:val="9"/>
    <w:semiHidden/>
    <w:unhideWhenUsed/>
    <w:qFormat/>
    <w:pPr>
      <w:keepNext/>
      <w:numPr>
        <w:ilvl w:val="6"/>
        <w:numId w:val="34"/>
      </w:numPr>
      <w:outlineLvl w:val="6"/>
    </w:pPr>
    <w:rPr>
      <w:rFonts w:eastAsiaTheme="majorEastAsia"/>
      <w:i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rsid w:val="001D506C"/>
    <w:pPr>
      <w:numPr>
        <w:numId w:val="1"/>
      </w:numPr>
    </w:pPr>
    <w:rPr>
      <w:rFonts w:eastAsia="Times New Roman"/>
      <w:lang w:eastAsia="en-GB"/>
    </w:rPr>
  </w:style>
  <w:style w:type="numbering" w:customStyle="1" w:styleId="LFO29">
    <w:name w:val="LFO29"/>
    <w:basedOn w:val="NoList"/>
    <w:rsid w:val="00F83DBF"/>
    <w:pPr>
      <w:numPr>
        <w:numId w:val="2"/>
      </w:numPr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093B4B"/>
    <w:pPr>
      <w:spacing w:before="0" w:after="200"/>
    </w:pPr>
    <w:rPr>
      <w:i/>
      <w:iCs/>
      <w:color w:val="1F497D" w:themeColor="text2"/>
      <w:sz w:val="18"/>
      <w:szCs w:val="18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093B4B"/>
    <w:pPr>
      <w:spacing w:after="0"/>
    </w:pPr>
  </w:style>
  <w:style w:type="paragraph" w:styleId="ListBullet2">
    <w:name w:val="List Bullet 2"/>
    <w:basedOn w:val="Normal"/>
    <w:uiPriority w:val="99"/>
    <w:semiHidden/>
    <w:unhideWhenUsed/>
    <w:rsid w:val="00093B4B"/>
    <w:pPr>
      <w:numPr>
        <w:numId w:val="3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093B4B"/>
    <w:pPr>
      <w:numPr>
        <w:numId w:val="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093B4B"/>
    <w:pPr>
      <w:numPr>
        <w:numId w:val="5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093B4B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093B4B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093B4B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093B4B"/>
    <w:pPr>
      <w:numPr>
        <w:numId w:val="9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85DB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85DB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85DB3"/>
    <w:rPr>
      <w:rFonts w:ascii="Times New Roman" w:hAnsi="Times New Roman" w:cs="Times New Roman"/>
      <w:sz w:val="20"/>
      <w:szCs w:val="20"/>
      <w:lang w:val="mt-M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5D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5DB3"/>
    <w:rPr>
      <w:rFonts w:ascii="Times New Roman" w:hAnsi="Times New Roman" w:cs="Times New Roman"/>
      <w:b/>
      <w:bCs/>
      <w:sz w:val="20"/>
      <w:szCs w:val="20"/>
      <w:lang w:val="mt-MT"/>
    </w:rPr>
  </w:style>
  <w:style w:type="character" w:styleId="Hyperlink">
    <w:name w:val="Hyperlink"/>
    <w:basedOn w:val="DefaultParagraphFont"/>
    <w:uiPriority w:val="99"/>
    <w:unhideWhenUsed/>
    <w:rsid w:val="00185DB3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185DB3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0E6FD2"/>
    <w:pPr>
      <w:spacing w:after="0" w:line="240" w:lineRule="auto"/>
    </w:pPr>
    <w:rPr>
      <w:rFonts w:ascii="Times New Roman" w:hAnsi="Times New Roman" w:cs="Times New Roman"/>
      <w:sz w:val="24"/>
    </w:rPr>
  </w:style>
  <w:style w:type="paragraph" w:styleId="ListParagraph">
    <w:name w:val="List Paragraph"/>
    <w:basedOn w:val="Normal"/>
    <w:uiPriority w:val="34"/>
    <w:qFormat/>
    <w:rsid w:val="00686AFD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F90F57"/>
    <w:rPr>
      <w:rFonts w:ascii="Times New Roman" w:hAnsi="Times New Roman" w:cs="Times New Roman"/>
      <w:sz w:val="24"/>
      <w:lang w:val="mt-MT"/>
    </w:rPr>
  </w:style>
  <w:style w:type="character" w:customStyle="1" w:styleId="FooterChar">
    <w:name w:val="Footer Char"/>
    <w:basedOn w:val="DefaultParagraphFont"/>
    <w:link w:val="Footer"/>
    <w:uiPriority w:val="99"/>
    <w:rsid w:val="00F90F57"/>
    <w:rPr>
      <w:rFonts w:ascii="Times New Roman" w:hAnsi="Times New Roman" w:cs="Times New Roman"/>
      <w:sz w:val="24"/>
      <w:lang w:val="mt-M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="Times New Roman" w:eastAsiaTheme="majorEastAsia" w:hAnsi="Times New Roman" w:cs="Times New Roman"/>
      <w:b/>
      <w:bCs/>
      <w:smallCaps/>
      <w:sz w:val="24"/>
      <w:szCs w:val="28"/>
      <w:shd w:val="clear" w:color="auto" w:fill="auto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="Times New Roman" w:eastAsiaTheme="majorEastAsia" w:hAnsi="Times New Roman" w:cs="Times New Roman"/>
      <w:b/>
      <w:bCs/>
      <w:sz w:val="24"/>
      <w:szCs w:val="26"/>
      <w:shd w:val="clear" w:color="auto" w:fill="auto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="Times New Roman" w:eastAsiaTheme="majorEastAsia" w:hAnsi="Times New Roman" w:cs="Times New Roman"/>
      <w:bCs/>
      <w:i/>
      <w:sz w:val="24"/>
      <w:shd w:val="clear" w:color="auto" w:fill="auto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="Times New Roman" w:eastAsiaTheme="majorEastAsia" w:hAnsi="Times New Roman" w:cs="Times New Roman"/>
      <w:bCs/>
      <w:iCs/>
      <w:sz w:val="24"/>
      <w:shd w:val="clear" w:color="auto" w:fill="auto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="Times New Roman" w:eastAsiaTheme="majorEastAsia" w:hAnsi="Times New Roman" w:cs="Times New Roman"/>
      <w:sz w:val="24"/>
      <w:shd w:val="clear" w:color="auto" w:fill="auto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="Times New Roman" w:eastAsiaTheme="majorEastAsia" w:hAnsi="Times New Roman" w:cs="Times New Roman"/>
      <w:iCs/>
      <w:sz w:val="24"/>
      <w:shd w:val="clear" w:color="auto" w:fill="auto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="Times New Roman" w:eastAsiaTheme="majorEastAsia" w:hAnsi="Times New Roman" w:cs="Times New Roman"/>
      <w:iCs/>
      <w:sz w:val="24"/>
      <w:shd w:val="clear" w:color="auto" w:fill="auto"/>
      <w:lang w:val="en-GB"/>
    </w:rPr>
  </w:style>
  <w:style w:type="paragraph" w:styleId="TOCHeading">
    <w:name w:val="TOC Heading"/>
    <w:basedOn w:val="Normal"/>
    <w:next w:val="Normal"/>
    <w:uiPriority w:val="39"/>
    <w:semiHidden/>
    <w:unhideWhenUsed/>
    <w:qFormat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pPr>
      <w:tabs>
        <w:tab w:val="right" w:leader="dot" w:pos="9071"/>
      </w:tabs>
      <w:ind w:left="1417" w:hanging="1417"/>
      <w:jc w:val="left"/>
    </w:pPr>
  </w:style>
  <w:style w:type="character" w:styleId="FootnoteReference">
    <w:name w:val="footnote reference"/>
    <w:basedOn w:val="DefaultParagraphFont"/>
    <w:uiPriority w:val="99"/>
    <w:semiHidden/>
    <w:unhideWhenUsed/>
    <w:rPr>
      <w:shd w:val="clear" w:color="auto" w:fill="auto"/>
      <w:vertAlign w:val="superscript"/>
    </w:rPr>
  </w:style>
  <w:style w:type="paragraph" w:customStyle="1" w:styleId="HeaderSensitivity">
    <w:name w:val="Header Sensitivity"/>
    <w:basedOn w:val="Normal"/>
    <w:rsid w:val="00F90F5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/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F90F57"/>
    <w:pPr>
      <w:spacing w:before="0"/>
      <w:jc w:val="right"/>
    </w:pPr>
    <w:rPr>
      <w:sz w:val="28"/>
    </w:rPr>
  </w:style>
  <w:style w:type="paragraph" w:customStyle="1" w:styleId="FooterSensitivity">
    <w:name w:val="Footer Sensitivity"/>
    <w:basedOn w:val="Normal"/>
    <w:rsid w:val="00F90F5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Text1">
    <w:name w:val="Text 1"/>
    <w:basedOn w:val="Normal"/>
    <w:pPr>
      <w:ind w:left="850"/>
    </w:pPr>
  </w:style>
  <w:style w:type="paragraph" w:customStyle="1" w:styleId="Text2">
    <w:name w:val="Text 2"/>
    <w:basedOn w:val="Normal"/>
    <w:pPr>
      <w:ind w:left="1417"/>
    </w:pPr>
  </w:style>
  <w:style w:type="paragraph" w:customStyle="1" w:styleId="Text3">
    <w:name w:val="Text 3"/>
    <w:basedOn w:val="Normal"/>
    <w:pPr>
      <w:ind w:left="1984"/>
    </w:pPr>
  </w:style>
  <w:style w:type="paragraph" w:customStyle="1" w:styleId="Text4">
    <w:name w:val="Text 4"/>
    <w:basedOn w:val="Normal"/>
    <w:pPr>
      <w:ind w:left="2551"/>
    </w:pPr>
  </w:style>
  <w:style w:type="paragraph" w:customStyle="1" w:styleId="Text5">
    <w:name w:val="Text 5"/>
    <w:basedOn w:val="Normal"/>
    <w:pPr>
      <w:ind w:left="3118"/>
    </w:pPr>
  </w:style>
  <w:style w:type="paragraph" w:customStyle="1" w:styleId="Text6">
    <w:name w:val="Text 6"/>
    <w:basedOn w:val="Normal"/>
    <w:pPr>
      <w:ind w:left="3685"/>
    </w:pPr>
  </w:style>
  <w:style w:type="paragraph" w:customStyle="1" w:styleId="NormalCentered">
    <w:name w:val="Normal Centered"/>
    <w:basedOn w:val="Normal"/>
    <w:pPr>
      <w:jc w:val="center"/>
    </w:pPr>
  </w:style>
  <w:style w:type="paragraph" w:customStyle="1" w:styleId="NormalLeft">
    <w:name w:val="Normal Left"/>
    <w:basedOn w:val="Normal"/>
    <w:pPr>
      <w:jc w:val="left"/>
    </w:pPr>
  </w:style>
  <w:style w:type="paragraph" w:customStyle="1" w:styleId="NormalRight">
    <w:name w:val="Normal Right"/>
    <w:basedOn w:val="Normal"/>
    <w:pPr>
      <w:jc w:val="right"/>
    </w:pPr>
  </w:style>
  <w:style w:type="paragraph" w:customStyle="1" w:styleId="QuotedText">
    <w:name w:val="Quoted Text"/>
    <w:basedOn w:val="Normal"/>
    <w:pPr>
      <w:ind w:left="1417"/>
    </w:pPr>
  </w:style>
  <w:style w:type="paragraph" w:customStyle="1" w:styleId="Point0">
    <w:name w:val="Point 0"/>
    <w:basedOn w:val="Normal"/>
    <w:pPr>
      <w:ind w:left="850" w:hanging="850"/>
    </w:pPr>
  </w:style>
  <w:style w:type="paragraph" w:customStyle="1" w:styleId="Point1">
    <w:name w:val="Point 1"/>
    <w:basedOn w:val="Normal"/>
    <w:pPr>
      <w:ind w:left="1417" w:hanging="567"/>
    </w:pPr>
  </w:style>
  <w:style w:type="paragraph" w:customStyle="1" w:styleId="Point2">
    <w:name w:val="Point 2"/>
    <w:basedOn w:val="Normal"/>
    <w:pPr>
      <w:ind w:left="1984" w:hanging="567"/>
    </w:pPr>
  </w:style>
  <w:style w:type="paragraph" w:customStyle="1" w:styleId="Point3">
    <w:name w:val="Point 3"/>
    <w:basedOn w:val="Normal"/>
    <w:pPr>
      <w:ind w:left="2551" w:hanging="567"/>
    </w:pPr>
  </w:style>
  <w:style w:type="paragraph" w:customStyle="1" w:styleId="Point4">
    <w:name w:val="Point 4"/>
    <w:basedOn w:val="Normal"/>
    <w:pPr>
      <w:ind w:left="3118" w:hanging="567"/>
    </w:pPr>
  </w:style>
  <w:style w:type="paragraph" w:customStyle="1" w:styleId="Point5">
    <w:name w:val="Point 5"/>
    <w:basedOn w:val="Normal"/>
    <w:pPr>
      <w:ind w:left="3685" w:hanging="567"/>
    </w:pPr>
  </w:style>
  <w:style w:type="paragraph" w:customStyle="1" w:styleId="Tiret0">
    <w:name w:val="Tiret 0"/>
    <w:basedOn w:val="Point0"/>
    <w:pPr>
      <w:numPr>
        <w:numId w:val="27"/>
      </w:numPr>
    </w:pPr>
  </w:style>
  <w:style w:type="paragraph" w:customStyle="1" w:styleId="Tiret1">
    <w:name w:val="Tiret 1"/>
    <w:basedOn w:val="Point1"/>
    <w:pPr>
      <w:numPr>
        <w:numId w:val="28"/>
      </w:numPr>
    </w:pPr>
  </w:style>
  <w:style w:type="paragraph" w:customStyle="1" w:styleId="Tiret2">
    <w:name w:val="Tiret 2"/>
    <w:basedOn w:val="Point2"/>
    <w:pPr>
      <w:numPr>
        <w:numId w:val="29"/>
      </w:numPr>
    </w:pPr>
  </w:style>
  <w:style w:type="paragraph" w:customStyle="1" w:styleId="Tiret3">
    <w:name w:val="Tiret 3"/>
    <w:basedOn w:val="Point3"/>
    <w:pPr>
      <w:numPr>
        <w:numId w:val="30"/>
      </w:numPr>
    </w:pPr>
  </w:style>
  <w:style w:type="paragraph" w:customStyle="1" w:styleId="Tiret4">
    <w:name w:val="Tiret 4"/>
    <w:basedOn w:val="Point4"/>
    <w:pPr>
      <w:numPr>
        <w:numId w:val="31"/>
      </w:numPr>
    </w:pPr>
  </w:style>
  <w:style w:type="paragraph" w:customStyle="1" w:styleId="Tiret5">
    <w:name w:val="Tiret 5"/>
    <w:basedOn w:val="Point5"/>
    <w:pPr>
      <w:numPr>
        <w:numId w:val="32"/>
      </w:numPr>
    </w:pPr>
  </w:style>
  <w:style w:type="paragraph" w:customStyle="1" w:styleId="PointDouble0">
    <w:name w:val="PointDouble 0"/>
    <w:basedOn w:val="Normal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pPr>
      <w:numPr>
        <w:numId w:val="33"/>
      </w:numPr>
    </w:pPr>
  </w:style>
  <w:style w:type="paragraph" w:customStyle="1" w:styleId="NumPar2">
    <w:name w:val="NumPar 2"/>
    <w:basedOn w:val="Normal"/>
    <w:next w:val="Text1"/>
    <w:pPr>
      <w:numPr>
        <w:ilvl w:val="1"/>
        <w:numId w:val="33"/>
      </w:numPr>
    </w:pPr>
  </w:style>
  <w:style w:type="paragraph" w:customStyle="1" w:styleId="NumPar3">
    <w:name w:val="NumPar 3"/>
    <w:basedOn w:val="Normal"/>
    <w:next w:val="Text1"/>
    <w:pPr>
      <w:numPr>
        <w:ilvl w:val="2"/>
        <w:numId w:val="33"/>
      </w:numPr>
    </w:pPr>
  </w:style>
  <w:style w:type="paragraph" w:customStyle="1" w:styleId="NumPar4">
    <w:name w:val="NumPar 4"/>
    <w:basedOn w:val="Normal"/>
    <w:next w:val="Text1"/>
    <w:pPr>
      <w:numPr>
        <w:ilvl w:val="3"/>
        <w:numId w:val="33"/>
      </w:numPr>
    </w:pPr>
  </w:style>
  <w:style w:type="paragraph" w:customStyle="1" w:styleId="NumPar5">
    <w:name w:val="NumPar 5"/>
    <w:basedOn w:val="Normal"/>
    <w:next w:val="Text2"/>
    <w:pPr>
      <w:numPr>
        <w:ilvl w:val="4"/>
        <w:numId w:val="33"/>
      </w:numPr>
    </w:pPr>
  </w:style>
  <w:style w:type="paragraph" w:customStyle="1" w:styleId="NumPar6">
    <w:name w:val="NumPar 6"/>
    <w:basedOn w:val="Normal"/>
    <w:next w:val="Text2"/>
    <w:pPr>
      <w:numPr>
        <w:ilvl w:val="5"/>
        <w:numId w:val="33"/>
      </w:numPr>
    </w:pPr>
  </w:style>
  <w:style w:type="paragraph" w:customStyle="1" w:styleId="NumPar7">
    <w:name w:val="NumPar 7"/>
    <w:basedOn w:val="Normal"/>
    <w:next w:val="Text2"/>
    <w:pPr>
      <w:numPr>
        <w:ilvl w:val="6"/>
        <w:numId w:val="33"/>
      </w:numPr>
    </w:pPr>
  </w:style>
  <w:style w:type="paragraph" w:customStyle="1" w:styleId="ManualNumPar1">
    <w:name w:val="Manual NumPar 1"/>
    <w:basedOn w:val="Normal"/>
    <w:next w:val="Text1"/>
    <w:pPr>
      <w:ind w:left="850" w:hanging="850"/>
    </w:pPr>
  </w:style>
  <w:style w:type="paragraph" w:customStyle="1" w:styleId="ManualNumPar2">
    <w:name w:val="Manual NumPar 2"/>
    <w:basedOn w:val="Normal"/>
    <w:next w:val="Text1"/>
    <w:pPr>
      <w:ind w:left="850" w:hanging="850"/>
    </w:pPr>
  </w:style>
  <w:style w:type="paragraph" w:customStyle="1" w:styleId="ManualNumPar3">
    <w:name w:val="Manual NumPar 3"/>
    <w:basedOn w:val="Normal"/>
    <w:next w:val="Text1"/>
    <w:pPr>
      <w:ind w:left="850" w:hanging="850"/>
    </w:pPr>
  </w:style>
  <w:style w:type="paragraph" w:customStyle="1" w:styleId="ManualNumPar4">
    <w:name w:val="Manual NumPar 4"/>
    <w:basedOn w:val="Normal"/>
    <w:next w:val="Text1"/>
    <w:pPr>
      <w:ind w:left="850" w:hanging="850"/>
    </w:pPr>
  </w:style>
  <w:style w:type="paragraph" w:customStyle="1" w:styleId="ManualNumPar5">
    <w:name w:val="Manual NumPar 5"/>
    <w:basedOn w:val="Normal"/>
    <w:next w:val="Text2"/>
    <w:pPr>
      <w:ind w:left="1417" w:hanging="1417"/>
    </w:pPr>
  </w:style>
  <w:style w:type="paragraph" w:customStyle="1" w:styleId="ManualNumPar6">
    <w:name w:val="Manual NumPar 6"/>
    <w:basedOn w:val="Normal"/>
    <w:next w:val="Text2"/>
    <w:pPr>
      <w:ind w:left="1417" w:hanging="1417"/>
    </w:pPr>
  </w:style>
  <w:style w:type="paragraph" w:customStyle="1" w:styleId="ManualNumPar7">
    <w:name w:val="Manual NumPar 7"/>
    <w:basedOn w:val="Normal"/>
    <w:next w:val="Text2"/>
    <w:pPr>
      <w:ind w:left="1417" w:hanging="1417"/>
    </w:pPr>
  </w:style>
  <w:style w:type="paragraph" w:customStyle="1" w:styleId="QuotedNumPar">
    <w:name w:val="Quoted NumPar"/>
    <w:basedOn w:val="Normal"/>
    <w:pPr>
      <w:ind w:left="1417" w:hanging="567"/>
    </w:pPr>
  </w:style>
  <w:style w:type="paragraph" w:customStyle="1" w:styleId="ManualHeading1">
    <w:name w:val="Manual Heading 1"/>
    <w:basedOn w:val="Normal"/>
    <w:next w:val="Text1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Text2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Text2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Text2"/>
    <w:pPr>
      <w:keepNext/>
      <w:tabs>
        <w:tab w:val="left" w:pos="1417"/>
      </w:tabs>
      <w:ind w:left="1417" w:hanging="1417"/>
      <w:outlineLvl w:val="6"/>
    </w:pPr>
  </w:style>
  <w:style w:type="paragraph" w:customStyle="1" w:styleId="ChapterTitle">
    <w:name w:val="ChapterTitle"/>
    <w:basedOn w:val="Normal"/>
    <w:next w:val="Normal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pPr>
      <w:jc w:val="center"/>
    </w:pPr>
    <w:rPr>
      <w:b/>
    </w:rPr>
  </w:style>
  <w:style w:type="character" w:customStyle="1" w:styleId="Marker">
    <w:name w:val="Marker"/>
    <w:basedOn w:val="DefaultParagraphFont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pPr>
      <w:numPr>
        <w:numId w:val="35"/>
      </w:numPr>
    </w:pPr>
  </w:style>
  <w:style w:type="paragraph" w:customStyle="1" w:styleId="Point1number">
    <w:name w:val="Point 1 (number)"/>
    <w:basedOn w:val="Normal"/>
    <w:pPr>
      <w:numPr>
        <w:ilvl w:val="2"/>
        <w:numId w:val="35"/>
      </w:numPr>
    </w:pPr>
  </w:style>
  <w:style w:type="paragraph" w:customStyle="1" w:styleId="Point2number">
    <w:name w:val="Point 2 (number)"/>
    <w:basedOn w:val="Normal"/>
    <w:pPr>
      <w:numPr>
        <w:ilvl w:val="4"/>
        <w:numId w:val="35"/>
      </w:numPr>
    </w:pPr>
  </w:style>
  <w:style w:type="paragraph" w:customStyle="1" w:styleId="Point3number">
    <w:name w:val="Point 3 (number)"/>
    <w:basedOn w:val="Normal"/>
    <w:pPr>
      <w:numPr>
        <w:ilvl w:val="6"/>
        <w:numId w:val="35"/>
      </w:numPr>
    </w:pPr>
  </w:style>
  <w:style w:type="paragraph" w:customStyle="1" w:styleId="Point0letter">
    <w:name w:val="Point 0 (letter)"/>
    <w:basedOn w:val="Normal"/>
    <w:pPr>
      <w:numPr>
        <w:ilvl w:val="1"/>
        <w:numId w:val="35"/>
      </w:numPr>
    </w:pPr>
  </w:style>
  <w:style w:type="paragraph" w:customStyle="1" w:styleId="Point1letter">
    <w:name w:val="Point 1 (letter)"/>
    <w:basedOn w:val="Normal"/>
    <w:pPr>
      <w:numPr>
        <w:ilvl w:val="3"/>
        <w:numId w:val="35"/>
      </w:numPr>
    </w:pPr>
  </w:style>
  <w:style w:type="paragraph" w:customStyle="1" w:styleId="Point2letter">
    <w:name w:val="Point 2 (letter)"/>
    <w:basedOn w:val="Normal"/>
    <w:pPr>
      <w:numPr>
        <w:ilvl w:val="5"/>
        <w:numId w:val="35"/>
      </w:numPr>
    </w:pPr>
  </w:style>
  <w:style w:type="paragraph" w:customStyle="1" w:styleId="Point3letter">
    <w:name w:val="Point 3 (letter)"/>
    <w:basedOn w:val="Normal"/>
    <w:pPr>
      <w:numPr>
        <w:ilvl w:val="7"/>
        <w:numId w:val="35"/>
      </w:numPr>
    </w:pPr>
  </w:style>
  <w:style w:type="paragraph" w:customStyle="1" w:styleId="Point4letter">
    <w:name w:val="Point 4 (letter)"/>
    <w:basedOn w:val="Normal"/>
    <w:pPr>
      <w:numPr>
        <w:ilvl w:val="8"/>
        <w:numId w:val="35"/>
      </w:numPr>
    </w:pPr>
  </w:style>
  <w:style w:type="paragraph" w:customStyle="1" w:styleId="Bullet0">
    <w:name w:val="Bullet 0"/>
    <w:basedOn w:val="Normal"/>
    <w:pPr>
      <w:numPr>
        <w:numId w:val="36"/>
      </w:numPr>
    </w:pPr>
  </w:style>
  <w:style w:type="paragraph" w:customStyle="1" w:styleId="Bullet1">
    <w:name w:val="Bullet 1"/>
    <w:basedOn w:val="Normal"/>
    <w:pPr>
      <w:numPr>
        <w:numId w:val="37"/>
      </w:numPr>
    </w:pPr>
  </w:style>
  <w:style w:type="paragraph" w:customStyle="1" w:styleId="Bullet2">
    <w:name w:val="Bullet 2"/>
    <w:basedOn w:val="Normal"/>
    <w:pPr>
      <w:numPr>
        <w:numId w:val="38"/>
      </w:numPr>
    </w:pPr>
  </w:style>
  <w:style w:type="paragraph" w:customStyle="1" w:styleId="Bullet3">
    <w:name w:val="Bullet 3"/>
    <w:basedOn w:val="Normal"/>
    <w:pPr>
      <w:numPr>
        <w:numId w:val="39"/>
      </w:numPr>
    </w:pPr>
  </w:style>
  <w:style w:type="paragraph" w:customStyle="1" w:styleId="Bullet4">
    <w:name w:val="Bullet 4"/>
    <w:basedOn w:val="Normal"/>
    <w:pPr>
      <w:numPr>
        <w:numId w:val="40"/>
      </w:numPr>
    </w:pPr>
  </w:style>
  <w:style w:type="paragraph" w:customStyle="1" w:styleId="Langue">
    <w:name w:val="Langue"/>
    <w:basedOn w:val="Normal"/>
    <w:next w:val="Rfrenceinterne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Nomdelinstitution">
    <w:name w:val="Nom de l'institution"/>
    <w:basedOn w:val="Normal"/>
    <w:next w:val="Emission"/>
    <w:pPr>
      <w:spacing w:before="0" w:after="0"/>
      <w:jc w:val="left"/>
    </w:pPr>
    <w:rPr>
      <w:rFonts w:ascii="Arial" w:hAnsi="Arial" w:cs="Arial"/>
    </w:rPr>
  </w:style>
  <w:style w:type="paragraph" w:customStyle="1" w:styleId="Emission">
    <w:name w:val="Emission"/>
    <w:basedOn w:val="Normal"/>
    <w:next w:val="Rfrenceinstitutionnelle"/>
    <w:pPr>
      <w:spacing w:before="0" w:after="0"/>
      <w:ind w:left="5103"/>
      <w:jc w:val="left"/>
    </w:pPr>
  </w:style>
  <w:style w:type="paragraph" w:customStyle="1" w:styleId="Rfrenceinstitutionnelle">
    <w:name w:val="Référence institutionnelle"/>
    <w:basedOn w:val="Normal"/>
    <w:next w:val="Confidentialit"/>
    <w:pPr>
      <w:spacing w:before="0" w:after="240"/>
      <w:ind w:left="5103"/>
      <w:jc w:val="left"/>
    </w:pPr>
  </w:style>
  <w:style w:type="paragraph" w:customStyle="1" w:styleId="Pagedecouverture">
    <w:name w:val="Page de couverture"/>
    <w:basedOn w:val="Normal"/>
    <w:next w:val="Normal"/>
    <w:pPr>
      <w:spacing w:before="0" w:after="0"/>
    </w:pPr>
  </w:style>
  <w:style w:type="paragraph" w:customStyle="1" w:styleId="Declassification">
    <w:name w:val="Declassification"/>
    <w:basedOn w:val="Normal"/>
    <w:next w:val="Normal"/>
    <w:pPr>
      <w:spacing w:before="0" w:after="0"/>
    </w:pPr>
  </w:style>
  <w:style w:type="paragraph" w:customStyle="1" w:styleId="Disclaimer">
    <w:name w:val="Disclaimer"/>
    <w:basedOn w:val="Normal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SecurityMarking">
    <w:name w:val="SecurityMarking"/>
    <w:basedOn w:val="Normal"/>
    <w:pPr>
      <w:spacing w:before="0" w:after="0" w:line="276" w:lineRule="auto"/>
      <w:ind w:left="5103"/>
      <w:jc w:val="left"/>
    </w:pPr>
    <w:rPr>
      <w:sz w:val="28"/>
    </w:rPr>
  </w:style>
  <w:style w:type="paragraph" w:customStyle="1" w:styleId="DateMarking">
    <w:name w:val="DateMarking"/>
    <w:basedOn w:val="Normal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ReleasableTo">
    <w:name w:val="ReleasableTo"/>
    <w:basedOn w:val="Normal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Annexetitreexpos">
    <w:name w:val="Annexe titre (exposé)"/>
    <w:basedOn w:val="Normal"/>
    <w:next w:val="Normal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pPr>
      <w:spacing w:before="480"/>
    </w:pPr>
  </w:style>
  <w:style w:type="paragraph" w:customStyle="1" w:styleId="Avertissementtitre">
    <w:name w:val="Avertissement titre"/>
    <w:basedOn w:val="Normal"/>
    <w:next w:val="Normal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pPr>
      <w:numPr>
        <w:numId w:val="41"/>
      </w:numPr>
    </w:pPr>
  </w:style>
  <w:style w:type="paragraph" w:customStyle="1" w:styleId="Corrigendum">
    <w:name w:val="Corrigendum"/>
    <w:basedOn w:val="Normal"/>
    <w:next w:val="Normal"/>
    <w:pPr>
      <w:spacing w:before="0" w:after="240"/>
      <w:jc w:val="left"/>
    </w:pPr>
  </w:style>
  <w:style w:type="paragraph" w:customStyle="1" w:styleId="Datedadoption">
    <w:name w:val="Date d'adoption"/>
    <w:basedOn w:val="Normal"/>
    <w:next w:val="Titreobjet"/>
    <w:pPr>
      <w:spacing w:before="360" w:after="0"/>
      <w:jc w:val="center"/>
    </w:pPr>
    <w:rPr>
      <w:b/>
    </w:rPr>
  </w:style>
  <w:style w:type="paragraph" w:customStyle="1" w:styleId="Exposdesmotifstitre">
    <w:name w:val="Exposé des motifs titre"/>
    <w:basedOn w:val="Normal"/>
    <w:next w:val="Normal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pPr>
      <w:keepNext/>
    </w:pPr>
  </w:style>
  <w:style w:type="paragraph" w:customStyle="1" w:styleId="Institutionquiagit">
    <w:name w:val="Institution qui agit"/>
    <w:basedOn w:val="Normal"/>
    <w:next w:val="Normal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pPr>
      <w:keepNext/>
      <w:tabs>
        <w:tab w:val="left" w:pos="4252"/>
      </w:tabs>
      <w:spacing w:before="720" w:after="0"/>
    </w:pPr>
    <w:rPr>
      <w:i/>
    </w:rPr>
  </w:style>
  <w:style w:type="paragraph" w:customStyle="1" w:styleId="ManualConsidrant">
    <w:name w:val="Manual Considérant"/>
    <w:basedOn w:val="Normal"/>
    <w:pPr>
      <w:ind w:left="709" w:hanging="709"/>
    </w:pPr>
  </w:style>
  <w:style w:type="paragraph" w:customStyle="1" w:styleId="Personnequisigne">
    <w:name w:val="Personne qui signe"/>
    <w:basedOn w:val="Normal"/>
    <w:next w:val="Institutionquisigne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terinstitutionnelle">
    <w:name w:val="Référence interinstitutionnelle"/>
    <w:basedOn w:val="Normal"/>
    <w:next w:val="Statut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pPr>
      <w:spacing w:before="0" w:after="0"/>
      <w:ind w:left="5103"/>
      <w:jc w:val="left"/>
    </w:pPr>
  </w:style>
  <w:style w:type="paragraph" w:customStyle="1" w:styleId="Statut">
    <w:name w:val="Statut"/>
    <w:basedOn w:val="Normal"/>
    <w:next w:val="Typedudocument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IntrtEEE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Titreobjet"/>
    <w:pPr>
      <w:spacing w:before="360" w:after="0"/>
      <w:jc w:val="center"/>
    </w:pPr>
    <w:rPr>
      <w:b/>
    </w:rPr>
  </w:style>
  <w:style w:type="character" w:customStyle="1" w:styleId="Added">
    <w:name w:val="Added"/>
    <w:basedOn w:val="DefaultParagraphFont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Pr>
      <w:i/>
      <w:caps/>
    </w:rPr>
  </w:style>
  <w:style w:type="paragraph" w:customStyle="1" w:styleId="Supertitre">
    <w:name w:val="Supertitre"/>
    <w:basedOn w:val="Normal"/>
    <w:next w:val="Normal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pPr>
      <w:spacing w:before="360" w:after="0"/>
      <w:jc w:val="center"/>
    </w:pPr>
  </w:style>
  <w:style w:type="paragraph" w:customStyle="1" w:styleId="Rfrencecroise">
    <w:name w:val="Référence croisée"/>
    <w:basedOn w:val="Normal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</w:style>
  <w:style w:type="paragraph" w:customStyle="1" w:styleId="StatutPagedecouverture">
    <w:name w:val="Statut (Page de couverture)"/>
    <w:basedOn w:val="Statut"/>
    <w:next w:val="TypedudocumentPagedecouverture"/>
  </w:style>
  <w:style w:type="paragraph" w:customStyle="1" w:styleId="TitreobjetPagedecouverture">
    <w:name w:val="Titre objet (Page de couverture)"/>
    <w:basedOn w:val="Titreobjet"/>
    <w:next w:val="IntrtEEEPagedecouverture"/>
  </w:style>
  <w:style w:type="paragraph" w:customStyle="1" w:styleId="TypedudocumentPagedecouverture">
    <w:name w:val="Type du document (Page de couverture)"/>
    <w:basedOn w:val="Typedudocument"/>
    <w:next w:val="TitreobjetPagedecouverture"/>
  </w:style>
  <w:style w:type="paragraph" w:customStyle="1" w:styleId="Volume">
    <w:name w:val="Volume"/>
    <w:basedOn w:val="Normal"/>
    <w:next w:val="Confidentialit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pPr>
      <w:spacing w:after="240"/>
    </w:pPr>
  </w:style>
  <w:style w:type="paragraph" w:customStyle="1" w:styleId="Accompagnant">
    <w:name w:val="Accompagnant"/>
    <w:basedOn w:val="Normal"/>
    <w:next w:val="Typeacteprincipal"/>
    <w:pPr>
      <w:spacing w:before="0" w:after="240"/>
      <w:jc w:val="center"/>
    </w:pPr>
    <w:rPr>
      <w:b/>
      <w:i/>
    </w:rPr>
  </w:style>
  <w:style w:type="paragraph" w:customStyle="1" w:styleId="Typeacteprincipal">
    <w:name w:val="Type acte principal"/>
    <w:basedOn w:val="Normal"/>
    <w:next w:val="Objetacteprincipal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</w:style>
  <w:style w:type="paragraph" w:customStyle="1" w:styleId="AccompagnantPagedecouverture">
    <w:name w:val="Accompagnant (Page de couverture)"/>
    <w:basedOn w:val="Accompagnant"/>
    <w:next w:val="TypeacteprincipalPagedecouverture"/>
  </w:style>
  <w:style w:type="paragraph" w:customStyle="1" w:styleId="TypeacteprincipalPagedecouverture">
    <w:name w:val="Type acte principal (Page de couverture)"/>
    <w:basedOn w:val="Typeacteprincipal"/>
    <w:next w:val="ObjetacteprincipalPagedecouverture"/>
  </w:style>
  <w:style w:type="paragraph" w:customStyle="1" w:styleId="ObjetacteprincipalPagedecouverture">
    <w:name w:val="Objet acte principal (Page de couverture)"/>
    <w:basedOn w:val="Objetacteprincipal"/>
    <w:next w:val="Rfrencecroise"/>
  </w:style>
  <w:style w:type="paragraph" w:customStyle="1" w:styleId="LanguesfaisantfoiPagedecouverture">
    <w:name w:val="Langues faisant foi (Page de couverture)"/>
    <w:basedOn w:val="Normal"/>
    <w:next w:val="Normal"/>
    <w:pPr>
      <w:spacing w:before="360" w:after="0"/>
      <w:jc w:val="center"/>
    </w:pPr>
  </w:style>
  <w:style w:type="paragraph" w:styleId="Header">
    <w:name w:val="header"/>
    <w:basedOn w:val="Normal"/>
    <w:link w:val="HeaderChar"/>
    <w:uiPriority w:val="99"/>
    <w:unhideWhenUsed/>
    <w:rsid w:val="00F90F57"/>
    <w:pPr>
      <w:tabs>
        <w:tab w:val="center" w:pos="4535"/>
        <w:tab w:val="right" w:pos="9071"/>
      </w:tabs>
      <w:spacing w:before="0"/>
    </w:pPr>
  </w:style>
  <w:style w:type="paragraph" w:customStyle="1" w:styleId="HeaderLandscape">
    <w:name w:val="HeaderLandscape"/>
    <w:basedOn w:val="Normal"/>
    <w:rsid w:val="00F90F57"/>
    <w:pPr>
      <w:tabs>
        <w:tab w:val="center" w:pos="7285"/>
        <w:tab w:val="right" w:pos="14003"/>
      </w:tabs>
      <w:spacing w:before="0"/>
    </w:pPr>
  </w:style>
  <w:style w:type="paragraph" w:styleId="Footer">
    <w:name w:val="footer"/>
    <w:basedOn w:val="Normal"/>
    <w:link w:val="FooterChar"/>
    <w:uiPriority w:val="99"/>
    <w:unhideWhenUsed/>
    <w:rsid w:val="00F90F57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paragraph" w:customStyle="1" w:styleId="FooterLandscape">
    <w:name w:val="FooterLandscape"/>
    <w:basedOn w:val="Normal"/>
    <w:rsid w:val="00F90F57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23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6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3.xml"/><Relationship Id="rId17" Type="http://schemas.openxmlformats.org/officeDocument/2006/relationships/header" Target="header5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COM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COM.dotm</Template>
  <TotalTime>0</TotalTime>
  <Pages>4</Pages>
  <Words>1009</Words>
  <Characters>5753</Characters>
  <Application>Microsoft Office Word</Application>
  <DocSecurity>0</DocSecurity>
  <Lines>47</Lines>
  <Paragraphs>13</Paragraphs>
  <ScaleCrop>false</ScaleCrop>
  <Manager/>
  <Company/>
  <LinksUpToDate>false</LinksUpToDate>
  <CharactersWithSpaces>6749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2024-05-28T18:15:00Z</dcterms:created>
  <dcterms:modified xsi:type="dcterms:W3CDTF">2024-05-30T09:45:00Z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2024-03-04T17:51:00Z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31943418-602c-49b3-ab6d-07ca073faced</vt:lpwstr>
  </property>
  <property fmtid="{D5CDD505-2E9C-101B-9397-08002B2CF9AE}" pid="8" name="MSIP_Label_6bd9ddd1-4d20-43f6-abfa-fc3c07406f94_ContentBits">
    <vt:lpwstr>0</vt:lpwstr>
  </property>
  <property fmtid="{D5CDD505-2E9C-101B-9397-08002B2CF9AE}" pid="9" name="Level of sensitivity">
    <vt:lpwstr>Standard treatment</vt:lpwstr>
  </property>
  <property fmtid="{D5CDD505-2E9C-101B-9397-08002B2CF9AE}" pid="10" name="Category">
    <vt:lpwstr>COM/AA</vt:lpwstr>
  </property>
  <property fmtid="{D5CDD505-2E9C-101B-9397-08002B2CF9AE}" pid="11" name="Last edited using">
    <vt:lpwstr>LW 9.0, Build 20230317</vt:lpwstr>
  </property>
  <property fmtid="{D5CDD505-2E9C-101B-9397-08002B2CF9AE}" pid="12" name="Part">
    <vt:lpwstr>1</vt:lpwstr>
  </property>
  <property fmtid="{D5CDD505-2E9C-101B-9397-08002B2CF9AE}" pid="13" name="Total parts">
    <vt:lpwstr>1</vt:lpwstr>
  </property>
  <property fmtid="{D5CDD505-2E9C-101B-9397-08002B2CF9AE}" pid="14" name="LWTemplateID">
    <vt:lpwstr>SJ-004</vt:lpwstr>
  </property>
  <property fmtid="{D5CDD505-2E9C-101B-9397-08002B2CF9AE}" pid="15" name="DQCStatus">
    <vt:lpwstr>Green (DQC version 03)</vt:lpwstr>
  </property>
</Properties>
</file>