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369CD4" w14:textId="670172B3" w:rsidR="00D82419" w:rsidRPr="00D82419" w:rsidRDefault="008518C4" w:rsidP="008518C4">
      <w:pPr>
        <w:pStyle w:val="Pagedecouverture"/>
        <w:rPr>
          <w:noProof/>
        </w:rPr>
      </w:pPr>
      <w:bookmarkStart w:id="0" w:name="_Toc262568021"/>
      <w:bookmarkStart w:id="1" w:name="_Toc295829847"/>
      <w:bookmarkStart w:id="2" w:name="LW_BM_COVERPAGE"/>
      <w:r>
        <w:rPr>
          <w:noProof/>
        </w:rPr>
        <w:pict w14:anchorId="5528EF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D772C6F9-9C14-4D6C-A3F3-C65AD066C7D9" style="width:455.15pt;height:396.7pt">
            <v:imagedata r:id="rId11" o:title=""/>
          </v:shape>
        </w:pict>
      </w:r>
    </w:p>
    <w:bookmarkEnd w:id="2"/>
    <w:p w14:paraId="387E4651" w14:textId="77777777" w:rsidR="00D82419" w:rsidRPr="00D82419" w:rsidRDefault="00D82419" w:rsidP="00430DF0">
      <w:pPr>
        <w:suppressAutoHyphens/>
        <w:rPr>
          <w:rFonts w:ascii="Times New Roman" w:hAnsi="Times New Roman"/>
          <w:noProof/>
        </w:rPr>
        <w:sectPr w:rsidR="00D82419" w:rsidRPr="00D82419" w:rsidSect="008518C4">
          <w:headerReference w:type="even" r:id="rId12"/>
          <w:headerReference w:type="default" r:id="rId13"/>
          <w:footerReference w:type="even" r:id="rId14"/>
          <w:footerReference w:type="default" r:id="rId15"/>
          <w:headerReference w:type="first" r:id="rId16"/>
          <w:footerReference w:type="first" r:id="rId17"/>
          <w:endnotePr>
            <w:numFmt w:val="decimal"/>
          </w:endnotePr>
          <w:pgSz w:w="11906" w:h="16838"/>
          <w:pgMar w:top="1134" w:right="1417" w:bottom="1134" w:left="1417" w:header="709" w:footer="709" w:gutter="0"/>
          <w:pgNumType w:start="0"/>
          <w:cols w:space="720"/>
          <w:docGrid w:linePitch="360"/>
        </w:sectPr>
      </w:pPr>
    </w:p>
    <w:p w14:paraId="12D686B6" w14:textId="3D4129CB" w:rsidR="00480D67" w:rsidRPr="00BE2481" w:rsidRDefault="00480D67" w:rsidP="00430DF0">
      <w:pPr>
        <w:pStyle w:val="Heading9"/>
        <w:suppressAutoHyphens/>
        <w:jc w:val="center"/>
        <w:rPr>
          <w:rFonts w:ascii="Times New Roman" w:hAnsi="Times New Roman"/>
          <w:noProof/>
          <w:sz w:val="24"/>
          <w:szCs w:val="24"/>
        </w:rPr>
      </w:pPr>
      <w:bookmarkStart w:id="3" w:name="_GoBack"/>
      <w:bookmarkEnd w:id="3"/>
      <w:r>
        <w:rPr>
          <w:rFonts w:ascii="Times New Roman" w:hAnsi="Times New Roman"/>
          <w:noProof/>
          <w:sz w:val="24"/>
        </w:rPr>
        <w:lastRenderedPageBreak/>
        <w:t>II pielikums</w:t>
      </w:r>
    </w:p>
    <w:p w14:paraId="52460C1D" w14:textId="0A648DA0" w:rsidR="002648B0" w:rsidRPr="00CB270D" w:rsidRDefault="00480D67" w:rsidP="00430DF0">
      <w:pPr>
        <w:pStyle w:val="Heading9"/>
        <w:suppressAutoHyphens/>
        <w:jc w:val="center"/>
        <w:rPr>
          <w:rFonts w:ascii="Times New Roman" w:hAnsi="Times New Roman"/>
          <w:noProof/>
          <w:sz w:val="24"/>
          <w:szCs w:val="24"/>
        </w:rPr>
      </w:pPr>
      <w:r>
        <w:rPr>
          <w:rFonts w:ascii="Times New Roman" w:hAnsi="Times New Roman"/>
          <w:noProof/>
          <w:sz w:val="24"/>
        </w:rPr>
        <w:t>“XXIX PIELIKUMS</w:t>
      </w:r>
    </w:p>
    <w:p w14:paraId="644BA8AC" w14:textId="79FEC599" w:rsidR="002648B0" w:rsidRPr="00D82419" w:rsidRDefault="002648B0" w:rsidP="00430DF0">
      <w:pPr>
        <w:suppressAutoHyphens/>
        <w:jc w:val="center"/>
        <w:rPr>
          <w:rFonts w:ascii="Times New Roman" w:hAnsi="Times New Roman"/>
          <w:b/>
          <w:noProof/>
          <w:sz w:val="24"/>
        </w:rPr>
      </w:pPr>
      <w:r>
        <w:rPr>
          <w:rFonts w:ascii="Times New Roman" w:hAnsi="Times New Roman"/>
          <w:b/>
          <w:noProof/>
          <w:sz w:val="24"/>
        </w:rPr>
        <w:t xml:space="preserve">NORĀDES PĀRSKATU SNIEGŠANAI PAR PROCENTU LIKMJU RISKU BANKU PORTFELĪ </w:t>
      </w:r>
    </w:p>
    <w:p w14:paraId="4592BD27" w14:textId="77777777" w:rsidR="00436204" w:rsidRPr="00D82419" w:rsidRDefault="00436204" w:rsidP="00430DF0">
      <w:pPr>
        <w:suppressAutoHyphens/>
        <w:jc w:val="center"/>
        <w:rPr>
          <w:rFonts w:ascii="Times New Roman" w:hAnsi="Times New Roman"/>
          <w:b/>
          <w:noProof/>
          <w:sz w:val="24"/>
          <w:lang w:eastAsia="de-DE"/>
        </w:rPr>
      </w:pPr>
    </w:p>
    <w:p w14:paraId="296F65E0" w14:textId="77777777" w:rsidR="00783881" w:rsidRPr="00D82419" w:rsidRDefault="002648B0" w:rsidP="003C575D">
      <w:pPr>
        <w:pStyle w:val="InstructionsText"/>
        <w:rPr>
          <w:noProof/>
        </w:rPr>
      </w:pPr>
      <w:r>
        <w:rPr>
          <w:noProof/>
        </w:rPr>
        <w:t>Saturs</w:t>
      </w:r>
    </w:p>
    <w:p w14:paraId="032B6CBB" w14:textId="4DCDC407" w:rsidR="00CE2798" w:rsidRPr="00753099" w:rsidRDefault="00745369">
      <w:pPr>
        <w:pStyle w:val="TOC2"/>
        <w:rPr>
          <w:rFonts w:ascii="Times New Roman" w:eastAsiaTheme="minorEastAsia" w:hAnsi="Times New Roman"/>
          <w:b w:val="0"/>
          <w:smallCaps w:val="0"/>
          <w:kern w:val="2"/>
          <w:sz w:val="24"/>
          <w:szCs w:val="24"/>
          <w:lang w:val="en-US"/>
          <w14:ligatures w14:val="standardContextual"/>
        </w:rPr>
      </w:pPr>
      <w:r w:rsidRPr="00753099">
        <w:rPr>
          <w:rFonts w:ascii="Times New Roman" w:hAnsi="Times New Roman"/>
          <w:color w:val="2B579A"/>
          <w:sz w:val="24"/>
          <w:szCs w:val="24"/>
          <w:shd w:val="clear" w:color="auto" w:fill="E6E6E6"/>
        </w:rPr>
        <w:fldChar w:fldCharType="begin"/>
      </w:r>
      <w:r w:rsidR="002648B0" w:rsidRPr="00753099">
        <w:rPr>
          <w:rFonts w:ascii="Times New Roman" w:hAnsi="Times New Roman"/>
          <w:sz w:val="24"/>
          <w:szCs w:val="24"/>
        </w:rPr>
        <w:instrText xml:space="preserve"> TOC \o "1-3" \h \z \u </w:instrText>
      </w:r>
      <w:r w:rsidRPr="00753099">
        <w:rPr>
          <w:rFonts w:ascii="Times New Roman" w:hAnsi="Times New Roman"/>
          <w:color w:val="2B579A"/>
          <w:sz w:val="24"/>
          <w:szCs w:val="24"/>
          <w:shd w:val="clear" w:color="auto" w:fill="E6E6E6"/>
        </w:rPr>
        <w:fldChar w:fldCharType="separate"/>
      </w:r>
      <w:hyperlink w:anchor="_Toc160179408" w:history="1">
        <w:r w:rsidR="00CE2798" w:rsidRPr="00753099">
          <w:rPr>
            <w:rStyle w:val="Hyperlink"/>
            <w:rFonts w:ascii="Times New Roman" w:hAnsi="Times New Roman"/>
            <w:sz w:val="24"/>
            <w:szCs w:val="24"/>
          </w:rPr>
          <w:t>I DAĻA. VISPĀRĪGI NORĀDĪJUMI</w:t>
        </w:r>
        <w:r w:rsidR="00CE2798" w:rsidRPr="00753099">
          <w:rPr>
            <w:rFonts w:ascii="Times New Roman" w:hAnsi="Times New Roman"/>
            <w:webHidden/>
            <w:sz w:val="24"/>
            <w:szCs w:val="24"/>
          </w:rPr>
          <w:tab/>
        </w:r>
        <w:r w:rsidR="00CE2798" w:rsidRPr="00753099">
          <w:rPr>
            <w:rFonts w:ascii="Times New Roman" w:hAnsi="Times New Roman"/>
            <w:webHidden/>
            <w:sz w:val="24"/>
            <w:szCs w:val="24"/>
          </w:rPr>
          <w:fldChar w:fldCharType="begin"/>
        </w:r>
        <w:r w:rsidR="00CE2798" w:rsidRPr="00753099">
          <w:rPr>
            <w:rFonts w:ascii="Times New Roman" w:hAnsi="Times New Roman"/>
            <w:webHidden/>
            <w:sz w:val="24"/>
            <w:szCs w:val="24"/>
          </w:rPr>
          <w:instrText xml:space="preserve"> PAGEREF _Toc160179408 \h </w:instrText>
        </w:r>
        <w:r w:rsidR="00CE2798" w:rsidRPr="00753099">
          <w:rPr>
            <w:rFonts w:ascii="Times New Roman" w:hAnsi="Times New Roman"/>
            <w:webHidden/>
            <w:sz w:val="24"/>
            <w:szCs w:val="24"/>
          </w:rPr>
        </w:r>
        <w:r w:rsidR="00CE2798" w:rsidRPr="00753099">
          <w:rPr>
            <w:rFonts w:ascii="Times New Roman" w:hAnsi="Times New Roman"/>
            <w:webHidden/>
            <w:sz w:val="24"/>
            <w:szCs w:val="24"/>
          </w:rPr>
          <w:fldChar w:fldCharType="separate"/>
        </w:r>
        <w:r w:rsidR="002B55AA">
          <w:rPr>
            <w:rFonts w:ascii="Times New Roman" w:hAnsi="Times New Roman"/>
            <w:webHidden/>
            <w:sz w:val="24"/>
            <w:szCs w:val="24"/>
          </w:rPr>
          <w:t>2</w:t>
        </w:r>
        <w:r w:rsidR="00CE2798" w:rsidRPr="00753099">
          <w:rPr>
            <w:rFonts w:ascii="Times New Roman" w:hAnsi="Times New Roman"/>
            <w:webHidden/>
            <w:sz w:val="24"/>
            <w:szCs w:val="24"/>
          </w:rPr>
          <w:fldChar w:fldCharType="end"/>
        </w:r>
      </w:hyperlink>
    </w:p>
    <w:p w14:paraId="33F701C6" w14:textId="10B48F93" w:rsidR="00CE2798" w:rsidRPr="00753099" w:rsidRDefault="008518C4">
      <w:pPr>
        <w:pStyle w:val="TOC2"/>
        <w:rPr>
          <w:rFonts w:ascii="Times New Roman" w:eastAsiaTheme="minorEastAsia" w:hAnsi="Times New Roman"/>
          <w:b w:val="0"/>
          <w:smallCaps w:val="0"/>
          <w:kern w:val="2"/>
          <w:sz w:val="24"/>
          <w:szCs w:val="24"/>
          <w:lang w:val="en-US"/>
          <w14:ligatures w14:val="standardContextual"/>
        </w:rPr>
      </w:pPr>
      <w:hyperlink w:anchor="_Toc160179409" w:history="1">
        <w:r w:rsidR="00CE2798" w:rsidRPr="00753099">
          <w:rPr>
            <w:rStyle w:val="Hyperlink"/>
            <w:rFonts w:ascii="Times New Roman" w:hAnsi="Times New Roman"/>
            <w:bCs/>
            <w:sz w:val="24"/>
            <w:szCs w:val="24"/>
          </w:rPr>
          <w:t>1.</w:t>
        </w:r>
        <w:r w:rsidR="00CE2798" w:rsidRPr="00753099">
          <w:rPr>
            <w:rFonts w:ascii="Times New Roman" w:eastAsiaTheme="minorEastAsia" w:hAnsi="Times New Roman"/>
            <w:b w:val="0"/>
            <w:smallCaps w:val="0"/>
            <w:kern w:val="2"/>
            <w:sz w:val="24"/>
            <w:szCs w:val="24"/>
            <w:lang w:val="en-US"/>
            <w14:ligatures w14:val="standardContextual"/>
          </w:rPr>
          <w:tab/>
        </w:r>
        <w:r w:rsidR="00CE2798" w:rsidRPr="00753099">
          <w:rPr>
            <w:rStyle w:val="Hyperlink"/>
            <w:rFonts w:ascii="Times New Roman" w:hAnsi="Times New Roman"/>
            <w:sz w:val="24"/>
            <w:szCs w:val="24"/>
          </w:rPr>
          <w:t>Struktūra</w:t>
        </w:r>
        <w:r w:rsidR="00CE2798" w:rsidRPr="00753099">
          <w:rPr>
            <w:rFonts w:ascii="Times New Roman" w:hAnsi="Times New Roman"/>
            <w:webHidden/>
            <w:sz w:val="24"/>
            <w:szCs w:val="24"/>
          </w:rPr>
          <w:tab/>
        </w:r>
        <w:r w:rsidR="00CE2798" w:rsidRPr="00753099">
          <w:rPr>
            <w:rFonts w:ascii="Times New Roman" w:hAnsi="Times New Roman"/>
            <w:webHidden/>
            <w:sz w:val="24"/>
            <w:szCs w:val="24"/>
          </w:rPr>
          <w:fldChar w:fldCharType="begin"/>
        </w:r>
        <w:r w:rsidR="00CE2798" w:rsidRPr="00753099">
          <w:rPr>
            <w:rFonts w:ascii="Times New Roman" w:hAnsi="Times New Roman"/>
            <w:webHidden/>
            <w:sz w:val="24"/>
            <w:szCs w:val="24"/>
          </w:rPr>
          <w:instrText xml:space="preserve"> PAGEREF _Toc160179409 \h </w:instrText>
        </w:r>
        <w:r w:rsidR="00CE2798" w:rsidRPr="00753099">
          <w:rPr>
            <w:rFonts w:ascii="Times New Roman" w:hAnsi="Times New Roman"/>
            <w:webHidden/>
            <w:sz w:val="24"/>
            <w:szCs w:val="24"/>
          </w:rPr>
        </w:r>
        <w:r w:rsidR="00CE2798" w:rsidRPr="00753099">
          <w:rPr>
            <w:rFonts w:ascii="Times New Roman" w:hAnsi="Times New Roman"/>
            <w:webHidden/>
            <w:sz w:val="24"/>
            <w:szCs w:val="24"/>
          </w:rPr>
          <w:fldChar w:fldCharType="separate"/>
        </w:r>
        <w:r w:rsidR="002B55AA">
          <w:rPr>
            <w:rFonts w:ascii="Times New Roman" w:hAnsi="Times New Roman"/>
            <w:webHidden/>
            <w:sz w:val="24"/>
            <w:szCs w:val="24"/>
          </w:rPr>
          <w:t>2</w:t>
        </w:r>
        <w:r w:rsidR="00CE2798" w:rsidRPr="00753099">
          <w:rPr>
            <w:rFonts w:ascii="Times New Roman" w:hAnsi="Times New Roman"/>
            <w:webHidden/>
            <w:sz w:val="24"/>
            <w:szCs w:val="24"/>
          </w:rPr>
          <w:fldChar w:fldCharType="end"/>
        </w:r>
      </w:hyperlink>
    </w:p>
    <w:p w14:paraId="260BD97B" w14:textId="6C7A8C17" w:rsidR="00CE2798" w:rsidRPr="00753099" w:rsidRDefault="008518C4">
      <w:pPr>
        <w:pStyle w:val="TOC2"/>
        <w:rPr>
          <w:rFonts w:ascii="Times New Roman" w:eastAsiaTheme="minorEastAsia" w:hAnsi="Times New Roman"/>
          <w:b w:val="0"/>
          <w:smallCaps w:val="0"/>
          <w:kern w:val="2"/>
          <w:sz w:val="24"/>
          <w:szCs w:val="24"/>
          <w:lang w:val="en-US"/>
          <w14:ligatures w14:val="standardContextual"/>
        </w:rPr>
      </w:pPr>
      <w:hyperlink w:anchor="_Toc160179410" w:history="1">
        <w:r w:rsidR="00CE2798" w:rsidRPr="00753099">
          <w:rPr>
            <w:rStyle w:val="Hyperlink"/>
            <w:rFonts w:ascii="Times New Roman" w:hAnsi="Times New Roman"/>
            <w:bCs/>
            <w:sz w:val="24"/>
            <w:szCs w:val="24"/>
          </w:rPr>
          <w:t>2.</w:t>
        </w:r>
        <w:r w:rsidR="00CE2798" w:rsidRPr="00753099">
          <w:rPr>
            <w:rFonts w:ascii="Times New Roman" w:eastAsiaTheme="minorEastAsia" w:hAnsi="Times New Roman"/>
            <w:b w:val="0"/>
            <w:smallCaps w:val="0"/>
            <w:kern w:val="2"/>
            <w:sz w:val="24"/>
            <w:szCs w:val="24"/>
            <w:lang w:val="en-US"/>
            <w14:ligatures w14:val="standardContextual"/>
          </w:rPr>
          <w:tab/>
        </w:r>
        <w:r w:rsidR="00CE2798" w:rsidRPr="00753099">
          <w:rPr>
            <w:rStyle w:val="Hyperlink"/>
            <w:rFonts w:ascii="Times New Roman" w:hAnsi="Times New Roman"/>
            <w:sz w:val="24"/>
            <w:szCs w:val="24"/>
          </w:rPr>
          <w:t>Pārskatu sniegšanas tvērums</w:t>
        </w:r>
        <w:r w:rsidR="00CE2798" w:rsidRPr="00753099">
          <w:rPr>
            <w:rFonts w:ascii="Times New Roman" w:hAnsi="Times New Roman"/>
            <w:webHidden/>
            <w:sz w:val="24"/>
            <w:szCs w:val="24"/>
          </w:rPr>
          <w:tab/>
        </w:r>
        <w:r w:rsidR="00CE2798" w:rsidRPr="00753099">
          <w:rPr>
            <w:rFonts w:ascii="Times New Roman" w:hAnsi="Times New Roman"/>
            <w:webHidden/>
            <w:sz w:val="24"/>
            <w:szCs w:val="24"/>
          </w:rPr>
          <w:fldChar w:fldCharType="begin"/>
        </w:r>
        <w:r w:rsidR="00CE2798" w:rsidRPr="00753099">
          <w:rPr>
            <w:rFonts w:ascii="Times New Roman" w:hAnsi="Times New Roman"/>
            <w:webHidden/>
            <w:sz w:val="24"/>
            <w:szCs w:val="24"/>
          </w:rPr>
          <w:instrText xml:space="preserve"> PAGEREF _Toc160179410 \h </w:instrText>
        </w:r>
        <w:r w:rsidR="00CE2798" w:rsidRPr="00753099">
          <w:rPr>
            <w:rFonts w:ascii="Times New Roman" w:hAnsi="Times New Roman"/>
            <w:webHidden/>
            <w:sz w:val="24"/>
            <w:szCs w:val="24"/>
          </w:rPr>
        </w:r>
        <w:r w:rsidR="00CE2798" w:rsidRPr="00753099">
          <w:rPr>
            <w:rFonts w:ascii="Times New Roman" w:hAnsi="Times New Roman"/>
            <w:webHidden/>
            <w:sz w:val="24"/>
            <w:szCs w:val="24"/>
          </w:rPr>
          <w:fldChar w:fldCharType="separate"/>
        </w:r>
        <w:r w:rsidR="002B55AA">
          <w:rPr>
            <w:rFonts w:ascii="Times New Roman" w:hAnsi="Times New Roman"/>
            <w:webHidden/>
            <w:sz w:val="24"/>
            <w:szCs w:val="24"/>
          </w:rPr>
          <w:t>2</w:t>
        </w:r>
        <w:r w:rsidR="00CE2798" w:rsidRPr="00753099">
          <w:rPr>
            <w:rFonts w:ascii="Times New Roman" w:hAnsi="Times New Roman"/>
            <w:webHidden/>
            <w:sz w:val="24"/>
            <w:szCs w:val="24"/>
          </w:rPr>
          <w:fldChar w:fldCharType="end"/>
        </w:r>
      </w:hyperlink>
    </w:p>
    <w:p w14:paraId="2FA31847" w14:textId="13FBFE82" w:rsidR="00CE2798" w:rsidRPr="00753099" w:rsidRDefault="008518C4">
      <w:pPr>
        <w:pStyle w:val="TOC2"/>
        <w:rPr>
          <w:rFonts w:ascii="Times New Roman" w:eastAsiaTheme="minorEastAsia" w:hAnsi="Times New Roman"/>
          <w:b w:val="0"/>
          <w:smallCaps w:val="0"/>
          <w:kern w:val="2"/>
          <w:sz w:val="24"/>
          <w:szCs w:val="24"/>
          <w:lang w:val="en-US"/>
          <w14:ligatures w14:val="standardContextual"/>
        </w:rPr>
      </w:pPr>
      <w:hyperlink w:anchor="_Toc160179411" w:history="1">
        <w:r w:rsidR="00CE2798" w:rsidRPr="00753099">
          <w:rPr>
            <w:rStyle w:val="Hyperlink"/>
            <w:rFonts w:ascii="Times New Roman" w:hAnsi="Times New Roman"/>
            <w:bCs/>
            <w:sz w:val="24"/>
            <w:szCs w:val="24"/>
          </w:rPr>
          <w:t>3.</w:t>
        </w:r>
        <w:r w:rsidR="00CE2798" w:rsidRPr="00753099">
          <w:rPr>
            <w:rFonts w:ascii="Times New Roman" w:eastAsiaTheme="minorEastAsia" w:hAnsi="Times New Roman"/>
            <w:b w:val="0"/>
            <w:smallCaps w:val="0"/>
            <w:kern w:val="2"/>
            <w:sz w:val="24"/>
            <w:szCs w:val="24"/>
            <w:lang w:val="en-US"/>
            <w14:ligatures w14:val="standardContextual"/>
          </w:rPr>
          <w:tab/>
        </w:r>
        <w:r w:rsidR="00CE2798" w:rsidRPr="00753099">
          <w:rPr>
            <w:rStyle w:val="Hyperlink"/>
            <w:rFonts w:ascii="Times New Roman" w:hAnsi="Times New Roman"/>
            <w:sz w:val="24"/>
            <w:szCs w:val="24"/>
          </w:rPr>
          <w:t>Pieeja fiksētās/mainīgās likmes instrumentiem</w:t>
        </w:r>
        <w:r w:rsidR="00CE2798" w:rsidRPr="00753099">
          <w:rPr>
            <w:rFonts w:ascii="Times New Roman" w:hAnsi="Times New Roman"/>
            <w:webHidden/>
            <w:sz w:val="24"/>
            <w:szCs w:val="24"/>
          </w:rPr>
          <w:tab/>
        </w:r>
        <w:r w:rsidR="00CE2798" w:rsidRPr="00753099">
          <w:rPr>
            <w:rFonts w:ascii="Times New Roman" w:hAnsi="Times New Roman"/>
            <w:webHidden/>
            <w:sz w:val="24"/>
            <w:szCs w:val="24"/>
          </w:rPr>
          <w:fldChar w:fldCharType="begin"/>
        </w:r>
        <w:r w:rsidR="00CE2798" w:rsidRPr="00753099">
          <w:rPr>
            <w:rFonts w:ascii="Times New Roman" w:hAnsi="Times New Roman"/>
            <w:webHidden/>
            <w:sz w:val="24"/>
            <w:szCs w:val="24"/>
          </w:rPr>
          <w:instrText xml:space="preserve"> PAGEREF _Toc160179411 \h </w:instrText>
        </w:r>
        <w:r w:rsidR="00CE2798" w:rsidRPr="00753099">
          <w:rPr>
            <w:rFonts w:ascii="Times New Roman" w:hAnsi="Times New Roman"/>
            <w:webHidden/>
            <w:sz w:val="24"/>
            <w:szCs w:val="24"/>
          </w:rPr>
        </w:r>
        <w:r w:rsidR="00CE2798" w:rsidRPr="00753099">
          <w:rPr>
            <w:rFonts w:ascii="Times New Roman" w:hAnsi="Times New Roman"/>
            <w:webHidden/>
            <w:sz w:val="24"/>
            <w:szCs w:val="24"/>
          </w:rPr>
          <w:fldChar w:fldCharType="separate"/>
        </w:r>
        <w:r w:rsidR="002B55AA">
          <w:rPr>
            <w:rFonts w:ascii="Times New Roman" w:hAnsi="Times New Roman"/>
            <w:webHidden/>
            <w:sz w:val="24"/>
            <w:szCs w:val="24"/>
          </w:rPr>
          <w:t>2</w:t>
        </w:r>
        <w:r w:rsidR="00CE2798" w:rsidRPr="00753099">
          <w:rPr>
            <w:rFonts w:ascii="Times New Roman" w:hAnsi="Times New Roman"/>
            <w:webHidden/>
            <w:sz w:val="24"/>
            <w:szCs w:val="24"/>
          </w:rPr>
          <w:fldChar w:fldCharType="end"/>
        </w:r>
      </w:hyperlink>
    </w:p>
    <w:p w14:paraId="1EE73868" w14:textId="4EBD6183" w:rsidR="00CE2798" w:rsidRPr="00753099" w:rsidRDefault="008518C4">
      <w:pPr>
        <w:pStyle w:val="TOC2"/>
        <w:rPr>
          <w:rFonts w:ascii="Times New Roman" w:eastAsiaTheme="minorEastAsia" w:hAnsi="Times New Roman"/>
          <w:b w:val="0"/>
          <w:smallCaps w:val="0"/>
          <w:kern w:val="2"/>
          <w:sz w:val="24"/>
          <w:szCs w:val="24"/>
          <w:lang w:val="en-US"/>
          <w14:ligatures w14:val="standardContextual"/>
        </w:rPr>
      </w:pPr>
      <w:hyperlink w:anchor="_Toc160179412" w:history="1">
        <w:r w:rsidR="00CE2798" w:rsidRPr="00753099">
          <w:rPr>
            <w:rStyle w:val="Hyperlink"/>
            <w:rFonts w:ascii="Times New Roman" w:hAnsi="Times New Roman"/>
            <w:bCs/>
            <w:sz w:val="24"/>
            <w:szCs w:val="24"/>
          </w:rPr>
          <w:t>4.</w:t>
        </w:r>
        <w:r w:rsidR="00CE2798" w:rsidRPr="00753099">
          <w:rPr>
            <w:rFonts w:ascii="Times New Roman" w:eastAsiaTheme="minorEastAsia" w:hAnsi="Times New Roman"/>
            <w:b w:val="0"/>
            <w:smallCaps w:val="0"/>
            <w:kern w:val="2"/>
            <w:sz w:val="24"/>
            <w:szCs w:val="24"/>
            <w:lang w:val="en-US"/>
            <w14:ligatures w14:val="standardContextual"/>
          </w:rPr>
          <w:tab/>
        </w:r>
        <w:r w:rsidR="00CE2798" w:rsidRPr="00753099">
          <w:rPr>
            <w:rStyle w:val="Hyperlink"/>
            <w:rFonts w:ascii="Times New Roman" w:hAnsi="Times New Roman"/>
            <w:sz w:val="24"/>
            <w:szCs w:val="24"/>
          </w:rPr>
          <w:t>Pieeja izvēles iespējām</w:t>
        </w:r>
        <w:r w:rsidR="00CE2798" w:rsidRPr="00753099">
          <w:rPr>
            <w:rFonts w:ascii="Times New Roman" w:hAnsi="Times New Roman"/>
            <w:webHidden/>
            <w:sz w:val="24"/>
            <w:szCs w:val="24"/>
          </w:rPr>
          <w:tab/>
        </w:r>
        <w:r w:rsidR="00CE2798" w:rsidRPr="00753099">
          <w:rPr>
            <w:rFonts w:ascii="Times New Roman" w:hAnsi="Times New Roman"/>
            <w:webHidden/>
            <w:sz w:val="24"/>
            <w:szCs w:val="24"/>
          </w:rPr>
          <w:fldChar w:fldCharType="begin"/>
        </w:r>
        <w:r w:rsidR="00CE2798" w:rsidRPr="00753099">
          <w:rPr>
            <w:rFonts w:ascii="Times New Roman" w:hAnsi="Times New Roman"/>
            <w:webHidden/>
            <w:sz w:val="24"/>
            <w:szCs w:val="24"/>
          </w:rPr>
          <w:instrText xml:space="preserve"> PAGEREF _Toc160179412 \h </w:instrText>
        </w:r>
        <w:r w:rsidR="00CE2798" w:rsidRPr="00753099">
          <w:rPr>
            <w:rFonts w:ascii="Times New Roman" w:hAnsi="Times New Roman"/>
            <w:webHidden/>
            <w:sz w:val="24"/>
            <w:szCs w:val="24"/>
          </w:rPr>
        </w:r>
        <w:r w:rsidR="00CE2798" w:rsidRPr="00753099">
          <w:rPr>
            <w:rFonts w:ascii="Times New Roman" w:hAnsi="Times New Roman"/>
            <w:webHidden/>
            <w:sz w:val="24"/>
            <w:szCs w:val="24"/>
          </w:rPr>
          <w:fldChar w:fldCharType="separate"/>
        </w:r>
        <w:r w:rsidR="002B55AA">
          <w:rPr>
            <w:rFonts w:ascii="Times New Roman" w:hAnsi="Times New Roman"/>
            <w:webHidden/>
            <w:sz w:val="24"/>
            <w:szCs w:val="24"/>
          </w:rPr>
          <w:t>3</w:t>
        </w:r>
        <w:r w:rsidR="00CE2798" w:rsidRPr="00753099">
          <w:rPr>
            <w:rFonts w:ascii="Times New Roman" w:hAnsi="Times New Roman"/>
            <w:webHidden/>
            <w:sz w:val="24"/>
            <w:szCs w:val="24"/>
          </w:rPr>
          <w:fldChar w:fldCharType="end"/>
        </w:r>
      </w:hyperlink>
    </w:p>
    <w:p w14:paraId="276BB4BD" w14:textId="026D91EB" w:rsidR="00CE2798" w:rsidRPr="00753099" w:rsidRDefault="008518C4">
      <w:pPr>
        <w:pStyle w:val="TOC2"/>
        <w:rPr>
          <w:rFonts w:ascii="Times New Roman" w:eastAsiaTheme="minorEastAsia" w:hAnsi="Times New Roman"/>
          <w:b w:val="0"/>
          <w:smallCaps w:val="0"/>
          <w:kern w:val="2"/>
          <w:sz w:val="24"/>
          <w:szCs w:val="24"/>
          <w:lang w:val="en-US"/>
          <w14:ligatures w14:val="standardContextual"/>
        </w:rPr>
      </w:pPr>
      <w:hyperlink w:anchor="_Toc160179413" w:history="1">
        <w:r w:rsidR="00CE2798" w:rsidRPr="00753099">
          <w:rPr>
            <w:rStyle w:val="Hyperlink"/>
            <w:rFonts w:ascii="Times New Roman" w:hAnsi="Times New Roman"/>
            <w:bCs/>
            <w:sz w:val="24"/>
            <w:szCs w:val="24"/>
          </w:rPr>
          <w:t>5.</w:t>
        </w:r>
        <w:r w:rsidR="00CE2798" w:rsidRPr="00753099">
          <w:rPr>
            <w:rFonts w:ascii="Times New Roman" w:eastAsiaTheme="minorEastAsia" w:hAnsi="Times New Roman"/>
            <w:b w:val="0"/>
            <w:smallCaps w:val="0"/>
            <w:kern w:val="2"/>
            <w:sz w:val="24"/>
            <w:szCs w:val="24"/>
            <w:lang w:val="en-US"/>
            <w14:ligatures w14:val="standardContextual"/>
          </w:rPr>
          <w:tab/>
        </w:r>
        <w:r w:rsidR="00CE2798" w:rsidRPr="00753099">
          <w:rPr>
            <w:rStyle w:val="Hyperlink"/>
            <w:rFonts w:ascii="Times New Roman" w:hAnsi="Times New Roman"/>
            <w:sz w:val="24"/>
            <w:szCs w:val="24"/>
          </w:rPr>
          <w:t>Pieņemtā prakse attiecībā uz zīmēm</w:t>
        </w:r>
        <w:r w:rsidR="00CE2798" w:rsidRPr="00753099">
          <w:rPr>
            <w:rFonts w:ascii="Times New Roman" w:hAnsi="Times New Roman"/>
            <w:webHidden/>
            <w:sz w:val="24"/>
            <w:szCs w:val="24"/>
          </w:rPr>
          <w:tab/>
        </w:r>
        <w:r w:rsidR="00CE2798" w:rsidRPr="00753099">
          <w:rPr>
            <w:rFonts w:ascii="Times New Roman" w:hAnsi="Times New Roman"/>
            <w:webHidden/>
            <w:sz w:val="24"/>
            <w:szCs w:val="24"/>
          </w:rPr>
          <w:fldChar w:fldCharType="begin"/>
        </w:r>
        <w:r w:rsidR="00CE2798" w:rsidRPr="00753099">
          <w:rPr>
            <w:rFonts w:ascii="Times New Roman" w:hAnsi="Times New Roman"/>
            <w:webHidden/>
            <w:sz w:val="24"/>
            <w:szCs w:val="24"/>
          </w:rPr>
          <w:instrText xml:space="preserve"> PAGEREF _Toc160179413 \h </w:instrText>
        </w:r>
        <w:r w:rsidR="00CE2798" w:rsidRPr="00753099">
          <w:rPr>
            <w:rFonts w:ascii="Times New Roman" w:hAnsi="Times New Roman"/>
            <w:webHidden/>
            <w:sz w:val="24"/>
            <w:szCs w:val="24"/>
          </w:rPr>
        </w:r>
        <w:r w:rsidR="00CE2798" w:rsidRPr="00753099">
          <w:rPr>
            <w:rFonts w:ascii="Times New Roman" w:hAnsi="Times New Roman"/>
            <w:webHidden/>
            <w:sz w:val="24"/>
            <w:szCs w:val="24"/>
          </w:rPr>
          <w:fldChar w:fldCharType="separate"/>
        </w:r>
        <w:r w:rsidR="002B55AA">
          <w:rPr>
            <w:rFonts w:ascii="Times New Roman" w:hAnsi="Times New Roman"/>
            <w:webHidden/>
            <w:sz w:val="24"/>
            <w:szCs w:val="24"/>
          </w:rPr>
          <w:t>3</w:t>
        </w:r>
        <w:r w:rsidR="00CE2798" w:rsidRPr="00753099">
          <w:rPr>
            <w:rFonts w:ascii="Times New Roman" w:hAnsi="Times New Roman"/>
            <w:webHidden/>
            <w:sz w:val="24"/>
            <w:szCs w:val="24"/>
          </w:rPr>
          <w:fldChar w:fldCharType="end"/>
        </w:r>
      </w:hyperlink>
    </w:p>
    <w:p w14:paraId="6A019105" w14:textId="11C2401E" w:rsidR="00CE2798" w:rsidRPr="00753099" w:rsidRDefault="008518C4">
      <w:pPr>
        <w:pStyle w:val="TOC2"/>
        <w:rPr>
          <w:rFonts w:ascii="Times New Roman" w:eastAsiaTheme="minorEastAsia" w:hAnsi="Times New Roman"/>
          <w:b w:val="0"/>
          <w:smallCaps w:val="0"/>
          <w:kern w:val="2"/>
          <w:sz w:val="24"/>
          <w:szCs w:val="24"/>
          <w:lang w:val="en-US"/>
          <w14:ligatures w14:val="standardContextual"/>
        </w:rPr>
      </w:pPr>
      <w:hyperlink w:anchor="_Toc160179414" w:history="1">
        <w:r w:rsidR="00CE2798" w:rsidRPr="00753099">
          <w:rPr>
            <w:rStyle w:val="Hyperlink"/>
            <w:rFonts w:ascii="Times New Roman" w:hAnsi="Times New Roman"/>
            <w:bCs/>
            <w:sz w:val="24"/>
            <w:szCs w:val="24"/>
          </w:rPr>
          <w:t>6.</w:t>
        </w:r>
        <w:r w:rsidR="00CE2798" w:rsidRPr="00753099">
          <w:rPr>
            <w:rFonts w:ascii="Times New Roman" w:eastAsiaTheme="minorEastAsia" w:hAnsi="Times New Roman"/>
            <w:b w:val="0"/>
            <w:smallCaps w:val="0"/>
            <w:kern w:val="2"/>
            <w:sz w:val="24"/>
            <w:szCs w:val="24"/>
            <w:lang w:val="en-US"/>
            <w14:ligatures w14:val="standardContextual"/>
          </w:rPr>
          <w:tab/>
        </w:r>
        <w:r w:rsidR="00CE2798" w:rsidRPr="00753099">
          <w:rPr>
            <w:rStyle w:val="Hyperlink"/>
            <w:rFonts w:ascii="Times New Roman" w:hAnsi="Times New Roman"/>
            <w:sz w:val="24"/>
            <w:szCs w:val="24"/>
          </w:rPr>
          <w:t>Saīsinājumi</w:t>
        </w:r>
        <w:r w:rsidR="00CE2798" w:rsidRPr="00753099">
          <w:rPr>
            <w:rFonts w:ascii="Times New Roman" w:hAnsi="Times New Roman"/>
            <w:webHidden/>
            <w:sz w:val="24"/>
            <w:szCs w:val="24"/>
          </w:rPr>
          <w:tab/>
        </w:r>
        <w:r w:rsidR="00CE2798" w:rsidRPr="00753099">
          <w:rPr>
            <w:rFonts w:ascii="Times New Roman" w:hAnsi="Times New Roman"/>
            <w:webHidden/>
            <w:sz w:val="24"/>
            <w:szCs w:val="24"/>
          </w:rPr>
          <w:fldChar w:fldCharType="begin"/>
        </w:r>
        <w:r w:rsidR="00CE2798" w:rsidRPr="00753099">
          <w:rPr>
            <w:rFonts w:ascii="Times New Roman" w:hAnsi="Times New Roman"/>
            <w:webHidden/>
            <w:sz w:val="24"/>
            <w:szCs w:val="24"/>
          </w:rPr>
          <w:instrText xml:space="preserve"> PAGEREF _Toc160179414 \h </w:instrText>
        </w:r>
        <w:r w:rsidR="00CE2798" w:rsidRPr="00753099">
          <w:rPr>
            <w:rFonts w:ascii="Times New Roman" w:hAnsi="Times New Roman"/>
            <w:webHidden/>
            <w:sz w:val="24"/>
            <w:szCs w:val="24"/>
          </w:rPr>
        </w:r>
        <w:r w:rsidR="00CE2798" w:rsidRPr="00753099">
          <w:rPr>
            <w:rFonts w:ascii="Times New Roman" w:hAnsi="Times New Roman"/>
            <w:webHidden/>
            <w:sz w:val="24"/>
            <w:szCs w:val="24"/>
          </w:rPr>
          <w:fldChar w:fldCharType="separate"/>
        </w:r>
        <w:r w:rsidR="002B55AA">
          <w:rPr>
            <w:rFonts w:ascii="Times New Roman" w:hAnsi="Times New Roman"/>
            <w:webHidden/>
            <w:sz w:val="24"/>
            <w:szCs w:val="24"/>
          </w:rPr>
          <w:t>4</w:t>
        </w:r>
        <w:r w:rsidR="00CE2798" w:rsidRPr="00753099">
          <w:rPr>
            <w:rFonts w:ascii="Times New Roman" w:hAnsi="Times New Roman"/>
            <w:webHidden/>
            <w:sz w:val="24"/>
            <w:szCs w:val="24"/>
          </w:rPr>
          <w:fldChar w:fldCharType="end"/>
        </w:r>
      </w:hyperlink>
    </w:p>
    <w:p w14:paraId="59256F44" w14:textId="04A51091" w:rsidR="00CE2798" w:rsidRPr="00753099" w:rsidRDefault="008518C4">
      <w:pPr>
        <w:pStyle w:val="TOC2"/>
        <w:rPr>
          <w:rFonts w:ascii="Times New Roman" w:eastAsiaTheme="minorEastAsia" w:hAnsi="Times New Roman"/>
          <w:b w:val="0"/>
          <w:smallCaps w:val="0"/>
          <w:kern w:val="2"/>
          <w:sz w:val="24"/>
          <w:szCs w:val="24"/>
          <w:lang w:val="en-US"/>
          <w14:ligatures w14:val="standardContextual"/>
        </w:rPr>
      </w:pPr>
      <w:hyperlink w:anchor="_Toc160179415" w:history="1">
        <w:r w:rsidR="00CE2798" w:rsidRPr="00753099">
          <w:rPr>
            <w:rStyle w:val="Hyperlink"/>
            <w:rFonts w:ascii="Times New Roman" w:hAnsi="Times New Roman"/>
            <w:sz w:val="24"/>
            <w:szCs w:val="24"/>
          </w:rPr>
          <w:t>7.</w:t>
        </w:r>
        <w:r w:rsidR="00CE2798" w:rsidRPr="00753099">
          <w:rPr>
            <w:rFonts w:ascii="Times New Roman" w:eastAsiaTheme="minorEastAsia" w:hAnsi="Times New Roman"/>
            <w:b w:val="0"/>
            <w:smallCaps w:val="0"/>
            <w:kern w:val="2"/>
            <w:sz w:val="24"/>
            <w:szCs w:val="24"/>
            <w:lang w:val="en-US"/>
            <w14:ligatures w14:val="standardContextual"/>
          </w:rPr>
          <w:tab/>
        </w:r>
        <w:r w:rsidR="00CE2798" w:rsidRPr="00753099">
          <w:rPr>
            <w:rStyle w:val="Hyperlink"/>
            <w:rFonts w:ascii="Times New Roman" w:hAnsi="Times New Roman"/>
            <w:sz w:val="24"/>
            <w:szCs w:val="24"/>
          </w:rPr>
          <w:t>Cita pieņemtā prakse</w:t>
        </w:r>
        <w:r w:rsidR="00CE2798" w:rsidRPr="00753099">
          <w:rPr>
            <w:rFonts w:ascii="Times New Roman" w:hAnsi="Times New Roman"/>
            <w:webHidden/>
            <w:sz w:val="24"/>
            <w:szCs w:val="24"/>
          </w:rPr>
          <w:tab/>
        </w:r>
        <w:r w:rsidR="00CE2798" w:rsidRPr="00753099">
          <w:rPr>
            <w:rFonts w:ascii="Times New Roman" w:hAnsi="Times New Roman"/>
            <w:webHidden/>
            <w:sz w:val="24"/>
            <w:szCs w:val="24"/>
          </w:rPr>
          <w:fldChar w:fldCharType="begin"/>
        </w:r>
        <w:r w:rsidR="00CE2798" w:rsidRPr="00753099">
          <w:rPr>
            <w:rFonts w:ascii="Times New Roman" w:hAnsi="Times New Roman"/>
            <w:webHidden/>
            <w:sz w:val="24"/>
            <w:szCs w:val="24"/>
          </w:rPr>
          <w:instrText xml:space="preserve"> PAGEREF _Toc160179415 \h </w:instrText>
        </w:r>
        <w:r w:rsidR="00CE2798" w:rsidRPr="00753099">
          <w:rPr>
            <w:rFonts w:ascii="Times New Roman" w:hAnsi="Times New Roman"/>
            <w:webHidden/>
            <w:sz w:val="24"/>
            <w:szCs w:val="24"/>
          </w:rPr>
        </w:r>
        <w:r w:rsidR="00CE2798" w:rsidRPr="00753099">
          <w:rPr>
            <w:rFonts w:ascii="Times New Roman" w:hAnsi="Times New Roman"/>
            <w:webHidden/>
            <w:sz w:val="24"/>
            <w:szCs w:val="24"/>
          </w:rPr>
          <w:fldChar w:fldCharType="separate"/>
        </w:r>
        <w:r w:rsidR="002B55AA">
          <w:rPr>
            <w:rFonts w:ascii="Times New Roman" w:hAnsi="Times New Roman"/>
            <w:webHidden/>
            <w:sz w:val="24"/>
            <w:szCs w:val="24"/>
          </w:rPr>
          <w:t>4</w:t>
        </w:r>
        <w:r w:rsidR="00CE2798" w:rsidRPr="00753099">
          <w:rPr>
            <w:rFonts w:ascii="Times New Roman" w:hAnsi="Times New Roman"/>
            <w:webHidden/>
            <w:sz w:val="24"/>
            <w:szCs w:val="24"/>
          </w:rPr>
          <w:fldChar w:fldCharType="end"/>
        </w:r>
      </w:hyperlink>
    </w:p>
    <w:p w14:paraId="0C2A669D" w14:textId="23702B2D" w:rsidR="00CE2798" w:rsidRPr="00753099" w:rsidRDefault="008518C4">
      <w:pPr>
        <w:pStyle w:val="TOC2"/>
        <w:rPr>
          <w:rFonts w:ascii="Times New Roman" w:eastAsiaTheme="minorEastAsia" w:hAnsi="Times New Roman"/>
          <w:b w:val="0"/>
          <w:smallCaps w:val="0"/>
          <w:kern w:val="2"/>
          <w:sz w:val="24"/>
          <w:szCs w:val="24"/>
          <w:lang w:val="en-US"/>
          <w14:ligatures w14:val="standardContextual"/>
        </w:rPr>
      </w:pPr>
      <w:hyperlink w:anchor="_Toc160179416" w:history="1">
        <w:r w:rsidR="00CE2798" w:rsidRPr="00753099">
          <w:rPr>
            <w:rStyle w:val="Hyperlink"/>
            <w:rFonts w:ascii="Times New Roman" w:hAnsi="Times New Roman"/>
            <w:sz w:val="24"/>
            <w:szCs w:val="24"/>
          </w:rPr>
          <w:t xml:space="preserve">II DAĻA. </w:t>
        </w:r>
        <w:r w:rsidR="00CE2798" w:rsidRPr="00753099">
          <w:rPr>
            <w:rStyle w:val="Hyperlink"/>
            <w:rFonts w:ascii="Times New Roman" w:hAnsi="Times New Roman"/>
            <w:i/>
            <w:sz w:val="24"/>
            <w:szCs w:val="24"/>
          </w:rPr>
          <w:t>IRRBB</w:t>
        </w:r>
        <w:r w:rsidR="00CE2798" w:rsidRPr="00753099">
          <w:rPr>
            <w:rStyle w:val="Hyperlink"/>
            <w:rFonts w:ascii="Times New Roman" w:hAnsi="Times New Roman"/>
            <w:sz w:val="24"/>
            <w:szCs w:val="24"/>
          </w:rPr>
          <w:t xml:space="preserve"> NOVĒRTĒJUMS: </w:t>
        </w:r>
        <w:r w:rsidR="00CE2798" w:rsidRPr="00753099">
          <w:rPr>
            <w:rStyle w:val="Hyperlink"/>
            <w:rFonts w:ascii="Times New Roman" w:hAnsi="Times New Roman"/>
            <w:i/>
            <w:sz w:val="24"/>
            <w:szCs w:val="24"/>
          </w:rPr>
          <w:t>EVE/NII SOT</w:t>
        </w:r>
        <w:r w:rsidR="00CE2798" w:rsidRPr="00753099">
          <w:rPr>
            <w:rStyle w:val="Hyperlink"/>
            <w:rFonts w:ascii="Times New Roman" w:hAnsi="Times New Roman"/>
            <w:sz w:val="24"/>
            <w:szCs w:val="24"/>
          </w:rPr>
          <w:t xml:space="preserve"> UN TIRGUS VĒRTĪBAS IZMAIŅAS (J 01.00)</w:t>
        </w:r>
        <w:r w:rsidR="00CE2798" w:rsidRPr="00753099">
          <w:rPr>
            <w:rFonts w:ascii="Times New Roman" w:hAnsi="Times New Roman"/>
            <w:webHidden/>
            <w:sz w:val="24"/>
            <w:szCs w:val="24"/>
          </w:rPr>
          <w:tab/>
        </w:r>
        <w:r w:rsidR="00CE2798" w:rsidRPr="00753099">
          <w:rPr>
            <w:rFonts w:ascii="Times New Roman" w:hAnsi="Times New Roman"/>
            <w:webHidden/>
            <w:sz w:val="24"/>
            <w:szCs w:val="24"/>
          </w:rPr>
          <w:fldChar w:fldCharType="begin"/>
        </w:r>
        <w:r w:rsidR="00CE2798" w:rsidRPr="00753099">
          <w:rPr>
            <w:rFonts w:ascii="Times New Roman" w:hAnsi="Times New Roman"/>
            <w:webHidden/>
            <w:sz w:val="24"/>
            <w:szCs w:val="24"/>
          </w:rPr>
          <w:instrText xml:space="preserve"> PAGEREF _Toc160179416 \h </w:instrText>
        </w:r>
        <w:r w:rsidR="00CE2798" w:rsidRPr="00753099">
          <w:rPr>
            <w:rFonts w:ascii="Times New Roman" w:hAnsi="Times New Roman"/>
            <w:webHidden/>
            <w:sz w:val="24"/>
            <w:szCs w:val="24"/>
          </w:rPr>
        </w:r>
        <w:r w:rsidR="00CE2798" w:rsidRPr="00753099">
          <w:rPr>
            <w:rFonts w:ascii="Times New Roman" w:hAnsi="Times New Roman"/>
            <w:webHidden/>
            <w:sz w:val="24"/>
            <w:szCs w:val="24"/>
          </w:rPr>
          <w:fldChar w:fldCharType="separate"/>
        </w:r>
        <w:r w:rsidR="002B55AA">
          <w:rPr>
            <w:rFonts w:ascii="Times New Roman" w:hAnsi="Times New Roman"/>
            <w:webHidden/>
            <w:sz w:val="24"/>
            <w:szCs w:val="24"/>
          </w:rPr>
          <w:t>5</w:t>
        </w:r>
        <w:r w:rsidR="00CE2798" w:rsidRPr="00753099">
          <w:rPr>
            <w:rFonts w:ascii="Times New Roman" w:hAnsi="Times New Roman"/>
            <w:webHidden/>
            <w:sz w:val="24"/>
            <w:szCs w:val="24"/>
          </w:rPr>
          <w:fldChar w:fldCharType="end"/>
        </w:r>
      </w:hyperlink>
    </w:p>
    <w:p w14:paraId="51AF3F85" w14:textId="73CF034B" w:rsidR="00CE2798" w:rsidRPr="00753099" w:rsidRDefault="008518C4">
      <w:pPr>
        <w:pStyle w:val="TOC2"/>
        <w:rPr>
          <w:rFonts w:ascii="Times New Roman" w:eastAsiaTheme="minorEastAsia" w:hAnsi="Times New Roman"/>
          <w:b w:val="0"/>
          <w:smallCaps w:val="0"/>
          <w:kern w:val="2"/>
          <w:sz w:val="24"/>
          <w:szCs w:val="24"/>
          <w:lang w:val="en-US"/>
          <w14:ligatures w14:val="standardContextual"/>
        </w:rPr>
      </w:pPr>
      <w:hyperlink w:anchor="_Toc160179417" w:history="1">
        <w:r w:rsidR="00CE2798" w:rsidRPr="00753099">
          <w:rPr>
            <w:rStyle w:val="Hyperlink"/>
            <w:rFonts w:ascii="Times New Roman" w:hAnsi="Times New Roman"/>
            <w:sz w:val="24"/>
            <w:szCs w:val="24"/>
          </w:rPr>
          <w:t>1.</w:t>
        </w:r>
        <w:r w:rsidR="00CE2798" w:rsidRPr="00753099">
          <w:rPr>
            <w:rFonts w:ascii="Times New Roman" w:eastAsiaTheme="minorEastAsia" w:hAnsi="Times New Roman"/>
            <w:b w:val="0"/>
            <w:smallCaps w:val="0"/>
            <w:kern w:val="2"/>
            <w:sz w:val="24"/>
            <w:szCs w:val="24"/>
            <w:lang w:val="en-US"/>
            <w14:ligatures w14:val="standardContextual"/>
          </w:rPr>
          <w:tab/>
        </w:r>
        <w:r w:rsidR="00CE2798" w:rsidRPr="00753099">
          <w:rPr>
            <w:rStyle w:val="Hyperlink"/>
            <w:rFonts w:ascii="Times New Roman" w:hAnsi="Times New Roman"/>
            <w:sz w:val="24"/>
            <w:szCs w:val="24"/>
          </w:rPr>
          <w:t>Vispārīgas piezīmes</w:t>
        </w:r>
        <w:r w:rsidR="00CE2798" w:rsidRPr="00753099">
          <w:rPr>
            <w:rFonts w:ascii="Times New Roman" w:hAnsi="Times New Roman"/>
            <w:webHidden/>
            <w:sz w:val="24"/>
            <w:szCs w:val="24"/>
          </w:rPr>
          <w:tab/>
        </w:r>
        <w:r w:rsidR="00CE2798" w:rsidRPr="00753099">
          <w:rPr>
            <w:rFonts w:ascii="Times New Roman" w:hAnsi="Times New Roman"/>
            <w:webHidden/>
            <w:sz w:val="24"/>
            <w:szCs w:val="24"/>
          </w:rPr>
          <w:fldChar w:fldCharType="begin"/>
        </w:r>
        <w:r w:rsidR="00CE2798" w:rsidRPr="00753099">
          <w:rPr>
            <w:rFonts w:ascii="Times New Roman" w:hAnsi="Times New Roman"/>
            <w:webHidden/>
            <w:sz w:val="24"/>
            <w:szCs w:val="24"/>
          </w:rPr>
          <w:instrText xml:space="preserve"> PAGEREF _Toc160179417 \h </w:instrText>
        </w:r>
        <w:r w:rsidR="00CE2798" w:rsidRPr="00753099">
          <w:rPr>
            <w:rFonts w:ascii="Times New Roman" w:hAnsi="Times New Roman"/>
            <w:webHidden/>
            <w:sz w:val="24"/>
            <w:szCs w:val="24"/>
          </w:rPr>
        </w:r>
        <w:r w:rsidR="00CE2798" w:rsidRPr="00753099">
          <w:rPr>
            <w:rFonts w:ascii="Times New Roman" w:hAnsi="Times New Roman"/>
            <w:webHidden/>
            <w:sz w:val="24"/>
            <w:szCs w:val="24"/>
          </w:rPr>
          <w:fldChar w:fldCharType="separate"/>
        </w:r>
        <w:r w:rsidR="002B55AA">
          <w:rPr>
            <w:rFonts w:ascii="Times New Roman" w:hAnsi="Times New Roman"/>
            <w:webHidden/>
            <w:sz w:val="24"/>
            <w:szCs w:val="24"/>
          </w:rPr>
          <w:t>5</w:t>
        </w:r>
        <w:r w:rsidR="00CE2798" w:rsidRPr="00753099">
          <w:rPr>
            <w:rFonts w:ascii="Times New Roman" w:hAnsi="Times New Roman"/>
            <w:webHidden/>
            <w:sz w:val="24"/>
            <w:szCs w:val="24"/>
          </w:rPr>
          <w:fldChar w:fldCharType="end"/>
        </w:r>
      </w:hyperlink>
    </w:p>
    <w:p w14:paraId="4B24AAC8" w14:textId="7695F325" w:rsidR="00CE2798" w:rsidRPr="00753099" w:rsidRDefault="008518C4">
      <w:pPr>
        <w:pStyle w:val="TOC2"/>
        <w:rPr>
          <w:rFonts w:ascii="Times New Roman" w:eastAsiaTheme="minorEastAsia" w:hAnsi="Times New Roman"/>
          <w:b w:val="0"/>
          <w:smallCaps w:val="0"/>
          <w:kern w:val="2"/>
          <w:sz w:val="24"/>
          <w:szCs w:val="24"/>
          <w:lang w:val="en-US"/>
          <w14:ligatures w14:val="standardContextual"/>
        </w:rPr>
      </w:pPr>
      <w:hyperlink w:anchor="_Toc160179418" w:history="1">
        <w:r w:rsidR="00CE2798" w:rsidRPr="00753099">
          <w:rPr>
            <w:rStyle w:val="Hyperlink"/>
            <w:rFonts w:ascii="Times New Roman" w:hAnsi="Times New Roman"/>
            <w:sz w:val="24"/>
            <w:szCs w:val="24"/>
          </w:rPr>
          <w:t>2.</w:t>
        </w:r>
        <w:r w:rsidR="00CE2798" w:rsidRPr="00753099">
          <w:rPr>
            <w:rFonts w:ascii="Times New Roman" w:eastAsiaTheme="minorEastAsia" w:hAnsi="Times New Roman"/>
            <w:b w:val="0"/>
            <w:smallCaps w:val="0"/>
            <w:kern w:val="2"/>
            <w:sz w:val="24"/>
            <w:szCs w:val="24"/>
            <w:lang w:val="en-US"/>
            <w14:ligatures w14:val="standardContextual"/>
          </w:rPr>
          <w:tab/>
        </w:r>
        <w:r w:rsidR="00CE2798" w:rsidRPr="00753099">
          <w:rPr>
            <w:rStyle w:val="Hyperlink"/>
            <w:rFonts w:ascii="Times New Roman" w:hAnsi="Times New Roman"/>
            <w:sz w:val="24"/>
            <w:szCs w:val="24"/>
          </w:rPr>
          <w:t>Norādes par konkrētām pozīcijām</w:t>
        </w:r>
        <w:r w:rsidR="00CE2798" w:rsidRPr="00753099">
          <w:rPr>
            <w:rFonts w:ascii="Times New Roman" w:hAnsi="Times New Roman"/>
            <w:webHidden/>
            <w:sz w:val="24"/>
            <w:szCs w:val="24"/>
          </w:rPr>
          <w:tab/>
        </w:r>
        <w:r w:rsidR="00CE2798" w:rsidRPr="00753099">
          <w:rPr>
            <w:rFonts w:ascii="Times New Roman" w:hAnsi="Times New Roman"/>
            <w:webHidden/>
            <w:sz w:val="24"/>
            <w:szCs w:val="24"/>
          </w:rPr>
          <w:fldChar w:fldCharType="begin"/>
        </w:r>
        <w:r w:rsidR="00CE2798" w:rsidRPr="00753099">
          <w:rPr>
            <w:rFonts w:ascii="Times New Roman" w:hAnsi="Times New Roman"/>
            <w:webHidden/>
            <w:sz w:val="24"/>
            <w:szCs w:val="24"/>
          </w:rPr>
          <w:instrText xml:space="preserve"> PAGEREF _Toc160179418 \h </w:instrText>
        </w:r>
        <w:r w:rsidR="00CE2798" w:rsidRPr="00753099">
          <w:rPr>
            <w:rFonts w:ascii="Times New Roman" w:hAnsi="Times New Roman"/>
            <w:webHidden/>
            <w:sz w:val="24"/>
            <w:szCs w:val="24"/>
          </w:rPr>
        </w:r>
        <w:r w:rsidR="00CE2798" w:rsidRPr="00753099">
          <w:rPr>
            <w:rFonts w:ascii="Times New Roman" w:hAnsi="Times New Roman"/>
            <w:webHidden/>
            <w:sz w:val="24"/>
            <w:szCs w:val="24"/>
          </w:rPr>
          <w:fldChar w:fldCharType="separate"/>
        </w:r>
        <w:r w:rsidR="002B55AA">
          <w:rPr>
            <w:rFonts w:ascii="Times New Roman" w:hAnsi="Times New Roman"/>
            <w:webHidden/>
            <w:sz w:val="24"/>
            <w:szCs w:val="24"/>
          </w:rPr>
          <w:t>5</w:t>
        </w:r>
        <w:r w:rsidR="00CE2798" w:rsidRPr="00753099">
          <w:rPr>
            <w:rFonts w:ascii="Times New Roman" w:hAnsi="Times New Roman"/>
            <w:webHidden/>
            <w:sz w:val="24"/>
            <w:szCs w:val="24"/>
          </w:rPr>
          <w:fldChar w:fldCharType="end"/>
        </w:r>
      </w:hyperlink>
    </w:p>
    <w:p w14:paraId="58B88FD9" w14:textId="00DB8E06" w:rsidR="00CE2798" w:rsidRPr="00753099" w:rsidRDefault="008518C4">
      <w:pPr>
        <w:pStyle w:val="TOC2"/>
        <w:rPr>
          <w:rFonts w:ascii="Times New Roman" w:eastAsiaTheme="minorEastAsia" w:hAnsi="Times New Roman"/>
          <w:b w:val="0"/>
          <w:smallCaps w:val="0"/>
          <w:kern w:val="2"/>
          <w:sz w:val="24"/>
          <w:szCs w:val="24"/>
          <w:lang w:val="en-US"/>
          <w14:ligatures w14:val="standardContextual"/>
        </w:rPr>
      </w:pPr>
      <w:hyperlink w:anchor="_Toc160179419" w:history="1">
        <w:r w:rsidR="00CE2798" w:rsidRPr="00753099">
          <w:rPr>
            <w:rStyle w:val="Hyperlink"/>
            <w:rFonts w:ascii="Times New Roman" w:hAnsi="Times New Roman"/>
            <w:sz w:val="24"/>
            <w:szCs w:val="24"/>
          </w:rPr>
          <w:t>III DAĻA. JUTĪGUMA APLĒŠU SADALĪJUMS (J 02.00, J 03.00 un J 04.00)</w:t>
        </w:r>
        <w:r w:rsidR="00CE2798" w:rsidRPr="00753099">
          <w:rPr>
            <w:rFonts w:ascii="Times New Roman" w:hAnsi="Times New Roman"/>
            <w:webHidden/>
            <w:sz w:val="24"/>
            <w:szCs w:val="24"/>
          </w:rPr>
          <w:tab/>
        </w:r>
        <w:r w:rsidR="00CE2798" w:rsidRPr="00753099">
          <w:rPr>
            <w:rFonts w:ascii="Times New Roman" w:hAnsi="Times New Roman"/>
            <w:webHidden/>
            <w:sz w:val="24"/>
            <w:szCs w:val="24"/>
          </w:rPr>
          <w:fldChar w:fldCharType="begin"/>
        </w:r>
        <w:r w:rsidR="00CE2798" w:rsidRPr="00753099">
          <w:rPr>
            <w:rFonts w:ascii="Times New Roman" w:hAnsi="Times New Roman"/>
            <w:webHidden/>
            <w:sz w:val="24"/>
            <w:szCs w:val="24"/>
          </w:rPr>
          <w:instrText xml:space="preserve"> PAGEREF _Toc160179419 \h </w:instrText>
        </w:r>
        <w:r w:rsidR="00CE2798" w:rsidRPr="00753099">
          <w:rPr>
            <w:rFonts w:ascii="Times New Roman" w:hAnsi="Times New Roman"/>
            <w:webHidden/>
            <w:sz w:val="24"/>
            <w:szCs w:val="24"/>
          </w:rPr>
        </w:r>
        <w:r w:rsidR="00CE2798" w:rsidRPr="00753099">
          <w:rPr>
            <w:rFonts w:ascii="Times New Roman" w:hAnsi="Times New Roman"/>
            <w:webHidden/>
            <w:sz w:val="24"/>
            <w:szCs w:val="24"/>
          </w:rPr>
          <w:fldChar w:fldCharType="separate"/>
        </w:r>
        <w:r w:rsidR="002B55AA">
          <w:rPr>
            <w:rFonts w:ascii="Times New Roman" w:hAnsi="Times New Roman"/>
            <w:webHidden/>
            <w:sz w:val="24"/>
            <w:szCs w:val="24"/>
          </w:rPr>
          <w:t>9</w:t>
        </w:r>
        <w:r w:rsidR="00CE2798" w:rsidRPr="00753099">
          <w:rPr>
            <w:rFonts w:ascii="Times New Roman" w:hAnsi="Times New Roman"/>
            <w:webHidden/>
            <w:sz w:val="24"/>
            <w:szCs w:val="24"/>
          </w:rPr>
          <w:fldChar w:fldCharType="end"/>
        </w:r>
      </w:hyperlink>
    </w:p>
    <w:p w14:paraId="3B7365D4" w14:textId="460A4624" w:rsidR="00CE2798" w:rsidRPr="00753099" w:rsidRDefault="008518C4">
      <w:pPr>
        <w:pStyle w:val="TOC2"/>
        <w:rPr>
          <w:rFonts w:ascii="Times New Roman" w:eastAsiaTheme="minorEastAsia" w:hAnsi="Times New Roman"/>
          <w:b w:val="0"/>
          <w:smallCaps w:val="0"/>
          <w:kern w:val="2"/>
          <w:sz w:val="24"/>
          <w:szCs w:val="24"/>
          <w:lang w:val="en-US"/>
          <w14:ligatures w14:val="standardContextual"/>
        </w:rPr>
      </w:pPr>
      <w:hyperlink w:anchor="_Toc160179420" w:history="1">
        <w:r w:rsidR="00CE2798" w:rsidRPr="00753099">
          <w:rPr>
            <w:rStyle w:val="Hyperlink"/>
            <w:rFonts w:ascii="Times New Roman" w:hAnsi="Times New Roman"/>
            <w:sz w:val="24"/>
            <w:szCs w:val="24"/>
          </w:rPr>
          <w:t>1.</w:t>
        </w:r>
        <w:r w:rsidR="00CE2798" w:rsidRPr="00753099">
          <w:rPr>
            <w:rFonts w:ascii="Times New Roman" w:eastAsiaTheme="minorEastAsia" w:hAnsi="Times New Roman"/>
            <w:b w:val="0"/>
            <w:smallCaps w:val="0"/>
            <w:kern w:val="2"/>
            <w:sz w:val="24"/>
            <w:szCs w:val="24"/>
            <w:lang w:val="en-US"/>
            <w14:ligatures w14:val="standardContextual"/>
          </w:rPr>
          <w:tab/>
        </w:r>
        <w:r w:rsidR="00CE2798" w:rsidRPr="00753099">
          <w:rPr>
            <w:rStyle w:val="Hyperlink"/>
            <w:rFonts w:ascii="Times New Roman" w:hAnsi="Times New Roman"/>
            <w:sz w:val="24"/>
            <w:szCs w:val="24"/>
          </w:rPr>
          <w:t>Vispārīgas piezīmes</w:t>
        </w:r>
        <w:r w:rsidR="00CE2798" w:rsidRPr="00753099">
          <w:rPr>
            <w:rFonts w:ascii="Times New Roman" w:hAnsi="Times New Roman"/>
            <w:webHidden/>
            <w:sz w:val="24"/>
            <w:szCs w:val="24"/>
          </w:rPr>
          <w:tab/>
        </w:r>
        <w:r w:rsidR="00CE2798" w:rsidRPr="00753099">
          <w:rPr>
            <w:rFonts w:ascii="Times New Roman" w:hAnsi="Times New Roman"/>
            <w:webHidden/>
            <w:sz w:val="24"/>
            <w:szCs w:val="24"/>
          </w:rPr>
          <w:fldChar w:fldCharType="begin"/>
        </w:r>
        <w:r w:rsidR="00CE2798" w:rsidRPr="00753099">
          <w:rPr>
            <w:rFonts w:ascii="Times New Roman" w:hAnsi="Times New Roman"/>
            <w:webHidden/>
            <w:sz w:val="24"/>
            <w:szCs w:val="24"/>
          </w:rPr>
          <w:instrText xml:space="preserve"> PAGEREF _Toc160179420 \h </w:instrText>
        </w:r>
        <w:r w:rsidR="00CE2798" w:rsidRPr="00753099">
          <w:rPr>
            <w:rFonts w:ascii="Times New Roman" w:hAnsi="Times New Roman"/>
            <w:webHidden/>
            <w:sz w:val="24"/>
            <w:szCs w:val="24"/>
          </w:rPr>
        </w:r>
        <w:r w:rsidR="00CE2798" w:rsidRPr="00753099">
          <w:rPr>
            <w:rFonts w:ascii="Times New Roman" w:hAnsi="Times New Roman"/>
            <w:webHidden/>
            <w:sz w:val="24"/>
            <w:szCs w:val="24"/>
          </w:rPr>
          <w:fldChar w:fldCharType="separate"/>
        </w:r>
        <w:r w:rsidR="002B55AA">
          <w:rPr>
            <w:rFonts w:ascii="Times New Roman" w:hAnsi="Times New Roman"/>
            <w:webHidden/>
            <w:sz w:val="24"/>
            <w:szCs w:val="24"/>
          </w:rPr>
          <w:t>9</w:t>
        </w:r>
        <w:r w:rsidR="00CE2798" w:rsidRPr="00753099">
          <w:rPr>
            <w:rFonts w:ascii="Times New Roman" w:hAnsi="Times New Roman"/>
            <w:webHidden/>
            <w:sz w:val="24"/>
            <w:szCs w:val="24"/>
          </w:rPr>
          <w:fldChar w:fldCharType="end"/>
        </w:r>
      </w:hyperlink>
    </w:p>
    <w:p w14:paraId="5516425E" w14:textId="4D6CEF87" w:rsidR="00CE2798" w:rsidRPr="00753099" w:rsidRDefault="008518C4">
      <w:pPr>
        <w:pStyle w:val="TOC2"/>
        <w:rPr>
          <w:rFonts w:ascii="Times New Roman" w:eastAsiaTheme="minorEastAsia" w:hAnsi="Times New Roman"/>
          <w:b w:val="0"/>
          <w:smallCaps w:val="0"/>
          <w:kern w:val="2"/>
          <w:sz w:val="24"/>
          <w:szCs w:val="24"/>
          <w:lang w:val="en-US"/>
          <w14:ligatures w14:val="standardContextual"/>
        </w:rPr>
      </w:pPr>
      <w:hyperlink w:anchor="_Toc160179421" w:history="1">
        <w:r w:rsidR="00CE2798" w:rsidRPr="00753099">
          <w:rPr>
            <w:rStyle w:val="Hyperlink"/>
            <w:rFonts w:ascii="Times New Roman" w:hAnsi="Times New Roman"/>
            <w:sz w:val="24"/>
            <w:szCs w:val="24"/>
          </w:rPr>
          <w:t>2.</w:t>
        </w:r>
        <w:r w:rsidR="00CE2798" w:rsidRPr="00753099">
          <w:rPr>
            <w:rFonts w:ascii="Times New Roman" w:eastAsiaTheme="minorEastAsia" w:hAnsi="Times New Roman"/>
            <w:b w:val="0"/>
            <w:smallCaps w:val="0"/>
            <w:kern w:val="2"/>
            <w:sz w:val="24"/>
            <w:szCs w:val="24"/>
            <w:lang w:val="en-US"/>
            <w14:ligatures w14:val="standardContextual"/>
          </w:rPr>
          <w:tab/>
        </w:r>
        <w:r w:rsidR="00CE2798" w:rsidRPr="00753099">
          <w:rPr>
            <w:rStyle w:val="Hyperlink"/>
            <w:rFonts w:ascii="Times New Roman" w:hAnsi="Times New Roman"/>
            <w:sz w:val="24"/>
            <w:szCs w:val="24"/>
          </w:rPr>
          <w:t>Norādes par konkrētām pozīcijām</w:t>
        </w:r>
        <w:r w:rsidR="00CE2798" w:rsidRPr="00753099">
          <w:rPr>
            <w:rFonts w:ascii="Times New Roman" w:hAnsi="Times New Roman"/>
            <w:webHidden/>
            <w:sz w:val="24"/>
            <w:szCs w:val="24"/>
          </w:rPr>
          <w:tab/>
        </w:r>
        <w:r w:rsidR="00CE2798" w:rsidRPr="00753099">
          <w:rPr>
            <w:rFonts w:ascii="Times New Roman" w:hAnsi="Times New Roman"/>
            <w:webHidden/>
            <w:sz w:val="24"/>
            <w:szCs w:val="24"/>
          </w:rPr>
          <w:fldChar w:fldCharType="begin"/>
        </w:r>
        <w:r w:rsidR="00CE2798" w:rsidRPr="00753099">
          <w:rPr>
            <w:rFonts w:ascii="Times New Roman" w:hAnsi="Times New Roman"/>
            <w:webHidden/>
            <w:sz w:val="24"/>
            <w:szCs w:val="24"/>
          </w:rPr>
          <w:instrText xml:space="preserve"> PAGEREF _Toc160179421 \h </w:instrText>
        </w:r>
        <w:r w:rsidR="00CE2798" w:rsidRPr="00753099">
          <w:rPr>
            <w:rFonts w:ascii="Times New Roman" w:hAnsi="Times New Roman"/>
            <w:webHidden/>
            <w:sz w:val="24"/>
            <w:szCs w:val="24"/>
          </w:rPr>
        </w:r>
        <w:r w:rsidR="00CE2798" w:rsidRPr="00753099">
          <w:rPr>
            <w:rFonts w:ascii="Times New Roman" w:hAnsi="Times New Roman"/>
            <w:webHidden/>
            <w:sz w:val="24"/>
            <w:szCs w:val="24"/>
          </w:rPr>
          <w:fldChar w:fldCharType="separate"/>
        </w:r>
        <w:r w:rsidR="002B55AA">
          <w:rPr>
            <w:rFonts w:ascii="Times New Roman" w:hAnsi="Times New Roman"/>
            <w:webHidden/>
            <w:sz w:val="24"/>
            <w:szCs w:val="24"/>
          </w:rPr>
          <w:t>9</w:t>
        </w:r>
        <w:r w:rsidR="00CE2798" w:rsidRPr="00753099">
          <w:rPr>
            <w:rFonts w:ascii="Times New Roman" w:hAnsi="Times New Roman"/>
            <w:webHidden/>
            <w:sz w:val="24"/>
            <w:szCs w:val="24"/>
          </w:rPr>
          <w:fldChar w:fldCharType="end"/>
        </w:r>
      </w:hyperlink>
    </w:p>
    <w:p w14:paraId="51FCED82" w14:textId="5E78C13E" w:rsidR="00CE2798" w:rsidRPr="00753099" w:rsidRDefault="008518C4">
      <w:pPr>
        <w:pStyle w:val="TOC2"/>
        <w:rPr>
          <w:rFonts w:ascii="Times New Roman" w:eastAsiaTheme="minorEastAsia" w:hAnsi="Times New Roman"/>
          <w:b w:val="0"/>
          <w:smallCaps w:val="0"/>
          <w:kern w:val="2"/>
          <w:sz w:val="24"/>
          <w:szCs w:val="24"/>
          <w:lang w:val="en-US"/>
          <w14:ligatures w14:val="standardContextual"/>
        </w:rPr>
      </w:pPr>
      <w:hyperlink w:anchor="_Toc160179422" w:history="1">
        <w:r w:rsidR="00CE2798" w:rsidRPr="00753099">
          <w:rPr>
            <w:rStyle w:val="Hyperlink"/>
            <w:rFonts w:ascii="Times New Roman" w:hAnsi="Times New Roman"/>
            <w:sz w:val="24"/>
            <w:szCs w:val="24"/>
          </w:rPr>
          <w:t>IV DAĻA. PĀRCENOŠANAS NAUDAS PLŪSMAS (J 05.00, J 06.00 un J 07.00)</w:t>
        </w:r>
        <w:r w:rsidR="00CE2798" w:rsidRPr="00753099">
          <w:rPr>
            <w:rFonts w:ascii="Times New Roman" w:hAnsi="Times New Roman"/>
            <w:webHidden/>
            <w:sz w:val="24"/>
            <w:szCs w:val="24"/>
          </w:rPr>
          <w:tab/>
        </w:r>
        <w:r w:rsidR="00CE2798" w:rsidRPr="00753099">
          <w:rPr>
            <w:rFonts w:ascii="Times New Roman" w:hAnsi="Times New Roman"/>
            <w:webHidden/>
            <w:sz w:val="24"/>
            <w:szCs w:val="24"/>
          </w:rPr>
          <w:fldChar w:fldCharType="begin"/>
        </w:r>
        <w:r w:rsidR="00CE2798" w:rsidRPr="00753099">
          <w:rPr>
            <w:rFonts w:ascii="Times New Roman" w:hAnsi="Times New Roman"/>
            <w:webHidden/>
            <w:sz w:val="24"/>
            <w:szCs w:val="24"/>
          </w:rPr>
          <w:instrText xml:space="preserve"> PAGEREF _Toc160179422 \h </w:instrText>
        </w:r>
        <w:r w:rsidR="00CE2798" w:rsidRPr="00753099">
          <w:rPr>
            <w:rFonts w:ascii="Times New Roman" w:hAnsi="Times New Roman"/>
            <w:webHidden/>
            <w:sz w:val="24"/>
            <w:szCs w:val="24"/>
          </w:rPr>
        </w:r>
        <w:r w:rsidR="00CE2798" w:rsidRPr="00753099">
          <w:rPr>
            <w:rFonts w:ascii="Times New Roman" w:hAnsi="Times New Roman"/>
            <w:webHidden/>
            <w:sz w:val="24"/>
            <w:szCs w:val="24"/>
          </w:rPr>
          <w:fldChar w:fldCharType="separate"/>
        </w:r>
        <w:r w:rsidR="002B55AA">
          <w:rPr>
            <w:rFonts w:ascii="Times New Roman" w:hAnsi="Times New Roman"/>
            <w:webHidden/>
            <w:sz w:val="24"/>
            <w:szCs w:val="24"/>
          </w:rPr>
          <w:t>19</w:t>
        </w:r>
        <w:r w:rsidR="00CE2798" w:rsidRPr="00753099">
          <w:rPr>
            <w:rFonts w:ascii="Times New Roman" w:hAnsi="Times New Roman"/>
            <w:webHidden/>
            <w:sz w:val="24"/>
            <w:szCs w:val="24"/>
          </w:rPr>
          <w:fldChar w:fldCharType="end"/>
        </w:r>
      </w:hyperlink>
    </w:p>
    <w:p w14:paraId="6F307A80" w14:textId="7838F369" w:rsidR="00CE2798" w:rsidRPr="00753099" w:rsidRDefault="008518C4">
      <w:pPr>
        <w:pStyle w:val="TOC2"/>
        <w:rPr>
          <w:rFonts w:ascii="Times New Roman" w:eastAsiaTheme="minorEastAsia" w:hAnsi="Times New Roman"/>
          <w:b w:val="0"/>
          <w:smallCaps w:val="0"/>
          <w:kern w:val="2"/>
          <w:sz w:val="24"/>
          <w:szCs w:val="24"/>
          <w:lang w:val="en-US"/>
          <w14:ligatures w14:val="standardContextual"/>
        </w:rPr>
      </w:pPr>
      <w:hyperlink w:anchor="_Toc160179423" w:history="1">
        <w:r w:rsidR="00CE2798" w:rsidRPr="00753099">
          <w:rPr>
            <w:rStyle w:val="Hyperlink"/>
            <w:rFonts w:ascii="Times New Roman" w:hAnsi="Times New Roman"/>
            <w:sz w:val="24"/>
            <w:szCs w:val="24"/>
          </w:rPr>
          <w:t>1.</w:t>
        </w:r>
        <w:r w:rsidR="00CE2798" w:rsidRPr="00753099">
          <w:rPr>
            <w:rFonts w:ascii="Times New Roman" w:eastAsiaTheme="minorEastAsia" w:hAnsi="Times New Roman"/>
            <w:b w:val="0"/>
            <w:smallCaps w:val="0"/>
            <w:kern w:val="2"/>
            <w:sz w:val="24"/>
            <w:szCs w:val="24"/>
            <w:lang w:val="en-US"/>
            <w14:ligatures w14:val="standardContextual"/>
          </w:rPr>
          <w:tab/>
        </w:r>
        <w:r w:rsidR="00CE2798" w:rsidRPr="00753099">
          <w:rPr>
            <w:rStyle w:val="Hyperlink"/>
            <w:rFonts w:ascii="Times New Roman" w:hAnsi="Times New Roman"/>
            <w:sz w:val="24"/>
            <w:szCs w:val="24"/>
          </w:rPr>
          <w:t>Vispārīgas piezīmes</w:t>
        </w:r>
        <w:r w:rsidR="00CE2798" w:rsidRPr="00753099">
          <w:rPr>
            <w:rFonts w:ascii="Times New Roman" w:hAnsi="Times New Roman"/>
            <w:webHidden/>
            <w:sz w:val="24"/>
            <w:szCs w:val="24"/>
          </w:rPr>
          <w:tab/>
        </w:r>
        <w:r w:rsidR="00CE2798" w:rsidRPr="00753099">
          <w:rPr>
            <w:rFonts w:ascii="Times New Roman" w:hAnsi="Times New Roman"/>
            <w:webHidden/>
            <w:sz w:val="24"/>
            <w:szCs w:val="24"/>
          </w:rPr>
          <w:fldChar w:fldCharType="begin"/>
        </w:r>
        <w:r w:rsidR="00CE2798" w:rsidRPr="00753099">
          <w:rPr>
            <w:rFonts w:ascii="Times New Roman" w:hAnsi="Times New Roman"/>
            <w:webHidden/>
            <w:sz w:val="24"/>
            <w:szCs w:val="24"/>
          </w:rPr>
          <w:instrText xml:space="preserve"> PAGEREF _Toc160179423 \h </w:instrText>
        </w:r>
        <w:r w:rsidR="00CE2798" w:rsidRPr="00753099">
          <w:rPr>
            <w:rFonts w:ascii="Times New Roman" w:hAnsi="Times New Roman"/>
            <w:webHidden/>
            <w:sz w:val="24"/>
            <w:szCs w:val="24"/>
          </w:rPr>
        </w:r>
        <w:r w:rsidR="00CE2798" w:rsidRPr="00753099">
          <w:rPr>
            <w:rFonts w:ascii="Times New Roman" w:hAnsi="Times New Roman"/>
            <w:webHidden/>
            <w:sz w:val="24"/>
            <w:szCs w:val="24"/>
          </w:rPr>
          <w:fldChar w:fldCharType="separate"/>
        </w:r>
        <w:r w:rsidR="002B55AA">
          <w:rPr>
            <w:rFonts w:ascii="Times New Roman" w:hAnsi="Times New Roman"/>
            <w:webHidden/>
            <w:sz w:val="24"/>
            <w:szCs w:val="24"/>
          </w:rPr>
          <w:t>19</w:t>
        </w:r>
        <w:r w:rsidR="00CE2798" w:rsidRPr="00753099">
          <w:rPr>
            <w:rFonts w:ascii="Times New Roman" w:hAnsi="Times New Roman"/>
            <w:webHidden/>
            <w:sz w:val="24"/>
            <w:szCs w:val="24"/>
          </w:rPr>
          <w:fldChar w:fldCharType="end"/>
        </w:r>
      </w:hyperlink>
    </w:p>
    <w:p w14:paraId="31D87E61" w14:textId="5D94D364" w:rsidR="00CE2798" w:rsidRPr="00753099" w:rsidRDefault="008518C4">
      <w:pPr>
        <w:pStyle w:val="TOC2"/>
        <w:rPr>
          <w:rFonts w:ascii="Times New Roman" w:eastAsiaTheme="minorEastAsia" w:hAnsi="Times New Roman"/>
          <w:b w:val="0"/>
          <w:smallCaps w:val="0"/>
          <w:kern w:val="2"/>
          <w:sz w:val="24"/>
          <w:szCs w:val="24"/>
          <w:lang w:val="en-US"/>
          <w14:ligatures w14:val="standardContextual"/>
        </w:rPr>
      </w:pPr>
      <w:hyperlink w:anchor="_Toc160179424" w:history="1">
        <w:r w:rsidR="00CE2798" w:rsidRPr="00753099">
          <w:rPr>
            <w:rStyle w:val="Hyperlink"/>
            <w:rFonts w:ascii="Times New Roman" w:hAnsi="Times New Roman"/>
            <w:sz w:val="24"/>
            <w:szCs w:val="24"/>
          </w:rPr>
          <w:t>2.</w:t>
        </w:r>
        <w:r w:rsidR="00CE2798" w:rsidRPr="00753099">
          <w:rPr>
            <w:rFonts w:ascii="Times New Roman" w:eastAsiaTheme="minorEastAsia" w:hAnsi="Times New Roman"/>
            <w:b w:val="0"/>
            <w:smallCaps w:val="0"/>
            <w:kern w:val="2"/>
            <w:sz w:val="24"/>
            <w:szCs w:val="24"/>
            <w:lang w:val="en-US"/>
            <w14:ligatures w14:val="standardContextual"/>
          </w:rPr>
          <w:tab/>
        </w:r>
        <w:r w:rsidR="00CE2798" w:rsidRPr="00753099">
          <w:rPr>
            <w:rStyle w:val="Hyperlink"/>
            <w:rFonts w:ascii="Times New Roman" w:hAnsi="Times New Roman"/>
            <w:sz w:val="24"/>
            <w:szCs w:val="24"/>
          </w:rPr>
          <w:t>Norādes par konkrētām pozīcijām:</w:t>
        </w:r>
        <w:r w:rsidR="00CE2798" w:rsidRPr="00753099">
          <w:rPr>
            <w:rFonts w:ascii="Times New Roman" w:hAnsi="Times New Roman"/>
            <w:webHidden/>
            <w:sz w:val="24"/>
            <w:szCs w:val="24"/>
          </w:rPr>
          <w:tab/>
        </w:r>
        <w:r w:rsidR="00CE2798" w:rsidRPr="00753099">
          <w:rPr>
            <w:rFonts w:ascii="Times New Roman" w:hAnsi="Times New Roman"/>
            <w:webHidden/>
            <w:sz w:val="24"/>
            <w:szCs w:val="24"/>
          </w:rPr>
          <w:fldChar w:fldCharType="begin"/>
        </w:r>
        <w:r w:rsidR="00CE2798" w:rsidRPr="00753099">
          <w:rPr>
            <w:rFonts w:ascii="Times New Roman" w:hAnsi="Times New Roman"/>
            <w:webHidden/>
            <w:sz w:val="24"/>
            <w:szCs w:val="24"/>
          </w:rPr>
          <w:instrText xml:space="preserve"> PAGEREF _Toc160179424 \h </w:instrText>
        </w:r>
        <w:r w:rsidR="00CE2798" w:rsidRPr="00753099">
          <w:rPr>
            <w:rFonts w:ascii="Times New Roman" w:hAnsi="Times New Roman"/>
            <w:webHidden/>
            <w:sz w:val="24"/>
            <w:szCs w:val="24"/>
          </w:rPr>
        </w:r>
        <w:r w:rsidR="00CE2798" w:rsidRPr="00753099">
          <w:rPr>
            <w:rFonts w:ascii="Times New Roman" w:hAnsi="Times New Roman"/>
            <w:webHidden/>
            <w:sz w:val="24"/>
            <w:szCs w:val="24"/>
          </w:rPr>
          <w:fldChar w:fldCharType="separate"/>
        </w:r>
        <w:r w:rsidR="002B55AA">
          <w:rPr>
            <w:rFonts w:ascii="Times New Roman" w:hAnsi="Times New Roman"/>
            <w:webHidden/>
            <w:sz w:val="24"/>
            <w:szCs w:val="24"/>
          </w:rPr>
          <w:t>20</w:t>
        </w:r>
        <w:r w:rsidR="00CE2798" w:rsidRPr="00753099">
          <w:rPr>
            <w:rFonts w:ascii="Times New Roman" w:hAnsi="Times New Roman"/>
            <w:webHidden/>
            <w:sz w:val="24"/>
            <w:szCs w:val="24"/>
          </w:rPr>
          <w:fldChar w:fldCharType="end"/>
        </w:r>
      </w:hyperlink>
    </w:p>
    <w:p w14:paraId="59752F12" w14:textId="621F25E6" w:rsidR="00CE2798" w:rsidRPr="00753099" w:rsidRDefault="008518C4">
      <w:pPr>
        <w:pStyle w:val="TOC2"/>
        <w:rPr>
          <w:rFonts w:ascii="Times New Roman" w:eastAsiaTheme="minorEastAsia" w:hAnsi="Times New Roman"/>
          <w:b w:val="0"/>
          <w:smallCaps w:val="0"/>
          <w:kern w:val="2"/>
          <w:sz w:val="24"/>
          <w:szCs w:val="24"/>
          <w:lang w:val="en-US"/>
          <w14:ligatures w14:val="standardContextual"/>
        </w:rPr>
      </w:pPr>
      <w:hyperlink w:anchor="_Toc160179425" w:history="1">
        <w:r w:rsidR="00CE2798" w:rsidRPr="00753099">
          <w:rPr>
            <w:rStyle w:val="Hyperlink"/>
            <w:rFonts w:ascii="Times New Roman" w:hAnsi="Times New Roman"/>
            <w:sz w:val="24"/>
            <w:szCs w:val="24"/>
          </w:rPr>
          <w:t>V DAĻA. ATTIECĪGIE PARAMETRI (J 08.00 un J 09.00)</w:t>
        </w:r>
        <w:r w:rsidR="00CE2798" w:rsidRPr="00753099">
          <w:rPr>
            <w:rFonts w:ascii="Times New Roman" w:hAnsi="Times New Roman"/>
            <w:webHidden/>
            <w:sz w:val="24"/>
            <w:szCs w:val="24"/>
          </w:rPr>
          <w:tab/>
        </w:r>
        <w:r w:rsidR="00CE2798" w:rsidRPr="00753099">
          <w:rPr>
            <w:rFonts w:ascii="Times New Roman" w:hAnsi="Times New Roman"/>
            <w:webHidden/>
            <w:sz w:val="24"/>
            <w:szCs w:val="24"/>
          </w:rPr>
          <w:fldChar w:fldCharType="begin"/>
        </w:r>
        <w:r w:rsidR="00CE2798" w:rsidRPr="00753099">
          <w:rPr>
            <w:rFonts w:ascii="Times New Roman" w:hAnsi="Times New Roman"/>
            <w:webHidden/>
            <w:sz w:val="24"/>
            <w:szCs w:val="24"/>
          </w:rPr>
          <w:instrText xml:space="preserve"> PAGEREF _Toc160179425 \h </w:instrText>
        </w:r>
        <w:r w:rsidR="00CE2798" w:rsidRPr="00753099">
          <w:rPr>
            <w:rFonts w:ascii="Times New Roman" w:hAnsi="Times New Roman"/>
            <w:webHidden/>
            <w:sz w:val="24"/>
            <w:szCs w:val="24"/>
          </w:rPr>
        </w:r>
        <w:r w:rsidR="00CE2798" w:rsidRPr="00753099">
          <w:rPr>
            <w:rFonts w:ascii="Times New Roman" w:hAnsi="Times New Roman"/>
            <w:webHidden/>
            <w:sz w:val="24"/>
            <w:szCs w:val="24"/>
          </w:rPr>
          <w:fldChar w:fldCharType="separate"/>
        </w:r>
        <w:r w:rsidR="002B55AA">
          <w:rPr>
            <w:rFonts w:ascii="Times New Roman" w:hAnsi="Times New Roman"/>
            <w:webHidden/>
            <w:sz w:val="24"/>
            <w:szCs w:val="24"/>
          </w:rPr>
          <w:t>23</w:t>
        </w:r>
        <w:r w:rsidR="00CE2798" w:rsidRPr="00753099">
          <w:rPr>
            <w:rFonts w:ascii="Times New Roman" w:hAnsi="Times New Roman"/>
            <w:webHidden/>
            <w:sz w:val="24"/>
            <w:szCs w:val="24"/>
          </w:rPr>
          <w:fldChar w:fldCharType="end"/>
        </w:r>
      </w:hyperlink>
    </w:p>
    <w:p w14:paraId="7F9BAB96" w14:textId="7E13278D" w:rsidR="00CE2798" w:rsidRPr="00753099" w:rsidRDefault="008518C4">
      <w:pPr>
        <w:pStyle w:val="TOC2"/>
        <w:rPr>
          <w:rFonts w:ascii="Times New Roman" w:eastAsiaTheme="minorEastAsia" w:hAnsi="Times New Roman"/>
          <w:b w:val="0"/>
          <w:smallCaps w:val="0"/>
          <w:kern w:val="2"/>
          <w:sz w:val="24"/>
          <w:szCs w:val="24"/>
          <w:lang w:val="en-US"/>
          <w14:ligatures w14:val="standardContextual"/>
        </w:rPr>
      </w:pPr>
      <w:hyperlink w:anchor="_Toc160179426" w:history="1">
        <w:r w:rsidR="00CE2798" w:rsidRPr="00753099">
          <w:rPr>
            <w:rStyle w:val="Hyperlink"/>
            <w:rFonts w:ascii="Times New Roman" w:hAnsi="Times New Roman"/>
            <w:sz w:val="24"/>
            <w:szCs w:val="24"/>
          </w:rPr>
          <w:t>1.</w:t>
        </w:r>
        <w:r w:rsidR="00CE2798" w:rsidRPr="00753099">
          <w:rPr>
            <w:rFonts w:ascii="Times New Roman" w:eastAsiaTheme="minorEastAsia" w:hAnsi="Times New Roman"/>
            <w:b w:val="0"/>
            <w:smallCaps w:val="0"/>
            <w:kern w:val="2"/>
            <w:sz w:val="24"/>
            <w:szCs w:val="24"/>
            <w:lang w:val="en-US"/>
            <w14:ligatures w14:val="standardContextual"/>
          </w:rPr>
          <w:tab/>
        </w:r>
        <w:r w:rsidR="00CE2798" w:rsidRPr="00753099">
          <w:rPr>
            <w:rStyle w:val="Hyperlink"/>
            <w:rFonts w:ascii="Times New Roman" w:hAnsi="Times New Roman"/>
            <w:sz w:val="24"/>
            <w:szCs w:val="24"/>
          </w:rPr>
          <w:t>Vispārīgas piezīmes</w:t>
        </w:r>
        <w:r w:rsidR="00CE2798" w:rsidRPr="00753099">
          <w:rPr>
            <w:rFonts w:ascii="Times New Roman" w:hAnsi="Times New Roman"/>
            <w:webHidden/>
            <w:sz w:val="24"/>
            <w:szCs w:val="24"/>
          </w:rPr>
          <w:tab/>
        </w:r>
        <w:r w:rsidR="00CE2798" w:rsidRPr="00753099">
          <w:rPr>
            <w:rFonts w:ascii="Times New Roman" w:hAnsi="Times New Roman"/>
            <w:webHidden/>
            <w:sz w:val="24"/>
            <w:szCs w:val="24"/>
          </w:rPr>
          <w:fldChar w:fldCharType="begin"/>
        </w:r>
        <w:r w:rsidR="00CE2798" w:rsidRPr="00753099">
          <w:rPr>
            <w:rFonts w:ascii="Times New Roman" w:hAnsi="Times New Roman"/>
            <w:webHidden/>
            <w:sz w:val="24"/>
            <w:szCs w:val="24"/>
          </w:rPr>
          <w:instrText xml:space="preserve"> PAGEREF _Toc160179426 \h </w:instrText>
        </w:r>
        <w:r w:rsidR="00CE2798" w:rsidRPr="00753099">
          <w:rPr>
            <w:rFonts w:ascii="Times New Roman" w:hAnsi="Times New Roman"/>
            <w:webHidden/>
            <w:sz w:val="24"/>
            <w:szCs w:val="24"/>
          </w:rPr>
        </w:r>
        <w:r w:rsidR="00CE2798" w:rsidRPr="00753099">
          <w:rPr>
            <w:rFonts w:ascii="Times New Roman" w:hAnsi="Times New Roman"/>
            <w:webHidden/>
            <w:sz w:val="24"/>
            <w:szCs w:val="24"/>
          </w:rPr>
          <w:fldChar w:fldCharType="separate"/>
        </w:r>
        <w:r w:rsidR="002B55AA">
          <w:rPr>
            <w:rFonts w:ascii="Times New Roman" w:hAnsi="Times New Roman"/>
            <w:webHidden/>
            <w:sz w:val="24"/>
            <w:szCs w:val="24"/>
          </w:rPr>
          <w:t>23</w:t>
        </w:r>
        <w:r w:rsidR="00CE2798" w:rsidRPr="00753099">
          <w:rPr>
            <w:rFonts w:ascii="Times New Roman" w:hAnsi="Times New Roman"/>
            <w:webHidden/>
            <w:sz w:val="24"/>
            <w:szCs w:val="24"/>
          </w:rPr>
          <w:fldChar w:fldCharType="end"/>
        </w:r>
      </w:hyperlink>
    </w:p>
    <w:p w14:paraId="1212A8D5" w14:textId="708DD07C" w:rsidR="00CE2798" w:rsidRPr="00753099" w:rsidRDefault="008518C4">
      <w:pPr>
        <w:pStyle w:val="TOC2"/>
        <w:rPr>
          <w:rFonts w:ascii="Times New Roman" w:eastAsiaTheme="minorEastAsia" w:hAnsi="Times New Roman"/>
          <w:b w:val="0"/>
          <w:smallCaps w:val="0"/>
          <w:kern w:val="2"/>
          <w:sz w:val="24"/>
          <w:szCs w:val="24"/>
          <w:lang w:val="en-US"/>
          <w14:ligatures w14:val="standardContextual"/>
        </w:rPr>
      </w:pPr>
      <w:hyperlink w:anchor="_Toc160179427" w:history="1">
        <w:r w:rsidR="00CE2798" w:rsidRPr="00753099">
          <w:rPr>
            <w:rStyle w:val="Hyperlink"/>
            <w:rFonts w:ascii="Times New Roman" w:hAnsi="Times New Roman"/>
            <w:sz w:val="24"/>
            <w:szCs w:val="24"/>
          </w:rPr>
          <w:t>2.</w:t>
        </w:r>
        <w:r w:rsidR="00CE2798" w:rsidRPr="00753099">
          <w:rPr>
            <w:rFonts w:ascii="Times New Roman" w:eastAsiaTheme="minorEastAsia" w:hAnsi="Times New Roman"/>
            <w:b w:val="0"/>
            <w:smallCaps w:val="0"/>
            <w:kern w:val="2"/>
            <w:sz w:val="24"/>
            <w:szCs w:val="24"/>
            <w:lang w:val="en-US"/>
            <w14:ligatures w14:val="standardContextual"/>
          </w:rPr>
          <w:tab/>
        </w:r>
        <w:r w:rsidR="00CE2798" w:rsidRPr="00753099">
          <w:rPr>
            <w:rStyle w:val="Hyperlink"/>
            <w:rFonts w:ascii="Times New Roman" w:hAnsi="Times New Roman"/>
            <w:sz w:val="24"/>
            <w:szCs w:val="24"/>
          </w:rPr>
          <w:t>Norādes par konkrētām pozīcijām</w:t>
        </w:r>
        <w:r w:rsidR="00CE2798" w:rsidRPr="00753099">
          <w:rPr>
            <w:rFonts w:ascii="Times New Roman" w:hAnsi="Times New Roman"/>
            <w:webHidden/>
            <w:sz w:val="24"/>
            <w:szCs w:val="24"/>
          </w:rPr>
          <w:tab/>
        </w:r>
        <w:r w:rsidR="00CE2798" w:rsidRPr="00753099">
          <w:rPr>
            <w:rFonts w:ascii="Times New Roman" w:hAnsi="Times New Roman"/>
            <w:webHidden/>
            <w:sz w:val="24"/>
            <w:szCs w:val="24"/>
          </w:rPr>
          <w:fldChar w:fldCharType="begin"/>
        </w:r>
        <w:r w:rsidR="00CE2798" w:rsidRPr="00753099">
          <w:rPr>
            <w:rFonts w:ascii="Times New Roman" w:hAnsi="Times New Roman"/>
            <w:webHidden/>
            <w:sz w:val="24"/>
            <w:szCs w:val="24"/>
          </w:rPr>
          <w:instrText xml:space="preserve"> PAGEREF _Toc160179427 \h </w:instrText>
        </w:r>
        <w:r w:rsidR="00CE2798" w:rsidRPr="00753099">
          <w:rPr>
            <w:rFonts w:ascii="Times New Roman" w:hAnsi="Times New Roman"/>
            <w:webHidden/>
            <w:sz w:val="24"/>
            <w:szCs w:val="24"/>
          </w:rPr>
        </w:r>
        <w:r w:rsidR="00CE2798" w:rsidRPr="00753099">
          <w:rPr>
            <w:rFonts w:ascii="Times New Roman" w:hAnsi="Times New Roman"/>
            <w:webHidden/>
            <w:sz w:val="24"/>
            <w:szCs w:val="24"/>
          </w:rPr>
          <w:fldChar w:fldCharType="separate"/>
        </w:r>
        <w:r w:rsidR="002B55AA">
          <w:rPr>
            <w:rFonts w:ascii="Times New Roman" w:hAnsi="Times New Roman"/>
            <w:webHidden/>
            <w:sz w:val="24"/>
            <w:szCs w:val="24"/>
          </w:rPr>
          <w:t>23</w:t>
        </w:r>
        <w:r w:rsidR="00CE2798" w:rsidRPr="00753099">
          <w:rPr>
            <w:rFonts w:ascii="Times New Roman" w:hAnsi="Times New Roman"/>
            <w:webHidden/>
            <w:sz w:val="24"/>
            <w:szCs w:val="24"/>
          </w:rPr>
          <w:fldChar w:fldCharType="end"/>
        </w:r>
      </w:hyperlink>
    </w:p>
    <w:p w14:paraId="70E3B949" w14:textId="4E0E0BA8" w:rsidR="00CE2798" w:rsidRPr="00753099" w:rsidRDefault="008518C4">
      <w:pPr>
        <w:pStyle w:val="TOC2"/>
        <w:rPr>
          <w:rFonts w:ascii="Times New Roman" w:eastAsiaTheme="minorEastAsia" w:hAnsi="Times New Roman"/>
          <w:b w:val="0"/>
          <w:smallCaps w:val="0"/>
          <w:kern w:val="2"/>
          <w:sz w:val="24"/>
          <w:szCs w:val="24"/>
          <w:lang w:val="en-US"/>
          <w14:ligatures w14:val="standardContextual"/>
        </w:rPr>
      </w:pPr>
      <w:hyperlink w:anchor="_Toc160179428" w:history="1">
        <w:r w:rsidR="00CE2798" w:rsidRPr="00753099">
          <w:rPr>
            <w:rStyle w:val="Hyperlink"/>
            <w:rFonts w:ascii="Times New Roman" w:hAnsi="Times New Roman"/>
            <w:sz w:val="24"/>
            <w:szCs w:val="24"/>
          </w:rPr>
          <w:t>VI DAĻA. KVALITATĪVA INFORMĀCIJA (J 10.00 un J 11.00)</w:t>
        </w:r>
        <w:r w:rsidR="00CE2798" w:rsidRPr="00753099">
          <w:rPr>
            <w:rFonts w:ascii="Times New Roman" w:hAnsi="Times New Roman"/>
            <w:webHidden/>
            <w:sz w:val="24"/>
            <w:szCs w:val="24"/>
          </w:rPr>
          <w:tab/>
        </w:r>
        <w:r w:rsidR="00CE2798" w:rsidRPr="00753099">
          <w:rPr>
            <w:rFonts w:ascii="Times New Roman" w:hAnsi="Times New Roman"/>
            <w:webHidden/>
            <w:sz w:val="24"/>
            <w:szCs w:val="24"/>
          </w:rPr>
          <w:fldChar w:fldCharType="begin"/>
        </w:r>
        <w:r w:rsidR="00CE2798" w:rsidRPr="00753099">
          <w:rPr>
            <w:rFonts w:ascii="Times New Roman" w:hAnsi="Times New Roman"/>
            <w:webHidden/>
            <w:sz w:val="24"/>
            <w:szCs w:val="24"/>
          </w:rPr>
          <w:instrText xml:space="preserve"> PAGEREF _Toc160179428 \h </w:instrText>
        </w:r>
        <w:r w:rsidR="00CE2798" w:rsidRPr="00753099">
          <w:rPr>
            <w:rFonts w:ascii="Times New Roman" w:hAnsi="Times New Roman"/>
            <w:webHidden/>
            <w:sz w:val="24"/>
            <w:szCs w:val="24"/>
          </w:rPr>
        </w:r>
        <w:r w:rsidR="00CE2798" w:rsidRPr="00753099">
          <w:rPr>
            <w:rFonts w:ascii="Times New Roman" w:hAnsi="Times New Roman"/>
            <w:webHidden/>
            <w:sz w:val="24"/>
            <w:szCs w:val="24"/>
          </w:rPr>
          <w:fldChar w:fldCharType="separate"/>
        </w:r>
        <w:r w:rsidR="002B55AA">
          <w:rPr>
            <w:rFonts w:ascii="Times New Roman" w:hAnsi="Times New Roman"/>
            <w:webHidden/>
            <w:sz w:val="24"/>
            <w:szCs w:val="24"/>
          </w:rPr>
          <w:t>27</w:t>
        </w:r>
        <w:r w:rsidR="00CE2798" w:rsidRPr="00753099">
          <w:rPr>
            <w:rFonts w:ascii="Times New Roman" w:hAnsi="Times New Roman"/>
            <w:webHidden/>
            <w:sz w:val="24"/>
            <w:szCs w:val="24"/>
          </w:rPr>
          <w:fldChar w:fldCharType="end"/>
        </w:r>
      </w:hyperlink>
    </w:p>
    <w:p w14:paraId="6B48116A" w14:textId="4CB31EE0" w:rsidR="00CE2798" w:rsidRPr="00753099" w:rsidRDefault="008518C4">
      <w:pPr>
        <w:pStyle w:val="TOC2"/>
        <w:rPr>
          <w:rFonts w:ascii="Times New Roman" w:eastAsiaTheme="minorEastAsia" w:hAnsi="Times New Roman"/>
          <w:b w:val="0"/>
          <w:smallCaps w:val="0"/>
          <w:kern w:val="2"/>
          <w:sz w:val="24"/>
          <w:szCs w:val="24"/>
          <w:lang w:val="en-US"/>
          <w14:ligatures w14:val="standardContextual"/>
        </w:rPr>
      </w:pPr>
      <w:hyperlink w:anchor="_Toc160179429" w:history="1">
        <w:r w:rsidR="00CE2798" w:rsidRPr="00753099">
          <w:rPr>
            <w:rStyle w:val="Hyperlink"/>
            <w:rFonts w:ascii="Times New Roman" w:hAnsi="Times New Roman"/>
            <w:sz w:val="24"/>
            <w:szCs w:val="24"/>
          </w:rPr>
          <w:t>1.</w:t>
        </w:r>
        <w:r w:rsidR="00CE2798" w:rsidRPr="00753099">
          <w:rPr>
            <w:rFonts w:ascii="Times New Roman" w:eastAsiaTheme="minorEastAsia" w:hAnsi="Times New Roman"/>
            <w:b w:val="0"/>
            <w:smallCaps w:val="0"/>
            <w:kern w:val="2"/>
            <w:sz w:val="24"/>
            <w:szCs w:val="24"/>
            <w:lang w:val="en-US"/>
            <w14:ligatures w14:val="standardContextual"/>
          </w:rPr>
          <w:tab/>
        </w:r>
        <w:r w:rsidR="00CE2798" w:rsidRPr="00753099">
          <w:rPr>
            <w:rStyle w:val="Hyperlink"/>
            <w:rFonts w:ascii="Times New Roman" w:hAnsi="Times New Roman"/>
            <w:sz w:val="24"/>
            <w:szCs w:val="24"/>
          </w:rPr>
          <w:t>Vispārīgas piezīmes</w:t>
        </w:r>
        <w:r w:rsidR="00CE2798" w:rsidRPr="00753099">
          <w:rPr>
            <w:rFonts w:ascii="Times New Roman" w:hAnsi="Times New Roman"/>
            <w:webHidden/>
            <w:sz w:val="24"/>
            <w:szCs w:val="24"/>
          </w:rPr>
          <w:tab/>
        </w:r>
        <w:r w:rsidR="00CE2798" w:rsidRPr="00753099">
          <w:rPr>
            <w:rFonts w:ascii="Times New Roman" w:hAnsi="Times New Roman"/>
            <w:webHidden/>
            <w:sz w:val="24"/>
            <w:szCs w:val="24"/>
          </w:rPr>
          <w:fldChar w:fldCharType="begin"/>
        </w:r>
        <w:r w:rsidR="00CE2798" w:rsidRPr="00753099">
          <w:rPr>
            <w:rFonts w:ascii="Times New Roman" w:hAnsi="Times New Roman"/>
            <w:webHidden/>
            <w:sz w:val="24"/>
            <w:szCs w:val="24"/>
          </w:rPr>
          <w:instrText xml:space="preserve"> PAGEREF _Toc160179429 \h </w:instrText>
        </w:r>
        <w:r w:rsidR="00CE2798" w:rsidRPr="00753099">
          <w:rPr>
            <w:rFonts w:ascii="Times New Roman" w:hAnsi="Times New Roman"/>
            <w:webHidden/>
            <w:sz w:val="24"/>
            <w:szCs w:val="24"/>
          </w:rPr>
        </w:r>
        <w:r w:rsidR="00CE2798" w:rsidRPr="00753099">
          <w:rPr>
            <w:rFonts w:ascii="Times New Roman" w:hAnsi="Times New Roman"/>
            <w:webHidden/>
            <w:sz w:val="24"/>
            <w:szCs w:val="24"/>
          </w:rPr>
          <w:fldChar w:fldCharType="separate"/>
        </w:r>
        <w:r w:rsidR="002B55AA">
          <w:rPr>
            <w:rFonts w:ascii="Times New Roman" w:hAnsi="Times New Roman"/>
            <w:webHidden/>
            <w:sz w:val="24"/>
            <w:szCs w:val="24"/>
          </w:rPr>
          <w:t>27</w:t>
        </w:r>
        <w:r w:rsidR="00CE2798" w:rsidRPr="00753099">
          <w:rPr>
            <w:rFonts w:ascii="Times New Roman" w:hAnsi="Times New Roman"/>
            <w:webHidden/>
            <w:sz w:val="24"/>
            <w:szCs w:val="24"/>
          </w:rPr>
          <w:fldChar w:fldCharType="end"/>
        </w:r>
      </w:hyperlink>
    </w:p>
    <w:p w14:paraId="46D0FEED" w14:textId="0D5FBA49" w:rsidR="00CE2798" w:rsidRPr="00753099" w:rsidRDefault="008518C4">
      <w:pPr>
        <w:pStyle w:val="TOC2"/>
        <w:rPr>
          <w:rFonts w:ascii="Times New Roman" w:eastAsiaTheme="minorEastAsia" w:hAnsi="Times New Roman"/>
          <w:b w:val="0"/>
          <w:smallCaps w:val="0"/>
          <w:kern w:val="2"/>
          <w:sz w:val="24"/>
          <w:szCs w:val="24"/>
          <w:lang w:val="en-US"/>
          <w14:ligatures w14:val="standardContextual"/>
        </w:rPr>
      </w:pPr>
      <w:hyperlink w:anchor="_Toc160179430" w:history="1">
        <w:r w:rsidR="00CE2798" w:rsidRPr="00753099">
          <w:rPr>
            <w:rStyle w:val="Hyperlink"/>
            <w:rFonts w:ascii="Times New Roman" w:hAnsi="Times New Roman"/>
            <w:sz w:val="24"/>
            <w:szCs w:val="24"/>
          </w:rPr>
          <w:t>2.</w:t>
        </w:r>
        <w:r w:rsidR="00CE2798" w:rsidRPr="00753099">
          <w:rPr>
            <w:rFonts w:ascii="Times New Roman" w:eastAsiaTheme="minorEastAsia" w:hAnsi="Times New Roman"/>
            <w:b w:val="0"/>
            <w:smallCaps w:val="0"/>
            <w:kern w:val="2"/>
            <w:sz w:val="24"/>
            <w:szCs w:val="24"/>
            <w:lang w:val="en-US"/>
            <w14:ligatures w14:val="standardContextual"/>
          </w:rPr>
          <w:tab/>
        </w:r>
        <w:r w:rsidR="00CE2798" w:rsidRPr="00753099">
          <w:rPr>
            <w:rStyle w:val="Hyperlink"/>
            <w:rFonts w:ascii="Times New Roman" w:hAnsi="Times New Roman"/>
            <w:sz w:val="24"/>
            <w:szCs w:val="24"/>
          </w:rPr>
          <w:t>Norādes par konkrētām pozīcijām</w:t>
        </w:r>
        <w:r w:rsidR="00CE2798" w:rsidRPr="00753099">
          <w:rPr>
            <w:rFonts w:ascii="Times New Roman" w:hAnsi="Times New Roman"/>
            <w:webHidden/>
            <w:sz w:val="24"/>
            <w:szCs w:val="24"/>
          </w:rPr>
          <w:tab/>
        </w:r>
        <w:r w:rsidR="00CE2798" w:rsidRPr="00753099">
          <w:rPr>
            <w:rFonts w:ascii="Times New Roman" w:hAnsi="Times New Roman"/>
            <w:webHidden/>
            <w:sz w:val="24"/>
            <w:szCs w:val="24"/>
          </w:rPr>
          <w:fldChar w:fldCharType="begin"/>
        </w:r>
        <w:r w:rsidR="00CE2798" w:rsidRPr="00753099">
          <w:rPr>
            <w:rFonts w:ascii="Times New Roman" w:hAnsi="Times New Roman"/>
            <w:webHidden/>
            <w:sz w:val="24"/>
            <w:szCs w:val="24"/>
          </w:rPr>
          <w:instrText xml:space="preserve"> PAGEREF _Toc160179430 \h </w:instrText>
        </w:r>
        <w:r w:rsidR="00CE2798" w:rsidRPr="00753099">
          <w:rPr>
            <w:rFonts w:ascii="Times New Roman" w:hAnsi="Times New Roman"/>
            <w:webHidden/>
            <w:sz w:val="24"/>
            <w:szCs w:val="24"/>
          </w:rPr>
        </w:r>
        <w:r w:rsidR="00CE2798" w:rsidRPr="00753099">
          <w:rPr>
            <w:rFonts w:ascii="Times New Roman" w:hAnsi="Times New Roman"/>
            <w:webHidden/>
            <w:sz w:val="24"/>
            <w:szCs w:val="24"/>
          </w:rPr>
          <w:fldChar w:fldCharType="separate"/>
        </w:r>
        <w:r w:rsidR="002B55AA">
          <w:rPr>
            <w:rFonts w:ascii="Times New Roman" w:hAnsi="Times New Roman"/>
            <w:webHidden/>
            <w:sz w:val="24"/>
            <w:szCs w:val="24"/>
          </w:rPr>
          <w:t>27</w:t>
        </w:r>
        <w:r w:rsidR="00CE2798" w:rsidRPr="00753099">
          <w:rPr>
            <w:rFonts w:ascii="Times New Roman" w:hAnsi="Times New Roman"/>
            <w:webHidden/>
            <w:sz w:val="24"/>
            <w:szCs w:val="24"/>
          </w:rPr>
          <w:fldChar w:fldCharType="end"/>
        </w:r>
      </w:hyperlink>
    </w:p>
    <w:p w14:paraId="7AC7042C" w14:textId="5AD0A7D5" w:rsidR="002648B0" w:rsidRPr="00753099" w:rsidRDefault="00745369" w:rsidP="00430DF0">
      <w:pPr>
        <w:suppressAutoHyphens/>
        <w:rPr>
          <w:rFonts w:ascii="Times New Roman" w:hAnsi="Times New Roman"/>
          <w:noProof/>
          <w:sz w:val="24"/>
        </w:rPr>
        <w:sectPr w:rsidR="002648B0" w:rsidRPr="00753099" w:rsidSect="00D82419">
          <w:headerReference w:type="even" r:id="rId18"/>
          <w:headerReference w:type="default" r:id="rId19"/>
          <w:footerReference w:type="even" r:id="rId20"/>
          <w:footerReference w:type="default" r:id="rId21"/>
          <w:headerReference w:type="first" r:id="rId22"/>
          <w:footerReference w:type="first" r:id="rId23"/>
          <w:endnotePr>
            <w:numFmt w:val="decimal"/>
          </w:endnotePr>
          <w:pgSz w:w="11906" w:h="16838"/>
          <w:pgMar w:top="1417" w:right="1417" w:bottom="1134" w:left="1417" w:header="708" w:footer="708" w:gutter="0"/>
          <w:cols w:space="720"/>
          <w:titlePg/>
          <w:docGrid w:linePitch="360"/>
        </w:sectPr>
      </w:pPr>
      <w:r w:rsidRPr="00753099">
        <w:rPr>
          <w:rFonts w:ascii="Times New Roman" w:hAnsi="Times New Roman"/>
          <w:noProof/>
          <w:color w:val="2B579A"/>
          <w:sz w:val="24"/>
          <w:shd w:val="clear" w:color="auto" w:fill="E6E6E6"/>
        </w:rPr>
        <w:fldChar w:fldCharType="end"/>
      </w:r>
    </w:p>
    <w:p w14:paraId="2820F465" w14:textId="77777777" w:rsidR="002648B0" w:rsidRPr="00D82419" w:rsidRDefault="002648B0" w:rsidP="00430DF0">
      <w:pPr>
        <w:pStyle w:val="Heading2"/>
        <w:suppressAutoHyphens/>
        <w:rPr>
          <w:noProof/>
        </w:rPr>
      </w:pPr>
      <w:bookmarkStart w:id="4" w:name="_Toc264038394"/>
      <w:bookmarkStart w:id="5" w:name="_Toc360188317"/>
      <w:bookmarkStart w:id="6" w:name="_Toc473560865"/>
      <w:bookmarkStart w:id="7" w:name="_Toc160179408"/>
      <w:r>
        <w:rPr>
          <w:noProof/>
        </w:rPr>
        <w:t>I DAĻA.</w:t>
      </w:r>
      <w:bookmarkEnd w:id="4"/>
      <w:r>
        <w:rPr>
          <w:noProof/>
        </w:rPr>
        <w:t xml:space="preserve"> VISPĀRĪGI NORĀDĪJUMI</w:t>
      </w:r>
      <w:bookmarkEnd w:id="5"/>
      <w:bookmarkEnd w:id="6"/>
      <w:bookmarkEnd w:id="7"/>
    </w:p>
    <w:p w14:paraId="7C7E012C" w14:textId="553E4C56" w:rsidR="002648B0" w:rsidRPr="00A6051C" w:rsidRDefault="51815D13" w:rsidP="00430DF0">
      <w:pPr>
        <w:pStyle w:val="Instructionsberschrift2"/>
        <w:tabs>
          <w:tab w:val="left" w:pos="567"/>
        </w:tabs>
        <w:suppressAutoHyphens/>
        <w:ind w:left="0" w:firstLine="0"/>
        <w:rPr>
          <w:rFonts w:cs="Times New Roman"/>
          <w:b/>
          <w:bCs/>
          <w:noProof/>
          <w:sz w:val="24"/>
        </w:rPr>
      </w:pPr>
      <w:bookmarkStart w:id="8" w:name="_Toc360188319"/>
      <w:bookmarkStart w:id="9" w:name="_Toc473560867"/>
      <w:bookmarkStart w:id="10" w:name="_Toc160179409"/>
      <w:r>
        <w:rPr>
          <w:b/>
          <w:noProof/>
          <w:sz w:val="24"/>
        </w:rPr>
        <w:t>Struktūra</w:t>
      </w:r>
      <w:bookmarkEnd w:id="8"/>
      <w:bookmarkEnd w:id="9"/>
      <w:bookmarkEnd w:id="10"/>
    </w:p>
    <w:p w14:paraId="6C67B776" w14:textId="4974D22A" w:rsidR="005643EA" w:rsidRPr="00380E3B" w:rsidRDefault="00F50ECC"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Šajā pielikumā ir ietvertas norādes pārskatu sniegšanai veidnēs par procentu likmju risku banku portfelī (</w:t>
      </w:r>
      <w:r>
        <w:rPr>
          <w:rFonts w:ascii="Times New Roman" w:hAnsi="Times New Roman"/>
          <w:i/>
          <w:noProof/>
          <w:sz w:val="24"/>
        </w:rPr>
        <w:t>IRRBB</w:t>
      </w:r>
      <w:r>
        <w:rPr>
          <w:rFonts w:ascii="Times New Roman" w:hAnsi="Times New Roman"/>
          <w:noProof/>
          <w:sz w:val="24"/>
        </w:rPr>
        <w:t>).</w:t>
      </w:r>
    </w:p>
    <w:p w14:paraId="18B4338F" w14:textId="7CA4DACA" w:rsidR="00EE1EB4" w:rsidRPr="00CB270D" w:rsidRDefault="00722E66"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Šis pielikums sastāv no pieciem dažādiem veidņu kopumiem:</w:t>
      </w:r>
    </w:p>
    <w:p w14:paraId="40EF6142" w14:textId="5B6A7A0E" w:rsidR="00B25EC5"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a)</w:t>
      </w:r>
      <w:r>
        <w:rPr>
          <w:rFonts w:ascii="Times New Roman" w:hAnsi="Times New Roman"/>
          <w:noProof/>
          <w:sz w:val="24"/>
        </w:rPr>
        <w:tab/>
      </w:r>
      <w:r>
        <w:rPr>
          <w:rFonts w:ascii="Times New Roman" w:hAnsi="Times New Roman"/>
          <w:i/>
          <w:noProof/>
          <w:sz w:val="24"/>
        </w:rPr>
        <w:t>IRRBB</w:t>
      </w:r>
      <w:r>
        <w:rPr>
          <w:rFonts w:ascii="Times New Roman" w:hAnsi="Times New Roman"/>
          <w:noProof/>
          <w:sz w:val="24"/>
        </w:rPr>
        <w:t xml:space="preserve"> novērtējums: Pašu kapitāla ekonomiskās vērtības (</w:t>
      </w:r>
      <w:r>
        <w:rPr>
          <w:rFonts w:ascii="Times New Roman" w:hAnsi="Times New Roman"/>
          <w:i/>
          <w:noProof/>
          <w:sz w:val="24"/>
        </w:rPr>
        <w:t>EVE</w:t>
      </w:r>
      <w:r>
        <w:rPr>
          <w:rFonts w:ascii="Times New Roman" w:hAnsi="Times New Roman"/>
          <w:noProof/>
          <w:sz w:val="24"/>
        </w:rPr>
        <w:t>) un neto procentu ienākumu (</w:t>
      </w:r>
      <w:r>
        <w:rPr>
          <w:rFonts w:ascii="Times New Roman" w:hAnsi="Times New Roman"/>
          <w:i/>
          <w:noProof/>
          <w:sz w:val="24"/>
        </w:rPr>
        <w:t>NII</w:t>
      </w:r>
      <w:r>
        <w:rPr>
          <w:rFonts w:ascii="Times New Roman" w:hAnsi="Times New Roman"/>
          <w:noProof/>
          <w:sz w:val="24"/>
        </w:rPr>
        <w:t>) izlecošo vērtību uzraudzības pārbaudes (</w:t>
      </w:r>
      <w:r>
        <w:rPr>
          <w:rFonts w:ascii="Times New Roman" w:hAnsi="Times New Roman"/>
          <w:i/>
          <w:noProof/>
          <w:sz w:val="24"/>
        </w:rPr>
        <w:t>SOT</w:t>
      </w:r>
      <w:r>
        <w:rPr>
          <w:rFonts w:ascii="Times New Roman" w:hAnsi="Times New Roman"/>
          <w:noProof/>
          <w:sz w:val="24"/>
        </w:rPr>
        <w:t>) un tirgus vērtības izmaiņas (J 01.00);</w:t>
      </w:r>
    </w:p>
    <w:p w14:paraId="14B9FEC9" w14:textId="1ED962E6" w:rsidR="00C24D70"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b)</w:t>
      </w:r>
      <w:r>
        <w:rPr>
          <w:rFonts w:ascii="Times New Roman" w:hAnsi="Times New Roman"/>
          <w:noProof/>
          <w:sz w:val="24"/>
        </w:rPr>
        <w:tab/>
      </w:r>
      <w:r>
        <w:rPr>
          <w:rFonts w:ascii="Times New Roman" w:hAnsi="Times New Roman"/>
          <w:i/>
          <w:noProof/>
          <w:sz w:val="24"/>
        </w:rPr>
        <w:t>IRRBB</w:t>
      </w:r>
      <w:r>
        <w:rPr>
          <w:rFonts w:ascii="Times New Roman" w:hAnsi="Times New Roman"/>
          <w:noProof/>
          <w:sz w:val="24"/>
        </w:rPr>
        <w:t xml:space="preserve"> jutīguma aplēšu sadalījums (J 02.00, J 03.00 un J 04.00);</w:t>
      </w:r>
    </w:p>
    <w:p w14:paraId="1CE26B54" w14:textId="5501A5DA" w:rsidR="007C50A3"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c)</w:t>
      </w:r>
      <w:r>
        <w:rPr>
          <w:rFonts w:ascii="Times New Roman" w:hAnsi="Times New Roman"/>
          <w:noProof/>
          <w:sz w:val="24"/>
        </w:rPr>
        <w:tab/>
      </w:r>
      <w:r>
        <w:rPr>
          <w:rFonts w:ascii="Times New Roman" w:hAnsi="Times New Roman"/>
          <w:i/>
          <w:noProof/>
          <w:sz w:val="24"/>
        </w:rPr>
        <w:t>IRRBB</w:t>
      </w:r>
      <w:r>
        <w:rPr>
          <w:rFonts w:ascii="Times New Roman" w:hAnsi="Times New Roman"/>
          <w:noProof/>
          <w:sz w:val="24"/>
        </w:rPr>
        <w:t xml:space="preserve"> pārcenošanas naudas plūsmas (J 05.00, J 06.00 un J 07.00);</w:t>
      </w:r>
    </w:p>
    <w:p w14:paraId="0C48DAD9" w14:textId="14B3D60B" w:rsidR="007C50A3"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d)</w:t>
      </w:r>
      <w:r>
        <w:rPr>
          <w:rFonts w:ascii="Times New Roman" w:hAnsi="Times New Roman"/>
          <w:noProof/>
          <w:sz w:val="24"/>
        </w:rPr>
        <w:tab/>
        <w:t xml:space="preserve">attiecīgie uzvedības modelēšanas parametri (J 08.00 un J 09.00); </w:t>
      </w:r>
    </w:p>
    <w:p w14:paraId="6D80FE95" w14:textId="52271838" w:rsidR="00C90FE0"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e)</w:t>
      </w:r>
      <w:r>
        <w:rPr>
          <w:rFonts w:ascii="Times New Roman" w:hAnsi="Times New Roman"/>
          <w:noProof/>
          <w:sz w:val="24"/>
        </w:rPr>
        <w:tab/>
        <w:t>kvalitatīva informācija (J 10.00 un J 11.00);</w:t>
      </w:r>
    </w:p>
    <w:p w14:paraId="0AFC5B98" w14:textId="160403C2" w:rsidR="00EB220B" w:rsidRPr="006154D7" w:rsidRDefault="00A6051C" w:rsidP="00430DF0">
      <w:pPr>
        <w:tabs>
          <w:tab w:val="left" w:pos="567"/>
        </w:tabs>
        <w:suppressAutoHyphens/>
        <w:rPr>
          <w:rFonts w:ascii="Times New Roman" w:hAnsi="Times New Roman"/>
          <w:noProof/>
          <w:sz w:val="24"/>
        </w:rPr>
      </w:pPr>
      <w:bookmarkStart w:id="11" w:name="_Toc360188320"/>
      <w:bookmarkStart w:id="12" w:name="_Toc473560868"/>
      <w:r>
        <w:rPr>
          <w:rFonts w:ascii="Times New Roman" w:hAnsi="Times New Roman"/>
          <w:noProof/>
          <w:sz w:val="24"/>
        </w:rPr>
        <w:t>1.3.</w:t>
      </w:r>
      <w:r>
        <w:rPr>
          <w:rFonts w:ascii="Times New Roman" w:hAnsi="Times New Roman"/>
          <w:noProof/>
          <w:sz w:val="24"/>
        </w:rPr>
        <w:tab/>
        <w:t>Attiecībā uz katru veidni ir sniegtas atsauces uz tiesību aktiem. Šajā pielikumā ir iekļauta sīkāka informācija par vispārīgākiem pārskatu sniegšanas aspektiem attiecībā uz katru veidņu kopu un norādes par konkrētām pozīcijām.</w:t>
      </w:r>
    </w:p>
    <w:p w14:paraId="26820BED" w14:textId="7A969893" w:rsidR="006D3733" w:rsidRPr="006154D7" w:rsidRDefault="00A6051C" w:rsidP="00430DF0">
      <w:pPr>
        <w:tabs>
          <w:tab w:val="left" w:pos="567"/>
        </w:tabs>
        <w:suppressAutoHyphens/>
        <w:rPr>
          <w:rFonts w:ascii="Times New Roman" w:hAnsi="Times New Roman"/>
          <w:noProof/>
          <w:sz w:val="24"/>
        </w:rPr>
      </w:pPr>
      <w:r>
        <w:rPr>
          <w:rFonts w:ascii="Times New Roman" w:hAnsi="Times New Roman"/>
          <w:noProof/>
          <w:sz w:val="24"/>
        </w:rPr>
        <w:t>1.4.</w:t>
      </w:r>
      <w:r>
        <w:rPr>
          <w:rFonts w:ascii="Times New Roman" w:hAnsi="Times New Roman"/>
          <w:noProof/>
          <w:sz w:val="24"/>
        </w:rPr>
        <w:tab/>
        <w:t xml:space="preserve">Iestādes veidnes uzrāda pārskata sniegšanas valūtā neatkarīgi no aktīvu, saistību un ārpusbilances posteņu faktiskās denominācijas. Valūtas, kas nav pārskata sniegšanas valūta, konvertē pārskata sniegšanas valūtā pēc ECB ārvalstu valūtas atsauces kursa atsauces datumā. Iestādes atsevišķi uzrāda veidnes sadalījumā pa attiecīgajām valūtām saskaņā ar Komisijas Deleģēto regulu (ES) .../... (PB: lūgums pievienot atsauci uz RTS par </w:t>
      </w:r>
      <w:r>
        <w:rPr>
          <w:rFonts w:ascii="Times New Roman" w:hAnsi="Times New Roman"/>
          <w:i/>
          <w:noProof/>
          <w:sz w:val="24"/>
        </w:rPr>
        <w:t>SOT</w:t>
      </w:r>
      <w:r>
        <w:rPr>
          <w:rFonts w:ascii="Times New Roman" w:hAnsi="Times New Roman"/>
          <w:noProof/>
          <w:sz w:val="24"/>
        </w:rPr>
        <w:t>).</w:t>
      </w:r>
      <w:bookmarkStart w:id="13" w:name="_@_8F13D57BB9CD4FF0A0FE7B37689B022CZ"/>
      <w:bookmarkEnd w:id="13"/>
    </w:p>
    <w:p w14:paraId="0DEADD70" w14:textId="1077D645" w:rsidR="002E61DB" w:rsidRPr="006154D7" w:rsidRDefault="00A6051C" w:rsidP="00430DF0">
      <w:pPr>
        <w:tabs>
          <w:tab w:val="left" w:pos="567"/>
        </w:tabs>
        <w:suppressAutoHyphens/>
        <w:rPr>
          <w:rFonts w:ascii="Times New Roman" w:hAnsi="Times New Roman"/>
          <w:noProof/>
          <w:sz w:val="24"/>
        </w:rPr>
      </w:pPr>
      <w:r>
        <w:rPr>
          <w:rFonts w:ascii="Times New Roman" w:hAnsi="Times New Roman"/>
          <w:noProof/>
          <w:sz w:val="24"/>
        </w:rPr>
        <w:t>1.5.</w:t>
      </w:r>
      <w:r>
        <w:rPr>
          <w:rFonts w:ascii="Times New Roman" w:hAnsi="Times New Roman"/>
          <w:noProof/>
          <w:sz w:val="24"/>
        </w:rPr>
        <w:tab/>
        <w:t xml:space="preserve">Saskaņā ar Deleģētās regulas (ES) .../... (PB: lūgums pievienot atsauci uz RTS par </w:t>
      </w:r>
      <w:r>
        <w:rPr>
          <w:rFonts w:ascii="Times New Roman" w:hAnsi="Times New Roman"/>
          <w:i/>
          <w:noProof/>
          <w:sz w:val="24"/>
        </w:rPr>
        <w:t>SOT</w:t>
      </w:r>
      <w:r>
        <w:rPr>
          <w:rFonts w:ascii="Times New Roman" w:hAnsi="Times New Roman"/>
          <w:noProof/>
          <w:sz w:val="24"/>
        </w:rPr>
        <w:t>) 3. panta 2. punkta c) apakšpunktu iestādes savos aprēķinos attiecīgā gadījumā atspoguļo automātiskas un uzvedības izvēles iespējas, izņemot gadījumus, kad ir noteikts citādi.</w:t>
      </w:r>
    </w:p>
    <w:p w14:paraId="53A7CDF1" w14:textId="261546A6" w:rsidR="001B1D17" w:rsidRPr="003930DF" w:rsidRDefault="001B1D17" w:rsidP="00430DF0">
      <w:pPr>
        <w:pStyle w:val="Instructionsberschrift2"/>
        <w:tabs>
          <w:tab w:val="left" w:pos="567"/>
        </w:tabs>
        <w:suppressAutoHyphens/>
        <w:ind w:left="0" w:firstLine="0"/>
        <w:rPr>
          <w:rFonts w:cs="Times New Roman"/>
          <w:b/>
          <w:bCs/>
          <w:noProof/>
          <w:sz w:val="24"/>
        </w:rPr>
      </w:pPr>
      <w:bookmarkStart w:id="14" w:name="_Toc160179410"/>
      <w:r>
        <w:rPr>
          <w:b/>
          <w:noProof/>
          <w:sz w:val="24"/>
        </w:rPr>
        <w:t>Pārskatu sniegšanas tvērums</w:t>
      </w:r>
      <w:bookmarkEnd w:id="14"/>
    </w:p>
    <w:p w14:paraId="67947B67" w14:textId="4993448A" w:rsidR="001B1D17" w:rsidRPr="00CB270D" w:rsidRDefault="002D7CBD" w:rsidP="00430DF0">
      <w:pPr>
        <w:suppressAutoHyphens/>
        <w:rPr>
          <w:rFonts w:ascii="Times New Roman" w:hAnsi="Times New Roman"/>
          <w:noProof/>
          <w:sz w:val="24"/>
        </w:rPr>
      </w:pPr>
      <w:r>
        <w:rPr>
          <w:rFonts w:ascii="Times New Roman" w:hAnsi="Times New Roman"/>
          <w:noProof/>
          <w:sz w:val="24"/>
        </w:rPr>
        <w:t xml:space="preserve">Iestādes prognozē savas </w:t>
      </w:r>
      <w:r>
        <w:rPr>
          <w:rFonts w:ascii="Times New Roman" w:hAnsi="Times New Roman"/>
          <w:i/>
          <w:noProof/>
          <w:sz w:val="24"/>
        </w:rPr>
        <w:t>IRRBB</w:t>
      </w:r>
      <w:r>
        <w:rPr>
          <w:rFonts w:ascii="Times New Roman" w:hAnsi="Times New Roman"/>
          <w:noProof/>
          <w:sz w:val="24"/>
        </w:rPr>
        <w:t xml:space="preserve"> aplēses un sniedz informāciju par saviem procentu likmju riska darījumiem, ko veido pret procentu likmēm jutīgas pozīcijas banku portfelī </w:t>
      </w:r>
      <w:r>
        <w:rPr>
          <w:rFonts w:ascii="Times New Roman" w:hAnsi="Times New Roman"/>
          <w:i/>
          <w:noProof/>
          <w:sz w:val="24"/>
        </w:rPr>
        <w:t>SOT</w:t>
      </w:r>
      <w:r>
        <w:rPr>
          <w:rFonts w:ascii="Times New Roman" w:hAnsi="Times New Roman"/>
          <w:noProof/>
          <w:sz w:val="24"/>
        </w:rPr>
        <w:t xml:space="preserve"> darbības jomā (Deleģētās regulas (ES) .../... (PB: lūgums pievienot atsauci uz RTS par </w:t>
      </w:r>
      <w:r>
        <w:rPr>
          <w:rFonts w:ascii="Times New Roman" w:hAnsi="Times New Roman"/>
          <w:i/>
          <w:noProof/>
          <w:sz w:val="24"/>
        </w:rPr>
        <w:t>SOT</w:t>
      </w:r>
      <w:r>
        <w:rPr>
          <w:rFonts w:ascii="Times New Roman" w:hAnsi="Times New Roman"/>
          <w:noProof/>
          <w:sz w:val="24"/>
        </w:rPr>
        <w:t xml:space="preserve">) 3. un 4. pants. Jo īpaši iestādes ņem vērā visus instrumentus saskaņā ar Deleģētās regulas (ES) .../... (PB: lūgums pievienot atsauci uz RTS par </w:t>
      </w:r>
      <w:r>
        <w:rPr>
          <w:rFonts w:ascii="Times New Roman" w:hAnsi="Times New Roman"/>
          <w:i/>
          <w:noProof/>
          <w:sz w:val="24"/>
        </w:rPr>
        <w:t>SOT</w:t>
      </w:r>
      <w:r>
        <w:rPr>
          <w:rFonts w:ascii="Times New Roman" w:hAnsi="Times New Roman"/>
          <w:noProof/>
          <w:sz w:val="24"/>
        </w:rPr>
        <w:t>) 3. panta 2. punkta a) līdz f) apakšpunktu, 3., 4. un 5. punktu.</w:t>
      </w:r>
    </w:p>
    <w:p w14:paraId="258198B8" w14:textId="0DE6B55B" w:rsidR="001B1D17" w:rsidRPr="00845F8D" w:rsidRDefault="0039144F" w:rsidP="00430DF0">
      <w:pPr>
        <w:pStyle w:val="Instructionsberschrift2"/>
        <w:tabs>
          <w:tab w:val="left" w:pos="567"/>
        </w:tabs>
        <w:suppressAutoHyphens/>
        <w:ind w:left="0" w:firstLine="0"/>
        <w:rPr>
          <w:rFonts w:cs="Times New Roman"/>
          <w:b/>
          <w:bCs/>
          <w:noProof/>
          <w:sz w:val="24"/>
        </w:rPr>
      </w:pPr>
      <w:bookmarkStart w:id="15" w:name="_Ref125115357"/>
      <w:bookmarkStart w:id="16" w:name="_Ref122265153"/>
      <w:bookmarkStart w:id="17" w:name="_Toc160179411"/>
      <w:r>
        <w:rPr>
          <w:b/>
          <w:noProof/>
          <w:sz w:val="24"/>
        </w:rPr>
        <w:t>Pieeja fiksētās/mainīgās likmes instrumentiem</w:t>
      </w:r>
      <w:bookmarkEnd w:id="15"/>
      <w:bookmarkEnd w:id="16"/>
      <w:bookmarkEnd w:id="17"/>
    </w:p>
    <w:p w14:paraId="77CC8D4D" w14:textId="46BB6ACB" w:rsidR="001B1D17" w:rsidRPr="00380E3B" w:rsidRDefault="0039511B" w:rsidP="00430DF0">
      <w:pPr>
        <w:suppressAutoHyphens/>
        <w:rPr>
          <w:rFonts w:ascii="Times New Roman" w:hAnsi="Times New Roman"/>
          <w:noProof/>
          <w:sz w:val="24"/>
        </w:rPr>
      </w:pPr>
      <w:r>
        <w:rPr>
          <w:rFonts w:ascii="Times New Roman" w:hAnsi="Times New Roman"/>
          <w:noProof/>
          <w:sz w:val="24"/>
        </w:rPr>
        <w:t xml:space="preserve">Ja par fiksētas vai mainīgas likmes instrumentiem pieprasa atsevišķu informāciju, piemēro šādas definīcijas: </w:t>
      </w:r>
    </w:p>
    <w:p w14:paraId="4A89838D" w14:textId="6D785DC4" w:rsidR="00922BF8" w:rsidRPr="00380E3B" w:rsidRDefault="00845F8D" w:rsidP="00430DF0">
      <w:pPr>
        <w:suppressAutoHyphens/>
        <w:ind w:left="567" w:hanging="567"/>
        <w:rPr>
          <w:rFonts w:ascii="Times New Roman" w:hAnsi="Times New Roman"/>
          <w:noProof/>
          <w:sz w:val="24"/>
        </w:rPr>
      </w:pPr>
      <w:r>
        <w:rPr>
          <w:rFonts w:ascii="Times New Roman" w:hAnsi="Times New Roman"/>
          <w:noProof/>
          <w:sz w:val="24"/>
        </w:rPr>
        <w:t>a)</w:t>
      </w:r>
      <w:r>
        <w:rPr>
          <w:rFonts w:ascii="Times New Roman" w:hAnsi="Times New Roman"/>
          <w:noProof/>
          <w:sz w:val="24"/>
        </w:rPr>
        <w:tab/>
        <w:t xml:space="preserve">“fiksētas likmes instruments” ir “fiksētas likmes instruments”, kā definēts Komisijas Deleģētās regulas (ES) .../... (PB: lūgums pievienot atsauci uz RTS par </w:t>
      </w:r>
      <w:r>
        <w:rPr>
          <w:rFonts w:ascii="Times New Roman" w:hAnsi="Times New Roman"/>
          <w:i/>
          <w:noProof/>
          <w:sz w:val="24"/>
        </w:rPr>
        <w:t>SA</w:t>
      </w:r>
      <w:r>
        <w:rPr>
          <w:rFonts w:ascii="Times New Roman" w:hAnsi="Times New Roman"/>
          <w:noProof/>
          <w:sz w:val="24"/>
        </w:rPr>
        <w:t>)</w:t>
      </w:r>
      <w:r w:rsidR="00212817" w:rsidRPr="00380E3B">
        <w:rPr>
          <w:rFonts w:ascii="Times New Roman" w:eastAsia="Arial" w:hAnsi="Times New Roman"/>
          <w:noProof/>
          <w:sz w:val="24"/>
          <w:vertAlign w:val="superscript"/>
        </w:rPr>
        <w:footnoteReference w:id="2"/>
      </w:r>
      <w:r>
        <w:rPr>
          <w:rFonts w:ascii="Times New Roman" w:hAnsi="Times New Roman"/>
          <w:noProof/>
          <w:sz w:val="24"/>
        </w:rPr>
        <w:t xml:space="preserve"> 1. panta 4.</w:t>
      </w:r>
      <w:r w:rsidR="003202D1">
        <w:rPr>
          <w:rFonts w:ascii="Times New Roman" w:hAnsi="Times New Roman"/>
          <w:noProof/>
          <w:sz w:val="24"/>
        </w:rPr>
        <w:t> </w:t>
      </w:r>
      <w:r>
        <w:rPr>
          <w:rFonts w:ascii="Times New Roman" w:hAnsi="Times New Roman"/>
          <w:noProof/>
          <w:sz w:val="24"/>
        </w:rPr>
        <w:t>punktā. Konkrēti:</w:t>
      </w:r>
    </w:p>
    <w:p w14:paraId="5ED6FF8A" w14:textId="158917D4" w:rsidR="001B1D17" w:rsidRPr="00380E3B" w:rsidRDefault="0039511B" w:rsidP="00430DF0">
      <w:pPr>
        <w:suppressAutoHyphens/>
        <w:ind w:left="1134" w:hanging="567"/>
        <w:rPr>
          <w:rFonts w:ascii="Times New Roman" w:hAnsi="Times New Roman"/>
          <w:noProof/>
          <w:sz w:val="24"/>
        </w:rPr>
      </w:pPr>
      <w:r>
        <w:rPr>
          <w:rFonts w:ascii="Times New Roman" w:hAnsi="Times New Roman"/>
          <w:noProof/>
          <w:sz w:val="24"/>
        </w:rPr>
        <w:t>i)</w:t>
      </w:r>
      <w:r>
        <w:rPr>
          <w:rFonts w:ascii="Times New Roman" w:hAnsi="Times New Roman"/>
          <w:noProof/>
          <w:sz w:val="24"/>
        </w:rPr>
        <w:tab/>
        <w:t>instrumenti bez konkrēta līgumā noteiktā termiņa (t. i., beztermiņa produkti), kuru procentu maksājumu naudas plūsmas nav līgumiski vai juridiski saistītas ar ārēja etalona vai iestādes iekšēji pārvaldīta indeksa izmaiņām, bet ir iestādes vai valdības aģentūras ziņā;</w:t>
      </w:r>
    </w:p>
    <w:p w14:paraId="54833A4C" w14:textId="5EDD161A" w:rsidR="008454E7" w:rsidRPr="00380E3B" w:rsidRDefault="0039511B" w:rsidP="00430DF0">
      <w:pPr>
        <w:suppressAutoHyphens/>
        <w:ind w:left="1134" w:hanging="567"/>
        <w:rPr>
          <w:rFonts w:ascii="Times New Roman" w:hAnsi="Times New Roman"/>
          <w:noProof/>
          <w:sz w:val="24"/>
        </w:rPr>
      </w:pPr>
      <w:r>
        <w:rPr>
          <w:rFonts w:ascii="Times New Roman" w:hAnsi="Times New Roman"/>
          <w:noProof/>
          <w:sz w:val="24"/>
        </w:rPr>
        <w:t>ii)</w:t>
      </w:r>
      <w:r>
        <w:rPr>
          <w:rFonts w:ascii="Times New Roman" w:hAnsi="Times New Roman"/>
          <w:noProof/>
          <w:sz w:val="24"/>
        </w:rPr>
        <w:tab/>
        <w:t>instrumenti ar konkrētu līgumā noteiktu termiņu, kuru procentu maksājumu naudas plūsmas ir fiksētas no instrumenta sākuma līdz tā termiņa beigām, vai ja līgumā noteiktā pārcenošana pārsniedz vienu gadu, vai ja to atalgojuma izmaiņas – jebkurā brīdī līguma darbības laikā – ir iestādes vai valdības aģentūras ziņā.</w:t>
      </w:r>
    </w:p>
    <w:p w14:paraId="270FB2E9" w14:textId="34E79F8D" w:rsidR="00922BF8" w:rsidRPr="00380E3B" w:rsidRDefault="00D3158C" w:rsidP="00430DF0">
      <w:pPr>
        <w:suppressAutoHyphens/>
        <w:ind w:left="567" w:hanging="567"/>
        <w:rPr>
          <w:rFonts w:ascii="Times New Roman" w:hAnsi="Times New Roman"/>
          <w:noProof/>
          <w:sz w:val="24"/>
        </w:rPr>
      </w:pPr>
      <w:r>
        <w:rPr>
          <w:rFonts w:ascii="Times New Roman" w:hAnsi="Times New Roman"/>
          <w:noProof/>
          <w:sz w:val="24"/>
        </w:rPr>
        <w:t>b)</w:t>
      </w:r>
      <w:r>
        <w:rPr>
          <w:rFonts w:ascii="Times New Roman" w:hAnsi="Times New Roman"/>
          <w:noProof/>
          <w:sz w:val="24"/>
        </w:rPr>
        <w:tab/>
        <w:t xml:space="preserve">“mainīgas likmes instruments” ir “mainīgas likmes instruments”, kā definēts Deleģētās regulas (ES) .../... (PB: lūgums pievienot atsauci uz RTS par </w:t>
      </w:r>
      <w:r>
        <w:rPr>
          <w:rFonts w:ascii="Times New Roman" w:hAnsi="Times New Roman"/>
          <w:i/>
          <w:noProof/>
          <w:sz w:val="24"/>
        </w:rPr>
        <w:t>SA</w:t>
      </w:r>
      <w:r>
        <w:rPr>
          <w:rFonts w:ascii="Times New Roman" w:hAnsi="Times New Roman"/>
          <w:noProof/>
          <w:sz w:val="24"/>
        </w:rPr>
        <w:t>) 1. panta 5) punktā. Konkrēti:</w:t>
      </w:r>
    </w:p>
    <w:p w14:paraId="1784E8D4" w14:textId="734AD79B" w:rsidR="00AB1BC3" w:rsidRPr="00380E3B" w:rsidRDefault="000F633F" w:rsidP="00430DF0">
      <w:pPr>
        <w:suppressAutoHyphens/>
        <w:ind w:left="1134" w:hanging="567"/>
        <w:rPr>
          <w:rFonts w:ascii="Times New Roman" w:hAnsi="Times New Roman"/>
          <w:noProof/>
          <w:sz w:val="24"/>
        </w:rPr>
      </w:pPr>
      <w:r>
        <w:rPr>
          <w:rFonts w:ascii="Times New Roman" w:hAnsi="Times New Roman"/>
          <w:noProof/>
          <w:sz w:val="24"/>
        </w:rPr>
        <w:t>i)</w:t>
      </w:r>
      <w:r>
        <w:rPr>
          <w:rFonts w:ascii="Times New Roman" w:hAnsi="Times New Roman"/>
          <w:noProof/>
          <w:sz w:val="24"/>
        </w:rPr>
        <w:tab/>
        <w:t>instrumenti bez konkrēta līgumā noteiktā termiņa (t. i., beztermiņa produkti), ja procentu maksājumu naudas plūsmas nav iestādes vai valdības aģentūras ziņā, bet ir līgumiski vai juridiski saistītas ar ārēja etalona vai iestādes iekšēji pārvaldīta indeksa izmaiņām;</w:t>
      </w:r>
    </w:p>
    <w:p w14:paraId="2BEB21B8" w14:textId="04E2511B" w:rsidR="001B1D17" w:rsidRPr="00380E3B" w:rsidRDefault="000F633F" w:rsidP="00430DF0">
      <w:pPr>
        <w:suppressAutoHyphens/>
        <w:ind w:left="1134" w:hanging="567"/>
        <w:rPr>
          <w:rFonts w:ascii="Times New Roman" w:hAnsi="Times New Roman"/>
          <w:noProof/>
          <w:sz w:val="24"/>
        </w:rPr>
      </w:pPr>
      <w:r>
        <w:rPr>
          <w:rFonts w:ascii="Times New Roman" w:hAnsi="Times New Roman"/>
          <w:noProof/>
          <w:sz w:val="24"/>
        </w:rPr>
        <w:t>ii)</w:t>
      </w:r>
      <w:r>
        <w:rPr>
          <w:rFonts w:ascii="Times New Roman" w:hAnsi="Times New Roman"/>
          <w:noProof/>
          <w:sz w:val="24"/>
        </w:rPr>
        <w:tab/>
        <w:t>instrumenti ar konkrētu līgumā noteiktu termiņu, kuru procentu maksājumu naudas plūsmas nav fiksētas no instrumenta sākuma līdz tā termiņa beigām, ja to līgumā noteiktā pārcenošana nepārsniedz vienu gadu un ja līguma darbības laikā to atalgojuma izmaiņas nav iestādes vai valdības aģentūras ziņā.</w:t>
      </w:r>
    </w:p>
    <w:p w14:paraId="18A5F9AF" w14:textId="2B3B0753" w:rsidR="001B1D17" w:rsidRPr="008917A8" w:rsidRDefault="00AB232D" w:rsidP="00430DF0">
      <w:pPr>
        <w:pStyle w:val="Instructionsberschrift2"/>
        <w:suppressAutoHyphens/>
        <w:ind w:left="0" w:firstLine="0"/>
        <w:rPr>
          <w:rFonts w:cs="Times New Roman"/>
          <w:b/>
          <w:bCs/>
          <w:noProof/>
          <w:sz w:val="24"/>
        </w:rPr>
      </w:pPr>
      <w:bookmarkStart w:id="18" w:name="_Toc160179412"/>
      <w:r>
        <w:rPr>
          <w:b/>
          <w:noProof/>
          <w:sz w:val="24"/>
        </w:rPr>
        <w:t>Pieeja izvēles iespējām</w:t>
      </w:r>
      <w:bookmarkEnd w:id="18"/>
    </w:p>
    <w:p w14:paraId="32686ECA" w14:textId="05954C82" w:rsidR="001B1D17" w:rsidRPr="005936C2" w:rsidRDefault="001A2857" w:rsidP="00430DF0">
      <w:pPr>
        <w:suppressAutoHyphens/>
        <w:rPr>
          <w:rFonts w:ascii="Times New Roman" w:hAnsi="Times New Roman"/>
          <w:noProof/>
          <w:sz w:val="24"/>
        </w:rPr>
      </w:pPr>
      <w:r>
        <w:rPr>
          <w:rFonts w:ascii="Times New Roman" w:hAnsi="Times New Roman"/>
          <w:noProof/>
          <w:sz w:val="24"/>
        </w:rPr>
        <w:t>Ja tiek pieprasīta atsevišķa informācija par izvēles iespējām, iestādes sniedz pārskatus šādā veidā:</w:t>
      </w:r>
    </w:p>
    <w:p w14:paraId="6B6F0868" w14:textId="6DA1CF74" w:rsidR="001B1D17" w:rsidRPr="005936C2" w:rsidRDefault="008917A8" w:rsidP="00041556">
      <w:pPr>
        <w:suppressAutoHyphens/>
        <w:ind w:left="567" w:hanging="567"/>
        <w:rPr>
          <w:rFonts w:ascii="Times New Roman" w:hAnsi="Times New Roman"/>
          <w:noProof/>
          <w:sz w:val="24"/>
        </w:rPr>
      </w:pPr>
      <w:r>
        <w:rPr>
          <w:rFonts w:ascii="Times New Roman" w:hAnsi="Times New Roman"/>
          <w:noProof/>
          <w:sz w:val="24"/>
        </w:rPr>
        <w:t>a)</w:t>
      </w:r>
      <w:r>
        <w:rPr>
          <w:rFonts w:ascii="Times New Roman" w:hAnsi="Times New Roman"/>
          <w:noProof/>
          <w:sz w:val="24"/>
        </w:rPr>
        <w:tab/>
        <w:t>ietvertas izvēles iespējas kopā ar to attiecīgo pamatinstrumentu;</w:t>
      </w:r>
    </w:p>
    <w:p w14:paraId="1DA2737F" w14:textId="75A2B726" w:rsidR="001B1D17" w:rsidRPr="005936C2" w:rsidRDefault="008917A8" w:rsidP="00041556">
      <w:pPr>
        <w:suppressAutoHyphens/>
        <w:ind w:left="567" w:hanging="567"/>
        <w:rPr>
          <w:rFonts w:ascii="Times New Roman" w:hAnsi="Times New Roman"/>
          <w:noProof/>
          <w:sz w:val="24"/>
        </w:rPr>
      </w:pPr>
      <w:r>
        <w:rPr>
          <w:rFonts w:ascii="Times New Roman" w:hAnsi="Times New Roman"/>
          <w:noProof/>
          <w:sz w:val="24"/>
        </w:rPr>
        <w:t>b)</w:t>
      </w:r>
      <w:r>
        <w:rPr>
          <w:rFonts w:ascii="Times New Roman" w:hAnsi="Times New Roman"/>
          <w:noProof/>
          <w:sz w:val="24"/>
        </w:rPr>
        <w:tab/>
        <w:t>tiešas/patstāvīgas izvēles iespējas atsevišķi no jebkura cita veida bilances posteņiem kā atvasinātie instrumenti (t. i., tās uzrāda šīs izvēles iespējas kopā ar pret risku nodrošināto posteni).</w:t>
      </w:r>
    </w:p>
    <w:p w14:paraId="273A8B8C" w14:textId="0B66CE74" w:rsidR="002648B0" w:rsidRPr="008917A8" w:rsidRDefault="51815D13" w:rsidP="00430DF0">
      <w:pPr>
        <w:pStyle w:val="Instructionsberschrift2"/>
        <w:tabs>
          <w:tab w:val="left" w:pos="567"/>
        </w:tabs>
        <w:suppressAutoHyphens/>
        <w:ind w:left="0" w:firstLine="0"/>
        <w:rPr>
          <w:rFonts w:cs="Times New Roman"/>
          <w:b/>
          <w:bCs/>
          <w:noProof/>
          <w:sz w:val="24"/>
        </w:rPr>
      </w:pPr>
      <w:bookmarkStart w:id="19" w:name="_Toc264038399"/>
      <w:bookmarkStart w:id="20" w:name="_Toc294018834"/>
      <w:bookmarkStart w:id="21" w:name="_Toc360188321"/>
      <w:bookmarkStart w:id="22" w:name="_Toc473560869"/>
      <w:bookmarkStart w:id="23" w:name="_Toc160179413"/>
      <w:bookmarkEnd w:id="11"/>
      <w:bookmarkEnd w:id="12"/>
      <w:r>
        <w:rPr>
          <w:b/>
          <w:noProof/>
          <w:sz w:val="24"/>
        </w:rPr>
        <w:t>Pieņemtā prakse attiecībā uz zīmēm</w:t>
      </w:r>
      <w:bookmarkEnd w:id="19"/>
      <w:bookmarkEnd w:id="20"/>
      <w:bookmarkEnd w:id="21"/>
      <w:bookmarkEnd w:id="22"/>
      <w:bookmarkEnd w:id="23"/>
    </w:p>
    <w:p w14:paraId="6633F0CF" w14:textId="63689B05" w:rsidR="001E63FC" w:rsidRPr="005936C2" w:rsidRDefault="008917A8" w:rsidP="00430DF0">
      <w:pPr>
        <w:tabs>
          <w:tab w:val="left" w:pos="567"/>
        </w:tabs>
        <w:suppressAutoHyphens/>
        <w:rPr>
          <w:rFonts w:ascii="Times New Roman" w:hAnsi="Times New Roman"/>
          <w:noProof/>
          <w:sz w:val="24"/>
        </w:rPr>
      </w:pPr>
      <w:bookmarkStart w:id="24" w:name="_Hlk140593002"/>
      <w:r>
        <w:rPr>
          <w:rFonts w:ascii="Times New Roman" w:hAnsi="Times New Roman"/>
          <w:noProof/>
          <w:sz w:val="24"/>
        </w:rPr>
        <w:t>5.1.</w:t>
      </w:r>
      <w:r>
        <w:rPr>
          <w:rFonts w:ascii="Times New Roman" w:hAnsi="Times New Roman"/>
          <w:noProof/>
          <w:sz w:val="24"/>
        </w:rPr>
        <w:tab/>
        <w:t xml:space="preserve">Parasti iestādes uzrāda pozitīvas vērtības veidnēs. Skaitļus, kas izteikti naudas vienībās attiecībā uz </w:t>
      </w:r>
      <w:r>
        <w:rPr>
          <w:rFonts w:ascii="Times New Roman" w:hAnsi="Times New Roman"/>
          <w:i/>
          <w:noProof/>
          <w:sz w:val="24"/>
        </w:rPr>
        <w:t>EVE</w:t>
      </w:r>
      <w:r>
        <w:rPr>
          <w:rFonts w:ascii="Times New Roman" w:hAnsi="Times New Roman"/>
          <w:noProof/>
          <w:sz w:val="24"/>
        </w:rPr>
        <w:t xml:space="preserve"> līmeni, </w:t>
      </w:r>
      <w:r>
        <w:rPr>
          <w:rFonts w:ascii="Times New Roman" w:hAnsi="Times New Roman"/>
          <w:i/>
          <w:noProof/>
          <w:sz w:val="24"/>
        </w:rPr>
        <w:t>NII</w:t>
      </w:r>
      <w:r>
        <w:rPr>
          <w:rFonts w:ascii="Times New Roman" w:hAnsi="Times New Roman"/>
          <w:noProof/>
          <w:sz w:val="24"/>
        </w:rPr>
        <w:t xml:space="preserve"> līmeni un tirgus vērtības līmeni, parasti uzrāda kā pozitīvu skaitli neatkarīgi no tā, vai tas attiecas uz aktīvu vai saistībām, lai gan jāievēro izņēmumi: tā tas ir gadījumā, kad </w:t>
      </w:r>
      <w:r>
        <w:rPr>
          <w:rFonts w:ascii="Times New Roman" w:hAnsi="Times New Roman"/>
          <w:i/>
          <w:noProof/>
          <w:sz w:val="24"/>
        </w:rPr>
        <w:t>NII</w:t>
      </w:r>
      <w:r>
        <w:rPr>
          <w:rFonts w:ascii="Times New Roman" w:hAnsi="Times New Roman"/>
          <w:noProof/>
          <w:sz w:val="24"/>
        </w:rPr>
        <w:t xml:space="preserve"> līmenis ir negatīvs, ja procentu izdevumi ir lielāki nekā procentu ienākumi pamatscenārijā, vai atvasināto instrumentu gadījumā, kad jāuzrāda atvasināto instrumentu soļu neto vērtības. </w:t>
      </w:r>
    </w:p>
    <w:bookmarkEnd w:id="24"/>
    <w:p w14:paraId="71AA1747" w14:textId="4D01E42B" w:rsidR="001E63FC" w:rsidRPr="005936C2" w:rsidRDefault="008917A8" w:rsidP="00430DF0">
      <w:pPr>
        <w:tabs>
          <w:tab w:val="left" w:pos="567"/>
        </w:tabs>
        <w:suppressAutoHyphens/>
        <w:rPr>
          <w:rFonts w:ascii="Times New Roman" w:hAnsi="Times New Roman"/>
          <w:noProof/>
          <w:sz w:val="24"/>
        </w:rPr>
      </w:pPr>
      <w:r>
        <w:rPr>
          <w:rFonts w:ascii="Times New Roman" w:hAnsi="Times New Roman"/>
          <w:noProof/>
          <w:sz w:val="24"/>
        </w:rPr>
        <w:t>5.2.</w:t>
      </w:r>
      <w:r>
        <w:rPr>
          <w:rFonts w:ascii="Times New Roman" w:hAnsi="Times New Roman"/>
          <w:noProof/>
          <w:sz w:val="24"/>
        </w:rPr>
        <w:tab/>
        <w:t xml:space="preserve">Iestādes uzrāda </w:t>
      </w:r>
      <w:r>
        <w:rPr>
          <w:rFonts w:ascii="Times New Roman" w:hAnsi="Times New Roman"/>
          <w:i/>
          <w:noProof/>
          <w:sz w:val="24"/>
        </w:rPr>
        <w:t>EVE</w:t>
      </w:r>
      <w:r>
        <w:rPr>
          <w:rFonts w:ascii="Times New Roman" w:hAnsi="Times New Roman"/>
          <w:noProof/>
          <w:sz w:val="24"/>
        </w:rPr>
        <w:t xml:space="preserve">, </w:t>
      </w:r>
      <w:r>
        <w:rPr>
          <w:rFonts w:ascii="Times New Roman" w:hAnsi="Times New Roman"/>
          <w:i/>
          <w:noProof/>
          <w:sz w:val="24"/>
        </w:rPr>
        <w:t>NII</w:t>
      </w:r>
      <w:r>
        <w:rPr>
          <w:rFonts w:ascii="Times New Roman" w:hAnsi="Times New Roman"/>
          <w:noProof/>
          <w:sz w:val="24"/>
        </w:rPr>
        <w:t xml:space="preserve"> un tirgus vērtības izmaiņas (Δ) ar pozitīvām vai negatīvām vērtībām atkarībā no variācijas. Iestādes aprēķina Δ kā starpību starp </w:t>
      </w:r>
      <w:r>
        <w:rPr>
          <w:rFonts w:ascii="Times New Roman" w:hAnsi="Times New Roman"/>
          <w:i/>
          <w:noProof/>
          <w:sz w:val="24"/>
        </w:rPr>
        <w:t>EVE</w:t>
      </w:r>
      <w:r>
        <w:rPr>
          <w:rFonts w:ascii="Times New Roman" w:hAnsi="Times New Roman"/>
          <w:noProof/>
          <w:sz w:val="24"/>
        </w:rPr>
        <w:t>/</w:t>
      </w:r>
      <w:r>
        <w:rPr>
          <w:rFonts w:ascii="Times New Roman" w:hAnsi="Times New Roman"/>
          <w:i/>
          <w:noProof/>
          <w:sz w:val="24"/>
        </w:rPr>
        <w:t>NII</w:t>
      </w:r>
      <w:r>
        <w:rPr>
          <w:rFonts w:ascii="Times New Roman" w:hAnsi="Times New Roman"/>
          <w:noProof/>
          <w:sz w:val="24"/>
        </w:rPr>
        <w:t xml:space="preserve">/tirgus vērtību saskaņā ar satricinājuma scenārijiem mīnus pamatscenārijs. Konkrēta aktīva vai saistību </w:t>
      </w:r>
      <w:r>
        <w:rPr>
          <w:rFonts w:ascii="Times New Roman" w:hAnsi="Times New Roman"/>
          <w:i/>
          <w:noProof/>
          <w:sz w:val="24"/>
        </w:rPr>
        <w:t>EVE</w:t>
      </w:r>
      <w:r>
        <w:rPr>
          <w:rFonts w:ascii="Times New Roman" w:hAnsi="Times New Roman"/>
          <w:noProof/>
          <w:sz w:val="24"/>
        </w:rPr>
        <w:t xml:space="preserve"> (un tirgus vērtības) jutīgumu uzrāda kā pozitīvu, ja attiecīgā aktīva vai saistību </w:t>
      </w:r>
      <w:r>
        <w:rPr>
          <w:rFonts w:ascii="Times New Roman" w:hAnsi="Times New Roman"/>
          <w:i/>
          <w:noProof/>
          <w:sz w:val="24"/>
        </w:rPr>
        <w:t>EVE</w:t>
      </w:r>
      <w:r>
        <w:rPr>
          <w:rFonts w:ascii="Times New Roman" w:hAnsi="Times New Roman"/>
          <w:noProof/>
          <w:sz w:val="24"/>
        </w:rPr>
        <w:t xml:space="preserve"> (un tirgus vērtība) palielinās konkrētā IR scenārijā. Līdzīgi konkrēta aktīva vai saistību </w:t>
      </w:r>
      <w:r>
        <w:rPr>
          <w:rFonts w:ascii="Times New Roman" w:hAnsi="Times New Roman"/>
          <w:i/>
          <w:noProof/>
          <w:sz w:val="24"/>
        </w:rPr>
        <w:t>NII</w:t>
      </w:r>
      <w:r>
        <w:rPr>
          <w:rFonts w:ascii="Times New Roman" w:hAnsi="Times New Roman"/>
          <w:noProof/>
          <w:sz w:val="24"/>
        </w:rPr>
        <w:t xml:space="preserve"> jutīgumu uzrāda kā pozitīvu, ja attiecīgā aktīva procentu ienākumi vai attiecīgo saistību procentu izdevumi palielinās konkrētā IR scenārijā.</w:t>
      </w:r>
    </w:p>
    <w:p w14:paraId="254BF615" w14:textId="5C9B2108" w:rsidR="001E63FC" w:rsidRPr="005936C2" w:rsidRDefault="008270ED" w:rsidP="00430DF0">
      <w:pPr>
        <w:tabs>
          <w:tab w:val="left" w:pos="567"/>
        </w:tabs>
        <w:suppressAutoHyphens/>
        <w:rPr>
          <w:rFonts w:ascii="Times New Roman" w:hAnsi="Times New Roman"/>
          <w:noProof/>
          <w:sz w:val="24"/>
        </w:rPr>
      </w:pPr>
      <w:r>
        <w:rPr>
          <w:rFonts w:ascii="Times New Roman" w:hAnsi="Times New Roman"/>
          <w:noProof/>
          <w:sz w:val="24"/>
        </w:rPr>
        <w:t>5.3.</w:t>
      </w:r>
      <w:r>
        <w:rPr>
          <w:rFonts w:ascii="Times New Roman" w:hAnsi="Times New Roman"/>
          <w:noProof/>
          <w:sz w:val="24"/>
        </w:rPr>
        <w:tab/>
        <w:t>Datu punktos, kas attiecas uz nosacītiem riska darījumiem vai uzskaites vērtībām, piemēro to pašu noteikumu, iestādes uzrāda pozitīvas aktīvu un saistību vērtības.</w:t>
      </w:r>
    </w:p>
    <w:p w14:paraId="6E2C3DB2" w14:textId="1AA85B79" w:rsidR="001E63FC" w:rsidRPr="005936C2" w:rsidRDefault="008270ED" w:rsidP="00430DF0">
      <w:pPr>
        <w:tabs>
          <w:tab w:val="left" w:pos="567"/>
        </w:tabs>
        <w:suppressAutoHyphens/>
        <w:rPr>
          <w:rFonts w:ascii="Times New Roman" w:hAnsi="Times New Roman"/>
          <w:noProof/>
          <w:sz w:val="24"/>
        </w:rPr>
      </w:pPr>
      <w:r>
        <w:rPr>
          <w:rFonts w:ascii="Times New Roman" w:hAnsi="Times New Roman"/>
          <w:noProof/>
          <w:sz w:val="24"/>
        </w:rPr>
        <w:t>5.4.</w:t>
      </w:r>
      <w:r>
        <w:rPr>
          <w:rFonts w:ascii="Times New Roman" w:hAnsi="Times New Roman"/>
          <w:noProof/>
          <w:sz w:val="24"/>
        </w:rPr>
        <w:tab/>
        <w:t xml:space="preserve">Iestādes uzrāda pozitīvus parametrus neatkarīgi no tā, vai šie parametri attiecas uz aktīvu vai saistībām, un neatkarīgi no tā, vai šie parametri palielina vai samazina </w:t>
      </w:r>
      <w:r>
        <w:rPr>
          <w:rFonts w:ascii="Times New Roman" w:hAnsi="Times New Roman"/>
          <w:i/>
          <w:noProof/>
          <w:sz w:val="24"/>
        </w:rPr>
        <w:t>IRRBB</w:t>
      </w:r>
      <w:r>
        <w:rPr>
          <w:rFonts w:ascii="Times New Roman" w:hAnsi="Times New Roman"/>
          <w:noProof/>
          <w:sz w:val="24"/>
        </w:rPr>
        <w:t xml:space="preserve"> rādītāju vērtību. Var būt daži izņēmuma gadījumi, kad iestādes uzrāda negatīvus skaitļus par parametriem, tostarp aktīvu/saistību vidējo ienesīgumu, ja pēdējās procentu likmes pārskatīšanas pamatā bija negatīvu tirgus procentu likmju vide. </w:t>
      </w:r>
    </w:p>
    <w:p w14:paraId="318F1B9B" w14:textId="5EF3812F" w:rsidR="00304CA5" w:rsidRPr="008270ED" w:rsidRDefault="6B10FFE8" w:rsidP="00430DF0">
      <w:pPr>
        <w:pStyle w:val="Instructionsberschrift2"/>
        <w:tabs>
          <w:tab w:val="left" w:pos="567"/>
        </w:tabs>
        <w:suppressAutoHyphens/>
        <w:ind w:left="0" w:firstLine="0"/>
        <w:rPr>
          <w:rFonts w:cs="Times New Roman"/>
          <w:b/>
          <w:bCs/>
          <w:noProof/>
          <w:sz w:val="24"/>
        </w:rPr>
      </w:pPr>
      <w:bookmarkStart w:id="25" w:name="_Toc160179414"/>
      <w:r>
        <w:rPr>
          <w:b/>
          <w:noProof/>
          <w:sz w:val="24"/>
        </w:rPr>
        <w:t>Saīsinājumi</w:t>
      </w:r>
      <w:bookmarkEnd w:id="25"/>
    </w:p>
    <w:p w14:paraId="78A799F6" w14:textId="45220F93" w:rsidR="0089002A" w:rsidRPr="00E00C16" w:rsidRDefault="0089002A" w:rsidP="00430DF0">
      <w:pPr>
        <w:tabs>
          <w:tab w:val="left" w:pos="567"/>
        </w:tabs>
        <w:suppressAutoHyphens/>
        <w:rPr>
          <w:rFonts w:ascii="Times New Roman" w:hAnsi="Times New Roman"/>
          <w:noProof/>
          <w:sz w:val="24"/>
        </w:rPr>
      </w:pPr>
      <w:r>
        <w:rPr>
          <w:rFonts w:ascii="Times New Roman" w:hAnsi="Times New Roman"/>
          <w:noProof/>
          <w:sz w:val="24"/>
        </w:rPr>
        <w:t>Uz pašu kapitāla ekonomisko vērtību atsaucas kā uz “</w:t>
      </w:r>
      <w:r>
        <w:rPr>
          <w:rFonts w:ascii="Times New Roman" w:hAnsi="Times New Roman"/>
          <w:i/>
          <w:noProof/>
          <w:sz w:val="24"/>
        </w:rPr>
        <w:t>EVE</w:t>
      </w:r>
      <w:r>
        <w:rPr>
          <w:rFonts w:ascii="Times New Roman" w:hAnsi="Times New Roman"/>
          <w:noProof/>
          <w:sz w:val="24"/>
        </w:rPr>
        <w:t>”, uz neto procentu ienākumiem – kā uz “</w:t>
      </w:r>
      <w:r>
        <w:rPr>
          <w:rFonts w:ascii="Times New Roman" w:hAnsi="Times New Roman"/>
          <w:i/>
          <w:noProof/>
          <w:sz w:val="24"/>
        </w:rPr>
        <w:t>NII</w:t>
      </w:r>
      <w:r>
        <w:rPr>
          <w:rFonts w:ascii="Times New Roman" w:hAnsi="Times New Roman"/>
          <w:noProof/>
          <w:sz w:val="24"/>
        </w:rPr>
        <w:t>”, uz tirgus vērtību – kā uz “</w:t>
      </w:r>
      <w:r>
        <w:rPr>
          <w:rFonts w:ascii="Times New Roman" w:hAnsi="Times New Roman"/>
          <w:i/>
          <w:noProof/>
          <w:sz w:val="24"/>
        </w:rPr>
        <w:t>MV</w:t>
      </w:r>
      <w:r>
        <w:rPr>
          <w:rFonts w:ascii="Times New Roman" w:hAnsi="Times New Roman"/>
          <w:noProof/>
          <w:sz w:val="24"/>
        </w:rPr>
        <w:t>”, uz izlecošo vērtību uzraudzības pārbaudi – kā uz “</w:t>
      </w:r>
      <w:r>
        <w:rPr>
          <w:rFonts w:ascii="Times New Roman" w:hAnsi="Times New Roman"/>
          <w:i/>
          <w:noProof/>
          <w:sz w:val="24"/>
        </w:rPr>
        <w:t>SOT</w:t>
      </w:r>
      <w:r>
        <w:rPr>
          <w:rFonts w:ascii="Times New Roman" w:hAnsi="Times New Roman"/>
          <w:noProof/>
          <w:sz w:val="24"/>
        </w:rPr>
        <w:t>”, uz beztermiņa noguldījumiem – kā uz “</w:t>
      </w:r>
      <w:r>
        <w:rPr>
          <w:rFonts w:ascii="Times New Roman" w:hAnsi="Times New Roman"/>
          <w:i/>
          <w:noProof/>
          <w:sz w:val="24"/>
        </w:rPr>
        <w:t>NMD</w:t>
      </w:r>
      <w:r>
        <w:rPr>
          <w:rFonts w:ascii="Times New Roman" w:hAnsi="Times New Roman"/>
          <w:noProof/>
          <w:sz w:val="24"/>
        </w:rPr>
        <w:t>”, uz iekšējo mērīšanas sistēmu – kā uz “IMS”, uz standartizētu pieeju – kā uz “</w:t>
      </w:r>
      <w:r>
        <w:rPr>
          <w:rFonts w:ascii="Times New Roman" w:hAnsi="Times New Roman"/>
          <w:i/>
          <w:noProof/>
          <w:sz w:val="24"/>
        </w:rPr>
        <w:t>SA</w:t>
      </w:r>
      <w:r>
        <w:rPr>
          <w:rFonts w:ascii="Times New Roman" w:hAnsi="Times New Roman"/>
          <w:noProof/>
          <w:sz w:val="24"/>
        </w:rPr>
        <w:t>”.</w:t>
      </w:r>
    </w:p>
    <w:p w14:paraId="7DD577D3" w14:textId="443C35E6" w:rsidR="009A03CD" w:rsidRPr="008270ED" w:rsidRDefault="008270ED" w:rsidP="00430DF0">
      <w:pPr>
        <w:pStyle w:val="Instructionsberschrift2"/>
        <w:numPr>
          <w:ilvl w:val="0"/>
          <w:numId w:val="0"/>
        </w:numPr>
        <w:tabs>
          <w:tab w:val="left" w:pos="567"/>
        </w:tabs>
        <w:suppressAutoHyphens/>
        <w:rPr>
          <w:rFonts w:cs="Times New Roman"/>
          <w:b/>
          <w:bCs/>
          <w:noProof/>
          <w:sz w:val="24"/>
        </w:rPr>
      </w:pPr>
      <w:bookmarkStart w:id="26" w:name="_Toc160179415"/>
      <w:r>
        <w:rPr>
          <w:b/>
          <w:noProof/>
          <w:sz w:val="24"/>
        </w:rPr>
        <w:t>7.</w:t>
      </w:r>
      <w:r>
        <w:rPr>
          <w:b/>
          <w:noProof/>
          <w:sz w:val="24"/>
        </w:rPr>
        <w:tab/>
        <w:t>Cita pieņemtā prakse</w:t>
      </w:r>
      <w:bookmarkEnd w:id="26"/>
    </w:p>
    <w:p w14:paraId="345BE7C5" w14:textId="2AFD3B9C" w:rsidR="009A03CD" w:rsidRPr="00E00C16" w:rsidRDefault="008270ED" w:rsidP="00430DF0">
      <w:pPr>
        <w:tabs>
          <w:tab w:val="left" w:pos="567"/>
        </w:tabs>
        <w:suppressAutoHyphens/>
        <w:rPr>
          <w:rFonts w:ascii="Times New Roman" w:hAnsi="Times New Roman"/>
          <w:noProof/>
          <w:sz w:val="24"/>
        </w:rPr>
      </w:pPr>
      <w:r>
        <w:rPr>
          <w:rFonts w:ascii="Times New Roman" w:hAnsi="Times New Roman"/>
          <w:noProof/>
          <w:sz w:val="24"/>
        </w:rPr>
        <w:t>7.1.</w:t>
      </w:r>
      <w:r>
        <w:rPr>
          <w:rFonts w:ascii="Times New Roman" w:hAnsi="Times New Roman"/>
          <w:noProof/>
          <w:sz w:val="24"/>
        </w:rPr>
        <w:tab/>
        <w:t xml:space="preserve">Visā šajā pielikumā ir atsauces uz Deleģēto regulu (ES) .../... (PB: lūgums pievienot atsauci uz RTS par </w:t>
      </w:r>
      <w:r>
        <w:rPr>
          <w:rFonts w:ascii="Times New Roman" w:hAnsi="Times New Roman"/>
          <w:i/>
          <w:noProof/>
          <w:sz w:val="24"/>
        </w:rPr>
        <w:t>SOT</w:t>
      </w:r>
      <w:r>
        <w:rPr>
          <w:rFonts w:ascii="Times New Roman" w:hAnsi="Times New Roman"/>
          <w:noProof/>
          <w:sz w:val="24"/>
        </w:rPr>
        <w:t xml:space="preserve">) vai uz “RTS par </w:t>
      </w:r>
      <w:r>
        <w:rPr>
          <w:rFonts w:ascii="Times New Roman" w:hAnsi="Times New Roman"/>
          <w:i/>
          <w:noProof/>
          <w:sz w:val="24"/>
        </w:rPr>
        <w:t>SOT</w:t>
      </w:r>
      <w:r>
        <w:rPr>
          <w:rFonts w:ascii="Times New Roman" w:hAnsi="Times New Roman"/>
          <w:noProof/>
          <w:sz w:val="24"/>
        </w:rPr>
        <w:t xml:space="preserve">” un Deleģēto regulu (ES) .../... (PB: lūgums pievienot atsauci uz RTS par </w:t>
      </w:r>
      <w:r>
        <w:rPr>
          <w:rFonts w:ascii="Times New Roman" w:hAnsi="Times New Roman"/>
          <w:i/>
          <w:noProof/>
          <w:sz w:val="24"/>
        </w:rPr>
        <w:t>SA</w:t>
      </w:r>
      <w:r>
        <w:rPr>
          <w:rFonts w:ascii="Times New Roman" w:hAnsi="Times New Roman"/>
          <w:noProof/>
          <w:sz w:val="24"/>
        </w:rPr>
        <w:t xml:space="preserve">) vai “RTS par </w:t>
      </w:r>
      <w:r>
        <w:rPr>
          <w:rFonts w:ascii="Times New Roman" w:hAnsi="Times New Roman"/>
          <w:i/>
          <w:noProof/>
          <w:sz w:val="24"/>
        </w:rPr>
        <w:t>SA</w:t>
      </w:r>
      <w:r>
        <w:rPr>
          <w:rFonts w:ascii="Times New Roman" w:hAnsi="Times New Roman"/>
          <w:noProof/>
          <w:sz w:val="24"/>
        </w:rPr>
        <w:t xml:space="preserve">”. Ja tekstā ir atsauce uz definīcijām, kas noteiktas Deleģētajā regulā (ES) .../... (PB: lūgums pievienot atsauci uz RTS par </w:t>
      </w:r>
      <w:r>
        <w:rPr>
          <w:rFonts w:ascii="Times New Roman" w:hAnsi="Times New Roman"/>
          <w:i/>
          <w:noProof/>
          <w:sz w:val="24"/>
        </w:rPr>
        <w:t>SA</w:t>
      </w:r>
      <w:r>
        <w:rPr>
          <w:rFonts w:ascii="Times New Roman" w:hAnsi="Times New Roman"/>
          <w:noProof/>
          <w:sz w:val="24"/>
        </w:rPr>
        <w:t xml:space="preserve">), minētās definīcijas piemēro visām pārskatus sniedzošajām iestādēm (ne tikai tām, kuras piemēro </w:t>
      </w:r>
      <w:r>
        <w:rPr>
          <w:rFonts w:ascii="Times New Roman" w:hAnsi="Times New Roman"/>
          <w:i/>
          <w:noProof/>
          <w:sz w:val="24"/>
        </w:rPr>
        <w:t>SA</w:t>
      </w:r>
      <w:r>
        <w:rPr>
          <w:rFonts w:ascii="Times New Roman" w:hAnsi="Times New Roman"/>
          <w:noProof/>
          <w:sz w:val="24"/>
        </w:rPr>
        <w:t>).</w:t>
      </w:r>
    </w:p>
    <w:p w14:paraId="6E98BFAD" w14:textId="6539675D" w:rsidR="000F5488" w:rsidRPr="00E00C16" w:rsidRDefault="008270ED" w:rsidP="00430DF0">
      <w:pPr>
        <w:suppressAutoHyphens/>
        <w:rPr>
          <w:rFonts w:ascii="Times New Roman" w:hAnsi="Times New Roman"/>
          <w:noProof/>
          <w:sz w:val="24"/>
        </w:rPr>
      </w:pPr>
      <w:r>
        <w:rPr>
          <w:rFonts w:ascii="Times New Roman" w:hAnsi="Times New Roman"/>
          <w:noProof/>
          <w:sz w:val="24"/>
        </w:rPr>
        <w:t>7.2.</w:t>
      </w:r>
      <w:r>
        <w:rPr>
          <w:rFonts w:ascii="Times New Roman" w:hAnsi="Times New Roman"/>
          <w:noProof/>
          <w:sz w:val="24"/>
        </w:rPr>
        <w:tab/>
        <w:t xml:space="preserve">Uz šo pielikumu attiecas Deleģētās regulas (ES) .../... (PB: lūgums pievienot atsauci uz RTS par </w:t>
      </w:r>
      <w:r>
        <w:rPr>
          <w:rFonts w:ascii="Times New Roman" w:hAnsi="Times New Roman"/>
          <w:i/>
          <w:noProof/>
          <w:sz w:val="24"/>
        </w:rPr>
        <w:t>SA</w:t>
      </w:r>
      <w:r>
        <w:rPr>
          <w:rFonts w:ascii="Times New Roman" w:hAnsi="Times New Roman"/>
          <w:noProof/>
          <w:sz w:val="24"/>
        </w:rPr>
        <w:t>) 1. pantā noteiktās definīcijas.</w:t>
      </w:r>
    </w:p>
    <w:p w14:paraId="3E52DFA5" w14:textId="77777777" w:rsidR="00194120" w:rsidRPr="00D82419" w:rsidRDefault="00194120" w:rsidP="00430DF0">
      <w:pPr>
        <w:suppressAutoHyphens/>
        <w:spacing w:before="0" w:after="0"/>
        <w:jc w:val="left"/>
        <w:rPr>
          <w:rFonts w:ascii="Times New Roman" w:eastAsia="Arial" w:hAnsi="Times New Roman"/>
          <w:b/>
          <w:noProof/>
          <w:sz w:val="24"/>
        </w:rPr>
      </w:pPr>
      <w:bookmarkStart w:id="27" w:name="_Toc360188322"/>
      <w:bookmarkStart w:id="28" w:name="_Toc473560870"/>
      <w:r>
        <w:rPr>
          <w:noProof/>
        </w:rPr>
        <w:br w:type="page"/>
      </w:r>
    </w:p>
    <w:p w14:paraId="039B9D1F" w14:textId="6E355974" w:rsidR="002648B0" w:rsidRPr="00D82419" w:rsidRDefault="002648B0" w:rsidP="00430DF0">
      <w:pPr>
        <w:pStyle w:val="Heading2"/>
        <w:suppressAutoHyphens/>
        <w:rPr>
          <w:noProof/>
        </w:rPr>
      </w:pPr>
      <w:bookmarkStart w:id="29" w:name="_Toc160179416"/>
      <w:r>
        <w:rPr>
          <w:noProof/>
        </w:rPr>
        <w:t xml:space="preserve">II DAĻA. </w:t>
      </w:r>
      <w:r>
        <w:rPr>
          <w:i/>
          <w:noProof/>
        </w:rPr>
        <w:t>IRRBB</w:t>
      </w:r>
      <w:r>
        <w:rPr>
          <w:noProof/>
        </w:rPr>
        <w:t xml:space="preserve"> NOVĒRTĒJUMS: </w:t>
      </w:r>
      <w:r>
        <w:rPr>
          <w:i/>
          <w:noProof/>
        </w:rPr>
        <w:t>EVE/NII SOT</w:t>
      </w:r>
      <w:r>
        <w:rPr>
          <w:noProof/>
        </w:rPr>
        <w:t xml:space="preserve"> UN TIRGUS VĒRTĪBAS IZMAIŅAS</w:t>
      </w:r>
      <w:bookmarkEnd w:id="27"/>
      <w:bookmarkEnd w:id="28"/>
      <w:r>
        <w:rPr>
          <w:noProof/>
        </w:rPr>
        <w:t xml:space="preserve"> (J 01.00)</w:t>
      </w:r>
      <w:bookmarkEnd w:id="29"/>
    </w:p>
    <w:p w14:paraId="5E8C221B" w14:textId="1A9ECE3A" w:rsidR="002648B0" w:rsidRPr="008270ED" w:rsidRDefault="008270ED" w:rsidP="00430DF0">
      <w:pPr>
        <w:pStyle w:val="Instructionsberschrift2"/>
        <w:numPr>
          <w:ilvl w:val="0"/>
          <w:numId w:val="0"/>
        </w:numPr>
        <w:tabs>
          <w:tab w:val="left" w:pos="567"/>
        </w:tabs>
        <w:suppressAutoHyphens/>
        <w:rPr>
          <w:rFonts w:cs="Times New Roman"/>
          <w:b/>
          <w:bCs/>
          <w:noProof/>
          <w:sz w:val="24"/>
        </w:rPr>
      </w:pPr>
      <w:bookmarkStart w:id="30" w:name="_Toc308175819"/>
      <w:bookmarkStart w:id="31" w:name="_Toc360188324"/>
      <w:bookmarkStart w:id="32" w:name="_Toc473560872"/>
      <w:bookmarkStart w:id="33" w:name="_Toc160179417"/>
      <w:r>
        <w:rPr>
          <w:b/>
          <w:noProof/>
          <w:sz w:val="24"/>
        </w:rPr>
        <w:t>1.</w:t>
      </w:r>
      <w:r>
        <w:rPr>
          <w:b/>
          <w:noProof/>
          <w:sz w:val="24"/>
        </w:rPr>
        <w:tab/>
        <w:t>Vispārīgas piezīmes</w:t>
      </w:r>
      <w:bookmarkEnd w:id="30"/>
      <w:bookmarkEnd w:id="31"/>
      <w:bookmarkEnd w:id="32"/>
      <w:bookmarkEnd w:id="33"/>
    </w:p>
    <w:p w14:paraId="058939E3" w14:textId="4759F0EB" w:rsidR="009E536A" w:rsidRPr="00E00C16" w:rsidRDefault="008270ED"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 xml:space="preserve">Veidnē J 01.00 ietverti </w:t>
      </w:r>
      <w:r>
        <w:rPr>
          <w:rFonts w:ascii="Times New Roman" w:hAnsi="Times New Roman"/>
          <w:i/>
          <w:noProof/>
          <w:sz w:val="24"/>
        </w:rPr>
        <w:t>EVE</w:t>
      </w:r>
      <w:r>
        <w:rPr>
          <w:rFonts w:ascii="Times New Roman" w:hAnsi="Times New Roman"/>
          <w:noProof/>
          <w:sz w:val="24"/>
        </w:rPr>
        <w:t xml:space="preserve"> līmeņi un izmaiņas (Δ</w:t>
      </w:r>
      <w:r>
        <w:rPr>
          <w:rFonts w:ascii="Times New Roman" w:hAnsi="Times New Roman"/>
          <w:i/>
          <w:noProof/>
          <w:sz w:val="24"/>
        </w:rPr>
        <w:t>EVE</w:t>
      </w:r>
      <w:r>
        <w:rPr>
          <w:rFonts w:ascii="Times New Roman" w:hAnsi="Times New Roman"/>
          <w:noProof/>
          <w:sz w:val="24"/>
        </w:rPr>
        <w:t xml:space="preserve">) un </w:t>
      </w:r>
      <w:r>
        <w:rPr>
          <w:rFonts w:ascii="Times New Roman" w:hAnsi="Times New Roman"/>
          <w:i/>
          <w:noProof/>
          <w:sz w:val="24"/>
        </w:rPr>
        <w:t>NII</w:t>
      </w:r>
      <w:r>
        <w:rPr>
          <w:rFonts w:ascii="Times New Roman" w:hAnsi="Times New Roman"/>
          <w:noProof/>
          <w:sz w:val="24"/>
        </w:rPr>
        <w:t xml:space="preserve"> līmeņi un izmaiņas (Δ</w:t>
      </w:r>
      <w:r>
        <w:rPr>
          <w:rFonts w:ascii="Times New Roman" w:hAnsi="Times New Roman"/>
          <w:i/>
          <w:noProof/>
          <w:sz w:val="24"/>
        </w:rPr>
        <w:t>NII</w:t>
      </w:r>
      <w:r>
        <w:rPr>
          <w:rFonts w:ascii="Times New Roman" w:hAnsi="Times New Roman"/>
          <w:noProof/>
          <w:sz w:val="24"/>
        </w:rPr>
        <w:t xml:space="preserve">), kas aprēķinātas saskaņā ar </w:t>
      </w:r>
      <w:bookmarkStart w:id="34" w:name="_Hlk148976351"/>
      <w:r>
        <w:rPr>
          <w:rFonts w:ascii="Times New Roman" w:hAnsi="Times New Roman"/>
          <w:noProof/>
          <w:sz w:val="24"/>
        </w:rPr>
        <w:t xml:space="preserve">Deleģēto regulu (ES) …/… (PB: lūgums pievienot atsauci uz </w:t>
      </w:r>
      <w:bookmarkEnd w:id="34"/>
      <w:r>
        <w:rPr>
          <w:rFonts w:ascii="Times New Roman" w:hAnsi="Times New Roman"/>
          <w:noProof/>
          <w:sz w:val="24"/>
        </w:rPr>
        <w:t xml:space="preserve">RTS par </w:t>
      </w:r>
      <w:r>
        <w:rPr>
          <w:rFonts w:ascii="Times New Roman" w:hAnsi="Times New Roman"/>
          <w:i/>
          <w:noProof/>
          <w:sz w:val="24"/>
        </w:rPr>
        <w:t>SOT</w:t>
      </w:r>
      <w:r>
        <w:rPr>
          <w:rFonts w:ascii="Times New Roman" w:hAnsi="Times New Roman"/>
          <w:noProof/>
          <w:sz w:val="24"/>
        </w:rPr>
        <w:t xml:space="preserve">), kā arī tirgus vērtības līmenis un izmaiņas, kas aprēķinātas saskaņā ar iekšējiem riska pārvaldības kritērijiem, ņemot vērā viena gada periodu un nemainīgas bilances pieņēmumu. Tā cita starpā ietver procentu likmju satricinājumu noteikto lielumu valūtām, kas nav minētas Deleģētās regulas (ES) .../... (PB: lūgums pievienot atsauci uz RTS par </w:t>
      </w:r>
      <w:r>
        <w:rPr>
          <w:rFonts w:ascii="Times New Roman" w:hAnsi="Times New Roman"/>
          <w:i/>
          <w:noProof/>
          <w:sz w:val="24"/>
        </w:rPr>
        <w:t>SOT</w:t>
      </w:r>
      <w:r>
        <w:rPr>
          <w:rFonts w:ascii="Times New Roman" w:hAnsi="Times New Roman"/>
          <w:noProof/>
          <w:sz w:val="24"/>
        </w:rPr>
        <w:t>) pielikuma A daļā, un Δ</w:t>
      </w:r>
      <w:r>
        <w:rPr>
          <w:rFonts w:ascii="Times New Roman" w:hAnsi="Times New Roman"/>
          <w:i/>
          <w:noProof/>
          <w:sz w:val="24"/>
        </w:rPr>
        <w:t>EVE</w:t>
      </w:r>
      <w:r>
        <w:rPr>
          <w:rFonts w:ascii="Times New Roman" w:hAnsi="Times New Roman"/>
          <w:noProof/>
          <w:sz w:val="24"/>
        </w:rPr>
        <w:t xml:space="preserve"> un Δ</w:t>
      </w:r>
      <w:r>
        <w:rPr>
          <w:rFonts w:ascii="Times New Roman" w:hAnsi="Times New Roman"/>
          <w:i/>
          <w:noProof/>
          <w:sz w:val="24"/>
        </w:rPr>
        <w:t>NII</w:t>
      </w:r>
      <w:r>
        <w:rPr>
          <w:rFonts w:ascii="Times New Roman" w:hAnsi="Times New Roman"/>
          <w:noProof/>
          <w:sz w:val="24"/>
        </w:rPr>
        <w:t xml:space="preserve"> attiecību pret pirmā līmeņa kapitālu saskaņā ar Regulas (ES) Nr. 575/2013 25. pantu, Δ</w:t>
      </w:r>
      <w:r>
        <w:rPr>
          <w:rFonts w:ascii="Times New Roman" w:hAnsi="Times New Roman"/>
          <w:i/>
          <w:noProof/>
          <w:sz w:val="24"/>
        </w:rPr>
        <w:t>EVE</w:t>
      </w:r>
      <w:r>
        <w:rPr>
          <w:rFonts w:ascii="Times New Roman" w:hAnsi="Times New Roman"/>
          <w:noProof/>
          <w:sz w:val="24"/>
        </w:rPr>
        <w:t xml:space="preserve"> un ΔN</w:t>
      </w:r>
      <w:r>
        <w:rPr>
          <w:rFonts w:ascii="Times New Roman" w:hAnsi="Times New Roman"/>
          <w:i/>
          <w:noProof/>
          <w:sz w:val="24"/>
        </w:rPr>
        <w:t>II</w:t>
      </w:r>
      <w:r>
        <w:rPr>
          <w:rFonts w:ascii="Times New Roman" w:hAnsi="Times New Roman"/>
          <w:noProof/>
          <w:sz w:val="24"/>
        </w:rPr>
        <w:t xml:space="preserve"> sliktākajos scenārijos un </w:t>
      </w:r>
      <w:r>
        <w:rPr>
          <w:rFonts w:ascii="Times New Roman" w:hAnsi="Times New Roman"/>
          <w:i/>
          <w:noProof/>
          <w:sz w:val="24"/>
        </w:rPr>
        <w:t>EVE</w:t>
      </w:r>
      <w:r>
        <w:rPr>
          <w:rFonts w:ascii="Times New Roman" w:hAnsi="Times New Roman"/>
          <w:noProof/>
          <w:sz w:val="24"/>
        </w:rPr>
        <w:t xml:space="preserve"> un </w:t>
      </w:r>
      <w:r>
        <w:rPr>
          <w:rFonts w:ascii="Times New Roman" w:hAnsi="Times New Roman"/>
          <w:i/>
          <w:noProof/>
          <w:sz w:val="24"/>
        </w:rPr>
        <w:t>NII</w:t>
      </w:r>
      <w:r>
        <w:rPr>
          <w:rFonts w:ascii="Times New Roman" w:hAnsi="Times New Roman"/>
          <w:noProof/>
          <w:sz w:val="24"/>
        </w:rPr>
        <w:t xml:space="preserve"> līmeni pamatscenārijā, kā arī Δ</w:t>
      </w:r>
      <w:r>
        <w:rPr>
          <w:rFonts w:ascii="Times New Roman" w:hAnsi="Times New Roman"/>
          <w:i/>
          <w:noProof/>
          <w:sz w:val="24"/>
        </w:rPr>
        <w:t>EVE</w:t>
      </w:r>
      <w:r>
        <w:rPr>
          <w:rFonts w:ascii="Times New Roman" w:hAnsi="Times New Roman"/>
          <w:noProof/>
          <w:sz w:val="24"/>
        </w:rPr>
        <w:t>, Δ</w:t>
      </w:r>
      <w:r>
        <w:rPr>
          <w:rFonts w:ascii="Times New Roman" w:hAnsi="Times New Roman"/>
          <w:i/>
          <w:noProof/>
          <w:sz w:val="24"/>
        </w:rPr>
        <w:t>NII</w:t>
      </w:r>
      <w:r>
        <w:rPr>
          <w:rFonts w:ascii="Times New Roman" w:hAnsi="Times New Roman"/>
          <w:noProof/>
          <w:sz w:val="24"/>
        </w:rPr>
        <w:t xml:space="preserve"> un Δ</w:t>
      </w:r>
      <w:r>
        <w:rPr>
          <w:rFonts w:ascii="Times New Roman" w:hAnsi="Times New Roman"/>
          <w:i/>
          <w:noProof/>
          <w:sz w:val="24"/>
        </w:rPr>
        <w:t>MV</w:t>
      </w:r>
      <w:r>
        <w:rPr>
          <w:rFonts w:ascii="Times New Roman" w:hAnsi="Times New Roman"/>
          <w:noProof/>
          <w:sz w:val="24"/>
        </w:rPr>
        <w:t xml:space="preserve"> konkrētos regulatīvos procentu likmju satricinājuma scenārijos. </w:t>
      </w:r>
    </w:p>
    <w:p w14:paraId="6EACD58F" w14:textId="1E152994" w:rsidR="003F1439" w:rsidRPr="00E00C16" w:rsidRDefault="008270ED"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 xml:space="preserve">Šo veidni uzrāda atsevišķi par katru valūtu, kas iekļauta </w:t>
      </w:r>
      <w:r>
        <w:rPr>
          <w:rFonts w:ascii="Times New Roman" w:hAnsi="Times New Roman"/>
          <w:i/>
          <w:noProof/>
          <w:sz w:val="24"/>
        </w:rPr>
        <w:t>SOT</w:t>
      </w:r>
      <w:r>
        <w:rPr>
          <w:rFonts w:ascii="Times New Roman" w:hAnsi="Times New Roman"/>
          <w:noProof/>
          <w:sz w:val="24"/>
        </w:rPr>
        <w:t xml:space="preserve"> aprēķinā saskaņā ar Deleģētās regulas (ES) .../... (PB: lūgums pievienot atsauci uz RTS par </w:t>
      </w:r>
      <w:r>
        <w:rPr>
          <w:rFonts w:ascii="Times New Roman" w:hAnsi="Times New Roman"/>
          <w:i/>
          <w:noProof/>
          <w:sz w:val="24"/>
        </w:rPr>
        <w:t>SOT</w:t>
      </w:r>
      <w:r>
        <w:rPr>
          <w:rFonts w:ascii="Times New Roman" w:hAnsi="Times New Roman"/>
          <w:noProof/>
          <w:sz w:val="24"/>
        </w:rPr>
        <w:t>) 1. panta 3. un 4.</w:t>
      </w:r>
      <w:r w:rsidR="00FB620E">
        <w:rPr>
          <w:rFonts w:ascii="Times New Roman" w:hAnsi="Times New Roman"/>
          <w:noProof/>
          <w:sz w:val="24"/>
        </w:rPr>
        <w:t> </w:t>
      </w:r>
      <w:r>
        <w:rPr>
          <w:rFonts w:ascii="Times New Roman" w:hAnsi="Times New Roman"/>
          <w:noProof/>
          <w:sz w:val="24"/>
        </w:rPr>
        <w:t xml:space="preserve">punktu, kā arī par visu to valūtu kopsavilkumu, uz kurām attiecas minētās deleģētās regulas 1. panta 4. punkts. Aprēķinot apvienotās izmaiņas (visām valūtām) katram procentu likmju satricinājuma scenārijam, piemēro Deleģētās regulas (ES) .../... (PB: lūgums pievienot atsauci uz RTS par </w:t>
      </w:r>
      <w:r>
        <w:rPr>
          <w:rFonts w:ascii="Times New Roman" w:hAnsi="Times New Roman"/>
          <w:i/>
          <w:noProof/>
          <w:sz w:val="24"/>
        </w:rPr>
        <w:t>SOT</w:t>
      </w:r>
      <w:r>
        <w:rPr>
          <w:rFonts w:ascii="Times New Roman" w:hAnsi="Times New Roman"/>
          <w:noProof/>
          <w:sz w:val="24"/>
        </w:rPr>
        <w:t xml:space="preserve">) 3. panta 8. punktu. </w:t>
      </w:r>
    </w:p>
    <w:p w14:paraId="1640AAF5" w14:textId="0B192E8A" w:rsidR="002648B0" w:rsidRPr="008270ED" w:rsidRDefault="008270ED" w:rsidP="00430DF0">
      <w:pPr>
        <w:pStyle w:val="Instructionsberschrift2"/>
        <w:numPr>
          <w:ilvl w:val="0"/>
          <w:numId w:val="0"/>
        </w:numPr>
        <w:tabs>
          <w:tab w:val="left" w:pos="567"/>
        </w:tabs>
        <w:suppressAutoHyphens/>
        <w:rPr>
          <w:rFonts w:cs="Times New Roman"/>
          <w:b/>
          <w:bCs/>
          <w:noProof/>
          <w:sz w:val="24"/>
        </w:rPr>
      </w:pPr>
      <w:bookmarkStart w:id="35" w:name="_Toc120119047"/>
      <w:bookmarkStart w:id="36" w:name="_Toc120185008"/>
      <w:bookmarkStart w:id="37" w:name="_Toc120119048"/>
      <w:bookmarkStart w:id="38" w:name="_Toc120185009"/>
      <w:bookmarkStart w:id="39" w:name="_Toc117022065"/>
      <w:bookmarkStart w:id="40" w:name="_Toc119940195"/>
      <w:bookmarkStart w:id="41" w:name="_Toc120119049"/>
      <w:bookmarkStart w:id="42" w:name="_Toc120185010"/>
      <w:bookmarkStart w:id="43" w:name="_Toc308175821"/>
      <w:bookmarkStart w:id="44" w:name="_Toc310414968"/>
      <w:bookmarkStart w:id="45" w:name="_Toc360188326"/>
      <w:bookmarkStart w:id="46" w:name="_Toc473560874"/>
      <w:bookmarkStart w:id="47" w:name="_Toc160179418"/>
      <w:bookmarkEnd w:id="35"/>
      <w:bookmarkEnd w:id="36"/>
      <w:bookmarkEnd w:id="37"/>
      <w:bookmarkEnd w:id="38"/>
      <w:bookmarkEnd w:id="39"/>
      <w:bookmarkEnd w:id="40"/>
      <w:bookmarkEnd w:id="41"/>
      <w:bookmarkEnd w:id="42"/>
      <w:r>
        <w:rPr>
          <w:b/>
          <w:noProof/>
          <w:sz w:val="24"/>
        </w:rPr>
        <w:t>2.</w:t>
      </w:r>
      <w:r>
        <w:rPr>
          <w:b/>
          <w:noProof/>
          <w:sz w:val="24"/>
        </w:rPr>
        <w:tab/>
        <w:t xml:space="preserve">Norādes par konkrētām </w:t>
      </w:r>
      <w:bookmarkEnd w:id="43"/>
      <w:bookmarkEnd w:id="44"/>
      <w:r>
        <w:rPr>
          <w:b/>
          <w:noProof/>
          <w:sz w:val="24"/>
        </w:rPr>
        <w:t>pozīcijām</w:t>
      </w:r>
      <w:bookmarkEnd w:id="45"/>
      <w:bookmarkEnd w:id="46"/>
      <w:bookmarkEnd w:id="4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F50A3" w:rsidRPr="00D82419" w14:paraId="0146FE7A" w14:textId="77777777" w:rsidTr="63452C95">
        <w:tc>
          <w:tcPr>
            <w:tcW w:w="1129" w:type="dxa"/>
            <w:shd w:val="clear" w:color="auto" w:fill="D9D9D9" w:themeFill="background1" w:themeFillShade="D9"/>
          </w:tcPr>
          <w:bookmarkEnd w:id="0"/>
          <w:bookmarkEnd w:id="1"/>
          <w:p w14:paraId="285A3474" w14:textId="77777777" w:rsidR="009F50A3" w:rsidRPr="00D82419" w:rsidRDefault="009F50A3" w:rsidP="003C575D">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Rinda</w:t>
            </w:r>
          </w:p>
        </w:tc>
        <w:tc>
          <w:tcPr>
            <w:tcW w:w="7620" w:type="dxa"/>
            <w:shd w:val="clear" w:color="auto" w:fill="D9D9D9" w:themeFill="background1" w:themeFillShade="D9"/>
          </w:tcPr>
          <w:p w14:paraId="279B0622" w14:textId="438CF73E" w:rsidR="009F50A3" w:rsidRPr="00D82419" w:rsidRDefault="009F50A3"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Atsauces uz tiesību aktiem un norādes</w:t>
            </w:r>
          </w:p>
        </w:tc>
      </w:tr>
      <w:tr w:rsidR="009F50A3" w:rsidRPr="00D82419" w14:paraId="7FD2A05C" w14:textId="77777777" w:rsidTr="63452C95">
        <w:tc>
          <w:tcPr>
            <w:tcW w:w="1129" w:type="dxa"/>
          </w:tcPr>
          <w:p w14:paraId="007928D7" w14:textId="440B3C20" w:rsidR="009F50A3" w:rsidRPr="00D82419" w:rsidRDefault="6AA5F51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0010-0090</w:t>
            </w:r>
          </w:p>
        </w:tc>
        <w:tc>
          <w:tcPr>
            <w:tcW w:w="7620" w:type="dxa"/>
          </w:tcPr>
          <w:p w14:paraId="25526098" w14:textId="3A2A11C6" w:rsidR="00D75F04" w:rsidRPr="00D82419" w:rsidRDefault="00D75F0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Pašu kapitāla ekonomiskā vērtība</w:t>
            </w:r>
          </w:p>
          <w:p w14:paraId="4C6CAA6B" w14:textId="3079F343" w:rsidR="009F50A3" w:rsidRPr="00D82419" w:rsidRDefault="700069C0" w:rsidP="003C575D">
            <w:pPr>
              <w:pStyle w:val="InstructionsText"/>
              <w:rPr>
                <w:rStyle w:val="FormatvorlageInstructionsTabelleText"/>
                <w:rFonts w:ascii="Times New Roman" w:hAnsi="Times New Roman"/>
                <w:noProof/>
                <w:sz w:val="24"/>
              </w:rPr>
            </w:pPr>
            <w:r>
              <w:rPr>
                <w:rStyle w:val="InstructionsTabelleberschrift"/>
                <w:rFonts w:ascii="Times New Roman" w:hAnsi="Times New Roman"/>
                <w:b w:val="0"/>
                <w:i/>
                <w:noProof/>
                <w:sz w:val="24"/>
                <w:u w:val="none"/>
              </w:rPr>
              <w:t>EVE</w:t>
            </w:r>
            <w:r>
              <w:rPr>
                <w:rStyle w:val="InstructionsTabelleberschrift"/>
                <w:rFonts w:ascii="Times New Roman" w:hAnsi="Times New Roman"/>
                <w:b w:val="0"/>
                <w:noProof/>
                <w:sz w:val="24"/>
                <w:u w:val="none"/>
              </w:rPr>
              <w:t xml:space="preserve"> aplēses, kas aprēķinātas saskaņā ar </w:t>
            </w:r>
            <w:r>
              <w:rPr>
                <w:noProof/>
              </w:rPr>
              <w:t>Direktīvas 2013/36/ES 98. panta 5.</w:t>
            </w:r>
            <w:r w:rsidR="00FB620E">
              <w:rPr>
                <w:noProof/>
              </w:rPr>
              <w:t> </w:t>
            </w:r>
            <w:r>
              <w:rPr>
                <w:noProof/>
              </w:rPr>
              <w:t xml:space="preserve">punkta a) apakšpunktu un Deleģētās regulas (ES) .../... (PB: lūgums pievienot atsauci uz </w:t>
            </w:r>
            <w:r>
              <w:rPr>
                <w:rStyle w:val="FormatvorlageInstructionsTabelleText"/>
                <w:rFonts w:ascii="Times New Roman" w:hAnsi="Times New Roman"/>
                <w:noProof/>
                <w:sz w:val="24"/>
              </w:rPr>
              <w:t xml:space="preserve">RTS par </w:t>
            </w:r>
            <w:r>
              <w:rPr>
                <w:rStyle w:val="FormatvorlageInstructionsTabelleText"/>
                <w:rFonts w:ascii="Times New Roman" w:hAnsi="Times New Roman"/>
                <w:i/>
                <w:noProof/>
                <w:sz w:val="24"/>
              </w:rPr>
              <w:t>SOT</w:t>
            </w:r>
            <w:r>
              <w:rPr>
                <w:rStyle w:val="FormatvorlageInstructionsTabelleText"/>
                <w:rFonts w:ascii="Times New Roman" w:hAnsi="Times New Roman"/>
                <w:noProof/>
                <w:sz w:val="24"/>
              </w:rPr>
              <w:t>) 1. līdz 3. pantu</w:t>
            </w:r>
            <w:r>
              <w:rPr>
                <w:noProof/>
              </w:rPr>
              <w:t>.</w:t>
            </w:r>
            <w:r>
              <w:rPr>
                <w:rStyle w:val="InstructionsTabelleberschrift"/>
                <w:rFonts w:ascii="Times New Roman" w:hAnsi="Times New Roman"/>
                <w:b w:val="0"/>
                <w:noProof/>
                <w:sz w:val="24"/>
                <w:u w:val="none"/>
              </w:rPr>
              <w:t xml:space="preserve"> Attiecībā uz modelēšanas un parametru pieņēmumiem, kas nav norādīti minētās deleģētās regulas 3.</w:t>
            </w:r>
            <w:r w:rsidR="00FB620E">
              <w:rPr>
                <w:rStyle w:val="InstructionsTabelleberschrift"/>
                <w:rFonts w:ascii="Times New Roman" w:hAnsi="Times New Roman"/>
                <w:b w:val="0"/>
                <w:noProof/>
                <w:sz w:val="24"/>
                <w:u w:val="none"/>
              </w:rPr>
              <w:t> </w:t>
            </w:r>
            <w:r>
              <w:rPr>
                <w:rStyle w:val="InstructionsTabelleberschrift"/>
                <w:rFonts w:ascii="Times New Roman" w:hAnsi="Times New Roman"/>
                <w:b w:val="0"/>
                <w:noProof/>
                <w:sz w:val="24"/>
                <w:u w:val="none"/>
              </w:rPr>
              <w:t xml:space="preserve">pantā, iestādes izmanto tos pieņēmumus, kurus tās izmanto savā </w:t>
            </w:r>
            <w:r>
              <w:rPr>
                <w:rStyle w:val="InstructionsTabelleberschrift"/>
                <w:rFonts w:ascii="Times New Roman" w:hAnsi="Times New Roman"/>
                <w:b w:val="0"/>
                <w:i/>
                <w:noProof/>
                <w:sz w:val="24"/>
                <w:u w:val="none"/>
              </w:rPr>
              <w:t>IRRBB</w:t>
            </w:r>
            <w:r>
              <w:rPr>
                <w:rStyle w:val="InstructionsTabelleberschrift"/>
                <w:rFonts w:ascii="Times New Roman" w:hAnsi="Times New Roman"/>
                <w:b w:val="0"/>
                <w:noProof/>
                <w:sz w:val="24"/>
                <w:u w:val="none"/>
              </w:rPr>
              <w:t xml:space="preserve"> mērīšanā un pārvaldībā, t. i., attiecīgi savas iekšējās mērīšanas metodikas, standartizēto pieeju vai vienkāršoto standartizēto pieeju. </w:t>
            </w:r>
          </w:p>
        </w:tc>
      </w:tr>
      <w:tr w:rsidR="009F50A3" w:rsidRPr="00D82419" w14:paraId="051654EF" w14:textId="77777777" w:rsidTr="63452C95">
        <w:tc>
          <w:tcPr>
            <w:tcW w:w="1129" w:type="dxa"/>
          </w:tcPr>
          <w:p w14:paraId="4E5EF34A" w14:textId="2237A75A" w:rsidR="009F50A3" w:rsidRPr="00D82419" w:rsidRDefault="009F50A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029A2F02" w14:textId="382C8285" w:rsidR="00AB2DDE" w:rsidRPr="00D82419" w:rsidRDefault="00AB2DD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 </w:t>
            </w:r>
            <w:r>
              <w:rPr>
                <w:rStyle w:val="InstructionsTabelleberschrift"/>
                <w:rFonts w:ascii="Times New Roman" w:hAnsi="Times New Roman"/>
                <w:i/>
                <w:noProof/>
                <w:sz w:val="24"/>
              </w:rPr>
              <w:t>EVE</w:t>
            </w:r>
            <w:r>
              <w:rPr>
                <w:rStyle w:val="InstructionsTabelleberschrift"/>
                <w:rFonts w:ascii="Times New Roman" w:hAnsi="Times New Roman"/>
                <w:noProof/>
                <w:sz w:val="24"/>
              </w:rPr>
              <w:t xml:space="preserve"> sliktākajā scenārijā</w:t>
            </w:r>
          </w:p>
          <w:p w14:paraId="26DCF100" w14:textId="39CE5EA3" w:rsidR="009F50A3" w:rsidRPr="00D82419" w:rsidRDefault="7E74698B"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i/>
                <w:noProof/>
                <w:sz w:val="24"/>
                <w:u w:val="none"/>
              </w:rPr>
              <w:t>EVE</w:t>
            </w:r>
            <w:r>
              <w:rPr>
                <w:rStyle w:val="InstructionsTabelleberschrift"/>
                <w:rFonts w:ascii="Times New Roman" w:hAnsi="Times New Roman"/>
                <w:b w:val="0"/>
                <w:noProof/>
                <w:sz w:val="24"/>
                <w:u w:val="none"/>
              </w:rPr>
              <w:t xml:space="preserve"> izmaiņas uzraudzības satricinājuma scenārijos, kas minēti </w:t>
            </w:r>
            <w:r>
              <w:rPr>
                <w:rStyle w:val="FormatvorlageInstructionsTabelleText"/>
                <w:rFonts w:ascii="Times New Roman" w:hAnsi="Times New Roman"/>
                <w:noProof/>
                <w:sz w:val="24"/>
              </w:rPr>
              <w:t xml:space="preserve">Deleģētās regulas (ES) .../... (PB: lūgums pievienot atsauci uz RTS par </w:t>
            </w:r>
            <w:r>
              <w:rPr>
                <w:rStyle w:val="FormatvorlageInstructionsTabelleText"/>
                <w:rFonts w:ascii="Times New Roman" w:hAnsi="Times New Roman"/>
                <w:i/>
                <w:noProof/>
                <w:sz w:val="24"/>
              </w:rPr>
              <w:t>SOT</w:t>
            </w:r>
            <w:r>
              <w:rPr>
                <w:rStyle w:val="FormatvorlageInstructionsTabelleText"/>
                <w:rFonts w:ascii="Times New Roman" w:hAnsi="Times New Roman"/>
                <w:noProof/>
                <w:sz w:val="24"/>
              </w:rPr>
              <w:t>) 1. panta 1.</w:t>
            </w:r>
            <w:r w:rsidR="00FB620E">
              <w:rPr>
                <w:rStyle w:val="FormatvorlageInstructionsTabelleText"/>
                <w:rFonts w:ascii="Times New Roman" w:hAnsi="Times New Roman"/>
                <w:noProof/>
                <w:sz w:val="24"/>
              </w:rPr>
              <w:t> </w:t>
            </w:r>
            <w:r>
              <w:rPr>
                <w:rStyle w:val="FormatvorlageInstructionsTabelleText"/>
                <w:rFonts w:ascii="Times New Roman" w:hAnsi="Times New Roman"/>
                <w:noProof/>
                <w:sz w:val="24"/>
              </w:rPr>
              <w:t xml:space="preserve">punktā, kuras izraisa </w:t>
            </w:r>
            <w:r>
              <w:rPr>
                <w:rStyle w:val="FormatvorlageInstructionsTabelleText"/>
                <w:rFonts w:ascii="Times New Roman" w:hAnsi="Times New Roman"/>
                <w:i/>
                <w:noProof/>
                <w:sz w:val="24"/>
              </w:rPr>
              <w:t>EVE</w:t>
            </w:r>
            <w:r>
              <w:rPr>
                <w:rStyle w:val="FormatvorlageInstructionsTabelleText"/>
                <w:rFonts w:ascii="Times New Roman" w:hAnsi="Times New Roman"/>
                <w:noProof/>
                <w:sz w:val="24"/>
              </w:rPr>
              <w:t xml:space="preserve"> lielāko samazinājumu. Šajā rindā uzrāda 0040. līdz 0090. rindā norādīto vērtību sliktāko rezultātu.</w:t>
            </w:r>
          </w:p>
        </w:tc>
      </w:tr>
      <w:tr w:rsidR="00961B7D" w:rsidRPr="00D82419" w14:paraId="5CD63A5C" w14:textId="77777777" w:rsidTr="63452C95">
        <w:tc>
          <w:tcPr>
            <w:tcW w:w="1129" w:type="dxa"/>
          </w:tcPr>
          <w:p w14:paraId="282662CB" w14:textId="7D4DB793" w:rsidR="00961B7D" w:rsidRPr="00D82419" w:rsidRDefault="00961B7D"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620" w:type="dxa"/>
          </w:tcPr>
          <w:p w14:paraId="11DB2FA3" w14:textId="5E027A81" w:rsidR="00DA2DEA" w:rsidRPr="00D82419" w:rsidRDefault="00DA2DEA"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 </w:t>
            </w:r>
            <w:r>
              <w:rPr>
                <w:rStyle w:val="InstructionsTabelleberschrift"/>
                <w:rFonts w:ascii="Times New Roman" w:hAnsi="Times New Roman"/>
                <w:i/>
                <w:noProof/>
                <w:sz w:val="24"/>
              </w:rPr>
              <w:t>EVE</w:t>
            </w:r>
            <w:r>
              <w:rPr>
                <w:rStyle w:val="InstructionsTabelleberschrift"/>
                <w:rFonts w:ascii="Times New Roman" w:hAnsi="Times New Roman"/>
                <w:noProof/>
                <w:sz w:val="24"/>
              </w:rPr>
              <w:t xml:space="preserve"> attiecība sliktākajā scenārijā</w:t>
            </w:r>
          </w:p>
          <w:p w14:paraId="63A8C68F" w14:textId="43D2EE33" w:rsidR="00961B7D" w:rsidRPr="00D82419" w:rsidRDefault="00502F7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0010. rindā uzrādītās vērtības attiecība  pret pirmā līmeņa kapitālu, kura noteikta saskaņā ar </w:t>
            </w:r>
            <w:r>
              <w:rPr>
                <w:noProof/>
              </w:rPr>
              <w:t>Regulas (ES) Nr. 575/2013 25. pantu</w:t>
            </w:r>
            <w:r>
              <w:rPr>
                <w:rStyle w:val="FormatvorlageInstructionsTabelleText"/>
                <w:rFonts w:ascii="Times New Roman" w:hAnsi="Times New Roman"/>
                <w:noProof/>
                <w:sz w:val="24"/>
              </w:rPr>
              <w:t xml:space="preserve">. </w:t>
            </w:r>
          </w:p>
        </w:tc>
      </w:tr>
      <w:tr w:rsidR="009F50A3" w:rsidRPr="00D82419" w14:paraId="0935B40A" w14:textId="77777777" w:rsidTr="63452C95">
        <w:tc>
          <w:tcPr>
            <w:tcW w:w="1129" w:type="dxa"/>
          </w:tcPr>
          <w:p w14:paraId="44C516B0" w14:textId="2CF73B70" w:rsidR="009F50A3" w:rsidRPr="00D82419" w:rsidRDefault="009F50A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0030-0090</w:t>
            </w:r>
          </w:p>
        </w:tc>
        <w:tc>
          <w:tcPr>
            <w:tcW w:w="7620" w:type="dxa"/>
          </w:tcPr>
          <w:p w14:paraId="4BF02F51" w14:textId="4BEE7C65" w:rsidR="00A737A0" w:rsidRPr="00D82419" w:rsidRDefault="00915179"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i/>
                <w:noProof/>
                <w:sz w:val="24"/>
              </w:rPr>
              <w:t>EVE</w:t>
            </w:r>
            <w:r>
              <w:rPr>
                <w:rStyle w:val="InstructionsTabelleberschrift"/>
                <w:rFonts w:ascii="Times New Roman" w:hAnsi="Times New Roman"/>
                <w:noProof/>
                <w:sz w:val="24"/>
              </w:rPr>
              <w:t xml:space="preserve"> pamatscenārijā un uzraudzības satricinājuma scenārijā</w:t>
            </w:r>
          </w:p>
          <w:p w14:paraId="32EB5557" w14:textId="0E08FC89" w:rsidR="00F0435A" w:rsidRPr="00D82419" w:rsidRDefault="004F1099" w:rsidP="003C575D">
            <w:pPr>
              <w:pStyle w:val="InstructionsText"/>
              <w:rPr>
                <w:rStyle w:val="FormatvorlageInstructionsTabelleText"/>
                <w:rFonts w:ascii="Times New Roman" w:hAnsi="Times New Roman"/>
                <w:noProof/>
                <w:sz w:val="24"/>
              </w:rPr>
            </w:pPr>
            <w:r>
              <w:rPr>
                <w:rStyle w:val="InstructionsTabelleberschrift"/>
                <w:rFonts w:ascii="Times New Roman" w:hAnsi="Times New Roman"/>
                <w:b w:val="0"/>
                <w:i/>
                <w:noProof/>
                <w:sz w:val="24"/>
                <w:u w:val="none"/>
              </w:rPr>
              <w:t>EVE</w:t>
            </w:r>
            <w:r>
              <w:rPr>
                <w:rStyle w:val="InstructionsTabelleberschrift"/>
                <w:rFonts w:ascii="Times New Roman" w:hAnsi="Times New Roman"/>
                <w:b w:val="0"/>
                <w:noProof/>
                <w:sz w:val="24"/>
                <w:u w:val="none"/>
              </w:rPr>
              <w:t xml:space="preserve"> līmenis pamatscenārijā un </w:t>
            </w:r>
            <w:r>
              <w:rPr>
                <w:rStyle w:val="InstructionsTabelleberschrift"/>
                <w:rFonts w:ascii="Times New Roman" w:hAnsi="Times New Roman"/>
                <w:b w:val="0"/>
                <w:i/>
                <w:noProof/>
                <w:sz w:val="24"/>
                <w:u w:val="none"/>
              </w:rPr>
              <w:t>EVE</w:t>
            </w:r>
            <w:r>
              <w:rPr>
                <w:rStyle w:val="InstructionsTabelleberschrift"/>
                <w:rFonts w:ascii="Times New Roman" w:hAnsi="Times New Roman"/>
                <w:b w:val="0"/>
                <w:noProof/>
                <w:sz w:val="24"/>
                <w:u w:val="none"/>
              </w:rPr>
              <w:t xml:space="preserve"> izmaiņas (t. i., Δ </w:t>
            </w:r>
            <w:r>
              <w:rPr>
                <w:rStyle w:val="InstructionsTabelleberschrift"/>
                <w:rFonts w:ascii="Times New Roman" w:hAnsi="Times New Roman"/>
                <w:b w:val="0"/>
                <w:i/>
                <w:noProof/>
                <w:sz w:val="24"/>
                <w:u w:val="none"/>
              </w:rPr>
              <w:t>EVE</w:t>
            </w:r>
            <w:r>
              <w:rPr>
                <w:rStyle w:val="InstructionsTabelleberschrift"/>
                <w:rFonts w:ascii="Times New Roman" w:hAnsi="Times New Roman"/>
                <w:b w:val="0"/>
                <w:noProof/>
                <w:sz w:val="24"/>
                <w:u w:val="none"/>
              </w:rPr>
              <w:t xml:space="preserve">) uzraudzības satricinājuma scenārijos, kas minēti </w:t>
            </w:r>
            <w:r>
              <w:rPr>
                <w:noProof/>
              </w:rPr>
              <w:t xml:space="preserve">Deleģētās regulas (ES) …/… (PB: lūgums pievienot atsauci uz </w:t>
            </w:r>
            <w:r>
              <w:rPr>
                <w:rStyle w:val="FormatvorlageInstructionsTabelleText"/>
                <w:rFonts w:ascii="Times New Roman" w:hAnsi="Times New Roman"/>
                <w:noProof/>
                <w:sz w:val="24"/>
              </w:rPr>
              <w:t xml:space="preserve">RTS par </w:t>
            </w:r>
            <w:r>
              <w:rPr>
                <w:rStyle w:val="FormatvorlageInstructionsTabelleText"/>
                <w:rFonts w:ascii="Times New Roman" w:hAnsi="Times New Roman"/>
                <w:i/>
                <w:noProof/>
                <w:sz w:val="24"/>
              </w:rPr>
              <w:t>SOT</w:t>
            </w:r>
            <w:r>
              <w:rPr>
                <w:rStyle w:val="FormatvorlageInstructionsTabelleText"/>
                <w:rFonts w:ascii="Times New Roman" w:hAnsi="Times New Roman"/>
                <w:noProof/>
                <w:sz w:val="24"/>
              </w:rPr>
              <w:t xml:space="preserve">) 1. panta 1. punktā. </w:t>
            </w:r>
          </w:p>
        </w:tc>
      </w:tr>
      <w:tr w:rsidR="00B0203E" w:rsidRPr="00D82419" w14:paraId="4655EFD3" w14:textId="77777777" w:rsidTr="63452C95">
        <w:tc>
          <w:tcPr>
            <w:tcW w:w="1129" w:type="dxa"/>
          </w:tcPr>
          <w:p w14:paraId="7B647AD7" w14:textId="3E7A916A"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620" w:type="dxa"/>
          </w:tcPr>
          <w:p w14:paraId="3EE65F05" w14:textId="004B6C51" w:rsidR="00B0203E" w:rsidRPr="00D82419" w:rsidRDefault="00915179"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i/>
                <w:noProof/>
                <w:sz w:val="24"/>
              </w:rPr>
              <w:t>EVE</w:t>
            </w:r>
            <w:r>
              <w:rPr>
                <w:rStyle w:val="InstructionsTabelleberschrift"/>
                <w:rFonts w:ascii="Times New Roman" w:hAnsi="Times New Roman"/>
                <w:noProof/>
                <w:sz w:val="24"/>
              </w:rPr>
              <w:t xml:space="preserve"> līmenis pamatscenārijā</w:t>
            </w:r>
          </w:p>
          <w:p w14:paraId="58C9873C" w14:textId="4D13F981" w:rsidR="00B0203E" w:rsidRPr="00D82419" w:rsidDel="00D1769D" w:rsidRDefault="00B0203E"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i/>
                <w:noProof/>
                <w:sz w:val="24"/>
                <w:u w:val="none"/>
              </w:rPr>
              <w:t>EVE</w:t>
            </w:r>
            <w:r>
              <w:rPr>
                <w:rStyle w:val="InstructionsTabelleberschrift"/>
                <w:rFonts w:ascii="Times New Roman" w:hAnsi="Times New Roman"/>
                <w:b w:val="0"/>
                <w:noProof/>
                <w:sz w:val="24"/>
                <w:u w:val="none"/>
              </w:rPr>
              <w:t xml:space="preserve"> līmenis procentu likmju pamatscenārijos atsauces datumā.</w:t>
            </w:r>
          </w:p>
        </w:tc>
      </w:tr>
      <w:tr w:rsidR="00B0203E" w:rsidRPr="00D82419" w14:paraId="12F10FB4" w14:textId="77777777" w:rsidTr="63452C95">
        <w:tc>
          <w:tcPr>
            <w:tcW w:w="1129" w:type="dxa"/>
          </w:tcPr>
          <w:p w14:paraId="6C489768" w14:textId="52CDBC80"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620" w:type="dxa"/>
          </w:tcPr>
          <w:p w14:paraId="0C32C6C1" w14:textId="688719F1"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 </w:t>
            </w:r>
            <w:r>
              <w:rPr>
                <w:rStyle w:val="InstructionsTabelleberschrift"/>
                <w:rFonts w:ascii="Times New Roman" w:hAnsi="Times New Roman"/>
                <w:i/>
                <w:noProof/>
                <w:sz w:val="24"/>
              </w:rPr>
              <w:t>EVE</w:t>
            </w:r>
            <w:r>
              <w:rPr>
                <w:rStyle w:val="InstructionsTabelleberschrift"/>
                <w:rFonts w:ascii="Times New Roman" w:hAnsi="Times New Roman"/>
                <w:noProof/>
                <w:sz w:val="24"/>
              </w:rPr>
              <w:t xml:space="preserve"> paralēla augšupvērsta satricinājuma gadījumā</w:t>
            </w:r>
          </w:p>
          <w:p w14:paraId="75608591" w14:textId="2378525F"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i/>
                <w:noProof/>
                <w:sz w:val="24"/>
                <w:u w:val="none"/>
              </w:rPr>
              <w:t>EVE</w:t>
            </w:r>
            <w:r>
              <w:rPr>
                <w:rStyle w:val="InstructionsTabelleberschrift"/>
                <w:rFonts w:ascii="Times New Roman" w:hAnsi="Times New Roman"/>
                <w:b w:val="0"/>
                <w:noProof/>
                <w:sz w:val="24"/>
                <w:u w:val="none"/>
              </w:rPr>
              <w:t xml:space="preserve"> izmaiņas “paralēla augšupvērsta satricinājuma” scenārijā, kas minēts Deleģētās regulas (ES) .../... (PB: lūgums pievienot atsauci uz </w:t>
            </w:r>
            <w:r>
              <w:rPr>
                <w:rStyle w:val="FormatvorlageInstructionsTabelleText"/>
                <w:rFonts w:ascii="Times New Roman" w:hAnsi="Times New Roman"/>
                <w:noProof/>
                <w:sz w:val="24"/>
              </w:rPr>
              <w:t xml:space="preserve">RTS par </w:t>
            </w:r>
            <w:r>
              <w:rPr>
                <w:rStyle w:val="FormatvorlageInstructionsTabelleText"/>
                <w:rFonts w:ascii="Times New Roman" w:hAnsi="Times New Roman"/>
                <w:i/>
                <w:noProof/>
                <w:sz w:val="24"/>
              </w:rPr>
              <w:t>SOT</w:t>
            </w:r>
            <w:r>
              <w:rPr>
                <w:rStyle w:val="FormatvorlageInstructionsTabelleText"/>
                <w:rFonts w:ascii="Times New Roman" w:hAnsi="Times New Roman"/>
                <w:noProof/>
                <w:sz w:val="24"/>
              </w:rPr>
              <w:t>)</w:t>
            </w:r>
            <w:r>
              <w:rPr>
                <w:rStyle w:val="InstructionsTabelleberschrift"/>
                <w:rFonts w:ascii="Times New Roman" w:hAnsi="Times New Roman"/>
                <w:b w:val="0"/>
                <w:noProof/>
                <w:sz w:val="24"/>
                <w:u w:val="none"/>
              </w:rPr>
              <w:t xml:space="preserve"> 1. panta 1. punkta a) apakšpunktā un 2. pantā.</w:t>
            </w:r>
          </w:p>
        </w:tc>
      </w:tr>
      <w:tr w:rsidR="00B0203E" w:rsidRPr="00D82419" w14:paraId="702A109C" w14:textId="77777777" w:rsidTr="63452C95">
        <w:tc>
          <w:tcPr>
            <w:tcW w:w="1129" w:type="dxa"/>
          </w:tcPr>
          <w:p w14:paraId="44F421F7" w14:textId="0277BBF5"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620" w:type="dxa"/>
          </w:tcPr>
          <w:p w14:paraId="50EC282B" w14:textId="08276C58"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 </w:t>
            </w:r>
            <w:r>
              <w:rPr>
                <w:rStyle w:val="InstructionsTabelleberschrift"/>
                <w:rFonts w:ascii="Times New Roman" w:hAnsi="Times New Roman"/>
                <w:i/>
                <w:noProof/>
                <w:sz w:val="24"/>
              </w:rPr>
              <w:t>EVE</w:t>
            </w:r>
            <w:r>
              <w:rPr>
                <w:rStyle w:val="InstructionsTabelleberschrift"/>
                <w:rFonts w:ascii="Times New Roman" w:hAnsi="Times New Roman"/>
                <w:noProof/>
                <w:sz w:val="24"/>
              </w:rPr>
              <w:t xml:space="preserve"> paralēla lejupvērsta satricinājuma gadījumā</w:t>
            </w:r>
          </w:p>
          <w:p w14:paraId="615E0D1E" w14:textId="3889B4D5"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i/>
                <w:noProof/>
                <w:sz w:val="24"/>
                <w:u w:val="none"/>
              </w:rPr>
              <w:t>EVE</w:t>
            </w:r>
            <w:r>
              <w:rPr>
                <w:rStyle w:val="InstructionsTabelleberschrift"/>
                <w:rFonts w:ascii="Times New Roman" w:hAnsi="Times New Roman"/>
                <w:b w:val="0"/>
                <w:noProof/>
                <w:sz w:val="24"/>
                <w:u w:val="none"/>
              </w:rPr>
              <w:t xml:space="preserve"> izmaiņas “paralēla lejupvērsta satricinājuma” scenārijā, kas minēts Deleģētās regulas (ES) .../... (PB: lūgums pievienot atsauci uz</w:t>
            </w:r>
            <w:r>
              <w:rPr>
                <w:noProof/>
              </w:rPr>
              <w:t xml:space="preserve"> </w:t>
            </w:r>
            <w:r>
              <w:rPr>
                <w:rStyle w:val="InstructionsTabelleberschrift"/>
                <w:rFonts w:ascii="Times New Roman" w:hAnsi="Times New Roman"/>
                <w:b w:val="0"/>
                <w:noProof/>
                <w:sz w:val="24"/>
                <w:u w:val="none"/>
              </w:rPr>
              <w:t xml:space="preserve">Deleģētās regulas (ES) …/… (PB: lūgums pievienot atsauci uz </w:t>
            </w:r>
            <w:r>
              <w:rPr>
                <w:rStyle w:val="FormatvorlageInstructionsTabelleText"/>
                <w:rFonts w:ascii="Times New Roman" w:hAnsi="Times New Roman"/>
                <w:noProof/>
                <w:sz w:val="24"/>
              </w:rPr>
              <w:t xml:space="preserve">RTS par </w:t>
            </w:r>
            <w:r>
              <w:rPr>
                <w:rStyle w:val="FormatvorlageInstructionsTabelleText"/>
                <w:rFonts w:ascii="Times New Roman" w:hAnsi="Times New Roman"/>
                <w:i/>
                <w:noProof/>
                <w:sz w:val="24"/>
              </w:rPr>
              <w:t>SOT</w:t>
            </w:r>
            <w:r>
              <w:rPr>
                <w:rStyle w:val="FormatvorlageInstructionsTabelleText"/>
                <w:rFonts w:ascii="Times New Roman" w:hAnsi="Times New Roman"/>
                <w:noProof/>
                <w:sz w:val="24"/>
              </w:rPr>
              <w:t>)</w:t>
            </w:r>
            <w:r>
              <w:rPr>
                <w:rStyle w:val="InstructionsTabelleberschrift"/>
                <w:rFonts w:ascii="Times New Roman" w:hAnsi="Times New Roman"/>
                <w:b w:val="0"/>
                <w:noProof/>
                <w:sz w:val="24"/>
                <w:u w:val="none"/>
              </w:rPr>
              <w:t xml:space="preserve"> 1. panta 1. punkta b) apakšpunktā un 2. pantā.</w:t>
            </w:r>
          </w:p>
        </w:tc>
      </w:tr>
      <w:tr w:rsidR="00B0203E" w:rsidRPr="00D82419" w14:paraId="78C9A080" w14:textId="77777777" w:rsidTr="63452C95">
        <w:tc>
          <w:tcPr>
            <w:tcW w:w="1129" w:type="dxa"/>
          </w:tcPr>
          <w:p w14:paraId="18CC3346" w14:textId="76476D8B"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620" w:type="dxa"/>
          </w:tcPr>
          <w:p w14:paraId="1C40E806" w14:textId="3E9C0900"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 </w:t>
            </w:r>
            <w:r>
              <w:rPr>
                <w:rStyle w:val="InstructionsTabelleberschrift"/>
                <w:rFonts w:ascii="Times New Roman" w:hAnsi="Times New Roman"/>
                <w:i/>
                <w:noProof/>
                <w:sz w:val="24"/>
              </w:rPr>
              <w:t>EVE</w:t>
            </w:r>
            <w:r>
              <w:rPr>
                <w:rStyle w:val="InstructionsTabelleberschrift"/>
                <w:rFonts w:ascii="Times New Roman" w:hAnsi="Times New Roman"/>
                <w:noProof/>
                <w:sz w:val="24"/>
              </w:rPr>
              <w:t xml:space="preserve"> kāpuma satricinājuma gadījumā</w:t>
            </w:r>
          </w:p>
          <w:p w14:paraId="2E2C691F" w14:textId="359103CA"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i/>
                <w:noProof/>
                <w:sz w:val="24"/>
                <w:u w:val="none"/>
              </w:rPr>
              <w:t>EVE</w:t>
            </w:r>
            <w:r>
              <w:rPr>
                <w:rStyle w:val="InstructionsTabelleberschrift"/>
                <w:rFonts w:ascii="Times New Roman" w:hAnsi="Times New Roman"/>
                <w:b w:val="0"/>
                <w:noProof/>
                <w:sz w:val="24"/>
                <w:u w:val="none"/>
              </w:rPr>
              <w:t xml:space="preserve"> izmaiņas “kāpuma satricinājuma” scenārijā, kas minēts Deleģētās regulas (ES) .../... (PB: lūgums pievienot atsauci uz </w:t>
            </w:r>
            <w:r w:rsidRPr="00FB620E">
              <w:rPr>
                <w:rStyle w:val="FormatvorlageInstructionsTabelleText"/>
                <w:rFonts w:ascii="Times New Roman" w:hAnsi="Times New Roman"/>
                <w:noProof/>
                <w:sz w:val="24"/>
              </w:rPr>
              <w:t xml:space="preserve">RTS par </w:t>
            </w:r>
            <w:r w:rsidRPr="00FB620E">
              <w:rPr>
                <w:rStyle w:val="FormatvorlageInstructionsTabelleText"/>
                <w:rFonts w:ascii="Times New Roman" w:hAnsi="Times New Roman"/>
                <w:i/>
                <w:noProof/>
                <w:sz w:val="24"/>
              </w:rPr>
              <w:t>SOT</w:t>
            </w:r>
            <w:r w:rsidRPr="00FB620E">
              <w:rPr>
                <w:rStyle w:val="FormatvorlageInstructionsTabelleText"/>
                <w:rFonts w:ascii="Times New Roman" w:hAnsi="Times New Roman"/>
                <w:noProof/>
                <w:sz w:val="24"/>
              </w:rPr>
              <w:t>)</w:t>
            </w:r>
            <w:r w:rsidRPr="00FB620E">
              <w:rPr>
                <w:rStyle w:val="InstructionsTabelleberschrift"/>
                <w:rFonts w:ascii="Times New Roman" w:hAnsi="Times New Roman"/>
                <w:b w:val="0"/>
                <w:noProof/>
                <w:sz w:val="24"/>
                <w:u w:val="none"/>
              </w:rPr>
              <w:t xml:space="preserve"> 1. panta 1.</w:t>
            </w:r>
            <w:r w:rsidR="00FB620E">
              <w:rPr>
                <w:rStyle w:val="InstructionsTabelleberschrift"/>
                <w:rFonts w:ascii="Times New Roman" w:hAnsi="Times New Roman"/>
                <w:b w:val="0"/>
                <w:noProof/>
                <w:sz w:val="24"/>
                <w:u w:val="none"/>
              </w:rPr>
              <w:t> </w:t>
            </w:r>
            <w:r w:rsidRPr="00FB620E">
              <w:rPr>
                <w:rStyle w:val="InstructionsTabelleberschrift"/>
                <w:rFonts w:ascii="Times New Roman" w:hAnsi="Times New Roman"/>
                <w:b w:val="0"/>
                <w:noProof/>
                <w:sz w:val="24"/>
                <w:u w:val="none"/>
              </w:rPr>
              <w:t>punkta c) apakšpunktā un 2. pantā.</w:t>
            </w:r>
          </w:p>
        </w:tc>
      </w:tr>
      <w:tr w:rsidR="00B0203E" w:rsidRPr="00D82419" w14:paraId="7C9E2FFE" w14:textId="77777777" w:rsidTr="63452C95">
        <w:tc>
          <w:tcPr>
            <w:tcW w:w="1129" w:type="dxa"/>
          </w:tcPr>
          <w:p w14:paraId="6A1F5153" w14:textId="1A480960"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620" w:type="dxa"/>
          </w:tcPr>
          <w:p w14:paraId="6EB8CC03" w14:textId="5C10E606"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 </w:t>
            </w:r>
            <w:r>
              <w:rPr>
                <w:rStyle w:val="InstructionsTabelleberschrift"/>
                <w:rFonts w:ascii="Times New Roman" w:hAnsi="Times New Roman"/>
                <w:i/>
                <w:noProof/>
                <w:sz w:val="24"/>
              </w:rPr>
              <w:t>EVE</w:t>
            </w:r>
            <w:r>
              <w:rPr>
                <w:rStyle w:val="InstructionsTabelleberschrift"/>
                <w:rFonts w:ascii="Times New Roman" w:hAnsi="Times New Roman"/>
                <w:noProof/>
                <w:sz w:val="24"/>
              </w:rPr>
              <w:t xml:space="preserve"> izlīdzinājuma satricinājuma gadījumā</w:t>
            </w:r>
          </w:p>
          <w:p w14:paraId="1576761F" w14:textId="620A12D0"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i/>
                <w:noProof/>
                <w:sz w:val="24"/>
                <w:u w:val="none"/>
              </w:rPr>
              <w:t>EVE</w:t>
            </w:r>
            <w:r>
              <w:rPr>
                <w:rStyle w:val="InstructionsTabelleberschrift"/>
                <w:rFonts w:ascii="Times New Roman" w:hAnsi="Times New Roman"/>
                <w:b w:val="0"/>
                <w:noProof/>
                <w:sz w:val="24"/>
                <w:u w:val="none"/>
              </w:rPr>
              <w:t xml:space="preserve"> izmaiņas “izlīdzinājuma satricinājuma” scenārijā, kas minēts Deleģētās regulas (ES) .../... (PB: lūgums pievienot atsauci uz </w:t>
            </w:r>
            <w:r>
              <w:rPr>
                <w:rStyle w:val="FormatvorlageInstructionsTabelleText"/>
                <w:rFonts w:ascii="Times New Roman" w:hAnsi="Times New Roman"/>
                <w:noProof/>
                <w:sz w:val="24"/>
              </w:rPr>
              <w:t xml:space="preserve">RTS par </w:t>
            </w:r>
            <w:r>
              <w:rPr>
                <w:rStyle w:val="FormatvorlageInstructionsTabelleText"/>
                <w:rFonts w:ascii="Times New Roman" w:hAnsi="Times New Roman"/>
                <w:i/>
                <w:noProof/>
                <w:sz w:val="24"/>
              </w:rPr>
              <w:t>SOT</w:t>
            </w:r>
            <w:r>
              <w:rPr>
                <w:rStyle w:val="FormatvorlageInstructionsTabelleText"/>
                <w:rFonts w:ascii="Times New Roman" w:hAnsi="Times New Roman"/>
                <w:noProof/>
                <w:sz w:val="24"/>
              </w:rPr>
              <w:t>)</w:t>
            </w:r>
            <w:r>
              <w:rPr>
                <w:rStyle w:val="InstructionsTabelleberschrift"/>
                <w:rFonts w:ascii="Times New Roman" w:hAnsi="Times New Roman"/>
                <w:b w:val="0"/>
                <w:noProof/>
                <w:sz w:val="24"/>
                <w:u w:val="none"/>
              </w:rPr>
              <w:t xml:space="preserve"> 1. panta 1.</w:t>
            </w:r>
            <w:r w:rsidR="00FB620E">
              <w:rPr>
                <w:rStyle w:val="InstructionsTabelleberschrift"/>
                <w:rFonts w:ascii="Times New Roman" w:hAnsi="Times New Roman"/>
                <w:b w:val="0"/>
                <w:noProof/>
                <w:sz w:val="24"/>
                <w:u w:val="none"/>
              </w:rPr>
              <w:t> </w:t>
            </w:r>
            <w:r>
              <w:rPr>
                <w:rStyle w:val="InstructionsTabelleberschrift"/>
                <w:rFonts w:ascii="Times New Roman" w:hAnsi="Times New Roman"/>
                <w:b w:val="0"/>
                <w:noProof/>
                <w:sz w:val="24"/>
                <w:u w:val="none"/>
              </w:rPr>
              <w:t>punkta d) apakšpunktā un 2. pantā.</w:t>
            </w:r>
          </w:p>
        </w:tc>
      </w:tr>
      <w:tr w:rsidR="00B0203E" w:rsidRPr="00D82419" w14:paraId="1F1952CB" w14:textId="77777777" w:rsidTr="63452C95">
        <w:tc>
          <w:tcPr>
            <w:tcW w:w="1129" w:type="dxa"/>
          </w:tcPr>
          <w:p w14:paraId="5BA40DF8" w14:textId="55480F05"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620" w:type="dxa"/>
          </w:tcPr>
          <w:p w14:paraId="1F89F092" w14:textId="5753FF57"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 </w:t>
            </w:r>
            <w:r>
              <w:rPr>
                <w:rStyle w:val="InstructionsTabelleberschrift"/>
                <w:rFonts w:ascii="Times New Roman" w:hAnsi="Times New Roman"/>
                <w:i/>
                <w:noProof/>
                <w:sz w:val="24"/>
              </w:rPr>
              <w:t>EVE</w:t>
            </w:r>
            <w:r>
              <w:rPr>
                <w:rStyle w:val="InstructionsTabelleberschrift"/>
                <w:rFonts w:ascii="Times New Roman" w:hAnsi="Times New Roman"/>
                <w:noProof/>
                <w:sz w:val="24"/>
              </w:rPr>
              <w:t xml:space="preserve"> augšupvērsta īsa likmju satricinājuma gadījumā</w:t>
            </w:r>
          </w:p>
          <w:p w14:paraId="30FAC30B" w14:textId="1D74F175"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i/>
                <w:noProof/>
                <w:sz w:val="24"/>
                <w:u w:val="none"/>
              </w:rPr>
              <w:t>EVE</w:t>
            </w:r>
            <w:r>
              <w:rPr>
                <w:rStyle w:val="InstructionsTabelleberschrift"/>
                <w:rFonts w:ascii="Times New Roman" w:hAnsi="Times New Roman"/>
                <w:b w:val="0"/>
                <w:noProof/>
                <w:sz w:val="24"/>
                <w:u w:val="none"/>
              </w:rPr>
              <w:t xml:space="preserve"> izmaiņas “augšupvērsta īsa likmju satricinājuma” scenārijā, kas minēts Deleģētās regulas (ES) .../... (PB: lūgums pievienot atsauci uz </w:t>
            </w:r>
            <w:r>
              <w:rPr>
                <w:rStyle w:val="FormatvorlageInstructionsTabelleText"/>
                <w:rFonts w:ascii="Times New Roman" w:hAnsi="Times New Roman"/>
                <w:noProof/>
                <w:sz w:val="24"/>
              </w:rPr>
              <w:t xml:space="preserve">RTS par </w:t>
            </w:r>
            <w:r>
              <w:rPr>
                <w:rStyle w:val="FormatvorlageInstructionsTabelleText"/>
                <w:rFonts w:ascii="Times New Roman" w:hAnsi="Times New Roman"/>
                <w:i/>
                <w:noProof/>
                <w:sz w:val="24"/>
              </w:rPr>
              <w:t>SOT</w:t>
            </w:r>
            <w:r>
              <w:rPr>
                <w:rStyle w:val="FormatvorlageInstructionsTabelleText"/>
                <w:rFonts w:ascii="Times New Roman" w:hAnsi="Times New Roman"/>
                <w:noProof/>
                <w:sz w:val="24"/>
              </w:rPr>
              <w:t>)</w:t>
            </w:r>
            <w:r>
              <w:rPr>
                <w:rStyle w:val="InstructionsTabelleberschrift"/>
                <w:rFonts w:ascii="Times New Roman" w:hAnsi="Times New Roman"/>
                <w:b w:val="0"/>
                <w:noProof/>
                <w:sz w:val="24"/>
                <w:u w:val="none"/>
              </w:rPr>
              <w:t xml:space="preserve"> 1. panta 1. punkta e) apakšpunktā un 2. pantā.</w:t>
            </w:r>
          </w:p>
        </w:tc>
      </w:tr>
      <w:tr w:rsidR="00B0203E" w:rsidRPr="00D82419" w14:paraId="25C6DF7C" w14:textId="77777777" w:rsidTr="63452C95">
        <w:tc>
          <w:tcPr>
            <w:tcW w:w="1129" w:type="dxa"/>
          </w:tcPr>
          <w:p w14:paraId="2989E866" w14:textId="5909BE30"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620" w:type="dxa"/>
          </w:tcPr>
          <w:p w14:paraId="0350345A" w14:textId="21B26679"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 </w:t>
            </w:r>
            <w:r>
              <w:rPr>
                <w:rStyle w:val="InstructionsTabelleberschrift"/>
                <w:rFonts w:ascii="Times New Roman" w:hAnsi="Times New Roman"/>
                <w:i/>
                <w:noProof/>
                <w:sz w:val="24"/>
              </w:rPr>
              <w:t>EVE</w:t>
            </w:r>
            <w:r>
              <w:rPr>
                <w:rStyle w:val="InstructionsTabelleberschrift"/>
                <w:rFonts w:ascii="Times New Roman" w:hAnsi="Times New Roman"/>
                <w:noProof/>
                <w:sz w:val="24"/>
              </w:rPr>
              <w:t xml:space="preserve"> lejupvērsts īss likmju satricinājums</w:t>
            </w:r>
          </w:p>
          <w:p w14:paraId="25CC32D5" w14:textId="55B86440"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i/>
                <w:noProof/>
                <w:sz w:val="24"/>
                <w:u w:val="none"/>
              </w:rPr>
              <w:t>EVE</w:t>
            </w:r>
            <w:r>
              <w:rPr>
                <w:rStyle w:val="InstructionsTabelleberschrift"/>
                <w:rFonts w:ascii="Times New Roman" w:hAnsi="Times New Roman"/>
                <w:b w:val="0"/>
                <w:noProof/>
                <w:sz w:val="24"/>
                <w:u w:val="none"/>
              </w:rPr>
              <w:t xml:space="preserve"> izmaiņas “lejupvērsta īsa likmju satricinājuma” scenārijā, kas minēts Deleģētās regulas (ES) .../... (PB: lūgums pievienot atsauci uz </w:t>
            </w:r>
            <w:r>
              <w:rPr>
                <w:rStyle w:val="FormatvorlageInstructionsTabelleText"/>
                <w:rFonts w:ascii="Times New Roman" w:hAnsi="Times New Roman"/>
                <w:noProof/>
                <w:sz w:val="24"/>
              </w:rPr>
              <w:t xml:space="preserve">RTS par </w:t>
            </w:r>
            <w:r>
              <w:rPr>
                <w:rStyle w:val="FormatvorlageInstructionsTabelleText"/>
                <w:rFonts w:ascii="Times New Roman" w:hAnsi="Times New Roman"/>
                <w:i/>
                <w:noProof/>
                <w:sz w:val="24"/>
              </w:rPr>
              <w:t>SOT</w:t>
            </w:r>
            <w:r>
              <w:rPr>
                <w:rStyle w:val="FormatvorlageInstructionsTabelleText"/>
                <w:rFonts w:ascii="Times New Roman" w:hAnsi="Times New Roman"/>
                <w:noProof/>
                <w:sz w:val="24"/>
              </w:rPr>
              <w:t>)</w:t>
            </w:r>
            <w:r>
              <w:rPr>
                <w:rStyle w:val="InstructionsTabelleberschrift"/>
                <w:rFonts w:ascii="Times New Roman" w:hAnsi="Times New Roman"/>
                <w:b w:val="0"/>
                <w:noProof/>
                <w:sz w:val="24"/>
                <w:u w:val="none"/>
              </w:rPr>
              <w:t xml:space="preserve"> 1. panta 1. punkta f) apakšpunktā un 2. pantā.</w:t>
            </w:r>
          </w:p>
        </w:tc>
      </w:tr>
      <w:tr w:rsidR="00B0203E" w:rsidRPr="00D82419" w14:paraId="550C7814" w14:textId="77777777" w:rsidTr="63452C95">
        <w:tc>
          <w:tcPr>
            <w:tcW w:w="1129" w:type="dxa"/>
          </w:tcPr>
          <w:p w14:paraId="5978642C" w14:textId="7A907FB3"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0100-0140</w:t>
            </w:r>
          </w:p>
        </w:tc>
        <w:tc>
          <w:tcPr>
            <w:tcW w:w="7620" w:type="dxa"/>
          </w:tcPr>
          <w:p w14:paraId="4C372E56" w14:textId="1B90BE75"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Tīrie procentu ienākumi</w:t>
            </w:r>
          </w:p>
          <w:p w14:paraId="5A9A4DA0" w14:textId="702C71B5" w:rsidR="00B0203E" w:rsidRPr="00D82419" w:rsidRDefault="00B0203E"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i/>
                <w:noProof/>
                <w:sz w:val="24"/>
                <w:u w:val="none"/>
              </w:rPr>
              <w:t>NII</w:t>
            </w:r>
            <w:r>
              <w:rPr>
                <w:rStyle w:val="InstructionsTabelleberschrift"/>
                <w:rFonts w:ascii="Times New Roman" w:hAnsi="Times New Roman"/>
                <w:b w:val="0"/>
                <w:noProof/>
                <w:sz w:val="24"/>
                <w:u w:val="none"/>
              </w:rPr>
              <w:t xml:space="preserve">, kā minēts </w:t>
            </w:r>
            <w:r>
              <w:rPr>
                <w:noProof/>
              </w:rPr>
              <w:t xml:space="preserve">Direktīvas 2013/36/ES 98. panta 5. punkta b) apakšpunktā un noteikts Deleģētās regulas (ES) .../... (PB: lūgums pievienot atsauci uz </w:t>
            </w:r>
            <w:r>
              <w:rPr>
                <w:rStyle w:val="FormatvorlageInstructionsTabelleText"/>
                <w:rFonts w:ascii="Times New Roman" w:hAnsi="Times New Roman"/>
                <w:noProof/>
                <w:sz w:val="24"/>
              </w:rPr>
              <w:t xml:space="preserve">RTS par </w:t>
            </w:r>
            <w:r>
              <w:rPr>
                <w:rStyle w:val="FormatvorlageInstructionsTabelleText"/>
                <w:rFonts w:ascii="Times New Roman" w:hAnsi="Times New Roman"/>
                <w:i/>
                <w:noProof/>
                <w:sz w:val="24"/>
              </w:rPr>
              <w:t>SOT</w:t>
            </w:r>
            <w:r>
              <w:rPr>
                <w:rStyle w:val="FormatvorlageInstructionsTabelleText"/>
                <w:rFonts w:ascii="Times New Roman" w:hAnsi="Times New Roman"/>
                <w:noProof/>
                <w:sz w:val="24"/>
              </w:rPr>
              <w:t>) 4. pantā</w:t>
            </w:r>
            <w:r>
              <w:rPr>
                <w:noProof/>
              </w:rPr>
              <w:t>.</w:t>
            </w:r>
            <w:r>
              <w:rPr>
                <w:rStyle w:val="InstructionsTabelleberschrift"/>
                <w:rFonts w:ascii="Times New Roman" w:hAnsi="Times New Roman"/>
                <w:b w:val="0"/>
                <w:noProof/>
                <w:sz w:val="24"/>
                <w:u w:val="none"/>
              </w:rPr>
              <w:t xml:space="preserve"> Attiecībā uz modelēšanas un parametru pieņēmumiem, kas nav norādīti minētās deleģētās regulas 4. pantā, iestādes izmanto tos pieņēmumus, kurus tās izmanto savā </w:t>
            </w:r>
            <w:r>
              <w:rPr>
                <w:rStyle w:val="InstructionsTabelleberschrift"/>
                <w:rFonts w:ascii="Times New Roman" w:hAnsi="Times New Roman"/>
                <w:b w:val="0"/>
                <w:i/>
                <w:noProof/>
                <w:sz w:val="24"/>
                <w:u w:val="none"/>
              </w:rPr>
              <w:t>IRRBB</w:t>
            </w:r>
            <w:r>
              <w:rPr>
                <w:rStyle w:val="InstructionsTabelleberschrift"/>
                <w:rFonts w:ascii="Times New Roman" w:hAnsi="Times New Roman"/>
                <w:b w:val="0"/>
                <w:noProof/>
                <w:sz w:val="24"/>
                <w:u w:val="none"/>
              </w:rPr>
              <w:t xml:space="preserve"> mērīšanā un pārvaldībā, t. i., attiecīgi savas iekšējās mērīšanas metodikas, standartizēto pieeju vai vienkāršoto standartizēto pieeju.</w:t>
            </w:r>
          </w:p>
          <w:p w14:paraId="1481DD1E" w14:textId="5F4E576F" w:rsidR="00A11939" w:rsidRPr="00D82419" w:rsidRDefault="0008615C"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 xml:space="preserve">Iestādes ņem vērā riska ierobežošanas pozīciju uzskaites procedūru (t. i., riska ierobežošanas uzskaite) un neietver </w:t>
            </w:r>
            <w:r>
              <w:rPr>
                <w:noProof/>
              </w:rPr>
              <w:t>Regulas (ES) Nr. 575/2013 33. panta 1.</w:t>
            </w:r>
            <w:r w:rsidR="00FB620E">
              <w:rPr>
                <w:noProof/>
              </w:rPr>
              <w:t> </w:t>
            </w:r>
            <w:r>
              <w:rPr>
                <w:noProof/>
              </w:rPr>
              <w:t>punkta a) apakšpunktā minēto posteņu ietekmi</w:t>
            </w:r>
            <w:r>
              <w:rPr>
                <w:rStyle w:val="FormatvorlageInstructionsTabelleText"/>
                <w:rFonts w:ascii="Times New Roman" w:hAnsi="Times New Roman"/>
                <w:noProof/>
                <w:sz w:val="24"/>
              </w:rPr>
              <w:t>.</w:t>
            </w:r>
          </w:p>
        </w:tc>
      </w:tr>
      <w:tr w:rsidR="00B0203E" w:rsidRPr="00D82419" w14:paraId="0F980DD4" w14:textId="77777777" w:rsidTr="63452C95">
        <w:tc>
          <w:tcPr>
            <w:tcW w:w="1129" w:type="dxa"/>
          </w:tcPr>
          <w:p w14:paraId="5A67693C" w14:textId="0253A2BF"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620" w:type="dxa"/>
          </w:tcPr>
          <w:p w14:paraId="1C6833A3" w14:textId="0DF22290"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 </w:t>
            </w:r>
            <w:r>
              <w:rPr>
                <w:rStyle w:val="InstructionsTabelleberschrift"/>
                <w:rFonts w:ascii="Times New Roman" w:hAnsi="Times New Roman"/>
                <w:i/>
                <w:noProof/>
                <w:sz w:val="24"/>
              </w:rPr>
              <w:t>NII</w:t>
            </w:r>
            <w:r>
              <w:rPr>
                <w:rStyle w:val="InstructionsTabelleberschrift"/>
                <w:rFonts w:ascii="Times New Roman" w:hAnsi="Times New Roman"/>
                <w:noProof/>
                <w:sz w:val="24"/>
              </w:rPr>
              <w:t xml:space="preserve"> sliktākajā scenārijā</w:t>
            </w:r>
          </w:p>
          <w:p w14:paraId="0E312D00" w14:textId="5AB6AC0B"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Viena gada </w:t>
            </w:r>
            <w:r>
              <w:rPr>
                <w:rStyle w:val="InstructionsTabelleberschrift"/>
                <w:rFonts w:ascii="Times New Roman" w:hAnsi="Times New Roman"/>
                <w:b w:val="0"/>
                <w:i/>
                <w:noProof/>
                <w:sz w:val="24"/>
                <w:u w:val="none"/>
              </w:rPr>
              <w:t>NII</w:t>
            </w:r>
            <w:r>
              <w:rPr>
                <w:rStyle w:val="InstructionsTabelleberschrift"/>
                <w:rFonts w:ascii="Times New Roman" w:hAnsi="Times New Roman"/>
                <w:b w:val="0"/>
                <w:noProof/>
                <w:sz w:val="24"/>
                <w:u w:val="none"/>
              </w:rPr>
              <w:t xml:space="preserve"> izmaiņas uzraudzības satricinājuma scenārijos, kas minēti </w:t>
            </w:r>
            <w:r>
              <w:rPr>
                <w:rStyle w:val="FormatvorlageInstructionsTabelleText"/>
                <w:rFonts w:ascii="Times New Roman" w:hAnsi="Times New Roman"/>
                <w:noProof/>
                <w:sz w:val="24"/>
              </w:rPr>
              <w:t xml:space="preserve">Deleģētās regulas (ES) .../... (PB: lūgums pievienot atsauci uz RTS par </w:t>
            </w:r>
            <w:r>
              <w:rPr>
                <w:rStyle w:val="FormatvorlageInstructionsTabelleText"/>
                <w:rFonts w:ascii="Times New Roman" w:hAnsi="Times New Roman"/>
                <w:i/>
                <w:noProof/>
                <w:sz w:val="24"/>
              </w:rPr>
              <w:t>SOT</w:t>
            </w:r>
            <w:r>
              <w:rPr>
                <w:rStyle w:val="FormatvorlageInstructionsTabelleText"/>
                <w:rFonts w:ascii="Times New Roman" w:hAnsi="Times New Roman"/>
                <w:noProof/>
                <w:sz w:val="24"/>
              </w:rPr>
              <w:t xml:space="preserve">) 1. panta 2. punktā, kuras izraisa </w:t>
            </w:r>
            <w:r>
              <w:rPr>
                <w:rStyle w:val="FormatvorlageInstructionsTabelleText"/>
                <w:rFonts w:ascii="Times New Roman" w:hAnsi="Times New Roman"/>
                <w:i/>
                <w:noProof/>
                <w:sz w:val="24"/>
              </w:rPr>
              <w:t>NII</w:t>
            </w:r>
            <w:r>
              <w:rPr>
                <w:rStyle w:val="FormatvorlageInstructionsTabelleText"/>
                <w:rFonts w:ascii="Times New Roman" w:hAnsi="Times New Roman"/>
                <w:noProof/>
                <w:sz w:val="24"/>
              </w:rPr>
              <w:t xml:space="preserve"> lielāko samazinājumu.</w:t>
            </w:r>
            <w:r>
              <w:rPr>
                <w:rStyle w:val="FormatvorlageInstructionsTabelleText"/>
                <w:rFonts w:ascii="Times New Roman" w:hAnsi="Times New Roman"/>
                <w:noProof/>
              </w:rPr>
              <w:t xml:space="preserve"> </w:t>
            </w:r>
            <w:r>
              <w:rPr>
                <w:rStyle w:val="FormatvorlageInstructionsTabelleText"/>
                <w:rFonts w:ascii="Times New Roman" w:hAnsi="Times New Roman"/>
                <w:noProof/>
                <w:sz w:val="24"/>
              </w:rPr>
              <w:t xml:space="preserve">Šajā rindā uzrāda </w:t>
            </w:r>
            <w:r>
              <w:rPr>
                <w:rStyle w:val="InstructionsTabelleberschrift"/>
                <w:rFonts w:ascii="Times New Roman" w:hAnsi="Times New Roman"/>
                <w:b w:val="0"/>
                <w:noProof/>
                <w:sz w:val="24"/>
                <w:u w:val="none"/>
              </w:rPr>
              <w:t xml:space="preserve">0130. līdz 0140. </w:t>
            </w:r>
            <w:r>
              <w:rPr>
                <w:rStyle w:val="FormatvorlageInstructionsTabelleText"/>
                <w:rFonts w:ascii="Times New Roman" w:hAnsi="Times New Roman"/>
                <w:noProof/>
                <w:sz w:val="24"/>
              </w:rPr>
              <w:t>rindā norādīto vērtību sliktāko rezultātu.</w:t>
            </w:r>
            <w:r>
              <w:rPr>
                <w:rStyle w:val="InstructionsTabelleberschrift"/>
                <w:rFonts w:ascii="Times New Roman" w:hAnsi="Times New Roman"/>
                <w:b w:val="0"/>
                <w:noProof/>
                <w:sz w:val="24"/>
                <w:u w:val="none"/>
              </w:rPr>
              <w:t xml:space="preserve"> </w:t>
            </w:r>
          </w:p>
        </w:tc>
      </w:tr>
      <w:tr w:rsidR="009E5DE6" w:rsidRPr="00D82419" w14:paraId="3F6F82BB" w14:textId="77777777" w:rsidTr="63452C95">
        <w:tc>
          <w:tcPr>
            <w:tcW w:w="1129" w:type="dxa"/>
          </w:tcPr>
          <w:p w14:paraId="3D3E8435" w14:textId="6C475191" w:rsidR="009E5DE6" w:rsidRPr="00D82419" w:rsidRDefault="009E5DE6"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620" w:type="dxa"/>
          </w:tcPr>
          <w:p w14:paraId="7CED9633" w14:textId="512F2026" w:rsidR="00227983" w:rsidRPr="00D82419" w:rsidRDefault="00F64CC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 </w:t>
            </w:r>
            <w:r>
              <w:rPr>
                <w:rStyle w:val="InstructionsTabelleberschrift"/>
                <w:rFonts w:ascii="Times New Roman" w:hAnsi="Times New Roman"/>
                <w:i/>
                <w:noProof/>
                <w:sz w:val="24"/>
              </w:rPr>
              <w:t>NII</w:t>
            </w:r>
            <w:r>
              <w:rPr>
                <w:rStyle w:val="InstructionsTabelleberschrift"/>
                <w:rFonts w:ascii="Times New Roman" w:hAnsi="Times New Roman"/>
                <w:noProof/>
                <w:sz w:val="24"/>
              </w:rPr>
              <w:t xml:space="preserve"> attiecība sliktākajā scenārijā</w:t>
            </w:r>
          </w:p>
          <w:p w14:paraId="2262B2BB" w14:textId="5B7D2E77" w:rsidR="009E5DE6" w:rsidRPr="00D82419" w:rsidRDefault="009E5DE6"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0100. rindā uzrādītās vērtības attiecība</w:t>
            </w:r>
            <w:r>
              <w:rPr>
                <w:noProof/>
              </w:rPr>
              <w:t xml:space="preserve"> pret pirmā līmeņa kapitālu, kura noteikta saskaņā ar Regulas (ES) Nr. 575/2013 25. pantu</w:t>
            </w:r>
            <w:r>
              <w:rPr>
                <w:rStyle w:val="InstructionsTabelleberschrift"/>
                <w:rFonts w:ascii="Times New Roman" w:hAnsi="Times New Roman"/>
                <w:b w:val="0"/>
                <w:noProof/>
                <w:sz w:val="24"/>
                <w:u w:val="none"/>
              </w:rPr>
              <w:t>.</w:t>
            </w:r>
          </w:p>
        </w:tc>
      </w:tr>
      <w:tr w:rsidR="009F50A3" w:rsidRPr="00D82419" w14:paraId="3C0AB8F1" w14:textId="77777777" w:rsidTr="63452C95">
        <w:tc>
          <w:tcPr>
            <w:tcW w:w="1129" w:type="dxa"/>
          </w:tcPr>
          <w:p w14:paraId="575733AA" w14:textId="200097E1" w:rsidR="009F50A3" w:rsidRPr="00D82419" w:rsidRDefault="009F50A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0120-0140</w:t>
            </w:r>
          </w:p>
        </w:tc>
        <w:tc>
          <w:tcPr>
            <w:tcW w:w="7620" w:type="dxa"/>
          </w:tcPr>
          <w:p w14:paraId="674E2DEC" w14:textId="79C7A2D5" w:rsidR="00F26924" w:rsidRPr="00D82419" w:rsidRDefault="0085527D"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i/>
                <w:noProof/>
                <w:sz w:val="24"/>
              </w:rPr>
              <w:t>NII</w:t>
            </w:r>
            <w:r>
              <w:rPr>
                <w:rStyle w:val="InstructionsTabelleberschrift"/>
                <w:rFonts w:ascii="Times New Roman" w:hAnsi="Times New Roman"/>
                <w:noProof/>
                <w:sz w:val="24"/>
              </w:rPr>
              <w:t xml:space="preserve"> pamatscenārijā un uzraudzības satricinājuma scenārijā</w:t>
            </w:r>
          </w:p>
          <w:p w14:paraId="29D06DA2" w14:textId="401CE418" w:rsidR="001768A4" w:rsidRPr="00D82419" w:rsidRDefault="00E115F2" w:rsidP="003C575D">
            <w:pPr>
              <w:pStyle w:val="InstructionsText"/>
              <w:rPr>
                <w:rStyle w:val="FormatvorlageInstructionsTabelleText"/>
                <w:rFonts w:ascii="Times New Roman" w:hAnsi="Times New Roman"/>
                <w:noProof/>
                <w:sz w:val="24"/>
              </w:rPr>
            </w:pPr>
            <w:r>
              <w:rPr>
                <w:rStyle w:val="InstructionsTabelleberschrift"/>
                <w:rFonts w:ascii="Times New Roman" w:hAnsi="Times New Roman"/>
                <w:b w:val="0"/>
                <w:i/>
                <w:noProof/>
                <w:sz w:val="24"/>
                <w:u w:val="none"/>
              </w:rPr>
              <w:t>NII</w:t>
            </w:r>
            <w:r>
              <w:rPr>
                <w:rStyle w:val="InstructionsTabelleberschrift"/>
                <w:rFonts w:ascii="Times New Roman" w:hAnsi="Times New Roman"/>
                <w:b w:val="0"/>
                <w:noProof/>
                <w:sz w:val="24"/>
                <w:u w:val="none"/>
              </w:rPr>
              <w:t xml:space="preserve"> līmenis pamatscenārijā un Δ </w:t>
            </w:r>
            <w:r>
              <w:rPr>
                <w:rStyle w:val="InstructionsTabelleberschrift"/>
                <w:rFonts w:ascii="Times New Roman" w:hAnsi="Times New Roman"/>
                <w:b w:val="0"/>
                <w:i/>
                <w:noProof/>
                <w:sz w:val="24"/>
                <w:u w:val="none"/>
              </w:rPr>
              <w:t>NII</w:t>
            </w:r>
            <w:r>
              <w:rPr>
                <w:rStyle w:val="InstructionsTabelleberschrift"/>
                <w:rFonts w:ascii="Times New Roman" w:hAnsi="Times New Roman"/>
                <w:b w:val="0"/>
                <w:noProof/>
                <w:sz w:val="24"/>
                <w:u w:val="none"/>
              </w:rPr>
              <w:t xml:space="preserve"> uzraudzības satricinājuma scenārijos, kas minēti </w:t>
            </w:r>
            <w:r>
              <w:rPr>
                <w:noProof/>
              </w:rPr>
              <w:t xml:space="preserve">Deleģētās regulas (ES) …/… (PB: lūgums pievienot atsauci uz </w:t>
            </w:r>
            <w:r>
              <w:rPr>
                <w:rStyle w:val="FormatvorlageInstructionsTabelleText"/>
                <w:rFonts w:ascii="Times New Roman" w:hAnsi="Times New Roman"/>
                <w:noProof/>
                <w:sz w:val="24"/>
              </w:rPr>
              <w:t xml:space="preserve">RTS par </w:t>
            </w:r>
            <w:r>
              <w:rPr>
                <w:rStyle w:val="FormatvorlageInstructionsTabelleText"/>
                <w:rFonts w:ascii="Times New Roman" w:hAnsi="Times New Roman"/>
                <w:i/>
                <w:noProof/>
                <w:sz w:val="24"/>
              </w:rPr>
              <w:t>SOT</w:t>
            </w:r>
            <w:r>
              <w:rPr>
                <w:rStyle w:val="FormatvorlageInstructionsTabelleText"/>
                <w:rFonts w:ascii="Times New Roman" w:hAnsi="Times New Roman"/>
                <w:noProof/>
                <w:sz w:val="24"/>
              </w:rPr>
              <w:t>) 1. panta 2. punktā.</w:t>
            </w:r>
          </w:p>
        </w:tc>
      </w:tr>
      <w:tr w:rsidR="00B1769B" w:rsidRPr="00D82419" w14:paraId="74B9F5A4" w14:textId="77777777" w:rsidTr="63452C95">
        <w:tc>
          <w:tcPr>
            <w:tcW w:w="1129" w:type="dxa"/>
          </w:tcPr>
          <w:p w14:paraId="6ACD054A" w14:textId="3334CDA1" w:rsidR="00B1769B" w:rsidRPr="00D82419" w:rsidRDefault="00B1769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620" w:type="dxa"/>
          </w:tcPr>
          <w:p w14:paraId="5BBF8A3D" w14:textId="56061FD0" w:rsidR="00B1769B" w:rsidRPr="00D82419" w:rsidRDefault="0085527D"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i/>
                <w:noProof/>
                <w:sz w:val="24"/>
              </w:rPr>
              <w:t>NII</w:t>
            </w:r>
            <w:r>
              <w:rPr>
                <w:rStyle w:val="InstructionsTabelleberschrift"/>
                <w:rFonts w:ascii="Times New Roman" w:hAnsi="Times New Roman"/>
                <w:noProof/>
                <w:sz w:val="24"/>
              </w:rPr>
              <w:t xml:space="preserve"> līmenis pamatscenārijā </w:t>
            </w:r>
          </w:p>
          <w:p w14:paraId="5650CC49" w14:textId="440C8528" w:rsidR="00B1769B" w:rsidRPr="00D82419" w:rsidDel="008C1F5D" w:rsidRDefault="00B1769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i/>
                <w:noProof/>
                <w:sz w:val="24"/>
                <w:u w:val="none"/>
              </w:rPr>
              <w:t>NII</w:t>
            </w:r>
            <w:r>
              <w:rPr>
                <w:rStyle w:val="InstructionsTabelleberschrift"/>
                <w:rFonts w:ascii="Times New Roman" w:hAnsi="Times New Roman"/>
                <w:b w:val="0"/>
                <w:noProof/>
                <w:sz w:val="24"/>
                <w:u w:val="none"/>
              </w:rPr>
              <w:t xml:space="preserve"> līmenis procentu likmju pamatscenārijā atsauces datumā.</w:t>
            </w:r>
          </w:p>
        </w:tc>
      </w:tr>
      <w:tr w:rsidR="00B1769B" w:rsidRPr="00D82419" w14:paraId="5A23CC83" w14:textId="77777777" w:rsidTr="63452C95">
        <w:tc>
          <w:tcPr>
            <w:tcW w:w="1129" w:type="dxa"/>
          </w:tcPr>
          <w:p w14:paraId="0265CE45" w14:textId="2A0AC21C" w:rsidR="00B1769B" w:rsidRPr="00D82419" w:rsidRDefault="00B1769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w:t>
            </w:r>
          </w:p>
        </w:tc>
        <w:tc>
          <w:tcPr>
            <w:tcW w:w="7620" w:type="dxa"/>
          </w:tcPr>
          <w:p w14:paraId="7CB62F0F" w14:textId="33A0680E" w:rsidR="00B1769B" w:rsidRPr="00D82419" w:rsidRDefault="00B1769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w:t>
            </w:r>
            <w:r>
              <w:rPr>
                <w:rStyle w:val="InstructionsTabelleberschrift"/>
                <w:rFonts w:ascii="Times New Roman" w:hAnsi="Times New Roman"/>
                <w:i/>
                <w:noProof/>
                <w:sz w:val="24"/>
              </w:rPr>
              <w:t>NII</w:t>
            </w:r>
            <w:r>
              <w:rPr>
                <w:rStyle w:val="InstructionsTabelleberschrift"/>
                <w:rFonts w:ascii="Times New Roman" w:hAnsi="Times New Roman"/>
                <w:noProof/>
                <w:sz w:val="24"/>
              </w:rPr>
              <w:t xml:space="preserve"> paralēla augšupvērsta satricinājuma gadījumā</w:t>
            </w:r>
          </w:p>
          <w:p w14:paraId="1B5D0209" w14:textId="280D8D7E" w:rsidR="00B1769B" w:rsidRPr="00D82419" w:rsidRDefault="00B1769B"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i/>
                <w:noProof/>
                <w:sz w:val="24"/>
                <w:u w:val="none"/>
              </w:rPr>
              <w:t>NII</w:t>
            </w:r>
            <w:r>
              <w:rPr>
                <w:rStyle w:val="InstructionsTabelleberschrift"/>
                <w:rFonts w:ascii="Times New Roman" w:hAnsi="Times New Roman"/>
                <w:b w:val="0"/>
                <w:noProof/>
                <w:sz w:val="24"/>
                <w:u w:val="none"/>
              </w:rPr>
              <w:t xml:space="preserve"> izmaiņas “paralēla augšupvērsta satricinājuma” scenārijā, kas minēts Deleģētās regulas (ES) .../... (PB: lūgums pievienot atsauci uz </w:t>
            </w:r>
            <w:r>
              <w:rPr>
                <w:rStyle w:val="FormatvorlageInstructionsTabelleText"/>
                <w:rFonts w:ascii="Times New Roman" w:hAnsi="Times New Roman"/>
                <w:noProof/>
                <w:sz w:val="24"/>
              </w:rPr>
              <w:t xml:space="preserve">RTS par </w:t>
            </w:r>
            <w:r>
              <w:rPr>
                <w:rStyle w:val="FormatvorlageInstructionsTabelleText"/>
                <w:rFonts w:ascii="Times New Roman" w:hAnsi="Times New Roman"/>
                <w:i/>
                <w:noProof/>
                <w:sz w:val="24"/>
              </w:rPr>
              <w:t>SOT</w:t>
            </w:r>
            <w:r>
              <w:rPr>
                <w:rStyle w:val="FormatvorlageInstructionsTabelleText"/>
                <w:rFonts w:ascii="Times New Roman" w:hAnsi="Times New Roman"/>
                <w:noProof/>
                <w:sz w:val="24"/>
              </w:rPr>
              <w:t>)</w:t>
            </w:r>
            <w:r>
              <w:rPr>
                <w:rStyle w:val="InstructionsTabelleberschrift"/>
                <w:rFonts w:ascii="Times New Roman" w:hAnsi="Times New Roman"/>
                <w:b w:val="0"/>
                <w:noProof/>
                <w:sz w:val="24"/>
                <w:u w:val="none"/>
              </w:rPr>
              <w:t xml:space="preserve"> 1. panta 2. punkta a) apakšpunktā un 2. pantā.</w:t>
            </w:r>
          </w:p>
        </w:tc>
      </w:tr>
      <w:tr w:rsidR="00B1769B" w:rsidRPr="00D82419" w14:paraId="3A41310B" w14:textId="77777777" w:rsidTr="63452C95">
        <w:tc>
          <w:tcPr>
            <w:tcW w:w="1129" w:type="dxa"/>
          </w:tcPr>
          <w:p w14:paraId="2A69B51A" w14:textId="0BBDEA22" w:rsidR="00B1769B" w:rsidRPr="00D82419" w:rsidRDefault="00B1769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620" w:type="dxa"/>
          </w:tcPr>
          <w:p w14:paraId="0B1B3FB9" w14:textId="774696BD" w:rsidR="00B1769B" w:rsidRPr="00D82419" w:rsidRDefault="00B1769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w:t>
            </w:r>
            <w:r>
              <w:rPr>
                <w:rStyle w:val="InstructionsTabelleberschrift"/>
                <w:rFonts w:ascii="Times New Roman" w:hAnsi="Times New Roman"/>
                <w:i/>
                <w:noProof/>
                <w:sz w:val="24"/>
              </w:rPr>
              <w:t>NII</w:t>
            </w:r>
            <w:r>
              <w:rPr>
                <w:rStyle w:val="InstructionsTabelleberschrift"/>
                <w:rFonts w:ascii="Times New Roman" w:hAnsi="Times New Roman"/>
                <w:noProof/>
                <w:sz w:val="24"/>
              </w:rPr>
              <w:t xml:space="preserve"> paralēla lejupvērsta satricinājuma gadījumā</w:t>
            </w:r>
          </w:p>
          <w:p w14:paraId="4D8674F1" w14:textId="517AA498" w:rsidR="00B1769B" w:rsidRPr="00D82419" w:rsidRDefault="00B1769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i/>
                <w:noProof/>
                <w:sz w:val="24"/>
                <w:u w:val="none"/>
              </w:rPr>
              <w:t>NII</w:t>
            </w:r>
            <w:r>
              <w:rPr>
                <w:rStyle w:val="InstructionsTabelleberschrift"/>
                <w:rFonts w:ascii="Times New Roman" w:hAnsi="Times New Roman"/>
                <w:b w:val="0"/>
                <w:noProof/>
                <w:sz w:val="24"/>
                <w:u w:val="none"/>
              </w:rPr>
              <w:t xml:space="preserve"> izmaiņas “paralēla lejupvērsta satricinājuma” scenārijā, kas minēts Deleģētās regulas (ES) .../... (PB: lūgums pievienot atsauci uz </w:t>
            </w:r>
            <w:r>
              <w:rPr>
                <w:rStyle w:val="FormatvorlageInstructionsTabelleText"/>
                <w:rFonts w:ascii="Times New Roman" w:hAnsi="Times New Roman"/>
                <w:noProof/>
                <w:sz w:val="24"/>
              </w:rPr>
              <w:t xml:space="preserve">RTS par </w:t>
            </w:r>
            <w:r>
              <w:rPr>
                <w:rStyle w:val="FormatvorlageInstructionsTabelleText"/>
                <w:rFonts w:ascii="Times New Roman" w:hAnsi="Times New Roman"/>
                <w:i/>
                <w:noProof/>
                <w:sz w:val="24"/>
              </w:rPr>
              <w:t>SOT</w:t>
            </w:r>
            <w:r>
              <w:rPr>
                <w:rStyle w:val="FormatvorlageInstructionsTabelleText"/>
                <w:rFonts w:ascii="Times New Roman" w:hAnsi="Times New Roman"/>
                <w:noProof/>
                <w:sz w:val="24"/>
              </w:rPr>
              <w:t>)</w:t>
            </w:r>
            <w:r>
              <w:rPr>
                <w:noProof/>
              </w:rPr>
              <w:t xml:space="preserve"> 1. panta 2. punkta b) apakšpunktā un 2. pantā.</w:t>
            </w:r>
          </w:p>
        </w:tc>
      </w:tr>
      <w:tr w:rsidR="00923153" w:rsidRPr="00D82419" w14:paraId="5B99C8B8" w14:textId="77777777" w:rsidTr="63452C95">
        <w:tc>
          <w:tcPr>
            <w:tcW w:w="1129" w:type="dxa"/>
          </w:tcPr>
          <w:p w14:paraId="7203579F" w14:textId="7494CBB8" w:rsidR="00923153" w:rsidRPr="00D82419" w:rsidRDefault="0092315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0150-0170</w:t>
            </w:r>
          </w:p>
        </w:tc>
        <w:tc>
          <w:tcPr>
            <w:tcW w:w="7620" w:type="dxa"/>
          </w:tcPr>
          <w:p w14:paraId="094CEC13" w14:textId="51CFDCB3" w:rsidR="00923153" w:rsidRPr="00D82419" w:rsidRDefault="001A01B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IMS Tirgus vērtības izmaiņas</w:t>
            </w:r>
          </w:p>
          <w:p w14:paraId="2E5292E0" w14:textId="7A67CD3C" w:rsidR="007229C5" w:rsidRPr="00D82419" w:rsidRDefault="007229C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Tirgus vērtība pamatscenārijā un uzraudzības satricinājuma scenārijā</w:t>
            </w:r>
          </w:p>
          <w:p w14:paraId="67095171" w14:textId="39679898" w:rsidR="00923153" w:rsidRPr="00D82419" w:rsidRDefault="0092315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Prognozes par uzskaites summas tirgus vērtības izmaiņām (</w:t>
            </w:r>
            <w:r>
              <w:rPr>
                <w:rStyle w:val="FormatvorlageInstructionsTabelleText"/>
                <w:rFonts w:ascii="Times New Roman" w:hAnsi="Times New Roman"/>
                <w:b/>
                <w:noProof/>
                <w:sz w:val="24"/>
              </w:rPr>
              <w:t>∆</w:t>
            </w:r>
            <w:r>
              <w:rPr>
                <w:rStyle w:val="FormatvorlageInstructionsTabelleText"/>
                <w:rFonts w:ascii="Times New Roman" w:hAnsi="Times New Roman"/>
                <w:i/>
                <w:noProof/>
                <w:sz w:val="24"/>
              </w:rPr>
              <w:t>MV</w:t>
            </w:r>
            <w:r>
              <w:rPr>
                <w:rStyle w:val="FormatvorlageInstructionsTabelleText"/>
                <w:rFonts w:ascii="Times New Roman" w:hAnsi="Times New Roman"/>
                <w:noProof/>
                <w:sz w:val="24"/>
              </w:rPr>
              <w:t>)</w:t>
            </w:r>
            <w:r>
              <w:rPr>
                <w:rStyle w:val="FormatvorlageInstructionsTabelleText"/>
                <w:rFonts w:ascii="Times New Roman" w:hAnsi="Times New Roman"/>
                <w:b/>
                <w:noProof/>
                <w:sz w:val="24"/>
              </w:rPr>
              <w:t xml:space="preserve"> </w:t>
            </w:r>
            <w:r>
              <w:rPr>
                <w:rStyle w:val="FormatvorlageInstructionsTabelleText"/>
                <w:rFonts w:ascii="Times New Roman" w:hAnsi="Times New Roman"/>
                <w:noProof/>
                <w:sz w:val="24"/>
              </w:rPr>
              <w:t xml:space="preserve">viena gada periodā </w:t>
            </w:r>
            <w:r>
              <w:rPr>
                <w:rStyle w:val="InstructionsTabelleberschrift"/>
                <w:rFonts w:ascii="Times New Roman" w:hAnsi="Times New Roman"/>
                <w:b w:val="0"/>
                <w:noProof/>
                <w:sz w:val="24"/>
                <w:u w:val="none"/>
              </w:rPr>
              <w:t xml:space="preserve">pamatscenārijā un uzraudzības satricinājuma scenārijā </w:t>
            </w:r>
            <w:r>
              <w:rPr>
                <w:rStyle w:val="FormatvorlageInstructionsTabelleText"/>
                <w:rFonts w:ascii="Times New Roman" w:hAnsi="Times New Roman"/>
                <w:noProof/>
                <w:sz w:val="24"/>
              </w:rPr>
              <w:t xml:space="preserve">norāda vai nu peļņas un zaudējumu aprēķinā, vai tieši pašu kapitālā (piemēram, pārējos apvienotos ienākumos). </w:t>
            </w:r>
            <w:r w:rsidRPr="00FB620E">
              <w:rPr>
                <w:rStyle w:val="FormatvorlageInstructionsTabelleText"/>
                <w:rFonts w:ascii="Times New Roman" w:hAnsi="Times New Roman"/>
                <w:noProof/>
                <w:sz w:val="24"/>
              </w:rPr>
              <w:t xml:space="preserve">Iestādes uzrāda </w:t>
            </w:r>
            <w:r w:rsidRPr="00FB620E">
              <w:rPr>
                <w:rStyle w:val="InstructionsTabelleberschrift"/>
                <w:rFonts w:ascii="Times New Roman" w:hAnsi="Times New Roman"/>
                <w:noProof/>
                <w:sz w:val="24"/>
                <w:u w:val="none"/>
              </w:rPr>
              <w:t>∆</w:t>
            </w:r>
            <w:r w:rsidRPr="00FB620E">
              <w:rPr>
                <w:rStyle w:val="FormatvorlageInstructionsTabelleText"/>
                <w:rFonts w:ascii="Times New Roman" w:hAnsi="Times New Roman"/>
                <w:i/>
                <w:noProof/>
                <w:sz w:val="24"/>
              </w:rPr>
              <w:t>MV</w:t>
            </w:r>
            <w:r w:rsidRPr="00FB620E">
              <w:rPr>
                <w:rStyle w:val="FormatvorlageInstructionsTabelleText"/>
                <w:rFonts w:ascii="Times New Roman" w:hAnsi="Times New Roman"/>
                <w:noProof/>
                <w:sz w:val="24"/>
              </w:rPr>
              <w:t xml:space="preserve">, atskaitot uzskaites riska ierobežošanas pozīciju ietekmi (t. i., riska ierobežošanas uzskaite), un neņem vērā </w:t>
            </w:r>
            <w:r>
              <w:rPr>
                <w:noProof/>
              </w:rPr>
              <w:t>Regulas (ES) Nr. 575/2013</w:t>
            </w:r>
            <w:r>
              <w:rPr>
                <w:rStyle w:val="FormatvorlageInstructionsTabelleText"/>
                <w:rFonts w:ascii="Times New Roman" w:hAnsi="Times New Roman"/>
                <w:noProof/>
                <w:sz w:val="24"/>
              </w:rPr>
              <w:t> 33. panta 1. punkta a) apakšpunktā minēto posteņu ietekmi (naudas plūsmu riska ierobežošanas uzskaites faktisko komponentu, atvasināto instrumentu riska ierobežošanas amortizēto izmaksu posteņus).</w:t>
            </w:r>
          </w:p>
          <w:p w14:paraId="6B865342" w14:textId="3C746E7B" w:rsidR="00923153" w:rsidRPr="00D82419" w:rsidRDefault="0092315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Iestādes izmanto ∆</w:t>
            </w:r>
            <w:r>
              <w:rPr>
                <w:rStyle w:val="InstructionsTabelleberschrift"/>
                <w:rFonts w:ascii="Times New Roman" w:hAnsi="Times New Roman"/>
                <w:b w:val="0"/>
                <w:i/>
                <w:noProof/>
                <w:sz w:val="24"/>
                <w:u w:val="none"/>
              </w:rPr>
              <w:t>MV</w:t>
            </w:r>
            <w:r>
              <w:rPr>
                <w:rStyle w:val="InstructionsTabelleberschrift"/>
                <w:rFonts w:ascii="Times New Roman" w:hAnsi="Times New Roman"/>
                <w:b w:val="0"/>
                <w:noProof/>
                <w:sz w:val="24"/>
                <w:u w:val="none"/>
              </w:rPr>
              <w:t xml:space="preserve"> prognozes saskaņā ar iestādes </w:t>
            </w:r>
            <w:r>
              <w:rPr>
                <w:rStyle w:val="InstructionsTabelleberschrift"/>
                <w:rFonts w:ascii="Times New Roman" w:hAnsi="Times New Roman"/>
                <w:b w:val="0"/>
                <w:i/>
                <w:noProof/>
                <w:sz w:val="24"/>
                <w:u w:val="none"/>
              </w:rPr>
              <w:t>IRRBB IMS</w:t>
            </w:r>
            <w:r>
              <w:rPr>
                <w:rStyle w:val="InstructionsTabelleberschrift"/>
                <w:rFonts w:ascii="Times New Roman" w:hAnsi="Times New Roman"/>
                <w:b w:val="0"/>
                <w:noProof/>
                <w:sz w:val="24"/>
                <w:u w:val="none"/>
              </w:rPr>
              <w:t xml:space="preserve"> vai attiecīgā gadījumā </w:t>
            </w:r>
            <w:r>
              <w:rPr>
                <w:rStyle w:val="FormatvorlageInstructionsTabelleText"/>
                <w:rFonts w:ascii="Times New Roman" w:hAnsi="Times New Roman"/>
                <w:noProof/>
                <w:sz w:val="24"/>
              </w:rPr>
              <w:t xml:space="preserve">Deleģētās regulas (ES) .../... (PB: lūgums pievienot atsauci uz RTS par </w:t>
            </w:r>
            <w:r>
              <w:rPr>
                <w:rStyle w:val="FormatvorlageInstructionsTabelleText"/>
                <w:rFonts w:ascii="Times New Roman" w:hAnsi="Times New Roman"/>
                <w:i/>
                <w:noProof/>
                <w:sz w:val="24"/>
              </w:rPr>
              <w:t>SA</w:t>
            </w:r>
            <w:r>
              <w:rPr>
                <w:rStyle w:val="FormatvorlageInstructionsTabelleText"/>
                <w:rFonts w:ascii="Times New Roman" w:hAnsi="Times New Roman"/>
                <w:noProof/>
                <w:sz w:val="24"/>
              </w:rPr>
              <w:t xml:space="preserve">) 22. pantu uzraudzības satricinājuma scenārijiem, kas minēti Deleģētās regulas (ES) .../... (PB: lūgums pievienot atsauci uz RTS par </w:t>
            </w:r>
            <w:r>
              <w:rPr>
                <w:rStyle w:val="FormatvorlageInstructionsTabelleText"/>
                <w:rFonts w:ascii="Times New Roman" w:hAnsi="Times New Roman"/>
                <w:i/>
                <w:noProof/>
                <w:sz w:val="24"/>
              </w:rPr>
              <w:t>SOT</w:t>
            </w:r>
            <w:r>
              <w:rPr>
                <w:rStyle w:val="FormatvorlageInstructionsTabelleText"/>
                <w:rFonts w:ascii="Times New Roman" w:hAnsi="Times New Roman"/>
                <w:noProof/>
                <w:sz w:val="24"/>
              </w:rPr>
              <w:t>) 1. panta 2.</w:t>
            </w:r>
            <w:r w:rsidR="00FB620E">
              <w:rPr>
                <w:rStyle w:val="FormatvorlageInstructionsTabelleText"/>
                <w:rFonts w:ascii="Times New Roman" w:hAnsi="Times New Roman"/>
                <w:noProof/>
                <w:sz w:val="24"/>
              </w:rPr>
              <w:t> </w:t>
            </w:r>
            <w:r>
              <w:rPr>
                <w:rStyle w:val="FormatvorlageInstructionsTabelleText"/>
                <w:rFonts w:ascii="Times New Roman" w:hAnsi="Times New Roman"/>
                <w:noProof/>
                <w:sz w:val="24"/>
              </w:rPr>
              <w:t xml:space="preserve">punktā. </w:t>
            </w:r>
          </w:p>
          <w:p w14:paraId="24C4DC3D" w14:textId="23B6E2D6" w:rsidR="00923153" w:rsidRPr="00D82419" w:rsidRDefault="0092315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xml:space="preserve">Tās summas kopējo apjomu un sastāvu, kuras vērtība ir jutīga pret </w:t>
            </w:r>
            <w:r>
              <w:rPr>
                <w:rStyle w:val="InstructionsTabelleberschrift"/>
                <w:rFonts w:ascii="Times New Roman" w:hAnsi="Times New Roman"/>
                <w:b w:val="0"/>
                <w:noProof/>
                <w:sz w:val="24"/>
                <w:u w:val="none"/>
              </w:rPr>
              <w:t>∆</w:t>
            </w:r>
            <w:r>
              <w:rPr>
                <w:rStyle w:val="FormatvorlageInstructionsTabelleText"/>
                <w:rFonts w:ascii="Times New Roman" w:hAnsi="Times New Roman"/>
                <w:i/>
                <w:noProof/>
                <w:sz w:val="24"/>
              </w:rPr>
              <w:t>MV</w:t>
            </w:r>
            <w:r>
              <w:rPr>
                <w:rStyle w:val="FormatvorlageInstructionsTabelleText"/>
                <w:rFonts w:ascii="Times New Roman" w:hAnsi="Times New Roman"/>
                <w:noProof/>
                <w:sz w:val="24"/>
              </w:rPr>
              <w:t>, uztur, instrumentus, kuru dzēšanas termiņš beidzas, aizstājot ar jauniem instrumentiem, kam ir salīdzināmas iezīmes (tostarp instrumentu valūtu un nominālvērtību).</w:t>
            </w:r>
          </w:p>
          <w:p w14:paraId="536B6F4D" w14:textId="5656A60C" w:rsidR="00AF5A06" w:rsidRPr="00D82419" w:rsidRDefault="00AF5A06"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xml:space="preserve">Riska aplēses, no kurām atvasināti attiecīgie parametri, ir līdzvērtīgas tām, ko izmanto </w:t>
            </w:r>
            <w:r>
              <w:rPr>
                <w:rStyle w:val="FormatvorlageInstructionsTabelleText"/>
                <w:rFonts w:ascii="Times New Roman" w:hAnsi="Times New Roman"/>
                <w:i/>
                <w:noProof/>
                <w:sz w:val="24"/>
              </w:rPr>
              <w:t>SOT</w:t>
            </w:r>
            <w:r>
              <w:rPr>
                <w:rStyle w:val="FormatvorlageInstructionsTabelleText"/>
                <w:rFonts w:ascii="Times New Roman" w:hAnsi="Times New Roman"/>
                <w:noProof/>
                <w:sz w:val="24"/>
              </w:rPr>
              <w:t xml:space="preserve"> aprēķināšanai, tostarp attiecīgā gadījumā uzvedības modelēšanai un </w:t>
            </w:r>
            <w:r>
              <w:rPr>
                <w:noProof/>
              </w:rPr>
              <w:t>automātiskajai izvēles iespējai.</w:t>
            </w:r>
          </w:p>
        </w:tc>
      </w:tr>
      <w:tr w:rsidR="00B42594" w:rsidRPr="00D82419" w:rsidDel="008E0D48" w14:paraId="7AC6FA75" w14:textId="77777777" w:rsidTr="63452C95">
        <w:tc>
          <w:tcPr>
            <w:tcW w:w="1129" w:type="dxa"/>
          </w:tcPr>
          <w:p w14:paraId="4F73B923" w14:textId="33FB00F8" w:rsidR="00B42594" w:rsidRPr="00D82419" w:rsidRDefault="00B425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w:t>
            </w:r>
          </w:p>
        </w:tc>
        <w:tc>
          <w:tcPr>
            <w:tcW w:w="7620" w:type="dxa"/>
          </w:tcPr>
          <w:p w14:paraId="60E299BE" w14:textId="771F73A5" w:rsidR="00B42594" w:rsidRPr="00D82419" w:rsidRDefault="005D07D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Tirgus vērtības līmenis pamatscenārijā </w:t>
            </w:r>
          </w:p>
          <w:p w14:paraId="25925B58" w14:textId="0CA46700" w:rsidR="00B42594" w:rsidRPr="00D82419" w:rsidDel="008C1F5D" w:rsidRDefault="00B425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Tirgus vērtības līmenis procentu likmju pamatscenārijā atsauces datumā.</w:t>
            </w:r>
          </w:p>
        </w:tc>
      </w:tr>
      <w:tr w:rsidR="00B42594" w:rsidRPr="00D82419" w14:paraId="3900C6EB" w14:textId="77777777" w:rsidTr="63452C95">
        <w:tc>
          <w:tcPr>
            <w:tcW w:w="1129" w:type="dxa"/>
          </w:tcPr>
          <w:p w14:paraId="35C36A35" w14:textId="61A8A73B" w:rsidR="00B42594" w:rsidRPr="00D82419" w:rsidRDefault="00B425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w:t>
            </w:r>
          </w:p>
        </w:tc>
        <w:tc>
          <w:tcPr>
            <w:tcW w:w="7620" w:type="dxa"/>
          </w:tcPr>
          <w:p w14:paraId="76BA99CE" w14:textId="0566EC69" w:rsidR="00B42594" w:rsidRPr="00D82419" w:rsidRDefault="005D07D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w:t>
            </w:r>
            <w:r>
              <w:rPr>
                <w:rStyle w:val="InstructionsTabelleberschrift"/>
                <w:rFonts w:ascii="Times New Roman" w:hAnsi="Times New Roman"/>
                <w:i/>
                <w:noProof/>
                <w:sz w:val="24"/>
              </w:rPr>
              <w:t>MV</w:t>
            </w:r>
            <w:r>
              <w:rPr>
                <w:rStyle w:val="InstructionsTabelleberschrift"/>
                <w:rFonts w:ascii="Times New Roman" w:hAnsi="Times New Roman"/>
                <w:noProof/>
                <w:sz w:val="24"/>
              </w:rPr>
              <w:t xml:space="preserve"> paralēla augšupvērsta satricinājuma gadījumā</w:t>
            </w:r>
          </w:p>
          <w:p w14:paraId="1898CD18" w14:textId="4E66E93D" w:rsidR="00B42594" w:rsidRPr="00D82419" w:rsidRDefault="00B425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i/>
                <w:noProof/>
                <w:sz w:val="24"/>
                <w:u w:val="none"/>
              </w:rPr>
              <w:t>MV</w:t>
            </w:r>
            <w:r>
              <w:rPr>
                <w:rStyle w:val="InstructionsTabelleberschrift"/>
                <w:rFonts w:ascii="Times New Roman" w:hAnsi="Times New Roman"/>
                <w:b w:val="0"/>
                <w:noProof/>
                <w:sz w:val="24"/>
                <w:u w:val="none"/>
              </w:rPr>
              <w:t xml:space="preserve"> izmaiņas “paralēla augšupvērsta satricinājuma” scenārijā, kas minēts Deleģētās regulas (ES) .../... (PB: lūgums pievienot atsauci uz </w:t>
            </w:r>
            <w:r>
              <w:rPr>
                <w:rStyle w:val="FormatvorlageInstructionsTabelleText"/>
                <w:rFonts w:ascii="Times New Roman" w:hAnsi="Times New Roman"/>
                <w:noProof/>
                <w:sz w:val="24"/>
              </w:rPr>
              <w:t xml:space="preserve">RTS par </w:t>
            </w:r>
            <w:r>
              <w:rPr>
                <w:rStyle w:val="FormatvorlageInstructionsTabelleText"/>
                <w:rFonts w:ascii="Times New Roman" w:hAnsi="Times New Roman"/>
                <w:i/>
                <w:noProof/>
                <w:sz w:val="24"/>
              </w:rPr>
              <w:t>SOT</w:t>
            </w:r>
            <w:r>
              <w:rPr>
                <w:rStyle w:val="FormatvorlageInstructionsTabelleText"/>
                <w:rFonts w:ascii="Times New Roman" w:hAnsi="Times New Roman"/>
                <w:noProof/>
                <w:sz w:val="24"/>
              </w:rPr>
              <w:t>)</w:t>
            </w:r>
            <w:r>
              <w:rPr>
                <w:rStyle w:val="InstructionsTabelleberschrift"/>
                <w:rFonts w:ascii="Times New Roman" w:hAnsi="Times New Roman"/>
                <w:b w:val="0"/>
                <w:noProof/>
                <w:sz w:val="24"/>
                <w:u w:val="none"/>
              </w:rPr>
              <w:t xml:space="preserve"> 1. panta 2. punkta a) apakšpunktā un 2. pantā.</w:t>
            </w:r>
          </w:p>
        </w:tc>
      </w:tr>
      <w:tr w:rsidR="00B42594" w:rsidRPr="00D82419" w14:paraId="00FFC402" w14:textId="77777777" w:rsidTr="63452C95">
        <w:tc>
          <w:tcPr>
            <w:tcW w:w="1129" w:type="dxa"/>
          </w:tcPr>
          <w:p w14:paraId="6DDBFDDC" w14:textId="51876AB6" w:rsidR="00B42594" w:rsidRPr="00D82419" w:rsidRDefault="00B42594" w:rsidP="003C575D">
            <w:pPr>
              <w:pStyle w:val="InstructionsText"/>
              <w:rPr>
                <w:rStyle w:val="FormatvorlageInstructionsTabelleText"/>
                <w:rFonts w:ascii="Times New Roman" w:hAnsi="Times New Roman"/>
                <w:noProof/>
                <w:sz w:val="24"/>
                <w:highlight w:val="yellow"/>
              </w:rPr>
            </w:pPr>
            <w:r>
              <w:rPr>
                <w:rStyle w:val="FormatvorlageInstructionsTabelleText"/>
                <w:rFonts w:ascii="Times New Roman" w:hAnsi="Times New Roman"/>
                <w:noProof/>
                <w:sz w:val="24"/>
              </w:rPr>
              <w:t>0170</w:t>
            </w:r>
          </w:p>
        </w:tc>
        <w:tc>
          <w:tcPr>
            <w:tcW w:w="7620" w:type="dxa"/>
          </w:tcPr>
          <w:p w14:paraId="2EEA207C" w14:textId="17CB8D0F" w:rsidR="00B42594" w:rsidRPr="00D82419" w:rsidRDefault="00B425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w:t>
            </w:r>
            <w:r>
              <w:rPr>
                <w:rStyle w:val="InstructionsTabelleberschrift"/>
                <w:rFonts w:ascii="Times New Roman" w:hAnsi="Times New Roman"/>
                <w:i/>
                <w:noProof/>
                <w:sz w:val="24"/>
              </w:rPr>
              <w:t>MV</w:t>
            </w:r>
            <w:r>
              <w:rPr>
                <w:rStyle w:val="InstructionsTabelleberschrift"/>
                <w:rFonts w:ascii="Times New Roman" w:hAnsi="Times New Roman"/>
                <w:noProof/>
                <w:sz w:val="24"/>
              </w:rPr>
              <w:t xml:space="preserve"> paralēla lejupvērsta satricinājuma gadījumā</w:t>
            </w:r>
          </w:p>
          <w:p w14:paraId="39515A3E" w14:textId="14E3906F" w:rsidR="00B42594" w:rsidRPr="00D82419" w:rsidRDefault="00B42594" w:rsidP="003C575D">
            <w:pPr>
              <w:pStyle w:val="InstructionsText"/>
              <w:rPr>
                <w:rStyle w:val="InstructionsTabelleberschrift"/>
                <w:rFonts w:ascii="Times New Roman" w:hAnsi="Times New Roman"/>
                <w:noProof/>
                <w:sz w:val="24"/>
                <w:highlight w:val="yellow"/>
              </w:rPr>
            </w:pPr>
            <w:r>
              <w:rPr>
                <w:rStyle w:val="InstructionsTabelleberschrift"/>
                <w:rFonts w:ascii="Times New Roman" w:hAnsi="Times New Roman"/>
                <w:b w:val="0"/>
                <w:i/>
                <w:noProof/>
                <w:sz w:val="24"/>
                <w:u w:val="none"/>
              </w:rPr>
              <w:t>MV</w:t>
            </w:r>
            <w:r>
              <w:rPr>
                <w:rStyle w:val="InstructionsTabelleberschrift"/>
                <w:rFonts w:ascii="Times New Roman" w:hAnsi="Times New Roman"/>
                <w:b w:val="0"/>
                <w:noProof/>
                <w:sz w:val="24"/>
                <w:u w:val="none"/>
              </w:rPr>
              <w:t xml:space="preserve"> izmaiņas “paralēla lejupvērsta satricinājuma” scenārijā, kas minēts Deleģētās regulas (ES) .../... (PB: lūgums pievienot atsauci uz </w:t>
            </w:r>
            <w:r>
              <w:rPr>
                <w:rStyle w:val="FormatvorlageInstructionsTabelleText"/>
                <w:rFonts w:ascii="Times New Roman" w:hAnsi="Times New Roman"/>
                <w:noProof/>
                <w:sz w:val="24"/>
              </w:rPr>
              <w:t xml:space="preserve">RTS par </w:t>
            </w:r>
            <w:r>
              <w:rPr>
                <w:rStyle w:val="FormatvorlageInstructionsTabelleText"/>
                <w:rFonts w:ascii="Times New Roman" w:hAnsi="Times New Roman"/>
                <w:i/>
                <w:noProof/>
                <w:sz w:val="24"/>
              </w:rPr>
              <w:t>SOT</w:t>
            </w:r>
            <w:r>
              <w:rPr>
                <w:rStyle w:val="FormatvorlageInstructionsTabelleText"/>
                <w:rFonts w:ascii="Times New Roman" w:hAnsi="Times New Roman"/>
                <w:noProof/>
                <w:sz w:val="24"/>
              </w:rPr>
              <w:t>)</w:t>
            </w:r>
            <w:r>
              <w:rPr>
                <w:rStyle w:val="InstructionsTabelleberschrift"/>
                <w:rFonts w:ascii="Times New Roman" w:hAnsi="Times New Roman"/>
                <w:b w:val="0"/>
                <w:noProof/>
                <w:sz w:val="24"/>
                <w:u w:val="none"/>
              </w:rPr>
              <w:t xml:space="preserve"> 1. panta 2. punkta b) apakšpunktā un 2. pantā.</w:t>
            </w:r>
          </w:p>
        </w:tc>
      </w:tr>
      <w:tr w:rsidR="00BC1B09" w:rsidRPr="00D82419" w14:paraId="49125AD4" w14:textId="77777777" w:rsidTr="00584AD6">
        <w:tc>
          <w:tcPr>
            <w:tcW w:w="1129" w:type="dxa"/>
            <w:tcBorders>
              <w:top w:val="single" w:sz="4" w:space="0" w:color="auto"/>
              <w:left w:val="single" w:sz="4" w:space="0" w:color="auto"/>
              <w:bottom w:val="single" w:sz="4" w:space="0" w:color="auto"/>
              <w:right w:val="single" w:sz="4" w:space="0" w:color="auto"/>
            </w:tcBorders>
          </w:tcPr>
          <w:p w14:paraId="17299BC8" w14:textId="2B2B1CEF" w:rsidR="00BC1B09" w:rsidRPr="00D82419" w:rsidRDefault="00BC1B09"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0180-0200</w:t>
            </w:r>
          </w:p>
        </w:tc>
        <w:tc>
          <w:tcPr>
            <w:tcW w:w="7620" w:type="dxa"/>
            <w:tcBorders>
              <w:top w:val="single" w:sz="4" w:space="0" w:color="auto"/>
              <w:left w:val="single" w:sz="4" w:space="0" w:color="auto"/>
              <w:bottom w:val="single" w:sz="4" w:space="0" w:color="auto"/>
              <w:right w:val="single" w:sz="4" w:space="0" w:color="auto"/>
            </w:tcBorders>
          </w:tcPr>
          <w:p w14:paraId="583FA646" w14:textId="58882327" w:rsidR="00E278CF" w:rsidRPr="00D82419" w:rsidRDefault="00CF7339"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Citas valūtas: Procentu likmju satricinājumu apmērs</w:t>
            </w:r>
          </w:p>
          <w:p w14:paraId="62EEE84C" w14:textId="7928B66E" w:rsidR="00BC1B09" w:rsidRPr="00D82419" w:rsidRDefault="00677FBE"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 xml:space="preserve">Deleģētās regulas (ES) .../... pielikuma B daļa (PB: lūgums pievienot atsauci uz RTS par </w:t>
            </w:r>
            <w:r>
              <w:rPr>
                <w:rStyle w:val="FormatvorlageInstructionsTabelleText"/>
                <w:rFonts w:ascii="Times New Roman" w:hAnsi="Times New Roman"/>
                <w:i/>
                <w:noProof/>
                <w:sz w:val="24"/>
              </w:rPr>
              <w:t>SOT</w:t>
            </w:r>
            <w:r>
              <w:rPr>
                <w:rStyle w:val="FormatvorlageInstructionsTabelleText"/>
                <w:rFonts w:ascii="Times New Roman" w:hAnsi="Times New Roman"/>
                <w:noProof/>
                <w:sz w:val="24"/>
              </w:rPr>
              <w:t>).</w:t>
            </w:r>
          </w:p>
          <w:p w14:paraId="0252908B" w14:textId="68C40504" w:rsidR="00BC1B09" w:rsidRPr="00D82419" w:rsidRDefault="00BC1B09"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xml:space="preserve">Procentu likmju satricinājumi valūtām, kas kalibrētas saskaņā ar Deleģētās regulas (ES) .../... (PB: lūgums pievienot atsauci uz RTS par </w:t>
            </w:r>
            <w:r>
              <w:rPr>
                <w:rStyle w:val="FormatvorlageInstructionsTabelleText"/>
                <w:rFonts w:ascii="Times New Roman" w:hAnsi="Times New Roman"/>
                <w:i/>
                <w:noProof/>
                <w:sz w:val="24"/>
              </w:rPr>
              <w:t>SOT</w:t>
            </w:r>
            <w:r>
              <w:rPr>
                <w:rStyle w:val="FormatvorlageInstructionsTabelleText"/>
                <w:rFonts w:ascii="Times New Roman" w:hAnsi="Times New Roman"/>
                <w:noProof/>
                <w:sz w:val="24"/>
              </w:rPr>
              <w:t>) pielikuma B daļu un minētās deleģētās regulas 2. pantu. Procentu likmju satricinājumu apmēru uzrāda bāzes punktos un absolūtajā vērtībā. Satricinājumu apmērs ir starpība (Δ</w:t>
            </w:r>
            <w:r>
              <w:rPr>
                <w:rStyle w:val="FormatvorlageInstructionsTabelleText"/>
                <w:rFonts w:ascii="Cambria Math" w:hAnsi="Cambria Math"/>
                <w:noProof/>
                <w:sz w:val="24"/>
              </w:rPr>
              <w:t>𝑅</w:t>
            </w:r>
            <w:r>
              <w:rPr>
                <w:rStyle w:val="FormatvorlageInstructionsTabelleText"/>
                <w:rFonts w:ascii="Times New Roman" w:hAnsi="Times New Roman"/>
                <w:noProof/>
                <w:sz w:val="24"/>
              </w:rPr>
              <w:t>) līdz bezriska procentu likmei.</w:t>
            </w:r>
          </w:p>
          <w:p w14:paraId="0D8BD90C" w14:textId="2887FF27" w:rsidR="00BC1B09" w:rsidRPr="00D82419" w:rsidRDefault="00BC1B09" w:rsidP="003C575D">
            <w:pPr>
              <w:pStyle w:val="InstructionsText"/>
              <w:rPr>
                <w:rStyle w:val="FormatvorlageInstructionsTabelleText"/>
                <w:rFonts w:ascii="Times New Roman" w:hAnsi="Times New Roman"/>
                <w:b/>
                <w:noProof/>
                <w:sz w:val="24"/>
                <w:highlight w:val="yellow"/>
                <w:u w:val="single"/>
              </w:rPr>
            </w:pPr>
            <w:r>
              <w:rPr>
                <w:rStyle w:val="InstructionsTabelleberschrift"/>
                <w:rFonts w:ascii="Times New Roman" w:hAnsi="Times New Roman"/>
                <w:b w:val="0"/>
                <w:noProof/>
                <w:sz w:val="24"/>
                <w:u w:val="none"/>
              </w:rPr>
              <w:t xml:space="preserve">Šīs rindas neuzrāda par valūtām, kas minētas Deleģētās regulas (ES) .../... (PB: lūgums pievienot atsauci uz </w:t>
            </w:r>
            <w:r>
              <w:rPr>
                <w:rStyle w:val="FormatvorlageInstructionsTabelleText"/>
                <w:rFonts w:ascii="Times New Roman" w:hAnsi="Times New Roman"/>
                <w:noProof/>
                <w:sz w:val="24"/>
              </w:rPr>
              <w:t xml:space="preserve">RTS par </w:t>
            </w:r>
            <w:r>
              <w:rPr>
                <w:rStyle w:val="FormatvorlageInstructionsTabelleText"/>
                <w:rFonts w:ascii="Times New Roman" w:hAnsi="Times New Roman"/>
                <w:i/>
                <w:noProof/>
                <w:sz w:val="24"/>
              </w:rPr>
              <w:t>SOT</w:t>
            </w:r>
            <w:r>
              <w:rPr>
                <w:rStyle w:val="FormatvorlageInstructionsTabelleText"/>
                <w:rFonts w:ascii="Times New Roman" w:hAnsi="Times New Roman"/>
                <w:noProof/>
                <w:sz w:val="24"/>
              </w:rPr>
              <w:t xml:space="preserve">) pielikuma A daļā. </w:t>
            </w:r>
            <w:r>
              <w:rPr>
                <w:rStyle w:val="FormatvorlageInstructionsTabelleText"/>
                <w:noProof/>
              </w:rPr>
              <w:t xml:space="preserve">Tās </w:t>
            </w:r>
            <w:r>
              <w:rPr>
                <w:noProof/>
              </w:rPr>
              <w:t xml:space="preserve">saskaņā ar minētās deleģētās regulas 1. panta 4. punktu uzrāda tikai attiecībā uz valūtām, kas aplūkotas </w:t>
            </w:r>
            <w:r>
              <w:rPr>
                <w:i/>
                <w:noProof/>
              </w:rPr>
              <w:t>SOT</w:t>
            </w:r>
            <w:r>
              <w:rPr>
                <w:rStyle w:val="FormatvorlageInstructionsTabelleText"/>
                <w:rFonts w:ascii="Times New Roman" w:hAnsi="Times New Roman"/>
                <w:noProof/>
                <w:sz w:val="24"/>
              </w:rPr>
              <w:t>.</w:t>
            </w:r>
          </w:p>
        </w:tc>
      </w:tr>
      <w:tr w:rsidR="00C043E8" w:rsidRPr="00D82419" w14:paraId="5070F8ED" w14:textId="77777777" w:rsidTr="00584AD6">
        <w:tc>
          <w:tcPr>
            <w:tcW w:w="1129" w:type="dxa"/>
            <w:tcBorders>
              <w:top w:val="single" w:sz="4" w:space="0" w:color="auto"/>
              <w:left w:val="single" w:sz="4" w:space="0" w:color="auto"/>
              <w:bottom w:val="single" w:sz="4" w:space="0" w:color="auto"/>
              <w:right w:val="single" w:sz="4" w:space="0" w:color="auto"/>
            </w:tcBorders>
          </w:tcPr>
          <w:p w14:paraId="60335D11" w14:textId="19990D2A" w:rsidR="00C043E8" w:rsidRPr="00D82419" w:rsidRDefault="00C043E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w:t>
            </w:r>
          </w:p>
        </w:tc>
        <w:tc>
          <w:tcPr>
            <w:tcW w:w="7620" w:type="dxa"/>
            <w:tcBorders>
              <w:top w:val="single" w:sz="4" w:space="0" w:color="auto"/>
              <w:left w:val="single" w:sz="4" w:space="0" w:color="auto"/>
              <w:bottom w:val="single" w:sz="4" w:space="0" w:color="auto"/>
              <w:right w:val="single" w:sz="4" w:space="0" w:color="auto"/>
            </w:tcBorders>
          </w:tcPr>
          <w:p w14:paraId="5B798E8E" w14:textId="08EAD8AD" w:rsidR="00C043E8" w:rsidRPr="00D82419" w:rsidRDefault="00C043E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Paralēls satricinājums </w:t>
            </w:r>
          </w:p>
          <w:p w14:paraId="120B2401" w14:textId="7AFA3569" w:rsidR="00C043E8" w:rsidRPr="00D82419" w:rsidRDefault="00C043E8" w:rsidP="003C575D">
            <w:pPr>
              <w:pStyle w:val="InstructionsText"/>
              <w:rPr>
                <w:rStyle w:val="InstructionsTabelleberschrift"/>
                <w:rFonts w:ascii="Times New Roman" w:hAnsi="Times New Roman"/>
                <w:noProof/>
                <w:sz w:val="24"/>
              </w:rPr>
            </w:pPr>
            <w:r>
              <w:rPr>
                <w:rStyle w:val="FormatvorlageInstructionsTabelleText"/>
                <w:rFonts w:ascii="Times New Roman" w:hAnsi="Times New Roman"/>
                <w:noProof/>
                <w:sz w:val="24"/>
              </w:rPr>
              <w:t xml:space="preserve">Procentu likmju paralēla satricinājuma apmērs bāzes punktos, kas kalibrēts saskaņā ar Deleģētās regulas (ES) .../... (PB: lūgums pievienot atsauci uz </w:t>
            </w:r>
            <w:r>
              <w:rPr>
                <w:noProof/>
              </w:rPr>
              <w:t xml:space="preserve">RTS par </w:t>
            </w:r>
            <w:r>
              <w:rPr>
                <w:i/>
                <w:noProof/>
              </w:rPr>
              <w:t>SOT</w:t>
            </w:r>
            <w:r>
              <w:rPr>
                <w:noProof/>
              </w:rPr>
              <w:t>) pielikuma B daļu</w:t>
            </w:r>
            <w:r>
              <w:rPr>
                <w:rStyle w:val="FormatvorlageInstructionsTabelleText"/>
                <w:rFonts w:ascii="Times New Roman" w:hAnsi="Times New Roman"/>
                <w:noProof/>
                <w:sz w:val="24"/>
              </w:rPr>
              <w:t xml:space="preserve"> un minētās deleģētās regulas 2. panta 1. punktu. </w:t>
            </w:r>
          </w:p>
        </w:tc>
      </w:tr>
      <w:tr w:rsidR="00C043E8" w:rsidRPr="00D82419" w14:paraId="5F947ED6" w14:textId="77777777" w:rsidTr="00584AD6">
        <w:tc>
          <w:tcPr>
            <w:tcW w:w="1129" w:type="dxa"/>
            <w:tcBorders>
              <w:top w:val="single" w:sz="4" w:space="0" w:color="auto"/>
              <w:left w:val="single" w:sz="4" w:space="0" w:color="auto"/>
              <w:bottom w:val="single" w:sz="4" w:space="0" w:color="auto"/>
              <w:right w:val="single" w:sz="4" w:space="0" w:color="auto"/>
            </w:tcBorders>
          </w:tcPr>
          <w:p w14:paraId="190A8FA4" w14:textId="5E5DF42D" w:rsidR="00C043E8" w:rsidRPr="00D82419" w:rsidRDefault="00C043E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0190</w:t>
            </w:r>
          </w:p>
        </w:tc>
        <w:tc>
          <w:tcPr>
            <w:tcW w:w="7620" w:type="dxa"/>
            <w:tcBorders>
              <w:top w:val="single" w:sz="4" w:space="0" w:color="auto"/>
              <w:left w:val="single" w:sz="4" w:space="0" w:color="auto"/>
              <w:bottom w:val="single" w:sz="4" w:space="0" w:color="auto"/>
              <w:right w:val="single" w:sz="4" w:space="0" w:color="auto"/>
            </w:tcBorders>
          </w:tcPr>
          <w:p w14:paraId="5767B4BF" w14:textId="5CD31C76" w:rsidR="00C043E8" w:rsidRPr="00D82419" w:rsidRDefault="00C043E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Īss likmju satricinājums</w:t>
            </w:r>
          </w:p>
          <w:p w14:paraId="268536D0" w14:textId="54B23D99" w:rsidR="00C043E8" w:rsidRPr="00D82419" w:rsidRDefault="00C043E8" w:rsidP="003C575D">
            <w:pPr>
              <w:pStyle w:val="InstructionsText"/>
              <w:rPr>
                <w:rStyle w:val="InstructionsTabelleberschrift"/>
                <w:rFonts w:ascii="Times New Roman" w:hAnsi="Times New Roman"/>
                <w:noProof/>
                <w:sz w:val="24"/>
              </w:rPr>
            </w:pPr>
            <w:r>
              <w:rPr>
                <w:rStyle w:val="FormatvorlageInstructionsTabelleText"/>
                <w:rFonts w:ascii="Times New Roman" w:hAnsi="Times New Roman"/>
                <w:noProof/>
                <w:sz w:val="24"/>
              </w:rPr>
              <w:t>Īsa procentu likmju satricinājuma apmērs bāzes punktos, kas kalibrēts atbilstīgi īsam satricinājumam, kurš minēts</w:t>
            </w:r>
            <w:r>
              <w:rPr>
                <w:noProof/>
                <w:sz w:val="23"/>
              </w:rPr>
              <w:t xml:space="preserve"> </w:t>
            </w:r>
            <w:r>
              <w:rPr>
                <w:rStyle w:val="FormatvorlageInstructionsTabelleText"/>
                <w:rFonts w:ascii="Times New Roman" w:hAnsi="Times New Roman"/>
                <w:noProof/>
                <w:sz w:val="24"/>
              </w:rPr>
              <w:t xml:space="preserve"> </w:t>
            </w:r>
            <w:r>
              <w:rPr>
                <w:rStyle w:val="FormatvorlageInstructionsTabelleText"/>
                <w:rFonts w:ascii="Times New Roman" w:hAnsi="Times New Roman"/>
                <w:noProof/>
                <w:sz w:val="23"/>
              </w:rPr>
              <w:t xml:space="preserve"> </w:t>
            </w:r>
            <w:r>
              <w:rPr>
                <w:rStyle w:val="FormatvorlageInstructionsTabelleText"/>
                <w:rFonts w:ascii="Times New Roman" w:hAnsi="Times New Roman"/>
                <w:noProof/>
                <w:sz w:val="24"/>
              </w:rPr>
              <w:t xml:space="preserve">Deleģētās regulas (ES) .../... (PB: lūgums pievienot atsauci uz </w:t>
            </w:r>
            <w:r>
              <w:rPr>
                <w:noProof/>
              </w:rPr>
              <w:t xml:space="preserve">RTS par </w:t>
            </w:r>
            <w:r>
              <w:rPr>
                <w:i/>
                <w:noProof/>
              </w:rPr>
              <w:t>SOT</w:t>
            </w:r>
            <w:r>
              <w:rPr>
                <w:noProof/>
              </w:rPr>
              <w:t>)</w:t>
            </w:r>
            <w:r>
              <w:rPr>
                <w:rStyle w:val="FormatvorlageInstructionsTabelleText"/>
                <w:rFonts w:ascii="Times New Roman" w:hAnsi="Times New Roman"/>
                <w:noProof/>
                <w:sz w:val="24"/>
              </w:rPr>
              <w:t xml:space="preserve"> pielikuma B daļā un minētās deleģētās regulas 2. panta 2. punktā.</w:t>
            </w:r>
          </w:p>
        </w:tc>
      </w:tr>
      <w:tr w:rsidR="00C043E8" w:rsidRPr="00D82419" w14:paraId="1C319AB8" w14:textId="77777777" w:rsidTr="00584AD6">
        <w:tc>
          <w:tcPr>
            <w:tcW w:w="1129" w:type="dxa"/>
            <w:tcBorders>
              <w:top w:val="single" w:sz="4" w:space="0" w:color="auto"/>
              <w:left w:val="single" w:sz="4" w:space="0" w:color="auto"/>
              <w:bottom w:val="single" w:sz="4" w:space="0" w:color="auto"/>
              <w:right w:val="single" w:sz="4" w:space="0" w:color="auto"/>
            </w:tcBorders>
          </w:tcPr>
          <w:p w14:paraId="5ED2B733" w14:textId="0996E2FC" w:rsidR="00C043E8" w:rsidRPr="00D82419" w:rsidRDefault="00C043E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0200</w:t>
            </w:r>
          </w:p>
        </w:tc>
        <w:tc>
          <w:tcPr>
            <w:tcW w:w="7620" w:type="dxa"/>
            <w:tcBorders>
              <w:top w:val="single" w:sz="4" w:space="0" w:color="auto"/>
              <w:left w:val="single" w:sz="4" w:space="0" w:color="auto"/>
              <w:bottom w:val="single" w:sz="4" w:space="0" w:color="auto"/>
              <w:right w:val="single" w:sz="4" w:space="0" w:color="auto"/>
            </w:tcBorders>
          </w:tcPr>
          <w:p w14:paraId="1ABAAF9D" w14:textId="29F7B72E" w:rsidR="00C043E8" w:rsidRPr="00D82419" w:rsidRDefault="00C043E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Ilgs likmju satricinājums</w:t>
            </w:r>
          </w:p>
          <w:p w14:paraId="0C2901AA" w14:textId="300F2D03" w:rsidR="00C043E8" w:rsidRPr="00D82419" w:rsidRDefault="00C043E8" w:rsidP="003C575D">
            <w:pPr>
              <w:pStyle w:val="InstructionsText"/>
              <w:rPr>
                <w:rStyle w:val="InstructionsTabelleberschrift"/>
                <w:rFonts w:ascii="Times New Roman" w:hAnsi="Times New Roman"/>
                <w:noProof/>
                <w:sz w:val="24"/>
              </w:rPr>
            </w:pPr>
            <w:r>
              <w:rPr>
                <w:rStyle w:val="FormatvorlageInstructionsTabelleText"/>
                <w:rFonts w:ascii="Times New Roman" w:hAnsi="Times New Roman"/>
                <w:noProof/>
                <w:sz w:val="24"/>
              </w:rPr>
              <w:t>Ilga procentu likmju satricinājuma apmērs bāzes punktos, kas kalibrēts atbilstīgi ilgam satricinājumam, kurš minēts</w:t>
            </w:r>
            <w:r>
              <w:rPr>
                <w:noProof/>
                <w:sz w:val="23"/>
              </w:rPr>
              <w:t xml:space="preserve"> </w:t>
            </w:r>
            <w:r>
              <w:rPr>
                <w:rStyle w:val="FormatvorlageInstructionsTabelleText"/>
                <w:rFonts w:ascii="Times New Roman" w:hAnsi="Times New Roman"/>
                <w:noProof/>
                <w:sz w:val="24"/>
              </w:rPr>
              <w:t xml:space="preserve"> Deleģētās regulas (ES) .../... (PB: lūgums pievienot atsauci uz RTS par </w:t>
            </w:r>
            <w:r>
              <w:rPr>
                <w:rStyle w:val="FormatvorlageInstructionsTabelleText"/>
                <w:rFonts w:ascii="Times New Roman" w:hAnsi="Times New Roman"/>
                <w:i/>
                <w:noProof/>
                <w:sz w:val="24"/>
              </w:rPr>
              <w:t>SOT</w:t>
            </w:r>
            <w:r>
              <w:rPr>
                <w:rStyle w:val="FormatvorlageInstructionsTabelleText"/>
                <w:rFonts w:ascii="Times New Roman" w:hAnsi="Times New Roman"/>
                <w:noProof/>
                <w:sz w:val="24"/>
              </w:rPr>
              <w:t>) pielikuma B daļā un minētās deleģētās regulas 2. panta 3. punktā.</w:t>
            </w:r>
          </w:p>
        </w:tc>
      </w:tr>
    </w:tbl>
    <w:p w14:paraId="61DBD972" w14:textId="2B4115DD" w:rsidR="009E536A" w:rsidRPr="00D82419" w:rsidRDefault="009E536A" w:rsidP="00430DF0">
      <w:pPr>
        <w:suppressAutoHyphens/>
        <w:spacing w:after="0"/>
        <w:rPr>
          <w:rStyle w:val="InstructionsTabelleText"/>
          <w:rFonts w:ascii="Times New Roman" w:hAnsi="Times New Roman"/>
          <w:noProof/>
          <w:sz w:val="24"/>
        </w:rPr>
      </w:pPr>
    </w:p>
    <w:p w14:paraId="144E410A" w14:textId="7E7BFF82" w:rsidR="00AD0050" w:rsidRPr="00D82419" w:rsidRDefault="00AD0050" w:rsidP="00430DF0">
      <w:pPr>
        <w:suppressAutoHyphens/>
        <w:spacing w:before="0" w:after="0"/>
        <w:jc w:val="left"/>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D0050" w:rsidRPr="00D82419" w14:paraId="2EABC7FA" w14:textId="77777777" w:rsidTr="00466F09">
        <w:trPr>
          <w:trHeight w:val="638"/>
        </w:trPr>
        <w:tc>
          <w:tcPr>
            <w:tcW w:w="1129" w:type="dxa"/>
            <w:shd w:val="clear" w:color="auto" w:fill="D9D9D9" w:themeFill="background1" w:themeFillShade="D9"/>
          </w:tcPr>
          <w:p w14:paraId="1921E000" w14:textId="77777777" w:rsidR="00AD0050" w:rsidRPr="00D82419" w:rsidRDefault="00AD0050"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Slejas</w:t>
            </w:r>
          </w:p>
        </w:tc>
        <w:tc>
          <w:tcPr>
            <w:tcW w:w="7620" w:type="dxa"/>
            <w:shd w:val="clear" w:color="auto" w:fill="D9D9D9" w:themeFill="background1" w:themeFillShade="D9"/>
          </w:tcPr>
          <w:p w14:paraId="439B0F6E" w14:textId="77777777" w:rsidR="00AD0050" w:rsidRPr="00D82419" w:rsidRDefault="00AD0050"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Atsauces uz tiesību aktiem un norādes</w:t>
            </w:r>
          </w:p>
        </w:tc>
      </w:tr>
      <w:tr w:rsidR="00AD0050" w:rsidRPr="00D82419" w14:paraId="47947801" w14:textId="77777777" w:rsidTr="63452C95">
        <w:tc>
          <w:tcPr>
            <w:tcW w:w="1129" w:type="dxa"/>
          </w:tcPr>
          <w:p w14:paraId="0F239392" w14:textId="77777777" w:rsidR="00AD0050" w:rsidRPr="00D82419" w:rsidRDefault="00AD0050"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62E10208" w14:textId="0AA82A12" w:rsidR="00AD0050" w:rsidRPr="00D82419" w:rsidRDefault="10290D5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Summa</w:t>
            </w:r>
          </w:p>
          <w:p w14:paraId="6D17DD5F" w14:textId="7B468155" w:rsidR="00AD0050" w:rsidRPr="00D82419" w:rsidRDefault="3F6CE5E4" w:rsidP="003C575D">
            <w:pPr>
              <w:pStyle w:val="InstructionsText"/>
              <w:rPr>
                <w:noProof/>
              </w:rPr>
            </w:pPr>
            <w:r>
              <w:rPr>
                <w:noProof/>
              </w:rPr>
              <w:t xml:space="preserve">Precizēto procentu likmju satricinājumu apmēru uzrāda bāzes punktos, </w:t>
            </w:r>
            <w:r>
              <w:rPr>
                <w:rStyle w:val="InstructionsTabelleberschrift"/>
                <w:rFonts w:ascii="Times New Roman" w:hAnsi="Times New Roman"/>
                <w:noProof/>
                <w:sz w:val="24"/>
                <w:u w:val="none"/>
              </w:rPr>
              <w:t>∆</w:t>
            </w:r>
            <w:r>
              <w:rPr>
                <w:i/>
                <w:noProof/>
              </w:rPr>
              <w:t>EVE</w:t>
            </w:r>
            <w:r>
              <w:rPr>
                <w:noProof/>
              </w:rPr>
              <w:t xml:space="preserve"> un </w:t>
            </w:r>
            <w:r>
              <w:rPr>
                <w:rStyle w:val="InstructionsTabelleberschrift"/>
                <w:rFonts w:ascii="Times New Roman" w:hAnsi="Times New Roman"/>
                <w:noProof/>
                <w:sz w:val="24"/>
                <w:u w:val="none"/>
              </w:rPr>
              <w:t>∆</w:t>
            </w:r>
            <w:r>
              <w:rPr>
                <w:i/>
                <w:noProof/>
              </w:rPr>
              <w:t>NII</w:t>
            </w:r>
            <w:r>
              <w:rPr>
                <w:noProof/>
              </w:rPr>
              <w:t xml:space="preserve"> uzrāda gan kā attiecības, gan kā summas (kā precizēts norādēs par rindām). Summas uzrāda pārskata sniegšanas valūtā.</w:t>
            </w:r>
          </w:p>
        </w:tc>
      </w:tr>
    </w:tbl>
    <w:p w14:paraId="493C8899" w14:textId="1257BA2F" w:rsidR="009E536A" w:rsidRPr="00D82419" w:rsidRDefault="009E536A" w:rsidP="00430DF0">
      <w:pPr>
        <w:pStyle w:val="Heading2"/>
        <w:suppressAutoHyphens/>
        <w:rPr>
          <w:noProof/>
        </w:rPr>
      </w:pPr>
      <w:bookmarkStart w:id="48" w:name="_Toc160179419"/>
      <w:r>
        <w:rPr>
          <w:noProof/>
        </w:rPr>
        <w:t>III DAĻA. JUTĪGUMA APLĒŠU SADALĪJUMS (J 02.00, J 03.00 un J 04.00)</w:t>
      </w:r>
      <w:bookmarkEnd w:id="48"/>
    </w:p>
    <w:p w14:paraId="32513CE9" w14:textId="1A066483" w:rsidR="009E536A" w:rsidRPr="008270ED" w:rsidRDefault="008270ED" w:rsidP="00430DF0">
      <w:pPr>
        <w:pStyle w:val="Instructionsberschrift2"/>
        <w:numPr>
          <w:ilvl w:val="0"/>
          <w:numId w:val="0"/>
        </w:numPr>
        <w:tabs>
          <w:tab w:val="left" w:pos="567"/>
        </w:tabs>
        <w:suppressAutoHyphens/>
        <w:rPr>
          <w:rFonts w:cs="Times New Roman"/>
          <w:b/>
          <w:bCs/>
          <w:noProof/>
          <w:sz w:val="24"/>
        </w:rPr>
      </w:pPr>
      <w:bookmarkStart w:id="49" w:name="_Toc160179420"/>
      <w:r>
        <w:rPr>
          <w:b/>
          <w:noProof/>
          <w:sz w:val="24"/>
        </w:rPr>
        <w:t>1.</w:t>
      </w:r>
      <w:r>
        <w:rPr>
          <w:b/>
          <w:noProof/>
          <w:sz w:val="24"/>
        </w:rPr>
        <w:tab/>
        <w:t>Vispārīgas piezīmes</w:t>
      </w:r>
      <w:bookmarkEnd w:id="49"/>
    </w:p>
    <w:p w14:paraId="166F23E4" w14:textId="65159E23" w:rsidR="007F62B7" w:rsidRPr="00720193" w:rsidRDefault="008270ED"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 xml:space="preserve">J 02.00, J 03.00 un J 04.00 veidnēs sniegts sīkāks sadalījums iestādes aplēsēm par </w:t>
      </w:r>
      <w:r>
        <w:rPr>
          <w:rFonts w:ascii="Times New Roman" w:hAnsi="Times New Roman"/>
          <w:i/>
          <w:noProof/>
          <w:sz w:val="24"/>
        </w:rPr>
        <w:t>SOT IRRBB</w:t>
      </w:r>
      <w:r>
        <w:rPr>
          <w:rFonts w:ascii="Times New Roman" w:hAnsi="Times New Roman"/>
          <w:noProof/>
          <w:sz w:val="24"/>
        </w:rPr>
        <w:t xml:space="preserve"> jutīgumu (Deleģētā regula (ES) .../... (PB: lūgums pievienot atsauci uz RTS par </w:t>
      </w:r>
      <w:r>
        <w:rPr>
          <w:rFonts w:ascii="Times New Roman" w:hAnsi="Times New Roman"/>
          <w:i/>
          <w:noProof/>
          <w:sz w:val="24"/>
        </w:rPr>
        <w:t>SOT</w:t>
      </w:r>
      <w:r>
        <w:rPr>
          <w:rFonts w:ascii="Times New Roman" w:hAnsi="Times New Roman"/>
          <w:noProof/>
          <w:sz w:val="24"/>
        </w:rPr>
        <w:t xml:space="preserve">)) un tirgus vērtības izmaiņām (iekšējā riska pārvaldība ar 1 gada periodu un nemainīgas bilances pieņēmumu), tostarp rīcības/nosacījuma un automātiska izvēles iespēja attiecībā uz bilances posteņu konkrētu sadalījumu. </w:t>
      </w:r>
    </w:p>
    <w:p w14:paraId="0B9B6E14" w14:textId="4E265B10" w:rsidR="00911248" w:rsidRPr="00720193" w:rsidRDefault="008270ED"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 xml:space="preserve">Iestādes minēto veidņu saturu uzrāda atsevišķi par katru valūtu, kurā iestādei ir pozīcijas, kuru valūtā denominētu finanšu aktīvu vai saistību uzskaites vērtība ir 5 % vai vairāk no kopējiem banku portfeļa finanšu aktīviem vai saistībām vai mazāka par 5 %, ja aprēķinā iekļauto finanšu aktīvu vai saistību summa ir mazāka par 90 % no kopējiem banku portfeļa finanšu aktīviem (izņemot materiālos pamatlīdzekļus) vai saistībām. </w:t>
      </w:r>
    </w:p>
    <w:p w14:paraId="367BED49" w14:textId="37D34C2F" w:rsidR="009E536A" w:rsidRPr="00925E4F" w:rsidRDefault="00925E4F" w:rsidP="00430DF0">
      <w:pPr>
        <w:pStyle w:val="Instructionsberschrift2"/>
        <w:numPr>
          <w:ilvl w:val="0"/>
          <w:numId w:val="0"/>
        </w:numPr>
        <w:tabs>
          <w:tab w:val="left" w:pos="567"/>
        </w:tabs>
        <w:suppressAutoHyphens/>
        <w:rPr>
          <w:rFonts w:cs="Times New Roman"/>
          <w:b/>
          <w:bCs/>
          <w:noProof/>
          <w:sz w:val="24"/>
        </w:rPr>
      </w:pPr>
      <w:bookmarkStart w:id="50" w:name="_Ref119418268"/>
      <w:bookmarkStart w:id="51" w:name="_Toc160179421"/>
      <w:r>
        <w:rPr>
          <w:b/>
          <w:noProof/>
          <w:sz w:val="24"/>
        </w:rPr>
        <w:t>2.</w:t>
      </w:r>
      <w:r>
        <w:rPr>
          <w:b/>
          <w:noProof/>
          <w:sz w:val="24"/>
        </w:rPr>
        <w:tab/>
        <w:t>Norādes par konkrētām pozīcijām</w:t>
      </w:r>
      <w:bookmarkEnd w:id="50"/>
      <w:bookmarkEnd w:id="51"/>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7512"/>
      </w:tblGrid>
      <w:tr w:rsidR="00741F94" w:rsidRPr="00D82419" w14:paraId="67553BBE" w14:textId="77777777" w:rsidTr="00CB270D">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1753AF4" w14:textId="77777777" w:rsidR="00741F94" w:rsidRPr="00D82419" w:rsidRDefault="00741F94" w:rsidP="003C575D">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Rinda</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9637391" w14:textId="77777777" w:rsidR="00741F94" w:rsidRPr="00D82419" w:rsidRDefault="00741F94"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Atsauces uz tiesību aktiem un norādes</w:t>
            </w:r>
          </w:p>
        </w:tc>
      </w:tr>
      <w:tr w:rsidR="00741F94" w:rsidRPr="00D82419" w14:paraId="73A737E4"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4BE1DF75" w14:textId="77777777" w:rsidR="00741F94" w:rsidRPr="00D82419" w:rsidRDefault="00741F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512" w:type="dxa"/>
            <w:tcBorders>
              <w:top w:val="single" w:sz="4" w:space="0" w:color="auto"/>
              <w:left w:val="single" w:sz="4" w:space="0" w:color="auto"/>
              <w:bottom w:val="single" w:sz="4" w:space="0" w:color="auto"/>
              <w:right w:val="single" w:sz="4" w:space="0" w:color="auto"/>
            </w:tcBorders>
            <w:hideMark/>
          </w:tcPr>
          <w:p w14:paraId="334679E0"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Kopā aktīvi</w:t>
            </w:r>
          </w:p>
          <w:p w14:paraId="7107F5D8" w14:textId="44611D25" w:rsidR="007F62B7" w:rsidRPr="00D82419" w:rsidRDefault="007F62B7"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Kopējie pret procentu likmi jutīgie aktīvi</w:t>
            </w:r>
            <w:r>
              <w:rPr>
                <w:noProof/>
              </w:rPr>
              <w:t xml:space="preserve"> Deleģētās regulas (ES) .../... (PB: lūgums pievienot atsauci uz RTS par </w:t>
            </w:r>
            <w:r>
              <w:rPr>
                <w:i/>
                <w:noProof/>
              </w:rPr>
              <w:t>SOT</w:t>
            </w:r>
            <w:r>
              <w:rPr>
                <w:noProof/>
              </w:rPr>
              <w:t xml:space="preserve">) darbības jomā </w:t>
            </w:r>
            <w:r>
              <w:rPr>
                <w:rStyle w:val="FormatvorlageInstructionsTabelleText"/>
                <w:rFonts w:ascii="Times New Roman" w:hAnsi="Times New Roman"/>
                <w:noProof/>
                <w:sz w:val="24"/>
              </w:rPr>
              <w:t xml:space="preserve">neatkarīgi no to grāmatvedības uzskaites. Šajā rindā iekļaujami: </w:t>
            </w:r>
          </w:p>
          <w:p w14:paraId="5F3B0345" w14:textId="5954E224" w:rsidR="00D1720D" w:rsidRPr="00CB0212" w:rsidRDefault="00E21745"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aktīvi attiecībā pret centrālajām bankām;</w:t>
            </w:r>
          </w:p>
          <w:p w14:paraId="2F726373" w14:textId="2FE063AD" w:rsidR="006E4174" w:rsidRPr="00D82419" w:rsidRDefault="00E21745"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starpbanku aktīvi;</w:t>
            </w:r>
          </w:p>
          <w:p w14:paraId="04EFCDE1" w14:textId="4E5CB67E" w:rsidR="00741F94" w:rsidRPr="00D82419" w:rsidRDefault="00E21745" w:rsidP="003C575D">
            <w:pPr>
              <w:pStyle w:val="InstructionsText"/>
              <w:rPr>
                <w:rStyle w:val="InstructionsTabelleberschrift"/>
                <w:rFonts w:ascii="Times New Roman" w:hAnsi="Times New Roman"/>
                <w:noProof/>
                <w:sz w:val="24"/>
                <w:u w:val="none"/>
              </w:rPr>
            </w:pPr>
            <w:r>
              <w:rPr>
                <w:rStyle w:val="InstructionsTabelleberschrift"/>
                <w:rFonts w:ascii="Times New Roman" w:hAnsi="Times New Roman"/>
                <w:b w:val="0"/>
                <w:noProof/>
                <w:sz w:val="24"/>
                <w:u w:val="none"/>
              </w:rPr>
              <w:t>- aizdevumi un avansi;</w:t>
            </w:r>
          </w:p>
          <w:p w14:paraId="7EB9F6CB" w14:textId="55D1E706" w:rsidR="00741F94"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parāda vērtspapīri;</w:t>
            </w:r>
          </w:p>
          <w:p w14:paraId="3F3DC394" w14:textId="7098B68E" w:rsidR="00741F94"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atvasinātie instrumenti aktīvu riska ierobežošanai;</w:t>
            </w:r>
          </w:p>
          <w:p w14:paraId="3F84EC18" w14:textId="2DA05C93" w:rsidR="00741F94"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citi.</w:t>
            </w:r>
          </w:p>
          <w:p w14:paraId="69621AB3" w14:textId="024D0F2C" w:rsidR="00741F94" w:rsidRPr="00D82419" w:rsidRDefault="00F13E6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Iestādes uzrāda to aktīvu </w:t>
            </w:r>
            <w:r>
              <w:rPr>
                <w:rStyle w:val="InstructionsTabelleberschrift"/>
                <w:rFonts w:ascii="Times New Roman" w:hAnsi="Times New Roman"/>
                <w:b w:val="0"/>
                <w:i/>
                <w:noProof/>
                <w:sz w:val="24"/>
                <w:u w:val="none"/>
              </w:rPr>
              <w:t>IRRBB</w:t>
            </w:r>
            <w:r>
              <w:rPr>
                <w:rStyle w:val="InstructionsTabelleberschrift"/>
                <w:rFonts w:ascii="Times New Roman" w:hAnsi="Times New Roman"/>
                <w:b w:val="0"/>
                <w:noProof/>
                <w:sz w:val="24"/>
                <w:u w:val="none"/>
              </w:rPr>
              <w:t xml:space="preserve"> riska darījumus, kurus neatskaita no pirmā līmeņa pamata kapitāla un kuri noteikti saskaņā ar </w:t>
            </w:r>
            <w:r>
              <w:rPr>
                <w:noProof/>
              </w:rPr>
              <w:t>Regulas (ES) Nr.</w:t>
            </w:r>
            <w:r w:rsidR="00FB620E">
              <w:rPr>
                <w:noProof/>
              </w:rPr>
              <w:t> </w:t>
            </w:r>
            <w:r>
              <w:rPr>
                <w:noProof/>
              </w:rPr>
              <w:t>575/2013</w:t>
            </w:r>
            <w:r>
              <w:rPr>
                <w:rStyle w:val="InstructionsTabelleberschrift"/>
                <w:rFonts w:ascii="Times New Roman" w:hAnsi="Times New Roman"/>
                <w:b w:val="0"/>
                <w:noProof/>
                <w:sz w:val="24"/>
                <w:u w:val="none"/>
              </w:rPr>
              <w:t xml:space="preserve"> Otrās daļas I sadaļas 2. nodaļu, un izņemot materiālos pamatlīdzekļus, piemēram, nekustamo īpašumu, kā arī kapitāla vērtspapīru riska darījumus banku portfelī, kā minēts </w:t>
            </w:r>
            <w:r>
              <w:rPr>
                <w:noProof/>
              </w:rPr>
              <w:t>Regulas (ES) Nr. 575/2013</w:t>
            </w:r>
            <w:r>
              <w:rPr>
                <w:rStyle w:val="InstructionsTabelleberschrift"/>
                <w:rFonts w:ascii="Times New Roman" w:hAnsi="Times New Roman"/>
                <w:b w:val="0"/>
                <w:noProof/>
                <w:sz w:val="24"/>
                <w:u w:val="none"/>
              </w:rPr>
              <w:t xml:space="preserve"> 133.</w:t>
            </w:r>
            <w:r w:rsidR="00FB620E">
              <w:rPr>
                <w:rStyle w:val="InstructionsTabelleberschrift"/>
                <w:rFonts w:ascii="Times New Roman" w:hAnsi="Times New Roman"/>
                <w:b w:val="0"/>
                <w:noProof/>
                <w:sz w:val="24"/>
                <w:u w:val="none"/>
              </w:rPr>
              <w:t> </w:t>
            </w:r>
            <w:r>
              <w:rPr>
                <w:rStyle w:val="InstructionsTabelleberschrift"/>
                <w:rFonts w:ascii="Times New Roman" w:hAnsi="Times New Roman"/>
                <w:b w:val="0"/>
                <w:noProof/>
                <w:sz w:val="24"/>
                <w:u w:val="none"/>
              </w:rPr>
              <w:t>pantā un 147. panta 2. punkta e) apakšpunktā. Minētos riska darījumus attiecina uz darījuma partneru sektoriem atkarībā no tiešā darījumu partnera veida.</w:t>
            </w:r>
          </w:p>
        </w:tc>
      </w:tr>
      <w:tr w:rsidR="00A827A8" w:rsidRPr="00D82419" w14:paraId="000863FE" w14:textId="77777777" w:rsidTr="00CB270D">
        <w:tc>
          <w:tcPr>
            <w:tcW w:w="1276" w:type="dxa"/>
            <w:tcBorders>
              <w:top w:val="single" w:sz="4" w:space="0" w:color="auto"/>
              <w:left w:val="single" w:sz="4" w:space="0" w:color="auto"/>
              <w:bottom w:val="single" w:sz="4" w:space="0" w:color="auto"/>
              <w:right w:val="single" w:sz="4" w:space="0" w:color="auto"/>
            </w:tcBorders>
          </w:tcPr>
          <w:p w14:paraId="0932E0BE" w14:textId="2547B05B" w:rsidR="00A827A8" w:rsidRPr="00D82419" w:rsidRDefault="00A827A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512" w:type="dxa"/>
            <w:tcBorders>
              <w:top w:val="single" w:sz="4" w:space="0" w:color="auto"/>
              <w:left w:val="single" w:sz="4" w:space="0" w:color="auto"/>
              <w:bottom w:val="single" w:sz="4" w:space="0" w:color="auto"/>
              <w:right w:val="single" w:sz="4" w:space="0" w:color="auto"/>
            </w:tcBorders>
          </w:tcPr>
          <w:p w14:paraId="371FFDE6" w14:textId="349C7A2B" w:rsidR="001D67C3" w:rsidRPr="00CB270D" w:rsidRDefault="001D67C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 sk.: automātiskās izvēles iespējas dēļ</w:t>
            </w:r>
          </w:p>
          <w:p w14:paraId="7FE49A82" w14:textId="1DF342DD" w:rsidR="00364443" w:rsidRPr="0041005E" w:rsidRDefault="001D67C3" w:rsidP="003C575D">
            <w:pPr>
              <w:pStyle w:val="InstructionsText"/>
              <w:rPr>
                <w:noProof/>
              </w:rPr>
            </w:pPr>
            <w:r>
              <w:rPr>
                <w:noProof/>
              </w:rPr>
              <w:t xml:space="preserve">Ietvertas un tiešas automātiskas izvēles iespējas ieguldījums kopējos pret procentu likmi jutīgos aktīvos Deleģētās regulas (ES) .../... (PB: lūgums pievienot atsauci uz RTS par </w:t>
            </w:r>
            <w:r>
              <w:rPr>
                <w:i/>
                <w:noProof/>
              </w:rPr>
              <w:t>SOT</w:t>
            </w:r>
            <w:r>
              <w:rPr>
                <w:noProof/>
              </w:rPr>
              <w:t>) darbības jomā neatkarīgi no to grāmatvedības uzskaites.</w:t>
            </w:r>
          </w:p>
        </w:tc>
      </w:tr>
      <w:tr w:rsidR="00741F94" w:rsidRPr="00D82419" w14:paraId="09CBB10F"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7118111F" w14:textId="4400AE1A" w:rsidR="00741F94" w:rsidRPr="00D82419" w:rsidRDefault="00741F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512" w:type="dxa"/>
            <w:tcBorders>
              <w:top w:val="single" w:sz="4" w:space="0" w:color="auto"/>
              <w:left w:val="single" w:sz="4" w:space="0" w:color="auto"/>
              <w:bottom w:val="single" w:sz="4" w:space="0" w:color="auto"/>
              <w:right w:val="single" w:sz="4" w:space="0" w:color="auto"/>
            </w:tcBorders>
            <w:hideMark/>
          </w:tcPr>
          <w:p w14:paraId="4355D6A9" w14:textId="39B6AB85"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Centrālā banka</w:t>
            </w:r>
          </w:p>
          <w:p w14:paraId="4F18E9BC" w14:textId="2FF95C03" w:rsidR="00741F94" w:rsidRPr="00D82419" w:rsidRDefault="000503D6" w:rsidP="003C575D">
            <w:pPr>
              <w:pStyle w:val="InstructionsText"/>
              <w:rPr>
                <w:rStyle w:val="InstructionsTabelleberschrift"/>
                <w:rFonts w:ascii="Times New Roman" w:hAnsi="Times New Roman"/>
                <w:b w:val="0"/>
                <w:bCs w:val="0"/>
                <w:noProof/>
                <w:sz w:val="24"/>
                <w:u w:val="none"/>
              </w:rPr>
            </w:pPr>
            <w:r>
              <w:rPr>
                <w:noProof/>
              </w:rPr>
              <w:t>Aktīvi attiecībā pret centrālajām bankām, tostarp naudas atlikumi un pieprasījuma noguldījumi, kā minēts šīs regulas V pielikuma 1. daļas 42.</w:t>
            </w:r>
            <w:r w:rsidR="00FB620E">
              <w:rPr>
                <w:noProof/>
              </w:rPr>
              <w:t> </w:t>
            </w:r>
            <w:r>
              <w:rPr>
                <w:noProof/>
              </w:rPr>
              <w:t>punkta a) apakšpunktā.</w:t>
            </w:r>
          </w:p>
        </w:tc>
      </w:tr>
      <w:tr w:rsidR="00544C58" w:rsidRPr="00D82419" w14:paraId="520FA57A" w14:textId="77777777" w:rsidTr="00CB270D">
        <w:tc>
          <w:tcPr>
            <w:tcW w:w="1276" w:type="dxa"/>
            <w:tcBorders>
              <w:top w:val="single" w:sz="4" w:space="0" w:color="auto"/>
              <w:left w:val="single" w:sz="4" w:space="0" w:color="auto"/>
              <w:bottom w:val="single" w:sz="4" w:space="0" w:color="auto"/>
              <w:right w:val="single" w:sz="4" w:space="0" w:color="auto"/>
            </w:tcBorders>
          </w:tcPr>
          <w:p w14:paraId="4ACE6ED4" w14:textId="692403AB" w:rsidR="00544C58" w:rsidRPr="00D82419" w:rsidRDefault="002E72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512" w:type="dxa"/>
            <w:tcBorders>
              <w:top w:val="single" w:sz="4" w:space="0" w:color="auto"/>
              <w:left w:val="single" w:sz="4" w:space="0" w:color="auto"/>
              <w:bottom w:val="single" w:sz="4" w:space="0" w:color="auto"/>
              <w:right w:val="single" w:sz="4" w:space="0" w:color="auto"/>
            </w:tcBorders>
          </w:tcPr>
          <w:p w14:paraId="034E6FD3" w14:textId="77777777" w:rsidR="00544C58" w:rsidRPr="00D82419" w:rsidRDefault="00E9223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Starpbanku</w:t>
            </w:r>
          </w:p>
          <w:p w14:paraId="6C7EA869" w14:textId="4CAC9A8B" w:rsidR="00544C58" w:rsidRPr="00D82419" w:rsidRDefault="00CB3FA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Visi aktīvi, kuru darījuma partneris ir kredītiestāde, kā minēts šīs</w:t>
            </w:r>
            <w:r>
              <w:rPr>
                <w:noProof/>
              </w:rPr>
              <w:t xml:space="preserve"> regulas V</w:t>
            </w:r>
            <w:r w:rsidR="00FB620E">
              <w:rPr>
                <w:noProof/>
              </w:rPr>
              <w:t> </w:t>
            </w:r>
            <w:r>
              <w:rPr>
                <w:noProof/>
              </w:rPr>
              <w:t>pielikuma 1. daļas 42. punkta c) apakšpunktā, izņemot vērtspapīrus un atvasināto instrumentu riska darījumus</w:t>
            </w:r>
            <w:r>
              <w:rPr>
                <w:rStyle w:val="InstructionsTabelleberschrift"/>
                <w:rFonts w:ascii="Times New Roman" w:hAnsi="Times New Roman"/>
                <w:b w:val="0"/>
                <w:noProof/>
                <w:sz w:val="24"/>
                <w:u w:val="none"/>
              </w:rPr>
              <w:t xml:space="preserve">. </w:t>
            </w:r>
          </w:p>
        </w:tc>
      </w:tr>
      <w:tr w:rsidR="00741F94" w:rsidRPr="00D82419" w14:paraId="57CB6133"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6654452B" w14:textId="47AAF884" w:rsidR="00741F94" w:rsidRPr="00D82419" w:rsidRDefault="002E72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512" w:type="dxa"/>
            <w:tcBorders>
              <w:top w:val="single" w:sz="4" w:space="0" w:color="auto"/>
              <w:left w:val="single" w:sz="4" w:space="0" w:color="auto"/>
              <w:bottom w:val="single" w:sz="4" w:space="0" w:color="auto"/>
              <w:right w:val="single" w:sz="4" w:space="0" w:color="auto"/>
            </w:tcBorders>
            <w:hideMark/>
          </w:tcPr>
          <w:p w14:paraId="49EE6FB7"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Aizdevumi un avansi</w:t>
            </w:r>
          </w:p>
          <w:p w14:paraId="64597ADD" w14:textId="7CC2BC06" w:rsidR="00741F94" w:rsidRPr="00D82419" w:rsidRDefault="00CE054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Iestāžu turēti parāda instrumenti, kas nav vērtspapīri, </w:t>
            </w:r>
            <w:r>
              <w:rPr>
                <w:noProof/>
              </w:rPr>
              <w:t>kā minēts šīs regulas V</w:t>
            </w:r>
            <w:r w:rsidR="00FB620E">
              <w:rPr>
                <w:noProof/>
              </w:rPr>
              <w:t> </w:t>
            </w:r>
            <w:r>
              <w:rPr>
                <w:noProof/>
              </w:rPr>
              <w:t>pielikuma 1. daļas 32. punktā</w:t>
            </w:r>
            <w:r>
              <w:rPr>
                <w:rStyle w:val="InstructionsTabelleberschrift"/>
                <w:rFonts w:ascii="Times New Roman" w:hAnsi="Times New Roman"/>
                <w:b w:val="0"/>
                <w:noProof/>
                <w:sz w:val="24"/>
                <w:u w:val="none"/>
              </w:rPr>
              <w:t>. Šajā rindā neiekļauj 0030. un 0040. rindā iekļautos riska darījumus.</w:t>
            </w:r>
          </w:p>
        </w:tc>
      </w:tr>
      <w:tr w:rsidR="00D82538" w:rsidRPr="00D82419" w14:paraId="3BB1E4DD" w14:textId="77777777" w:rsidTr="00CB270D">
        <w:tc>
          <w:tcPr>
            <w:tcW w:w="1276" w:type="dxa"/>
            <w:tcBorders>
              <w:top w:val="single" w:sz="4" w:space="0" w:color="auto"/>
              <w:left w:val="single" w:sz="4" w:space="0" w:color="auto"/>
              <w:bottom w:val="single" w:sz="4" w:space="0" w:color="auto"/>
              <w:right w:val="single" w:sz="4" w:space="0" w:color="auto"/>
            </w:tcBorders>
          </w:tcPr>
          <w:p w14:paraId="59B4E6A9" w14:textId="0189D751" w:rsidR="00D82538" w:rsidRPr="00D82419" w:rsidDel="002E7204" w:rsidRDefault="00D82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0060, 0130, 0150, 0250, 0280, 0320, 0360, 0400, 0430, 0480</w:t>
            </w:r>
          </w:p>
        </w:tc>
        <w:tc>
          <w:tcPr>
            <w:tcW w:w="7512" w:type="dxa"/>
            <w:tcBorders>
              <w:top w:val="single" w:sz="4" w:space="0" w:color="auto"/>
              <w:left w:val="single" w:sz="4" w:space="0" w:color="auto"/>
              <w:bottom w:val="single" w:sz="4" w:space="0" w:color="auto"/>
              <w:right w:val="single" w:sz="4" w:space="0" w:color="auto"/>
            </w:tcBorders>
          </w:tcPr>
          <w:p w14:paraId="05C72029" w14:textId="77777777" w:rsidR="00D82538" w:rsidRPr="00D82419" w:rsidRDefault="003E575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 sk.: fiksēta likme</w:t>
            </w:r>
          </w:p>
          <w:p w14:paraId="0C01CA13" w14:textId="2A2D1336" w:rsidR="003E575E" w:rsidRPr="00D82419" w:rsidRDefault="003E575E" w:rsidP="003C575D">
            <w:pPr>
              <w:pStyle w:val="InstructionsText"/>
              <w:rPr>
                <w:rStyle w:val="InstructionsTabelleberschrift"/>
                <w:rFonts w:ascii="Times New Roman" w:hAnsi="Times New Roman"/>
                <w:noProof/>
                <w:sz w:val="24"/>
              </w:rPr>
            </w:pPr>
            <w:r>
              <w:rPr>
                <w:noProof/>
              </w:rPr>
              <w:t xml:space="preserve">Iestādes uzrāda skaitļus, kas saistīti ar fiksētas likmes instrumentiem, saskaņā ar šā pielikuma I daļas </w:t>
            </w:r>
            <w:r w:rsidRPr="0099267D">
              <w:rPr>
                <w:noProof/>
              </w:rPr>
              <w:fldChar w:fldCharType="begin"/>
            </w:r>
            <w:r w:rsidRPr="0099267D">
              <w:rPr>
                <w:noProof/>
              </w:rPr>
              <w:instrText xml:space="preserve"> REF _Ref125115357 \r \h  \* MERGEFORMAT </w:instrText>
            </w:r>
            <w:r w:rsidRPr="0099267D">
              <w:rPr>
                <w:noProof/>
              </w:rPr>
            </w:r>
            <w:r w:rsidRPr="0099267D">
              <w:rPr>
                <w:noProof/>
              </w:rPr>
              <w:fldChar w:fldCharType="separate"/>
            </w:r>
            <w:r w:rsidR="003520A1" w:rsidRPr="0099267D">
              <w:rPr>
                <w:noProof/>
              </w:rPr>
              <w:t>3</w:t>
            </w:r>
            <w:r w:rsidRPr="0099267D">
              <w:rPr>
                <w:noProof/>
              </w:rPr>
              <w:fldChar w:fldCharType="end"/>
            </w:r>
            <w:r>
              <w:rPr>
                <w:noProof/>
              </w:rPr>
              <w:t>. iedaļā noteikto pieņemto praksi.</w:t>
            </w:r>
          </w:p>
        </w:tc>
      </w:tr>
      <w:tr w:rsidR="00741F94" w:rsidRPr="00D82419" w14:paraId="0BC793E4" w14:textId="77777777" w:rsidTr="00CB270D">
        <w:tc>
          <w:tcPr>
            <w:tcW w:w="1276" w:type="dxa"/>
            <w:tcBorders>
              <w:top w:val="single" w:sz="4" w:space="0" w:color="auto"/>
              <w:left w:val="single" w:sz="4" w:space="0" w:color="auto"/>
              <w:bottom w:val="single" w:sz="4" w:space="0" w:color="auto"/>
              <w:right w:val="single" w:sz="4" w:space="0" w:color="auto"/>
            </w:tcBorders>
          </w:tcPr>
          <w:p w14:paraId="305CD777" w14:textId="42B71776" w:rsidR="00741F94" w:rsidRPr="00D82419" w:rsidRDefault="002E7204" w:rsidP="003C575D">
            <w:pPr>
              <w:pStyle w:val="InstructionsText"/>
              <w:rPr>
                <w:rStyle w:val="FormatvorlageInstructionsTabelleText"/>
                <w:rFonts w:ascii="Times New Roman" w:hAnsi="Times New Roman"/>
                <w:noProof/>
                <w:sz w:val="24"/>
                <w:highlight w:val="yellow"/>
              </w:rPr>
            </w:pPr>
            <w:r>
              <w:rPr>
                <w:rStyle w:val="FormatvorlageInstructionsTabelleText"/>
                <w:rFonts w:ascii="Times New Roman" w:hAnsi="Times New Roman"/>
                <w:noProof/>
                <w:sz w:val="24"/>
              </w:rPr>
              <w:t>0070</w:t>
            </w:r>
          </w:p>
        </w:tc>
        <w:tc>
          <w:tcPr>
            <w:tcW w:w="7512" w:type="dxa"/>
            <w:tcBorders>
              <w:top w:val="single" w:sz="4" w:space="0" w:color="auto"/>
              <w:left w:val="single" w:sz="4" w:space="0" w:color="auto"/>
              <w:bottom w:val="single" w:sz="4" w:space="0" w:color="auto"/>
              <w:right w:val="single" w:sz="4" w:space="0" w:color="auto"/>
            </w:tcBorders>
          </w:tcPr>
          <w:p w14:paraId="74C2C652" w14:textId="1E46CDAB" w:rsidR="00741F94" w:rsidRPr="00D82419" w:rsidRDefault="00E620F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 sk.: ienākumus nenesoši</w:t>
            </w:r>
          </w:p>
          <w:p w14:paraId="65A1D079" w14:textId="06E8A2CC" w:rsidR="00741F94" w:rsidRPr="00D82419" w:rsidRDefault="007F62B7"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Ienākumus nenesoši aizdevumi un avansi, kas minēti Deleģētās regulas (ES) .../... (PB: lūgums pievienot atsauci uz </w:t>
            </w:r>
            <w:r>
              <w:rPr>
                <w:noProof/>
              </w:rPr>
              <w:t xml:space="preserve">RTS par </w:t>
            </w:r>
            <w:r>
              <w:rPr>
                <w:i/>
                <w:noProof/>
              </w:rPr>
              <w:t>SOT</w:t>
            </w:r>
            <w:r>
              <w:rPr>
                <w:noProof/>
              </w:rPr>
              <w:t>)</w:t>
            </w:r>
            <w:r>
              <w:rPr>
                <w:rStyle w:val="InstructionsTabelleberschrift"/>
                <w:rFonts w:ascii="Times New Roman" w:hAnsi="Times New Roman"/>
                <w:b w:val="0"/>
                <w:noProof/>
                <w:sz w:val="24"/>
                <w:u w:val="none"/>
              </w:rPr>
              <w:t xml:space="preserve"> 3. panta 4. punktā un </w:t>
            </w:r>
            <w:r>
              <w:rPr>
                <w:noProof/>
              </w:rPr>
              <w:t>Regulas (ES) Nr. 575/2013 47.a panta 3. punktā</w:t>
            </w:r>
            <w:r>
              <w:rPr>
                <w:rStyle w:val="InstructionsTabelleberschrift"/>
                <w:rFonts w:ascii="Times New Roman" w:hAnsi="Times New Roman"/>
                <w:b w:val="0"/>
                <w:noProof/>
                <w:sz w:val="24"/>
                <w:u w:val="none"/>
              </w:rPr>
              <w:t xml:space="preserve">. </w:t>
            </w:r>
          </w:p>
        </w:tc>
      </w:tr>
      <w:tr w:rsidR="00741F94" w:rsidRPr="00D82419" w14:paraId="50137C48" w14:textId="77777777" w:rsidTr="00CB270D">
        <w:tc>
          <w:tcPr>
            <w:tcW w:w="1276" w:type="dxa"/>
            <w:tcBorders>
              <w:top w:val="single" w:sz="4" w:space="0" w:color="auto"/>
              <w:left w:val="single" w:sz="4" w:space="0" w:color="auto"/>
              <w:bottom w:val="single" w:sz="4" w:space="0" w:color="auto"/>
              <w:right w:val="single" w:sz="4" w:space="0" w:color="auto"/>
            </w:tcBorders>
          </w:tcPr>
          <w:p w14:paraId="028154D1" w14:textId="78D583D6" w:rsidR="00741F94" w:rsidRPr="00D82419" w:rsidRDefault="002E7204" w:rsidP="003C575D">
            <w:pPr>
              <w:pStyle w:val="InstructionsText"/>
              <w:rPr>
                <w:rStyle w:val="FormatvorlageInstructionsTabelleText"/>
                <w:rFonts w:ascii="Times New Roman" w:hAnsi="Times New Roman"/>
                <w:noProof/>
                <w:sz w:val="24"/>
                <w:highlight w:val="yellow"/>
              </w:rPr>
            </w:pPr>
            <w:r>
              <w:rPr>
                <w:rStyle w:val="FormatvorlageInstructionsTabelleText"/>
                <w:rFonts w:ascii="Times New Roman" w:hAnsi="Times New Roman"/>
                <w:noProof/>
                <w:sz w:val="24"/>
              </w:rPr>
              <w:t>0080</w:t>
            </w:r>
          </w:p>
        </w:tc>
        <w:tc>
          <w:tcPr>
            <w:tcW w:w="7512" w:type="dxa"/>
            <w:tcBorders>
              <w:top w:val="single" w:sz="4" w:space="0" w:color="auto"/>
              <w:left w:val="single" w:sz="4" w:space="0" w:color="auto"/>
              <w:bottom w:val="single" w:sz="4" w:space="0" w:color="auto"/>
              <w:right w:val="single" w:sz="4" w:space="0" w:color="auto"/>
            </w:tcBorders>
            <w:hideMark/>
          </w:tcPr>
          <w:p w14:paraId="369F983D"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Privātpersonas vai MVU</w:t>
            </w:r>
          </w:p>
          <w:p w14:paraId="6F9561E9" w14:textId="0D5F796D" w:rsidR="00BB1FA5" w:rsidRPr="00D82419" w:rsidRDefault="007F62B7" w:rsidP="003C575D">
            <w:pPr>
              <w:pStyle w:val="InstructionsText"/>
              <w:rPr>
                <w:noProof/>
              </w:rPr>
            </w:pPr>
            <w:r>
              <w:rPr>
                <w:noProof/>
              </w:rPr>
              <w:t xml:space="preserve">Aizdevumi un avansi fiziskai personai vai MVU, ja riska darījums ar </w:t>
            </w:r>
            <w:r>
              <w:rPr>
                <w:rStyle w:val="cf01"/>
                <w:rFonts w:ascii="Times New Roman" w:hAnsi="Times New Roman"/>
                <w:noProof/>
                <w:sz w:val="24"/>
              </w:rPr>
              <w:t>mazu un vidēju uzņēmumu</w:t>
            </w:r>
            <w:r>
              <w:rPr>
                <w:noProof/>
              </w:rPr>
              <w:t xml:space="preserve"> (“MVU”) atbilst riska darījumu ar privātpersonām vai MVU kategorijai saskaņā ar standartizēto vai uz iekšējiem reitingiem balstīto (“IRB”) pieeju kredītriskam, kā noteikts Regulas (ES) Nr. 575/2013 pirmās daļas II sadaļas 2. un 3. nodaļā, vai uzņēmumam, kas ir atbilstīgs Regulas (ES) Nr. 575/2013 153. panta 4. punktā noteiktai pieejai, un ja minētā MVU vai uzņēmuma apvienotie noguldījumi grupas līmenī nepārsniedz 1 miljonu EUR.</w:t>
            </w:r>
          </w:p>
          <w:p w14:paraId="2F00E30F" w14:textId="05247D51" w:rsidR="00741F94" w:rsidRPr="00D82419" w:rsidRDefault="00741F94" w:rsidP="003C575D">
            <w:pPr>
              <w:pStyle w:val="InstructionsText"/>
              <w:rPr>
                <w:rStyle w:val="InstructionsTabelleberschrift"/>
                <w:rFonts w:ascii="Times New Roman" w:hAnsi="Times New Roman"/>
                <w:b w:val="0"/>
                <w:bCs w:val="0"/>
                <w:noProof/>
                <w:sz w:val="24"/>
                <w:u w:val="none"/>
              </w:rPr>
            </w:pPr>
            <w:r>
              <w:rPr>
                <w:noProof/>
              </w:rPr>
              <w:t>Šajā rindā uzrāda gan ienākumus nesošus, gan ienākumus nenesošus aizdevumus un avansus privātpersonām un MVU.</w:t>
            </w:r>
          </w:p>
        </w:tc>
      </w:tr>
      <w:tr w:rsidR="00741F94" w:rsidRPr="00D82419" w14:paraId="13DA4198" w14:textId="77777777" w:rsidTr="00CB270D">
        <w:tc>
          <w:tcPr>
            <w:tcW w:w="1276" w:type="dxa"/>
            <w:tcBorders>
              <w:top w:val="single" w:sz="4" w:space="0" w:color="auto"/>
              <w:left w:val="single" w:sz="4" w:space="0" w:color="auto"/>
              <w:bottom w:val="single" w:sz="4" w:space="0" w:color="auto"/>
              <w:right w:val="single" w:sz="4" w:space="0" w:color="auto"/>
            </w:tcBorders>
          </w:tcPr>
          <w:p w14:paraId="1693BB16" w14:textId="755ECBC6" w:rsidR="00741F94" w:rsidRPr="00D82419" w:rsidRDefault="002E72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512" w:type="dxa"/>
            <w:tcBorders>
              <w:top w:val="single" w:sz="4" w:space="0" w:color="auto"/>
              <w:left w:val="single" w:sz="4" w:space="0" w:color="auto"/>
              <w:bottom w:val="single" w:sz="4" w:space="0" w:color="auto"/>
              <w:right w:val="single" w:sz="4" w:space="0" w:color="auto"/>
            </w:tcBorders>
            <w:hideMark/>
          </w:tcPr>
          <w:p w14:paraId="3C7D082B" w14:textId="22C1F0E3" w:rsidR="00741F94" w:rsidRPr="00D82419" w:rsidRDefault="00E620F8"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t. sk.: nodrošināti ar mājokļa nekustamo īpašumu</w:t>
            </w:r>
          </w:p>
          <w:p w14:paraId="23AF36E9" w14:textId="26C85DBC" w:rsidR="00741F94" w:rsidRPr="00D82419" w:rsidRDefault="006E4174" w:rsidP="00430DF0">
            <w:pPr>
              <w:suppressAutoHyphens/>
              <w:rPr>
                <w:rStyle w:val="InstructionsTabelleberschrift"/>
                <w:rFonts w:ascii="Times New Roman" w:hAnsi="Times New Roman"/>
                <w:b w:val="0"/>
                <w:bCs w:val="0"/>
                <w:noProof/>
                <w:sz w:val="24"/>
              </w:rPr>
            </w:pPr>
            <w:r>
              <w:rPr>
                <w:rFonts w:ascii="Times New Roman" w:hAnsi="Times New Roman"/>
                <w:noProof/>
                <w:sz w:val="24"/>
              </w:rPr>
              <w:t>Privātpersonām vai MVU izsniegti aizdevumi, kas oficiāli nodrošināti ar mājokļa nekustamā īpašuma nodrošinājumu, neatkarīgi no to aizdevuma/nodrošinājuma attiecības (“aizdevums pret ķīlu”) un nodrošinājuma juridiskās formas.</w:t>
            </w:r>
          </w:p>
        </w:tc>
      </w:tr>
      <w:tr w:rsidR="00741F94" w:rsidRPr="00D82419" w14:paraId="315C92D4" w14:textId="77777777" w:rsidTr="00CB270D">
        <w:tc>
          <w:tcPr>
            <w:tcW w:w="1276" w:type="dxa"/>
            <w:tcBorders>
              <w:top w:val="single" w:sz="4" w:space="0" w:color="auto"/>
              <w:left w:val="single" w:sz="4" w:space="0" w:color="auto"/>
              <w:bottom w:val="single" w:sz="4" w:space="0" w:color="auto"/>
              <w:right w:val="single" w:sz="4" w:space="0" w:color="auto"/>
            </w:tcBorders>
          </w:tcPr>
          <w:p w14:paraId="63CA55BE" w14:textId="6527E2F6" w:rsidR="00741F94"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512" w:type="dxa"/>
            <w:tcBorders>
              <w:top w:val="single" w:sz="4" w:space="0" w:color="auto"/>
              <w:left w:val="single" w:sz="4" w:space="0" w:color="auto"/>
              <w:bottom w:val="single" w:sz="4" w:space="0" w:color="auto"/>
              <w:right w:val="single" w:sz="4" w:space="0" w:color="auto"/>
            </w:tcBorders>
            <w:hideMark/>
          </w:tcPr>
          <w:p w14:paraId="64484C70" w14:textId="77777777"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Uzņēmumi nefinanšu</w:t>
            </w:r>
          </w:p>
          <w:p w14:paraId="44A9638B" w14:textId="224BD641" w:rsidR="00741F94" w:rsidRPr="00D82419" w:rsidRDefault="002612D5" w:rsidP="003C575D">
            <w:pPr>
              <w:pStyle w:val="InstructionsText"/>
              <w:rPr>
                <w:rStyle w:val="InstructionsTabelleberschrift"/>
                <w:rFonts w:ascii="Times New Roman" w:hAnsi="Times New Roman"/>
                <w:b w:val="0"/>
                <w:bCs w:val="0"/>
                <w:noProof/>
                <w:sz w:val="24"/>
                <w:u w:val="none"/>
              </w:rPr>
            </w:pPr>
            <w:r>
              <w:rPr>
                <w:noProof/>
              </w:rPr>
              <w:t>Aizdevumi un avansi vispārējām valdībām un nefinanšu sabiedrībām, kā minēts šīs regulas V pielikuma 1. daļas 42. punkta b) un e) apakšpunktā. Šajā rindā neiekļauj 0080. rindā iekļautos riska darījumus.</w:t>
            </w:r>
          </w:p>
        </w:tc>
      </w:tr>
      <w:tr w:rsidR="00741F94" w:rsidRPr="00D82419" w14:paraId="340D17C5" w14:textId="77777777" w:rsidTr="00CB270D">
        <w:tc>
          <w:tcPr>
            <w:tcW w:w="1276" w:type="dxa"/>
            <w:tcBorders>
              <w:top w:val="single" w:sz="4" w:space="0" w:color="auto"/>
              <w:left w:val="single" w:sz="4" w:space="0" w:color="auto"/>
              <w:bottom w:val="single" w:sz="4" w:space="0" w:color="auto"/>
              <w:right w:val="single" w:sz="4" w:space="0" w:color="auto"/>
            </w:tcBorders>
          </w:tcPr>
          <w:p w14:paraId="4779A5DB" w14:textId="463AEA4F" w:rsidR="00741F94"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512" w:type="dxa"/>
            <w:tcBorders>
              <w:top w:val="single" w:sz="4" w:space="0" w:color="auto"/>
              <w:left w:val="single" w:sz="4" w:space="0" w:color="auto"/>
              <w:bottom w:val="single" w:sz="4" w:space="0" w:color="auto"/>
              <w:right w:val="single" w:sz="4" w:space="0" w:color="auto"/>
            </w:tcBorders>
            <w:hideMark/>
          </w:tcPr>
          <w:p w14:paraId="20DCB068" w14:textId="77777777" w:rsidR="00741F94" w:rsidRPr="00D82419" w:rsidRDefault="00741F94" w:rsidP="003C575D">
            <w:pPr>
              <w:pStyle w:val="InstructionsText"/>
              <w:rPr>
                <w:rStyle w:val="FormatvorlageInstructionsTabelleText"/>
                <w:rFonts w:ascii="Times New Roman" w:hAnsi="Times New Roman"/>
                <w:b/>
                <w:bCs w:val="0"/>
                <w:noProof/>
                <w:sz w:val="24"/>
                <w:u w:val="single"/>
              </w:rPr>
            </w:pPr>
            <w:r>
              <w:rPr>
                <w:rStyle w:val="FormatvorlageInstructionsTabelleText"/>
                <w:rFonts w:ascii="Times New Roman" w:hAnsi="Times New Roman"/>
                <w:b/>
                <w:noProof/>
                <w:sz w:val="24"/>
                <w:u w:val="single"/>
              </w:rPr>
              <w:t>Uzņēmumi finanšu</w:t>
            </w:r>
          </w:p>
          <w:p w14:paraId="4D684432" w14:textId="7C655246" w:rsidR="00741F94" w:rsidRPr="00D82419" w:rsidRDefault="00741F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xml:space="preserve">Aizdevumi un avansi citām finanšu sabiedrībām, kā minēts šīs </w:t>
            </w:r>
            <w:r>
              <w:rPr>
                <w:noProof/>
              </w:rPr>
              <w:t>regulas V</w:t>
            </w:r>
            <w:r w:rsidR="00FB620E">
              <w:rPr>
                <w:noProof/>
              </w:rPr>
              <w:t> </w:t>
            </w:r>
            <w:r>
              <w:rPr>
                <w:noProof/>
              </w:rPr>
              <w:t>pielikuma 1. daļas 42. punkta d) apakšpunktā</w:t>
            </w:r>
            <w:r>
              <w:rPr>
                <w:rStyle w:val="FormatvorlageInstructionsTabelleText"/>
                <w:rFonts w:ascii="Times New Roman" w:hAnsi="Times New Roman"/>
                <w:noProof/>
                <w:sz w:val="24"/>
              </w:rPr>
              <w:t xml:space="preserve">. </w:t>
            </w:r>
          </w:p>
        </w:tc>
      </w:tr>
      <w:tr w:rsidR="00741F94" w:rsidRPr="00D82419" w14:paraId="53F7FDE2" w14:textId="77777777" w:rsidTr="00CB270D">
        <w:tc>
          <w:tcPr>
            <w:tcW w:w="1276" w:type="dxa"/>
            <w:tcBorders>
              <w:top w:val="single" w:sz="4" w:space="0" w:color="auto"/>
              <w:left w:val="single" w:sz="4" w:space="0" w:color="auto"/>
              <w:bottom w:val="single" w:sz="4" w:space="0" w:color="auto"/>
              <w:right w:val="single" w:sz="4" w:space="0" w:color="auto"/>
            </w:tcBorders>
          </w:tcPr>
          <w:p w14:paraId="75559FBA" w14:textId="061F4296" w:rsidR="00741F94"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512" w:type="dxa"/>
            <w:tcBorders>
              <w:top w:val="single" w:sz="4" w:space="0" w:color="auto"/>
              <w:left w:val="single" w:sz="4" w:space="0" w:color="auto"/>
              <w:bottom w:val="single" w:sz="4" w:space="0" w:color="auto"/>
              <w:right w:val="single" w:sz="4" w:space="0" w:color="auto"/>
            </w:tcBorders>
            <w:hideMark/>
          </w:tcPr>
          <w:p w14:paraId="70DDA77E" w14:textId="74958CC2"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Parāda vērtspapīri</w:t>
            </w:r>
          </w:p>
          <w:p w14:paraId="4F3589E5" w14:textId="297A6910" w:rsidR="00741F94" w:rsidRPr="00D82419" w:rsidRDefault="006E417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Iestādes turēti parāda instrumenti, kas emitēti kā vērtspapīri, kas nav aizdevumi, </w:t>
            </w:r>
            <w:r>
              <w:rPr>
                <w:noProof/>
              </w:rPr>
              <w:t>kā minēts šīs regulas V pielikuma 1. daļas 31. punktā</w:t>
            </w:r>
            <w:r>
              <w:rPr>
                <w:rStyle w:val="InstructionsTabelleberschrift"/>
                <w:rFonts w:ascii="Times New Roman" w:hAnsi="Times New Roman"/>
                <w:b w:val="0"/>
                <w:noProof/>
                <w:sz w:val="24"/>
                <w:u w:val="none"/>
              </w:rPr>
              <w:t>,</w:t>
            </w:r>
            <w:r>
              <w:rPr>
                <w:noProof/>
              </w:rPr>
              <w:t xml:space="preserve"> tostarp segtās obligācijas un vērtspapīrošanas riska darījumi.</w:t>
            </w:r>
          </w:p>
        </w:tc>
      </w:tr>
      <w:tr w:rsidR="00551014" w:rsidRPr="00D82419" w:rsidDel="00551014" w14:paraId="3FDF4C19" w14:textId="77777777" w:rsidTr="00CB270D">
        <w:tc>
          <w:tcPr>
            <w:tcW w:w="1276" w:type="dxa"/>
            <w:tcBorders>
              <w:top w:val="single" w:sz="4" w:space="0" w:color="auto"/>
              <w:left w:val="single" w:sz="4" w:space="0" w:color="auto"/>
              <w:bottom w:val="single" w:sz="4" w:space="0" w:color="auto"/>
              <w:right w:val="single" w:sz="4" w:space="0" w:color="auto"/>
            </w:tcBorders>
          </w:tcPr>
          <w:p w14:paraId="61188830" w14:textId="1455FAFF" w:rsidR="00551014" w:rsidRPr="00D82419" w:rsidDel="00551014"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512" w:type="dxa"/>
            <w:tcBorders>
              <w:top w:val="single" w:sz="4" w:space="0" w:color="auto"/>
              <w:left w:val="single" w:sz="4" w:space="0" w:color="auto"/>
              <w:bottom w:val="single" w:sz="4" w:space="0" w:color="auto"/>
              <w:right w:val="single" w:sz="4" w:space="0" w:color="auto"/>
            </w:tcBorders>
          </w:tcPr>
          <w:p w14:paraId="5D9F98E2" w14:textId="77777777" w:rsidR="00551014" w:rsidRPr="00D82419" w:rsidRDefault="003F1BF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Atvasinātie instrumenti aktīvu riska ierobežošanai</w:t>
            </w:r>
          </w:p>
          <w:p w14:paraId="052D8F4E" w14:textId="7AAB2C56" w:rsidR="001E5979" w:rsidRPr="00D82419" w:rsidDel="00551014" w:rsidRDefault="00E04F77"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Atvasinātie instrumenti, kā definēts Eiropas Parlamenta un Padomes Regulas (ES) Nr. 600/2014</w:t>
            </w:r>
            <w:r w:rsidR="00D3693A">
              <w:rPr>
                <w:rStyle w:val="FootnoteReference"/>
                <w:noProof/>
              </w:rPr>
              <w:footnoteReference w:id="3"/>
            </w:r>
            <w:r>
              <w:rPr>
                <w:rStyle w:val="InstructionsTabelleberschrift"/>
                <w:rFonts w:ascii="Times New Roman" w:hAnsi="Times New Roman"/>
                <w:b w:val="0"/>
                <w:noProof/>
                <w:sz w:val="24"/>
                <w:u w:val="none"/>
              </w:rPr>
              <w:t xml:space="preserve"> 2. panta 1. punkta 29) apakšpunktā.</w:t>
            </w:r>
            <w:r>
              <w:rPr>
                <w:rStyle w:val="InstructionsTabelleberschrift"/>
                <w:rFonts w:ascii="Times New Roman" w:hAnsi="Times New Roman"/>
                <w:noProof/>
                <w:sz w:val="24"/>
                <w:u w:val="none"/>
              </w:rPr>
              <w:t xml:space="preserve"> </w:t>
            </w:r>
            <w:r>
              <w:rPr>
                <w:rStyle w:val="InstructionsTabelleberschrift"/>
                <w:rFonts w:ascii="Times New Roman" w:hAnsi="Times New Roman"/>
                <w:b w:val="0"/>
                <w:noProof/>
                <w:sz w:val="24"/>
                <w:u w:val="none"/>
              </w:rPr>
              <w:t>Iestādes</w:t>
            </w:r>
            <w:r>
              <w:rPr>
                <w:rStyle w:val="InstructionsTabelleberschrift"/>
                <w:rFonts w:ascii="Times New Roman" w:hAnsi="Times New Roman"/>
                <w:noProof/>
                <w:sz w:val="24"/>
                <w:u w:val="none"/>
              </w:rPr>
              <w:t xml:space="preserve"> </w:t>
            </w:r>
            <w:r>
              <w:rPr>
                <w:noProof/>
              </w:rPr>
              <w:t xml:space="preserve">uzrāda atvasinātos instrumentus, kuri tiek turēti riska ierobežošanas uzskaites režīmā saskaņā ar piemērojamo grāmatvedības regulējumu un kuri ir pret risku nodrošināts postenis, pret procentu likmi jutīgs aktīvs. </w:t>
            </w:r>
          </w:p>
        </w:tc>
      </w:tr>
      <w:tr w:rsidR="00B60371" w:rsidRPr="00D82419" w:rsidDel="00551014" w14:paraId="1F75A43F" w14:textId="77777777" w:rsidTr="00CB270D">
        <w:tc>
          <w:tcPr>
            <w:tcW w:w="1276" w:type="dxa"/>
            <w:tcBorders>
              <w:top w:val="single" w:sz="4" w:space="0" w:color="auto"/>
              <w:left w:val="single" w:sz="4" w:space="0" w:color="auto"/>
              <w:bottom w:val="single" w:sz="4" w:space="0" w:color="auto"/>
              <w:right w:val="single" w:sz="4" w:space="0" w:color="auto"/>
            </w:tcBorders>
          </w:tcPr>
          <w:p w14:paraId="49F23B80" w14:textId="6601E1A1" w:rsidR="00B60371"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w:t>
            </w:r>
          </w:p>
        </w:tc>
        <w:tc>
          <w:tcPr>
            <w:tcW w:w="7512" w:type="dxa"/>
            <w:tcBorders>
              <w:top w:val="single" w:sz="4" w:space="0" w:color="auto"/>
              <w:left w:val="single" w:sz="4" w:space="0" w:color="auto"/>
              <w:bottom w:val="single" w:sz="4" w:space="0" w:color="auto"/>
              <w:right w:val="single" w:sz="4" w:space="0" w:color="auto"/>
            </w:tcBorders>
          </w:tcPr>
          <w:p w14:paraId="75DCDCEB" w14:textId="77777777" w:rsidR="00B60371" w:rsidRPr="00D82419" w:rsidRDefault="007D1A3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Parāda vērtspapīru riska ierobežošana</w:t>
            </w:r>
          </w:p>
          <w:p w14:paraId="6CE16F3F" w14:textId="57795022" w:rsidR="00B60371" w:rsidRPr="00D82419" w:rsidRDefault="00CC25CA" w:rsidP="003C575D">
            <w:pPr>
              <w:pStyle w:val="InstructionsText"/>
              <w:rPr>
                <w:rStyle w:val="InstructionsTabelleberschrift"/>
                <w:rFonts w:ascii="Times New Roman" w:hAnsi="Times New Roman"/>
                <w:b w:val="0"/>
                <w:noProof/>
                <w:sz w:val="24"/>
                <w:u w:val="none"/>
              </w:rPr>
            </w:pPr>
            <w:r>
              <w:rPr>
                <w:noProof/>
              </w:rPr>
              <w:t>Riska ierobežošanas uzskaites atvasinātie instrumenti</w:t>
            </w:r>
            <w:r>
              <w:rPr>
                <w:rStyle w:val="InstructionsTabelleberschrift"/>
                <w:rFonts w:ascii="Times New Roman" w:hAnsi="Times New Roman"/>
                <w:b w:val="0"/>
                <w:noProof/>
                <w:sz w:val="24"/>
                <w:u w:val="none"/>
              </w:rPr>
              <w:t xml:space="preserve"> aktīvu riska ierobežošanai, kas ir parāda vērtspapīri. </w:t>
            </w:r>
          </w:p>
        </w:tc>
      </w:tr>
      <w:tr w:rsidR="00B60371" w:rsidRPr="00D82419" w:rsidDel="00551014" w14:paraId="4CBFEE57" w14:textId="77777777" w:rsidTr="00CB270D">
        <w:tc>
          <w:tcPr>
            <w:tcW w:w="1276" w:type="dxa"/>
            <w:tcBorders>
              <w:top w:val="single" w:sz="4" w:space="0" w:color="auto"/>
              <w:left w:val="single" w:sz="4" w:space="0" w:color="auto"/>
              <w:bottom w:val="single" w:sz="4" w:space="0" w:color="auto"/>
              <w:right w:val="single" w:sz="4" w:space="0" w:color="auto"/>
            </w:tcBorders>
          </w:tcPr>
          <w:p w14:paraId="3A21FFB1" w14:textId="4D3081DE" w:rsidR="00B60371"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0170</w:t>
            </w:r>
          </w:p>
        </w:tc>
        <w:tc>
          <w:tcPr>
            <w:tcW w:w="7512" w:type="dxa"/>
            <w:tcBorders>
              <w:top w:val="single" w:sz="4" w:space="0" w:color="auto"/>
              <w:left w:val="single" w:sz="4" w:space="0" w:color="auto"/>
              <w:bottom w:val="single" w:sz="4" w:space="0" w:color="auto"/>
              <w:right w:val="single" w:sz="4" w:space="0" w:color="auto"/>
            </w:tcBorders>
          </w:tcPr>
          <w:p w14:paraId="17F88214" w14:textId="77777777" w:rsidR="00B60371" w:rsidRPr="00D82419" w:rsidRDefault="007D1A3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Citu aktīvu riska ierobežošana</w:t>
            </w:r>
          </w:p>
          <w:p w14:paraId="455AF042" w14:textId="0B1C6939" w:rsidR="00B60371" w:rsidRPr="00D82419" w:rsidRDefault="00881542" w:rsidP="003C575D">
            <w:pPr>
              <w:pStyle w:val="InstructionsText"/>
              <w:rPr>
                <w:rStyle w:val="InstructionsTabelleberschrift"/>
                <w:rFonts w:ascii="Times New Roman" w:hAnsi="Times New Roman"/>
                <w:noProof/>
                <w:sz w:val="24"/>
              </w:rPr>
            </w:pPr>
            <w:r>
              <w:rPr>
                <w:noProof/>
              </w:rPr>
              <w:t>Riska ierobežošanas uzskaites atvasinātie instrumenti</w:t>
            </w:r>
            <w:r>
              <w:rPr>
                <w:rStyle w:val="InstructionsTabelleberschrift"/>
                <w:rFonts w:ascii="Times New Roman" w:hAnsi="Times New Roman"/>
                <w:b w:val="0"/>
                <w:noProof/>
                <w:sz w:val="24"/>
                <w:u w:val="none"/>
              </w:rPr>
              <w:t xml:space="preserve"> aktīvu riska ierobežošanai, kas nav parāda vērtspapīri.</w:t>
            </w:r>
          </w:p>
        </w:tc>
      </w:tr>
      <w:tr w:rsidR="007F62B7" w:rsidRPr="00D82419" w14:paraId="16EF9A3C" w14:textId="77777777" w:rsidTr="00CB270D">
        <w:tc>
          <w:tcPr>
            <w:tcW w:w="1276" w:type="dxa"/>
            <w:tcBorders>
              <w:top w:val="single" w:sz="4" w:space="0" w:color="auto"/>
              <w:left w:val="single" w:sz="4" w:space="0" w:color="auto"/>
              <w:bottom w:val="single" w:sz="4" w:space="0" w:color="auto"/>
              <w:right w:val="single" w:sz="4" w:space="0" w:color="auto"/>
            </w:tcBorders>
          </w:tcPr>
          <w:p w14:paraId="5C6AACBF" w14:textId="77DFFD02" w:rsidR="007F62B7"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w:t>
            </w:r>
          </w:p>
        </w:tc>
        <w:tc>
          <w:tcPr>
            <w:tcW w:w="7512" w:type="dxa"/>
            <w:tcBorders>
              <w:top w:val="single" w:sz="4" w:space="0" w:color="auto"/>
              <w:left w:val="single" w:sz="4" w:space="0" w:color="auto"/>
              <w:bottom w:val="single" w:sz="4" w:space="0" w:color="auto"/>
              <w:right w:val="single" w:sz="4" w:space="0" w:color="auto"/>
            </w:tcBorders>
            <w:hideMark/>
          </w:tcPr>
          <w:p w14:paraId="5CBEED4B" w14:textId="77777777" w:rsidR="007F62B7" w:rsidRPr="00D82419" w:rsidRDefault="007F62B7"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Citi</w:t>
            </w:r>
          </w:p>
          <w:p w14:paraId="483AE853" w14:textId="32773246" w:rsidR="007F62B7" w:rsidRPr="00D82419" w:rsidRDefault="007F62B7"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Šajā rindā uzrāda citus pret procentu likmi jutīgus bilances aktīvus, kas </w:t>
            </w:r>
            <w:r>
              <w:rPr>
                <w:noProof/>
              </w:rPr>
              <w:t>neietilpst iepriekšējās rindās.</w:t>
            </w:r>
          </w:p>
        </w:tc>
      </w:tr>
      <w:tr w:rsidR="00741F94" w:rsidRPr="00D82419" w14:paraId="0A12EE35" w14:textId="77777777" w:rsidTr="00CB270D">
        <w:tc>
          <w:tcPr>
            <w:tcW w:w="1276" w:type="dxa"/>
            <w:tcBorders>
              <w:top w:val="single" w:sz="4" w:space="0" w:color="auto"/>
              <w:left w:val="single" w:sz="4" w:space="0" w:color="auto"/>
              <w:bottom w:val="single" w:sz="4" w:space="0" w:color="auto"/>
              <w:right w:val="single" w:sz="4" w:space="0" w:color="auto"/>
            </w:tcBorders>
          </w:tcPr>
          <w:p w14:paraId="00FCC0B9" w14:textId="1411477B" w:rsidR="00741F94"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0190</w:t>
            </w:r>
          </w:p>
        </w:tc>
        <w:tc>
          <w:tcPr>
            <w:tcW w:w="7512" w:type="dxa"/>
            <w:tcBorders>
              <w:top w:val="single" w:sz="4" w:space="0" w:color="auto"/>
              <w:left w:val="single" w:sz="4" w:space="0" w:color="auto"/>
              <w:bottom w:val="single" w:sz="4" w:space="0" w:color="auto"/>
              <w:right w:val="single" w:sz="4" w:space="0" w:color="auto"/>
            </w:tcBorders>
            <w:hideMark/>
          </w:tcPr>
          <w:p w14:paraId="7B7A3346" w14:textId="77777777" w:rsidR="00741F94" w:rsidRPr="00D82419" w:rsidRDefault="00741F94" w:rsidP="003C575D">
            <w:pPr>
              <w:pStyle w:val="InstructionsText"/>
              <w:rPr>
                <w:rStyle w:val="InstructionsTabelleberschrift"/>
                <w:rFonts w:ascii="Times New Roman" w:hAnsi="Times New Roman"/>
                <w:bCs w:val="0"/>
                <w:noProof/>
                <w:sz w:val="24"/>
              </w:rPr>
            </w:pPr>
            <w:bookmarkStart w:id="52" w:name="_Hlk120269837"/>
            <w:r>
              <w:rPr>
                <w:rStyle w:val="InstructionsTabelleberschrift"/>
                <w:rFonts w:ascii="Times New Roman" w:hAnsi="Times New Roman"/>
                <w:noProof/>
                <w:sz w:val="24"/>
              </w:rPr>
              <w:t>Ārpusbilances aktīvi: iespējamie aktīvi</w:t>
            </w:r>
          </w:p>
          <w:bookmarkEnd w:id="52"/>
          <w:p w14:paraId="6EED4CE2" w14:textId="13D0DEFF" w:rsidR="007F62B7" w:rsidRPr="00D82419" w:rsidRDefault="005F0A8B"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Ārpusbilances aktīvi, kuri uzskaitīti </w:t>
            </w:r>
            <w:r>
              <w:rPr>
                <w:noProof/>
              </w:rPr>
              <w:t>Regulas (ES) Nr. 575/2013</w:t>
            </w:r>
            <w:r>
              <w:rPr>
                <w:rStyle w:val="InstructionsTabelleberschrift"/>
                <w:rFonts w:ascii="Times New Roman" w:hAnsi="Times New Roman"/>
                <w:b w:val="0"/>
                <w:noProof/>
                <w:sz w:val="24"/>
                <w:u w:val="none"/>
              </w:rPr>
              <w:t xml:space="preserve"> I pielikumā, kuri ir jutīgi pret procentu likmi un kuri ietilpst Deleģētās regulas (ES) .../... (PB: lūgums pievienot atsauci uz </w:t>
            </w:r>
            <w:r>
              <w:rPr>
                <w:noProof/>
              </w:rPr>
              <w:t xml:space="preserve">RTS par </w:t>
            </w:r>
            <w:r>
              <w:rPr>
                <w:i/>
                <w:noProof/>
              </w:rPr>
              <w:t>SOT</w:t>
            </w:r>
            <w:r>
              <w:rPr>
                <w:noProof/>
              </w:rPr>
              <w:t>) darbības jomā</w:t>
            </w:r>
            <w:r>
              <w:rPr>
                <w:rStyle w:val="InstructionsTabelleberschrift"/>
                <w:rFonts w:ascii="Times New Roman" w:hAnsi="Times New Roman"/>
                <w:b w:val="0"/>
                <w:noProof/>
                <w:sz w:val="24"/>
                <w:u w:val="none"/>
              </w:rPr>
              <w:t xml:space="preserve">. </w:t>
            </w:r>
          </w:p>
          <w:p w14:paraId="25844732" w14:textId="45453180" w:rsidR="00741F94" w:rsidRPr="00D82419" w:rsidRDefault="00741F94"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Šajā rindā iekļauj arī fiksētas likmes aizdevumu saistības ar potenciālajiem aizņēmējiem.</w:t>
            </w:r>
          </w:p>
          <w:p w14:paraId="5EAC10F2" w14:textId="3AA5FBCB" w:rsidR="00741F94" w:rsidRPr="00D82419" w:rsidRDefault="00741F9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Aizdevumu saistības uzrāda kā īsās un garās pozīcijas kombināciju. Fiksētas likmes aizdevumu saistību gadījumā iestādei saistību uzņemšanās brīdī ir garā pozīcija attiecībā uz aizdevumu un īsā pozīcija, kad ir paredzēts izmantot aizdevumu. Iestādes uzrāda garās pozīcijas kā aktīvus un īsās pozīcijas kā saistības. Šajā rindā tās uzrāda tikai iespējamos instrumentus, kas uzskatāmi par aktīviem.</w:t>
            </w:r>
          </w:p>
        </w:tc>
      </w:tr>
      <w:tr w:rsidR="00741F94" w:rsidRPr="00D82419" w14:paraId="64151DDC" w14:textId="77777777" w:rsidTr="00CB270D">
        <w:tc>
          <w:tcPr>
            <w:tcW w:w="1276" w:type="dxa"/>
            <w:tcBorders>
              <w:top w:val="single" w:sz="4" w:space="0" w:color="auto"/>
              <w:left w:val="single" w:sz="4" w:space="0" w:color="auto"/>
              <w:bottom w:val="single" w:sz="4" w:space="0" w:color="auto"/>
              <w:right w:val="single" w:sz="4" w:space="0" w:color="auto"/>
            </w:tcBorders>
          </w:tcPr>
          <w:p w14:paraId="13491603" w14:textId="32E96712" w:rsidR="00741F94" w:rsidRPr="00D82419" w:rsidDel="001D16D7"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0200</w:t>
            </w:r>
          </w:p>
        </w:tc>
        <w:tc>
          <w:tcPr>
            <w:tcW w:w="7512" w:type="dxa"/>
            <w:tcBorders>
              <w:top w:val="single" w:sz="4" w:space="0" w:color="auto"/>
              <w:left w:val="single" w:sz="4" w:space="0" w:color="auto"/>
              <w:bottom w:val="single" w:sz="4" w:space="0" w:color="auto"/>
              <w:right w:val="single" w:sz="4" w:space="0" w:color="auto"/>
            </w:tcBorders>
          </w:tcPr>
          <w:p w14:paraId="75DE31C0" w14:textId="47D40083"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Kopā saistības</w:t>
            </w:r>
          </w:p>
          <w:p w14:paraId="7C38ACF0" w14:textId="41477556" w:rsidR="007F62B7" w:rsidRPr="00D82419" w:rsidRDefault="007F62B7"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Kopējās pret procentu likmi jutīgās saistības</w:t>
            </w:r>
            <w:r>
              <w:rPr>
                <w:noProof/>
              </w:rPr>
              <w:t xml:space="preserve"> Deleģētās regulas (ES) .../... (PB: lūgums pievienot atsauci uz RTS par </w:t>
            </w:r>
            <w:r>
              <w:rPr>
                <w:i/>
                <w:noProof/>
              </w:rPr>
              <w:t>SOT</w:t>
            </w:r>
            <w:r>
              <w:rPr>
                <w:noProof/>
              </w:rPr>
              <w:t xml:space="preserve">) darbības jomā </w:t>
            </w:r>
            <w:r>
              <w:rPr>
                <w:rStyle w:val="FormatvorlageInstructionsTabelleText"/>
                <w:rFonts w:ascii="Times New Roman" w:hAnsi="Times New Roman"/>
                <w:noProof/>
                <w:sz w:val="24"/>
              </w:rPr>
              <w:t xml:space="preserve">neatkarīgi no to grāmatvedības uzskaites. Šajā rindā iekļaujamas: </w:t>
            </w:r>
          </w:p>
          <w:p w14:paraId="440E6249" w14:textId="6D6D4905" w:rsidR="000D6402" w:rsidRPr="00CB0212" w:rsidRDefault="00E21745"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saistības pret centrālajām bankām;</w:t>
            </w:r>
          </w:p>
          <w:p w14:paraId="58C223B7" w14:textId="14972A6C" w:rsidR="005F0A8B" w:rsidRPr="00D82419" w:rsidRDefault="00E21745" w:rsidP="003C575D">
            <w:pPr>
              <w:pStyle w:val="InstructionsText"/>
              <w:rPr>
                <w:rStyle w:val="FormatvorlageInstructionsTabelleText"/>
                <w:rFonts w:ascii="Times New Roman" w:hAnsi="Times New Roman"/>
                <w:b/>
                <w:noProof/>
                <w:sz w:val="24"/>
                <w:u w:val="single"/>
              </w:rPr>
            </w:pPr>
            <w:r>
              <w:rPr>
                <w:rStyle w:val="FormatvorlageInstructionsTabelleText"/>
                <w:rFonts w:ascii="Times New Roman" w:hAnsi="Times New Roman"/>
                <w:noProof/>
                <w:sz w:val="24"/>
              </w:rPr>
              <w:t>- starpbanku saistības;</w:t>
            </w:r>
          </w:p>
          <w:p w14:paraId="28D57E3D" w14:textId="06433067" w:rsidR="000D6402"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emitētie parāda vērtspapīri;</w:t>
            </w:r>
          </w:p>
          <w:p w14:paraId="084236A4" w14:textId="5AA4979D" w:rsidR="000D6402"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beztermiņa noguldījumi;</w:t>
            </w:r>
          </w:p>
          <w:p w14:paraId="253174FC" w14:textId="775944B6" w:rsidR="00531B36"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termiņnoguldījumi;</w:t>
            </w:r>
          </w:p>
          <w:p w14:paraId="2158A787" w14:textId="36AE02CA" w:rsidR="000D6402"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atvasinātie instrumenti saistību riska ierobežošanai;</w:t>
            </w:r>
          </w:p>
          <w:p w14:paraId="4FD61CA1" w14:textId="4CADBED9" w:rsidR="00741F94" w:rsidRPr="00D82419" w:rsidRDefault="00E21745"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citas.</w:t>
            </w:r>
          </w:p>
        </w:tc>
      </w:tr>
      <w:tr w:rsidR="00033F40" w:rsidRPr="00D82419" w14:paraId="6105288E" w14:textId="77777777" w:rsidTr="00CB270D">
        <w:tc>
          <w:tcPr>
            <w:tcW w:w="1276" w:type="dxa"/>
            <w:tcBorders>
              <w:top w:val="single" w:sz="4" w:space="0" w:color="auto"/>
              <w:left w:val="single" w:sz="4" w:space="0" w:color="auto"/>
              <w:bottom w:val="single" w:sz="4" w:space="0" w:color="auto"/>
              <w:right w:val="single" w:sz="4" w:space="0" w:color="auto"/>
            </w:tcBorders>
          </w:tcPr>
          <w:p w14:paraId="291A4155" w14:textId="772AC6EF" w:rsidR="00033F40" w:rsidRPr="00D82419" w:rsidRDefault="004F67A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0210</w:t>
            </w:r>
          </w:p>
        </w:tc>
        <w:tc>
          <w:tcPr>
            <w:tcW w:w="7512" w:type="dxa"/>
            <w:tcBorders>
              <w:top w:val="single" w:sz="4" w:space="0" w:color="auto"/>
              <w:left w:val="single" w:sz="4" w:space="0" w:color="auto"/>
              <w:bottom w:val="single" w:sz="4" w:space="0" w:color="auto"/>
              <w:right w:val="single" w:sz="4" w:space="0" w:color="auto"/>
            </w:tcBorders>
          </w:tcPr>
          <w:p w14:paraId="32D7F8EC" w14:textId="77777777" w:rsidR="004F67A8" w:rsidRPr="00D82419" w:rsidRDefault="004F67A8"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t. sk.: automātiskās izvēles iespējas dēļ </w:t>
            </w:r>
          </w:p>
          <w:p w14:paraId="6F491059" w14:textId="407F5EE7" w:rsidR="00033F40" w:rsidRPr="00D82419" w:rsidRDefault="004F67A8" w:rsidP="003C575D">
            <w:pPr>
              <w:pStyle w:val="InstructionsText"/>
              <w:rPr>
                <w:rStyle w:val="InstructionsTabelleberschrift"/>
                <w:rFonts w:ascii="Times New Roman" w:hAnsi="Times New Roman"/>
                <w:noProof/>
                <w:sz w:val="24"/>
              </w:rPr>
            </w:pPr>
            <w:r>
              <w:rPr>
                <w:noProof/>
              </w:rPr>
              <w:t xml:space="preserve">Ietvertas un tiešas automātiskas izvēles iespējas ieguldījums kopējās pret procentu likmi jutīgās saistībās Deleģētās regulas (ES) .../... (PB: lūgums pievienot atsauci uz RTS par </w:t>
            </w:r>
            <w:r>
              <w:rPr>
                <w:i/>
                <w:noProof/>
              </w:rPr>
              <w:t>SOT</w:t>
            </w:r>
            <w:r>
              <w:rPr>
                <w:noProof/>
              </w:rPr>
              <w:t>) darbības jomā neatkarīgi no to grāmatvedības uzskaites.</w:t>
            </w:r>
          </w:p>
        </w:tc>
      </w:tr>
      <w:tr w:rsidR="00741F94" w:rsidRPr="00D82419" w14:paraId="3F855494" w14:textId="77777777" w:rsidTr="00CB270D">
        <w:tc>
          <w:tcPr>
            <w:tcW w:w="1276" w:type="dxa"/>
            <w:tcBorders>
              <w:top w:val="single" w:sz="4" w:space="0" w:color="auto"/>
              <w:left w:val="single" w:sz="4" w:space="0" w:color="auto"/>
              <w:bottom w:val="single" w:sz="4" w:space="0" w:color="auto"/>
              <w:right w:val="single" w:sz="4" w:space="0" w:color="auto"/>
            </w:tcBorders>
          </w:tcPr>
          <w:p w14:paraId="192764CE" w14:textId="6A9385EF" w:rsidR="00741F94" w:rsidRPr="00D82419" w:rsidRDefault="001032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0220</w:t>
            </w:r>
          </w:p>
        </w:tc>
        <w:tc>
          <w:tcPr>
            <w:tcW w:w="7512" w:type="dxa"/>
            <w:tcBorders>
              <w:top w:val="single" w:sz="4" w:space="0" w:color="auto"/>
              <w:left w:val="single" w:sz="4" w:space="0" w:color="auto"/>
              <w:bottom w:val="single" w:sz="4" w:space="0" w:color="auto"/>
              <w:right w:val="single" w:sz="4" w:space="0" w:color="auto"/>
            </w:tcBorders>
            <w:hideMark/>
          </w:tcPr>
          <w:p w14:paraId="1752EB2F"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Centrālā banka </w:t>
            </w:r>
          </w:p>
          <w:p w14:paraId="63153454" w14:textId="72460C63" w:rsidR="00741F94" w:rsidRPr="00D82419" w:rsidRDefault="00741F94"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xml:space="preserve">Saistības </w:t>
            </w:r>
            <w:r>
              <w:rPr>
                <w:noProof/>
              </w:rPr>
              <w:t>pret centrālajām bankām, kā minēts šīs regulas V pielikuma 1. daļas 42. punkta a) apakšpunktā.</w:t>
            </w:r>
          </w:p>
        </w:tc>
      </w:tr>
      <w:tr w:rsidR="008B01DA" w:rsidRPr="00D82419" w14:paraId="7E060028" w14:textId="77777777" w:rsidTr="00CB270D">
        <w:tc>
          <w:tcPr>
            <w:tcW w:w="1276" w:type="dxa"/>
            <w:tcBorders>
              <w:top w:val="single" w:sz="4" w:space="0" w:color="auto"/>
              <w:left w:val="single" w:sz="4" w:space="0" w:color="auto"/>
              <w:bottom w:val="single" w:sz="4" w:space="0" w:color="auto"/>
              <w:right w:val="single" w:sz="4" w:space="0" w:color="auto"/>
            </w:tcBorders>
          </w:tcPr>
          <w:p w14:paraId="1C661A47" w14:textId="3F23FB80" w:rsidR="008B01DA" w:rsidRPr="00D82419" w:rsidDel="00103272" w:rsidRDefault="0098615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0230</w:t>
            </w:r>
          </w:p>
        </w:tc>
        <w:tc>
          <w:tcPr>
            <w:tcW w:w="7512" w:type="dxa"/>
            <w:tcBorders>
              <w:top w:val="single" w:sz="4" w:space="0" w:color="auto"/>
              <w:left w:val="single" w:sz="4" w:space="0" w:color="auto"/>
              <w:bottom w:val="single" w:sz="4" w:space="0" w:color="auto"/>
              <w:right w:val="single" w:sz="4" w:space="0" w:color="auto"/>
            </w:tcBorders>
          </w:tcPr>
          <w:p w14:paraId="1BE49544" w14:textId="77777777" w:rsidR="008B01DA" w:rsidRPr="00D82419" w:rsidRDefault="00AC072A"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Starpbanku</w:t>
            </w:r>
          </w:p>
          <w:p w14:paraId="140AD124" w14:textId="10351551" w:rsidR="008B01DA" w:rsidRPr="00D82419" w:rsidRDefault="00B8037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Visas saistības, kuru darījuma partneris ir kredītiestāde</w:t>
            </w:r>
            <w:r>
              <w:rPr>
                <w:noProof/>
              </w:rPr>
              <w:t>, kā minēts šīs regulas V pielikuma 1. daļas 42. punkta c) apakšpunktā, izņemot vērtspapīrus un atvasināto instrumentu riska darījumus.</w:t>
            </w:r>
          </w:p>
        </w:tc>
      </w:tr>
      <w:tr w:rsidR="00741F94" w:rsidRPr="00D82419" w14:paraId="7CE775AB" w14:textId="77777777" w:rsidTr="00CB270D">
        <w:tc>
          <w:tcPr>
            <w:tcW w:w="1276" w:type="dxa"/>
            <w:tcBorders>
              <w:top w:val="single" w:sz="4" w:space="0" w:color="auto"/>
              <w:left w:val="single" w:sz="4" w:space="0" w:color="auto"/>
              <w:bottom w:val="single" w:sz="4" w:space="0" w:color="auto"/>
              <w:right w:val="single" w:sz="4" w:space="0" w:color="auto"/>
            </w:tcBorders>
          </w:tcPr>
          <w:p w14:paraId="790A9857" w14:textId="517D13A5" w:rsidR="00741F94" w:rsidRPr="00D82419" w:rsidRDefault="00BC6EC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0240</w:t>
            </w:r>
          </w:p>
        </w:tc>
        <w:tc>
          <w:tcPr>
            <w:tcW w:w="7512" w:type="dxa"/>
            <w:tcBorders>
              <w:top w:val="single" w:sz="4" w:space="0" w:color="auto"/>
              <w:left w:val="single" w:sz="4" w:space="0" w:color="auto"/>
              <w:bottom w:val="single" w:sz="4" w:space="0" w:color="auto"/>
              <w:right w:val="single" w:sz="4" w:space="0" w:color="auto"/>
            </w:tcBorders>
            <w:hideMark/>
          </w:tcPr>
          <w:p w14:paraId="268334FF"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Emitētie parāda vērtspapīri </w:t>
            </w:r>
          </w:p>
          <w:p w14:paraId="5FCAA9F8" w14:textId="393B88FD" w:rsidR="00741F94" w:rsidRPr="00D82419" w:rsidRDefault="0003566D" w:rsidP="00430DF0">
            <w:pPr>
              <w:pStyle w:val="Baseparagraphnumbered"/>
              <w:numPr>
                <w:ilvl w:val="0"/>
                <w:numId w:val="0"/>
              </w:numPr>
              <w:suppressAutoHyphens/>
              <w:jc w:val="left"/>
              <w:rPr>
                <w:rStyle w:val="InstructionsTabelleberschrift"/>
                <w:rFonts w:ascii="Times New Roman" w:hAnsi="Times New Roman"/>
                <w:b w:val="0"/>
                <w:noProof/>
                <w:sz w:val="24"/>
                <w:szCs w:val="24"/>
                <w:u w:val="none"/>
              </w:rPr>
            </w:pPr>
            <w:r>
              <w:rPr>
                <w:rStyle w:val="InstructionsTabelleberschrift"/>
                <w:rFonts w:ascii="Times New Roman" w:hAnsi="Times New Roman"/>
                <w:b w:val="0"/>
                <w:noProof/>
                <w:sz w:val="24"/>
                <w:u w:val="none"/>
              </w:rPr>
              <w:t xml:space="preserve">Parāda instrumenti, kurus iestāde emitējusi kā vērtspapīrus, kuri nav noguldījumi, kā minēts šīs </w:t>
            </w:r>
            <w:r>
              <w:rPr>
                <w:noProof/>
              </w:rPr>
              <w:t>regulas V pielikuma 1. daļas 37. punktā.</w:t>
            </w:r>
          </w:p>
        </w:tc>
      </w:tr>
      <w:tr w:rsidR="00741F94" w:rsidRPr="00D82419" w14:paraId="18A827B3" w14:textId="77777777" w:rsidTr="00CB270D">
        <w:tc>
          <w:tcPr>
            <w:tcW w:w="1276" w:type="dxa"/>
            <w:tcBorders>
              <w:top w:val="single" w:sz="4" w:space="0" w:color="auto"/>
              <w:left w:val="single" w:sz="4" w:space="0" w:color="auto"/>
              <w:bottom w:val="single" w:sz="4" w:space="0" w:color="auto"/>
              <w:right w:val="single" w:sz="4" w:space="0" w:color="auto"/>
            </w:tcBorders>
          </w:tcPr>
          <w:p w14:paraId="569A1482" w14:textId="522F4936" w:rsidR="00741F94" w:rsidRPr="00166525" w:rsidRDefault="00BC6EC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0260</w:t>
            </w:r>
          </w:p>
        </w:tc>
        <w:tc>
          <w:tcPr>
            <w:tcW w:w="7512" w:type="dxa"/>
            <w:tcBorders>
              <w:top w:val="single" w:sz="4" w:space="0" w:color="auto"/>
              <w:left w:val="single" w:sz="4" w:space="0" w:color="auto"/>
              <w:bottom w:val="single" w:sz="4" w:space="0" w:color="auto"/>
              <w:right w:val="single" w:sz="4" w:space="0" w:color="auto"/>
            </w:tcBorders>
            <w:hideMark/>
          </w:tcPr>
          <w:p w14:paraId="7011B4F0" w14:textId="3C032E26" w:rsidR="00741F94" w:rsidRPr="00166525" w:rsidRDefault="00E620F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 sk.: papildu pirmā vai otrā līmeņa kapitāls</w:t>
            </w:r>
          </w:p>
          <w:p w14:paraId="725742BC" w14:textId="610E3248" w:rsidR="00741F94" w:rsidRPr="00166525" w:rsidRDefault="00741F94" w:rsidP="003C575D">
            <w:pPr>
              <w:pStyle w:val="InstructionsText"/>
              <w:rPr>
                <w:noProof/>
              </w:rPr>
            </w:pPr>
            <w:r w:rsidRPr="00FB620E">
              <w:rPr>
                <w:rStyle w:val="InstructionsTabelleberschrift"/>
                <w:rFonts w:ascii="Times New Roman" w:hAnsi="Times New Roman"/>
                <w:b w:val="0"/>
                <w:noProof/>
                <w:sz w:val="24"/>
                <w:u w:val="none"/>
              </w:rPr>
              <w:t xml:space="preserve">Parāda vērtspapīri, kas emitēti saskaņā ar </w:t>
            </w:r>
            <w:r w:rsidRPr="00FB620E">
              <w:rPr>
                <w:rStyle w:val="FormatvorlageInstructionsTabelleText"/>
                <w:rFonts w:ascii="Times New Roman" w:hAnsi="Times New Roman"/>
                <w:noProof/>
                <w:sz w:val="24"/>
              </w:rPr>
              <w:t>Regulas (ES) Nr. 575/2013</w:t>
            </w:r>
            <w:r>
              <w:rPr>
                <w:rStyle w:val="FormatvorlageInstructionsTabelleText"/>
                <w:noProof/>
              </w:rPr>
              <w:t> </w:t>
            </w:r>
            <w:r>
              <w:rPr>
                <w:noProof/>
              </w:rPr>
              <w:t xml:space="preserve">61. vai 71. pantu, izņemot pastāvīgo pašu kapitālu bez jebkādiem atsaukšanas datumiem (Deleģētās regulas (ES) .../... (PB: lūgums pievienot atsauci uz RTS par </w:t>
            </w:r>
            <w:r>
              <w:rPr>
                <w:i/>
                <w:noProof/>
              </w:rPr>
              <w:t>SOT</w:t>
            </w:r>
            <w:r>
              <w:rPr>
                <w:noProof/>
              </w:rPr>
              <w:t>) 3. pants).</w:t>
            </w:r>
          </w:p>
        </w:tc>
      </w:tr>
      <w:tr w:rsidR="00741F94" w:rsidRPr="00D82419" w14:paraId="66730361" w14:textId="77777777" w:rsidTr="00CB270D">
        <w:tc>
          <w:tcPr>
            <w:tcW w:w="1276" w:type="dxa"/>
            <w:tcBorders>
              <w:top w:val="single" w:sz="4" w:space="0" w:color="auto"/>
              <w:left w:val="single" w:sz="4" w:space="0" w:color="auto"/>
              <w:bottom w:val="single" w:sz="4" w:space="0" w:color="auto"/>
              <w:right w:val="single" w:sz="4" w:space="0" w:color="auto"/>
            </w:tcBorders>
          </w:tcPr>
          <w:p w14:paraId="0607CC2E" w14:textId="032FA37A" w:rsidR="00741F94" w:rsidRPr="00D82419" w:rsidRDefault="00BC6EC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0270</w:t>
            </w:r>
          </w:p>
        </w:tc>
        <w:tc>
          <w:tcPr>
            <w:tcW w:w="7512" w:type="dxa"/>
            <w:tcBorders>
              <w:top w:val="single" w:sz="4" w:space="0" w:color="auto"/>
              <w:left w:val="single" w:sz="4" w:space="0" w:color="auto"/>
              <w:bottom w:val="single" w:sz="4" w:space="0" w:color="auto"/>
              <w:right w:val="single" w:sz="4" w:space="0" w:color="auto"/>
            </w:tcBorders>
            <w:hideMark/>
          </w:tcPr>
          <w:p w14:paraId="7430C57E" w14:textId="48B6D67C" w:rsidR="00741F94" w:rsidRPr="00D82419" w:rsidRDefault="00CF0D4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Beztermiņa noguldījumi: Privātpersonas vai MVU ar darījumiem saistīti</w:t>
            </w:r>
          </w:p>
          <w:p w14:paraId="0E15693D" w14:textId="0F15BCF8" w:rsidR="007F62B7" w:rsidRPr="00D82419" w:rsidRDefault="00FD0B8B" w:rsidP="003C575D">
            <w:pPr>
              <w:pStyle w:val="InstructionsText"/>
              <w:rPr>
                <w:rStyle w:val="InstructionsTabelleberschrift"/>
                <w:rFonts w:ascii="Times New Roman" w:hAnsi="Times New Roman"/>
                <w:b w:val="0"/>
                <w:bCs w:val="0"/>
                <w:noProof/>
                <w:sz w:val="24"/>
                <w:u w:val="none"/>
              </w:rPr>
            </w:pPr>
            <w:r>
              <w:rPr>
                <w:noProof/>
              </w:rPr>
              <w:t xml:space="preserve">Privātpersonu vai MVU beztermiņa noguldījumi, ko tur darījumu kontā, kā definēts Deleģētās regulas (ES) .../... (PB: lūgums pievienot atsauci uz RTS par </w:t>
            </w:r>
            <w:r>
              <w:rPr>
                <w:i/>
                <w:noProof/>
              </w:rPr>
              <w:t>SA</w:t>
            </w:r>
            <w:r>
              <w:rPr>
                <w:noProof/>
              </w:rPr>
              <w:t>) 1. panta 10) punktā. Privātpersonu vai MVU darījumu beztermiņa noguldījumi ietver procentus nenesošus un citus privātpersonu vai MVU kontus, kuru atlīdzības komponents nav būtisks klienta lēmumā turēt naudu kontā.</w:t>
            </w:r>
          </w:p>
        </w:tc>
      </w:tr>
      <w:tr w:rsidR="00741F94" w:rsidRPr="00D82419" w14:paraId="0A45DBFC" w14:textId="77777777" w:rsidTr="00CB270D">
        <w:tc>
          <w:tcPr>
            <w:tcW w:w="1276" w:type="dxa"/>
            <w:tcBorders>
              <w:top w:val="single" w:sz="4" w:space="0" w:color="auto"/>
              <w:left w:val="single" w:sz="4" w:space="0" w:color="auto"/>
              <w:bottom w:val="single" w:sz="4" w:space="0" w:color="auto"/>
              <w:right w:val="single" w:sz="4" w:space="0" w:color="auto"/>
            </w:tcBorders>
          </w:tcPr>
          <w:p w14:paraId="65557F3F" w14:textId="3326431E" w:rsidR="00741F94" w:rsidRPr="00D82419" w:rsidRDefault="00BC6EC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0290, 0330, 0370</w:t>
            </w:r>
          </w:p>
        </w:tc>
        <w:tc>
          <w:tcPr>
            <w:tcW w:w="7512" w:type="dxa"/>
            <w:tcBorders>
              <w:top w:val="single" w:sz="4" w:space="0" w:color="auto"/>
              <w:left w:val="single" w:sz="4" w:space="0" w:color="auto"/>
              <w:bottom w:val="single" w:sz="4" w:space="0" w:color="auto"/>
              <w:right w:val="single" w:sz="4" w:space="0" w:color="auto"/>
            </w:tcBorders>
            <w:hideMark/>
          </w:tcPr>
          <w:p w14:paraId="1BFF7A04" w14:textId="49B4D2D6" w:rsidR="00741F94" w:rsidRPr="00580E65" w:rsidRDefault="00E620F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 sk.: pamatkomponents</w:t>
            </w:r>
          </w:p>
          <w:p w14:paraId="7212A9D8" w14:textId="5997E649" w:rsidR="00FD0B8B" w:rsidRPr="00D82419" w:rsidRDefault="009D614B" w:rsidP="003C575D">
            <w:pPr>
              <w:pStyle w:val="InstructionsText"/>
              <w:rPr>
                <w:noProof/>
              </w:rPr>
            </w:pPr>
            <w:r>
              <w:rPr>
                <w:noProof/>
              </w:rPr>
              <w:t xml:space="preserve">Beztermiņa noguldījumu pamatkomponents, kā definēts Deleģētās regulas (ES) .../... (PB: lūgums pievienot atsauci uz RTS par </w:t>
            </w:r>
            <w:r>
              <w:rPr>
                <w:i/>
                <w:noProof/>
              </w:rPr>
              <w:t>SA</w:t>
            </w:r>
            <w:r>
              <w:rPr>
                <w:noProof/>
              </w:rPr>
              <w:t>) 1. panta 15) punktā.</w:t>
            </w:r>
          </w:p>
          <w:p w14:paraId="32F8B509" w14:textId="5D9C51E8" w:rsidR="00741F94" w:rsidRPr="00D82419" w:rsidRDefault="008F26F7" w:rsidP="003C575D">
            <w:pPr>
              <w:pStyle w:val="InstructionsText"/>
              <w:rPr>
                <w:rStyle w:val="InstructionsTabelleberschrift"/>
                <w:rFonts w:ascii="Times New Roman" w:hAnsi="Times New Roman"/>
                <w:noProof/>
                <w:sz w:val="24"/>
              </w:rPr>
            </w:pPr>
            <w:r>
              <w:rPr>
                <w:noProof/>
              </w:rPr>
              <w:t>Beztermiņa noguldījumi, kuri ir stabili un par kuriem ir maz ticams, ka tos varētu pārcenot pat tad, ja notiek būtiskas izmaiņas procentu likmju vidē, vai citi noguldījumi, kuru ierobežotu elastību pret procentu likmju izmaiņām modelē iestādes.</w:t>
            </w:r>
          </w:p>
        </w:tc>
      </w:tr>
      <w:tr w:rsidR="00741F94" w:rsidRPr="00D82419" w14:paraId="03D8F8BF" w14:textId="77777777" w:rsidTr="00CB270D">
        <w:tc>
          <w:tcPr>
            <w:tcW w:w="1276" w:type="dxa"/>
            <w:tcBorders>
              <w:top w:val="single" w:sz="4" w:space="0" w:color="auto"/>
              <w:left w:val="single" w:sz="4" w:space="0" w:color="auto"/>
              <w:bottom w:val="single" w:sz="4" w:space="0" w:color="auto"/>
              <w:right w:val="single" w:sz="4" w:space="0" w:color="auto"/>
            </w:tcBorders>
          </w:tcPr>
          <w:p w14:paraId="3515117D" w14:textId="6D5EA1F1"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0300, 0340, 0380</w:t>
            </w:r>
          </w:p>
        </w:tc>
        <w:tc>
          <w:tcPr>
            <w:tcW w:w="7512" w:type="dxa"/>
            <w:tcBorders>
              <w:top w:val="single" w:sz="4" w:space="0" w:color="auto"/>
              <w:left w:val="single" w:sz="4" w:space="0" w:color="auto"/>
              <w:bottom w:val="single" w:sz="4" w:space="0" w:color="auto"/>
              <w:right w:val="single" w:sz="4" w:space="0" w:color="auto"/>
            </w:tcBorders>
            <w:hideMark/>
          </w:tcPr>
          <w:p w14:paraId="044CB212" w14:textId="50FF1802" w:rsidR="00741F94" w:rsidRPr="00D82419" w:rsidRDefault="00E620F8"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t. sk.: atbrīvoti no 5 gadu maksimālās robežvērtības </w:t>
            </w:r>
          </w:p>
          <w:p w14:paraId="0D57FEDC" w14:textId="215F9226"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Regulēti uzkrājumu riska darījumi, kā minēts </w:t>
            </w:r>
            <w:r>
              <w:rPr>
                <w:noProof/>
              </w:rPr>
              <w:t>Regulas (ES) Nr.</w:t>
            </w:r>
            <w:r w:rsidR="00FB620E">
              <w:rPr>
                <w:noProof/>
              </w:rPr>
              <w:t> </w:t>
            </w:r>
            <w:r>
              <w:rPr>
                <w:noProof/>
              </w:rPr>
              <w:t>575/2013</w:t>
            </w:r>
            <w:r>
              <w:rPr>
                <w:rStyle w:val="InstructionsTabelleberschrift"/>
                <w:rFonts w:ascii="Times New Roman" w:hAnsi="Times New Roman"/>
                <w:b w:val="0"/>
                <w:noProof/>
                <w:sz w:val="24"/>
                <w:u w:val="none"/>
              </w:rPr>
              <w:t> 428.f panta 2. punkta a) apakšpunktā, bet ne tikai attiecībā uz centralizēto daļu vai ar būtiskiem ekonomiskiem vai fiskāliem ierobežojumiem izņemšanas gadījumā, attiecībā uz kuriem iestāde neierobežo maksimālo vidējo svērto pārcenošanas datumu līdz 5 gadiem.</w:t>
            </w:r>
          </w:p>
        </w:tc>
      </w:tr>
      <w:tr w:rsidR="00741F94" w:rsidRPr="00D82419" w14:paraId="06E3DF23" w14:textId="77777777" w:rsidTr="00CB270D">
        <w:tc>
          <w:tcPr>
            <w:tcW w:w="1276" w:type="dxa"/>
            <w:tcBorders>
              <w:top w:val="single" w:sz="4" w:space="0" w:color="auto"/>
              <w:left w:val="single" w:sz="4" w:space="0" w:color="auto"/>
              <w:bottom w:val="single" w:sz="4" w:space="0" w:color="auto"/>
              <w:right w:val="single" w:sz="4" w:space="0" w:color="auto"/>
            </w:tcBorders>
          </w:tcPr>
          <w:p w14:paraId="35CB5B0E" w14:textId="5A234DD8"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0310</w:t>
            </w:r>
          </w:p>
        </w:tc>
        <w:tc>
          <w:tcPr>
            <w:tcW w:w="7512" w:type="dxa"/>
            <w:tcBorders>
              <w:top w:val="single" w:sz="4" w:space="0" w:color="auto"/>
              <w:left w:val="single" w:sz="4" w:space="0" w:color="auto"/>
              <w:bottom w:val="single" w:sz="4" w:space="0" w:color="auto"/>
              <w:right w:val="single" w:sz="4" w:space="0" w:color="auto"/>
            </w:tcBorders>
            <w:hideMark/>
          </w:tcPr>
          <w:p w14:paraId="5570ED3E" w14:textId="16E7FC60" w:rsidR="00741F94" w:rsidRPr="00D82419" w:rsidRDefault="00CF0D4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Beztermiņa noguldījumi: Privātpersonas vai MVU ar darījumiem nesaistīti</w:t>
            </w:r>
          </w:p>
          <w:p w14:paraId="67DA1BF0" w14:textId="0DA9F77A" w:rsidR="00FD0B8B" w:rsidRPr="00D82419" w:rsidRDefault="00FD0B8B" w:rsidP="003C575D">
            <w:pPr>
              <w:pStyle w:val="InstructionsText"/>
              <w:rPr>
                <w:noProof/>
              </w:rPr>
            </w:pPr>
            <w:r>
              <w:rPr>
                <w:noProof/>
              </w:rPr>
              <w:t xml:space="preserve">Privātpersonu vai MVU beztermiņa noguldījumi, kurus tur kontā, kas nav darījumu konts, kā definēts Deleģētās regulas (ES) .../... (PB: lūgums pievienot atsauci uz RTS par </w:t>
            </w:r>
            <w:r>
              <w:rPr>
                <w:i/>
                <w:noProof/>
              </w:rPr>
              <w:t>SA</w:t>
            </w:r>
            <w:r>
              <w:rPr>
                <w:noProof/>
              </w:rPr>
              <w:t>) 1. panta 11) punktā.</w:t>
            </w:r>
          </w:p>
          <w:p w14:paraId="2CCF1716" w14:textId="014E0882" w:rsidR="007F62B7" w:rsidRPr="00D82419" w:rsidRDefault="007F62B7" w:rsidP="003C575D">
            <w:pPr>
              <w:pStyle w:val="InstructionsText"/>
              <w:rPr>
                <w:noProof/>
              </w:rPr>
            </w:pPr>
            <w:r>
              <w:rPr>
                <w:noProof/>
              </w:rPr>
              <w:t xml:space="preserve">Citus privātpersonu vai MVU noguldījumus, ko neuzskata par “Beztermiņa noguldījumiem: Privātpersonu vai MVU darījumiem”, uzskata par turētiem kontā, kas nav darījumu konts. </w:t>
            </w:r>
          </w:p>
          <w:p w14:paraId="684A5676" w14:textId="536F0AD6" w:rsidR="00741F94" w:rsidRPr="00D82419" w:rsidRDefault="007F62B7" w:rsidP="003C575D">
            <w:pPr>
              <w:pStyle w:val="InstructionsText"/>
              <w:rPr>
                <w:rStyle w:val="InstructionsTabelleberschrift"/>
                <w:rFonts w:ascii="Times New Roman" w:hAnsi="Times New Roman"/>
                <w:noProof/>
                <w:sz w:val="24"/>
              </w:rPr>
            </w:pPr>
            <w:r>
              <w:rPr>
                <w:noProof/>
              </w:rPr>
              <w:t>Jo īpaši privātpersonu vai MVU noguldījumi, kas nav darījumu noguldījumi, ietver privātpersonu vai MVU kontus (tostarp regulētus), kuru atlīdzības komponents ir būtisks klienta lēmumā turēt naudu kontā.</w:t>
            </w:r>
          </w:p>
        </w:tc>
      </w:tr>
      <w:tr w:rsidR="00741F94" w:rsidRPr="00D82419" w14:paraId="7F317DA1" w14:textId="77777777" w:rsidTr="00CB270D">
        <w:tc>
          <w:tcPr>
            <w:tcW w:w="1276" w:type="dxa"/>
            <w:tcBorders>
              <w:top w:val="single" w:sz="4" w:space="0" w:color="auto"/>
              <w:left w:val="single" w:sz="4" w:space="0" w:color="auto"/>
              <w:bottom w:val="single" w:sz="4" w:space="0" w:color="auto"/>
              <w:right w:val="single" w:sz="4" w:space="0" w:color="auto"/>
            </w:tcBorders>
          </w:tcPr>
          <w:p w14:paraId="6EF3F543" w14:textId="42F42E21"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0350</w:t>
            </w:r>
          </w:p>
        </w:tc>
        <w:tc>
          <w:tcPr>
            <w:tcW w:w="7512" w:type="dxa"/>
            <w:tcBorders>
              <w:top w:val="single" w:sz="4" w:space="0" w:color="auto"/>
              <w:left w:val="single" w:sz="4" w:space="0" w:color="auto"/>
              <w:bottom w:val="single" w:sz="4" w:space="0" w:color="auto"/>
              <w:right w:val="single" w:sz="4" w:space="0" w:color="auto"/>
            </w:tcBorders>
            <w:hideMark/>
          </w:tcPr>
          <w:p w14:paraId="20150A58" w14:textId="70C34925" w:rsidR="00741F94" w:rsidRPr="00D82419" w:rsidRDefault="00CF0D4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Beztermiņa noguldījumi: Uzņēmumi nefinanšu</w:t>
            </w:r>
          </w:p>
          <w:p w14:paraId="623AA74F" w14:textId="28B35872" w:rsidR="00741F94" w:rsidRPr="00B123AB" w:rsidRDefault="008C641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Uzņēmumu noguldījumi, </w:t>
            </w:r>
            <w:r>
              <w:rPr>
                <w:noProof/>
              </w:rPr>
              <w:t xml:space="preserve">kā definēts Deleģētās regulas (ES) .../... (PB: lūgums pievienot atsauci uz RTS par </w:t>
            </w:r>
            <w:r>
              <w:rPr>
                <w:i/>
                <w:noProof/>
              </w:rPr>
              <w:t>SA</w:t>
            </w:r>
            <w:r>
              <w:rPr>
                <w:noProof/>
              </w:rPr>
              <w:t xml:space="preserve">) 1. panta 12) punktā, kas ir vispārējo valdību un nefinanšu sabiedrību beztermiņa noguldījumi, kā minēts šīs regulas </w:t>
            </w:r>
            <w:r>
              <w:rPr>
                <w:rStyle w:val="InstructionsTabelleberschrift"/>
                <w:rFonts w:ascii="Times New Roman" w:hAnsi="Times New Roman"/>
                <w:b w:val="0"/>
                <w:noProof/>
                <w:sz w:val="24"/>
                <w:u w:val="none"/>
              </w:rPr>
              <w:t xml:space="preserve">V pielikuma 1. daļas </w:t>
            </w:r>
            <w:r>
              <w:rPr>
                <w:noProof/>
              </w:rPr>
              <w:t>42. punkta b) un e) apakšpunktā</w:t>
            </w:r>
            <w:r>
              <w:rPr>
                <w:rStyle w:val="InstructionsTabelleberschrift"/>
                <w:rFonts w:ascii="Times New Roman" w:hAnsi="Times New Roman"/>
                <w:b w:val="0"/>
                <w:noProof/>
                <w:sz w:val="24"/>
                <w:u w:val="none"/>
              </w:rPr>
              <w:t xml:space="preserve">. </w:t>
            </w:r>
          </w:p>
        </w:tc>
      </w:tr>
      <w:tr w:rsidR="00741F94" w:rsidRPr="00D82419" w14:paraId="2FD9C326" w14:textId="77777777" w:rsidTr="00CB270D">
        <w:tc>
          <w:tcPr>
            <w:tcW w:w="1276" w:type="dxa"/>
            <w:tcBorders>
              <w:top w:val="single" w:sz="4" w:space="0" w:color="auto"/>
              <w:left w:val="single" w:sz="4" w:space="0" w:color="auto"/>
              <w:bottom w:val="single" w:sz="4" w:space="0" w:color="auto"/>
              <w:right w:val="single" w:sz="4" w:space="0" w:color="auto"/>
            </w:tcBorders>
          </w:tcPr>
          <w:p w14:paraId="28AD73F7" w14:textId="3773B142"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0390</w:t>
            </w:r>
          </w:p>
        </w:tc>
        <w:tc>
          <w:tcPr>
            <w:tcW w:w="7512" w:type="dxa"/>
            <w:tcBorders>
              <w:top w:val="single" w:sz="4" w:space="0" w:color="auto"/>
              <w:left w:val="single" w:sz="4" w:space="0" w:color="auto"/>
              <w:bottom w:val="single" w:sz="4" w:space="0" w:color="auto"/>
              <w:right w:val="single" w:sz="4" w:space="0" w:color="auto"/>
            </w:tcBorders>
            <w:hideMark/>
          </w:tcPr>
          <w:p w14:paraId="2146828E" w14:textId="3FA2459A" w:rsidR="00741F94" w:rsidRPr="00D82419" w:rsidRDefault="00CF0D4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Beztermiņa noguldījumi: Uzņēmumi finanšu</w:t>
            </w:r>
          </w:p>
          <w:p w14:paraId="290B416D" w14:textId="23917E82" w:rsidR="00741F94" w:rsidRPr="00B123AB" w:rsidRDefault="008C6415" w:rsidP="00B123AB">
            <w:pPr>
              <w:suppressAutoHyphens/>
              <w:spacing w:after="139"/>
              <w:ind w:right="66"/>
              <w:rPr>
                <w:rStyle w:val="InstructionsTabelleberschrift"/>
                <w:rFonts w:ascii="Times New Roman" w:hAnsi="Times New Roman"/>
                <w:b w:val="0"/>
                <w:bCs w:val="0"/>
                <w:noProof/>
                <w:u w:val="none"/>
              </w:rPr>
            </w:pPr>
            <w:r>
              <w:rPr>
                <w:rStyle w:val="InstructionsTabelleberschrift"/>
                <w:rFonts w:ascii="Times New Roman" w:hAnsi="Times New Roman"/>
                <w:b w:val="0"/>
                <w:noProof/>
                <w:sz w:val="24"/>
                <w:u w:val="none"/>
              </w:rPr>
              <w:t xml:space="preserve">Uzņēmumu noguldījumi, </w:t>
            </w:r>
            <w:r>
              <w:rPr>
                <w:rFonts w:ascii="Times New Roman" w:hAnsi="Times New Roman"/>
                <w:noProof/>
                <w:sz w:val="24"/>
              </w:rPr>
              <w:t xml:space="preserve">kā definēts Deleģētās regulas (ES) .../... (PB: lūgums pievienot atsauci uz RTS par </w:t>
            </w:r>
            <w:r>
              <w:rPr>
                <w:rFonts w:ascii="Times New Roman" w:hAnsi="Times New Roman"/>
                <w:i/>
                <w:noProof/>
                <w:sz w:val="24"/>
              </w:rPr>
              <w:t>SA</w:t>
            </w:r>
            <w:r>
              <w:rPr>
                <w:rFonts w:ascii="Times New Roman" w:hAnsi="Times New Roman"/>
                <w:noProof/>
                <w:sz w:val="24"/>
              </w:rPr>
              <w:t xml:space="preserve">) 1. panta 12) punktā, kas ir darījuma partneru beztermiņa noguldījumi saskaņā ar šīs regulas </w:t>
            </w:r>
            <w:r>
              <w:rPr>
                <w:rStyle w:val="InstructionsTabelleberschrift"/>
                <w:rFonts w:ascii="Times New Roman" w:hAnsi="Times New Roman"/>
                <w:b w:val="0"/>
                <w:noProof/>
                <w:sz w:val="24"/>
                <w:u w:val="none"/>
              </w:rPr>
              <w:t xml:space="preserve">V pielikuma 1. daļas </w:t>
            </w:r>
            <w:r>
              <w:rPr>
                <w:rFonts w:ascii="Times New Roman" w:hAnsi="Times New Roman"/>
                <w:noProof/>
                <w:sz w:val="24"/>
              </w:rPr>
              <w:t>42. punkta d) apakšpunktu.</w:t>
            </w:r>
            <w:r>
              <w:rPr>
                <w:rStyle w:val="InstructionsTabelleberschrift"/>
                <w:rFonts w:ascii="Times New Roman" w:hAnsi="Times New Roman"/>
                <w:b w:val="0"/>
                <w:noProof/>
                <w:sz w:val="24"/>
                <w:u w:val="none"/>
              </w:rPr>
              <w:t xml:space="preserve"> </w:t>
            </w:r>
          </w:p>
        </w:tc>
      </w:tr>
      <w:tr w:rsidR="00741F94" w:rsidRPr="00D82419" w14:paraId="627CF461" w14:textId="77777777" w:rsidTr="00CB270D">
        <w:tc>
          <w:tcPr>
            <w:tcW w:w="1276" w:type="dxa"/>
            <w:tcBorders>
              <w:top w:val="single" w:sz="4" w:space="0" w:color="auto"/>
              <w:left w:val="single" w:sz="4" w:space="0" w:color="auto"/>
              <w:bottom w:val="single" w:sz="4" w:space="0" w:color="auto"/>
              <w:right w:val="single" w:sz="4" w:space="0" w:color="auto"/>
            </w:tcBorders>
          </w:tcPr>
          <w:p w14:paraId="50204665" w14:textId="36C23FAD"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0410</w:t>
            </w:r>
          </w:p>
        </w:tc>
        <w:tc>
          <w:tcPr>
            <w:tcW w:w="7512" w:type="dxa"/>
            <w:tcBorders>
              <w:top w:val="single" w:sz="4" w:space="0" w:color="auto"/>
              <w:left w:val="single" w:sz="4" w:space="0" w:color="auto"/>
              <w:bottom w:val="single" w:sz="4" w:space="0" w:color="auto"/>
              <w:right w:val="single" w:sz="4" w:space="0" w:color="auto"/>
            </w:tcBorders>
            <w:hideMark/>
          </w:tcPr>
          <w:p w14:paraId="01397660" w14:textId="2BDCC513" w:rsidR="00741F94" w:rsidRPr="001B37CD" w:rsidRDefault="00166525"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t. sk.: operacionālie noguldījumi</w:t>
            </w:r>
          </w:p>
          <w:p w14:paraId="147EE0A6" w14:textId="5C757061" w:rsidR="00741F94" w:rsidRPr="001B37CD" w:rsidRDefault="00A852A4" w:rsidP="003C575D">
            <w:pPr>
              <w:pStyle w:val="InstructionsText"/>
              <w:rPr>
                <w:rStyle w:val="InstructionsTabelleberschrift"/>
                <w:rFonts w:ascii="Times New Roman" w:hAnsi="Times New Roman"/>
                <w:noProof/>
                <w:sz w:val="24"/>
              </w:rPr>
            </w:pPr>
            <w:r>
              <w:rPr>
                <w:noProof/>
              </w:rPr>
              <w:t>Beztermiņa noguldījumi, kas klasificēti kā operacionāli noguldījumi saskaņā ar Komisijas Deleģētās regulas (ES) 2015/61</w:t>
            </w:r>
            <w:r w:rsidR="00491D20" w:rsidRPr="001B37CD">
              <w:rPr>
                <w:rStyle w:val="FootnoteReference"/>
                <w:rFonts w:ascii="Times New Roman" w:hAnsi="Times New Roman"/>
                <w:noProof/>
                <w:sz w:val="24"/>
                <w:szCs w:val="24"/>
                <w:vertAlign w:val="superscript"/>
              </w:rPr>
              <w:footnoteReference w:id="4"/>
            </w:r>
            <w:r>
              <w:rPr>
                <w:noProof/>
              </w:rPr>
              <w:t> 27. panta 1. punkta a)</w:t>
            </w:r>
            <w:r w:rsidR="00FB620E">
              <w:rPr>
                <w:noProof/>
              </w:rPr>
              <w:t> </w:t>
            </w:r>
            <w:r>
              <w:rPr>
                <w:noProof/>
              </w:rPr>
              <w:t>apakšpunktu.</w:t>
            </w:r>
          </w:p>
        </w:tc>
      </w:tr>
      <w:tr w:rsidR="00741F94" w:rsidRPr="00D82419" w14:paraId="42FD9774" w14:textId="77777777" w:rsidTr="00CB270D">
        <w:tc>
          <w:tcPr>
            <w:tcW w:w="1276" w:type="dxa"/>
            <w:tcBorders>
              <w:top w:val="single" w:sz="4" w:space="0" w:color="auto"/>
              <w:left w:val="single" w:sz="4" w:space="0" w:color="auto"/>
              <w:bottom w:val="single" w:sz="4" w:space="0" w:color="auto"/>
              <w:right w:val="single" w:sz="4" w:space="0" w:color="auto"/>
            </w:tcBorders>
          </w:tcPr>
          <w:p w14:paraId="6EB81BCB" w14:textId="7804F10C"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0420</w:t>
            </w:r>
          </w:p>
        </w:tc>
        <w:tc>
          <w:tcPr>
            <w:tcW w:w="7512" w:type="dxa"/>
            <w:tcBorders>
              <w:top w:val="single" w:sz="4" w:space="0" w:color="auto"/>
              <w:left w:val="single" w:sz="4" w:space="0" w:color="auto"/>
              <w:bottom w:val="single" w:sz="4" w:space="0" w:color="auto"/>
              <w:right w:val="single" w:sz="4" w:space="0" w:color="auto"/>
            </w:tcBorders>
            <w:hideMark/>
          </w:tcPr>
          <w:p w14:paraId="280F2825" w14:textId="1D6FB1A6"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Termiņnoguldījumi</w:t>
            </w:r>
          </w:p>
          <w:p w14:paraId="23926A1D" w14:textId="49652B3C" w:rsidR="00741F94" w:rsidRPr="00D82419" w:rsidRDefault="00741F94" w:rsidP="00430DF0">
            <w:pPr>
              <w:suppressAutoHyphens/>
              <w:spacing w:after="139"/>
              <w:ind w:right="66"/>
              <w:rPr>
                <w:rStyle w:val="InstructionsTabelleberschrift"/>
                <w:rFonts w:ascii="Times New Roman" w:hAnsi="Times New Roman"/>
                <w:b w:val="0"/>
                <w:bCs w:val="0"/>
                <w:noProof/>
                <w:sz w:val="24"/>
                <w:u w:val="none"/>
              </w:rPr>
            </w:pPr>
            <w:r>
              <w:rPr>
                <w:rFonts w:ascii="Times New Roman" w:hAnsi="Times New Roman"/>
                <w:noProof/>
                <w:sz w:val="24"/>
              </w:rPr>
              <w:t>Nepārvedami noguldījumi, kurus noguldītājam nav atļauts izņemt pirms noteiktā termiņa vai kurus var izņemt pirms termiņa, ar noteikumu, ka noguldītājam ir jāmaksā pirmstermiņa izņemšanas (priekšsamaksas) izmaksas un maksas. Šis postenis ietver administratīvi regulētus krājnoguldījumus, ja ar termiņu saistītais kritērijs nav būtisks. Lai arī var būt iespēja noguldījumus ar noteikto termiņu izņemt agrāk, iepriekš par to brīdinot, vai arī tos izņemt pēc pieprasījuma, samaksājot attiecīgu soda naudu, klasifikācijā šīs iespējas neizmanto. Šajā rindā neiekļauj 0220. un 0230. rindā iekļautos riska darījumus.</w:t>
            </w:r>
          </w:p>
        </w:tc>
      </w:tr>
      <w:tr w:rsidR="00741F94" w:rsidRPr="00D82419" w14:paraId="228274A5" w14:textId="77777777" w:rsidTr="00CB270D">
        <w:tc>
          <w:tcPr>
            <w:tcW w:w="1276" w:type="dxa"/>
            <w:tcBorders>
              <w:top w:val="single" w:sz="4" w:space="0" w:color="auto"/>
              <w:left w:val="single" w:sz="4" w:space="0" w:color="auto"/>
              <w:bottom w:val="single" w:sz="4" w:space="0" w:color="auto"/>
              <w:right w:val="single" w:sz="4" w:space="0" w:color="auto"/>
            </w:tcBorders>
          </w:tcPr>
          <w:p w14:paraId="15A80A78" w14:textId="447F46C1"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0440</w:t>
            </w:r>
          </w:p>
        </w:tc>
        <w:tc>
          <w:tcPr>
            <w:tcW w:w="7512" w:type="dxa"/>
            <w:tcBorders>
              <w:top w:val="single" w:sz="4" w:space="0" w:color="auto"/>
              <w:left w:val="single" w:sz="4" w:space="0" w:color="auto"/>
              <w:bottom w:val="single" w:sz="4" w:space="0" w:color="auto"/>
              <w:right w:val="single" w:sz="4" w:space="0" w:color="auto"/>
            </w:tcBorders>
            <w:hideMark/>
          </w:tcPr>
          <w:p w14:paraId="6AA66273" w14:textId="77777777"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Privātpersonas vai MVU</w:t>
            </w:r>
          </w:p>
          <w:p w14:paraId="0C1BD336" w14:textId="6F50C206" w:rsidR="00741F94" w:rsidRPr="00D82419" w:rsidRDefault="00741F9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Šajā rindā iekļauj privātpersonu vai MVU termiņnoguldījumus</w:t>
            </w:r>
            <w:r>
              <w:rPr>
                <w:noProof/>
              </w:rPr>
              <w:t>.</w:t>
            </w:r>
            <w:r>
              <w:rPr>
                <w:b/>
                <w:noProof/>
              </w:rPr>
              <w:t xml:space="preserve"> </w:t>
            </w:r>
          </w:p>
        </w:tc>
      </w:tr>
      <w:tr w:rsidR="00741F94" w:rsidRPr="00D82419" w14:paraId="3917CDEB" w14:textId="77777777" w:rsidTr="00CB270D">
        <w:tc>
          <w:tcPr>
            <w:tcW w:w="1276" w:type="dxa"/>
            <w:tcBorders>
              <w:top w:val="single" w:sz="4" w:space="0" w:color="auto"/>
              <w:left w:val="single" w:sz="4" w:space="0" w:color="auto"/>
              <w:bottom w:val="single" w:sz="4" w:space="0" w:color="auto"/>
              <w:right w:val="single" w:sz="4" w:space="0" w:color="auto"/>
            </w:tcBorders>
          </w:tcPr>
          <w:p w14:paraId="01C18FFF" w14:textId="009EF5A1"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0450</w:t>
            </w:r>
          </w:p>
        </w:tc>
        <w:tc>
          <w:tcPr>
            <w:tcW w:w="7512" w:type="dxa"/>
            <w:tcBorders>
              <w:top w:val="single" w:sz="4" w:space="0" w:color="auto"/>
              <w:left w:val="single" w:sz="4" w:space="0" w:color="auto"/>
              <w:bottom w:val="single" w:sz="4" w:space="0" w:color="auto"/>
              <w:right w:val="single" w:sz="4" w:space="0" w:color="auto"/>
            </w:tcBorders>
            <w:hideMark/>
          </w:tcPr>
          <w:p w14:paraId="79BDE9FF"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Uzņēmumi nefinanšu</w:t>
            </w:r>
          </w:p>
          <w:p w14:paraId="0429A193" w14:textId="2BE1783B" w:rsidR="00AB4CE3" w:rsidRPr="00D82419" w:rsidRDefault="00AB4CE3" w:rsidP="003C575D">
            <w:pPr>
              <w:pStyle w:val="InstructionsText"/>
              <w:rPr>
                <w:noProof/>
              </w:rPr>
            </w:pPr>
            <w:r>
              <w:rPr>
                <w:noProof/>
              </w:rPr>
              <w:t>Uzņēmumu-nefinanšu klientu termiņnoguldījumi.</w:t>
            </w:r>
          </w:p>
          <w:p w14:paraId="05C6DCF8" w14:textId="79E0305D" w:rsidR="00741F94" w:rsidRPr="00D82419" w:rsidRDefault="00894CF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Uzņēmumu noguldījumi, </w:t>
            </w:r>
            <w:r>
              <w:rPr>
                <w:noProof/>
              </w:rPr>
              <w:t xml:space="preserve">kā definēts Deleģētās regulas (ES) .../... (PB: lūgums pievienot atsauci uz RTS par </w:t>
            </w:r>
            <w:r>
              <w:rPr>
                <w:i/>
                <w:noProof/>
              </w:rPr>
              <w:t>SA</w:t>
            </w:r>
            <w:r>
              <w:rPr>
                <w:noProof/>
              </w:rPr>
              <w:t xml:space="preserve">) 1. panta 12) punktā, kas ir vispārējo valdību un nefinanšu sabiedrību noguldījumi, kuri nav beztermiņa noguldījumi, kā minēts šīs regulas </w:t>
            </w:r>
            <w:r>
              <w:rPr>
                <w:rStyle w:val="InstructionsTabelleberschrift"/>
                <w:rFonts w:ascii="Times New Roman" w:hAnsi="Times New Roman"/>
                <w:b w:val="0"/>
                <w:noProof/>
                <w:sz w:val="24"/>
                <w:u w:val="none"/>
              </w:rPr>
              <w:t xml:space="preserve">V pielikuma 1. daļas </w:t>
            </w:r>
            <w:r>
              <w:rPr>
                <w:noProof/>
              </w:rPr>
              <w:t>42. punkta b) un e)</w:t>
            </w:r>
            <w:r w:rsidR="000501CB">
              <w:rPr>
                <w:noProof/>
              </w:rPr>
              <w:t> </w:t>
            </w:r>
            <w:r>
              <w:rPr>
                <w:noProof/>
              </w:rPr>
              <w:t>apakšpunktā</w:t>
            </w:r>
            <w:r>
              <w:rPr>
                <w:rStyle w:val="InstructionsTabelleberschrift"/>
                <w:rFonts w:ascii="Times New Roman" w:hAnsi="Times New Roman"/>
                <w:b w:val="0"/>
                <w:noProof/>
                <w:sz w:val="24"/>
                <w:u w:val="none"/>
              </w:rPr>
              <w:t xml:space="preserve">. </w:t>
            </w:r>
          </w:p>
        </w:tc>
      </w:tr>
      <w:tr w:rsidR="00741F94" w:rsidRPr="00D82419" w14:paraId="7A8A6871" w14:textId="77777777" w:rsidTr="00CB270D">
        <w:tc>
          <w:tcPr>
            <w:tcW w:w="1276" w:type="dxa"/>
            <w:tcBorders>
              <w:top w:val="single" w:sz="4" w:space="0" w:color="auto"/>
              <w:left w:val="single" w:sz="4" w:space="0" w:color="auto"/>
              <w:bottom w:val="single" w:sz="4" w:space="0" w:color="auto"/>
              <w:right w:val="single" w:sz="4" w:space="0" w:color="auto"/>
            </w:tcBorders>
          </w:tcPr>
          <w:p w14:paraId="61437035" w14:textId="461D4C90"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0460</w:t>
            </w:r>
          </w:p>
        </w:tc>
        <w:tc>
          <w:tcPr>
            <w:tcW w:w="7512" w:type="dxa"/>
            <w:tcBorders>
              <w:top w:val="single" w:sz="4" w:space="0" w:color="auto"/>
              <w:left w:val="single" w:sz="4" w:space="0" w:color="auto"/>
              <w:bottom w:val="single" w:sz="4" w:space="0" w:color="auto"/>
              <w:right w:val="single" w:sz="4" w:space="0" w:color="auto"/>
            </w:tcBorders>
            <w:hideMark/>
          </w:tcPr>
          <w:p w14:paraId="7334982A"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Uzņēmumi finanšu</w:t>
            </w:r>
          </w:p>
          <w:p w14:paraId="0EAB8936" w14:textId="77777777" w:rsidR="00741F94" w:rsidRPr="00D82419" w:rsidRDefault="00741F94" w:rsidP="003C575D">
            <w:pPr>
              <w:pStyle w:val="InstructionsText"/>
              <w:rPr>
                <w:noProof/>
              </w:rPr>
            </w:pPr>
            <w:r>
              <w:rPr>
                <w:noProof/>
              </w:rPr>
              <w:t>Uzņēmumu-finanšu klientu termiņnoguldījumi.</w:t>
            </w:r>
          </w:p>
          <w:p w14:paraId="43BE6736" w14:textId="5D9CED62" w:rsidR="00894CF8" w:rsidRPr="000501CB" w:rsidRDefault="00894CF8" w:rsidP="00430DF0">
            <w:pPr>
              <w:suppressAutoHyphens/>
              <w:spacing w:after="139"/>
              <w:ind w:right="66"/>
              <w:rPr>
                <w:rStyle w:val="InstructionsTabelleberschrift"/>
                <w:rFonts w:ascii="Times New Roman" w:hAnsi="Times New Roman"/>
                <w:b w:val="0"/>
                <w:noProof/>
                <w:sz w:val="24"/>
                <w:u w:val="none"/>
              </w:rPr>
            </w:pPr>
            <w:r w:rsidRPr="000501CB">
              <w:rPr>
                <w:rStyle w:val="InstructionsTabelleberschrift"/>
                <w:rFonts w:ascii="Times New Roman" w:hAnsi="Times New Roman"/>
                <w:b w:val="0"/>
                <w:noProof/>
                <w:sz w:val="24"/>
                <w:u w:val="none"/>
              </w:rPr>
              <w:t xml:space="preserve">Uzņēmumu noguldījumi, </w:t>
            </w:r>
            <w:r w:rsidRPr="000501CB">
              <w:rPr>
                <w:rFonts w:ascii="Times New Roman" w:hAnsi="Times New Roman"/>
                <w:noProof/>
                <w:sz w:val="24"/>
              </w:rPr>
              <w:t xml:space="preserve">kā definēts Deleģētās regulas (ES) .../... (PB: lūgums pievienot atsauci uz RTS par </w:t>
            </w:r>
            <w:r w:rsidRPr="000501CB">
              <w:rPr>
                <w:rFonts w:ascii="Times New Roman" w:hAnsi="Times New Roman"/>
                <w:i/>
                <w:noProof/>
                <w:sz w:val="24"/>
              </w:rPr>
              <w:t>SA</w:t>
            </w:r>
            <w:r w:rsidRPr="000501CB">
              <w:rPr>
                <w:rFonts w:ascii="Times New Roman" w:hAnsi="Times New Roman"/>
                <w:noProof/>
                <w:sz w:val="24"/>
              </w:rPr>
              <w:t>) 1. panta 12) punktā, kas ir darījuma partneru noguldījumi, kas nav beztermiņa noguldījumi, kā minēts šīs regulas V pielikuma 1. daļas 42.</w:t>
            </w:r>
            <w:r w:rsidRPr="000501CB">
              <w:rPr>
                <w:rStyle w:val="InstructionsTabelleberschrift"/>
                <w:rFonts w:ascii="Times New Roman" w:hAnsi="Times New Roman"/>
                <w:b w:val="0"/>
                <w:noProof/>
                <w:sz w:val="24"/>
                <w:u w:val="none"/>
              </w:rPr>
              <w:t xml:space="preserve"> punkta d) </w:t>
            </w:r>
            <w:r w:rsidRPr="000501CB">
              <w:rPr>
                <w:rFonts w:ascii="Times New Roman" w:hAnsi="Times New Roman"/>
                <w:noProof/>
                <w:sz w:val="24"/>
              </w:rPr>
              <w:t>apakšpunktā</w:t>
            </w:r>
            <w:r w:rsidRPr="000501CB">
              <w:rPr>
                <w:rStyle w:val="InstructionsTabelleberschrift"/>
                <w:rFonts w:ascii="Times New Roman" w:hAnsi="Times New Roman"/>
                <w:b w:val="0"/>
                <w:noProof/>
                <w:sz w:val="24"/>
                <w:u w:val="none"/>
              </w:rPr>
              <w:t xml:space="preserve">. </w:t>
            </w:r>
          </w:p>
        </w:tc>
      </w:tr>
      <w:tr w:rsidR="00A4472C" w:rsidRPr="00D82419" w:rsidDel="00576E55" w14:paraId="0ED788F2" w14:textId="77777777" w:rsidTr="00CB270D">
        <w:tc>
          <w:tcPr>
            <w:tcW w:w="1276" w:type="dxa"/>
            <w:tcBorders>
              <w:top w:val="single" w:sz="4" w:space="0" w:color="auto"/>
              <w:left w:val="single" w:sz="4" w:space="0" w:color="auto"/>
              <w:bottom w:val="single" w:sz="4" w:space="0" w:color="auto"/>
              <w:right w:val="single" w:sz="4" w:space="0" w:color="auto"/>
            </w:tcBorders>
          </w:tcPr>
          <w:p w14:paraId="03AD6ABD" w14:textId="164CA0CD" w:rsidR="00A4472C" w:rsidRPr="00D82419" w:rsidDel="00576E55"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0470</w:t>
            </w:r>
          </w:p>
        </w:tc>
        <w:tc>
          <w:tcPr>
            <w:tcW w:w="7512" w:type="dxa"/>
            <w:tcBorders>
              <w:top w:val="single" w:sz="4" w:space="0" w:color="auto"/>
              <w:left w:val="single" w:sz="4" w:space="0" w:color="auto"/>
              <w:bottom w:val="single" w:sz="4" w:space="0" w:color="auto"/>
              <w:right w:val="single" w:sz="4" w:space="0" w:color="auto"/>
            </w:tcBorders>
          </w:tcPr>
          <w:p w14:paraId="1B5B172E" w14:textId="77777777" w:rsidR="00A4472C" w:rsidRPr="00D82419" w:rsidRDefault="00217CA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Atvasinātie instrumenti saistību riska ierobežošanai</w:t>
            </w:r>
          </w:p>
          <w:p w14:paraId="2EE47E8C" w14:textId="3B81836A" w:rsidR="00A4472C" w:rsidRPr="00D82419" w:rsidDel="00576E55" w:rsidRDefault="0032170D"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Atvasinātie instrumenti, kā definēts Regulas (ES) Nr. 600/2014 2. panta 1. punkta 29) apakšpunktā.</w:t>
            </w:r>
            <w:r>
              <w:rPr>
                <w:rStyle w:val="InstructionsTabelleberschrift"/>
                <w:rFonts w:ascii="Times New Roman" w:hAnsi="Times New Roman"/>
                <w:noProof/>
                <w:sz w:val="24"/>
                <w:u w:val="none"/>
              </w:rPr>
              <w:t xml:space="preserve"> </w:t>
            </w:r>
            <w:r>
              <w:rPr>
                <w:rStyle w:val="InstructionsTabelleberschrift"/>
                <w:rFonts w:ascii="Times New Roman" w:hAnsi="Times New Roman"/>
                <w:b w:val="0"/>
                <w:noProof/>
                <w:sz w:val="24"/>
                <w:u w:val="none"/>
              </w:rPr>
              <w:t>Iestādes</w:t>
            </w:r>
            <w:r>
              <w:rPr>
                <w:rStyle w:val="InstructionsTabelleberschrift"/>
                <w:rFonts w:ascii="Times New Roman" w:hAnsi="Times New Roman"/>
                <w:noProof/>
                <w:sz w:val="24"/>
                <w:u w:val="none"/>
              </w:rPr>
              <w:t xml:space="preserve"> </w:t>
            </w:r>
            <w:r>
              <w:rPr>
                <w:noProof/>
              </w:rPr>
              <w:t>uzrāda atvasinātos instrumentus, kuri tiek turēti riska ierobežošanas uzskaites režīmā saskaņā ar piemērojamo grāmatvedības regulējumu un kuri ir pret risku nodrošināts postenis, pret procentu likmi jutīgas saistības.</w:t>
            </w:r>
          </w:p>
        </w:tc>
      </w:tr>
      <w:tr w:rsidR="00912ADD" w:rsidRPr="00D82419" w:rsidDel="00576E55" w14:paraId="044CCDA5" w14:textId="77777777" w:rsidTr="00CB270D">
        <w:tc>
          <w:tcPr>
            <w:tcW w:w="1276" w:type="dxa"/>
            <w:tcBorders>
              <w:top w:val="single" w:sz="4" w:space="0" w:color="auto"/>
              <w:left w:val="single" w:sz="4" w:space="0" w:color="auto"/>
              <w:bottom w:val="single" w:sz="4" w:space="0" w:color="auto"/>
              <w:right w:val="single" w:sz="4" w:space="0" w:color="auto"/>
            </w:tcBorders>
          </w:tcPr>
          <w:p w14:paraId="00014BBF" w14:textId="68A39A56" w:rsidR="00912ADD"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0490</w:t>
            </w:r>
          </w:p>
        </w:tc>
        <w:tc>
          <w:tcPr>
            <w:tcW w:w="7512" w:type="dxa"/>
            <w:tcBorders>
              <w:top w:val="single" w:sz="4" w:space="0" w:color="auto"/>
              <w:left w:val="single" w:sz="4" w:space="0" w:color="auto"/>
              <w:bottom w:val="single" w:sz="4" w:space="0" w:color="auto"/>
              <w:right w:val="single" w:sz="4" w:space="0" w:color="auto"/>
            </w:tcBorders>
          </w:tcPr>
          <w:p w14:paraId="481EA62D" w14:textId="77777777" w:rsidR="003C7D80" w:rsidRPr="00D82419" w:rsidRDefault="0043093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Parāda vērtspapīru riska ierobežošana</w:t>
            </w:r>
          </w:p>
          <w:p w14:paraId="4CC38832" w14:textId="220A5504" w:rsidR="00912ADD" w:rsidRPr="00D82419" w:rsidRDefault="00AA0E8C" w:rsidP="003C575D">
            <w:pPr>
              <w:pStyle w:val="InstructionsText"/>
              <w:rPr>
                <w:rStyle w:val="InstructionsTabelleberschrift"/>
                <w:rFonts w:ascii="Times New Roman" w:hAnsi="Times New Roman"/>
                <w:noProof/>
                <w:sz w:val="24"/>
              </w:rPr>
            </w:pPr>
            <w:r>
              <w:rPr>
                <w:noProof/>
              </w:rPr>
              <w:t>Riska ierobežošanas uzskaites atvasinātie instrumenti</w:t>
            </w:r>
            <w:r>
              <w:rPr>
                <w:rStyle w:val="InstructionsTabelleberschrift"/>
                <w:rFonts w:ascii="Times New Roman" w:hAnsi="Times New Roman"/>
                <w:b w:val="0"/>
                <w:noProof/>
                <w:sz w:val="24"/>
                <w:u w:val="none"/>
              </w:rPr>
              <w:t xml:space="preserve"> saistību riska ierobežošanai, kas ir parāda vērtspapīri. </w:t>
            </w:r>
          </w:p>
        </w:tc>
      </w:tr>
      <w:tr w:rsidR="00693056" w:rsidRPr="00D82419" w:rsidDel="00576E55" w14:paraId="3AE364FD" w14:textId="77777777" w:rsidTr="00CB270D">
        <w:tc>
          <w:tcPr>
            <w:tcW w:w="1276" w:type="dxa"/>
            <w:tcBorders>
              <w:top w:val="single" w:sz="4" w:space="0" w:color="auto"/>
              <w:left w:val="single" w:sz="4" w:space="0" w:color="auto"/>
              <w:bottom w:val="single" w:sz="4" w:space="0" w:color="auto"/>
              <w:right w:val="single" w:sz="4" w:space="0" w:color="auto"/>
            </w:tcBorders>
          </w:tcPr>
          <w:p w14:paraId="02DBC7AF" w14:textId="491D07AD" w:rsidR="00693056"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0500</w:t>
            </w:r>
          </w:p>
        </w:tc>
        <w:tc>
          <w:tcPr>
            <w:tcW w:w="7512" w:type="dxa"/>
            <w:tcBorders>
              <w:top w:val="single" w:sz="4" w:space="0" w:color="auto"/>
              <w:left w:val="single" w:sz="4" w:space="0" w:color="auto"/>
              <w:bottom w:val="single" w:sz="4" w:space="0" w:color="auto"/>
              <w:right w:val="single" w:sz="4" w:space="0" w:color="auto"/>
            </w:tcBorders>
          </w:tcPr>
          <w:p w14:paraId="23ADE712" w14:textId="4334F9B3" w:rsidR="003C7D80" w:rsidRPr="00D82419" w:rsidRDefault="003C7D8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Citu saistību riska ierobežošana</w:t>
            </w:r>
          </w:p>
          <w:p w14:paraId="4488459D" w14:textId="79A2A28C" w:rsidR="00693056" w:rsidRPr="00D82419" w:rsidRDefault="00AA0E8C" w:rsidP="003C575D">
            <w:pPr>
              <w:pStyle w:val="InstructionsText"/>
              <w:rPr>
                <w:rStyle w:val="InstructionsTabelleberschrift"/>
                <w:rFonts w:ascii="Times New Roman" w:hAnsi="Times New Roman"/>
                <w:noProof/>
                <w:sz w:val="24"/>
              </w:rPr>
            </w:pPr>
            <w:r>
              <w:rPr>
                <w:noProof/>
              </w:rPr>
              <w:t>Riska ierobežošanas uzskaites atvasinātie instrumenti</w:t>
            </w:r>
            <w:r>
              <w:rPr>
                <w:rStyle w:val="InstructionsTabelleberschrift"/>
                <w:rFonts w:ascii="Times New Roman" w:hAnsi="Times New Roman"/>
                <w:b w:val="0"/>
                <w:noProof/>
                <w:sz w:val="24"/>
                <w:u w:val="none"/>
              </w:rPr>
              <w:t xml:space="preserve"> saistību riska ierobežošanai, kas nav parāda vērtspapīri.</w:t>
            </w:r>
          </w:p>
        </w:tc>
      </w:tr>
      <w:tr w:rsidR="00E96058" w:rsidRPr="00D82419" w14:paraId="068A5376" w14:textId="77777777" w:rsidTr="00CB270D">
        <w:tc>
          <w:tcPr>
            <w:tcW w:w="1276" w:type="dxa"/>
            <w:tcBorders>
              <w:top w:val="single" w:sz="4" w:space="0" w:color="auto"/>
              <w:left w:val="single" w:sz="4" w:space="0" w:color="auto"/>
              <w:bottom w:val="single" w:sz="4" w:space="0" w:color="auto"/>
              <w:right w:val="single" w:sz="4" w:space="0" w:color="auto"/>
            </w:tcBorders>
          </w:tcPr>
          <w:p w14:paraId="1785C7AC" w14:textId="10310EA9" w:rsidR="00E96058"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0510</w:t>
            </w:r>
          </w:p>
        </w:tc>
        <w:tc>
          <w:tcPr>
            <w:tcW w:w="7512" w:type="dxa"/>
            <w:tcBorders>
              <w:top w:val="single" w:sz="4" w:space="0" w:color="auto"/>
              <w:left w:val="single" w:sz="4" w:space="0" w:color="auto"/>
              <w:bottom w:val="single" w:sz="4" w:space="0" w:color="auto"/>
              <w:right w:val="single" w:sz="4" w:space="0" w:color="auto"/>
            </w:tcBorders>
            <w:hideMark/>
          </w:tcPr>
          <w:p w14:paraId="3A26ECCF" w14:textId="77777777" w:rsidR="00E96058" w:rsidRPr="00D82419" w:rsidRDefault="00E9605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Citas</w:t>
            </w:r>
          </w:p>
          <w:p w14:paraId="65D0639C" w14:textId="76B42BA3" w:rsidR="00E96058" w:rsidRPr="00D82419" w:rsidRDefault="00E96058"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Šajā rindā uzrāda citas pret procentu likmi jutīgas bilances saistības, kas </w:t>
            </w:r>
            <w:r>
              <w:rPr>
                <w:noProof/>
              </w:rPr>
              <w:t>nav klasificētas iepriekšējās rindās.</w:t>
            </w:r>
          </w:p>
        </w:tc>
      </w:tr>
      <w:tr w:rsidR="00741F94" w:rsidRPr="00D82419" w14:paraId="1FF66180" w14:textId="77777777" w:rsidTr="00CB270D">
        <w:tc>
          <w:tcPr>
            <w:tcW w:w="1276" w:type="dxa"/>
            <w:tcBorders>
              <w:top w:val="single" w:sz="4" w:space="0" w:color="auto"/>
              <w:left w:val="single" w:sz="4" w:space="0" w:color="auto"/>
              <w:bottom w:val="single" w:sz="4" w:space="0" w:color="auto"/>
              <w:right w:val="single" w:sz="4" w:space="0" w:color="auto"/>
            </w:tcBorders>
          </w:tcPr>
          <w:p w14:paraId="03B07CAF" w14:textId="478E9652"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0520</w:t>
            </w:r>
          </w:p>
        </w:tc>
        <w:tc>
          <w:tcPr>
            <w:tcW w:w="7512" w:type="dxa"/>
            <w:tcBorders>
              <w:top w:val="single" w:sz="4" w:space="0" w:color="auto"/>
              <w:left w:val="single" w:sz="4" w:space="0" w:color="auto"/>
              <w:bottom w:val="single" w:sz="4" w:space="0" w:color="auto"/>
              <w:right w:val="single" w:sz="4" w:space="0" w:color="auto"/>
            </w:tcBorders>
            <w:hideMark/>
          </w:tcPr>
          <w:p w14:paraId="24ABFC80" w14:textId="6F42CC98"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Ārpusbilances saistības: </w:t>
            </w:r>
            <w:bookmarkStart w:id="53" w:name="_Hlk116393169"/>
            <w:r>
              <w:rPr>
                <w:rStyle w:val="InstructionsTabelleberschrift"/>
                <w:rFonts w:ascii="Times New Roman" w:hAnsi="Times New Roman"/>
                <w:noProof/>
                <w:sz w:val="24"/>
              </w:rPr>
              <w:t>Iespējamās saistības</w:t>
            </w:r>
            <w:bookmarkEnd w:id="53"/>
          </w:p>
          <w:p w14:paraId="75027371" w14:textId="350951E4" w:rsidR="00741F94" w:rsidRPr="00D82419" w:rsidRDefault="00741F9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Ārpusbilances posteņi ietver tādus produktus kā pret procentu likmi jutīgas aizdevumu saistības.</w:t>
            </w:r>
          </w:p>
          <w:p w14:paraId="7A13B80C" w14:textId="0020F409" w:rsidR="00741F94" w:rsidRPr="00D82419" w:rsidRDefault="00741F94"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xml:space="preserve">Iespējamās saistības uzskata par īsās un garās pozīcijas kombināciju. Konkrēti, ja iestādei ir kredītlīnija ar citām iestādēm, iestādei būs garā pozīcija, kad paredzēts izmantot aizdevumu, un īsā pozīcija kredītlīnijas atvēršanas datumā. </w:t>
            </w:r>
          </w:p>
          <w:p w14:paraId="52F8703B" w14:textId="72FEC13F" w:rsidR="00741F94" w:rsidRPr="00D82419" w:rsidRDefault="00741F94" w:rsidP="003C575D">
            <w:pPr>
              <w:pStyle w:val="InstructionsText"/>
              <w:rPr>
                <w:rStyle w:val="InstructionsTabelleberschrift"/>
                <w:rFonts w:ascii="Times New Roman" w:hAnsi="Times New Roman"/>
                <w:b w:val="0"/>
                <w:bCs w:val="0"/>
                <w:noProof/>
                <w:sz w:val="24"/>
                <w:highlight w:val="yellow"/>
                <w:u w:val="none"/>
              </w:rPr>
            </w:pPr>
            <w:r>
              <w:rPr>
                <w:rStyle w:val="InstructionsTabelleberschrift"/>
                <w:rFonts w:ascii="Times New Roman" w:hAnsi="Times New Roman"/>
                <w:b w:val="0"/>
                <w:noProof/>
                <w:sz w:val="24"/>
                <w:u w:val="none"/>
              </w:rPr>
              <w:t>Garās pozīcijas uzrāda kā aktīvus, savukārt īsās pozīcijas uzrāda kā saistības. Šajā rindā uzrāda tikai tos iespējamos instrumentus, kas kvalificējami kā saistības.</w:t>
            </w:r>
          </w:p>
        </w:tc>
      </w:tr>
      <w:tr w:rsidR="005F6854" w:rsidRPr="00D82419" w14:paraId="4FD182D6" w14:textId="77777777" w:rsidTr="00CB270D">
        <w:tc>
          <w:tcPr>
            <w:tcW w:w="1276" w:type="dxa"/>
            <w:tcBorders>
              <w:top w:val="single" w:sz="4" w:space="0" w:color="auto"/>
              <w:left w:val="single" w:sz="4" w:space="0" w:color="auto"/>
              <w:bottom w:val="single" w:sz="4" w:space="0" w:color="auto"/>
              <w:right w:val="single" w:sz="4" w:space="0" w:color="auto"/>
            </w:tcBorders>
          </w:tcPr>
          <w:p w14:paraId="2F3CA386" w14:textId="4429AA05" w:rsidR="005F685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0530</w:t>
            </w:r>
          </w:p>
        </w:tc>
        <w:tc>
          <w:tcPr>
            <w:tcW w:w="7512" w:type="dxa"/>
            <w:tcBorders>
              <w:top w:val="single" w:sz="4" w:space="0" w:color="auto"/>
              <w:left w:val="single" w:sz="4" w:space="0" w:color="auto"/>
              <w:bottom w:val="single" w:sz="4" w:space="0" w:color="auto"/>
              <w:right w:val="single" w:sz="4" w:space="0" w:color="auto"/>
            </w:tcBorders>
          </w:tcPr>
          <w:p w14:paraId="51267A2C" w14:textId="77777777" w:rsidR="005F6854" w:rsidRPr="00D82419" w:rsidRDefault="00D3359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Citi atvasinātie instrumenti (neto aktīvi/saistības)</w:t>
            </w:r>
          </w:p>
          <w:p w14:paraId="445A1B2E" w14:textId="52EF1626" w:rsidR="008A50EB" w:rsidRPr="00D82419" w:rsidRDefault="00AA6996"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Procentu likmju atvasinātie instrumenti, kas nav paredzēti kā uzskaites riska ierobežošana, piemēram, ekonomiskās procentu likmes riska ierobežošana, kas paredzēta, lai ierobežotu procentu likmju risku banku portfelī, bet uz kuriem neattiecas uzskaites riska ierobežošanas režīms.</w:t>
            </w:r>
          </w:p>
        </w:tc>
      </w:tr>
      <w:tr w:rsidR="00741F94" w:rsidRPr="00D82419" w14:paraId="7092C293" w14:textId="77777777" w:rsidTr="00CB270D">
        <w:tc>
          <w:tcPr>
            <w:tcW w:w="1276" w:type="dxa"/>
            <w:tcBorders>
              <w:top w:val="single" w:sz="4" w:space="0" w:color="auto"/>
              <w:left w:val="single" w:sz="4" w:space="0" w:color="auto"/>
              <w:bottom w:val="single" w:sz="4" w:space="0" w:color="auto"/>
              <w:right w:val="single" w:sz="4" w:space="0" w:color="auto"/>
            </w:tcBorders>
          </w:tcPr>
          <w:p w14:paraId="4A072BB7" w14:textId="44EFB244" w:rsidR="00741F94" w:rsidRPr="00D82419" w:rsidDel="001D16D7"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0540-0640</w:t>
            </w:r>
          </w:p>
        </w:tc>
        <w:tc>
          <w:tcPr>
            <w:tcW w:w="7512" w:type="dxa"/>
            <w:tcBorders>
              <w:top w:val="single" w:sz="4" w:space="0" w:color="auto"/>
              <w:left w:val="single" w:sz="4" w:space="0" w:color="auto"/>
              <w:bottom w:val="single" w:sz="4" w:space="0" w:color="auto"/>
              <w:right w:val="single" w:sz="4" w:space="0" w:color="auto"/>
            </w:tcBorders>
          </w:tcPr>
          <w:p w14:paraId="1024D883" w14:textId="77777777"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Izziņas posteņi</w:t>
            </w:r>
          </w:p>
        </w:tc>
      </w:tr>
      <w:tr w:rsidR="009C1A96" w:rsidRPr="00D82419" w14:paraId="1C109EDF" w14:textId="77777777" w:rsidTr="00CB270D">
        <w:tc>
          <w:tcPr>
            <w:tcW w:w="1276" w:type="dxa"/>
            <w:tcBorders>
              <w:top w:val="single" w:sz="4" w:space="0" w:color="auto"/>
              <w:left w:val="single" w:sz="4" w:space="0" w:color="auto"/>
              <w:bottom w:val="single" w:sz="4" w:space="0" w:color="auto"/>
              <w:right w:val="single" w:sz="4" w:space="0" w:color="auto"/>
            </w:tcBorders>
          </w:tcPr>
          <w:p w14:paraId="22F0F1A3" w14:textId="5084B76D" w:rsidR="009C1A96" w:rsidRPr="00D82419" w:rsidDel="00C13246"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0540</w:t>
            </w:r>
          </w:p>
        </w:tc>
        <w:tc>
          <w:tcPr>
            <w:tcW w:w="7512" w:type="dxa"/>
            <w:tcBorders>
              <w:top w:val="single" w:sz="4" w:space="0" w:color="auto"/>
              <w:left w:val="single" w:sz="4" w:space="0" w:color="auto"/>
              <w:bottom w:val="single" w:sz="4" w:space="0" w:color="auto"/>
              <w:right w:val="single" w:sz="4" w:space="0" w:color="auto"/>
            </w:tcBorders>
          </w:tcPr>
          <w:p w14:paraId="17C1F5C7" w14:textId="77777777" w:rsidR="009C1A96" w:rsidRPr="00D82419" w:rsidRDefault="008F3EC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Neto atvasinātie instrumenti</w:t>
            </w:r>
          </w:p>
          <w:p w14:paraId="1072B82F" w14:textId="0B3EBFA9" w:rsidR="00AA6996" w:rsidRPr="00D82419" w:rsidRDefault="00CD037F"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Visu banku portfelī esošo procentu likmju atvasināto instrumentu neto ieguldījums, ņemot vērā šos procentu likmju atvasinātos instrumentus aktīvu (0140. rinda) vai saistību (0470. rinda) riska ierobežošanai saskaņā ar grāmatvedības riska ierobežošanas režīmu banku portfelī un citu procentu likmju atvasināto instrumentu ekonomiskās procentu likmes riska ierobežošanu (0530. rinda) banku portfelī, kas nav paredzēti kā uzskaites riska ierobežošana.</w:t>
            </w:r>
          </w:p>
        </w:tc>
      </w:tr>
      <w:tr w:rsidR="0009034B" w:rsidRPr="00D82419" w14:paraId="73C1333B" w14:textId="77777777" w:rsidTr="00CB270D">
        <w:tc>
          <w:tcPr>
            <w:tcW w:w="1276" w:type="dxa"/>
            <w:tcBorders>
              <w:top w:val="single" w:sz="4" w:space="0" w:color="auto"/>
              <w:left w:val="single" w:sz="4" w:space="0" w:color="auto"/>
              <w:bottom w:val="single" w:sz="4" w:space="0" w:color="auto"/>
              <w:right w:val="single" w:sz="4" w:space="0" w:color="auto"/>
            </w:tcBorders>
          </w:tcPr>
          <w:p w14:paraId="2973B7B7" w14:textId="05E67D87" w:rsidR="0009034B" w:rsidRPr="00D82419" w:rsidDel="00C13246"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0550</w:t>
            </w:r>
          </w:p>
        </w:tc>
        <w:tc>
          <w:tcPr>
            <w:tcW w:w="7512" w:type="dxa"/>
            <w:tcBorders>
              <w:top w:val="single" w:sz="4" w:space="0" w:color="auto"/>
              <w:left w:val="single" w:sz="4" w:space="0" w:color="auto"/>
              <w:bottom w:val="single" w:sz="4" w:space="0" w:color="auto"/>
              <w:right w:val="single" w:sz="4" w:space="0" w:color="auto"/>
            </w:tcBorders>
          </w:tcPr>
          <w:p w14:paraId="4D29D191" w14:textId="5996F47D" w:rsidR="00736664" w:rsidRPr="00D82419" w:rsidRDefault="0073666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Neto procentu likmju pozīcija bez atvasinātajiem instrumentiem</w:t>
            </w:r>
          </w:p>
          <w:p w14:paraId="575BB1CF" w14:textId="016C3B32" w:rsidR="0009034B" w:rsidRPr="00D82419" w:rsidRDefault="0009034B"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Visi procentu likmju riska darījumi banku portfelī</w:t>
            </w:r>
            <w:r>
              <w:rPr>
                <w:noProof/>
              </w:rPr>
              <w:t>, tostarp ārpusbilances riska darījumi un</w:t>
            </w:r>
            <w:r>
              <w:rPr>
                <w:rStyle w:val="InstructionsTabelleberschrift"/>
                <w:rFonts w:ascii="Times New Roman" w:hAnsi="Times New Roman"/>
                <w:b w:val="0"/>
                <w:noProof/>
                <w:sz w:val="24"/>
                <w:u w:val="none"/>
              </w:rPr>
              <w:t xml:space="preserve"> izņemot procentu likmju atvasinātos instrumentus. Jo īpaši visi aktīvi un saistības, izņemot atvasināto instrumentu ietekmi.</w:t>
            </w:r>
          </w:p>
        </w:tc>
      </w:tr>
      <w:tr w:rsidR="0009034B" w:rsidRPr="00D82419" w14:paraId="521F16BB" w14:textId="77777777" w:rsidTr="00CB270D">
        <w:tc>
          <w:tcPr>
            <w:tcW w:w="1276" w:type="dxa"/>
            <w:tcBorders>
              <w:top w:val="single" w:sz="4" w:space="0" w:color="auto"/>
              <w:left w:val="single" w:sz="4" w:space="0" w:color="auto"/>
              <w:bottom w:val="single" w:sz="4" w:space="0" w:color="auto"/>
              <w:right w:val="single" w:sz="4" w:space="0" w:color="auto"/>
            </w:tcBorders>
          </w:tcPr>
          <w:p w14:paraId="0F0F05AC" w14:textId="0F2E380E" w:rsidR="0009034B" w:rsidRPr="00D82419" w:rsidDel="00C13246"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0560</w:t>
            </w:r>
          </w:p>
        </w:tc>
        <w:tc>
          <w:tcPr>
            <w:tcW w:w="7512" w:type="dxa"/>
            <w:tcBorders>
              <w:top w:val="single" w:sz="4" w:space="0" w:color="auto"/>
              <w:left w:val="single" w:sz="4" w:space="0" w:color="auto"/>
              <w:bottom w:val="single" w:sz="4" w:space="0" w:color="auto"/>
              <w:right w:val="single" w:sz="4" w:space="0" w:color="auto"/>
            </w:tcBorders>
          </w:tcPr>
          <w:p w14:paraId="5FA7A1D6" w14:textId="2372EE46" w:rsidR="00AF19C5" w:rsidRPr="00D82419" w:rsidRDefault="0073666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noProof/>
                <w:sz w:val="24"/>
              </w:rPr>
              <w:t>Neto procentu likmju pozīcija ar atvasinātajiem instrumentiem</w:t>
            </w:r>
          </w:p>
          <w:p w14:paraId="4E5947AA" w14:textId="53D59421" w:rsidR="0009034B" w:rsidRPr="00D82419" w:rsidRDefault="003A3138"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Visi aktīvi un saistības, tostarp </w:t>
            </w:r>
            <w:r>
              <w:rPr>
                <w:noProof/>
              </w:rPr>
              <w:t xml:space="preserve">ārpusbilances riska darījumi un </w:t>
            </w:r>
            <w:r>
              <w:rPr>
                <w:rStyle w:val="InstructionsTabelleberschrift"/>
                <w:rFonts w:ascii="Times New Roman" w:hAnsi="Times New Roman"/>
                <w:b w:val="0"/>
                <w:noProof/>
                <w:sz w:val="24"/>
                <w:u w:val="none"/>
              </w:rPr>
              <w:t>procentu likmju atvasinātie instrumenti.</w:t>
            </w:r>
          </w:p>
        </w:tc>
      </w:tr>
      <w:tr w:rsidR="00741F94" w:rsidRPr="00D82419" w14:paraId="17E69CB4" w14:textId="77777777" w:rsidTr="00CB270D">
        <w:tc>
          <w:tcPr>
            <w:tcW w:w="1276" w:type="dxa"/>
            <w:tcBorders>
              <w:top w:val="single" w:sz="4" w:space="0" w:color="auto"/>
              <w:left w:val="single" w:sz="4" w:space="0" w:color="auto"/>
              <w:bottom w:val="single" w:sz="4" w:space="0" w:color="auto"/>
              <w:right w:val="single" w:sz="4" w:space="0" w:color="auto"/>
            </w:tcBorders>
          </w:tcPr>
          <w:p w14:paraId="493F68F4" w14:textId="2C6A915C" w:rsidR="00741F94" w:rsidRPr="00D82419" w:rsidDel="001D16D7"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0570</w:t>
            </w:r>
          </w:p>
        </w:tc>
        <w:tc>
          <w:tcPr>
            <w:tcW w:w="7512" w:type="dxa"/>
            <w:tcBorders>
              <w:top w:val="single" w:sz="4" w:space="0" w:color="auto"/>
              <w:left w:val="single" w:sz="4" w:space="0" w:color="auto"/>
              <w:bottom w:val="single" w:sz="4" w:space="0" w:color="auto"/>
              <w:right w:val="single" w:sz="4" w:space="0" w:color="auto"/>
            </w:tcBorders>
          </w:tcPr>
          <w:p w14:paraId="5074E4A3" w14:textId="2CD2D4ED" w:rsidR="001D2293" w:rsidRPr="00D82419" w:rsidRDefault="001D229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Kopā aktīvi ar ietekmi uz tirgus vērtību</w:t>
            </w:r>
          </w:p>
          <w:p w14:paraId="3C8D6849" w14:textId="5454D1CD" w:rsidR="00741F94" w:rsidRPr="00D82419" w:rsidRDefault="0033679B" w:rsidP="003C575D">
            <w:pPr>
              <w:pStyle w:val="InstructionsText"/>
              <w:rPr>
                <w:rStyle w:val="InstructionsTabelleberschrift"/>
                <w:rFonts w:ascii="Times New Roman" w:hAnsi="Times New Roman"/>
                <w:b w:val="0"/>
                <w:bCs w:val="0"/>
                <w:noProof/>
                <w:sz w:val="24"/>
                <w:u w:val="none"/>
              </w:rPr>
            </w:pPr>
            <w:r>
              <w:rPr>
                <w:noProof/>
              </w:rPr>
              <w:t>Kopā aktīvi, ja tirgus vērtības izmaiņas attiecas uz peļņu vai zaudējumiem vai pašu kapitālu, izņemot ar grāmatvedību nesaistītus riska ierobežošanas atvasinātos instrumentus, kas uzrādīti 0530. rindā. Iestādēm, kas piemēro SFPS saskaņā ar Eiropas Parlamenta un Padomes Regulu (EK) Nr.</w:t>
            </w:r>
            <w:r w:rsidR="000501CB">
              <w:rPr>
                <w:noProof/>
              </w:rPr>
              <w:t> </w:t>
            </w:r>
            <w:r>
              <w:rPr>
                <w:noProof/>
              </w:rPr>
              <w:t>1606/2002</w:t>
            </w:r>
            <w:r w:rsidR="00D3693A">
              <w:rPr>
                <w:rStyle w:val="FootnoteReference"/>
                <w:noProof/>
                <w:lang w:val="en-US"/>
              </w:rPr>
              <w:footnoteReference w:id="5"/>
            </w:r>
            <w:r>
              <w:rPr>
                <w:noProof/>
              </w:rPr>
              <w:t>, banku portfeļa aktīvi, kurus uzskaita patiesajā vērtībā saskaņā ar piemērojamo grāmatvedības regulējumu (ar atspoguļojumu peļņā vai zaudējumos vai pārējos apvienotajos ienākumos), kopā ar parāda vērtspapīriem un citiem instrumentiem, kas uzrādīti amortizētajā iegādes vērtībā un kam piemēro patiesās vērtības riska ierobežošanas uzskaiti. Šajā iedaļā uzrāda atvasinātos instrumentus aktīvu riska ierobežošanai banku portfelī saskaņā ar riska ierobežošanas uzskaites režīmu, izņemot efektīvo komponentu tiem grāmatvedības naudas plūsmas riska ierobežošanas atvasinātajiem instrumentiem, kas ierobežo amortizētās iegādes vērtības posteņu risku un minēti Regulas (ES) Nr. 575/2013 33. panta 1. punkta a)</w:t>
            </w:r>
            <w:r w:rsidR="000501CB">
              <w:rPr>
                <w:noProof/>
              </w:rPr>
              <w:t> </w:t>
            </w:r>
            <w:r>
              <w:rPr>
                <w:noProof/>
              </w:rPr>
              <w:t>apakšpunktā.</w:t>
            </w:r>
          </w:p>
        </w:tc>
      </w:tr>
      <w:tr w:rsidR="002867FC" w:rsidRPr="00D82419" w14:paraId="0B3DA88C" w14:textId="77777777" w:rsidTr="00CB270D">
        <w:tc>
          <w:tcPr>
            <w:tcW w:w="1276" w:type="dxa"/>
            <w:tcBorders>
              <w:top w:val="single" w:sz="4" w:space="0" w:color="auto"/>
              <w:left w:val="single" w:sz="4" w:space="0" w:color="auto"/>
              <w:bottom w:val="single" w:sz="4" w:space="0" w:color="auto"/>
              <w:right w:val="single" w:sz="4" w:space="0" w:color="auto"/>
            </w:tcBorders>
          </w:tcPr>
          <w:p w14:paraId="05165340" w14:textId="21051570"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0580</w:t>
            </w:r>
          </w:p>
        </w:tc>
        <w:tc>
          <w:tcPr>
            <w:tcW w:w="7512" w:type="dxa"/>
            <w:tcBorders>
              <w:top w:val="single" w:sz="4" w:space="0" w:color="auto"/>
              <w:left w:val="single" w:sz="4" w:space="0" w:color="auto"/>
              <w:bottom w:val="single" w:sz="4" w:space="0" w:color="auto"/>
              <w:right w:val="single" w:sz="4" w:space="0" w:color="auto"/>
            </w:tcBorders>
          </w:tcPr>
          <w:p w14:paraId="6D030512" w14:textId="1CD5A301"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Parāda vērtspapīri</w:t>
            </w:r>
          </w:p>
          <w:p w14:paraId="2EF51544" w14:textId="630CA150" w:rsidR="006D2D2D" w:rsidRPr="00D82419" w:rsidRDefault="00855A8F" w:rsidP="003C575D">
            <w:pPr>
              <w:pStyle w:val="InstructionsText"/>
              <w:rPr>
                <w:rStyle w:val="InstructionsTabelleberschrift"/>
                <w:rFonts w:ascii="Times New Roman" w:hAnsi="Times New Roman"/>
                <w:b w:val="0"/>
                <w:noProof/>
                <w:sz w:val="24"/>
                <w:u w:val="none"/>
              </w:rPr>
            </w:pPr>
            <w:r>
              <w:rPr>
                <w:noProof/>
              </w:rPr>
              <w:t>Parāda vērtspapīri, ja tirgus vērtības izmaiņas attiecas uz peļņu vai zaudējumiem vai pašu kapitālu. Tas ietver parāda vērtspapīrus patiesajā vērtībā kopā ar parāda vērtspapīriem, kas uzrādīti amortizētajā iegādes vērtībā un kam piemēro patiesās vērtības uzskaites riska ierobežošanu.</w:t>
            </w:r>
          </w:p>
        </w:tc>
      </w:tr>
      <w:tr w:rsidR="002867FC" w:rsidRPr="00D82419" w14:paraId="5370A16B" w14:textId="77777777" w:rsidTr="00CB270D">
        <w:tc>
          <w:tcPr>
            <w:tcW w:w="1276" w:type="dxa"/>
            <w:tcBorders>
              <w:top w:val="single" w:sz="4" w:space="0" w:color="auto"/>
              <w:left w:val="single" w:sz="4" w:space="0" w:color="auto"/>
              <w:bottom w:val="single" w:sz="4" w:space="0" w:color="auto"/>
              <w:right w:val="single" w:sz="4" w:space="0" w:color="auto"/>
            </w:tcBorders>
          </w:tcPr>
          <w:p w14:paraId="5777CA57" w14:textId="32DCFAAE"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0590</w:t>
            </w:r>
          </w:p>
        </w:tc>
        <w:tc>
          <w:tcPr>
            <w:tcW w:w="7512" w:type="dxa"/>
            <w:tcBorders>
              <w:top w:val="single" w:sz="4" w:space="0" w:color="auto"/>
              <w:left w:val="single" w:sz="4" w:space="0" w:color="auto"/>
              <w:bottom w:val="single" w:sz="4" w:space="0" w:color="auto"/>
              <w:right w:val="single" w:sz="4" w:space="0" w:color="auto"/>
            </w:tcBorders>
          </w:tcPr>
          <w:p w14:paraId="1591F46E" w14:textId="090B7997"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Atvasināti instrumenti</w:t>
            </w:r>
          </w:p>
          <w:p w14:paraId="00FE0B0D" w14:textId="5AF9E87E" w:rsidR="000A3491" w:rsidRPr="00D82419" w:rsidRDefault="000A3491"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Atvasinātie instrumenti, kā definēts Regulas (ES) Nr. 600/2014 2. panta 1. punkta 29) apakšpunktā.</w:t>
            </w:r>
            <w:r>
              <w:rPr>
                <w:rStyle w:val="InstructionsTabelleberschrift"/>
                <w:rFonts w:ascii="Times New Roman" w:hAnsi="Times New Roman"/>
                <w:noProof/>
                <w:sz w:val="24"/>
                <w:u w:val="none"/>
              </w:rPr>
              <w:t xml:space="preserve"> </w:t>
            </w:r>
          </w:p>
          <w:p w14:paraId="200AA535" w14:textId="40590E67" w:rsidR="002867FC" w:rsidRPr="00D82419" w:rsidRDefault="00D71CFD" w:rsidP="003C575D">
            <w:pPr>
              <w:pStyle w:val="InstructionsText"/>
              <w:rPr>
                <w:rStyle w:val="InstructionsTabelleberschrift"/>
                <w:rFonts w:ascii="Times New Roman" w:hAnsi="Times New Roman"/>
                <w:noProof/>
                <w:sz w:val="24"/>
                <w:u w:val="none"/>
              </w:rPr>
            </w:pPr>
            <w:r>
              <w:rPr>
                <w:noProof/>
              </w:rPr>
              <w:t>Šajā rindā uzrāda atvasinātos instrumentus aktīvu riska ierobežošanai, uz kuriem attiecas riska ierobežošanas uzskaites režīms, izņemot tos atvasinātos instrumentus, kas paredzēti naudas plūsmas riska ierobežošanai, lai ierobežotu amortizētās iegādes vērtības posteņu risku.</w:t>
            </w:r>
          </w:p>
        </w:tc>
      </w:tr>
      <w:tr w:rsidR="002867FC" w:rsidRPr="00D82419" w14:paraId="326006EE" w14:textId="77777777" w:rsidTr="00CB270D">
        <w:tc>
          <w:tcPr>
            <w:tcW w:w="1276" w:type="dxa"/>
            <w:tcBorders>
              <w:top w:val="single" w:sz="4" w:space="0" w:color="auto"/>
              <w:left w:val="single" w:sz="4" w:space="0" w:color="auto"/>
              <w:bottom w:val="single" w:sz="4" w:space="0" w:color="auto"/>
              <w:right w:val="single" w:sz="4" w:space="0" w:color="auto"/>
            </w:tcBorders>
          </w:tcPr>
          <w:p w14:paraId="22ED646F" w14:textId="2B828D8C"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0600</w:t>
            </w:r>
          </w:p>
        </w:tc>
        <w:tc>
          <w:tcPr>
            <w:tcW w:w="7512" w:type="dxa"/>
            <w:tcBorders>
              <w:top w:val="single" w:sz="4" w:space="0" w:color="auto"/>
              <w:left w:val="single" w:sz="4" w:space="0" w:color="auto"/>
              <w:bottom w:val="single" w:sz="4" w:space="0" w:color="auto"/>
              <w:right w:val="single" w:sz="4" w:space="0" w:color="auto"/>
            </w:tcBorders>
          </w:tcPr>
          <w:p w14:paraId="22C69A7C" w14:textId="680CD727"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Citi</w:t>
            </w:r>
          </w:p>
          <w:p w14:paraId="1BFC1FE3" w14:textId="338A5D16" w:rsidR="002867FC" w:rsidRPr="00D82419" w:rsidRDefault="002867FC" w:rsidP="003C575D">
            <w:pPr>
              <w:pStyle w:val="InstructionsText"/>
              <w:rPr>
                <w:rStyle w:val="InstructionsTabelleberschrift"/>
                <w:rFonts w:ascii="Times New Roman" w:hAnsi="Times New Roman"/>
                <w:b w:val="0"/>
                <w:bCs w:val="0"/>
                <w:noProof/>
                <w:sz w:val="24"/>
                <w:u w:val="none"/>
              </w:rPr>
            </w:pPr>
            <w:r>
              <w:rPr>
                <w:noProof/>
              </w:rPr>
              <w:t>Citi aktīvi patiesajā vērtībā kopā ar citiem aktīviem amortizētajā iegādes vērtībā, kam piemēro patiesās vērtības riska ierobežošanas uzskaiti.</w:t>
            </w:r>
          </w:p>
        </w:tc>
      </w:tr>
      <w:tr w:rsidR="002867FC" w:rsidRPr="00D82419" w14:paraId="71CDBF7D" w14:textId="77777777" w:rsidTr="00CB270D">
        <w:tc>
          <w:tcPr>
            <w:tcW w:w="1276" w:type="dxa"/>
            <w:tcBorders>
              <w:top w:val="single" w:sz="4" w:space="0" w:color="auto"/>
              <w:left w:val="single" w:sz="4" w:space="0" w:color="auto"/>
              <w:bottom w:val="single" w:sz="4" w:space="0" w:color="auto"/>
              <w:right w:val="single" w:sz="4" w:space="0" w:color="auto"/>
            </w:tcBorders>
          </w:tcPr>
          <w:p w14:paraId="28F6AC88" w14:textId="3FC9C123"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0610</w:t>
            </w:r>
          </w:p>
        </w:tc>
        <w:tc>
          <w:tcPr>
            <w:tcW w:w="7512" w:type="dxa"/>
            <w:tcBorders>
              <w:top w:val="single" w:sz="4" w:space="0" w:color="auto"/>
              <w:left w:val="single" w:sz="4" w:space="0" w:color="auto"/>
              <w:bottom w:val="single" w:sz="4" w:space="0" w:color="auto"/>
              <w:right w:val="single" w:sz="4" w:space="0" w:color="auto"/>
            </w:tcBorders>
          </w:tcPr>
          <w:p w14:paraId="70D6BE53" w14:textId="312D5BE8"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Kopā saistības ar ietekmi uz tirgus vērtību</w:t>
            </w:r>
          </w:p>
          <w:p w14:paraId="1AB95EED" w14:textId="77777777" w:rsidR="00D71CFD" w:rsidRPr="00D82419" w:rsidRDefault="00D71CFD" w:rsidP="00430DF0">
            <w:pPr>
              <w:suppressAutoHyphens/>
              <w:spacing w:line="238" w:lineRule="auto"/>
              <w:ind w:left="1" w:right="60"/>
              <w:rPr>
                <w:rFonts w:ascii="Times New Roman" w:hAnsi="Times New Roman"/>
                <w:noProof/>
                <w:sz w:val="24"/>
              </w:rPr>
            </w:pPr>
            <w:r>
              <w:rPr>
                <w:rFonts w:ascii="Times New Roman" w:hAnsi="Times New Roman"/>
                <w:noProof/>
                <w:sz w:val="24"/>
              </w:rPr>
              <w:t>Kopā saistības, ja tirgus vērtības izmaiņas attiecas uz peļņu vai zaudējumiem vai pašu kapitālu, izņemot ar grāmatvedību nesaistītus riska ierobežošanas atvasinātos instrumentus, kas uzrādīti 0530. rindā.</w:t>
            </w:r>
          </w:p>
          <w:p w14:paraId="7E6E8ABF" w14:textId="2E0D9203" w:rsidR="002867FC" w:rsidRPr="00D82419" w:rsidRDefault="00D71CFD" w:rsidP="003C575D">
            <w:pPr>
              <w:pStyle w:val="InstructionsText"/>
              <w:rPr>
                <w:rStyle w:val="InstructionsTabelleberschrift"/>
                <w:rFonts w:ascii="Times New Roman" w:hAnsi="Times New Roman"/>
                <w:noProof/>
                <w:sz w:val="24"/>
              </w:rPr>
            </w:pPr>
            <w:r>
              <w:rPr>
                <w:noProof/>
              </w:rPr>
              <w:t>Saistības, kas iegrāmatotas patiesajā vērtībā saskaņā ar piemērojamo grāmatvedības regulējumu (ar atspoguļojumu peļņā vai zaudējumos vai pārējos apvienotajos ienākumos), kopā ar emitētajiem parāda vērtspapīriem un citām saistībām, kas iegrāmatotas amortizētajā iegādes vērtībā un kam piemēro patiesās vērtības riska ierobežošanas uzskaiti. Šajā iedaļā uzrāda arī atvasinātos instrumentus saistību riska ierobežošanai saskaņā ar riska ierobežošanas uzskaites režīmu, izņemot efektīvo komponentu tiem grāmatvedības naudas plūsmas riska ierobežošanas atvasinātajiem instrumentiem, kas ierobežo amortizētās iegādes vērtības posteņu risku saskaņā ar Regulas (ES) Nr. 575/2013 33. panta 1. punkta a) apakšpunktu.</w:t>
            </w:r>
          </w:p>
        </w:tc>
      </w:tr>
      <w:tr w:rsidR="002867FC" w:rsidRPr="00D82419" w14:paraId="27FD700A" w14:textId="77777777" w:rsidTr="00CB270D">
        <w:tc>
          <w:tcPr>
            <w:tcW w:w="1276" w:type="dxa"/>
            <w:tcBorders>
              <w:top w:val="single" w:sz="4" w:space="0" w:color="auto"/>
              <w:left w:val="single" w:sz="4" w:space="0" w:color="auto"/>
              <w:bottom w:val="single" w:sz="4" w:space="0" w:color="auto"/>
              <w:right w:val="single" w:sz="4" w:space="0" w:color="auto"/>
            </w:tcBorders>
          </w:tcPr>
          <w:p w14:paraId="7D381338" w14:textId="7032D970"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0620</w:t>
            </w:r>
          </w:p>
        </w:tc>
        <w:tc>
          <w:tcPr>
            <w:tcW w:w="7512" w:type="dxa"/>
            <w:tcBorders>
              <w:top w:val="single" w:sz="4" w:space="0" w:color="auto"/>
              <w:left w:val="single" w:sz="4" w:space="0" w:color="auto"/>
              <w:bottom w:val="single" w:sz="4" w:space="0" w:color="auto"/>
              <w:right w:val="single" w:sz="4" w:space="0" w:color="auto"/>
            </w:tcBorders>
          </w:tcPr>
          <w:p w14:paraId="71A747D4" w14:textId="619827CA"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Emitētie parāda vērtspapīri</w:t>
            </w:r>
          </w:p>
          <w:p w14:paraId="4BAC31C0" w14:textId="62EC4A5E" w:rsidR="00C856CF" w:rsidRPr="00D82419" w:rsidRDefault="002867FC" w:rsidP="003C575D">
            <w:pPr>
              <w:pStyle w:val="InstructionsText"/>
              <w:rPr>
                <w:rStyle w:val="InstructionsTabelleberschrift"/>
                <w:rFonts w:ascii="Times New Roman" w:hAnsi="Times New Roman"/>
                <w:b w:val="0"/>
                <w:noProof/>
                <w:sz w:val="24"/>
                <w:u w:val="none"/>
              </w:rPr>
            </w:pPr>
            <w:r>
              <w:rPr>
                <w:noProof/>
              </w:rPr>
              <w:t xml:space="preserve">Parāda vērtspapīri, ko iestāde emitējusi </w:t>
            </w:r>
            <w:r>
              <w:rPr>
                <w:rStyle w:val="InstructionsTabelleberschrift"/>
                <w:rFonts w:ascii="Times New Roman" w:hAnsi="Times New Roman"/>
                <w:b w:val="0"/>
                <w:noProof/>
                <w:sz w:val="24"/>
                <w:u w:val="none"/>
              </w:rPr>
              <w:t xml:space="preserve">kā vērtspapīrus un kas nav noguldījumi, kā definēts </w:t>
            </w:r>
            <w:r>
              <w:rPr>
                <w:noProof/>
              </w:rPr>
              <w:t xml:space="preserve">šīs regulas </w:t>
            </w:r>
            <w:r>
              <w:rPr>
                <w:rStyle w:val="InstructionsTabelleberschrift"/>
                <w:rFonts w:ascii="Times New Roman" w:hAnsi="Times New Roman"/>
                <w:b w:val="0"/>
                <w:noProof/>
                <w:sz w:val="24"/>
                <w:u w:val="none"/>
              </w:rPr>
              <w:t xml:space="preserve">V pielikuma 1. daļas 37. punktā, un ko </w:t>
            </w:r>
            <w:r>
              <w:rPr>
                <w:noProof/>
              </w:rPr>
              <w:t>uzskaita, ja tirgus vērtības izmaiņas attiecas uz peļņu vai zaudējumiem vai pašu kapitālu.</w:t>
            </w:r>
          </w:p>
        </w:tc>
      </w:tr>
      <w:tr w:rsidR="002867FC" w:rsidRPr="00D82419" w14:paraId="743169F2" w14:textId="77777777" w:rsidTr="00CB270D">
        <w:tc>
          <w:tcPr>
            <w:tcW w:w="1276" w:type="dxa"/>
            <w:tcBorders>
              <w:top w:val="single" w:sz="4" w:space="0" w:color="auto"/>
              <w:left w:val="single" w:sz="4" w:space="0" w:color="auto"/>
              <w:bottom w:val="single" w:sz="4" w:space="0" w:color="auto"/>
              <w:right w:val="single" w:sz="4" w:space="0" w:color="auto"/>
            </w:tcBorders>
          </w:tcPr>
          <w:p w14:paraId="40BFE894" w14:textId="69CC7F9E" w:rsidR="002867FC" w:rsidRPr="00D82419" w:rsidRDefault="002867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0630</w:t>
            </w:r>
          </w:p>
        </w:tc>
        <w:tc>
          <w:tcPr>
            <w:tcW w:w="7512" w:type="dxa"/>
            <w:tcBorders>
              <w:top w:val="single" w:sz="4" w:space="0" w:color="auto"/>
              <w:left w:val="single" w:sz="4" w:space="0" w:color="auto"/>
              <w:bottom w:val="single" w:sz="4" w:space="0" w:color="auto"/>
              <w:right w:val="single" w:sz="4" w:space="0" w:color="auto"/>
            </w:tcBorders>
          </w:tcPr>
          <w:p w14:paraId="0ED08E23" w14:textId="4E023BED"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Atvasināti instrumenti</w:t>
            </w:r>
          </w:p>
          <w:p w14:paraId="50E7B932" w14:textId="2CADDE44" w:rsidR="00217697" w:rsidRPr="00D82419" w:rsidRDefault="00217697" w:rsidP="003C575D">
            <w:pPr>
              <w:pStyle w:val="InstructionsText"/>
              <w:rPr>
                <w:rStyle w:val="InstructionsTabelleberschrift"/>
                <w:rFonts w:ascii="Times New Roman" w:hAnsi="Times New Roman"/>
                <w:noProof/>
                <w:sz w:val="24"/>
                <w:u w:val="none"/>
              </w:rPr>
            </w:pPr>
            <w:r>
              <w:rPr>
                <w:rStyle w:val="InstructionsTabelleberschrift"/>
                <w:rFonts w:ascii="Times New Roman" w:hAnsi="Times New Roman"/>
                <w:b w:val="0"/>
                <w:noProof/>
                <w:sz w:val="24"/>
                <w:u w:val="none"/>
              </w:rPr>
              <w:t>Atvasinātie instrumenti, kā definēts Regulas (ES) Nr. 600/2014 2. panta 1. punkta 29) apakšpunktā.</w:t>
            </w:r>
            <w:r>
              <w:rPr>
                <w:rStyle w:val="InstructionsTabelleberschrift"/>
                <w:rFonts w:ascii="Times New Roman" w:hAnsi="Times New Roman"/>
                <w:noProof/>
                <w:sz w:val="24"/>
                <w:u w:val="none"/>
              </w:rPr>
              <w:t xml:space="preserve"> </w:t>
            </w:r>
          </w:p>
          <w:p w14:paraId="4721BBE0" w14:textId="2534AD8C" w:rsidR="00217697" w:rsidRPr="00D82419" w:rsidRDefault="00D71CFD" w:rsidP="003C575D">
            <w:pPr>
              <w:pStyle w:val="InstructionsText"/>
              <w:rPr>
                <w:noProof/>
              </w:rPr>
            </w:pPr>
            <w:r>
              <w:rPr>
                <w:noProof/>
              </w:rPr>
              <w:t>Iestādes šajā iedaļā uzrāda atvasinātos instrumentus saistību riska ierobežošanai saskaņā ar riska ierobežošanas uzskaites režīmu, izņemot tos atvasinātos instrumentus, kas paredzēti kā naudas plūsmas riska ierobežošana, lai ierobežotu amortizētās iegādes vērtības posteņus.</w:t>
            </w:r>
          </w:p>
        </w:tc>
      </w:tr>
      <w:tr w:rsidR="002867FC" w:rsidRPr="00D82419" w14:paraId="523BC217" w14:textId="77777777" w:rsidTr="00CB270D">
        <w:tc>
          <w:tcPr>
            <w:tcW w:w="1276" w:type="dxa"/>
            <w:tcBorders>
              <w:top w:val="single" w:sz="4" w:space="0" w:color="auto"/>
              <w:left w:val="single" w:sz="4" w:space="0" w:color="auto"/>
              <w:bottom w:val="single" w:sz="4" w:space="0" w:color="auto"/>
              <w:right w:val="single" w:sz="4" w:space="0" w:color="auto"/>
            </w:tcBorders>
          </w:tcPr>
          <w:p w14:paraId="26BA667F" w14:textId="0432B819" w:rsidR="002867FC" w:rsidRPr="00D82419" w:rsidRDefault="002867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0640</w:t>
            </w:r>
          </w:p>
        </w:tc>
        <w:tc>
          <w:tcPr>
            <w:tcW w:w="7512" w:type="dxa"/>
            <w:tcBorders>
              <w:top w:val="single" w:sz="4" w:space="0" w:color="auto"/>
              <w:left w:val="single" w:sz="4" w:space="0" w:color="auto"/>
              <w:bottom w:val="single" w:sz="4" w:space="0" w:color="auto"/>
              <w:right w:val="single" w:sz="4" w:space="0" w:color="auto"/>
            </w:tcBorders>
          </w:tcPr>
          <w:p w14:paraId="049BF2BA" w14:textId="2AC3000F" w:rsidR="00684CE6" w:rsidRPr="00D82419" w:rsidRDefault="00684CE6"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Citas</w:t>
            </w:r>
          </w:p>
          <w:p w14:paraId="4D8DC141" w14:textId="70F29B57" w:rsidR="002867FC" w:rsidRPr="00D82419" w:rsidRDefault="002867FC" w:rsidP="003C575D">
            <w:pPr>
              <w:pStyle w:val="InstructionsText"/>
              <w:rPr>
                <w:rStyle w:val="InstructionsTabelleberschrift"/>
                <w:rFonts w:ascii="Times New Roman" w:hAnsi="Times New Roman"/>
                <w:b w:val="0"/>
                <w:bCs w:val="0"/>
                <w:noProof/>
                <w:sz w:val="24"/>
                <w:u w:val="none"/>
              </w:rPr>
            </w:pPr>
            <w:r>
              <w:rPr>
                <w:noProof/>
              </w:rPr>
              <w:t>Citas saistības patiesajā vērtībā kopā ar citām saistībām amortizētajā iegādes vērtībā, kam piemēro patiesās vērtības riska ierobežošanas uzskaiti.</w:t>
            </w:r>
          </w:p>
        </w:tc>
      </w:tr>
    </w:tbl>
    <w:p w14:paraId="25EBEDF0" w14:textId="1A54DBA0" w:rsidR="00F02616" w:rsidRPr="00D82419" w:rsidRDefault="00F02616" w:rsidP="00430DF0">
      <w:pPr>
        <w:suppressAutoHyphens/>
        <w:spacing w:after="0"/>
        <w:rPr>
          <w:rFonts w:ascii="Times New Roman" w:hAnsi="Times New Roman"/>
          <w:noProof/>
          <w:sz w:val="24"/>
        </w:rPr>
      </w:pPr>
    </w:p>
    <w:p w14:paraId="7791B105" w14:textId="4EF32722" w:rsidR="00DD00B4" w:rsidRPr="00D82419" w:rsidRDefault="00DD00B4" w:rsidP="00430DF0">
      <w:pPr>
        <w:suppressAutoHyphens/>
        <w:spacing w:after="0"/>
        <w:rPr>
          <w:rStyle w:val="InstructionsTabelleText"/>
          <w:rFonts w:ascii="Times New Roman" w:hAnsi="Times New Roman"/>
          <w:noProof/>
          <w:sz w:val="24"/>
        </w:rPr>
      </w:pPr>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308"/>
      </w:tblGrid>
      <w:tr w:rsidR="00DE4D5E" w:rsidRPr="00D82419" w14:paraId="74EEFDB7" w14:textId="77777777" w:rsidTr="00466F09">
        <w:tc>
          <w:tcPr>
            <w:tcW w:w="1701" w:type="dxa"/>
            <w:shd w:val="clear" w:color="auto" w:fill="D9D9D9" w:themeFill="background1" w:themeFillShade="D9"/>
          </w:tcPr>
          <w:p w14:paraId="3C4B2978" w14:textId="77777777" w:rsidR="00DE4D5E" w:rsidRPr="00D82419" w:rsidRDefault="00DE4D5E" w:rsidP="003C575D">
            <w:pPr>
              <w:pStyle w:val="InstructionsText"/>
              <w:rPr>
                <w:rStyle w:val="InstructionsTabelleText"/>
                <w:rFonts w:ascii="Times New Roman" w:hAnsi="Times New Roman"/>
                <w:noProof/>
                <w:sz w:val="24"/>
              </w:rPr>
            </w:pPr>
            <w:r>
              <w:rPr>
                <w:rStyle w:val="InstructionsTabelleText"/>
                <w:rFonts w:ascii="Times New Roman" w:hAnsi="Times New Roman"/>
                <w:noProof/>
                <w:sz w:val="24"/>
              </w:rPr>
              <w:t>Slejas</w:t>
            </w:r>
          </w:p>
        </w:tc>
        <w:tc>
          <w:tcPr>
            <w:tcW w:w="7308" w:type="dxa"/>
            <w:shd w:val="clear" w:color="auto" w:fill="D9D9D9" w:themeFill="background1" w:themeFillShade="D9"/>
          </w:tcPr>
          <w:p w14:paraId="2A82BF3B" w14:textId="77777777" w:rsidR="00DE4D5E" w:rsidRPr="00D82419" w:rsidRDefault="00DE4D5E" w:rsidP="003C575D">
            <w:pPr>
              <w:pStyle w:val="InstructionsText"/>
              <w:rPr>
                <w:rStyle w:val="InstructionsTabelleText"/>
                <w:rFonts w:ascii="Times New Roman" w:hAnsi="Times New Roman"/>
                <w:noProof/>
                <w:sz w:val="24"/>
              </w:rPr>
            </w:pPr>
            <w:r>
              <w:rPr>
                <w:rStyle w:val="InstructionsTabelleText"/>
                <w:rFonts w:ascii="Times New Roman" w:hAnsi="Times New Roman"/>
                <w:noProof/>
                <w:sz w:val="24"/>
              </w:rPr>
              <w:t>Atsauces uz tiesību aktiem un norādes</w:t>
            </w:r>
          </w:p>
        </w:tc>
      </w:tr>
      <w:tr w:rsidR="0020221E" w:rsidRPr="00D82419" w14:paraId="6332F4DC" w14:textId="77777777" w:rsidTr="00466F09">
        <w:tc>
          <w:tcPr>
            <w:tcW w:w="1701" w:type="dxa"/>
            <w:shd w:val="clear" w:color="auto" w:fill="auto"/>
          </w:tcPr>
          <w:p w14:paraId="51E6FC62" w14:textId="3666E55F" w:rsidR="0020221E" w:rsidRPr="00D82419" w:rsidRDefault="0020221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308" w:type="dxa"/>
            <w:shd w:val="clear" w:color="auto" w:fill="auto"/>
          </w:tcPr>
          <w:p w14:paraId="414B91EC" w14:textId="77777777" w:rsidR="002D30D8" w:rsidRPr="00D82419" w:rsidRDefault="002D30D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Uzskaites vērtība</w:t>
            </w:r>
          </w:p>
          <w:p w14:paraId="256D0A5A" w14:textId="61AE7FD8" w:rsidR="0020221E" w:rsidRPr="00D82419" w:rsidRDefault="00766444" w:rsidP="003C575D">
            <w:pPr>
              <w:pStyle w:val="InstructionsText"/>
              <w:rPr>
                <w:rStyle w:val="FormatvorlageInstructionsTabelleText"/>
                <w:rFonts w:ascii="Times New Roman" w:hAnsi="Times New Roman"/>
                <w:b/>
                <w:bCs w:val="0"/>
                <w:noProof/>
                <w:sz w:val="24"/>
                <w:u w:val="single"/>
              </w:rPr>
            </w:pPr>
            <w:r>
              <w:rPr>
                <w:rStyle w:val="InstructionsTabelleberschrift"/>
                <w:rFonts w:ascii="Times New Roman" w:hAnsi="Times New Roman"/>
                <w:b w:val="0"/>
                <w:noProof/>
                <w:sz w:val="24"/>
                <w:u w:val="none"/>
              </w:rPr>
              <w:t xml:space="preserve">Šīs </w:t>
            </w:r>
            <w:r>
              <w:rPr>
                <w:noProof/>
              </w:rPr>
              <w:t>regulas V pielikuma 1. daļas 27. punkts</w:t>
            </w:r>
            <w:r>
              <w:rPr>
                <w:rStyle w:val="InstructionsTabelleberschrift"/>
                <w:rFonts w:ascii="Times New Roman" w:hAnsi="Times New Roman"/>
                <w:b w:val="0"/>
                <w:noProof/>
                <w:sz w:val="24"/>
                <w:u w:val="none"/>
              </w:rPr>
              <w:t>.</w:t>
            </w:r>
          </w:p>
        </w:tc>
      </w:tr>
      <w:tr w:rsidR="0020221E" w:rsidRPr="00D82419" w14:paraId="5F1440C3" w14:textId="77777777" w:rsidTr="00466F09">
        <w:tc>
          <w:tcPr>
            <w:tcW w:w="1701" w:type="dxa"/>
            <w:shd w:val="clear" w:color="auto" w:fill="auto"/>
          </w:tcPr>
          <w:p w14:paraId="55FE2AE0" w14:textId="79BE3587" w:rsidR="0020221E" w:rsidRPr="00D82419" w:rsidRDefault="0020221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308" w:type="dxa"/>
            <w:shd w:val="clear" w:color="auto" w:fill="auto"/>
          </w:tcPr>
          <w:p w14:paraId="0E9EABEF" w14:textId="77777777" w:rsidR="0020221E" w:rsidRPr="00D82419" w:rsidRDefault="00845A45" w:rsidP="003C575D">
            <w:pPr>
              <w:pStyle w:val="InstructionsText"/>
              <w:rPr>
                <w:rStyle w:val="FormatvorlageInstructionsTabelleText"/>
                <w:rFonts w:ascii="Times New Roman" w:hAnsi="Times New Roman"/>
                <w:b/>
                <w:bCs w:val="0"/>
                <w:noProof/>
                <w:sz w:val="24"/>
                <w:u w:val="single"/>
              </w:rPr>
            </w:pPr>
            <w:r>
              <w:rPr>
                <w:rStyle w:val="FormatvorlageInstructionsTabelleText"/>
                <w:rFonts w:ascii="Times New Roman" w:hAnsi="Times New Roman"/>
                <w:b/>
                <w:noProof/>
                <w:sz w:val="24"/>
                <w:u w:val="single"/>
              </w:rPr>
              <w:t>Ilgums</w:t>
            </w:r>
          </w:p>
          <w:p w14:paraId="0B50AF85" w14:textId="3C438F63" w:rsidR="0033679B" w:rsidRPr="00D82419" w:rsidRDefault="0005330F" w:rsidP="00430DF0">
            <w:pPr>
              <w:suppressAutoHyphens/>
              <w:spacing w:after="0" w:line="259" w:lineRule="auto"/>
              <w:ind w:left="2"/>
              <w:jc w:val="left"/>
              <w:rPr>
                <w:rFonts w:ascii="Times New Roman" w:hAnsi="Times New Roman"/>
                <w:noProof/>
                <w:sz w:val="24"/>
              </w:rPr>
            </w:pPr>
            <w:r>
              <w:rPr>
                <w:rFonts w:ascii="Times New Roman" w:hAnsi="Times New Roman"/>
                <w:noProof/>
                <w:sz w:val="24"/>
              </w:rPr>
              <w:t xml:space="preserve">Izmainīts ilgums (“Dmod”; uzrādīts gados), tostarp automātiska izvēles iespēja, ja: Dmod = - EV01 / (Ekonomiskā vērtība * 0,0001) </w:t>
            </w:r>
          </w:p>
          <w:p w14:paraId="12BFB1CA" w14:textId="316A4427" w:rsidR="00FC06C4" w:rsidRPr="00D82419" w:rsidRDefault="0033679B" w:rsidP="003C575D">
            <w:pPr>
              <w:pStyle w:val="InstructionsText"/>
              <w:rPr>
                <w:rStyle w:val="FormatvorlageInstructionsTabelleText"/>
                <w:rFonts w:ascii="Times New Roman" w:hAnsi="Times New Roman"/>
                <w:noProof/>
                <w:sz w:val="24"/>
              </w:rPr>
            </w:pPr>
            <w:r>
              <w:rPr>
                <w:noProof/>
              </w:rPr>
              <w:t>EV01 ir vienāds ar ekonomiskās vērtības a+1 bāzes punktu jutību (paralēls satricinājums).</w:t>
            </w:r>
          </w:p>
        </w:tc>
      </w:tr>
      <w:tr w:rsidR="00DE4D5E" w:rsidRPr="00D82419" w14:paraId="659E0F8D" w14:textId="77777777" w:rsidTr="00466F09">
        <w:tc>
          <w:tcPr>
            <w:tcW w:w="1701" w:type="dxa"/>
          </w:tcPr>
          <w:p w14:paraId="6D0DD35B" w14:textId="2A77B439" w:rsidR="00DE4D5E" w:rsidRPr="00D82419" w:rsidRDefault="006A580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0030-0090</w:t>
            </w:r>
          </w:p>
        </w:tc>
        <w:tc>
          <w:tcPr>
            <w:tcW w:w="7308" w:type="dxa"/>
          </w:tcPr>
          <w:p w14:paraId="4672288B" w14:textId="1CF64418" w:rsidR="00DE4D5E" w:rsidRPr="00D82419" w:rsidRDefault="00DE4D5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Pašu kapitāla ekonomiskā vērtība</w:t>
            </w:r>
          </w:p>
          <w:p w14:paraId="248A3849" w14:textId="21777469" w:rsidR="00DE4D5E" w:rsidRPr="00D82419" w:rsidRDefault="0061536B" w:rsidP="003C575D">
            <w:pPr>
              <w:pStyle w:val="InstructionsText"/>
              <w:rPr>
                <w:rStyle w:val="InstructionsTabelleberschrift"/>
                <w:rFonts w:ascii="Times New Roman" w:hAnsi="Times New Roman"/>
                <w:b w:val="0"/>
                <w:noProof/>
                <w:sz w:val="24"/>
                <w:u w:val="none"/>
              </w:rPr>
            </w:pPr>
            <w:r>
              <w:rPr>
                <w:noProof/>
              </w:rPr>
              <w:t>Iestādes ievēro tās pašas norādes, kas aprakstītas {J 01.00; r0010-r0090}.</w:t>
            </w:r>
          </w:p>
        </w:tc>
      </w:tr>
      <w:tr w:rsidR="00DE4D5E" w:rsidRPr="00D82419" w14:paraId="5013F5EE" w14:textId="77777777" w:rsidTr="00466F09">
        <w:tc>
          <w:tcPr>
            <w:tcW w:w="1701" w:type="dxa"/>
          </w:tcPr>
          <w:p w14:paraId="7BC7758D" w14:textId="4D49B9A3" w:rsidR="00DE4D5E" w:rsidRPr="00D82419" w:rsidRDefault="006A580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308" w:type="dxa"/>
          </w:tcPr>
          <w:p w14:paraId="2DF5A08E" w14:textId="621509C5" w:rsidR="00DE4D5E" w:rsidRPr="00D82419" w:rsidRDefault="001930C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i/>
                <w:noProof/>
                <w:sz w:val="24"/>
              </w:rPr>
              <w:t>EVE</w:t>
            </w:r>
            <w:r>
              <w:rPr>
                <w:rStyle w:val="InstructionsTabelleberschrift"/>
                <w:rFonts w:ascii="Times New Roman" w:hAnsi="Times New Roman"/>
                <w:noProof/>
                <w:sz w:val="24"/>
              </w:rPr>
              <w:t xml:space="preserve"> līmenis - Pamatscenārijs</w:t>
            </w:r>
          </w:p>
          <w:p w14:paraId="431D24A7" w14:textId="17FCE104" w:rsidR="00DE4D5E" w:rsidRPr="00D82419" w:rsidRDefault="00057D6D" w:rsidP="003C575D">
            <w:pPr>
              <w:pStyle w:val="InstructionsText"/>
              <w:rPr>
                <w:rStyle w:val="InstructionsTabelleberschrift"/>
                <w:rFonts w:ascii="Times New Roman" w:hAnsi="Times New Roman"/>
                <w:noProof/>
                <w:sz w:val="24"/>
              </w:rPr>
            </w:pPr>
            <w:r>
              <w:rPr>
                <w:noProof/>
              </w:rPr>
              <w:t>Iestādes ievēro tās pašas norādes, kas aprakstītas {J 01.00; r0030}.</w:t>
            </w:r>
          </w:p>
        </w:tc>
      </w:tr>
      <w:tr w:rsidR="00DE4D5E" w:rsidRPr="00D82419" w14:paraId="072F36D8" w14:textId="77777777" w:rsidTr="00466F09">
        <w:tc>
          <w:tcPr>
            <w:tcW w:w="1701" w:type="dxa"/>
          </w:tcPr>
          <w:p w14:paraId="28CE8E71" w14:textId="20636E45" w:rsidR="00DE4D5E" w:rsidRPr="00D82419" w:rsidRDefault="006A580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308" w:type="dxa"/>
          </w:tcPr>
          <w:p w14:paraId="482FFA49" w14:textId="55E14F1D" w:rsidR="00F22C91" w:rsidRPr="00D82419" w:rsidRDefault="0045709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 </w:t>
            </w:r>
            <w:r>
              <w:rPr>
                <w:rStyle w:val="InstructionsTabelleberschrift"/>
                <w:rFonts w:ascii="Times New Roman" w:hAnsi="Times New Roman"/>
                <w:i/>
                <w:noProof/>
                <w:sz w:val="24"/>
              </w:rPr>
              <w:t>EVE</w:t>
            </w:r>
            <w:r>
              <w:rPr>
                <w:rStyle w:val="InstructionsTabelleberschrift"/>
                <w:rFonts w:ascii="Times New Roman" w:hAnsi="Times New Roman"/>
                <w:noProof/>
                <w:sz w:val="24"/>
              </w:rPr>
              <w:t xml:space="preserve"> – Paralēls augšupvērsts satricinājums</w:t>
            </w:r>
          </w:p>
          <w:p w14:paraId="5B6685FE" w14:textId="68AFB2ED" w:rsidR="00DE4D5E" w:rsidRPr="00D82419" w:rsidRDefault="008963CC" w:rsidP="003C575D">
            <w:pPr>
              <w:pStyle w:val="InstructionsText"/>
              <w:rPr>
                <w:rStyle w:val="InstructionsTabelleberschrift"/>
                <w:rFonts w:ascii="Times New Roman" w:hAnsi="Times New Roman"/>
                <w:b w:val="0"/>
                <w:noProof/>
                <w:sz w:val="24"/>
                <w:u w:val="none"/>
              </w:rPr>
            </w:pPr>
            <w:r>
              <w:rPr>
                <w:noProof/>
              </w:rPr>
              <w:t>Iestādes ievēro tās pašas norādes, kas aprakstītas {J 01.00; r0040}.</w:t>
            </w:r>
          </w:p>
        </w:tc>
      </w:tr>
      <w:tr w:rsidR="00DE4D5E" w:rsidRPr="00D82419" w14:paraId="2EFC486B" w14:textId="77777777" w:rsidTr="00466F09">
        <w:tc>
          <w:tcPr>
            <w:tcW w:w="1701" w:type="dxa"/>
          </w:tcPr>
          <w:p w14:paraId="3957C094" w14:textId="218A0E8E" w:rsidR="00DE4D5E" w:rsidRPr="00D82419" w:rsidRDefault="006A580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308" w:type="dxa"/>
          </w:tcPr>
          <w:p w14:paraId="4E28478C" w14:textId="6522AFE1" w:rsidR="00F22C91" w:rsidRPr="00D82419" w:rsidRDefault="0045709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w:t>
            </w:r>
            <w:r>
              <w:rPr>
                <w:rStyle w:val="InstructionsTabelleberschrift"/>
                <w:rFonts w:ascii="Times New Roman" w:hAnsi="Times New Roman"/>
                <w:i/>
                <w:noProof/>
                <w:sz w:val="24"/>
              </w:rPr>
              <w:t>EVE</w:t>
            </w:r>
            <w:r>
              <w:rPr>
                <w:rStyle w:val="InstructionsTabelleberschrift"/>
                <w:rFonts w:ascii="Times New Roman" w:hAnsi="Times New Roman"/>
                <w:noProof/>
                <w:sz w:val="24"/>
              </w:rPr>
              <w:t xml:space="preserve"> – Paralēls lejupvērsts satricinājums</w:t>
            </w:r>
          </w:p>
          <w:p w14:paraId="39312F9C" w14:textId="6C869EDF" w:rsidR="00DE4D5E" w:rsidRPr="00D82419" w:rsidRDefault="0045709F" w:rsidP="003C575D">
            <w:pPr>
              <w:pStyle w:val="InstructionsText"/>
              <w:rPr>
                <w:rStyle w:val="InstructionsTabelleberschrift"/>
                <w:rFonts w:ascii="Times New Roman" w:hAnsi="Times New Roman"/>
                <w:noProof/>
                <w:sz w:val="24"/>
              </w:rPr>
            </w:pPr>
            <w:r>
              <w:rPr>
                <w:noProof/>
              </w:rPr>
              <w:t>Iestādes ievēro tās pašas norādes, kas aprakstītas {J 01.00; r0050}.</w:t>
            </w:r>
          </w:p>
        </w:tc>
      </w:tr>
      <w:tr w:rsidR="007A4538" w:rsidRPr="00D82419" w14:paraId="668FC06E" w14:textId="77777777" w:rsidTr="00466F09">
        <w:tc>
          <w:tcPr>
            <w:tcW w:w="1701" w:type="dxa"/>
          </w:tcPr>
          <w:p w14:paraId="4D34A16E" w14:textId="485D2DFC" w:rsidR="007A4538" w:rsidRPr="00D82419" w:rsidRDefault="007A4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308" w:type="dxa"/>
          </w:tcPr>
          <w:p w14:paraId="59627DC9" w14:textId="78EA9252" w:rsidR="00F22C91" w:rsidRPr="00D82419" w:rsidRDefault="0056083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w:t>
            </w:r>
            <w:r>
              <w:rPr>
                <w:rStyle w:val="InstructionsTabelleberschrift"/>
                <w:rFonts w:ascii="Times New Roman" w:hAnsi="Times New Roman"/>
                <w:i/>
                <w:noProof/>
                <w:sz w:val="24"/>
              </w:rPr>
              <w:t>EVE</w:t>
            </w:r>
            <w:r>
              <w:rPr>
                <w:rStyle w:val="InstructionsTabelleberschrift"/>
                <w:rFonts w:ascii="Times New Roman" w:hAnsi="Times New Roman"/>
                <w:noProof/>
                <w:sz w:val="24"/>
              </w:rPr>
              <w:t xml:space="preserve"> - Kāpuma satricinājums</w:t>
            </w:r>
          </w:p>
          <w:p w14:paraId="7721CBAE" w14:textId="75811AF2" w:rsidR="007A4538" w:rsidRPr="00D82419" w:rsidRDefault="0045709F" w:rsidP="003C575D">
            <w:pPr>
              <w:pStyle w:val="InstructionsText"/>
              <w:rPr>
                <w:rStyle w:val="InstructionsTabelleberschrift"/>
                <w:rFonts w:ascii="Times New Roman" w:hAnsi="Times New Roman"/>
                <w:noProof/>
                <w:sz w:val="24"/>
              </w:rPr>
            </w:pPr>
            <w:r>
              <w:rPr>
                <w:noProof/>
              </w:rPr>
              <w:t>Iestādes ievēro tās pašas norādes, kas aprakstītas {J 01.00; r0060}.</w:t>
            </w:r>
          </w:p>
        </w:tc>
      </w:tr>
      <w:tr w:rsidR="007A4538" w:rsidRPr="00D82419" w14:paraId="0B64F039" w14:textId="77777777" w:rsidTr="00466F09">
        <w:tc>
          <w:tcPr>
            <w:tcW w:w="1701" w:type="dxa"/>
          </w:tcPr>
          <w:p w14:paraId="1D8ACFB7" w14:textId="39B9F291" w:rsidR="007A4538" w:rsidRPr="00D82419" w:rsidRDefault="007A4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308" w:type="dxa"/>
          </w:tcPr>
          <w:p w14:paraId="5DDEE894" w14:textId="090F0007" w:rsidR="00F22C91" w:rsidRPr="00D82419" w:rsidRDefault="0056083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w:t>
            </w:r>
            <w:r>
              <w:rPr>
                <w:rStyle w:val="InstructionsTabelleberschrift"/>
                <w:rFonts w:ascii="Times New Roman" w:hAnsi="Times New Roman"/>
                <w:i/>
                <w:noProof/>
                <w:sz w:val="24"/>
              </w:rPr>
              <w:t>EVE</w:t>
            </w:r>
            <w:r>
              <w:rPr>
                <w:rStyle w:val="InstructionsTabelleberschrift"/>
                <w:rFonts w:ascii="Times New Roman" w:hAnsi="Times New Roman"/>
                <w:noProof/>
                <w:sz w:val="24"/>
              </w:rPr>
              <w:t xml:space="preserve"> - Izlīdzinājuma satricinājums</w:t>
            </w:r>
          </w:p>
          <w:p w14:paraId="714F5461" w14:textId="6FFD472B" w:rsidR="007A4538" w:rsidRPr="00D82419" w:rsidRDefault="0056083C" w:rsidP="003C575D">
            <w:pPr>
              <w:pStyle w:val="InstructionsText"/>
              <w:rPr>
                <w:rStyle w:val="InstructionsTabelleberschrift"/>
                <w:rFonts w:ascii="Times New Roman" w:hAnsi="Times New Roman"/>
                <w:noProof/>
                <w:sz w:val="24"/>
              </w:rPr>
            </w:pPr>
            <w:r>
              <w:rPr>
                <w:noProof/>
              </w:rPr>
              <w:t>Iestādes ievēro tās pašas norādes, kas aprakstītas {J 01.00; r0070}.</w:t>
            </w:r>
          </w:p>
        </w:tc>
      </w:tr>
      <w:tr w:rsidR="007A4538" w:rsidRPr="00D82419" w14:paraId="0F88D558" w14:textId="77777777" w:rsidTr="00466F09">
        <w:tc>
          <w:tcPr>
            <w:tcW w:w="1701" w:type="dxa"/>
          </w:tcPr>
          <w:p w14:paraId="5CBC25A5" w14:textId="2D9B6C3C" w:rsidR="007A4538" w:rsidRPr="00D82419" w:rsidRDefault="007A4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308" w:type="dxa"/>
          </w:tcPr>
          <w:p w14:paraId="742D48FB" w14:textId="76C2A4DD" w:rsidR="00F22C91" w:rsidRPr="00D82419" w:rsidRDefault="00B42A6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w:t>
            </w:r>
            <w:r>
              <w:rPr>
                <w:rStyle w:val="InstructionsTabelleberschrift"/>
                <w:rFonts w:ascii="Times New Roman" w:hAnsi="Times New Roman"/>
                <w:i/>
                <w:noProof/>
                <w:sz w:val="24"/>
              </w:rPr>
              <w:t>EVE</w:t>
            </w:r>
            <w:r>
              <w:rPr>
                <w:rStyle w:val="InstructionsTabelleberschrift"/>
                <w:rFonts w:ascii="Times New Roman" w:hAnsi="Times New Roman"/>
                <w:noProof/>
                <w:sz w:val="24"/>
              </w:rPr>
              <w:t xml:space="preserve"> - Augšupvērsts īss likmju satricinājums</w:t>
            </w:r>
          </w:p>
          <w:p w14:paraId="5CE9C71F" w14:textId="32920038" w:rsidR="007A4538" w:rsidRPr="00D82419" w:rsidRDefault="0056083C" w:rsidP="003C575D">
            <w:pPr>
              <w:pStyle w:val="InstructionsText"/>
              <w:rPr>
                <w:rStyle w:val="InstructionsTabelleberschrift"/>
                <w:rFonts w:ascii="Times New Roman" w:hAnsi="Times New Roman"/>
                <w:noProof/>
                <w:sz w:val="24"/>
              </w:rPr>
            </w:pPr>
            <w:r>
              <w:rPr>
                <w:noProof/>
              </w:rPr>
              <w:t>Iestādes ievēro tās pašas norādes, kas aprakstītas {J 01.00; r0080}.</w:t>
            </w:r>
          </w:p>
        </w:tc>
      </w:tr>
      <w:tr w:rsidR="007A4538" w:rsidRPr="00D82419" w14:paraId="7ACFF56C" w14:textId="77777777" w:rsidTr="00466F09">
        <w:tc>
          <w:tcPr>
            <w:tcW w:w="1701" w:type="dxa"/>
          </w:tcPr>
          <w:p w14:paraId="0F6D45B9" w14:textId="4EB16931" w:rsidR="007A4538" w:rsidRPr="00D82419" w:rsidRDefault="007A4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308" w:type="dxa"/>
          </w:tcPr>
          <w:p w14:paraId="32EE74B7" w14:textId="73FF2821" w:rsidR="00F22C91" w:rsidRPr="00D82419" w:rsidRDefault="00B42A6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w:t>
            </w:r>
            <w:r>
              <w:rPr>
                <w:rStyle w:val="InstructionsTabelleberschrift"/>
                <w:rFonts w:ascii="Times New Roman" w:hAnsi="Times New Roman"/>
                <w:i/>
                <w:noProof/>
                <w:sz w:val="24"/>
              </w:rPr>
              <w:t>EVE</w:t>
            </w:r>
            <w:r>
              <w:rPr>
                <w:rStyle w:val="InstructionsTabelleberschrift"/>
                <w:rFonts w:ascii="Times New Roman" w:hAnsi="Times New Roman"/>
                <w:noProof/>
                <w:sz w:val="24"/>
              </w:rPr>
              <w:t xml:space="preserve"> - Lejupvērsts īss likmju satricinājums</w:t>
            </w:r>
          </w:p>
          <w:p w14:paraId="3BE27C86" w14:textId="7C34A314" w:rsidR="007A4538" w:rsidRPr="00D82419" w:rsidRDefault="00B42A65" w:rsidP="003C575D">
            <w:pPr>
              <w:pStyle w:val="InstructionsText"/>
              <w:rPr>
                <w:rStyle w:val="InstructionsTabelleberschrift"/>
                <w:rFonts w:ascii="Times New Roman" w:hAnsi="Times New Roman"/>
                <w:noProof/>
                <w:sz w:val="24"/>
              </w:rPr>
            </w:pPr>
            <w:r>
              <w:rPr>
                <w:noProof/>
              </w:rPr>
              <w:t>Iestādes ievēro tās pašas norādes, kas aprakstītas {J 01.00; r0090}.</w:t>
            </w:r>
          </w:p>
        </w:tc>
      </w:tr>
      <w:tr w:rsidR="007A4538" w:rsidRPr="00D82419" w14:paraId="56F10020" w14:textId="77777777" w:rsidTr="00466F09">
        <w:tc>
          <w:tcPr>
            <w:tcW w:w="1701" w:type="dxa"/>
          </w:tcPr>
          <w:p w14:paraId="22B568E7" w14:textId="47794009"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0100-0120</w:t>
            </w:r>
          </w:p>
        </w:tc>
        <w:tc>
          <w:tcPr>
            <w:tcW w:w="7308" w:type="dxa"/>
          </w:tcPr>
          <w:p w14:paraId="66F2CB32" w14:textId="57EDD3D8" w:rsidR="00F22C91" w:rsidRPr="00D82419" w:rsidRDefault="00B61D5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Tīrie procentu ienākumi</w:t>
            </w:r>
          </w:p>
          <w:p w14:paraId="4B715C5C" w14:textId="2BC80B39" w:rsidR="007A4538" w:rsidRPr="00D82419" w:rsidRDefault="00B61D5C" w:rsidP="003C575D">
            <w:pPr>
              <w:pStyle w:val="InstructionsText"/>
              <w:rPr>
                <w:rStyle w:val="InstructionsTabelleberschrift"/>
                <w:rFonts w:ascii="Times New Roman" w:hAnsi="Times New Roman"/>
                <w:b w:val="0"/>
                <w:noProof/>
                <w:sz w:val="24"/>
                <w:u w:val="none"/>
              </w:rPr>
            </w:pPr>
            <w:r>
              <w:rPr>
                <w:noProof/>
              </w:rPr>
              <w:t>Iestādes ievēro tās pašas norādes, kas aprakstītas {J 01.00; r0100-r0140}.</w:t>
            </w:r>
          </w:p>
        </w:tc>
      </w:tr>
      <w:tr w:rsidR="007A4538" w:rsidRPr="00D82419" w14:paraId="2F3EA8BB" w14:textId="77777777" w:rsidTr="00466F09">
        <w:tc>
          <w:tcPr>
            <w:tcW w:w="1701" w:type="dxa"/>
          </w:tcPr>
          <w:p w14:paraId="769EA922" w14:textId="0EEDAEC6" w:rsidR="007A4538" w:rsidRPr="00D82419" w:rsidRDefault="00721EE0"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308" w:type="dxa"/>
          </w:tcPr>
          <w:p w14:paraId="1A909637" w14:textId="6DC1F025" w:rsidR="00F22C91" w:rsidRPr="00D82419" w:rsidRDefault="001930C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i/>
                <w:noProof/>
                <w:sz w:val="24"/>
              </w:rPr>
              <w:t>NII</w:t>
            </w:r>
            <w:r>
              <w:rPr>
                <w:rStyle w:val="InstructionsTabelleberschrift"/>
                <w:rFonts w:ascii="Times New Roman" w:hAnsi="Times New Roman"/>
                <w:noProof/>
                <w:sz w:val="24"/>
              </w:rPr>
              <w:t xml:space="preserve"> līmenis - Pamatscenārijs</w:t>
            </w:r>
          </w:p>
          <w:p w14:paraId="7AD09706" w14:textId="69D23F80" w:rsidR="007A4538" w:rsidRPr="00D82419" w:rsidRDefault="00492E67" w:rsidP="003C575D">
            <w:pPr>
              <w:pStyle w:val="InstructionsText"/>
              <w:rPr>
                <w:rStyle w:val="InstructionsTabelleberschrift"/>
                <w:rFonts w:ascii="Times New Roman" w:hAnsi="Times New Roman"/>
                <w:b w:val="0"/>
                <w:noProof/>
                <w:sz w:val="24"/>
                <w:u w:val="none"/>
              </w:rPr>
            </w:pPr>
            <w:r>
              <w:rPr>
                <w:noProof/>
              </w:rPr>
              <w:t>Iestādes ievēro tās pašas norādes, kas aprakstītas {J 01.00; r0120}.</w:t>
            </w:r>
          </w:p>
        </w:tc>
      </w:tr>
      <w:tr w:rsidR="007A4538" w:rsidRPr="00D82419" w14:paraId="018275B7" w14:textId="77777777" w:rsidTr="00466F09">
        <w:tc>
          <w:tcPr>
            <w:tcW w:w="1701" w:type="dxa"/>
          </w:tcPr>
          <w:p w14:paraId="11DBE8FA" w14:textId="47F38559"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308" w:type="dxa"/>
          </w:tcPr>
          <w:p w14:paraId="370EDFF1" w14:textId="14E13989" w:rsidR="00F22C91" w:rsidRPr="00D82419" w:rsidRDefault="00303FC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 </w:t>
            </w:r>
            <w:r>
              <w:rPr>
                <w:rStyle w:val="InstructionsTabelleberschrift"/>
                <w:rFonts w:ascii="Times New Roman" w:hAnsi="Times New Roman"/>
                <w:i/>
                <w:noProof/>
                <w:sz w:val="24"/>
              </w:rPr>
              <w:t>NII</w:t>
            </w:r>
            <w:r>
              <w:rPr>
                <w:rStyle w:val="InstructionsTabelleberschrift"/>
                <w:rFonts w:ascii="Times New Roman" w:hAnsi="Times New Roman"/>
                <w:noProof/>
                <w:sz w:val="24"/>
              </w:rPr>
              <w:t xml:space="preserve"> – Paralēls augšupvērsts satricinājums</w:t>
            </w:r>
          </w:p>
          <w:p w14:paraId="64BB5395" w14:textId="18B94676" w:rsidR="004041EF" w:rsidRPr="00D82419" w:rsidRDefault="00492E67" w:rsidP="003C575D">
            <w:pPr>
              <w:pStyle w:val="InstructionsText"/>
              <w:rPr>
                <w:rStyle w:val="InstructionsTabelleberschrift"/>
                <w:rFonts w:ascii="Times New Roman" w:hAnsi="Times New Roman"/>
                <w:noProof/>
                <w:sz w:val="24"/>
              </w:rPr>
            </w:pPr>
            <w:r>
              <w:rPr>
                <w:noProof/>
              </w:rPr>
              <w:t>Iestādes ievēro tās pašas norādes, kas aprakstītas {J 01.00; r0130}.</w:t>
            </w:r>
          </w:p>
        </w:tc>
      </w:tr>
      <w:tr w:rsidR="007A4538" w:rsidRPr="00D82419" w14:paraId="79342798" w14:textId="77777777" w:rsidTr="00466F09">
        <w:trPr>
          <w:trHeight w:val="50"/>
        </w:trPr>
        <w:tc>
          <w:tcPr>
            <w:tcW w:w="1701" w:type="dxa"/>
          </w:tcPr>
          <w:p w14:paraId="04EAA741" w14:textId="5B76EB7F"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308" w:type="dxa"/>
          </w:tcPr>
          <w:p w14:paraId="4C276325" w14:textId="756BA6DE" w:rsidR="00F22C91" w:rsidRPr="00D82419" w:rsidRDefault="00303FC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w:t>
            </w:r>
            <w:r>
              <w:rPr>
                <w:rStyle w:val="InstructionsTabelleberschrift"/>
                <w:rFonts w:ascii="Times New Roman" w:hAnsi="Times New Roman"/>
                <w:i/>
                <w:noProof/>
                <w:sz w:val="24"/>
              </w:rPr>
              <w:t>NII</w:t>
            </w:r>
            <w:r>
              <w:rPr>
                <w:rStyle w:val="InstructionsTabelleberschrift"/>
                <w:rFonts w:ascii="Times New Roman" w:hAnsi="Times New Roman"/>
                <w:noProof/>
                <w:sz w:val="24"/>
              </w:rPr>
              <w:t xml:space="preserve"> – Paralēls lejupvērsts satricinājums</w:t>
            </w:r>
          </w:p>
          <w:p w14:paraId="79C7988C" w14:textId="156E5C31" w:rsidR="004041EF" w:rsidRPr="00D82419" w:rsidRDefault="00492E67" w:rsidP="003C575D">
            <w:pPr>
              <w:pStyle w:val="InstructionsText"/>
              <w:rPr>
                <w:rStyle w:val="InstructionsTabelleberschrift"/>
                <w:rFonts w:ascii="Times New Roman" w:hAnsi="Times New Roman"/>
                <w:noProof/>
                <w:sz w:val="24"/>
              </w:rPr>
            </w:pPr>
            <w:r>
              <w:rPr>
                <w:noProof/>
              </w:rPr>
              <w:t>Iestādes ievēro tās pašas norādes, kas aprakstītas {J 01.00; r0140}.</w:t>
            </w:r>
          </w:p>
        </w:tc>
      </w:tr>
      <w:tr w:rsidR="007A4538" w:rsidRPr="00D82419" w14:paraId="787EFD12" w14:textId="77777777" w:rsidTr="00466F09">
        <w:tc>
          <w:tcPr>
            <w:tcW w:w="1701" w:type="dxa"/>
          </w:tcPr>
          <w:p w14:paraId="60DFF26B" w14:textId="2482EC0B"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0130-0150</w:t>
            </w:r>
          </w:p>
        </w:tc>
        <w:tc>
          <w:tcPr>
            <w:tcW w:w="7308" w:type="dxa"/>
          </w:tcPr>
          <w:p w14:paraId="41D72025" w14:textId="6B83FFCF" w:rsidR="00EA079E" w:rsidRPr="00D82419" w:rsidRDefault="00303FC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Tirgus vērtība</w:t>
            </w:r>
          </w:p>
          <w:p w14:paraId="7D3BC199" w14:textId="00971876" w:rsidR="007A4538" w:rsidRPr="00D82419" w:rsidRDefault="00303FCE" w:rsidP="003C575D">
            <w:pPr>
              <w:pStyle w:val="InstructionsText"/>
              <w:rPr>
                <w:rStyle w:val="InstructionsTabelleberschrift"/>
                <w:rFonts w:ascii="Times New Roman" w:hAnsi="Times New Roman"/>
                <w:b w:val="0"/>
                <w:noProof/>
                <w:sz w:val="24"/>
                <w:u w:val="none"/>
              </w:rPr>
            </w:pPr>
            <w:r>
              <w:rPr>
                <w:noProof/>
              </w:rPr>
              <w:t>Iestādes ievēro tās pašas norādes, kas aprakstītas {J 01.00; r0150-r0170}.</w:t>
            </w:r>
          </w:p>
        </w:tc>
      </w:tr>
      <w:tr w:rsidR="007A4538" w:rsidRPr="00D82419" w14:paraId="644F7128" w14:textId="77777777" w:rsidTr="00466F09">
        <w:trPr>
          <w:trHeight w:val="507"/>
        </w:trPr>
        <w:tc>
          <w:tcPr>
            <w:tcW w:w="1701" w:type="dxa"/>
          </w:tcPr>
          <w:p w14:paraId="3ABF8A5C" w14:textId="4DA62342"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w:t>
            </w:r>
          </w:p>
        </w:tc>
        <w:tc>
          <w:tcPr>
            <w:tcW w:w="7308" w:type="dxa"/>
          </w:tcPr>
          <w:p w14:paraId="681520C2" w14:textId="3286ACAD" w:rsidR="00EA079E" w:rsidRPr="00D82419" w:rsidRDefault="001930C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i/>
                <w:noProof/>
                <w:sz w:val="24"/>
              </w:rPr>
              <w:t>MV</w:t>
            </w:r>
            <w:r>
              <w:rPr>
                <w:rStyle w:val="InstructionsTabelleberschrift"/>
                <w:rFonts w:ascii="Times New Roman" w:hAnsi="Times New Roman"/>
                <w:noProof/>
                <w:sz w:val="24"/>
              </w:rPr>
              <w:t xml:space="preserve"> līmenis - Pamatscenārijs</w:t>
            </w:r>
          </w:p>
          <w:p w14:paraId="6536044A" w14:textId="0D1A40C4" w:rsidR="007A4538" w:rsidRPr="00D82419" w:rsidRDefault="006D1EB6" w:rsidP="003C575D">
            <w:pPr>
              <w:pStyle w:val="InstructionsText"/>
              <w:rPr>
                <w:rStyle w:val="InstructionsTabelleberschrift"/>
                <w:rFonts w:ascii="Times New Roman" w:hAnsi="Times New Roman"/>
                <w:noProof/>
                <w:sz w:val="24"/>
              </w:rPr>
            </w:pPr>
            <w:r>
              <w:rPr>
                <w:noProof/>
              </w:rPr>
              <w:t>Iestādes ievēro tās pašas norādes, kas aprakstītas {J 01.00; r0150}.</w:t>
            </w:r>
          </w:p>
        </w:tc>
      </w:tr>
      <w:tr w:rsidR="007A4538" w:rsidRPr="00D82419" w14:paraId="0E97A024" w14:textId="77777777" w:rsidTr="00466F09">
        <w:tc>
          <w:tcPr>
            <w:tcW w:w="1701" w:type="dxa"/>
          </w:tcPr>
          <w:p w14:paraId="56B50969" w14:textId="79A37CD4"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308" w:type="dxa"/>
          </w:tcPr>
          <w:p w14:paraId="13CE4294" w14:textId="345F1927" w:rsidR="00EA079E" w:rsidRPr="00D82419" w:rsidRDefault="0070008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 </w:t>
            </w:r>
            <w:r>
              <w:rPr>
                <w:rStyle w:val="InstructionsTabelleberschrift"/>
                <w:rFonts w:ascii="Times New Roman" w:hAnsi="Times New Roman"/>
                <w:i/>
                <w:noProof/>
                <w:sz w:val="24"/>
              </w:rPr>
              <w:t>MV</w:t>
            </w:r>
            <w:r>
              <w:rPr>
                <w:rStyle w:val="InstructionsTabelleberschrift"/>
                <w:rFonts w:ascii="Times New Roman" w:hAnsi="Times New Roman"/>
                <w:noProof/>
                <w:sz w:val="24"/>
              </w:rPr>
              <w:t xml:space="preserve"> – Paralēls augšupvērsts satricinājums</w:t>
            </w:r>
          </w:p>
          <w:p w14:paraId="2661BCE0" w14:textId="14594E55" w:rsidR="004041EF" w:rsidRPr="00D82419" w:rsidRDefault="006D1EB6" w:rsidP="003C575D">
            <w:pPr>
              <w:pStyle w:val="InstructionsText"/>
              <w:rPr>
                <w:rStyle w:val="InstructionsTabelleberschrift"/>
                <w:rFonts w:ascii="Times New Roman" w:hAnsi="Times New Roman"/>
                <w:noProof/>
                <w:sz w:val="24"/>
              </w:rPr>
            </w:pPr>
            <w:r>
              <w:rPr>
                <w:noProof/>
              </w:rPr>
              <w:t>Iestādes ievēro tās pašas norādes, kas aprakstītas {J 01.00; r0160}.</w:t>
            </w:r>
          </w:p>
        </w:tc>
      </w:tr>
      <w:tr w:rsidR="007A4538" w:rsidRPr="00D82419" w14:paraId="45C4E5F3" w14:textId="77777777" w:rsidTr="00466F09">
        <w:tc>
          <w:tcPr>
            <w:tcW w:w="1701" w:type="dxa"/>
          </w:tcPr>
          <w:p w14:paraId="69E7327C" w14:textId="0FF8D9C3"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w:t>
            </w:r>
          </w:p>
        </w:tc>
        <w:tc>
          <w:tcPr>
            <w:tcW w:w="7308" w:type="dxa"/>
          </w:tcPr>
          <w:p w14:paraId="49D8F6F5" w14:textId="76992071" w:rsidR="00EA079E" w:rsidRPr="00D82419" w:rsidRDefault="0070008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w:t>
            </w:r>
            <w:r>
              <w:rPr>
                <w:rStyle w:val="InstructionsTabelleberschrift"/>
                <w:rFonts w:ascii="Times New Roman" w:hAnsi="Times New Roman"/>
                <w:i/>
                <w:noProof/>
                <w:sz w:val="24"/>
              </w:rPr>
              <w:t>MV</w:t>
            </w:r>
            <w:r>
              <w:rPr>
                <w:rStyle w:val="InstructionsTabelleberschrift"/>
                <w:rFonts w:ascii="Times New Roman" w:hAnsi="Times New Roman"/>
                <w:noProof/>
                <w:sz w:val="24"/>
              </w:rPr>
              <w:t xml:space="preserve"> – Paralēls lejupvērsts satricinājums</w:t>
            </w:r>
          </w:p>
          <w:p w14:paraId="44CB4939" w14:textId="482E3B3A" w:rsidR="004041EF" w:rsidRPr="00D82419" w:rsidRDefault="006D1EB6" w:rsidP="003C575D">
            <w:pPr>
              <w:pStyle w:val="InstructionsText"/>
              <w:rPr>
                <w:rStyle w:val="InstructionsTabelleberschrift"/>
                <w:rFonts w:ascii="Times New Roman" w:hAnsi="Times New Roman"/>
                <w:noProof/>
                <w:sz w:val="24"/>
              </w:rPr>
            </w:pPr>
            <w:r>
              <w:rPr>
                <w:noProof/>
              </w:rPr>
              <w:t>Iestādes ievēro tās pašas norādes, kas aprakstītas {J 01.00; r0170}.</w:t>
            </w:r>
          </w:p>
        </w:tc>
      </w:tr>
    </w:tbl>
    <w:p w14:paraId="651ED856" w14:textId="77777777" w:rsidR="009E536A" w:rsidRPr="00D82419" w:rsidRDefault="009E536A" w:rsidP="00430DF0">
      <w:pPr>
        <w:suppressAutoHyphens/>
        <w:spacing w:before="0" w:after="0"/>
        <w:jc w:val="left"/>
        <w:rPr>
          <w:rStyle w:val="InstructionsTabelleText"/>
          <w:rFonts w:ascii="Times New Roman" w:hAnsi="Times New Roman"/>
          <w:noProof/>
          <w:sz w:val="24"/>
        </w:rPr>
      </w:pPr>
      <w:r>
        <w:rPr>
          <w:noProof/>
        </w:rPr>
        <w:br w:type="page"/>
      </w:r>
    </w:p>
    <w:p w14:paraId="6B5E5AFE" w14:textId="63F1E14E" w:rsidR="009E536A" w:rsidRPr="00D82419" w:rsidRDefault="009E536A" w:rsidP="00430DF0">
      <w:pPr>
        <w:pStyle w:val="Heading2"/>
        <w:suppressAutoHyphens/>
        <w:rPr>
          <w:noProof/>
        </w:rPr>
      </w:pPr>
      <w:bookmarkStart w:id="54" w:name="_Toc160179422"/>
      <w:r>
        <w:rPr>
          <w:noProof/>
        </w:rPr>
        <w:t>IV DAĻA. PĀRCENOŠANAS NAUDAS PLŪSMAS (J 05.00, J 06.00 un J 07.00)</w:t>
      </w:r>
      <w:bookmarkEnd w:id="54"/>
    </w:p>
    <w:p w14:paraId="1DD5B6DD" w14:textId="0A06B7E4" w:rsidR="009E536A" w:rsidRPr="00A75ED8" w:rsidRDefault="00A75ED8" w:rsidP="00430DF0">
      <w:pPr>
        <w:pStyle w:val="Instructionsberschrift2"/>
        <w:numPr>
          <w:ilvl w:val="0"/>
          <w:numId w:val="0"/>
        </w:numPr>
        <w:tabs>
          <w:tab w:val="left" w:pos="567"/>
        </w:tabs>
        <w:suppressAutoHyphens/>
        <w:rPr>
          <w:rFonts w:cs="Times New Roman"/>
          <w:b/>
          <w:bCs/>
          <w:noProof/>
          <w:sz w:val="24"/>
        </w:rPr>
      </w:pPr>
      <w:bookmarkStart w:id="55" w:name="_Toc160179423"/>
      <w:r>
        <w:rPr>
          <w:b/>
          <w:noProof/>
          <w:sz w:val="24"/>
        </w:rPr>
        <w:t>1.</w:t>
      </w:r>
      <w:r>
        <w:rPr>
          <w:b/>
          <w:noProof/>
          <w:sz w:val="24"/>
        </w:rPr>
        <w:tab/>
        <w:t>Vispārīgas piezīmes</w:t>
      </w:r>
      <w:bookmarkEnd w:id="55"/>
    </w:p>
    <w:p w14:paraId="2C9ABE9B" w14:textId="1549DB17" w:rsidR="00903207"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 xml:space="preserve">J 05.00, J 06.00 un J 07.00 veidnē ir ietverta detalizēta informācija par pārcenošanas naudas plūsmām tiem bilances posteņiem, kas uzrādīti J 02.00, J 03.00 un J 04.00 veidnē. Iestādes sniedz minēto informāciju </w:t>
      </w:r>
      <w:r>
        <w:rPr>
          <w:rFonts w:ascii="Times New Roman" w:hAnsi="Times New Roman"/>
          <w:i/>
          <w:noProof/>
          <w:sz w:val="24"/>
        </w:rPr>
        <w:t>EVE</w:t>
      </w:r>
      <w:r>
        <w:rPr>
          <w:rFonts w:ascii="Times New Roman" w:hAnsi="Times New Roman"/>
          <w:noProof/>
          <w:sz w:val="24"/>
        </w:rPr>
        <w:t xml:space="preserve"> perspektīvā, ņemot vērā prasības un modelēšanas pieņēmumus, kas noteikti Deleģētās regulas (ES) .../... (PB: lūgums pievienot atsauci uz RTS par </w:t>
      </w:r>
      <w:r>
        <w:rPr>
          <w:rFonts w:ascii="Times New Roman" w:hAnsi="Times New Roman"/>
          <w:i/>
          <w:noProof/>
          <w:sz w:val="24"/>
        </w:rPr>
        <w:t>SOT</w:t>
      </w:r>
      <w:r>
        <w:rPr>
          <w:rFonts w:ascii="Times New Roman" w:hAnsi="Times New Roman"/>
          <w:noProof/>
          <w:sz w:val="24"/>
        </w:rPr>
        <w:t>) 3. pantā, un ņemot vērā līgumisko un uzvedības informāciju un abos gadījumos neņemot vērā automātisku izvēles iespēju. Norādes par rindām ir tādas pašas, kā aprakstīts šā pielikuma IV daļas 2. iedaļā. Turklāt iestādes pienācīgi ņem vērā I daļā noteikto pārskatu sniegšanas pieņemto praksi, jo īpaši to, kas saistīta ar fiksētas/mainīgas likmes instrumentu definīciju un pieejas izvēles iespējām.</w:t>
      </w:r>
    </w:p>
    <w:p w14:paraId="476D1915" w14:textId="3E68B675" w:rsidR="0076500E"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 xml:space="preserve">Iestādes šo veidņu saturu uzrāda atsevišķi par katru valūtu, kurā iestādei ir pozīcijas, kuru valūtā denominētu finanšu aktīvu vai saistību uzskaites vērtība ir 5 % vai vairāk no kopējiem banku portfeļa finanšu aktīviem vai saistībām vai mazāka par 5 %, ja aprēķinā iekļauto finanšu aktīvu vai saistību summa ir mazāka par 90 % no kopējiem banku portfeļa finanšu aktīviem (izņemot materiālos pamatlīdzekļus) vai saistībām. </w:t>
      </w:r>
    </w:p>
    <w:p w14:paraId="7C0A7F4F" w14:textId="3B1416C7" w:rsidR="002E2229"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1.3.</w:t>
      </w:r>
      <w:r>
        <w:rPr>
          <w:rFonts w:ascii="Times New Roman" w:hAnsi="Times New Roman"/>
          <w:noProof/>
          <w:sz w:val="24"/>
        </w:rPr>
        <w:tab/>
        <w:t>Iestādes uzrāda šo veidņu saturu atsevišķi saskaņā ar līgumiskajiem un uzvedības nosacījumiem (Modelēšana: līgumiska vai uzvedības):</w:t>
      </w:r>
    </w:p>
    <w:p w14:paraId="4AF04087" w14:textId="0CBAB467" w:rsidR="0076500E" w:rsidRPr="00577327" w:rsidRDefault="00A75ED8" w:rsidP="00430DF0">
      <w:pPr>
        <w:suppressAutoHyphens/>
        <w:ind w:left="567" w:hanging="567"/>
        <w:rPr>
          <w:rFonts w:ascii="Times New Roman" w:hAnsi="Times New Roman"/>
          <w:noProof/>
          <w:sz w:val="24"/>
        </w:rPr>
      </w:pPr>
      <w:r>
        <w:rPr>
          <w:rFonts w:ascii="Times New Roman" w:hAnsi="Times New Roman"/>
          <w:noProof/>
          <w:sz w:val="24"/>
        </w:rPr>
        <w:t>a)</w:t>
      </w:r>
      <w:r>
        <w:rPr>
          <w:rFonts w:ascii="Times New Roman" w:hAnsi="Times New Roman"/>
          <w:noProof/>
          <w:sz w:val="24"/>
        </w:rPr>
        <w:tab/>
        <w:t xml:space="preserve">līgumiska: atbilstīgi līgumiskajam pārcenošanas datumam, kā definēts Deleģētās regulas (ES) .../... (PB: lūgums pievienot atsauci uz RTS par </w:t>
      </w:r>
      <w:r>
        <w:rPr>
          <w:rFonts w:ascii="Times New Roman" w:hAnsi="Times New Roman"/>
          <w:i/>
          <w:noProof/>
          <w:sz w:val="24"/>
        </w:rPr>
        <w:t>SA</w:t>
      </w:r>
      <w:r>
        <w:rPr>
          <w:rFonts w:ascii="Times New Roman" w:hAnsi="Times New Roman"/>
          <w:noProof/>
          <w:sz w:val="24"/>
        </w:rPr>
        <w:t>) 1. panta 2) punktā, neņemot vērā uzvedības pieņēmumus. Ņem vērā tikai līgumiskās un juridiskās iezīmes (neņemot vērā automātiskas izvēles iespējas un juridiskās maksimālās robežvērtības/minimālās robežvērtības). Beztermiņa produktu (tostarp beztermiņa noguldījumu) naudas plūsmas profilu uzskata par īstermiņa mainīgajām pozīcijām (īsākais laika intervāls). Nepiemēro uzvedības pirmstermiņa izbeigšanu un priekšsamaksu, kas atbilst 0 % likmēm nosacītai priekšsamaksai un pirmstermiņa atmaksai;</w:t>
      </w:r>
    </w:p>
    <w:p w14:paraId="5697020E" w14:textId="0EDDD937" w:rsidR="0076500E" w:rsidRPr="00577327" w:rsidRDefault="00A75ED8" w:rsidP="00430DF0">
      <w:pPr>
        <w:suppressAutoHyphens/>
        <w:ind w:left="567" w:hanging="567"/>
        <w:rPr>
          <w:rFonts w:ascii="Times New Roman" w:hAnsi="Times New Roman"/>
          <w:noProof/>
          <w:sz w:val="24"/>
        </w:rPr>
      </w:pPr>
      <w:r>
        <w:rPr>
          <w:rFonts w:ascii="Times New Roman" w:hAnsi="Times New Roman"/>
          <w:noProof/>
          <w:sz w:val="24"/>
        </w:rPr>
        <w:t>b)</w:t>
      </w:r>
      <w:r>
        <w:rPr>
          <w:rFonts w:ascii="Times New Roman" w:hAnsi="Times New Roman"/>
          <w:noProof/>
          <w:sz w:val="24"/>
        </w:rPr>
        <w:tab/>
        <w:t>uzvedības modelēšana pamatscenārijā: atbilstīgi modelētajām pārcenošanas naudas plūsmām, kas attiecīgā gadījumā atspoguļo uzvedības pieņēmumus pamatscenārijā.</w:t>
      </w:r>
    </w:p>
    <w:p w14:paraId="63E1F799" w14:textId="04590283" w:rsidR="00786D30" w:rsidRPr="00577327" w:rsidRDefault="00A75ED8" w:rsidP="00430DF0">
      <w:pPr>
        <w:tabs>
          <w:tab w:val="left" w:pos="567"/>
        </w:tabs>
        <w:suppressAutoHyphens/>
        <w:rPr>
          <w:rFonts w:ascii="Times New Roman" w:hAnsi="Times New Roman"/>
          <w:noProof/>
          <w:sz w:val="24"/>
        </w:rPr>
      </w:pPr>
      <w:bookmarkStart w:id="56" w:name="_Ref140654581"/>
      <w:r>
        <w:rPr>
          <w:rFonts w:ascii="Times New Roman" w:hAnsi="Times New Roman"/>
          <w:noProof/>
          <w:sz w:val="24"/>
        </w:rPr>
        <w:t>1.4.</w:t>
      </w:r>
      <w:r>
        <w:rPr>
          <w:rFonts w:ascii="Times New Roman" w:hAnsi="Times New Roman"/>
          <w:noProof/>
          <w:sz w:val="24"/>
        </w:rPr>
        <w:tab/>
        <w:t>Atvasināto instrumentu gadījumā iestādes uzrāda pārcenošanas naudas plūsmu neto summas (t. i., nav sadalītas pa saņēmēja/maksātāja soļiem). Attiecībā uz atvasinātajiem instrumentiem aktīvu riska ierobežošanai atvasinātā instrumenta garo soli (saņēmējs/aktīvs) ņem vērā ar pozitīvu zīmi, savukārt īso soli (maksātājs/saistības) ņem vērā ar negatīvu zīmi, aprēķinot neto summas laika intervālā. Izņēmumi no šā noteikuma attiecas uz saņēmēja kupona fiksētu negatīvu procentu likmju vidi, ko ņem vērā ar negatīvu zīmi, pat ja daļa no garā soļa (saņēmējs/aktīvs) ir ņemta vērā ar pozitīvu zīmi. Pretējais attiecas uz atvasinātajiem instrumentiem saistību riska ierobežošanai: garo soli (saņēmējs/aktīvs) ņem vērā ar negatīvu zīmi, savukārt īso soli (maksātājs/saistības) ņem vērā ar pozitīvu zīmi, aprēķinot neto pārcenošanas naudas plūsmas.</w:t>
      </w:r>
      <w:bookmarkEnd w:id="56"/>
      <w:r>
        <w:rPr>
          <w:rFonts w:ascii="Times New Roman" w:hAnsi="Times New Roman"/>
          <w:noProof/>
          <w:sz w:val="24"/>
        </w:rPr>
        <w:t xml:space="preserve"> </w:t>
      </w:r>
    </w:p>
    <w:p w14:paraId="0A355842" w14:textId="3B32B977" w:rsidR="00A75ED8" w:rsidRPr="00577327" w:rsidRDefault="00A75ED8" w:rsidP="00430DF0">
      <w:pPr>
        <w:tabs>
          <w:tab w:val="left" w:pos="567"/>
        </w:tabs>
        <w:suppressAutoHyphens/>
        <w:rPr>
          <w:rFonts w:ascii="Times New Roman" w:hAnsi="Times New Roman"/>
          <w:noProof/>
          <w:sz w:val="24"/>
        </w:rPr>
      </w:pPr>
      <w:r>
        <w:rPr>
          <w:rFonts w:ascii="Times New Roman" w:hAnsi="Times New Roman"/>
          <w:noProof/>
          <w:sz w:val="24"/>
        </w:rPr>
        <w:t>1.5.</w:t>
      </w:r>
      <w:r>
        <w:rPr>
          <w:rFonts w:ascii="Times New Roman" w:hAnsi="Times New Roman"/>
          <w:noProof/>
          <w:sz w:val="24"/>
        </w:rPr>
        <w:tab/>
        <w:t>Iestādes līguma nosacījumu lapās neuzrāda slejas, kas saistītas ar nosacīto summu, informāciju par automātiskajām izvēles iespējām un uzvedības modelēšanu, vidējo ienesīgumu un līguma termiņu.</w:t>
      </w:r>
    </w:p>
    <w:p w14:paraId="2401EC9D" w14:textId="77777777" w:rsidR="00A75ED8" w:rsidRDefault="00A75ED8" w:rsidP="00CB270D">
      <w:pPr>
        <w:suppressAutoHyphens/>
        <w:rPr>
          <w:rFonts w:ascii="Times New Roman" w:hAnsi="Times New Roman"/>
          <w:noProof/>
          <w:sz w:val="24"/>
        </w:rPr>
      </w:pPr>
      <w:r>
        <w:rPr>
          <w:noProof/>
        </w:rPr>
        <w:br w:type="page"/>
      </w:r>
    </w:p>
    <w:p w14:paraId="34D3A582" w14:textId="4F06788E" w:rsidR="003F3D6D" w:rsidRPr="00A75ED8" w:rsidRDefault="00A75ED8" w:rsidP="00430DF0">
      <w:pPr>
        <w:pStyle w:val="Instructionsberschrift2"/>
        <w:numPr>
          <w:ilvl w:val="0"/>
          <w:numId w:val="0"/>
        </w:numPr>
        <w:suppressAutoHyphens/>
        <w:rPr>
          <w:rFonts w:cs="Times New Roman"/>
          <w:b/>
          <w:bCs/>
          <w:noProof/>
          <w:sz w:val="24"/>
        </w:rPr>
      </w:pPr>
      <w:bookmarkStart w:id="57" w:name="_Toc160179424"/>
      <w:r>
        <w:rPr>
          <w:b/>
          <w:noProof/>
          <w:sz w:val="24"/>
        </w:rPr>
        <w:t>2.</w:t>
      </w:r>
      <w:r>
        <w:rPr>
          <w:b/>
          <w:noProof/>
          <w:sz w:val="24"/>
        </w:rPr>
        <w:tab/>
        <w:t>Norādes par konkrētām pozīcijām:</w:t>
      </w:r>
      <w:bookmarkEnd w:id="57"/>
    </w:p>
    <w:p w14:paraId="5615CEA5" w14:textId="77777777" w:rsidR="009E536A" w:rsidRPr="00D82419" w:rsidRDefault="009E536A" w:rsidP="00430DF0">
      <w:pPr>
        <w:suppressAutoHyphens/>
        <w:spacing w:after="0"/>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334BE" w:rsidRPr="00D82419" w14:paraId="1AAC0987" w14:textId="77777777" w:rsidTr="63452C95">
        <w:tc>
          <w:tcPr>
            <w:tcW w:w="1129" w:type="dxa"/>
            <w:shd w:val="clear" w:color="auto" w:fill="D9D9D9" w:themeFill="background1" w:themeFillShade="D9"/>
          </w:tcPr>
          <w:p w14:paraId="58577E93" w14:textId="77777777" w:rsidR="00E334BE" w:rsidRPr="00D82419" w:rsidRDefault="00E334BE"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Slejas</w:t>
            </w:r>
          </w:p>
        </w:tc>
        <w:tc>
          <w:tcPr>
            <w:tcW w:w="7620" w:type="dxa"/>
            <w:shd w:val="clear" w:color="auto" w:fill="D9D9D9" w:themeFill="background1" w:themeFillShade="D9"/>
          </w:tcPr>
          <w:p w14:paraId="2F9FA5E5" w14:textId="77777777" w:rsidR="00E334BE" w:rsidRPr="00D82419" w:rsidRDefault="00E334BE"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Atsauces uz tiesību aktiem un norādes</w:t>
            </w:r>
          </w:p>
        </w:tc>
      </w:tr>
      <w:tr w:rsidR="00A65377" w:rsidRPr="00D82419" w:rsidDel="00910670" w14:paraId="4BFF452C" w14:textId="77777777" w:rsidTr="63452C95">
        <w:tc>
          <w:tcPr>
            <w:tcW w:w="1129" w:type="dxa"/>
          </w:tcPr>
          <w:p w14:paraId="424DCEEA" w14:textId="2047D5C3" w:rsidR="00A65377" w:rsidRPr="00D82419" w:rsidDel="00910670" w:rsidRDefault="00ED0A05"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0010-0250</w:t>
            </w:r>
          </w:p>
        </w:tc>
        <w:tc>
          <w:tcPr>
            <w:tcW w:w="7620" w:type="dxa"/>
          </w:tcPr>
          <w:p w14:paraId="53EA9135" w14:textId="66FFB9DA" w:rsidR="00A65377" w:rsidRPr="00D82419" w:rsidRDefault="00FE6D2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Fiksēta likme</w:t>
            </w:r>
          </w:p>
          <w:p w14:paraId="3E07CAE3" w14:textId="552D9907" w:rsidR="00EF76AB" w:rsidRPr="00D82419" w:rsidDel="00910670" w:rsidRDefault="00EF76AB" w:rsidP="003C575D">
            <w:pPr>
              <w:pStyle w:val="InstructionsText"/>
              <w:rPr>
                <w:rStyle w:val="InstructionsTabelleberschrift"/>
                <w:rFonts w:ascii="Times New Roman" w:hAnsi="Times New Roman"/>
                <w:noProof/>
                <w:sz w:val="24"/>
              </w:rPr>
            </w:pPr>
            <w:r>
              <w:rPr>
                <w:noProof/>
              </w:rPr>
              <w:t xml:space="preserve">Iestādes uzrāda aplēses, kas saistītas ar fiksētas likmes instrumentiem, saskaņā ar šā pielikuma I daļas </w:t>
            </w:r>
            <w:r w:rsidRPr="0099267D">
              <w:rPr>
                <w:noProof/>
              </w:rPr>
              <w:fldChar w:fldCharType="begin"/>
            </w:r>
            <w:r w:rsidRPr="0099267D">
              <w:rPr>
                <w:noProof/>
              </w:rPr>
              <w:instrText xml:space="preserve"> REF _Ref125115357 \r \h </w:instrText>
            </w:r>
            <w:r w:rsidR="00B3089D"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Pr>
                <w:noProof/>
              </w:rPr>
              <w:t>. iedaļā noteikto pieņemto praksi.</w:t>
            </w:r>
          </w:p>
        </w:tc>
      </w:tr>
      <w:tr w:rsidR="00A65377" w:rsidRPr="00D82419" w:rsidDel="00910670" w14:paraId="57B0CF75" w14:textId="77777777" w:rsidTr="63452C95">
        <w:tc>
          <w:tcPr>
            <w:tcW w:w="1129" w:type="dxa"/>
          </w:tcPr>
          <w:p w14:paraId="6E3BC7AB" w14:textId="2B703315" w:rsidR="00A65377" w:rsidRPr="00D82419" w:rsidDel="00910670" w:rsidRDefault="00543AB9"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0260-0390</w:t>
            </w:r>
          </w:p>
        </w:tc>
        <w:tc>
          <w:tcPr>
            <w:tcW w:w="7620" w:type="dxa"/>
          </w:tcPr>
          <w:p w14:paraId="7B9BFD7B" w14:textId="7B89C8CB" w:rsidR="00A65377" w:rsidRPr="00D82419" w:rsidRDefault="00FE6D2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Mainīga likme</w:t>
            </w:r>
          </w:p>
          <w:p w14:paraId="0667D05A" w14:textId="1C1E5E1A" w:rsidR="00EF76AB" w:rsidRPr="00D82419" w:rsidDel="00910670" w:rsidRDefault="00EF76AB" w:rsidP="003C575D">
            <w:pPr>
              <w:pStyle w:val="InstructionsText"/>
              <w:rPr>
                <w:rStyle w:val="InstructionsTabelleberschrift"/>
                <w:rFonts w:ascii="Times New Roman" w:hAnsi="Times New Roman"/>
                <w:noProof/>
                <w:sz w:val="24"/>
              </w:rPr>
            </w:pPr>
            <w:r>
              <w:rPr>
                <w:noProof/>
              </w:rPr>
              <w:t xml:space="preserve">Iestādes uzrāda aplēses, kas saistītas ar </w:t>
            </w:r>
            <w:r>
              <w:rPr>
                <w:rStyle w:val="InstructionsTabelleberschrift"/>
                <w:rFonts w:ascii="Times New Roman" w:hAnsi="Times New Roman"/>
                <w:b w:val="0"/>
                <w:noProof/>
                <w:sz w:val="24"/>
                <w:u w:val="none"/>
              </w:rPr>
              <w:t>mainīgas</w:t>
            </w:r>
            <w:r>
              <w:rPr>
                <w:noProof/>
              </w:rPr>
              <w:t xml:space="preserve"> likmes instrumentiem, saskaņā ar šā pielikuma I daļas </w:t>
            </w:r>
            <w:r w:rsidRPr="0099267D">
              <w:rPr>
                <w:noProof/>
              </w:rPr>
              <w:fldChar w:fldCharType="begin"/>
            </w:r>
            <w:r w:rsidRPr="0099267D">
              <w:rPr>
                <w:noProof/>
              </w:rPr>
              <w:instrText xml:space="preserve"> REF _Ref125115357 \r \h </w:instrText>
            </w:r>
            <w:r w:rsidR="00B3089D"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Pr>
                <w:noProof/>
              </w:rPr>
              <w:t>. iedaļā noteikto pieņemto praksi.</w:t>
            </w:r>
          </w:p>
        </w:tc>
      </w:tr>
      <w:tr w:rsidR="00910670" w:rsidRPr="00D82419" w:rsidDel="00910670" w14:paraId="501C377B" w14:textId="77777777" w:rsidTr="63452C95">
        <w:tc>
          <w:tcPr>
            <w:tcW w:w="1129" w:type="dxa"/>
          </w:tcPr>
          <w:p w14:paraId="440DBE1C" w14:textId="5EB8B8CF" w:rsidR="00910670" w:rsidRPr="00D82419" w:rsidDel="00910670" w:rsidRDefault="00910670"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75A0ED55" w14:textId="29E23F25" w:rsidR="00910670" w:rsidRPr="00D82419" w:rsidRDefault="0091067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Nosacītā summa</w:t>
            </w:r>
          </w:p>
          <w:p w14:paraId="46766D8B" w14:textId="222F990D" w:rsidR="00CB0263" w:rsidRPr="00D82419" w:rsidRDefault="00CB026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Iestādes uzrāda instrumentu nenomaksāto pamatsummu.</w:t>
            </w:r>
          </w:p>
          <w:p w14:paraId="5E431F7F" w14:textId="07283D72" w:rsidR="00910670" w:rsidRPr="00D82419" w:rsidDel="00910670" w:rsidRDefault="00C57102" w:rsidP="003C575D">
            <w:pPr>
              <w:pStyle w:val="InstructionsText"/>
              <w:rPr>
                <w:rStyle w:val="InstructionsTabelleberschrift"/>
                <w:rFonts w:ascii="Times New Roman" w:hAnsi="Times New Roman"/>
                <w:b w:val="0"/>
                <w:noProof/>
                <w:sz w:val="24"/>
                <w:u w:val="none"/>
              </w:rPr>
            </w:pPr>
            <w:r>
              <w:rPr>
                <w:noProof/>
              </w:rPr>
              <w:t>Atvasināto instrumentu gadījumā uzrāda aktīva (saņēmēja) soļa nenomaksāto pamatsummu (t. i., nav veikts saņēmēja/maksātāja soļu summu ieskaits).</w:t>
            </w:r>
          </w:p>
        </w:tc>
      </w:tr>
      <w:tr w:rsidR="008A13DA" w:rsidRPr="00D82419" w14:paraId="2FB0A7BA" w14:textId="77777777" w:rsidTr="63452C95">
        <w:tc>
          <w:tcPr>
            <w:tcW w:w="1129" w:type="dxa"/>
          </w:tcPr>
          <w:p w14:paraId="3AFC7C48" w14:textId="1AE50117" w:rsidR="008A13DA" w:rsidRPr="00D82419" w:rsidRDefault="008A13D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 un 0270</w:t>
            </w:r>
          </w:p>
        </w:tc>
        <w:tc>
          <w:tcPr>
            <w:tcW w:w="7620" w:type="dxa"/>
          </w:tcPr>
          <w:p w14:paraId="1D1717F1" w14:textId="693BF044" w:rsidR="008A13DA" w:rsidRPr="00D82419" w:rsidRDefault="008A13DA"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ar ietvertu vai tiešu automātisku izvēles iespēju – nopirkts</w:t>
            </w:r>
          </w:p>
          <w:p w14:paraId="19FE4847" w14:textId="216BDE82" w:rsidR="008A13DA" w:rsidRPr="00D82419" w:rsidRDefault="008A13DA"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0010. un 0260. slejā uzrādītās nosacītās summas procentuālā daļa, uz kuru attiecas nopirkti automātiski procentu likmju iespējas līgumi. Iespējas līgumi var izrietēt no iestādes nopirktiem atsevišķiem instrumentiem (tostarp </w:t>
            </w:r>
            <w:r>
              <w:rPr>
                <w:rStyle w:val="InstructionsTabelleberschrift"/>
                <w:rFonts w:ascii="Times New Roman" w:hAnsi="Times New Roman"/>
                <w:b w:val="0"/>
                <w:i/>
                <w:noProof/>
                <w:sz w:val="24"/>
                <w:u w:val="none"/>
              </w:rPr>
              <w:t>minimālās robežvērtības</w:t>
            </w:r>
            <w:r>
              <w:rPr>
                <w:rStyle w:val="InstructionsTabelleberschrift"/>
                <w:rFonts w:ascii="Times New Roman" w:hAnsi="Times New Roman"/>
                <w:b w:val="0"/>
                <w:noProof/>
                <w:sz w:val="24"/>
                <w:u w:val="none"/>
              </w:rPr>
              <w:t xml:space="preserve">, </w:t>
            </w:r>
            <w:r>
              <w:rPr>
                <w:rStyle w:val="InstructionsTabelleberschrift"/>
                <w:rFonts w:ascii="Times New Roman" w:hAnsi="Times New Roman"/>
                <w:b w:val="0"/>
                <w:i/>
                <w:noProof/>
                <w:sz w:val="24"/>
                <w:u w:val="none"/>
              </w:rPr>
              <w:t>maksimālās robežvērtības</w:t>
            </w:r>
            <w:r>
              <w:rPr>
                <w:rStyle w:val="InstructionsTabelleberschrift"/>
                <w:rFonts w:ascii="Times New Roman" w:hAnsi="Times New Roman"/>
                <w:b w:val="0"/>
                <w:noProof/>
                <w:sz w:val="24"/>
                <w:u w:val="none"/>
              </w:rPr>
              <w:t xml:space="preserve"> un </w:t>
            </w:r>
            <w:r>
              <w:rPr>
                <w:rStyle w:val="InstructionsTabelleberschrift"/>
                <w:rFonts w:ascii="Times New Roman" w:hAnsi="Times New Roman"/>
                <w:b w:val="0"/>
                <w:i/>
                <w:noProof/>
                <w:sz w:val="24"/>
                <w:u w:val="none"/>
              </w:rPr>
              <w:t>mijmaiņas iespējas līgumiem</w:t>
            </w:r>
            <w:r>
              <w:rPr>
                <w:rStyle w:val="InstructionsTabelleberschrift"/>
                <w:rFonts w:ascii="Times New Roman" w:hAnsi="Times New Roman"/>
                <w:b w:val="0"/>
                <w:noProof/>
                <w:sz w:val="24"/>
                <w:u w:val="none"/>
              </w:rPr>
              <w:t>) vai būt “ietverti” citu standarta banku produktu līguma noteikumos.</w:t>
            </w:r>
          </w:p>
          <w:p w14:paraId="03C11696" w14:textId="540CCE6E" w:rsidR="00A83E73" w:rsidRPr="00D82419" w:rsidRDefault="00A83E73" w:rsidP="003C575D">
            <w:pPr>
              <w:pStyle w:val="InstructionsText"/>
              <w:rPr>
                <w:rStyle w:val="InstructionsTabelleberschrift"/>
                <w:rFonts w:ascii="Times New Roman" w:hAnsi="Times New Roman"/>
                <w:b w:val="0"/>
                <w:bCs w:val="0"/>
                <w:noProof/>
                <w:sz w:val="24"/>
                <w:u w:val="none"/>
              </w:rPr>
            </w:pPr>
            <w:r>
              <w:rPr>
                <w:noProof/>
              </w:rPr>
              <w:t>Ietvertus automātiskus procentu likmju iespējas līgumus uzrāda kopā ar to attiecīgo pamatinstrumentu (aktīvu vai saistībām). Tiešus automātiskus procentu likmju iespējas līgumus uzrāda kā atvasinātos instrumentus.</w:t>
            </w:r>
          </w:p>
          <w:p w14:paraId="1515B951" w14:textId="0815A965" w:rsidR="000452C6" w:rsidRPr="00D82419" w:rsidRDefault="008A13DA"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Ietverti automātiski nopirkti iespējas līgumi mainīgas likmes pozīciju gadījumā ir: i) nopirkti minimālās robežvērtības līgumi par mainīgas likmes aktīviem (aizdevumi vai parāda vērtspapīri); ii) nopirkti maksimālās robežvērtības līgumi par emitētiem mainīgas likmes parāda vērtspapīriem utt. </w:t>
            </w:r>
          </w:p>
          <w:p w14:paraId="4B278975" w14:textId="2CD15610" w:rsidR="008A13DA" w:rsidRPr="00D82419" w:rsidRDefault="00844999"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Ietverti automātiski nopirkti iespējas līgumi fiksētas likmes pozīciju gadījumā ir: i) fiksētas likmes parāda vērtspapīru aktīvi ar iestādes priekšsamaksas iespēju (ietverta nopirkta mijmaiņas iespējas līguma maksātājs); ii) emitētu fiksētas likmes parāda vērtspapīru saistības ar iestādes priekšsamaksas iespēju (ietverta nopirkta mijmaiņas iespējas līguma saņēmējs).</w:t>
            </w:r>
          </w:p>
          <w:p w14:paraId="0EC5C984" w14:textId="06780A02" w:rsidR="004736B2" w:rsidRPr="00D82419" w:rsidRDefault="004736B2"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Tieši automātiski nopirkti iespējas līgumi ir atvasinātie instrumenti, kas ir: i) tieši nopirkti minimālās robežvērtības līgumi; ii) tiešu nopirktu mijmaiņas iespējas līgumu maksātāji (iestādei ir tiesības noslēgt procentu likmju mijmaiņas līgumu, maksājot fiksētu, saņemot mainīgu); iii) tieši nopirkti maksimālās robežvērtības līgumi; iv) tiešu nopirktu mijmaiņas iespējas līgumu saņēmēji (iestādei ir tiesības noslēgt procentu likmju mijmaiņas līgumu, saņemot fiksētu, maksājot mainīgu).</w:t>
            </w:r>
          </w:p>
          <w:p w14:paraId="0338A8CE" w14:textId="46249BD5" w:rsidR="008A13DA" w:rsidRPr="00D82419" w:rsidRDefault="004736B2" w:rsidP="003C575D">
            <w:pPr>
              <w:pStyle w:val="InstructionsText"/>
              <w:rPr>
                <w:rStyle w:val="InstructionsTabelleberschrift"/>
                <w:rFonts w:ascii="Times New Roman" w:hAnsi="Times New Roman"/>
                <w:noProof/>
                <w:sz w:val="24"/>
              </w:rPr>
            </w:pPr>
            <w:r>
              <w:rPr>
                <w:noProof/>
              </w:rPr>
              <w:t xml:space="preserve">Aprēķinot riska darījumu procentuālo daļu, iestādes pienācīgi ņem vērā I daļas </w:t>
            </w:r>
            <w:r w:rsidRPr="0099267D">
              <w:rPr>
                <w:noProof/>
              </w:rPr>
              <w:fldChar w:fldCharType="begin"/>
            </w:r>
            <w:r w:rsidRPr="0099267D">
              <w:rPr>
                <w:noProof/>
              </w:rPr>
              <w:instrText xml:space="preserve"> REF _Ref122265153 \r \h </w:instrText>
            </w:r>
            <w:r w:rsidR="00A6215F"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Pr>
                <w:noProof/>
              </w:rPr>
              <w:t>. iedaļā noteikto pieņemto praksi attiecībā uz iespējas līgumiem.</w:t>
            </w:r>
          </w:p>
        </w:tc>
      </w:tr>
      <w:tr w:rsidR="008A13DA" w:rsidRPr="00D82419" w14:paraId="148EA992" w14:textId="77777777" w:rsidTr="63452C95">
        <w:tc>
          <w:tcPr>
            <w:tcW w:w="1129" w:type="dxa"/>
          </w:tcPr>
          <w:p w14:paraId="0C9C2184" w14:textId="481FBD27" w:rsidR="008A13DA" w:rsidRPr="00D82419" w:rsidRDefault="008A13D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 un 0280</w:t>
            </w:r>
          </w:p>
        </w:tc>
        <w:tc>
          <w:tcPr>
            <w:tcW w:w="7620" w:type="dxa"/>
          </w:tcPr>
          <w:p w14:paraId="685A6336" w14:textId="5A91B1B4" w:rsidR="008A13DA" w:rsidRPr="00D82419" w:rsidRDefault="008A13DA"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ar ietvertu vai tiešu automātisku izvēles iespēju – pārdots</w:t>
            </w:r>
          </w:p>
          <w:p w14:paraId="6E9CFF28" w14:textId="4243EF27" w:rsidR="008A13DA" w:rsidRPr="00D82419" w:rsidRDefault="008A13DA"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0010. un 0260. slejā uzrādītās nosacītās summas procentuālā daļa, uz kuru attiecas pārdoti automātiski procentu likmju iespējas līgumi. Izvēles iespēja var izrietēt no iestādes pārdotiem atsevišķiem instrumentiem (tostarp </w:t>
            </w:r>
            <w:r>
              <w:rPr>
                <w:rStyle w:val="InstructionsTabelleberschrift"/>
                <w:rFonts w:ascii="Times New Roman" w:hAnsi="Times New Roman"/>
                <w:b w:val="0"/>
                <w:i/>
                <w:noProof/>
                <w:sz w:val="24"/>
                <w:u w:val="none"/>
              </w:rPr>
              <w:t>minimālās robežvērtības</w:t>
            </w:r>
            <w:r>
              <w:rPr>
                <w:rStyle w:val="InstructionsTabelleberschrift"/>
                <w:rFonts w:ascii="Times New Roman" w:hAnsi="Times New Roman"/>
                <w:b w:val="0"/>
                <w:noProof/>
                <w:sz w:val="24"/>
                <w:u w:val="none"/>
              </w:rPr>
              <w:t xml:space="preserve">, </w:t>
            </w:r>
            <w:r>
              <w:rPr>
                <w:rStyle w:val="InstructionsTabelleberschrift"/>
                <w:rFonts w:ascii="Times New Roman" w:hAnsi="Times New Roman"/>
                <w:b w:val="0"/>
                <w:i/>
                <w:noProof/>
                <w:sz w:val="24"/>
                <w:u w:val="none"/>
              </w:rPr>
              <w:t>maksimālās robežvērtības</w:t>
            </w:r>
            <w:r>
              <w:rPr>
                <w:rStyle w:val="InstructionsTabelleberschrift"/>
                <w:rFonts w:ascii="Times New Roman" w:hAnsi="Times New Roman"/>
                <w:b w:val="0"/>
                <w:noProof/>
                <w:sz w:val="24"/>
                <w:u w:val="none"/>
              </w:rPr>
              <w:t xml:space="preserve"> un </w:t>
            </w:r>
            <w:r>
              <w:rPr>
                <w:rStyle w:val="InstructionsTabelleberschrift"/>
                <w:rFonts w:ascii="Times New Roman" w:hAnsi="Times New Roman"/>
                <w:b w:val="0"/>
                <w:i/>
                <w:noProof/>
                <w:sz w:val="24"/>
                <w:u w:val="none"/>
              </w:rPr>
              <w:t>mijmaiņas iespējas līgumiem</w:t>
            </w:r>
            <w:r>
              <w:rPr>
                <w:rStyle w:val="InstructionsTabelleberschrift"/>
                <w:rFonts w:ascii="Times New Roman" w:hAnsi="Times New Roman"/>
                <w:b w:val="0"/>
                <w:noProof/>
                <w:sz w:val="24"/>
                <w:u w:val="none"/>
              </w:rPr>
              <w:t>) vai būt “ietverti” citu standarta banku produktu līguma noteikumos.</w:t>
            </w:r>
          </w:p>
          <w:p w14:paraId="4F3EEBA7" w14:textId="5FC322FE" w:rsidR="00332BAD" w:rsidRPr="00D82419" w:rsidRDefault="00332BAD" w:rsidP="00430DF0">
            <w:pPr>
              <w:suppressAutoHyphens/>
              <w:spacing w:after="118" w:line="244" w:lineRule="auto"/>
              <w:ind w:right="82"/>
              <w:rPr>
                <w:rStyle w:val="InstructionsTabelleberschrift"/>
                <w:rFonts w:ascii="Times New Roman" w:hAnsi="Times New Roman"/>
                <w:b w:val="0"/>
                <w:bCs w:val="0"/>
                <w:noProof/>
                <w:sz w:val="24"/>
                <w:u w:val="none"/>
              </w:rPr>
            </w:pPr>
            <w:r>
              <w:rPr>
                <w:rFonts w:ascii="Times New Roman" w:hAnsi="Times New Roman"/>
                <w:noProof/>
                <w:sz w:val="24"/>
              </w:rPr>
              <w:t>Ietvertus automātiskus procentu likmju iespējas līgumus uzrāda kopā ar to attiecīgo pamatinstrumentu (aktīvu vai saistībām). Tiešus automātiskus procentu likmju iespējas līgumus uzrāda kā atvasinātos instrumentus.</w:t>
            </w:r>
          </w:p>
          <w:p w14:paraId="5E648301" w14:textId="67D908B7" w:rsidR="000978F0" w:rsidRPr="00D82419" w:rsidRDefault="008A13DA" w:rsidP="003C575D">
            <w:pPr>
              <w:pStyle w:val="InstructionsText"/>
              <w:rPr>
                <w:noProof/>
              </w:rPr>
            </w:pPr>
            <w:r>
              <w:rPr>
                <w:noProof/>
              </w:rPr>
              <w:t xml:space="preserve">Ietverti automātiski pārdoti procentu likmju iespējas līgumi mainīgas likmes pozīciju gadījumā ir: i) pārdoti maksimālās robežvērtības līgumi par mainīgas likmes aktīviem (aizdevumi un parāda vērtspapīri); ii) pārdoti minimālās robežvērtības līgumi par emitētiem mainīgas likmes parāda vērtspapīriem utt. </w:t>
            </w:r>
          </w:p>
          <w:p w14:paraId="17F59AFE" w14:textId="1DC8181A" w:rsidR="008A13DA" w:rsidRPr="00D82419" w:rsidRDefault="008A13DA" w:rsidP="003C575D">
            <w:pPr>
              <w:pStyle w:val="InstructionsText"/>
              <w:rPr>
                <w:noProof/>
              </w:rPr>
            </w:pPr>
            <w:r>
              <w:rPr>
                <w:noProof/>
              </w:rPr>
              <w:t>Attiecībā uz fiksētas likmes pozīcijām ietverti automātiski pārdoti procentu likmju iespējas līgumi ir: i) fiksētas likmes parāda vērtspapīri ar emitenta priekšsamaksas iespēju (ietverta pārdota mijmaiņas iespējas līguma saņēmējs); ii) pārdoti minimālās robežvērtības līgumi par beztermiņa noguldījumiem un termiņnoguldījumiem, tostarp juridiski un netieši minimālās robežvērtības līgumi, un iii) emitēti fiksētas likmes parāda vērtspapīri ar ieguldītāja priekšsamaksas iespēju (ietverta pārdota mijmaiņas iespējas līguma maksātājs).</w:t>
            </w:r>
          </w:p>
          <w:p w14:paraId="4039C229" w14:textId="171B8235" w:rsidR="00F73C99" w:rsidRPr="00D82419" w:rsidRDefault="00F73C99"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Tieši automātiski pārdoti iespējas līgumi ir atvasinātie instrumenti, kas ir: i)</w:t>
            </w:r>
            <w:r w:rsidR="00456580">
              <w:rPr>
                <w:rStyle w:val="InstructionsTabelleberschrift"/>
                <w:rFonts w:ascii="Times New Roman" w:hAnsi="Times New Roman"/>
                <w:b w:val="0"/>
                <w:noProof/>
                <w:sz w:val="24"/>
                <w:u w:val="none"/>
              </w:rPr>
              <w:t> </w:t>
            </w:r>
            <w:r>
              <w:rPr>
                <w:rStyle w:val="InstructionsTabelleberschrift"/>
                <w:rFonts w:ascii="Times New Roman" w:hAnsi="Times New Roman"/>
                <w:b w:val="0"/>
                <w:noProof/>
                <w:sz w:val="24"/>
                <w:u w:val="none"/>
              </w:rPr>
              <w:t>tieši pārdoti maksimālās robežvērtības līgumi; ii) tiešu pārdotu mijmaiņas iespējas līgumu saņēmēji (iestādei ir pienākums noslēgt procentu likmju mijmaiņas līgumus, maksājot fiksētu, saņemot mainīgu); iii) tieši pārdoti minimālās robežvērtības līgumi; iv) tiešu pārdotu mijmaiņas iespējas līgumu maksātāji (iestādei ir pienākums noslēgt procentu likmju mijmaiņas līgumus, saņemot fiksētu, maksājot mainīgu).</w:t>
            </w:r>
          </w:p>
          <w:p w14:paraId="5CBE88B0" w14:textId="7598E653" w:rsidR="008A13DA" w:rsidRPr="00D82419" w:rsidRDefault="00F73C99" w:rsidP="003C575D">
            <w:pPr>
              <w:pStyle w:val="InstructionsText"/>
              <w:rPr>
                <w:rStyle w:val="InstructionsTabelleberschrift"/>
                <w:rFonts w:ascii="Times New Roman" w:hAnsi="Times New Roman"/>
                <w:noProof/>
                <w:sz w:val="24"/>
              </w:rPr>
            </w:pPr>
            <w:r>
              <w:rPr>
                <w:noProof/>
              </w:rPr>
              <w:t xml:space="preserve">Aprēķinot summas procentuālo daļu, iestādes pienācīgi ņem vērā I daļas </w:t>
            </w:r>
            <w:r w:rsidRPr="0099267D">
              <w:rPr>
                <w:noProof/>
              </w:rPr>
              <w:fldChar w:fldCharType="begin"/>
            </w:r>
            <w:r w:rsidRPr="0099267D">
              <w:rPr>
                <w:noProof/>
              </w:rPr>
              <w:instrText xml:space="preserve"> REF _Ref122265153 \r \h </w:instrText>
            </w:r>
            <w:r w:rsidR="00D82419"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Pr>
                <w:noProof/>
              </w:rPr>
              <w:t>.</w:t>
            </w:r>
            <w:r w:rsidR="00456580">
              <w:rPr>
                <w:noProof/>
              </w:rPr>
              <w:t> </w:t>
            </w:r>
            <w:r>
              <w:rPr>
                <w:noProof/>
              </w:rPr>
              <w:t>iedaļā noteikto pieņemto praksi attiecībā uz iespējas līgumiem.</w:t>
            </w:r>
          </w:p>
        </w:tc>
      </w:tr>
      <w:tr w:rsidR="005A510E" w:rsidRPr="00D82419" w14:paraId="2D5F7193" w14:textId="77777777" w:rsidTr="63452C95">
        <w:tc>
          <w:tcPr>
            <w:tcW w:w="1129" w:type="dxa"/>
          </w:tcPr>
          <w:p w14:paraId="400C1384" w14:textId="08885C17" w:rsidR="005A510E" w:rsidRPr="00D82419" w:rsidRDefault="005A510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 un 0290</w:t>
            </w:r>
          </w:p>
        </w:tc>
        <w:tc>
          <w:tcPr>
            <w:tcW w:w="7620" w:type="dxa"/>
          </w:tcPr>
          <w:p w14:paraId="0B5BDF1F" w14:textId="77777777" w:rsidR="001D2293" w:rsidRPr="00D82419" w:rsidRDefault="001D229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atkarībā no uzvedības modelēšanas</w:t>
            </w:r>
          </w:p>
          <w:p w14:paraId="2A5581C0" w14:textId="2E607039" w:rsidR="005A510E" w:rsidRPr="00D82419" w:rsidRDefault="001D229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0010. un 0260. slejā uzrādītās nosacītās summas procentuālā daļa, atkarībā no uzvedības modelēšanas, kuras naudas plūsmu laiks vai summa ir atkarīga no klientu uzvedības.</w:t>
            </w:r>
          </w:p>
        </w:tc>
      </w:tr>
      <w:tr w:rsidR="005A510E" w:rsidRPr="00D82419" w14:paraId="320394BE" w14:textId="77777777" w:rsidTr="63452C95">
        <w:tc>
          <w:tcPr>
            <w:tcW w:w="1129" w:type="dxa"/>
          </w:tcPr>
          <w:p w14:paraId="4194F18A" w14:textId="66BE13F3" w:rsidR="005A510E" w:rsidRPr="00D82419" w:rsidRDefault="005A510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 un 0300</w:t>
            </w:r>
          </w:p>
        </w:tc>
        <w:tc>
          <w:tcPr>
            <w:tcW w:w="7620" w:type="dxa"/>
          </w:tcPr>
          <w:p w14:paraId="1F589AA0" w14:textId="6E6F27F9" w:rsidR="005A510E" w:rsidRPr="00D82419" w:rsidRDefault="005A510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Vidējais svērtais ienesīgums</w:t>
            </w:r>
          </w:p>
          <w:p w14:paraId="0A030C82" w14:textId="148A1E1F" w:rsidR="005A510E" w:rsidRPr="00D82419" w:rsidRDefault="000B09F9"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Gada vidējais ienesīgums, kas svērts ar nosacīto summu.</w:t>
            </w:r>
          </w:p>
        </w:tc>
      </w:tr>
      <w:tr w:rsidR="005A510E" w:rsidRPr="00D82419" w14:paraId="241B7FD2" w14:textId="77777777" w:rsidTr="63452C95">
        <w:tc>
          <w:tcPr>
            <w:tcW w:w="1129" w:type="dxa"/>
          </w:tcPr>
          <w:p w14:paraId="05DB9DDC" w14:textId="75231452" w:rsidR="005A510E" w:rsidRPr="00D82419" w:rsidRDefault="005A510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 un 0310</w:t>
            </w:r>
          </w:p>
        </w:tc>
        <w:tc>
          <w:tcPr>
            <w:tcW w:w="7620" w:type="dxa"/>
          </w:tcPr>
          <w:p w14:paraId="61B75614" w14:textId="476C6EAF" w:rsidR="005A510E" w:rsidRPr="00D82419" w:rsidRDefault="005A510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Vidējais svērtais termiņš (līgumisks)</w:t>
            </w:r>
          </w:p>
          <w:p w14:paraId="5543C64E" w14:textId="5DCF7F02" w:rsidR="005A510E" w:rsidRPr="00D82419" w:rsidRDefault="00E054D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Vidējais līguma termiņš, kas mērīts gados un svērts ar nosacīto summu.</w:t>
            </w:r>
          </w:p>
        </w:tc>
      </w:tr>
      <w:tr w:rsidR="00E334BE" w:rsidRPr="00D82419" w14:paraId="1C045037" w14:textId="77777777" w:rsidTr="63452C95">
        <w:tc>
          <w:tcPr>
            <w:tcW w:w="1129" w:type="dxa"/>
          </w:tcPr>
          <w:p w14:paraId="77861FE1" w14:textId="066DD219" w:rsidR="00E334BE" w:rsidRPr="00D82419" w:rsidRDefault="00B45B2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0070-0250 un 0320-0390</w:t>
            </w:r>
          </w:p>
        </w:tc>
        <w:tc>
          <w:tcPr>
            <w:tcW w:w="7620" w:type="dxa"/>
          </w:tcPr>
          <w:p w14:paraId="244DABE7" w14:textId="77777777" w:rsidR="00A37710" w:rsidRPr="00D82419" w:rsidRDefault="00E334B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Pārcenošanas grafiks visām nosacītām pārcenošanas naudas plūsmām</w:t>
            </w:r>
          </w:p>
          <w:p w14:paraId="27AC5034" w14:textId="495DB905" w:rsidR="00F93C6A" w:rsidRPr="00D82419" w:rsidRDefault="00F93C6A" w:rsidP="003C575D">
            <w:pPr>
              <w:pStyle w:val="InstructionsText"/>
              <w:rPr>
                <w:noProof/>
              </w:rPr>
            </w:pPr>
            <w:r>
              <w:rPr>
                <w:noProof/>
              </w:rPr>
              <w:t xml:space="preserve">Iestādes uzrāda visas nākotnes nosacītās pārcenošanas naudas plūsmas, kas izriet no pozīcijām, kas jutīgas pret procentu likmēm, </w:t>
            </w:r>
            <w:r>
              <w:rPr>
                <w:rStyle w:val="InstructionsTabelleberschrift"/>
                <w:rFonts w:ascii="Times New Roman" w:hAnsi="Times New Roman"/>
                <w:b w:val="0"/>
                <w:noProof/>
                <w:sz w:val="24"/>
                <w:u w:val="none"/>
              </w:rPr>
              <w:t xml:space="preserve">Deleģētās regulas (ES) .../... (PB: lūgums pievienot atsauci uz RTS par </w:t>
            </w:r>
            <w:r>
              <w:rPr>
                <w:rStyle w:val="InstructionsTabelleberschrift"/>
                <w:rFonts w:ascii="Times New Roman" w:hAnsi="Times New Roman"/>
                <w:b w:val="0"/>
                <w:i/>
                <w:noProof/>
                <w:sz w:val="24"/>
                <w:u w:val="none"/>
              </w:rPr>
              <w:t>SOT</w:t>
            </w:r>
            <w:r>
              <w:rPr>
                <w:noProof/>
              </w:rPr>
              <w:t xml:space="preserve">) darbības jomā iepriekš noteiktos laika intervālos (kuros tās iekļaujas atbilstoši to pārcenošanas datumiem. </w:t>
            </w:r>
            <w:r>
              <w:rPr>
                <w:rStyle w:val="FormatvorlageInstructionsTabelleText"/>
                <w:rFonts w:ascii="Times New Roman" w:hAnsi="Times New Roman"/>
                <w:noProof/>
                <w:sz w:val="24"/>
              </w:rPr>
              <w:t xml:space="preserve">(“Nosacīto pārcenošanas naudas plūsmu” un “pārcenošanas datuma” definīcija, kā noteikts </w:t>
            </w:r>
            <w:r>
              <w:rPr>
                <w:noProof/>
              </w:rPr>
              <w:t xml:space="preserve">Deleģētās regulas (ES) .../... (PB: lūgums pievienot atsauci uz RTS par </w:t>
            </w:r>
            <w:r>
              <w:rPr>
                <w:i/>
                <w:noProof/>
              </w:rPr>
              <w:t>SA</w:t>
            </w:r>
            <w:r>
              <w:rPr>
                <w:noProof/>
              </w:rPr>
              <w:t>) 1. panta 1) un 2) punktā)</w:t>
            </w:r>
            <w:r>
              <w:rPr>
                <w:rStyle w:val="FormatvorlageInstructionsTabelleText"/>
                <w:rFonts w:ascii="Times New Roman" w:hAnsi="Times New Roman"/>
                <w:noProof/>
                <w:sz w:val="24"/>
              </w:rPr>
              <w:t>.</w:t>
            </w:r>
          </w:p>
          <w:p w14:paraId="07BE21EC" w14:textId="406647A0" w:rsidR="00E334BE" w:rsidRPr="00D82419" w:rsidRDefault="00F93C6A" w:rsidP="003C575D">
            <w:pPr>
              <w:pStyle w:val="InstructionsText"/>
              <w:rPr>
                <w:noProof/>
              </w:rPr>
            </w:pPr>
            <w:r>
              <w:rPr>
                <w:noProof/>
              </w:rPr>
              <w:t>Automātiskus procentu likmju iespējas līgumus neatkarīgi no tā, vai tie ir tieši, vai ietverti, izslēdz no to pamatlīgumiem un neņem vērā nosacīto pārcenošanas naudas plūsmu iedalījumā.</w:t>
            </w:r>
          </w:p>
          <w:p w14:paraId="126FAB26" w14:textId="3C5ADDB7" w:rsidR="00DE2BDF" w:rsidRPr="00D82419" w:rsidRDefault="00DE2BDF" w:rsidP="003C575D">
            <w:pPr>
              <w:pStyle w:val="InstructionsText"/>
              <w:rPr>
                <w:noProof/>
              </w:rPr>
            </w:pPr>
            <w:r>
              <w:rPr>
                <w:noProof/>
              </w:rPr>
              <w:t xml:space="preserve">Atvasinātos instrumentus, kas nav automātiski procentu likmju iespējas līgumi, konvertē attiecīgā pamatā esošā instrumenta pozīcijās un sadala attiecīgā pamatā esošā instrumenta maksāšanas un saņemšanas pozīcijās (īsās un garās pozīcijās). Vērā ņemamās summas ir pamatā esošā instrumenta vai nosacītā pamatā esošā instrumenta pamatsummas. Regulētā tirgū tirgotus nākotnes līgumus un regulētā tirgū netirgotus nākotnes līgumus, tostarp regulētā tirgū netirgotus procentu likmju nākotnes līgumus, uzskata par īsās un garās pozīcijas kombināciju. </w:t>
            </w:r>
          </w:p>
          <w:p w14:paraId="4256EE64" w14:textId="08D311D4" w:rsidR="00DE2BDF" w:rsidRPr="00D82419" w:rsidRDefault="00DE2BDF" w:rsidP="003C575D">
            <w:pPr>
              <w:pStyle w:val="InstructionsText"/>
              <w:rPr>
                <w:rStyle w:val="InstructionsTabelleberschrift"/>
                <w:rFonts w:ascii="Times New Roman" w:hAnsi="Times New Roman"/>
                <w:b w:val="0"/>
                <w:noProof/>
                <w:u w:val="none"/>
              </w:rPr>
            </w:pPr>
            <w:r>
              <w:rPr>
                <w:noProof/>
              </w:rPr>
              <w:t>Atspoguļojot atvasināto instrumentu, kas nav automātiski procentu likmju iespējas līgumi, pārcenošanas naudas plūsmas, iestādes pienācīgi ņem vērā IV</w:t>
            </w:r>
            <w:r w:rsidR="00456580">
              <w:rPr>
                <w:noProof/>
              </w:rPr>
              <w:t> </w:t>
            </w:r>
            <w:r>
              <w:rPr>
                <w:noProof/>
              </w:rPr>
              <w:t xml:space="preserve">daļas 1. iedaļas </w:t>
            </w:r>
            <w:r w:rsidR="00D401D8" w:rsidRPr="008A047B">
              <w:rPr>
                <w:noProof/>
              </w:rPr>
              <w:fldChar w:fldCharType="begin"/>
            </w:r>
            <w:r w:rsidR="00D401D8" w:rsidRPr="008A047B">
              <w:rPr>
                <w:noProof/>
              </w:rPr>
              <w:instrText xml:space="preserve"> REF _Ref140654581 \r \h </w:instrText>
            </w:r>
            <w:r w:rsidR="00A6215F" w:rsidRPr="008A047B">
              <w:rPr>
                <w:noProof/>
              </w:rPr>
              <w:instrText xml:space="preserve"> \* MERGEFORMAT </w:instrText>
            </w:r>
            <w:r w:rsidR="00D401D8" w:rsidRPr="008A047B">
              <w:rPr>
                <w:noProof/>
              </w:rPr>
            </w:r>
            <w:r w:rsidR="00D401D8" w:rsidRPr="008A047B">
              <w:rPr>
                <w:noProof/>
              </w:rPr>
              <w:fldChar w:fldCharType="separate"/>
            </w:r>
            <w:r w:rsidR="0099267D" w:rsidRPr="008A047B">
              <w:rPr>
                <w:noProof/>
              </w:rPr>
              <w:t>1.</w:t>
            </w:r>
            <w:r w:rsidR="004049B3" w:rsidRPr="008A047B">
              <w:rPr>
                <w:noProof/>
              </w:rPr>
              <w:t>4</w:t>
            </w:r>
            <w:r w:rsidR="00D401D8" w:rsidRPr="008A047B">
              <w:rPr>
                <w:noProof/>
              </w:rPr>
              <w:fldChar w:fldCharType="end"/>
            </w:r>
            <w:r>
              <w:rPr>
                <w:noProof/>
              </w:rPr>
              <w:t>. punktā pieņemto praksi attiecībā uz atvasinātajiem instrumentiem.</w:t>
            </w:r>
          </w:p>
        </w:tc>
      </w:tr>
    </w:tbl>
    <w:p w14:paraId="14B6B511" w14:textId="02E578E4" w:rsidR="0074085C" w:rsidRPr="00D82419" w:rsidRDefault="0074085C" w:rsidP="00430DF0">
      <w:pPr>
        <w:suppressAutoHyphens/>
        <w:spacing w:after="0"/>
        <w:rPr>
          <w:rStyle w:val="InstructionsTabelleText"/>
          <w:rFonts w:ascii="Times New Roman" w:hAnsi="Times New Roman"/>
          <w:noProof/>
          <w:sz w:val="24"/>
        </w:rPr>
      </w:pPr>
    </w:p>
    <w:p w14:paraId="385B6273" w14:textId="114D160B" w:rsidR="0074085C" w:rsidRPr="00D82419" w:rsidRDefault="0074085C" w:rsidP="00430DF0">
      <w:pPr>
        <w:suppressAutoHyphens/>
        <w:spacing w:before="0" w:after="0"/>
        <w:jc w:val="left"/>
        <w:rPr>
          <w:rStyle w:val="InstructionsTabelleText"/>
          <w:rFonts w:ascii="Times New Roman" w:hAnsi="Times New Roman"/>
          <w:noProof/>
          <w:sz w:val="24"/>
        </w:rPr>
      </w:pPr>
    </w:p>
    <w:p w14:paraId="65BC6811" w14:textId="77777777" w:rsidR="00935CE7" w:rsidRPr="00D82419" w:rsidRDefault="00935CE7" w:rsidP="00430DF0">
      <w:pPr>
        <w:suppressAutoHyphens/>
        <w:spacing w:before="0" w:after="0"/>
        <w:jc w:val="left"/>
        <w:rPr>
          <w:rFonts w:ascii="Times New Roman" w:eastAsia="Arial" w:hAnsi="Times New Roman"/>
          <w:b/>
          <w:noProof/>
          <w:sz w:val="24"/>
        </w:rPr>
      </w:pPr>
      <w:r>
        <w:rPr>
          <w:noProof/>
        </w:rPr>
        <w:br w:type="page"/>
      </w:r>
    </w:p>
    <w:p w14:paraId="24DCA249" w14:textId="06E369EE" w:rsidR="0074085C" w:rsidRPr="00D82419" w:rsidRDefault="0074085C" w:rsidP="00430DF0">
      <w:pPr>
        <w:pStyle w:val="Heading2"/>
        <w:suppressAutoHyphens/>
        <w:rPr>
          <w:noProof/>
        </w:rPr>
      </w:pPr>
      <w:bookmarkStart w:id="58" w:name="_Toc160179425"/>
      <w:r>
        <w:rPr>
          <w:noProof/>
        </w:rPr>
        <w:t>V DAĻA. ATTIECĪGIE PARAMETRI (J 08.00 un J 09.00)</w:t>
      </w:r>
      <w:bookmarkEnd w:id="58"/>
    </w:p>
    <w:p w14:paraId="3F4A8018" w14:textId="12422CAB" w:rsidR="0074085C" w:rsidRPr="00A75ED8" w:rsidRDefault="00A75ED8" w:rsidP="00430DF0">
      <w:pPr>
        <w:pStyle w:val="Instructionsberschrift2"/>
        <w:numPr>
          <w:ilvl w:val="0"/>
          <w:numId w:val="0"/>
        </w:numPr>
        <w:tabs>
          <w:tab w:val="left" w:pos="567"/>
        </w:tabs>
        <w:suppressAutoHyphens/>
        <w:rPr>
          <w:rFonts w:cs="Times New Roman"/>
          <w:b/>
          <w:bCs/>
          <w:noProof/>
          <w:sz w:val="24"/>
        </w:rPr>
      </w:pPr>
      <w:bookmarkStart w:id="59" w:name="_Toc160179426"/>
      <w:r>
        <w:rPr>
          <w:b/>
          <w:noProof/>
          <w:sz w:val="24"/>
        </w:rPr>
        <w:t>1.</w:t>
      </w:r>
      <w:r>
        <w:rPr>
          <w:b/>
          <w:noProof/>
          <w:sz w:val="24"/>
        </w:rPr>
        <w:tab/>
        <w:t>Vispārīgas piezīmes</w:t>
      </w:r>
      <w:bookmarkEnd w:id="59"/>
    </w:p>
    <w:p w14:paraId="6DBD998C" w14:textId="462008A4" w:rsidR="00615CD6"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 xml:space="preserve">J 08.00 un J 09.00 veidnē ir informācija par attiecīgajiem parametriem, lai uzraudzītu </w:t>
      </w:r>
      <w:r>
        <w:rPr>
          <w:rFonts w:ascii="Times New Roman" w:hAnsi="Times New Roman"/>
          <w:i/>
          <w:noProof/>
          <w:sz w:val="24"/>
        </w:rPr>
        <w:t>IRRBB</w:t>
      </w:r>
      <w:r>
        <w:rPr>
          <w:rFonts w:ascii="Times New Roman" w:hAnsi="Times New Roman"/>
          <w:noProof/>
          <w:sz w:val="24"/>
        </w:rPr>
        <w:t xml:space="preserve"> modelēšanu. Lielāko daļu informācijas šajā veidnē iegūst no J 02.00–J 07.00 veidnē uzrādītās informācijas. Informāciju sniedz, ņemot vērā </w:t>
      </w:r>
      <w:r>
        <w:rPr>
          <w:rFonts w:ascii="Times New Roman" w:hAnsi="Times New Roman"/>
          <w:i/>
          <w:noProof/>
          <w:sz w:val="24"/>
        </w:rPr>
        <w:t>EVE</w:t>
      </w:r>
      <w:r>
        <w:rPr>
          <w:rFonts w:ascii="Times New Roman" w:hAnsi="Times New Roman"/>
          <w:noProof/>
          <w:sz w:val="24"/>
        </w:rPr>
        <w:t xml:space="preserve"> perspektīvu, tostarp prasības un modelēšanas pieņēmumus, kas noteikti Deleģētās regulas (ES) .../... (PB: lūgums pievienot atsauci uz RTS par </w:t>
      </w:r>
      <w:r>
        <w:rPr>
          <w:rFonts w:ascii="Times New Roman" w:hAnsi="Times New Roman"/>
          <w:i/>
          <w:noProof/>
          <w:sz w:val="24"/>
        </w:rPr>
        <w:t>SOT</w:t>
      </w:r>
      <w:r>
        <w:rPr>
          <w:rFonts w:ascii="Times New Roman" w:hAnsi="Times New Roman"/>
          <w:noProof/>
          <w:sz w:val="24"/>
        </w:rPr>
        <w:t>) 3. pantā, un neņemot vērā automātisku izvēles iespēju, izņemot attiecībā uz 0120.–0150. rindu.</w:t>
      </w:r>
    </w:p>
    <w:p w14:paraId="392AF82E" w14:textId="63D81CC8" w:rsidR="00583FE1"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Šīs veidnes uzrāda atsevišķi par katru valūtu, kurā iestādei ir pozīcijas, kuru valūtā denominētu finanšu aktīvu vai saistību uzskaites vērtība ir 5 % vai vairāk no kopējiem banku portfeļa finanšu aktīviem vai saistībām vai mazāka par 5 %, ja aprēķinā iekļauto finanšu aktīvu vai saistību summa ir mazāka par 90 % no kopējiem banku portfeļa finanšu aktīviem (izņemot materiālos pamatlīdzekļus) vai saistībām.</w:t>
      </w:r>
    </w:p>
    <w:p w14:paraId="6E96AF41" w14:textId="32BDCC1B" w:rsidR="0074085C" w:rsidRPr="00A75ED8" w:rsidRDefault="00A75ED8" w:rsidP="00430DF0">
      <w:pPr>
        <w:pStyle w:val="Instructionsberschrift2"/>
        <w:numPr>
          <w:ilvl w:val="0"/>
          <w:numId w:val="0"/>
        </w:numPr>
        <w:tabs>
          <w:tab w:val="left" w:pos="567"/>
        </w:tabs>
        <w:suppressAutoHyphens/>
        <w:rPr>
          <w:rFonts w:cs="Times New Roman"/>
          <w:b/>
          <w:bCs/>
          <w:noProof/>
          <w:sz w:val="24"/>
        </w:rPr>
      </w:pPr>
      <w:bookmarkStart w:id="60" w:name="_Toc160179427"/>
      <w:r>
        <w:rPr>
          <w:b/>
          <w:noProof/>
          <w:sz w:val="24"/>
        </w:rPr>
        <w:t>2.</w:t>
      </w:r>
      <w:r>
        <w:rPr>
          <w:b/>
          <w:noProof/>
          <w:sz w:val="24"/>
        </w:rPr>
        <w:tab/>
        <w:t>Norādes par konkrētām pozīcijām</w:t>
      </w:r>
      <w:bookmarkEnd w:id="6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B87342" w:rsidRPr="00D82419" w14:paraId="1C34855D" w14:textId="77777777" w:rsidTr="63452C95">
        <w:tc>
          <w:tcPr>
            <w:tcW w:w="1129" w:type="dxa"/>
            <w:shd w:val="clear" w:color="auto" w:fill="D9D9D9" w:themeFill="background1" w:themeFillShade="D9"/>
          </w:tcPr>
          <w:p w14:paraId="409F2F99" w14:textId="77777777" w:rsidR="00B87342" w:rsidRPr="00D82419" w:rsidRDefault="00B87342" w:rsidP="003C575D">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Rinda</w:t>
            </w:r>
          </w:p>
        </w:tc>
        <w:tc>
          <w:tcPr>
            <w:tcW w:w="7620" w:type="dxa"/>
            <w:shd w:val="clear" w:color="auto" w:fill="D9D9D9" w:themeFill="background1" w:themeFillShade="D9"/>
          </w:tcPr>
          <w:p w14:paraId="35F1E6EB" w14:textId="77777777" w:rsidR="00B87342" w:rsidRPr="00D82419" w:rsidRDefault="00B87342"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Atsauces uz tiesību aktiem un norādes</w:t>
            </w:r>
          </w:p>
        </w:tc>
      </w:tr>
      <w:tr w:rsidR="00B87342" w:rsidRPr="00D82419" w14:paraId="0045BC51" w14:textId="77777777" w:rsidTr="63452C95">
        <w:tc>
          <w:tcPr>
            <w:tcW w:w="1129" w:type="dxa"/>
          </w:tcPr>
          <w:p w14:paraId="25ECF8E9" w14:textId="7BC0B77B"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0010-0110</w:t>
            </w:r>
          </w:p>
        </w:tc>
        <w:tc>
          <w:tcPr>
            <w:tcW w:w="7620" w:type="dxa"/>
          </w:tcPr>
          <w:p w14:paraId="4F4071B3" w14:textId="3F3376DD"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Beztermiņa noguldījumi – Uzvedības modelēšana – Vidējie pārcenošanas datumi pirms un pēc modelēšanas</w:t>
            </w:r>
          </w:p>
          <w:p w14:paraId="7656C57A" w14:textId="5C4468AF"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xml:space="preserve">Vidējos pārcenošanas datumus, mērītus gados, aprēķina katrai beztermiņa noguldījumu kategorijai atbilstīgi šā pielikuma III daļas </w:t>
            </w:r>
            <w:r>
              <w:rPr>
                <w:noProof/>
              </w:rPr>
              <w:t>2. iedaļā norādītajam sadalījumam</w:t>
            </w:r>
            <w:r>
              <w:rPr>
                <w:rStyle w:val="FormatvorlageInstructionsTabelleText"/>
                <w:rFonts w:ascii="Times New Roman" w:hAnsi="Times New Roman"/>
                <w:noProof/>
                <w:sz w:val="24"/>
              </w:rPr>
              <w:t xml:space="preserve">, ar šādu sīkāku sadalījumu: a) daļa, ko uzskata par “pamata” apjomu (beztermiņa noguldījumiem, kas atšķiras no finanšu uzņēmumiem, un saskaņā ar “pamata” definīciju </w:t>
            </w:r>
            <w:r>
              <w:rPr>
                <w:noProof/>
              </w:rPr>
              <w:t xml:space="preserve">Deleģētās regulas (ES) .../... (PB: lūgums pievienot atsauci uz RTS par </w:t>
            </w:r>
            <w:r>
              <w:rPr>
                <w:i/>
                <w:noProof/>
              </w:rPr>
              <w:t>SA</w:t>
            </w:r>
            <w:r>
              <w:rPr>
                <w:noProof/>
              </w:rPr>
              <w:t>) 1. panta 15) punktā</w:t>
            </w:r>
            <w:r>
              <w:rPr>
                <w:rStyle w:val="FormatvorlageInstructionsTabelleText"/>
                <w:rFonts w:ascii="Times New Roman" w:hAnsi="Times New Roman"/>
                <w:noProof/>
                <w:sz w:val="24"/>
              </w:rPr>
              <w:t xml:space="preserve">, b) regulēto krājnoguldījumu perimetrs, kā minēts </w:t>
            </w:r>
            <w:r>
              <w:rPr>
                <w:noProof/>
              </w:rPr>
              <w:t>Regulas (ES) Nr. 575/2013 428.f panta 2. punkta a) apakšpunktā,</w:t>
            </w:r>
            <w:r>
              <w:rPr>
                <w:rStyle w:val="FormatvorlageInstructionsTabelleText"/>
                <w:rFonts w:ascii="Times New Roman" w:hAnsi="Times New Roman"/>
                <w:noProof/>
                <w:sz w:val="24"/>
              </w:rPr>
              <w:t xml:space="preserve"> — ne tikai centralizētajai daļai — vai jebkuru citu ar būtiskiem ekonomiskiem vai fiskāliem ierobežojumiem izņemšanas gadījumā, kam iestāde nepiemēro maksimālo robežvērtību to pārcenošanas termiņam (piemēram, 5 gadu maksimālo robežvērtību), savā </w:t>
            </w:r>
            <w:r>
              <w:rPr>
                <w:rStyle w:val="FormatvorlageInstructionsTabelleText"/>
                <w:rFonts w:ascii="Times New Roman" w:hAnsi="Times New Roman"/>
                <w:i/>
                <w:noProof/>
                <w:sz w:val="24"/>
              </w:rPr>
              <w:t>IRRBB</w:t>
            </w:r>
            <w:r>
              <w:rPr>
                <w:rStyle w:val="FormatvorlageInstructionsTabelleText"/>
                <w:rFonts w:ascii="Times New Roman" w:hAnsi="Times New Roman"/>
                <w:noProof/>
                <w:sz w:val="24"/>
              </w:rPr>
              <w:t xml:space="preserve"> iekšējā riska pārvaldībā, un c) operacionālo noguldījumu perimetrs, kā definēts </w:t>
            </w:r>
            <w:r>
              <w:rPr>
                <w:noProof/>
              </w:rPr>
              <w:t>Deleģētās regulas (ES) 2015/61 27. panta 1. punkta a) apakšpunktā</w:t>
            </w:r>
            <w:r>
              <w:rPr>
                <w:rStyle w:val="FormatvorlageInstructionsTabelleText"/>
                <w:rFonts w:ascii="Times New Roman" w:hAnsi="Times New Roman"/>
                <w:noProof/>
                <w:sz w:val="24"/>
              </w:rPr>
              <w:t>.</w:t>
            </w:r>
          </w:p>
          <w:p w14:paraId="0E697F4F" w14:textId="0B347860" w:rsidR="00B87342" w:rsidRPr="00D82419" w:rsidRDefault="00B87342"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 xml:space="preserve">Vidējos pārcenošanas datumus aprēķina kā “pārcenošanas datumu” svērto vidējo un piešķirto svērumu, pamatojoties uz pozīciju “nosacītajām pārcenošanas naudas plūsmām” katrā attiecīgajā beztermiņa noguldījumu kategorijā/sadalījumā (“nosacīto pārcenošanas naudas plūsmu” un “pārcenošanas datuma” definīcija, kā noteikts </w:t>
            </w:r>
            <w:r>
              <w:rPr>
                <w:noProof/>
              </w:rPr>
              <w:t xml:space="preserve">Deleģētās regulas (ES) .../... (PB: lūgums pievienot atsauci uz RTS par </w:t>
            </w:r>
            <w:r>
              <w:rPr>
                <w:i/>
                <w:noProof/>
              </w:rPr>
              <w:t>SA</w:t>
            </w:r>
            <w:r>
              <w:rPr>
                <w:rStyle w:val="FormatvorlageInstructionsTabelleText"/>
                <w:rFonts w:ascii="Times New Roman" w:hAnsi="Times New Roman"/>
                <w:noProof/>
                <w:sz w:val="24"/>
              </w:rPr>
              <w:t>) 1. panta 1) un 2) punktā.</w:t>
            </w:r>
          </w:p>
        </w:tc>
      </w:tr>
      <w:tr w:rsidR="00B87342" w:rsidRPr="00D82419" w14:paraId="1314EB2E" w14:textId="77777777" w:rsidTr="63452C95">
        <w:tc>
          <w:tcPr>
            <w:tcW w:w="1129" w:type="dxa"/>
          </w:tcPr>
          <w:p w14:paraId="0E560EE6" w14:textId="1917CD8F"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0120-0150</w:t>
            </w:r>
          </w:p>
        </w:tc>
        <w:tc>
          <w:tcPr>
            <w:tcW w:w="7620" w:type="dxa"/>
          </w:tcPr>
          <w:p w14:paraId="16864C20" w14:textId="4D758673"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Beztermiņa noguldījumi – Uzvedības modelēšana – </w:t>
            </w:r>
            <w:r>
              <w:rPr>
                <w:rStyle w:val="InstructionsTabelleberschrift"/>
                <w:rFonts w:ascii="Times New Roman" w:hAnsi="Times New Roman"/>
                <w:i/>
                <w:noProof/>
                <w:sz w:val="24"/>
              </w:rPr>
              <w:t>PTR</w:t>
            </w:r>
            <w:r>
              <w:rPr>
                <w:rStyle w:val="InstructionsTabelleberschrift"/>
                <w:rFonts w:ascii="Times New Roman" w:hAnsi="Times New Roman"/>
                <w:noProof/>
                <w:sz w:val="24"/>
              </w:rPr>
              <w:t xml:space="preserve"> 1 gada periodā</w:t>
            </w:r>
          </w:p>
          <w:p w14:paraId="7BE8129E" w14:textId="53FD4EE3" w:rsidR="00B87342" w:rsidRPr="00D82419" w:rsidRDefault="3DB3CFB4"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 xml:space="preserve">Novirzīšanas rādītājs (PTR), kā definēts </w:t>
            </w:r>
            <w:r>
              <w:rPr>
                <w:noProof/>
              </w:rPr>
              <w:t xml:space="preserve">Deleģētās regulas (ES) .../... (PB: lūgums pievienot atsauci uz RTS par SA) </w:t>
            </w:r>
            <w:r>
              <w:rPr>
                <w:rStyle w:val="FormatvorlageInstructionsTabelleText"/>
                <w:rFonts w:ascii="Times New Roman" w:hAnsi="Times New Roman"/>
                <w:noProof/>
                <w:sz w:val="24"/>
              </w:rPr>
              <w:t xml:space="preserve">1. panta 14) punktā, uzrāda pa beztermiņa noguldījumu kategorijām atbilstīgi šā pielikuma </w:t>
            </w:r>
            <w:r>
              <w:rPr>
                <w:noProof/>
              </w:rPr>
              <w:t>III daļas 2. iedaļā norādītajam sadalījumam</w:t>
            </w:r>
            <w:r>
              <w:rPr>
                <w:rStyle w:val="FormatvorlageInstructionsTabelleText"/>
                <w:rFonts w:ascii="Times New Roman" w:hAnsi="Times New Roman"/>
                <w:noProof/>
                <w:sz w:val="24"/>
              </w:rPr>
              <w:t xml:space="preserve"> un 1 gada laika periodā.</w:t>
            </w:r>
          </w:p>
          <w:p w14:paraId="39231CCE" w14:textId="5897B846" w:rsidR="00B87342" w:rsidRPr="00D82419" w:rsidRDefault="7EB25965" w:rsidP="003C575D">
            <w:pPr>
              <w:pStyle w:val="InstructionsText"/>
              <w:rPr>
                <w:rFonts w:eastAsia="Calibri"/>
                <w:noProof/>
              </w:rPr>
            </w:pPr>
            <w:r>
              <w:rPr>
                <w:noProof/>
              </w:rPr>
              <w:t xml:space="preserve">Iestādes kā </w:t>
            </w:r>
            <w:r>
              <w:rPr>
                <w:i/>
                <w:noProof/>
              </w:rPr>
              <w:t>PTR</w:t>
            </w:r>
            <w:r>
              <w:rPr>
                <w:noProof/>
              </w:rPr>
              <w:t xml:space="preserve"> uzrāda procentu likmju satricinājuma vidējo svērto procentuālo daļu, ko uzskata par pārvestu uz to beztermiņa noguldījumiem, procentu likmju regulatīvajos scenārijos un </w:t>
            </w:r>
            <w:r>
              <w:rPr>
                <w:i/>
                <w:noProof/>
              </w:rPr>
              <w:t>NII</w:t>
            </w:r>
            <w:r>
              <w:rPr>
                <w:noProof/>
              </w:rPr>
              <w:t xml:space="preserve"> rādītāju, kas noteikts </w:t>
            </w:r>
            <w:r w:rsidRPr="00456580">
              <w:rPr>
                <w:rStyle w:val="InstructionsTabelleberschrift"/>
                <w:rFonts w:ascii="Times New Roman" w:hAnsi="Times New Roman"/>
                <w:b w:val="0"/>
                <w:noProof/>
                <w:sz w:val="24"/>
                <w:u w:val="none"/>
              </w:rPr>
              <w:t xml:space="preserve">Deleģētajā regulā (ES) .../... (PB: lūgums pievienot atsauci uz RTS par </w:t>
            </w:r>
            <w:r w:rsidRPr="00456580">
              <w:rPr>
                <w:rStyle w:val="FormatvorlageInstructionsTabelleText"/>
                <w:rFonts w:ascii="Times New Roman" w:hAnsi="Times New Roman"/>
                <w:i/>
                <w:noProof/>
                <w:sz w:val="24"/>
              </w:rPr>
              <w:t>SOT</w:t>
            </w:r>
            <w:r w:rsidRPr="00456580">
              <w:rPr>
                <w:rStyle w:val="FormatvorlageInstructionsTabelleText"/>
                <w:rFonts w:ascii="Times New Roman" w:hAnsi="Times New Roman"/>
                <w:noProof/>
                <w:sz w:val="24"/>
              </w:rPr>
              <w:t>)</w:t>
            </w:r>
            <w:r w:rsidRPr="00456580">
              <w:rPr>
                <w:noProof/>
              </w:rPr>
              <w:t>.</w:t>
            </w:r>
          </w:p>
        </w:tc>
      </w:tr>
      <w:tr w:rsidR="00B87342" w:rsidRPr="00D82419" w14:paraId="44881724" w14:textId="77777777" w:rsidTr="63452C95">
        <w:tc>
          <w:tcPr>
            <w:tcW w:w="1129" w:type="dxa"/>
          </w:tcPr>
          <w:p w14:paraId="248EEF52" w14:textId="6ED74CE6"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0160-0220</w:t>
            </w:r>
          </w:p>
        </w:tc>
        <w:tc>
          <w:tcPr>
            <w:tcW w:w="7620" w:type="dxa"/>
          </w:tcPr>
          <w:p w14:paraId="1A7FEBB1" w14:textId="77777777"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Fiksēta likme – Priekšsamaksas risks – Vidējie pārcenošanas datumi pirms un pēc modelēšanas</w:t>
            </w:r>
          </w:p>
          <w:p w14:paraId="3E76D491" w14:textId="0A6DCF17" w:rsidR="0011705A" w:rsidRPr="00D82419" w:rsidRDefault="0011705A"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 xml:space="preserve">Vidējos pārcenošanas datumus, mērītus gados, aprēķina pa attiecīgajām kategorijām, kā noteikts šā pielikuma III daļas </w:t>
            </w:r>
            <w:r>
              <w:rPr>
                <w:noProof/>
              </w:rPr>
              <w:t>2. iedaļā</w:t>
            </w:r>
            <w:r>
              <w:rPr>
                <w:rStyle w:val="FormatvorlageInstructionsTabelleText"/>
                <w:rFonts w:ascii="Times New Roman" w:hAnsi="Times New Roman"/>
                <w:noProof/>
                <w:sz w:val="24"/>
              </w:rPr>
              <w:t>, fiksētas likmes “aizdevumiem un avansiem” un fiksētas likmes “parāda vērtspapīriem”, kas pakļauti priekšsamaksas riskam.</w:t>
            </w:r>
          </w:p>
          <w:p w14:paraId="6058AA3F" w14:textId="67C5AABC" w:rsidR="00B87342" w:rsidRPr="00D82419" w:rsidRDefault="0011705A"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 xml:space="preserve">Iestādes par pozīcijām, kas pakļautas priekšsamaksas riskam, uzskata tikai tās pozīcijas, par kurām klients pilnībā nesedz priekšsamaksas ekonomiskās izmaksas. Pozīcijas, par kurām klients pilnībā sedz priekšsamaksas ekonomiskās izmaksas, aprēķina vajadzībām neuzskata par pakļautām priekšsamaksas riskam. Vidējos pārcenošanas datumus aprēķina kā “pārcenošanas datumu” svērto vidējo un piešķirto svērumu, pamatojoties uz pozīciju “nosacītajām pārcenošanas naudas plūsmām” katrā attiecīgajā fiksētas likmes “aizdevumu un avansu” un fiksētas likmes “parāda vērtspapīru” kategorijā/sadalījumā (“nosacīto pārcenošanas naudas plūsmu” un “pārcenošanas datuma” definīcija, kā noteikts </w:t>
            </w:r>
            <w:r>
              <w:rPr>
                <w:noProof/>
              </w:rPr>
              <w:t xml:space="preserve">Deleģētās regulas (ES) .../... (PB: lūgums pievienot atsauci uz RTS par </w:t>
            </w:r>
            <w:r>
              <w:rPr>
                <w:i/>
                <w:noProof/>
              </w:rPr>
              <w:t>SA</w:t>
            </w:r>
            <w:r>
              <w:rPr>
                <w:rStyle w:val="FormatvorlageInstructionsTabelleText"/>
                <w:rFonts w:ascii="Times New Roman" w:hAnsi="Times New Roman"/>
                <w:noProof/>
                <w:sz w:val="24"/>
              </w:rPr>
              <w:t>) 1. panta 1) un 2) punktā.</w:t>
            </w:r>
          </w:p>
        </w:tc>
      </w:tr>
      <w:tr w:rsidR="00B87342" w:rsidRPr="00D82419" w14:paraId="105F7BA0" w14:textId="77777777" w:rsidTr="63452C95">
        <w:tc>
          <w:tcPr>
            <w:tcW w:w="1129" w:type="dxa"/>
          </w:tcPr>
          <w:p w14:paraId="33EC9B44" w14:textId="29F9C451"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0230-0290</w:t>
            </w:r>
          </w:p>
        </w:tc>
        <w:tc>
          <w:tcPr>
            <w:tcW w:w="7620" w:type="dxa"/>
          </w:tcPr>
          <w:p w14:paraId="170D5BB8" w14:textId="74C86AF3" w:rsidR="00B87342" w:rsidRPr="00D82419" w:rsidRDefault="00B87342" w:rsidP="003C575D">
            <w:pPr>
              <w:pStyle w:val="InstructionsText"/>
              <w:rPr>
                <w:rStyle w:val="FormatvorlageInstructionsTabelleText"/>
                <w:rFonts w:ascii="Times New Roman" w:hAnsi="Times New Roman"/>
                <w:b/>
                <w:noProof/>
                <w:sz w:val="24"/>
                <w:u w:val="single"/>
              </w:rPr>
            </w:pPr>
            <w:r>
              <w:rPr>
                <w:rStyle w:val="FormatvorlageInstructionsTabelleText"/>
                <w:rFonts w:ascii="Times New Roman" w:hAnsi="Times New Roman"/>
                <w:b/>
                <w:noProof/>
                <w:sz w:val="24"/>
                <w:u w:val="single"/>
              </w:rPr>
              <w:t>Fiksēta likme – Priekšsamaksas risks – Nosacītas priekšsamaksas likmes (gada vidējā vērtība)</w:t>
            </w:r>
          </w:p>
          <w:p w14:paraId="689AA958" w14:textId="083E3BBE" w:rsidR="00B87342" w:rsidRPr="00D82419" w:rsidRDefault="006A74E7"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Gada vidējo nosacīto priekšsamaksas likmi uzrāda gada izteiksmē pa attiecīgajām kategorijām, kā noteikts šā pielikuma III daļas</w:t>
            </w:r>
            <w:r>
              <w:rPr>
                <w:noProof/>
              </w:rPr>
              <w:t>2. iedaļā</w:t>
            </w:r>
            <w:r>
              <w:rPr>
                <w:rStyle w:val="FormatvorlageInstructionsTabelleText"/>
                <w:rFonts w:ascii="Times New Roman" w:hAnsi="Times New Roman"/>
                <w:noProof/>
                <w:sz w:val="24"/>
              </w:rPr>
              <w:t>, kā gada vidējo svērto priekšsamaksas likmi, par neatmaksāto summu katrā gada periodā līdz portfeļa atlikušo saistību izpildei fiksētas likmes “aizdevumu un avansu” un fiksētas likmes “parāda vērtspapīru” portfeļiem, kas pakļauti priekšsamaksas riskam.</w:t>
            </w:r>
          </w:p>
        </w:tc>
      </w:tr>
      <w:tr w:rsidR="00B87342" w:rsidRPr="00D82419" w14:paraId="57163FCB" w14:textId="77777777" w:rsidTr="63452C95">
        <w:tc>
          <w:tcPr>
            <w:tcW w:w="1129" w:type="dxa"/>
          </w:tcPr>
          <w:p w14:paraId="3A1656C2" w14:textId="3B773E31"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0300-0330</w:t>
            </w:r>
          </w:p>
        </w:tc>
        <w:tc>
          <w:tcPr>
            <w:tcW w:w="7620" w:type="dxa"/>
          </w:tcPr>
          <w:p w14:paraId="060B1BB5" w14:textId="56BF7C42"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Fiksēta likme – Pirmstermiņa atmaksas risks – Vidējie pārcenošanas datumi pirms un pēc modelēšanas</w:t>
            </w:r>
          </w:p>
          <w:p w14:paraId="1E1D4FB4" w14:textId="52E85BA2" w:rsidR="002901F9" w:rsidRPr="00D82419" w:rsidRDefault="002901F9"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 xml:space="preserve">Vidējos pārcenošanas datumus, mērītus gados, aprēķina pa attiecīgajām kategorijām, kā noteikts šā pielikuma III daļas </w:t>
            </w:r>
            <w:r>
              <w:rPr>
                <w:noProof/>
              </w:rPr>
              <w:t>2. iedaļā</w:t>
            </w:r>
            <w:r>
              <w:rPr>
                <w:rStyle w:val="FormatvorlageInstructionsTabelleText"/>
                <w:rFonts w:ascii="Times New Roman" w:hAnsi="Times New Roman"/>
                <w:noProof/>
                <w:sz w:val="24"/>
              </w:rPr>
              <w:t>, fiksētas likmes “termiņnoguldījumiem”, kas pakļauti pirmstermiņa atmaksas riskam.</w:t>
            </w:r>
          </w:p>
          <w:p w14:paraId="6587669C" w14:textId="6CE97E7A" w:rsidR="002901F9" w:rsidRPr="00D82419" w:rsidRDefault="002901F9"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 xml:space="preserve">Vidējos pārcenošanas datumus aprēķina kā “pārcenošanas datumu” svērto vidējo un piešķirto svērumu, pamatojoties uz pozīciju kopsavilkumu “nosacītajām pārcenošanas naudas plūsmām” katrā attiecīgajā kategorijā/sadalījumā (“nosacīto pārcenošanas naudas plūsmu” un “pārcenošanas datuma” definīcija, kā noteikts </w:t>
            </w:r>
            <w:r>
              <w:rPr>
                <w:noProof/>
              </w:rPr>
              <w:t xml:space="preserve">Deleģētās regulas (ES) .../... (PB: lūgums pievienot atsauci uz RTS par </w:t>
            </w:r>
            <w:r>
              <w:rPr>
                <w:i/>
                <w:noProof/>
              </w:rPr>
              <w:t>SA</w:t>
            </w:r>
            <w:r>
              <w:rPr>
                <w:rStyle w:val="FormatvorlageInstructionsTabelleText"/>
                <w:rFonts w:ascii="Times New Roman" w:hAnsi="Times New Roman"/>
                <w:noProof/>
                <w:sz w:val="24"/>
              </w:rPr>
              <w:t>) 1. panta 1) un 2) punktā.</w:t>
            </w:r>
          </w:p>
          <w:p w14:paraId="7AA2EACA" w14:textId="10F458EC" w:rsidR="00B87342" w:rsidRPr="00D82419" w:rsidRDefault="002901F9"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Iestādes par pozīcijām, kas pakļautas pirmstermiņa atmaksas riskam, uzskata tikai tās pozīcijas, par kurām klients pilnībā nesedz pirmstermiņa atmaksas ekonomiskās izmaksas. Pozīcijas, par kurām klients pilnībā sedz pirmstermiņa atmaksas ekonomiskās izmaksas, aprēķina vajadzībām neuzskata par pakļautām pirmstermiņa atmaksas riskam.</w:t>
            </w:r>
          </w:p>
        </w:tc>
      </w:tr>
      <w:tr w:rsidR="00B87342" w:rsidRPr="00D82419" w14:paraId="481018BD" w14:textId="77777777" w:rsidTr="63452C95">
        <w:tc>
          <w:tcPr>
            <w:tcW w:w="1129" w:type="dxa"/>
          </w:tcPr>
          <w:p w14:paraId="0B9A24B1" w14:textId="6B6EE886"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0340-0370</w:t>
            </w:r>
          </w:p>
        </w:tc>
        <w:tc>
          <w:tcPr>
            <w:tcW w:w="7620" w:type="dxa"/>
          </w:tcPr>
          <w:p w14:paraId="337E5AE4" w14:textId="084B5BDD"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Fiksēta likme – Pirmstermiņa atmaksas risks – Pirmstermiņa atmaksas likmes (kumulatīvā vidējā vērtība)</w:t>
            </w:r>
          </w:p>
          <w:p w14:paraId="34980BF9" w14:textId="2C0D7DC4" w:rsidR="00B87342" w:rsidRPr="00D82419" w:rsidRDefault="00950563"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 xml:space="preserve">Kumulatīvo vidējo nosacīto pirmstermiņa atmaksas likmi uzrāda pa attiecīgajām kategorijām, kā noteikts šā pielikuma III daļas </w:t>
            </w:r>
            <w:r>
              <w:rPr>
                <w:noProof/>
              </w:rPr>
              <w:t>2. iedaļā</w:t>
            </w:r>
            <w:r>
              <w:rPr>
                <w:rStyle w:val="FormatvorlageInstructionsTabelleText"/>
                <w:rFonts w:ascii="Times New Roman" w:hAnsi="Times New Roman"/>
                <w:noProof/>
                <w:sz w:val="24"/>
              </w:rPr>
              <w:t>, kā attiecību starp pirmstermiņa atmaksas riskam pakļauto fiksētas likmes “termiņnoguldījumu” pozīciju pirmstermiņa atmaksāto summu (pa attiecīgajām kategorijām), dalot ar pirmstermiņa atmaksas riskam pakļauto fiksētas likmes “termiņnoguldījumu” kopējo neatmaksāto summu (pa attiecīgajām kategorijām).</w:t>
            </w:r>
          </w:p>
        </w:tc>
      </w:tr>
    </w:tbl>
    <w:p w14:paraId="477588BE" w14:textId="77777777" w:rsidR="0074085C" w:rsidRPr="00D82419" w:rsidRDefault="0074085C" w:rsidP="00430DF0">
      <w:pPr>
        <w:suppressAutoHyphens/>
        <w:spacing w:after="0"/>
        <w:rPr>
          <w:rStyle w:val="InstructionsTabelleText"/>
          <w:rFonts w:ascii="Times New Roman" w:hAnsi="Times New Roman"/>
          <w:noProof/>
          <w:sz w:val="24"/>
        </w:rPr>
      </w:pPr>
    </w:p>
    <w:p w14:paraId="3D10AEE0" w14:textId="77777777" w:rsidR="0074085C" w:rsidRPr="00D82419" w:rsidRDefault="0074085C" w:rsidP="00430DF0">
      <w:pPr>
        <w:suppressAutoHyphens/>
        <w:spacing w:after="0"/>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5B10B8" w:rsidRPr="00D82419" w14:paraId="0DA0B8E7" w14:textId="77777777" w:rsidTr="63452C95">
        <w:tc>
          <w:tcPr>
            <w:tcW w:w="1129" w:type="dxa"/>
            <w:shd w:val="clear" w:color="auto" w:fill="D9D9D9" w:themeFill="background1" w:themeFillShade="D9"/>
          </w:tcPr>
          <w:p w14:paraId="12788917" w14:textId="77777777" w:rsidR="005B10B8" w:rsidRPr="00D82419" w:rsidRDefault="005B10B8"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Slejas</w:t>
            </w:r>
          </w:p>
        </w:tc>
        <w:tc>
          <w:tcPr>
            <w:tcW w:w="7620" w:type="dxa"/>
            <w:shd w:val="clear" w:color="auto" w:fill="D9D9D9" w:themeFill="background1" w:themeFillShade="D9"/>
          </w:tcPr>
          <w:p w14:paraId="353000F0" w14:textId="77777777" w:rsidR="005B10B8" w:rsidRPr="00D82419" w:rsidRDefault="005B10B8"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Atsauces uz tiesību aktiem un norādes</w:t>
            </w:r>
          </w:p>
        </w:tc>
      </w:tr>
      <w:tr w:rsidR="00F47983" w:rsidRPr="00D82419" w:rsidDel="00F47983" w14:paraId="4C4CB1B5" w14:textId="77777777" w:rsidTr="63452C95">
        <w:tc>
          <w:tcPr>
            <w:tcW w:w="1129" w:type="dxa"/>
          </w:tcPr>
          <w:p w14:paraId="62C284D6" w14:textId="7940C70E" w:rsidR="00F47983" w:rsidRPr="00D82419" w:rsidDel="00F47983" w:rsidRDefault="00F4798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2118B900" w14:textId="77777777" w:rsidR="00F47983" w:rsidRPr="00D82419" w:rsidRDefault="00F4798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Nosacītā summa</w:t>
            </w:r>
          </w:p>
          <w:p w14:paraId="5B6EFF80" w14:textId="5E9934E5" w:rsidR="00F47983" w:rsidRPr="00D82419" w:rsidDel="00F47983" w:rsidRDefault="004F47D0" w:rsidP="003C575D">
            <w:pPr>
              <w:pStyle w:val="InstructionsText"/>
              <w:rPr>
                <w:rStyle w:val="InstructionsTabelleberschrift"/>
                <w:rFonts w:ascii="Times New Roman" w:hAnsi="Times New Roman"/>
                <w:noProof/>
                <w:sz w:val="24"/>
              </w:rPr>
            </w:pPr>
            <w:r>
              <w:rPr>
                <w:noProof/>
              </w:rPr>
              <w:t>Iestādes ievēro tās pašas norādes, kas aprakstītas {J 05.00; c0010}.</w:t>
            </w:r>
          </w:p>
        </w:tc>
      </w:tr>
      <w:tr w:rsidR="005B10B8" w:rsidRPr="00D82419" w14:paraId="102216EE" w14:textId="77777777" w:rsidTr="63452C95">
        <w:tc>
          <w:tcPr>
            <w:tcW w:w="1129" w:type="dxa"/>
          </w:tcPr>
          <w:p w14:paraId="5DE0749C" w14:textId="01F50747" w:rsidR="005B10B8" w:rsidRPr="00D82419" w:rsidRDefault="005B10B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620" w:type="dxa"/>
          </w:tcPr>
          <w:p w14:paraId="46BCBBB4" w14:textId="77777777" w:rsidR="00E62089" w:rsidRPr="00D82419" w:rsidRDefault="005B10B8"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noProof/>
                <w:sz w:val="24"/>
              </w:rPr>
              <w:t>Atkarīgs no uzvedības modelēšanas (%)</w:t>
            </w:r>
            <w:r>
              <w:rPr>
                <w:rStyle w:val="InstructionsTabelleberschrift"/>
                <w:rFonts w:ascii="Times New Roman" w:hAnsi="Times New Roman"/>
                <w:b w:val="0"/>
                <w:noProof/>
                <w:sz w:val="24"/>
                <w:u w:val="none"/>
              </w:rPr>
              <w:t xml:space="preserve"> </w:t>
            </w:r>
          </w:p>
          <w:p w14:paraId="516AFABD" w14:textId="368F2955" w:rsidR="005B10B8" w:rsidRPr="00D82419" w:rsidRDefault="0083437E" w:rsidP="003C575D">
            <w:pPr>
              <w:pStyle w:val="InstructionsText"/>
              <w:rPr>
                <w:rStyle w:val="InstructionsTabelleberschrift"/>
                <w:rFonts w:ascii="Times New Roman" w:hAnsi="Times New Roman"/>
                <w:b w:val="0"/>
                <w:noProof/>
                <w:sz w:val="24"/>
                <w:u w:val="none"/>
              </w:rPr>
            </w:pPr>
            <w:r>
              <w:rPr>
                <w:noProof/>
              </w:rPr>
              <w:t>Iestādes ievēro tās pašas norādes, kas aprakstītas {J 05.00; c0040}.</w:t>
            </w:r>
          </w:p>
        </w:tc>
      </w:tr>
      <w:tr w:rsidR="005B10B8" w:rsidRPr="00D82419" w14:paraId="42F754E3" w14:textId="77777777" w:rsidTr="63452C95">
        <w:tc>
          <w:tcPr>
            <w:tcW w:w="1129" w:type="dxa"/>
          </w:tcPr>
          <w:p w14:paraId="70F3C500" w14:textId="1658EE49" w:rsidR="005B10B8" w:rsidRPr="00D82419" w:rsidRDefault="005B10B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620" w:type="dxa"/>
          </w:tcPr>
          <w:p w14:paraId="52D99519" w14:textId="6F2418B4" w:rsidR="005B10B8" w:rsidRPr="00D82419" w:rsidRDefault="005B10B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Pamatscenārijs (līgumisks)</w:t>
            </w:r>
          </w:p>
          <w:p w14:paraId="3844FF21" w14:textId="29835F5D" w:rsidR="003D25AF" w:rsidRPr="00D82419" w:rsidRDefault="003D25A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Iestādes sniedz attiecīgos parametrus (t. i., vidējos pārcenošanas datumus) saskaņā ar pamatā esošo instrumentu līguma nosacījumiem</w:t>
            </w:r>
            <w:r>
              <w:rPr>
                <w:rStyle w:val="InstructionsTabelleberschrift"/>
                <w:rFonts w:ascii="Times New Roman" w:hAnsi="Times New Roman"/>
                <w:b w:val="0"/>
                <w:noProof/>
                <w:sz w:val="24"/>
                <w:u w:val="none"/>
              </w:rPr>
              <w:t xml:space="preserve"> riska darījumiem, uz kuriem attiecas līguma noteikumi un iezīmes, procentu likmju pamatscenārijā</w:t>
            </w:r>
            <w:r>
              <w:rPr>
                <w:rStyle w:val="FormatvorlageInstructionsTabelleText"/>
                <w:rFonts w:ascii="Times New Roman" w:hAnsi="Times New Roman"/>
                <w:noProof/>
                <w:sz w:val="24"/>
              </w:rPr>
              <w:t xml:space="preserve">. </w:t>
            </w:r>
          </w:p>
          <w:p w14:paraId="49FC7605" w14:textId="5C296D41" w:rsidR="003D25AF" w:rsidRPr="00456580" w:rsidRDefault="003D25AF" w:rsidP="003C575D">
            <w:pPr>
              <w:pStyle w:val="InstructionsText"/>
              <w:rPr>
                <w:rStyle w:val="FormatvorlageInstructionsTabelleText"/>
                <w:rFonts w:ascii="Times New Roman" w:hAnsi="Times New Roman"/>
                <w:bCs w:val="0"/>
                <w:noProof/>
                <w:sz w:val="24"/>
              </w:rPr>
            </w:pPr>
            <w:r>
              <w:rPr>
                <w:rStyle w:val="InstructionsTabelleberschrift"/>
                <w:rFonts w:ascii="Times New Roman" w:hAnsi="Times New Roman"/>
                <w:b w:val="0"/>
                <w:noProof/>
                <w:sz w:val="24"/>
                <w:u w:val="none"/>
              </w:rPr>
              <w:t xml:space="preserve">Iestādes uzrāda datus, pamatojoties uz specifikācijām, kas noteiktas </w:t>
            </w:r>
            <w:r>
              <w:rPr>
                <w:noProof/>
              </w:rPr>
              <w:t>Direktīvas 2013/36/ES 98. panta 5. punkta a) apakšpunktā</w:t>
            </w:r>
            <w:r>
              <w:rPr>
                <w:rStyle w:val="InstructionsTabelleberschrift"/>
                <w:b w:val="0"/>
                <w:noProof/>
                <w:u w:val="none"/>
              </w:rPr>
              <w:t xml:space="preserve"> un </w:t>
            </w:r>
            <w:r w:rsidRPr="00456580">
              <w:rPr>
                <w:rStyle w:val="InstructionsTabelleberschrift"/>
                <w:rFonts w:ascii="Times New Roman" w:hAnsi="Times New Roman"/>
                <w:b w:val="0"/>
                <w:noProof/>
                <w:sz w:val="24"/>
                <w:u w:val="none"/>
              </w:rPr>
              <w:t xml:space="preserve">Deleģētās regulas (ES) .../... (PB: lūgums pievienot atsauci uz RTS par </w:t>
            </w:r>
            <w:r w:rsidRPr="00456580">
              <w:rPr>
                <w:rStyle w:val="FormatvorlageInstructionsTabelleText"/>
                <w:rFonts w:ascii="Times New Roman" w:hAnsi="Times New Roman"/>
                <w:i/>
                <w:noProof/>
                <w:sz w:val="24"/>
              </w:rPr>
              <w:t>SOT</w:t>
            </w:r>
            <w:r w:rsidRPr="00456580">
              <w:rPr>
                <w:rStyle w:val="FormatvorlageInstructionsTabelleText"/>
                <w:rFonts w:ascii="Times New Roman" w:hAnsi="Times New Roman"/>
                <w:noProof/>
                <w:sz w:val="24"/>
              </w:rPr>
              <w:t>) 3. pantā.</w:t>
            </w:r>
          </w:p>
          <w:p w14:paraId="0039C2EB" w14:textId="62DF8180" w:rsidR="00A36E5F" w:rsidRPr="00D82419" w:rsidRDefault="003D25AF" w:rsidP="003C575D">
            <w:pPr>
              <w:pStyle w:val="InstructionsText"/>
              <w:rPr>
                <w:rStyle w:val="InstructionsTabelleberschrift"/>
                <w:rFonts w:ascii="Times New Roman" w:hAnsi="Times New Roman"/>
                <w:b w:val="0"/>
                <w:noProof/>
                <w:sz w:val="24"/>
                <w:u w:val="none"/>
              </w:rPr>
            </w:pPr>
            <w:r>
              <w:rPr>
                <w:rStyle w:val="FormatvorlageInstructionsTabelleText"/>
                <w:rFonts w:ascii="Times New Roman" w:hAnsi="Times New Roman"/>
                <w:noProof/>
                <w:sz w:val="24"/>
              </w:rPr>
              <w:t xml:space="preserve">Uzvedības modeļus vai nosacītus modeļus (kā noteikts </w:t>
            </w:r>
            <w:r>
              <w:rPr>
                <w:rStyle w:val="InstructionsTabelleberschrift"/>
                <w:rFonts w:ascii="Times New Roman" w:hAnsi="Times New Roman"/>
                <w:b w:val="0"/>
                <w:noProof/>
                <w:sz w:val="24"/>
                <w:u w:val="none"/>
              </w:rPr>
              <w:t xml:space="preserve">Deleģētās regulas (ES) .../... (PB: lūgums pievienot atsauci uz RTS par </w:t>
            </w:r>
            <w:r>
              <w:rPr>
                <w:rStyle w:val="FormatvorlageInstructionsTabelleText"/>
                <w:rFonts w:ascii="Times New Roman" w:hAnsi="Times New Roman"/>
                <w:i/>
                <w:noProof/>
                <w:sz w:val="24"/>
              </w:rPr>
              <w:t>SOT</w:t>
            </w:r>
            <w:r>
              <w:rPr>
                <w:rStyle w:val="FormatvorlageInstructionsTabelleText"/>
                <w:rFonts w:ascii="Times New Roman" w:hAnsi="Times New Roman"/>
                <w:noProof/>
                <w:sz w:val="24"/>
              </w:rPr>
              <w:t>) 3. panta 2. punkta c)</w:t>
            </w:r>
            <w:r w:rsidR="00456580">
              <w:rPr>
                <w:rStyle w:val="FormatvorlageInstructionsTabelleText"/>
                <w:rFonts w:ascii="Times New Roman" w:hAnsi="Times New Roman"/>
                <w:noProof/>
                <w:sz w:val="24"/>
              </w:rPr>
              <w:t> </w:t>
            </w:r>
            <w:r>
              <w:rPr>
                <w:rStyle w:val="FormatvorlageInstructionsTabelleText"/>
                <w:rFonts w:ascii="Times New Roman" w:hAnsi="Times New Roman"/>
                <w:noProof/>
                <w:sz w:val="24"/>
              </w:rPr>
              <w:t>apakšpunktā) neņem vērā, lai iegūtu parametrus.</w:t>
            </w:r>
          </w:p>
        </w:tc>
      </w:tr>
      <w:tr w:rsidR="00B2164F" w:rsidRPr="00D82419" w14:paraId="667D2C44" w14:textId="77777777" w:rsidTr="63452C95">
        <w:tc>
          <w:tcPr>
            <w:tcW w:w="1129" w:type="dxa"/>
          </w:tcPr>
          <w:p w14:paraId="2580660E" w14:textId="5AD3781B"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620" w:type="dxa"/>
          </w:tcPr>
          <w:p w14:paraId="000FABC9" w14:textId="2AF06EDD"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Pamatscenārijs (uzvedības)</w:t>
            </w:r>
          </w:p>
          <w:p w14:paraId="0577FD0F" w14:textId="5353BCF4" w:rsidR="00B2164F" w:rsidRPr="00D82419" w:rsidRDefault="00B2164F"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 xml:space="preserve">Iestādes norāda attiecīgos parametrus (t. i., vidējos pārcenošanas datumus), ko izmanto </w:t>
            </w:r>
            <w:r>
              <w:rPr>
                <w:rStyle w:val="InstructionsTabelleberschrift"/>
                <w:rFonts w:ascii="Times New Roman" w:hAnsi="Times New Roman"/>
                <w:b w:val="0"/>
                <w:noProof/>
                <w:sz w:val="24"/>
                <w:u w:val="none"/>
              </w:rPr>
              <w:t>riska darījumiem, kuriem piemēro uzvedības modelēšanu un kuru naudas plūsmu laika grafiks un summa ir atkarīga no klientu uzvedības, procentu likmju pamatscenārijā</w:t>
            </w:r>
            <w:r>
              <w:rPr>
                <w:rStyle w:val="FormatvorlageInstructionsTabelleText"/>
                <w:rFonts w:ascii="Times New Roman" w:hAnsi="Times New Roman"/>
                <w:noProof/>
                <w:sz w:val="24"/>
              </w:rPr>
              <w:t xml:space="preserve">. </w:t>
            </w:r>
          </w:p>
          <w:p w14:paraId="7A4FE7D1" w14:textId="6D70AB16" w:rsidR="00B2164F" w:rsidRPr="00D82419" w:rsidRDefault="00B2164F"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Iestādes uzrāda datus, pamatojoties uz specifikācijām, kas noteiktas </w:t>
            </w:r>
            <w:r>
              <w:rPr>
                <w:noProof/>
              </w:rPr>
              <w:t>Direktīvas 2013/36/ES 98. panta 5. punkta a) apakšpunktā</w:t>
            </w:r>
            <w:r>
              <w:rPr>
                <w:rStyle w:val="InstructionsTabelleberschrift"/>
                <w:b w:val="0"/>
                <w:noProof/>
                <w:u w:val="none"/>
              </w:rPr>
              <w:t xml:space="preserve"> </w:t>
            </w:r>
            <w:r w:rsidRPr="00456580">
              <w:rPr>
                <w:rStyle w:val="InstructionsTabelleberschrift"/>
                <w:rFonts w:ascii="Times New Roman" w:hAnsi="Times New Roman"/>
                <w:b w:val="0"/>
                <w:noProof/>
                <w:sz w:val="24"/>
                <w:u w:val="none"/>
              </w:rPr>
              <w:t xml:space="preserve">un Deleģētās regulas (ES) .../... (PB: lūgums pievienot atsauci uz RTS par </w:t>
            </w:r>
            <w:r w:rsidRPr="00456580">
              <w:rPr>
                <w:rStyle w:val="FormatvorlageInstructionsTabelleText"/>
                <w:rFonts w:ascii="Times New Roman" w:hAnsi="Times New Roman"/>
                <w:i/>
                <w:noProof/>
                <w:sz w:val="24"/>
              </w:rPr>
              <w:t>SOT</w:t>
            </w:r>
            <w:r w:rsidRPr="00456580">
              <w:rPr>
                <w:rStyle w:val="FormatvorlageInstructionsTabelleText"/>
                <w:rFonts w:ascii="Times New Roman" w:hAnsi="Times New Roman"/>
                <w:noProof/>
                <w:sz w:val="24"/>
              </w:rPr>
              <w:t>) 3. pantā.</w:t>
            </w:r>
          </w:p>
        </w:tc>
      </w:tr>
      <w:tr w:rsidR="00B2164F" w:rsidRPr="00D82419" w14:paraId="6D8D7D20" w14:textId="77777777" w:rsidTr="63452C95">
        <w:tc>
          <w:tcPr>
            <w:tcW w:w="1129" w:type="dxa"/>
          </w:tcPr>
          <w:p w14:paraId="6B1829E8" w14:textId="30EECC5E"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620" w:type="dxa"/>
          </w:tcPr>
          <w:p w14:paraId="6DB8ED08" w14:textId="7099B5A1"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Paralēls augšupvērsts satricinājums </w:t>
            </w:r>
          </w:p>
          <w:p w14:paraId="300C93C3" w14:textId="0E724783" w:rsidR="00B2164F" w:rsidRPr="00D82419" w:rsidRDefault="00E32A97" w:rsidP="003C575D">
            <w:pPr>
              <w:pStyle w:val="InstructionsText"/>
              <w:rPr>
                <w:rStyle w:val="InstructionsTabelleberschrift"/>
                <w:rFonts w:ascii="Times New Roman" w:hAnsi="Times New Roman"/>
                <w:b w:val="0"/>
                <w:bCs w:val="0"/>
                <w:noProof/>
                <w:sz w:val="24"/>
                <w:u w:val="none"/>
              </w:rPr>
            </w:pPr>
            <w:r>
              <w:rPr>
                <w:noProof/>
              </w:rPr>
              <w:t>Iestādes ievēro tās pašas norādes, kas aprakstītas {J 01.00; r0040}.</w:t>
            </w:r>
          </w:p>
        </w:tc>
      </w:tr>
      <w:tr w:rsidR="00B2164F" w:rsidRPr="00D82419" w14:paraId="544E890D" w14:textId="77777777" w:rsidTr="63452C95">
        <w:tc>
          <w:tcPr>
            <w:tcW w:w="1129" w:type="dxa"/>
          </w:tcPr>
          <w:p w14:paraId="53DE47F8" w14:textId="418E41D9"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620" w:type="dxa"/>
          </w:tcPr>
          <w:p w14:paraId="79AB7DEB" w14:textId="53D9DB8C"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Paralēls lejupvērsts satricinājums </w:t>
            </w:r>
          </w:p>
          <w:p w14:paraId="117BC558" w14:textId="751EDFD3" w:rsidR="00B2164F" w:rsidRPr="00D82419" w:rsidRDefault="00E32A97" w:rsidP="003C575D">
            <w:pPr>
              <w:pStyle w:val="InstructionsText"/>
              <w:rPr>
                <w:rStyle w:val="InstructionsTabelleberschrift"/>
                <w:rFonts w:ascii="Times New Roman" w:hAnsi="Times New Roman"/>
                <w:noProof/>
                <w:sz w:val="24"/>
              </w:rPr>
            </w:pPr>
            <w:r>
              <w:rPr>
                <w:noProof/>
              </w:rPr>
              <w:t>Iestādes ievēro tās pašas norādes, kas aprakstītas {J 01.00; r0050}.</w:t>
            </w:r>
          </w:p>
        </w:tc>
      </w:tr>
      <w:tr w:rsidR="00B2164F" w:rsidRPr="00D82419" w14:paraId="787D1540" w14:textId="77777777" w:rsidTr="63452C95">
        <w:tc>
          <w:tcPr>
            <w:tcW w:w="1129" w:type="dxa"/>
          </w:tcPr>
          <w:p w14:paraId="79200A12" w14:textId="78456E09"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620" w:type="dxa"/>
          </w:tcPr>
          <w:p w14:paraId="660534BE" w14:textId="67C85FA6"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Kāpuma satricinājums </w:t>
            </w:r>
          </w:p>
          <w:p w14:paraId="5D2F3E7C" w14:textId="43E6083D" w:rsidR="00B2164F" w:rsidRPr="00D82419" w:rsidRDefault="00E32A97" w:rsidP="003C575D">
            <w:pPr>
              <w:pStyle w:val="InstructionsText"/>
              <w:rPr>
                <w:rStyle w:val="InstructionsTabelleberschrift"/>
                <w:rFonts w:ascii="Times New Roman" w:hAnsi="Times New Roman"/>
                <w:noProof/>
                <w:sz w:val="24"/>
              </w:rPr>
            </w:pPr>
            <w:r>
              <w:rPr>
                <w:noProof/>
              </w:rPr>
              <w:t>Iestādes ievēro tās pašas norādes, kas aprakstītas {J 01.00; r0060}.</w:t>
            </w:r>
          </w:p>
        </w:tc>
      </w:tr>
      <w:tr w:rsidR="00B2164F" w:rsidRPr="00D82419" w14:paraId="26632335" w14:textId="77777777" w:rsidTr="63452C95">
        <w:tc>
          <w:tcPr>
            <w:tcW w:w="1129" w:type="dxa"/>
          </w:tcPr>
          <w:p w14:paraId="0601D2A0" w14:textId="683FDEA6"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620" w:type="dxa"/>
          </w:tcPr>
          <w:p w14:paraId="1A9F3B03" w14:textId="0D0A62B0"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Izlīdzinājuma satricinājums </w:t>
            </w:r>
          </w:p>
          <w:p w14:paraId="0EF9F61B" w14:textId="340D5599" w:rsidR="00B2164F" w:rsidRPr="00D82419" w:rsidRDefault="00E32A97" w:rsidP="003C575D">
            <w:pPr>
              <w:pStyle w:val="InstructionsText"/>
              <w:rPr>
                <w:rStyle w:val="InstructionsTabelleberschrift"/>
                <w:rFonts w:ascii="Times New Roman" w:hAnsi="Times New Roman"/>
                <w:noProof/>
                <w:sz w:val="24"/>
              </w:rPr>
            </w:pPr>
            <w:r>
              <w:rPr>
                <w:noProof/>
              </w:rPr>
              <w:t>Iestādes ievēro tās pašas norādes, kas aprakstītas {J 01.00; r0070}.</w:t>
            </w:r>
          </w:p>
        </w:tc>
      </w:tr>
      <w:tr w:rsidR="00B2164F" w:rsidRPr="00D82419" w14:paraId="58F3D8B0" w14:textId="77777777" w:rsidTr="63452C95">
        <w:tc>
          <w:tcPr>
            <w:tcW w:w="1129" w:type="dxa"/>
          </w:tcPr>
          <w:p w14:paraId="1C269019" w14:textId="66D93D88"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620" w:type="dxa"/>
          </w:tcPr>
          <w:p w14:paraId="0E72BFB7" w14:textId="6278A552"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Augšupvērsts īss likmju satricinājums </w:t>
            </w:r>
          </w:p>
          <w:p w14:paraId="7CD02A4D" w14:textId="077159AA" w:rsidR="00B2164F" w:rsidRPr="00D82419" w:rsidRDefault="002100F4" w:rsidP="003C575D">
            <w:pPr>
              <w:pStyle w:val="InstructionsText"/>
              <w:rPr>
                <w:rStyle w:val="InstructionsTabelleberschrift"/>
                <w:rFonts w:ascii="Times New Roman" w:hAnsi="Times New Roman"/>
                <w:noProof/>
                <w:sz w:val="24"/>
              </w:rPr>
            </w:pPr>
            <w:r>
              <w:rPr>
                <w:noProof/>
              </w:rPr>
              <w:t>Iestādes ievēro tās pašas norādes, kas aprakstītas {J 01.00; r0080}.</w:t>
            </w:r>
          </w:p>
        </w:tc>
      </w:tr>
      <w:tr w:rsidR="00B2164F" w:rsidRPr="00D82419" w14:paraId="3C8E5AC7" w14:textId="77777777" w:rsidTr="63452C95">
        <w:tc>
          <w:tcPr>
            <w:tcW w:w="1129" w:type="dxa"/>
          </w:tcPr>
          <w:p w14:paraId="1DCCB693" w14:textId="701E1D81"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620" w:type="dxa"/>
          </w:tcPr>
          <w:p w14:paraId="27C110D6" w14:textId="496B1B26"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Lejupvērsts īss likmju satricinājums </w:t>
            </w:r>
          </w:p>
          <w:p w14:paraId="04293978" w14:textId="3C4DA249" w:rsidR="00B2164F" w:rsidRPr="00D82419" w:rsidRDefault="002100F4" w:rsidP="003C575D">
            <w:pPr>
              <w:pStyle w:val="InstructionsText"/>
              <w:rPr>
                <w:rStyle w:val="InstructionsTabelleberschrift"/>
                <w:rFonts w:ascii="Times New Roman" w:hAnsi="Times New Roman"/>
                <w:noProof/>
                <w:sz w:val="24"/>
              </w:rPr>
            </w:pPr>
            <w:r>
              <w:rPr>
                <w:noProof/>
              </w:rPr>
              <w:t>Iestādes ievēro tās pašas norādes, kas aprakstītas {J 01.00; r0090}.</w:t>
            </w:r>
          </w:p>
        </w:tc>
      </w:tr>
    </w:tbl>
    <w:p w14:paraId="239AC0DC" w14:textId="3397F6EF" w:rsidR="009E536A" w:rsidRPr="00D82419" w:rsidRDefault="009E536A" w:rsidP="00430DF0">
      <w:pPr>
        <w:suppressAutoHyphens/>
        <w:spacing w:after="0"/>
        <w:rPr>
          <w:rStyle w:val="InstructionsTabelleText"/>
          <w:rFonts w:ascii="Times New Roman" w:hAnsi="Times New Roman"/>
          <w:noProof/>
          <w:sz w:val="24"/>
        </w:rPr>
      </w:pPr>
    </w:p>
    <w:p w14:paraId="67E90C55" w14:textId="728B0D17" w:rsidR="0074085C" w:rsidRPr="00D82419" w:rsidRDefault="0074085C" w:rsidP="00430DF0">
      <w:pPr>
        <w:suppressAutoHyphens/>
        <w:spacing w:before="0" w:after="0"/>
        <w:jc w:val="left"/>
        <w:rPr>
          <w:rStyle w:val="InstructionsTabelleText"/>
          <w:rFonts w:ascii="Times New Roman" w:hAnsi="Times New Roman"/>
          <w:noProof/>
          <w:sz w:val="24"/>
        </w:rPr>
      </w:pPr>
      <w:r>
        <w:rPr>
          <w:noProof/>
        </w:rPr>
        <w:br w:type="page"/>
      </w:r>
    </w:p>
    <w:p w14:paraId="2A389102" w14:textId="231412D1" w:rsidR="0074085C" w:rsidRPr="00CB270D" w:rsidRDefault="0074085C" w:rsidP="00430DF0">
      <w:pPr>
        <w:pStyle w:val="Heading2"/>
        <w:suppressAutoHyphens/>
        <w:rPr>
          <w:noProof/>
        </w:rPr>
      </w:pPr>
      <w:bookmarkStart w:id="61" w:name="_Toc160179428"/>
      <w:r>
        <w:rPr>
          <w:noProof/>
        </w:rPr>
        <w:t>VI DAĻA. KVALITATĪVA INFORMĀCIJA (J 10.00 un J 11.00)</w:t>
      </w:r>
      <w:bookmarkEnd w:id="61"/>
    </w:p>
    <w:p w14:paraId="571FC04F" w14:textId="09F6DCA3" w:rsidR="0074085C" w:rsidRPr="00D10176" w:rsidRDefault="00D10176" w:rsidP="00430DF0">
      <w:pPr>
        <w:pStyle w:val="Instructionsberschrift2"/>
        <w:numPr>
          <w:ilvl w:val="0"/>
          <w:numId w:val="0"/>
        </w:numPr>
        <w:tabs>
          <w:tab w:val="left" w:pos="567"/>
        </w:tabs>
        <w:suppressAutoHyphens/>
        <w:rPr>
          <w:rFonts w:cs="Times New Roman"/>
          <w:b/>
          <w:bCs/>
          <w:noProof/>
          <w:sz w:val="24"/>
        </w:rPr>
      </w:pPr>
      <w:bookmarkStart w:id="62" w:name="_Toc160179429"/>
      <w:r>
        <w:rPr>
          <w:b/>
          <w:noProof/>
          <w:sz w:val="24"/>
        </w:rPr>
        <w:t>1.</w:t>
      </w:r>
      <w:r>
        <w:rPr>
          <w:b/>
          <w:noProof/>
          <w:sz w:val="24"/>
        </w:rPr>
        <w:tab/>
        <w:t>Vispārīgas piezīmes</w:t>
      </w:r>
      <w:bookmarkEnd w:id="62"/>
    </w:p>
    <w:p w14:paraId="74AAE8C3" w14:textId="0484956A" w:rsidR="0074085C" w:rsidRPr="007F52CC" w:rsidRDefault="00D10176" w:rsidP="00430DF0">
      <w:pPr>
        <w:tabs>
          <w:tab w:val="left" w:pos="567"/>
        </w:tabs>
        <w:suppressAutoHyphens/>
        <w:rPr>
          <w:rFonts w:ascii="Times New Roman" w:hAnsi="Times New Roman"/>
          <w:noProof/>
          <w:sz w:val="24"/>
        </w:rPr>
      </w:pPr>
      <w:r>
        <w:rPr>
          <w:noProof/>
        </w:rPr>
        <w:t>1.1.</w:t>
      </w:r>
      <w:r>
        <w:rPr>
          <w:noProof/>
        </w:rPr>
        <w:tab/>
      </w:r>
      <w:r>
        <w:rPr>
          <w:rFonts w:ascii="Times New Roman" w:hAnsi="Times New Roman"/>
          <w:noProof/>
          <w:sz w:val="24"/>
        </w:rPr>
        <w:t xml:space="preserve">J 10.00 un J 11.00 veidnē ir kvalitatīvi dati par metodiku, ko izmanto </w:t>
      </w:r>
      <w:r>
        <w:rPr>
          <w:rFonts w:ascii="Times New Roman" w:hAnsi="Times New Roman"/>
          <w:i/>
          <w:noProof/>
          <w:sz w:val="24"/>
        </w:rPr>
        <w:t>IRRBB</w:t>
      </w:r>
      <w:r>
        <w:rPr>
          <w:rFonts w:ascii="Times New Roman" w:hAnsi="Times New Roman"/>
          <w:noProof/>
          <w:sz w:val="24"/>
        </w:rPr>
        <w:t xml:space="preserve"> novērtēšanā. </w:t>
      </w:r>
    </w:p>
    <w:p w14:paraId="5B806750" w14:textId="40BB27F9" w:rsidR="003C1853" w:rsidRPr="006942B1" w:rsidRDefault="00D10176"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 xml:space="preserve">Iestādes sniedz attiecīgo informāciju, pamatojoties uz iepriekš noteiktu iespējas līgumu sarakstu. 0320. līdz 0360. rindu uzrāda atsevišķi par katru valūtu, kurā iestādei ir pozīcijas, kuru valūtā denominētu finanšu aktīvu vai saistību uzskaites vērtība ir 5 % vai vairāk no kopējiem banku portfeļa finanšu aktīviem vai saistībām vai mazāka par 5 %, ja aprēķinā iekļauto finanšu aktīvu vai saistību summa ir mazāka par 90 % no kopējiem banku portfeļa finanšu aktīviem (izņemot materiālos pamatlīdzekļus) vai saistībām. Pārējās rindas (no 0010 līdz 0310) nav atkarīgas no valūtas. </w:t>
      </w:r>
    </w:p>
    <w:p w14:paraId="43FC2152" w14:textId="65D36F93" w:rsidR="0074085C" w:rsidRPr="00D10176" w:rsidRDefault="00D10176" w:rsidP="00430DF0">
      <w:pPr>
        <w:pStyle w:val="Instructionsberschrift2"/>
        <w:numPr>
          <w:ilvl w:val="0"/>
          <w:numId w:val="0"/>
        </w:numPr>
        <w:tabs>
          <w:tab w:val="left" w:pos="567"/>
        </w:tabs>
        <w:suppressAutoHyphens/>
        <w:rPr>
          <w:rFonts w:cs="Times New Roman"/>
          <w:b/>
          <w:bCs/>
          <w:noProof/>
          <w:sz w:val="24"/>
        </w:rPr>
      </w:pPr>
      <w:bookmarkStart w:id="63" w:name="_Toc160179430"/>
      <w:r>
        <w:rPr>
          <w:b/>
          <w:noProof/>
          <w:sz w:val="24"/>
        </w:rPr>
        <w:t>2.</w:t>
      </w:r>
      <w:r>
        <w:rPr>
          <w:b/>
          <w:noProof/>
          <w:sz w:val="24"/>
        </w:rPr>
        <w:tab/>
        <w:t>Norādes par konkrētām pozīcijām</w:t>
      </w:r>
      <w:bookmarkEnd w:id="6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74085C" w:rsidRPr="00D82419" w14:paraId="705499B5" w14:textId="77777777" w:rsidTr="763F32FC">
        <w:tc>
          <w:tcPr>
            <w:tcW w:w="1129" w:type="dxa"/>
            <w:shd w:val="clear" w:color="auto" w:fill="D9D9D9" w:themeFill="background1" w:themeFillShade="D9"/>
          </w:tcPr>
          <w:p w14:paraId="3A97293F" w14:textId="77777777" w:rsidR="0074085C" w:rsidRPr="00D82419" w:rsidRDefault="0074085C" w:rsidP="003C575D">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Rinda</w:t>
            </w:r>
          </w:p>
        </w:tc>
        <w:tc>
          <w:tcPr>
            <w:tcW w:w="7620" w:type="dxa"/>
            <w:shd w:val="clear" w:color="auto" w:fill="D9D9D9" w:themeFill="background1" w:themeFillShade="D9"/>
          </w:tcPr>
          <w:p w14:paraId="54162349" w14:textId="77777777" w:rsidR="0074085C" w:rsidRPr="00D82419" w:rsidRDefault="0074085C"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Atsauces uz tiesību aktiem un norādes</w:t>
            </w:r>
          </w:p>
        </w:tc>
      </w:tr>
      <w:tr w:rsidR="004B1A38" w:rsidRPr="00D82419" w14:paraId="5F38AE8D" w14:textId="77777777" w:rsidTr="763F32FC">
        <w:tc>
          <w:tcPr>
            <w:tcW w:w="1129" w:type="dxa"/>
          </w:tcPr>
          <w:p w14:paraId="29457CC0" w14:textId="715B783F" w:rsidR="004B1A38" w:rsidRPr="00D82419" w:rsidRDefault="00841D8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54292758" w14:textId="4685B5BB" w:rsidR="002236E8" w:rsidRPr="00D82419" w:rsidRDefault="00217BB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i/>
                <w:noProof/>
                <w:sz w:val="24"/>
              </w:rPr>
              <w:t>SOT</w:t>
            </w:r>
            <w:r>
              <w:rPr>
                <w:rStyle w:val="InstructionsTabelleberschrift"/>
                <w:rFonts w:ascii="Times New Roman" w:hAnsi="Times New Roman"/>
                <w:noProof/>
                <w:sz w:val="24"/>
              </w:rPr>
              <w:t xml:space="preserve"> vajadzībām izmantotā pieeja (</w:t>
            </w:r>
            <w:r>
              <w:rPr>
                <w:rStyle w:val="InstructionsTabelleberschrift"/>
                <w:rFonts w:ascii="Times New Roman" w:hAnsi="Times New Roman"/>
                <w:i/>
                <w:noProof/>
                <w:sz w:val="24"/>
              </w:rPr>
              <w:t>NII/EVE</w:t>
            </w:r>
            <w:r>
              <w:rPr>
                <w:rStyle w:val="InstructionsTabelleberschrift"/>
                <w:rFonts w:ascii="Times New Roman" w:hAnsi="Times New Roman"/>
                <w:noProof/>
                <w:sz w:val="24"/>
              </w:rPr>
              <w:t>)</w:t>
            </w:r>
          </w:p>
          <w:p w14:paraId="7216C571" w14:textId="77455230" w:rsidR="004B1A38" w:rsidRPr="00D82419" w:rsidRDefault="00217BB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Iestādes norāda pieeju, ko izmanto </w:t>
            </w:r>
            <w:r>
              <w:rPr>
                <w:rStyle w:val="InstructionsTabelleberschrift"/>
                <w:rFonts w:ascii="Times New Roman" w:hAnsi="Times New Roman"/>
                <w:b w:val="0"/>
                <w:i/>
                <w:noProof/>
                <w:sz w:val="24"/>
                <w:u w:val="none"/>
              </w:rPr>
              <w:t>SOT</w:t>
            </w:r>
            <w:r>
              <w:rPr>
                <w:rStyle w:val="InstructionsTabelleberschrift"/>
                <w:rFonts w:ascii="Times New Roman" w:hAnsi="Times New Roman"/>
                <w:b w:val="0"/>
                <w:noProof/>
                <w:sz w:val="24"/>
                <w:u w:val="none"/>
              </w:rPr>
              <w:t xml:space="preserve"> aprēķina vajadzībām (</w:t>
            </w:r>
            <w:r>
              <w:rPr>
                <w:rStyle w:val="InstructionsTabelleberschrift"/>
                <w:rFonts w:ascii="Times New Roman" w:hAnsi="Times New Roman"/>
                <w:b w:val="0"/>
                <w:i/>
                <w:noProof/>
                <w:sz w:val="24"/>
                <w:u w:val="none"/>
              </w:rPr>
              <w:t>NII/EVE</w:t>
            </w:r>
            <w:r>
              <w:rPr>
                <w:rStyle w:val="InstructionsTabelleberschrift"/>
                <w:rFonts w:ascii="Times New Roman" w:hAnsi="Times New Roman"/>
                <w:b w:val="0"/>
                <w:noProof/>
                <w:sz w:val="24"/>
                <w:u w:val="none"/>
              </w:rPr>
              <w:t>):</w:t>
            </w:r>
          </w:p>
          <w:p w14:paraId="7B855B4F" w14:textId="557797B9" w:rsidR="00217BB3" w:rsidRPr="00D82419" w:rsidRDefault="00D9240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vienkāršota standartizēta pieeja;</w:t>
            </w:r>
          </w:p>
          <w:p w14:paraId="7E6C77BA" w14:textId="36428AA7" w:rsidR="00217BB3" w:rsidRPr="00D82419" w:rsidRDefault="00D9240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standartizēta pieeja;</w:t>
            </w:r>
          </w:p>
          <w:p w14:paraId="69CFAD4F" w14:textId="2BFF009E" w:rsidR="00217BB3" w:rsidRPr="00D82419" w:rsidRDefault="00D9240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IMS.</w:t>
            </w:r>
          </w:p>
        </w:tc>
      </w:tr>
      <w:tr w:rsidR="00157828" w:rsidRPr="00D82419" w14:paraId="64BE9BF4" w14:textId="77777777" w:rsidTr="763F32FC">
        <w:tc>
          <w:tcPr>
            <w:tcW w:w="1129" w:type="dxa"/>
          </w:tcPr>
          <w:p w14:paraId="20392DF4" w14:textId="5D20EF89" w:rsidR="00157828" w:rsidRPr="00D82419" w:rsidRDefault="0015782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620" w:type="dxa"/>
          </w:tcPr>
          <w:p w14:paraId="5F35D420" w14:textId="3A4EC9E8" w:rsidR="00157828" w:rsidRPr="00D82419" w:rsidRDefault="00DA240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Kompetentās iestādes prasība (</w:t>
            </w:r>
            <w:r>
              <w:rPr>
                <w:rStyle w:val="InstructionsTabelleberschrift"/>
                <w:rFonts w:ascii="Times New Roman" w:hAnsi="Times New Roman"/>
                <w:i/>
                <w:noProof/>
                <w:sz w:val="24"/>
              </w:rPr>
              <w:t>NII/EVE</w:t>
            </w:r>
            <w:r>
              <w:rPr>
                <w:rStyle w:val="InstructionsTabelleberschrift"/>
                <w:rFonts w:ascii="Times New Roman" w:hAnsi="Times New Roman"/>
                <w:noProof/>
                <w:sz w:val="24"/>
              </w:rPr>
              <w:t>)</w:t>
            </w:r>
          </w:p>
          <w:p w14:paraId="389D5262" w14:textId="29DEC2AA" w:rsidR="00277E76" w:rsidRPr="00D82419" w:rsidRDefault="00BE7DD8" w:rsidP="003C575D">
            <w:pPr>
              <w:pStyle w:val="InstructionsText"/>
              <w:rPr>
                <w:rStyle w:val="InstructionsTabelleberschrift"/>
                <w:rFonts w:ascii="Times New Roman" w:hAnsi="Times New Roman"/>
                <w:b w:val="0"/>
                <w:bCs w:val="0"/>
                <w:noProof/>
                <w:sz w:val="24"/>
                <w:u w:val="none"/>
              </w:rPr>
            </w:pPr>
            <w:r>
              <w:rPr>
                <w:noProof/>
              </w:rPr>
              <w:t xml:space="preserve">Direktīvas 2013/36/ES 84. panta 3. un 4. punkts. Ja iestādes </w:t>
            </w:r>
            <w:r>
              <w:rPr>
                <w:i/>
                <w:noProof/>
              </w:rPr>
              <w:t>EVE/NII</w:t>
            </w:r>
            <w:r>
              <w:rPr>
                <w:noProof/>
              </w:rPr>
              <w:t xml:space="preserve"> aprēķināšanas metodes pamatā ir standartizēta pieeja, iestādes norāda, vai tā bija kompetentās iestādes prasība:</w:t>
            </w:r>
          </w:p>
          <w:p w14:paraId="066E4D86" w14:textId="61DECE1F" w:rsidR="00277E76" w:rsidRPr="00D82419" w:rsidRDefault="00D9240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jā;</w:t>
            </w:r>
          </w:p>
          <w:p w14:paraId="5A773C0F" w14:textId="3B965759" w:rsidR="00157828" w:rsidRPr="00D82419" w:rsidRDefault="00D9240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nē;</w:t>
            </w:r>
          </w:p>
          <w:p w14:paraId="4CA4AE46" w14:textId="11A1D43E" w:rsidR="00D92403" w:rsidRPr="00D82419" w:rsidRDefault="00D9240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neattiecas.</w:t>
            </w:r>
          </w:p>
        </w:tc>
      </w:tr>
      <w:tr w:rsidR="763F32FC" w:rsidRPr="00D82419" w14:paraId="59431DE9" w14:textId="77777777" w:rsidTr="763F32FC">
        <w:tc>
          <w:tcPr>
            <w:tcW w:w="1129" w:type="dxa"/>
          </w:tcPr>
          <w:p w14:paraId="6EBAC84A" w14:textId="1DE0F1C8" w:rsidR="52C6E47D" w:rsidRPr="00D82419" w:rsidRDefault="52C6E47D"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620" w:type="dxa"/>
          </w:tcPr>
          <w:p w14:paraId="234AE587" w14:textId="56E42126" w:rsidR="00B20B37" w:rsidRPr="00D82419" w:rsidRDefault="00B20B37"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Metodika (</w:t>
            </w:r>
            <w:r>
              <w:rPr>
                <w:rStyle w:val="InstructionsTabelleberschrift"/>
                <w:rFonts w:ascii="Times New Roman" w:hAnsi="Times New Roman"/>
                <w:i/>
                <w:noProof/>
                <w:sz w:val="24"/>
              </w:rPr>
              <w:t>NII</w:t>
            </w:r>
            <w:r>
              <w:rPr>
                <w:rStyle w:val="InstructionsTabelleberschrift"/>
                <w:rFonts w:ascii="Times New Roman" w:hAnsi="Times New Roman"/>
                <w:noProof/>
                <w:sz w:val="24"/>
              </w:rPr>
              <w:t>)</w:t>
            </w:r>
          </w:p>
          <w:p w14:paraId="66032093" w14:textId="0857F903" w:rsidR="52C6E47D" w:rsidRPr="00D82419" w:rsidRDefault="52C6E47D" w:rsidP="003C575D">
            <w:pPr>
              <w:pStyle w:val="InstructionsText"/>
              <w:rPr>
                <w:noProof/>
              </w:rPr>
            </w:pPr>
            <w:r>
              <w:rPr>
                <w:noProof/>
              </w:rPr>
              <w:t xml:space="preserve">Iestādes norāda, vai </w:t>
            </w:r>
            <w:r>
              <w:rPr>
                <w:i/>
                <w:noProof/>
              </w:rPr>
              <w:t>NII SOT</w:t>
            </w:r>
            <w:r>
              <w:rPr>
                <w:noProof/>
              </w:rPr>
              <w:t xml:space="preserve"> aprēķinā ir ņemta vērā pārcenošanas starpība, pilnīga pārvērtēšana vai jaukta pieeja: </w:t>
            </w:r>
          </w:p>
          <w:p w14:paraId="452346E8" w14:textId="29667BFF" w:rsidR="52C6E47D" w:rsidRPr="00D82419" w:rsidRDefault="00C5351C" w:rsidP="003C575D">
            <w:pPr>
              <w:pStyle w:val="InstructionsText"/>
              <w:rPr>
                <w:noProof/>
              </w:rPr>
            </w:pPr>
            <w:r>
              <w:rPr>
                <w:noProof/>
              </w:rPr>
              <w:t>- pārcenošanas starpība;</w:t>
            </w:r>
          </w:p>
          <w:p w14:paraId="194FA0B0" w14:textId="5BAFAD44" w:rsidR="52C6E47D" w:rsidRPr="00D82419" w:rsidRDefault="00D92403" w:rsidP="003C575D">
            <w:pPr>
              <w:pStyle w:val="InstructionsText"/>
              <w:rPr>
                <w:noProof/>
              </w:rPr>
            </w:pPr>
            <w:r>
              <w:rPr>
                <w:noProof/>
              </w:rPr>
              <w:t>- pilnīga pārvērtēšana;</w:t>
            </w:r>
          </w:p>
          <w:p w14:paraId="76F39DDB" w14:textId="245E723C" w:rsidR="52C6E47D" w:rsidRPr="00D82419" w:rsidRDefault="00D92403" w:rsidP="003C575D">
            <w:pPr>
              <w:pStyle w:val="InstructionsText"/>
              <w:rPr>
                <w:noProof/>
              </w:rPr>
            </w:pPr>
            <w:r>
              <w:rPr>
                <w:noProof/>
              </w:rPr>
              <w:t>- jaukta;</w:t>
            </w:r>
          </w:p>
          <w:p w14:paraId="583AB55E" w14:textId="565127DC" w:rsidR="52C6E47D" w:rsidRPr="00D82419" w:rsidRDefault="00D92403" w:rsidP="003C575D">
            <w:pPr>
              <w:pStyle w:val="InstructionsText"/>
              <w:rPr>
                <w:noProof/>
              </w:rPr>
            </w:pPr>
            <w:r>
              <w:rPr>
                <w:noProof/>
              </w:rPr>
              <w:t>- cits.</w:t>
            </w:r>
          </w:p>
        </w:tc>
      </w:tr>
      <w:tr w:rsidR="763F32FC" w:rsidRPr="00D82419" w14:paraId="12B42F11" w14:textId="77777777" w:rsidTr="763F32FC">
        <w:tc>
          <w:tcPr>
            <w:tcW w:w="1129" w:type="dxa"/>
          </w:tcPr>
          <w:p w14:paraId="7E0CC1E5" w14:textId="53925547"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620" w:type="dxa"/>
          </w:tcPr>
          <w:p w14:paraId="24E44913" w14:textId="77777777" w:rsidR="00B30873" w:rsidRPr="00D82419" w:rsidRDefault="4FB20FC0" w:rsidP="00430DF0">
            <w:pPr>
              <w:suppressAutoHyphens/>
              <w:rPr>
                <w:rStyle w:val="InstructionsTabelleberschrift"/>
                <w:rFonts w:ascii="Times New Roman" w:hAnsi="Times New Roman"/>
                <w:noProof/>
                <w:sz w:val="24"/>
              </w:rPr>
            </w:pPr>
            <w:r>
              <w:rPr>
                <w:rStyle w:val="InstructionsTabelleberschrift"/>
                <w:rFonts w:ascii="Times New Roman" w:hAnsi="Times New Roman"/>
                <w:noProof/>
                <w:sz w:val="24"/>
              </w:rPr>
              <w:t>Nosacītās naudas plūsmas (</w:t>
            </w:r>
            <w:r>
              <w:rPr>
                <w:rStyle w:val="InstructionsTabelleberschrift"/>
                <w:rFonts w:ascii="Times New Roman" w:hAnsi="Times New Roman"/>
                <w:i/>
                <w:noProof/>
                <w:sz w:val="24"/>
              </w:rPr>
              <w:t>NII</w:t>
            </w:r>
            <w:r>
              <w:rPr>
                <w:rStyle w:val="InstructionsTabelleberschrift"/>
                <w:rFonts w:ascii="Times New Roman" w:hAnsi="Times New Roman"/>
                <w:noProof/>
                <w:sz w:val="24"/>
              </w:rPr>
              <w:t>)</w:t>
            </w:r>
          </w:p>
          <w:p w14:paraId="58A3E268" w14:textId="02730861" w:rsidR="0C990F80" w:rsidRPr="00D82419" w:rsidRDefault="0C990F80" w:rsidP="003C575D">
            <w:pPr>
              <w:pStyle w:val="InstructionsText"/>
              <w:rPr>
                <w:noProof/>
              </w:rPr>
            </w:pPr>
            <w:r>
              <w:rPr>
                <w:noProof/>
              </w:rPr>
              <w:t xml:space="preserve">Iestādes norāda, vai </w:t>
            </w:r>
            <w:r>
              <w:rPr>
                <w:i/>
                <w:noProof/>
              </w:rPr>
              <w:t>NII SOT</w:t>
            </w:r>
            <w:r>
              <w:rPr>
                <w:noProof/>
              </w:rPr>
              <w:t xml:space="preserve"> aprēķinā ir ņemtas vērā nosacītas naudas plūsmas: </w:t>
            </w:r>
          </w:p>
          <w:p w14:paraId="45813F3E" w14:textId="4FD81609" w:rsidR="0C990F80" w:rsidRPr="00D82419" w:rsidRDefault="00C5351C" w:rsidP="003C575D">
            <w:pPr>
              <w:pStyle w:val="InstructionsText"/>
              <w:rPr>
                <w:noProof/>
              </w:rPr>
            </w:pPr>
            <w:r>
              <w:rPr>
                <w:noProof/>
              </w:rPr>
              <w:t xml:space="preserve">- visi būtiskie posteņi; </w:t>
            </w:r>
          </w:p>
          <w:p w14:paraId="7EBCAFEA" w14:textId="2C9BFD64" w:rsidR="0C990F80" w:rsidRPr="00D82419" w:rsidRDefault="00C5351C" w:rsidP="003C575D">
            <w:pPr>
              <w:pStyle w:val="InstructionsText"/>
              <w:rPr>
                <w:noProof/>
              </w:rPr>
            </w:pPr>
            <w:r>
              <w:rPr>
                <w:noProof/>
              </w:rPr>
              <w:t xml:space="preserve">- daži būtiski posteņi; </w:t>
            </w:r>
          </w:p>
          <w:p w14:paraId="544BB1F4" w14:textId="7754A876" w:rsidR="763F32FC" w:rsidRPr="00D82419" w:rsidRDefault="00C5351C" w:rsidP="003C575D">
            <w:pPr>
              <w:pStyle w:val="InstructionsText"/>
              <w:rPr>
                <w:noProof/>
              </w:rPr>
            </w:pPr>
            <w:r>
              <w:rPr>
                <w:noProof/>
              </w:rPr>
              <w:t>- nav ņemtas vērā.</w:t>
            </w:r>
          </w:p>
        </w:tc>
      </w:tr>
      <w:tr w:rsidR="763F32FC" w:rsidRPr="00D82419" w14:paraId="3F42A7DA" w14:textId="77777777" w:rsidTr="763F32FC">
        <w:tc>
          <w:tcPr>
            <w:tcW w:w="1129" w:type="dxa"/>
          </w:tcPr>
          <w:p w14:paraId="0F383914" w14:textId="4C29E384"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620" w:type="dxa"/>
          </w:tcPr>
          <w:p w14:paraId="09470A6C" w14:textId="33E9121B" w:rsidR="763F32FC" w:rsidRPr="00D82419" w:rsidRDefault="6B674FF6"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Iespējas līguma risks (</w:t>
            </w:r>
            <w:r>
              <w:rPr>
                <w:rStyle w:val="InstructionsTabelleberschrift"/>
                <w:rFonts w:ascii="Times New Roman" w:hAnsi="Times New Roman"/>
                <w:i/>
                <w:noProof/>
                <w:sz w:val="24"/>
              </w:rPr>
              <w:t>NII</w:t>
            </w:r>
            <w:r>
              <w:rPr>
                <w:rStyle w:val="InstructionsTabelleberschrift"/>
                <w:rFonts w:ascii="Times New Roman" w:hAnsi="Times New Roman"/>
                <w:noProof/>
                <w:sz w:val="24"/>
              </w:rPr>
              <w:t>)</w:t>
            </w:r>
          </w:p>
          <w:p w14:paraId="560A53E7" w14:textId="05CFAD7C" w:rsidR="3FE6FD8F" w:rsidRPr="00D82419" w:rsidRDefault="3FE6FD8F" w:rsidP="003C575D">
            <w:pPr>
              <w:pStyle w:val="InstructionsText"/>
              <w:rPr>
                <w:noProof/>
              </w:rPr>
            </w:pPr>
            <w:r>
              <w:rPr>
                <w:noProof/>
              </w:rPr>
              <w:t xml:space="preserve">Iestādes norāda, vai </w:t>
            </w:r>
            <w:r>
              <w:rPr>
                <w:i/>
                <w:noProof/>
              </w:rPr>
              <w:t>NII SOT</w:t>
            </w:r>
            <w:r>
              <w:rPr>
                <w:noProof/>
              </w:rPr>
              <w:t xml:space="preserve"> aprēķinā ir ņemts vērā iespējas līguma risks: </w:t>
            </w:r>
          </w:p>
          <w:p w14:paraId="08F6654E" w14:textId="0B3F0FD8" w:rsidR="3FE6FD8F" w:rsidRPr="00D82419" w:rsidRDefault="00C5351C" w:rsidP="003C575D">
            <w:pPr>
              <w:pStyle w:val="InstructionsText"/>
              <w:rPr>
                <w:noProof/>
              </w:rPr>
            </w:pPr>
            <w:r>
              <w:rPr>
                <w:noProof/>
              </w:rPr>
              <w:t xml:space="preserve">- ir ņemts vērā; </w:t>
            </w:r>
          </w:p>
          <w:p w14:paraId="095F51A9" w14:textId="0D4F81E0" w:rsidR="3FE6FD8F" w:rsidRPr="00D82419" w:rsidRDefault="00C5351C" w:rsidP="003C575D">
            <w:pPr>
              <w:pStyle w:val="InstructionsText"/>
              <w:rPr>
                <w:noProof/>
              </w:rPr>
            </w:pPr>
            <w:r>
              <w:rPr>
                <w:noProof/>
              </w:rPr>
              <w:t>- nav ņemts vērā.</w:t>
            </w:r>
          </w:p>
        </w:tc>
      </w:tr>
      <w:tr w:rsidR="763F32FC" w:rsidRPr="00D82419" w14:paraId="2570BF8E" w14:textId="77777777" w:rsidTr="763F32FC">
        <w:tc>
          <w:tcPr>
            <w:tcW w:w="1129" w:type="dxa"/>
          </w:tcPr>
          <w:p w14:paraId="0BA99032" w14:textId="64B391ED"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620" w:type="dxa"/>
          </w:tcPr>
          <w:p w14:paraId="330E5BA9" w14:textId="4DE8DEE2" w:rsidR="763F32FC" w:rsidRPr="00D82419" w:rsidRDefault="0207BC4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Bāzes risks (</w:t>
            </w:r>
            <w:r>
              <w:rPr>
                <w:rStyle w:val="InstructionsTabelleberschrift"/>
                <w:rFonts w:ascii="Times New Roman" w:hAnsi="Times New Roman"/>
                <w:i/>
                <w:noProof/>
                <w:sz w:val="24"/>
              </w:rPr>
              <w:t>NII</w:t>
            </w:r>
            <w:r>
              <w:rPr>
                <w:rStyle w:val="InstructionsTabelleberschrift"/>
                <w:rFonts w:ascii="Times New Roman" w:hAnsi="Times New Roman"/>
                <w:noProof/>
                <w:sz w:val="24"/>
              </w:rPr>
              <w:t>)</w:t>
            </w:r>
          </w:p>
          <w:p w14:paraId="17E07B43" w14:textId="3E362EE4" w:rsidR="070D7E34" w:rsidRPr="00D82419" w:rsidRDefault="070D7E34" w:rsidP="003C575D">
            <w:pPr>
              <w:pStyle w:val="InstructionsText"/>
              <w:rPr>
                <w:noProof/>
              </w:rPr>
            </w:pPr>
            <w:r>
              <w:rPr>
                <w:noProof/>
              </w:rPr>
              <w:t xml:space="preserve">Iestādes norāda, vai </w:t>
            </w:r>
            <w:r>
              <w:rPr>
                <w:i/>
                <w:noProof/>
              </w:rPr>
              <w:t>NII SOT</w:t>
            </w:r>
            <w:r>
              <w:rPr>
                <w:noProof/>
              </w:rPr>
              <w:t xml:space="preserve"> aprēķinā ir ņemts vērā bāzes risks: </w:t>
            </w:r>
          </w:p>
          <w:p w14:paraId="3EE4DDE1" w14:textId="3FB1A35D" w:rsidR="070D7E34" w:rsidRPr="00D82419" w:rsidRDefault="00C5351C" w:rsidP="003C575D">
            <w:pPr>
              <w:pStyle w:val="InstructionsText"/>
              <w:rPr>
                <w:noProof/>
              </w:rPr>
            </w:pPr>
            <w:r>
              <w:rPr>
                <w:noProof/>
              </w:rPr>
              <w:t xml:space="preserve">- ir ņemts vērā; </w:t>
            </w:r>
          </w:p>
          <w:p w14:paraId="649CCC92" w14:textId="1CD50C04" w:rsidR="070D7E34" w:rsidRPr="00D82419" w:rsidRDefault="00C5351C" w:rsidP="003C575D">
            <w:pPr>
              <w:pStyle w:val="InstructionsText"/>
              <w:rPr>
                <w:noProof/>
              </w:rPr>
            </w:pPr>
            <w:r>
              <w:rPr>
                <w:noProof/>
              </w:rPr>
              <w:t>- nav ņemts vērā.</w:t>
            </w:r>
          </w:p>
        </w:tc>
      </w:tr>
      <w:tr w:rsidR="763F32FC" w:rsidRPr="00D82419" w14:paraId="6486DBA5" w14:textId="77777777" w:rsidTr="763F32FC">
        <w:tc>
          <w:tcPr>
            <w:tcW w:w="1129" w:type="dxa"/>
          </w:tcPr>
          <w:p w14:paraId="741CBF91" w14:textId="7C1EA4E8"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620" w:type="dxa"/>
          </w:tcPr>
          <w:p w14:paraId="181923B9" w14:textId="08D89323" w:rsidR="003C5B8C" w:rsidRPr="00D82419" w:rsidRDefault="003C5B8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Metodika (</w:t>
            </w:r>
            <w:r>
              <w:rPr>
                <w:rStyle w:val="InstructionsTabelleberschrift"/>
                <w:rFonts w:ascii="Times New Roman" w:hAnsi="Times New Roman"/>
                <w:i/>
                <w:noProof/>
                <w:sz w:val="24"/>
              </w:rPr>
              <w:t>EVE</w:t>
            </w:r>
            <w:r>
              <w:rPr>
                <w:rStyle w:val="InstructionsTabelleberschrift"/>
                <w:rFonts w:ascii="Times New Roman" w:hAnsi="Times New Roman"/>
                <w:noProof/>
                <w:sz w:val="24"/>
              </w:rPr>
              <w:t>)</w:t>
            </w:r>
          </w:p>
          <w:p w14:paraId="1BABA0D4" w14:textId="343AB824" w:rsidR="763F32FC" w:rsidRPr="00D82419" w:rsidRDefault="763F32FC" w:rsidP="003C575D">
            <w:pPr>
              <w:pStyle w:val="InstructionsText"/>
              <w:rPr>
                <w:noProof/>
              </w:rPr>
            </w:pPr>
            <w:r>
              <w:rPr>
                <w:noProof/>
              </w:rPr>
              <w:t xml:space="preserve">Iestādes norāda, vai </w:t>
            </w:r>
            <w:r>
              <w:rPr>
                <w:i/>
                <w:noProof/>
              </w:rPr>
              <w:t>EVE SOT</w:t>
            </w:r>
            <w:r>
              <w:rPr>
                <w:noProof/>
              </w:rPr>
              <w:t xml:space="preserve"> aprēķinā ir ņemta vērā ilguma starpība vai pilnīgas pārvērtēšanas pieeja: </w:t>
            </w:r>
          </w:p>
          <w:p w14:paraId="20A04372" w14:textId="4802DD8C" w:rsidR="64A51879" w:rsidRPr="00D82419" w:rsidRDefault="008A192D" w:rsidP="003C575D">
            <w:pPr>
              <w:pStyle w:val="InstructionsText"/>
              <w:rPr>
                <w:noProof/>
              </w:rPr>
            </w:pPr>
            <w:r>
              <w:rPr>
                <w:noProof/>
              </w:rPr>
              <w:t xml:space="preserve">- ilguma starpība; </w:t>
            </w:r>
          </w:p>
          <w:p w14:paraId="4C457BB6" w14:textId="047AC2EA" w:rsidR="763F32FC" w:rsidRPr="00D82419" w:rsidRDefault="008A192D" w:rsidP="003C575D">
            <w:pPr>
              <w:pStyle w:val="InstructionsText"/>
              <w:rPr>
                <w:noProof/>
              </w:rPr>
            </w:pPr>
            <w:r>
              <w:rPr>
                <w:noProof/>
              </w:rPr>
              <w:t>- pilnīga pārvērtēšana;</w:t>
            </w:r>
          </w:p>
          <w:p w14:paraId="4C151CBC" w14:textId="74942F58" w:rsidR="763F32FC" w:rsidRPr="00D82419" w:rsidRDefault="008A192D" w:rsidP="003C575D">
            <w:pPr>
              <w:pStyle w:val="InstructionsText"/>
              <w:rPr>
                <w:noProof/>
              </w:rPr>
            </w:pPr>
            <w:r>
              <w:rPr>
                <w:noProof/>
              </w:rPr>
              <w:t xml:space="preserve">- jaukta; </w:t>
            </w:r>
          </w:p>
          <w:p w14:paraId="50BEB398" w14:textId="73E946D7" w:rsidR="763F32FC" w:rsidRPr="00D82419" w:rsidRDefault="00C5351C" w:rsidP="003C575D">
            <w:pPr>
              <w:pStyle w:val="InstructionsText"/>
              <w:rPr>
                <w:noProof/>
              </w:rPr>
            </w:pPr>
            <w:r>
              <w:rPr>
                <w:noProof/>
              </w:rPr>
              <w:t>- cits.</w:t>
            </w:r>
          </w:p>
        </w:tc>
      </w:tr>
      <w:tr w:rsidR="763F32FC" w:rsidRPr="00D82419" w14:paraId="00BE1C3A" w14:textId="77777777" w:rsidTr="763F32FC">
        <w:tc>
          <w:tcPr>
            <w:tcW w:w="1129" w:type="dxa"/>
          </w:tcPr>
          <w:p w14:paraId="574576BF" w14:textId="7B1007FE"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620" w:type="dxa"/>
          </w:tcPr>
          <w:p w14:paraId="560D6E2E" w14:textId="4C948B63" w:rsidR="763F32FC" w:rsidRPr="00D82419" w:rsidRDefault="763F32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Nosacītās naudas plūsmas (</w:t>
            </w:r>
            <w:r>
              <w:rPr>
                <w:rStyle w:val="InstructionsTabelleberschrift"/>
                <w:rFonts w:ascii="Times New Roman" w:hAnsi="Times New Roman"/>
                <w:i/>
                <w:noProof/>
                <w:sz w:val="24"/>
              </w:rPr>
              <w:t>EVE</w:t>
            </w:r>
            <w:r>
              <w:rPr>
                <w:rStyle w:val="InstructionsTabelleberschrift"/>
                <w:rFonts w:ascii="Times New Roman" w:hAnsi="Times New Roman"/>
                <w:noProof/>
                <w:sz w:val="24"/>
              </w:rPr>
              <w:t>)</w:t>
            </w:r>
          </w:p>
          <w:p w14:paraId="5A1AF2A1" w14:textId="574F9A51" w:rsidR="763F32FC" w:rsidRPr="00D82419" w:rsidRDefault="763F32FC" w:rsidP="003C575D">
            <w:pPr>
              <w:pStyle w:val="InstructionsText"/>
              <w:rPr>
                <w:noProof/>
              </w:rPr>
            </w:pPr>
            <w:r>
              <w:rPr>
                <w:noProof/>
              </w:rPr>
              <w:t xml:space="preserve">Iestādes norāda, vai </w:t>
            </w:r>
            <w:r>
              <w:rPr>
                <w:i/>
                <w:noProof/>
              </w:rPr>
              <w:t>EVE SOT</w:t>
            </w:r>
            <w:r>
              <w:rPr>
                <w:noProof/>
              </w:rPr>
              <w:t xml:space="preserve"> aprēķinā ir ņemtas vērā nosacītas naudas plūsmas: </w:t>
            </w:r>
          </w:p>
          <w:p w14:paraId="78F8AD0B" w14:textId="65182544" w:rsidR="763F32FC" w:rsidRPr="00D82419" w:rsidRDefault="008A192D" w:rsidP="003C575D">
            <w:pPr>
              <w:pStyle w:val="InstructionsText"/>
              <w:rPr>
                <w:noProof/>
              </w:rPr>
            </w:pPr>
            <w:r>
              <w:rPr>
                <w:noProof/>
              </w:rPr>
              <w:t xml:space="preserve">- visi būtiskie posteņi; </w:t>
            </w:r>
          </w:p>
          <w:p w14:paraId="0B4611A5" w14:textId="2C6A935C" w:rsidR="763F32FC" w:rsidRPr="00D82419" w:rsidRDefault="008A192D" w:rsidP="003C575D">
            <w:pPr>
              <w:pStyle w:val="InstructionsText"/>
              <w:rPr>
                <w:noProof/>
              </w:rPr>
            </w:pPr>
            <w:r>
              <w:rPr>
                <w:noProof/>
              </w:rPr>
              <w:t xml:space="preserve">- daži būtiski posteņi; </w:t>
            </w:r>
          </w:p>
          <w:p w14:paraId="71069CE3" w14:textId="0FA3F67C" w:rsidR="763F32FC" w:rsidRPr="00D82419" w:rsidRDefault="008A192D" w:rsidP="003C575D">
            <w:pPr>
              <w:pStyle w:val="InstructionsText"/>
              <w:rPr>
                <w:noProof/>
              </w:rPr>
            </w:pPr>
            <w:r>
              <w:rPr>
                <w:noProof/>
              </w:rPr>
              <w:t>- nav ņemtas vērā.</w:t>
            </w:r>
          </w:p>
        </w:tc>
      </w:tr>
      <w:tr w:rsidR="763F32FC" w:rsidRPr="00D82419" w14:paraId="369003CD" w14:textId="77777777" w:rsidTr="763F32FC">
        <w:tc>
          <w:tcPr>
            <w:tcW w:w="1129" w:type="dxa"/>
          </w:tcPr>
          <w:p w14:paraId="606284D4" w14:textId="766B3122"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620" w:type="dxa"/>
          </w:tcPr>
          <w:p w14:paraId="12CC20AA" w14:textId="79B4262F" w:rsidR="763F32FC" w:rsidRPr="00D82419" w:rsidRDefault="763F32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Iespējas līguma risks (</w:t>
            </w:r>
            <w:r>
              <w:rPr>
                <w:rStyle w:val="InstructionsTabelleberschrift"/>
                <w:rFonts w:ascii="Times New Roman" w:hAnsi="Times New Roman"/>
                <w:i/>
                <w:noProof/>
                <w:sz w:val="24"/>
              </w:rPr>
              <w:t>EVE</w:t>
            </w:r>
            <w:r>
              <w:rPr>
                <w:rStyle w:val="InstructionsTabelleberschrift"/>
                <w:rFonts w:ascii="Times New Roman" w:hAnsi="Times New Roman"/>
                <w:noProof/>
                <w:sz w:val="24"/>
              </w:rPr>
              <w:t>)</w:t>
            </w:r>
          </w:p>
          <w:p w14:paraId="2937ACD4" w14:textId="67DF171C" w:rsidR="763F32FC" w:rsidRPr="00D82419" w:rsidRDefault="763F32FC" w:rsidP="003C575D">
            <w:pPr>
              <w:pStyle w:val="InstructionsText"/>
              <w:rPr>
                <w:noProof/>
              </w:rPr>
            </w:pPr>
            <w:r>
              <w:rPr>
                <w:noProof/>
              </w:rPr>
              <w:t xml:space="preserve">Iestādes norāda, vai </w:t>
            </w:r>
            <w:r>
              <w:rPr>
                <w:i/>
                <w:noProof/>
              </w:rPr>
              <w:t>EVE SOT</w:t>
            </w:r>
            <w:r>
              <w:rPr>
                <w:noProof/>
              </w:rPr>
              <w:t xml:space="preserve"> aprēķinā ir ņemts vērā iespējas līguma risks: </w:t>
            </w:r>
          </w:p>
          <w:p w14:paraId="548B2643" w14:textId="2033A028" w:rsidR="763F32FC" w:rsidRPr="00D82419" w:rsidRDefault="008A192D" w:rsidP="003C575D">
            <w:pPr>
              <w:pStyle w:val="InstructionsText"/>
              <w:rPr>
                <w:noProof/>
              </w:rPr>
            </w:pPr>
            <w:r>
              <w:rPr>
                <w:noProof/>
              </w:rPr>
              <w:t xml:space="preserve">- ir ņemts vērā; </w:t>
            </w:r>
          </w:p>
          <w:p w14:paraId="587E9328" w14:textId="7793DF57" w:rsidR="763F32FC" w:rsidRPr="00D82419" w:rsidRDefault="008A192D" w:rsidP="003C575D">
            <w:pPr>
              <w:pStyle w:val="InstructionsText"/>
              <w:rPr>
                <w:noProof/>
              </w:rPr>
            </w:pPr>
            <w:r>
              <w:rPr>
                <w:noProof/>
              </w:rPr>
              <w:t>- nav ņemts vērā.</w:t>
            </w:r>
          </w:p>
        </w:tc>
      </w:tr>
      <w:tr w:rsidR="763F32FC" w:rsidRPr="00D82419" w14:paraId="2AFEFF08" w14:textId="77777777" w:rsidTr="763F32FC">
        <w:tc>
          <w:tcPr>
            <w:tcW w:w="1129" w:type="dxa"/>
          </w:tcPr>
          <w:p w14:paraId="72EDD5E2" w14:textId="74868C79"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620" w:type="dxa"/>
          </w:tcPr>
          <w:p w14:paraId="7382AF45" w14:textId="0F29D562" w:rsidR="763F32FC" w:rsidRPr="00D82419" w:rsidRDefault="763F32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Bāzes risks (</w:t>
            </w:r>
            <w:r>
              <w:rPr>
                <w:rStyle w:val="InstructionsTabelleberschrift"/>
                <w:rFonts w:ascii="Times New Roman" w:hAnsi="Times New Roman"/>
                <w:i/>
                <w:noProof/>
                <w:sz w:val="24"/>
              </w:rPr>
              <w:t>EVE</w:t>
            </w:r>
            <w:r>
              <w:rPr>
                <w:rStyle w:val="InstructionsTabelleberschrift"/>
                <w:rFonts w:ascii="Times New Roman" w:hAnsi="Times New Roman"/>
                <w:noProof/>
                <w:sz w:val="24"/>
              </w:rPr>
              <w:t>)</w:t>
            </w:r>
          </w:p>
          <w:p w14:paraId="3B23B83A" w14:textId="7EEC1160" w:rsidR="763F32FC" w:rsidRPr="00D82419" w:rsidRDefault="763F32FC" w:rsidP="00430DF0">
            <w:pPr>
              <w:suppressAutoHyphens/>
              <w:rPr>
                <w:rFonts w:ascii="Times New Roman" w:hAnsi="Times New Roman"/>
                <w:noProof/>
                <w:sz w:val="24"/>
              </w:rPr>
            </w:pPr>
            <w:r>
              <w:rPr>
                <w:rFonts w:ascii="Times New Roman" w:hAnsi="Times New Roman"/>
                <w:noProof/>
                <w:sz w:val="24"/>
              </w:rPr>
              <w:t xml:space="preserve">Iestādes norāda, vai </w:t>
            </w:r>
            <w:r>
              <w:rPr>
                <w:rFonts w:ascii="Times New Roman" w:hAnsi="Times New Roman"/>
                <w:i/>
                <w:noProof/>
                <w:sz w:val="24"/>
              </w:rPr>
              <w:t>EVE SOT</w:t>
            </w:r>
            <w:r>
              <w:rPr>
                <w:rFonts w:ascii="Times New Roman" w:hAnsi="Times New Roman"/>
                <w:noProof/>
                <w:sz w:val="24"/>
              </w:rPr>
              <w:t xml:space="preserve"> aprēķinā ir ņemts vērā bāzes risks: </w:t>
            </w:r>
          </w:p>
          <w:p w14:paraId="424B47DA" w14:textId="41638AFC" w:rsidR="763F32FC" w:rsidRPr="00D82419" w:rsidRDefault="008A192D" w:rsidP="003C575D">
            <w:pPr>
              <w:pStyle w:val="InstructionsText"/>
              <w:rPr>
                <w:noProof/>
              </w:rPr>
            </w:pPr>
            <w:r>
              <w:rPr>
                <w:noProof/>
              </w:rPr>
              <w:t xml:space="preserve">- ir ņemts vērā; </w:t>
            </w:r>
          </w:p>
          <w:p w14:paraId="232998CD" w14:textId="22D7A9CF" w:rsidR="763F32FC" w:rsidRPr="00D82419" w:rsidRDefault="008A192D" w:rsidP="003C575D">
            <w:pPr>
              <w:pStyle w:val="InstructionsText"/>
              <w:rPr>
                <w:noProof/>
              </w:rPr>
            </w:pPr>
            <w:r>
              <w:rPr>
                <w:noProof/>
              </w:rPr>
              <w:t>- nav ņemts vērā.</w:t>
            </w:r>
          </w:p>
        </w:tc>
      </w:tr>
      <w:tr w:rsidR="00C12CCF" w:rsidRPr="00D82419" w14:paraId="2C78FC42" w14:textId="77777777" w:rsidTr="763F32FC">
        <w:tc>
          <w:tcPr>
            <w:tcW w:w="1129" w:type="dxa"/>
          </w:tcPr>
          <w:p w14:paraId="1930DDCD" w14:textId="4E12156D"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620" w:type="dxa"/>
          </w:tcPr>
          <w:p w14:paraId="6C36D5EE" w14:textId="2DE64B9A" w:rsidR="00E626D0" w:rsidRPr="00D82419" w:rsidRDefault="00E626D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Komerciālās maržas/citi starpības komponenti (</w:t>
            </w:r>
            <w:r>
              <w:rPr>
                <w:rStyle w:val="InstructionsTabelleberschrift"/>
                <w:rFonts w:ascii="Times New Roman" w:hAnsi="Times New Roman"/>
                <w:i/>
                <w:noProof/>
                <w:sz w:val="24"/>
              </w:rPr>
              <w:t>EVE</w:t>
            </w:r>
            <w:r>
              <w:rPr>
                <w:rStyle w:val="InstructionsTabelleberschrift"/>
                <w:rFonts w:ascii="Times New Roman" w:hAnsi="Times New Roman"/>
                <w:noProof/>
                <w:sz w:val="24"/>
              </w:rPr>
              <w:t>)</w:t>
            </w:r>
          </w:p>
          <w:p w14:paraId="0F471F3B" w14:textId="2B60EF94" w:rsidR="0041268F" w:rsidRPr="00D82419" w:rsidRDefault="0041268F" w:rsidP="003C575D">
            <w:pPr>
              <w:pStyle w:val="InstructionsText"/>
              <w:rPr>
                <w:rStyle w:val="InstructionsTabelleberschrift"/>
                <w:rFonts w:ascii="Times New Roman" w:hAnsi="Times New Roman"/>
                <w:b w:val="0"/>
                <w:bCs w:val="0"/>
                <w:noProof/>
                <w:sz w:val="24"/>
                <w:u w:val="none"/>
              </w:rPr>
            </w:pPr>
            <w:r>
              <w:rPr>
                <w:noProof/>
              </w:rPr>
              <w:t xml:space="preserve">Iestādes norāda, vai </w:t>
            </w:r>
            <w:r>
              <w:rPr>
                <w:i/>
                <w:noProof/>
              </w:rPr>
              <w:t>EVE SOT</w:t>
            </w:r>
            <w:r>
              <w:rPr>
                <w:noProof/>
              </w:rPr>
              <w:t xml:space="preserve"> riska mēra aprēķinā ir iekļautas komerciālās maržas un citi starpības komponenti:</w:t>
            </w:r>
          </w:p>
          <w:p w14:paraId="5D3C585E" w14:textId="469A2FE2"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ir iekļauti;</w:t>
            </w:r>
          </w:p>
          <w:p w14:paraId="02B9C9A2" w14:textId="242BC818"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nav iekļauti.</w:t>
            </w:r>
          </w:p>
        </w:tc>
      </w:tr>
      <w:tr w:rsidR="00C12CCF" w:rsidRPr="00D82419" w14:paraId="1A79783A" w14:textId="77777777" w:rsidTr="763F32FC">
        <w:tc>
          <w:tcPr>
            <w:tcW w:w="1129" w:type="dxa"/>
          </w:tcPr>
          <w:p w14:paraId="3872307E" w14:textId="1AFD8382"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620" w:type="dxa"/>
          </w:tcPr>
          <w:p w14:paraId="4C3231D0" w14:textId="78D6A9F2" w:rsidR="0003330C" w:rsidRPr="00D82419" w:rsidRDefault="0003330C" w:rsidP="00430DF0">
            <w:pPr>
              <w:suppressAutoHyphens/>
              <w:spacing w:before="0"/>
              <w:rPr>
                <w:rStyle w:val="InstructionsTabelleberschrift"/>
                <w:rFonts w:ascii="Times New Roman" w:hAnsi="Times New Roman"/>
                <w:noProof/>
                <w:sz w:val="24"/>
              </w:rPr>
            </w:pPr>
            <w:r>
              <w:rPr>
                <w:rStyle w:val="InstructionsTabelleberschrift"/>
                <w:rFonts w:ascii="Times New Roman" w:hAnsi="Times New Roman"/>
                <w:noProof/>
                <w:sz w:val="24"/>
              </w:rPr>
              <w:t>Soda nauda par aizdevuma priekšapmaksu</w:t>
            </w:r>
          </w:p>
          <w:p w14:paraId="7BD499BC" w14:textId="2D316A30" w:rsidR="00E138D5" w:rsidRPr="00D82419" w:rsidRDefault="00E138D5" w:rsidP="003C575D">
            <w:pPr>
              <w:pStyle w:val="InstructionsText"/>
              <w:rPr>
                <w:rStyle w:val="InstructionsTabelleberschrift"/>
                <w:rFonts w:ascii="Times New Roman" w:hAnsi="Times New Roman"/>
                <w:b w:val="0"/>
                <w:bCs w:val="0"/>
                <w:noProof/>
                <w:sz w:val="24"/>
                <w:u w:val="none"/>
              </w:rPr>
            </w:pPr>
            <w:r>
              <w:rPr>
                <w:noProof/>
              </w:rPr>
              <w:t xml:space="preserve">Iestādes norāda, vai </w:t>
            </w:r>
            <w:r>
              <w:rPr>
                <w:i/>
                <w:noProof/>
              </w:rPr>
              <w:t>EVE/NII SOT</w:t>
            </w:r>
            <w:r>
              <w:rPr>
                <w:noProof/>
              </w:rPr>
              <w:t xml:space="preserve"> ir iekļauta soda nauda par aizdevuma priekšapmaksu:</w:t>
            </w:r>
          </w:p>
          <w:p w14:paraId="3739DD8A" w14:textId="3EA81623"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ir iekļauta;</w:t>
            </w:r>
          </w:p>
          <w:p w14:paraId="0FBB2B51" w14:textId="51661940"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nav iekļauta.</w:t>
            </w:r>
          </w:p>
        </w:tc>
      </w:tr>
      <w:tr w:rsidR="00C12CCF" w:rsidRPr="00D82419" w14:paraId="264BB766" w14:textId="77777777" w:rsidTr="763F32FC">
        <w:tc>
          <w:tcPr>
            <w:tcW w:w="1129" w:type="dxa"/>
          </w:tcPr>
          <w:p w14:paraId="41060C95" w14:textId="56216889"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w:t>
            </w:r>
          </w:p>
        </w:tc>
        <w:tc>
          <w:tcPr>
            <w:tcW w:w="7620" w:type="dxa"/>
          </w:tcPr>
          <w:p w14:paraId="466E2A73" w14:textId="199EAD3A" w:rsidR="00772D0F" w:rsidRPr="00D82419" w:rsidRDefault="00772D0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Pensiju saistības/pensiju plāna aktīvi</w:t>
            </w:r>
          </w:p>
          <w:p w14:paraId="32BE6413" w14:textId="75B316BE" w:rsidR="00E138D5" w:rsidRPr="00D82419" w:rsidRDefault="00E138D5" w:rsidP="003C575D">
            <w:pPr>
              <w:pStyle w:val="InstructionsText"/>
              <w:rPr>
                <w:rStyle w:val="InstructionsTabelleberschrift"/>
                <w:rFonts w:ascii="Times New Roman" w:hAnsi="Times New Roman"/>
                <w:b w:val="0"/>
                <w:bCs w:val="0"/>
                <w:noProof/>
                <w:sz w:val="24"/>
                <w:u w:val="none"/>
              </w:rPr>
            </w:pPr>
            <w:r>
              <w:rPr>
                <w:noProof/>
              </w:rPr>
              <w:t xml:space="preserve">Iestādes norāda, vai </w:t>
            </w:r>
            <w:r>
              <w:rPr>
                <w:i/>
                <w:noProof/>
              </w:rPr>
              <w:t>EVE/NII SOT</w:t>
            </w:r>
            <w:r>
              <w:rPr>
                <w:noProof/>
              </w:rPr>
              <w:t xml:space="preserve"> aprēķinā ir iekļautas pensiju saistības un pensiju plāna aktīvi:</w:t>
            </w:r>
          </w:p>
          <w:p w14:paraId="09F4D480" w14:textId="54E3929A"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ir iekļauti;</w:t>
            </w:r>
          </w:p>
          <w:p w14:paraId="201D7CDC" w14:textId="397BFC6E"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nav iekļauti.</w:t>
            </w:r>
          </w:p>
        </w:tc>
      </w:tr>
      <w:tr w:rsidR="00C12CCF" w:rsidRPr="00D82419" w14:paraId="6F804664" w14:textId="77777777" w:rsidTr="763F32FC">
        <w:tc>
          <w:tcPr>
            <w:tcW w:w="1129" w:type="dxa"/>
          </w:tcPr>
          <w:p w14:paraId="32EBC373" w14:textId="4B5706BC"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620" w:type="dxa"/>
          </w:tcPr>
          <w:p w14:paraId="0CFDFC69" w14:textId="77777777" w:rsidR="00841CA8" w:rsidRPr="00D82419" w:rsidRDefault="00841CA8"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Ienākumus nenesoši riska darījumi </w:t>
            </w:r>
          </w:p>
          <w:p w14:paraId="34535DAF" w14:textId="675EC6A3" w:rsidR="00E138D5" w:rsidRPr="00D82419" w:rsidRDefault="00E138D5" w:rsidP="003C575D">
            <w:pPr>
              <w:pStyle w:val="InstructionsText"/>
              <w:rPr>
                <w:rStyle w:val="InstructionsTabelleberschrift"/>
                <w:rFonts w:ascii="Times New Roman" w:hAnsi="Times New Roman"/>
                <w:b w:val="0"/>
                <w:noProof/>
                <w:sz w:val="24"/>
                <w:u w:val="none"/>
              </w:rPr>
            </w:pPr>
            <w:r>
              <w:rPr>
                <w:noProof/>
              </w:rPr>
              <w:t xml:space="preserve">Iestādes norāda, vai </w:t>
            </w:r>
            <w:r>
              <w:rPr>
                <w:i/>
                <w:noProof/>
              </w:rPr>
              <w:t>EVE/NII SOT</w:t>
            </w:r>
            <w:r>
              <w:rPr>
                <w:noProof/>
              </w:rPr>
              <w:t xml:space="preserve"> ir iekļauti ienākumus nenesoši riska darījumi:</w:t>
            </w:r>
          </w:p>
          <w:p w14:paraId="2AE7E06F" w14:textId="648FE3AC"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ir iekļauti;</w:t>
            </w:r>
          </w:p>
          <w:p w14:paraId="19B5D385" w14:textId="7F1E23E8"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nav iekļauti.</w:t>
            </w:r>
          </w:p>
        </w:tc>
      </w:tr>
      <w:tr w:rsidR="00C12CCF" w:rsidRPr="00D82419" w14:paraId="5659F8D1" w14:textId="77777777" w:rsidTr="763F32FC">
        <w:tc>
          <w:tcPr>
            <w:tcW w:w="1129" w:type="dxa"/>
          </w:tcPr>
          <w:p w14:paraId="2719698F" w14:textId="6F4EA384"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w:t>
            </w:r>
          </w:p>
        </w:tc>
        <w:tc>
          <w:tcPr>
            <w:tcW w:w="7620" w:type="dxa"/>
          </w:tcPr>
          <w:p w14:paraId="7E20A73B" w14:textId="36E3EE26" w:rsidR="00C53E68" w:rsidRPr="00D82419" w:rsidRDefault="00C53E68"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Fiksētas likmes aizdevumu saistības </w:t>
            </w:r>
          </w:p>
          <w:p w14:paraId="1EC6CE29" w14:textId="727C7BB8" w:rsidR="00E138D5" w:rsidRPr="00D82419" w:rsidRDefault="00E138D5" w:rsidP="003C575D">
            <w:pPr>
              <w:pStyle w:val="InstructionsText"/>
              <w:rPr>
                <w:rStyle w:val="InstructionsTabelleberschrift"/>
                <w:rFonts w:ascii="Times New Roman" w:hAnsi="Times New Roman"/>
                <w:b w:val="0"/>
                <w:noProof/>
                <w:sz w:val="24"/>
                <w:u w:val="none"/>
              </w:rPr>
            </w:pPr>
            <w:r>
              <w:rPr>
                <w:noProof/>
              </w:rPr>
              <w:t xml:space="preserve">Iestādes norāda, vai </w:t>
            </w:r>
            <w:r>
              <w:rPr>
                <w:i/>
                <w:noProof/>
              </w:rPr>
              <w:t>EVE/NII SOT</w:t>
            </w:r>
            <w:r>
              <w:rPr>
                <w:noProof/>
              </w:rPr>
              <w:t xml:space="preserve"> ir iekļautas fiksētas likmes aizdevumu saistības:</w:t>
            </w:r>
          </w:p>
          <w:p w14:paraId="786511A5" w14:textId="42548719"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ir iekļautas;</w:t>
            </w:r>
          </w:p>
          <w:p w14:paraId="14F356EA" w14:textId="3FCFA1D3"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nav iekļautas.</w:t>
            </w:r>
          </w:p>
        </w:tc>
      </w:tr>
      <w:tr w:rsidR="00C12CCF" w:rsidRPr="00D82419" w14:paraId="5199326E" w14:textId="77777777" w:rsidTr="763F32FC">
        <w:tc>
          <w:tcPr>
            <w:tcW w:w="1129" w:type="dxa"/>
          </w:tcPr>
          <w:p w14:paraId="2D43B355" w14:textId="2E114DE7"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w:t>
            </w:r>
          </w:p>
        </w:tc>
        <w:tc>
          <w:tcPr>
            <w:tcW w:w="7620" w:type="dxa"/>
          </w:tcPr>
          <w:p w14:paraId="5110BF04" w14:textId="2067FB8B" w:rsidR="004567EB" w:rsidRPr="00D82419" w:rsidRDefault="004567EB"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Priekšsamaksas risks </w:t>
            </w:r>
          </w:p>
          <w:p w14:paraId="42D03395" w14:textId="2CA3360F" w:rsidR="00E138D5" w:rsidRPr="00D82419" w:rsidRDefault="00E138D5" w:rsidP="003C575D">
            <w:pPr>
              <w:pStyle w:val="InstructionsText"/>
              <w:rPr>
                <w:rStyle w:val="InstructionsTabelleberschrift"/>
                <w:rFonts w:ascii="Times New Roman" w:hAnsi="Times New Roman"/>
                <w:b w:val="0"/>
                <w:bCs w:val="0"/>
                <w:noProof/>
                <w:sz w:val="24"/>
                <w:u w:val="none"/>
              </w:rPr>
            </w:pPr>
            <w:r>
              <w:rPr>
                <w:noProof/>
              </w:rPr>
              <w:t xml:space="preserve">Iestādes norāda, vai </w:t>
            </w:r>
            <w:r>
              <w:rPr>
                <w:i/>
                <w:noProof/>
              </w:rPr>
              <w:t>EVE/NII SOT</w:t>
            </w:r>
            <w:r>
              <w:rPr>
                <w:noProof/>
              </w:rPr>
              <w:t xml:space="preserve"> aprēķinos ir iekļauts privātpersonu vai MVU priekšsamaksas risks:</w:t>
            </w:r>
          </w:p>
          <w:p w14:paraId="049C644C" w14:textId="1B7FEA08"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ir iekļauts;</w:t>
            </w:r>
          </w:p>
          <w:p w14:paraId="19439AE0" w14:textId="1541E83C"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nav iekļauts.</w:t>
            </w:r>
          </w:p>
        </w:tc>
      </w:tr>
      <w:tr w:rsidR="00C12CCF" w:rsidRPr="00D82419" w14:paraId="4C1D220B" w14:textId="77777777" w:rsidTr="763F32FC">
        <w:tc>
          <w:tcPr>
            <w:tcW w:w="1129" w:type="dxa"/>
          </w:tcPr>
          <w:p w14:paraId="7D30827E" w14:textId="2E38F1CA"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0170</w:t>
            </w:r>
          </w:p>
        </w:tc>
        <w:tc>
          <w:tcPr>
            <w:tcW w:w="7620" w:type="dxa"/>
          </w:tcPr>
          <w:p w14:paraId="24FB3F5E" w14:textId="7E7EDF0D" w:rsidR="006043A5" w:rsidRPr="00D82419" w:rsidRDefault="006043A5"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Pirmstermiņa atmaksas risks </w:t>
            </w:r>
          </w:p>
          <w:p w14:paraId="67868C1F" w14:textId="0C5DACCD" w:rsidR="008478F8" w:rsidRPr="00D82419" w:rsidRDefault="008478F8" w:rsidP="003C575D">
            <w:pPr>
              <w:pStyle w:val="InstructionsText"/>
              <w:rPr>
                <w:noProof/>
              </w:rPr>
            </w:pPr>
            <w:r>
              <w:rPr>
                <w:noProof/>
              </w:rPr>
              <w:t xml:space="preserve">Iestādes norāda, vai </w:t>
            </w:r>
            <w:r>
              <w:rPr>
                <w:i/>
                <w:noProof/>
              </w:rPr>
              <w:t>EVE/NII SOT</w:t>
            </w:r>
            <w:r>
              <w:rPr>
                <w:noProof/>
              </w:rPr>
              <w:t xml:space="preserve"> aprēķinos ir iekļauts privātpersonu vai MVU pirmstermiņa atmaksas risks:</w:t>
            </w:r>
          </w:p>
          <w:p w14:paraId="17E090F3" w14:textId="1C770989"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ir iekļauts;</w:t>
            </w:r>
          </w:p>
          <w:p w14:paraId="490B287D" w14:textId="1DB5880A"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nav iekļauts.</w:t>
            </w:r>
          </w:p>
        </w:tc>
      </w:tr>
      <w:tr w:rsidR="00343C28" w:rsidRPr="00D82419" w14:paraId="0AD7CFF7" w14:textId="77777777" w:rsidTr="763F32FC">
        <w:tc>
          <w:tcPr>
            <w:tcW w:w="1129" w:type="dxa"/>
          </w:tcPr>
          <w:p w14:paraId="51E55F8D" w14:textId="284EAFCF" w:rsidR="00343C28" w:rsidRPr="00D82419" w:rsidRDefault="00343C2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w:t>
            </w:r>
          </w:p>
        </w:tc>
        <w:tc>
          <w:tcPr>
            <w:tcW w:w="7620" w:type="dxa"/>
          </w:tcPr>
          <w:p w14:paraId="0ED1DA2C" w14:textId="26163666" w:rsidR="00343C28" w:rsidRPr="00D82419" w:rsidRDefault="007A5DA9" w:rsidP="00430DF0">
            <w:pPr>
              <w:suppressAutoHyphens/>
              <w:spacing w:before="0"/>
              <w:rPr>
                <w:rFonts w:ascii="Times New Roman" w:hAnsi="Times New Roman"/>
                <w:b/>
                <w:bCs/>
                <w:noProof/>
                <w:sz w:val="24"/>
                <w:u w:val="single"/>
              </w:rPr>
            </w:pPr>
            <w:r>
              <w:rPr>
                <w:rFonts w:ascii="Times New Roman" w:hAnsi="Times New Roman"/>
                <w:b/>
                <w:noProof/>
                <w:sz w:val="24"/>
                <w:u w:val="single"/>
              </w:rPr>
              <w:t>Vispārēja pieeja beztermiņa noguldījumu modelēšanai</w:t>
            </w:r>
          </w:p>
          <w:p w14:paraId="77B7CA20" w14:textId="633B5127" w:rsidR="008857EC" w:rsidRPr="00D82419" w:rsidRDefault="007A5DA9" w:rsidP="00430DF0">
            <w:pPr>
              <w:suppressAutoHyphens/>
              <w:spacing w:before="0"/>
              <w:rPr>
                <w:rFonts w:ascii="Times New Roman" w:hAnsi="Times New Roman"/>
                <w:noProof/>
                <w:sz w:val="24"/>
              </w:rPr>
            </w:pPr>
            <w:r>
              <w:rPr>
                <w:rFonts w:ascii="Times New Roman" w:hAnsi="Times New Roman"/>
                <w:noProof/>
                <w:sz w:val="24"/>
              </w:rPr>
              <w:t xml:space="preserve">Iestādes norāda metodi, ko izmanto, lai noteiktu beztermiņa noguldījumu uzvedības pārcenošanas laiku: </w:t>
            </w:r>
          </w:p>
          <w:p w14:paraId="63BED8EC" w14:textId="5830B51C" w:rsidR="008857EC" w:rsidRPr="00CB270D" w:rsidRDefault="008A192D" w:rsidP="00430DF0">
            <w:pPr>
              <w:suppressAutoHyphens/>
              <w:spacing w:before="0"/>
              <w:rPr>
                <w:rFonts w:ascii="Times New Roman" w:hAnsi="Times New Roman"/>
                <w:noProof/>
                <w:sz w:val="24"/>
              </w:rPr>
            </w:pPr>
            <w:r>
              <w:rPr>
                <w:rFonts w:ascii="Times New Roman" w:hAnsi="Times New Roman"/>
                <w:noProof/>
                <w:sz w:val="24"/>
              </w:rPr>
              <w:t>- laikrindas modelis (Bāzeles/EBI stabila/nestabila/</w:t>
            </w:r>
            <w:r>
              <w:rPr>
                <w:rFonts w:ascii="Times New Roman" w:hAnsi="Times New Roman"/>
                <w:i/>
                <w:noProof/>
                <w:sz w:val="24"/>
              </w:rPr>
              <w:t>PTR</w:t>
            </w:r>
            <w:r>
              <w:rPr>
                <w:rFonts w:ascii="Times New Roman" w:hAnsi="Times New Roman"/>
                <w:noProof/>
                <w:sz w:val="24"/>
              </w:rPr>
              <w:t xml:space="preserve"> pieeja);</w:t>
            </w:r>
          </w:p>
          <w:p w14:paraId="332AB750" w14:textId="5FA0C5F7" w:rsidR="008857EC" w:rsidRPr="00D82419" w:rsidRDefault="008A192D" w:rsidP="00430DF0">
            <w:pPr>
              <w:suppressAutoHyphens/>
              <w:spacing w:before="0"/>
              <w:rPr>
                <w:rFonts w:ascii="Times New Roman" w:hAnsi="Times New Roman"/>
                <w:noProof/>
                <w:sz w:val="24"/>
              </w:rPr>
            </w:pPr>
            <w:r>
              <w:rPr>
                <w:rFonts w:ascii="Times New Roman" w:hAnsi="Times New Roman"/>
                <w:noProof/>
                <w:sz w:val="24"/>
              </w:rPr>
              <w:t>- replikācijas portfelis;</w:t>
            </w:r>
          </w:p>
          <w:p w14:paraId="76311097" w14:textId="28D2D982" w:rsidR="008857EC" w:rsidRPr="00D82419" w:rsidRDefault="008A192D" w:rsidP="00430DF0">
            <w:pPr>
              <w:suppressAutoHyphens/>
              <w:spacing w:before="0"/>
              <w:rPr>
                <w:rFonts w:ascii="Times New Roman" w:hAnsi="Times New Roman"/>
                <w:noProof/>
                <w:sz w:val="24"/>
              </w:rPr>
            </w:pPr>
            <w:r>
              <w:rPr>
                <w:rFonts w:ascii="Times New Roman" w:hAnsi="Times New Roman"/>
                <w:noProof/>
                <w:sz w:val="24"/>
              </w:rPr>
              <w:t>- ekonomiskie modeļi (modelējot finanšu līdzekļu piešķiršanu beztermiņa noguldījumiem vai alternatīvām investīcijām saskaņā ar dažādiem tirgus scenārijiem/ekonomiskajiem faktoriem);</w:t>
            </w:r>
          </w:p>
          <w:p w14:paraId="080A6466" w14:textId="3BEF2199" w:rsidR="008857EC" w:rsidRPr="00D82419" w:rsidRDefault="008A192D" w:rsidP="00430DF0">
            <w:pPr>
              <w:suppressAutoHyphens/>
              <w:spacing w:before="0"/>
              <w:rPr>
                <w:rFonts w:ascii="Times New Roman" w:hAnsi="Times New Roman"/>
                <w:noProof/>
                <w:sz w:val="24"/>
              </w:rPr>
            </w:pPr>
            <w:r>
              <w:rPr>
                <w:rFonts w:ascii="Times New Roman" w:hAnsi="Times New Roman"/>
                <w:noProof/>
                <w:sz w:val="24"/>
              </w:rPr>
              <w:t>- eksperta vērtējums;</w:t>
            </w:r>
          </w:p>
          <w:p w14:paraId="678F986F" w14:textId="5FE8CE76" w:rsidR="007A5DA9" w:rsidRPr="00D82419" w:rsidRDefault="008A192D" w:rsidP="00430DF0">
            <w:pPr>
              <w:suppressAutoHyphens/>
              <w:spacing w:before="0"/>
              <w:rPr>
                <w:rFonts w:ascii="Times New Roman" w:hAnsi="Times New Roman"/>
                <w:noProof/>
                <w:sz w:val="24"/>
              </w:rPr>
            </w:pPr>
            <w:r>
              <w:rPr>
                <w:rFonts w:ascii="Times New Roman" w:hAnsi="Times New Roman"/>
                <w:noProof/>
                <w:sz w:val="24"/>
              </w:rPr>
              <w:t>- cita.</w:t>
            </w:r>
          </w:p>
        </w:tc>
      </w:tr>
      <w:tr w:rsidR="00B3451B" w:rsidRPr="00D82419" w14:paraId="46309D17" w14:textId="77777777" w:rsidTr="763F32FC">
        <w:tc>
          <w:tcPr>
            <w:tcW w:w="1129" w:type="dxa"/>
          </w:tcPr>
          <w:p w14:paraId="178C8037" w14:textId="03375BE6"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0190</w:t>
            </w:r>
          </w:p>
        </w:tc>
        <w:tc>
          <w:tcPr>
            <w:tcW w:w="7620" w:type="dxa"/>
          </w:tcPr>
          <w:p w14:paraId="11B9CE0D" w14:textId="543F5F75" w:rsidR="00B3451B" w:rsidRPr="00D82419" w:rsidRDefault="00B3451B" w:rsidP="00430DF0">
            <w:pPr>
              <w:suppressAutoHyphens/>
              <w:spacing w:before="0"/>
              <w:rPr>
                <w:rFonts w:ascii="Times New Roman" w:hAnsi="Times New Roman"/>
                <w:noProof/>
                <w:sz w:val="24"/>
                <w:u w:val="single"/>
              </w:rPr>
            </w:pPr>
            <w:r>
              <w:rPr>
                <w:rFonts w:ascii="Times New Roman" w:hAnsi="Times New Roman"/>
                <w:b/>
                <w:noProof/>
                <w:sz w:val="24"/>
                <w:u w:val="single"/>
              </w:rPr>
              <w:t>Pamatkomponenta beztermiņa noguldījumu atlikumu noteikšana</w:t>
            </w:r>
            <w:r>
              <w:rPr>
                <w:rFonts w:ascii="Times New Roman" w:hAnsi="Times New Roman"/>
                <w:noProof/>
                <w:sz w:val="24"/>
                <w:u w:val="single"/>
              </w:rPr>
              <w:t xml:space="preserve"> </w:t>
            </w:r>
          </w:p>
          <w:p w14:paraId="7B68425D" w14:textId="08EBCB9E" w:rsidR="00EE6F88" w:rsidRPr="00D82419" w:rsidRDefault="00EE6F88" w:rsidP="00430DF0">
            <w:pPr>
              <w:suppressAutoHyphens/>
              <w:spacing w:before="0"/>
              <w:rPr>
                <w:rFonts w:ascii="Times New Roman" w:hAnsi="Times New Roman"/>
                <w:noProof/>
                <w:sz w:val="24"/>
              </w:rPr>
            </w:pPr>
            <w:r>
              <w:rPr>
                <w:rFonts w:ascii="Times New Roman" w:hAnsi="Times New Roman"/>
                <w:noProof/>
                <w:sz w:val="24"/>
              </w:rPr>
              <w:t>Iestādes norāda, vai tās saskaras ar problēmām, nosakot beztermiņa noguldījumu pamatatlikumu bez nosacījumiem attiecībā pret IR scenāriju:</w:t>
            </w:r>
          </w:p>
          <w:p w14:paraId="405B5D9F" w14:textId="01456395"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jā;</w:t>
            </w:r>
          </w:p>
          <w:p w14:paraId="0C236ED0" w14:textId="5E09EF05"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nē;</w:t>
            </w:r>
          </w:p>
          <w:p w14:paraId="041F774E" w14:textId="3E236CE2" w:rsidR="0096266F"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neattiecas.</w:t>
            </w:r>
          </w:p>
        </w:tc>
      </w:tr>
      <w:tr w:rsidR="00B3451B" w:rsidRPr="00D82419" w14:paraId="0AC7A101" w14:textId="77777777" w:rsidTr="763F32FC">
        <w:tc>
          <w:tcPr>
            <w:tcW w:w="1129" w:type="dxa"/>
          </w:tcPr>
          <w:p w14:paraId="52074635" w14:textId="572A5CB1"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0200</w:t>
            </w:r>
          </w:p>
        </w:tc>
        <w:tc>
          <w:tcPr>
            <w:tcW w:w="7620" w:type="dxa"/>
          </w:tcPr>
          <w:p w14:paraId="0444DE63" w14:textId="743A7A9C" w:rsidR="00B3451B" w:rsidRPr="00D82419" w:rsidRDefault="00EE6F88" w:rsidP="00430DF0">
            <w:pPr>
              <w:suppressAutoHyphens/>
              <w:spacing w:before="0"/>
              <w:rPr>
                <w:rFonts w:ascii="Times New Roman" w:hAnsi="Times New Roman"/>
                <w:b/>
                <w:bCs/>
                <w:noProof/>
                <w:sz w:val="24"/>
                <w:u w:val="single"/>
              </w:rPr>
            </w:pPr>
            <w:r>
              <w:rPr>
                <w:rFonts w:ascii="Times New Roman" w:hAnsi="Times New Roman"/>
                <w:b/>
                <w:noProof/>
                <w:sz w:val="24"/>
                <w:u w:val="single"/>
              </w:rPr>
              <w:t>Attiecīgie beztermiņa noguldījumu atlikumu faktori</w:t>
            </w:r>
          </w:p>
          <w:p w14:paraId="7C1D4AB3" w14:textId="027E9701" w:rsidR="00B3451B" w:rsidRPr="00D82419" w:rsidRDefault="00EE6F88" w:rsidP="00430DF0">
            <w:pPr>
              <w:suppressAutoHyphens/>
              <w:spacing w:before="0"/>
              <w:rPr>
                <w:rFonts w:ascii="Times New Roman" w:hAnsi="Times New Roman"/>
                <w:b/>
                <w:bCs/>
                <w:noProof/>
                <w:sz w:val="24"/>
                <w:u w:val="single"/>
              </w:rPr>
            </w:pPr>
            <w:r>
              <w:rPr>
                <w:rFonts w:ascii="Times New Roman" w:hAnsi="Times New Roman"/>
                <w:noProof/>
                <w:sz w:val="24"/>
              </w:rPr>
              <w:t xml:space="preserve">Iestādes uzskaita attiecīgā(-o) faktora(-u) nosaukumu(-us), ko izmanto pamatatlikumu noteikšanai. </w:t>
            </w:r>
          </w:p>
        </w:tc>
      </w:tr>
      <w:tr w:rsidR="00B3451B" w:rsidRPr="00D82419" w14:paraId="7E64C4CA" w14:textId="77777777" w:rsidTr="763F32FC">
        <w:tc>
          <w:tcPr>
            <w:tcW w:w="1129" w:type="dxa"/>
          </w:tcPr>
          <w:p w14:paraId="48F8F1A7" w14:textId="27235DE7"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0210</w:t>
            </w:r>
          </w:p>
        </w:tc>
        <w:tc>
          <w:tcPr>
            <w:tcW w:w="7620" w:type="dxa"/>
          </w:tcPr>
          <w:p w14:paraId="1E9D3972" w14:textId="5F50B09E"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Beztermiņa noguldījumu pamatkomponenta atlikumi (pamatkomponenta atlikumu iedalījums)</w:t>
            </w:r>
          </w:p>
          <w:p w14:paraId="26774FB2" w14:textId="0373CBFE" w:rsidR="00EE6F88" w:rsidRPr="00D82419" w:rsidRDefault="00EE6F88" w:rsidP="00430DF0">
            <w:pPr>
              <w:suppressAutoHyphens/>
              <w:spacing w:before="0"/>
              <w:rPr>
                <w:rFonts w:ascii="Times New Roman" w:hAnsi="Times New Roman"/>
                <w:noProof/>
                <w:sz w:val="24"/>
              </w:rPr>
            </w:pPr>
            <w:r>
              <w:rPr>
                <w:rFonts w:ascii="Times New Roman" w:hAnsi="Times New Roman"/>
                <w:noProof/>
                <w:sz w:val="24"/>
              </w:rPr>
              <w:t>Iestādes norāda, kā tās iedala beztermiņa noguldījumu pamatatlikumus:</w:t>
            </w:r>
          </w:p>
          <w:p w14:paraId="5AED92C8" w14:textId="6CBFEEAA" w:rsidR="00EE6F88" w:rsidRPr="00D82419" w:rsidRDefault="008A192D" w:rsidP="00430DF0">
            <w:pPr>
              <w:suppressAutoHyphens/>
              <w:spacing w:before="0"/>
              <w:rPr>
                <w:rFonts w:ascii="Times New Roman" w:hAnsi="Times New Roman"/>
                <w:b/>
                <w:bCs/>
                <w:noProof/>
                <w:sz w:val="24"/>
                <w:u w:val="single"/>
              </w:rPr>
            </w:pPr>
            <w:r>
              <w:rPr>
                <w:rFonts w:ascii="Times New Roman" w:hAnsi="Times New Roman"/>
                <w:noProof/>
                <w:sz w:val="24"/>
              </w:rPr>
              <w:t>- visi pamatatlikumi iedalīti tikai vienā pārcenošanas periodā līdz beigu termiņam;</w:t>
            </w:r>
          </w:p>
          <w:p w14:paraId="115B80B1" w14:textId="1A33D4D7" w:rsidR="00B3451B" w:rsidRPr="00D82419" w:rsidRDefault="008A192D" w:rsidP="00430DF0">
            <w:pPr>
              <w:suppressAutoHyphens/>
              <w:spacing w:before="0"/>
              <w:rPr>
                <w:rFonts w:ascii="Times New Roman" w:hAnsi="Times New Roman"/>
                <w:b/>
                <w:noProof/>
                <w:u w:val="single"/>
              </w:rPr>
            </w:pPr>
            <w:r>
              <w:rPr>
                <w:rFonts w:ascii="Times New Roman" w:hAnsi="Times New Roman"/>
                <w:noProof/>
                <w:sz w:val="24"/>
              </w:rPr>
              <w:t>- pamatatlikumi iedalīti dažādos pārcenošanas periodos līdz beigu termiņam.</w:t>
            </w:r>
          </w:p>
        </w:tc>
      </w:tr>
      <w:tr w:rsidR="00B3451B" w:rsidRPr="00D82419" w14:paraId="793FE408" w14:textId="77777777" w:rsidTr="763F32FC">
        <w:tc>
          <w:tcPr>
            <w:tcW w:w="1129" w:type="dxa"/>
          </w:tcPr>
          <w:p w14:paraId="09DC633C" w14:textId="6BD27C76"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0220</w:t>
            </w:r>
          </w:p>
        </w:tc>
        <w:tc>
          <w:tcPr>
            <w:tcW w:w="7620" w:type="dxa"/>
          </w:tcPr>
          <w:p w14:paraId="1BD693EB" w14:textId="14614877"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5 gadu beztermiņa noguldījumu pārcenošanas maksimālā robežvērtība </w:t>
            </w:r>
            <w:r>
              <w:rPr>
                <w:rFonts w:ascii="Times New Roman" w:hAnsi="Times New Roman"/>
                <w:b/>
                <w:i/>
                <w:noProof/>
                <w:sz w:val="24"/>
                <w:u w:val="single"/>
              </w:rPr>
              <w:t>IRRBB</w:t>
            </w:r>
            <w:r>
              <w:rPr>
                <w:rFonts w:ascii="Times New Roman" w:hAnsi="Times New Roman"/>
                <w:b/>
                <w:noProof/>
                <w:sz w:val="24"/>
                <w:u w:val="single"/>
              </w:rPr>
              <w:t xml:space="preserve"> riska pārvaldībai</w:t>
            </w:r>
          </w:p>
          <w:p w14:paraId="188A8A54" w14:textId="00BAF5AA" w:rsidR="00B3451B" w:rsidRPr="00D82419" w:rsidRDefault="00EE6F88" w:rsidP="00430DF0">
            <w:pPr>
              <w:suppressAutoHyphens/>
              <w:spacing w:before="0"/>
              <w:rPr>
                <w:rFonts w:ascii="Times New Roman" w:hAnsi="Times New Roman"/>
                <w:noProof/>
                <w:sz w:val="24"/>
              </w:rPr>
            </w:pPr>
            <w:r>
              <w:rPr>
                <w:rFonts w:ascii="Times New Roman" w:hAnsi="Times New Roman"/>
                <w:noProof/>
                <w:sz w:val="24"/>
              </w:rPr>
              <w:t xml:space="preserve">Iestādes norāda, vai </w:t>
            </w:r>
            <w:r>
              <w:rPr>
                <w:rFonts w:ascii="Times New Roman" w:hAnsi="Times New Roman"/>
                <w:i/>
                <w:noProof/>
                <w:sz w:val="24"/>
              </w:rPr>
              <w:t>IRRBB</w:t>
            </w:r>
            <w:r>
              <w:rPr>
                <w:rFonts w:ascii="Times New Roman" w:hAnsi="Times New Roman"/>
                <w:noProof/>
                <w:sz w:val="24"/>
              </w:rPr>
              <w:t xml:space="preserve"> riska pārvaldības un riska ierobežošanas stratēģiju ziņā ir novērota jebkāda neparedzēta ietekme saistībā ar </w:t>
            </w:r>
            <w:r>
              <w:rPr>
                <w:rFonts w:ascii="Times New Roman" w:hAnsi="Times New Roman"/>
                <w:i/>
                <w:noProof/>
                <w:sz w:val="24"/>
              </w:rPr>
              <w:t>IRRBB</w:t>
            </w:r>
            <w:r>
              <w:rPr>
                <w:rFonts w:ascii="Times New Roman" w:hAnsi="Times New Roman"/>
                <w:noProof/>
                <w:sz w:val="24"/>
              </w:rPr>
              <w:t xml:space="preserve"> IMS noteikto 5 gadu pārcenošanas maksimālo robežvērtību:</w:t>
            </w:r>
          </w:p>
          <w:p w14:paraId="6B092AAE" w14:textId="5178F0EE"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jā;</w:t>
            </w:r>
          </w:p>
          <w:p w14:paraId="59B74C58" w14:textId="27BFB67A"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nē;</w:t>
            </w:r>
          </w:p>
          <w:p w14:paraId="66D7A0C7" w14:textId="00C81BE6" w:rsidR="00CD2D7A"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neattiecas.</w:t>
            </w:r>
          </w:p>
        </w:tc>
      </w:tr>
      <w:tr w:rsidR="00B3451B" w:rsidRPr="00D82419" w14:paraId="000798D2" w14:textId="77777777" w:rsidTr="763F32FC">
        <w:tc>
          <w:tcPr>
            <w:tcW w:w="1129" w:type="dxa"/>
          </w:tcPr>
          <w:p w14:paraId="231BFCC5" w14:textId="1A03F6AA"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0230</w:t>
            </w:r>
          </w:p>
        </w:tc>
        <w:tc>
          <w:tcPr>
            <w:tcW w:w="7620" w:type="dxa"/>
          </w:tcPr>
          <w:p w14:paraId="7C54CEED" w14:textId="77777777"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Atbrīvojumi no 5 gadu beztermiņa noguldījumu pārcenošanas maksimālās robežvērtības</w:t>
            </w:r>
          </w:p>
          <w:p w14:paraId="2B9A88F2" w14:textId="75C94D59" w:rsidR="00B3451B" w:rsidRPr="00D82419" w:rsidRDefault="00CD2D7A" w:rsidP="00430DF0">
            <w:pPr>
              <w:suppressAutoHyphens/>
              <w:spacing w:before="0"/>
              <w:rPr>
                <w:rFonts w:ascii="Times New Roman" w:hAnsi="Times New Roman"/>
                <w:noProof/>
                <w:sz w:val="24"/>
              </w:rPr>
            </w:pPr>
            <w:r>
              <w:rPr>
                <w:rFonts w:ascii="Times New Roman" w:hAnsi="Times New Roman"/>
                <w:noProof/>
                <w:sz w:val="24"/>
              </w:rPr>
              <w:t xml:space="preserve">Iestādes norāda, vai tās izmanto atbrīvojumus no 5 gadu pārcenošanas maksimālās robežvērtības kādam no saviem </w:t>
            </w:r>
            <w:r>
              <w:rPr>
                <w:rFonts w:ascii="Times New Roman" w:hAnsi="Times New Roman"/>
                <w:i/>
                <w:noProof/>
                <w:sz w:val="24"/>
              </w:rPr>
              <w:t>IRRBB</w:t>
            </w:r>
            <w:r>
              <w:rPr>
                <w:rFonts w:ascii="Times New Roman" w:hAnsi="Times New Roman"/>
                <w:noProof/>
                <w:sz w:val="24"/>
              </w:rPr>
              <w:t xml:space="preserve"> produktiem:</w:t>
            </w:r>
          </w:p>
          <w:p w14:paraId="1A4C2114" w14:textId="17E2F52A"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jā;</w:t>
            </w:r>
          </w:p>
          <w:p w14:paraId="759DBDD3" w14:textId="78E3FEFB"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nē;</w:t>
            </w:r>
          </w:p>
          <w:p w14:paraId="03BCE0C5" w14:textId="40E33CC3" w:rsidR="00CD2D7A"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neattiecas.</w:t>
            </w:r>
          </w:p>
        </w:tc>
      </w:tr>
      <w:tr w:rsidR="00B3451B" w:rsidRPr="00D82419" w14:paraId="640FEDD7" w14:textId="77777777" w:rsidTr="763F32FC">
        <w:tc>
          <w:tcPr>
            <w:tcW w:w="1129" w:type="dxa"/>
          </w:tcPr>
          <w:p w14:paraId="3E7E6D0E" w14:textId="5FCC1AC1"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0240</w:t>
            </w:r>
          </w:p>
        </w:tc>
        <w:tc>
          <w:tcPr>
            <w:tcW w:w="7620" w:type="dxa"/>
          </w:tcPr>
          <w:p w14:paraId="7177E094" w14:textId="1488F142"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Finanšu klientu operacionālo beztermiņa noguldījumu modelēšana</w:t>
            </w:r>
          </w:p>
          <w:p w14:paraId="016808F6" w14:textId="045DC9E3" w:rsidR="00CD2D7A" w:rsidRPr="00D82419" w:rsidRDefault="00CD2D7A" w:rsidP="00430DF0">
            <w:pPr>
              <w:suppressAutoHyphens/>
              <w:spacing w:before="0"/>
              <w:rPr>
                <w:rFonts w:ascii="Times New Roman" w:hAnsi="Times New Roman"/>
                <w:noProof/>
                <w:sz w:val="24"/>
              </w:rPr>
            </w:pPr>
            <w:r>
              <w:rPr>
                <w:rFonts w:ascii="Times New Roman" w:hAnsi="Times New Roman"/>
                <w:noProof/>
                <w:sz w:val="24"/>
              </w:rPr>
              <w:t>Iestādes norāda, vai finanšu klientu beztermiņa noguldījumiem, kas klasificēti kā operacionālie noguldījumi un kam piemēro Deleģētās regulas (ES) 2015/61 27. panta 1. punkta a) apakšpunktu, piemēro uzvedības modelēšanu:</w:t>
            </w:r>
          </w:p>
          <w:p w14:paraId="66706F43" w14:textId="1D16C3C3"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jā;</w:t>
            </w:r>
          </w:p>
          <w:p w14:paraId="026950A9" w14:textId="0D60CF75"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nē;</w:t>
            </w:r>
          </w:p>
          <w:p w14:paraId="132A97D8" w14:textId="56037725" w:rsidR="00B3451B"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neattiecas.</w:t>
            </w:r>
          </w:p>
        </w:tc>
      </w:tr>
      <w:tr w:rsidR="00B3451B" w:rsidRPr="00D82419" w14:paraId="73931E62" w14:textId="77777777" w:rsidTr="763F32FC">
        <w:tc>
          <w:tcPr>
            <w:tcW w:w="1129" w:type="dxa"/>
          </w:tcPr>
          <w:p w14:paraId="0BA17B70" w14:textId="732BF3CF"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0250</w:t>
            </w:r>
          </w:p>
        </w:tc>
        <w:tc>
          <w:tcPr>
            <w:tcW w:w="7620" w:type="dxa"/>
          </w:tcPr>
          <w:p w14:paraId="16F3972E" w14:textId="68C6CD62" w:rsidR="00EE6F88" w:rsidRPr="00D82419" w:rsidRDefault="00EE6F88" w:rsidP="00430DF0">
            <w:pPr>
              <w:suppressAutoHyphens/>
              <w:spacing w:before="0"/>
              <w:rPr>
                <w:rFonts w:ascii="Times New Roman" w:hAnsi="Times New Roman"/>
                <w:b/>
                <w:bCs/>
                <w:noProof/>
                <w:sz w:val="24"/>
                <w:u w:val="single"/>
              </w:rPr>
            </w:pPr>
            <w:r>
              <w:rPr>
                <w:rFonts w:ascii="Times New Roman" w:hAnsi="Times New Roman"/>
                <w:b/>
                <w:noProof/>
                <w:sz w:val="24"/>
                <w:u w:val="single"/>
              </w:rPr>
              <w:t>Izmaiņas bilances struktūrā procentu likmju dēļ</w:t>
            </w:r>
          </w:p>
          <w:p w14:paraId="1B01EB73" w14:textId="45302EF2" w:rsidR="008B3953" w:rsidRPr="00D82419" w:rsidRDefault="00B3451B" w:rsidP="00430DF0">
            <w:pPr>
              <w:suppressAutoHyphens/>
              <w:spacing w:before="0"/>
              <w:rPr>
                <w:rFonts w:ascii="Times New Roman" w:hAnsi="Times New Roman"/>
                <w:noProof/>
                <w:sz w:val="24"/>
              </w:rPr>
            </w:pPr>
            <w:r>
              <w:rPr>
                <w:rFonts w:ascii="Times New Roman" w:hAnsi="Times New Roman"/>
                <w:noProof/>
                <w:sz w:val="24"/>
              </w:rPr>
              <w:t xml:space="preserve">Iestādes norāda izmaiņas, kas veiktas to bilances struktūrā kopš pēdējās pārskatu sniegšanas par </w:t>
            </w:r>
            <w:r>
              <w:rPr>
                <w:rFonts w:ascii="Times New Roman" w:hAnsi="Times New Roman"/>
                <w:i/>
                <w:noProof/>
                <w:sz w:val="24"/>
              </w:rPr>
              <w:t>IRRBB</w:t>
            </w:r>
            <w:r>
              <w:rPr>
                <w:rFonts w:ascii="Times New Roman" w:hAnsi="Times New Roman"/>
                <w:noProof/>
                <w:sz w:val="24"/>
              </w:rPr>
              <w:t xml:space="preserve">: </w:t>
            </w:r>
          </w:p>
          <w:p w14:paraId="55D34979" w14:textId="0FB61509"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aktīvu/saistību ilguma starpības samazināšana, samazinot aktīva ilgumu;</w:t>
            </w:r>
          </w:p>
          <w:p w14:paraId="694D4FF0" w14:textId="722499D5"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aktīvu/saistību ilguma starpības samazināšana, palielinot saistību ilgumu;</w:t>
            </w:r>
          </w:p>
          <w:p w14:paraId="374D8D69" w14:textId="70919FAA"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aktīvu/saistību ilguma starpības samazināšana, samazinot aktīva ilgumu un palielinot saistību ilgumu;</w:t>
            </w:r>
          </w:p>
          <w:p w14:paraId="57D61254" w14:textId="33EEA5AC" w:rsidR="00B3451B" w:rsidRPr="00D82419" w:rsidRDefault="00694CA0" w:rsidP="00430DF0">
            <w:pPr>
              <w:suppressAutoHyphens/>
              <w:spacing w:before="0"/>
              <w:rPr>
                <w:rFonts w:ascii="Times New Roman" w:hAnsi="Times New Roman"/>
                <w:noProof/>
                <w:sz w:val="24"/>
              </w:rPr>
            </w:pPr>
            <w:r>
              <w:rPr>
                <w:rFonts w:ascii="Times New Roman" w:hAnsi="Times New Roman"/>
                <w:noProof/>
                <w:sz w:val="24"/>
              </w:rPr>
              <w:t>- ilguma starpības palielināšana, palielinot aktīvu ilgumu;</w:t>
            </w:r>
          </w:p>
          <w:p w14:paraId="6BEBC9EB" w14:textId="65569957"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ilguma starpības palielināšana, samazinot saistību ilgumu;</w:t>
            </w:r>
          </w:p>
          <w:p w14:paraId="4D0929BD" w14:textId="464580FC" w:rsidR="008B3953" w:rsidRPr="00D82419" w:rsidRDefault="00694CA0" w:rsidP="00430DF0">
            <w:pPr>
              <w:suppressAutoHyphens/>
              <w:spacing w:before="0"/>
              <w:rPr>
                <w:rFonts w:ascii="Times New Roman" w:hAnsi="Times New Roman"/>
                <w:b/>
                <w:bCs/>
                <w:noProof/>
                <w:sz w:val="24"/>
                <w:u w:val="single"/>
              </w:rPr>
            </w:pPr>
            <w:r>
              <w:rPr>
                <w:rFonts w:ascii="Times New Roman" w:hAnsi="Times New Roman"/>
                <w:noProof/>
                <w:sz w:val="24"/>
              </w:rPr>
              <w:t>- ilguma starpības palielināšana, palielinot aktīvu ilgumu un samazinot saistību ilgumu.</w:t>
            </w:r>
          </w:p>
        </w:tc>
      </w:tr>
      <w:tr w:rsidR="00B3451B" w:rsidRPr="00D82419" w14:paraId="218435CB" w14:textId="77777777" w:rsidTr="763F32FC">
        <w:tc>
          <w:tcPr>
            <w:tcW w:w="1129" w:type="dxa"/>
          </w:tcPr>
          <w:p w14:paraId="6E0196ED" w14:textId="6D16DEF7"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0260</w:t>
            </w:r>
          </w:p>
        </w:tc>
        <w:tc>
          <w:tcPr>
            <w:tcW w:w="7620" w:type="dxa"/>
          </w:tcPr>
          <w:p w14:paraId="4FFDB841" w14:textId="71F7EA4E" w:rsidR="00EE6F88" w:rsidRPr="00D82419" w:rsidRDefault="00EE6F88" w:rsidP="00430DF0">
            <w:pPr>
              <w:suppressAutoHyphens/>
              <w:spacing w:before="0"/>
              <w:rPr>
                <w:rFonts w:ascii="Times New Roman" w:hAnsi="Times New Roman"/>
                <w:b/>
                <w:bCs/>
                <w:noProof/>
                <w:sz w:val="24"/>
                <w:u w:val="single"/>
              </w:rPr>
            </w:pPr>
            <w:r>
              <w:rPr>
                <w:rFonts w:ascii="Times New Roman" w:hAnsi="Times New Roman"/>
                <w:b/>
                <w:i/>
                <w:noProof/>
                <w:sz w:val="24"/>
                <w:u w:val="single"/>
              </w:rPr>
              <w:t>IRRBB</w:t>
            </w:r>
            <w:r>
              <w:rPr>
                <w:rFonts w:ascii="Times New Roman" w:hAnsi="Times New Roman"/>
                <w:b/>
                <w:noProof/>
                <w:sz w:val="24"/>
                <w:u w:val="single"/>
              </w:rPr>
              <w:t xml:space="preserve"> mazināšanas un riska ierobežošanas stratēģijas (</w:t>
            </w:r>
            <w:r>
              <w:rPr>
                <w:rFonts w:ascii="Times New Roman" w:hAnsi="Times New Roman"/>
                <w:b/>
                <w:i/>
                <w:noProof/>
                <w:sz w:val="24"/>
                <w:u w:val="single"/>
              </w:rPr>
              <w:t>EVE</w:t>
            </w:r>
            <w:r>
              <w:rPr>
                <w:rFonts w:ascii="Times New Roman" w:hAnsi="Times New Roman"/>
                <w:b/>
                <w:noProof/>
                <w:sz w:val="24"/>
                <w:u w:val="single"/>
              </w:rPr>
              <w:t>)</w:t>
            </w:r>
          </w:p>
          <w:p w14:paraId="6516422C" w14:textId="3150FCEC" w:rsidR="008B3953" w:rsidRPr="00D82419" w:rsidRDefault="00B3451B" w:rsidP="00430DF0">
            <w:pPr>
              <w:suppressAutoHyphens/>
              <w:spacing w:before="0"/>
              <w:rPr>
                <w:rFonts w:ascii="Times New Roman" w:hAnsi="Times New Roman"/>
                <w:noProof/>
                <w:sz w:val="24"/>
              </w:rPr>
            </w:pPr>
            <w:r>
              <w:rPr>
                <w:rFonts w:ascii="Times New Roman" w:hAnsi="Times New Roman"/>
                <w:noProof/>
                <w:sz w:val="24"/>
              </w:rPr>
              <w:t xml:space="preserve">Iestādes norāda, vai tās plāno izstrādāt izmaiņas savās </w:t>
            </w:r>
            <w:r>
              <w:rPr>
                <w:rFonts w:ascii="Times New Roman" w:hAnsi="Times New Roman"/>
                <w:i/>
                <w:noProof/>
                <w:sz w:val="24"/>
              </w:rPr>
              <w:t>IRR</w:t>
            </w:r>
            <w:r>
              <w:rPr>
                <w:rFonts w:ascii="Times New Roman" w:hAnsi="Times New Roman"/>
                <w:noProof/>
                <w:sz w:val="24"/>
              </w:rPr>
              <w:t xml:space="preserve"> mazināšanas un riska ierobežošanas stratēģijās jebkurā no scenārijiem, kas paredzēti </w:t>
            </w:r>
            <w:r>
              <w:rPr>
                <w:rStyle w:val="InstructionsTabelleberschrift"/>
                <w:rFonts w:ascii="Times New Roman" w:hAnsi="Times New Roman"/>
                <w:b w:val="0"/>
                <w:noProof/>
                <w:sz w:val="24"/>
                <w:u w:val="none"/>
              </w:rPr>
              <w:t xml:space="preserve">Deleģētajā regulā (ES) .../... (PB: lūgums pievienot atsauci uz </w:t>
            </w:r>
            <w:r>
              <w:rPr>
                <w:rFonts w:ascii="Times New Roman" w:hAnsi="Times New Roman"/>
                <w:noProof/>
                <w:sz w:val="24"/>
              </w:rPr>
              <w:t xml:space="preserve">RTS par </w:t>
            </w:r>
            <w:r>
              <w:rPr>
                <w:rFonts w:ascii="Times New Roman" w:hAnsi="Times New Roman"/>
                <w:i/>
                <w:noProof/>
                <w:sz w:val="24"/>
              </w:rPr>
              <w:t>SOT</w:t>
            </w:r>
            <w:r>
              <w:rPr>
                <w:rFonts w:ascii="Times New Roman" w:hAnsi="Times New Roman"/>
                <w:noProof/>
                <w:sz w:val="24"/>
              </w:rPr>
              <w:t xml:space="preserve">) attiecībā uz </w:t>
            </w:r>
            <w:r>
              <w:rPr>
                <w:rFonts w:ascii="Times New Roman" w:hAnsi="Times New Roman"/>
                <w:i/>
                <w:noProof/>
                <w:sz w:val="24"/>
              </w:rPr>
              <w:t>EVE</w:t>
            </w:r>
            <w:r>
              <w:rPr>
                <w:rFonts w:ascii="Times New Roman" w:hAnsi="Times New Roman"/>
                <w:noProof/>
                <w:sz w:val="24"/>
              </w:rPr>
              <w:t>:</w:t>
            </w:r>
          </w:p>
          <w:p w14:paraId="0F1BB673" w14:textId="5D6449C7"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paralēls augšupvērsts satricinājums;</w:t>
            </w:r>
          </w:p>
          <w:p w14:paraId="353314E6" w14:textId="2682B715"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paralēls lejupvērsts satricinājums;</w:t>
            </w:r>
          </w:p>
          <w:p w14:paraId="03B57B19" w14:textId="13660339"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kāpuma satricinājums;</w:t>
            </w:r>
          </w:p>
          <w:p w14:paraId="644022C1" w14:textId="60744793"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izlīdzinājuma satricinājums;</w:t>
            </w:r>
          </w:p>
          <w:p w14:paraId="0B823A8E" w14:textId="31BECE1C"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augšupvērsts īss likmju satricinājums;</w:t>
            </w:r>
          </w:p>
          <w:p w14:paraId="4E07EFB8" w14:textId="7FF5D306" w:rsidR="00F466A7" w:rsidRPr="00D82419" w:rsidRDefault="00694CA0" w:rsidP="00430DF0">
            <w:pPr>
              <w:suppressAutoHyphens/>
              <w:spacing w:before="0"/>
              <w:rPr>
                <w:rFonts w:ascii="Times New Roman" w:hAnsi="Times New Roman"/>
                <w:b/>
                <w:bCs/>
                <w:noProof/>
                <w:sz w:val="24"/>
                <w:u w:val="single"/>
              </w:rPr>
            </w:pPr>
            <w:r>
              <w:rPr>
                <w:rFonts w:ascii="Times New Roman" w:hAnsi="Times New Roman"/>
                <w:noProof/>
                <w:sz w:val="24"/>
              </w:rPr>
              <w:t>- lejupvērsts īss likmju satricinājums.</w:t>
            </w:r>
          </w:p>
        </w:tc>
      </w:tr>
      <w:tr w:rsidR="00F466A7" w:rsidRPr="00D82419" w14:paraId="532A6946" w14:textId="77777777" w:rsidTr="763F32FC">
        <w:tc>
          <w:tcPr>
            <w:tcW w:w="1129" w:type="dxa"/>
          </w:tcPr>
          <w:p w14:paraId="3EAC5854" w14:textId="247A16AB" w:rsidR="00F466A7" w:rsidRPr="00D82419" w:rsidRDefault="00F466A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0270</w:t>
            </w:r>
          </w:p>
        </w:tc>
        <w:tc>
          <w:tcPr>
            <w:tcW w:w="7620" w:type="dxa"/>
          </w:tcPr>
          <w:p w14:paraId="423E008D" w14:textId="4EE4B888" w:rsidR="00F466A7" w:rsidRPr="00D82419" w:rsidRDefault="00F466A7" w:rsidP="00430DF0">
            <w:pPr>
              <w:suppressAutoHyphens/>
              <w:spacing w:before="0"/>
              <w:rPr>
                <w:rFonts w:ascii="Times New Roman" w:hAnsi="Times New Roman"/>
                <w:b/>
                <w:bCs/>
                <w:noProof/>
                <w:sz w:val="24"/>
                <w:u w:val="single"/>
              </w:rPr>
            </w:pPr>
            <w:r>
              <w:rPr>
                <w:rFonts w:ascii="Times New Roman" w:hAnsi="Times New Roman"/>
                <w:b/>
                <w:i/>
                <w:noProof/>
                <w:sz w:val="24"/>
                <w:u w:val="single"/>
              </w:rPr>
              <w:t>IRRBB</w:t>
            </w:r>
            <w:r>
              <w:rPr>
                <w:rFonts w:ascii="Times New Roman" w:hAnsi="Times New Roman"/>
                <w:b/>
                <w:noProof/>
                <w:sz w:val="24"/>
                <w:u w:val="single"/>
              </w:rPr>
              <w:t xml:space="preserve"> mazināšanas un riska ierobežošanas stratēģijas (</w:t>
            </w:r>
            <w:r>
              <w:rPr>
                <w:rFonts w:ascii="Times New Roman" w:hAnsi="Times New Roman"/>
                <w:b/>
                <w:i/>
                <w:noProof/>
                <w:sz w:val="24"/>
                <w:u w:val="single"/>
              </w:rPr>
              <w:t>NII</w:t>
            </w:r>
            <w:r>
              <w:rPr>
                <w:rFonts w:ascii="Times New Roman" w:hAnsi="Times New Roman"/>
                <w:b/>
                <w:noProof/>
                <w:sz w:val="24"/>
                <w:u w:val="single"/>
              </w:rPr>
              <w:t>)</w:t>
            </w:r>
          </w:p>
          <w:p w14:paraId="5FA7EE52" w14:textId="73479DF8" w:rsidR="00F466A7" w:rsidRPr="00D82419" w:rsidRDefault="00F466A7" w:rsidP="00430DF0">
            <w:pPr>
              <w:suppressAutoHyphens/>
              <w:spacing w:before="0"/>
              <w:rPr>
                <w:rFonts w:ascii="Times New Roman" w:hAnsi="Times New Roman"/>
                <w:noProof/>
                <w:sz w:val="24"/>
              </w:rPr>
            </w:pPr>
            <w:r>
              <w:rPr>
                <w:rFonts w:ascii="Times New Roman" w:hAnsi="Times New Roman"/>
                <w:noProof/>
                <w:sz w:val="24"/>
              </w:rPr>
              <w:t xml:space="preserve">Iestādes norāda, vai tās plāno izstrādāt izmaiņas savās </w:t>
            </w:r>
            <w:r>
              <w:rPr>
                <w:rFonts w:ascii="Times New Roman" w:hAnsi="Times New Roman"/>
                <w:i/>
                <w:noProof/>
                <w:sz w:val="24"/>
              </w:rPr>
              <w:t>IRR</w:t>
            </w:r>
            <w:r>
              <w:rPr>
                <w:rFonts w:ascii="Times New Roman" w:hAnsi="Times New Roman"/>
                <w:noProof/>
                <w:sz w:val="24"/>
              </w:rPr>
              <w:t xml:space="preserve"> mazināšanas un riska ierobežošanas stratēģijās jebkurā no scenārijiem, kas paredzēti </w:t>
            </w:r>
            <w:r>
              <w:rPr>
                <w:rStyle w:val="InstructionsTabelleberschrift"/>
                <w:rFonts w:ascii="Times New Roman" w:hAnsi="Times New Roman"/>
                <w:b w:val="0"/>
                <w:noProof/>
                <w:sz w:val="24"/>
                <w:u w:val="none"/>
              </w:rPr>
              <w:t xml:space="preserve">Deleģētajā regulā (ES) .../... (PB: lūgums pievienot atsauci uz </w:t>
            </w:r>
            <w:r>
              <w:rPr>
                <w:rFonts w:ascii="Times New Roman" w:hAnsi="Times New Roman"/>
                <w:noProof/>
                <w:sz w:val="24"/>
              </w:rPr>
              <w:t xml:space="preserve">RTS par </w:t>
            </w:r>
            <w:r>
              <w:rPr>
                <w:rFonts w:ascii="Times New Roman" w:hAnsi="Times New Roman"/>
                <w:i/>
                <w:noProof/>
                <w:sz w:val="24"/>
              </w:rPr>
              <w:t>SOT</w:t>
            </w:r>
            <w:r>
              <w:rPr>
                <w:rFonts w:ascii="Times New Roman" w:hAnsi="Times New Roman"/>
                <w:noProof/>
                <w:sz w:val="24"/>
              </w:rPr>
              <w:t xml:space="preserve">) attiecībā uz </w:t>
            </w:r>
            <w:r>
              <w:rPr>
                <w:rFonts w:ascii="Times New Roman" w:hAnsi="Times New Roman"/>
                <w:i/>
                <w:noProof/>
                <w:sz w:val="24"/>
              </w:rPr>
              <w:t>NII</w:t>
            </w:r>
            <w:r>
              <w:rPr>
                <w:rFonts w:ascii="Times New Roman" w:hAnsi="Times New Roman"/>
                <w:noProof/>
                <w:sz w:val="24"/>
              </w:rPr>
              <w:t>:</w:t>
            </w:r>
          </w:p>
          <w:p w14:paraId="2683288C" w14:textId="3EC59A21"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paralēls augšupvērsts satricinājums;</w:t>
            </w:r>
          </w:p>
          <w:p w14:paraId="74C56115" w14:textId="3DB6C0E6"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paralēls lejupvērsts satricinājums.</w:t>
            </w:r>
          </w:p>
        </w:tc>
      </w:tr>
      <w:tr w:rsidR="00831F72" w:rsidRPr="00D82419" w14:paraId="0AE292E1" w14:textId="77777777" w:rsidTr="763F32FC">
        <w:tc>
          <w:tcPr>
            <w:tcW w:w="1129" w:type="dxa"/>
          </w:tcPr>
          <w:p w14:paraId="37E0D940" w14:textId="089C8BDE"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0280</w:t>
            </w:r>
          </w:p>
        </w:tc>
        <w:tc>
          <w:tcPr>
            <w:tcW w:w="7620" w:type="dxa"/>
          </w:tcPr>
          <w:p w14:paraId="78AE75FF" w14:textId="22A0F2CD" w:rsidR="00831F72" w:rsidRPr="00D82419" w:rsidRDefault="00831F72" w:rsidP="00430DF0">
            <w:pPr>
              <w:suppressAutoHyphens/>
              <w:spacing w:before="0"/>
              <w:rPr>
                <w:rFonts w:ascii="Times New Roman" w:hAnsi="Times New Roman"/>
                <w:b/>
                <w:bCs/>
                <w:noProof/>
                <w:sz w:val="24"/>
                <w:u w:val="single"/>
              </w:rPr>
            </w:pPr>
            <w:r>
              <w:rPr>
                <w:rFonts w:ascii="Times New Roman" w:hAnsi="Times New Roman"/>
                <w:b/>
                <w:i/>
                <w:noProof/>
                <w:sz w:val="24"/>
                <w:u w:val="single"/>
              </w:rPr>
              <w:t>SOT</w:t>
            </w:r>
            <w:r>
              <w:rPr>
                <w:rFonts w:ascii="Times New Roman" w:hAnsi="Times New Roman"/>
                <w:b/>
                <w:noProof/>
                <w:sz w:val="24"/>
                <w:u w:val="single"/>
              </w:rPr>
              <w:t xml:space="preserve"> par </w:t>
            </w:r>
            <w:r>
              <w:rPr>
                <w:rFonts w:ascii="Times New Roman" w:hAnsi="Times New Roman"/>
                <w:b/>
                <w:i/>
                <w:noProof/>
                <w:sz w:val="24"/>
                <w:u w:val="single"/>
              </w:rPr>
              <w:t>NII</w:t>
            </w:r>
            <w:r>
              <w:rPr>
                <w:rFonts w:ascii="Times New Roman" w:hAnsi="Times New Roman"/>
                <w:b/>
                <w:noProof/>
                <w:sz w:val="24"/>
                <w:u w:val="single"/>
              </w:rPr>
              <w:t xml:space="preserve"> riska mēru saskaņā ar </w:t>
            </w:r>
            <w:r>
              <w:rPr>
                <w:rFonts w:ascii="Times New Roman" w:hAnsi="Times New Roman"/>
                <w:b/>
                <w:i/>
                <w:noProof/>
                <w:sz w:val="24"/>
                <w:u w:val="single"/>
              </w:rPr>
              <w:t>IMS</w:t>
            </w:r>
            <w:r>
              <w:rPr>
                <w:rFonts w:ascii="Times New Roman" w:hAnsi="Times New Roman"/>
                <w:b/>
                <w:noProof/>
                <w:sz w:val="24"/>
                <w:u w:val="single"/>
              </w:rPr>
              <w:t xml:space="preserve"> pieeju - privātpersonu vai MVU termiņnoguldījumu </w:t>
            </w:r>
            <w:r>
              <w:rPr>
                <w:rFonts w:ascii="Times New Roman" w:hAnsi="Times New Roman"/>
                <w:b/>
                <w:i/>
                <w:noProof/>
                <w:sz w:val="24"/>
                <w:u w:val="single"/>
              </w:rPr>
              <w:t>PTR</w:t>
            </w:r>
          </w:p>
          <w:p w14:paraId="41C954DD" w14:textId="41834E99" w:rsidR="00831F72" w:rsidRPr="00D82419" w:rsidRDefault="00831F72" w:rsidP="00430DF0">
            <w:pPr>
              <w:suppressAutoHyphens/>
              <w:spacing w:before="0"/>
              <w:rPr>
                <w:rFonts w:ascii="Times New Roman" w:hAnsi="Times New Roman"/>
                <w:noProof/>
                <w:sz w:val="24"/>
              </w:rPr>
            </w:pPr>
            <w:r>
              <w:rPr>
                <w:rFonts w:ascii="Times New Roman" w:hAnsi="Times New Roman"/>
                <w:noProof/>
                <w:sz w:val="24"/>
              </w:rPr>
              <w:t xml:space="preserve">Iestādes norāda, vai tās novirza 100 % no tirgus procentu likmju izmaiņām uz privātpersonu vai MVU termiņnoguldījumu pārcenošanu pēc to termiņa paralēlajā +200 </w:t>
            </w:r>
            <w:r>
              <w:rPr>
                <w:rFonts w:ascii="Times New Roman" w:hAnsi="Times New Roman"/>
                <w:i/>
                <w:noProof/>
                <w:sz w:val="24"/>
              </w:rPr>
              <w:t>IR</w:t>
            </w:r>
            <w:r>
              <w:rPr>
                <w:rFonts w:ascii="Times New Roman" w:hAnsi="Times New Roman"/>
                <w:noProof/>
                <w:sz w:val="24"/>
              </w:rPr>
              <w:t xml:space="preserve"> scenārijā: </w:t>
            </w:r>
          </w:p>
          <w:p w14:paraId="59547F70" w14:textId="27131A63"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jā;</w:t>
            </w:r>
          </w:p>
          <w:p w14:paraId="19A9CCCC" w14:textId="22E811D9"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nē;</w:t>
            </w:r>
          </w:p>
          <w:p w14:paraId="47FB330F" w14:textId="3C01690E" w:rsidR="00831F72" w:rsidRPr="00D82419" w:rsidRDefault="00694CA0" w:rsidP="00430DF0">
            <w:pPr>
              <w:suppressAutoHyphens/>
              <w:spacing w:before="0"/>
              <w:rPr>
                <w:rFonts w:ascii="Times New Roman" w:hAnsi="Times New Roman"/>
                <w:b/>
                <w:bCs/>
                <w:noProof/>
                <w:u w:val="single"/>
              </w:rPr>
            </w:pPr>
            <w:r>
              <w:rPr>
                <w:rStyle w:val="InstructionsTabelleberschrift"/>
                <w:rFonts w:ascii="Times New Roman" w:hAnsi="Times New Roman"/>
                <w:b w:val="0"/>
                <w:noProof/>
                <w:sz w:val="24"/>
                <w:u w:val="none"/>
              </w:rPr>
              <w:t>- neattiecas.</w:t>
            </w:r>
          </w:p>
        </w:tc>
      </w:tr>
      <w:tr w:rsidR="00831F72" w:rsidRPr="00D82419" w14:paraId="0CE0F7C9" w14:textId="77777777" w:rsidTr="763F32FC">
        <w:tc>
          <w:tcPr>
            <w:tcW w:w="1129" w:type="dxa"/>
          </w:tcPr>
          <w:p w14:paraId="6B5FECF5" w14:textId="6F8280B6"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0290</w:t>
            </w:r>
          </w:p>
        </w:tc>
        <w:tc>
          <w:tcPr>
            <w:tcW w:w="7620" w:type="dxa"/>
          </w:tcPr>
          <w:p w14:paraId="7C90BC0D" w14:textId="6C766439" w:rsidR="00831F72" w:rsidRPr="00D82419" w:rsidRDefault="00831F72" w:rsidP="00430DF0">
            <w:pPr>
              <w:suppressAutoHyphens/>
              <w:spacing w:before="0"/>
              <w:rPr>
                <w:rFonts w:ascii="Times New Roman" w:hAnsi="Times New Roman"/>
                <w:b/>
                <w:bCs/>
                <w:noProof/>
                <w:sz w:val="24"/>
                <w:u w:val="single"/>
              </w:rPr>
            </w:pPr>
            <w:r>
              <w:rPr>
                <w:rFonts w:ascii="Times New Roman" w:hAnsi="Times New Roman"/>
                <w:b/>
                <w:i/>
                <w:noProof/>
                <w:sz w:val="24"/>
                <w:u w:val="single"/>
              </w:rPr>
              <w:t>SOT</w:t>
            </w:r>
            <w:r>
              <w:rPr>
                <w:rFonts w:ascii="Times New Roman" w:hAnsi="Times New Roman"/>
                <w:b/>
                <w:noProof/>
                <w:sz w:val="24"/>
                <w:u w:val="single"/>
              </w:rPr>
              <w:t xml:space="preserve"> par </w:t>
            </w:r>
            <w:r>
              <w:rPr>
                <w:rFonts w:ascii="Times New Roman" w:hAnsi="Times New Roman"/>
                <w:b/>
                <w:i/>
                <w:noProof/>
                <w:sz w:val="24"/>
                <w:u w:val="single"/>
              </w:rPr>
              <w:t>NII</w:t>
            </w:r>
            <w:r>
              <w:rPr>
                <w:rFonts w:ascii="Times New Roman" w:hAnsi="Times New Roman"/>
                <w:b/>
                <w:noProof/>
                <w:sz w:val="24"/>
                <w:u w:val="single"/>
              </w:rPr>
              <w:t xml:space="preserve"> riska mēru saskaņā ar </w:t>
            </w:r>
            <w:r>
              <w:rPr>
                <w:rFonts w:ascii="Times New Roman" w:hAnsi="Times New Roman"/>
                <w:b/>
                <w:i/>
                <w:noProof/>
                <w:sz w:val="24"/>
                <w:u w:val="single"/>
              </w:rPr>
              <w:t>IMS</w:t>
            </w:r>
            <w:r>
              <w:rPr>
                <w:rFonts w:ascii="Times New Roman" w:hAnsi="Times New Roman"/>
                <w:b/>
                <w:noProof/>
                <w:sz w:val="24"/>
                <w:u w:val="single"/>
              </w:rPr>
              <w:t xml:space="preserve"> pieeju — privātpersonu vai MVU fiksēto aizdevumu </w:t>
            </w:r>
            <w:r>
              <w:rPr>
                <w:rFonts w:ascii="Times New Roman" w:hAnsi="Times New Roman"/>
                <w:b/>
                <w:i/>
                <w:noProof/>
                <w:sz w:val="24"/>
                <w:u w:val="single"/>
              </w:rPr>
              <w:t>PTR</w:t>
            </w:r>
          </w:p>
          <w:p w14:paraId="2EAF0973" w14:textId="36777687" w:rsidR="002A07FE" w:rsidRPr="00D82419" w:rsidRDefault="002A07FE" w:rsidP="00430DF0">
            <w:pPr>
              <w:suppressAutoHyphens/>
              <w:spacing w:before="0"/>
              <w:rPr>
                <w:rFonts w:ascii="Times New Roman" w:hAnsi="Times New Roman"/>
                <w:noProof/>
                <w:sz w:val="24"/>
              </w:rPr>
            </w:pPr>
            <w:r>
              <w:rPr>
                <w:rFonts w:ascii="Times New Roman" w:hAnsi="Times New Roman"/>
                <w:noProof/>
                <w:sz w:val="24"/>
              </w:rPr>
              <w:t xml:space="preserve">Iestādes norāda, vai tās novirza 100 % no tirgus procentu likmes izmaiņām uz privātpersonu vai MVU fiksēto aizdevumu pārcenošanu pēc to termiņa paralēlajā +200 </w:t>
            </w:r>
            <w:r>
              <w:rPr>
                <w:rFonts w:ascii="Times New Roman" w:hAnsi="Times New Roman"/>
                <w:i/>
                <w:noProof/>
                <w:sz w:val="24"/>
              </w:rPr>
              <w:t>IR</w:t>
            </w:r>
            <w:r>
              <w:rPr>
                <w:rFonts w:ascii="Times New Roman" w:hAnsi="Times New Roman"/>
                <w:noProof/>
                <w:sz w:val="24"/>
              </w:rPr>
              <w:t xml:space="preserve"> scenārijā: </w:t>
            </w:r>
          </w:p>
          <w:p w14:paraId="71DBAFC7" w14:textId="1D2812E8"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jā;</w:t>
            </w:r>
          </w:p>
          <w:p w14:paraId="13F351DE" w14:textId="256A1970"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nē;</w:t>
            </w:r>
          </w:p>
          <w:p w14:paraId="5A1258AE" w14:textId="725E9847" w:rsidR="00831F72" w:rsidRPr="00D82419" w:rsidRDefault="00694CA0"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neattiecas.</w:t>
            </w:r>
          </w:p>
        </w:tc>
      </w:tr>
      <w:tr w:rsidR="00D23E14" w:rsidRPr="00D82419" w14:paraId="3B602049" w14:textId="77777777" w:rsidTr="763F32FC">
        <w:tc>
          <w:tcPr>
            <w:tcW w:w="1129" w:type="dxa"/>
          </w:tcPr>
          <w:p w14:paraId="7B5D50F2" w14:textId="748605D2" w:rsidR="00D23E14" w:rsidRPr="00D82419" w:rsidRDefault="00D23E1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0300</w:t>
            </w:r>
          </w:p>
        </w:tc>
        <w:tc>
          <w:tcPr>
            <w:tcW w:w="7620" w:type="dxa"/>
          </w:tcPr>
          <w:p w14:paraId="7FF4CAFC" w14:textId="77777777" w:rsidR="00D23E14" w:rsidRPr="00D82419" w:rsidRDefault="00DE58BB" w:rsidP="00430DF0">
            <w:pPr>
              <w:suppressAutoHyphens/>
              <w:spacing w:before="0"/>
              <w:rPr>
                <w:rFonts w:ascii="Times New Roman" w:hAnsi="Times New Roman"/>
                <w:b/>
                <w:bCs/>
                <w:noProof/>
                <w:sz w:val="24"/>
                <w:u w:val="single"/>
              </w:rPr>
            </w:pPr>
            <w:r>
              <w:rPr>
                <w:rFonts w:ascii="Times New Roman" w:hAnsi="Times New Roman"/>
                <w:b/>
                <w:noProof/>
                <w:sz w:val="24"/>
                <w:u w:val="single"/>
              </w:rPr>
              <w:t>Bāzes risks</w:t>
            </w:r>
          </w:p>
          <w:p w14:paraId="6E9C9674" w14:textId="28AF3529" w:rsidR="00DE58BB" w:rsidRPr="00D82419" w:rsidRDefault="00DE58BB" w:rsidP="00430DF0">
            <w:pPr>
              <w:suppressAutoHyphens/>
              <w:spacing w:before="0"/>
              <w:rPr>
                <w:rFonts w:ascii="Times New Roman" w:hAnsi="Times New Roman"/>
                <w:noProof/>
                <w:sz w:val="24"/>
              </w:rPr>
            </w:pPr>
            <w:r>
              <w:rPr>
                <w:rFonts w:ascii="Times New Roman" w:hAnsi="Times New Roman"/>
                <w:noProof/>
                <w:sz w:val="24"/>
              </w:rPr>
              <w:t xml:space="preserve">Iestādes norāda, vai tās uzskata, ka bāzes risks ir būtisks: </w:t>
            </w:r>
          </w:p>
          <w:p w14:paraId="1D01F903" w14:textId="3204DDA5"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jā;</w:t>
            </w:r>
          </w:p>
          <w:p w14:paraId="6FBAAE4C" w14:textId="7FB7D489"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nē;</w:t>
            </w:r>
          </w:p>
          <w:p w14:paraId="45F74D5F" w14:textId="4A61848E" w:rsidR="00DE58BB" w:rsidRPr="00D82419" w:rsidRDefault="00694CA0"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neattiecas.</w:t>
            </w:r>
          </w:p>
        </w:tc>
      </w:tr>
      <w:tr w:rsidR="00D23E14" w:rsidRPr="00D82419" w14:paraId="5E0618BC" w14:textId="77777777" w:rsidTr="763F32FC">
        <w:tc>
          <w:tcPr>
            <w:tcW w:w="1129" w:type="dxa"/>
          </w:tcPr>
          <w:p w14:paraId="6D05D7E7" w14:textId="143F0C8F" w:rsidR="00D23E14" w:rsidRPr="00D82419" w:rsidRDefault="00D23E1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0310</w:t>
            </w:r>
          </w:p>
        </w:tc>
        <w:tc>
          <w:tcPr>
            <w:tcW w:w="7620" w:type="dxa"/>
          </w:tcPr>
          <w:p w14:paraId="7065C1C7" w14:textId="65786C0A" w:rsidR="00213C4A" w:rsidRPr="00D82419" w:rsidRDefault="00213C4A" w:rsidP="00430DF0">
            <w:pPr>
              <w:suppressAutoHyphens/>
              <w:spacing w:before="0"/>
              <w:rPr>
                <w:rFonts w:ascii="Times New Roman" w:hAnsi="Times New Roman"/>
                <w:b/>
                <w:bCs/>
                <w:noProof/>
                <w:sz w:val="24"/>
                <w:u w:val="single"/>
              </w:rPr>
            </w:pPr>
            <w:r>
              <w:rPr>
                <w:rFonts w:ascii="Times New Roman" w:hAnsi="Times New Roman"/>
                <w:b/>
                <w:noProof/>
                <w:sz w:val="24"/>
                <w:u w:val="single"/>
              </w:rPr>
              <w:t>Kredītriska starpības risks banku portfelī (</w:t>
            </w:r>
            <w:r>
              <w:rPr>
                <w:rFonts w:ascii="Times New Roman" w:hAnsi="Times New Roman"/>
                <w:b/>
                <w:i/>
                <w:noProof/>
                <w:sz w:val="24"/>
                <w:u w:val="single"/>
              </w:rPr>
              <w:t>CSRBB</w:t>
            </w:r>
            <w:r>
              <w:rPr>
                <w:rFonts w:ascii="Times New Roman" w:hAnsi="Times New Roman"/>
                <w:b/>
                <w:noProof/>
                <w:sz w:val="24"/>
                <w:u w:val="single"/>
              </w:rPr>
              <w:t>)</w:t>
            </w:r>
          </w:p>
          <w:p w14:paraId="2E5544DE" w14:textId="674E5533" w:rsidR="0000410C" w:rsidRPr="00D82419" w:rsidRDefault="0000410C" w:rsidP="00430DF0">
            <w:pPr>
              <w:suppressAutoHyphens/>
              <w:spacing w:before="0"/>
              <w:rPr>
                <w:rFonts w:ascii="Times New Roman" w:hAnsi="Times New Roman"/>
                <w:noProof/>
                <w:sz w:val="24"/>
              </w:rPr>
            </w:pPr>
            <w:r>
              <w:rPr>
                <w:rFonts w:ascii="Times New Roman" w:hAnsi="Times New Roman"/>
                <w:noProof/>
                <w:sz w:val="24"/>
              </w:rPr>
              <w:t xml:space="preserve">Iestādes norāda, vai attiecībā uz </w:t>
            </w:r>
            <w:r>
              <w:rPr>
                <w:rFonts w:ascii="Times New Roman" w:hAnsi="Times New Roman"/>
                <w:i/>
                <w:noProof/>
                <w:sz w:val="24"/>
              </w:rPr>
              <w:t>NII</w:t>
            </w:r>
            <w:r>
              <w:rPr>
                <w:rFonts w:ascii="Times New Roman" w:hAnsi="Times New Roman"/>
                <w:noProof/>
                <w:sz w:val="24"/>
              </w:rPr>
              <w:t xml:space="preserve"> un </w:t>
            </w:r>
            <w:r>
              <w:rPr>
                <w:rFonts w:ascii="Times New Roman" w:hAnsi="Times New Roman"/>
                <w:i/>
                <w:noProof/>
                <w:sz w:val="24"/>
              </w:rPr>
              <w:t>EVE</w:t>
            </w:r>
            <w:r>
              <w:rPr>
                <w:rFonts w:ascii="Times New Roman" w:hAnsi="Times New Roman"/>
                <w:noProof/>
                <w:sz w:val="24"/>
              </w:rPr>
              <w:t xml:space="preserve"> rādītāju tās ņēma vērā atšķirīgu to instrumentu perimetru, uz kuriem attiecas </w:t>
            </w:r>
            <w:r>
              <w:rPr>
                <w:rFonts w:ascii="Times New Roman" w:hAnsi="Times New Roman"/>
                <w:i/>
                <w:noProof/>
                <w:sz w:val="24"/>
              </w:rPr>
              <w:t>CSRBB</w:t>
            </w:r>
            <w:r>
              <w:rPr>
                <w:rFonts w:ascii="Times New Roman" w:hAnsi="Times New Roman"/>
                <w:noProof/>
                <w:sz w:val="24"/>
              </w:rPr>
              <w:t>, kā minēts Direktīvas 2013/36/ES 84. panta 2. punktā:</w:t>
            </w:r>
          </w:p>
          <w:p w14:paraId="50023EB7" w14:textId="43277B64"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jā;</w:t>
            </w:r>
          </w:p>
          <w:p w14:paraId="012CE02E" w14:textId="5CB57A73"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nē;</w:t>
            </w:r>
          </w:p>
          <w:p w14:paraId="1438B1B5" w14:textId="392786CA" w:rsidR="0000410C" w:rsidRPr="00D82419" w:rsidRDefault="00694CA0"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neattiecas.</w:t>
            </w:r>
          </w:p>
        </w:tc>
      </w:tr>
      <w:tr w:rsidR="00831F72" w:rsidRPr="00D82419" w14:paraId="1BDCDE63" w14:textId="77777777" w:rsidTr="763F32FC">
        <w:tc>
          <w:tcPr>
            <w:tcW w:w="1129" w:type="dxa"/>
          </w:tcPr>
          <w:p w14:paraId="6C3568C5" w14:textId="15541633"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0320</w:t>
            </w:r>
          </w:p>
        </w:tc>
        <w:tc>
          <w:tcPr>
            <w:tcW w:w="7620" w:type="dxa"/>
          </w:tcPr>
          <w:p w14:paraId="58014394" w14:textId="4E31E255" w:rsidR="00831F72" w:rsidRPr="00D82419" w:rsidRDefault="00831F7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Bezriska ienesīguma līkne (diskontēšana </w:t>
            </w:r>
            <w:r>
              <w:rPr>
                <w:rStyle w:val="InstructionsTabelleberschrift"/>
                <w:rFonts w:ascii="Times New Roman" w:hAnsi="Times New Roman"/>
                <w:i/>
                <w:noProof/>
                <w:sz w:val="24"/>
              </w:rPr>
              <w:t>EVE SOT</w:t>
            </w:r>
            <w:r>
              <w:rPr>
                <w:rStyle w:val="InstructionsTabelleberschrift"/>
                <w:rFonts w:ascii="Times New Roman" w:hAnsi="Times New Roman"/>
                <w:noProof/>
                <w:sz w:val="24"/>
              </w:rPr>
              <w:t xml:space="preserve"> ietvaros) </w:t>
            </w:r>
          </w:p>
          <w:p w14:paraId="438A61E7" w14:textId="6492A071" w:rsidR="00831F72" w:rsidRPr="00D82419" w:rsidRDefault="00831F72" w:rsidP="003C575D">
            <w:pPr>
              <w:pStyle w:val="InstructionsText"/>
              <w:rPr>
                <w:noProof/>
              </w:rPr>
            </w:pPr>
            <w:r>
              <w:rPr>
                <w:noProof/>
              </w:rPr>
              <w:t xml:space="preserve">Iestādes uzrāda bezriska ienesīguma līkni, kas izmantota diskontēšanai saskaņā ar </w:t>
            </w:r>
            <w:r>
              <w:rPr>
                <w:rStyle w:val="InstructionsTabelleberschrift"/>
                <w:rFonts w:ascii="Times New Roman" w:hAnsi="Times New Roman"/>
                <w:b w:val="0"/>
                <w:noProof/>
                <w:sz w:val="24"/>
                <w:u w:val="none"/>
              </w:rPr>
              <w:t xml:space="preserve">Deleģētās regulas (ES) .../... (PB: lūgums pievienot atsauci uz RTS par </w:t>
            </w:r>
            <w:r>
              <w:rPr>
                <w:rStyle w:val="InstructionsTabelleberschrift"/>
                <w:rFonts w:ascii="Times New Roman" w:hAnsi="Times New Roman"/>
                <w:b w:val="0"/>
                <w:i/>
                <w:noProof/>
                <w:sz w:val="24"/>
                <w:u w:val="none"/>
              </w:rPr>
              <w:t>SOT</w:t>
            </w:r>
            <w:r>
              <w:rPr>
                <w:rStyle w:val="InstructionsTabelleberschrift"/>
                <w:rFonts w:ascii="Times New Roman" w:hAnsi="Times New Roman"/>
                <w:b w:val="0"/>
                <w:noProof/>
                <w:sz w:val="24"/>
                <w:u w:val="none"/>
              </w:rPr>
              <w:t>) 3. panta 10. punktu</w:t>
            </w:r>
            <w:r>
              <w:rPr>
                <w:noProof/>
              </w:rPr>
              <w:t>:</w:t>
            </w:r>
          </w:p>
          <w:p w14:paraId="1C07B050" w14:textId="7C4E7230"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starpbanku nodrošināta;</w:t>
            </w:r>
          </w:p>
          <w:p w14:paraId="452A2398" w14:textId="03AAC715"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starpbanku nenodrošināta uz diennakti;</w:t>
            </w:r>
          </w:p>
          <w:p w14:paraId="7CC5BD45" w14:textId="3AB07E78"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starpbanku nenodrošināta termiņam;</w:t>
            </w:r>
          </w:p>
          <w:p w14:paraId="46113D77" w14:textId="6DAA15EF"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suverēna līkne;</w:t>
            </w:r>
          </w:p>
          <w:p w14:paraId="01B618A9" w14:textId="0CE7A167"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produktam specifiska līkne;</w:t>
            </w:r>
          </w:p>
          <w:p w14:paraId="5E68E7CE" w14:textId="62989819" w:rsidR="00F41077"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subjektam specifiska līkne;</w:t>
            </w:r>
          </w:p>
          <w:p w14:paraId="3CE0EC7A" w14:textId="130FD618"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cita.</w:t>
            </w:r>
          </w:p>
        </w:tc>
      </w:tr>
      <w:tr w:rsidR="00831F72" w:rsidRPr="00D82419" w14:paraId="0D032E3B" w14:textId="77777777" w:rsidTr="763F32FC">
        <w:tc>
          <w:tcPr>
            <w:tcW w:w="1129" w:type="dxa"/>
          </w:tcPr>
          <w:p w14:paraId="1D5E6175" w14:textId="55E46B5B"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0330</w:t>
            </w:r>
          </w:p>
        </w:tc>
        <w:tc>
          <w:tcPr>
            <w:tcW w:w="7620" w:type="dxa"/>
          </w:tcPr>
          <w:p w14:paraId="39EBEB8B" w14:textId="06081CF4" w:rsidR="00831F72" w:rsidRPr="00D82419" w:rsidRDefault="00831F7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Bezriska ienesīguma līkne (</w:t>
            </w:r>
            <w:r>
              <w:rPr>
                <w:rStyle w:val="InstructionsTabelleberschrift"/>
                <w:rFonts w:ascii="Times New Roman" w:hAnsi="Times New Roman"/>
                <w:i/>
                <w:noProof/>
                <w:sz w:val="24"/>
              </w:rPr>
              <w:t>EVE</w:t>
            </w:r>
            <w:r>
              <w:rPr>
                <w:rStyle w:val="InstructionsTabelleberschrift"/>
                <w:rFonts w:ascii="Times New Roman" w:hAnsi="Times New Roman"/>
                <w:noProof/>
                <w:sz w:val="24"/>
              </w:rPr>
              <w:t xml:space="preserve"> iekšējā riska mēri)</w:t>
            </w:r>
          </w:p>
          <w:p w14:paraId="17F84D95" w14:textId="01917E40" w:rsidR="00831F72" w:rsidRPr="00D82419" w:rsidRDefault="00831F72" w:rsidP="003C575D">
            <w:pPr>
              <w:pStyle w:val="InstructionsText"/>
              <w:rPr>
                <w:noProof/>
              </w:rPr>
            </w:pPr>
            <w:r>
              <w:rPr>
                <w:noProof/>
              </w:rPr>
              <w:t xml:space="preserve">Iestādes uzrāda bezriska ienesīguma līkni, kas izmantota iekšējām vajadzībām </w:t>
            </w:r>
            <w:r>
              <w:rPr>
                <w:i/>
                <w:noProof/>
              </w:rPr>
              <w:t>EVE</w:t>
            </w:r>
            <w:r>
              <w:rPr>
                <w:noProof/>
              </w:rPr>
              <w:t xml:space="preserve"> iekšējā riska mēra diskontēšanai:</w:t>
            </w:r>
          </w:p>
          <w:p w14:paraId="2BC51B81" w14:textId="2F8C5CA1"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starpbanku nodrošināta;</w:t>
            </w:r>
          </w:p>
          <w:p w14:paraId="43BCFD8D" w14:textId="0A26DFD6"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starpbanku nenodrošināta uz diennakti;</w:t>
            </w:r>
          </w:p>
          <w:p w14:paraId="4457F452" w14:textId="2951F9F4"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starpbanku nenodrošināta termiņam;</w:t>
            </w:r>
          </w:p>
          <w:p w14:paraId="7D44CF6B" w14:textId="0A5A38E6"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suverēna līkne;</w:t>
            </w:r>
          </w:p>
          <w:p w14:paraId="53D62FB6" w14:textId="0266FD10"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produktam specifiska līkne;</w:t>
            </w:r>
          </w:p>
          <w:p w14:paraId="5AF12C10" w14:textId="59D8FA9C"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subjektam specifiska līkne;</w:t>
            </w:r>
          </w:p>
          <w:p w14:paraId="48CD74B5" w14:textId="74132250" w:rsidR="00831F72" w:rsidRPr="00D82419" w:rsidRDefault="00694CA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cita.</w:t>
            </w:r>
          </w:p>
        </w:tc>
      </w:tr>
      <w:tr w:rsidR="00831F72" w:rsidRPr="00D82419" w14:paraId="6BE31A4F" w14:textId="77777777" w:rsidTr="763F32FC">
        <w:tc>
          <w:tcPr>
            <w:tcW w:w="1129" w:type="dxa"/>
          </w:tcPr>
          <w:p w14:paraId="6879B5FB" w14:textId="36F7712E" w:rsidR="00831F72" w:rsidRPr="00D82419" w:rsidDel="00DD0AD0"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0340</w:t>
            </w:r>
          </w:p>
        </w:tc>
        <w:tc>
          <w:tcPr>
            <w:tcW w:w="7620" w:type="dxa"/>
          </w:tcPr>
          <w:p w14:paraId="1E8B815B" w14:textId="51D83114" w:rsidR="00831F72" w:rsidRPr="00D82419" w:rsidRDefault="00831F72" w:rsidP="00430DF0">
            <w:pPr>
              <w:suppressAutoHyphens/>
              <w:spacing w:before="0"/>
              <w:rPr>
                <w:rStyle w:val="InstructionsTabelleberschrift"/>
                <w:rFonts w:ascii="Times New Roman" w:hAnsi="Times New Roman"/>
                <w:noProof/>
                <w:sz w:val="24"/>
              </w:rPr>
            </w:pPr>
            <w:r>
              <w:rPr>
                <w:rStyle w:val="InstructionsTabelleberschrift"/>
                <w:rFonts w:ascii="Times New Roman" w:hAnsi="Times New Roman"/>
                <w:noProof/>
                <w:sz w:val="24"/>
              </w:rPr>
              <w:t>Izmaiņas būtiskajos pieņēmumos (</w:t>
            </w:r>
            <w:r>
              <w:rPr>
                <w:rStyle w:val="InstructionsTabelleberschrift"/>
                <w:rFonts w:ascii="Times New Roman" w:hAnsi="Times New Roman"/>
                <w:i/>
                <w:noProof/>
                <w:sz w:val="24"/>
              </w:rPr>
              <w:t>EVE</w:t>
            </w:r>
            <w:r>
              <w:rPr>
                <w:rStyle w:val="InstructionsTabelleberschrift"/>
                <w:rFonts w:ascii="Times New Roman" w:hAnsi="Times New Roman"/>
                <w:noProof/>
                <w:sz w:val="24"/>
              </w:rPr>
              <w:t>)</w:t>
            </w:r>
          </w:p>
          <w:p w14:paraId="68EE4B49" w14:textId="6B95A076" w:rsidR="00831F72" w:rsidRPr="00D82419" w:rsidRDefault="00831F72" w:rsidP="003C575D">
            <w:pPr>
              <w:pStyle w:val="InstructionsText"/>
              <w:rPr>
                <w:rStyle w:val="InstructionsTabelleberschrift"/>
                <w:rFonts w:ascii="Times New Roman" w:hAnsi="Times New Roman"/>
                <w:b w:val="0"/>
                <w:bCs w:val="0"/>
                <w:noProof/>
                <w:sz w:val="24"/>
                <w:u w:val="none"/>
              </w:rPr>
            </w:pPr>
            <w:r>
              <w:rPr>
                <w:noProof/>
              </w:rPr>
              <w:t xml:space="preserve">Iestādes norāda, vai kopš pēdējās pārskatu sniegšanas ir mainījušies jebkādi būtiski pieņēmumi, kas ir pamatā uzraudzības standarta satricinājuma aprēķināšanai </w:t>
            </w:r>
            <w:r>
              <w:rPr>
                <w:i/>
                <w:noProof/>
              </w:rPr>
              <w:t>EVE SOT</w:t>
            </w:r>
            <w:r>
              <w:rPr>
                <w:noProof/>
              </w:rPr>
              <w:t xml:space="preserve"> rādītājos:</w:t>
            </w:r>
          </w:p>
          <w:p w14:paraId="08DC01FF" w14:textId="1D1849A1"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jā;</w:t>
            </w:r>
          </w:p>
          <w:p w14:paraId="7B454EAD" w14:textId="47CD74FD"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nē;</w:t>
            </w:r>
          </w:p>
          <w:p w14:paraId="2047570C" w14:textId="300DDD09" w:rsidR="00831F72" w:rsidRPr="00D82419" w:rsidRDefault="00694CA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neattiecas.</w:t>
            </w:r>
          </w:p>
        </w:tc>
      </w:tr>
      <w:tr w:rsidR="00831F72" w:rsidRPr="00D82419" w14:paraId="0E990BEC" w14:textId="77777777" w:rsidTr="763F32FC">
        <w:tc>
          <w:tcPr>
            <w:tcW w:w="1129" w:type="dxa"/>
          </w:tcPr>
          <w:p w14:paraId="63FEF734" w14:textId="4DBDB37F" w:rsidR="00831F72" w:rsidRPr="00D82419" w:rsidDel="00DD0AD0"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0350</w:t>
            </w:r>
          </w:p>
        </w:tc>
        <w:tc>
          <w:tcPr>
            <w:tcW w:w="7620" w:type="dxa"/>
          </w:tcPr>
          <w:p w14:paraId="64533084" w14:textId="39B1B770" w:rsidR="00831F72" w:rsidRPr="00D82419" w:rsidRDefault="00831F72" w:rsidP="00430DF0">
            <w:pPr>
              <w:suppressAutoHyphens/>
              <w:spacing w:before="0"/>
              <w:rPr>
                <w:rStyle w:val="InstructionsTabelleberschrift"/>
                <w:rFonts w:ascii="Times New Roman" w:hAnsi="Times New Roman"/>
                <w:noProof/>
                <w:sz w:val="24"/>
              </w:rPr>
            </w:pPr>
            <w:r>
              <w:rPr>
                <w:rStyle w:val="InstructionsTabelleberschrift"/>
                <w:rFonts w:ascii="Times New Roman" w:hAnsi="Times New Roman"/>
                <w:noProof/>
                <w:sz w:val="24"/>
              </w:rPr>
              <w:t>Izmaiņas būtiskajos pieņēmumos (</w:t>
            </w:r>
            <w:r>
              <w:rPr>
                <w:rStyle w:val="InstructionsTabelleberschrift"/>
                <w:rFonts w:ascii="Times New Roman" w:hAnsi="Times New Roman"/>
                <w:i/>
                <w:noProof/>
                <w:sz w:val="24"/>
              </w:rPr>
              <w:t>NII</w:t>
            </w:r>
            <w:r>
              <w:rPr>
                <w:rStyle w:val="InstructionsTabelleberschrift"/>
                <w:rFonts w:ascii="Times New Roman" w:hAnsi="Times New Roman"/>
                <w:noProof/>
                <w:sz w:val="24"/>
              </w:rPr>
              <w:t>)</w:t>
            </w:r>
          </w:p>
          <w:p w14:paraId="6679202D" w14:textId="4DB0B200" w:rsidR="00831F72" w:rsidRPr="00D82419" w:rsidRDefault="00831F72" w:rsidP="003C575D">
            <w:pPr>
              <w:pStyle w:val="InstructionsText"/>
              <w:rPr>
                <w:noProof/>
              </w:rPr>
            </w:pPr>
            <w:r>
              <w:rPr>
                <w:noProof/>
              </w:rPr>
              <w:t xml:space="preserve">Iestādes norāda, vai kopš pēdējās pārskatu sniegšanas ir mainījušies jebkādi būtiski pieņēmumi, kas ir pamatā uzraudzības standarta satricinājuma aprēķināšanai </w:t>
            </w:r>
            <w:r>
              <w:rPr>
                <w:i/>
                <w:noProof/>
              </w:rPr>
              <w:t>NII SOT</w:t>
            </w:r>
            <w:r>
              <w:rPr>
                <w:noProof/>
              </w:rPr>
              <w:t xml:space="preserve"> rādītājos:</w:t>
            </w:r>
            <w:r>
              <w:rPr>
                <w:noProof/>
                <w:color w:val="333333"/>
                <w:sz w:val="18"/>
              </w:rPr>
              <w:t xml:space="preserve"> </w:t>
            </w:r>
          </w:p>
          <w:p w14:paraId="7DAFE939" w14:textId="1EE574EB"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jā;</w:t>
            </w:r>
          </w:p>
          <w:p w14:paraId="60932CE9" w14:textId="63C31C42"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nē;</w:t>
            </w:r>
          </w:p>
          <w:p w14:paraId="475E7AC7" w14:textId="4F1FF55B" w:rsidR="00831F72" w:rsidRPr="00D82419" w:rsidRDefault="00694CA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neattiecas.</w:t>
            </w:r>
          </w:p>
        </w:tc>
      </w:tr>
      <w:tr w:rsidR="00831F72" w:rsidRPr="00D82419" w14:paraId="77B4BB6E" w14:textId="77777777" w:rsidTr="763F32FC">
        <w:tc>
          <w:tcPr>
            <w:tcW w:w="1129" w:type="dxa"/>
          </w:tcPr>
          <w:p w14:paraId="3103DAA3" w14:textId="019BFB6A"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0360</w:t>
            </w:r>
          </w:p>
        </w:tc>
        <w:tc>
          <w:tcPr>
            <w:tcW w:w="7620" w:type="dxa"/>
          </w:tcPr>
          <w:p w14:paraId="5248A7BA" w14:textId="71D70433" w:rsidR="00831F72" w:rsidRPr="00D82419" w:rsidRDefault="00831F7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Pēcsatricinājuma procentu likmju minimālā robežvērtība (</w:t>
            </w:r>
            <w:r>
              <w:rPr>
                <w:rStyle w:val="InstructionsTabelleberschrift"/>
                <w:rFonts w:ascii="Times New Roman" w:hAnsi="Times New Roman"/>
                <w:i/>
                <w:noProof/>
                <w:sz w:val="24"/>
              </w:rPr>
              <w:t>NII/EVE</w:t>
            </w:r>
            <w:r>
              <w:rPr>
                <w:rStyle w:val="InstructionsTabelleberschrift"/>
                <w:rFonts w:ascii="Times New Roman" w:hAnsi="Times New Roman"/>
                <w:noProof/>
                <w:sz w:val="24"/>
              </w:rPr>
              <w:t>)</w:t>
            </w:r>
          </w:p>
          <w:p w14:paraId="48577CD6" w14:textId="63FB4571" w:rsidR="00831F72" w:rsidRPr="00D82419" w:rsidRDefault="00126BE8" w:rsidP="003C575D">
            <w:pPr>
              <w:pStyle w:val="InstructionsText"/>
              <w:rPr>
                <w:rStyle w:val="InstructionsTabelleberschrift"/>
                <w:rFonts w:ascii="Times New Roman" w:hAnsi="Times New Roman"/>
                <w:b w:val="0"/>
                <w:bCs w:val="0"/>
                <w:noProof/>
                <w:sz w:val="24"/>
                <w:u w:val="none"/>
              </w:rPr>
            </w:pPr>
            <w:r>
              <w:rPr>
                <w:noProof/>
              </w:rPr>
              <w:t xml:space="preserve">Saskaņā ar </w:t>
            </w:r>
            <w:r>
              <w:rPr>
                <w:rStyle w:val="InstructionsTabelleberschrift"/>
                <w:rFonts w:ascii="Times New Roman" w:hAnsi="Times New Roman"/>
                <w:b w:val="0"/>
                <w:noProof/>
                <w:sz w:val="24"/>
                <w:u w:val="none"/>
              </w:rPr>
              <w:t xml:space="preserve">Deleģētās regulas (ES) .../... (PB: lūgums pievienot atsauci uz </w:t>
            </w:r>
            <w:r>
              <w:rPr>
                <w:rStyle w:val="InstructionsTabelleberschrift"/>
                <w:rFonts w:ascii="Times New Roman" w:hAnsi="Times New Roman"/>
                <w:b w:val="0"/>
                <w:i/>
                <w:noProof/>
                <w:sz w:val="24"/>
                <w:u w:val="none"/>
              </w:rPr>
              <w:t>SOT</w:t>
            </w:r>
            <w:r>
              <w:rPr>
                <w:rStyle w:val="InstructionsTabelleberschrift"/>
                <w:rFonts w:ascii="Times New Roman" w:hAnsi="Times New Roman"/>
                <w:b w:val="0"/>
                <w:noProof/>
                <w:sz w:val="24"/>
                <w:u w:val="none"/>
              </w:rPr>
              <w:t>)</w:t>
            </w:r>
            <w:r>
              <w:rPr>
                <w:noProof/>
              </w:rPr>
              <w:t xml:space="preserve"> 3. panta 7. punktu iestādes norāda, vai no termiņa atkarīgā pēcsatricinājuma procentu likmju minimālā robežvērtība ir saistoša jebkurai no konkrētajām uzrādītajām valūtām:</w:t>
            </w:r>
          </w:p>
          <w:p w14:paraId="15C5A4DA" w14:textId="39A3E0B6"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jā;</w:t>
            </w:r>
          </w:p>
          <w:p w14:paraId="608E34DA" w14:textId="5EF065BB"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nē;</w:t>
            </w:r>
          </w:p>
          <w:p w14:paraId="7BE76904" w14:textId="477B98F1" w:rsidR="00694CA0" w:rsidRPr="00D82419" w:rsidRDefault="00694CA0" w:rsidP="00430DF0">
            <w:pPr>
              <w:suppressAutoHyphens/>
              <w:spacing w:before="0"/>
              <w:rPr>
                <w:rFonts w:ascii="Times New Roman" w:hAnsi="Times New Roman"/>
                <w:b/>
                <w:bCs/>
                <w:noProof/>
                <w:u w:val="single"/>
              </w:rPr>
            </w:pPr>
            <w:r>
              <w:rPr>
                <w:rStyle w:val="InstructionsTabelleberschrift"/>
                <w:rFonts w:ascii="Times New Roman" w:hAnsi="Times New Roman"/>
                <w:b w:val="0"/>
                <w:noProof/>
                <w:sz w:val="24"/>
                <w:u w:val="none"/>
              </w:rPr>
              <w:t>- neattiecas.</w:t>
            </w:r>
          </w:p>
        </w:tc>
      </w:tr>
    </w:tbl>
    <w:p w14:paraId="789CC7EA" w14:textId="77777777" w:rsidR="0074085C" w:rsidRPr="00D82419" w:rsidRDefault="0074085C" w:rsidP="00430DF0">
      <w:pPr>
        <w:suppressAutoHyphens/>
        <w:spacing w:after="0"/>
        <w:rPr>
          <w:rStyle w:val="InstructionsTabelleText"/>
          <w:rFonts w:ascii="Times New Roman" w:hAnsi="Times New Roman"/>
          <w:noProof/>
          <w:sz w:val="24"/>
        </w:rPr>
      </w:pPr>
    </w:p>
    <w:p w14:paraId="1A268D09" w14:textId="510344B9" w:rsidR="0071714D" w:rsidRPr="0071714D" w:rsidRDefault="0071714D" w:rsidP="00D3693A">
      <w:pPr>
        <w:suppressAutoHyphens/>
        <w:spacing w:after="0"/>
        <w:ind w:left="705" w:hanging="345"/>
        <w:rPr>
          <w:rStyle w:val="InstructionsTabelleText"/>
          <w:rFonts w:ascii="Times New Roman" w:hAnsi="Times New Roman"/>
          <w:noProof/>
          <w:szCs w:val="20"/>
        </w:rPr>
      </w:pPr>
    </w:p>
    <w:sectPr w:rsidR="0071714D" w:rsidRPr="0071714D" w:rsidSect="00B51F42">
      <w:headerReference w:type="even" r:id="rId24"/>
      <w:headerReference w:type="default" r:id="rId25"/>
      <w:footerReference w:type="even" r:id="rId26"/>
      <w:footerReference w:type="default" r:id="rId27"/>
      <w:headerReference w:type="first" r:id="rId28"/>
      <w:footerReference w:type="first" r:id="rId29"/>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6C3532" w14:textId="77777777" w:rsidR="00E62F2B" w:rsidRDefault="00E62F2B" w:rsidP="00D946DB">
      <w:pPr>
        <w:spacing w:before="0" w:after="0"/>
      </w:pPr>
      <w:r>
        <w:separator/>
      </w:r>
    </w:p>
  </w:endnote>
  <w:endnote w:type="continuationSeparator" w:id="0">
    <w:p w14:paraId="56D3BECF" w14:textId="77777777" w:rsidR="00E62F2B" w:rsidRDefault="00E62F2B" w:rsidP="00D946DB">
      <w:pPr>
        <w:spacing w:before="0" w:after="0"/>
      </w:pPr>
      <w:r>
        <w:continuationSeparator/>
      </w:r>
    </w:p>
  </w:endnote>
  <w:endnote w:type="continuationNotice" w:id="1">
    <w:p w14:paraId="3F9B76ED" w14:textId="77777777" w:rsidR="00E62F2B" w:rsidRDefault="00E62F2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Sendnya">
    <w:panose1 w:val="00000400000000000000"/>
    <w:charset w:val="01"/>
    <w:family w:val="roman"/>
    <w:pitch w:val="variable"/>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139129" w14:textId="2198478A" w:rsidR="008518C4" w:rsidRPr="008518C4" w:rsidRDefault="008518C4" w:rsidP="008518C4">
    <w:pPr>
      <w:pStyle w:val="FooterCoverPage"/>
      <w:rPr>
        <w:rFonts w:ascii="Arial" w:hAnsi="Arial" w:cs="Arial"/>
        <w:b/>
        <w:sz w:val="48"/>
      </w:rPr>
    </w:pPr>
    <w:r w:rsidRPr="008518C4">
      <w:rPr>
        <w:rFonts w:ascii="Arial" w:hAnsi="Arial" w:cs="Arial"/>
        <w:b/>
        <w:sz w:val="48"/>
      </w:rPr>
      <w:t>LV</w:t>
    </w:r>
    <w:r w:rsidRPr="008518C4">
      <w:rPr>
        <w:rFonts w:ascii="Arial" w:hAnsi="Arial" w:cs="Arial"/>
        <w:b/>
        <w:sz w:val="48"/>
      </w:rPr>
      <w:tab/>
    </w:r>
    <w:r w:rsidRPr="008518C4">
      <w:rPr>
        <w:rFonts w:ascii="Arial" w:hAnsi="Arial" w:cs="Arial"/>
        <w:b/>
        <w:sz w:val="48"/>
      </w:rPr>
      <w:tab/>
    </w:r>
    <w:r w:rsidRPr="008518C4">
      <w:tab/>
    </w:r>
    <w:r w:rsidRPr="008518C4">
      <w:rPr>
        <w:rFonts w:ascii="Arial" w:hAnsi="Arial" w:cs="Arial"/>
        <w:b/>
        <w:sz w:val="48"/>
      </w:rPr>
      <w:t>LV</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DCA096" w14:textId="1AAE72BC" w:rsidR="008518C4" w:rsidRPr="008518C4" w:rsidRDefault="008518C4" w:rsidP="008518C4">
    <w:pPr>
      <w:pStyle w:val="FooterCoverPage"/>
      <w:rPr>
        <w:rFonts w:ascii="Arial" w:hAnsi="Arial" w:cs="Arial"/>
        <w:b/>
        <w:sz w:val="48"/>
      </w:rPr>
    </w:pPr>
    <w:r w:rsidRPr="008518C4">
      <w:rPr>
        <w:rFonts w:ascii="Arial" w:hAnsi="Arial" w:cs="Arial"/>
        <w:b/>
        <w:sz w:val="48"/>
      </w:rPr>
      <w:t>LV</w:t>
    </w:r>
    <w:r w:rsidRPr="008518C4">
      <w:rPr>
        <w:rFonts w:ascii="Arial" w:hAnsi="Arial" w:cs="Arial"/>
        <w:b/>
        <w:sz w:val="48"/>
      </w:rPr>
      <w:tab/>
    </w:r>
    <w:r w:rsidRPr="008518C4">
      <w:rPr>
        <w:rFonts w:ascii="Arial" w:hAnsi="Arial" w:cs="Arial"/>
        <w:b/>
        <w:sz w:val="48"/>
      </w:rPr>
      <w:tab/>
    </w:r>
    <w:r w:rsidRPr="008518C4">
      <w:tab/>
    </w:r>
    <w:r w:rsidRPr="008518C4">
      <w:rPr>
        <w:rFonts w:ascii="Arial" w:hAnsi="Arial" w:cs="Arial"/>
        <w:b/>
        <w:sz w:val="48"/>
      </w:rPr>
      <w:t>LV</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34BAF8" w14:textId="77777777" w:rsidR="008518C4" w:rsidRPr="008518C4" w:rsidRDefault="008518C4" w:rsidP="008518C4">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17DAD" w14:textId="77777777" w:rsidR="00D82419" w:rsidRDefault="00D82419">
    <w:pPr>
      <w:pStyle w:val="Footer"/>
    </w:pPr>
  </w:p>
  <w:p w14:paraId="546F27D1" w14:textId="77777777" w:rsidR="00D82419" w:rsidRDefault="00D82419"/>
  <w:p w14:paraId="47577230" w14:textId="77777777" w:rsidR="00D82419" w:rsidRDefault="00D8241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7474B" w14:textId="77777777" w:rsidR="00D82419" w:rsidRPr="00ED1956" w:rsidRDefault="00D82419">
    <w:pPr>
      <w:pStyle w:val="Footer"/>
      <w:jc w:val="right"/>
      <w:rPr>
        <w:rFonts w:ascii="Times New Roman" w:hAnsi="Times New Roman"/>
        <w:sz w:val="22"/>
        <w:szCs w:val="22"/>
      </w:rPr>
    </w:pPr>
    <w:r w:rsidRPr="00ED1956">
      <w:rPr>
        <w:rFonts w:ascii="Times New Roman" w:hAnsi="Times New Roman"/>
        <w:color w:val="2B579A"/>
        <w:sz w:val="22"/>
        <w:shd w:val="clear" w:color="auto" w:fill="E6E6E6"/>
      </w:rPr>
      <w:fldChar w:fldCharType="begin"/>
    </w:r>
    <w:r w:rsidRPr="00ED1956">
      <w:rPr>
        <w:rFonts w:ascii="Times New Roman" w:hAnsi="Times New Roman"/>
        <w:sz w:val="22"/>
      </w:rPr>
      <w:instrText xml:space="preserve"> PAGE   \* MERGEFORMAT </w:instrText>
    </w:r>
    <w:r w:rsidRPr="00ED1956">
      <w:rPr>
        <w:rFonts w:ascii="Times New Roman" w:hAnsi="Times New Roman"/>
        <w:color w:val="2B579A"/>
        <w:sz w:val="22"/>
        <w:shd w:val="clear" w:color="auto" w:fill="E6E6E6"/>
      </w:rPr>
      <w:fldChar w:fldCharType="separate"/>
    </w:r>
    <w:r>
      <w:rPr>
        <w:rFonts w:ascii="Times New Roman" w:hAnsi="Times New Roman"/>
        <w:sz w:val="22"/>
      </w:rPr>
      <w:t>2</w:t>
    </w:r>
    <w:r w:rsidRPr="00ED1956">
      <w:rPr>
        <w:rFonts w:ascii="Times New Roman" w:hAnsi="Times New Roman"/>
        <w:color w:val="2B579A"/>
        <w:sz w:val="22"/>
        <w:shd w:val="clear" w:color="auto" w:fill="E6E6E6"/>
      </w:rPr>
      <w:fldChar w:fldCharType="end"/>
    </w:r>
  </w:p>
  <w:p w14:paraId="2366EA67" w14:textId="77777777" w:rsidR="00D82419" w:rsidRDefault="00D82419">
    <w:pPr>
      <w:pStyle w:val="Footer"/>
    </w:pPr>
  </w:p>
  <w:p w14:paraId="3E3B494F" w14:textId="77777777" w:rsidR="00D82419" w:rsidRDefault="00D82419"/>
  <w:p w14:paraId="03783804" w14:textId="77777777" w:rsidR="00D82419" w:rsidRDefault="00D8241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D30E3" w14:textId="0D8B8C2A" w:rsidR="00D82419" w:rsidRPr="00E85358" w:rsidRDefault="00D82419">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sidR="008518C4">
      <w:rPr>
        <w:noProof/>
        <w:sz w:val="22"/>
      </w:rPr>
      <w:t>1</w:t>
    </w:r>
    <w:r w:rsidRPr="00E85358">
      <w:rPr>
        <w:color w:val="2B579A"/>
        <w:sz w:val="22"/>
        <w:shd w:val="clear" w:color="auto" w:fill="E6E6E6"/>
      </w:rPr>
      <w:fldChar w:fldCharType="end"/>
    </w:r>
  </w:p>
  <w:p w14:paraId="57B9599E" w14:textId="77777777" w:rsidR="00D82419" w:rsidRDefault="00D82419">
    <w:pPr>
      <w:pStyle w:val="Footer"/>
    </w:pPr>
  </w:p>
  <w:p w14:paraId="7CAFE47A" w14:textId="77777777" w:rsidR="00D82419" w:rsidRDefault="00D82419"/>
  <w:p w14:paraId="02DD139C" w14:textId="77777777" w:rsidR="00D82419" w:rsidRDefault="00D8241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62658C" w:rsidRDefault="0062658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84C2E5B" w14:textId="77777777" w:rsidR="0062658C" w:rsidRDefault="0062658C">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0C2D9DFE" w:rsidR="0062658C" w:rsidRPr="00ED1956" w:rsidRDefault="0062658C">
    <w:pPr>
      <w:pStyle w:val="Footer"/>
      <w:jc w:val="right"/>
      <w:rPr>
        <w:rFonts w:ascii="Times New Roman" w:hAnsi="Times New Roman"/>
        <w:sz w:val="20"/>
        <w:szCs w:val="20"/>
      </w:rPr>
    </w:pPr>
    <w:r w:rsidRPr="00ED1956">
      <w:rPr>
        <w:rFonts w:ascii="Times New Roman" w:hAnsi="Times New Roman"/>
        <w:color w:val="2B579A"/>
        <w:sz w:val="20"/>
        <w:shd w:val="clear" w:color="auto" w:fill="E6E6E6"/>
      </w:rPr>
      <w:fldChar w:fldCharType="begin"/>
    </w:r>
    <w:r w:rsidRPr="00ED1956">
      <w:rPr>
        <w:rFonts w:ascii="Times New Roman" w:hAnsi="Times New Roman"/>
        <w:sz w:val="20"/>
      </w:rPr>
      <w:instrText xml:space="preserve"> PAGE   \* MERGEFORMAT </w:instrText>
    </w:r>
    <w:r w:rsidRPr="00ED1956">
      <w:rPr>
        <w:rFonts w:ascii="Times New Roman" w:hAnsi="Times New Roman"/>
        <w:color w:val="2B579A"/>
        <w:sz w:val="20"/>
        <w:shd w:val="clear" w:color="auto" w:fill="E6E6E6"/>
      </w:rPr>
      <w:fldChar w:fldCharType="separate"/>
    </w:r>
    <w:r w:rsidR="008518C4">
      <w:rPr>
        <w:rFonts w:ascii="Times New Roman" w:hAnsi="Times New Roman"/>
        <w:noProof/>
        <w:sz w:val="20"/>
      </w:rPr>
      <w:t>5</w:t>
    </w:r>
    <w:r w:rsidRPr="00ED1956">
      <w:rPr>
        <w:rFonts w:ascii="Times New Roman" w:hAnsi="Times New Roman"/>
        <w:color w:val="2B579A"/>
        <w:sz w:val="20"/>
        <w:shd w:val="clear" w:color="auto" w:fill="E6E6E6"/>
      </w:rPr>
      <w:fldChar w:fldCharType="end"/>
    </w:r>
  </w:p>
  <w:p w14:paraId="4071C94B" w14:textId="77777777" w:rsidR="0062658C" w:rsidRPr="00A772B4" w:rsidRDefault="0062658C" w:rsidP="00A772B4">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E958E" w14:textId="77777777" w:rsidR="00D82419" w:rsidRPr="00E85358" w:rsidRDefault="00D82419">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Pr>
        <w:sz w:val="22"/>
      </w:rPr>
      <w:t>1</w:t>
    </w:r>
    <w:r w:rsidRPr="00E85358">
      <w:rPr>
        <w:color w:val="2B579A"/>
        <w:sz w:val="22"/>
        <w:shd w:val="clear" w:color="auto" w:fill="E6E6E6"/>
      </w:rPr>
      <w:fldChar w:fldCharType="end"/>
    </w:r>
  </w:p>
  <w:p w14:paraId="05DC4A85" w14:textId="77777777" w:rsidR="00D82419" w:rsidRDefault="00D82419">
    <w:pPr>
      <w:pStyle w:val="Footer"/>
    </w:pPr>
  </w:p>
  <w:p w14:paraId="6F23934D" w14:textId="77777777" w:rsidR="00D82419" w:rsidRDefault="00D82419"/>
  <w:p w14:paraId="42D6D9A6" w14:textId="77777777" w:rsidR="00D82419" w:rsidRDefault="00D824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ED2A00" w14:textId="77777777" w:rsidR="00E62F2B" w:rsidRDefault="00E62F2B" w:rsidP="00D946DB">
      <w:pPr>
        <w:spacing w:before="0" w:after="0"/>
      </w:pPr>
      <w:r>
        <w:separator/>
      </w:r>
    </w:p>
  </w:footnote>
  <w:footnote w:type="continuationSeparator" w:id="0">
    <w:p w14:paraId="2B13B697" w14:textId="77777777" w:rsidR="00E62F2B" w:rsidRDefault="00E62F2B" w:rsidP="00D946DB">
      <w:pPr>
        <w:spacing w:before="0" w:after="0"/>
      </w:pPr>
      <w:r>
        <w:continuationSeparator/>
      </w:r>
    </w:p>
  </w:footnote>
  <w:footnote w:type="continuationNotice" w:id="1">
    <w:p w14:paraId="623B9626" w14:textId="77777777" w:rsidR="00E62F2B" w:rsidRDefault="00E62F2B">
      <w:pPr>
        <w:spacing w:before="0" w:after="0"/>
      </w:pPr>
    </w:p>
  </w:footnote>
  <w:footnote w:id="2">
    <w:p w14:paraId="2E4D63F6" w14:textId="42058506" w:rsidR="00212817" w:rsidRPr="00CB270D" w:rsidRDefault="00212817" w:rsidP="00FC0D8E">
      <w:pPr>
        <w:pStyle w:val="footnotedescription"/>
        <w:spacing w:line="240" w:lineRule="auto"/>
        <w:ind w:left="567" w:right="0" w:hanging="567"/>
        <w:rPr>
          <w:rFonts w:ascii="Times New Roman" w:hAnsi="Times New Roman" w:cs="Times New Roman"/>
          <w:sz w:val="20"/>
          <w:szCs w:val="20"/>
        </w:rPr>
      </w:pPr>
      <w:r>
        <w:rPr>
          <w:rStyle w:val="footnotemark"/>
          <w:rFonts w:ascii="Times New Roman" w:hAnsi="Times New Roman" w:cs="Times New Roman"/>
          <w:szCs w:val="20"/>
        </w:rPr>
        <w:footnoteRef/>
      </w:r>
      <w:r>
        <w:rPr>
          <w:rFonts w:ascii="Times New Roman" w:hAnsi="Times New Roman"/>
          <w:sz w:val="20"/>
        </w:rPr>
        <w:tab/>
        <w:t>Komisijas Deleģētā regula (ES) …/… (XXX), ar ko Eiropas Parlamenta un Padomes Direktīvu 2013/36/ES papildina attiecībā uz regulatīvajiem tehniskajiem standartiem, ar kuriem precizē standartizēto metodiku un vienkāršotu standartizēto metodiku tādu risku novērtēšanai, kas izriet no iespējamām procentu likmju izmaiņām, kuras ietekmē gan pašu kapitāla ekonomisko vērtību, gan iestādes netirdzniecības portfeļa darbību neto procentu ienākumus (……).</w:t>
      </w:r>
    </w:p>
  </w:footnote>
  <w:footnote w:id="3">
    <w:p w14:paraId="5BEDD48C" w14:textId="0963FBD5" w:rsidR="00D3693A" w:rsidRPr="005B6DAC" w:rsidRDefault="00D3693A" w:rsidP="00404232">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 xml:space="preserve"> </w:t>
      </w:r>
      <w:r>
        <w:rPr>
          <w:rFonts w:ascii="Times New Roman" w:hAnsi="Times New Roman"/>
          <w:sz w:val="20"/>
        </w:rPr>
        <w:tab/>
        <w:t>Eiropas Parlamenta un Padomes Regula (ES) Nr. 600/2014 (2014. gada 15. maijs) par finanšu instrumentu tirgiem un ar ko groza Regulu (ES) Nr. 648/2012 (OV L 173, 12.6.2014., 84. lpp., ELI: http://data.europa.eu/eli/reg/2014/600/oj).</w:t>
      </w:r>
    </w:p>
  </w:footnote>
  <w:footnote w:id="4">
    <w:p w14:paraId="0CB46888" w14:textId="68CD00FB" w:rsidR="0062658C" w:rsidRPr="005B6DAC" w:rsidRDefault="0062658C" w:rsidP="00404232">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vertAlign w:val="superscript"/>
        </w:rPr>
        <w:t xml:space="preserve"> </w:t>
      </w:r>
      <w:r>
        <w:rPr>
          <w:rFonts w:ascii="Times New Roman" w:hAnsi="Times New Roman"/>
          <w:sz w:val="20"/>
        </w:rPr>
        <w:tab/>
        <w:t>Komisijas Deleģētā regula (ES) 2015/61 (2014. gada 10. oktobris), ar ko papildina Eiropas Parlamenta un Padomes Regulu (ES) Nr. 575/2013 attiecībā uz likviditātes seguma prasību kredītiestādēm (OV L 11, 17.1.2015., 1. lpp., http://data.europa.eu/eli/reg_del/2015/61/oj).</w:t>
      </w:r>
    </w:p>
  </w:footnote>
  <w:footnote w:id="5">
    <w:p w14:paraId="7E3A4C22" w14:textId="5D95D77D" w:rsidR="00D3693A" w:rsidRPr="005B6DAC" w:rsidRDefault="00D3693A" w:rsidP="00404232">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 xml:space="preserve"> </w:t>
      </w:r>
      <w:r>
        <w:rPr>
          <w:rFonts w:ascii="Times New Roman" w:hAnsi="Times New Roman"/>
          <w:sz w:val="20"/>
        </w:rPr>
        <w:tab/>
        <w:t>Eiropas Parlamenta un Padomes Regula (EK) Nr. 1606/2002 (2002. gada 19. jūlijs) par starptautisko grāmatvedības standartu piemērošanu (OV L 243, 11.9.2002., 1. lpp., ELI: http://data.europa.eu/eli/reg/2002/1606/oj).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D38FAA" w14:textId="77777777" w:rsidR="008518C4" w:rsidRPr="008518C4" w:rsidRDefault="008518C4" w:rsidP="008518C4">
    <w:pPr>
      <w:pStyle w:val="HeaderCoverPag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C2653D" w14:textId="77777777" w:rsidR="008518C4" w:rsidRPr="008518C4" w:rsidRDefault="008518C4" w:rsidP="008518C4">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807069" w14:textId="77777777" w:rsidR="008518C4" w:rsidRPr="008518C4" w:rsidRDefault="008518C4" w:rsidP="008518C4">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4F3BF" w14:textId="77777777" w:rsidR="00D82419" w:rsidRDefault="00D82419">
    <w:pPr>
      <w:pStyle w:val="Header"/>
    </w:pPr>
    <w:r>
      <w:rPr>
        <w:noProof/>
        <w:lang w:val="en-GB" w:eastAsia="en-GB"/>
      </w:rPr>
      <mc:AlternateContent>
        <mc:Choice Requires="wps">
          <w:drawing>
            <wp:anchor distT="0" distB="0" distL="0" distR="0" simplePos="0" relativeHeight="251679744" behindDoc="0" locked="0" layoutInCell="1" allowOverlap="1" wp14:anchorId="19629264" wp14:editId="7596CB09">
              <wp:simplePos x="635" y="635"/>
              <wp:positionH relativeFrom="leftMargin">
                <wp:align>left</wp:align>
              </wp:positionH>
              <wp:positionV relativeFrom="paragraph">
                <wp:posOffset>635</wp:posOffset>
              </wp:positionV>
              <wp:extent cx="443865" cy="443865"/>
              <wp:effectExtent l="0" t="0" r="3175" b="4445"/>
              <wp:wrapSquare wrapText="bothSides"/>
              <wp:docPr id="9" name="Text Box 9" descr="EBI regulāra izmantošana">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C513267" w14:textId="77777777" w:rsidR="00D82419" w:rsidRPr="00D7661F" w:rsidRDefault="00D82419">
                          <w:pPr>
                            <w:rPr>
                              <w:rFonts w:ascii="Calibri" w:eastAsia="Calibri" w:hAnsi="Calibri" w:cs="Calibri"/>
                              <w:noProof/>
                              <w:color w:val="000000"/>
                              <w:sz w:val="24"/>
                            </w:rPr>
                          </w:pPr>
                          <w:r>
                            <w:rPr>
                              <w:rFonts w:ascii="Calibri" w:hAnsi="Calibri"/>
                              <w:color w:val="000000"/>
                              <w:sz w:val="24"/>
                            </w:rPr>
                            <w:t>EBI regulāra izmantošana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9629264" id="_x0000_t202" coordsize="21600,21600" o:spt="202" path="m,l,21600r21600,l21600,xe">
              <v:stroke joinstyle="miter"/>
              <v:path gradientshapeok="t" o:connecttype="rect"/>
            </v:shapetype>
            <v:shape id="Text Box 9" o:spid="_x0000_s1026" type="#_x0000_t202" alt="EBI regulāra izmantošana" style="position:absolute;left:0;text-align:left;margin-left:0;margin-top:.05pt;width:34.95pt;height:34.95pt;z-index:25167974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" filled="f" stroked="f">
              <v:textbox style="mso-fit-shape-to-text:t" inset="5pt,0,0,0">
                <w:txbxContent>
                  <w:p w14:paraId="0C513267" w14:textId="77777777" w:rsidR="00D82419" w:rsidRPr="00D7661F" w:rsidRDefault="00D82419">
                    <w:pPr>
                      <w:rPr>
                        <w:rFonts w:ascii="Calibri" w:eastAsia="Calibri" w:hAnsi="Calibri" w:cs="Calibri"/>
                        <w:noProof/>
                        <w:color w:val="000000"/>
                        <w:sz w:val="24"/>
                      </w:rPr>
                    </w:pPr>
                    <w:r>
                      <w:rPr>
                        <w:rFonts w:ascii="Calibri" w:hAnsi="Calibri"/>
                        <w:color w:val="000000"/>
                        <w:sz w:val="24"/>
                      </w:rPr>
                      <w:t>EBI regulāra izmantošana</w:t>
                    </w:r>
                  </w:p>
                </w:txbxContent>
              </v:textbox>
              <w10:wrap type="square" anchorx="margin"/>
            </v:shape>
          </w:pict>
        </mc:Fallback>
      </mc:AlternateContent>
    </w:r>
  </w:p>
  <w:p w14:paraId="54D79045" w14:textId="77777777" w:rsidR="00D82419" w:rsidRDefault="00D82419"/>
  <w:p w14:paraId="6CC69582" w14:textId="77777777" w:rsidR="00D82419" w:rsidRDefault="00D8241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664C4" w14:textId="77777777" w:rsidR="00D82419" w:rsidRDefault="00D82419">
    <w:pPr>
      <w:pStyle w:val="Header"/>
    </w:pPr>
    <w:r>
      <w:rPr>
        <w:noProof/>
        <w:lang w:val="en-GB" w:eastAsia="en-GB"/>
      </w:rPr>
      <mc:AlternateContent>
        <mc:Choice Requires="wps">
          <w:drawing>
            <wp:anchor distT="0" distB="0" distL="0" distR="0" simplePos="0" relativeHeight="251657216" behindDoc="0" locked="0" layoutInCell="1" allowOverlap="1" wp14:anchorId="13FCE741" wp14:editId="68405DA9">
              <wp:simplePos x="635" y="635"/>
              <wp:positionH relativeFrom="leftMargin">
                <wp:align>left</wp:align>
              </wp:positionH>
              <wp:positionV relativeFrom="paragraph">
                <wp:posOffset>635</wp:posOffset>
              </wp:positionV>
              <wp:extent cx="443865" cy="443865"/>
              <wp:effectExtent l="0" t="0" r="3175" b="4445"/>
              <wp:wrapSquare wrapText="bothSides"/>
              <wp:docPr id="8" name="Text Box 8" descr="EBI regulāra izmantošana">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1A0644" w14:textId="77777777" w:rsidR="00D82419" w:rsidRPr="00D7661F" w:rsidRDefault="00D82419">
                          <w:pPr>
                            <w:rPr>
                              <w:rFonts w:ascii="Calibri" w:eastAsia="Calibri" w:hAnsi="Calibri" w:cs="Calibri"/>
                              <w:noProof/>
                              <w:color w:val="000000"/>
                              <w:sz w:val="24"/>
                            </w:rPr>
                          </w:pPr>
                          <w:r>
                            <w:rPr>
                              <w:rFonts w:ascii="Calibri" w:hAnsi="Calibri"/>
                              <w:color w:val="000000"/>
                              <w:sz w:val="24"/>
                            </w:rPr>
                            <w:t>EBI regulāra izmantošana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3FCE741" id="_x0000_t202" coordsize="21600,21600" o:spt="202" path="m,l,21600r21600,l21600,xe">
              <v:stroke joinstyle="miter"/>
              <v:path gradientshapeok="t" o:connecttype="rect"/>
            </v:shapetype>
            <v:shape id="Text Box 8" o:spid="_x0000_s1027" type="#_x0000_t202" alt="EBI regulāra izmantošana" style="position:absolute;left:0;text-align:left;margin-left:0;margin-top:.05pt;width:34.95pt;height:34.95pt;z-index:25165721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" filled="f" stroked="f">
              <v:textbox style="mso-fit-shape-to-text:t" inset="5pt,0,0,0">
                <w:txbxContent>
                  <w:p w14:paraId="211A0644" w14:textId="77777777" w:rsidR="00D82419" w:rsidRPr="00D7661F" w:rsidRDefault="00D82419">
                    <w:pPr>
                      <w:rPr>
                        <w:rFonts w:ascii="Calibri" w:eastAsia="Calibri" w:hAnsi="Calibri" w:cs="Calibri"/>
                        <w:noProof/>
                        <w:color w:val="000000"/>
                        <w:sz w:val="24"/>
                      </w:rPr>
                    </w:pPr>
                    <w:r>
                      <w:rPr>
                        <w:rFonts w:ascii="Calibri" w:hAnsi="Calibri"/>
                        <w:color w:val="000000"/>
                        <w:sz w:val="24"/>
                      </w:rPr>
                      <w:t>EBI regulāra izmantošana</w:t>
                    </w:r>
                  </w:p>
                </w:txbxContent>
              </v:textbox>
              <w10:wrap type="square" anchorx="margin"/>
            </v:shape>
          </w:pict>
        </mc:Fallback>
      </mc:AlternateContent>
    </w:r>
  </w:p>
  <w:p w14:paraId="269478AA" w14:textId="77777777" w:rsidR="00D82419" w:rsidRDefault="00D82419"/>
  <w:p w14:paraId="28E5D3D9" w14:textId="77777777" w:rsidR="00D82419" w:rsidRDefault="00D8241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509C5" w14:textId="77777777" w:rsidR="00D82419" w:rsidRDefault="00D8241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C1DEB" w14:textId="5CA78920" w:rsidR="0062658C" w:rsidRDefault="0062658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95F13" w14:textId="4F8249DD" w:rsidR="0062658C" w:rsidRPr="00D82419" w:rsidRDefault="0062658C" w:rsidP="00D8241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22448A3C" w:rsidR="0062658C" w:rsidRDefault="0062658C">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34E60"/>
    <w:multiLevelType w:val="hybridMultilevel"/>
    <w:tmpl w:val="92F2BE84"/>
    <w:lvl w:ilvl="0" w:tplc="72242C3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D5022C"/>
    <w:multiLevelType w:val="hybridMultilevel"/>
    <w:tmpl w:val="0A268F84"/>
    <w:lvl w:ilvl="0" w:tplc="FFFFFFFF">
      <w:start w:val="1"/>
      <w:numFmt w:val="decimal"/>
      <w:lvlText w:val="%1."/>
      <w:lvlJc w:val="left"/>
      <w:pPr>
        <w:ind w:left="1341"/>
      </w:pPr>
      <w:rPr>
        <w:b w:val="0"/>
        <w:i w:val="0"/>
        <w:strike w:val="0"/>
        <w:dstrike w:val="0"/>
        <w:color w:val="000000"/>
        <w:sz w:val="24"/>
        <w:szCs w:val="24"/>
        <w:u w:val="none" w:color="000000"/>
        <w:bdr w:val="none" w:sz="0" w:space="0" w:color="auto"/>
        <w:shd w:val="clear" w:color="auto" w:fill="auto"/>
        <w:vertAlign w:val="baseline"/>
      </w:rPr>
    </w:lvl>
    <w:lvl w:ilvl="1" w:tplc="86E456B8">
      <w:start w:val="1"/>
      <w:numFmt w:val="lowerRoman"/>
      <w:lvlText w:val="%2."/>
      <w:lvlJc w:val="left"/>
      <w:pPr>
        <w:ind w:left="2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E60374">
      <w:start w:val="1"/>
      <w:numFmt w:val="lowerRoman"/>
      <w:lvlText w:val="%3"/>
      <w:lvlJc w:val="left"/>
      <w:pPr>
        <w:ind w:left="3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48D032">
      <w:start w:val="1"/>
      <w:numFmt w:val="decimal"/>
      <w:lvlText w:val="%4"/>
      <w:lvlJc w:val="left"/>
      <w:pPr>
        <w:ind w:left="3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FE69E4">
      <w:start w:val="1"/>
      <w:numFmt w:val="lowerLetter"/>
      <w:lvlText w:val="%5"/>
      <w:lvlJc w:val="left"/>
      <w:pPr>
        <w:ind w:left="4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FE6764">
      <w:start w:val="1"/>
      <w:numFmt w:val="lowerRoman"/>
      <w:lvlText w:val="%6"/>
      <w:lvlJc w:val="left"/>
      <w:pPr>
        <w:ind w:left="5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EA60C8">
      <w:start w:val="1"/>
      <w:numFmt w:val="decimal"/>
      <w:lvlText w:val="%7"/>
      <w:lvlJc w:val="left"/>
      <w:pPr>
        <w:ind w:left="5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FA01C2">
      <w:start w:val="1"/>
      <w:numFmt w:val="lowerLetter"/>
      <w:lvlText w:val="%8"/>
      <w:lvlJc w:val="left"/>
      <w:pPr>
        <w:ind w:left="6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4C9D6A">
      <w:start w:val="1"/>
      <w:numFmt w:val="lowerRoman"/>
      <w:lvlText w:val="%9"/>
      <w:lvlJc w:val="left"/>
      <w:pPr>
        <w:ind w:left="7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A2E174F"/>
    <w:multiLevelType w:val="hybridMultilevel"/>
    <w:tmpl w:val="BD90AF9A"/>
    <w:lvl w:ilvl="0" w:tplc="251E6CDA">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E0AB7A">
      <w:start w:val="1"/>
      <w:numFmt w:val="bullet"/>
      <w:lvlText w:val="o"/>
      <w:lvlJc w:val="left"/>
      <w:pPr>
        <w:ind w:left="1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50B774">
      <w:start w:val="1"/>
      <w:numFmt w:val="bullet"/>
      <w:lvlText w:val="▪"/>
      <w:lvlJc w:val="left"/>
      <w:pPr>
        <w:ind w:left="1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8AED44">
      <w:start w:val="1"/>
      <w:numFmt w:val="bullet"/>
      <w:lvlText w:val="•"/>
      <w:lvlJc w:val="left"/>
      <w:pPr>
        <w:ind w:left="2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64150C">
      <w:start w:val="1"/>
      <w:numFmt w:val="bullet"/>
      <w:lvlText w:val="o"/>
      <w:lvlJc w:val="left"/>
      <w:pPr>
        <w:ind w:left="3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C0E6D0">
      <w:start w:val="1"/>
      <w:numFmt w:val="bullet"/>
      <w:lvlText w:val="▪"/>
      <w:lvlJc w:val="left"/>
      <w:pPr>
        <w:ind w:left="4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B47B6A">
      <w:start w:val="1"/>
      <w:numFmt w:val="bullet"/>
      <w:lvlText w:val="•"/>
      <w:lvlJc w:val="left"/>
      <w:pPr>
        <w:ind w:left="4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86E57C">
      <w:start w:val="1"/>
      <w:numFmt w:val="bullet"/>
      <w:lvlText w:val="o"/>
      <w:lvlJc w:val="left"/>
      <w:pPr>
        <w:ind w:left="5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30E6B6">
      <w:start w:val="1"/>
      <w:numFmt w:val="bullet"/>
      <w:lvlText w:val="▪"/>
      <w:lvlJc w:val="left"/>
      <w:pPr>
        <w:ind w:left="6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B431A91"/>
    <w:multiLevelType w:val="hybridMultilevel"/>
    <w:tmpl w:val="63F6440E"/>
    <w:lvl w:ilvl="0" w:tplc="C66A659A">
      <w:start w:val="10"/>
      <w:numFmt w:val="bullet"/>
      <w:lvlText w:val="-"/>
      <w:lvlJc w:val="left"/>
      <w:pPr>
        <w:ind w:left="720" w:hanging="360"/>
      </w:pPr>
      <w:rPr>
        <w:rFonts w:ascii="Verdana" w:eastAsia="Arial"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1DD64DB5"/>
    <w:multiLevelType w:val="hybridMultilevel"/>
    <w:tmpl w:val="BAC48346"/>
    <w:lvl w:ilvl="0" w:tplc="7E4C9BA8">
      <w:start w:val="1"/>
      <w:numFmt w:val="bullet"/>
      <w:lvlText w:val=""/>
      <w:lvlJc w:val="left"/>
      <w:pPr>
        <w:ind w:left="860" w:hanging="360"/>
      </w:pPr>
      <w:rPr>
        <w:rFonts w:ascii="Symbol" w:hAnsi="Symbol"/>
      </w:rPr>
    </w:lvl>
    <w:lvl w:ilvl="1" w:tplc="0DC22724">
      <w:start w:val="1"/>
      <w:numFmt w:val="bullet"/>
      <w:lvlText w:val=""/>
      <w:lvlJc w:val="left"/>
      <w:pPr>
        <w:ind w:left="860" w:hanging="360"/>
      </w:pPr>
      <w:rPr>
        <w:rFonts w:ascii="Symbol" w:hAnsi="Symbol"/>
      </w:rPr>
    </w:lvl>
    <w:lvl w:ilvl="2" w:tplc="E6609E1E">
      <w:start w:val="1"/>
      <w:numFmt w:val="bullet"/>
      <w:lvlText w:val=""/>
      <w:lvlJc w:val="left"/>
      <w:pPr>
        <w:ind w:left="860" w:hanging="360"/>
      </w:pPr>
      <w:rPr>
        <w:rFonts w:ascii="Symbol" w:hAnsi="Symbol"/>
      </w:rPr>
    </w:lvl>
    <w:lvl w:ilvl="3" w:tplc="66424DCA">
      <w:start w:val="1"/>
      <w:numFmt w:val="bullet"/>
      <w:lvlText w:val=""/>
      <w:lvlJc w:val="left"/>
      <w:pPr>
        <w:ind w:left="860" w:hanging="360"/>
      </w:pPr>
      <w:rPr>
        <w:rFonts w:ascii="Symbol" w:hAnsi="Symbol"/>
      </w:rPr>
    </w:lvl>
    <w:lvl w:ilvl="4" w:tplc="AE24229C">
      <w:start w:val="1"/>
      <w:numFmt w:val="bullet"/>
      <w:lvlText w:val=""/>
      <w:lvlJc w:val="left"/>
      <w:pPr>
        <w:ind w:left="860" w:hanging="360"/>
      </w:pPr>
      <w:rPr>
        <w:rFonts w:ascii="Symbol" w:hAnsi="Symbol"/>
      </w:rPr>
    </w:lvl>
    <w:lvl w:ilvl="5" w:tplc="FF027BA0">
      <w:start w:val="1"/>
      <w:numFmt w:val="bullet"/>
      <w:lvlText w:val=""/>
      <w:lvlJc w:val="left"/>
      <w:pPr>
        <w:ind w:left="860" w:hanging="360"/>
      </w:pPr>
      <w:rPr>
        <w:rFonts w:ascii="Symbol" w:hAnsi="Symbol"/>
      </w:rPr>
    </w:lvl>
    <w:lvl w:ilvl="6" w:tplc="25C0A806">
      <w:start w:val="1"/>
      <w:numFmt w:val="bullet"/>
      <w:lvlText w:val=""/>
      <w:lvlJc w:val="left"/>
      <w:pPr>
        <w:ind w:left="860" w:hanging="360"/>
      </w:pPr>
      <w:rPr>
        <w:rFonts w:ascii="Symbol" w:hAnsi="Symbol"/>
      </w:rPr>
    </w:lvl>
    <w:lvl w:ilvl="7" w:tplc="82069E6E">
      <w:start w:val="1"/>
      <w:numFmt w:val="bullet"/>
      <w:lvlText w:val=""/>
      <w:lvlJc w:val="left"/>
      <w:pPr>
        <w:ind w:left="860" w:hanging="360"/>
      </w:pPr>
      <w:rPr>
        <w:rFonts w:ascii="Symbol" w:hAnsi="Symbol"/>
      </w:rPr>
    </w:lvl>
    <w:lvl w:ilvl="8" w:tplc="66764BC2">
      <w:start w:val="1"/>
      <w:numFmt w:val="bullet"/>
      <w:lvlText w:val=""/>
      <w:lvlJc w:val="left"/>
      <w:pPr>
        <w:ind w:left="860" w:hanging="360"/>
      </w:pPr>
      <w:rPr>
        <w:rFonts w:ascii="Symbol" w:hAnsi="Symbol"/>
      </w:rPr>
    </w:lvl>
  </w:abstractNum>
  <w:abstractNum w:abstractNumId="8" w15:restartNumberingAfterBreak="0">
    <w:nsid w:val="1E12B389"/>
    <w:multiLevelType w:val="hybridMultilevel"/>
    <w:tmpl w:val="F032424E"/>
    <w:lvl w:ilvl="0" w:tplc="2C1EF296">
      <w:start w:val="1"/>
      <w:numFmt w:val="bullet"/>
      <w:lvlText w:val="·"/>
      <w:lvlJc w:val="left"/>
      <w:pPr>
        <w:ind w:left="720" w:hanging="360"/>
      </w:pPr>
      <w:rPr>
        <w:rFonts w:ascii="Symbol" w:hAnsi="Symbol" w:hint="default"/>
      </w:rPr>
    </w:lvl>
    <w:lvl w:ilvl="1" w:tplc="1AC44A58">
      <w:start w:val="1"/>
      <w:numFmt w:val="bullet"/>
      <w:lvlText w:val="o"/>
      <w:lvlJc w:val="left"/>
      <w:pPr>
        <w:ind w:left="1440" w:hanging="360"/>
      </w:pPr>
      <w:rPr>
        <w:rFonts w:ascii="Courier New" w:hAnsi="Courier New" w:hint="default"/>
      </w:rPr>
    </w:lvl>
    <w:lvl w:ilvl="2" w:tplc="68BEA612">
      <w:start w:val="1"/>
      <w:numFmt w:val="bullet"/>
      <w:lvlText w:val=""/>
      <w:lvlJc w:val="left"/>
      <w:pPr>
        <w:ind w:left="2160" w:hanging="360"/>
      </w:pPr>
      <w:rPr>
        <w:rFonts w:ascii="Wingdings" w:hAnsi="Wingdings" w:hint="default"/>
      </w:rPr>
    </w:lvl>
    <w:lvl w:ilvl="3" w:tplc="AF062DC6">
      <w:start w:val="1"/>
      <w:numFmt w:val="bullet"/>
      <w:lvlText w:val=""/>
      <w:lvlJc w:val="left"/>
      <w:pPr>
        <w:ind w:left="2880" w:hanging="360"/>
      </w:pPr>
      <w:rPr>
        <w:rFonts w:ascii="Symbol" w:hAnsi="Symbol" w:hint="default"/>
      </w:rPr>
    </w:lvl>
    <w:lvl w:ilvl="4" w:tplc="76E80C38">
      <w:start w:val="1"/>
      <w:numFmt w:val="bullet"/>
      <w:lvlText w:val="o"/>
      <w:lvlJc w:val="left"/>
      <w:pPr>
        <w:ind w:left="3600" w:hanging="360"/>
      </w:pPr>
      <w:rPr>
        <w:rFonts w:ascii="Courier New" w:hAnsi="Courier New" w:hint="default"/>
      </w:rPr>
    </w:lvl>
    <w:lvl w:ilvl="5" w:tplc="46824C0A">
      <w:start w:val="1"/>
      <w:numFmt w:val="bullet"/>
      <w:lvlText w:val=""/>
      <w:lvlJc w:val="left"/>
      <w:pPr>
        <w:ind w:left="4320" w:hanging="360"/>
      </w:pPr>
      <w:rPr>
        <w:rFonts w:ascii="Wingdings" w:hAnsi="Wingdings" w:hint="default"/>
      </w:rPr>
    </w:lvl>
    <w:lvl w:ilvl="6" w:tplc="9D101B98">
      <w:start w:val="1"/>
      <w:numFmt w:val="bullet"/>
      <w:lvlText w:val=""/>
      <w:lvlJc w:val="left"/>
      <w:pPr>
        <w:ind w:left="5040" w:hanging="360"/>
      </w:pPr>
      <w:rPr>
        <w:rFonts w:ascii="Symbol" w:hAnsi="Symbol" w:hint="default"/>
      </w:rPr>
    </w:lvl>
    <w:lvl w:ilvl="7" w:tplc="1AAA48A6">
      <w:start w:val="1"/>
      <w:numFmt w:val="bullet"/>
      <w:lvlText w:val="o"/>
      <w:lvlJc w:val="left"/>
      <w:pPr>
        <w:ind w:left="5760" w:hanging="360"/>
      </w:pPr>
      <w:rPr>
        <w:rFonts w:ascii="Courier New" w:hAnsi="Courier New" w:hint="default"/>
      </w:rPr>
    </w:lvl>
    <w:lvl w:ilvl="8" w:tplc="580C1E76">
      <w:start w:val="1"/>
      <w:numFmt w:val="bullet"/>
      <w:lvlText w:val=""/>
      <w:lvlJc w:val="left"/>
      <w:pPr>
        <w:ind w:left="6480" w:hanging="360"/>
      </w:pPr>
      <w:rPr>
        <w:rFonts w:ascii="Wingdings" w:hAnsi="Wingdings" w:hint="default"/>
      </w:rPr>
    </w:lvl>
  </w:abstractNum>
  <w:abstractNum w:abstractNumId="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4399172"/>
    <w:multiLevelType w:val="hybridMultilevel"/>
    <w:tmpl w:val="1FCC59BE"/>
    <w:lvl w:ilvl="0" w:tplc="5CCC9708">
      <w:start w:val="1"/>
      <w:numFmt w:val="bullet"/>
      <w:lvlText w:val="·"/>
      <w:lvlJc w:val="left"/>
      <w:pPr>
        <w:ind w:left="720" w:hanging="360"/>
      </w:pPr>
      <w:rPr>
        <w:rFonts w:ascii="Symbol" w:hAnsi="Symbol" w:hint="default"/>
      </w:rPr>
    </w:lvl>
    <w:lvl w:ilvl="1" w:tplc="84AC4A38">
      <w:start w:val="1"/>
      <w:numFmt w:val="bullet"/>
      <w:lvlText w:val="o"/>
      <w:lvlJc w:val="left"/>
      <w:pPr>
        <w:ind w:left="1440" w:hanging="360"/>
      </w:pPr>
      <w:rPr>
        <w:rFonts w:ascii="Courier New" w:hAnsi="Courier New" w:hint="default"/>
      </w:rPr>
    </w:lvl>
    <w:lvl w:ilvl="2" w:tplc="B888AC40">
      <w:start w:val="1"/>
      <w:numFmt w:val="bullet"/>
      <w:lvlText w:val=""/>
      <w:lvlJc w:val="left"/>
      <w:pPr>
        <w:ind w:left="2160" w:hanging="360"/>
      </w:pPr>
      <w:rPr>
        <w:rFonts w:ascii="Wingdings" w:hAnsi="Wingdings" w:hint="default"/>
      </w:rPr>
    </w:lvl>
    <w:lvl w:ilvl="3" w:tplc="C55A83D6">
      <w:start w:val="1"/>
      <w:numFmt w:val="bullet"/>
      <w:lvlText w:val=""/>
      <w:lvlJc w:val="left"/>
      <w:pPr>
        <w:ind w:left="2880" w:hanging="360"/>
      </w:pPr>
      <w:rPr>
        <w:rFonts w:ascii="Symbol" w:hAnsi="Symbol" w:hint="default"/>
      </w:rPr>
    </w:lvl>
    <w:lvl w:ilvl="4" w:tplc="25C67260">
      <w:start w:val="1"/>
      <w:numFmt w:val="bullet"/>
      <w:lvlText w:val="o"/>
      <w:lvlJc w:val="left"/>
      <w:pPr>
        <w:ind w:left="3600" w:hanging="360"/>
      </w:pPr>
      <w:rPr>
        <w:rFonts w:ascii="Courier New" w:hAnsi="Courier New" w:hint="default"/>
      </w:rPr>
    </w:lvl>
    <w:lvl w:ilvl="5" w:tplc="5712DC14">
      <w:start w:val="1"/>
      <w:numFmt w:val="bullet"/>
      <w:lvlText w:val=""/>
      <w:lvlJc w:val="left"/>
      <w:pPr>
        <w:ind w:left="4320" w:hanging="360"/>
      </w:pPr>
      <w:rPr>
        <w:rFonts w:ascii="Wingdings" w:hAnsi="Wingdings" w:hint="default"/>
      </w:rPr>
    </w:lvl>
    <w:lvl w:ilvl="6" w:tplc="82020D24">
      <w:start w:val="1"/>
      <w:numFmt w:val="bullet"/>
      <w:lvlText w:val=""/>
      <w:lvlJc w:val="left"/>
      <w:pPr>
        <w:ind w:left="5040" w:hanging="360"/>
      </w:pPr>
      <w:rPr>
        <w:rFonts w:ascii="Symbol" w:hAnsi="Symbol" w:hint="default"/>
      </w:rPr>
    </w:lvl>
    <w:lvl w:ilvl="7" w:tplc="66EE11CA">
      <w:start w:val="1"/>
      <w:numFmt w:val="bullet"/>
      <w:lvlText w:val="o"/>
      <w:lvlJc w:val="left"/>
      <w:pPr>
        <w:ind w:left="5760" w:hanging="360"/>
      </w:pPr>
      <w:rPr>
        <w:rFonts w:ascii="Courier New" w:hAnsi="Courier New" w:hint="default"/>
      </w:rPr>
    </w:lvl>
    <w:lvl w:ilvl="8" w:tplc="D32E2C68">
      <w:start w:val="1"/>
      <w:numFmt w:val="bullet"/>
      <w:lvlText w:val=""/>
      <w:lvlJc w:val="left"/>
      <w:pPr>
        <w:ind w:left="6480" w:hanging="360"/>
      </w:pPr>
      <w:rPr>
        <w:rFonts w:ascii="Wingdings" w:hAnsi="Wingdings" w:hint="default"/>
      </w:rPr>
    </w:lvl>
  </w:abstractNum>
  <w:abstractNum w:abstractNumId="11" w15:restartNumberingAfterBreak="0">
    <w:nsid w:val="24B458B5"/>
    <w:multiLevelType w:val="hybridMultilevel"/>
    <w:tmpl w:val="CD14FC02"/>
    <w:lvl w:ilvl="0" w:tplc="5E2C2E80">
      <w:start w:val="12"/>
      <w:numFmt w:val="decimal"/>
      <w:lvlText w:val="%1."/>
      <w:lvlJc w:val="left"/>
      <w:pPr>
        <w:ind w:left="1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44A6BC">
      <w:start w:val="1"/>
      <w:numFmt w:val="lowerLetter"/>
      <w:lvlText w:val="%2"/>
      <w:lvlJc w:val="left"/>
      <w:pPr>
        <w:ind w:left="2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1A06D8">
      <w:start w:val="1"/>
      <w:numFmt w:val="lowerRoman"/>
      <w:lvlText w:val="%3"/>
      <w:lvlJc w:val="left"/>
      <w:pPr>
        <w:ind w:left="2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76B166">
      <w:start w:val="1"/>
      <w:numFmt w:val="decimal"/>
      <w:lvlText w:val="%4"/>
      <w:lvlJc w:val="left"/>
      <w:pPr>
        <w:ind w:left="3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247174">
      <w:start w:val="1"/>
      <w:numFmt w:val="lowerLetter"/>
      <w:lvlText w:val="%5"/>
      <w:lvlJc w:val="left"/>
      <w:pPr>
        <w:ind w:left="4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E6EDFA">
      <w:start w:val="1"/>
      <w:numFmt w:val="lowerRoman"/>
      <w:lvlText w:val="%6"/>
      <w:lvlJc w:val="left"/>
      <w:pPr>
        <w:ind w:left="4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7848E2">
      <w:start w:val="1"/>
      <w:numFmt w:val="decimal"/>
      <w:lvlText w:val="%7"/>
      <w:lvlJc w:val="left"/>
      <w:pPr>
        <w:ind w:left="5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DC5D2E">
      <w:start w:val="1"/>
      <w:numFmt w:val="lowerLetter"/>
      <w:lvlText w:val="%8"/>
      <w:lvlJc w:val="left"/>
      <w:pPr>
        <w:ind w:left="6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16282C">
      <w:start w:val="1"/>
      <w:numFmt w:val="lowerRoman"/>
      <w:lvlText w:val="%9"/>
      <w:lvlJc w:val="left"/>
      <w:pPr>
        <w:ind w:left="7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46489498"/>
    <w:lvl w:ilvl="0" w:tplc="FFFFFFFF">
      <w:start w:val="1"/>
      <w:numFmt w:val="decimal"/>
      <w:pStyle w:val="InstructionsText2"/>
      <w:lvlText w:val="%1."/>
      <w:lvlJc w:val="left"/>
      <w:pPr>
        <w:ind w:left="2487" w:hanging="360"/>
      </w:p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C070001">
      <w:start w:val="1"/>
      <w:numFmt w:val="bullet"/>
      <w:lvlText w:val=""/>
      <w:lvlJc w:val="left"/>
      <w:pPr>
        <w:ind w:left="2880" w:hanging="360"/>
      </w:pPr>
      <w:rPr>
        <w:rFonts w:ascii="Symbol" w:hAnsi="Symbol" w:hint="default"/>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4578786"/>
    <w:multiLevelType w:val="hybridMultilevel"/>
    <w:tmpl w:val="FFFFFFFF"/>
    <w:lvl w:ilvl="0" w:tplc="D27A536E">
      <w:start w:val="1"/>
      <w:numFmt w:val="bullet"/>
      <w:lvlText w:val=""/>
      <w:lvlJc w:val="left"/>
      <w:pPr>
        <w:ind w:left="720" w:hanging="360"/>
      </w:pPr>
      <w:rPr>
        <w:rFonts w:ascii="Symbol" w:hAnsi="Symbol" w:hint="default"/>
      </w:rPr>
    </w:lvl>
    <w:lvl w:ilvl="1" w:tplc="18F0352A">
      <w:start w:val="1"/>
      <w:numFmt w:val="bullet"/>
      <w:lvlText w:val="o"/>
      <w:lvlJc w:val="left"/>
      <w:pPr>
        <w:ind w:left="1440" w:hanging="360"/>
      </w:pPr>
      <w:rPr>
        <w:rFonts w:ascii="Courier New" w:hAnsi="Courier New" w:hint="default"/>
      </w:rPr>
    </w:lvl>
    <w:lvl w:ilvl="2" w:tplc="1EACF2B2">
      <w:start w:val="1"/>
      <w:numFmt w:val="bullet"/>
      <w:lvlText w:val=""/>
      <w:lvlJc w:val="left"/>
      <w:pPr>
        <w:ind w:left="2160" w:hanging="360"/>
      </w:pPr>
      <w:rPr>
        <w:rFonts w:ascii="Wingdings" w:hAnsi="Wingdings" w:hint="default"/>
      </w:rPr>
    </w:lvl>
    <w:lvl w:ilvl="3" w:tplc="5426973E">
      <w:start w:val="1"/>
      <w:numFmt w:val="bullet"/>
      <w:lvlText w:val=""/>
      <w:lvlJc w:val="left"/>
      <w:pPr>
        <w:ind w:left="2880" w:hanging="360"/>
      </w:pPr>
      <w:rPr>
        <w:rFonts w:ascii="Symbol" w:hAnsi="Symbol" w:hint="default"/>
      </w:rPr>
    </w:lvl>
    <w:lvl w:ilvl="4" w:tplc="CDFA94BA">
      <w:start w:val="1"/>
      <w:numFmt w:val="bullet"/>
      <w:lvlText w:val="o"/>
      <w:lvlJc w:val="left"/>
      <w:pPr>
        <w:ind w:left="3600" w:hanging="360"/>
      </w:pPr>
      <w:rPr>
        <w:rFonts w:ascii="Courier New" w:hAnsi="Courier New" w:hint="default"/>
      </w:rPr>
    </w:lvl>
    <w:lvl w:ilvl="5" w:tplc="1B04CCAE">
      <w:start w:val="1"/>
      <w:numFmt w:val="bullet"/>
      <w:lvlText w:val=""/>
      <w:lvlJc w:val="left"/>
      <w:pPr>
        <w:ind w:left="4320" w:hanging="360"/>
      </w:pPr>
      <w:rPr>
        <w:rFonts w:ascii="Wingdings" w:hAnsi="Wingdings" w:hint="default"/>
      </w:rPr>
    </w:lvl>
    <w:lvl w:ilvl="6" w:tplc="C35067E6">
      <w:start w:val="1"/>
      <w:numFmt w:val="bullet"/>
      <w:lvlText w:val=""/>
      <w:lvlJc w:val="left"/>
      <w:pPr>
        <w:ind w:left="5040" w:hanging="360"/>
      </w:pPr>
      <w:rPr>
        <w:rFonts w:ascii="Symbol" w:hAnsi="Symbol" w:hint="default"/>
      </w:rPr>
    </w:lvl>
    <w:lvl w:ilvl="7" w:tplc="61CEAFF2">
      <w:start w:val="1"/>
      <w:numFmt w:val="bullet"/>
      <w:lvlText w:val="o"/>
      <w:lvlJc w:val="left"/>
      <w:pPr>
        <w:ind w:left="5760" w:hanging="360"/>
      </w:pPr>
      <w:rPr>
        <w:rFonts w:ascii="Courier New" w:hAnsi="Courier New" w:hint="default"/>
      </w:rPr>
    </w:lvl>
    <w:lvl w:ilvl="8" w:tplc="76CCE600">
      <w:start w:val="1"/>
      <w:numFmt w:val="bullet"/>
      <w:lvlText w:val=""/>
      <w:lvlJc w:val="left"/>
      <w:pPr>
        <w:ind w:left="6480" w:hanging="360"/>
      </w:pPr>
      <w:rPr>
        <w:rFonts w:ascii="Wingdings" w:hAnsi="Wingdings" w:hint="default"/>
      </w:rPr>
    </w:lvl>
  </w:abstractNum>
  <w:abstractNum w:abstractNumId="16" w15:restartNumberingAfterBreak="0">
    <w:nsid w:val="360D1EF8"/>
    <w:multiLevelType w:val="hybridMultilevel"/>
    <w:tmpl w:val="51547EAE"/>
    <w:lvl w:ilvl="0" w:tplc="73120B54">
      <w:start w:val="1"/>
      <w:numFmt w:val="bullet"/>
      <w:lvlText w:val="·"/>
      <w:lvlJc w:val="left"/>
      <w:pPr>
        <w:ind w:left="720" w:hanging="360"/>
      </w:pPr>
      <w:rPr>
        <w:rFonts w:ascii="Symbol" w:hAnsi="Symbol" w:hint="default"/>
      </w:rPr>
    </w:lvl>
    <w:lvl w:ilvl="1" w:tplc="D0AE5382">
      <w:start w:val="1"/>
      <w:numFmt w:val="bullet"/>
      <w:lvlText w:val="o"/>
      <w:lvlJc w:val="left"/>
      <w:pPr>
        <w:ind w:left="1440" w:hanging="360"/>
      </w:pPr>
      <w:rPr>
        <w:rFonts w:ascii="Courier New" w:hAnsi="Courier New" w:hint="default"/>
      </w:rPr>
    </w:lvl>
    <w:lvl w:ilvl="2" w:tplc="1ED42306">
      <w:start w:val="1"/>
      <w:numFmt w:val="bullet"/>
      <w:lvlText w:val=""/>
      <w:lvlJc w:val="left"/>
      <w:pPr>
        <w:ind w:left="2160" w:hanging="360"/>
      </w:pPr>
      <w:rPr>
        <w:rFonts w:ascii="Wingdings" w:hAnsi="Wingdings" w:hint="default"/>
      </w:rPr>
    </w:lvl>
    <w:lvl w:ilvl="3" w:tplc="1FE26BC6">
      <w:start w:val="1"/>
      <w:numFmt w:val="bullet"/>
      <w:lvlText w:val=""/>
      <w:lvlJc w:val="left"/>
      <w:pPr>
        <w:ind w:left="2880" w:hanging="360"/>
      </w:pPr>
      <w:rPr>
        <w:rFonts w:ascii="Symbol" w:hAnsi="Symbol" w:hint="default"/>
      </w:rPr>
    </w:lvl>
    <w:lvl w:ilvl="4" w:tplc="FBCA139C">
      <w:start w:val="1"/>
      <w:numFmt w:val="bullet"/>
      <w:lvlText w:val="o"/>
      <w:lvlJc w:val="left"/>
      <w:pPr>
        <w:ind w:left="3600" w:hanging="360"/>
      </w:pPr>
      <w:rPr>
        <w:rFonts w:ascii="Courier New" w:hAnsi="Courier New" w:hint="default"/>
      </w:rPr>
    </w:lvl>
    <w:lvl w:ilvl="5" w:tplc="BA28442C">
      <w:start w:val="1"/>
      <w:numFmt w:val="bullet"/>
      <w:lvlText w:val=""/>
      <w:lvlJc w:val="left"/>
      <w:pPr>
        <w:ind w:left="4320" w:hanging="360"/>
      </w:pPr>
      <w:rPr>
        <w:rFonts w:ascii="Wingdings" w:hAnsi="Wingdings" w:hint="default"/>
      </w:rPr>
    </w:lvl>
    <w:lvl w:ilvl="6" w:tplc="D43EC770">
      <w:start w:val="1"/>
      <w:numFmt w:val="bullet"/>
      <w:lvlText w:val=""/>
      <w:lvlJc w:val="left"/>
      <w:pPr>
        <w:ind w:left="5040" w:hanging="360"/>
      </w:pPr>
      <w:rPr>
        <w:rFonts w:ascii="Symbol" w:hAnsi="Symbol" w:hint="default"/>
      </w:rPr>
    </w:lvl>
    <w:lvl w:ilvl="7" w:tplc="86A04A30">
      <w:start w:val="1"/>
      <w:numFmt w:val="bullet"/>
      <w:lvlText w:val="o"/>
      <w:lvlJc w:val="left"/>
      <w:pPr>
        <w:ind w:left="5760" w:hanging="360"/>
      </w:pPr>
      <w:rPr>
        <w:rFonts w:ascii="Courier New" w:hAnsi="Courier New" w:hint="default"/>
      </w:rPr>
    </w:lvl>
    <w:lvl w:ilvl="8" w:tplc="8B68A8FE">
      <w:start w:val="1"/>
      <w:numFmt w:val="bullet"/>
      <w:lvlText w:val=""/>
      <w:lvlJc w:val="left"/>
      <w:pPr>
        <w:ind w:left="6480" w:hanging="360"/>
      </w:pPr>
      <w:rPr>
        <w:rFonts w:ascii="Wingdings" w:hAnsi="Wingdings" w:hint="default"/>
      </w:rPr>
    </w:lvl>
  </w:abstractNum>
  <w:abstractNum w:abstractNumId="1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3B0D2B3E"/>
    <w:multiLevelType w:val="hybridMultilevel"/>
    <w:tmpl w:val="87F6650E"/>
    <w:lvl w:ilvl="0" w:tplc="7B74ACD2">
      <w:start w:val="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42F608E3"/>
    <w:multiLevelType w:val="hybridMultilevel"/>
    <w:tmpl w:val="352A1ECC"/>
    <w:lvl w:ilvl="0" w:tplc="0809001B">
      <w:start w:val="1"/>
      <w:numFmt w:val="lowerRoman"/>
      <w:lvlText w:val="%1."/>
      <w:lvlJc w:val="righ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6F0AD3"/>
    <w:multiLevelType w:val="hybridMultilevel"/>
    <w:tmpl w:val="CCCA0DD2"/>
    <w:lvl w:ilvl="0" w:tplc="0809001B">
      <w:start w:val="1"/>
      <w:numFmt w:val="lowerRoman"/>
      <w:lvlText w:val="%1."/>
      <w:lvlJc w:val="right"/>
      <w:pPr>
        <w:ind w:left="2484" w:hanging="360"/>
      </w:pPr>
    </w:lvl>
    <w:lvl w:ilvl="1" w:tplc="08090019" w:tentative="1">
      <w:start w:val="1"/>
      <w:numFmt w:val="lowerLetter"/>
      <w:lvlText w:val="%2."/>
      <w:lvlJc w:val="left"/>
      <w:pPr>
        <w:ind w:left="3204" w:hanging="360"/>
      </w:pPr>
    </w:lvl>
    <w:lvl w:ilvl="2" w:tplc="0809001B" w:tentative="1">
      <w:start w:val="1"/>
      <w:numFmt w:val="lowerRoman"/>
      <w:lvlText w:val="%3."/>
      <w:lvlJc w:val="right"/>
      <w:pPr>
        <w:ind w:left="3924" w:hanging="180"/>
      </w:pPr>
    </w:lvl>
    <w:lvl w:ilvl="3" w:tplc="0809000F" w:tentative="1">
      <w:start w:val="1"/>
      <w:numFmt w:val="decimal"/>
      <w:lvlText w:val="%4."/>
      <w:lvlJc w:val="left"/>
      <w:pPr>
        <w:ind w:left="4644" w:hanging="360"/>
      </w:pPr>
    </w:lvl>
    <w:lvl w:ilvl="4" w:tplc="08090019" w:tentative="1">
      <w:start w:val="1"/>
      <w:numFmt w:val="lowerLetter"/>
      <w:lvlText w:val="%5."/>
      <w:lvlJc w:val="left"/>
      <w:pPr>
        <w:ind w:left="5364" w:hanging="360"/>
      </w:pPr>
    </w:lvl>
    <w:lvl w:ilvl="5" w:tplc="0809001B" w:tentative="1">
      <w:start w:val="1"/>
      <w:numFmt w:val="lowerRoman"/>
      <w:lvlText w:val="%6."/>
      <w:lvlJc w:val="right"/>
      <w:pPr>
        <w:ind w:left="6084" w:hanging="180"/>
      </w:pPr>
    </w:lvl>
    <w:lvl w:ilvl="6" w:tplc="0809000F" w:tentative="1">
      <w:start w:val="1"/>
      <w:numFmt w:val="decimal"/>
      <w:lvlText w:val="%7."/>
      <w:lvlJc w:val="left"/>
      <w:pPr>
        <w:ind w:left="6804" w:hanging="360"/>
      </w:pPr>
    </w:lvl>
    <w:lvl w:ilvl="7" w:tplc="08090019" w:tentative="1">
      <w:start w:val="1"/>
      <w:numFmt w:val="lowerLetter"/>
      <w:lvlText w:val="%8."/>
      <w:lvlJc w:val="left"/>
      <w:pPr>
        <w:ind w:left="7524" w:hanging="360"/>
      </w:pPr>
    </w:lvl>
    <w:lvl w:ilvl="8" w:tplc="0809001B" w:tentative="1">
      <w:start w:val="1"/>
      <w:numFmt w:val="lowerRoman"/>
      <w:lvlText w:val="%9."/>
      <w:lvlJc w:val="right"/>
      <w:pPr>
        <w:ind w:left="8244" w:hanging="180"/>
      </w:pPr>
    </w:lvl>
  </w:abstractNum>
  <w:abstractNum w:abstractNumId="25" w15:restartNumberingAfterBreak="0">
    <w:nsid w:val="592E7523"/>
    <w:multiLevelType w:val="hybridMultilevel"/>
    <w:tmpl w:val="AC18BAD0"/>
    <w:lvl w:ilvl="0" w:tplc="435A4D3E">
      <w:numFmt w:val="bullet"/>
      <w:lvlText w:val="-"/>
      <w:lvlJc w:val="left"/>
      <w:pPr>
        <w:ind w:left="720" w:hanging="360"/>
      </w:pPr>
      <w:rPr>
        <w:rFonts w:ascii="Segoe UI" w:eastAsia="Calibri" w:hAnsi="Segoe UI" w:cs="Segoe U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CA2C8C"/>
    <w:multiLevelType w:val="hybridMultilevel"/>
    <w:tmpl w:val="47A02D24"/>
    <w:lvl w:ilvl="0" w:tplc="FFFFFFFF">
      <w:start w:val="1"/>
      <w:numFmt w:val="decimal"/>
      <w:pStyle w:val="Instructionsberschrift2"/>
      <w:lvlText w:val="%1."/>
      <w:lvlJc w:val="left"/>
      <w:pPr>
        <w:ind w:left="1920" w:hanging="360"/>
      </w:pPr>
    </w:lvl>
    <w:lvl w:ilvl="1" w:tplc="E7565B6A">
      <w:start w:val="1"/>
      <w:numFmt w:val="lowerLetter"/>
      <w:lvlText w:val="%2."/>
      <w:lvlJc w:val="left"/>
      <w:pPr>
        <w:ind w:left="2924" w:hanging="360"/>
      </w:pPr>
      <w:rPr>
        <w:rFonts w:cs="Times New Roman"/>
      </w:rPr>
    </w:lvl>
    <w:lvl w:ilvl="2" w:tplc="67A6A44A" w:tentative="1">
      <w:start w:val="1"/>
      <w:numFmt w:val="lowerRoman"/>
      <w:lvlText w:val="%3."/>
      <w:lvlJc w:val="right"/>
      <w:pPr>
        <w:ind w:left="3644" w:hanging="180"/>
      </w:pPr>
      <w:rPr>
        <w:rFonts w:cs="Times New Roman"/>
      </w:rPr>
    </w:lvl>
    <w:lvl w:ilvl="3" w:tplc="21C6EF3C" w:tentative="1">
      <w:start w:val="1"/>
      <w:numFmt w:val="decimal"/>
      <w:lvlText w:val="%4."/>
      <w:lvlJc w:val="left"/>
      <w:pPr>
        <w:ind w:left="4364" w:hanging="360"/>
      </w:pPr>
      <w:rPr>
        <w:rFonts w:cs="Times New Roman"/>
      </w:rPr>
    </w:lvl>
    <w:lvl w:ilvl="4" w:tplc="6C185750" w:tentative="1">
      <w:start w:val="1"/>
      <w:numFmt w:val="lowerLetter"/>
      <w:lvlText w:val="%5."/>
      <w:lvlJc w:val="left"/>
      <w:pPr>
        <w:ind w:left="5084" w:hanging="360"/>
      </w:pPr>
      <w:rPr>
        <w:rFonts w:cs="Times New Roman"/>
      </w:rPr>
    </w:lvl>
    <w:lvl w:ilvl="5" w:tplc="FA46F0F4" w:tentative="1">
      <w:start w:val="1"/>
      <w:numFmt w:val="lowerRoman"/>
      <w:lvlText w:val="%6."/>
      <w:lvlJc w:val="right"/>
      <w:pPr>
        <w:ind w:left="5804" w:hanging="180"/>
      </w:pPr>
      <w:rPr>
        <w:rFonts w:cs="Times New Roman"/>
      </w:rPr>
    </w:lvl>
    <w:lvl w:ilvl="6" w:tplc="84CCF45A" w:tentative="1">
      <w:start w:val="1"/>
      <w:numFmt w:val="decimal"/>
      <w:lvlText w:val="%7."/>
      <w:lvlJc w:val="left"/>
      <w:pPr>
        <w:ind w:left="6524" w:hanging="360"/>
      </w:pPr>
      <w:rPr>
        <w:rFonts w:cs="Times New Roman"/>
      </w:rPr>
    </w:lvl>
    <w:lvl w:ilvl="7" w:tplc="E2FA2386" w:tentative="1">
      <w:start w:val="1"/>
      <w:numFmt w:val="lowerLetter"/>
      <w:lvlText w:val="%8."/>
      <w:lvlJc w:val="left"/>
      <w:pPr>
        <w:ind w:left="7244" w:hanging="360"/>
      </w:pPr>
      <w:rPr>
        <w:rFonts w:cs="Times New Roman"/>
      </w:rPr>
    </w:lvl>
    <w:lvl w:ilvl="8" w:tplc="1E3AE066" w:tentative="1">
      <w:start w:val="1"/>
      <w:numFmt w:val="lowerRoman"/>
      <w:lvlText w:val="%9."/>
      <w:lvlJc w:val="right"/>
      <w:pPr>
        <w:ind w:left="7964" w:hanging="180"/>
      </w:pPr>
      <w:rPr>
        <w:rFonts w:cs="Times New Roman"/>
      </w:rPr>
    </w:lvl>
  </w:abstractNum>
  <w:abstractNum w:abstractNumId="30" w15:restartNumberingAfterBreak="0">
    <w:nsid w:val="67027381"/>
    <w:multiLevelType w:val="hybridMultilevel"/>
    <w:tmpl w:val="6FDA6644"/>
    <w:lvl w:ilvl="0" w:tplc="7BD05822">
      <w:start w:val="5"/>
      <w:numFmt w:val="bullet"/>
      <w:lvlText w:val="-"/>
      <w:lvlJc w:val="left"/>
      <w:pPr>
        <w:ind w:left="720" w:hanging="360"/>
      </w:pPr>
      <w:rPr>
        <w:rFonts w:ascii="Verdana" w:eastAsia="Arial" w:hAnsi="Verdana"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15:restartNumberingAfterBreak="0">
    <w:nsid w:val="679C1EBB"/>
    <w:multiLevelType w:val="hybridMultilevel"/>
    <w:tmpl w:val="58E6E75A"/>
    <w:lvl w:ilvl="0" w:tplc="0809001B">
      <w:start w:val="1"/>
      <w:numFmt w:val="lowerRoman"/>
      <w:lvlText w:val="%1."/>
      <w:lvlJc w:val="right"/>
      <w:pPr>
        <w:ind w:left="4188" w:hanging="360"/>
      </w:pPr>
    </w:lvl>
    <w:lvl w:ilvl="1" w:tplc="08090019" w:tentative="1">
      <w:start w:val="1"/>
      <w:numFmt w:val="lowerLetter"/>
      <w:lvlText w:val="%2."/>
      <w:lvlJc w:val="left"/>
      <w:pPr>
        <w:ind w:left="4908" w:hanging="360"/>
      </w:pPr>
    </w:lvl>
    <w:lvl w:ilvl="2" w:tplc="0809001B" w:tentative="1">
      <w:start w:val="1"/>
      <w:numFmt w:val="lowerRoman"/>
      <w:lvlText w:val="%3."/>
      <w:lvlJc w:val="right"/>
      <w:pPr>
        <w:ind w:left="5628" w:hanging="180"/>
      </w:pPr>
    </w:lvl>
    <w:lvl w:ilvl="3" w:tplc="0809000F" w:tentative="1">
      <w:start w:val="1"/>
      <w:numFmt w:val="decimal"/>
      <w:lvlText w:val="%4."/>
      <w:lvlJc w:val="left"/>
      <w:pPr>
        <w:ind w:left="6348" w:hanging="360"/>
      </w:pPr>
    </w:lvl>
    <w:lvl w:ilvl="4" w:tplc="08090019" w:tentative="1">
      <w:start w:val="1"/>
      <w:numFmt w:val="lowerLetter"/>
      <w:lvlText w:val="%5."/>
      <w:lvlJc w:val="left"/>
      <w:pPr>
        <w:ind w:left="7068" w:hanging="360"/>
      </w:pPr>
    </w:lvl>
    <w:lvl w:ilvl="5" w:tplc="0809001B" w:tentative="1">
      <w:start w:val="1"/>
      <w:numFmt w:val="lowerRoman"/>
      <w:lvlText w:val="%6."/>
      <w:lvlJc w:val="right"/>
      <w:pPr>
        <w:ind w:left="7788" w:hanging="180"/>
      </w:pPr>
    </w:lvl>
    <w:lvl w:ilvl="6" w:tplc="0809000F" w:tentative="1">
      <w:start w:val="1"/>
      <w:numFmt w:val="decimal"/>
      <w:lvlText w:val="%7."/>
      <w:lvlJc w:val="left"/>
      <w:pPr>
        <w:ind w:left="8508" w:hanging="360"/>
      </w:pPr>
    </w:lvl>
    <w:lvl w:ilvl="7" w:tplc="08090019" w:tentative="1">
      <w:start w:val="1"/>
      <w:numFmt w:val="lowerLetter"/>
      <w:lvlText w:val="%8."/>
      <w:lvlJc w:val="left"/>
      <w:pPr>
        <w:ind w:left="9228" w:hanging="360"/>
      </w:pPr>
    </w:lvl>
    <w:lvl w:ilvl="8" w:tplc="0809001B" w:tentative="1">
      <w:start w:val="1"/>
      <w:numFmt w:val="lowerRoman"/>
      <w:lvlText w:val="%9."/>
      <w:lvlJc w:val="right"/>
      <w:pPr>
        <w:ind w:left="9948"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4" w15:restartNumberingAfterBreak="0">
    <w:nsid w:val="6C81B250"/>
    <w:multiLevelType w:val="hybridMultilevel"/>
    <w:tmpl w:val="B82E5418"/>
    <w:lvl w:ilvl="0" w:tplc="8DE06568">
      <w:start w:val="1"/>
      <w:numFmt w:val="bullet"/>
      <w:lvlText w:val="·"/>
      <w:lvlJc w:val="left"/>
      <w:pPr>
        <w:ind w:left="720" w:hanging="360"/>
      </w:pPr>
      <w:rPr>
        <w:rFonts w:ascii="Symbol" w:hAnsi="Symbol" w:hint="default"/>
      </w:rPr>
    </w:lvl>
    <w:lvl w:ilvl="1" w:tplc="B9C66290">
      <w:start w:val="1"/>
      <w:numFmt w:val="bullet"/>
      <w:lvlText w:val="o"/>
      <w:lvlJc w:val="left"/>
      <w:pPr>
        <w:ind w:left="1440" w:hanging="360"/>
      </w:pPr>
      <w:rPr>
        <w:rFonts w:ascii="Courier New" w:hAnsi="Courier New" w:hint="default"/>
      </w:rPr>
    </w:lvl>
    <w:lvl w:ilvl="2" w:tplc="8B3E6E38">
      <w:start w:val="1"/>
      <w:numFmt w:val="bullet"/>
      <w:lvlText w:val=""/>
      <w:lvlJc w:val="left"/>
      <w:pPr>
        <w:ind w:left="2160" w:hanging="360"/>
      </w:pPr>
      <w:rPr>
        <w:rFonts w:ascii="Wingdings" w:hAnsi="Wingdings" w:hint="default"/>
      </w:rPr>
    </w:lvl>
    <w:lvl w:ilvl="3" w:tplc="C478E292">
      <w:start w:val="1"/>
      <w:numFmt w:val="bullet"/>
      <w:lvlText w:val=""/>
      <w:lvlJc w:val="left"/>
      <w:pPr>
        <w:ind w:left="2880" w:hanging="360"/>
      </w:pPr>
      <w:rPr>
        <w:rFonts w:ascii="Symbol" w:hAnsi="Symbol" w:hint="default"/>
      </w:rPr>
    </w:lvl>
    <w:lvl w:ilvl="4" w:tplc="7640EE66">
      <w:start w:val="1"/>
      <w:numFmt w:val="bullet"/>
      <w:lvlText w:val="o"/>
      <w:lvlJc w:val="left"/>
      <w:pPr>
        <w:ind w:left="3600" w:hanging="360"/>
      </w:pPr>
      <w:rPr>
        <w:rFonts w:ascii="Courier New" w:hAnsi="Courier New" w:hint="default"/>
      </w:rPr>
    </w:lvl>
    <w:lvl w:ilvl="5" w:tplc="513CDE3E">
      <w:start w:val="1"/>
      <w:numFmt w:val="bullet"/>
      <w:lvlText w:val=""/>
      <w:lvlJc w:val="left"/>
      <w:pPr>
        <w:ind w:left="4320" w:hanging="360"/>
      </w:pPr>
      <w:rPr>
        <w:rFonts w:ascii="Wingdings" w:hAnsi="Wingdings" w:hint="default"/>
      </w:rPr>
    </w:lvl>
    <w:lvl w:ilvl="6" w:tplc="756AD8E8">
      <w:start w:val="1"/>
      <w:numFmt w:val="bullet"/>
      <w:lvlText w:val=""/>
      <w:lvlJc w:val="left"/>
      <w:pPr>
        <w:ind w:left="5040" w:hanging="360"/>
      </w:pPr>
      <w:rPr>
        <w:rFonts w:ascii="Symbol" w:hAnsi="Symbol" w:hint="default"/>
      </w:rPr>
    </w:lvl>
    <w:lvl w:ilvl="7" w:tplc="F116953A">
      <w:start w:val="1"/>
      <w:numFmt w:val="bullet"/>
      <w:lvlText w:val="o"/>
      <w:lvlJc w:val="left"/>
      <w:pPr>
        <w:ind w:left="5760" w:hanging="360"/>
      </w:pPr>
      <w:rPr>
        <w:rFonts w:ascii="Courier New" w:hAnsi="Courier New" w:hint="default"/>
      </w:rPr>
    </w:lvl>
    <w:lvl w:ilvl="8" w:tplc="571C3ACC">
      <w:start w:val="1"/>
      <w:numFmt w:val="bullet"/>
      <w:lvlText w:val=""/>
      <w:lvlJc w:val="left"/>
      <w:pPr>
        <w:ind w:left="6480" w:hanging="360"/>
      </w:pPr>
      <w:rPr>
        <w:rFonts w:ascii="Wingdings" w:hAnsi="Wingdings" w:hint="default"/>
      </w:rPr>
    </w:lvl>
  </w:abstractNum>
  <w:abstractNum w:abstractNumId="35" w15:restartNumberingAfterBreak="0">
    <w:nsid w:val="6FB106DB"/>
    <w:multiLevelType w:val="hybridMultilevel"/>
    <w:tmpl w:val="018A7AAE"/>
    <w:lvl w:ilvl="0" w:tplc="CABE4EAC">
      <w:start w:val="1"/>
      <w:numFmt w:val="bullet"/>
      <w:lvlText w:val=""/>
      <w:lvlJc w:val="left"/>
      <w:pPr>
        <w:ind w:left="720" w:hanging="360"/>
      </w:pPr>
      <w:rPr>
        <w:rFonts w:ascii="Symbol" w:hAnsi="Symbol" w:hint="default"/>
      </w:rPr>
    </w:lvl>
    <w:lvl w:ilvl="1" w:tplc="96220BEA">
      <w:start w:val="1"/>
      <w:numFmt w:val="bullet"/>
      <w:lvlText w:val="o"/>
      <w:lvlJc w:val="left"/>
      <w:pPr>
        <w:ind w:left="1440" w:hanging="360"/>
      </w:pPr>
      <w:rPr>
        <w:rFonts w:ascii="Courier New" w:hAnsi="Courier New" w:hint="default"/>
      </w:rPr>
    </w:lvl>
    <w:lvl w:ilvl="2" w:tplc="6AE8E7C8">
      <w:start w:val="1"/>
      <w:numFmt w:val="bullet"/>
      <w:lvlText w:val=""/>
      <w:lvlJc w:val="left"/>
      <w:pPr>
        <w:ind w:left="2160" w:hanging="360"/>
      </w:pPr>
      <w:rPr>
        <w:rFonts w:ascii="Wingdings" w:hAnsi="Wingdings" w:hint="default"/>
      </w:rPr>
    </w:lvl>
    <w:lvl w:ilvl="3" w:tplc="A0B0FE86">
      <w:start w:val="1"/>
      <w:numFmt w:val="bullet"/>
      <w:lvlText w:val=""/>
      <w:lvlJc w:val="left"/>
      <w:pPr>
        <w:ind w:left="2880" w:hanging="360"/>
      </w:pPr>
      <w:rPr>
        <w:rFonts w:ascii="Symbol" w:hAnsi="Symbol" w:hint="default"/>
      </w:rPr>
    </w:lvl>
    <w:lvl w:ilvl="4" w:tplc="E2AA28B4">
      <w:start w:val="1"/>
      <w:numFmt w:val="bullet"/>
      <w:lvlText w:val="o"/>
      <w:lvlJc w:val="left"/>
      <w:pPr>
        <w:ind w:left="3600" w:hanging="360"/>
      </w:pPr>
      <w:rPr>
        <w:rFonts w:ascii="Courier New" w:hAnsi="Courier New" w:hint="default"/>
      </w:rPr>
    </w:lvl>
    <w:lvl w:ilvl="5" w:tplc="C6A09FD6">
      <w:start w:val="1"/>
      <w:numFmt w:val="bullet"/>
      <w:lvlText w:val=""/>
      <w:lvlJc w:val="left"/>
      <w:pPr>
        <w:ind w:left="4320" w:hanging="360"/>
      </w:pPr>
      <w:rPr>
        <w:rFonts w:ascii="Wingdings" w:hAnsi="Wingdings" w:hint="default"/>
      </w:rPr>
    </w:lvl>
    <w:lvl w:ilvl="6" w:tplc="53486828">
      <w:start w:val="1"/>
      <w:numFmt w:val="bullet"/>
      <w:lvlText w:val=""/>
      <w:lvlJc w:val="left"/>
      <w:pPr>
        <w:ind w:left="5040" w:hanging="360"/>
      </w:pPr>
      <w:rPr>
        <w:rFonts w:ascii="Symbol" w:hAnsi="Symbol" w:hint="default"/>
      </w:rPr>
    </w:lvl>
    <w:lvl w:ilvl="7" w:tplc="4760ADE0">
      <w:start w:val="1"/>
      <w:numFmt w:val="bullet"/>
      <w:lvlText w:val="o"/>
      <w:lvlJc w:val="left"/>
      <w:pPr>
        <w:ind w:left="5760" w:hanging="360"/>
      </w:pPr>
      <w:rPr>
        <w:rFonts w:ascii="Courier New" w:hAnsi="Courier New" w:hint="default"/>
      </w:rPr>
    </w:lvl>
    <w:lvl w:ilvl="8" w:tplc="084A6BAA">
      <w:start w:val="1"/>
      <w:numFmt w:val="bullet"/>
      <w:lvlText w:val=""/>
      <w:lvlJc w:val="left"/>
      <w:pPr>
        <w:ind w:left="6480" w:hanging="360"/>
      </w:pPr>
      <w:rPr>
        <w:rFonts w:ascii="Wingdings" w:hAnsi="Wingding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2E950A"/>
    <w:multiLevelType w:val="hybridMultilevel"/>
    <w:tmpl w:val="FFFFFFFF"/>
    <w:lvl w:ilvl="0" w:tplc="8B3C091E">
      <w:start w:val="1"/>
      <w:numFmt w:val="bullet"/>
      <w:lvlText w:val=""/>
      <w:lvlJc w:val="left"/>
      <w:pPr>
        <w:ind w:left="720" w:hanging="360"/>
      </w:pPr>
      <w:rPr>
        <w:rFonts w:ascii="Symbol" w:hAnsi="Symbol" w:hint="default"/>
      </w:rPr>
    </w:lvl>
    <w:lvl w:ilvl="1" w:tplc="0B2291F6">
      <w:start w:val="1"/>
      <w:numFmt w:val="bullet"/>
      <w:lvlText w:val="o"/>
      <w:lvlJc w:val="left"/>
      <w:pPr>
        <w:ind w:left="1440" w:hanging="360"/>
      </w:pPr>
      <w:rPr>
        <w:rFonts w:ascii="Courier New" w:hAnsi="Courier New" w:hint="default"/>
      </w:rPr>
    </w:lvl>
    <w:lvl w:ilvl="2" w:tplc="2730BCAA">
      <w:start w:val="1"/>
      <w:numFmt w:val="bullet"/>
      <w:lvlText w:val=""/>
      <w:lvlJc w:val="left"/>
      <w:pPr>
        <w:ind w:left="2160" w:hanging="360"/>
      </w:pPr>
      <w:rPr>
        <w:rFonts w:ascii="Wingdings" w:hAnsi="Wingdings" w:hint="default"/>
      </w:rPr>
    </w:lvl>
    <w:lvl w:ilvl="3" w:tplc="678CDEF8">
      <w:start w:val="1"/>
      <w:numFmt w:val="bullet"/>
      <w:lvlText w:val=""/>
      <w:lvlJc w:val="left"/>
      <w:pPr>
        <w:ind w:left="2880" w:hanging="360"/>
      </w:pPr>
      <w:rPr>
        <w:rFonts w:ascii="Symbol" w:hAnsi="Symbol" w:hint="default"/>
      </w:rPr>
    </w:lvl>
    <w:lvl w:ilvl="4" w:tplc="94F400DA">
      <w:start w:val="1"/>
      <w:numFmt w:val="bullet"/>
      <w:lvlText w:val="o"/>
      <w:lvlJc w:val="left"/>
      <w:pPr>
        <w:ind w:left="3600" w:hanging="360"/>
      </w:pPr>
      <w:rPr>
        <w:rFonts w:ascii="Courier New" w:hAnsi="Courier New" w:hint="default"/>
      </w:rPr>
    </w:lvl>
    <w:lvl w:ilvl="5" w:tplc="0548076E">
      <w:start w:val="1"/>
      <w:numFmt w:val="bullet"/>
      <w:lvlText w:val=""/>
      <w:lvlJc w:val="left"/>
      <w:pPr>
        <w:ind w:left="4320" w:hanging="360"/>
      </w:pPr>
      <w:rPr>
        <w:rFonts w:ascii="Wingdings" w:hAnsi="Wingdings" w:hint="default"/>
      </w:rPr>
    </w:lvl>
    <w:lvl w:ilvl="6" w:tplc="69ECF9D0">
      <w:start w:val="1"/>
      <w:numFmt w:val="bullet"/>
      <w:lvlText w:val=""/>
      <w:lvlJc w:val="left"/>
      <w:pPr>
        <w:ind w:left="5040" w:hanging="360"/>
      </w:pPr>
      <w:rPr>
        <w:rFonts w:ascii="Symbol" w:hAnsi="Symbol" w:hint="default"/>
      </w:rPr>
    </w:lvl>
    <w:lvl w:ilvl="7" w:tplc="502870A2">
      <w:start w:val="1"/>
      <w:numFmt w:val="bullet"/>
      <w:lvlText w:val="o"/>
      <w:lvlJc w:val="left"/>
      <w:pPr>
        <w:ind w:left="5760" w:hanging="360"/>
      </w:pPr>
      <w:rPr>
        <w:rFonts w:ascii="Courier New" w:hAnsi="Courier New" w:hint="default"/>
      </w:rPr>
    </w:lvl>
    <w:lvl w:ilvl="8" w:tplc="7D1CF7F0">
      <w:start w:val="1"/>
      <w:numFmt w:val="bullet"/>
      <w:lvlText w:val=""/>
      <w:lvlJc w:val="left"/>
      <w:pPr>
        <w:ind w:left="6480" w:hanging="360"/>
      </w:pPr>
      <w:rPr>
        <w:rFonts w:ascii="Wingdings" w:hAnsi="Wingdings" w:hint="default"/>
      </w:rPr>
    </w:lvl>
  </w:abstractNum>
  <w:abstractNum w:abstractNumId="39" w15:restartNumberingAfterBreak="0">
    <w:nsid w:val="767E1B99"/>
    <w:multiLevelType w:val="hybridMultilevel"/>
    <w:tmpl w:val="13505A02"/>
    <w:lvl w:ilvl="0" w:tplc="5F9E9B8C">
      <w:numFmt w:val="bullet"/>
      <w:lvlText w:val="-"/>
      <w:lvlJc w:val="left"/>
      <w:pPr>
        <w:ind w:left="1920" w:hanging="360"/>
      </w:pPr>
      <w:rPr>
        <w:rFonts w:ascii="Verdana" w:eastAsia="Times New Roman" w:hAnsi="Verdana" w:cs="Times New Roman" w:hint="default"/>
        <w:b w:val="0"/>
        <w:sz w:val="20"/>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CD69BE"/>
    <w:multiLevelType w:val="hybridMultilevel"/>
    <w:tmpl w:val="DBF4DE5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abstractNumId w:val="16"/>
  </w:num>
  <w:num w:numId="2">
    <w:abstractNumId w:val="34"/>
  </w:num>
  <w:num w:numId="3">
    <w:abstractNumId w:val="10"/>
  </w:num>
  <w:num w:numId="4">
    <w:abstractNumId w:val="8"/>
  </w:num>
  <w:num w:numId="5">
    <w:abstractNumId w:val="35"/>
  </w:num>
  <w:num w:numId="6">
    <w:abstractNumId w:val="2"/>
  </w:num>
  <w:num w:numId="7">
    <w:abstractNumId w:val="27"/>
  </w:num>
  <w:num w:numId="8">
    <w:abstractNumId w:val="37"/>
  </w:num>
  <w:num w:numId="9">
    <w:abstractNumId w:val="21"/>
  </w:num>
  <w:num w:numId="10">
    <w:abstractNumId w:val="32"/>
  </w:num>
  <w:num w:numId="11">
    <w:abstractNumId w:val="19"/>
  </w:num>
  <w:num w:numId="12">
    <w:abstractNumId w:val="36"/>
  </w:num>
  <w:num w:numId="13">
    <w:abstractNumId w:val="6"/>
  </w:num>
  <w:num w:numId="14">
    <w:abstractNumId w:val="28"/>
  </w:num>
  <w:num w:numId="15">
    <w:abstractNumId w:val="17"/>
  </w:num>
  <w:num w:numId="16">
    <w:abstractNumId w:val="23"/>
  </w:num>
  <w:num w:numId="17">
    <w:abstractNumId w:val="12"/>
  </w:num>
  <w:num w:numId="18">
    <w:abstractNumId w:val="29"/>
  </w:num>
  <w:num w:numId="19">
    <w:abstractNumId w:val="26"/>
  </w:num>
  <w:num w:numId="20">
    <w:abstractNumId w:val="14"/>
  </w:num>
  <w:num w:numId="21">
    <w:abstractNumId w:val="22"/>
  </w:num>
  <w:num w:numId="22">
    <w:abstractNumId w:val="13"/>
  </w:num>
  <w:num w:numId="23">
    <w:abstractNumId w:val="33"/>
  </w:num>
  <w:num w:numId="24">
    <w:abstractNumId w:val="3"/>
  </w:num>
  <w:num w:numId="25">
    <w:abstractNumId w:val="0"/>
  </w:num>
  <w:num w:numId="26">
    <w:abstractNumId w:val="39"/>
  </w:num>
  <w:num w:numId="27">
    <w:abstractNumId w:val="25"/>
  </w:num>
  <w:num w:numId="28">
    <w:abstractNumId w:val="15"/>
  </w:num>
  <w:num w:numId="29">
    <w:abstractNumId w:val="38"/>
  </w:num>
  <w:num w:numId="30">
    <w:abstractNumId w:val="14"/>
  </w:num>
  <w:num w:numId="31">
    <w:abstractNumId w:val="20"/>
  </w:num>
  <w:num w:numId="32">
    <w:abstractNumId w:val="31"/>
  </w:num>
  <w:num w:numId="33">
    <w:abstractNumId w:val="24"/>
  </w:num>
  <w:num w:numId="34">
    <w:abstractNumId w:val="5"/>
  </w:num>
  <w:num w:numId="35">
    <w:abstractNumId w:val="14"/>
  </w:num>
  <w:num w:numId="36">
    <w:abstractNumId w:val="29"/>
  </w:num>
  <w:num w:numId="37">
    <w:abstractNumId w:val="29"/>
    <w:lvlOverride w:ilvl="0">
      <w:startOverride w:val="1"/>
    </w:lvlOverride>
  </w:num>
  <w:num w:numId="38">
    <w:abstractNumId w:val="14"/>
  </w:num>
  <w:num w:numId="39">
    <w:abstractNumId w:val="29"/>
    <w:lvlOverride w:ilvl="0">
      <w:startOverride w:val="1"/>
    </w:lvlOverride>
  </w:num>
  <w:num w:numId="40">
    <w:abstractNumId w:val="14"/>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num>
  <w:num w:numId="43">
    <w:abstractNumId w:val="14"/>
  </w:num>
  <w:num w:numId="44">
    <w:abstractNumId w:val="14"/>
  </w:num>
  <w:num w:numId="45">
    <w:abstractNumId w:val="30"/>
  </w:num>
  <w:num w:numId="46">
    <w:abstractNumId w:val="14"/>
  </w:num>
  <w:num w:numId="47">
    <w:abstractNumId w:val="14"/>
  </w:num>
  <w:num w:numId="48">
    <w:abstractNumId w:val="14"/>
  </w:num>
  <w:num w:numId="49">
    <w:abstractNumId w:val="14"/>
  </w:num>
  <w:num w:numId="50">
    <w:abstractNumId w:val="14"/>
  </w:num>
  <w:num w:numId="51">
    <w:abstractNumId w:val="14"/>
  </w:num>
  <w:num w:numId="52">
    <w:abstractNumId w:val="11"/>
  </w:num>
  <w:num w:numId="53">
    <w:abstractNumId w:val="14"/>
  </w:num>
  <w:num w:numId="54">
    <w:abstractNumId w:val="4"/>
  </w:num>
  <w:num w:numId="55">
    <w:abstractNumId w:val="40"/>
  </w:num>
  <w:num w:numId="56">
    <w:abstractNumId w:val="1"/>
  </w:num>
  <w:num w:numId="57">
    <w:abstractNumId w:val="14"/>
  </w:num>
  <w:num w:numId="58">
    <w:abstractNumId w:val="7"/>
  </w:num>
  <w:num w:numId="59">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ctiveWritingStyle w:appName="MSWord" w:lang="en-GB" w:vendorID="64" w:dllVersion="0" w:nlCheck="1" w:checkStyle="0"/>
  <w:activeWritingStyle w:appName="MSWord" w:lang="en-US" w:vendorID="64" w:dllVersion="0" w:nlCheck="1" w:checkStyle="0"/>
  <w:activeWritingStyle w:appName="MSWord" w:lang="en-US" w:vendorID="64" w:dllVersion="6" w:nlCheck="1" w:checkStyle="0"/>
  <w:activeWritingStyle w:appName="MSWord" w:lang="en-GB" w:vendorID="64" w:dllVersion="6" w:nlCheck="1" w:checkStyle="0"/>
  <w:activeWritingStyle w:appName="MSWord" w:lang="fr-FR" w:vendorID="64" w:dllVersion="0" w:nlCheck="1" w:checkStyle="0"/>
  <w:activeWritingStyle w:appName="MSWord" w:lang="fr-FR" w:vendorID="64" w:dllVersion="6" w:nlCheck="1" w:checkStyle="0"/>
  <w:activeWritingStyle w:appName="MSWord" w:lang="it-IT" w:vendorID="64" w:dllVersion="6" w:nlCheck="1" w:checkStyle="0"/>
  <w:activeWritingStyle w:appName="MSWord" w:lang="en-IE" w:vendorID="64" w:dllVersion="0" w:nlCheck="1" w:checkStyle="0"/>
  <w:activeWritingStyle w:appName="MSWord" w:lang="fr-BE"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revisionView w:markup="0"/>
  <w:defaultTabStop w:val="708"/>
  <w:hyphenationZone w:val="170"/>
  <w:drawingGridHorizontalSpacing w:val="100"/>
  <w:displayHorizontalDrawingGridEvery w:val="2"/>
  <w:characterSpacingControl w:val="doNotCompress"/>
  <w:hdrShapeDefaults>
    <o:shapedefaults v:ext="edit" spidmax="205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Green"/>
    <w:docVar w:name="FigNum" w:val="1"/>
    <w:docVar w:name="LW_ACCOMPAGNANT.CP" w:val="dokumentam"/>
    <w:docVar w:name="LW_ANNEX_NBR_FIRST" w:val="2"/>
    <w:docVar w:name="LW_ANNEX_NBR_LAST" w:val="2"/>
    <w:docVar w:name="LW_ANNEX_UNIQUE" w:val="0"/>
    <w:docVar w:name="LW_CORRIGENDUM" w:val="&lt;UNUSED&gt;"/>
    <w:docVar w:name="LW_COVERPAGE_EXISTS" w:val="True"/>
    <w:docVar w:name="LW_COVERPAGE_GUID" w:val="D772C6F9-9C14-4D6C-A3F3-C65AD066C7D9"/>
    <w:docVar w:name="LW_COVERPAGE_TYPE" w:val="1"/>
    <w:docVar w:name="LW_CROSSREFERENCE" w:val="&lt;UNUSED&gt;"/>
    <w:docVar w:name="LW_DocType" w:val="NORMAL"/>
    <w:docVar w:name="LW_EMISSION" w:val="15.3.2024"/>
    <w:docVar w:name="LW_EMISSION_ISODATE" w:val="2024-03-15"/>
    <w:docVar w:name="LW_EMISSION_LOCATION" w:val="BRX"/>
    <w:docVar w:name="LW_EMISSION_PREFIX" w:val="Brisel\u275?, "/>
    <w:docVar w:name="LW_EMISSION_SUFFIX" w:val="."/>
    <w:docVar w:name="LW_ID_DOCTYPE_NONLW" w:val="CP-038"/>
    <w:docVar w:name="LW_LANGUE" w:val="LV"/>
    <w:docVar w:name="LW_LEVEL_OF_SENSITIVITY" w:val="Standard treatment"/>
    <w:docVar w:name="LW_NOM.INST" w:val="EIROPAS KOMISIJA"/>
    <w:docVar w:name="LW_NOM.INST_JOINTDOC" w:val="&lt;EMPTY&gt;"/>
    <w:docVar w:name="LW_OBJETACTEPRINCIPAL.CP" w:val="ar ko \u298?steno\u353?anas regul\u257? (ES) 2021/451 noteiktos \u299?steno\u353?anas tehniskos standartus groza attiec\u299?b\u257? uz noteikumiem par uzraudz\u299?bas p\u257?rskatu snieg\u353?anu par procentu likmju risku banku portfel\u299?"/>
    <w:docVar w:name="LW_PART_NBR" w:val="1"/>
    <w:docVar w:name="LW_PART_NBR_TOTAL" w:val="1"/>
    <w:docVar w:name="LW_REF.INST.NEW" w:val="C"/>
    <w:docVar w:name="LW_REF.INST.NEW_ADOPTED" w:val="final"/>
    <w:docVar w:name="LW_REF.INST.NEW_TEXT" w:val="(2024) 162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PIELIKUMS_x000b_"/>
    <w:docVar w:name="LW_TYPEACTEPRINCIPAL.CP" w:val="Komisijas \u298?steno\u353?anas regula,"/>
    <w:docVar w:name="LwApiVersions" w:val="LW4CoDe 1.24.5.0; LW 9.0, Build 20240221"/>
  </w:docVars>
  <w:rsids>
    <w:rsidRoot w:val="00884FEB"/>
    <w:rsid w:val="000001EC"/>
    <w:rsid w:val="00000255"/>
    <w:rsid w:val="00000347"/>
    <w:rsid w:val="00000F70"/>
    <w:rsid w:val="00001625"/>
    <w:rsid w:val="000017CA"/>
    <w:rsid w:val="000017F3"/>
    <w:rsid w:val="00001AF1"/>
    <w:rsid w:val="00001BF2"/>
    <w:rsid w:val="000020E5"/>
    <w:rsid w:val="00002740"/>
    <w:rsid w:val="00002933"/>
    <w:rsid w:val="00002E14"/>
    <w:rsid w:val="000032AA"/>
    <w:rsid w:val="000037CF"/>
    <w:rsid w:val="0000410C"/>
    <w:rsid w:val="00004478"/>
    <w:rsid w:val="000044B7"/>
    <w:rsid w:val="00004542"/>
    <w:rsid w:val="000046BB"/>
    <w:rsid w:val="00004978"/>
    <w:rsid w:val="00004D21"/>
    <w:rsid w:val="00004FE8"/>
    <w:rsid w:val="00005078"/>
    <w:rsid w:val="00005765"/>
    <w:rsid w:val="00005C5F"/>
    <w:rsid w:val="00005FAC"/>
    <w:rsid w:val="00005FFC"/>
    <w:rsid w:val="00007605"/>
    <w:rsid w:val="0000798F"/>
    <w:rsid w:val="00007D0D"/>
    <w:rsid w:val="00007F45"/>
    <w:rsid w:val="000100F8"/>
    <w:rsid w:val="00010124"/>
    <w:rsid w:val="0001047F"/>
    <w:rsid w:val="00010789"/>
    <w:rsid w:val="00010B91"/>
    <w:rsid w:val="00010C22"/>
    <w:rsid w:val="00011249"/>
    <w:rsid w:val="00011545"/>
    <w:rsid w:val="00011BD0"/>
    <w:rsid w:val="00011ED2"/>
    <w:rsid w:val="00012003"/>
    <w:rsid w:val="000120EB"/>
    <w:rsid w:val="0001246D"/>
    <w:rsid w:val="000130F3"/>
    <w:rsid w:val="00013A9B"/>
    <w:rsid w:val="00013B48"/>
    <w:rsid w:val="00014449"/>
    <w:rsid w:val="00014890"/>
    <w:rsid w:val="00014DC3"/>
    <w:rsid w:val="0001573B"/>
    <w:rsid w:val="0001693F"/>
    <w:rsid w:val="0001796E"/>
    <w:rsid w:val="00017C4C"/>
    <w:rsid w:val="00020200"/>
    <w:rsid w:val="00020516"/>
    <w:rsid w:val="00020857"/>
    <w:rsid w:val="0002085A"/>
    <w:rsid w:val="00020AF9"/>
    <w:rsid w:val="00020CE8"/>
    <w:rsid w:val="0002120E"/>
    <w:rsid w:val="0002157C"/>
    <w:rsid w:val="00021A05"/>
    <w:rsid w:val="00021D77"/>
    <w:rsid w:val="0002264E"/>
    <w:rsid w:val="0002267E"/>
    <w:rsid w:val="000227D4"/>
    <w:rsid w:val="00023102"/>
    <w:rsid w:val="000231F9"/>
    <w:rsid w:val="000232E2"/>
    <w:rsid w:val="00023383"/>
    <w:rsid w:val="00023DF1"/>
    <w:rsid w:val="000242CC"/>
    <w:rsid w:val="000243CE"/>
    <w:rsid w:val="000247E1"/>
    <w:rsid w:val="00024EB8"/>
    <w:rsid w:val="0002506D"/>
    <w:rsid w:val="00025B2A"/>
    <w:rsid w:val="000260E4"/>
    <w:rsid w:val="0002618A"/>
    <w:rsid w:val="000263A8"/>
    <w:rsid w:val="0002657F"/>
    <w:rsid w:val="00027235"/>
    <w:rsid w:val="00032596"/>
    <w:rsid w:val="000326C1"/>
    <w:rsid w:val="00032C91"/>
    <w:rsid w:val="00032D36"/>
    <w:rsid w:val="0003330C"/>
    <w:rsid w:val="00033B7C"/>
    <w:rsid w:val="00033C55"/>
    <w:rsid w:val="00033F40"/>
    <w:rsid w:val="00033FB5"/>
    <w:rsid w:val="00034431"/>
    <w:rsid w:val="0003454D"/>
    <w:rsid w:val="00034834"/>
    <w:rsid w:val="00035446"/>
    <w:rsid w:val="0003566D"/>
    <w:rsid w:val="000359E1"/>
    <w:rsid w:val="000359E7"/>
    <w:rsid w:val="000364CE"/>
    <w:rsid w:val="00037093"/>
    <w:rsid w:val="000371EB"/>
    <w:rsid w:val="0003741A"/>
    <w:rsid w:val="000377CC"/>
    <w:rsid w:val="00037A99"/>
    <w:rsid w:val="00037FCC"/>
    <w:rsid w:val="0004055C"/>
    <w:rsid w:val="00041098"/>
    <w:rsid w:val="000412EA"/>
    <w:rsid w:val="00041480"/>
    <w:rsid w:val="00041556"/>
    <w:rsid w:val="00041815"/>
    <w:rsid w:val="00042048"/>
    <w:rsid w:val="00042EDA"/>
    <w:rsid w:val="000433C4"/>
    <w:rsid w:val="000436D4"/>
    <w:rsid w:val="000436ED"/>
    <w:rsid w:val="000438C0"/>
    <w:rsid w:val="00045036"/>
    <w:rsid w:val="000452C6"/>
    <w:rsid w:val="0004590F"/>
    <w:rsid w:val="00045B43"/>
    <w:rsid w:val="00046C03"/>
    <w:rsid w:val="00047351"/>
    <w:rsid w:val="00047D4B"/>
    <w:rsid w:val="00047DF6"/>
    <w:rsid w:val="000501CB"/>
    <w:rsid w:val="000503D6"/>
    <w:rsid w:val="00050827"/>
    <w:rsid w:val="00051BC5"/>
    <w:rsid w:val="00051D01"/>
    <w:rsid w:val="00052B23"/>
    <w:rsid w:val="00052BD1"/>
    <w:rsid w:val="00052CAE"/>
    <w:rsid w:val="00052FEA"/>
    <w:rsid w:val="000530BC"/>
    <w:rsid w:val="0005330F"/>
    <w:rsid w:val="00053B6B"/>
    <w:rsid w:val="00053D80"/>
    <w:rsid w:val="0005400A"/>
    <w:rsid w:val="00054466"/>
    <w:rsid w:val="00054657"/>
    <w:rsid w:val="00054879"/>
    <w:rsid w:val="000548A2"/>
    <w:rsid w:val="00056016"/>
    <w:rsid w:val="0005609F"/>
    <w:rsid w:val="000565B6"/>
    <w:rsid w:val="00056798"/>
    <w:rsid w:val="00056C0F"/>
    <w:rsid w:val="00056C8D"/>
    <w:rsid w:val="00057154"/>
    <w:rsid w:val="00057362"/>
    <w:rsid w:val="00057409"/>
    <w:rsid w:val="0005746D"/>
    <w:rsid w:val="00057D6D"/>
    <w:rsid w:val="0006024F"/>
    <w:rsid w:val="00060CA6"/>
    <w:rsid w:val="00061688"/>
    <w:rsid w:val="0006190C"/>
    <w:rsid w:val="00061E48"/>
    <w:rsid w:val="00062A1F"/>
    <w:rsid w:val="00063085"/>
    <w:rsid w:val="00063B3F"/>
    <w:rsid w:val="00064998"/>
    <w:rsid w:val="000651F4"/>
    <w:rsid w:val="000653DE"/>
    <w:rsid w:val="000657EB"/>
    <w:rsid w:val="00065864"/>
    <w:rsid w:val="00065992"/>
    <w:rsid w:val="00065E3E"/>
    <w:rsid w:val="0006666B"/>
    <w:rsid w:val="000674B5"/>
    <w:rsid w:val="000677A2"/>
    <w:rsid w:val="00067DC1"/>
    <w:rsid w:val="00067EEA"/>
    <w:rsid w:val="00070256"/>
    <w:rsid w:val="00070929"/>
    <w:rsid w:val="00070AF9"/>
    <w:rsid w:val="00070E18"/>
    <w:rsid w:val="00071341"/>
    <w:rsid w:val="000716F4"/>
    <w:rsid w:val="0007219C"/>
    <w:rsid w:val="00072873"/>
    <w:rsid w:val="00073679"/>
    <w:rsid w:val="00074102"/>
    <w:rsid w:val="00074197"/>
    <w:rsid w:val="00074C77"/>
    <w:rsid w:val="00074F23"/>
    <w:rsid w:val="00075157"/>
    <w:rsid w:val="000757AF"/>
    <w:rsid w:val="000758FE"/>
    <w:rsid w:val="00075B51"/>
    <w:rsid w:val="00075B7C"/>
    <w:rsid w:val="00075E67"/>
    <w:rsid w:val="00076091"/>
    <w:rsid w:val="00076880"/>
    <w:rsid w:val="00076B74"/>
    <w:rsid w:val="00076C2A"/>
    <w:rsid w:val="000773CD"/>
    <w:rsid w:val="000776CE"/>
    <w:rsid w:val="00077C5F"/>
    <w:rsid w:val="00077CD9"/>
    <w:rsid w:val="00077E3B"/>
    <w:rsid w:val="00080000"/>
    <w:rsid w:val="00080F38"/>
    <w:rsid w:val="0008111C"/>
    <w:rsid w:val="0008112B"/>
    <w:rsid w:val="0008113D"/>
    <w:rsid w:val="0008126E"/>
    <w:rsid w:val="000812D4"/>
    <w:rsid w:val="000815DE"/>
    <w:rsid w:val="00081872"/>
    <w:rsid w:val="00081D2C"/>
    <w:rsid w:val="00082265"/>
    <w:rsid w:val="000828C6"/>
    <w:rsid w:val="000831EA"/>
    <w:rsid w:val="0008380B"/>
    <w:rsid w:val="00084215"/>
    <w:rsid w:val="000843B3"/>
    <w:rsid w:val="00084486"/>
    <w:rsid w:val="00084A4D"/>
    <w:rsid w:val="00084E12"/>
    <w:rsid w:val="000858A9"/>
    <w:rsid w:val="00085BB9"/>
    <w:rsid w:val="00085D0C"/>
    <w:rsid w:val="00085E27"/>
    <w:rsid w:val="00085E79"/>
    <w:rsid w:val="0008615C"/>
    <w:rsid w:val="00086C6E"/>
    <w:rsid w:val="00087700"/>
    <w:rsid w:val="00087903"/>
    <w:rsid w:val="00087B2B"/>
    <w:rsid w:val="00087E1A"/>
    <w:rsid w:val="0009034B"/>
    <w:rsid w:val="000903FA"/>
    <w:rsid w:val="000904F3"/>
    <w:rsid w:val="000905EA"/>
    <w:rsid w:val="00091017"/>
    <w:rsid w:val="0009195D"/>
    <w:rsid w:val="00091E6A"/>
    <w:rsid w:val="00092F67"/>
    <w:rsid w:val="00093686"/>
    <w:rsid w:val="0009392E"/>
    <w:rsid w:val="00093C6A"/>
    <w:rsid w:val="00093EE3"/>
    <w:rsid w:val="00094D25"/>
    <w:rsid w:val="00095191"/>
    <w:rsid w:val="000951ED"/>
    <w:rsid w:val="0009552F"/>
    <w:rsid w:val="000961AD"/>
    <w:rsid w:val="00096566"/>
    <w:rsid w:val="000973E0"/>
    <w:rsid w:val="0009761E"/>
    <w:rsid w:val="000978F0"/>
    <w:rsid w:val="00097A17"/>
    <w:rsid w:val="00097C81"/>
    <w:rsid w:val="00097E91"/>
    <w:rsid w:val="000A12B8"/>
    <w:rsid w:val="000A1955"/>
    <w:rsid w:val="000A1A8A"/>
    <w:rsid w:val="000A2943"/>
    <w:rsid w:val="000A3491"/>
    <w:rsid w:val="000A3B1A"/>
    <w:rsid w:val="000A3DA4"/>
    <w:rsid w:val="000A3EBB"/>
    <w:rsid w:val="000A4B61"/>
    <w:rsid w:val="000A4C10"/>
    <w:rsid w:val="000A4C44"/>
    <w:rsid w:val="000A57BC"/>
    <w:rsid w:val="000A67F9"/>
    <w:rsid w:val="000A701A"/>
    <w:rsid w:val="000A7A58"/>
    <w:rsid w:val="000A7B4B"/>
    <w:rsid w:val="000A7D27"/>
    <w:rsid w:val="000A7D79"/>
    <w:rsid w:val="000A7FA8"/>
    <w:rsid w:val="000B0385"/>
    <w:rsid w:val="000B039B"/>
    <w:rsid w:val="000B09F9"/>
    <w:rsid w:val="000B0B09"/>
    <w:rsid w:val="000B0E46"/>
    <w:rsid w:val="000B0EBE"/>
    <w:rsid w:val="000B13A1"/>
    <w:rsid w:val="000B22DD"/>
    <w:rsid w:val="000B2300"/>
    <w:rsid w:val="000B25E8"/>
    <w:rsid w:val="000B283D"/>
    <w:rsid w:val="000B2C17"/>
    <w:rsid w:val="000B33E8"/>
    <w:rsid w:val="000B3C33"/>
    <w:rsid w:val="000B3D3C"/>
    <w:rsid w:val="000B3E00"/>
    <w:rsid w:val="000B40FA"/>
    <w:rsid w:val="000B4114"/>
    <w:rsid w:val="000B4334"/>
    <w:rsid w:val="000B487B"/>
    <w:rsid w:val="000B4F9A"/>
    <w:rsid w:val="000B5854"/>
    <w:rsid w:val="000B59E1"/>
    <w:rsid w:val="000B5A24"/>
    <w:rsid w:val="000B5B6D"/>
    <w:rsid w:val="000B6133"/>
    <w:rsid w:val="000B61AE"/>
    <w:rsid w:val="000B6362"/>
    <w:rsid w:val="000B63E1"/>
    <w:rsid w:val="000B64AE"/>
    <w:rsid w:val="000B6A14"/>
    <w:rsid w:val="000B6E03"/>
    <w:rsid w:val="000B70E1"/>
    <w:rsid w:val="000B710D"/>
    <w:rsid w:val="000B73C4"/>
    <w:rsid w:val="000B7444"/>
    <w:rsid w:val="000B7634"/>
    <w:rsid w:val="000B7A80"/>
    <w:rsid w:val="000C0017"/>
    <w:rsid w:val="000C0127"/>
    <w:rsid w:val="000C0914"/>
    <w:rsid w:val="000C0A34"/>
    <w:rsid w:val="000C1A56"/>
    <w:rsid w:val="000C24B5"/>
    <w:rsid w:val="000C29A3"/>
    <w:rsid w:val="000C30A6"/>
    <w:rsid w:val="000C33BA"/>
    <w:rsid w:val="000C4A6C"/>
    <w:rsid w:val="000C527F"/>
    <w:rsid w:val="000C574D"/>
    <w:rsid w:val="000C57A3"/>
    <w:rsid w:val="000C5A1A"/>
    <w:rsid w:val="000C5AE6"/>
    <w:rsid w:val="000C5EA7"/>
    <w:rsid w:val="000C5FB6"/>
    <w:rsid w:val="000C6096"/>
    <w:rsid w:val="000C632D"/>
    <w:rsid w:val="000C6510"/>
    <w:rsid w:val="000C6938"/>
    <w:rsid w:val="000C6B7B"/>
    <w:rsid w:val="000C72FC"/>
    <w:rsid w:val="000C7632"/>
    <w:rsid w:val="000C793F"/>
    <w:rsid w:val="000C7EAA"/>
    <w:rsid w:val="000D017F"/>
    <w:rsid w:val="000D0241"/>
    <w:rsid w:val="000D0818"/>
    <w:rsid w:val="000D094C"/>
    <w:rsid w:val="000D0B56"/>
    <w:rsid w:val="000D0F26"/>
    <w:rsid w:val="000D167C"/>
    <w:rsid w:val="000D194E"/>
    <w:rsid w:val="000D1E61"/>
    <w:rsid w:val="000D220D"/>
    <w:rsid w:val="000D2345"/>
    <w:rsid w:val="000D2BF6"/>
    <w:rsid w:val="000D3078"/>
    <w:rsid w:val="000D3636"/>
    <w:rsid w:val="000D399F"/>
    <w:rsid w:val="000D3B54"/>
    <w:rsid w:val="000D3CBC"/>
    <w:rsid w:val="000D3F54"/>
    <w:rsid w:val="000D4352"/>
    <w:rsid w:val="000D44F9"/>
    <w:rsid w:val="000D5147"/>
    <w:rsid w:val="000D5292"/>
    <w:rsid w:val="000D54BC"/>
    <w:rsid w:val="000D5958"/>
    <w:rsid w:val="000D6402"/>
    <w:rsid w:val="000D65C6"/>
    <w:rsid w:val="000D6B1D"/>
    <w:rsid w:val="000D6B9B"/>
    <w:rsid w:val="000D7761"/>
    <w:rsid w:val="000E070F"/>
    <w:rsid w:val="000E093A"/>
    <w:rsid w:val="000E1572"/>
    <w:rsid w:val="000E2040"/>
    <w:rsid w:val="000E2376"/>
    <w:rsid w:val="000E2544"/>
    <w:rsid w:val="000E2656"/>
    <w:rsid w:val="000E2774"/>
    <w:rsid w:val="000E29C9"/>
    <w:rsid w:val="000E3F99"/>
    <w:rsid w:val="000E3FD7"/>
    <w:rsid w:val="000E3FE9"/>
    <w:rsid w:val="000E40DD"/>
    <w:rsid w:val="000E4320"/>
    <w:rsid w:val="000E45CE"/>
    <w:rsid w:val="000E45E1"/>
    <w:rsid w:val="000E4B19"/>
    <w:rsid w:val="000E6835"/>
    <w:rsid w:val="000E6DAB"/>
    <w:rsid w:val="000E7BA8"/>
    <w:rsid w:val="000E7E8D"/>
    <w:rsid w:val="000E7F08"/>
    <w:rsid w:val="000F030D"/>
    <w:rsid w:val="000F0503"/>
    <w:rsid w:val="000F11B2"/>
    <w:rsid w:val="000F13F9"/>
    <w:rsid w:val="000F1693"/>
    <w:rsid w:val="000F1CEA"/>
    <w:rsid w:val="000F2425"/>
    <w:rsid w:val="000F2525"/>
    <w:rsid w:val="000F27A0"/>
    <w:rsid w:val="000F2DDB"/>
    <w:rsid w:val="000F2EC8"/>
    <w:rsid w:val="000F2F09"/>
    <w:rsid w:val="000F2F1C"/>
    <w:rsid w:val="000F33AF"/>
    <w:rsid w:val="000F435D"/>
    <w:rsid w:val="000F46D5"/>
    <w:rsid w:val="000F4702"/>
    <w:rsid w:val="000F476B"/>
    <w:rsid w:val="000F49B5"/>
    <w:rsid w:val="000F4BE5"/>
    <w:rsid w:val="000F5488"/>
    <w:rsid w:val="000F594C"/>
    <w:rsid w:val="000F5DC4"/>
    <w:rsid w:val="000F5F7A"/>
    <w:rsid w:val="000F633F"/>
    <w:rsid w:val="000F6A80"/>
    <w:rsid w:val="000F6AC5"/>
    <w:rsid w:val="000F6B25"/>
    <w:rsid w:val="000F6FA4"/>
    <w:rsid w:val="000F7045"/>
    <w:rsid w:val="000F70EC"/>
    <w:rsid w:val="0010023B"/>
    <w:rsid w:val="0010123F"/>
    <w:rsid w:val="001012EE"/>
    <w:rsid w:val="0010131D"/>
    <w:rsid w:val="0010177C"/>
    <w:rsid w:val="00101DA5"/>
    <w:rsid w:val="0010202C"/>
    <w:rsid w:val="00102143"/>
    <w:rsid w:val="0010250F"/>
    <w:rsid w:val="00102854"/>
    <w:rsid w:val="00102C6F"/>
    <w:rsid w:val="00102D76"/>
    <w:rsid w:val="00103272"/>
    <w:rsid w:val="00103455"/>
    <w:rsid w:val="00104370"/>
    <w:rsid w:val="00104498"/>
    <w:rsid w:val="0010455D"/>
    <w:rsid w:val="0010469E"/>
    <w:rsid w:val="00104A65"/>
    <w:rsid w:val="00105129"/>
    <w:rsid w:val="0010559F"/>
    <w:rsid w:val="001056E7"/>
    <w:rsid w:val="0010605A"/>
    <w:rsid w:val="001067A8"/>
    <w:rsid w:val="0010696B"/>
    <w:rsid w:val="00106A64"/>
    <w:rsid w:val="00106FC5"/>
    <w:rsid w:val="00107909"/>
    <w:rsid w:val="00107EC5"/>
    <w:rsid w:val="0011053A"/>
    <w:rsid w:val="0011071C"/>
    <w:rsid w:val="00110744"/>
    <w:rsid w:val="0011087F"/>
    <w:rsid w:val="00110F40"/>
    <w:rsid w:val="00111121"/>
    <w:rsid w:val="00111897"/>
    <w:rsid w:val="00112503"/>
    <w:rsid w:val="0011278F"/>
    <w:rsid w:val="001128D4"/>
    <w:rsid w:val="00112D6B"/>
    <w:rsid w:val="00112EED"/>
    <w:rsid w:val="0011328F"/>
    <w:rsid w:val="001136DD"/>
    <w:rsid w:val="00113E45"/>
    <w:rsid w:val="00113EA5"/>
    <w:rsid w:val="00113EA6"/>
    <w:rsid w:val="0011439F"/>
    <w:rsid w:val="0011473F"/>
    <w:rsid w:val="00114CDB"/>
    <w:rsid w:val="00115189"/>
    <w:rsid w:val="001151C1"/>
    <w:rsid w:val="0011539B"/>
    <w:rsid w:val="00115685"/>
    <w:rsid w:val="00116CB5"/>
    <w:rsid w:val="0011705A"/>
    <w:rsid w:val="0011764A"/>
    <w:rsid w:val="00117DF0"/>
    <w:rsid w:val="0012049B"/>
    <w:rsid w:val="001219C2"/>
    <w:rsid w:val="0012243D"/>
    <w:rsid w:val="001229A0"/>
    <w:rsid w:val="00122CFD"/>
    <w:rsid w:val="00122FE0"/>
    <w:rsid w:val="00123D0E"/>
    <w:rsid w:val="00123E0E"/>
    <w:rsid w:val="00124A44"/>
    <w:rsid w:val="00124B85"/>
    <w:rsid w:val="00125098"/>
    <w:rsid w:val="001250CC"/>
    <w:rsid w:val="001254F4"/>
    <w:rsid w:val="00125707"/>
    <w:rsid w:val="00125D44"/>
    <w:rsid w:val="00125DEE"/>
    <w:rsid w:val="00126395"/>
    <w:rsid w:val="00126BE8"/>
    <w:rsid w:val="001273B5"/>
    <w:rsid w:val="00127986"/>
    <w:rsid w:val="00127E36"/>
    <w:rsid w:val="00130586"/>
    <w:rsid w:val="00130667"/>
    <w:rsid w:val="001306BE"/>
    <w:rsid w:val="00130BF0"/>
    <w:rsid w:val="00130EEF"/>
    <w:rsid w:val="00131E53"/>
    <w:rsid w:val="001323BF"/>
    <w:rsid w:val="001324A7"/>
    <w:rsid w:val="001324F3"/>
    <w:rsid w:val="00132778"/>
    <w:rsid w:val="00132785"/>
    <w:rsid w:val="00132D74"/>
    <w:rsid w:val="00133107"/>
    <w:rsid w:val="001331F5"/>
    <w:rsid w:val="00133396"/>
    <w:rsid w:val="00133785"/>
    <w:rsid w:val="00133AC1"/>
    <w:rsid w:val="00134787"/>
    <w:rsid w:val="001350BB"/>
    <w:rsid w:val="00135E96"/>
    <w:rsid w:val="00136316"/>
    <w:rsid w:val="00136376"/>
    <w:rsid w:val="00137071"/>
    <w:rsid w:val="00137AC5"/>
    <w:rsid w:val="001402DB"/>
    <w:rsid w:val="001409D9"/>
    <w:rsid w:val="00140F6E"/>
    <w:rsid w:val="001410B4"/>
    <w:rsid w:val="00141DD1"/>
    <w:rsid w:val="00142917"/>
    <w:rsid w:val="00142A0F"/>
    <w:rsid w:val="001432EE"/>
    <w:rsid w:val="00143965"/>
    <w:rsid w:val="001443AF"/>
    <w:rsid w:val="00144F03"/>
    <w:rsid w:val="00145176"/>
    <w:rsid w:val="00145EAA"/>
    <w:rsid w:val="0014657C"/>
    <w:rsid w:val="00146D50"/>
    <w:rsid w:val="00146F71"/>
    <w:rsid w:val="001472FB"/>
    <w:rsid w:val="0014741E"/>
    <w:rsid w:val="001474E0"/>
    <w:rsid w:val="00147AE0"/>
    <w:rsid w:val="0015008C"/>
    <w:rsid w:val="001505E7"/>
    <w:rsid w:val="001509CA"/>
    <w:rsid w:val="00150A00"/>
    <w:rsid w:val="00151071"/>
    <w:rsid w:val="0015109C"/>
    <w:rsid w:val="00151B44"/>
    <w:rsid w:val="00151BBB"/>
    <w:rsid w:val="00151D8A"/>
    <w:rsid w:val="001524C0"/>
    <w:rsid w:val="0015288B"/>
    <w:rsid w:val="00152985"/>
    <w:rsid w:val="00152B33"/>
    <w:rsid w:val="00153BEC"/>
    <w:rsid w:val="00153EC0"/>
    <w:rsid w:val="0015448C"/>
    <w:rsid w:val="0015481E"/>
    <w:rsid w:val="00154859"/>
    <w:rsid w:val="00154CC2"/>
    <w:rsid w:val="00155114"/>
    <w:rsid w:val="0015530E"/>
    <w:rsid w:val="001555FB"/>
    <w:rsid w:val="001556C9"/>
    <w:rsid w:val="00156555"/>
    <w:rsid w:val="00156B16"/>
    <w:rsid w:val="001570C4"/>
    <w:rsid w:val="00157134"/>
    <w:rsid w:val="001572F2"/>
    <w:rsid w:val="00157828"/>
    <w:rsid w:val="001579E7"/>
    <w:rsid w:val="00157B19"/>
    <w:rsid w:val="00157D54"/>
    <w:rsid w:val="001603CD"/>
    <w:rsid w:val="0016072E"/>
    <w:rsid w:val="00160870"/>
    <w:rsid w:val="00161A02"/>
    <w:rsid w:val="0016282F"/>
    <w:rsid w:val="0016283D"/>
    <w:rsid w:val="001628F4"/>
    <w:rsid w:val="00162CCF"/>
    <w:rsid w:val="00162D32"/>
    <w:rsid w:val="00163749"/>
    <w:rsid w:val="00163DBA"/>
    <w:rsid w:val="00164831"/>
    <w:rsid w:val="00164970"/>
    <w:rsid w:val="00164B62"/>
    <w:rsid w:val="00165E72"/>
    <w:rsid w:val="00165F2E"/>
    <w:rsid w:val="00166184"/>
    <w:rsid w:val="00166525"/>
    <w:rsid w:val="00166EC4"/>
    <w:rsid w:val="001671AC"/>
    <w:rsid w:val="00167476"/>
    <w:rsid w:val="00167619"/>
    <w:rsid w:val="00167763"/>
    <w:rsid w:val="0016776D"/>
    <w:rsid w:val="001679DC"/>
    <w:rsid w:val="00167B5D"/>
    <w:rsid w:val="00167E59"/>
    <w:rsid w:val="00170AEB"/>
    <w:rsid w:val="00170E37"/>
    <w:rsid w:val="00171AD8"/>
    <w:rsid w:val="001721BD"/>
    <w:rsid w:val="00172251"/>
    <w:rsid w:val="001734AB"/>
    <w:rsid w:val="0017440D"/>
    <w:rsid w:val="001747AD"/>
    <w:rsid w:val="001747DD"/>
    <w:rsid w:val="00175957"/>
    <w:rsid w:val="00175D2A"/>
    <w:rsid w:val="00176121"/>
    <w:rsid w:val="001768A4"/>
    <w:rsid w:val="00176EE9"/>
    <w:rsid w:val="001771A4"/>
    <w:rsid w:val="001779CC"/>
    <w:rsid w:val="00177DC1"/>
    <w:rsid w:val="00177E1E"/>
    <w:rsid w:val="001801BE"/>
    <w:rsid w:val="00180D43"/>
    <w:rsid w:val="00180F2A"/>
    <w:rsid w:val="00181174"/>
    <w:rsid w:val="00181402"/>
    <w:rsid w:val="0018155D"/>
    <w:rsid w:val="00181888"/>
    <w:rsid w:val="001822DF"/>
    <w:rsid w:val="001823F4"/>
    <w:rsid w:val="00182D7E"/>
    <w:rsid w:val="0018307D"/>
    <w:rsid w:val="001836AB"/>
    <w:rsid w:val="00183B7A"/>
    <w:rsid w:val="00184045"/>
    <w:rsid w:val="001840A5"/>
    <w:rsid w:val="00184E8A"/>
    <w:rsid w:val="00184F85"/>
    <w:rsid w:val="0018533B"/>
    <w:rsid w:val="001854F6"/>
    <w:rsid w:val="00185877"/>
    <w:rsid w:val="00186264"/>
    <w:rsid w:val="001867BF"/>
    <w:rsid w:val="001868F8"/>
    <w:rsid w:val="00187348"/>
    <w:rsid w:val="00187488"/>
    <w:rsid w:val="00187595"/>
    <w:rsid w:val="00190160"/>
    <w:rsid w:val="0019088A"/>
    <w:rsid w:val="00190FA3"/>
    <w:rsid w:val="001911AC"/>
    <w:rsid w:val="001919E9"/>
    <w:rsid w:val="00191B87"/>
    <w:rsid w:val="001924F4"/>
    <w:rsid w:val="00192744"/>
    <w:rsid w:val="00192F77"/>
    <w:rsid w:val="001930C5"/>
    <w:rsid w:val="0019394E"/>
    <w:rsid w:val="00193CB4"/>
    <w:rsid w:val="00194120"/>
    <w:rsid w:val="001959EF"/>
    <w:rsid w:val="00195AEE"/>
    <w:rsid w:val="00195E49"/>
    <w:rsid w:val="00195EBB"/>
    <w:rsid w:val="00196B16"/>
    <w:rsid w:val="0019727D"/>
    <w:rsid w:val="00197C28"/>
    <w:rsid w:val="001A0129"/>
    <w:rsid w:val="001A0143"/>
    <w:rsid w:val="001A01BB"/>
    <w:rsid w:val="001A0C98"/>
    <w:rsid w:val="001A134A"/>
    <w:rsid w:val="001A2115"/>
    <w:rsid w:val="001A2341"/>
    <w:rsid w:val="001A23D9"/>
    <w:rsid w:val="001A247C"/>
    <w:rsid w:val="001A2857"/>
    <w:rsid w:val="001A31ED"/>
    <w:rsid w:val="001A3980"/>
    <w:rsid w:val="001A3BCE"/>
    <w:rsid w:val="001A3BE2"/>
    <w:rsid w:val="001A4139"/>
    <w:rsid w:val="001A44B3"/>
    <w:rsid w:val="001A4657"/>
    <w:rsid w:val="001A4878"/>
    <w:rsid w:val="001A523B"/>
    <w:rsid w:val="001A531E"/>
    <w:rsid w:val="001A5CBF"/>
    <w:rsid w:val="001A5FF4"/>
    <w:rsid w:val="001A627D"/>
    <w:rsid w:val="001A6A25"/>
    <w:rsid w:val="001A6CA7"/>
    <w:rsid w:val="001A73F1"/>
    <w:rsid w:val="001A741B"/>
    <w:rsid w:val="001A74C8"/>
    <w:rsid w:val="001A7742"/>
    <w:rsid w:val="001A7D28"/>
    <w:rsid w:val="001B023A"/>
    <w:rsid w:val="001B0254"/>
    <w:rsid w:val="001B05C4"/>
    <w:rsid w:val="001B102B"/>
    <w:rsid w:val="001B120B"/>
    <w:rsid w:val="001B12A6"/>
    <w:rsid w:val="001B140A"/>
    <w:rsid w:val="001B1531"/>
    <w:rsid w:val="001B1BF4"/>
    <w:rsid w:val="001B1D17"/>
    <w:rsid w:val="001B1F77"/>
    <w:rsid w:val="001B21AE"/>
    <w:rsid w:val="001B2660"/>
    <w:rsid w:val="001B26BD"/>
    <w:rsid w:val="001B2CB5"/>
    <w:rsid w:val="001B2E7B"/>
    <w:rsid w:val="001B37CD"/>
    <w:rsid w:val="001B38F2"/>
    <w:rsid w:val="001B3FB3"/>
    <w:rsid w:val="001B4170"/>
    <w:rsid w:val="001B4271"/>
    <w:rsid w:val="001B44EE"/>
    <w:rsid w:val="001B4EA5"/>
    <w:rsid w:val="001B50B8"/>
    <w:rsid w:val="001B51C6"/>
    <w:rsid w:val="001B52E7"/>
    <w:rsid w:val="001B5499"/>
    <w:rsid w:val="001B5725"/>
    <w:rsid w:val="001B5B10"/>
    <w:rsid w:val="001B6C12"/>
    <w:rsid w:val="001B6D4D"/>
    <w:rsid w:val="001B7088"/>
    <w:rsid w:val="001B7694"/>
    <w:rsid w:val="001B7B7C"/>
    <w:rsid w:val="001B7D0F"/>
    <w:rsid w:val="001B7F1A"/>
    <w:rsid w:val="001C0D64"/>
    <w:rsid w:val="001C1392"/>
    <w:rsid w:val="001C13DF"/>
    <w:rsid w:val="001C16C0"/>
    <w:rsid w:val="001C1E94"/>
    <w:rsid w:val="001C24B0"/>
    <w:rsid w:val="001C2BA5"/>
    <w:rsid w:val="001C2C2A"/>
    <w:rsid w:val="001C3443"/>
    <w:rsid w:val="001C347F"/>
    <w:rsid w:val="001C3480"/>
    <w:rsid w:val="001C39D0"/>
    <w:rsid w:val="001C3A05"/>
    <w:rsid w:val="001C3D04"/>
    <w:rsid w:val="001C3D30"/>
    <w:rsid w:val="001C4289"/>
    <w:rsid w:val="001C45EA"/>
    <w:rsid w:val="001C4AF9"/>
    <w:rsid w:val="001C4E14"/>
    <w:rsid w:val="001C5557"/>
    <w:rsid w:val="001C58BF"/>
    <w:rsid w:val="001C5CA8"/>
    <w:rsid w:val="001C6166"/>
    <w:rsid w:val="001C6416"/>
    <w:rsid w:val="001C66BC"/>
    <w:rsid w:val="001C6E5A"/>
    <w:rsid w:val="001C6F60"/>
    <w:rsid w:val="001C755D"/>
    <w:rsid w:val="001C7897"/>
    <w:rsid w:val="001C79CB"/>
    <w:rsid w:val="001C7AB7"/>
    <w:rsid w:val="001C7F2A"/>
    <w:rsid w:val="001D08F9"/>
    <w:rsid w:val="001D0E27"/>
    <w:rsid w:val="001D16A2"/>
    <w:rsid w:val="001D16D7"/>
    <w:rsid w:val="001D1F64"/>
    <w:rsid w:val="001D2293"/>
    <w:rsid w:val="001D2FE6"/>
    <w:rsid w:val="001D3409"/>
    <w:rsid w:val="001D396B"/>
    <w:rsid w:val="001D4848"/>
    <w:rsid w:val="001D4B9D"/>
    <w:rsid w:val="001D4D48"/>
    <w:rsid w:val="001D5403"/>
    <w:rsid w:val="001D5604"/>
    <w:rsid w:val="001D62EA"/>
    <w:rsid w:val="001D6599"/>
    <w:rsid w:val="001D67C3"/>
    <w:rsid w:val="001D6BE2"/>
    <w:rsid w:val="001D6D7C"/>
    <w:rsid w:val="001D7382"/>
    <w:rsid w:val="001D7C60"/>
    <w:rsid w:val="001E00BD"/>
    <w:rsid w:val="001E0189"/>
    <w:rsid w:val="001E01BA"/>
    <w:rsid w:val="001E0C80"/>
    <w:rsid w:val="001E0F5B"/>
    <w:rsid w:val="001E119C"/>
    <w:rsid w:val="001E2301"/>
    <w:rsid w:val="001E2E14"/>
    <w:rsid w:val="001E307C"/>
    <w:rsid w:val="001E332C"/>
    <w:rsid w:val="001E38BF"/>
    <w:rsid w:val="001E38FD"/>
    <w:rsid w:val="001E39E5"/>
    <w:rsid w:val="001E3A2B"/>
    <w:rsid w:val="001E3EF1"/>
    <w:rsid w:val="001E4506"/>
    <w:rsid w:val="001E538F"/>
    <w:rsid w:val="001E5979"/>
    <w:rsid w:val="001E5A75"/>
    <w:rsid w:val="001E6127"/>
    <w:rsid w:val="001E63FC"/>
    <w:rsid w:val="001E643F"/>
    <w:rsid w:val="001E6ACE"/>
    <w:rsid w:val="001E6B9D"/>
    <w:rsid w:val="001E7AE4"/>
    <w:rsid w:val="001E7EA7"/>
    <w:rsid w:val="001F0111"/>
    <w:rsid w:val="001F052B"/>
    <w:rsid w:val="001F0593"/>
    <w:rsid w:val="001F0B2D"/>
    <w:rsid w:val="001F0D60"/>
    <w:rsid w:val="001F16C7"/>
    <w:rsid w:val="001F1711"/>
    <w:rsid w:val="001F20EE"/>
    <w:rsid w:val="001F2100"/>
    <w:rsid w:val="001F2830"/>
    <w:rsid w:val="001F2920"/>
    <w:rsid w:val="001F2F4B"/>
    <w:rsid w:val="001F3988"/>
    <w:rsid w:val="001F3BBE"/>
    <w:rsid w:val="001F3D6A"/>
    <w:rsid w:val="001F4188"/>
    <w:rsid w:val="001F4225"/>
    <w:rsid w:val="001F446D"/>
    <w:rsid w:val="001F493C"/>
    <w:rsid w:val="001F5039"/>
    <w:rsid w:val="001F5AC3"/>
    <w:rsid w:val="001F5C31"/>
    <w:rsid w:val="001F6030"/>
    <w:rsid w:val="001F6487"/>
    <w:rsid w:val="001F71CC"/>
    <w:rsid w:val="001F73EA"/>
    <w:rsid w:val="001F7476"/>
    <w:rsid w:val="002004D6"/>
    <w:rsid w:val="00200797"/>
    <w:rsid w:val="00200AA7"/>
    <w:rsid w:val="00200D6E"/>
    <w:rsid w:val="00200E8E"/>
    <w:rsid w:val="0020137C"/>
    <w:rsid w:val="00201704"/>
    <w:rsid w:val="00201936"/>
    <w:rsid w:val="00201F3E"/>
    <w:rsid w:val="00202198"/>
    <w:rsid w:val="0020221E"/>
    <w:rsid w:val="00202742"/>
    <w:rsid w:val="0020282E"/>
    <w:rsid w:val="002028F3"/>
    <w:rsid w:val="00202ACE"/>
    <w:rsid w:val="00204058"/>
    <w:rsid w:val="00204507"/>
    <w:rsid w:val="00204D6F"/>
    <w:rsid w:val="002054DD"/>
    <w:rsid w:val="002059A8"/>
    <w:rsid w:val="00205FB6"/>
    <w:rsid w:val="002065DF"/>
    <w:rsid w:val="00206687"/>
    <w:rsid w:val="00206D7E"/>
    <w:rsid w:val="002100F4"/>
    <w:rsid w:val="00210A6E"/>
    <w:rsid w:val="00210BF0"/>
    <w:rsid w:val="00210E43"/>
    <w:rsid w:val="002110F8"/>
    <w:rsid w:val="00211293"/>
    <w:rsid w:val="002117E7"/>
    <w:rsid w:val="00212585"/>
    <w:rsid w:val="00212817"/>
    <w:rsid w:val="00213102"/>
    <w:rsid w:val="00213800"/>
    <w:rsid w:val="0021389C"/>
    <w:rsid w:val="00213C4A"/>
    <w:rsid w:val="00213CB2"/>
    <w:rsid w:val="00213DC3"/>
    <w:rsid w:val="00213E0E"/>
    <w:rsid w:val="00214D55"/>
    <w:rsid w:val="00214FDA"/>
    <w:rsid w:val="002152D7"/>
    <w:rsid w:val="00215504"/>
    <w:rsid w:val="00215548"/>
    <w:rsid w:val="0021573E"/>
    <w:rsid w:val="00215F60"/>
    <w:rsid w:val="00216478"/>
    <w:rsid w:val="0021658B"/>
    <w:rsid w:val="002169DE"/>
    <w:rsid w:val="00216D45"/>
    <w:rsid w:val="00216D67"/>
    <w:rsid w:val="0021767A"/>
    <w:rsid w:val="00217697"/>
    <w:rsid w:val="00217BB3"/>
    <w:rsid w:val="00217CA0"/>
    <w:rsid w:val="002200A7"/>
    <w:rsid w:val="00220265"/>
    <w:rsid w:val="00220C99"/>
    <w:rsid w:val="00221103"/>
    <w:rsid w:val="002212F3"/>
    <w:rsid w:val="00221AC2"/>
    <w:rsid w:val="00221B71"/>
    <w:rsid w:val="00221C2F"/>
    <w:rsid w:val="00222313"/>
    <w:rsid w:val="00222433"/>
    <w:rsid w:val="00222596"/>
    <w:rsid w:val="002229FF"/>
    <w:rsid w:val="00222AC6"/>
    <w:rsid w:val="00222BFC"/>
    <w:rsid w:val="00222C60"/>
    <w:rsid w:val="00222CD3"/>
    <w:rsid w:val="0022315F"/>
    <w:rsid w:val="002236E0"/>
    <w:rsid w:val="002236E8"/>
    <w:rsid w:val="002237DA"/>
    <w:rsid w:val="00224016"/>
    <w:rsid w:val="00224828"/>
    <w:rsid w:val="002249DB"/>
    <w:rsid w:val="00224E35"/>
    <w:rsid w:val="00224FE5"/>
    <w:rsid w:val="002253C0"/>
    <w:rsid w:val="0022597E"/>
    <w:rsid w:val="00225D42"/>
    <w:rsid w:val="00225F06"/>
    <w:rsid w:val="0022648C"/>
    <w:rsid w:val="002265B5"/>
    <w:rsid w:val="00227017"/>
    <w:rsid w:val="0022724E"/>
    <w:rsid w:val="0022725C"/>
    <w:rsid w:val="00227367"/>
    <w:rsid w:val="002277A0"/>
    <w:rsid w:val="00227983"/>
    <w:rsid w:val="002300C6"/>
    <w:rsid w:val="002301C6"/>
    <w:rsid w:val="002303B3"/>
    <w:rsid w:val="00230539"/>
    <w:rsid w:val="002305D2"/>
    <w:rsid w:val="00231D17"/>
    <w:rsid w:val="00231EA7"/>
    <w:rsid w:val="00232217"/>
    <w:rsid w:val="00232702"/>
    <w:rsid w:val="0023276A"/>
    <w:rsid w:val="002327CE"/>
    <w:rsid w:val="00232B5F"/>
    <w:rsid w:val="00232C9F"/>
    <w:rsid w:val="0023338D"/>
    <w:rsid w:val="00233408"/>
    <w:rsid w:val="00233577"/>
    <w:rsid w:val="00234181"/>
    <w:rsid w:val="0023488F"/>
    <w:rsid w:val="00234C9A"/>
    <w:rsid w:val="00234E7D"/>
    <w:rsid w:val="0023531F"/>
    <w:rsid w:val="0023571F"/>
    <w:rsid w:val="002357EA"/>
    <w:rsid w:val="00235897"/>
    <w:rsid w:val="002367E6"/>
    <w:rsid w:val="00236E33"/>
    <w:rsid w:val="0023700C"/>
    <w:rsid w:val="00237276"/>
    <w:rsid w:val="0023738B"/>
    <w:rsid w:val="00237517"/>
    <w:rsid w:val="0023754D"/>
    <w:rsid w:val="0023769E"/>
    <w:rsid w:val="002376B2"/>
    <w:rsid w:val="00237AA3"/>
    <w:rsid w:val="00237C62"/>
    <w:rsid w:val="002409C1"/>
    <w:rsid w:val="00241190"/>
    <w:rsid w:val="00241358"/>
    <w:rsid w:val="002416A9"/>
    <w:rsid w:val="00241845"/>
    <w:rsid w:val="00241D5D"/>
    <w:rsid w:val="00242134"/>
    <w:rsid w:val="002423CA"/>
    <w:rsid w:val="00242DCC"/>
    <w:rsid w:val="002431DE"/>
    <w:rsid w:val="00243398"/>
    <w:rsid w:val="0024353A"/>
    <w:rsid w:val="00243C61"/>
    <w:rsid w:val="002446F1"/>
    <w:rsid w:val="00244957"/>
    <w:rsid w:val="002450B6"/>
    <w:rsid w:val="002451F8"/>
    <w:rsid w:val="00245325"/>
    <w:rsid w:val="00245C0D"/>
    <w:rsid w:val="00245E37"/>
    <w:rsid w:val="0024629E"/>
    <w:rsid w:val="002462A3"/>
    <w:rsid w:val="002468EC"/>
    <w:rsid w:val="00246BCA"/>
    <w:rsid w:val="00246EA2"/>
    <w:rsid w:val="00246EFA"/>
    <w:rsid w:val="00246FD6"/>
    <w:rsid w:val="002476D8"/>
    <w:rsid w:val="00247AAC"/>
    <w:rsid w:val="00247B36"/>
    <w:rsid w:val="00250176"/>
    <w:rsid w:val="0025032B"/>
    <w:rsid w:val="002506A3"/>
    <w:rsid w:val="00250BAF"/>
    <w:rsid w:val="00250DF2"/>
    <w:rsid w:val="00251C24"/>
    <w:rsid w:val="00251CF4"/>
    <w:rsid w:val="00251F24"/>
    <w:rsid w:val="0025267A"/>
    <w:rsid w:val="00252684"/>
    <w:rsid w:val="0025290C"/>
    <w:rsid w:val="00252A9F"/>
    <w:rsid w:val="00252D90"/>
    <w:rsid w:val="00253022"/>
    <w:rsid w:val="00253568"/>
    <w:rsid w:val="0025363F"/>
    <w:rsid w:val="00253675"/>
    <w:rsid w:val="00253896"/>
    <w:rsid w:val="002540B2"/>
    <w:rsid w:val="002542E2"/>
    <w:rsid w:val="002542F2"/>
    <w:rsid w:val="002547C1"/>
    <w:rsid w:val="00254DF6"/>
    <w:rsid w:val="00255838"/>
    <w:rsid w:val="00255A1F"/>
    <w:rsid w:val="00255BA9"/>
    <w:rsid w:val="0025607F"/>
    <w:rsid w:val="00256212"/>
    <w:rsid w:val="002562F9"/>
    <w:rsid w:val="00256F89"/>
    <w:rsid w:val="00257473"/>
    <w:rsid w:val="00257F35"/>
    <w:rsid w:val="00257FBC"/>
    <w:rsid w:val="0025F08F"/>
    <w:rsid w:val="00260A5B"/>
    <w:rsid w:val="00260A8F"/>
    <w:rsid w:val="00260AA2"/>
    <w:rsid w:val="002610A8"/>
    <w:rsid w:val="00261201"/>
    <w:rsid w:val="00261229"/>
    <w:rsid w:val="002612D5"/>
    <w:rsid w:val="0026145C"/>
    <w:rsid w:val="002618F4"/>
    <w:rsid w:val="00261AD1"/>
    <w:rsid w:val="00261B63"/>
    <w:rsid w:val="00261FA0"/>
    <w:rsid w:val="002625C0"/>
    <w:rsid w:val="00262B48"/>
    <w:rsid w:val="00262C1B"/>
    <w:rsid w:val="002630FB"/>
    <w:rsid w:val="0026352F"/>
    <w:rsid w:val="00263709"/>
    <w:rsid w:val="00263A73"/>
    <w:rsid w:val="00263AD0"/>
    <w:rsid w:val="002647D2"/>
    <w:rsid w:val="0026485D"/>
    <w:rsid w:val="002648B0"/>
    <w:rsid w:val="00264C8C"/>
    <w:rsid w:val="00264E1F"/>
    <w:rsid w:val="002650A8"/>
    <w:rsid w:val="0026520D"/>
    <w:rsid w:val="0026568B"/>
    <w:rsid w:val="002664C7"/>
    <w:rsid w:val="00266901"/>
    <w:rsid w:val="002675E9"/>
    <w:rsid w:val="002678CE"/>
    <w:rsid w:val="00267A21"/>
    <w:rsid w:val="0027034D"/>
    <w:rsid w:val="002703D2"/>
    <w:rsid w:val="002705E0"/>
    <w:rsid w:val="0027180E"/>
    <w:rsid w:val="00271917"/>
    <w:rsid w:val="00271C8B"/>
    <w:rsid w:val="00272050"/>
    <w:rsid w:val="0027278D"/>
    <w:rsid w:val="00272F65"/>
    <w:rsid w:val="00273432"/>
    <w:rsid w:val="002735FE"/>
    <w:rsid w:val="00273C4E"/>
    <w:rsid w:val="0027426D"/>
    <w:rsid w:val="00275420"/>
    <w:rsid w:val="002754C0"/>
    <w:rsid w:val="00275B99"/>
    <w:rsid w:val="00276720"/>
    <w:rsid w:val="00276B41"/>
    <w:rsid w:val="00276CA2"/>
    <w:rsid w:val="00276CFC"/>
    <w:rsid w:val="00277037"/>
    <w:rsid w:val="00277058"/>
    <w:rsid w:val="00277398"/>
    <w:rsid w:val="00277E76"/>
    <w:rsid w:val="0028058F"/>
    <w:rsid w:val="002805FD"/>
    <w:rsid w:val="002806C8"/>
    <w:rsid w:val="0028072E"/>
    <w:rsid w:val="002808D3"/>
    <w:rsid w:val="00280B99"/>
    <w:rsid w:val="0028380D"/>
    <w:rsid w:val="00283B5F"/>
    <w:rsid w:val="00283C5E"/>
    <w:rsid w:val="00284A6D"/>
    <w:rsid w:val="00284BE8"/>
    <w:rsid w:val="00284D7C"/>
    <w:rsid w:val="00285866"/>
    <w:rsid w:val="00285ACE"/>
    <w:rsid w:val="00285E2F"/>
    <w:rsid w:val="0028628A"/>
    <w:rsid w:val="002867FC"/>
    <w:rsid w:val="00286E2E"/>
    <w:rsid w:val="0028704E"/>
    <w:rsid w:val="0028748B"/>
    <w:rsid w:val="002874D5"/>
    <w:rsid w:val="002901F9"/>
    <w:rsid w:val="002908D1"/>
    <w:rsid w:val="00290BFA"/>
    <w:rsid w:val="00290CAD"/>
    <w:rsid w:val="00290EFB"/>
    <w:rsid w:val="00290FCC"/>
    <w:rsid w:val="002910E4"/>
    <w:rsid w:val="002917CA"/>
    <w:rsid w:val="00291B04"/>
    <w:rsid w:val="002920FF"/>
    <w:rsid w:val="00292409"/>
    <w:rsid w:val="00292A20"/>
    <w:rsid w:val="00293629"/>
    <w:rsid w:val="00293AA7"/>
    <w:rsid w:val="00294855"/>
    <w:rsid w:val="0029520F"/>
    <w:rsid w:val="00295225"/>
    <w:rsid w:val="0029529A"/>
    <w:rsid w:val="0029630E"/>
    <w:rsid w:val="00296436"/>
    <w:rsid w:val="0029672F"/>
    <w:rsid w:val="002967B4"/>
    <w:rsid w:val="00297074"/>
    <w:rsid w:val="0029726D"/>
    <w:rsid w:val="0029726F"/>
    <w:rsid w:val="00297D40"/>
    <w:rsid w:val="002A04D3"/>
    <w:rsid w:val="002A07FE"/>
    <w:rsid w:val="002A09D5"/>
    <w:rsid w:val="002A1594"/>
    <w:rsid w:val="002A1B49"/>
    <w:rsid w:val="002A1CBF"/>
    <w:rsid w:val="002A270D"/>
    <w:rsid w:val="002A2727"/>
    <w:rsid w:val="002A3365"/>
    <w:rsid w:val="002A4991"/>
    <w:rsid w:val="002A4B85"/>
    <w:rsid w:val="002A4F4B"/>
    <w:rsid w:val="002A5969"/>
    <w:rsid w:val="002A5BC5"/>
    <w:rsid w:val="002A6505"/>
    <w:rsid w:val="002A6913"/>
    <w:rsid w:val="002A6A09"/>
    <w:rsid w:val="002A789A"/>
    <w:rsid w:val="002A7C84"/>
    <w:rsid w:val="002B004B"/>
    <w:rsid w:val="002B0564"/>
    <w:rsid w:val="002B1090"/>
    <w:rsid w:val="002B15B5"/>
    <w:rsid w:val="002B1600"/>
    <w:rsid w:val="002B162E"/>
    <w:rsid w:val="002B1A07"/>
    <w:rsid w:val="002B248A"/>
    <w:rsid w:val="002B28D6"/>
    <w:rsid w:val="002B2A14"/>
    <w:rsid w:val="002B2BA3"/>
    <w:rsid w:val="002B2E36"/>
    <w:rsid w:val="002B31BE"/>
    <w:rsid w:val="002B3E36"/>
    <w:rsid w:val="002B49AA"/>
    <w:rsid w:val="002B5403"/>
    <w:rsid w:val="002B5492"/>
    <w:rsid w:val="002B55AA"/>
    <w:rsid w:val="002B59CE"/>
    <w:rsid w:val="002B5B50"/>
    <w:rsid w:val="002B5CD1"/>
    <w:rsid w:val="002B5DC6"/>
    <w:rsid w:val="002B5F2D"/>
    <w:rsid w:val="002B66BD"/>
    <w:rsid w:val="002B74B8"/>
    <w:rsid w:val="002C0206"/>
    <w:rsid w:val="002C03D1"/>
    <w:rsid w:val="002C053E"/>
    <w:rsid w:val="002C06FD"/>
    <w:rsid w:val="002C1068"/>
    <w:rsid w:val="002C1251"/>
    <w:rsid w:val="002C1781"/>
    <w:rsid w:val="002C1C33"/>
    <w:rsid w:val="002C1FEC"/>
    <w:rsid w:val="002C2E10"/>
    <w:rsid w:val="002C3030"/>
    <w:rsid w:val="002C33F4"/>
    <w:rsid w:val="002C37D9"/>
    <w:rsid w:val="002C37DC"/>
    <w:rsid w:val="002C3986"/>
    <w:rsid w:val="002C3C97"/>
    <w:rsid w:val="002C41E3"/>
    <w:rsid w:val="002C41F1"/>
    <w:rsid w:val="002C4D74"/>
    <w:rsid w:val="002C5369"/>
    <w:rsid w:val="002C5525"/>
    <w:rsid w:val="002C5671"/>
    <w:rsid w:val="002C5755"/>
    <w:rsid w:val="002C6263"/>
    <w:rsid w:val="002C66A4"/>
    <w:rsid w:val="002C674A"/>
    <w:rsid w:val="002C7419"/>
    <w:rsid w:val="002C783E"/>
    <w:rsid w:val="002C96AB"/>
    <w:rsid w:val="002D0DE1"/>
    <w:rsid w:val="002D1AB0"/>
    <w:rsid w:val="002D2A24"/>
    <w:rsid w:val="002D2C75"/>
    <w:rsid w:val="002D2E42"/>
    <w:rsid w:val="002D30D8"/>
    <w:rsid w:val="002D315F"/>
    <w:rsid w:val="002D31AA"/>
    <w:rsid w:val="002D31E5"/>
    <w:rsid w:val="002D36DF"/>
    <w:rsid w:val="002D3982"/>
    <w:rsid w:val="002D3A1B"/>
    <w:rsid w:val="002D3DAF"/>
    <w:rsid w:val="002D4561"/>
    <w:rsid w:val="002D469C"/>
    <w:rsid w:val="002D46C0"/>
    <w:rsid w:val="002D4A72"/>
    <w:rsid w:val="002D4E10"/>
    <w:rsid w:val="002D4F6A"/>
    <w:rsid w:val="002D6147"/>
    <w:rsid w:val="002D6B9E"/>
    <w:rsid w:val="002D7156"/>
    <w:rsid w:val="002D7779"/>
    <w:rsid w:val="002D7CBD"/>
    <w:rsid w:val="002E03F5"/>
    <w:rsid w:val="002E053A"/>
    <w:rsid w:val="002E0AFE"/>
    <w:rsid w:val="002E0CF1"/>
    <w:rsid w:val="002E0DDB"/>
    <w:rsid w:val="002E0E83"/>
    <w:rsid w:val="002E10A2"/>
    <w:rsid w:val="002E136A"/>
    <w:rsid w:val="002E17A9"/>
    <w:rsid w:val="002E1B35"/>
    <w:rsid w:val="002E1F45"/>
    <w:rsid w:val="002E202B"/>
    <w:rsid w:val="002E2061"/>
    <w:rsid w:val="002E2164"/>
    <w:rsid w:val="002E2229"/>
    <w:rsid w:val="002E2434"/>
    <w:rsid w:val="002E246B"/>
    <w:rsid w:val="002E28EA"/>
    <w:rsid w:val="002E3720"/>
    <w:rsid w:val="002E38D2"/>
    <w:rsid w:val="002E40F2"/>
    <w:rsid w:val="002E4367"/>
    <w:rsid w:val="002E4729"/>
    <w:rsid w:val="002E4828"/>
    <w:rsid w:val="002E4EB7"/>
    <w:rsid w:val="002E5295"/>
    <w:rsid w:val="002E587F"/>
    <w:rsid w:val="002E5D77"/>
    <w:rsid w:val="002E609B"/>
    <w:rsid w:val="002E61DB"/>
    <w:rsid w:val="002E6340"/>
    <w:rsid w:val="002E6401"/>
    <w:rsid w:val="002E6DD4"/>
    <w:rsid w:val="002E7204"/>
    <w:rsid w:val="002F01CC"/>
    <w:rsid w:val="002F07EA"/>
    <w:rsid w:val="002F0937"/>
    <w:rsid w:val="002F098B"/>
    <w:rsid w:val="002F0B4B"/>
    <w:rsid w:val="002F0FB3"/>
    <w:rsid w:val="002F1163"/>
    <w:rsid w:val="002F170E"/>
    <w:rsid w:val="002F1920"/>
    <w:rsid w:val="002F19BB"/>
    <w:rsid w:val="002F1E8D"/>
    <w:rsid w:val="002F24CE"/>
    <w:rsid w:val="002F2663"/>
    <w:rsid w:val="002F293A"/>
    <w:rsid w:val="002F39A7"/>
    <w:rsid w:val="002F3C9D"/>
    <w:rsid w:val="002F4A67"/>
    <w:rsid w:val="002F4A87"/>
    <w:rsid w:val="002F4BB4"/>
    <w:rsid w:val="002F5571"/>
    <w:rsid w:val="002F6237"/>
    <w:rsid w:val="002F65D8"/>
    <w:rsid w:val="002F78EA"/>
    <w:rsid w:val="002F7BFD"/>
    <w:rsid w:val="002F7E28"/>
    <w:rsid w:val="00300224"/>
    <w:rsid w:val="003006B0"/>
    <w:rsid w:val="003012AB"/>
    <w:rsid w:val="0030167E"/>
    <w:rsid w:val="00301777"/>
    <w:rsid w:val="00302425"/>
    <w:rsid w:val="00302C3F"/>
    <w:rsid w:val="003036CA"/>
    <w:rsid w:val="00303FCE"/>
    <w:rsid w:val="00304CA5"/>
    <w:rsid w:val="0030510F"/>
    <w:rsid w:val="0030572F"/>
    <w:rsid w:val="00305CBA"/>
    <w:rsid w:val="00306163"/>
    <w:rsid w:val="00306AD1"/>
    <w:rsid w:val="00306C00"/>
    <w:rsid w:val="00306F71"/>
    <w:rsid w:val="00306F8E"/>
    <w:rsid w:val="00307063"/>
    <w:rsid w:val="003073B2"/>
    <w:rsid w:val="0030795C"/>
    <w:rsid w:val="00307CC4"/>
    <w:rsid w:val="00307D5E"/>
    <w:rsid w:val="003105C6"/>
    <w:rsid w:val="00310DAB"/>
    <w:rsid w:val="00310F05"/>
    <w:rsid w:val="00310F96"/>
    <w:rsid w:val="00311119"/>
    <w:rsid w:val="00311498"/>
    <w:rsid w:val="00311B2D"/>
    <w:rsid w:val="00311B69"/>
    <w:rsid w:val="00312202"/>
    <w:rsid w:val="00312304"/>
    <w:rsid w:val="003124F8"/>
    <w:rsid w:val="00312BA3"/>
    <w:rsid w:val="003132E6"/>
    <w:rsid w:val="003137B9"/>
    <w:rsid w:val="003138BF"/>
    <w:rsid w:val="003138E2"/>
    <w:rsid w:val="00313C7F"/>
    <w:rsid w:val="00313D20"/>
    <w:rsid w:val="00313FC3"/>
    <w:rsid w:val="0031405B"/>
    <w:rsid w:val="003140E0"/>
    <w:rsid w:val="003141F6"/>
    <w:rsid w:val="003143F7"/>
    <w:rsid w:val="003149E9"/>
    <w:rsid w:val="00314F08"/>
    <w:rsid w:val="00315102"/>
    <w:rsid w:val="003156F7"/>
    <w:rsid w:val="00315954"/>
    <w:rsid w:val="003159DC"/>
    <w:rsid w:val="0031725E"/>
    <w:rsid w:val="003202D1"/>
    <w:rsid w:val="00320BB4"/>
    <w:rsid w:val="0032167F"/>
    <w:rsid w:val="0032170D"/>
    <w:rsid w:val="003217A9"/>
    <w:rsid w:val="003218D7"/>
    <w:rsid w:val="00321A3B"/>
    <w:rsid w:val="00321D54"/>
    <w:rsid w:val="003220BD"/>
    <w:rsid w:val="0032212C"/>
    <w:rsid w:val="003223B8"/>
    <w:rsid w:val="00324AA7"/>
    <w:rsid w:val="00324D7F"/>
    <w:rsid w:val="003250F5"/>
    <w:rsid w:val="00325654"/>
    <w:rsid w:val="003259DA"/>
    <w:rsid w:val="00325F47"/>
    <w:rsid w:val="00326075"/>
    <w:rsid w:val="0032635E"/>
    <w:rsid w:val="00327392"/>
    <w:rsid w:val="00327BFD"/>
    <w:rsid w:val="00327CD6"/>
    <w:rsid w:val="00327F55"/>
    <w:rsid w:val="003300FF"/>
    <w:rsid w:val="00330199"/>
    <w:rsid w:val="00330327"/>
    <w:rsid w:val="00330A6B"/>
    <w:rsid w:val="00331C37"/>
    <w:rsid w:val="00331C54"/>
    <w:rsid w:val="00331FE6"/>
    <w:rsid w:val="00332BAD"/>
    <w:rsid w:val="00332C70"/>
    <w:rsid w:val="00332E7A"/>
    <w:rsid w:val="00333A44"/>
    <w:rsid w:val="00333C8A"/>
    <w:rsid w:val="00334093"/>
    <w:rsid w:val="00334118"/>
    <w:rsid w:val="00334E5F"/>
    <w:rsid w:val="0033503C"/>
    <w:rsid w:val="00335D76"/>
    <w:rsid w:val="0033679B"/>
    <w:rsid w:val="003368EB"/>
    <w:rsid w:val="00336D36"/>
    <w:rsid w:val="0033732D"/>
    <w:rsid w:val="003374C1"/>
    <w:rsid w:val="00337849"/>
    <w:rsid w:val="00337BEA"/>
    <w:rsid w:val="00340094"/>
    <w:rsid w:val="003400BB"/>
    <w:rsid w:val="00340130"/>
    <w:rsid w:val="0034021C"/>
    <w:rsid w:val="003403E1"/>
    <w:rsid w:val="00341731"/>
    <w:rsid w:val="00342B6A"/>
    <w:rsid w:val="00342C4B"/>
    <w:rsid w:val="00342F1D"/>
    <w:rsid w:val="00343091"/>
    <w:rsid w:val="003434F2"/>
    <w:rsid w:val="003438E8"/>
    <w:rsid w:val="00343A9C"/>
    <w:rsid w:val="00343C28"/>
    <w:rsid w:val="00343F0D"/>
    <w:rsid w:val="00343FC4"/>
    <w:rsid w:val="00344294"/>
    <w:rsid w:val="00345121"/>
    <w:rsid w:val="003452B1"/>
    <w:rsid w:val="003459F8"/>
    <w:rsid w:val="00345A82"/>
    <w:rsid w:val="00345E53"/>
    <w:rsid w:val="00346736"/>
    <w:rsid w:val="00346A34"/>
    <w:rsid w:val="00346C65"/>
    <w:rsid w:val="0034786E"/>
    <w:rsid w:val="003478F3"/>
    <w:rsid w:val="00347A8B"/>
    <w:rsid w:val="00347FF9"/>
    <w:rsid w:val="00350DDB"/>
    <w:rsid w:val="00351133"/>
    <w:rsid w:val="003520A1"/>
    <w:rsid w:val="00352A45"/>
    <w:rsid w:val="00352C6E"/>
    <w:rsid w:val="00352FB3"/>
    <w:rsid w:val="00353246"/>
    <w:rsid w:val="00353D40"/>
    <w:rsid w:val="00354479"/>
    <w:rsid w:val="00355430"/>
    <w:rsid w:val="003556A3"/>
    <w:rsid w:val="003558BE"/>
    <w:rsid w:val="00355903"/>
    <w:rsid w:val="00355982"/>
    <w:rsid w:val="00356773"/>
    <w:rsid w:val="00356E89"/>
    <w:rsid w:val="00357117"/>
    <w:rsid w:val="00357CD1"/>
    <w:rsid w:val="00357F63"/>
    <w:rsid w:val="00357F8E"/>
    <w:rsid w:val="00360F19"/>
    <w:rsid w:val="0036112F"/>
    <w:rsid w:val="003616A1"/>
    <w:rsid w:val="0036172B"/>
    <w:rsid w:val="00361D60"/>
    <w:rsid w:val="00362127"/>
    <w:rsid w:val="00362574"/>
    <w:rsid w:val="0036264E"/>
    <w:rsid w:val="003626F5"/>
    <w:rsid w:val="00363336"/>
    <w:rsid w:val="00363969"/>
    <w:rsid w:val="00363B53"/>
    <w:rsid w:val="0036415F"/>
    <w:rsid w:val="00364443"/>
    <w:rsid w:val="00364B0B"/>
    <w:rsid w:val="00364C5C"/>
    <w:rsid w:val="00364EBB"/>
    <w:rsid w:val="003658B7"/>
    <w:rsid w:val="003659BF"/>
    <w:rsid w:val="003666D2"/>
    <w:rsid w:val="00366794"/>
    <w:rsid w:val="00366E0D"/>
    <w:rsid w:val="003673A9"/>
    <w:rsid w:val="003703D0"/>
    <w:rsid w:val="003704F7"/>
    <w:rsid w:val="0037056C"/>
    <w:rsid w:val="00370576"/>
    <w:rsid w:val="00370D79"/>
    <w:rsid w:val="00371525"/>
    <w:rsid w:val="00371593"/>
    <w:rsid w:val="00371653"/>
    <w:rsid w:val="00372FB1"/>
    <w:rsid w:val="00373028"/>
    <w:rsid w:val="00373AEA"/>
    <w:rsid w:val="00373E3E"/>
    <w:rsid w:val="00373FD7"/>
    <w:rsid w:val="00374407"/>
    <w:rsid w:val="003745EA"/>
    <w:rsid w:val="00374946"/>
    <w:rsid w:val="003753F9"/>
    <w:rsid w:val="003755F5"/>
    <w:rsid w:val="00375C47"/>
    <w:rsid w:val="00377CDE"/>
    <w:rsid w:val="003805B9"/>
    <w:rsid w:val="00380A28"/>
    <w:rsid w:val="00380D47"/>
    <w:rsid w:val="00380E3B"/>
    <w:rsid w:val="003812AC"/>
    <w:rsid w:val="003813DF"/>
    <w:rsid w:val="0038147E"/>
    <w:rsid w:val="00381CC3"/>
    <w:rsid w:val="00381F95"/>
    <w:rsid w:val="0038229D"/>
    <w:rsid w:val="00382364"/>
    <w:rsid w:val="003826D9"/>
    <w:rsid w:val="00382961"/>
    <w:rsid w:val="00383190"/>
    <w:rsid w:val="003837E0"/>
    <w:rsid w:val="00383BF5"/>
    <w:rsid w:val="00383D4B"/>
    <w:rsid w:val="00383FF2"/>
    <w:rsid w:val="00385352"/>
    <w:rsid w:val="003853EB"/>
    <w:rsid w:val="00385759"/>
    <w:rsid w:val="003859F0"/>
    <w:rsid w:val="00386492"/>
    <w:rsid w:val="003867D7"/>
    <w:rsid w:val="00386910"/>
    <w:rsid w:val="00387414"/>
    <w:rsid w:val="00387647"/>
    <w:rsid w:val="00387B23"/>
    <w:rsid w:val="00387E40"/>
    <w:rsid w:val="00390552"/>
    <w:rsid w:val="003907F9"/>
    <w:rsid w:val="003908C5"/>
    <w:rsid w:val="00390DDA"/>
    <w:rsid w:val="0039144F"/>
    <w:rsid w:val="0039169F"/>
    <w:rsid w:val="00391C82"/>
    <w:rsid w:val="00391EE6"/>
    <w:rsid w:val="003925A5"/>
    <w:rsid w:val="003927BE"/>
    <w:rsid w:val="00392C11"/>
    <w:rsid w:val="00392EB8"/>
    <w:rsid w:val="00392FFD"/>
    <w:rsid w:val="003930DF"/>
    <w:rsid w:val="0039346B"/>
    <w:rsid w:val="00393539"/>
    <w:rsid w:val="003936AB"/>
    <w:rsid w:val="00393795"/>
    <w:rsid w:val="00394410"/>
    <w:rsid w:val="00394FF1"/>
    <w:rsid w:val="0039511B"/>
    <w:rsid w:val="003953C8"/>
    <w:rsid w:val="003953E6"/>
    <w:rsid w:val="003953F1"/>
    <w:rsid w:val="00395F5A"/>
    <w:rsid w:val="003962D7"/>
    <w:rsid w:val="003967F5"/>
    <w:rsid w:val="00397094"/>
    <w:rsid w:val="00397314"/>
    <w:rsid w:val="00397A77"/>
    <w:rsid w:val="003A0318"/>
    <w:rsid w:val="003A06D4"/>
    <w:rsid w:val="003A0835"/>
    <w:rsid w:val="003A0C05"/>
    <w:rsid w:val="003A1178"/>
    <w:rsid w:val="003A1469"/>
    <w:rsid w:val="003A1B96"/>
    <w:rsid w:val="003A1FDA"/>
    <w:rsid w:val="003A200A"/>
    <w:rsid w:val="003A246C"/>
    <w:rsid w:val="003A2798"/>
    <w:rsid w:val="003A2D2C"/>
    <w:rsid w:val="003A3138"/>
    <w:rsid w:val="003A3877"/>
    <w:rsid w:val="003A449C"/>
    <w:rsid w:val="003A497B"/>
    <w:rsid w:val="003A4C8B"/>
    <w:rsid w:val="003A519F"/>
    <w:rsid w:val="003A5743"/>
    <w:rsid w:val="003A5D8C"/>
    <w:rsid w:val="003A6791"/>
    <w:rsid w:val="003A69BE"/>
    <w:rsid w:val="003A6DC7"/>
    <w:rsid w:val="003A7174"/>
    <w:rsid w:val="003A7214"/>
    <w:rsid w:val="003A7464"/>
    <w:rsid w:val="003A7887"/>
    <w:rsid w:val="003A7D42"/>
    <w:rsid w:val="003B00CD"/>
    <w:rsid w:val="003B00F4"/>
    <w:rsid w:val="003B06B9"/>
    <w:rsid w:val="003B0722"/>
    <w:rsid w:val="003B0886"/>
    <w:rsid w:val="003B176A"/>
    <w:rsid w:val="003B20D7"/>
    <w:rsid w:val="003B253B"/>
    <w:rsid w:val="003B2558"/>
    <w:rsid w:val="003B25F0"/>
    <w:rsid w:val="003B2712"/>
    <w:rsid w:val="003B2C15"/>
    <w:rsid w:val="003B2CA8"/>
    <w:rsid w:val="003B2E93"/>
    <w:rsid w:val="003B3112"/>
    <w:rsid w:val="003B3533"/>
    <w:rsid w:val="003B3552"/>
    <w:rsid w:val="003B3DBB"/>
    <w:rsid w:val="003B488D"/>
    <w:rsid w:val="003B6C57"/>
    <w:rsid w:val="003B6D71"/>
    <w:rsid w:val="003B7060"/>
    <w:rsid w:val="003B70EE"/>
    <w:rsid w:val="003B7776"/>
    <w:rsid w:val="003B7BFF"/>
    <w:rsid w:val="003C050A"/>
    <w:rsid w:val="003C0FB5"/>
    <w:rsid w:val="003C1804"/>
    <w:rsid w:val="003C1853"/>
    <w:rsid w:val="003C1BB1"/>
    <w:rsid w:val="003C1F77"/>
    <w:rsid w:val="003C20AF"/>
    <w:rsid w:val="003C2409"/>
    <w:rsid w:val="003C2566"/>
    <w:rsid w:val="003C2C8A"/>
    <w:rsid w:val="003C3168"/>
    <w:rsid w:val="003C38F0"/>
    <w:rsid w:val="003C3AAB"/>
    <w:rsid w:val="003C3ADB"/>
    <w:rsid w:val="003C3B79"/>
    <w:rsid w:val="003C3EE5"/>
    <w:rsid w:val="003C3FD5"/>
    <w:rsid w:val="003C41B3"/>
    <w:rsid w:val="003C4307"/>
    <w:rsid w:val="003C4422"/>
    <w:rsid w:val="003C575D"/>
    <w:rsid w:val="003C583D"/>
    <w:rsid w:val="003C5B8C"/>
    <w:rsid w:val="003C60B9"/>
    <w:rsid w:val="003C61F4"/>
    <w:rsid w:val="003C6B2B"/>
    <w:rsid w:val="003C7853"/>
    <w:rsid w:val="003C786B"/>
    <w:rsid w:val="003C7D80"/>
    <w:rsid w:val="003D09CF"/>
    <w:rsid w:val="003D10E9"/>
    <w:rsid w:val="003D1657"/>
    <w:rsid w:val="003D17D0"/>
    <w:rsid w:val="003D1863"/>
    <w:rsid w:val="003D199D"/>
    <w:rsid w:val="003D1D1F"/>
    <w:rsid w:val="003D25AF"/>
    <w:rsid w:val="003D2AA3"/>
    <w:rsid w:val="003D2B11"/>
    <w:rsid w:val="003D2B70"/>
    <w:rsid w:val="003D3CED"/>
    <w:rsid w:val="003D431C"/>
    <w:rsid w:val="003D485B"/>
    <w:rsid w:val="003D4D5D"/>
    <w:rsid w:val="003D56DE"/>
    <w:rsid w:val="003D5E1F"/>
    <w:rsid w:val="003D63B8"/>
    <w:rsid w:val="003D655D"/>
    <w:rsid w:val="003D69CB"/>
    <w:rsid w:val="003D6ABD"/>
    <w:rsid w:val="003D6D45"/>
    <w:rsid w:val="003D6D88"/>
    <w:rsid w:val="003D725D"/>
    <w:rsid w:val="003D7822"/>
    <w:rsid w:val="003D78E0"/>
    <w:rsid w:val="003D7A1E"/>
    <w:rsid w:val="003D7C99"/>
    <w:rsid w:val="003D7F50"/>
    <w:rsid w:val="003E098F"/>
    <w:rsid w:val="003E20C3"/>
    <w:rsid w:val="003E2598"/>
    <w:rsid w:val="003E272D"/>
    <w:rsid w:val="003E2A6B"/>
    <w:rsid w:val="003E2CFB"/>
    <w:rsid w:val="003E2D91"/>
    <w:rsid w:val="003E3102"/>
    <w:rsid w:val="003E3220"/>
    <w:rsid w:val="003E3766"/>
    <w:rsid w:val="003E391A"/>
    <w:rsid w:val="003E47E0"/>
    <w:rsid w:val="003E4982"/>
    <w:rsid w:val="003E49D1"/>
    <w:rsid w:val="003E4C18"/>
    <w:rsid w:val="003E4C79"/>
    <w:rsid w:val="003E4EF2"/>
    <w:rsid w:val="003E5145"/>
    <w:rsid w:val="003E52DA"/>
    <w:rsid w:val="003E575E"/>
    <w:rsid w:val="003E5814"/>
    <w:rsid w:val="003E6D0B"/>
    <w:rsid w:val="003E6D10"/>
    <w:rsid w:val="003E7051"/>
    <w:rsid w:val="003E7AEC"/>
    <w:rsid w:val="003F02D2"/>
    <w:rsid w:val="003F036D"/>
    <w:rsid w:val="003F048B"/>
    <w:rsid w:val="003F05A0"/>
    <w:rsid w:val="003F1103"/>
    <w:rsid w:val="003F1439"/>
    <w:rsid w:val="003F15BB"/>
    <w:rsid w:val="003F16A4"/>
    <w:rsid w:val="003F17BB"/>
    <w:rsid w:val="003F1BF2"/>
    <w:rsid w:val="003F20EC"/>
    <w:rsid w:val="003F23A1"/>
    <w:rsid w:val="003F3523"/>
    <w:rsid w:val="003F35E2"/>
    <w:rsid w:val="003F3D6D"/>
    <w:rsid w:val="003F460E"/>
    <w:rsid w:val="003F5197"/>
    <w:rsid w:val="003F5FB4"/>
    <w:rsid w:val="003F610C"/>
    <w:rsid w:val="003F635B"/>
    <w:rsid w:val="003F6A7C"/>
    <w:rsid w:val="003F7C95"/>
    <w:rsid w:val="003F7FA8"/>
    <w:rsid w:val="0040079F"/>
    <w:rsid w:val="00400DB5"/>
    <w:rsid w:val="00400EAB"/>
    <w:rsid w:val="00401111"/>
    <w:rsid w:val="00401378"/>
    <w:rsid w:val="0040156B"/>
    <w:rsid w:val="00401772"/>
    <w:rsid w:val="0040271E"/>
    <w:rsid w:val="004041EF"/>
    <w:rsid w:val="00404232"/>
    <w:rsid w:val="004049B3"/>
    <w:rsid w:val="0040521E"/>
    <w:rsid w:val="00405A04"/>
    <w:rsid w:val="00405C0A"/>
    <w:rsid w:val="00406023"/>
    <w:rsid w:val="004068B7"/>
    <w:rsid w:val="00407110"/>
    <w:rsid w:val="00407936"/>
    <w:rsid w:val="00407D18"/>
    <w:rsid w:val="0041005E"/>
    <w:rsid w:val="00410166"/>
    <w:rsid w:val="0041056A"/>
    <w:rsid w:val="004105F7"/>
    <w:rsid w:val="00410796"/>
    <w:rsid w:val="00410B23"/>
    <w:rsid w:val="00411130"/>
    <w:rsid w:val="00411C7E"/>
    <w:rsid w:val="004120DF"/>
    <w:rsid w:val="00412186"/>
    <w:rsid w:val="0041268F"/>
    <w:rsid w:val="004129D0"/>
    <w:rsid w:val="00412D44"/>
    <w:rsid w:val="004133D9"/>
    <w:rsid w:val="00413C08"/>
    <w:rsid w:val="00413D64"/>
    <w:rsid w:val="00415291"/>
    <w:rsid w:val="004158C5"/>
    <w:rsid w:val="00415A1B"/>
    <w:rsid w:val="00415B69"/>
    <w:rsid w:val="00415CDC"/>
    <w:rsid w:val="004162FF"/>
    <w:rsid w:val="0041685B"/>
    <w:rsid w:val="00416D84"/>
    <w:rsid w:val="004173B8"/>
    <w:rsid w:val="00417984"/>
    <w:rsid w:val="0042083B"/>
    <w:rsid w:val="00420863"/>
    <w:rsid w:val="00420ECE"/>
    <w:rsid w:val="00421566"/>
    <w:rsid w:val="004216B5"/>
    <w:rsid w:val="00422449"/>
    <w:rsid w:val="00422858"/>
    <w:rsid w:val="004228F8"/>
    <w:rsid w:val="0042298A"/>
    <w:rsid w:val="00422E48"/>
    <w:rsid w:val="00423007"/>
    <w:rsid w:val="00423307"/>
    <w:rsid w:val="004233B3"/>
    <w:rsid w:val="00423556"/>
    <w:rsid w:val="00423994"/>
    <w:rsid w:val="00423F7E"/>
    <w:rsid w:val="0042505E"/>
    <w:rsid w:val="004250B8"/>
    <w:rsid w:val="004254D2"/>
    <w:rsid w:val="0042556C"/>
    <w:rsid w:val="004255D6"/>
    <w:rsid w:val="0042594B"/>
    <w:rsid w:val="00425F4C"/>
    <w:rsid w:val="00426554"/>
    <w:rsid w:val="0042766A"/>
    <w:rsid w:val="00427829"/>
    <w:rsid w:val="0043000A"/>
    <w:rsid w:val="0043001B"/>
    <w:rsid w:val="004304C0"/>
    <w:rsid w:val="004305E3"/>
    <w:rsid w:val="0043093C"/>
    <w:rsid w:val="00430DF0"/>
    <w:rsid w:val="00430EB8"/>
    <w:rsid w:val="00430F6F"/>
    <w:rsid w:val="004310AA"/>
    <w:rsid w:val="0043144C"/>
    <w:rsid w:val="0043168D"/>
    <w:rsid w:val="004317F7"/>
    <w:rsid w:val="004319EB"/>
    <w:rsid w:val="00431BBF"/>
    <w:rsid w:val="0043231D"/>
    <w:rsid w:val="00432A37"/>
    <w:rsid w:val="00432C7A"/>
    <w:rsid w:val="004350F2"/>
    <w:rsid w:val="004357B9"/>
    <w:rsid w:val="00436204"/>
    <w:rsid w:val="0043622D"/>
    <w:rsid w:val="0043627A"/>
    <w:rsid w:val="00436490"/>
    <w:rsid w:val="00436A46"/>
    <w:rsid w:val="00436BBC"/>
    <w:rsid w:val="004377DA"/>
    <w:rsid w:val="004377E2"/>
    <w:rsid w:val="004402E9"/>
    <w:rsid w:val="004404A0"/>
    <w:rsid w:val="004408E7"/>
    <w:rsid w:val="0044135F"/>
    <w:rsid w:val="00441843"/>
    <w:rsid w:val="00441B7D"/>
    <w:rsid w:val="0044279C"/>
    <w:rsid w:val="004427C3"/>
    <w:rsid w:val="00442A42"/>
    <w:rsid w:val="00442CA0"/>
    <w:rsid w:val="00443003"/>
    <w:rsid w:val="00443DD0"/>
    <w:rsid w:val="0044413A"/>
    <w:rsid w:val="0044539D"/>
    <w:rsid w:val="00445E06"/>
    <w:rsid w:val="0044639C"/>
    <w:rsid w:val="004466B6"/>
    <w:rsid w:val="00446875"/>
    <w:rsid w:val="0044768C"/>
    <w:rsid w:val="00447E17"/>
    <w:rsid w:val="00450266"/>
    <w:rsid w:val="0045099E"/>
    <w:rsid w:val="00450A2E"/>
    <w:rsid w:val="00451220"/>
    <w:rsid w:val="0045128A"/>
    <w:rsid w:val="0045134F"/>
    <w:rsid w:val="0045151A"/>
    <w:rsid w:val="00451B63"/>
    <w:rsid w:val="004528AB"/>
    <w:rsid w:val="00452EBC"/>
    <w:rsid w:val="00452FEF"/>
    <w:rsid w:val="00453156"/>
    <w:rsid w:val="004533F8"/>
    <w:rsid w:val="00453999"/>
    <w:rsid w:val="00454082"/>
    <w:rsid w:val="00454139"/>
    <w:rsid w:val="00454CFC"/>
    <w:rsid w:val="004551FB"/>
    <w:rsid w:val="0045523B"/>
    <w:rsid w:val="00455364"/>
    <w:rsid w:val="00455B49"/>
    <w:rsid w:val="004562C1"/>
    <w:rsid w:val="00456580"/>
    <w:rsid w:val="004567EB"/>
    <w:rsid w:val="0045709F"/>
    <w:rsid w:val="00457928"/>
    <w:rsid w:val="004600E4"/>
    <w:rsid w:val="00460291"/>
    <w:rsid w:val="004603C7"/>
    <w:rsid w:val="00460A9C"/>
    <w:rsid w:val="00461A5A"/>
    <w:rsid w:val="00462058"/>
    <w:rsid w:val="004624C1"/>
    <w:rsid w:val="004629A2"/>
    <w:rsid w:val="00462B1A"/>
    <w:rsid w:val="00462BAB"/>
    <w:rsid w:val="00462DD9"/>
    <w:rsid w:val="004633A7"/>
    <w:rsid w:val="00464292"/>
    <w:rsid w:val="004647DB"/>
    <w:rsid w:val="00464898"/>
    <w:rsid w:val="00464DCB"/>
    <w:rsid w:val="00464F34"/>
    <w:rsid w:val="00466559"/>
    <w:rsid w:val="00466708"/>
    <w:rsid w:val="004668D7"/>
    <w:rsid w:val="0046697C"/>
    <w:rsid w:val="00466D6B"/>
    <w:rsid w:val="00466F09"/>
    <w:rsid w:val="00467483"/>
    <w:rsid w:val="004676C5"/>
    <w:rsid w:val="0046788C"/>
    <w:rsid w:val="00467F08"/>
    <w:rsid w:val="00470F2E"/>
    <w:rsid w:val="00470FC7"/>
    <w:rsid w:val="00471A96"/>
    <w:rsid w:val="00471F0B"/>
    <w:rsid w:val="00472745"/>
    <w:rsid w:val="00472B5A"/>
    <w:rsid w:val="004736B2"/>
    <w:rsid w:val="00473D48"/>
    <w:rsid w:val="00473DE6"/>
    <w:rsid w:val="00474874"/>
    <w:rsid w:val="00474A85"/>
    <w:rsid w:val="00474C49"/>
    <w:rsid w:val="00474C68"/>
    <w:rsid w:val="0047503C"/>
    <w:rsid w:val="0047513B"/>
    <w:rsid w:val="0047563E"/>
    <w:rsid w:val="00475B6A"/>
    <w:rsid w:val="00475D9B"/>
    <w:rsid w:val="0047602E"/>
    <w:rsid w:val="00476209"/>
    <w:rsid w:val="00476566"/>
    <w:rsid w:val="004766D4"/>
    <w:rsid w:val="0047693D"/>
    <w:rsid w:val="00476AC3"/>
    <w:rsid w:val="00476DB8"/>
    <w:rsid w:val="00477000"/>
    <w:rsid w:val="004773AB"/>
    <w:rsid w:val="004773EE"/>
    <w:rsid w:val="00477C45"/>
    <w:rsid w:val="00477CB6"/>
    <w:rsid w:val="004801E8"/>
    <w:rsid w:val="004808AC"/>
    <w:rsid w:val="00480A69"/>
    <w:rsid w:val="00480D67"/>
    <w:rsid w:val="004810B5"/>
    <w:rsid w:val="0048116C"/>
    <w:rsid w:val="0048143B"/>
    <w:rsid w:val="0048198B"/>
    <w:rsid w:val="00482ADC"/>
    <w:rsid w:val="00482BE8"/>
    <w:rsid w:val="00482DB4"/>
    <w:rsid w:val="004831C4"/>
    <w:rsid w:val="00483E5A"/>
    <w:rsid w:val="00483FC9"/>
    <w:rsid w:val="00484070"/>
    <w:rsid w:val="004846FA"/>
    <w:rsid w:val="00484DDA"/>
    <w:rsid w:val="004852B9"/>
    <w:rsid w:val="00486778"/>
    <w:rsid w:val="00486CA1"/>
    <w:rsid w:val="00486DA5"/>
    <w:rsid w:val="00487197"/>
    <w:rsid w:val="00487597"/>
    <w:rsid w:val="00487771"/>
    <w:rsid w:val="004901BE"/>
    <w:rsid w:val="0049066C"/>
    <w:rsid w:val="00490A11"/>
    <w:rsid w:val="00490A70"/>
    <w:rsid w:val="00490BFC"/>
    <w:rsid w:val="00490F1C"/>
    <w:rsid w:val="00491113"/>
    <w:rsid w:val="004913CE"/>
    <w:rsid w:val="00491993"/>
    <w:rsid w:val="00491D20"/>
    <w:rsid w:val="00491F4D"/>
    <w:rsid w:val="004920F0"/>
    <w:rsid w:val="00492D77"/>
    <w:rsid w:val="00492E67"/>
    <w:rsid w:val="004933CE"/>
    <w:rsid w:val="004934E2"/>
    <w:rsid w:val="00493C79"/>
    <w:rsid w:val="00493D5E"/>
    <w:rsid w:val="00493D74"/>
    <w:rsid w:val="00493F68"/>
    <w:rsid w:val="00494B72"/>
    <w:rsid w:val="00494B90"/>
    <w:rsid w:val="004955F2"/>
    <w:rsid w:val="00495E4D"/>
    <w:rsid w:val="004967ED"/>
    <w:rsid w:val="00496C53"/>
    <w:rsid w:val="00496F5D"/>
    <w:rsid w:val="004970FA"/>
    <w:rsid w:val="00497871"/>
    <w:rsid w:val="00497D60"/>
    <w:rsid w:val="004A01B7"/>
    <w:rsid w:val="004A01BF"/>
    <w:rsid w:val="004A084A"/>
    <w:rsid w:val="004A0885"/>
    <w:rsid w:val="004A0D4A"/>
    <w:rsid w:val="004A1101"/>
    <w:rsid w:val="004A11BD"/>
    <w:rsid w:val="004A1949"/>
    <w:rsid w:val="004A1AAE"/>
    <w:rsid w:val="004A1D97"/>
    <w:rsid w:val="004A323E"/>
    <w:rsid w:val="004A3247"/>
    <w:rsid w:val="004A331D"/>
    <w:rsid w:val="004A3A58"/>
    <w:rsid w:val="004A3A8F"/>
    <w:rsid w:val="004A3B3D"/>
    <w:rsid w:val="004A3B5E"/>
    <w:rsid w:val="004A3DEE"/>
    <w:rsid w:val="004A40B8"/>
    <w:rsid w:val="004A426D"/>
    <w:rsid w:val="004A46C7"/>
    <w:rsid w:val="004A4826"/>
    <w:rsid w:val="004A4FAF"/>
    <w:rsid w:val="004A568C"/>
    <w:rsid w:val="004A5880"/>
    <w:rsid w:val="004A5A9B"/>
    <w:rsid w:val="004A608C"/>
    <w:rsid w:val="004A688F"/>
    <w:rsid w:val="004A6C52"/>
    <w:rsid w:val="004A705D"/>
    <w:rsid w:val="004A7294"/>
    <w:rsid w:val="004A75ED"/>
    <w:rsid w:val="004A7617"/>
    <w:rsid w:val="004A7B60"/>
    <w:rsid w:val="004B031B"/>
    <w:rsid w:val="004B135C"/>
    <w:rsid w:val="004B1747"/>
    <w:rsid w:val="004B1A38"/>
    <w:rsid w:val="004B2A17"/>
    <w:rsid w:val="004B2BE0"/>
    <w:rsid w:val="004B2C89"/>
    <w:rsid w:val="004B2E84"/>
    <w:rsid w:val="004B317D"/>
    <w:rsid w:val="004B38D3"/>
    <w:rsid w:val="004B38D7"/>
    <w:rsid w:val="004B3B58"/>
    <w:rsid w:val="004B4054"/>
    <w:rsid w:val="004B4181"/>
    <w:rsid w:val="004B4AC1"/>
    <w:rsid w:val="004B4DF9"/>
    <w:rsid w:val="004B5087"/>
    <w:rsid w:val="004B5478"/>
    <w:rsid w:val="004B572C"/>
    <w:rsid w:val="004B5870"/>
    <w:rsid w:val="004B6691"/>
    <w:rsid w:val="004B67ED"/>
    <w:rsid w:val="004B686C"/>
    <w:rsid w:val="004B691C"/>
    <w:rsid w:val="004B6F2B"/>
    <w:rsid w:val="004B76EE"/>
    <w:rsid w:val="004B79C8"/>
    <w:rsid w:val="004B7F4A"/>
    <w:rsid w:val="004C03BC"/>
    <w:rsid w:val="004C0508"/>
    <w:rsid w:val="004C058F"/>
    <w:rsid w:val="004C15A0"/>
    <w:rsid w:val="004C1ACF"/>
    <w:rsid w:val="004C1C0A"/>
    <w:rsid w:val="004C2281"/>
    <w:rsid w:val="004C22A2"/>
    <w:rsid w:val="004C296F"/>
    <w:rsid w:val="004C2AE3"/>
    <w:rsid w:val="004C2FE9"/>
    <w:rsid w:val="004C3111"/>
    <w:rsid w:val="004C31C2"/>
    <w:rsid w:val="004C4478"/>
    <w:rsid w:val="004C4A22"/>
    <w:rsid w:val="004C5F1C"/>
    <w:rsid w:val="004C66D4"/>
    <w:rsid w:val="004C67EF"/>
    <w:rsid w:val="004C6E6F"/>
    <w:rsid w:val="004C7007"/>
    <w:rsid w:val="004C74EC"/>
    <w:rsid w:val="004C7CBE"/>
    <w:rsid w:val="004D0582"/>
    <w:rsid w:val="004D0C15"/>
    <w:rsid w:val="004D1673"/>
    <w:rsid w:val="004D1693"/>
    <w:rsid w:val="004D2031"/>
    <w:rsid w:val="004D2753"/>
    <w:rsid w:val="004D2DDC"/>
    <w:rsid w:val="004D36B6"/>
    <w:rsid w:val="004D42F4"/>
    <w:rsid w:val="004D4419"/>
    <w:rsid w:val="004D44D7"/>
    <w:rsid w:val="004D45AA"/>
    <w:rsid w:val="004D5161"/>
    <w:rsid w:val="004D5673"/>
    <w:rsid w:val="004D5C29"/>
    <w:rsid w:val="004D5F72"/>
    <w:rsid w:val="004D65ED"/>
    <w:rsid w:val="004D6755"/>
    <w:rsid w:val="004D6AE5"/>
    <w:rsid w:val="004D6C74"/>
    <w:rsid w:val="004D6FCD"/>
    <w:rsid w:val="004D71F7"/>
    <w:rsid w:val="004D780C"/>
    <w:rsid w:val="004D7864"/>
    <w:rsid w:val="004D7B6B"/>
    <w:rsid w:val="004D7CCC"/>
    <w:rsid w:val="004E0244"/>
    <w:rsid w:val="004E04BF"/>
    <w:rsid w:val="004E081B"/>
    <w:rsid w:val="004E0A91"/>
    <w:rsid w:val="004E0CE9"/>
    <w:rsid w:val="004E19CD"/>
    <w:rsid w:val="004E2725"/>
    <w:rsid w:val="004E28B1"/>
    <w:rsid w:val="004E2BE7"/>
    <w:rsid w:val="004E40E0"/>
    <w:rsid w:val="004E4A6F"/>
    <w:rsid w:val="004E4ABD"/>
    <w:rsid w:val="004E5B02"/>
    <w:rsid w:val="004E5CF6"/>
    <w:rsid w:val="004E6D5F"/>
    <w:rsid w:val="004E6F46"/>
    <w:rsid w:val="004E74B5"/>
    <w:rsid w:val="004E7936"/>
    <w:rsid w:val="004E7DF2"/>
    <w:rsid w:val="004F0284"/>
    <w:rsid w:val="004F0D16"/>
    <w:rsid w:val="004F0D3D"/>
    <w:rsid w:val="004F1099"/>
    <w:rsid w:val="004F1362"/>
    <w:rsid w:val="004F2025"/>
    <w:rsid w:val="004F2A5C"/>
    <w:rsid w:val="004F2B30"/>
    <w:rsid w:val="004F3766"/>
    <w:rsid w:val="004F3C2F"/>
    <w:rsid w:val="004F458D"/>
    <w:rsid w:val="004F4775"/>
    <w:rsid w:val="004F47D0"/>
    <w:rsid w:val="004F4BB8"/>
    <w:rsid w:val="004F4ED3"/>
    <w:rsid w:val="004F50AF"/>
    <w:rsid w:val="004F519D"/>
    <w:rsid w:val="004F540B"/>
    <w:rsid w:val="004F5906"/>
    <w:rsid w:val="004F5C89"/>
    <w:rsid w:val="004F6194"/>
    <w:rsid w:val="004F6747"/>
    <w:rsid w:val="004F67A8"/>
    <w:rsid w:val="004F6B6B"/>
    <w:rsid w:val="004F776D"/>
    <w:rsid w:val="004F7BD3"/>
    <w:rsid w:val="00500028"/>
    <w:rsid w:val="005011AF"/>
    <w:rsid w:val="00501BC3"/>
    <w:rsid w:val="00501D0C"/>
    <w:rsid w:val="00501F7C"/>
    <w:rsid w:val="0050227C"/>
    <w:rsid w:val="00502363"/>
    <w:rsid w:val="00502461"/>
    <w:rsid w:val="005029F5"/>
    <w:rsid w:val="00502BC6"/>
    <w:rsid w:val="00502F70"/>
    <w:rsid w:val="00502FC6"/>
    <w:rsid w:val="0050394C"/>
    <w:rsid w:val="0050399F"/>
    <w:rsid w:val="00503F93"/>
    <w:rsid w:val="00504029"/>
    <w:rsid w:val="00504A16"/>
    <w:rsid w:val="005050CE"/>
    <w:rsid w:val="00505B5C"/>
    <w:rsid w:val="00505F3E"/>
    <w:rsid w:val="00506251"/>
    <w:rsid w:val="00506408"/>
    <w:rsid w:val="005067A1"/>
    <w:rsid w:val="005068BA"/>
    <w:rsid w:val="00506932"/>
    <w:rsid w:val="005073F7"/>
    <w:rsid w:val="0050813F"/>
    <w:rsid w:val="005100E7"/>
    <w:rsid w:val="00511476"/>
    <w:rsid w:val="00511B51"/>
    <w:rsid w:val="00511CBB"/>
    <w:rsid w:val="00512CC3"/>
    <w:rsid w:val="005130D9"/>
    <w:rsid w:val="005132CD"/>
    <w:rsid w:val="005135D6"/>
    <w:rsid w:val="00513645"/>
    <w:rsid w:val="00513822"/>
    <w:rsid w:val="00513A2B"/>
    <w:rsid w:val="00514158"/>
    <w:rsid w:val="005145A6"/>
    <w:rsid w:val="00514783"/>
    <w:rsid w:val="005149AA"/>
    <w:rsid w:val="00514B66"/>
    <w:rsid w:val="0051576B"/>
    <w:rsid w:val="00516E32"/>
    <w:rsid w:val="00517042"/>
    <w:rsid w:val="005170C5"/>
    <w:rsid w:val="0051734F"/>
    <w:rsid w:val="00517C44"/>
    <w:rsid w:val="0052019A"/>
    <w:rsid w:val="00520816"/>
    <w:rsid w:val="00520E61"/>
    <w:rsid w:val="00520FBB"/>
    <w:rsid w:val="00521D56"/>
    <w:rsid w:val="00521F26"/>
    <w:rsid w:val="005225D7"/>
    <w:rsid w:val="00522F33"/>
    <w:rsid w:val="0052367C"/>
    <w:rsid w:val="005238F8"/>
    <w:rsid w:val="00523DD6"/>
    <w:rsid w:val="0052443A"/>
    <w:rsid w:val="00524CE6"/>
    <w:rsid w:val="00525F0E"/>
    <w:rsid w:val="005279F7"/>
    <w:rsid w:val="00527E90"/>
    <w:rsid w:val="00527EF6"/>
    <w:rsid w:val="005306C4"/>
    <w:rsid w:val="0053078D"/>
    <w:rsid w:val="00530830"/>
    <w:rsid w:val="00530BA1"/>
    <w:rsid w:val="00530D4E"/>
    <w:rsid w:val="00530FC7"/>
    <w:rsid w:val="00531B36"/>
    <w:rsid w:val="00531D9F"/>
    <w:rsid w:val="00531FC9"/>
    <w:rsid w:val="00531FDD"/>
    <w:rsid w:val="00532026"/>
    <w:rsid w:val="0053327A"/>
    <w:rsid w:val="005333D5"/>
    <w:rsid w:val="00533D6A"/>
    <w:rsid w:val="00533D84"/>
    <w:rsid w:val="00533E53"/>
    <w:rsid w:val="005342A5"/>
    <w:rsid w:val="00534721"/>
    <w:rsid w:val="00534F88"/>
    <w:rsid w:val="00535130"/>
    <w:rsid w:val="00535350"/>
    <w:rsid w:val="00535515"/>
    <w:rsid w:val="005358F0"/>
    <w:rsid w:val="00535A98"/>
    <w:rsid w:val="00535FA2"/>
    <w:rsid w:val="005360A3"/>
    <w:rsid w:val="00536360"/>
    <w:rsid w:val="00536B6D"/>
    <w:rsid w:val="00536EFA"/>
    <w:rsid w:val="0053702D"/>
    <w:rsid w:val="005373DB"/>
    <w:rsid w:val="005404ED"/>
    <w:rsid w:val="005406AD"/>
    <w:rsid w:val="00541716"/>
    <w:rsid w:val="005418C9"/>
    <w:rsid w:val="00541E37"/>
    <w:rsid w:val="0054248F"/>
    <w:rsid w:val="005429A0"/>
    <w:rsid w:val="00542C33"/>
    <w:rsid w:val="00542DE2"/>
    <w:rsid w:val="00542E0D"/>
    <w:rsid w:val="00542EAE"/>
    <w:rsid w:val="00543438"/>
    <w:rsid w:val="00543964"/>
    <w:rsid w:val="00543AB9"/>
    <w:rsid w:val="00543DBD"/>
    <w:rsid w:val="0054446A"/>
    <w:rsid w:val="00544AC0"/>
    <w:rsid w:val="00544C58"/>
    <w:rsid w:val="00544DA4"/>
    <w:rsid w:val="00544E37"/>
    <w:rsid w:val="00545461"/>
    <w:rsid w:val="00546AE8"/>
    <w:rsid w:val="00547047"/>
    <w:rsid w:val="00547294"/>
    <w:rsid w:val="00547774"/>
    <w:rsid w:val="00547A1B"/>
    <w:rsid w:val="00547B50"/>
    <w:rsid w:val="00547C35"/>
    <w:rsid w:val="00547D9D"/>
    <w:rsid w:val="00550113"/>
    <w:rsid w:val="005506DD"/>
    <w:rsid w:val="00550DD0"/>
    <w:rsid w:val="00551014"/>
    <w:rsid w:val="005511AD"/>
    <w:rsid w:val="00551271"/>
    <w:rsid w:val="005516D2"/>
    <w:rsid w:val="005522A9"/>
    <w:rsid w:val="0055245C"/>
    <w:rsid w:val="005524DF"/>
    <w:rsid w:val="005528C1"/>
    <w:rsid w:val="00552A83"/>
    <w:rsid w:val="00552E3E"/>
    <w:rsid w:val="00553429"/>
    <w:rsid w:val="00553744"/>
    <w:rsid w:val="005538A7"/>
    <w:rsid w:val="00553A57"/>
    <w:rsid w:val="0055473C"/>
    <w:rsid w:val="00554886"/>
    <w:rsid w:val="00554A32"/>
    <w:rsid w:val="00554EFF"/>
    <w:rsid w:val="005551DD"/>
    <w:rsid w:val="005551F9"/>
    <w:rsid w:val="00555830"/>
    <w:rsid w:val="00555D94"/>
    <w:rsid w:val="005563DA"/>
    <w:rsid w:val="0055657F"/>
    <w:rsid w:val="00556822"/>
    <w:rsid w:val="00556CBD"/>
    <w:rsid w:val="00556E89"/>
    <w:rsid w:val="0055791B"/>
    <w:rsid w:val="00557CBB"/>
    <w:rsid w:val="00557CEB"/>
    <w:rsid w:val="00557D09"/>
    <w:rsid w:val="00557D2E"/>
    <w:rsid w:val="0056083C"/>
    <w:rsid w:val="005609D1"/>
    <w:rsid w:val="00560A14"/>
    <w:rsid w:val="00560A5C"/>
    <w:rsid w:val="00561375"/>
    <w:rsid w:val="005617F7"/>
    <w:rsid w:val="0056181B"/>
    <w:rsid w:val="00562181"/>
    <w:rsid w:val="0056290A"/>
    <w:rsid w:val="00562B8B"/>
    <w:rsid w:val="00563313"/>
    <w:rsid w:val="00563474"/>
    <w:rsid w:val="005634C3"/>
    <w:rsid w:val="005643EA"/>
    <w:rsid w:val="0056494B"/>
    <w:rsid w:val="00564A89"/>
    <w:rsid w:val="00565031"/>
    <w:rsid w:val="0056568B"/>
    <w:rsid w:val="00566615"/>
    <w:rsid w:val="005666F4"/>
    <w:rsid w:val="00566A45"/>
    <w:rsid w:val="0057104C"/>
    <w:rsid w:val="00571F4D"/>
    <w:rsid w:val="005723E9"/>
    <w:rsid w:val="005727AA"/>
    <w:rsid w:val="005727DB"/>
    <w:rsid w:val="00572C82"/>
    <w:rsid w:val="00572FA8"/>
    <w:rsid w:val="0057350E"/>
    <w:rsid w:val="0057364B"/>
    <w:rsid w:val="00573BD4"/>
    <w:rsid w:val="00573DB4"/>
    <w:rsid w:val="00574015"/>
    <w:rsid w:val="005740BA"/>
    <w:rsid w:val="00574473"/>
    <w:rsid w:val="005749A1"/>
    <w:rsid w:val="00574C08"/>
    <w:rsid w:val="005756F8"/>
    <w:rsid w:val="00575D38"/>
    <w:rsid w:val="00575F1F"/>
    <w:rsid w:val="005760D5"/>
    <w:rsid w:val="00576215"/>
    <w:rsid w:val="0057632A"/>
    <w:rsid w:val="005764D6"/>
    <w:rsid w:val="00576702"/>
    <w:rsid w:val="005769BF"/>
    <w:rsid w:val="00576C84"/>
    <w:rsid w:val="00576E55"/>
    <w:rsid w:val="00577327"/>
    <w:rsid w:val="0057753A"/>
    <w:rsid w:val="00577A1C"/>
    <w:rsid w:val="005808DE"/>
    <w:rsid w:val="00580E65"/>
    <w:rsid w:val="00581030"/>
    <w:rsid w:val="00581274"/>
    <w:rsid w:val="005815B0"/>
    <w:rsid w:val="005819C0"/>
    <w:rsid w:val="00581FA5"/>
    <w:rsid w:val="00582156"/>
    <w:rsid w:val="005822C8"/>
    <w:rsid w:val="00582496"/>
    <w:rsid w:val="00582923"/>
    <w:rsid w:val="00582A58"/>
    <w:rsid w:val="00582C15"/>
    <w:rsid w:val="00583884"/>
    <w:rsid w:val="005839C1"/>
    <w:rsid w:val="00583ECC"/>
    <w:rsid w:val="00583FE1"/>
    <w:rsid w:val="00584165"/>
    <w:rsid w:val="00584598"/>
    <w:rsid w:val="00584AD6"/>
    <w:rsid w:val="00584B3F"/>
    <w:rsid w:val="00584E37"/>
    <w:rsid w:val="00585466"/>
    <w:rsid w:val="00585AC7"/>
    <w:rsid w:val="00585C1D"/>
    <w:rsid w:val="0058617B"/>
    <w:rsid w:val="00586538"/>
    <w:rsid w:val="0059005C"/>
    <w:rsid w:val="00590386"/>
    <w:rsid w:val="00590A58"/>
    <w:rsid w:val="005911AC"/>
    <w:rsid w:val="0059137F"/>
    <w:rsid w:val="0059138D"/>
    <w:rsid w:val="00591990"/>
    <w:rsid w:val="005930CA"/>
    <w:rsid w:val="005931B3"/>
    <w:rsid w:val="005936C2"/>
    <w:rsid w:val="005937D1"/>
    <w:rsid w:val="0059388B"/>
    <w:rsid w:val="00593E1F"/>
    <w:rsid w:val="0059475A"/>
    <w:rsid w:val="00594A69"/>
    <w:rsid w:val="00595017"/>
    <w:rsid w:val="00595DEC"/>
    <w:rsid w:val="00595FB6"/>
    <w:rsid w:val="0059604A"/>
    <w:rsid w:val="0059657D"/>
    <w:rsid w:val="005965CE"/>
    <w:rsid w:val="00596B6C"/>
    <w:rsid w:val="0059713C"/>
    <w:rsid w:val="00597425"/>
    <w:rsid w:val="00597452"/>
    <w:rsid w:val="005975C3"/>
    <w:rsid w:val="00597BBC"/>
    <w:rsid w:val="00597E9E"/>
    <w:rsid w:val="005A020C"/>
    <w:rsid w:val="005A0453"/>
    <w:rsid w:val="005A137D"/>
    <w:rsid w:val="005A18FB"/>
    <w:rsid w:val="005A1E30"/>
    <w:rsid w:val="005A2055"/>
    <w:rsid w:val="005A2182"/>
    <w:rsid w:val="005A2363"/>
    <w:rsid w:val="005A2646"/>
    <w:rsid w:val="005A2AEA"/>
    <w:rsid w:val="005A2C21"/>
    <w:rsid w:val="005A2E33"/>
    <w:rsid w:val="005A326B"/>
    <w:rsid w:val="005A3A01"/>
    <w:rsid w:val="005A3BAA"/>
    <w:rsid w:val="005A3D5B"/>
    <w:rsid w:val="005A3DEA"/>
    <w:rsid w:val="005A43B1"/>
    <w:rsid w:val="005A4C77"/>
    <w:rsid w:val="005A4E71"/>
    <w:rsid w:val="005A510E"/>
    <w:rsid w:val="005A52E6"/>
    <w:rsid w:val="005A5863"/>
    <w:rsid w:val="005A5960"/>
    <w:rsid w:val="005A5BDA"/>
    <w:rsid w:val="005A5CCD"/>
    <w:rsid w:val="005A5E6F"/>
    <w:rsid w:val="005A6081"/>
    <w:rsid w:val="005A60A5"/>
    <w:rsid w:val="005A6139"/>
    <w:rsid w:val="005A6305"/>
    <w:rsid w:val="005A63A1"/>
    <w:rsid w:val="005A670F"/>
    <w:rsid w:val="005A68BC"/>
    <w:rsid w:val="005A6940"/>
    <w:rsid w:val="005A6F9B"/>
    <w:rsid w:val="005A70DD"/>
    <w:rsid w:val="005A760D"/>
    <w:rsid w:val="005A7952"/>
    <w:rsid w:val="005A7CA9"/>
    <w:rsid w:val="005B02DE"/>
    <w:rsid w:val="005B03FD"/>
    <w:rsid w:val="005B0463"/>
    <w:rsid w:val="005B04C9"/>
    <w:rsid w:val="005B089A"/>
    <w:rsid w:val="005B0C36"/>
    <w:rsid w:val="005B0C8D"/>
    <w:rsid w:val="005B0F09"/>
    <w:rsid w:val="005B10B8"/>
    <w:rsid w:val="005B13A0"/>
    <w:rsid w:val="005B17C9"/>
    <w:rsid w:val="005B1C67"/>
    <w:rsid w:val="005B24C3"/>
    <w:rsid w:val="005B321D"/>
    <w:rsid w:val="005B33EE"/>
    <w:rsid w:val="005B3AEF"/>
    <w:rsid w:val="005B3B7C"/>
    <w:rsid w:val="005B408D"/>
    <w:rsid w:val="005B508C"/>
    <w:rsid w:val="005B50C3"/>
    <w:rsid w:val="005B54BB"/>
    <w:rsid w:val="005B555E"/>
    <w:rsid w:val="005B5D85"/>
    <w:rsid w:val="005B64DF"/>
    <w:rsid w:val="005B6DAC"/>
    <w:rsid w:val="005B7BD6"/>
    <w:rsid w:val="005B7EFB"/>
    <w:rsid w:val="005C14B0"/>
    <w:rsid w:val="005C1BC9"/>
    <w:rsid w:val="005C287F"/>
    <w:rsid w:val="005C2A1D"/>
    <w:rsid w:val="005C2BC8"/>
    <w:rsid w:val="005C2DE8"/>
    <w:rsid w:val="005C4591"/>
    <w:rsid w:val="005C5136"/>
    <w:rsid w:val="005C517E"/>
    <w:rsid w:val="005C5773"/>
    <w:rsid w:val="005C58BD"/>
    <w:rsid w:val="005C68AD"/>
    <w:rsid w:val="005C6C7F"/>
    <w:rsid w:val="005C6CF7"/>
    <w:rsid w:val="005C6DEB"/>
    <w:rsid w:val="005C7590"/>
    <w:rsid w:val="005C7A91"/>
    <w:rsid w:val="005D07DF"/>
    <w:rsid w:val="005D09EB"/>
    <w:rsid w:val="005D1562"/>
    <w:rsid w:val="005D16FF"/>
    <w:rsid w:val="005D20C0"/>
    <w:rsid w:val="005D277B"/>
    <w:rsid w:val="005D2E06"/>
    <w:rsid w:val="005D2F62"/>
    <w:rsid w:val="005D3318"/>
    <w:rsid w:val="005D3493"/>
    <w:rsid w:val="005D35A0"/>
    <w:rsid w:val="005D3ACB"/>
    <w:rsid w:val="005D3DD9"/>
    <w:rsid w:val="005D3E00"/>
    <w:rsid w:val="005D40D9"/>
    <w:rsid w:val="005D476E"/>
    <w:rsid w:val="005D48F6"/>
    <w:rsid w:val="005D4E27"/>
    <w:rsid w:val="005D50AB"/>
    <w:rsid w:val="005D5228"/>
    <w:rsid w:val="005D5509"/>
    <w:rsid w:val="005D5914"/>
    <w:rsid w:val="005D5E4A"/>
    <w:rsid w:val="005D6337"/>
    <w:rsid w:val="005D6F8E"/>
    <w:rsid w:val="005E0301"/>
    <w:rsid w:val="005E03B8"/>
    <w:rsid w:val="005E079C"/>
    <w:rsid w:val="005E0917"/>
    <w:rsid w:val="005E0A37"/>
    <w:rsid w:val="005E1B10"/>
    <w:rsid w:val="005E23B0"/>
    <w:rsid w:val="005E295E"/>
    <w:rsid w:val="005E2D6F"/>
    <w:rsid w:val="005E3309"/>
    <w:rsid w:val="005E3471"/>
    <w:rsid w:val="005E38B5"/>
    <w:rsid w:val="005E39E6"/>
    <w:rsid w:val="005E3D60"/>
    <w:rsid w:val="005E4226"/>
    <w:rsid w:val="005E4BEC"/>
    <w:rsid w:val="005E4EB0"/>
    <w:rsid w:val="005E5070"/>
    <w:rsid w:val="005E51C6"/>
    <w:rsid w:val="005E6DE5"/>
    <w:rsid w:val="005E6E2E"/>
    <w:rsid w:val="005E72BA"/>
    <w:rsid w:val="005E7377"/>
    <w:rsid w:val="005E7DF2"/>
    <w:rsid w:val="005F0520"/>
    <w:rsid w:val="005F05ED"/>
    <w:rsid w:val="005F0821"/>
    <w:rsid w:val="005F088A"/>
    <w:rsid w:val="005F09FB"/>
    <w:rsid w:val="005F0A8B"/>
    <w:rsid w:val="005F0AEE"/>
    <w:rsid w:val="005F0DAE"/>
    <w:rsid w:val="005F1095"/>
    <w:rsid w:val="005F12F9"/>
    <w:rsid w:val="005F136C"/>
    <w:rsid w:val="005F1957"/>
    <w:rsid w:val="005F1990"/>
    <w:rsid w:val="005F1EB8"/>
    <w:rsid w:val="005F20CB"/>
    <w:rsid w:val="005F2B2B"/>
    <w:rsid w:val="005F3409"/>
    <w:rsid w:val="005F3828"/>
    <w:rsid w:val="005F3AC1"/>
    <w:rsid w:val="005F3BBE"/>
    <w:rsid w:val="005F42EF"/>
    <w:rsid w:val="005F4887"/>
    <w:rsid w:val="005F4F28"/>
    <w:rsid w:val="005F52EC"/>
    <w:rsid w:val="005F5B6B"/>
    <w:rsid w:val="005F5DF8"/>
    <w:rsid w:val="005F6354"/>
    <w:rsid w:val="005F6603"/>
    <w:rsid w:val="005F6854"/>
    <w:rsid w:val="005F6AA2"/>
    <w:rsid w:val="005F6F93"/>
    <w:rsid w:val="005F6FDF"/>
    <w:rsid w:val="005F70C4"/>
    <w:rsid w:val="0060010C"/>
    <w:rsid w:val="006002BE"/>
    <w:rsid w:val="0060043C"/>
    <w:rsid w:val="00600733"/>
    <w:rsid w:val="00600B75"/>
    <w:rsid w:val="00601450"/>
    <w:rsid w:val="006015FF"/>
    <w:rsid w:val="006016BB"/>
    <w:rsid w:val="0060179C"/>
    <w:rsid w:val="006022CB"/>
    <w:rsid w:val="00602329"/>
    <w:rsid w:val="00602FA5"/>
    <w:rsid w:val="00603276"/>
    <w:rsid w:val="00603DEF"/>
    <w:rsid w:val="006043A5"/>
    <w:rsid w:val="00604786"/>
    <w:rsid w:val="00604C8D"/>
    <w:rsid w:val="00604E5F"/>
    <w:rsid w:val="0060500C"/>
    <w:rsid w:val="0060502A"/>
    <w:rsid w:val="00605A9A"/>
    <w:rsid w:val="00605C13"/>
    <w:rsid w:val="00605F23"/>
    <w:rsid w:val="00606414"/>
    <w:rsid w:val="00606690"/>
    <w:rsid w:val="0060673F"/>
    <w:rsid w:val="00606885"/>
    <w:rsid w:val="00606E03"/>
    <w:rsid w:val="0060723F"/>
    <w:rsid w:val="006072F5"/>
    <w:rsid w:val="00607523"/>
    <w:rsid w:val="00607B3B"/>
    <w:rsid w:val="006102A9"/>
    <w:rsid w:val="00610349"/>
    <w:rsid w:val="00610500"/>
    <w:rsid w:val="006108B8"/>
    <w:rsid w:val="00610920"/>
    <w:rsid w:val="00610B56"/>
    <w:rsid w:val="00611073"/>
    <w:rsid w:val="00611885"/>
    <w:rsid w:val="00611C39"/>
    <w:rsid w:val="00611DFE"/>
    <w:rsid w:val="0061222C"/>
    <w:rsid w:val="0061248F"/>
    <w:rsid w:val="00612780"/>
    <w:rsid w:val="006128D7"/>
    <w:rsid w:val="006137FD"/>
    <w:rsid w:val="00614509"/>
    <w:rsid w:val="0061482E"/>
    <w:rsid w:val="00615178"/>
    <w:rsid w:val="0061536B"/>
    <w:rsid w:val="006154D7"/>
    <w:rsid w:val="0061552A"/>
    <w:rsid w:val="0061552D"/>
    <w:rsid w:val="0061562E"/>
    <w:rsid w:val="00615CD6"/>
    <w:rsid w:val="006160B1"/>
    <w:rsid w:val="00616264"/>
    <w:rsid w:val="00616690"/>
    <w:rsid w:val="00616E90"/>
    <w:rsid w:val="00617121"/>
    <w:rsid w:val="0061722C"/>
    <w:rsid w:val="00617AD4"/>
    <w:rsid w:val="00620325"/>
    <w:rsid w:val="00620AB3"/>
    <w:rsid w:val="006219AD"/>
    <w:rsid w:val="00622B37"/>
    <w:rsid w:val="00622DD8"/>
    <w:rsid w:val="00622DF8"/>
    <w:rsid w:val="006238FA"/>
    <w:rsid w:val="00623B51"/>
    <w:rsid w:val="00623BD2"/>
    <w:rsid w:val="00623EAD"/>
    <w:rsid w:val="00624305"/>
    <w:rsid w:val="00624624"/>
    <w:rsid w:val="0062558D"/>
    <w:rsid w:val="006259C7"/>
    <w:rsid w:val="0062658C"/>
    <w:rsid w:val="006269F7"/>
    <w:rsid w:val="00626A88"/>
    <w:rsid w:val="00627143"/>
    <w:rsid w:val="0062788E"/>
    <w:rsid w:val="00627B05"/>
    <w:rsid w:val="00627D7F"/>
    <w:rsid w:val="00630711"/>
    <w:rsid w:val="006317A9"/>
    <w:rsid w:val="006317CC"/>
    <w:rsid w:val="00631BF2"/>
    <w:rsid w:val="00631DA6"/>
    <w:rsid w:val="00632092"/>
    <w:rsid w:val="00632EDA"/>
    <w:rsid w:val="0063314E"/>
    <w:rsid w:val="0063337F"/>
    <w:rsid w:val="0063349C"/>
    <w:rsid w:val="00633D3C"/>
    <w:rsid w:val="00633DEB"/>
    <w:rsid w:val="0063421C"/>
    <w:rsid w:val="006343AC"/>
    <w:rsid w:val="0063493E"/>
    <w:rsid w:val="0063501E"/>
    <w:rsid w:val="006350F8"/>
    <w:rsid w:val="00635AED"/>
    <w:rsid w:val="00635D6C"/>
    <w:rsid w:val="006364E5"/>
    <w:rsid w:val="00640475"/>
    <w:rsid w:val="00640831"/>
    <w:rsid w:val="00640E17"/>
    <w:rsid w:val="00641571"/>
    <w:rsid w:val="00641E3B"/>
    <w:rsid w:val="0064247A"/>
    <w:rsid w:val="00643011"/>
    <w:rsid w:val="00643250"/>
    <w:rsid w:val="00643362"/>
    <w:rsid w:val="00643D03"/>
    <w:rsid w:val="00644400"/>
    <w:rsid w:val="00644563"/>
    <w:rsid w:val="00644831"/>
    <w:rsid w:val="0064497A"/>
    <w:rsid w:val="0064499D"/>
    <w:rsid w:val="00645015"/>
    <w:rsid w:val="00645070"/>
    <w:rsid w:val="006452A4"/>
    <w:rsid w:val="00645573"/>
    <w:rsid w:val="006455B0"/>
    <w:rsid w:val="00645ADD"/>
    <w:rsid w:val="00646287"/>
    <w:rsid w:val="006462E3"/>
    <w:rsid w:val="00646404"/>
    <w:rsid w:val="0064687B"/>
    <w:rsid w:val="00646C26"/>
    <w:rsid w:val="00646D1B"/>
    <w:rsid w:val="00647115"/>
    <w:rsid w:val="00647374"/>
    <w:rsid w:val="0064767A"/>
    <w:rsid w:val="006477B8"/>
    <w:rsid w:val="00647828"/>
    <w:rsid w:val="00647F9C"/>
    <w:rsid w:val="0065016E"/>
    <w:rsid w:val="00650B6C"/>
    <w:rsid w:val="00650D5A"/>
    <w:rsid w:val="00650DB8"/>
    <w:rsid w:val="00651910"/>
    <w:rsid w:val="00651C18"/>
    <w:rsid w:val="00651E27"/>
    <w:rsid w:val="00652460"/>
    <w:rsid w:val="006527CF"/>
    <w:rsid w:val="00652DF7"/>
    <w:rsid w:val="00652F11"/>
    <w:rsid w:val="00652FA2"/>
    <w:rsid w:val="00652FBC"/>
    <w:rsid w:val="0065352D"/>
    <w:rsid w:val="006545B9"/>
    <w:rsid w:val="00654769"/>
    <w:rsid w:val="00654A02"/>
    <w:rsid w:val="00654B28"/>
    <w:rsid w:val="006561F2"/>
    <w:rsid w:val="0065624C"/>
    <w:rsid w:val="00656780"/>
    <w:rsid w:val="00656BF0"/>
    <w:rsid w:val="00657BE8"/>
    <w:rsid w:val="0066029F"/>
    <w:rsid w:val="00660DBF"/>
    <w:rsid w:val="00660FF9"/>
    <w:rsid w:val="00661415"/>
    <w:rsid w:val="0066173C"/>
    <w:rsid w:val="0066186C"/>
    <w:rsid w:val="00662545"/>
    <w:rsid w:val="00664008"/>
    <w:rsid w:val="0066427B"/>
    <w:rsid w:val="00664361"/>
    <w:rsid w:val="006646B6"/>
    <w:rsid w:val="006647BE"/>
    <w:rsid w:val="00664874"/>
    <w:rsid w:val="006659D2"/>
    <w:rsid w:val="00665E12"/>
    <w:rsid w:val="006660B9"/>
    <w:rsid w:val="00666996"/>
    <w:rsid w:val="00670C25"/>
    <w:rsid w:val="006710A3"/>
    <w:rsid w:val="00671180"/>
    <w:rsid w:val="00672A65"/>
    <w:rsid w:val="00672CA4"/>
    <w:rsid w:val="00672D2A"/>
    <w:rsid w:val="00673B73"/>
    <w:rsid w:val="00673B96"/>
    <w:rsid w:val="006746DB"/>
    <w:rsid w:val="00674A3C"/>
    <w:rsid w:val="00674BF5"/>
    <w:rsid w:val="00674CCB"/>
    <w:rsid w:val="006750B8"/>
    <w:rsid w:val="006759D7"/>
    <w:rsid w:val="00676819"/>
    <w:rsid w:val="00676B42"/>
    <w:rsid w:val="00676B98"/>
    <w:rsid w:val="00676E10"/>
    <w:rsid w:val="00676EAF"/>
    <w:rsid w:val="006771CE"/>
    <w:rsid w:val="00677234"/>
    <w:rsid w:val="00677398"/>
    <w:rsid w:val="00677540"/>
    <w:rsid w:val="006778A2"/>
    <w:rsid w:val="00677A91"/>
    <w:rsid w:val="00677FBE"/>
    <w:rsid w:val="00680478"/>
    <w:rsid w:val="00681382"/>
    <w:rsid w:val="00681E12"/>
    <w:rsid w:val="00683093"/>
    <w:rsid w:val="00684138"/>
    <w:rsid w:val="00684CE6"/>
    <w:rsid w:val="00684E08"/>
    <w:rsid w:val="00684EA1"/>
    <w:rsid w:val="0068509B"/>
    <w:rsid w:val="00685182"/>
    <w:rsid w:val="006857B5"/>
    <w:rsid w:val="0068594D"/>
    <w:rsid w:val="00685C3A"/>
    <w:rsid w:val="006862BC"/>
    <w:rsid w:val="006865F1"/>
    <w:rsid w:val="00686932"/>
    <w:rsid w:val="0068695A"/>
    <w:rsid w:val="00686AE9"/>
    <w:rsid w:val="0068743C"/>
    <w:rsid w:val="00690D01"/>
    <w:rsid w:val="00691342"/>
    <w:rsid w:val="006916DC"/>
    <w:rsid w:val="006917A5"/>
    <w:rsid w:val="00691F49"/>
    <w:rsid w:val="00691F9C"/>
    <w:rsid w:val="00692342"/>
    <w:rsid w:val="006929CF"/>
    <w:rsid w:val="00692A55"/>
    <w:rsid w:val="00692B10"/>
    <w:rsid w:val="00693056"/>
    <w:rsid w:val="00693092"/>
    <w:rsid w:val="006936F5"/>
    <w:rsid w:val="00693B95"/>
    <w:rsid w:val="00693F4C"/>
    <w:rsid w:val="00694260"/>
    <w:rsid w:val="006942B1"/>
    <w:rsid w:val="00694507"/>
    <w:rsid w:val="006946D9"/>
    <w:rsid w:val="00694CA0"/>
    <w:rsid w:val="00694DE2"/>
    <w:rsid w:val="00694FC2"/>
    <w:rsid w:val="006952C4"/>
    <w:rsid w:val="0069572F"/>
    <w:rsid w:val="0069619C"/>
    <w:rsid w:val="0069667E"/>
    <w:rsid w:val="006966FF"/>
    <w:rsid w:val="00696ADE"/>
    <w:rsid w:val="00696CB4"/>
    <w:rsid w:val="00696D98"/>
    <w:rsid w:val="00696F12"/>
    <w:rsid w:val="006972E8"/>
    <w:rsid w:val="0069796A"/>
    <w:rsid w:val="006A01F5"/>
    <w:rsid w:val="006A0471"/>
    <w:rsid w:val="006A14F6"/>
    <w:rsid w:val="006A20A0"/>
    <w:rsid w:val="006A2291"/>
    <w:rsid w:val="006A2CF7"/>
    <w:rsid w:val="006A3201"/>
    <w:rsid w:val="006A3874"/>
    <w:rsid w:val="006A3A82"/>
    <w:rsid w:val="006A48FF"/>
    <w:rsid w:val="006A4B1B"/>
    <w:rsid w:val="006A4F15"/>
    <w:rsid w:val="006A5512"/>
    <w:rsid w:val="006A580B"/>
    <w:rsid w:val="006A5840"/>
    <w:rsid w:val="006A5AD2"/>
    <w:rsid w:val="006A5BDA"/>
    <w:rsid w:val="006A6049"/>
    <w:rsid w:val="006A6072"/>
    <w:rsid w:val="006A66C9"/>
    <w:rsid w:val="006A6822"/>
    <w:rsid w:val="006A6CCF"/>
    <w:rsid w:val="006A74E7"/>
    <w:rsid w:val="006A7AEE"/>
    <w:rsid w:val="006A7DF0"/>
    <w:rsid w:val="006B06DE"/>
    <w:rsid w:val="006B08A5"/>
    <w:rsid w:val="006B114E"/>
    <w:rsid w:val="006B126A"/>
    <w:rsid w:val="006B19A0"/>
    <w:rsid w:val="006B1A77"/>
    <w:rsid w:val="006B1D7B"/>
    <w:rsid w:val="006B2333"/>
    <w:rsid w:val="006B2945"/>
    <w:rsid w:val="006B2A31"/>
    <w:rsid w:val="006B2C5D"/>
    <w:rsid w:val="006B3029"/>
    <w:rsid w:val="006B36C2"/>
    <w:rsid w:val="006B3BAE"/>
    <w:rsid w:val="006B42A7"/>
    <w:rsid w:val="006B42BD"/>
    <w:rsid w:val="006B4773"/>
    <w:rsid w:val="006B4AC8"/>
    <w:rsid w:val="006B55D6"/>
    <w:rsid w:val="006B5A2B"/>
    <w:rsid w:val="006B5BA8"/>
    <w:rsid w:val="006B5FEC"/>
    <w:rsid w:val="006B6D0F"/>
    <w:rsid w:val="006B6D4F"/>
    <w:rsid w:val="006B6E6A"/>
    <w:rsid w:val="006B7228"/>
    <w:rsid w:val="006B72F3"/>
    <w:rsid w:val="006B77CA"/>
    <w:rsid w:val="006B796B"/>
    <w:rsid w:val="006B7AD9"/>
    <w:rsid w:val="006B7DD5"/>
    <w:rsid w:val="006B7FD0"/>
    <w:rsid w:val="006C0177"/>
    <w:rsid w:val="006C03E6"/>
    <w:rsid w:val="006C05D4"/>
    <w:rsid w:val="006C0691"/>
    <w:rsid w:val="006C0915"/>
    <w:rsid w:val="006C0EF3"/>
    <w:rsid w:val="006C10E4"/>
    <w:rsid w:val="006C11BB"/>
    <w:rsid w:val="006C163A"/>
    <w:rsid w:val="006C1FB5"/>
    <w:rsid w:val="006C21BA"/>
    <w:rsid w:val="006C2F61"/>
    <w:rsid w:val="006C35BA"/>
    <w:rsid w:val="006C3F62"/>
    <w:rsid w:val="006C3FA1"/>
    <w:rsid w:val="006C3FF9"/>
    <w:rsid w:val="006C4136"/>
    <w:rsid w:val="006C4174"/>
    <w:rsid w:val="006C45C6"/>
    <w:rsid w:val="006C4A8F"/>
    <w:rsid w:val="006C4D76"/>
    <w:rsid w:val="006C4FB6"/>
    <w:rsid w:val="006C52E6"/>
    <w:rsid w:val="006C65A8"/>
    <w:rsid w:val="006C66DB"/>
    <w:rsid w:val="006C6CA7"/>
    <w:rsid w:val="006C6D3F"/>
    <w:rsid w:val="006C6EE0"/>
    <w:rsid w:val="006C719F"/>
    <w:rsid w:val="006C7201"/>
    <w:rsid w:val="006C72AE"/>
    <w:rsid w:val="006C77F3"/>
    <w:rsid w:val="006D03F0"/>
    <w:rsid w:val="006D05DA"/>
    <w:rsid w:val="006D1EB6"/>
    <w:rsid w:val="006D2806"/>
    <w:rsid w:val="006D2D2D"/>
    <w:rsid w:val="006D35FC"/>
    <w:rsid w:val="006D36E6"/>
    <w:rsid w:val="006D3733"/>
    <w:rsid w:val="006D3B1A"/>
    <w:rsid w:val="006D3D8C"/>
    <w:rsid w:val="006D49F3"/>
    <w:rsid w:val="006D665A"/>
    <w:rsid w:val="006D69BF"/>
    <w:rsid w:val="006D6AE0"/>
    <w:rsid w:val="006D720D"/>
    <w:rsid w:val="006D730B"/>
    <w:rsid w:val="006D7512"/>
    <w:rsid w:val="006D7A5E"/>
    <w:rsid w:val="006D7AEC"/>
    <w:rsid w:val="006D7FBB"/>
    <w:rsid w:val="006D7FD3"/>
    <w:rsid w:val="006E01DA"/>
    <w:rsid w:val="006E0809"/>
    <w:rsid w:val="006E20E4"/>
    <w:rsid w:val="006E3440"/>
    <w:rsid w:val="006E345B"/>
    <w:rsid w:val="006E4174"/>
    <w:rsid w:val="006E43AB"/>
    <w:rsid w:val="006E465B"/>
    <w:rsid w:val="006E51FB"/>
    <w:rsid w:val="006E5297"/>
    <w:rsid w:val="006E52E7"/>
    <w:rsid w:val="006E5518"/>
    <w:rsid w:val="006E559D"/>
    <w:rsid w:val="006E5D07"/>
    <w:rsid w:val="006E5FCC"/>
    <w:rsid w:val="006E61E4"/>
    <w:rsid w:val="006E6778"/>
    <w:rsid w:val="006E6AEF"/>
    <w:rsid w:val="006E73A1"/>
    <w:rsid w:val="006E7B6B"/>
    <w:rsid w:val="006F0968"/>
    <w:rsid w:val="006F18EC"/>
    <w:rsid w:val="006F20A4"/>
    <w:rsid w:val="006F25BE"/>
    <w:rsid w:val="006F2637"/>
    <w:rsid w:val="006F2761"/>
    <w:rsid w:val="006F2799"/>
    <w:rsid w:val="006F2989"/>
    <w:rsid w:val="006F3251"/>
    <w:rsid w:val="006F3626"/>
    <w:rsid w:val="006F369C"/>
    <w:rsid w:val="006F39CE"/>
    <w:rsid w:val="006F4170"/>
    <w:rsid w:val="006F4B79"/>
    <w:rsid w:val="006F503D"/>
    <w:rsid w:val="006F53D7"/>
    <w:rsid w:val="006F6973"/>
    <w:rsid w:val="006F7212"/>
    <w:rsid w:val="0070008E"/>
    <w:rsid w:val="007000CF"/>
    <w:rsid w:val="00700DE8"/>
    <w:rsid w:val="00700DFD"/>
    <w:rsid w:val="00700FD8"/>
    <w:rsid w:val="007016AD"/>
    <w:rsid w:val="0070245C"/>
    <w:rsid w:val="007031E9"/>
    <w:rsid w:val="00703255"/>
    <w:rsid w:val="0070372D"/>
    <w:rsid w:val="00703C87"/>
    <w:rsid w:val="00704BFF"/>
    <w:rsid w:val="00705025"/>
    <w:rsid w:val="0070505F"/>
    <w:rsid w:val="00705EB9"/>
    <w:rsid w:val="00706212"/>
    <w:rsid w:val="007064A9"/>
    <w:rsid w:val="007064E0"/>
    <w:rsid w:val="007065FE"/>
    <w:rsid w:val="00706A32"/>
    <w:rsid w:val="00706A83"/>
    <w:rsid w:val="00706D25"/>
    <w:rsid w:val="00707045"/>
    <w:rsid w:val="007074CA"/>
    <w:rsid w:val="0070781A"/>
    <w:rsid w:val="00707CEB"/>
    <w:rsid w:val="007106FB"/>
    <w:rsid w:val="00710CEE"/>
    <w:rsid w:val="00710F31"/>
    <w:rsid w:val="007111B3"/>
    <w:rsid w:val="00711D19"/>
    <w:rsid w:val="00711EC8"/>
    <w:rsid w:val="00711F3A"/>
    <w:rsid w:val="007121C9"/>
    <w:rsid w:val="00712943"/>
    <w:rsid w:val="00712B6C"/>
    <w:rsid w:val="00712C8C"/>
    <w:rsid w:val="007130D0"/>
    <w:rsid w:val="0071377A"/>
    <w:rsid w:val="00713CA8"/>
    <w:rsid w:val="00713E91"/>
    <w:rsid w:val="0071427D"/>
    <w:rsid w:val="00714293"/>
    <w:rsid w:val="00714BAF"/>
    <w:rsid w:val="00716053"/>
    <w:rsid w:val="0071714D"/>
    <w:rsid w:val="007175AE"/>
    <w:rsid w:val="00717FF7"/>
    <w:rsid w:val="00720193"/>
    <w:rsid w:val="007201BC"/>
    <w:rsid w:val="00720A74"/>
    <w:rsid w:val="00720A9D"/>
    <w:rsid w:val="00720ADC"/>
    <w:rsid w:val="00720B36"/>
    <w:rsid w:val="00721A22"/>
    <w:rsid w:val="00721CEA"/>
    <w:rsid w:val="00721D96"/>
    <w:rsid w:val="00721EE0"/>
    <w:rsid w:val="0072265E"/>
    <w:rsid w:val="007229C5"/>
    <w:rsid w:val="00722A10"/>
    <w:rsid w:val="00722E66"/>
    <w:rsid w:val="00722EEC"/>
    <w:rsid w:val="007233B1"/>
    <w:rsid w:val="007237FD"/>
    <w:rsid w:val="00723A40"/>
    <w:rsid w:val="00723AD0"/>
    <w:rsid w:val="007241D3"/>
    <w:rsid w:val="007247ED"/>
    <w:rsid w:val="007248BD"/>
    <w:rsid w:val="00725062"/>
    <w:rsid w:val="00725558"/>
    <w:rsid w:val="00725ABB"/>
    <w:rsid w:val="007260DA"/>
    <w:rsid w:val="00726A9C"/>
    <w:rsid w:val="00727420"/>
    <w:rsid w:val="0072750B"/>
    <w:rsid w:val="00727756"/>
    <w:rsid w:val="0072778F"/>
    <w:rsid w:val="00730040"/>
    <w:rsid w:val="00730255"/>
    <w:rsid w:val="0073032D"/>
    <w:rsid w:val="007309C4"/>
    <w:rsid w:val="00730CC7"/>
    <w:rsid w:val="00731232"/>
    <w:rsid w:val="0073242B"/>
    <w:rsid w:val="0073247A"/>
    <w:rsid w:val="00732D6D"/>
    <w:rsid w:val="00732E24"/>
    <w:rsid w:val="0073317D"/>
    <w:rsid w:val="0073320D"/>
    <w:rsid w:val="00733A66"/>
    <w:rsid w:val="00733B77"/>
    <w:rsid w:val="007345BC"/>
    <w:rsid w:val="007345D3"/>
    <w:rsid w:val="0073473E"/>
    <w:rsid w:val="0073527C"/>
    <w:rsid w:val="0073581C"/>
    <w:rsid w:val="00736098"/>
    <w:rsid w:val="00736331"/>
    <w:rsid w:val="0073640A"/>
    <w:rsid w:val="00736446"/>
    <w:rsid w:val="007364B7"/>
    <w:rsid w:val="007365BA"/>
    <w:rsid w:val="00736664"/>
    <w:rsid w:val="00736AD5"/>
    <w:rsid w:val="00736B59"/>
    <w:rsid w:val="00736D27"/>
    <w:rsid w:val="00736E70"/>
    <w:rsid w:val="00736F34"/>
    <w:rsid w:val="00736F86"/>
    <w:rsid w:val="0074085C"/>
    <w:rsid w:val="007414CB"/>
    <w:rsid w:val="00741AF5"/>
    <w:rsid w:val="00741BA6"/>
    <w:rsid w:val="00741D72"/>
    <w:rsid w:val="00741F94"/>
    <w:rsid w:val="007420C6"/>
    <w:rsid w:val="00742305"/>
    <w:rsid w:val="00743048"/>
    <w:rsid w:val="007434D0"/>
    <w:rsid w:val="007436D0"/>
    <w:rsid w:val="00744035"/>
    <w:rsid w:val="007441D7"/>
    <w:rsid w:val="007443FF"/>
    <w:rsid w:val="007445C4"/>
    <w:rsid w:val="007446C9"/>
    <w:rsid w:val="00744926"/>
    <w:rsid w:val="00744C12"/>
    <w:rsid w:val="00744D53"/>
    <w:rsid w:val="00745142"/>
    <w:rsid w:val="00745369"/>
    <w:rsid w:val="00745425"/>
    <w:rsid w:val="00745572"/>
    <w:rsid w:val="00745B84"/>
    <w:rsid w:val="007463E2"/>
    <w:rsid w:val="007466A4"/>
    <w:rsid w:val="00746FE1"/>
    <w:rsid w:val="0074755E"/>
    <w:rsid w:val="0074774F"/>
    <w:rsid w:val="007477B6"/>
    <w:rsid w:val="00747F5A"/>
    <w:rsid w:val="00747FFA"/>
    <w:rsid w:val="007503D4"/>
    <w:rsid w:val="00750484"/>
    <w:rsid w:val="007504D9"/>
    <w:rsid w:val="007510AA"/>
    <w:rsid w:val="0075112B"/>
    <w:rsid w:val="007512B0"/>
    <w:rsid w:val="007513C2"/>
    <w:rsid w:val="007515E5"/>
    <w:rsid w:val="007515FF"/>
    <w:rsid w:val="00752A1A"/>
    <w:rsid w:val="00752B94"/>
    <w:rsid w:val="0075303E"/>
    <w:rsid w:val="00753099"/>
    <w:rsid w:val="00753251"/>
    <w:rsid w:val="00754015"/>
    <w:rsid w:val="007546CD"/>
    <w:rsid w:val="007549E0"/>
    <w:rsid w:val="00754BBD"/>
    <w:rsid w:val="00754F6F"/>
    <w:rsid w:val="0075517F"/>
    <w:rsid w:val="007552A5"/>
    <w:rsid w:val="00755FD9"/>
    <w:rsid w:val="00756060"/>
    <w:rsid w:val="00756982"/>
    <w:rsid w:val="00756E80"/>
    <w:rsid w:val="007574C3"/>
    <w:rsid w:val="007576C8"/>
    <w:rsid w:val="00757C76"/>
    <w:rsid w:val="007608E4"/>
    <w:rsid w:val="007610E0"/>
    <w:rsid w:val="007615A8"/>
    <w:rsid w:val="00761856"/>
    <w:rsid w:val="00761891"/>
    <w:rsid w:val="00761BB7"/>
    <w:rsid w:val="007623A0"/>
    <w:rsid w:val="00762441"/>
    <w:rsid w:val="0076257F"/>
    <w:rsid w:val="007625B2"/>
    <w:rsid w:val="007632B5"/>
    <w:rsid w:val="0076391F"/>
    <w:rsid w:val="0076398F"/>
    <w:rsid w:val="00763A4B"/>
    <w:rsid w:val="00763B4B"/>
    <w:rsid w:val="00764100"/>
    <w:rsid w:val="0076457A"/>
    <w:rsid w:val="00764B7A"/>
    <w:rsid w:val="00764BC5"/>
    <w:rsid w:val="00764E61"/>
    <w:rsid w:val="00765008"/>
    <w:rsid w:val="0076500E"/>
    <w:rsid w:val="0076530D"/>
    <w:rsid w:val="00765A4E"/>
    <w:rsid w:val="00766444"/>
    <w:rsid w:val="00766856"/>
    <w:rsid w:val="007668FF"/>
    <w:rsid w:val="00766BB5"/>
    <w:rsid w:val="007676ED"/>
    <w:rsid w:val="007679BF"/>
    <w:rsid w:val="00767DFE"/>
    <w:rsid w:val="007704F0"/>
    <w:rsid w:val="0077079E"/>
    <w:rsid w:val="00770830"/>
    <w:rsid w:val="00770D40"/>
    <w:rsid w:val="00770EAF"/>
    <w:rsid w:val="00770F0C"/>
    <w:rsid w:val="007711E7"/>
    <w:rsid w:val="007715D6"/>
    <w:rsid w:val="00771B83"/>
    <w:rsid w:val="00771E97"/>
    <w:rsid w:val="00772027"/>
    <w:rsid w:val="0077276E"/>
    <w:rsid w:val="007729B3"/>
    <w:rsid w:val="00772D0F"/>
    <w:rsid w:val="0077455F"/>
    <w:rsid w:val="007745EB"/>
    <w:rsid w:val="00774653"/>
    <w:rsid w:val="00774698"/>
    <w:rsid w:val="00774931"/>
    <w:rsid w:val="00774DA9"/>
    <w:rsid w:val="00775570"/>
    <w:rsid w:val="0077559A"/>
    <w:rsid w:val="00776552"/>
    <w:rsid w:val="0077785C"/>
    <w:rsid w:val="00777FCF"/>
    <w:rsid w:val="0078015D"/>
    <w:rsid w:val="00781160"/>
    <w:rsid w:val="0078122E"/>
    <w:rsid w:val="007816C5"/>
    <w:rsid w:val="007827A3"/>
    <w:rsid w:val="00782D54"/>
    <w:rsid w:val="007832A1"/>
    <w:rsid w:val="00783881"/>
    <w:rsid w:val="00783DA7"/>
    <w:rsid w:val="00784477"/>
    <w:rsid w:val="00784A19"/>
    <w:rsid w:val="0078506A"/>
    <w:rsid w:val="00785E60"/>
    <w:rsid w:val="00785F3E"/>
    <w:rsid w:val="00786186"/>
    <w:rsid w:val="007864CA"/>
    <w:rsid w:val="00786973"/>
    <w:rsid w:val="00786997"/>
    <w:rsid w:val="00786D30"/>
    <w:rsid w:val="00786EB7"/>
    <w:rsid w:val="00787028"/>
    <w:rsid w:val="00787CDE"/>
    <w:rsid w:val="007904FB"/>
    <w:rsid w:val="00791079"/>
    <w:rsid w:val="007913B1"/>
    <w:rsid w:val="00791DA9"/>
    <w:rsid w:val="00791DF7"/>
    <w:rsid w:val="00791E52"/>
    <w:rsid w:val="007926F8"/>
    <w:rsid w:val="00792D62"/>
    <w:rsid w:val="0079311D"/>
    <w:rsid w:val="00793A05"/>
    <w:rsid w:val="00795018"/>
    <w:rsid w:val="0079588F"/>
    <w:rsid w:val="00795C64"/>
    <w:rsid w:val="00795EC6"/>
    <w:rsid w:val="007963FC"/>
    <w:rsid w:val="00796906"/>
    <w:rsid w:val="007969A4"/>
    <w:rsid w:val="0079745A"/>
    <w:rsid w:val="00797715"/>
    <w:rsid w:val="00797C89"/>
    <w:rsid w:val="007A00D6"/>
    <w:rsid w:val="007A045D"/>
    <w:rsid w:val="007A1067"/>
    <w:rsid w:val="007A125B"/>
    <w:rsid w:val="007A1D61"/>
    <w:rsid w:val="007A1E2E"/>
    <w:rsid w:val="007A212A"/>
    <w:rsid w:val="007A2331"/>
    <w:rsid w:val="007A25C2"/>
    <w:rsid w:val="007A2776"/>
    <w:rsid w:val="007A3BF9"/>
    <w:rsid w:val="007A3DC5"/>
    <w:rsid w:val="007A3F70"/>
    <w:rsid w:val="007A40CB"/>
    <w:rsid w:val="007A4538"/>
    <w:rsid w:val="007A4619"/>
    <w:rsid w:val="007A49AC"/>
    <w:rsid w:val="007A4CFD"/>
    <w:rsid w:val="007A5DA9"/>
    <w:rsid w:val="007A5E30"/>
    <w:rsid w:val="007A6ECD"/>
    <w:rsid w:val="007A71F9"/>
    <w:rsid w:val="007A7596"/>
    <w:rsid w:val="007A7C5D"/>
    <w:rsid w:val="007B0068"/>
    <w:rsid w:val="007B017A"/>
    <w:rsid w:val="007B025E"/>
    <w:rsid w:val="007B054E"/>
    <w:rsid w:val="007B0AC3"/>
    <w:rsid w:val="007B10CD"/>
    <w:rsid w:val="007B1297"/>
    <w:rsid w:val="007B16A3"/>
    <w:rsid w:val="007B1B88"/>
    <w:rsid w:val="007B2661"/>
    <w:rsid w:val="007B285B"/>
    <w:rsid w:val="007B2E04"/>
    <w:rsid w:val="007B2F85"/>
    <w:rsid w:val="007B3AB2"/>
    <w:rsid w:val="007B4E72"/>
    <w:rsid w:val="007B4F0B"/>
    <w:rsid w:val="007B4FD3"/>
    <w:rsid w:val="007B5523"/>
    <w:rsid w:val="007B576C"/>
    <w:rsid w:val="007B5773"/>
    <w:rsid w:val="007B60A7"/>
    <w:rsid w:val="007B61A9"/>
    <w:rsid w:val="007B6219"/>
    <w:rsid w:val="007B6247"/>
    <w:rsid w:val="007B6DA1"/>
    <w:rsid w:val="007B7274"/>
    <w:rsid w:val="007B7ECC"/>
    <w:rsid w:val="007C06F3"/>
    <w:rsid w:val="007C099C"/>
    <w:rsid w:val="007C0C5D"/>
    <w:rsid w:val="007C1F07"/>
    <w:rsid w:val="007C1F92"/>
    <w:rsid w:val="007C3027"/>
    <w:rsid w:val="007C34CB"/>
    <w:rsid w:val="007C3B71"/>
    <w:rsid w:val="007C3E83"/>
    <w:rsid w:val="007C40B0"/>
    <w:rsid w:val="007C4C33"/>
    <w:rsid w:val="007C50A3"/>
    <w:rsid w:val="007C5390"/>
    <w:rsid w:val="007C5872"/>
    <w:rsid w:val="007C58BD"/>
    <w:rsid w:val="007C5DF2"/>
    <w:rsid w:val="007C64F7"/>
    <w:rsid w:val="007C6E13"/>
    <w:rsid w:val="007C6E66"/>
    <w:rsid w:val="007C7637"/>
    <w:rsid w:val="007C795D"/>
    <w:rsid w:val="007D02A6"/>
    <w:rsid w:val="007D0FC8"/>
    <w:rsid w:val="007D1117"/>
    <w:rsid w:val="007D15B4"/>
    <w:rsid w:val="007D1696"/>
    <w:rsid w:val="007D183F"/>
    <w:rsid w:val="007D185D"/>
    <w:rsid w:val="007D1A3B"/>
    <w:rsid w:val="007D1A4B"/>
    <w:rsid w:val="007D1F12"/>
    <w:rsid w:val="007D21A1"/>
    <w:rsid w:val="007D2AEF"/>
    <w:rsid w:val="007D2CE6"/>
    <w:rsid w:val="007D3997"/>
    <w:rsid w:val="007D3B8D"/>
    <w:rsid w:val="007D3BBA"/>
    <w:rsid w:val="007D4FF8"/>
    <w:rsid w:val="007D506C"/>
    <w:rsid w:val="007D5FD0"/>
    <w:rsid w:val="007D633B"/>
    <w:rsid w:val="007D63B3"/>
    <w:rsid w:val="007D6447"/>
    <w:rsid w:val="007D652B"/>
    <w:rsid w:val="007D6714"/>
    <w:rsid w:val="007D7D1F"/>
    <w:rsid w:val="007D7D73"/>
    <w:rsid w:val="007E0D01"/>
    <w:rsid w:val="007E11FB"/>
    <w:rsid w:val="007E16E5"/>
    <w:rsid w:val="007E18BB"/>
    <w:rsid w:val="007E1BD6"/>
    <w:rsid w:val="007E1DEB"/>
    <w:rsid w:val="007E1E9C"/>
    <w:rsid w:val="007E2078"/>
    <w:rsid w:val="007E2C4F"/>
    <w:rsid w:val="007E2D0F"/>
    <w:rsid w:val="007E33D4"/>
    <w:rsid w:val="007E39E6"/>
    <w:rsid w:val="007E3DCF"/>
    <w:rsid w:val="007E475F"/>
    <w:rsid w:val="007E4AE8"/>
    <w:rsid w:val="007E5285"/>
    <w:rsid w:val="007E56CD"/>
    <w:rsid w:val="007E629E"/>
    <w:rsid w:val="007E639D"/>
    <w:rsid w:val="007E69CD"/>
    <w:rsid w:val="007E6F35"/>
    <w:rsid w:val="007E717E"/>
    <w:rsid w:val="007E7340"/>
    <w:rsid w:val="007E7C67"/>
    <w:rsid w:val="007F03F9"/>
    <w:rsid w:val="007F0442"/>
    <w:rsid w:val="007F09CA"/>
    <w:rsid w:val="007F09EB"/>
    <w:rsid w:val="007F123A"/>
    <w:rsid w:val="007F1292"/>
    <w:rsid w:val="007F17EE"/>
    <w:rsid w:val="007F1970"/>
    <w:rsid w:val="007F28A2"/>
    <w:rsid w:val="007F2932"/>
    <w:rsid w:val="007F2C65"/>
    <w:rsid w:val="007F2EFD"/>
    <w:rsid w:val="007F3089"/>
    <w:rsid w:val="007F360A"/>
    <w:rsid w:val="007F3D32"/>
    <w:rsid w:val="007F45ED"/>
    <w:rsid w:val="007F5225"/>
    <w:rsid w:val="007F52CC"/>
    <w:rsid w:val="007F5488"/>
    <w:rsid w:val="007F56E5"/>
    <w:rsid w:val="007F62B7"/>
    <w:rsid w:val="007F6979"/>
    <w:rsid w:val="007F6D99"/>
    <w:rsid w:val="007F6EA3"/>
    <w:rsid w:val="007F7831"/>
    <w:rsid w:val="007F7A60"/>
    <w:rsid w:val="008003BB"/>
    <w:rsid w:val="00800491"/>
    <w:rsid w:val="008004DF"/>
    <w:rsid w:val="00800755"/>
    <w:rsid w:val="008015A0"/>
    <w:rsid w:val="008018C1"/>
    <w:rsid w:val="00801EF7"/>
    <w:rsid w:val="00801FE7"/>
    <w:rsid w:val="00802421"/>
    <w:rsid w:val="008024B2"/>
    <w:rsid w:val="008024BD"/>
    <w:rsid w:val="00802958"/>
    <w:rsid w:val="008031BA"/>
    <w:rsid w:val="008035E2"/>
    <w:rsid w:val="00804116"/>
    <w:rsid w:val="00804871"/>
    <w:rsid w:val="008048A6"/>
    <w:rsid w:val="00804984"/>
    <w:rsid w:val="00804A25"/>
    <w:rsid w:val="00804D43"/>
    <w:rsid w:val="00805255"/>
    <w:rsid w:val="00805C7A"/>
    <w:rsid w:val="0080634D"/>
    <w:rsid w:val="00806501"/>
    <w:rsid w:val="0080653E"/>
    <w:rsid w:val="00807A3B"/>
    <w:rsid w:val="00807F1C"/>
    <w:rsid w:val="00810131"/>
    <w:rsid w:val="008101C2"/>
    <w:rsid w:val="008101C9"/>
    <w:rsid w:val="008103BC"/>
    <w:rsid w:val="00810585"/>
    <w:rsid w:val="00810CC3"/>
    <w:rsid w:val="00810D73"/>
    <w:rsid w:val="00810F87"/>
    <w:rsid w:val="00811564"/>
    <w:rsid w:val="0081176B"/>
    <w:rsid w:val="00812582"/>
    <w:rsid w:val="008125D7"/>
    <w:rsid w:val="008136B4"/>
    <w:rsid w:val="00813AEC"/>
    <w:rsid w:val="00813F28"/>
    <w:rsid w:val="008143BC"/>
    <w:rsid w:val="008151A6"/>
    <w:rsid w:val="00816941"/>
    <w:rsid w:val="00816B32"/>
    <w:rsid w:val="00816E70"/>
    <w:rsid w:val="00816F2D"/>
    <w:rsid w:val="00816FC9"/>
    <w:rsid w:val="00820E23"/>
    <w:rsid w:val="0082105B"/>
    <w:rsid w:val="00821569"/>
    <w:rsid w:val="008219C1"/>
    <w:rsid w:val="00822B4B"/>
    <w:rsid w:val="00822FA0"/>
    <w:rsid w:val="00823357"/>
    <w:rsid w:val="008241B9"/>
    <w:rsid w:val="00824291"/>
    <w:rsid w:val="00824622"/>
    <w:rsid w:val="008247BA"/>
    <w:rsid w:val="008248E0"/>
    <w:rsid w:val="00824DAD"/>
    <w:rsid w:val="00824FB7"/>
    <w:rsid w:val="00825507"/>
    <w:rsid w:val="0082576D"/>
    <w:rsid w:val="00826157"/>
    <w:rsid w:val="00827009"/>
    <w:rsid w:val="008270ED"/>
    <w:rsid w:val="0082750D"/>
    <w:rsid w:val="00827C9A"/>
    <w:rsid w:val="0083031C"/>
    <w:rsid w:val="008304E8"/>
    <w:rsid w:val="00830637"/>
    <w:rsid w:val="00830F86"/>
    <w:rsid w:val="00831701"/>
    <w:rsid w:val="008317AE"/>
    <w:rsid w:val="00831AF8"/>
    <w:rsid w:val="00831F72"/>
    <w:rsid w:val="008322BB"/>
    <w:rsid w:val="0083260B"/>
    <w:rsid w:val="0083278B"/>
    <w:rsid w:val="0083285D"/>
    <w:rsid w:val="0083285E"/>
    <w:rsid w:val="00832C9F"/>
    <w:rsid w:val="008330A1"/>
    <w:rsid w:val="008331BD"/>
    <w:rsid w:val="0083364A"/>
    <w:rsid w:val="00833839"/>
    <w:rsid w:val="00833A1F"/>
    <w:rsid w:val="00833EC0"/>
    <w:rsid w:val="0083437E"/>
    <w:rsid w:val="008343BD"/>
    <w:rsid w:val="0083444D"/>
    <w:rsid w:val="00834480"/>
    <w:rsid w:val="00834B9C"/>
    <w:rsid w:val="00834CDC"/>
    <w:rsid w:val="0083557A"/>
    <w:rsid w:val="008360EA"/>
    <w:rsid w:val="00836845"/>
    <w:rsid w:val="00836B9C"/>
    <w:rsid w:val="00837158"/>
    <w:rsid w:val="00837E6A"/>
    <w:rsid w:val="0084043F"/>
    <w:rsid w:val="0084075C"/>
    <w:rsid w:val="008409AE"/>
    <w:rsid w:val="00840B46"/>
    <w:rsid w:val="00841322"/>
    <w:rsid w:val="00841645"/>
    <w:rsid w:val="00841CA8"/>
    <w:rsid w:val="00841D88"/>
    <w:rsid w:val="008420D9"/>
    <w:rsid w:val="00842514"/>
    <w:rsid w:val="008427C5"/>
    <w:rsid w:val="00842A5C"/>
    <w:rsid w:val="00842C37"/>
    <w:rsid w:val="00843869"/>
    <w:rsid w:val="008438BC"/>
    <w:rsid w:val="00844184"/>
    <w:rsid w:val="00844689"/>
    <w:rsid w:val="00844999"/>
    <w:rsid w:val="00844F0C"/>
    <w:rsid w:val="008454E7"/>
    <w:rsid w:val="00845545"/>
    <w:rsid w:val="00845700"/>
    <w:rsid w:val="008457C1"/>
    <w:rsid w:val="00845A45"/>
    <w:rsid w:val="00845F8D"/>
    <w:rsid w:val="0084651B"/>
    <w:rsid w:val="008467E0"/>
    <w:rsid w:val="008469DF"/>
    <w:rsid w:val="00846C16"/>
    <w:rsid w:val="008473FF"/>
    <w:rsid w:val="00847804"/>
    <w:rsid w:val="0084785C"/>
    <w:rsid w:val="008478F8"/>
    <w:rsid w:val="0085004B"/>
    <w:rsid w:val="008503E1"/>
    <w:rsid w:val="00850441"/>
    <w:rsid w:val="00850BEB"/>
    <w:rsid w:val="00850C75"/>
    <w:rsid w:val="008518C4"/>
    <w:rsid w:val="00851D1D"/>
    <w:rsid w:val="00851DD6"/>
    <w:rsid w:val="008526C1"/>
    <w:rsid w:val="00852CAD"/>
    <w:rsid w:val="00852D06"/>
    <w:rsid w:val="00853086"/>
    <w:rsid w:val="00853A86"/>
    <w:rsid w:val="00853B8B"/>
    <w:rsid w:val="00853C11"/>
    <w:rsid w:val="00853CE0"/>
    <w:rsid w:val="00853D0D"/>
    <w:rsid w:val="00853D8C"/>
    <w:rsid w:val="008542CA"/>
    <w:rsid w:val="008548C4"/>
    <w:rsid w:val="0085498D"/>
    <w:rsid w:val="00854E5A"/>
    <w:rsid w:val="00854FAA"/>
    <w:rsid w:val="0085520E"/>
    <w:rsid w:val="0085527D"/>
    <w:rsid w:val="00855447"/>
    <w:rsid w:val="0085593F"/>
    <w:rsid w:val="00855A8F"/>
    <w:rsid w:val="00855B4C"/>
    <w:rsid w:val="00855D5F"/>
    <w:rsid w:val="008564FF"/>
    <w:rsid w:val="00856854"/>
    <w:rsid w:val="0085692D"/>
    <w:rsid w:val="00856E3D"/>
    <w:rsid w:val="00856E42"/>
    <w:rsid w:val="008578AF"/>
    <w:rsid w:val="00857FC7"/>
    <w:rsid w:val="0085E2AA"/>
    <w:rsid w:val="008600EF"/>
    <w:rsid w:val="00860E53"/>
    <w:rsid w:val="0086119A"/>
    <w:rsid w:val="00861669"/>
    <w:rsid w:val="00861853"/>
    <w:rsid w:val="00861A64"/>
    <w:rsid w:val="00861CC2"/>
    <w:rsid w:val="00862DF2"/>
    <w:rsid w:val="0086327D"/>
    <w:rsid w:val="008634C9"/>
    <w:rsid w:val="00864814"/>
    <w:rsid w:val="00864829"/>
    <w:rsid w:val="00864D33"/>
    <w:rsid w:val="00865677"/>
    <w:rsid w:val="00865EEF"/>
    <w:rsid w:val="0086634C"/>
    <w:rsid w:val="00866571"/>
    <w:rsid w:val="0086688B"/>
    <w:rsid w:val="00866A39"/>
    <w:rsid w:val="008670D4"/>
    <w:rsid w:val="00867EDC"/>
    <w:rsid w:val="008703C7"/>
    <w:rsid w:val="00870531"/>
    <w:rsid w:val="0087087C"/>
    <w:rsid w:val="0087092A"/>
    <w:rsid w:val="008713CE"/>
    <w:rsid w:val="00871877"/>
    <w:rsid w:val="00871CAF"/>
    <w:rsid w:val="00871DA4"/>
    <w:rsid w:val="00871ECA"/>
    <w:rsid w:val="0087230A"/>
    <w:rsid w:val="008726CA"/>
    <w:rsid w:val="008737EA"/>
    <w:rsid w:val="00873855"/>
    <w:rsid w:val="00873BC6"/>
    <w:rsid w:val="0087411F"/>
    <w:rsid w:val="008744A5"/>
    <w:rsid w:val="008745D3"/>
    <w:rsid w:val="0087489F"/>
    <w:rsid w:val="00874C0D"/>
    <w:rsid w:val="00874F0C"/>
    <w:rsid w:val="00875044"/>
    <w:rsid w:val="008752BB"/>
    <w:rsid w:val="00875C7F"/>
    <w:rsid w:val="0088008A"/>
    <w:rsid w:val="00880D3E"/>
    <w:rsid w:val="00880ED1"/>
    <w:rsid w:val="00881127"/>
    <w:rsid w:val="00881135"/>
    <w:rsid w:val="008811DB"/>
    <w:rsid w:val="00881281"/>
    <w:rsid w:val="00881542"/>
    <w:rsid w:val="008815DE"/>
    <w:rsid w:val="0088172D"/>
    <w:rsid w:val="00882103"/>
    <w:rsid w:val="008821FE"/>
    <w:rsid w:val="008824B3"/>
    <w:rsid w:val="00883142"/>
    <w:rsid w:val="00883733"/>
    <w:rsid w:val="00883F1C"/>
    <w:rsid w:val="00884660"/>
    <w:rsid w:val="00884A1A"/>
    <w:rsid w:val="00884B2C"/>
    <w:rsid w:val="00884CD1"/>
    <w:rsid w:val="00884FEB"/>
    <w:rsid w:val="00885185"/>
    <w:rsid w:val="008852BF"/>
    <w:rsid w:val="00885309"/>
    <w:rsid w:val="008857EC"/>
    <w:rsid w:val="0088587E"/>
    <w:rsid w:val="00885928"/>
    <w:rsid w:val="0088619E"/>
    <w:rsid w:val="0088630E"/>
    <w:rsid w:val="0088659E"/>
    <w:rsid w:val="00886875"/>
    <w:rsid w:val="00887637"/>
    <w:rsid w:val="0088787C"/>
    <w:rsid w:val="0088795E"/>
    <w:rsid w:val="00887A83"/>
    <w:rsid w:val="0089002A"/>
    <w:rsid w:val="0089010B"/>
    <w:rsid w:val="00890405"/>
    <w:rsid w:val="00891229"/>
    <w:rsid w:val="0089165E"/>
    <w:rsid w:val="008917A8"/>
    <w:rsid w:val="00891CA7"/>
    <w:rsid w:val="00892F48"/>
    <w:rsid w:val="00893133"/>
    <w:rsid w:val="008932B5"/>
    <w:rsid w:val="00893517"/>
    <w:rsid w:val="00894221"/>
    <w:rsid w:val="00894CF8"/>
    <w:rsid w:val="0089599B"/>
    <w:rsid w:val="008963CC"/>
    <w:rsid w:val="008968A4"/>
    <w:rsid w:val="00897812"/>
    <w:rsid w:val="00897938"/>
    <w:rsid w:val="00897C2A"/>
    <w:rsid w:val="008A025E"/>
    <w:rsid w:val="008A047B"/>
    <w:rsid w:val="008A0983"/>
    <w:rsid w:val="008A13DA"/>
    <w:rsid w:val="008A192D"/>
    <w:rsid w:val="008A1A1E"/>
    <w:rsid w:val="008A1C51"/>
    <w:rsid w:val="008A1D97"/>
    <w:rsid w:val="008A1F3D"/>
    <w:rsid w:val="008A200A"/>
    <w:rsid w:val="008A221D"/>
    <w:rsid w:val="008A2C77"/>
    <w:rsid w:val="008A301C"/>
    <w:rsid w:val="008A3152"/>
    <w:rsid w:val="008A35E8"/>
    <w:rsid w:val="008A37AB"/>
    <w:rsid w:val="008A3D96"/>
    <w:rsid w:val="008A49E8"/>
    <w:rsid w:val="008A509C"/>
    <w:rsid w:val="008A50EB"/>
    <w:rsid w:val="008A5CB2"/>
    <w:rsid w:val="008A5D76"/>
    <w:rsid w:val="008A5DBC"/>
    <w:rsid w:val="008A6074"/>
    <w:rsid w:val="008A61B3"/>
    <w:rsid w:val="008A6C2C"/>
    <w:rsid w:val="008A6D04"/>
    <w:rsid w:val="008A6E97"/>
    <w:rsid w:val="008A6EC9"/>
    <w:rsid w:val="008A6F7B"/>
    <w:rsid w:val="008A7079"/>
    <w:rsid w:val="008A7A5D"/>
    <w:rsid w:val="008B01DA"/>
    <w:rsid w:val="008B0835"/>
    <w:rsid w:val="008B0909"/>
    <w:rsid w:val="008B0911"/>
    <w:rsid w:val="008B0CB7"/>
    <w:rsid w:val="008B0DE1"/>
    <w:rsid w:val="008B187E"/>
    <w:rsid w:val="008B1A0F"/>
    <w:rsid w:val="008B2119"/>
    <w:rsid w:val="008B2F5E"/>
    <w:rsid w:val="008B3266"/>
    <w:rsid w:val="008B37B1"/>
    <w:rsid w:val="008B3953"/>
    <w:rsid w:val="008B3E8F"/>
    <w:rsid w:val="008B5C8E"/>
    <w:rsid w:val="008B5D77"/>
    <w:rsid w:val="008B6066"/>
    <w:rsid w:val="008B6358"/>
    <w:rsid w:val="008B695F"/>
    <w:rsid w:val="008B69FE"/>
    <w:rsid w:val="008B6B86"/>
    <w:rsid w:val="008B6D35"/>
    <w:rsid w:val="008B7267"/>
    <w:rsid w:val="008B73EE"/>
    <w:rsid w:val="008B7672"/>
    <w:rsid w:val="008B7B6E"/>
    <w:rsid w:val="008B7B93"/>
    <w:rsid w:val="008B7C6B"/>
    <w:rsid w:val="008B7D3A"/>
    <w:rsid w:val="008C017D"/>
    <w:rsid w:val="008C09FE"/>
    <w:rsid w:val="008C11D3"/>
    <w:rsid w:val="008C122C"/>
    <w:rsid w:val="008C1F56"/>
    <w:rsid w:val="008C1F5D"/>
    <w:rsid w:val="008C2330"/>
    <w:rsid w:val="008C26F8"/>
    <w:rsid w:val="008C2DC4"/>
    <w:rsid w:val="008C3506"/>
    <w:rsid w:val="008C3A01"/>
    <w:rsid w:val="008C402F"/>
    <w:rsid w:val="008C40D1"/>
    <w:rsid w:val="008C49A6"/>
    <w:rsid w:val="008C5233"/>
    <w:rsid w:val="008C529C"/>
    <w:rsid w:val="008C548F"/>
    <w:rsid w:val="008C58DA"/>
    <w:rsid w:val="008C5EF5"/>
    <w:rsid w:val="008C624D"/>
    <w:rsid w:val="008C6415"/>
    <w:rsid w:val="008C6A9B"/>
    <w:rsid w:val="008C6E0B"/>
    <w:rsid w:val="008C7D30"/>
    <w:rsid w:val="008C7F7F"/>
    <w:rsid w:val="008D056C"/>
    <w:rsid w:val="008D0D6A"/>
    <w:rsid w:val="008D16C6"/>
    <w:rsid w:val="008D1961"/>
    <w:rsid w:val="008D1D6C"/>
    <w:rsid w:val="008D2210"/>
    <w:rsid w:val="008D230A"/>
    <w:rsid w:val="008D24A6"/>
    <w:rsid w:val="008D274F"/>
    <w:rsid w:val="008D30D0"/>
    <w:rsid w:val="008D30F0"/>
    <w:rsid w:val="008D34F0"/>
    <w:rsid w:val="008D3534"/>
    <w:rsid w:val="008D4535"/>
    <w:rsid w:val="008D53B8"/>
    <w:rsid w:val="008D5428"/>
    <w:rsid w:val="008D56F8"/>
    <w:rsid w:val="008D6256"/>
    <w:rsid w:val="008D6581"/>
    <w:rsid w:val="008D6E8E"/>
    <w:rsid w:val="008D75AE"/>
    <w:rsid w:val="008D7D83"/>
    <w:rsid w:val="008D7DF7"/>
    <w:rsid w:val="008E004C"/>
    <w:rsid w:val="008E057C"/>
    <w:rsid w:val="008E0D48"/>
    <w:rsid w:val="008E0E86"/>
    <w:rsid w:val="008E0F08"/>
    <w:rsid w:val="008E10EF"/>
    <w:rsid w:val="008E1C7D"/>
    <w:rsid w:val="008E1EAA"/>
    <w:rsid w:val="008E20BD"/>
    <w:rsid w:val="008E2572"/>
    <w:rsid w:val="008E2B78"/>
    <w:rsid w:val="008E32A9"/>
    <w:rsid w:val="008E32FB"/>
    <w:rsid w:val="008E3376"/>
    <w:rsid w:val="008E36DC"/>
    <w:rsid w:val="008E39A9"/>
    <w:rsid w:val="008E3B13"/>
    <w:rsid w:val="008E3CA9"/>
    <w:rsid w:val="008E3E19"/>
    <w:rsid w:val="008E3E2B"/>
    <w:rsid w:val="008E410E"/>
    <w:rsid w:val="008E4499"/>
    <w:rsid w:val="008E47D2"/>
    <w:rsid w:val="008E5A4A"/>
    <w:rsid w:val="008E5ADB"/>
    <w:rsid w:val="008E5DC7"/>
    <w:rsid w:val="008E6AB5"/>
    <w:rsid w:val="008E7064"/>
    <w:rsid w:val="008E797B"/>
    <w:rsid w:val="008F0BB5"/>
    <w:rsid w:val="008F0FD7"/>
    <w:rsid w:val="008F11AA"/>
    <w:rsid w:val="008F1D0B"/>
    <w:rsid w:val="008F1D51"/>
    <w:rsid w:val="008F26F7"/>
    <w:rsid w:val="008F2C6B"/>
    <w:rsid w:val="008F2D4E"/>
    <w:rsid w:val="008F30F6"/>
    <w:rsid w:val="008F33FA"/>
    <w:rsid w:val="008F3562"/>
    <w:rsid w:val="008F3EC2"/>
    <w:rsid w:val="008F42E6"/>
    <w:rsid w:val="008F4A03"/>
    <w:rsid w:val="008F504F"/>
    <w:rsid w:val="008F50DF"/>
    <w:rsid w:val="008F54B0"/>
    <w:rsid w:val="008F5597"/>
    <w:rsid w:val="008F5BFE"/>
    <w:rsid w:val="008F63E5"/>
    <w:rsid w:val="008F6FD5"/>
    <w:rsid w:val="008F7BA1"/>
    <w:rsid w:val="008F7C56"/>
    <w:rsid w:val="008F7EB6"/>
    <w:rsid w:val="009001D0"/>
    <w:rsid w:val="0090036A"/>
    <w:rsid w:val="009008C5"/>
    <w:rsid w:val="00900C1D"/>
    <w:rsid w:val="00900D81"/>
    <w:rsid w:val="009014E3"/>
    <w:rsid w:val="00901501"/>
    <w:rsid w:val="00901571"/>
    <w:rsid w:val="00901CBA"/>
    <w:rsid w:val="009028CA"/>
    <w:rsid w:val="00902A50"/>
    <w:rsid w:val="00902EFC"/>
    <w:rsid w:val="00903207"/>
    <w:rsid w:val="009040A8"/>
    <w:rsid w:val="0090512A"/>
    <w:rsid w:val="00905281"/>
    <w:rsid w:val="009055E9"/>
    <w:rsid w:val="0090560C"/>
    <w:rsid w:val="00905EA9"/>
    <w:rsid w:val="009068C9"/>
    <w:rsid w:val="00906ACE"/>
    <w:rsid w:val="00906CE3"/>
    <w:rsid w:val="00907115"/>
    <w:rsid w:val="00907513"/>
    <w:rsid w:val="009076D1"/>
    <w:rsid w:val="00907EE3"/>
    <w:rsid w:val="00910030"/>
    <w:rsid w:val="00910210"/>
    <w:rsid w:val="00910355"/>
    <w:rsid w:val="00910670"/>
    <w:rsid w:val="009109C8"/>
    <w:rsid w:val="00910D9F"/>
    <w:rsid w:val="00911248"/>
    <w:rsid w:val="009118EE"/>
    <w:rsid w:val="00911EE4"/>
    <w:rsid w:val="00912ADD"/>
    <w:rsid w:val="00912C44"/>
    <w:rsid w:val="00912D02"/>
    <w:rsid w:val="00912DF5"/>
    <w:rsid w:val="00913122"/>
    <w:rsid w:val="009132C0"/>
    <w:rsid w:val="009137FD"/>
    <w:rsid w:val="00913B07"/>
    <w:rsid w:val="00913B80"/>
    <w:rsid w:val="00914105"/>
    <w:rsid w:val="00915179"/>
    <w:rsid w:val="00915620"/>
    <w:rsid w:val="00915E10"/>
    <w:rsid w:val="00916183"/>
    <w:rsid w:val="009166F8"/>
    <w:rsid w:val="009167CA"/>
    <w:rsid w:val="00917444"/>
    <w:rsid w:val="00917B09"/>
    <w:rsid w:val="00917BF7"/>
    <w:rsid w:val="00917F77"/>
    <w:rsid w:val="00920491"/>
    <w:rsid w:val="00920670"/>
    <w:rsid w:val="009206BE"/>
    <w:rsid w:val="009207A3"/>
    <w:rsid w:val="00920F12"/>
    <w:rsid w:val="00921565"/>
    <w:rsid w:val="00921700"/>
    <w:rsid w:val="00921758"/>
    <w:rsid w:val="00921AA6"/>
    <w:rsid w:val="00922BF8"/>
    <w:rsid w:val="00922F04"/>
    <w:rsid w:val="00923153"/>
    <w:rsid w:val="0092338C"/>
    <w:rsid w:val="0092379C"/>
    <w:rsid w:val="00924181"/>
    <w:rsid w:val="009243FB"/>
    <w:rsid w:val="009247A0"/>
    <w:rsid w:val="00924DF1"/>
    <w:rsid w:val="00924EEF"/>
    <w:rsid w:val="00924FE7"/>
    <w:rsid w:val="00925966"/>
    <w:rsid w:val="00925E4F"/>
    <w:rsid w:val="009263EF"/>
    <w:rsid w:val="009265F9"/>
    <w:rsid w:val="00926F25"/>
    <w:rsid w:val="009270B8"/>
    <w:rsid w:val="009270FE"/>
    <w:rsid w:val="009273BF"/>
    <w:rsid w:val="00927A7A"/>
    <w:rsid w:val="00927A8B"/>
    <w:rsid w:val="00927F02"/>
    <w:rsid w:val="009304EF"/>
    <w:rsid w:val="0093055F"/>
    <w:rsid w:val="009306AD"/>
    <w:rsid w:val="00930817"/>
    <w:rsid w:val="009308DB"/>
    <w:rsid w:val="00931282"/>
    <w:rsid w:val="00931528"/>
    <w:rsid w:val="0093153F"/>
    <w:rsid w:val="009317AA"/>
    <w:rsid w:val="00931BD2"/>
    <w:rsid w:val="00931D41"/>
    <w:rsid w:val="0093202C"/>
    <w:rsid w:val="0093242C"/>
    <w:rsid w:val="00932C88"/>
    <w:rsid w:val="00932E47"/>
    <w:rsid w:val="00933232"/>
    <w:rsid w:val="0093350B"/>
    <w:rsid w:val="009337A7"/>
    <w:rsid w:val="009338E1"/>
    <w:rsid w:val="009339C1"/>
    <w:rsid w:val="00933A4C"/>
    <w:rsid w:val="00933C56"/>
    <w:rsid w:val="0093491B"/>
    <w:rsid w:val="00934BDB"/>
    <w:rsid w:val="00934F04"/>
    <w:rsid w:val="00935898"/>
    <w:rsid w:val="00935945"/>
    <w:rsid w:val="0093597F"/>
    <w:rsid w:val="00935C83"/>
    <w:rsid w:val="00935CE7"/>
    <w:rsid w:val="009361FE"/>
    <w:rsid w:val="00936395"/>
    <w:rsid w:val="009364AD"/>
    <w:rsid w:val="009364B5"/>
    <w:rsid w:val="00936BB3"/>
    <w:rsid w:val="00936BBA"/>
    <w:rsid w:val="00936DD1"/>
    <w:rsid w:val="00936E87"/>
    <w:rsid w:val="009371BA"/>
    <w:rsid w:val="00937E2F"/>
    <w:rsid w:val="00940746"/>
    <w:rsid w:val="00940ED2"/>
    <w:rsid w:val="0094162B"/>
    <w:rsid w:val="00941843"/>
    <w:rsid w:val="009418B6"/>
    <w:rsid w:val="00941C08"/>
    <w:rsid w:val="00941CD9"/>
    <w:rsid w:val="00942368"/>
    <w:rsid w:val="009424DA"/>
    <w:rsid w:val="00942EAC"/>
    <w:rsid w:val="00942FCC"/>
    <w:rsid w:val="00942FEE"/>
    <w:rsid w:val="009433BC"/>
    <w:rsid w:val="0094380A"/>
    <w:rsid w:val="00943B03"/>
    <w:rsid w:val="00943B93"/>
    <w:rsid w:val="009441A3"/>
    <w:rsid w:val="00944530"/>
    <w:rsid w:val="00945182"/>
    <w:rsid w:val="009451F3"/>
    <w:rsid w:val="00946116"/>
    <w:rsid w:val="0094619B"/>
    <w:rsid w:val="0094651A"/>
    <w:rsid w:val="00946E7A"/>
    <w:rsid w:val="00947028"/>
    <w:rsid w:val="00947A01"/>
    <w:rsid w:val="00950563"/>
    <w:rsid w:val="009508C0"/>
    <w:rsid w:val="00950950"/>
    <w:rsid w:val="00950B09"/>
    <w:rsid w:val="00950F91"/>
    <w:rsid w:val="0095142E"/>
    <w:rsid w:val="0095156A"/>
    <w:rsid w:val="0095276A"/>
    <w:rsid w:val="00952CD1"/>
    <w:rsid w:val="00953861"/>
    <w:rsid w:val="00953F5C"/>
    <w:rsid w:val="00953F6A"/>
    <w:rsid w:val="00954485"/>
    <w:rsid w:val="00954771"/>
    <w:rsid w:val="00954A0C"/>
    <w:rsid w:val="00954BFA"/>
    <w:rsid w:val="00954F58"/>
    <w:rsid w:val="009551D4"/>
    <w:rsid w:val="009554D7"/>
    <w:rsid w:val="00955742"/>
    <w:rsid w:val="00955A85"/>
    <w:rsid w:val="00955AA6"/>
    <w:rsid w:val="00955C81"/>
    <w:rsid w:val="00955F25"/>
    <w:rsid w:val="00956197"/>
    <w:rsid w:val="00956CEF"/>
    <w:rsid w:val="00957067"/>
    <w:rsid w:val="00960638"/>
    <w:rsid w:val="00960B47"/>
    <w:rsid w:val="00960E2F"/>
    <w:rsid w:val="00960E3B"/>
    <w:rsid w:val="00960EF7"/>
    <w:rsid w:val="00961426"/>
    <w:rsid w:val="00961B7D"/>
    <w:rsid w:val="0096266F"/>
    <w:rsid w:val="00962BBD"/>
    <w:rsid w:val="00962DEE"/>
    <w:rsid w:val="009631DA"/>
    <w:rsid w:val="00963301"/>
    <w:rsid w:val="00963750"/>
    <w:rsid w:val="0096378F"/>
    <w:rsid w:val="009643D9"/>
    <w:rsid w:val="00964737"/>
    <w:rsid w:val="00964E1D"/>
    <w:rsid w:val="00965272"/>
    <w:rsid w:val="00965D27"/>
    <w:rsid w:val="00966633"/>
    <w:rsid w:val="00966663"/>
    <w:rsid w:val="009668B9"/>
    <w:rsid w:val="009676E1"/>
    <w:rsid w:val="00967868"/>
    <w:rsid w:val="00967FAE"/>
    <w:rsid w:val="0097023D"/>
    <w:rsid w:val="009702F4"/>
    <w:rsid w:val="009704AD"/>
    <w:rsid w:val="0097112A"/>
    <w:rsid w:val="00971815"/>
    <w:rsid w:val="00971A2C"/>
    <w:rsid w:val="009720F9"/>
    <w:rsid w:val="00972227"/>
    <w:rsid w:val="00972A1C"/>
    <w:rsid w:val="00972F24"/>
    <w:rsid w:val="00973355"/>
    <w:rsid w:val="009734BF"/>
    <w:rsid w:val="00973560"/>
    <w:rsid w:val="00973707"/>
    <w:rsid w:val="00973B8E"/>
    <w:rsid w:val="00974150"/>
    <w:rsid w:val="009746FF"/>
    <w:rsid w:val="00974E1D"/>
    <w:rsid w:val="00974E3F"/>
    <w:rsid w:val="0097510A"/>
    <w:rsid w:val="00975976"/>
    <w:rsid w:val="00975CA2"/>
    <w:rsid w:val="00975F7F"/>
    <w:rsid w:val="009761F1"/>
    <w:rsid w:val="009769DE"/>
    <w:rsid w:val="00976E8F"/>
    <w:rsid w:val="0097708C"/>
    <w:rsid w:val="00977776"/>
    <w:rsid w:val="00980D69"/>
    <w:rsid w:val="009813B6"/>
    <w:rsid w:val="00981540"/>
    <w:rsid w:val="00981703"/>
    <w:rsid w:val="0098182F"/>
    <w:rsid w:val="0098245F"/>
    <w:rsid w:val="009828BC"/>
    <w:rsid w:val="00982985"/>
    <w:rsid w:val="009830F6"/>
    <w:rsid w:val="00983A75"/>
    <w:rsid w:val="00984090"/>
    <w:rsid w:val="0098483D"/>
    <w:rsid w:val="00984A5C"/>
    <w:rsid w:val="00984ED7"/>
    <w:rsid w:val="00985397"/>
    <w:rsid w:val="00985958"/>
    <w:rsid w:val="00985F14"/>
    <w:rsid w:val="00985F4C"/>
    <w:rsid w:val="0098606E"/>
    <w:rsid w:val="0098615B"/>
    <w:rsid w:val="00986581"/>
    <w:rsid w:val="00986885"/>
    <w:rsid w:val="00986FA9"/>
    <w:rsid w:val="0098757C"/>
    <w:rsid w:val="0098778D"/>
    <w:rsid w:val="00987B4A"/>
    <w:rsid w:val="00987CF4"/>
    <w:rsid w:val="00987EBE"/>
    <w:rsid w:val="00987FC0"/>
    <w:rsid w:val="00990DAF"/>
    <w:rsid w:val="00990E61"/>
    <w:rsid w:val="00990FEB"/>
    <w:rsid w:val="00991C37"/>
    <w:rsid w:val="00991D59"/>
    <w:rsid w:val="00991F99"/>
    <w:rsid w:val="009921F0"/>
    <w:rsid w:val="0099267D"/>
    <w:rsid w:val="0099270E"/>
    <w:rsid w:val="009928FF"/>
    <w:rsid w:val="00992FA2"/>
    <w:rsid w:val="00993200"/>
    <w:rsid w:val="0099403E"/>
    <w:rsid w:val="00995332"/>
    <w:rsid w:val="00995A7F"/>
    <w:rsid w:val="00995B12"/>
    <w:rsid w:val="009964E1"/>
    <w:rsid w:val="0099694B"/>
    <w:rsid w:val="00996DA3"/>
    <w:rsid w:val="009A03CD"/>
    <w:rsid w:val="009A04AB"/>
    <w:rsid w:val="009A0900"/>
    <w:rsid w:val="009A11F9"/>
    <w:rsid w:val="009A1317"/>
    <w:rsid w:val="009A1763"/>
    <w:rsid w:val="009A17B1"/>
    <w:rsid w:val="009A1A9B"/>
    <w:rsid w:val="009A1ACA"/>
    <w:rsid w:val="009A1B6A"/>
    <w:rsid w:val="009A2864"/>
    <w:rsid w:val="009A2D83"/>
    <w:rsid w:val="009A2E43"/>
    <w:rsid w:val="009A30B3"/>
    <w:rsid w:val="009A337E"/>
    <w:rsid w:val="009A3874"/>
    <w:rsid w:val="009A455A"/>
    <w:rsid w:val="009A47E2"/>
    <w:rsid w:val="009A4B3E"/>
    <w:rsid w:val="009A5612"/>
    <w:rsid w:val="009A5752"/>
    <w:rsid w:val="009A5A9D"/>
    <w:rsid w:val="009A6E08"/>
    <w:rsid w:val="009A715B"/>
    <w:rsid w:val="009A7222"/>
    <w:rsid w:val="009A77F8"/>
    <w:rsid w:val="009A7A38"/>
    <w:rsid w:val="009A7F35"/>
    <w:rsid w:val="009B09F5"/>
    <w:rsid w:val="009B0E38"/>
    <w:rsid w:val="009B0F70"/>
    <w:rsid w:val="009B25C7"/>
    <w:rsid w:val="009B29C1"/>
    <w:rsid w:val="009B355E"/>
    <w:rsid w:val="009B403F"/>
    <w:rsid w:val="009B511B"/>
    <w:rsid w:val="009B526D"/>
    <w:rsid w:val="009B591B"/>
    <w:rsid w:val="009B5985"/>
    <w:rsid w:val="009B6CE4"/>
    <w:rsid w:val="009B7004"/>
    <w:rsid w:val="009B74EB"/>
    <w:rsid w:val="009B7C88"/>
    <w:rsid w:val="009C001E"/>
    <w:rsid w:val="009C083D"/>
    <w:rsid w:val="009C0888"/>
    <w:rsid w:val="009C0CAD"/>
    <w:rsid w:val="009C1A96"/>
    <w:rsid w:val="009C1C8C"/>
    <w:rsid w:val="009C1F0C"/>
    <w:rsid w:val="009C20E1"/>
    <w:rsid w:val="009C2658"/>
    <w:rsid w:val="009C2831"/>
    <w:rsid w:val="009C2C58"/>
    <w:rsid w:val="009C301E"/>
    <w:rsid w:val="009C345D"/>
    <w:rsid w:val="009C3680"/>
    <w:rsid w:val="009C3801"/>
    <w:rsid w:val="009C3B60"/>
    <w:rsid w:val="009C3D16"/>
    <w:rsid w:val="009C3DD6"/>
    <w:rsid w:val="009C4291"/>
    <w:rsid w:val="009C42F0"/>
    <w:rsid w:val="009C44E7"/>
    <w:rsid w:val="009C4702"/>
    <w:rsid w:val="009C5551"/>
    <w:rsid w:val="009C5582"/>
    <w:rsid w:val="009C57C5"/>
    <w:rsid w:val="009C5826"/>
    <w:rsid w:val="009C68BF"/>
    <w:rsid w:val="009C7112"/>
    <w:rsid w:val="009C7695"/>
    <w:rsid w:val="009C7899"/>
    <w:rsid w:val="009C7D6A"/>
    <w:rsid w:val="009D0C9A"/>
    <w:rsid w:val="009D106B"/>
    <w:rsid w:val="009D1072"/>
    <w:rsid w:val="009D12B6"/>
    <w:rsid w:val="009D1EFD"/>
    <w:rsid w:val="009D2F08"/>
    <w:rsid w:val="009D30AF"/>
    <w:rsid w:val="009D3244"/>
    <w:rsid w:val="009D4D61"/>
    <w:rsid w:val="009D50E7"/>
    <w:rsid w:val="009D5501"/>
    <w:rsid w:val="009D5901"/>
    <w:rsid w:val="009D5D1A"/>
    <w:rsid w:val="009D5DE3"/>
    <w:rsid w:val="009D614B"/>
    <w:rsid w:val="009D62B1"/>
    <w:rsid w:val="009D6914"/>
    <w:rsid w:val="009D69FD"/>
    <w:rsid w:val="009D6EDB"/>
    <w:rsid w:val="009D7384"/>
    <w:rsid w:val="009D7386"/>
    <w:rsid w:val="009D74A6"/>
    <w:rsid w:val="009D7A90"/>
    <w:rsid w:val="009D7B21"/>
    <w:rsid w:val="009E0145"/>
    <w:rsid w:val="009E03C8"/>
    <w:rsid w:val="009E1644"/>
    <w:rsid w:val="009E1ABE"/>
    <w:rsid w:val="009E283E"/>
    <w:rsid w:val="009E2BBD"/>
    <w:rsid w:val="009E42EE"/>
    <w:rsid w:val="009E4FA0"/>
    <w:rsid w:val="009E5111"/>
    <w:rsid w:val="009E515A"/>
    <w:rsid w:val="009E536A"/>
    <w:rsid w:val="009E563E"/>
    <w:rsid w:val="009E5DCC"/>
    <w:rsid w:val="009E5DE6"/>
    <w:rsid w:val="009E655E"/>
    <w:rsid w:val="009E718A"/>
    <w:rsid w:val="009E7AD9"/>
    <w:rsid w:val="009E7D4D"/>
    <w:rsid w:val="009F0653"/>
    <w:rsid w:val="009F096C"/>
    <w:rsid w:val="009F0B7E"/>
    <w:rsid w:val="009F0FB5"/>
    <w:rsid w:val="009F1070"/>
    <w:rsid w:val="009F1084"/>
    <w:rsid w:val="009F1550"/>
    <w:rsid w:val="009F168E"/>
    <w:rsid w:val="009F1F3F"/>
    <w:rsid w:val="009F2B54"/>
    <w:rsid w:val="009F2BEC"/>
    <w:rsid w:val="009F2CBD"/>
    <w:rsid w:val="009F325E"/>
    <w:rsid w:val="009F3573"/>
    <w:rsid w:val="009F3AD0"/>
    <w:rsid w:val="009F3B58"/>
    <w:rsid w:val="009F4499"/>
    <w:rsid w:val="009F45B7"/>
    <w:rsid w:val="009F4C5F"/>
    <w:rsid w:val="009F50A3"/>
    <w:rsid w:val="009F523B"/>
    <w:rsid w:val="009F5244"/>
    <w:rsid w:val="009F5262"/>
    <w:rsid w:val="009F5379"/>
    <w:rsid w:val="009F5435"/>
    <w:rsid w:val="009F59DF"/>
    <w:rsid w:val="009F5FA4"/>
    <w:rsid w:val="009F78B4"/>
    <w:rsid w:val="009F7AD0"/>
    <w:rsid w:val="009F7C08"/>
    <w:rsid w:val="009F7D63"/>
    <w:rsid w:val="00A00316"/>
    <w:rsid w:val="00A00835"/>
    <w:rsid w:val="00A00EBD"/>
    <w:rsid w:val="00A01278"/>
    <w:rsid w:val="00A014DF"/>
    <w:rsid w:val="00A0171A"/>
    <w:rsid w:val="00A01C72"/>
    <w:rsid w:val="00A01F19"/>
    <w:rsid w:val="00A02850"/>
    <w:rsid w:val="00A0371C"/>
    <w:rsid w:val="00A03C89"/>
    <w:rsid w:val="00A03DC9"/>
    <w:rsid w:val="00A045D1"/>
    <w:rsid w:val="00A0483F"/>
    <w:rsid w:val="00A04CFA"/>
    <w:rsid w:val="00A05A8B"/>
    <w:rsid w:val="00A05D6E"/>
    <w:rsid w:val="00A0602E"/>
    <w:rsid w:val="00A07845"/>
    <w:rsid w:val="00A10C90"/>
    <w:rsid w:val="00A11279"/>
    <w:rsid w:val="00A1142D"/>
    <w:rsid w:val="00A11939"/>
    <w:rsid w:val="00A11C6E"/>
    <w:rsid w:val="00A127BA"/>
    <w:rsid w:val="00A12837"/>
    <w:rsid w:val="00A12B66"/>
    <w:rsid w:val="00A13601"/>
    <w:rsid w:val="00A136CD"/>
    <w:rsid w:val="00A14137"/>
    <w:rsid w:val="00A14679"/>
    <w:rsid w:val="00A1638A"/>
    <w:rsid w:val="00A16692"/>
    <w:rsid w:val="00A16759"/>
    <w:rsid w:val="00A16D6B"/>
    <w:rsid w:val="00A16FFF"/>
    <w:rsid w:val="00A17282"/>
    <w:rsid w:val="00A177B8"/>
    <w:rsid w:val="00A17B9E"/>
    <w:rsid w:val="00A201CF"/>
    <w:rsid w:val="00A203C1"/>
    <w:rsid w:val="00A21301"/>
    <w:rsid w:val="00A2183A"/>
    <w:rsid w:val="00A22A88"/>
    <w:rsid w:val="00A232F8"/>
    <w:rsid w:val="00A23F4B"/>
    <w:rsid w:val="00A24153"/>
    <w:rsid w:val="00A24751"/>
    <w:rsid w:val="00A248E2"/>
    <w:rsid w:val="00A250C4"/>
    <w:rsid w:val="00A25A0F"/>
    <w:rsid w:val="00A25F56"/>
    <w:rsid w:val="00A25F7A"/>
    <w:rsid w:val="00A25FF7"/>
    <w:rsid w:val="00A26662"/>
    <w:rsid w:val="00A2674E"/>
    <w:rsid w:val="00A27295"/>
    <w:rsid w:val="00A2757B"/>
    <w:rsid w:val="00A2771C"/>
    <w:rsid w:val="00A27876"/>
    <w:rsid w:val="00A278BE"/>
    <w:rsid w:val="00A27DB9"/>
    <w:rsid w:val="00A30C4C"/>
    <w:rsid w:val="00A31125"/>
    <w:rsid w:val="00A31BDD"/>
    <w:rsid w:val="00A31C07"/>
    <w:rsid w:val="00A31FA4"/>
    <w:rsid w:val="00A31FB5"/>
    <w:rsid w:val="00A320B1"/>
    <w:rsid w:val="00A32103"/>
    <w:rsid w:val="00A325F5"/>
    <w:rsid w:val="00A327E0"/>
    <w:rsid w:val="00A32C84"/>
    <w:rsid w:val="00A32F17"/>
    <w:rsid w:val="00A33695"/>
    <w:rsid w:val="00A33C55"/>
    <w:rsid w:val="00A34026"/>
    <w:rsid w:val="00A3414E"/>
    <w:rsid w:val="00A34B2E"/>
    <w:rsid w:val="00A369B8"/>
    <w:rsid w:val="00A369C3"/>
    <w:rsid w:val="00A36BEF"/>
    <w:rsid w:val="00A36E5F"/>
    <w:rsid w:val="00A36F51"/>
    <w:rsid w:val="00A37710"/>
    <w:rsid w:val="00A37887"/>
    <w:rsid w:val="00A37988"/>
    <w:rsid w:val="00A37A04"/>
    <w:rsid w:val="00A37FDF"/>
    <w:rsid w:val="00A402A8"/>
    <w:rsid w:val="00A40C93"/>
    <w:rsid w:val="00A413BA"/>
    <w:rsid w:val="00A41540"/>
    <w:rsid w:val="00A41661"/>
    <w:rsid w:val="00A41D3F"/>
    <w:rsid w:val="00A422DE"/>
    <w:rsid w:val="00A4250A"/>
    <w:rsid w:val="00A42705"/>
    <w:rsid w:val="00A4281F"/>
    <w:rsid w:val="00A42C00"/>
    <w:rsid w:val="00A4309F"/>
    <w:rsid w:val="00A4319E"/>
    <w:rsid w:val="00A4357A"/>
    <w:rsid w:val="00A43AAC"/>
    <w:rsid w:val="00A4472C"/>
    <w:rsid w:val="00A447EF"/>
    <w:rsid w:val="00A45097"/>
    <w:rsid w:val="00A45F10"/>
    <w:rsid w:val="00A46D64"/>
    <w:rsid w:val="00A473DF"/>
    <w:rsid w:val="00A50B73"/>
    <w:rsid w:val="00A50DA1"/>
    <w:rsid w:val="00A50E2E"/>
    <w:rsid w:val="00A50EB7"/>
    <w:rsid w:val="00A510F1"/>
    <w:rsid w:val="00A51AA9"/>
    <w:rsid w:val="00A5221E"/>
    <w:rsid w:val="00A52651"/>
    <w:rsid w:val="00A53023"/>
    <w:rsid w:val="00A5305C"/>
    <w:rsid w:val="00A53B59"/>
    <w:rsid w:val="00A53C11"/>
    <w:rsid w:val="00A5585A"/>
    <w:rsid w:val="00A56B4D"/>
    <w:rsid w:val="00A56F0F"/>
    <w:rsid w:val="00A57171"/>
    <w:rsid w:val="00A57DF9"/>
    <w:rsid w:val="00A60195"/>
    <w:rsid w:val="00A602E9"/>
    <w:rsid w:val="00A60344"/>
    <w:rsid w:val="00A604F1"/>
    <w:rsid w:val="00A6051C"/>
    <w:rsid w:val="00A60833"/>
    <w:rsid w:val="00A60A1B"/>
    <w:rsid w:val="00A618C4"/>
    <w:rsid w:val="00A61E20"/>
    <w:rsid w:val="00A6215F"/>
    <w:rsid w:val="00A62472"/>
    <w:rsid w:val="00A6371B"/>
    <w:rsid w:val="00A63823"/>
    <w:rsid w:val="00A6394C"/>
    <w:rsid w:val="00A63D5B"/>
    <w:rsid w:val="00A64421"/>
    <w:rsid w:val="00A6489B"/>
    <w:rsid w:val="00A648C2"/>
    <w:rsid w:val="00A651B2"/>
    <w:rsid w:val="00A65377"/>
    <w:rsid w:val="00A65572"/>
    <w:rsid w:val="00A6594D"/>
    <w:rsid w:val="00A65ABC"/>
    <w:rsid w:val="00A6661B"/>
    <w:rsid w:val="00A667B3"/>
    <w:rsid w:val="00A6683C"/>
    <w:rsid w:val="00A66D4C"/>
    <w:rsid w:val="00A66EA8"/>
    <w:rsid w:val="00A66EC6"/>
    <w:rsid w:val="00A66EFB"/>
    <w:rsid w:val="00A6706B"/>
    <w:rsid w:val="00A671F5"/>
    <w:rsid w:val="00A675D9"/>
    <w:rsid w:val="00A67B72"/>
    <w:rsid w:val="00A70159"/>
    <w:rsid w:val="00A70245"/>
    <w:rsid w:val="00A7054F"/>
    <w:rsid w:val="00A70EBB"/>
    <w:rsid w:val="00A720BB"/>
    <w:rsid w:val="00A7231D"/>
    <w:rsid w:val="00A725DE"/>
    <w:rsid w:val="00A72764"/>
    <w:rsid w:val="00A72DAE"/>
    <w:rsid w:val="00A72DF3"/>
    <w:rsid w:val="00A73282"/>
    <w:rsid w:val="00A7376F"/>
    <w:rsid w:val="00A737A0"/>
    <w:rsid w:val="00A7480D"/>
    <w:rsid w:val="00A74817"/>
    <w:rsid w:val="00A74B40"/>
    <w:rsid w:val="00A74D8D"/>
    <w:rsid w:val="00A75422"/>
    <w:rsid w:val="00A75E8D"/>
    <w:rsid w:val="00A75ED8"/>
    <w:rsid w:val="00A7601C"/>
    <w:rsid w:val="00A762B8"/>
    <w:rsid w:val="00A76381"/>
    <w:rsid w:val="00A76AAD"/>
    <w:rsid w:val="00A76DA6"/>
    <w:rsid w:val="00A76FC9"/>
    <w:rsid w:val="00A77190"/>
    <w:rsid w:val="00A772B4"/>
    <w:rsid w:val="00A774C1"/>
    <w:rsid w:val="00A7769C"/>
    <w:rsid w:val="00A779E9"/>
    <w:rsid w:val="00A77B37"/>
    <w:rsid w:val="00A77BD4"/>
    <w:rsid w:val="00A77F62"/>
    <w:rsid w:val="00A8004B"/>
    <w:rsid w:val="00A801A9"/>
    <w:rsid w:val="00A803F1"/>
    <w:rsid w:val="00A808DC"/>
    <w:rsid w:val="00A80A02"/>
    <w:rsid w:val="00A80B83"/>
    <w:rsid w:val="00A80C2E"/>
    <w:rsid w:val="00A80EA8"/>
    <w:rsid w:val="00A8189E"/>
    <w:rsid w:val="00A81AFC"/>
    <w:rsid w:val="00A8231D"/>
    <w:rsid w:val="00A82540"/>
    <w:rsid w:val="00A827A8"/>
    <w:rsid w:val="00A8299B"/>
    <w:rsid w:val="00A82F95"/>
    <w:rsid w:val="00A8318E"/>
    <w:rsid w:val="00A837E5"/>
    <w:rsid w:val="00A83E73"/>
    <w:rsid w:val="00A840BE"/>
    <w:rsid w:val="00A840D5"/>
    <w:rsid w:val="00A852A4"/>
    <w:rsid w:val="00A85CE0"/>
    <w:rsid w:val="00A85DE6"/>
    <w:rsid w:val="00A85E91"/>
    <w:rsid w:val="00A86139"/>
    <w:rsid w:val="00A86AC2"/>
    <w:rsid w:val="00A86EB4"/>
    <w:rsid w:val="00A87249"/>
    <w:rsid w:val="00A87F92"/>
    <w:rsid w:val="00A90916"/>
    <w:rsid w:val="00A90BDF"/>
    <w:rsid w:val="00A90C51"/>
    <w:rsid w:val="00A91E36"/>
    <w:rsid w:val="00A928F5"/>
    <w:rsid w:val="00A92CFF"/>
    <w:rsid w:val="00A92F0D"/>
    <w:rsid w:val="00A931FA"/>
    <w:rsid w:val="00A9428A"/>
    <w:rsid w:val="00A94862"/>
    <w:rsid w:val="00A94F5F"/>
    <w:rsid w:val="00A94FBC"/>
    <w:rsid w:val="00A952FE"/>
    <w:rsid w:val="00A9559C"/>
    <w:rsid w:val="00A95A3D"/>
    <w:rsid w:val="00A95E03"/>
    <w:rsid w:val="00A95EBD"/>
    <w:rsid w:val="00A95FD0"/>
    <w:rsid w:val="00A96476"/>
    <w:rsid w:val="00A96577"/>
    <w:rsid w:val="00A96627"/>
    <w:rsid w:val="00A968D0"/>
    <w:rsid w:val="00A976D9"/>
    <w:rsid w:val="00A97750"/>
    <w:rsid w:val="00A97CCE"/>
    <w:rsid w:val="00A97F0D"/>
    <w:rsid w:val="00AA02BE"/>
    <w:rsid w:val="00AA02FF"/>
    <w:rsid w:val="00AA0425"/>
    <w:rsid w:val="00AA04D7"/>
    <w:rsid w:val="00AA058E"/>
    <w:rsid w:val="00AA0E8C"/>
    <w:rsid w:val="00AA1B66"/>
    <w:rsid w:val="00AA1E93"/>
    <w:rsid w:val="00AA3189"/>
    <w:rsid w:val="00AA4392"/>
    <w:rsid w:val="00AA4E36"/>
    <w:rsid w:val="00AA4F4C"/>
    <w:rsid w:val="00AA629F"/>
    <w:rsid w:val="00AA64B0"/>
    <w:rsid w:val="00AA6642"/>
    <w:rsid w:val="00AA6996"/>
    <w:rsid w:val="00AA6A66"/>
    <w:rsid w:val="00AA6BDD"/>
    <w:rsid w:val="00AA7658"/>
    <w:rsid w:val="00AA7DAB"/>
    <w:rsid w:val="00AA7E82"/>
    <w:rsid w:val="00AB00A2"/>
    <w:rsid w:val="00AB01A1"/>
    <w:rsid w:val="00AB0412"/>
    <w:rsid w:val="00AB1025"/>
    <w:rsid w:val="00AB165B"/>
    <w:rsid w:val="00AB1978"/>
    <w:rsid w:val="00AB1BC3"/>
    <w:rsid w:val="00AB1C4B"/>
    <w:rsid w:val="00AB1D4D"/>
    <w:rsid w:val="00AB232D"/>
    <w:rsid w:val="00AB2397"/>
    <w:rsid w:val="00AB2B90"/>
    <w:rsid w:val="00AB2C97"/>
    <w:rsid w:val="00AB2DDE"/>
    <w:rsid w:val="00AB2F46"/>
    <w:rsid w:val="00AB3319"/>
    <w:rsid w:val="00AB3837"/>
    <w:rsid w:val="00AB393F"/>
    <w:rsid w:val="00AB3A99"/>
    <w:rsid w:val="00AB3D67"/>
    <w:rsid w:val="00AB3FE1"/>
    <w:rsid w:val="00AB40BA"/>
    <w:rsid w:val="00AB413E"/>
    <w:rsid w:val="00AB4CE3"/>
    <w:rsid w:val="00AB4D6B"/>
    <w:rsid w:val="00AB4E51"/>
    <w:rsid w:val="00AB550F"/>
    <w:rsid w:val="00AB638B"/>
    <w:rsid w:val="00AB63E5"/>
    <w:rsid w:val="00AB6610"/>
    <w:rsid w:val="00AB67AA"/>
    <w:rsid w:val="00AB6BEF"/>
    <w:rsid w:val="00AB70B4"/>
    <w:rsid w:val="00AB725A"/>
    <w:rsid w:val="00AB78C9"/>
    <w:rsid w:val="00AB796B"/>
    <w:rsid w:val="00AB7970"/>
    <w:rsid w:val="00AB7B8D"/>
    <w:rsid w:val="00AB7EF6"/>
    <w:rsid w:val="00AC06B8"/>
    <w:rsid w:val="00AC072A"/>
    <w:rsid w:val="00AC0B36"/>
    <w:rsid w:val="00AC0B58"/>
    <w:rsid w:val="00AC0C9F"/>
    <w:rsid w:val="00AC0F2C"/>
    <w:rsid w:val="00AC14E2"/>
    <w:rsid w:val="00AC1E28"/>
    <w:rsid w:val="00AC24E6"/>
    <w:rsid w:val="00AC3054"/>
    <w:rsid w:val="00AC38F7"/>
    <w:rsid w:val="00AC4299"/>
    <w:rsid w:val="00AC4963"/>
    <w:rsid w:val="00AC49BB"/>
    <w:rsid w:val="00AC4C96"/>
    <w:rsid w:val="00AC4E3A"/>
    <w:rsid w:val="00AC4E9C"/>
    <w:rsid w:val="00AC5975"/>
    <w:rsid w:val="00AC5BC1"/>
    <w:rsid w:val="00AC5D72"/>
    <w:rsid w:val="00AC5F45"/>
    <w:rsid w:val="00AC6255"/>
    <w:rsid w:val="00AC6339"/>
    <w:rsid w:val="00AC654C"/>
    <w:rsid w:val="00AC6570"/>
    <w:rsid w:val="00AC70D3"/>
    <w:rsid w:val="00AC7107"/>
    <w:rsid w:val="00AC7261"/>
    <w:rsid w:val="00AC788C"/>
    <w:rsid w:val="00AD0050"/>
    <w:rsid w:val="00AD02DF"/>
    <w:rsid w:val="00AD061B"/>
    <w:rsid w:val="00AD0C6F"/>
    <w:rsid w:val="00AD18D0"/>
    <w:rsid w:val="00AD1A08"/>
    <w:rsid w:val="00AD24F3"/>
    <w:rsid w:val="00AD3D94"/>
    <w:rsid w:val="00AD3E7C"/>
    <w:rsid w:val="00AD4321"/>
    <w:rsid w:val="00AD440A"/>
    <w:rsid w:val="00AD4571"/>
    <w:rsid w:val="00AD4A76"/>
    <w:rsid w:val="00AD4A9F"/>
    <w:rsid w:val="00AD4C07"/>
    <w:rsid w:val="00AD5151"/>
    <w:rsid w:val="00AD6000"/>
    <w:rsid w:val="00AD627C"/>
    <w:rsid w:val="00AD6F03"/>
    <w:rsid w:val="00AD6FCE"/>
    <w:rsid w:val="00AD6FF1"/>
    <w:rsid w:val="00AD70F1"/>
    <w:rsid w:val="00AD7434"/>
    <w:rsid w:val="00AE080C"/>
    <w:rsid w:val="00AE08E4"/>
    <w:rsid w:val="00AE0A6A"/>
    <w:rsid w:val="00AE0C1B"/>
    <w:rsid w:val="00AE1C7D"/>
    <w:rsid w:val="00AE1CD7"/>
    <w:rsid w:val="00AE1FFA"/>
    <w:rsid w:val="00AE28A0"/>
    <w:rsid w:val="00AE2AA1"/>
    <w:rsid w:val="00AE3011"/>
    <w:rsid w:val="00AE391C"/>
    <w:rsid w:val="00AE3D0A"/>
    <w:rsid w:val="00AE3D79"/>
    <w:rsid w:val="00AE3F8E"/>
    <w:rsid w:val="00AE47EF"/>
    <w:rsid w:val="00AE49B2"/>
    <w:rsid w:val="00AE4AE4"/>
    <w:rsid w:val="00AE4C83"/>
    <w:rsid w:val="00AE510C"/>
    <w:rsid w:val="00AE54E9"/>
    <w:rsid w:val="00AE6655"/>
    <w:rsid w:val="00AE6CB8"/>
    <w:rsid w:val="00AE7CD3"/>
    <w:rsid w:val="00AF0017"/>
    <w:rsid w:val="00AF003B"/>
    <w:rsid w:val="00AF07E2"/>
    <w:rsid w:val="00AF0D6E"/>
    <w:rsid w:val="00AF0EDC"/>
    <w:rsid w:val="00AF1037"/>
    <w:rsid w:val="00AF1104"/>
    <w:rsid w:val="00AF18F2"/>
    <w:rsid w:val="00AF19C5"/>
    <w:rsid w:val="00AF1C9B"/>
    <w:rsid w:val="00AF1E50"/>
    <w:rsid w:val="00AF1F57"/>
    <w:rsid w:val="00AF269A"/>
    <w:rsid w:val="00AF2AB4"/>
    <w:rsid w:val="00AF2EF6"/>
    <w:rsid w:val="00AF300C"/>
    <w:rsid w:val="00AF318F"/>
    <w:rsid w:val="00AF3C10"/>
    <w:rsid w:val="00AF3D7A"/>
    <w:rsid w:val="00AF47B4"/>
    <w:rsid w:val="00AF4B50"/>
    <w:rsid w:val="00AF4ED2"/>
    <w:rsid w:val="00AF4F1C"/>
    <w:rsid w:val="00AF5025"/>
    <w:rsid w:val="00AF5965"/>
    <w:rsid w:val="00AF5A06"/>
    <w:rsid w:val="00AF5A7D"/>
    <w:rsid w:val="00AF5BEC"/>
    <w:rsid w:val="00AF5CA3"/>
    <w:rsid w:val="00AF62BC"/>
    <w:rsid w:val="00AF672F"/>
    <w:rsid w:val="00AF6B95"/>
    <w:rsid w:val="00AF6F2C"/>
    <w:rsid w:val="00AF7783"/>
    <w:rsid w:val="00AF7B78"/>
    <w:rsid w:val="00AF7B8B"/>
    <w:rsid w:val="00AF7FA5"/>
    <w:rsid w:val="00B00469"/>
    <w:rsid w:val="00B006E9"/>
    <w:rsid w:val="00B0111E"/>
    <w:rsid w:val="00B01163"/>
    <w:rsid w:val="00B011E2"/>
    <w:rsid w:val="00B01684"/>
    <w:rsid w:val="00B01D1D"/>
    <w:rsid w:val="00B0203E"/>
    <w:rsid w:val="00B0233A"/>
    <w:rsid w:val="00B024AD"/>
    <w:rsid w:val="00B024D7"/>
    <w:rsid w:val="00B0261B"/>
    <w:rsid w:val="00B026C4"/>
    <w:rsid w:val="00B0371A"/>
    <w:rsid w:val="00B042CB"/>
    <w:rsid w:val="00B048F1"/>
    <w:rsid w:val="00B049B4"/>
    <w:rsid w:val="00B04D23"/>
    <w:rsid w:val="00B0509E"/>
    <w:rsid w:val="00B057CA"/>
    <w:rsid w:val="00B059D4"/>
    <w:rsid w:val="00B05E03"/>
    <w:rsid w:val="00B0641E"/>
    <w:rsid w:val="00B065CA"/>
    <w:rsid w:val="00B06F5A"/>
    <w:rsid w:val="00B10004"/>
    <w:rsid w:val="00B104A0"/>
    <w:rsid w:val="00B1053F"/>
    <w:rsid w:val="00B11248"/>
    <w:rsid w:val="00B11505"/>
    <w:rsid w:val="00B1174D"/>
    <w:rsid w:val="00B11D0D"/>
    <w:rsid w:val="00B11D4D"/>
    <w:rsid w:val="00B11D50"/>
    <w:rsid w:val="00B11E71"/>
    <w:rsid w:val="00B123AB"/>
    <w:rsid w:val="00B12632"/>
    <w:rsid w:val="00B12EA6"/>
    <w:rsid w:val="00B13061"/>
    <w:rsid w:val="00B1337C"/>
    <w:rsid w:val="00B13638"/>
    <w:rsid w:val="00B1367F"/>
    <w:rsid w:val="00B136AE"/>
    <w:rsid w:val="00B13C79"/>
    <w:rsid w:val="00B1403F"/>
    <w:rsid w:val="00B1417C"/>
    <w:rsid w:val="00B14216"/>
    <w:rsid w:val="00B14253"/>
    <w:rsid w:val="00B145A2"/>
    <w:rsid w:val="00B148D1"/>
    <w:rsid w:val="00B14BBF"/>
    <w:rsid w:val="00B14C95"/>
    <w:rsid w:val="00B15280"/>
    <w:rsid w:val="00B15DB6"/>
    <w:rsid w:val="00B15E5A"/>
    <w:rsid w:val="00B1618D"/>
    <w:rsid w:val="00B161D3"/>
    <w:rsid w:val="00B16847"/>
    <w:rsid w:val="00B16A6A"/>
    <w:rsid w:val="00B16DF4"/>
    <w:rsid w:val="00B17100"/>
    <w:rsid w:val="00B171C0"/>
    <w:rsid w:val="00B1769B"/>
    <w:rsid w:val="00B17999"/>
    <w:rsid w:val="00B17DFF"/>
    <w:rsid w:val="00B17F52"/>
    <w:rsid w:val="00B20317"/>
    <w:rsid w:val="00B20585"/>
    <w:rsid w:val="00B20894"/>
    <w:rsid w:val="00B20B37"/>
    <w:rsid w:val="00B20E5D"/>
    <w:rsid w:val="00B2107A"/>
    <w:rsid w:val="00B2164F"/>
    <w:rsid w:val="00B21B15"/>
    <w:rsid w:val="00B21DE2"/>
    <w:rsid w:val="00B21E50"/>
    <w:rsid w:val="00B22110"/>
    <w:rsid w:val="00B222B6"/>
    <w:rsid w:val="00B223EC"/>
    <w:rsid w:val="00B224F7"/>
    <w:rsid w:val="00B2266E"/>
    <w:rsid w:val="00B22E27"/>
    <w:rsid w:val="00B22F22"/>
    <w:rsid w:val="00B23005"/>
    <w:rsid w:val="00B23539"/>
    <w:rsid w:val="00B236B5"/>
    <w:rsid w:val="00B23AFC"/>
    <w:rsid w:val="00B24168"/>
    <w:rsid w:val="00B24CA5"/>
    <w:rsid w:val="00B251BF"/>
    <w:rsid w:val="00B25EC5"/>
    <w:rsid w:val="00B261CE"/>
    <w:rsid w:val="00B267A1"/>
    <w:rsid w:val="00B26927"/>
    <w:rsid w:val="00B27DE8"/>
    <w:rsid w:val="00B30046"/>
    <w:rsid w:val="00B30480"/>
    <w:rsid w:val="00B30873"/>
    <w:rsid w:val="00B3089D"/>
    <w:rsid w:val="00B30DF8"/>
    <w:rsid w:val="00B30FAC"/>
    <w:rsid w:val="00B31429"/>
    <w:rsid w:val="00B31D8A"/>
    <w:rsid w:val="00B32012"/>
    <w:rsid w:val="00B32AFB"/>
    <w:rsid w:val="00B32C14"/>
    <w:rsid w:val="00B338E9"/>
    <w:rsid w:val="00B34001"/>
    <w:rsid w:val="00B340DA"/>
    <w:rsid w:val="00B34346"/>
    <w:rsid w:val="00B3451B"/>
    <w:rsid w:val="00B3451C"/>
    <w:rsid w:val="00B34B0B"/>
    <w:rsid w:val="00B34B77"/>
    <w:rsid w:val="00B34DD6"/>
    <w:rsid w:val="00B34E8F"/>
    <w:rsid w:val="00B34FCD"/>
    <w:rsid w:val="00B3590A"/>
    <w:rsid w:val="00B35C96"/>
    <w:rsid w:val="00B35F80"/>
    <w:rsid w:val="00B36481"/>
    <w:rsid w:val="00B3662F"/>
    <w:rsid w:val="00B36BA6"/>
    <w:rsid w:val="00B36EAA"/>
    <w:rsid w:val="00B37163"/>
    <w:rsid w:val="00B37743"/>
    <w:rsid w:val="00B37BFA"/>
    <w:rsid w:val="00B4177D"/>
    <w:rsid w:val="00B42594"/>
    <w:rsid w:val="00B42994"/>
    <w:rsid w:val="00B42A65"/>
    <w:rsid w:val="00B42D45"/>
    <w:rsid w:val="00B431BD"/>
    <w:rsid w:val="00B43959"/>
    <w:rsid w:val="00B439B1"/>
    <w:rsid w:val="00B43B60"/>
    <w:rsid w:val="00B43C2A"/>
    <w:rsid w:val="00B43F29"/>
    <w:rsid w:val="00B4423C"/>
    <w:rsid w:val="00B442BD"/>
    <w:rsid w:val="00B44F8C"/>
    <w:rsid w:val="00B4512A"/>
    <w:rsid w:val="00B45527"/>
    <w:rsid w:val="00B45B2A"/>
    <w:rsid w:val="00B47F0C"/>
    <w:rsid w:val="00B50194"/>
    <w:rsid w:val="00B501AC"/>
    <w:rsid w:val="00B50D10"/>
    <w:rsid w:val="00B511EE"/>
    <w:rsid w:val="00B5153D"/>
    <w:rsid w:val="00B51CC6"/>
    <w:rsid w:val="00B51F42"/>
    <w:rsid w:val="00B522A4"/>
    <w:rsid w:val="00B52872"/>
    <w:rsid w:val="00B53030"/>
    <w:rsid w:val="00B535E3"/>
    <w:rsid w:val="00B53847"/>
    <w:rsid w:val="00B53939"/>
    <w:rsid w:val="00B5416D"/>
    <w:rsid w:val="00B54264"/>
    <w:rsid w:val="00B542AB"/>
    <w:rsid w:val="00B551D4"/>
    <w:rsid w:val="00B5535F"/>
    <w:rsid w:val="00B554AF"/>
    <w:rsid w:val="00B55794"/>
    <w:rsid w:val="00B56331"/>
    <w:rsid w:val="00B56AB8"/>
    <w:rsid w:val="00B571D6"/>
    <w:rsid w:val="00B57B40"/>
    <w:rsid w:val="00B57DCB"/>
    <w:rsid w:val="00B60371"/>
    <w:rsid w:val="00B60385"/>
    <w:rsid w:val="00B611CB"/>
    <w:rsid w:val="00B61482"/>
    <w:rsid w:val="00B61D5C"/>
    <w:rsid w:val="00B62277"/>
    <w:rsid w:val="00B62635"/>
    <w:rsid w:val="00B62904"/>
    <w:rsid w:val="00B62F65"/>
    <w:rsid w:val="00B6323B"/>
    <w:rsid w:val="00B63A2F"/>
    <w:rsid w:val="00B643B0"/>
    <w:rsid w:val="00B64DD1"/>
    <w:rsid w:val="00B656B8"/>
    <w:rsid w:val="00B657C6"/>
    <w:rsid w:val="00B65C62"/>
    <w:rsid w:val="00B6637B"/>
    <w:rsid w:val="00B66DF4"/>
    <w:rsid w:val="00B702C9"/>
    <w:rsid w:val="00B70800"/>
    <w:rsid w:val="00B70A6C"/>
    <w:rsid w:val="00B70A73"/>
    <w:rsid w:val="00B70BF1"/>
    <w:rsid w:val="00B71000"/>
    <w:rsid w:val="00B71532"/>
    <w:rsid w:val="00B7155C"/>
    <w:rsid w:val="00B71CD5"/>
    <w:rsid w:val="00B71DAC"/>
    <w:rsid w:val="00B725BE"/>
    <w:rsid w:val="00B7283C"/>
    <w:rsid w:val="00B728AB"/>
    <w:rsid w:val="00B72E87"/>
    <w:rsid w:val="00B730C7"/>
    <w:rsid w:val="00B7350E"/>
    <w:rsid w:val="00B73E38"/>
    <w:rsid w:val="00B7408D"/>
    <w:rsid w:val="00B74792"/>
    <w:rsid w:val="00B74824"/>
    <w:rsid w:val="00B74827"/>
    <w:rsid w:val="00B74B3D"/>
    <w:rsid w:val="00B74FA2"/>
    <w:rsid w:val="00B7589B"/>
    <w:rsid w:val="00B759BA"/>
    <w:rsid w:val="00B75F07"/>
    <w:rsid w:val="00B76A97"/>
    <w:rsid w:val="00B770C6"/>
    <w:rsid w:val="00B77440"/>
    <w:rsid w:val="00B775A9"/>
    <w:rsid w:val="00B77900"/>
    <w:rsid w:val="00B779AF"/>
    <w:rsid w:val="00B80267"/>
    <w:rsid w:val="00B80373"/>
    <w:rsid w:val="00B811B0"/>
    <w:rsid w:val="00B8122D"/>
    <w:rsid w:val="00B81389"/>
    <w:rsid w:val="00B816A3"/>
    <w:rsid w:val="00B81785"/>
    <w:rsid w:val="00B822A4"/>
    <w:rsid w:val="00B828FF"/>
    <w:rsid w:val="00B82F08"/>
    <w:rsid w:val="00B833FB"/>
    <w:rsid w:val="00B83834"/>
    <w:rsid w:val="00B83D6A"/>
    <w:rsid w:val="00B841CA"/>
    <w:rsid w:val="00B846EC"/>
    <w:rsid w:val="00B84DD1"/>
    <w:rsid w:val="00B85030"/>
    <w:rsid w:val="00B8560C"/>
    <w:rsid w:val="00B8575F"/>
    <w:rsid w:val="00B85F75"/>
    <w:rsid w:val="00B86114"/>
    <w:rsid w:val="00B86CA9"/>
    <w:rsid w:val="00B86CE4"/>
    <w:rsid w:val="00B86E03"/>
    <w:rsid w:val="00B870D4"/>
    <w:rsid w:val="00B87342"/>
    <w:rsid w:val="00B876A7"/>
    <w:rsid w:val="00B87911"/>
    <w:rsid w:val="00B87C4A"/>
    <w:rsid w:val="00B87D95"/>
    <w:rsid w:val="00B87EBD"/>
    <w:rsid w:val="00B90350"/>
    <w:rsid w:val="00B903C5"/>
    <w:rsid w:val="00B906DA"/>
    <w:rsid w:val="00B90FED"/>
    <w:rsid w:val="00B91440"/>
    <w:rsid w:val="00B91559"/>
    <w:rsid w:val="00B918B1"/>
    <w:rsid w:val="00B920D8"/>
    <w:rsid w:val="00B92665"/>
    <w:rsid w:val="00B92977"/>
    <w:rsid w:val="00B9368F"/>
    <w:rsid w:val="00B93A69"/>
    <w:rsid w:val="00B93FA1"/>
    <w:rsid w:val="00B94D32"/>
    <w:rsid w:val="00B954F5"/>
    <w:rsid w:val="00B9562F"/>
    <w:rsid w:val="00B95838"/>
    <w:rsid w:val="00B95933"/>
    <w:rsid w:val="00B96B9F"/>
    <w:rsid w:val="00B96F5F"/>
    <w:rsid w:val="00B96FBD"/>
    <w:rsid w:val="00B974E3"/>
    <w:rsid w:val="00B976CF"/>
    <w:rsid w:val="00B979EC"/>
    <w:rsid w:val="00B97F1B"/>
    <w:rsid w:val="00BA034F"/>
    <w:rsid w:val="00BA05FE"/>
    <w:rsid w:val="00BA08AC"/>
    <w:rsid w:val="00BA170E"/>
    <w:rsid w:val="00BA1C6C"/>
    <w:rsid w:val="00BA2863"/>
    <w:rsid w:val="00BA31DF"/>
    <w:rsid w:val="00BA325A"/>
    <w:rsid w:val="00BA39E2"/>
    <w:rsid w:val="00BA52D8"/>
    <w:rsid w:val="00BA53A5"/>
    <w:rsid w:val="00BA5424"/>
    <w:rsid w:val="00BA54B4"/>
    <w:rsid w:val="00BA58FE"/>
    <w:rsid w:val="00BA5C1F"/>
    <w:rsid w:val="00BA6384"/>
    <w:rsid w:val="00BA65DD"/>
    <w:rsid w:val="00BA670F"/>
    <w:rsid w:val="00BA6B9E"/>
    <w:rsid w:val="00BA6E03"/>
    <w:rsid w:val="00BA7215"/>
    <w:rsid w:val="00BA7643"/>
    <w:rsid w:val="00BA7735"/>
    <w:rsid w:val="00BA78EA"/>
    <w:rsid w:val="00BA7C1B"/>
    <w:rsid w:val="00BA7CE0"/>
    <w:rsid w:val="00BA7E96"/>
    <w:rsid w:val="00BB0243"/>
    <w:rsid w:val="00BB0847"/>
    <w:rsid w:val="00BB0EB4"/>
    <w:rsid w:val="00BB1292"/>
    <w:rsid w:val="00BB1699"/>
    <w:rsid w:val="00BB169C"/>
    <w:rsid w:val="00BB1B9E"/>
    <w:rsid w:val="00BB1BEC"/>
    <w:rsid w:val="00BB1FA5"/>
    <w:rsid w:val="00BB2063"/>
    <w:rsid w:val="00BB22D4"/>
    <w:rsid w:val="00BB3574"/>
    <w:rsid w:val="00BB3CBE"/>
    <w:rsid w:val="00BB3F83"/>
    <w:rsid w:val="00BB4176"/>
    <w:rsid w:val="00BB4211"/>
    <w:rsid w:val="00BB4E47"/>
    <w:rsid w:val="00BB503A"/>
    <w:rsid w:val="00BB50BB"/>
    <w:rsid w:val="00BB548D"/>
    <w:rsid w:val="00BB5B5D"/>
    <w:rsid w:val="00BB5C79"/>
    <w:rsid w:val="00BB632B"/>
    <w:rsid w:val="00BB6397"/>
    <w:rsid w:val="00BB6C79"/>
    <w:rsid w:val="00BB6D1C"/>
    <w:rsid w:val="00BB7008"/>
    <w:rsid w:val="00BB73C8"/>
    <w:rsid w:val="00BB7E19"/>
    <w:rsid w:val="00BB7F21"/>
    <w:rsid w:val="00BC05EA"/>
    <w:rsid w:val="00BC0624"/>
    <w:rsid w:val="00BC068F"/>
    <w:rsid w:val="00BC0A7F"/>
    <w:rsid w:val="00BC1220"/>
    <w:rsid w:val="00BC1A06"/>
    <w:rsid w:val="00BC1B09"/>
    <w:rsid w:val="00BC2787"/>
    <w:rsid w:val="00BC27D3"/>
    <w:rsid w:val="00BC2925"/>
    <w:rsid w:val="00BC2C58"/>
    <w:rsid w:val="00BC35BD"/>
    <w:rsid w:val="00BC3CF6"/>
    <w:rsid w:val="00BC3F13"/>
    <w:rsid w:val="00BC40B5"/>
    <w:rsid w:val="00BC43FD"/>
    <w:rsid w:val="00BC47BF"/>
    <w:rsid w:val="00BC4F1C"/>
    <w:rsid w:val="00BC5D00"/>
    <w:rsid w:val="00BC5D7D"/>
    <w:rsid w:val="00BC61CD"/>
    <w:rsid w:val="00BC67C0"/>
    <w:rsid w:val="00BC6EC7"/>
    <w:rsid w:val="00BC6F41"/>
    <w:rsid w:val="00BC7632"/>
    <w:rsid w:val="00BC7666"/>
    <w:rsid w:val="00BC7784"/>
    <w:rsid w:val="00BC793E"/>
    <w:rsid w:val="00BC7F91"/>
    <w:rsid w:val="00BD02D2"/>
    <w:rsid w:val="00BD1270"/>
    <w:rsid w:val="00BD1288"/>
    <w:rsid w:val="00BD1379"/>
    <w:rsid w:val="00BD2808"/>
    <w:rsid w:val="00BD2FE7"/>
    <w:rsid w:val="00BD35A4"/>
    <w:rsid w:val="00BD36DE"/>
    <w:rsid w:val="00BD414C"/>
    <w:rsid w:val="00BD4E13"/>
    <w:rsid w:val="00BD52C3"/>
    <w:rsid w:val="00BD5485"/>
    <w:rsid w:val="00BD5A3B"/>
    <w:rsid w:val="00BD5CCE"/>
    <w:rsid w:val="00BD5F43"/>
    <w:rsid w:val="00BD63EB"/>
    <w:rsid w:val="00BD661B"/>
    <w:rsid w:val="00BD687C"/>
    <w:rsid w:val="00BD6A76"/>
    <w:rsid w:val="00BD6C30"/>
    <w:rsid w:val="00BD6D73"/>
    <w:rsid w:val="00BD6DB9"/>
    <w:rsid w:val="00BD7412"/>
    <w:rsid w:val="00BD75D1"/>
    <w:rsid w:val="00BD7A7C"/>
    <w:rsid w:val="00BD7ACF"/>
    <w:rsid w:val="00BE029D"/>
    <w:rsid w:val="00BE0363"/>
    <w:rsid w:val="00BE0A45"/>
    <w:rsid w:val="00BE1233"/>
    <w:rsid w:val="00BE1311"/>
    <w:rsid w:val="00BE19C2"/>
    <w:rsid w:val="00BE1B8D"/>
    <w:rsid w:val="00BE2481"/>
    <w:rsid w:val="00BE2635"/>
    <w:rsid w:val="00BE316D"/>
    <w:rsid w:val="00BE32DE"/>
    <w:rsid w:val="00BE358B"/>
    <w:rsid w:val="00BE3A15"/>
    <w:rsid w:val="00BE3CAA"/>
    <w:rsid w:val="00BE4109"/>
    <w:rsid w:val="00BE42E9"/>
    <w:rsid w:val="00BE432C"/>
    <w:rsid w:val="00BE447B"/>
    <w:rsid w:val="00BE450D"/>
    <w:rsid w:val="00BE4782"/>
    <w:rsid w:val="00BE47D8"/>
    <w:rsid w:val="00BE48EF"/>
    <w:rsid w:val="00BE49A0"/>
    <w:rsid w:val="00BE4E77"/>
    <w:rsid w:val="00BE4FD9"/>
    <w:rsid w:val="00BE567A"/>
    <w:rsid w:val="00BE5B1A"/>
    <w:rsid w:val="00BE5D73"/>
    <w:rsid w:val="00BE61EA"/>
    <w:rsid w:val="00BE6617"/>
    <w:rsid w:val="00BE6DFE"/>
    <w:rsid w:val="00BE6E3B"/>
    <w:rsid w:val="00BE7DD8"/>
    <w:rsid w:val="00BF0637"/>
    <w:rsid w:val="00BF0A6F"/>
    <w:rsid w:val="00BF124A"/>
    <w:rsid w:val="00BF143E"/>
    <w:rsid w:val="00BF1810"/>
    <w:rsid w:val="00BF25E9"/>
    <w:rsid w:val="00BF2907"/>
    <w:rsid w:val="00BF37A9"/>
    <w:rsid w:val="00BF4551"/>
    <w:rsid w:val="00BF4770"/>
    <w:rsid w:val="00BF496E"/>
    <w:rsid w:val="00BF4B98"/>
    <w:rsid w:val="00BF4C5B"/>
    <w:rsid w:val="00BF4D48"/>
    <w:rsid w:val="00BF5106"/>
    <w:rsid w:val="00BF540A"/>
    <w:rsid w:val="00BF5D03"/>
    <w:rsid w:val="00BF5D10"/>
    <w:rsid w:val="00BF61D3"/>
    <w:rsid w:val="00BF67D7"/>
    <w:rsid w:val="00BF6EC1"/>
    <w:rsid w:val="00BF7042"/>
    <w:rsid w:val="00BF7257"/>
    <w:rsid w:val="00BF776D"/>
    <w:rsid w:val="00BF7CC2"/>
    <w:rsid w:val="00C003A5"/>
    <w:rsid w:val="00C00C5B"/>
    <w:rsid w:val="00C01220"/>
    <w:rsid w:val="00C017D1"/>
    <w:rsid w:val="00C029BC"/>
    <w:rsid w:val="00C0305E"/>
    <w:rsid w:val="00C03253"/>
    <w:rsid w:val="00C038A4"/>
    <w:rsid w:val="00C03C43"/>
    <w:rsid w:val="00C043E8"/>
    <w:rsid w:val="00C04D37"/>
    <w:rsid w:val="00C05941"/>
    <w:rsid w:val="00C06092"/>
    <w:rsid w:val="00C06386"/>
    <w:rsid w:val="00C0643E"/>
    <w:rsid w:val="00C0650B"/>
    <w:rsid w:val="00C0657C"/>
    <w:rsid w:val="00C06B3E"/>
    <w:rsid w:val="00C074C4"/>
    <w:rsid w:val="00C1004A"/>
    <w:rsid w:val="00C10606"/>
    <w:rsid w:val="00C10CD4"/>
    <w:rsid w:val="00C11B21"/>
    <w:rsid w:val="00C11B8D"/>
    <w:rsid w:val="00C11CAB"/>
    <w:rsid w:val="00C11D77"/>
    <w:rsid w:val="00C11F10"/>
    <w:rsid w:val="00C12AE0"/>
    <w:rsid w:val="00C12CCF"/>
    <w:rsid w:val="00C12FEB"/>
    <w:rsid w:val="00C13246"/>
    <w:rsid w:val="00C132CA"/>
    <w:rsid w:val="00C13673"/>
    <w:rsid w:val="00C13743"/>
    <w:rsid w:val="00C13DBA"/>
    <w:rsid w:val="00C140C6"/>
    <w:rsid w:val="00C14261"/>
    <w:rsid w:val="00C144EF"/>
    <w:rsid w:val="00C14E1B"/>
    <w:rsid w:val="00C1534E"/>
    <w:rsid w:val="00C15718"/>
    <w:rsid w:val="00C15B74"/>
    <w:rsid w:val="00C161BA"/>
    <w:rsid w:val="00C1655D"/>
    <w:rsid w:val="00C1716D"/>
    <w:rsid w:val="00C17E95"/>
    <w:rsid w:val="00C20175"/>
    <w:rsid w:val="00C2024C"/>
    <w:rsid w:val="00C2047C"/>
    <w:rsid w:val="00C20B1A"/>
    <w:rsid w:val="00C20CE0"/>
    <w:rsid w:val="00C20D6B"/>
    <w:rsid w:val="00C20F78"/>
    <w:rsid w:val="00C2101B"/>
    <w:rsid w:val="00C211DC"/>
    <w:rsid w:val="00C2135F"/>
    <w:rsid w:val="00C214B9"/>
    <w:rsid w:val="00C216DF"/>
    <w:rsid w:val="00C224A1"/>
    <w:rsid w:val="00C22AF4"/>
    <w:rsid w:val="00C233C6"/>
    <w:rsid w:val="00C234F6"/>
    <w:rsid w:val="00C23945"/>
    <w:rsid w:val="00C23D4E"/>
    <w:rsid w:val="00C23E48"/>
    <w:rsid w:val="00C24D70"/>
    <w:rsid w:val="00C24ED2"/>
    <w:rsid w:val="00C25670"/>
    <w:rsid w:val="00C258C7"/>
    <w:rsid w:val="00C259E2"/>
    <w:rsid w:val="00C2636B"/>
    <w:rsid w:val="00C264C7"/>
    <w:rsid w:val="00C26869"/>
    <w:rsid w:val="00C277FB"/>
    <w:rsid w:val="00C27CEA"/>
    <w:rsid w:val="00C30639"/>
    <w:rsid w:val="00C306B3"/>
    <w:rsid w:val="00C306F6"/>
    <w:rsid w:val="00C30F55"/>
    <w:rsid w:val="00C314FC"/>
    <w:rsid w:val="00C3194E"/>
    <w:rsid w:val="00C31AEC"/>
    <w:rsid w:val="00C31BBB"/>
    <w:rsid w:val="00C3204A"/>
    <w:rsid w:val="00C32D20"/>
    <w:rsid w:val="00C3336A"/>
    <w:rsid w:val="00C34061"/>
    <w:rsid w:val="00C345ED"/>
    <w:rsid w:val="00C3470B"/>
    <w:rsid w:val="00C34778"/>
    <w:rsid w:val="00C34837"/>
    <w:rsid w:val="00C348B3"/>
    <w:rsid w:val="00C3548F"/>
    <w:rsid w:val="00C356C8"/>
    <w:rsid w:val="00C35970"/>
    <w:rsid w:val="00C367B4"/>
    <w:rsid w:val="00C368AA"/>
    <w:rsid w:val="00C36B2D"/>
    <w:rsid w:val="00C372A7"/>
    <w:rsid w:val="00C37615"/>
    <w:rsid w:val="00C37B29"/>
    <w:rsid w:val="00C37D9E"/>
    <w:rsid w:val="00C4097B"/>
    <w:rsid w:val="00C40C32"/>
    <w:rsid w:val="00C40D23"/>
    <w:rsid w:val="00C40D60"/>
    <w:rsid w:val="00C41B7A"/>
    <w:rsid w:val="00C42408"/>
    <w:rsid w:val="00C428CD"/>
    <w:rsid w:val="00C4348B"/>
    <w:rsid w:val="00C439A7"/>
    <w:rsid w:val="00C43A7D"/>
    <w:rsid w:val="00C4425F"/>
    <w:rsid w:val="00C4438C"/>
    <w:rsid w:val="00C44421"/>
    <w:rsid w:val="00C447D2"/>
    <w:rsid w:val="00C44A04"/>
    <w:rsid w:val="00C45411"/>
    <w:rsid w:val="00C4599C"/>
    <w:rsid w:val="00C461E0"/>
    <w:rsid w:val="00C463D4"/>
    <w:rsid w:val="00C465E1"/>
    <w:rsid w:val="00C46954"/>
    <w:rsid w:val="00C46B50"/>
    <w:rsid w:val="00C46BFF"/>
    <w:rsid w:val="00C46DB1"/>
    <w:rsid w:val="00C4706F"/>
    <w:rsid w:val="00C473A1"/>
    <w:rsid w:val="00C475BB"/>
    <w:rsid w:val="00C47B79"/>
    <w:rsid w:val="00C47BD3"/>
    <w:rsid w:val="00C50407"/>
    <w:rsid w:val="00C504D3"/>
    <w:rsid w:val="00C51260"/>
    <w:rsid w:val="00C51C51"/>
    <w:rsid w:val="00C520F7"/>
    <w:rsid w:val="00C528BA"/>
    <w:rsid w:val="00C52A7F"/>
    <w:rsid w:val="00C52B3C"/>
    <w:rsid w:val="00C52C8F"/>
    <w:rsid w:val="00C53358"/>
    <w:rsid w:val="00C5351C"/>
    <w:rsid w:val="00C536B3"/>
    <w:rsid w:val="00C53B22"/>
    <w:rsid w:val="00C53E68"/>
    <w:rsid w:val="00C54054"/>
    <w:rsid w:val="00C542A9"/>
    <w:rsid w:val="00C5442F"/>
    <w:rsid w:val="00C54467"/>
    <w:rsid w:val="00C54643"/>
    <w:rsid w:val="00C54763"/>
    <w:rsid w:val="00C553E7"/>
    <w:rsid w:val="00C55547"/>
    <w:rsid w:val="00C55649"/>
    <w:rsid w:val="00C560FD"/>
    <w:rsid w:val="00C563A1"/>
    <w:rsid w:val="00C56B37"/>
    <w:rsid w:val="00C57102"/>
    <w:rsid w:val="00C571BC"/>
    <w:rsid w:val="00C576F8"/>
    <w:rsid w:val="00C578D4"/>
    <w:rsid w:val="00C57BC1"/>
    <w:rsid w:val="00C57F07"/>
    <w:rsid w:val="00C57F69"/>
    <w:rsid w:val="00C57F6D"/>
    <w:rsid w:val="00C604F5"/>
    <w:rsid w:val="00C6077A"/>
    <w:rsid w:val="00C607FF"/>
    <w:rsid w:val="00C60FB9"/>
    <w:rsid w:val="00C614D1"/>
    <w:rsid w:val="00C61FF5"/>
    <w:rsid w:val="00C6238A"/>
    <w:rsid w:val="00C623A0"/>
    <w:rsid w:val="00C62CD3"/>
    <w:rsid w:val="00C634F1"/>
    <w:rsid w:val="00C635CF"/>
    <w:rsid w:val="00C635FD"/>
    <w:rsid w:val="00C64027"/>
    <w:rsid w:val="00C646A9"/>
    <w:rsid w:val="00C655F3"/>
    <w:rsid w:val="00C657D7"/>
    <w:rsid w:val="00C65E17"/>
    <w:rsid w:val="00C661DD"/>
    <w:rsid w:val="00C66473"/>
    <w:rsid w:val="00C66A4D"/>
    <w:rsid w:val="00C67004"/>
    <w:rsid w:val="00C6707D"/>
    <w:rsid w:val="00C67259"/>
    <w:rsid w:val="00C67387"/>
    <w:rsid w:val="00C679E4"/>
    <w:rsid w:val="00C67AA9"/>
    <w:rsid w:val="00C67EE0"/>
    <w:rsid w:val="00C703F5"/>
    <w:rsid w:val="00C705B1"/>
    <w:rsid w:val="00C70718"/>
    <w:rsid w:val="00C707EE"/>
    <w:rsid w:val="00C7103D"/>
    <w:rsid w:val="00C7156A"/>
    <w:rsid w:val="00C716E5"/>
    <w:rsid w:val="00C717C8"/>
    <w:rsid w:val="00C71862"/>
    <w:rsid w:val="00C7187C"/>
    <w:rsid w:val="00C719FE"/>
    <w:rsid w:val="00C71AF2"/>
    <w:rsid w:val="00C71B86"/>
    <w:rsid w:val="00C71D62"/>
    <w:rsid w:val="00C72213"/>
    <w:rsid w:val="00C723EA"/>
    <w:rsid w:val="00C72492"/>
    <w:rsid w:val="00C72648"/>
    <w:rsid w:val="00C72B5C"/>
    <w:rsid w:val="00C72B70"/>
    <w:rsid w:val="00C73078"/>
    <w:rsid w:val="00C731CE"/>
    <w:rsid w:val="00C74B71"/>
    <w:rsid w:val="00C75665"/>
    <w:rsid w:val="00C763D4"/>
    <w:rsid w:val="00C765CB"/>
    <w:rsid w:val="00C768E9"/>
    <w:rsid w:val="00C76D68"/>
    <w:rsid w:val="00C76E4A"/>
    <w:rsid w:val="00C7768F"/>
    <w:rsid w:val="00C776FF"/>
    <w:rsid w:val="00C779AB"/>
    <w:rsid w:val="00C77E9D"/>
    <w:rsid w:val="00C80436"/>
    <w:rsid w:val="00C804AA"/>
    <w:rsid w:val="00C80731"/>
    <w:rsid w:val="00C80811"/>
    <w:rsid w:val="00C80D51"/>
    <w:rsid w:val="00C8137A"/>
    <w:rsid w:val="00C81391"/>
    <w:rsid w:val="00C81743"/>
    <w:rsid w:val="00C81EAF"/>
    <w:rsid w:val="00C8294D"/>
    <w:rsid w:val="00C82BE9"/>
    <w:rsid w:val="00C837F5"/>
    <w:rsid w:val="00C83CAB"/>
    <w:rsid w:val="00C83D79"/>
    <w:rsid w:val="00C84270"/>
    <w:rsid w:val="00C84442"/>
    <w:rsid w:val="00C844C4"/>
    <w:rsid w:val="00C84BAF"/>
    <w:rsid w:val="00C84C64"/>
    <w:rsid w:val="00C84E71"/>
    <w:rsid w:val="00C850D5"/>
    <w:rsid w:val="00C85522"/>
    <w:rsid w:val="00C856CF"/>
    <w:rsid w:val="00C8571F"/>
    <w:rsid w:val="00C8747F"/>
    <w:rsid w:val="00C87CEE"/>
    <w:rsid w:val="00C9009E"/>
    <w:rsid w:val="00C90C4F"/>
    <w:rsid w:val="00C90FE0"/>
    <w:rsid w:val="00C917B0"/>
    <w:rsid w:val="00C91AAD"/>
    <w:rsid w:val="00C91DC9"/>
    <w:rsid w:val="00C91EE6"/>
    <w:rsid w:val="00C93207"/>
    <w:rsid w:val="00C93323"/>
    <w:rsid w:val="00C93697"/>
    <w:rsid w:val="00C93FC2"/>
    <w:rsid w:val="00C941FF"/>
    <w:rsid w:val="00C94812"/>
    <w:rsid w:val="00C94AFD"/>
    <w:rsid w:val="00C95414"/>
    <w:rsid w:val="00C95E48"/>
    <w:rsid w:val="00C960CE"/>
    <w:rsid w:val="00C9673B"/>
    <w:rsid w:val="00C9735E"/>
    <w:rsid w:val="00C973B8"/>
    <w:rsid w:val="00C973FB"/>
    <w:rsid w:val="00C9759B"/>
    <w:rsid w:val="00C97EB6"/>
    <w:rsid w:val="00CA08B4"/>
    <w:rsid w:val="00CA0B84"/>
    <w:rsid w:val="00CA0C40"/>
    <w:rsid w:val="00CA126C"/>
    <w:rsid w:val="00CA13B9"/>
    <w:rsid w:val="00CA1ED1"/>
    <w:rsid w:val="00CA21CA"/>
    <w:rsid w:val="00CA236C"/>
    <w:rsid w:val="00CA270D"/>
    <w:rsid w:val="00CA2E80"/>
    <w:rsid w:val="00CA2E92"/>
    <w:rsid w:val="00CA36FB"/>
    <w:rsid w:val="00CA3DAC"/>
    <w:rsid w:val="00CA3E89"/>
    <w:rsid w:val="00CA3F90"/>
    <w:rsid w:val="00CA4EB2"/>
    <w:rsid w:val="00CA58A5"/>
    <w:rsid w:val="00CA5FC1"/>
    <w:rsid w:val="00CA61EE"/>
    <w:rsid w:val="00CA62FA"/>
    <w:rsid w:val="00CA641A"/>
    <w:rsid w:val="00CA68CA"/>
    <w:rsid w:val="00CA6BD0"/>
    <w:rsid w:val="00CA6F54"/>
    <w:rsid w:val="00CA6F61"/>
    <w:rsid w:val="00CA6F88"/>
    <w:rsid w:val="00CA7776"/>
    <w:rsid w:val="00CB0212"/>
    <w:rsid w:val="00CB0263"/>
    <w:rsid w:val="00CB026E"/>
    <w:rsid w:val="00CB1ABF"/>
    <w:rsid w:val="00CB1F27"/>
    <w:rsid w:val="00CB1FD4"/>
    <w:rsid w:val="00CB256D"/>
    <w:rsid w:val="00CB2683"/>
    <w:rsid w:val="00CB270D"/>
    <w:rsid w:val="00CB2C9F"/>
    <w:rsid w:val="00CB39A1"/>
    <w:rsid w:val="00CB3FAD"/>
    <w:rsid w:val="00CB484B"/>
    <w:rsid w:val="00CB4E0C"/>
    <w:rsid w:val="00CB4F16"/>
    <w:rsid w:val="00CB5059"/>
    <w:rsid w:val="00CB680A"/>
    <w:rsid w:val="00CB6C8D"/>
    <w:rsid w:val="00CB7F46"/>
    <w:rsid w:val="00CC0286"/>
    <w:rsid w:val="00CC0453"/>
    <w:rsid w:val="00CC070A"/>
    <w:rsid w:val="00CC15C3"/>
    <w:rsid w:val="00CC168E"/>
    <w:rsid w:val="00CC177B"/>
    <w:rsid w:val="00CC1A09"/>
    <w:rsid w:val="00CC1D85"/>
    <w:rsid w:val="00CC2508"/>
    <w:rsid w:val="00CC25CA"/>
    <w:rsid w:val="00CC26A6"/>
    <w:rsid w:val="00CC2F2F"/>
    <w:rsid w:val="00CC3F08"/>
    <w:rsid w:val="00CC4070"/>
    <w:rsid w:val="00CC461F"/>
    <w:rsid w:val="00CC47A1"/>
    <w:rsid w:val="00CC49E2"/>
    <w:rsid w:val="00CC4C52"/>
    <w:rsid w:val="00CC4F4F"/>
    <w:rsid w:val="00CC4F94"/>
    <w:rsid w:val="00CC57CA"/>
    <w:rsid w:val="00CC5A45"/>
    <w:rsid w:val="00CC5E00"/>
    <w:rsid w:val="00CC6321"/>
    <w:rsid w:val="00CC6811"/>
    <w:rsid w:val="00CC6A7B"/>
    <w:rsid w:val="00CC7195"/>
    <w:rsid w:val="00CC76CD"/>
    <w:rsid w:val="00CC7888"/>
    <w:rsid w:val="00CD007F"/>
    <w:rsid w:val="00CD01B6"/>
    <w:rsid w:val="00CD02EB"/>
    <w:rsid w:val="00CD037F"/>
    <w:rsid w:val="00CD0409"/>
    <w:rsid w:val="00CD0D24"/>
    <w:rsid w:val="00CD1420"/>
    <w:rsid w:val="00CD1B30"/>
    <w:rsid w:val="00CD1E9E"/>
    <w:rsid w:val="00CD213E"/>
    <w:rsid w:val="00CD23D1"/>
    <w:rsid w:val="00CD2603"/>
    <w:rsid w:val="00CD2D7A"/>
    <w:rsid w:val="00CD35F2"/>
    <w:rsid w:val="00CD385E"/>
    <w:rsid w:val="00CD3A16"/>
    <w:rsid w:val="00CD3A68"/>
    <w:rsid w:val="00CD3B94"/>
    <w:rsid w:val="00CD3CE4"/>
    <w:rsid w:val="00CD3F0E"/>
    <w:rsid w:val="00CD6AB0"/>
    <w:rsid w:val="00CD6D31"/>
    <w:rsid w:val="00CD7D5B"/>
    <w:rsid w:val="00CD7ED8"/>
    <w:rsid w:val="00CD7F92"/>
    <w:rsid w:val="00CE0544"/>
    <w:rsid w:val="00CE0B64"/>
    <w:rsid w:val="00CE0C2B"/>
    <w:rsid w:val="00CE1093"/>
    <w:rsid w:val="00CE113A"/>
    <w:rsid w:val="00CE1883"/>
    <w:rsid w:val="00CE1C68"/>
    <w:rsid w:val="00CE22A5"/>
    <w:rsid w:val="00CE2318"/>
    <w:rsid w:val="00CE2458"/>
    <w:rsid w:val="00CE24E9"/>
    <w:rsid w:val="00CE2798"/>
    <w:rsid w:val="00CE2B78"/>
    <w:rsid w:val="00CE2E08"/>
    <w:rsid w:val="00CE2E7C"/>
    <w:rsid w:val="00CE31F7"/>
    <w:rsid w:val="00CE3220"/>
    <w:rsid w:val="00CE3686"/>
    <w:rsid w:val="00CE4152"/>
    <w:rsid w:val="00CE46E2"/>
    <w:rsid w:val="00CE47AF"/>
    <w:rsid w:val="00CE496E"/>
    <w:rsid w:val="00CE4AA1"/>
    <w:rsid w:val="00CE4BEB"/>
    <w:rsid w:val="00CE4C49"/>
    <w:rsid w:val="00CE4E2B"/>
    <w:rsid w:val="00CE5188"/>
    <w:rsid w:val="00CE5594"/>
    <w:rsid w:val="00CE5ACF"/>
    <w:rsid w:val="00CE64E9"/>
    <w:rsid w:val="00CE65A4"/>
    <w:rsid w:val="00CE6C76"/>
    <w:rsid w:val="00CE70FE"/>
    <w:rsid w:val="00CE7899"/>
    <w:rsid w:val="00CE79DC"/>
    <w:rsid w:val="00CE7E86"/>
    <w:rsid w:val="00CE7F91"/>
    <w:rsid w:val="00CF0568"/>
    <w:rsid w:val="00CF0BB6"/>
    <w:rsid w:val="00CF0D44"/>
    <w:rsid w:val="00CF1561"/>
    <w:rsid w:val="00CF21A1"/>
    <w:rsid w:val="00CF2D64"/>
    <w:rsid w:val="00CF2EA8"/>
    <w:rsid w:val="00CF38F0"/>
    <w:rsid w:val="00CF3EAE"/>
    <w:rsid w:val="00CF4186"/>
    <w:rsid w:val="00CF4803"/>
    <w:rsid w:val="00CF4DAD"/>
    <w:rsid w:val="00CF540D"/>
    <w:rsid w:val="00CF5466"/>
    <w:rsid w:val="00CF55F4"/>
    <w:rsid w:val="00CF5FE5"/>
    <w:rsid w:val="00CF6BEB"/>
    <w:rsid w:val="00CF6D85"/>
    <w:rsid w:val="00CF6ECD"/>
    <w:rsid w:val="00CF6F63"/>
    <w:rsid w:val="00CF724C"/>
    <w:rsid w:val="00CF7339"/>
    <w:rsid w:val="00CF74DC"/>
    <w:rsid w:val="00CF771A"/>
    <w:rsid w:val="00CF7E09"/>
    <w:rsid w:val="00D00527"/>
    <w:rsid w:val="00D00AB9"/>
    <w:rsid w:val="00D00B6A"/>
    <w:rsid w:val="00D013AE"/>
    <w:rsid w:val="00D021AF"/>
    <w:rsid w:val="00D024BD"/>
    <w:rsid w:val="00D02770"/>
    <w:rsid w:val="00D02E89"/>
    <w:rsid w:val="00D03097"/>
    <w:rsid w:val="00D03A46"/>
    <w:rsid w:val="00D03B89"/>
    <w:rsid w:val="00D03BC0"/>
    <w:rsid w:val="00D0415F"/>
    <w:rsid w:val="00D04201"/>
    <w:rsid w:val="00D04837"/>
    <w:rsid w:val="00D04998"/>
    <w:rsid w:val="00D04C7C"/>
    <w:rsid w:val="00D054C0"/>
    <w:rsid w:val="00D05A94"/>
    <w:rsid w:val="00D06527"/>
    <w:rsid w:val="00D0668B"/>
    <w:rsid w:val="00D06F70"/>
    <w:rsid w:val="00D10176"/>
    <w:rsid w:val="00D10700"/>
    <w:rsid w:val="00D10E91"/>
    <w:rsid w:val="00D11691"/>
    <w:rsid w:val="00D11D41"/>
    <w:rsid w:val="00D1223C"/>
    <w:rsid w:val="00D12385"/>
    <w:rsid w:val="00D12970"/>
    <w:rsid w:val="00D14A32"/>
    <w:rsid w:val="00D14AAB"/>
    <w:rsid w:val="00D14C08"/>
    <w:rsid w:val="00D14CF0"/>
    <w:rsid w:val="00D14EE0"/>
    <w:rsid w:val="00D151E0"/>
    <w:rsid w:val="00D152AB"/>
    <w:rsid w:val="00D15808"/>
    <w:rsid w:val="00D15F93"/>
    <w:rsid w:val="00D1601F"/>
    <w:rsid w:val="00D1635E"/>
    <w:rsid w:val="00D16380"/>
    <w:rsid w:val="00D167F4"/>
    <w:rsid w:val="00D1690D"/>
    <w:rsid w:val="00D16F5B"/>
    <w:rsid w:val="00D16FBF"/>
    <w:rsid w:val="00D1720D"/>
    <w:rsid w:val="00D1769D"/>
    <w:rsid w:val="00D1786A"/>
    <w:rsid w:val="00D17913"/>
    <w:rsid w:val="00D17DED"/>
    <w:rsid w:val="00D200AB"/>
    <w:rsid w:val="00D20174"/>
    <w:rsid w:val="00D2018B"/>
    <w:rsid w:val="00D20799"/>
    <w:rsid w:val="00D20943"/>
    <w:rsid w:val="00D209AF"/>
    <w:rsid w:val="00D20C67"/>
    <w:rsid w:val="00D212FE"/>
    <w:rsid w:val="00D21590"/>
    <w:rsid w:val="00D218D5"/>
    <w:rsid w:val="00D21B29"/>
    <w:rsid w:val="00D21B87"/>
    <w:rsid w:val="00D21B89"/>
    <w:rsid w:val="00D21BF8"/>
    <w:rsid w:val="00D21C1C"/>
    <w:rsid w:val="00D21E2E"/>
    <w:rsid w:val="00D21FB1"/>
    <w:rsid w:val="00D22279"/>
    <w:rsid w:val="00D2283A"/>
    <w:rsid w:val="00D22947"/>
    <w:rsid w:val="00D22AC8"/>
    <w:rsid w:val="00D23776"/>
    <w:rsid w:val="00D23E14"/>
    <w:rsid w:val="00D23E8F"/>
    <w:rsid w:val="00D2428D"/>
    <w:rsid w:val="00D24553"/>
    <w:rsid w:val="00D24FFF"/>
    <w:rsid w:val="00D2506C"/>
    <w:rsid w:val="00D2536D"/>
    <w:rsid w:val="00D257FE"/>
    <w:rsid w:val="00D25F22"/>
    <w:rsid w:val="00D25F78"/>
    <w:rsid w:val="00D26FC4"/>
    <w:rsid w:val="00D27544"/>
    <w:rsid w:val="00D27A08"/>
    <w:rsid w:val="00D27ECE"/>
    <w:rsid w:val="00D27F99"/>
    <w:rsid w:val="00D300B2"/>
    <w:rsid w:val="00D300D9"/>
    <w:rsid w:val="00D30243"/>
    <w:rsid w:val="00D306CF"/>
    <w:rsid w:val="00D30735"/>
    <w:rsid w:val="00D3084F"/>
    <w:rsid w:val="00D30A68"/>
    <w:rsid w:val="00D30BE6"/>
    <w:rsid w:val="00D30C04"/>
    <w:rsid w:val="00D30DFF"/>
    <w:rsid w:val="00D30ECC"/>
    <w:rsid w:val="00D3120F"/>
    <w:rsid w:val="00D314D5"/>
    <w:rsid w:val="00D3158C"/>
    <w:rsid w:val="00D31B5E"/>
    <w:rsid w:val="00D31C7A"/>
    <w:rsid w:val="00D32447"/>
    <w:rsid w:val="00D32838"/>
    <w:rsid w:val="00D329AD"/>
    <w:rsid w:val="00D329EB"/>
    <w:rsid w:val="00D33590"/>
    <w:rsid w:val="00D33746"/>
    <w:rsid w:val="00D3387C"/>
    <w:rsid w:val="00D33AA1"/>
    <w:rsid w:val="00D33F8D"/>
    <w:rsid w:val="00D34F75"/>
    <w:rsid w:val="00D3502E"/>
    <w:rsid w:val="00D355AD"/>
    <w:rsid w:val="00D35B3D"/>
    <w:rsid w:val="00D35B65"/>
    <w:rsid w:val="00D35BD5"/>
    <w:rsid w:val="00D35C30"/>
    <w:rsid w:val="00D3605F"/>
    <w:rsid w:val="00D36501"/>
    <w:rsid w:val="00D366AD"/>
    <w:rsid w:val="00D3686E"/>
    <w:rsid w:val="00D3693A"/>
    <w:rsid w:val="00D369C6"/>
    <w:rsid w:val="00D3752B"/>
    <w:rsid w:val="00D37B77"/>
    <w:rsid w:val="00D400C3"/>
    <w:rsid w:val="00D401D8"/>
    <w:rsid w:val="00D409BF"/>
    <w:rsid w:val="00D40C0F"/>
    <w:rsid w:val="00D412C0"/>
    <w:rsid w:val="00D4194D"/>
    <w:rsid w:val="00D4195F"/>
    <w:rsid w:val="00D420C9"/>
    <w:rsid w:val="00D42211"/>
    <w:rsid w:val="00D42298"/>
    <w:rsid w:val="00D424CA"/>
    <w:rsid w:val="00D427DA"/>
    <w:rsid w:val="00D43CF8"/>
    <w:rsid w:val="00D4457C"/>
    <w:rsid w:val="00D445CE"/>
    <w:rsid w:val="00D447F7"/>
    <w:rsid w:val="00D44F4C"/>
    <w:rsid w:val="00D459F5"/>
    <w:rsid w:val="00D45B15"/>
    <w:rsid w:val="00D45F30"/>
    <w:rsid w:val="00D46659"/>
    <w:rsid w:val="00D472F6"/>
    <w:rsid w:val="00D47551"/>
    <w:rsid w:val="00D47CD7"/>
    <w:rsid w:val="00D5053E"/>
    <w:rsid w:val="00D50A1A"/>
    <w:rsid w:val="00D516A0"/>
    <w:rsid w:val="00D51A17"/>
    <w:rsid w:val="00D51E41"/>
    <w:rsid w:val="00D52387"/>
    <w:rsid w:val="00D527FA"/>
    <w:rsid w:val="00D5285D"/>
    <w:rsid w:val="00D52A03"/>
    <w:rsid w:val="00D52E29"/>
    <w:rsid w:val="00D52FC3"/>
    <w:rsid w:val="00D52FEA"/>
    <w:rsid w:val="00D53348"/>
    <w:rsid w:val="00D533DD"/>
    <w:rsid w:val="00D53774"/>
    <w:rsid w:val="00D5433B"/>
    <w:rsid w:val="00D54657"/>
    <w:rsid w:val="00D54C42"/>
    <w:rsid w:val="00D55098"/>
    <w:rsid w:val="00D5531B"/>
    <w:rsid w:val="00D566DE"/>
    <w:rsid w:val="00D56AF5"/>
    <w:rsid w:val="00D60795"/>
    <w:rsid w:val="00D6085B"/>
    <w:rsid w:val="00D60EA2"/>
    <w:rsid w:val="00D60F96"/>
    <w:rsid w:val="00D61651"/>
    <w:rsid w:val="00D618CD"/>
    <w:rsid w:val="00D620B7"/>
    <w:rsid w:val="00D624FA"/>
    <w:rsid w:val="00D634CB"/>
    <w:rsid w:val="00D63C23"/>
    <w:rsid w:val="00D6494A"/>
    <w:rsid w:val="00D649F3"/>
    <w:rsid w:val="00D64ADE"/>
    <w:rsid w:val="00D64B66"/>
    <w:rsid w:val="00D65052"/>
    <w:rsid w:val="00D65159"/>
    <w:rsid w:val="00D6539E"/>
    <w:rsid w:val="00D65EF4"/>
    <w:rsid w:val="00D6607A"/>
    <w:rsid w:val="00D667D6"/>
    <w:rsid w:val="00D66CAA"/>
    <w:rsid w:val="00D66F87"/>
    <w:rsid w:val="00D6706B"/>
    <w:rsid w:val="00D67483"/>
    <w:rsid w:val="00D67D0D"/>
    <w:rsid w:val="00D70371"/>
    <w:rsid w:val="00D7062B"/>
    <w:rsid w:val="00D70AD1"/>
    <w:rsid w:val="00D70B5E"/>
    <w:rsid w:val="00D70F07"/>
    <w:rsid w:val="00D718B9"/>
    <w:rsid w:val="00D71CFD"/>
    <w:rsid w:val="00D71EDA"/>
    <w:rsid w:val="00D723FC"/>
    <w:rsid w:val="00D7242F"/>
    <w:rsid w:val="00D72634"/>
    <w:rsid w:val="00D72A10"/>
    <w:rsid w:val="00D731E3"/>
    <w:rsid w:val="00D732D4"/>
    <w:rsid w:val="00D73515"/>
    <w:rsid w:val="00D735DF"/>
    <w:rsid w:val="00D73D9A"/>
    <w:rsid w:val="00D74164"/>
    <w:rsid w:val="00D741AB"/>
    <w:rsid w:val="00D742A8"/>
    <w:rsid w:val="00D74308"/>
    <w:rsid w:val="00D747DB"/>
    <w:rsid w:val="00D749D6"/>
    <w:rsid w:val="00D74A48"/>
    <w:rsid w:val="00D74EE1"/>
    <w:rsid w:val="00D75215"/>
    <w:rsid w:val="00D75438"/>
    <w:rsid w:val="00D75D69"/>
    <w:rsid w:val="00D75F00"/>
    <w:rsid w:val="00D75F04"/>
    <w:rsid w:val="00D76421"/>
    <w:rsid w:val="00D7661F"/>
    <w:rsid w:val="00D766E9"/>
    <w:rsid w:val="00D76C33"/>
    <w:rsid w:val="00D76C9C"/>
    <w:rsid w:val="00D770A2"/>
    <w:rsid w:val="00D77602"/>
    <w:rsid w:val="00D77799"/>
    <w:rsid w:val="00D77974"/>
    <w:rsid w:val="00D77B35"/>
    <w:rsid w:val="00D77C72"/>
    <w:rsid w:val="00D8090E"/>
    <w:rsid w:val="00D8096D"/>
    <w:rsid w:val="00D80EB3"/>
    <w:rsid w:val="00D81422"/>
    <w:rsid w:val="00D81C35"/>
    <w:rsid w:val="00D81D90"/>
    <w:rsid w:val="00D82419"/>
    <w:rsid w:val="00D82538"/>
    <w:rsid w:val="00D8254C"/>
    <w:rsid w:val="00D826AC"/>
    <w:rsid w:val="00D82913"/>
    <w:rsid w:val="00D82B60"/>
    <w:rsid w:val="00D82C0E"/>
    <w:rsid w:val="00D82DDE"/>
    <w:rsid w:val="00D82F57"/>
    <w:rsid w:val="00D8369E"/>
    <w:rsid w:val="00D8416E"/>
    <w:rsid w:val="00D84719"/>
    <w:rsid w:val="00D84EB7"/>
    <w:rsid w:val="00D850B3"/>
    <w:rsid w:val="00D8545A"/>
    <w:rsid w:val="00D85959"/>
    <w:rsid w:val="00D85AC7"/>
    <w:rsid w:val="00D85B9D"/>
    <w:rsid w:val="00D863C7"/>
    <w:rsid w:val="00D86DAC"/>
    <w:rsid w:val="00D86DB5"/>
    <w:rsid w:val="00D87B03"/>
    <w:rsid w:val="00D87BAB"/>
    <w:rsid w:val="00D90713"/>
    <w:rsid w:val="00D90B5A"/>
    <w:rsid w:val="00D90BFF"/>
    <w:rsid w:val="00D91CFC"/>
    <w:rsid w:val="00D92048"/>
    <w:rsid w:val="00D92396"/>
    <w:rsid w:val="00D92403"/>
    <w:rsid w:val="00D92910"/>
    <w:rsid w:val="00D929F3"/>
    <w:rsid w:val="00D92D5C"/>
    <w:rsid w:val="00D92F99"/>
    <w:rsid w:val="00D93704"/>
    <w:rsid w:val="00D93929"/>
    <w:rsid w:val="00D93E72"/>
    <w:rsid w:val="00D942AB"/>
    <w:rsid w:val="00D946DB"/>
    <w:rsid w:val="00D949F6"/>
    <w:rsid w:val="00D95045"/>
    <w:rsid w:val="00D956C2"/>
    <w:rsid w:val="00D95857"/>
    <w:rsid w:val="00D96E61"/>
    <w:rsid w:val="00DA040A"/>
    <w:rsid w:val="00DA0B84"/>
    <w:rsid w:val="00DA0DB4"/>
    <w:rsid w:val="00DA1253"/>
    <w:rsid w:val="00DA1525"/>
    <w:rsid w:val="00DA1645"/>
    <w:rsid w:val="00DA1EC5"/>
    <w:rsid w:val="00DA2403"/>
    <w:rsid w:val="00DA28CB"/>
    <w:rsid w:val="00DA2CB3"/>
    <w:rsid w:val="00DA2DEA"/>
    <w:rsid w:val="00DA3A92"/>
    <w:rsid w:val="00DA3B36"/>
    <w:rsid w:val="00DA3E72"/>
    <w:rsid w:val="00DA3FEB"/>
    <w:rsid w:val="00DA411F"/>
    <w:rsid w:val="00DA4440"/>
    <w:rsid w:val="00DA4727"/>
    <w:rsid w:val="00DA4A2F"/>
    <w:rsid w:val="00DA4AAA"/>
    <w:rsid w:val="00DA4C41"/>
    <w:rsid w:val="00DA5AFE"/>
    <w:rsid w:val="00DA5B5D"/>
    <w:rsid w:val="00DA5F14"/>
    <w:rsid w:val="00DA65A4"/>
    <w:rsid w:val="00DA6CB8"/>
    <w:rsid w:val="00DA6F50"/>
    <w:rsid w:val="00DA77E1"/>
    <w:rsid w:val="00DA7F01"/>
    <w:rsid w:val="00DB0274"/>
    <w:rsid w:val="00DB02DF"/>
    <w:rsid w:val="00DB0F07"/>
    <w:rsid w:val="00DB23B2"/>
    <w:rsid w:val="00DB272D"/>
    <w:rsid w:val="00DB2DD0"/>
    <w:rsid w:val="00DB3547"/>
    <w:rsid w:val="00DB3B68"/>
    <w:rsid w:val="00DB3EEA"/>
    <w:rsid w:val="00DB40CA"/>
    <w:rsid w:val="00DB4A25"/>
    <w:rsid w:val="00DB5503"/>
    <w:rsid w:val="00DB5A3F"/>
    <w:rsid w:val="00DB61BB"/>
    <w:rsid w:val="00DB7070"/>
    <w:rsid w:val="00DB7AFA"/>
    <w:rsid w:val="00DC03E0"/>
    <w:rsid w:val="00DC0817"/>
    <w:rsid w:val="00DC09EA"/>
    <w:rsid w:val="00DC1FD1"/>
    <w:rsid w:val="00DC28F5"/>
    <w:rsid w:val="00DC2B07"/>
    <w:rsid w:val="00DC2D05"/>
    <w:rsid w:val="00DC3779"/>
    <w:rsid w:val="00DC3A83"/>
    <w:rsid w:val="00DC3B38"/>
    <w:rsid w:val="00DC3DBE"/>
    <w:rsid w:val="00DC40DA"/>
    <w:rsid w:val="00DC4930"/>
    <w:rsid w:val="00DC4CE4"/>
    <w:rsid w:val="00DC4DCD"/>
    <w:rsid w:val="00DC4FCC"/>
    <w:rsid w:val="00DC52BD"/>
    <w:rsid w:val="00DC5547"/>
    <w:rsid w:val="00DC646A"/>
    <w:rsid w:val="00DC66E3"/>
    <w:rsid w:val="00DC7148"/>
    <w:rsid w:val="00DC75D4"/>
    <w:rsid w:val="00DC7B9E"/>
    <w:rsid w:val="00DD00B4"/>
    <w:rsid w:val="00DD07FF"/>
    <w:rsid w:val="00DD092D"/>
    <w:rsid w:val="00DD1377"/>
    <w:rsid w:val="00DD156E"/>
    <w:rsid w:val="00DD1906"/>
    <w:rsid w:val="00DD1ADB"/>
    <w:rsid w:val="00DD212F"/>
    <w:rsid w:val="00DD21A5"/>
    <w:rsid w:val="00DD2722"/>
    <w:rsid w:val="00DD2C1E"/>
    <w:rsid w:val="00DD2D79"/>
    <w:rsid w:val="00DD2F83"/>
    <w:rsid w:val="00DD2FAD"/>
    <w:rsid w:val="00DD3A31"/>
    <w:rsid w:val="00DD41BE"/>
    <w:rsid w:val="00DD4CFC"/>
    <w:rsid w:val="00DD5967"/>
    <w:rsid w:val="00DD5B76"/>
    <w:rsid w:val="00DD5D0B"/>
    <w:rsid w:val="00DD5F87"/>
    <w:rsid w:val="00DD600A"/>
    <w:rsid w:val="00DD60DF"/>
    <w:rsid w:val="00DD6B76"/>
    <w:rsid w:val="00DD6D54"/>
    <w:rsid w:val="00DD6F35"/>
    <w:rsid w:val="00DD72AA"/>
    <w:rsid w:val="00DD74A8"/>
    <w:rsid w:val="00DE00F1"/>
    <w:rsid w:val="00DE0157"/>
    <w:rsid w:val="00DE01E1"/>
    <w:rsid w:val="00DE044C"/>
    <w:rsid w:val="00DE0560"/>
    <w:rsid w:val="00DE07A0"/>
    <w:rsid w:val="00DE0962"/>
    <w:rsid w:val="00DE1F76"/>
    <w:rsid w:val="00DE213A"/>
    <w:rsid w:val="00DE21B5"/>
    <w:rsid w:val="00DE223B"/>
    <w:rsid w:val="00DE230A"/>
    <w:rsid w:val="00DE26F2"/>
    <w:rsid w:val="00DE2BDF"/>
    <w:rsid w:val="00DE3389"/>
    <w:rsid w:val="00DE3F44"/>
    <w:rsid w:val="00DE4001"/>
    <w:rsid w:val="00DE4267"/>
    <w:rsid w:val="00DE489B"/>
    <w:rsid w:val="00DE48EF"/>
    <w:rsid w:val="00DE4D5E"/>
    <w:rsid w:val="00DE4E51"/>
    <w:rsid w:val="00DE4EF2"/>
    <w:rsid w:val="00DE58BB"/>
    <w:rsid w:val="00DE5A31"/>
    <w:rsid w:val="00DE6A61"/>
    <w:rsid w:val="00DE7076"/>
    <w:rsid w:val="00DE73B4"/>
    <w:rsid w:val="00DE776E"/>
    <w:rsid w:val="00DE7B41"/>
    <w:rsid w:val="00DF0689"/>
    <w:rsid w:val="00DF09BB"/>
    <w:rsid w:val="00DF0AB5"/>
    <w:rsid w:val="00DF0EF2"/>
    <w:rsid w:val="00DF107F"/>
    <w:rsid w:val="00DF16B0"/>
    <w:rsid w:val="00DF2092"/>
    <w:rsid w:val="00DF29A3"/>
    <w:rsid w:val="00DF2E73"/>
    <w:rsid w:val="00DF3079"/>
    <w:rsid w:val="00DF30E2"/>
    <w:rsid w:val="00DF30EB"/>
    <w:rsid w:val="00DF34F9"/>
    <w:rsid w:val="00DF3996"/>
    <w:rsid w:val="00DF3FB5"/>
    <w:rsid w:val="00DF4405"/>
    <w:rsid w:val="00DF5E66"/>
    <w:rsid w:val="00DF65DF"/>
    <w:rsid w:val="00DF6AC5"/>
    <w:rsid w:val="00DF70AE"/>
    <w:rsid w:val="00DF7382"/>
    <w:rsid w:val="00DF73E9"/>
    <w:rsid w:val="00DF7BE4"/>
    <w:rsid w:val="00DF7D0D"/>
    <w:rsid w:val="00E0008E"/>
    <w:rsid w:val="00E000F8"/>
    <w:rsid w:val="00E004B3"/>
    <w:rsid w:val="00E00C16"/>
    <w:rsid w:val="00E00CCA"/>
    <w:rsid w:val="00E01351"/>
    <w:rsid w:val="00E0175F"/>
    <w:rsid w:val="00E01F9D"/>
    <w:rsid w:val="00E02356"/>
    <w:rsid w:val="00E026FB"/>
    <w:rsid w:val="00E02F76"/>
    <w:rsid w:val="00E037E3"/>
    <w:rsid w:val="00E03AD2"/>
    <w:rsid w:val="00E03B14"/>
    <w:rsid w:val="00E03DF0"/>
    <w:rsid w:val="00E04F77"/>
    <w:rsid w:val="00E050F3"/>
    <w:rsid w:val="00E052A9"/>
    <w:rsid w:val="00E054D3"/>
    <w:rsid w:val="00E05B95"/>
    <w:rsid w:val="00E05C87"/>
    <w:rsid w:val="00E0639C"/>
    <w:rsid w:val="00E06628"/>
    <w:rsid w:val="00E0672B"/>
    <w:rsid w:val="00E06AD4"/>
    <w:rsid w:val="00E06E19"/>
    <w:rsid w:val="00E06EEB"/>
    <w:rsid w:val="00E0725A"/>
    <w:rsid w:val="00E0751E"/>
    <w:rsid w:val="00E079C9"/>
    <w:rsid w:val="00E07C8E"/>
    <w:rsid w:val="00E102E3"/>
    <w:rsid w:val="00E10644"/>
    <w:rsid w:val="00E10726"/>
    <w:rsid w:val="00E10B85"/>
    <w:rsid w:val="00E11262"/>
    <w:rsid w:val="00E115F2"/>
    <w:rsid w:val="00E11F7B"/>
    <w:rsid w:val="00E138D5"/>
    <w:rsid w:val="00E143FD"/>
    <w:rsid w:val="00E14C4D"/>
    <w:rsid w:val="00E152FA"/>
    <w:rsid w:val="00E15489"/>
    <w:rsid w:val="00E15E54"/>
    <w:rsid w:val="00E16498"/>
    <w:rsid w:val="00E1696D"/>
    <w:rsid w:val="00E16EB0"/>
    <w:rsid w:val="00E16EF6"/>
    <w:rsid w:val="00E17065"/>
    <w:rsid w:val="00E17410"/>
    <w:rsid w:val="00E1750A"/>
    <w:rsid w:val="00E179E0"/>
    <w:rsid w:val="00E20ABF"/>
    <w:rsid w:val="00E20B50"/>
    <w:rsid w:val="00E20FAC"/>
    <w:rsid w:val="00E216F8"/>
    <w:rsid w:val="00E21745"/>
    <w:rsid w:val="00E2178E"/>
    <w:rsid w:val="00E218BE"/>
    <w:rsid w:val="00E21E1B"/>
    <w:rsid w:val="00E22BD2"/>
    <w:rsid w:val="00E23A7B"/>
    <w:rsid w:val="00E23F2D"/>
    <w:rsid w:val="00E2447E"/>
    <w:rsid w:val="00E249EF"/>
    <w:rsid w:val="00E24C62"/>
    <w:rsid w:val="00E24CD9"/>
    <w:rsid w:val="00E24EC6"/>
    <w:rsid w:val="00E2563D"/>
    <w:rsid w:val="00E25862"/>
    <w:rsid w:val="00E26C52"/>
    <w:rsid w:val="00E26CB6"/>
    <w:rsid w:val="00E27490"/>
    <w:rsid w:val="00E278CF"/>
    <w:rsid w:val="00E27969"/>
    <w:rsid w:val="00E27ABD"/>
    <w:rsid w:val="00E27BD4"/>
    <w:rsid w:val="00E30787"/>
    <w:rsid w:val="00E30CD1"/>
    <w:rsid w:val="00E312C9"/>
    <w:rsid w:val="00E3159B"/>
    <w:rsid w:val="00E3179D"/>
    <w:rsid w:val="00E3279F"/>
    <w:rsid w:val="00E328CF"/>
    <w:rsid w:val="00E32A97"/>
    <w:rsid w:val="00E32ABB"/>
    <w:rsid w:val="00E32C03"/>
    <w:rsid w:val="00E32C58"/>
    <w:rsid w:val="00E32DA2"/>
    <w:rsid w:val="00E334BE"/>
    <w:rsid w:val="00E33BF7"/>
    <w:rsid w:val="00E33E62"/>
    <w:rsid w:val="00E3409C"/>
    <w:rsid w:val="00E340D7"/>
    <w:rsid w:val="00E3416F"/>
    <w:rsid w:val="00E3570E"/>
    <w:rsid w:val="00E35D12"/>
    <w:rsid w:val="00E36F85"/>
    <w:rsid w:val="00E37588"/>
    <w:rsid w:val="00E4014C"/>
    <w:rsid w:val="00E403E2"/>
    <w:rsid w:val="00E412E8"/>
    <w:rsid w:val="00E41A58"/>
    <w:rsid w:val="00E41E4F"/>
    <w:rsid w:val="00E42A4D"/>
    <w:rsid w:val="00E42E37"/>
    <w:rsid w:val="00E43AB1"/>
    <w:rsid w:val="00E43CD2"/>
    <w:rsid w:val="00E43F32"/>
    <w:rsid w:val="00E440D2"/>
    <w:rsid w:val="00E44276"/>
    <w:rsid w:val="00E44801"/>
    <w:rsid w:val="00E44AAC"/>
    <w:rsid w:val="00E44E70"/>
    <w:rsid w:val="00E45329"/>
    <w:rsid w:val="00E453D5"/>
    <w:rsid w:val="00E45F0E"/>
    <w:rsid w:val="00E45F52"/>
    <w:rsid w:val="00E46936"/>
    <w:rsid w:val="00E46AC0"/>
    <w:rsid w:val="00E471D4"/>
    <w:rsid w:val="00E473B0"/>
    <w:rsid w:val="00E47723"/>
    <w:rsid w:val="00E47B54"/>
    <w:rsid w:val="00E47CCD"/>
    <w:rsid w:val="00E47D28"/>
    <w:rsid w:val="00E5050E"/>
    <w:rsid w:val="00E509EA"/>
    <w:rsid w:val="00E50E79"/>
    <w:rsid w:val="00E51115"/>
    <w:rsid w:val="00E51141"/>
    <w:rsid w:val="00E518CC"/>
    <w:rsid w:val="00E5199B"/>
    <w:rsid w:val="00E52040"/>
    <w:rsid w:val="00E52401"/>
    <w:rsid w:val="00E52782"/>
    <w:rsid w:val="00E52C4B"/>
    <w:rsid w:val="00E53179"/>
    <w:rsid w:val="00E53E55"/>
    <w:rsid w:val="00E543B2"/>
    <w:rsid w:val="00E54B05"/>
    <w:rsid w:val="00E54DFE"/>
    <w:rsid w:val="00E5542E"/>
    <w:rsid w:val="00E55A92"/>
    <w:rsid w:val="00E56180"/>
    <w:rsid w:val="00E561BD"/>
    <w:rsid w:val="00E576C6"/>
    <w:rsid w:val="00E57F76"/>
    <w:rsid w:val="00E602B2"/>
    <w:rsid w:val="00E60322"/>
    <w:rsid w:val="00E60B53"/>
    <w:rsid w:val="00E60C82"/>
    <w:rsid w:val="00E60D18"/>
    <w:rsid w:val="00E60F37"/>
    <w:rsid w:val="00E61805"/>
    <w:rsid w:val="00E61840"/>
    <w:rsid w:val="00E62089"/>
    <w:rsid w:val="00E620F8"/>
    <w:rsid w:val="00E622B3"/>
    <w:rsid w:val="00E626D0"/>
    <w:rsid w:val="00E62D52"/>
    <w:rsid w:val="00E62F2B"/>
    <w:rsid w:val="00E63274"/>
    <w:rsid w:val="00E635F6"/>
    <w:rsid w:val="00E6373B"/>
    <w:rsid w:val="00E63DC8"/>
    <w:rsid w:val="00E63DFF"/>
    <w:rsid w:val="00E6434E"/>
    <w:rsid w:val="00E64BFE"/>
    <w:rsid w:val="00E65327"/>
    <w:rsid w:val="00E66040"/>
    <w:rsid w:val="00E6616A"/>
    <w:rsid w:val="00E66705"/>
    <w:rsid w:val="00E67E00"/>
    <w:rsid w:val="00E67F16"/>
    <w:rsid w:val="00E70445"/>
    <w:rsid w:val="00E709CF"/>
    <w:rsid w:val="00E70AB0"/>
    <w:rsid w:val="00E70C92"/>
    <w:rsid w:val="00E71171"/>
    <w:rsid w:val="00E717A2"/>
    <w:rsid w:val="00E71E3B"/>
    <w:rsid w:val="00E721D9"/>
    <w:rsid w:val="00E72404"/>
    <w:rsid w:val="00E72E80"/>
    <w:rsid w:val="00E7346B"/>
    <w:rsid w:val="00E73636"/>
    <w:rsid w:val="00E73D81"/>
    <w:rsid w:val="00E73F4B"/>
    <w:rsid w:val="00E74C2C"/>
    <w:rsid w:val="00E75668"/>
    <w:rsid w:val="00E75979"/>
    <w:rsid w:val="00E75993"/>
    <w:rsid w:val="00E75D47"/>
    <w:rsid w:val="00E764E7"/>
    <w:rsid w:val="00E7671A"/>
    <w:rsid w:val="00E76C0E"/>
    <w:rsid w:val="00E80106"/>
    <w:rsid w:val="00E8013D"/>
    <w:rsid w:val="00E80172"/>
    <w:rsid w:val="00E801F1"/>
    <w:rsid w:val="00E804CC"/>
    <w:rsid w:val="00E8052C"/>
    <w:rsid w:val="00E81186"/>
    <w:rsid w:val="00E8174D"/>
    <w:rsid w:val="00E81DB9"/>
    <w:rsid w:val="00E81EC0"/>
    <w:rsid w:val="00E81F69"/>
    <w:rsid w:val="00E822B1"/>
    <w:rsid w:val="00E822F7"/>
    <w:rsid w:val="00E8231C"/>
    <w:rsid w:val="00E8262F"/>
    <w:rsid w:val="00E82AE6"/>
    <w:rsid w:val="00E83700"/>
    <w:rsid w:val="00E83F41"/>
    <w:rsid w:val="00E83F92"/>
    <w:rsid w:val="00E84C8E"/>
    <w:rsid w:val="00E85090"/>
    <w:rsid w:val="00E85358"/>
    <w:rsid w:val="00E85A27"/>
    <w:rsid w:val="00E863C1"/>
    <w:rsid w:val="00E8641F"/>
    <w:rsid w:val="00E86638"/>
    <w:rsid w:val="00E86B8E"/>
    <w:rsid w:val="00E86B98"/>
    <w:rsid w:val="00E87183"/>
    <w:rsid w:val="00E871FE"/>
    <w:rsid w:val="00E87B6C"/>
    <w:rsid w:val="00E91353"/>
    <w:rsid w:val="00E916F8"/>
    <w:rsid w:val="00E91EA0"/>
    <w:rsid w:val="00E921F1"/>
    <w:rsid w:val="00E92235"/>
    <w:rsid w:val="00E92282"/>
    <w:rsid w:val="00E92556"/>
    <w:rsid w:val="00E928BB"/>
    <w:rsid w:val="00E92C04"/>
    <w:rsid w:val="00E92F88"/>
    <w:rsid w:val="00E93AB5"/>
    <w:rsid w:val="00E94434"/>
    <w:rsid w:val="00E94E7B"/>
    <w:rsid w:val="00E956C1"/>
    <w:rsid w:val="00E95975"/>
    <w:rsid w:val="00E96058"/>
    <w:rsid w:val="00E964F9"/>
    <w:rsid w:val="00E965A8"/>
    <w:rsid w:val="00E96A85"/>
    <w:rsid w:val="00E97253"/>
    <w:rsid w:val="00E9758A"/>
    <w:rsid w:val="00E979E9"/>
    <w:rsid w:val="00E97A39"/>
    <w:rsid w:val="00E97CD2"/>
    <w:rsid w:val="00EA050A"/>
    <w:rsid w:val="00EA05B3"/>
    <w:rsid w:val="00EA0754"/>
    <w:rsid w:val="00EA079E"/>
    <w:rsid w:val="00EA0BAB"/>
    <w:rsid w:val="00EA11F0"/>
    <w:rsid w:val="00EA1331"/>
    <w:rsid w:val="00EA1AEC"/>
    <w:rsid w:val="00EA1F5A"/>
    <w:rsid w:val="00EA2EEF"/>
    <w:rsid w:val="00EA383F"/>
    <w:rsid w:val="00EA3D2D"/>
    <w:rsid w:val="00EA3FEF"/>
    <w:rsid w:val="00EA400F"/>
    <w:rsid w:val="00EA4108"/>
    <w:rsid w:val="00EA419C"/>
    <w:rsid w:val="00EA4251"/>
    <w:rsid w:val="00EA47CE"/>
    <w:rsid w:val="00EA56D1"/>
    <w:rsid w:val="00EA5840"/>
    <w:rsid w:val="00EA6070"/>
    <w:rsid w:val="00EA61D5"/>
    <w:rsid w:val="00EA65A4"/>
    <w:rsid w:val="00EA71B1"/>
    <w:rsid w:val="00EA743F"/>
    <w:rsid w:val="00EB04F9"/>
    <w:rsid w:val="00EB075D"/>
    <w:rsid w:val="00EB1034"/>
    <w:rsid w:val="00EB154B"/>
    <w:rsid w:val="00EB16CB"/>
    <w:rsid w:val="00EB1D14"/>
    <w:rsid w:val="00EB1DBE"/>
    <w:rsid w:val="00EB220B"/>
    <w:rsid w:val="00EB24C1"/>
    <w:rsid w:val="00EB2536"/>
    <w:rsid w:val="00EB2A87"/>
    <w:rsid w:val="00EB2BC5"/>
    <w:rsid w:val="00EB3ADF"/>
    <w:rsid w:val="00EB4109"/>
    <w:rsid w:val="00EB4F9A"/>
    <w:rsid w:val="00EB5013"/>
    <w:rsid w:val="00EB56D2"/>
    <w:rsid w:val="00EB5804"/>
    <w:rsid w:val="00EB5C9A"/>
    <w:rsid w:val="00EB6224"/>
    <w:rsid w:val="00EB62C2"/>
    <w:rsid w:val="00EB6793"/>
    <w:rsid w:val="00EB6B6E"/>
    <w:rsid w:val="00EB6DEA"/>
    <w:rsid w:val="00EB6E04"/>
    <w:rsid w:val="00EB6FC2"/>
    <w:rsid w:val="00EB7F64"/>
    <w:rsid w:val="00EC022A"/>
    <w:rsid w:val="00EC067D"/>
    <w:rsid w:val="00EC06DE"/>
    <w:rsid w:val="00EC0862"/>
    <w:rsid w:val="00EC0B74"/>
    <w:rsid w:val="00EC1562"/>
    <w:rsid w:val="00EC19AE"/>
    <w:rsid w:val="00EC1BAD"/>
    <w:rsid w:val="00EC1BEB"/>
    <w:rsid w:val="00EC1EDF"/>
    <w:rsid w:val="00EC2175"/>
    <w:rsid w:val="00EC2356"/>
    <w:rsid w:val="00EC2CDF"/>
    <w:rsid w:val="00EC31BC"/>
    <w:rsid w:val="00EC3432"/>
    <w:rsid w:val="00EC3B66"/>
    <w:rsid w:val="00EC4291"/>
    <w:rsid w:val="00EC46D7"/>
    <w:rsid w:val="00EC5046"/>
    <w:rsid w:val="00EC53E0"/>
    <w:rsid w:val="00EC579E"/>
    <w:rsid w:val="00EC57C6"/>
    <w:rsid w:val="00EC5FA2"/>
    <w:rsid w:val="00EC74C6"/>
    <w:rsid w:val="00EC7AB4"/>
    <w:rsid w:val="00EC7FBE"/>
    <w:rsid w:val="00ED048B"/>
    <w:rsid w:val="00ED0A05"/>
    <w:rsid w:val="00ED0F26"/>
    <w:rsid w:val="00ED1364"/>
    <w:rsid w:val="00ED1379"/>
    <w:rsid w:val="00ED1956"/>
    <w:rsid w:val="00ED1BDB"/>
    <w:rsid w:val="00ED2335"/>
    <w:rsid w:val="00ED35C4"/>
    <w:rsid w:val="00ED3FB3"/>
    <w:rsid w:val="00ED43B5"/>
    <w:rsid w:val="00ED4622"/>
    <w:rsid w:val="00ED4629"/>
    <w:rsid w:val="00ED4653"/>
    <w:rsid w:val="00ED51DF"/>
    <w:rsid w:val="00ED52BC"/>
    <w:rsid w:val="00ED55F7"/>
    <w:rsid w:val="00ED5704"/>
    <w:rsid w:val="00ED59A2"/>
    <w:rsid w:val="00ED63A3"/>
    <w:rsid w:val="00ED669B"/>
    <w:rsid w:val="00ED66A4"/>
    <w:rsid w:val="00ED767E"/>
    <w:rsid w:val="00ED78AD"/>
    <w:rsid w:val="00ED7C8E"/>
    <w:rsid w:val="00ED7F35"/>
    <w:rsid w:val="00EE079A"/>
    <w:rsid w:val="00EE0B9D"/>
    <w:rsid w:val="00EE1637"/>
    <w:rsid w:val="00EE195D"/>
    <w:rsid w:val="00EE1D3E"/>
    <w:rsid w:val="00EE1D8A"/>
    <w:rsid w:val="00EE1EB4"/>
    <w:rsid w:val="00EE2205"/>
    <w:rsid w:val="00EE2BDA"/>
    <w:rsid w:val="00EE2BEA"/>
    <w:rsid w:val="00EE34F2"/>
    <w:rsid w:val="00EE4243"/>
    <w:rsid w:val="00EE43F8"/>
    <w:rsid w:val="00EE4AE9"/>
    <w:rsid w:val="00EE4C2E"/>
    <w:rsid w:val="00EE54DF"/>
    <w:rsid w:val="00EE5691"/>
    <w:rsid w:val="00EE580E"/>
    <w:rsid w:val="00EE5E1C"/>
    <w:rsid w:val="00EE63B4"/>
    <w:rsid w:val="00EE6F88"/>
    <w:rsid w:val="00EE7A61"/>
    <w:rsid w:val="00EF03E6"/>
    <w:rsid w:val="00EF08E1"/>
    <w:rsid w:val="00EF0C0C"/>
    <w:rsid w:val="00EF0DA4"/>
    <w:rsid w:val="00EF0DDB"/>
    <w:rsid w:val="00EF1DEB"/>
    <w:rsid w:val="00EF2028"/>
    <w:rsid w:val="00EF23E2"/>
    <w:rsid w:val="00EF28C8"/>
    <w:rsid w:val="00EF3354"/>
    <w:rsid w:val="00EF36D2"/>
    <w:rsid w:val="00EF3ACE"/>
    <w:rsid w:val="00EF3F40"/>
    <w:rsid w:val="00EF40FE"/>
    <w:rsid w:val="00EF446C"/>
    <w:rsid w:val="00EF5812"/>
    <w:rsid w:val="00EF59C9"/>
    <w:rsid w:val="00EF6FD5"/>
    <w:rsid w:val="00EF76AB"/>
    <w:rsid w:val="00F0033C"/>
    <w:rsid w:val="00F006CF"/>
    <w:rsid w:val="00F00A38"/>
    <w:rsid w:val="00F015E6"/>
    <w:rsid w:val="00F02616"/>
    <w:rsid w:val="00F02B31"/>
    <w:rsid w:val="00F02F15"/>
    <w:rsid w:val="00F0322C"/>
    <w:rsid w:val="00F03710"/>
    <w:rsid w:val="00F03992"/>
    <w:rsid w:val="00F0435A"/>
    <w:rsid w:val="00F052D1"/>
    <w:rsid w:val="00F06166"/>
    <w:rsid w:val="00F0620E"/>
    <w:rsid w:val="00F076A5"/>
    <w:rsid w:val="00F07B3F"/>
    <w:rsid w:val="00F07BCD"/>
    <w:rsid w:val="00F07F09"/>
    <w:rsid w:val="00F101EA"/>
    <w:rsid w:val="00F1041F"/>
    <w:rsid w:val="00F10422"/>
    <w:rsid w:val="00F1062E"/>
    <w:rsid w:val="00F10ED3"/>
    <w:rsid w:val="00F11185"/>
    <w:rsid w:val="00F114BE"/>
    <w:rsid w:val="00F114E6"/>
    <w:rsid w:val="00F114E9"/>
    <w:rsid w:val="00F117D1"/>
    <w:rsid w:val="00F11854"/>
    <w:rsid w:val="00F1188C"/>
    <w:rsid w:val="00F11A1A"/>
    <w:rsid w:val="00F11BF3"/>
    <w:rsid w:val="00F11F89"/>
    <w:rsid w:val="00F12328"/>
    <w:rsid w:val="00F12809"/>
    <w:rsid w:val="00F12EA3"/>
    <w:rsid w:val="00F12FB4"/>
    <w:rsid w:val="00F13761"/>
    <w:rsid w:val="00F13D3D"/>
    <w:rsid w:val="00F13E60"/>
    <w:rsid w:val="00F143AD"/>
    <w:rsid w:val="00F143BC"/>
    <w:rsid w:val="00F1455C"/>
    <w:rsid w:val="00F149DE"/>
    <w:rsid w:val="00F14B07"/>
    <w:rsid w:val="00F1530F"/>
    <w:rsid w:val="00F15D75"/>
    <w:rsid w:val="00F160CC"/>
    <w:rsid w:val="00F163FF"/>
    <w:rsid w:val="00F16979"/>
    <w:rsid w:val="00F16BF4"/>
    <w:rsid w:val="00F170B7"/>
    <w:rsid w:val="00F17208"/>
    <w:rsid w:val="00F17362"/>
    <w:rsid w:val="00F177C6"/>
    <w:rsid w:val="00F17B2E"/>
    <w:rsid w:val="00F200A8"/>
    <w:rsid w:val="00F2047E"/>
    <w:rsid w:val="00F20561"/>
    <w:rsid w:val="00F20EC1"/>
    <w:rsid w:val="00F21267"/>
    <w:rsid w:val="00F215C7"/>
    <w:rsid w:val="00F2228C"/>
    <w:rsid w:val="00F22648"/>
    <w:rsid w:val="00F22C91"/>
    <w:rsid w:val="00F23114"/>
    <w:rsid w:val="00F23247"/>
    <w:rsid w:val="00F232E1"/>
    <w:rsid w:val="00F23325"/>
    <w:rsid w:val="00F239C8"/>
    <w:rsid w:val="00F23EDA"/>
    <w:rsid w:val="00F24086"/>
    <w:rsid w:val="00F24249"/>
    <w:rsid w:val="00F249CD"/>
    <w:rsid w:val="00F24B15"/>
    <w:rsid w:val="00F24BC2"/>
    <w:rsid w:val="00F2521E"/>
    <w:rsid w:val="00F2532D"/>
    <w:rsid w:val="00F26924"/>
    <w:rsid w:val="00F26A3A"/>
    <w:rsid w:val="00F26B14"/>
    <w:rsid w:val="00F26D64"/>
    <w:rsid w:val="00F26E83"/>
    <w:rsid w:val="00F271B3"/>
    <w:rsid w:val="00F27AEC"/>
    <w:rsid w:val="00F30076"/>
    <w:rsid w:val="00F301AE"/>
    <w:rsid w:val="00F302B4"/>
    <w:rsid w:val="00F315FD"/>
    <w:rsid w:val="00F3182D"/>
    <w:rsid w:val="00F31D47"/>
    <w:rsid w:val="00F31D7F"/>
    <w:rsid w:val="00F325B9"/>
    <w:rsid w:val="00F32D09"/>
    <w:rsid w:val="00F33640"/>
    <w:rsid w:val="00F336FF"/>
    <w:rsid w:val="00F33845"/>
    <w:rsid w:val="00F339A5"/>
    <w:rsid w:val="00F33ABB"/>
    <w:rsid w:val="00F33B55"/>
    <w:rsid w:val="00F33B7B"/>
    <w:rsid w:val="00F33F6B"/>
    <w:rsid w:val="00F3499D"/>
    <w:rsid w:val="00F356CE"/>
    <w:rsid w:val="00F358AF"/>
    <w:rsid w:val="00F358B8"/>
    <w:rsid w:val="00F36287"/>
    <w:rsid w:val="00F375FC"/>
    <w:rsid w:val="00F40485"/>
    <w:rsid w:val="00F4082D"/>
    <w:rsid w:val="00F40982"/>
    <w:rsid w:val="00F409D5"/>
    <w:rsid w:val="00F41077"/>
    <w:rsid w:val="00F41508"/>
    <w:rsid w:val="00F423F0"/>
    <w:rsid w:val="00F424FE"/>
    <w:rsid w:val="00F42B1E"/>
    <w:rsid w:val="00F43194"/>
    <w:rsid w:val="00F43352"/>
    <w:rsid w:val="00F43820"/>
    <w:rsid w:val="00F4393C"/>
    <w:rsid w:val="00F43B60"/>
    <w:rsid w:val="00F43CB1"/>
    <w:rsid w:val="00F43D2B"/>
    <w:rsid w:val="00F45359"/>
    <w:rsid w:val="00F45BAA"/>
    <w:rsid w:val="00F46113"/>
    <w:rsid w:val="00F46138"/>
    <w:rsid w:val="00F463F5"/>
    <w:rsid w:val="00F466A7"/>
    <w:rsid w:val="00F469A3"/>
    <w:rsid w:val="00F474E2"/>
    <w:rsid w:val="00F47628"/>
    <w:rsid w:val="00F47983"/>
    <w:rsid w:val="00F47A9F"/>
    <w:rsid w:val="00F500F6"/>
    <w:rsid w:val="00F50709"/>
    <w:rsid w:val="00F50AD6"/>
    <w:rsid w:val="00F50C8D"/>
    <w:rsid w:val="00F50ECC"/>
    <w:rsid w:val="00F512CE"/>
    <w:rsid w:val="00F5132F"/>
    <w:rsid w:val="00F519A4"/>
    <w:rsid w:val="00F51CC9"/>
    <w:rsid w:val="00F52DF6"/>
    <w:rsid w:val="00F52FC6"/>
    <w:rsid w:val="00F5337F"/>
    <w:rsid w:val="00F535E7"/>
    <w:rsid w:val="00F53615"/>
    <w:rsid w:val="00F5381F"/>
    <w:rsid w:val="00F549C3"/>
    <w:rsid w:val="00F5524C"/>
    <w:rsid w:val="00F55547"/>
    <w:rsid w:val="00F55938"/>
    <w:rsid w:val="00F55F1A"/>
    <w:rsid w:val="00F56205"/>
    <w:rsid w:val="00F56546"/>
    <w:rsid w:val="00F56641"/>
    <w:rsid w:val="00F56956"/>
    <w:rsid w:val="00F57031"/>
    <w:rsid w:val="00F570EC"/>
    <w:rsid w:val="00F577A8"/>
    <w:rsid w:val="00F57838"/>
    <w:rsid w:val="00F57A08"/>
    <w:rsid w:val="00F57D9E"/>
    <w:rsid w:val="00F57ED1"/>
    <w:rsid w:val="00F60315"/>
    <w:rsid w:val="00F607FB"/>
    <w:rsid w:val="00F60F37"/>
    <w:rsid w:val="00F61095"/>
    <w:rsid w:val="00F61384"/>
    <w:rsid w:val="00F61AC4"/>
    <w:rsid w:val="00F61C06"/>
    <w:rsid w:val="00F620A2"/>
    <w:rsid w:val="00F6272C"/>
    <w:rsid w:val="00F62E5D"/>
    <w:rsid w:val="00F63080"/>
    <w:rsid w:val="00F63BA7"/>
    <w:rsid w:val="00F64065"/>
    <w:rsid w:val="00F64244"/>
    <w:rsid w:val="00F647EE"/>
    <w:rsid w:val="00F64CCF"/>
    <w:rsid w:val="00F64FF4"/>
    <w:rsid w:val="00F65282"/>
    <w:rsid w:val="00F656A1"/>
    <w:rsid w:val="00F656E4"/>
    <w:rsid w:val="00F66294"/>
    <w:rsid w:val="00F66371"/>
    <w:rsid w:val="00F66830"/>
    <w:rsid w:val="00F66870"/>
    <w:rsid w:val="00F66FC1"/>
    <w:rsid w:val="00F67476"/>
    <w:rsid w:val="00F67634"/>
    <w:rsid w:val="00F707BC"/>
    <w:rsid w:val="00F71545"/>
    <w:rsid w:val="00F71DF2"/>
    <w:rsid w:val="00F72026"/>
    <w:rsid w:val="00F726AA"/>
    <w:rsid w:val="00F73C99"/>
    <w:rsid w:val="00F75DCD"/>
    <w:rsid w:val="00F75FD2"/>
    <w:rsid w:val="00F768EF"/>
    <w:rsid w:val="00F76A64"/>
    <w:rsid w:val="00F76B13"/>
    <w:rsid w:val="00F777C7"/>
    <w:rsid w:val="00F7CFF1"/>
    <w:rsid w:val="00F800B6"/>
    <w:rsid w:val="00F80486"/>
    <w:rsid w:val="00F8071F"/>
    <w:rsid w:val="00F81049"/>
    <w:rsid w:val="00F811C6"/>
    <w:rsid w:val="00F811F8"/>
    <w:rsid w:val="00F819C8"/>
    <w:rsid w:val="00F82FBC"/>
    <w:rsid w:val="00F833D0"/>
    <w:rsid w:val="00F83794"/>
    <w:rsid w:val="00F83A82"/>
    <w:rsid w:val="00F8411E"/>
    <w:rsid w:val="00F84B2D"/>
    <w:rsid w:val="00F84BC7"/>
    <w:rsid w:val="00F84D73"/>
    <w:rsid w:val="00F8520A"/>
    <w:rsid w:val="00F855D5"/>
    <w:rsid w:val="00F85863"/>
    <w:rsid w:val="00F85A14"/>
    <w:rsid w:val="00F85A2D"/>
    <w:rsid w:val="00F85ACE"/>
    <w:rsid w:val="00F85D06"/>
    <w:rsid w:val="00F862F9"/>
    <w:rsid w:val="00F86CD6"/>
    <w:rsid w:val="00F86F2E"/>
    <w:rsid w:val="00F86FDA"/>
    <w:rsid w:val="00F87D43"/>
    <w:rsid w:val="00F87E46"/>
    <w:rsid w:val="00F913DC"/>
    <w:rsid w:val="00F9145F"/>
    <w:rsid w:val="00F914A3"/>
    <w:rsid w:val="00F9175C"/>
    <w:rsid w:val="00F91E30"/>
    <w:rsid w:val="00F91FB6"/>
    <w:rsid w:val="00F92373"/>
    <w:rsid w:val="00F92A11"/>
    <w:rsid w:val="00F92A4E"/>
    <w:rsid w:val="00F93133"/>
    <w:rsid w:val="00F93400"/>
    <w:rsid w:val="00F93B5F"/>
    <w:rsid w:val="00F93C6A"/>
    <w:rsid w:val="00F93F6A"/>
    <w:rsid w:val="00F940F0"/>
    <w:rsid w:val="00F946D4"/>
    <w:rsid w:val="00F9591C"/>
    <w:rsid w:val="00F95F04"/>
    <w:rsid w:val="00F96336"/>
    <w:rsid w:val="00F97166"/>
    <w:rsid w:val="00F971B9"/>
    <w:rsid w:val="00F978AD"/>
    <w:rsid w:val="00F97B67"/>
    <w:rsid w:val="00F97CF7"/>
    <w:rsid w:val="00F97DB8"/>
    <w:rsid w:val="00FA0709"/>
    <w:rsid w:val="00FA173C"/>
    <w:rsid w:val="00FA1797"/>
    <w:rsid w:val="00FA1945"/>
    <w:rsid w:val="00FA2864"/>
    <w:rsid w:val="00FA357B"/>
    <w:rsid w:val="00FA3858"/>
    <w:rsid w:val="00FA3865"/>
    <w:rsid w:val="00FA46C8"/>
    <w:rsid w:val="00FA4738"/>
    <w:rsid w:val="00FA4AC0"/>
    <w:rsid w:val="00FA4C21"/>
    <w:rsid w:val="00FA4E19"/>
    <w:rsid w:val="00FA58CF"/>
    <w:rsid w:val="00FA610E"/>
    <w:rsid w:val="00FA6418"/>
    <w:rsid w:val="00FA641C"/>
    <w:rsid w:val="00FA6C8A"/>
    <w:rsid w:val="00FA6DCC"/>
    <w:rsid w:val="00FA6E69"/>
    <w:rsid w:val="00FA6E87"/>
    <w:rsid w:val="00FA77E4"/>
    <w:rsid w:val="00FB023B"/>
    <w:rsid w:val="00FB053E"/>
    <w:rsid w:val="00FB0A56"/>
    <w:rsid w:val="00FB0EAC"/>
    <w:rsid w:val="00FB1578"/>
    <w:rsid w:val="00FB199D"/>
    <w:rsid w:val="00FB1C26"/>
    <w:rsid w:val="00FB1D44"/>
    <w:rsid w:val="00FB1E3F"/>
    <w:rsid w:val="00FB21AB"/>
    <w:rsid w:val="00FB232D"/>
    <w:rsid w:val="00FB25EE"/>
    <w:rsid w:val="00FB2CD7"/>
    <w:rsid w:val="00FB2E7B"/>
    <w:rsid w:val="00FB3F3C"/>
    <w:rsid w:val="00FB4223"/>
    <w:rsid w:val="00FB4960"/>
    <w:rsid w:val="00FB4FD8"/>
    <w:rsid w:val="00FB5258"/>
    <w:rsid w:val="00FB5985"/>
    <w:rsid w:val="00FB5C4C"/>
    <w:rsid w:val="00FB620E"/>
    <w:rsid w:val="00FB6515"/>
    <w:rsid w:val="00FB68B2"/>
    <w:rsid w:val="00FB7947"/>
    <w:rsid w:val="00FB7A46"/>
    <w:rsid w:val="00FB7D65"/>
    <w:rsid w:val="00FC019F"/>
    <w:rsid w:val="00FC04E6"/>
    <w:rsid w:val="00FC0624"/>
    <w:rsid w:val="00FC06C4"/>
    <w:rsid w:val="00FC0B81"/>
    <w:rsid w:val="00FC0D8E"/>
    <w:rsid w:val="00FC0E08"/>
    <w:rsid w:val="00FC1030"/>
    <w:rsid w:val="00FC11C4"/>
    <w:rsid w:val="00FC1715"/>
    <w:rsid w:val="00FC1EFC"/>
    <w:rsid w:val="00FC1F85"/>
    <w:rsid w:val="00FC20DD"/>
    <w:rsid w:val="00FC223C"/>
    <w:rsid w:val="00FC371D"/>
    <w:rsid w:val="00FC37BD"/>
    <w:rsid w:val="00FC41EC"/>
    <w:rsid w:val="00FC4668"/>
    <w:rsid w:val="00FC4854"/>
    <w:rsid w:val="00FC4D06"/>
    <w:rsid w:val="00FC51CF"/>
    <w:rsid w:val="00FC53C3"/>
    <w:rsid w:val="00FC5515"/>
    <w:rsid w:val="00FC57A0"/>
    <w:rsid w:val="00FC5D84"/>
    <w:rsid w:val="00FC6275"/>
    <w:rsid w:val="00FC6368"/>
    <w:rsid w:val="00FC692F"/>
    <w:rsid w:val="00FC6B0D"/>
    <w:rsid w:val="00FC6CBF"/>
    <w:rsid w:val="00FC6D7A"/>
    <w:rsid w:val="00FC7A82"/>
    <w:rsid w:val="00FC7C96"/>
    <w:rsid w:val="00FD0193"/>
    <w:rsid w:val="00FD08A4"/>
    <w:rsid w:val="00FD0B8B"/>
    <w:rsid w:val="00FD0BA9"/>
    <w:rsid w:val="00FD0FAA"/>
    <w:rsid w:val="00FD10A8"/>
    <w:rsid w:val="00FD16F5"/>
    <w:rsid w:val="00FD1E78"/>
    <w:rsid w:val="00FD2007"/>
    <w:rsid w:val="00FD22D9"/>
    <w:rsid w:val="00FD239F"/>
    <w:rsid w:val="00FD246D"/>
    <w:rsid w:val="00FD2F78"/>
    <w:rsid w:val="00FD3452"/>
    <w:rsid w:val="00FD380B"/>
    <w:rsid w:val="00FD3883"/>
    <w:rsid w:val="00FD38B8"/>
    <w:rsid w:val="00FD3CCC"/>
    <w:rsid w:val="00FD457C"/>
    <w:rsid w:val="00FD4E90"/>
    <w:rsid w:val="00FD5421"/>
    <w:rsid w:val="00FD54FC"/>
    <w:rsid w:val="00FD5721"/>
    <w:rsid w:val="00FD5ABD"/>
    <w:rsid w:val="00FD5B25"/>
    <w:rsid w:val="00FD63A1"/>
    <w:rsid w:val="00FD64B9"/>
    <w:rsid w:val="00FD67E6"/>
    <w:rsid w:val="00FD6CCB"/>
    <w:rsid w:val="00FD6D27"/>
    <w:rsid w:val="00FD7524"/>
    <w:rsid w:val="00FD77DC"/>
    <w:rsid w:val="00FD780D"/>
    <w:rsid w:val="00FD7960"/>
    <w:rsid w:val="00FD7DC9"/>
    <w:rsid w:val="00FD7E66"/>
    <w:rsid w:val="00FD7F83"/>
    <w:rsid w:val="00FD7FB3"/>
    <w:rsid w:val="00FE052A"/>
    <w:rsid w:val="00FE0FA4"/>
    <w:rsid w:val="00FE122E"/>
    <w:rsid w:val="00FE1304"/>
    <w:rsid w:val="00FE219F"/>
    <w:rsid w:val="00FE21F5"/>
    <w:rsid w:val="00FE2633"/>
    <w:rsid w:val="00FE2948"/>
    <w:rsid w:val="00FE30C1"/>
    <w:rsid w:val="00FE31AA"/>
    <w:rsid w:val="00FE3BD8"/>
    <w:rsid w:val="00FE43D5"/>
    <w:rsid w:val="00FE4798"/>
    <w:rsid w:val="00FE4855"/>
    <w:rsid w:val="00FE4AE0"/>
    <w:rsid w:val="00FE4D22"/>
    <w:rsid w:val="00FE5C7E"/>
    <w:rsid w:val="00FE65CF"/>
    <w:rsid w:val="00FE6995"/>
    <w:rsid w:val="00FE69AC"/>
    <w:rsid w:val="00FE6CC5"/>
    <w:rsid w:val="00FE6CFB"/>
    <w:rsid w:val="00FE6D25"/>
    <w:rsid w:val="00FE7559"/>
    <w:rsid w:val="00FE780B"/>
    <w:rsid w:val="00FF0040"/>
    <w:rsid w:val="00FF03AB"/>
    <w:rsid w:val="00FF0EC7"/>
    <w:rsid w:val="00FF1422"/>
    <w:rsid w:val="00FF151F"/>
    <w:rsid w:val="00FF1A6E"/>
    <w:rsid w:val="00FF1FB8"/>
    <w:rsid w:val="00FF203C"/>
    <w:rsid w:val="00FF208F"/>
    <w:rsid w:val="00FF2658"/>
    <w:rsid w:val="00FF2818"/>
    <w:rsid w:val="00FF2D06"/>
    <w:rsid w:val="00FF2D0E"/>
    <w:rsid w:val="00FF36A5"/>
    <w:rsid w:val="00FF3B3B"/>
    <w:rsid w:val="00FF43B8"/>
    <w:rsid w:val="00FF5165"/>
    <w:rsid w:val="00FF5216"/>
    <w:rsid w:val="00FF54C5"/>
    <w:rsid w:val="00FF5A6B"/>
    <w:rsid w:val="00FF5E6E"/>
    <w:rsid w:val="00FF65DE"/>
    <w:rsid w:val="00FF6D23"/>
    <w:rsid w:val="00FF743F"/>
    <w:rsid w:val="00FF75CC"/>
    <w:rsid w:val="010BED6B"/>
    <w:rsid w:val="0112ECFB"/>
    <w:rsid w:val="012AE668"/>
    <w:rsid w:val="0132874E"/>
    <w:rsid w:val="01374983"/>
    <w:rsid w:val="014BD0BD"/>
    <w:rsid w:val="01534CB5"/>
    <w:rsid w:val="0171D393"/>
    <w:rsid w:val="017E28BA"/>
    <w:rsid w:val="01890F03"/>
    <w:rsid w:val="01907C6D"/>
    <w:rsid w:val="01934372"/>
    <w:rsid w:val="01966803"/>
    <w:rsid w:val="01A1B3EA"/>
    <w:rsid w:val="01AFB776"/>
    <w:rsid w:val="01F57898"/>
    <w:rsid w:val="0205F33A"/>
    <w:rsid w:val="0207BC45"/>
    <w:rsid w:val="020F9587"/>
    <w:rsid w:val="02548D02"/>
    <w:rsid w:val="025911FA"/>
    <w:rsid w:val="026D3EC5"/>
    <w:rsid w:val="026E870B"/>
    <w:rsid w:val="02701E2E"/>
    <w:rsid w:val="027A3392"/>
    <w:rsid w:val="027B74E6"/>
    <w:rsid w:val="028CA554"/>
    <w:rsid w:val="0293FDF6"/>
    <w:rsid w:val="02994E37"/>
    <w:rsid w:val="02A5D879"/>
    <w:rsid w:val="02C55CC0"/>
    <w:rsid w:val="02C7A51E"/>
    <w:rsid w:val="02DE556A"/>
    <w:rsid w:val="02DF98CB"/>
    <w:rsid w:val="02F60B90"/>
    <w:rsid w:val="031568F3"/>
    <w:rsid w:val="03337995"/>
    <w:rsid w:val="0334F570"/>
    <w:rsid w:val="03498EE2"/>
    <w:rsid w:val="034A5D18"/>
    <w:rsid w:val="036BB9D7"/>
    <w:rsid w:val="037F1A38"/>
    <w:rsid w:val="038A3F27"/>
    <w:rsid w:val="039199A7"/>
    <w:rsid w:val="0399A072"/>
    <w:rsid w:val="03A75D6F"/>
    <w:rsid w:val="03C52FD4"/>
    <w:rsid w:val="03CFCA29"/>
    <w:rsid w:val="040FDD58"/>
    <w:rsid w:val="04181055"/>
    <w:rsid w:val="041E8D52"/>
    <w:rsid w:val="042C1BD7"/>
    <w:rsid w:val="044094C4"/>
    <w:rsid w:val="04422F23"/>
    <w:rsid w:val="04481CFB"/>
    <w:rsid w:val="046A160B"/>
    <w:rsid w:val="04913FA4"/>
    <w:rsid w:val="04955902"/>
    <w:rsid w:val="04B5AFAC"/>
    <w:rsid w:val="04D4C662"/>
    <w:rsid w:val="04D90CAC"/>
    <w:rsid w:val="04F6E168"/>
    <w:rsid w:val="04F9CA80"/>
    <w:rsid w:val="04FBBACE"/>
    <w:rsid w:val="04FC4F46"/>
    <w:rsid w:val="05239086"/>
    <w:rsid w:val="0524A661"/>
    <w:rsid w:val="05411CBA"/>
    <w:rsid w:val="05436FDA"/>
    <w:rsid w:val="054D74BD"/>
    <w:rsid w:val="0557E4AC"/>
    <w:rsid w:val="055DD401"/>
    <w:rsid w:val="056748A7"/>
    <w:rsid w:val="057491BB"/>
    <w:rsid w:val="0576D0A8"/>
    <w:rsid w:val="0581C58D"/>
    <w:rsid w:val="05911BC7"/>
    <w:rsid w:val="05A0EFF4"/>
    <w:rsid w:val="05B3E1D3"/>
    <w:rsid w:val="05BF627E"/>
    <w:rsid w:val="05D7ADAD"/>
    <w:rsid w:val="05E645DB"/>
    <w:rsid w:val="05F3004B"/>
    <w:rsid w:val="05F9AD11"/>
    <w:rsid w:val="05FBED51"/>
    <w:rsid w:val="05FBFAD2"/>
    <w:rsid w:val="06023A2C"/>
    <w:rsid w:val="0615014F"/>
    <w:rsid w:val="062B4279"/>
    <w:rsid w:val="062E3BEE"/>
    <w:rsid w:val="06317FE5"/>
    <w:rsid w:val="0632AA20"/>
    <w:rsid w:val="063F878D"/>
    <w:rsid w:val="064803DA"/>
    <w:rsid w:val="066F9775"/>
    <w:rsid w:val="0697D423"/>
    <w:rsid w:val="06C60D0A"/>
    <w:rsid w:val="06D83C87"/>
    <w:rsid w:val="06E6FC5A"/>
    <w:rsid w:val="06F2E0CA"/>
    <w:rsid w:val="06F70559"/>
    <w:rsid w:val="070D7E34"/>
    <w:rsid w:val="070DBC37"/>
    <w:rsid w:val="07244849"/>
    <w:rsid w:val="072C9660"/>
    <w:rsid w:val="072F7548"/>
    <w:rsid w:val="0736BD96"/>
    <w:rsid w:val="0755030C"/>
    <w:rsid w:val="0756DB43"/>
    <w:rsid w:val="0760490B"/>
    <w:rsid w:val="07764653"/>
    <w:rsid w:val="07847857"/>
    <w:rsid w:val="07923605"/>
    <w:rsid w:val="079F4DBA"/>
    <w:rsid w:val="07AF1245"/>
    <w:rsid w:val="07B5F5B8"/>
    <w:rsid w:val="07BF010F"/>
    <w:rsid w:val="07DB9672"/>
    <w:rsid w:val="07DEF3C8"/>
    <w:rsid w:val="0803EDE1"/>
    <w:rsid w:val="08192464"/>
    <w:rsid w:val="0820DED8"/>
    <w:rsid w:val="08248519"/>
    <w:rsid w:val="08335B90"/>
    <w:rsid w:val="083372AE"/>
    <w:rsid w:val="084E9FFA"/>
    <w:rsid w:val="08533E6D"/>
    <w:rsid w:val="087487D0"/>
    <w:rsid w:val="0882E1C9"/>
    <w:rsid w:val="088AB392"/>
    <w:rsid w:val="08906039"/>
    <w:rsid w:val="0890E31F"/>
    <w:rsid w:val="08A0570B"/>
    <w:rsid w:val="08B3E427"/>
    <w:rsid w:val="08CD4B19"/>
    <w:rsid w:val="08D89F97"/>
    <w:rsid w:val="08DE3D72"/>
    <w:rsid w:val="08F6B94F"/>
    <w:rsid w:val="08F9FF5F"/>
    <w:rsid w:val="08FB0352"/>
    <w:rsid w:val="091C4B52"/>
    <w:rsid w:val="092C1284"/>
    <w:rsid w:val="093937EB"/>
    <w:rsid w:val="0952951A"/>
    <w:rsid w:val="0954E5BD"/>
    <w:rsid w:val="0962C768"/>
    <w:rsid w:val="0975B26D"/>
    <w:rsid w:val="099C9A33"/>
    <w:rsid w:val="099D6B4C"/>
    <w:rsid w:val="09BA210B"/>
    <w:rsid w:val="09C2B9AC"/>
    <w:rsid w:val="09FAE832"/>
    <w:rsid w:val="0A052760"/>
    <w:rsid w:val="0A149C22"/>
    <w:rsid w:val="0A204189"/>
    <w:rsid w:val="0A2FF2A8"/>
    <w:rsid w:val="0A444FF8"/>
    <w:rsid w:val="0A546D71"/>
    <w:rsid w:val="0A61450A"/>
    <w:rsid w:val="0A6A73D1"/>
    <w:rsid w:val="0A7348C3"/>
    <w:rsid w:val="0A83EB19"/>
    <w:rsid w:val="0AA97063"/>
    <w:rsid w:val="0AC7820A"/>
    <w:rsid w:val="0AC86972"/>
    <w:rsid w:val="0ACF8E7B"/>
    <w:rsid w:val="0AD6738B"/>
    <w:rsid w:val="0ADD89C3"/>
    <w:rsid w:val="0AFE021A"/>
    <w:rsid w:val="0B005324"/>
    <w:rsid w:val="0B0817CF"/>
    <w:rsid w:val="0B0EEF26"/>
    <w:rsid w:val="0B426E29"/>
    <w:rsid w:val="0B4B3C6B"/>
    <w:rsid w:val="0B4E312D"/>
    <w:rsid w:val="0B5C1ECA"/>
    <w:rsid w:val="0B6AFC52"/>
    <w:rsid w:val="0B7FCE00"/>
    <w:rsid w:val="0BA40C47"/>
    <w:rsid w:val="0BA58D4B"/>
    <w:rsid w:val="0BBE23A6"/>
    <w:rsid w:val="0BBF6E35"/>
    <w:rsid w:val="0BCBB854"/>
    <w:rsid w:val="0BCD33A1"/>
    <w:rsid w:val="0BD12DBE"/>
    <w:rsid w:val="0BDA8B30"/>
    <w:rsid w:val="0BF2900C"/>
    <w:rsid w:val="0BF39EA6"/>
    <w:rsid w:val="0BF97300"/>
    <w:rsid w:val="0BFC3097"/>
    <w:rsid w:val="0C01AFB1"/>
    <w:rsid w:val="0C134023"/>
    <w:rsid w:val="0C14C4EC"/>
    <w:rsid w:val="0C184DE6"/>
    <w:rsid w:val="0C297BF3"/>
    <w:rsid w:val="0C3DE682"/>
    <w:rsid w:val="0C6D52B4"/>
    <w:rsid w:val="0C990F80"/>
    <w:rsid w:val="0CA7E5C9"/>
    <w:rsid w:val="0CA89E8B"/>
    <w:rsid w:val="0CC83610"/>
    <w:rsid w:val="0CCA7FE2"/>
    <w:rsid w:val="0CDEB137"/>
    <w:rsid w:val="0CE01D79"/>
    <w:rsid w:val="0CEB045C"/>
    <w:rsid w:val="0D065B6C"/>
    <w:rsid w:val="0D2BF80D"/>
    <w:rsid w:val="0D385994"/>
    <w:rsid w:val="0D3D6E46"/>
    <w:rsid w:val="0D4F4830"/>
    <w:rsid w:val="0D5603A8"/>
    <w:rsid w:val="0D66931F"/>
    <w:rsid w:val="0D693B76"/>
    <w:rsid w:val="0D8A4143"/>
    <w:rsid w:val="0D90310B"/>
    <w:rsid w:val="0D9274DF"/>
    <w:rsid w:val="0D9E2958"/>
    <w:rsid w:val="0DBE2549"/>
    <w:rsid w:val="0DD71BAD"/>
    <w:rsid w:val="0DDF09D3"/>
    <w:rsid w:val="0DFC286B"/>
    <w:rsid w:val="0E079259"/>
    <w:rsid w:val="0E10DEFE"/>
    <w:rsid w:val="0E1901CF"/>
    <w:rsid w:val="0E213819"/>
    <w:rsid w:val="0E23ECEC"/>
    <w:rsid w:val="0E34A177"/>
    <w:rsid w:val="0E3FC370"/>
    <w:rsid w:val="0E429ACD"/>
    <w:rsid w:val="0E4752E6"/>
    <w:rsid w:val="0E56ADCF"/>
    <w:rsid w:val="0E6B8E8D"/>
    <w:rsid w:val="0E7ED729"/>
    <w:rsid w:val="0E89A360"/>
    <w:rsid w:val="0EB41D29"/>
    <w:rsid w:val="0EBB6BB5"/>
    <w:rsid w:val="0EBCD4C0"/>
    <w:rsid w:val="0EE19A1C"/>
    <w:rsid w:val="0EE5EF5E"/>
    <w:rsid w:val="0EE66E19"/>
    <w:rsid w:val="0F007008"/>
    <w:rsid w:val="0F0AD2A7"/>
    <w:rsid w:val="0F0AD3BF"/>
    <w:rsid w:val="0F0F51B9"/>
    <w:rsid w:val="0F1ED5B0"/>
    <w:rsid w:val="0F2B68FB"/>
    <w:rsid w:val="0F2F3567"/>
    <w:rsid w:val="0F32DC83"/>
    <w:rsid w:val="0F35D63E"/>
    <w:rsid w:val="0F382F91"/>
    <w:rsid w:val="0F48572D"/>
    <w:rsid w:val="0F6F1827"/>
    <w:rsid w:val="0F6FF845"/>
    <w:rsid w:val="0F76E74F"/>
    <w:rsid w:val="0F9731B8"/>
    <w:rsid w:val="0F9C6946"/>
    <w:rsid w:val="0FCE16C4"/>
    <w:rsid w:val="0FCF24BE"/>
    <w:rsid w:val="0FED05F9"/>
    <w:rsid w:val="0FEF7A49"/>
    <w:rsid w:val="1004AA71"/>
    <w:rsid w:val="100599C9"/>
    <w:rsid w:val="101D6681"/>
    <w:rsid w:val="10290D55"/>
    <w:rsid w:val="1043A25F"/>
    <w:rsid w:val="1043B7F9"/>
    <w:rsid w:val="10498F39"/>
    <w:rsid w:val="106776BD"/>
    <w:rsid w:val="1071254C"/>
    <w:rsid w:val="107EFB33"/>
    <w:rsid w:val="107F3704"/>
    <w:rsid w:val="108307CF"/>
    <w:rsid w:val="108CFE66"/>
    <w:rsid w:val="108DEEBD"/>
    <w:rsid w:val="10A198D9"/>
    <w:rsid w:val="10ACCEB9"/>
    <w:rsid w:val="10C06176"/>
    <w:rsid w:val="10C23AA7"/>
    <w:rsid w:val="10CB5889"/>
    <w:rsid w:val="10D57D08"/>
    <w:rsid w:val="10D6F489"/>
    <w:rsid w:val="10DCDD24"/>
    <w:rsid w:val="10E275D2"/>
    <w:rsid w:val="110676B8"/>
    <w:rsid w:val="11164933"/>
    <w:rsid w:val="1118BC5D"/>
    <w:rsid w:val="1152A838"/>
    <w:rsid w:val="11849CD7"/>
    <w:rsid w:val="1186BF0A"/>
    <w:rsid w:val="118DF5EE"/>
    <w:rsid w:val="11A09A54"/>
    <w:rsid w:val="11B8A56B"/>
    <w:rsid w:val="11C11579"/>
    <w:rsid w:val="11C3C567"/>
    <w:rsid w:val="11D2A66C"/>
    <w:rsid w:val="11D444B1"/>
    <w:rsid w:val="11DA898F"/>
    <w:rsid w:val="11DBC664"/>
    <w:rsid w:val="11F28263"/>
    <w:rsid w:val="11F4B543"/>
    <w:rsid w:val="1263BA08"/>
    <w:rsid w:val="12696242"/>
    <w:rsid w:val="1297F6AA"/>
    <w:rsid w:val="129B7B30"/>
    <w:rsid w:val="129E510B"/>
    <w:rsid w:val="12BEB82D"/>
    <w:rsid w:val="12C8EF25"/>
    <w:rsid w:val="12CC0A05"/>
    <w:rsid w:val="12EFB564"/>
    <w:rsid w:val="12F12420"/>
    <w:rsid w:val="1305CE8A"/>
    <w:rsid w:val="131ACD03"/>
    <w:rsid w:val="13229644"/>
    <w:rsid w:val="13262A04"/>
    <w:rsid w:val="132E5824"/>
    <w:rsid w:val="134442A4"/>
    <w:rsid w:val="134A258C"/>
    <w:rsid w:val="135B3A2C"/>
    <w:rsid w:val="1363C6A8"/>
    <w:rsid w:val="13646F12"/>
    <w:rsid w:val="1375EE99"/>
    <w:rsid w:val="138A7BA3"/>
    <w:rsid w:val="138AF1BB"/>
    <w:rsid w:val="13A1E730"/>
    <w:rsid w:val="13A29E9F"/>
    <w:rsid w:val="13B8F0C1"/>
    <w:rsid w:val="13CB1012"/>
    <w:rsid w:val="13D9F526"/>
    <w:rsid w:val="13EB24FF"/>
    <w:rsid w:val="13FC9F5C"/>
    <w:rsid w:val="140A0FD9"/>
    <w:rsid w:val="14147C9B"/>
    <w:rsid w:val="14174F90"/>
    <w:rsid w:val="145A4E81"/>
    <w:rsid w:val="145BF75C"/>
    <w:rsid w:val="1468BDA4"/>
    <w:rsid w:val="1483BB08"/>
    <w:rsid w:val="148FF7FA"/>
    <w:rsid w:val="14957020"/>
    <w:rsid w:val="14A19EEB"/>
    <w:rsid w:val="14A1E153"/>
    <w:rsid w:val="14B22779"/>
    <w:rsid w:val="14B60768"/>
    <w:rsid w:val="14C013BB"/>
    <w:rsid w:val="14C0909B"/>
    <w:rsid w:val="14C72E32"/>
    <w:rsid w:val="14CF4C6C"/>
    <w:rsid w:val="14D43150"/>
    <w:rsid w:val="14F70A8D"/>
    <w:rsid w:val="14FEDA4A"/>
    <w:rsid w:val="15215EBA"/>
    <w:rsid w:val="15413B94"/>
    <w:rsid w:val="1553D9CC"/>
    <w:rsid w:val="1569DA52"/>
    <w:rsid w:val="156EAE00"/>
    <w:rsid w:val="15C9CB13"/>
    <w:rsid w:val="15CF4788"/>
    <w:rsid w:val="15DFE528"/>
    <w:rsid w:val="15E5780D"/>
    <w:rsid w:val="15EC792E"/>
    <w:rsid w:val="16093290"/>
    <w:rsid w:val="161029E6"/>
    <w:rsid w:val="162BC85B"/>
    <w:rsid w:val="16372BAC"/>
    <w:rsid w:val="163D1D7B"/>
    <w:rsid w:val="164C1EF7"/>
    <w:rsid w:val="165CCB7C"/>
    <w:rsid w:val="1665CB09"/>
    <w:rsid w:val="1677CD28"/>
    <w:rsid w:val="168030E6"/>
    <w:rsid w:val="16835079"/>
    <w:rsid w:val="168843C3"/>
    <w:rsid w:val="16919A00"/>
    <w:rsid w:val="16AD2943"/>
    <w:rsid w:val="16AF7E10"/>
    <w:rsid w:val="16D22ADA"/>
    <w:rsid w:val="16FD60DB"/>
    <w:rsid w:val="1704F244"/>
    <w:rsid w:val="1723A6C6"/>
    <w:rsid w:val="1734A452"/>
    <w:rsid w:val="17357FA5"/>
    <w:rsid w:val="174427E8"/>
    <w:rsid w:val="17614E07"/>
    <w:rsid w:val="176540B6"/>
    <w:rsid w:val="1774553B"/>
    <w:rsid w:val="1789437A"/>
    <w:rsid w:val="179F45FE"/>
    <w:rsid w:val="17BCFD9E"/>
    <w:rsid w:val="17BFD78E"/>
    <w:rsid w:val="17C8FAE7"/>
    <w:rsid w:val="17D84CF2"/>
    <w:rsid w:val="17D962D0"/>
    <w:rsid w:val="1803C8CD"/>
    <w:rsid w:val="1825685A"/>
    <w:rsid w:val="1826EB23"/>
    <w:rsid w:val="1830242E"/>
    <w:rsid w:val="18393574"/>
    <w:rsid w:val="18508A03"/>
    <w:rsid w:val="18622C54"/>
    <w:rsid w:val="18672855"/>
    <w:rsid w:val="187B5AD9"/>
    <w:rsid w:val="1889DB07"/>
    <w:rsid w:val="188CCC95"/>
    <w:rsid w:val="18ABAEE0"/>
    <w:rsid w:val="18B63B4D"/>
    <w:rsid w:val="18C5D61F"/>
    <w:rsid w:val="18FC3E5E"/>
    <w:rsid w:val="19296724"/>
    <w:rsid w:val="1937EB19"/>
    <w:rsid w:val="194146A1"/>
    <w:rsid w:val="19519EE0"/>
    <w:rsid w:val="1987EBDF"/>
    <w:rsid w:val="19A7AA10"/>
    <w:rsid w:val="19ADD2B1"/>
    <w:rsid w:val="19BB8229"/>
    <w:rsid w:val="19BC2DE8"/>
    <w:rsid w:val="19C1D1DC"/>
    <w:rsid w:val="19F40EE1"/>
    <w:rsid w:val="19F7C6E5"/>
    <w:rsid w:val="19FBFC60"/>
    <w:rsid w:val="1A1A38FF"/>
    <w:rsid w:val="1A34020B"/>
    <w:rsid w:val="1A459218"/>
    <w:rsid w:val="1A4E0FEC"/>
    <w:rsid w:val="1A502AC8"/>
    <w:rsid w:val="1AAC3924"/>
    <w:rsid w:val="1AB3E830"/>
    <w:rsid w:val="1AC42680"/>
    <w:rsid w:val="1AF02168"/>
    <w:rsid w:val="1B009BA9"/>
    <w:rsid w:val="1B140DA1"/>
    <w:rsid w:val="1B1B0739"/>
    <w:rsid w:val="1B1F901A"/>
    <w:rsid w:val="1B2CA0A0"/>
    <w:rsid w:val="1B395D93"/>
    <w:rsid w:val="1B43FCCD"/>
    <w:rsid w:val="1B63BD72"/>
    <w:rsid w:val="1B68D7FA"/>
    <w:rsid w:val="1B7E66E3"/>
    <w:rsid w:val="1B8E5AF9"/>
    <w:rsid w:val="1B8E9F48"/>
    <w:rsid w:val="1B926463"/>
    <w:rsid w:val="1B9507C5"/>
    <w:rsid w:val="1BDDB2DC"/>
    <w:rsid w:val="1BDFA2DF"/>
    <w:rsid w:val="1BE06F04"/>
    <w:rsid w:val="1BF66718"/>
    <w:rsid w:val="1C043053"/>
    <w:rsid w:val="1C0A15D8"/>
    <w:rsid w:val="1C11B6B7"/>
    <w:rsid w:val="1C5621B6"/>
    <w:rsid w:val="1C6C4124"/>
    <w:rsid w:val="1C71C710"/>
    <w:rsid w:val="1CBF79C5"/>
    <w:rsid w:val="1CD011AC"/>
    <w:rsid w:val="1CE571CA"/>
    <w:rsid w:val="1D095C28"/>
    <w:rsid w:val="1D0AE9EA"/>
    <w:rsid w:val="1D418A2E"/>
    <w:rsid w:val="1D4D87B1"/>
    <w:rsid w:val="1D6E4D65"/>
    <w:rsid w:val="1D75078B"/>
    <w:rsid w:val="1D7655B9"/>
    <w:rsid w:val="1D773971"/>
    <w:rsid w:val="1DB0250F"/>
    <w:rsid w:val="1DBE8B39"/>
    <w:rsid w:val="1DCC3EE7"/>
    <w:rsid w:val="1DD73C4C"/>
    <w:rsid w:val="1DE93816"/>
    <w:rsid w:val="1DF2A53D"/>
    <w:rsid w:val="1DFD3DC1"/>
    <w:rsid w:val="1E09ACC6"/>
    <w:rsid w:val="1E0BDB97"/>
    <w:rsid w:val="1E23545D"/>
    <w:rsid w:val="1E2CA08E"/>
    <w:rsid w:val="1E4AEE2D"/>
    <w:rsid w:val="1E4E10B2"/>
    <w:rsid w:val="1E4FE1EB"/>
    <w:rsid w:val="1E5158F5"/>
    <w:rsid w:val="1E6B9871"/>
    <w:rsid w:val="1E6CDBAF"/>
    <w:rsid w:val="1E6D14E0"/>
    <w:rsid w:val="1E77DB21"/>
    <w:rsid w:val="1E85F01F"/>
    <w:rsid w:val="1E87EA5A"/>
    <w:rsid w:val="1E8B6ECA"/>
    <w:rsid w:val="1EA0E290"/>
    <w:rsid w:val="1EAA68C0"/>
    <w:rsid w:val="1EB3A21E"/>
    <w:rsid w:val="1EDA0074"/>
    <w:rsid w:val="1EFD676E"/>
    <w:rsid w:val="1F0D9DBB"/>
    <w:rsid w:val="1F0ED412"/>
    <w:rsid w:val="1F4C8B67"/>
    <w:rsid w:val="1F4F1A7C"/>
    <w:rsid w:val="1F55689C"/>
    <w:rsid w:val="1FAFCAE6"/>
    <w:rsid w:val="1FBCAC00"/>
    <w:rsid w:val="1FC58D9E"/>
    <w:rsid w:val="1FC77F68"/>
    <w:rsid w:val="1FD15083"/>
    <w:rsid w:val="1FD35519"/>
    <w:rsid w:val="1FE80FD0"/>
    <w:rsid w:val="1FF3EA49"/>
    <w:rsid w:val="1FF59B1D"/>
    <w:rsid w:val="1FF60A1F"/>
    <w:rsid w:val="1FF68DBE"/>
    <w:rsid w:val="1FFF1DD0"/>
    <w:rsid w:val="2007950A"/>
    <w:rsid w:val="2013AF6F"/>
    <w:rsid w:val="20149AEF"/>
    <w:rsid w:val="2015BE54"/>
    <w:rsid w:val="2039BB59"/>
    <w:rsid w:val="203EBB80"/>
    <w:rsid w:val="204A08A1"/>
    <w:rsid w:val="205149AF"/>
    <w:rsid w:val="20575A36"/>
    <w:rsid w:val="206E14E4"/>
    <w:rsid w:val="206EE370"/>
    <w:rsid w:val="209A8A61"/>
    <w:rsid w:val="20A6CD31"/>
    <w:rsid w:val="20C09C65"/>
    <w:rsid w:val="20C10A0F"/>
    <w:rsid w:val="20C35A5A"/>
    <w:rsid w:val="20C39127"/>
    <w:rsid w:val="20CAC78D"/>
    <w:rsid w:val="20FB3C1D"/>
    <w:rsid w:val="21194B90"/>
    <w:rsid w:val="213A650D"/>
    <w:rsid w:val="216CF976"/>
    <w:rsid w:val="217C13C8"/>
    <w:rsid w:val="2185E6FE"/>
    <w:rsid w:val="21AF74FC"/>
    <w:rsid w:val="21C2FA61"/>
    <w:rsid w:val="21CCB8DA"/>
    <w:rsid w:val="21D5E904"/>
    <w:rsid w:val="21F039D1"/>
    <w:rsid w:val="21F2F942"/>
    <w:rsid w:val="21F6C644"/>
    <w:rsid w:val="21FD8125"/>
    <w:rsid w:val="224DD55B"/>
    <w:rsid w:val="225979FC"/>
    <w:rsid w:val="22645C08"/>
    <w:rsid w:val="226FBC40"/>
    <w:rsid w:val="22772CE6"/>
    <w:rsid w:val="227D2DF4"/>
    <w:rsid w:val="2287F1AA"/>
    <w:rsid w:val="22A3258B"/>
    <w:rsid w:val="22A7CD98"/>
    <w:rsid w:val="22AFBF5F"/>
    <w:rsid w:val="22DBC4E2"/>
    <w:rsid w:val="22DED457"/>
    <w:rsid w:val="22EBC05E"/>
    <w:rsid w:val="230DADF1"/>
    <w:rsid w:val="23266802"/>
    <w:rsid w:val="232F1664"/>
    <w:rsid w:val="23383F4F"/>
    <w:rsid w:val="235D5447"/>
    <w:rsid w:val="235F445E"/>
    <w:rsid w:val="2369C107"/>
    <w:rsid w:val="236BE31B"/>
    <w:rsid w:val="2371B965"/>
    <w:rsid w:val="237E67DF"/>
    <w:rsid w:val="2386B012"/>
    <w:rsid w:val="238CEE83"/>
    <w:rsid w:val="23927117"/>
    <w:rsid w:val="23A2CCE2"/>
    <w:rsid w:val="23A4186E"/>
    <w:rsid w:val="23B77829"/>
    <w:rsid w:val="23BF5A84"/>
    <w:rsid w:val="23C37D23"/>
    <w:rsid w:val="23CED008"/>
    <w:rsid w:val="23CFC740"/>
    <w:rsid w:val="23D01F17"/>
    <w:rsid w:val="23D82D84"/>
    <w:rsid w:val="23E34D34"/>
    <w:rsid w:val="23EB9B1A"/>
    <w:rsid w:val="23FDF504"/>
    <w:rsid w:val="240D4407"/>
    <w:rsid w:val="240EA7CA"/>
    <w:rsid w:val="2412A5D3"/>
    <w:rsid w:val="2427EF30"/>
    <w:rsid w:val="2429D0E6"/>
    <w:rsid w:val="2430CEB9"/>
    <w:rsid w:val="243E7782"/>
    <w:rsid w:val="243EE491"/>
    <w:rsid w:val="2440C488"/>
    <w:rsid w:val="24423903"/>
    <w:rsid w:val="2446EFB1"/>
    <w:rsid w:val="244D7148"/>
    <w:rsid w:val="246D1CBF"/>
    <w:rsid w:val="24714945"/>
    <w:rsid w:val="247CFC6F"/>
    <w:rsid w:val="248C5F45"/>
    <w:rsid w:val="2499DC0F"/>
    <w:rsid w:val="24A36B78"/>
    <w:rsid w:val="24A67703"/>
    <w:rsid w:val="24A8A52A"/>
    <w:rsid w:val="24AA7ED5"/>
    <w:rsid w:val="24CD90E4"/>
    <w:rsid w:val="24D84359"/>
    <w:rsid w:val="24DF8CCD"/>
    <w:rsid w:val="24EB45EE"/>
    <w:rsid w:val="24F67432"/>
    <w:rsid w:val="250F3CD5"/>
    <w:rsid w:val="2520499E"/>
    <w:rsid w:val="2533BE68"/>
    <w:rsid w:val="2544884A"/>
    <w:rsid w:val="25616A9D"/>
    <w:rsid w:val="2567FB58"/>
    <w:rsid w:val="2599BC9F"/>
    <w:rsid w:val="25B4F26A"/>
    <w:rsid w:val="25C4F893"/>
    <w:rsid w:val="25D057B9"/>
    <w:rsid w:val="25D58B3B"/>
    <w:rsid w:val="25EEF4CF"/>
    <w:rsid w:val="25F6BA35"/>
    <w:rsid w:val="2605CA3C"/>
    <w:rsid w:val="260B6CA5"/>
    <w:rsid w:val="26131FCB"/>
    <w:rsid w:val="26331D0C"/>
    <w:rsid w:val="263B39E5"/>
    <w:rsid w:val="263F9F89"/>
    <w:rsid w:val="26471C83"/>
    <w:rsid w:val="264EF6B9"/>
    <w:rsid w:val="265BAE48"/>
    <w:rsid w:val="26893E69"/>
    <w:rsid w:val="26A4F0CC"/>
    <w:rsid w:val="26ACCDBC"/>
    <w:rsid w:val="26B653CA"/>
    <w:rsid w:val="26BF5F17"/>
    <w:rsid w:val="26C3B659"/>
    <w:rsid w:val="26C68488"/>
    <w:rsid w:val="26CF2DA4"/>
    <w:rsid w:val="2704B472"/>
    <w:rsid w:val="271B8173"/>
    <w:rsid w:val="27282139"/>
    <w:rsid w:val="273F125A"/>
    <w:rsid w:val="274A2F33"/>
    <w:rsid w:val="274F1C2A"/>
    <w:rsid w:val="2757AA41"/>
    <w:rsid w:val="275DA5F5"/>
    <w:rsid w:val="2774251B"/>
    <w:rsid w:val="277F7F58"/>
    <w:rsid w:val="27820B7D"/>
    <w:rsid w:val="27883C61"/>
    <w:rsid w:val="2798A303"/>
    <w:rsid w:val="27DB0EEE"/>
    <w:rsid w:val="27E4352C"/>
    <w:rsid w:val="27EF83DF"/>
    <w:rsid w:val="27FCF7BC"/>
    <w:rsid w:val="2800393D"/>
    <w:rsid w:val="28039E35"/>
    <w:rsid w:val="2807C806"/>
    <w:rsid w:val="280E54D2"/>
    <w:rsid w:val="2821050C"/>
    <w:rsid w:val="284A8C16"/>
    <w:rsid w:val="284F6E1E"/>
    <w:rsid w:val="2857A3D0"/>
    <w:rsid w:val="2869CB96"/>
    <w:rsid w:val="289E5FFF"/>
    <w:rsid w:val="289E8C07"/>
    <w:rsid w:val="28A8685A"/>
    <w:rsid w:val="28DC4E61"/>
    <w:rsid w:val="28E70B53"/>
    <w:rsid w:val="2901E3ED"/>
    <w:rsid w:val="2904A188"/>
    <w:rsid w:val="292BDED0"/>
    <w:rsid w:val="2934DD4C"/>
    <w:rsid w:val="293EF8B3"/>
    <w:rsid w:val="2955519A"/>
    <w:rsid w:val="2957DC04"/>
    <w:rsid w:val="295D4306"/>
    <w:rsid w:val="296E4B24"/>
    <w:rsid w:val="298ADD7C"/>
    <w:rsid w:val="298CD516"/>
    <w:rsid w:val="2990E0DE"/>
    <w:rsid w:val="29938FFC"/>
    <w:rsid w:val="29951DCC"/>
    <w:rsid w:val="29957027"/>
    <w:rsid w:val="29997D73"/>
    <w:rsid w:val="29B33F97"/>
    <w:rsid w:val="29B73ACB"/>
    <w:rsid w:val="29B9FA1C"/>
    <w:rsid w:val="29C4AAF5"/>
    <w:rsid w:val="29CD0CFA"/>
    <w:rsid w:val="29D7CE09"/>
    <w:rsid w:val="29E97BD0"/>
    <w:rsid w:val="29EBF052"/>
    <w:rsid w:val="29F6FFD9"/>
    <w:rsid w:val="2A0C3528"/>
    <w:rsid w:val="2A0F8157"/>
    <w:rsid w:val="2A2653A7"/>
    <w:rsid w:val="2A2D65D4"/>
    <w:rsid w:val="2A5589A8"/>
    <w:rsid w:val="2A5954B2"/>
    <w:rsid w:val="2A5B7483"/>
    <w:rsid w:val="2A5B977F"/>
    <w:rsid w:val="2A64CD75"/>
    <w:rsid w:val="2A8DAF7B"/>
    <w:rsid w:val="2A9308ED"/>
    <w:rsid w:val="2A959B1F"/>
    <w:rsid w:val="2AACA44C"/>
    <w:rsid w:val="2AADB40B"/>
    <w:rsid w:val="2AB4D87B"/>
    <w:rsid w:val="2ABF5719"/>
    <w:rsid w:val="2B075879"/>
    <w:rsid w:val="2B105C0F"/>
    <w:rsid w:val="2B21D013"/>
    <w:rsid w:val="2B2718D5"/>
    <w:rsid w:val="2B2C304B"/>
    <w:rsid w:val="2B3BDB4E"/>
    <w:rsid w:val="2B5C9F40"/>
    <w:rsid w:val="2B5D010E"/>
    <w:rsid w:val="2B5E970B"/>
    <w:rsid w:val="2B71C0C9"/>
    <w:rsid w:val="2B7C15F7"/>
    <w:rsid w:val="2B815FB7"/>
    <w:rsid w:val="2B871129"/>
    <w:rsid w:val="2B9AA171"/>
    <w:rsid w:val="2BA710F8"/>
    <w:rsid w:val="2BB2F345"/>
    <w:rsid w:val="2BCB06CF"/>
    <w:rsid w:val="2BDCD93C"/>
    <w:rsid w:val="2C3A231C"/>
    <w:rsid w:val="2C699C9B"/>
    <w:rsid w:val="2C6B3B18"/>
    <w:rsid w:val="2C986E89"/>
    <w:rsid w:val="2CBB985E"/>
    <w:rsid w:val="2CF6FE49"/>
    <w:rsid w:val="2D04F7BC"/>
    <w:rsid w:val="2D1A816E"/>
    <w:rsid w:val="2D1E1427"/>
    <w:rsid w:val="2D1F1107"/>
    <w:rsid w:val="2D2EA09B"/>
    <w:rsid w:val="2D685FCE"/>
    <w:rsid w:val="2D6AF428"/>
    <w:rsid w:val="2D6BDF7D"/>
    <w:rsid w:val="2D7C9C11"/>
    <w:rsid w:val="2D7DE1A5"/>
    <w:rsid w:val="2D82B28F"/>
    <w:rsid w:val="2DA01F28"/>
    <w:rsid w:val="2DA220E1"/>
    <w:rsid w:val="2DB25EAF"/>
    <w:rsid w:val="2DB93519"/>
    <w:rsid w:val="2DCD2491"/>
    <w:rsid w:val="2E0AC3B9"/>
    <w:rsid w:val="2E109299"/>
    <w:rsid w:val="2E1739AE"/>
    <w:rsid w:val="2E211C23"/>
    <w:rsid w:val="2E2218B5"/>
    <w:rsid w:val="2E23D824"/>
    <w:rsid w:val="2E2542DE"/>
    <w:rsid w:val="2E4E1D0E"/>
    <w:rsid w:val="2E5E0C06"/>
    <w:rsid w:val="2E78D267"/>
    <w:rsid w:val="2E87CC31"/>
    <w:rsid w:val="2E9C4142"/>
    <w:rsid w:val="2E9C4FC4"/>
    <w:rsid w:val="2EAFC5CA"/>
    <w:rsid w:val="2EB4F33D"/>
    <w:rsid w:val="2EC96408"/>
    <w:rsid w:val="2ED24233"/>
    <w:rsid w:val="2EDAE1EE"/>
    <w:rsid w:val="2F0CD6A1"/>
    <w:rsid w:val="2F1A5FC2"/>
    <w:rsid w:val="2F65203B"/>
    <w:rsid w:val="2F66EFDB"/>
    <w:rsid w:val="2F69EA1E"/>
    <w:rsid w:val="2F6C7042"/>
    <w:rsid w:val="2F747584"/>
    <w:rsid w:val="2FA3A304"/>
    <w:rsid w:val="2FA76F4E"/>
    <w:rsid w:val="2FD7D5CD"/>
    <w:rsid w:val="2FF458FD"/>
    <w:rsid w:val="2FF847F4"/>
    <w:rsid w:val="300B33FB"/>
    <w:rsid w:val="30116467"/>
    <w:rsid w:val="303FF6DE"/>
    <w:rsid w:val="30454333"/>
    <w:rsid w:val="304CCC77"/>
    <w:rsid w:val="304F0FC2"/>
    <w:rsid w:val="305AC441"/>
    <w:rsid w:val="305E203E"/>
    <w:rsid w:val="30679F73"/>
    <w:rsid w:val="308107E9"/>
    <w:rsid w:val="308161B5"/>
    <w:rsid w:val="30897789"/>
    <w:rsid w:val="308F493B"/>
    <w:rsid w:val="309232C9"/>
    <w:rsid w:val="30A001B8"/>
    <w:rsid w:val="30AD5A1C"/>
    <w:rsid w:val="30B39ECF"/>
    <w:rsid w:val="30B3DD28"/>
    <w:rsid w:val="30BA261D"/>
    <w:rsid w:val="30C37DF0"/>
    <w:rsid w:val="30C488D2"/>
    <w:rsid w:val="30D1B1D6"/>
    <w:rsid w:val="30D4C70C"/>
    <w:rsid w:val="30D976B1"/>
    <w:rsid w:val="3104DE53"/>
    <w:rsid w:val="3122AA55"/>
    <w:rsid w:val="3129043C"/>
    <w:rsid w:val="31290F4A"/>
    <w:rsid w:val="3138C592"/>
    <w:rsid w:val="31547EEC"/>
    <w:rsid w:val="315FF766"/>
    <w:rsid w:val="316C8087"/>
    <w:rsid w:val="31857D3D"/>
    <w:rsid w:val="318DD9CE"/>
    <w:rsid w:val="31B3647B"/>
    <w:rsid w:val="31B72D78"/>
    <w:rsid w:val="31C0E55F"/>
    <w:rsid w:val="31C30F74"/>
    <w:rsid w:val="31CAEC13"/>
    <w:rsid w:val="31CB29BC"/>
    <w:rsid w:val="31D7A88D"/>
    <w:rsid w:val="31D9741A"/>
    <w:rsid w:val="31DBB967"/>
    <w:rsid w:val="32156A3F"/>
    <w:rsid w:val="32319656"/>
    <w:rsid w:val="3237C832"/>
    <w:rsid w:val="32457CE3"/>
    <w:rsid w:val="3245A384"/>
    <w:rsid w:val="324FF45B"/>
    <w:rsid w:val="32531842"/>
    <w:rsid w:val="3256CDF4"/>
    <w:rsid w:val="3258233A"/>
    <w:rsid w:val="32609B8D"/>
    <w:rsid w:val="326FC5E1"/>
    <w:rsid w:val="3270E053"/>
    <w:rsid w:val="32727F56"/>
    <w:rsid w:val="3273039C"/>
    <w:rsid w:val="3292A4C7"/>
    <w:rsid w:val="32A6A564"/>
    <w:rsid w:val="32B2DF18"/>
    <w:rsid w:val="32BE7AB6"/>
    <w:rsid w:val="32C866F5"/>
    <w:rsid w:val="32CCD3A8"/>
    <w:rsid w:val="32E00871"/>
    <w:rsid w:val="32E2594C"/>
    <w:rsid w:val="32E62516"/>
    <w:rsid w:val="32F30366"/>
    <w:rsid w:val="33016941"/>
    <w:rsid w:val="3306A520"/>
    <w:rsid w:val="33186034"/>
    <w:rsid w:val="33499027"/>
    <w:rsid w:val="334DDBF3"/>
    <w:rsid w:val="334EF7C2"/>
    <w:rsid w:val="3367B0B2"/>
    <w:rsid w:val="33960FE7"/>
    <w:rsid w:val="33964D15"/>
    <w:rsid w:val="3397DE72"/>
    <w:rsid w:val="33AB2801"/>
    <w:rsid w:val="33B2632C"/>
    <w:rsid w:val="33C13C60"/>
    <w:rsid w:val="33CB9251"/>
    <w:rsid w:val="33CD418C"/>
    <w:rsid w:val="33D46A78"/>
    <w:rsid w:val="33D814EA"/>
    <w:rsid w:val="33EE19CD"/>
    <w:rsid w:val="33EEE8A3"/>
    <w:rsid w:val="33F94602"/>
    <w:rsid w:val="340CB0B4"/>
    <w:rsid w:val="34158878"/>
    <w:rsid w:val="341BA708"/>
    <w:rsid w:val="341C973E"/>
    <w:rsid w:val="341CC49F"/>
    <w:rsid w:val="342B2ADF"/>
    <w:rsid w:val="342BF3F3"/>
    <w:rsid w:val="345D9D22"/>
    <w:rsid w:val="34671D00"/>
    <w:rsid w:val="347C4E06"/>
    <w:rsid w:val="347F9B8D"/>
    <w:rsid w:val="3481D5A9"/>
    <w:rsid w:val="348A5877"/>
    <w:rsid w:val="34986CFF"/>
    <w:rsid w:val="349F2CA4"/>
    <w:rsid w:val="34BAD56E"/>
    <w:rsid w:val="34C807FA"/>
    <w:rsid w:val="34C850BA"/>
    <w:rsid w:val="34CF7408"/>
    <w:rsid w:val="34D65968"/>
    <w:rsid w:val="34DC0726"/>
    <w:rsid w:val="34DE292D"/>
    <w:rsid w:val="34E0A777"/>
    <w:rsid w:val="34EAE31D"/>
    <w:rsid w:val="34F39D92"/>
    <w:rsid w:val="3507C663"/>
    <w:rsid w:val="35144CD8"/>
    <w:rsid w:val="352CD76F"/>
    <w:rsid w:val="35447767"/>
    <w:rsid w:val="3569089E"/>
    <w:rsid w:val="356F565D"/>
    <w:rsid w:val="35711098"/>
    <w:rsid w:val="359988B1"/>
    <w:rsid w:val="3599A26C"/>
    <w:rsid w:val="359B6183"/>
    <w:rsid w:val="35AB1AB6"/>
    <w:rsid w:val="35E30105"/>
    <w:rsid w:val="35E91DFA"/>
    <w:rsid w:val="360B5C3C"/>
    <w:rsid w:val="36198765"/>
    <w:rsid w:val="364B823E"/>
    <w:rsid w:val="366FA176"/>
    <w:rsid w:val="368D5197"/>
    <w:rsid w:val="369616F9"/>
    <w:rsid w:val="36B2A04C"/>
    <w:rsid w:val="36C0CF90"/>
    <w:rsid w:val="36C18155"/>
    <w:rsid w:val="36CBD4F4"/>
    <w:rsid w:val="36CD1844"/>
    <w:rsid w:val="36D04ECF"/>
    <w:rsid w:val="36D0736B"/>
    <w:rsid w:val="36FC41FD"/>
    <w:rsid w:val="371709F6"/>
    <w:rsid w:val="372FF875"/>
    <w:rsid w:val="373208B4"/>
    <w:rsid w:val="3735D12A"/>
    <w:rsid w:val="374A188A"/>
    <w:rsid w:val="3757F832"/>
    <w:rsid w:val="37879DB9"/>
    <w:rsid w:val="379DE35C"/>
    <w:rsid w:val="379EEDDD"/>
    <w:rsid w:val="37AEA650"/>
    <w:rsid w:val="37B5409D"/>
    <w:rsid w:val="37E5A851"/>
    <w:rsid w:val="37EE3F0C"/>
    <w:rsid w:val="37F2FD13"/>
    <w:rsid w:val="38010949"/>
    <w:rsid w:val="38027EFC"/>
    <w:rsid w:val="382FCC27"/>
    <w:rsid w:val="383A2D97"/>
    <w:rsid w:val="383B3CA1"/>
    <w:rsid w:val="383F502D"/>
    <w:rsid w:val="38460C41"/>
    <w:rsid w:val="3846F526"/>
    <w:rsid w:val="384BDC67"/>
    <w:rsid w:val="38570904"/>
    <w:rsid w:val="3866C86F"/>
    <w:rsid w:val="3876610F"/>
    <w:rsid w:val="3886F69C"/>
    <w:rsid w:val="3890728D"/>
    <w:rsid w:val="38A726E6"/>
    <w:rsid w:val="38BCEC78"/>
    <w:rsid w:val="38C3E16E"/>
    <w:rsid w:val="38C98662"/>
    <w:rsid w:val="38CC204C"/>
    <w:rsid w:val="38DE6E67"/>
    <w:rsid w:val="38E4828D"/>
    <w:rsid w:val="391446CC"/>
    <w:rsid w:val="39420966"/>
    <w:rsid w:val="3958A71E"/>
    <w:rsid w:val="39797A44"/>
    <w:rsid w:val="398E4A79"/>
    <w:rsid w:val="399652E9"/>
    <w:rsid w:val="399ED690"/>
    <w:rsid w:val="39A56A61"/>
    <w:rsid w:val="39A6F53E"/>
    <w:rsid w:val="39AC7E32"/>
    <w:rsid w:val="39B124DA"/>
    <w:rsid w:val="39BA60FE"/>
    <w:rsid w:val="39C1ACD9"/>
    <w:rsid w:val="39C9829B"/>
    <w:rsid w:val="39CD3F93"/>
    <w:rsid w:val="39CEC7BC"/>
    <w:rsid w:val="39D0178E"/>
    <w:rsid w:val="39D63883"/>
    <w:rsid w:val="39D7D9B4"/>
    <w:rsid w:val="39F3A027"/>
    <w:rsid w:val="39F97FA3"/>
    <w:rsid w:val="3A04DAFB"/>
    <w:rsid w:val="3A0AF2B0"/>
    <w:rsid w:val="3A275DF4"/>
    <w:rsid w:val="3A2F0DD6"/>
    <w:rsid w:val="3A4C7A73"/>
    <w:rsid w:val="3A50FBAD"/>
    <w:rsid w:val="3A5F1CAE"/>
    <w:rsid w:val="3A60F789"/>
    <w:rsid w:val="3A68E156"/>
    <w:rsid w:val="3A856B72"/>
    <w:rsid w:val="3AAB344B"/>
    <w:rsid w:val="3AF0075F"/>
    <w:rsid w:val="3AFEBB87"/>
    <w:rsid w:val="3B003721"/>
    <w:rsid w:val="3B014B43"/>
    <w:rsid w:val="3B08E9F7"/>
    <w:rsid w:val="3B1A74F9"/>
    <w:rsid w:val="3B2A1436"/>
    <w:rsid w:val="3B3408C9"/>
    <w:rsid w:val="3B3E8679"/>
    <w:rsid w:val="3B67014C"/>
    <w:rsid w:val="3B69693C"/>
    <w:rsid w:val="3B700E8E"/>
    <w:rsid w:val="3B73ADD1"/>
    <w:rsid w:val="3B8E3FC7"/>
    <w:rsid w:val="3B9960DB"/>
    <w:rsid w:val="3BAE6D5B"/>
    <w:rsid w:val="3BB255D5"/>
    <w:rsid w:val="3BC03AC5"/>
    <w:rsid w:val="3BC0E570"/>
    <w:rsid w:val="3BE137BE"/>
    <w:rsid w:val="3BEC5F29"/>
    <w:rsid w:val="3BF8502A"/>
    <w:rsid w:val="3C00C07A"/>
    <w:rsid w:val="3C0A7EB9"/>
    <w:rsid w:val="3C1BC191"/>
    <w:rsid w:val="3C2AD2F3"/>
    <w:rsid w:val="3C2E5D38"/>
    <w:rsid w:val="3C3C2CAF"/>
    <w:rsid w:val="3C4E1D51"/>
    <w:rsid w:val="3C623DAA"/>
    <w:rsid w:val="3C7521FE"/>
    <w:rsid w:val="3C837530"/>
    <w:rsid w:val="3C84FC1E"/>
    <w:rsid w:val="3C948672"/>
    <w:rsid w:val="3CA52F5B"/>
    <w:rsid w:val="3CD0DF83"/>
    <w:rsid w:val="3CD67752"/>
    <w:rsid w:val="3CD7AFA4"/>
    <w:rsid w:val="3CDFA7ED"/>
    <w:rsid w:val="3CE9A410"/>
    <w:rsid w:val="3CF76401"/>
    <w:rsid w:val="3CFFE9B2"/>
    <w:rsid w:val="3D2DE178"/>
    <w:rsid w:val="3D3633E4"/>
    <w:rsid w:val="3D37D56B"/>
    <w:rsid w:val="3D38ED8E"/>
    <w:rsid w:val="3D573E97"/>
    <w:rsid w:val="3D5C5BD4"/>
    <w:rsid w:val="3D5FBCDE"/>
    <w:rsid w:val="3D61B686"/>
    <w:rsid w:val="3D8D6624"/>
    <w:rsid w:val="3D95D203"/>
    <w:rsid w:val="3DA1304B"/>
    <w:rsid w:val="3DAC6A4D"/>
    <w:rsid w:val="3DB2A9DC"/>
    <w:rsid w:val="3DB30C36"/>
    <w:rsid w:val="3DB3CFB4"/>
    <w:rsid w:val="3DB6D6AB"/>
    <w:rsid w:val="3DC2998B"/>
    <w:rsid w:val="3DC50F17"/>
    <w:rsid w:val="3DF12CF3"/>
    <w:rsid w:val="3E157A89"/>
    <w:rsid w:val="3E212A22"/>
    <w:rsid w:val="3E2697A1"/>
    <w:rsid w:val="3E33F082"/>
    <w:rsid w:val="3E456D34"/>
    <w:rsid w:val="3E48FC4C"/>
    <w:rsid w:val="3E5B0910"/>
    <w:rsid w:val="3E8C41DD"/>
    <w:rsid w:val="3E8E247C"/>
    <w:rsid w:val="3E96DC66"/>
    <w:rsid w:val="3EA203C4"/>
    <w:rsid w:val="3EA2CE53"/>
    <w:rsid w:val="3EC2456E"/>
    <w:rsid w:val="3EC8323D"/>
    <w:rsid w:val="3EC8625C"/>
    <w:rsid w:val="3ECFDEE0"/>
    <w:rsid w:val="3EDA9C00"/>
    <w:rsid w:val="3EDDB922"/>
    <w:rsid w:val="3EE38784"/>
    <w:rsid w:val="3EE3C163"/>
    <w:rsid w:val="3EEDEABF"/>
    <w:rsid w:val="3EF17A0B"/>
    <w:rsid w:val="3F047A20"/>
    <w:rsid w:val="3F1950E7"/>
    <w:rsid w:val="3F2265D9"/>
    <w:rsid w:val="3F24007C"/>
    <w:rsid w:val="3F241184"/>
    <w:rsid w:val="3F3867FC"/>
    <w:rsid w:val="3F4321A8"/>
    <w:rsid w:val="3F4BEE24"/>
    <w:rsid w:val="3F6259FE"/>
    <w:rsid w:val="3F66F995"/>
    <w:rsid w:val="3F6BF888"/>
    <w:rsid w:val="3F6CE5E4"/>
    <w:rsid w:val="3F78D99E"/>
    <w:rsid w:val="3F8FCDEA"/>
    <w:rsid w:val="3F9A0CF7"/>
    <w:rsid w:val="3FA2181C"/>
    <w:rsid w:val="3FA945DE"/>
    <w:rsid w:val="3FBFFFF6"/>
    <w:rsid w:val="3FC728EB"/>
    <w:rsid w:val="3FDC9A69"/>
    <w:rsid w:val="3FE6FD8F"/>
    <w:rsid w:val="3FF6D9F0"/>
    <w:rsid w:val="3FFAE776"/>
    <w:rsid w:val="4001CBC3"/>
    <w:rsid w:val="40219ADE"/>
    <w:rsid w:val="402CC6A2"/>
    <w:rsid w:val="403D6DC2"/>
    <w:rsid w:val="40417199"/>
    <w:rsid w:val="40544163"/>
    <w:rsid w:val="4083A338"/>
    <w:rsid w:val="408FD40B"/>
    <w:rsid w:val="40A30C21"/>
    <w:rsid w:val="40A4B5D6"/>
    <w:rsid w:val="40B4448C"/>
    <w:rsid w:val="40CFCC68"/>
    <w:rsid w:val="40D20B5F"/>
    <w:rsid w:val="40DDAD22"/>
    <w:rsid w:val="40E0014B"/>
    <w:rsid w:val="410119E8"/>
    <w:rsid w:val="410C929D"/>
    <w:rsid w:val="410F09D9"/>
    <w:rsid w:val="4118BF4B"/>
    <w:rsid w:val="411A4E9A"/>
    <w:rsid w:val="411BD605"/>
    <w:rsid w:val="41577167"/>
    <w:rsid w:val="415B1813"/>
    <w:rsid w:val="415C2F7B"/>
    <w:rsid w:val="4174A028"/>
    <w:rsid w:val="41877AE2"/>
    <w:rsid w:val="4190A154"/>
    <w:rsid w:val="419FA871"/>
    <w:rsid w:val="41A17EEE"/>
    <w:rsid w:val="41B70F21"/>
    <w:rsid w:val="41C77159"/>
    <w:rsid w:val="41E068F8"/>
    <w:rsid w:val="41E7DE65"/>
    <w:rsid w:val="41F02AE7"/>
    <w:rsid w:val="420E09BC"/>
    <w:rsid w:val="4227158A"/>
    <w:rsid w:val="4227F445"/>
    <w:rsid w:val="4230CBD6"/>
    <w:rsid w:val="423A6206"/>
    <w:rsid w:val="423FAEA1"/>
    <w:rsid w:val="42560E41"/>
    <w:rsid w:val="4259E369"/>
    <w:rsid w:val="428E6961"/>
    <w:rsid w:val="428F6398"/>
    <w:rsid w:val="429C91A1"/>
    <w:rsid w:val="42A031C6"/>
    <w:rsid w:val="42A7D3CF"/>
    <w:rsid w:val="42B4B3B5"/>
    <w:rsid w:val="42BA8756"/>
    <w:rsid w:val="42BD9DFD"/>
    <w:rsid w:val="42C0E8F6"/>
    <w:rsid w:val="42C6194C"/>
    <w:rsid w:val="42DA3D10"/>
    <w:rsid w:val="42E608F3"/>
    <w:rsid w:val="42FA99AE"/>
    <w:rsid w:val="42FD4593"/>
    <w:rsid w:val="42FFB2E9"/>
    <w:rsid w:val="4332B797"/>
    <w:rsid w:val="43361C8F"/>
    <w:rsid w:val="4347386D"/>
    <w:rsid w:val="4350C93A"/>
    <w:rsid w:val="4352665B"/>
    <w:rsid w:val="435BA283"/>
    <w:rsid w:val="436462EE"/>
    <w:rsid w:val="436BED43"/>
    <w:rsid w:val="43806211"/>
    <w:rsid w:val="43890FB5"/>
    <w:rsid w:val="438F002F"/>
    <w:rsid w:val="43912540"/>
    <w:rsid w:val="43A8C065"/>
    <w:rsid w:val="43B12F47"/>
    <w:rsid w:val="43C3808A"/>
    <w:rsid w:val="43ED7054"/>
    <w:rsid w:val="441A7D3E"/>
    <w:rsid w:val="443F4F59"/>
    <w:rsid w:val="444B332D"/>
    <w:rsid w:val="445AAFAD"/>
    <w:rsid w:val="447BE7E1"/>
    <w:rsid w:val="44830C27"/>
    <w:rsid w:val="4491F0B3"/>
    <w:rsid w:val="44A4E2E1"/>
    <w:rsid w:val="44B5EE30"/>
    <w:rsid w:val="44B8A25E"/>
    <w:rsid w:val="44BA5AA1"/>
    <w:rsid w:val="44ED2A4E"/>
    <w:rsid w:val="44F72A08"/>
    <w:rsid w:val="451ECEE1"/>
    <w:rsid w:val="45332159"/>
    <w:rsid w:val="4538DBEC"/>
    <w:rsid w:val="454625E1"/>
    <w:rsid w:val="4558B461"/>
    <w:rsid w:val="455DCDE2"/>
    <w:rsid w:val="455E6587"/>
    <w:rsid w:val="456A319E"/>
    <w:rsid w:val="456EE21D"/>
    <w:rsid w:val="45759C47"/>
    <w:rsid w:val="45979CA0"/>
    <w:rsid w:val="459C27BE"/>
    <w:rsid w:val="459DD3DB"/>
    <w:rsid w:val="45BF3053"/>
    <w:rsid w:val="45CD0612"/>
    <w:rsid w:val="45CDD705"/>
    <w:rsid w:val="45E018B3"/>
    <w:rsid w:val="45E91F1C"/>
    <w:rsid w:val="45F53B92"/>
    <w:rsid w:val="45FA9ED7"/>
    <w:rsid w:val="460023D7"/>
    <w:rsid w:val="46093B5C"/>
    <w:rsid w:val="461266E2"/>
    <w:rsid w:val="4618D1D3"/>
    <w:rsid w:val="462DD672"/>
    <w:rsid w:val="463E89C7"/>
    <w:rsid w:val="4645BEE9"/>
    <w:rsid w:val="464C6620"/>
    <w:rsid w:val="464F56D3"/>
    <w:rsid w:val="4661DC72"/>
    <w:rsid w:val="4670CD21"/>
    <w:rsid w:val="4690DC62"/>
    <w:rsid w:val="4698F192"/>
    <w:rsid w:val="46A67571"/>
    <w:rsid w:val="46B13528"/>
    <w:rsid w:val="46C60E8E"/>
    <w:rsid w:val="46D242B2"/>
    <w:rsid w:val="46EF35F6"/>
    <w:rsid w:val="4700BF73"/>
    <w:rsid w:val="4701D9B0"/>
    <w:rsid w:val="47093FFA"/>
    <w:rsid w:val="471A534D"/>
    <w:rsid w:val="471A5B39"/>
    <w:rsid w:val="471D9C5B"/>
    <w:rsid w:val="471F019A"/>
    <w:rsid w:val="4731B802"/>
    <w:rsid w:val="4732968C"/>
    <w:rsid w:val="47760982"/>
    <w:rsid w:val="477EF36F"/>
    <w:rsid w:val="4789915C"/>
    <w:rsid w:val="47BAC425"/>
    <w:rsid w:val="47CE9796"/>
    <w:rsid w:val="47D27AA4"/>
    <w:rsid w:val="47DA5A28"/>
    <w:rsid w:val="47E54F21"/>
    <w:rsid w:val="47F3724A"/>
    <w:rsid w:val="48001519"/>
    <w:rsid w:val="48029D06"/>
    <w:rsid w:val="4823C7BF"/>
    <w:rsid w:val="48350FD6"/>
    <w:rsid w:val="48352857"/>
    <w:rsid w:val="4836CAA8"/>
    <w:rsid w:val="484E3833"/>
    <w:rsid w:val="4855D82B"/>
    <w:rsid w:val="485E131E"/>
    <w:rsid w:val="4868DD01"/>
    <w:rsid w:val="48704D76"/>
    <w:rsid w:val="48796065"/>
    <w:rsid w:val="487B6217"/>
    <w:rsid w:val="4892A6A2"/>
    <w:rsid w:val="48A23547"/>
    <w:rsid w:val="48A8C731"/>
    <w:rsid w:val="48A92D55"/>
    <w:rsid w:val="48AA9745"/>
    <w:rsid w:val="48ADD802"/>
    <w:rsid w:val="48B667B3"/>
    <w:rsid w:val="48BE6845"/>
    <w:rsid w:val="48BEFCA5"/>
    <w:rsid w:val="48D08EFD"/>
    <w:rsid w:val="48E42E4E"/>
    <w:rsid w:val="48F15EFA"/>
    <w:rsid w:val="49058A9C"/>
    <w:rsid w:val="4909B33B"/>
    <w:rsid w:val="49216CB3"/>
    <w:rsid w:val="4972ED69"/>
    <w:rsid w:val="49762A89"/>
    <w:rsid w:val="497B4441"/>
    <w:rsid w:val="49847C49"/>
    <w:rsid w:val="49863FE0"/>
    <w:rsid w:val="4989D36A"/>
    <w:rsid w:val="49916A30"/>
    <w:rsid w:val="49937083"/>
    <w:rsid w:val="499D5BA7"/>
    <w:rsid w:val="49AB7484"/>
    <w:rsid w:val="49BA1D81"/>
    <w:rsid w:val="49C36730"/>
    <w:rsid w:val="49D9B97F"/>
    <w:rsid w:val="49EC88AF"/>
    <w:rsid w:val="49F6FC3C"/>
    <w:rsid w:val="4A029CA3"/>
    <w:rsid w:val="4A052854"/>
    <w:rsid w:val="4A0E19B1"/>
    <w:rsid w:val="4A18A884"/>
    <w:rsid w:val="4A280B8F"/>
    <w:rsid w:val="4A574EE9"/>
    <w:rsid w:val="4A647B43"/>
    <w:rsid w:val="4A75BF06"/>
    <w:rsid w:val="4A7870EB"/>
    <w:rsid w:val="4A792C99"/>
    <w:rsid w:val="4A83EF61"/>
    <w:rsid w:val="4AA2DB4C"/>
    <w:rsid w:val="4AA5B489"/>
    <w:rsid w:val="4AA8B333"/>
    <w:rsid w:val="4AB538D9"/>
    <w:rsid w:val="4ABB29CE"/>
    <w:rsid w:val="4ACD6095"/>
    <w:rsid w:val="4AE91104"/>
    <w:rsid w:val="4AF76672"/>
    <w:rsid w:val="4AFB1B45"/>
    <w:rsid w:val="4B11FAEA"/>
    <w:rsid w:val="4B145C7F"/>
    <w:rsid w:val="4B1D1C4B"/>
    <w:rsid w:val="4B235E1C"/>
    <w:rsid w:val="4B24C79C"/>
    <w:rsid w:val="4B2863C7"/>
    <w:rsid w:val="4B36C453"/>
    <w:rsid w:val="4B61608B"/>
    <w:rsid w:val="4B6786F7"/>
    <w:rsid w:val="4B7B8E8A"/>
    <w:rsid w:val="4B7F269A"/>
    <w:rsid w:val="4B8619DF"/>
    <w:rsid w:val="4B862CDE"/>
    <w:rsid w:val="4BA0CEC5"/>
    <w:rsid w:val="4BA9EBE0"/>
    <w:rsid w:val="4BBA22DE"/>
    <w:rsid w:val="4C1E0119"/>
    <w:rsid w:val="4C2B926E"/>
    <w:rsid w:val="4C2FACD6"/>
    <w:rsid w:val="4C55CDB4"/>
    <w:rsid w:val="4C7C5A95"/>
    <w:rsid w:val="4C7FBDB7"/>
    <w:rsid w:val="4C8F6EFB"/>
    <w:rsid w:val="4C94B30B"/>
    <w:rsid w:val="4CA66656"/>
    <w:rsid w:val="4CAB6C43"/>
    <w:rsid w:val="4CBFFA6E"/>
    <w:rsid w:val="4CE92CE2"/>
    <w:rsid w:val="4CF0C58D"/>
    <w:rsid w:val="4CFC9FD0"/>
    <w:rsid w:val="4D001DE6"/>
    <w:rsid w:val="4D33BFDD"/>
    <w:rsid w:val="4D439D7A"/>
    <w:rsid w:val="4D44DC96"/>
    <w:rsid w:val="4D5E9741"/>
    <w:rsid w:val="4D686FD3"/>
    <w:rsid w:val="4D6FD65E"/>
    <w:rsid w:val="4D788AD8"/>
    <w:rsid w:val="4DB113F0"/>
    <w:rsid w:val="4DC6C3BD"/>
    <w:rsid w:val="4DD15EA2"/>
    <w:rsid w:val="4DE15E5F"/>
    <w:rsid w:val="4DE57C99"/>
    <w:rsid w:val="4DF1567B"/>
    <w:rsid w:val="4E00B5B5"/>
    <w:rsid w:val="4E252B9D"/>
    <w:rsid w:val="4E26ABAA"/>
    <w:rsid w:val="4E44C931"/>
    <w:rsid w:val="4E563306"/>
    <w:rsid w:val="4E60F612"/>
    <w:rsid w:val="4E78EDEA"/>
    <w:rsid w:val="4ECA9357"/>
    <w:rsid w:val="4ED20CCF"/>
    <w:rsid w:val="4ED617B0"/>
    <w:rsid w:val="4F0A1E01"/>
    <w:rsid w:val="4F18E60C"/>
    <w:rsid w:val="4F2D5233"/>
    <w:rsid w:val="4F610A84"/>
    <w:rsid w:val="4F6BBCC3"/>
    <w:rsid w:val="4F6CF4D3"/>
    <w:rsid w:val="4FAD35D2"/>
    <w:rsid w:val="4FB20FC0"/>
    <w:rsid w:val="4FC305A8"/>
    <w:rsid w:val="4FC4A4D5"/>
    <w:rsid w:val="4FC4E366"/>
    <w:rsid w:val="4FE4ED81"/>
    <w:rsid w:val="500537F0"/>
    <w:rsid w:val="501CF682"/>
    <w:rsid w:val="502AE90C"/>
    <w:rsid w:val="5051FDF5"/>
    <w:rsid w:val="5056738F"/>
    <w:rsid w:val="50694CC3"/>
    <w:rsid w:val="507CB540"/>
    <w:rsid w:val="50A644E8"/>
    <w:rsid w:val="50AD6AD6"/>
    <w:rsid w:val="50D42D92"/>
    <w:rsid w:val="50D60F02"/>
    <w:rsid w:val="50E4E8FF"/>
    <w:rsid w:val="50F179ED"/>
    <w:rsid w:val="510A78A3"/>
    <w:rsid w:val="51129CF5"/>
    <w:rsid w:val="511E5EBB"/>
    <w:rsid w:val="512B5F03"/>
    <w:rsid w:val="5135B696"/>
    <w:rsid w:val="51385677"/>
    <w:rsid w:val="513922DE"/>
    <w:rsid w:val="5154FE20"/>
    <w:rsid w:val="5173895E"/>
    <w:rsid w:val="51754655"/>
    <w:rsid w:val="517C6241"/>
    <w:rsid w:val="51815D13"/>
    <w:rsid w:val="51C28ED0"/>
    <w:rsid w:val="51CB238A"/>
    <w:rsid w:val="51FB7439"/>
    <w:rsid w:val="51FBE746"/>
    <w:rsid w:val="520674C1"/>
    <w:rsid w:val="52107F6F"/>
    <w:rsid w:val="52130BD1"/>
    <w:rsid w:val="521FEC7A"/>
    <w:rsid w:val="522EA7CD"/>
    <w:rsid w:val="5240037A"/>
    <w:rsid w:val="52566E44"/>
    <w:rsid w:val="5257093E"/>
    <w:rsid w:val="52729773"/>
    <w:rsid w:val="5280E971"/>
    <w:rsid w:val="5293DB46"/>
    <w:rsid w:val="52A3E06F"/>
    <w:rsid w:val="52A6FCFB"/>
    <w:rsid w:val="52A7E1E5"/>
    <w:rsid w:val="52B59422"/>
    <w:rsid w:val="52B85076"/>
    <w:rsid w:val="52C1527B"/>
    <w:rsid w:val="52C4F113"/>
    <w:rsid w:val="52C6E47D"/>
    <w:rsid w:val="52CDDDA0"/>
    <w:rsid w:val="52E5758A"/>
    <w:rsid w:val="52FEE8CD"/>
    <w:rsid w:val="531DD245"/>
    <w:rsid w:val="5323A25C"/>
    <w:rsid w:val="5333381D"/>
    <w:rsid w:val="53344121"/>
    <w:rsid w:val="53483940"/>
    <w:rsid w:val="534E3980"/>
    <w:rsid w:val="534E47B1"/>
    <w:rsid w:val="53517164"/>
    <w:rsid w:val="5357FD5E"/>
    <w:rsid w:val="535A0186"/>
    <w:rsid w:val="536381F3"/>
    <w:rsid w:val="536813C7"/>
    <w:rsid w:val="537CC694"/>
    <w:rsid w:val="5387C669"/>
    <w:rsid w:val="5388EA2A"/>
    <w:rsid w:val="53913189"/>
    <w:rsid w:val="53A4598E"/>
    <w:rsid w:val="53A8FE59"/>
    <w:rsid w:val="53AAB660"/>
    <w:rsid w:val="53BE63F5"/>
    <w:rsid w:val="53C2332E"/>
    <w:rsid w:val="53C9BCA6"/>
    <w:rsid w:val="53D46CA8"/>
    <w:rsid w:val="53D6C753"/>
    <w:rsid w:val="53E58126"/>
    <w:rsid w:val="5408D802"/>
    <w:rsid w:val="540CC787"/>
    <w:rsid w:val="54247DC0"/>
    <w:rsid w:val="542E96BF"/>
    <w:rsid w:val="542FE68F"/>
    <w:rsid w:val="543E998E"/>
    <w:rsid w:val="54400EF0"/>
    <w:rsid w:val="544586FE"/>
    <w:rsid w:val="544FDF58"/>
    <w:rsid w:val="548C66C1"/>
    <w:rsid w:val="54E03B51"/>
    <w:rsid w:val="54E14E3D"/>
    <w:rsid w:val="55232F34"/>
    <w:rsid w:val="552C1F37"/>
    <w:rsid w:val="552DCF6E"/>
    <w:rsid w:val="553FD7E0"/>
    <w:rsid w:val="5540C124"/>
    <w:rsid w:val="5547FFF2"/>
    <w:rsid w:val="55599026"/>
    <w:rsid w:val="555DD09B"/>
    <w:rsid w:val="55657EEB"/>
    <w:rsid w:val="55754714"/>
    <w:rsid w:val="5584BDF1"/>
    <w:rsid w:val="559580D1"/>
    <w:rsid w:val="559D114D"/>
    <w:rsid w:val="55B3490C"/>
    <w:rsid w:val="55B7F116"/>
    <w:rsid w:val="55CC0EC1"/>
    <w:rsid w:val="55CFBD1B"/>
    <w:rsid w:val="55D30FDA"/>
    <w:rsid w:val="55DD5EF2"/>
    <w:rsid w:val="55E58978"/>
    <w:rsid w:val="55E6C072"/>
    <w:rsid w:val="55FC5B00"/>
    <w:rsid w:val="5609049F"/>
    <w:rsid w:val="5617AC9D"/>
    <w:rsid w:val="561BEF31"/>
    <w:rsid w:val="562E5723"/>
    <w:rsid w:val="56768E18"/>
    <w:rsid w:val="56779FA9"/>
    <w:rsid w:val="5678E387"/>
    <w:rsid w:val="56952F63"/>
    <w:rsid w:val="569D6B0F"/>
    <w:rsid w:val="56A21C8B"/>
    <w:rsid w:val="56AA53D3"/>
    <w:rsid w:val="56C03A3B"/>
    <w:rsid w:val="56D0751E"/>
    <w:rsid w:val="571DCB1A"/>
    <w:rsid w:val="573E8DFB"/>
    <w:rsid w:val="5747E613"/>
    <w:rsid w:val="574D7A16"/>
    <w:rsid w:val="575B997F"/>
    <w:rsid w:val="57953BDD"/>
    <w:rsid w:val="5795C2EC"/>
    <w:rsid w:val="579B74DD"/>
    <w:rsid w:val="579E0EEA"/>
    <w:rsid w:val="57AB7FB2"/>
    <w:rsid w:val="57B0DF52"/>
    <w:rsid w:val="57C40DCE"/>
    <w:rsid w:val="57C7075D"/>
    <w:rsid w:val="57D3D0D6"/>
    <w:rsid w:val="57D8B825"/>
    <w:rsid w:val="57E35E91"/>
    <w:rsid w:val="57F49A6C"/>
    <w:rsid w:val="58047915"/>
    <w:rsid w:val="5818F107"/>
    <w:rsid w:val="582D72A9"/>
    <w:rsid w:val="584F4266"/>
    <w:rsid w:val="58551651"/>
    <w:rsid w:val="5860777B"/>
    <w:rsid w:val="58642888"/>
    <w:rsid w:val="5868CF60"/>
    <w:rsid w:val="5878BDD7"/>
    <w:rsid w:val="587B715F"/>
    <w:rsid w:val="587FC3CB"/>
    <w:rsid w:val="58892C71"/>
    <w:rsid w:val="5894F03C"/>
    <w:rsid w:val="58B0DB06"/>
    <w:rsid w:val="58BCF60C"/>
    <w:rsid w:val="58CB7678"/>
    <w:rsid w:val="58D99682"/>
    <w:rsid w:val="58DB67D5"/>
    <w:rsid w:val="58E2C2DB"/>
    <w:rsid w:val="58EFB7AF"/>
    <w:rsid w:val="58F466DB"/>
    <w:rsid w:val="58F52A20"/>
    <w:rsid w:val="58F969CE"/>
    <w:rsid w:val="590C92AD"/>
    <w:rsid w:val="5925B306"/>
    <w:rsid w:val="59383B64"/>
    <w:rsid w:val="594CE253"/>
    <w:rsid w:val="594E96E6"/>
    <w:rsid w:val="59646043"/>
    <w:rsid w:val="596FEA0F"/>
    <w:rsid w:val="597E0068"/>
    <w:rsid w:val="598F48AD"/>
    <w:rsid w:val="59AAFA8F"/>
    <w:rsid w:val="59CC1787"/>
    <w:rsid w:val="59CD76FD"/>
    <w:rsid w:val="59F85E49"/>
    <w:rsid w:val="5A06A6AA"/>
    <w:rsid w:val="5A0CAB8D"/>
    <w:rsid w:val="5A166377"/>
    <w:rsid w:val="5A192C4B"/>
    <w:rsid w:val="5A1F2E4B"/>
    <w:rsid w:val="5A395EDA"/>
    <w:rsid w:val="5A399692"/>
    <w:rsid w:val="5A3EA338"/>
    <w:rsid w:val="5A3FEBEB"/>
    <w:rsid w:val="5A57CC7C"/>
    <w:rsid w:val="5A7127DA"/>
    <w:rsid w:val="5A7DBCF9"/>
    <w:rsid w:val="5A997003"/>
    <w:rsid w:val="5ACA7661"/>
    <w:rsid w:val="5ACBED27"/>
    <w:rsid w:val="5AF6EEE2"/>
    <w:rsid w:val="5AF8A411"/>
    <w:rsid w:val="5B0B9789"/>
    <w:rsid w:val="5B0DC68C"/>
    <w:rsid w:val="5B376207"/>
    <w:rsid w:val="5B3EE054"/>
    <w:rsid w:val="5B42A156"/>
    <w:rsid w:val="5B42B8D2"/>
    <w:rsid w:val="5B4E7C60"/>
    <w:rsid w:val="5B53ED7C"/>
    <w:rsid w:val="5B73EF88"/>
    <w:rsid w:val="5B7889F7"/>
    <w:rsid w:val="5BABDB5A"/>
    <w:rsid w:val="5BAC1879"/>
    <w:rsid w:val="5BB40E40"/>
    <w:rsid w:val="5BD265A0"/>
    <w:rsid w:val="5BFBF6B7"/>
    <w:rsid w:val="5C0610A1"/>
    <w:rsid w:val="5C0EAFEB"/>
    <w:rsid w:val="5C30A7F1"/>
    <w:rsid w:val="5C356312"/>
    <w:rsid w:val="5C44CCEF"/>
    <w:rsid w:val="5C49EE9E"/>
    <w:rsid w:val="5C54D1C7"/>
    <w:rsid w:val="5C59131D"/>
    <w:rsid w:val="5C5AAA86"/>
    <w:rsid w:val="5C5AC462"/>
    <w:rsid w:val="5C73C379"/>
    <w:rsid w:val="5C75FF9A"/>
    <w:rsid w:val="5C78C359"/>
    <w:rsid w:val="5C8D15D1"/>
    <w:rsid w:val="5CAE12DE"/>
    <w:rsid w:val="5CBB4851"/>
    <w:rsid w:val="5CC62597"/>
    <w:rsid w:val="5CFBAAB8"/>
    <w:rsid w:val="5D08A83E"/>
    <w:rsid w:val="5D12C614"/>
    <w:rsid w:val="5D1E2F36"/>
    <w:rsid w:val="5D62E616"/>
    <w:rsid w:val="5D66C248"/>
    <w:rsid w:val="5D755B2C"/>
    <w:rsid w:val="5D7973FB"/>
    <w:rsid w:val="5D8B73BA"/>
    <w:rsid w:val="5D9D5A16"/>
    <w:rsid w:val="5DDF5871"/>
    <w:rsid w:val="5E0A322F"/>
    <w:rsid w:val="5E0DD7AF"/>
    <w:rsid w:val="5E129F40"/>
    <w:rsid w:val="5E25BE02"/>
    <w:rsid w:val="5E3C7A82"/>
    <w:rsid w:val="5E3CEA5B"/>
    <w:rsid w:val="5E4CEB54"/>
    <w:rsid w:val="5E57C9C4"/>
    <w:rsid w:val="5E5D308A"/>
    <w:rsid w:val="5E6129AC"/>
    <w:rsid w:val="5E74AF3D"/>
    <w:rsid w:val="5E8804D7"/>
    <w:rsid w:val="5E8E57A1"/>
    <w:rsid w:val="5E9023FE"/>
    <w:rsid w:val="5EC0A3A5"/>
    <w:rsid w:val="5EC6F6EB"/>
    <w:rsid w:val="5EC8A211"/>
    <w:rsid w:val="5ED022BF"/>
    <w:rsid w:val="5EF62FD5"/>
    <w:rsid w:val="5F03174A"/>
    <w:rsid w:val="5F0465DB"/>
    <w:rsid w:val="5F091562"/>
    <w:rsid w:val="5F0D36C0"/>
    <w:rsid w:val="5F2BBEBD"/>
    <w:rsid w:val="5F66289E"/>
    <w:rsid w:val="5F7D02D7"/>
    <w:rsid w:val="5F7E374B"/>
    <w:rsid w:val="5F7E6F2B"/>
    <w:rsid w:val="5F7F0102"/>
    <w:rsid w:val="5F82D4A7"/>
    <w:rsid w:val="5F858B10"/>
    <w:rsid w:val="5F993D87"/>
    <w:rsid w:val="5FA1CF0C"/>
    <w:rsid w:val="5FAA28D2"/>
    <w:rsid w:val="5FAFA8FA"/>
    <w:rsid w:val="5FB1E028"/>
    <w:rsid w:val="5FB64A27"/>
    <w:rsid w:val="5FB6DF78"/>
    <w:rsid w:val="5FF75B99"/>
    <w:rsid w:val="5FFC6EBA"/>
    <w:rsid w:val="600D8DB0"/>
    <w:rsid w:val="601EE463"/>
    <w:rsid w:val="601F1DB1"/>
    <w:rsid w:val="602B19FF"/>
    <w:rsid w:val="602B9E88"/>
    <w:rsid w:val="6038DDA5"/>
    <w:rsid w:val="603FD8C7"/>
    <w:rsid w:val="6050E3E2"/>
    <w:rsid w:val="6061759D"/>
    <w:rsid w:val="6079A277"/>
    <w:rsid w:val="60897EE9"/>
    <w:rsid w:val="60CDC818"/>
    <w:rsid w:val="60D29960"/>
    <w:rsid w:val="60E03744"/>
    <w:rsid w:val="60E2C1C7"/>
    <w:rsid w:val="60F0B6A7"/>
    <w:rsid w:val="60F93BF8"/>
    <w:rsid w:val="611C1263"/>
    <w:rsid w:val="6125C69C"/>
    <w:rsid w:val="61318C56"/>
    <w:rsid w:val="61332E2C"/>
    <w:rsid w:val="614B65CA"/>
    <w:rsid w:val="615C61DD"/>
    <w:rsid w:val="61602DE2"/>
    <w:rsid w:val="616E7CFC"/>
    <w:rsid w:val="61720C7A"/>
    <w:rsid w:val="61722727"/>
    <w:rsid w:val="61745748"/>
    <w:rsid w:val="6193060E"/>
    <w:rsid w:val="61AF35BF"/>
    <w:rsid w:val="61AF3BC4"/>
    <w:rsid w:val="61B1F3F3"/>
    <w:rsid w:val="61DC7731"/>
    <w:rsid w:val="61EBC19F"/>
    <w:rsid w:val="61F7EE30"/>
    <w:rsid w:val="6222304A"/>
    <w:rsid w:val="6222D0B1"/>
    <w:rsid w:val="62266BAE"/>
    <w:rsid w:val="622967BE"/>
    <w:rsid w:val="6238EF15"/>
    <w:rsid w:val="623E5F04"/>
    <w:rsid w:val="6240323B"/>
    <w:rsid w:val="6242CD5F"/>
    <w:rsid w:val="6245988F"/>
    <w:rsid w:val="627E9228"/>
    <w:rsid w:val="6284E041"/>
    <w:rsid w:val="62C8AA92"/>
    <w:rsid w:val="62D8FD82"/>
    <w:rsid w:val="6307FF51"/>
    <w:rsid w:val="632830B4"/>
    <w:rsid w:val="632ED861"/>
    <w:rsid w:val="63452C95"/>
    <w:rsid w:val="63500C2B"/>
    <w:rsid w:val="63543B0F"/>
    <w:rsid w:val="6359933E"/>
    <w:rsid w:val="6368883C"/>
    <w:rsid w:val="63754EBF"/>
    <w:rsid w:val="637A9D3E"/>
    <w:rsid w:val="638D70BA"/>
    <w:rsid w:val="63A97A89"/>
    <w:rsid w:val="63BEDC93"/>
    <w:rsid w:val="63C52ECF"/>
    <w:rsid w:val="63D1B153"/>
    <w:rsid w:val="63D4445F"/>
    <w:rsid w:val="63E65662"/>
    <w:rsid w:val="63EE2D20"/>
    <w:rsid w:val="641A6289"/>
    <w:rsid w:val="6425FEE8"/>
    <w:rsid w:val="6448191A"/>
    <w:rsid w:val="644FCE79"/>
    <w:rsid w:val="64597D48"/>
    <w:rsid w:val="646160A7"/>
    <w:rsid w:val="6474932C"/>
    <w:rsid w:val="6482734B"/>
    <w:rsid w:val="6488402E"/>
    <w:rsid w:val="64A51879"/>
    <w:rsid w:val="64A9AD3C"/>
    <w:rsid w:val="64AB9A34"/>
    <w:rsid w:val="64C1EFAB"/>
    <w:rsid w:val="64D4A0C1"/>
    <w:rsid w:val="64DE3F3C"/>
    <w:rsid w:val="64E77CC1"/>
    <w:rsid w:val="64F8E055"/>
    <w:rsid w:val="64FC07EC"/>
    <w:rsid w:val="6504B053"/>
    <w:rsid w:val="650EF2AC"/>
    <w:rsid w:val="651A5A4D"/>
    <w:rsid w:val="651D3529"/>
    <w:rsid w:val="6523B673"/>
    <w:rsid w:val="652B241C"/>
    <w:rsid w:val="65310C73"/>
    <w:rsid w:val="654D0137"/>
    <w:rsid w:val="654F6DBB"/>
    <w:rsid w:val="6578EA63"/>
    <w:rsid w:val="65A9E596"/>
    <w:rsid w:val="65B89AC3"/>
    <w:rsid w:val="65B99988"/>
    <w:rsid w:val="65BC3274"/>
    <w:rsid w:val="65CBAC4B"/>
    <w:rsid w:val="65CF69A6"/>
    <w:rsid w:val="65DCBDDB"/>
    <w:rsid w:val="65FDD09C"/>
    <w:rsid w:val="6600D196"/>
    <w:rsid w:val="66099CCB"/>
    <w:rsid w:val="661D4D5F"/>
    <w:rsid w:val="662ED3E3"/>
    <w:rsid w:val="666E65E0"/>
    <w:rsid w:val="667A4111"/>
    <w:rsid w:val="668D0A82"/>
    <w:rsid w:val="6693965F"/>
    <w:rsid w:val="669BDA80"/>
    <w:rsid w:val="66A1D1C5"/>
    <w:rsid w:val="66A4076C"/>
    <w:rsid w:val="66A8E70B"/>
    <w:rsid w:val="66AD16C3"/>
    <w:rsid w:val="66BF46AA"/>
    <w:rsid w:val="66C21CBF"/>
    <w:rsid w:val="66F94452"/>
    <w:rsid w:val="66FC2630"/>
    <w:rsid w:val="6705AD95"/>
    <w:rsid w:val="670ED5BB"/>
    <w:rsid w:val="670FBC0D"/>
    <w:rsid w:val="672B135F"/>
    <w:rsid w:val="672D0F4F"/>
    <w:rsid w:val="674A5B41"/>
    <w:rsid w:val="674AA1B9"/>
    <w:rsid w:val="6754660D"/>
    <w:rsid w:val="67634502"/>
    <w:rsid w:val="6770AC13"/>
    <w:rsid w:val="677C80F7"/>
    <w:rsid w:val="6780FF51"/>
    <w:rsid w:val="6783D453"/>
    <w:rsid w:val="67A89B48"/>
    <w:rsid w:val="67ADFCDC"/>
    <w:rsid w:val="67C5A94B"/>
    <w:rsid w:val="67D33672"/>
    <w:rsid w:val="67DB937B"/>
    <w:rsid w:val="67F68C79"/>
    <w:rsid w:val="67F73BF3"/>
    <w:rsid w:val="67FC148A"/>
    <w:rsid w:val="67FDD000"/>
    <w:rsid w:val="6804277A"/>
    <w:rsid w:val="680660A1"/>
    <w:rsid w:val="680AB07A"/>
    <w:rsid w:val="68104843"/>
    <w:rsid w:val="6829D3B0"/>
    <w:rsid w:val="684249CB"/>
    <w:rsid w:val="68430D95"/>
    <w:rsid w:val="68473F99"/>
    <w:rsid w:val="6859002A"/>
    <w:rsid w:val="685FADA8"/>
    <w:rsid w:val="686E933E"/>
    <w:rsid w:val="687AA5B3"/>
    <w:rsid w:val="687DDE00"/>
    <w:rsid w:val="688591EB"/>
    <w:rsid w:val="689209E0"/>
    <w:rsid w:val="68A58835"/>
    <w:rsid w:val="68B11A59"/>
    <w:rsid w:val="68BD5E39"/>
    <w:rsid w:val="68BDD13E"/>
    <w:rsid w:val="68C5D8E9"/>
    <w:rsid w:val="68CCFA15"/>
    <w:rsid w:val="68D27B95"/>
    <w:rsid w:val="68EDD3AC"/>
    <w:rsid w:val="68F44D15"/>
    <w:rsid w:val="692AD4D4"/>
    <w:rsid w:val="692DB269"/>
    <w:rsid w:val="6945F8B4"/>
    <w:rsid w:val="69468B19"/>
    <w:rsid w:val="69862782"/>
    <w:rsid w:val="6986B9FD"/>
    <w:rsid w:val="69BC4323"/>
    <w:rsid w:val="69C8BED0"/>
    <w:rsid w:val="69CE1A27"/>
    <w:rsid w:val="69D098DB"/>
    <w:rsid w:val="69D62FFA"/>
    <w:rsid w:val="69E7545A"/>
    <w:rsid w:val="69E7D5C3"/>
    <w:rsid w:val="69EBECF4"/>
    <w:rsid w:val="69F8F889"/>
    <w:rsid w:val="6A0C043C"/>
    <w:rsid w:val="6A378015"/>
    <w:rsid w:val="6A3A78DE"/>
    <w:rsid w:val="6A50FC30"/>
    <w:rsid w:val="6A51FFB1"/>
    <w:rsid w:val="6A635947"/>
    <w:rsid w:val="6A879353"/>
    <w:rsid w:val="6A8D44BA"/>
    <w:rsid w:val="6A8D75E7"/>
    <w:rsid w:val="6A9EED28"/>
    <w:rsid w:val="6AA5F513"/>
    <w:rsid w:val="6AC0A37E"/>
    <w:rsid w:val="6AC81B86"/>
    <w:rsid w:val="6ACA0CA0"/>
    <w:rsid w:val="6ACB5A66"/>
    <w:rsid w:val="6ADAA46E"/>
    <w:rsid w:val="6AF1316D"/>
    <w:rsid w:val="6AF624A7"/>
    <w:rsid w:val="6B10FFE8"/>
    <w:rsid w:val="6B34B623"/>
    <w:rsid w:val="6B5EA9B6"/>
    <w:rsid w:val="6B674FF6"/>
    <w:rsid w:val="6B78696D"/>
    <w:rsid w:val="6B813B54"/>
    <w:rsid w:val="6B93D8C0"/>
    <w:rsid w:val="6BB1CCF9"/>
    <w:rsid w:val="6BB24675"/>
    <w:rsid w:val="6BBDA025"/>
    <w:rsid w:val="6BDF9382"/>
    <w:rsid w:val="6BF23D87"/>
    <w:rsid w:val="6C05B70B"/>
    <w:rsid w:val="6C0DA21C"/>
    <w:rsid w:val="6C2A3F42"/>
    <w:rsid w:val="6C3CFE00"/>
    <w:rsid w:val="6C3E458B"/>
    <w:rsid w:val="6C46B8FE"/>
    <w:rsid w:val="6C559429"/>
    <w:rsid w:val="6C571CF1"/>
    <w:rsid w:val="6C584688"/>
    <w:rsid w:val="6C780F81"/>
    <w:rsid w:val="6C7D9976"/>
    <w:rsid w:val="6C80310D"/>
    <w:rsid w:val="6C844AE3"/>
    <w:rsid w:val="6C8E7DA2"/>
    <w:rsid w:val="6C97E1E0"/>
    <w:rsid w:val="6CABF23F"/>
    <w:rsid w:val="6CBE55F2"/>
    <w:rsid w:val="6CCDFE44"/>
    <w:rsid w:val="6CCE86DE"/>
    <w:rsid w:val="6CD2E064"/>
    <w:rsid w:val="6CFF3442"/>
    <w:rsid w:val="6D193761"/>
    <w:rsid w:val="6D2A19C4"/>
    <w:rsid w:val="6D35F49B"/>
    <w:rsid w:val="6D69C19D"/>
    <w:rsid w:val="6D6EE135"/>
    <w:rsid w:val="6D79667C"/>
    <w:rsid w:val="6D7BAB76"/>
    <w:rsid w:val="6D82928C"/>
    <w:rsid w:val="6D8D374E"/>
    <w:rsid w:val="6DACCA61"/>
    <w:rsid w:val="6DC6AB1B"/>
    <w:rsid w:val="6DD25827"/>
    <w:rsid w:val="6DDF5A30"/>
    <w:rsid w:val="6DF11B6B"/>
    <w:rsid w:val="6E020C0C"/>
    <w:rsid w:val="6E031AB4"/>
    <w:rsid w:val="6E0E1D6E"/>
    <w:rsid w:val="6E1243FA"/>
    <w:rsid w:val="6E155E34"/>
    <w:rsid w:val="6E1969D7"/>
    <w:rsid w:val="6E24FC5E"/>
    <w:rsid w:val="6E2665DB"/>
    <w:rsid w:val="6E47932E"/>
    <w:rsid w:val="6E6263C6"/>
    <w:rsid w:val="6E659ED4"/>
    <w:rsid w:val="6E7C4CBA"/>
    <w:rsid w:val="6E8364AB"/>
    <w:rsid w:val="6E9C8300"/>
    <w:rsid w:val="6EA5BB2C"/>
    <w:rsid w:val="6EC841AE"/>
    <w:rsid w:val="6EE6D523"/>
    <w:rsid w:val="6EEE4582"/>
    <w:rsid w:val="6F080EC2"/>
    <w:rsid w:val="6F1418EC"/>
    <w:rsid w:val="6F2692D0"/>
    <w:rsid w:val="6F31BC07"/>
    <w:rsid w:val="6F32C76F"/>
    <w:rsid w:val="6F3B322B"/>
    <w:rsid w:val="6F427E6A"/>
    <w:rsid w:val="6F493E16"/>
    <w:rsid w:val="6F4A48E0"/>
    <w:rsid w:val="6F55779C"/>
    <w:rsid w:val="6F7ADD5F"/>
    <w:rsid w:val="6F886757"/>
    <w:rsid w:val="6F8B303C"/>
    <w:rsid w:val="6F90B4AC"/>
    <w:rsid w:val="6FCEB095"/>
    <w:rsid w:val="6FDAA812"/>
    <w:rsid w:val="6FDF83BB"/>
    <w:rsid w:val="6FFD824A"/>
    <w:rsid w:val="700069C0"/>
    <w:rsid w:val="7001ECC7"/>
    <w:rsid w:val="70284465"/>
    <w:rsid w:val="70429A04"/>
    <w:rsid w:val="705B2E78"/>
    <w:rsid w:val="70617387"/>
    <w:rsid w:val="70800EFF"/>
    <w:rsid w:val="708FECEE"/>
    <w:rsid w:val="7099EB0E"/>
    <w:rsid w:val="70B692B0"/>
    <w:rsid w:val="70C19471"/>
    <w:rsid w:val="70CB566F"/>
    <w:rsid w:val="70E1F0A8"/>
    <w:rsid w:val="70F8EFBC"/>
    <w:rsid w:val="7100FE5A"/>
    <w:rsid w:val="712ED96E"/>
    <w:rsid w:val="715329C2"/>
    <w:rsid w:val="716273E2"/>
    <w:rsid w:val="716C7F35"/>
    <w:rsid w:val="719756DA"/>
    <w:rsid w:val="71A5ED3B"/>
    <w:rsid w:val="71AC7F93"/>
    <w:rsid w:val="71AD823E"/>
    <w:rsid w:val="71C90B00"/>
    <w:rsid w:val="71D5B20D"/>
    <w:rsid w:val="71D62EF5"/>
    <w:rsid w:val="71DE4F02"/>
    <w:rsid w:val="71F1DA88"/>
    <w:rsid w:val="71FA63C3"/>
    <w:rsid w:val="720FE753"/>
    <w:rsid w:val="721954A6"/>
    <w:rsid w:val="72420A77"/>
    <w:rsid w:val="724C9C7B"/>
    <w:rsid w:val="72658598"/>
    <w:rsid w:val="7273438E"/>
    <w:rsid w:val="728D095F"/>
    <w:rsid w:val="72B88222"/>
    <w:rsid w:val="72C87D83"/>
    <w:rsid w:val="72D6F86B"/>
    <w:rsid w:val="72DC83FA"/>
    <w:rsid w:val="72E0DAE4"/>
    <w:rsid w:val="72F0FEE8"/>
    <w:rsid w:val="72FB6892"/>
    <w:rsid w:val="72FC7EBB"/>
    <w:rsid w:val="73099ABF"/>
    <w:rsid w:val="7311A271"/>
    <w:rsid w:val="733261D8"/>
    <w:rsid w:val="73379860"/>
    <w:rsid w:val="7353D26F"/>
    <w:rsid w:val="7366586F"/>
    <w:rsid w:val="7378F383"/>
    <w:rsid w:val="737E6B09"/>
    <w:rsid w:val="73803799"/>
    <w:rsid w:val="739B3A15"/>
    <w:rsid w:val="73A2EFD2"/>
    <w:rsid w:val="73A3290D"/>
    <w:rsid w:val="73B2FD33"/>
    <w:rsid w:val="73BFDE74"/>
    <w:rsid w:val="73F4F62A"/>
    <w:rsid w:val="73F81718"/>
    <w:rsid w:val="740241A5"/>
    <w:rsid w:val="7409B57E"/>
    <w:rsid w:val="7428D72A"/>
    <w:rsid w:val="74421FF5"/>
    <w:rsid w:val="7457A7C7"/>
    <w:rsid w:val="746F8CFC"/>
    <w:rsid w:val="7498ADDA"/>
    <w:rsid w:val="749E7BBC"/>
    <w:rsid w:val="74C8A09A"/>
    <w:rsid w:val="74E66653"/>
    <w:rsid w:val="74EED353"/>
    <w:rsid w:val="7503C536"/>
    <w:rsid w:val="751646D6"/>
    <w:rsid w:val="7518CD2E"/>
    <w:rsid w:val="7521EB83"/>
    <w:rsid w:val="754A78C0"/>
    <w:rsid w:val="755AE78D"/>
    <w:rsid w:val="75624780"/>
    <w:rsid w:val="7569825D"/>
    <w:rsid w:val="756BECCF"/>
    <w:rsid w:val="757B6B13"/>
    <w:rsid w:val="757B7A07"/>
    <w:rsid w:val="757B8911"/>
    <w:rsid w:val="757E0845"/>
    <w:rsid w:val="7586B4F1"/>
    <w:rsid w:val="75875A2F"/>
    <w:rsid w:val="758EDBA4"/>
    <w:rsid w:val="75953025"/>
    <w:rsid w:val="759D26DA"/>
    <w:rsid w:val="759D60F4"/>
    <w:rsid w:val="75AD9324"/>
    <w:rsid w:val="75B86197"/>
    <w:rsid w:val="75E1C08A"/>
    <w:rsid w:val="76102A9D"/>
    <w:rsid w:val="761C521C"/>
    <w:rsid w:val="762D5AEA"/>
    <w:rsid w:val="763396FD"/>
    <w:rsid w:val="763F32FC"/>
    <w:rsid w:val="7663DD69"/>
    <w:rsid w:val="7667E0FD"/>
    <w:rsid w:val="7667F366"/>
    <w:rsid w:val="76743FDD"/>
    <w:rsid w:val="76757D05"/>
    <w:rsid w:val="76948EEE"/>
    <w:rsid w:val="769AB8F1"/>
    <w:rsid w:val="769D727A"/>
    <w:rsid w:val="769DDD77"/>
    <w:rsid w:val="76A19EF6"/>
    <w:rsid w:val="76B832E1"/>
    <w:rsid w:val="76CC11E6"/>
    <w:rsid w:val="76FF5E2E"/>
    <w:rsid w:val="77044804"/>
    <w:rsid w:val="770A5193"/>
    <w:rsid w:val="770C37FC"/>
    <w:rsid w:val="771CDB39"/>
    <w:rsid w:val="774A1E34"/>
    <w:rsid w:val="7759650A"/>
    <w:rsid w:val="7785C294"/>
    <w:rsid w:val="7791387F"/>
    <w:rsid w:val="77A40CCB"/>
    <w:rsid w:val="77A6AF14"/>
    <w:rsid w:val="77B04F92"/>
    <w:rsid w:val="77E91924"/>
    <w:rsid w:val="77F3B3E2"/>
    <w:rsid w:val="77FD5E02"/>
    <w:rsid w:val="78221CA7"/>
    <w:rsid w:val="7828EF9F"/>
    <w:rsid w:val="7840D700"/>
    <w:rsid w:val="78428FD5"/>
    <w:rsid w:val="784B3BC7"/>
    <w:rsid w:val="78672B90"/>
    <w:rsid w:val="787D79B7"/>
    <w:rsid w:val="787FE575"/>
    <w:rsid w:val="78A1D2D5"/>
    <w:rsid w:val="78A51FCD"/>
    <w:rsid w:val="78ACA3F4"/>
    <w:rsid w:val="78C207AD"/>
    <w:rsid w:val="78FB6BE8"/>
    <w:rsid w:val="79001F40"/>
    <w:rsid w:val="7902D03E"/>
    <w:rsid w:val="79090D32"/>
    <w:rsid w:val="7918CBD3"/>
    <w:rsid w:val="7919E7CB"/>
    <w:rsid w:val="79270A69"/>
    <w:rsid w:val="7929103A"/>
    <w:rsid w:val="7968B2FB"/>
    <w:rsid w:val="79725941"/>
    <w:rsid w:val="7989BE84"/>
    <w:rsid w:val="79A7E9C7"/>
    <w:rsid w:val="79C42D20"/>
    <w:rsid w:val="79ED9C3E"/>
    <w:rsid w:val="79F93BCA"/>
    <w:rsid w:val="7A0E5128"/>
    <w:rsid w:val="7A1B5B81"/>
    <w:rsid w:val="7A2EF1CB"/>
    <w:rsid w:val="7A2FC231"/>
    <w:rsid w:val="7A53C80C"/>
    <w:rsid w:val="7A544C91"/>
    <w:rsid w:val="7A60295C"/>
    <w:rsid w:val="7A7577E5"/>
    <w:rsid w:val="7A928453"/>
    <w:rsid w:val="7AB29CA7"/>
    <w:rsid w:val="7AC112BB"/>
    <w:rsid w:val="7AECC142"/>
    <w:rsid w:val="7AF53BF6"/>
    <w:rsid w:val="7AFE38DC"/>
    <w:rsid w:val="7B0D14C6"/>
    <w:rsid w:val="7B0F36DA"/>
    <w:rsid w:val="7B137B24"/>
    <w:rsid w:val="7B1C9DE8"/>
    <w:rsid w:val="7B1DB041"/>
    <w:rsid w:val="7B1DC309"/>
    <w:rsid w:val="7B375A73"/>
    <w:rsid w:val="7B3F0A93"/>
    <w:rsid w:val="7B45BA4A"/>
    <w:rsid w:val="7B6B76BB"/>
    <w:rsid w:val="7B7F28C5"/>
    <w:rsid w:val="7B8D6824"/>
    <w:rsid w:val="7B910874"/>
    <w:rsid w:val="7B916103"/>
    <w:rsid w:val="7B95DB46"/>
    <w:rsid w:val="7BAF0E43"/>
    <w:rsid w:val="7BB1C384"/>
    <w:rsid w:val="7BBB822F"/>
    <w:rsid w:val="7BBFA128"/>
    <w:rsid w:val="7BCD8766"/>
    <w:rsid w:val="7BE4419B"/>
    <w:rsid w:val="7BE8C478"/>
    <w:rsid w:val="7BED0FF2"/>
    <w:rsid w:val="7BF54F3B"/>
    <w:rsid w:val="7C0B3CBB"/>
    <w:rsid w:val="7C138350"/>
    <w:rsid w:val="7C1526D3"/>
    <w:rsid w:val="7C3A1C61"/>
    <w:rsid w:val="7C576889"/>
    <w:rsid w:val="7C5BCEB4"/>
    <w:rsid w:val="7C69F2C8"/>
    <w:rsid w:val="7C7295DC"/>
    <w:rsid w:val="7C840338"/>
    <w:rsid w:val="7C8D9B62"/>
    <w:rsid w:val="7CA3F417"/>
    <w:rsid w:val="7CB4ECF9"/>
    <w:rsid w:val="7CBD82BE"/>
    <w:rsid w:val="7CD7C4B2"/>
    <w:rsid w:val="7CD96162"/>
    <w:rsid w:val="7CED31E1"/>
    <w:rsid w:val="7CFDEF1B"/>
    <w:rsid w:val="7D063981"/>
    <w:rsid w:val="7D08073B"/>
    <w:rsid w:val="7D208BB3"/>
    <w:rsid w:val="7D36E13E"/>
    <w:rsid w:val="7D3AC30F"/>
    <w:rsid w:val="7D3EA568"/>
    <w:rsid w:val="7D550DDC"/>
    <w:rsid w:val="7D632433"/>
    <w:rsid w:val="7D672A9F"/>
    <w:rsid w:val="7D67823B"/>
    <w:rsid w:val="7D71EB1C"/>
    <w:rsid w:val="7D77B4EF"/>
    <w:rsid w:val="7D8ACEA6"/>
    <w:rsid w:val="7DA20A0E"/>
    <w:rsid w:val="7DA3E9A0"/>
    <w:rsid w:val="7DC4A3E7"/>
    <w:rsid w:val="7DCE71DD"/>
    <w:rsid w:val="7DD10606"/>
    <w:rsid w:val="7DD719C7"/>
    <w:rsid w:val="7DFC071E"/>
    <w:rsid w:val="7E1D8692"/>
    <w:rsid w:val="7E1DC023"/>
    <w:rsid w:val="7E628F01"/>
    <w:rsid w:val="7E73A67F"/>
    <w:rsid w:val="7E73F810"/>
    <w:rsid w:val="7E74698B"/>
    <w:rsid w:val="7E94F5C5"/>
    <w:rsid w:val="7EB25965"/>
    <w:rsid w:val="7EB4101F"/>
    <w:rsid w:val="7EBA308C"/>
    <w:rsid w:val="7EC853C2"/>
    <w:rsid w:val="7ECBC876"/>
    <w:rsid w:val="7ED84520"/>
    <w:rsid w:val="7EDB52CA"/>
    <w:rsid w:val="7EDD11D8"/>
    <w:rsid w:val="7EEC1F12"/>
    <w:rsid w:val="7EFE78FB"/>
    <w:rsid w:val="7F013FAE"/>
    <w:rsid w:val="7F039CCE"/>
    <w:rsid w:val="7F064034"/>
    <w:rsid w:val="7F124E65"/>
    <w:rsid w:val="7F1A72C2"/>
    <w:rsid w:val="7F25B758"/>
    <w:rsid w:val="7F3DFFB5"/>
    <w:rsid w:val="7F4288BC"/>
    <w:rsid w:val="7F58AA06"/>
    <w:rsid w:val="7F67CC69"/>
    <w:rsid w:val="7F6A4B71"/>
    <w:rsid w:val="7F7B0197"/>
    <w:rsid w:val="7F8523AC"/>
    <w:rsid w:val="7F8FA7E2"/>
    <w:rsid w:val="7FA2046A"/>
    <w:rsid w:val="7FB9DE23"/>
    <w:rsid w:val="7FC08B20"/>
    <w:rsid w:val="7FD53E96"/>
    <w:rsid w:val="7FD9D2F1"/>
    <w:rsid w:val="7FDBD629"/>
    <w:rsid w:val="7FF6F4A8"/>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ecimalSymbol w:val=","/>
  <w:listSeparator w:val=";"/>
  <w14:docId w14:val="774D65CD"/>
  <w15:docId w15:val="{73AEC36B-898D-4582-AF60-C35A9ADEC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lv-LV"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E1304"/>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22"/>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lv-LV"/>
    </w:rPr>
  </w:style>
  <w:style w:type="character" w:customStyle="1" w:styleId="Heading2Char">
    <w:name w:val="Heading 2 Char"/>
    <w:link w:val="Heading2"/>
    <w:uiPriority w:val="99"/>
    <w:locked/>
    <w:rsid w:val="00FE1304"/>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lv-LV"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6"/>
      </w:numPr>
      <w:spacing w:line="240" w:lineRule="exact"/>
    </w:pPr>
  </w:style>
  <w:style w:type="paragraph" w:customStyle="1" w:styleId="Aufzhlungszeichen2">
    <w:name w:val="Aufzählungszeichen2"/>
    <w:basedOn w:val="Normal"/>
    <w:uiPriority w:val="1"/>
    <w:qFormat/>
    <w:rsid w:val="001E5A75"/>
    <w:pPr>
      <w:numPr>
        <w:numId w:val="7"/>
      </w:numPr>
      <w:spacing w:line="240" w:lineRule="exact"/>
    </w:pPr>
  </w:style>
  <w:style w:type="paragraph" w:customStyle="1" w:styleId="Aufzhlungszeichen3">
    <w:name w:val="Aufzählungszeichen3"/>
    <w:basedOn w:val="Normal"/>
    <w:uiPriority w:val="1"/>
    <w:qFormat/>
    <w:rsid w:val="001E5A75"/>
    <w:pPr>
      <w:numPr>
        <w:numId w:val="8"/>
      </w:numPr>
      <w:spacing w:line="240" w:lineRule="exact"/>
    </w:pPr>
  </w:style>
  <w:style w:type="paragraph" w:customStyle="1" w:styleId="Aufzhlungszeichen4">
    <w:name w:val="Aufzählungszeichen4"/>
    <w:basedOn w:val="Normal"/>
    <w:uiPriority w:val="1"/>
    <w:qFormat/>
    <w:rsid w:val="001E5A75"/>
    <w:pPr>
      <w:numPr>
        <w:numId w:val="9"/>
      </w:numPr>
      <w:spacing w:line="240" w:lineRule="exact"/>
    </w:p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
    <w:basedOn w:val="Normal"/>
    <w:link w:val="FootnoteTextChar"/>
    <w:uiPriority w:val="99"/>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
    <w:link w:val="FootnoteText"/>
    <w:uiPriority w:val="99"/>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uiPriority w:val="99"/>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12"/>
      </w:numPr>
      <w:spacing w:line="312" w:lineRule="auto"/>
    </w:pPr>
  </w:style>
  <w:style w:type="paragraph" w:customStyle="1" w:styleId="GliederungmitNummerierung">
    <w:name w:val="Gliederung mit Nummerierung"/>
    <w:basedOn w:val="Normal"/>
    <w:uiPriority w:val="1"/>
    <w:qFormat/>
    <w:rsid w:val="001E5A75"/>
    <w:pPr>
      <w:numPr>
        <w:numId w:val="13"/>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14"/>
      </w:numPr>
    </w:pPr>
  </w:style>
  <w:style w:type="paragraph" w:customStyle="1" w:styleId="Nummerierungsart2">
    <w:name w:val="Nummerierungsart2"/>
    <w:basedOn w:val="Normal"/>
    <w:uiPriority w:val="1"/>
    <w:qFormat/>
    <w:rsid w:val="001E5A75"/>
    <w:pPr>
      <w:numPr>
        <w:numId w:val="15"/>
      </w:numPr>
    </w:pPr>
  </w:style>
  <w:style w:type="paragraph" w:customStyle="1" w:styleId="Nummerierungsart3">
    <w:name w:val="Nummerierungsart3"/>
    <w:basedOn w:val="Normal"/>
    <w:uiPriority w:val="1"/>
    <w:qFormat/>
    <w:rsid w:val="001E5A75"/>
    <w:pPr>
      <w:numPr>
        <w:numId w:val="16"/>
      </w:numPr>
    </w:pPr>
  </w:style>
  <w:style w:type="paragraph" w:customStyle="1" w:styleId="Nummerierungsart4">
    <w:name w:val="Nummerierungsart4"/>
    <w:basedOn w:val="Normal"/>
    <w:uiPriority w:val="1"/>
    <w:qFormat/>
    <w:rsid w:val="001E5A75"/>
    <w:pPr>
      <w:numPr>
        <w:numId w:val="17"/>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A65ABC"/>
    <w:pPr>
      <w:tabs>
        <w:tab w:val="left" w:pos="794"/>
        <w:tab w:val="right" w:leader="dot" w:pos="9071"/>
      </w:tabs>
      <w:suppressAutoHyphen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lv-LV"/>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lv-LV"/>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lv-LV"/>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8"/>
      </w:numPr>
      <w:spacing w:after="240"/>
      <w:ind w:left="2204"/>
    </w:pPr>
    <w:rPr>
      <w:rFonts w:cs="Arial"/>
      <w:b w:val="0"/>
      <w:sz w:val="20"/>
    </w:rPr>
  </w:style>
  <w:style w:type="paragraph" w:customStyle="1" w:styleId="Instructionsberschrift3">
    <w:name w:val="Instructions Überschrift 3"/>
    <w:basedOn w:val="Heading3"/>
    <w:link w:val="Instructionsberschrift3Zchn"/>
    <w:rsid w:val="006746DB"/>
    <w:pPr>
      <w:numPr>
        <w:numId w:val="19"/>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C575D"/>
    <w:pPr>
      <w:suppressAutoHyphens/>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lv-LV"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3C575D"/>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20"/>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lv-LV"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lv-LV"/>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4"/>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lv-LV" w:eastAsia="de-DE"/>
    </w:rPr>
  </w:style>
  <w:style w:type="paragraph" w:customStyle="1" w:styleId="NumPar1">
    <w:name w:val="NumPar 1"/>
    <w:basedOn w:val="Normal"/>
    <w:next w:val="Normal"/>
    <w:link w:val="NumPar1Char"/>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lv-LV"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11"/>
      </w:numPr>
    </w:pPr>
  </w:style>
  <w:style w:type="numbering" w:customStyle="1" w:styleId="Formatvorlage3">
    <w:name w:val="Formatvorlage3"/>
    <w:uiPriority w:val="99"/>
    <w:rsid w:val="00BF60F7"/>
    <w:pPr>
      <w:numPr>
        <w:numId w:val="21"/>
      </w:numPr>
    </w:pPr>
  </w:style>
  <w:style w:type="numbering" w:customStyle="1" w:styleId="Formatvorlage1">
    <w:name w:val="Formatvorlage1"/>
    <w:uiPriority w:val="99"/>
    <w:rsid w:val="00BF60F7"/>
    <w:pPr>
      <w:numPr>
        <w:numId w:val="10"/>
      </w:numPr>
    </w:pPr>
  </w:style>
  <w:style w:type="numbering" w:customStyle="1" w:styleId="Formatvorlage4">
    <w:name w:val="Formatvorlage4"/>
    <w:uiPriority w:val="99"/>
    <w:rsid w:val="00BF60F7"/>
    <w:pPr>
      <w:numPr>
        <w:numId w:val="23"/>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lv-LV"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link w:val="bodyChar"/>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character" w:customStyle="1" w:styleId="Mention1">
    <w:name w:val="Mention1"/>
    <w:basedOn w:val="DefaultParagraphFont"/>
    <w:uiPriority w:val="99"/>
    <w:unhideWhenUsed/>
    <w:rPr>
      <w:color w:val="2B579A"/>
      <w:shd w:val="clear" w:color="auto" w:fill="E6E6E6"/>
    </w:rPr>
  </w:style>
  <w:style w:type="character" w:customStyle="1" w:styleId="UnresolvedMention1">
    <w:name w:val="Unresolved Mention1"/>
    <w:basedOn w:val="DefaultParagraphFont"/>
    <w:uiPriority w:val="99"/>
    <w:unhideWhenUsed/>
    <w:rsid w:val="00572FA8"/>
    <w:rPr>
      <w:color w:val="605E5C"/>
      <w:shd w:val="clear" w:color="auto" w:fill="E1DFDD"/>
    </w:rPr>
  </w:style>
  <w:style w:type="paragraph" w:customStyle="1" w:styleId="Chartleft-Measure">
    <w:name w:val="Chart left - Measure"/>
    <w:link w:val="Chartleft-MeasureChar"/>
    <w:uiPriority w:val="3"/>
    <w:qFormat/>
    <w:rsid w:val="00F02616"/>
    <w:pPr>
      <w:keepNext/>
      <w:keepLines/>
      <w:framePr w:w="4706" w:hSpace="227" w:wrap="around" w:vAnchor="text" w:hAnchor="page" w:x="1135" w:y="1"/>
      <w:spacing w:before="100" w:after="100" w:line="144" w:lineRule="atLeast"/>
      <w:contextualSpacing/>
    </w:pPr>
    <w:rPr>
      <w:rFonts w:eastAsia="Times New Roman" w:cs="Sendnya"/>
      <w:color w:val="003299"/>
      <w:kern w:val="12"/>
      <w:sz w:val="12"/>
      <w:szCs w:val="22"/>
      <w:lang w:bidi="ar-SA"/>
    </w:rPr>
  </w:style>
  <w:style w:type="character" w:customStyle="1" w:styleId="Chartleft-MeasureChar">
    <w:name w:val="Chart left - Measure Char"/>
    <w:link w:val="Chartleft-Measure"/>
    <w:uiPriority w:val="3"/>
    <w:rsid w:val="00F02616"/>
    <w:rPr>
      <w:rFonts w:eastAsia="Times New Roman" w:cs="Sendnya"/>
      <w:color w:val="003299"/>
      <w:kern w:val="12"/>
      <w:sz w:val="12"/>
      <w:szCs w:val="22"/>
      <w:lang w:bidi="ar-SA"/>
    </w:rPr>
  </w:style>
  <w:style w:type="character" w:customStyle="1" w:styleId="lxp-definition-term">
    <w:name w:val="lxp-definition-term"/>
    <w:basedOn w:val="DefaultParagraphFont"/>
    <w:rsid w:val="00F02616"/>
  </w:style>
  <w:style w:type="character" w:customStyle="1" w:styleId="FooterChar1">
    <w:name w:val="Footer Char1"/>
    <w:uiPriority w:val="99"/>
    <w:locked/>
    <w:rsid w:val="00D00AB9"/>
    <w:rPr>
      <w:rFonts w:ascii="Arial" w:hAnsi="Arial" w:cs="Times New Roman"/>
      <w:sz w:val="14"/>
      <w:szCs w:val="14"/>
      <w:lang w:eastAsia="de-DE"/>
    </w:rPr>
  </w:style>
  <w:style w:type="character" w:customStyle="1" w:styleId="HeaderChar1">
    <w:name w:val="Header Char1"/>
    <w:uiPriority w:val="99"/>
    <w:locked/>
    <w:rsid w:val="00D00AB9"/>
    <w:rPr>
      <w:rFonts w:ascii="Arial" w:hAnsi="Arial" w:cs="Times New Roman"/>
      <w:sz w:val="20"/>
      <w:szCs w:val="20"/>
      <w:lang w:eastAsia="de-DE"/>
    </w:rPr>
  </w:style>
  <w:style w:type="character" w:customStyle="1" w:styleId="bodyChar">
    <w:name w:val="body Char"/>
    <w:basedOn w:val="DefaultParagraphFont"/>
    <w:link w:val="body"/>
    <w:rsid w:val="00512CC3"/>
    <w:rPr>
      <w:rFonts w:asciiTheme="minorHAnsi" w:eastAsiaTheme="minorEastAsia" w:hAnsiTheme="minorHAnsi" w:cstheme="minorBidi"/>
      <w:sz w:val="22"/>
      <w:szCs w:val="24"/>
      <w:lang w:val="lv-LV" w:eastAsia="en-US" w:bidi="ar-SA"/>
    </w:rPr>
  </w:style>
  <w:style w:type="character" w:customStyle="1" w:styleId="Mention2">
    <w:name w:val="Mention2"/>
    <w:basedOn w:val="DefaultParagraphFont"/>
    <w:uiPriority w:val="99"/>
    <w:unhideWhenUsed/>
    <w:rsid w:val="00693092"/>
    <w:rPr>
      <w:color w:val="2B579A"/>
      <w:shd w:val="clear" w:color="auto" w:fill="E1DFDD"/>
    </w:rPr>
  </w:style>
  <w:style w:type="paragraph" w:customStyle="1" w:styleId="NumPar2">
    <w:name w:val="NumPar 2"/>
    <w:basedOn w:val="Normal"/>
    <w:next w:val="Normal"/>
    <w:rsid w:val="00940746"/>
    <w:pPr>
      <w:tabs>
        <w:tab w:val="num" w:pos="850"/>
      </w:tabs>
      <w:ind w:left="850" w:hanging="850"/>
    </w:pPr>
    <w:rPr>
      <w:rFonts w:ascii="Times New Roman" w:hAnsi="Times New Roman"/>
      <w:sz w:val="24"/>
      <w:szCs w:val="20"/>
      <w:lang w:eastAsia="en-GB"/>
    </w:rPr>
  </w:style>
  <w:style w:type="paragraph" w:customStyle="1" w:styleId="NumPar3">
    <w:name w:val="NumPar 3"/>
    <w:basedOn w:val="Normal"/>
    <w:next w:val="Normal"/>
    <w:rsid w:val="00940746"/>
    <w:pPr>
      <w:tabs>
        <w:tab w:val="num" w:pos="850"/>
      </w:tabs>
      <w:ind w:left="850" w:hanging="850"/>
    </w:pPr>
    <w:rPr>
      <w:rFonts w:ascii="Times New Roman" w:hAnsi="Times New Roman"/>
      <w:sz w:val="24"/>
      <w:szCs w:val="20"/>
      <w:lang w:eastAsia="en-GB"/>
    </w:rPr>
  </w:style>
  <w:style w:type="paragraph" w:customStyle="1" w:styleId="NumPar4">
    <w:name w:val="NumPar 4"/>
    <w:basedOn w:val="Normal"/>
    <w:next w:val="Normal"/>
    <w:rsid w:val="00940746"/>
    <w:pPr>
      <w:tabs>
        <w:tab w:val="num" w:pos="850"/>
      </w:tabs>
      <w:ind w:left="850" w:hanging="850"/>
    </w:pPr>
    <w:rPr>
      <w:rFonts w:ascii="Times New Roman" w:hAnsi="Times New Roman"/>
      <w:sz w:val="24"/>
      <w:szCs w:val="20"/>
      <w:lang w:eastAsia="en-GB"/>
    </w:rPr>
  </w:style>
  <w:style w:type="character" w:customStyle="1" w:styleId="Mention3">
    <w:name w:val="Mention3"/>
    <w:basedOn w:val="DefaultParagraphFont"/>
    <w:uiPriority w:val="99"/>
    <w:unhideWhenUsed/>
    <w:rsid w:val="007E639D"/>
    <w:rPr>
      <w:color w:val="2B579A"/>
      <w:shd w:val="clear" w:color="auto" w:fill="E1DFDD"/>
    </w:rPr>
  </w:style>
  <w:style w:type="character" w:customStyle="1" w:styleId="UnresolvedMention2">
    <w:name w:val="Unresolved Mention2"/>
    <w:basedOn w:val="DefaultParagraphFont"/>
    <w:uiPriority w:val="99"/>
    <w:semiHidden/>
    <w:unhideWhenUsed/>
    <w:rsid w:val="001B51C6"/>
    <w:rPr>
      <w:color w:val="605E5C"/>
      <w:shd w:val="clear" w:color="auto" w:fill="E1DFDD"/>
    </w:rPr>
  </w:style>
  <w:style w:type="character" w:customStyle="1" w:styleId="Mention30">
    <w:name w:val="Mention3"/>
    <w:basedOn w:val="DefaultParagraphFont"/>
    <w:uiPriority w:val="99"/>
    <w:unhideWhenUsed/>
    <w:rsid w:val="000F5488"/>
    <w:rPr>
      <w:color w:val="2B579A"/>
      <w:shd w:val="clear" w:color="auto" w:fill="E1DFDD"/>
    </w:rPr>
  </w:style>
  <w:style w:type="character" w:customStyle="1" w:styleId="UnresolvedMention20">
    <w:name w:val="Unresolved Mention2"/>
    <w:basedOn w:val="DefaultParagraphFont"/>
    <w:uiPriority w:val="99"/>
    <w:semiHidden/>
    <w:unhideWhenUsed/>
    <w:rsid w:val="000F5488"/>
    <w:rPr>
      <w:color w:val="605E5C"/>
      <w:shd w:val="clear" w:color="auto" w:fill="E1DFDD"/>
    </w:rPr>
  </w:style>
  <w:style w:type="character" w:customStyle="1" w:styleId="ui-provider">
    <w:name w:val="ui-provider"/>
    <w:basedOn w:val="DefaultParagraphFont"/>
    <w:rsid w:val="002705E0"/>
  </w:style>
  <w:style w:type="character" w:customStyle="1" w:styleId="cf01">
    <w:name w:val="cf01"/>
    <w:basedOn w:val="DefaultParagraphFont"/>
    <w:rsid w:val="007963FC"/>
    <w:rPr>
      <w:rFonts w:ascii="Segoe UI" w:hAnsi="Segoe UI" w:cs="Segoe UI" w:hint="default"/>
      <w:sz w:val="18"/>
      <w:szCs w:val="18"/>
    </w:rPr>
  </w:style>
  <w:style w:type="paragraph" w:customStyle="1" w:styleId="footnotedescription">
    <w:name w:val="footnote description"/>
    <w:next w:val="Normal"/>
    <w:link w:val="footnotedescriptionChar"/>
    <w:hidden/>
    <w:rsid w:val="00212817"/>
    <w:pPr>
      <w:spacing w:line="241" w:lineRule="auto"/>
      <w:ind w:left="144" w:right="260" w:hanging="144"/>
      <w:jc w:val="both"/>
    </w:pPr>
    <w:rPr>
      <w:rFonts w:cs="Arial"/>
      <w:color w:val="000000"/>
      <w:sz w:val="16"/>
      <w:szCs w:val="22"/>
      <w:lang w:eastAsia="es-ES" w:bidi="ar-SA"/>
    </w:rPr>
  </w:style>
  <w:style w:type="character" w:customStyle="1" w:styleId="footnotedescriptionChar">
    <w:name w:val="footnote description Char"/>
    <w:link w:val="footnotedescription"/>
    <w:rsid w:val="00212817"/>
    <w:rPr>
      <w:rFonts w:cs="Arial"/>
      <w:color w:val="000000"/>
      <w:sz w:val="16"/>
      <w:szCs w:val="22"/>
      <w:lang w:val="lv-LV" w:eastAsia="es-ES" w:bidi="ar-SA"/>
    </w:rPr>
  </w:style>
  <w:style w:type="character" w:customStyle="1" w:styleId="footnotemark">
    <w:name w:val="footnote mark"/>
    <w:hidden/>
    <w:rsid w:val="00212817"/>
    <w:rPr>
      <w:rFonts w:ascii="Arial" w:eastAsia="Arial" w:hAnsi="Arial" w:cs="Arial"/>
      <w:color w:val="000000"/>
      <w:sz w:val="20"/>
      <w:vertAlign w:val="superscript"/>
    </w:rPr>
  </w:style>
  <w:style w:type="character" w:customStyle="1" w:styleId="Mention">
    <w:name w:val="Mention"/>
    <w:basedOn w:val="DefaultParagraphFont"/>
    <w:uiPriority w:val="99"/>
    <w:unhideWhenUsed/>
    <w:rsid w:val="008A6E97"/>
    <w:rPr>
      <w:color w:val="2B579A"/>
      <w:shd w:val="clear" w:color="auto" w:fill="E1DFDD"/>
    </w:rPr>
  </w:style>
  <w:style w:type="character" w:customStyle="1" w:styleId="Marker">
    <w:name w:val="Marker"/>
    <w:basedOn w:val="DefaultParagraphFont"/>
    <w:rsid w:val="00D82419"/>
    <w:rPr>
      <w:color w:val="0000FF"/>
      <w:shd w:val="clear" w:color="auto" w:fill="auto"/>
    </w:rPr>
  </w:style>
  <w:style w:type="paragraph" w:customStyle="1" w:styleId="Pagedecouverture">
    <w:name w:val="Page de couverture"/>
    <w:basedOn w:val="Normal"/>
    <w:next w:val="Normal"/>
    <w:link w:val="PagedecouvertureChar"/>
    <w:rsid w:val="00D82419"/>
    <w:pPr>
      <w:spacing w:before="0" w:after="0"/>
    </w:pPr>
    <w:rPr>
      <w:rFonts w:ascii="Times New Roman" w:eastAsiaTheme="minorHAnsi" w:hAnsi="Times New Roman"/>
      <w:sz w:val="24"/>
      <w:szCs w:val="22"/>
    </w:rPr>
  </w:style>
  <w:style w:type="paragraph" w:customStyle="1" w:styleId="FooterCoverPage">
    <w:name w:val="Footer Cover Page"/>
    <w:basedOn w:val="Normal"/>
    <w:link w:val="FooterCoverPageChar"/>
    <w:rsid w:val="00D82419"/>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PagedecouvertureChar">
    <w:name w:val="Page de couverture Char"/>
    <w:basedOn w:val="DefaultParagraphFont"/>
    <w:link w:val="Pagedecouverture"/>
    <w:rsid w:val="00D82419"/>
    <w:rPr>
      <w:rFonts w:ascii="Times New Roman" w:eastAsiaTheme="minorHAnsi" w:hAnsi="Times New Roman"/>
      <w:sz w:val="24"/>
      <w:szCs w:val="22"/>
      <w:lang w:eastAsia="en-US" w:bidi="ar-SA"/>
    </w:rPr>
  </w:style>
  <w:style w:type="character" w:customStyle="1" w:styleId="FooterCoverPageChar">
    <w:name w:val="Footer Cover Page Char"/>
    <w:basedOn w:val="PagedecouvertureChar"/>
    <w:link w:val="FooterCoverPage"/>
    <w:rsid w:val="00D82419"/>
    <w:rPr>
      <w:rFonts w:ascii="Times New Roman" w:eastAsia="Times New Roman" w:hAnsi="Times New Roman"/>
      <w:sz w:val="24"/>
      <w:szCs w:val="24"/>
      <w:lang w:eastAsia="en-US" w:bidi="ar-SA"/>
    </w:rPr>
  </w:style>
  <w:style w:type="paragraph" w:customStyle="1" w:styleId="FooterSensitivity">
    <w:name w:val="Footer Sensitivity"/>
    <w:basedOn w:val="Normal"/>
    <w:link w:val="FooterSensitivityChar"/>
    <w:rsid w:val="00D82419"/>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basedOn w:val="PagedecouvertureChar"/>
    <w:link w:val="FooterSensitivity"/>
    <w:rsid w:val="00D82419"/>
    <w:rPr>
      <w:rFonts w:ascii="Times New Roman" w:eastAsia="Times New Roman" w:hAnsi="Times New Roman"/>
      <w:b/>
      <w:sz w:val="32"/>
      <w:szCs w:val="24"/>
      <w:lang w:eastAsia="en-US" w:bidi="ar-SA"/>
    </w:rPr>
  </w:style>
  <w:style w:type="paragraph" w:customStyle="1" w:styleId="HeaderCoverPage">
    <w:name w:val="Header Cover Page"/>
    <w:basedOn w:val="Normal"/>
    <w:link w:val="HeaderCoverPageChar"/>
    <w:rsid w:val="00D82419"/>
    <w:pPr>
      <w:tabs>
        <w:tab w:val="center" w:pos="4535"/>
        <w:tab w:val="right" w:pos="9071"/>
      </w:tabs>
      <w:spacing w:before="0"/>
    </w:pPr>
    <w:rPr>
      <w:rFonts w:ascii="Times New Roman" w:hAnsi="Times New Roman"/>
      <w:sz w:val="24"/>
    </w:rPr>
  </w:style>
  <w:style w:type="character" w:customStyle="1" w:styleId="HeaderCoverPageChar">
    <w:name w:val="Header Cover Page Char"/>
    <w:basedOn w:val="PagedecouvertureChar"/>
    <w:link w:val="HeaderCoverPage"/>
    <w:rsid w:val="00D82419"/>
    <w:rPr>
      <w:rFonts w:ascii="Times New Roman" w:eastAsia="Times New Roman" w:hAnsi="Times New Roman"/>
      <w:sz w:val="24"/>
      <w:szCs w:val="24"/>
      <w:lang w:eastAsia="en-US" w:bidi="ar-SA"/>
    </w:rPr>
  </w:style>
  <w:style w:type="paragraph" w:customStyle="1" w:styleId="HeaderSensitivity">
    <w:name w:val="Header Sensitivity"/>
    <w:basedOn w:val="Normal"/>
    <w:link w:val="HeaderSensitivityChar"/>
    <w:rsid w:val="00D82419"/>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basedOn w:val="PagedecouvertureChar"/>
    <w:link w:val="HeaderSensitivity"/>
    <w:rsid w:val="00D82419"/>
    <w:rPr>
      <w:rFonts w:ascii="Times New Roman" w:eastAsia="Times New Roman" w:hAnsi="Times New Roman"/>
      <w:b/>
      <w:sz w:val="32"/>
      <w:szCs w:val="24"/>
      <w:lang w:eastAsia="en-US" w:bidi="ar-SA"/>
    </w:rPr>
  </w:style>
  <w:style w:type="paragraph" w:customStyle="1" w:styleId="HeaderSensitivityRight">
    <w:name w:val="Header Sensitivity Right"/>
    <w:basedOn w:val="Normal"/>
    <w:link w:val="HeaderSensitivityRightChar"/>
    <w:rsid w:val="00D82419"/>
    <w:pPr>
      <w:spacing w:before="0"/>
      <w:jc w:val="right"/>
    </w:pPr>
    <w:rPr>
      <w:rFonts w:ascii="Times New Roman" w:hAnsi="Times New Roman"/>
      <w:sz w:val="28"/>
    </w:rPr>
  </w:style>
  <w:style w:type="character" w:customStyle="1" w:styleId="HeaderSensitivityRightChar">
    <w:name w:val="Header Sensitivity Right Char"/>
    <w:basedOn w:val="PagedecouvertureChar"/>
    <w:link w:val="HeaderSensitivityRight"/>
    <w:rsid w:val="00D82419"/>
    <w:rPr>
      <w:rFonts w:ascii="Times New Roman" w:eastAsia="Times New Roman" w:hAnsi="Times New Roman"/>
      <w:sz w:val="28"/>
      <w:szCs w:val="24"/>
      <w:lang w:eastAsia="en-US" w:bidi="ar-SA"/>
    </w:rPr>
  </w:style>
  <w:style w:type="character" w:customStyle="1" w:styleId="UnresolvedMention">
    <w:name w:val="Unresolved Mention"/>
    <w:basedOn w:val="DefaultParagraphFont"/>
    <w:uiPriority w:val="99"/>
    <w:semiHidden/>
    <w:unhideWhenUsed/>
    <w:rsid w:val="007171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33621892">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69496910">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282807518">
      <w:bodyDiv w:val="1"/>
      <w:marLeft w:val="0"/>
      <w:marRight w:val="0"/>
      <w:marTop w:val="0"/>
      <w:marBottom w:val="0"/>
      <w:divBdr>
        <w:top w:val="none" w:sz="0" w:space="0" w:color="auto"/>
        <w:left w:val="none" w:sz="0" w:space="0" w:color="auto"/>
        <w:bottom w:val="none" w:sz="0" w:space="0" w:color="auto"/>
        <w:right w:val="none" w:sz="0" w:space="0" w:color="auto"/>
      </w:divBdr>
    </w:div>
    <w:div w:id="1349869843">
      <w:bodyDiv w:val="1"/>
      <w:marLeft w:val="0"/>
      <w:marRight w:val="0"/>
      <w:marTop w:val="0"/>
      <w:marBottom w:val="0"/>
      <w:divBdr>
        <w:top w:val="none" w:sz="0" w:space="0" w:color="auto"/>
        <w:left w:val="none" w:sz="0" w:space="0" w:color="auto"/>
        <w:bottom w:val="none" w:sz="0" w:space="0" w:color="auto"/>
        <w:right w:val="none" w:sz="0" w:space="0" w:color="auto"/>
      </w:divBdr>
    </w:div>
    <w:div w:id="1352951290">
      <w:bodyDiv w:val="1"/>
      <w:marLeft w:val="0"/>
      <w:marRight w:val="0"/>
      <w:marTop w:val="0"/>
      <w:marBottom w:val="0"/>
      <w:divBdr>
        <w:top w:val="none" w:sz="0" w:space="0" w:color="auto"/>
        <w:left w:val="none" w:sz="0" w:space="0" w:color="auto"/>
        <w:bottom w:val="none" w:sz="0" w:space="0" w:color="auto"/>
        <w:right w:val="none" w:sz="0" w:space="0" w:color="auto"/>
      </w:divBdr>
    </w:div>
    <w:div w:id="1663463802">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1891187645">
      <w:bodyDiv w:val="1"/>
      <w:marLeft w:val="0"/>
      <w:marRight w:val="0"/>
      <w:marTop w:val="0"/>
      <w:marBottom w:val="0"/>
      <w:divBdr>
        <w:top w:val="none" w:sz="0" w:space="0" w:color="auto"/>
        <w:left w:val="none" w:sz="0" w:space="0" w:color="auto"/>
        <w:bottom w:val="none" w:sz="0" w:space="0" w:color="auto"/>
        <w:right w:val="none" w:sz="0" w:space="0" w:color="auto"/>
      </w:divBdr>
    </w:div>
    <w:div w:id="1999115281">
      <w:bodyDiv w:val="1"/>
      <w:marLeft w:val="0"/>
      <w:marRight w:val="0"/>
      <w:marTop w:val="0"/>
      <w:marBottom w:val="0"/>
      <w:divBdr>
        <w:top w:val="none" w:sz="0" w:space="0" w:color="auto"/>
        <w:left w:val="none" w:sz="0" w:space="0" w:color="auto"/>
        <w:bottom w:val="none" w:sz="0" w:space="0" w:color="auto"/>
        <w:right w:val="none" w:sz="0" w:space="0" w:color="auto"/>
      </w:divBdr>
      <w:divsChild>
        <w:div w:id="146216544">
          <w:marLeft w:val="0"/>
          <w:marRight w:val="0"/>
          <w:marTop w:val="0"/>
          <w:marBottom w:val="0"/>
          <w:divBdr>
            <w:top w:val="none" w:sz="0" w:space="0" w:color="auto"/>
            <w:left w:val="none" w:sz="0" w:space="0" w:color="auto"/>
            <w:bottom w:val="none" w:sz="0" w:space="0" w:color="auto"/>
            <w:right w:val="none" w:sz="0" w:space="0" w:color="auto"/>
          </w:divBdr>
          <w:divsChild>
            <w:div w:id="1498617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568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DocumentLanguage xmlns="39d607b5-3019-4139-86e9-2e131faaffa8">EN</EC_Collab_DocumentLanguage>
    <_Status xmlns="http://schemas.microsoft.com/sharepoint/v3/fields">Not Started</_Status>
    <EC_Collab_Reference xmlns="39d607b5-3019-4139-86e9-2e131faaffa8">-</EC_Collab_Refere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33285A78CCB54F4DA2ECE5FA2B2AF218" ma:contentTypeVersion="2" ma:contentTypeDescription="Create a new document in this library." ma:contentTypeScope="" ma:versionID="75423994a2259ac637dc03e8133cded3">
  <xsd:schema xmlns:xsd="http://www.w3.org/2001/XMLSchema" xmlns:xs="http://www.w3.org/2001/XMLSchema" xmlns:p="http://schemas.microsoft.com/office/2006/metadata/properties" xmlns:ns2="http://schemas.microsoft.com/sharepoint/v3/fields" xmlns:ns3="39d607b5-3019-4139-86e9-2e131faaffa8" xmlns:ns4="379e0a09-5deb-44c7-a703-b352a170740d" targetNamespace="http://schemas.microsoft.com/office/2006/metadata/properties" ma:root="true" ma:fieldsID="7f417d262b26c14067de857753d6d876" ns2:_="" ns3:_="" ns4:_="">
    <xsd:import namespace="http://schemas.microsoft.com/sharepoint/v3/fields"/>
    <xsd:import namespace="39d607b5-3019-4139-86e9-2e131faaffa8"/>
    <xsd:import namespace="379e0a09-5deb-44c7-a703-b352a170740d"/>
    <xsd:element name="properties">
      <xsd:complexType>
        <xsd:sequence>
          <xsd:element name="documentManagement">
            <xsd:complexType>
              <xsd:all>
                <xsd:element ref="ns3:EC_Collab_Reference" minOccurs="0"/>
                <xsd:element ref="ns2:_Status" minOccurs="0"/>
                <xsd:element ref="ns3:EC_Collab_DocumentLanguage"/>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39d607b5-3019-4139-86e9-2e131faaffa8"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schema>
  <xsd:schema xmlns:xsd="http://www.w3.org/2001/XMLSchema" xmlns:xs="http://www.w3.org/2001/XMLSchema" xmlns:dms="http://schemas.microsoft.com/office/2006/documentManagement/types" xmlns:pc="http://schemas.microsoft.com/office/infopath/2007/PartnerControls" targetNamespace="379e0a09-5deb-44c7-a703-b352a170740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206DDB-9395-42E0-8E2D-12A408D4D072}">
  <ds:schemaRefs>
    <ds:schemaRef ds:uri="http://schemas.microsoft.com/office/2006/metadata/properties"/>
    <ds:schemaRef ds:uri="http://schemas.microsoft.com/office/infopath/2007/PartnerControls"/>
    <ds:schemaRef ds:uri="39d607b5-3019-4139-86e9-2e131faaffa8"/>
    <ds:schemaRef ds:uri="http://schemas.microsoft.com/sharepoint/v3/fields"/>
  </ds:schemaRefs>
</ds:datastoreItem>
</file>

<file path=customXml/itemProps2.xml><?xml version="1.0" encoding="utf-8"?>
<ds:datastoreItem xmlns:ds="http://schemas.openxmlformats.org/officeDocument/2006/customXml" ds:itemID="{DBABC3CB-892C-4F62-BA8D-4EC5D06FF4DB}">
  <ds:schemaRefs>
    <ds:schemaRef ds:uri="http://schemas.microsoft.com/sharepoint/v3/contenttype/forms"/>
  </ds:schemaRefs>
</ds:datastoreItem>
</file>

<file path=customXml/itemProps3.xml><?xml version="1.0" encoding="utf-8"?>
<ds:datastoreItem xmlns:ds="http://schemas.openxmlformats.org/officeDocument/2006/customXml" ds:itemID="{BD231E69-C26A-4435-8485-4C4CA54259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39d607b5-3019-4139-86e9-2e131faaffa8"/>
    <ds:schemaRef ds:uri="379e0a09-5deb-44c7-a703-b352a17074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188587-89A7-4ED7-97A8-48F5628D1357}">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31</TotalTime>
  <Pages>7</Pages>
  <Words>10314</Words>
  <Characters>58791</Characters>
  <Application>Microsoft Office Word</Application>
  <DocSecurity>0</DocSecurity>
  <Lines>489</Lines>
  <Paragraphs>137</Paragraphs>
  <ScaleCrop>false</ScaleCrop>
  <HeadingPairs>
    <vt:vector size="10" baseType="variant">
      <vt:variant>
        <vt:lpstr>Title</vt:lpstr>
      </vt:variant>
      <vt:variant>
        <vt:i4>1</vt:i4>
      </vt:variant>
      <vt:variant>
        <vt:lpstr>Titolo</vt:lpstr>
      </vt:variant>
      <vt:variant>
        <vt:i4>1</vt:i4>
      </vt:variant>
      <vt:variant>
        <vt:lpstr>Titel</vt:lpstr>
      </vt:variant>
      <vt:variant>
        <vt:i4>1</vt:i4>
      </vt:variant>
      <vt:variant>
        <vt:lpstr>Naslov</vt:lpstr>
      </vt:variant>
      <vt:variant>
        <vt:i4>1</vt:i4>
      </vt:variant>
      <vt:variant>
        <vt:lpstr>Título</vt:lpstr>
      </vt:variant>
      <vt:variant>
        <vt:i4>1</vt:i4>
      </vt:variant>
    </vt:vector>
  </HeadingPairs>
  <TitlesOfParts>
    <vt:vector size="5" baseType="lpstr">
      <vt:lpstr/>
      <vt:lpstr/>
      <vt:lpstr/>
      <vt:lpstr/>
      <vt:lpstr/>
    </vt:vector>
  </TitlesOfParts>
  <Company/>
  <LinksUpToDate>false</LinksUpToDate>
  <CharactersWithSpaces>68968</CharactersWithSpaces>
  <SharedDoc>false</SharedDoc>
  <HLinks>
    <vt:vector size="318" baseType="variant">
      <vt:variant>
        <vt:i4>1835062</vt:i4>
      </vt:variant>
      <vt:variant>
        <vt:i4>140</vt:i4>
      </vt:variant>
      <vt:variant>
        <vt:i4>0</vt:i4>
      </vt:variant>
      <vt:variant>
        <vt:i4>5</vt:i4>
      </vt:variant>
      <vt:variant>
        <vt:lpwstr/>
      </vt:variant>
      <vt:variant>
        <vt:lpwstr>_Toc139897778</vt:lpwstr>
      </vt:variant>
      <vt:variant>
        <vt:i4>1835062</vt:i4>
      </vt:variant>
      <vt:variant>
        <vt:i4>134</vt:i4>
      </vt:variant>
      <vt:variant>
        <vt:i4>0</vt:i4>
      </vt:variant>
      <vt:variant>
        <vt:i4>5</vt:i4>
      </vt:variant>
      <vt:variant>
        <vt:lpwstr/>
      </vt:variant>
      <vt:variant>
        <vt:lpwstr>_Toc139897777</vt:lpwstr>
      </vt:variant>
      <vt:variant>
        <vt:i4>1835062</vt:i4>
      </vt:variant>
      <vt:variant>
        <vt:i4>128</vt:i4>
      </vt:variant>
      <vt:variant>
        <vt:i4>0</vt:i4>
      </vt:variant>
      <vt:variant>
        <vt:i4>5</vt:i4>
      </vt:variant>
      <vt:variant>
        <vt:lpwstr/>
      </vt:variant>
      <vt:variant>
        <vt:lpwstr>_Toc139897776</vt:lpwstr>
      </vt:variant>
      <vt:variant>
        <vt:i4>1835062</vt:i4>
      </vt:variant>
      <vt:variant>
        <vt:i4>122</vt:i4>
      </vt:variant>
      <vt:variant>
        <vt:i4>0</vt:i4>
      </vt:variant>
      <vt:variant>
        <vt:i4>5</vt:i4>
      </vt:variant>
      <vt:variant>
        <vt:lpwstr/>
      </vt:variant>
      <vt:variant>
        <vt:lpwstr>_Toc139897775</vt:lpwstr>
      </vt:variant>
      <vt:variant>
        <vt:i4>1835062</vt:i4>
      </vt:variant>
      <vt:variant>
        <vt:i4>116</vt:i4>
      </vt:variant>
      <vt:variant>
        <vt:i4>0</vt:i4>
      </vt:variant>
      <vt:variant>
        <vt:i4>5</vt:i4>
      </vt:variant>
      <vt:variant>
        <vt:lpwstr/>
      </vt:variant>
      <vt:variant>
        <vt:lpwstr>_Toc139897774</vt:lpwstr>
      </vt:variant>
      <vt:variant>
        <vt:i4>1835062</vt:i4>
      </vt:variant>
      <vt:variant>
        <vt:i4>110</vt:i4>
      </vt:variant>
      <vt:variant>
        <vt:i4>0</vt:i4>
      </vt:variant>
      <vt:variant>
        <vt:i4>5</vt:i4>
      </vt:variant>
      <vt:variant>
        <vt:lpwstr/>
      </vt:variant>
      <vt:variant>
        <vt:lpwstr>_Toc139897773</vt:lpwstr>
      </vt:variant>
      <vt:variant>
        <vt:i4>1835062</vt:i4>
      </vt:variant>
      <vt:variant>
        <vt:i4>104</vt:i4>
      </vt:variant>
      <vt:variant>
        <vt:i4>0</vt:i4>
      </vt:variant>
      <vt:variant>
        <vt:i4>5</vt:i4>
      </vt:variant>
      <vt:variant>
        <vt:lpwstr/>
      </vt:variant>
      <vt:variant>
        <vt:lpwstr>_Toc139897772</vt:lpwstr>
      </vt:variant>
      <vt:variant>
        <vt:i4>1835062</vt:i4>
      </vt:variant>
      <vt:variant>
        <vt:i4>98</vt:i4>
      </vt:variant>
      <vt:variant>
        <vt:i4>0</vt:i4>
      </vt:variant>
      <vt:variant>
        <vt:i4>5</vt:i4>
      </vt:variant>
      <vt:variant>
        <vt:lpwstr/>
      </vt:variant>
      <vt:variant>
        <vt:lpwstr>_Toc139897771</vt:lpwstr>
      </vt:variant>
      <vt:variant>
        <vt:i4>1835062</vt:i4>
      </vt:variant>
      <vt:variant>
        <vt:i4>92</vt:i4>
      </vt:variant>
      <vt:variant>
        <vt:i4>0</vt:i4>
      </vt:variant>
      <vt:variant>
        <vt:i4>5</vt:i4>
      </vt:variant>
      <vt:variant>
        <vt:lpwstr/>
      </vt:variant>
      <vt:variant>
        <vt:lpwstr>_Toc139897770</vt:lpwstr>
      </vt:variant>
      <vt:variant>
        <vt:i4>1900598</vt:i4>
      </vt:variant>
      <vt:variant>
        <vt:i4>86</vt:i4>
      </vt:variant>
      <vt:variant>
        <vt:i4>0</vt:i4>
      </vt:variant>
      <vt:variant>
        <vt:i4>5</vt:i4>
      </vt:variant>
      <vt:variant>
        <vt:lpwstr/>
      </vt:variant>
      <vt:variant>
        <vt:lpwstr>_Toc139897769</vt:lpwstr>
      </vt:variant>
      <vt:variant>
        <vt:i4>1900598</vt:i4>
      </vt:variant>
      <vt:variant>
        <vt:i4>80</vt:i4>
      </vt:variant>
      <vt:variant>
        <vt:i4>0</vt:i4>
      </vt:variant>
      <vt:variant>
        <vt:i4>5</vt:i4>
      </vt:variant>
      <vt:variant>
        <vt:lpwstr/>
      </vt:variant>
      <vt:variant>
        <vt:lpwstr>_Toc139897768</vt:lpwstr>
      </vt:variant>
      <vt:variant>
        <vt:i4>1900598</vt:i4>
      </vt:variant>
      <vt:variant>
        <vt:i4>74</vt:i4>
      </vt:variant>
      <vt:variant>
        <vt:i4>0</vt:i4>
      </vt:variant>
      <vt:variant>
        <vt:i4>5</vt:i4>
      </vt:variant>
      <vt:variant>
        <vt:lpwstr/>
      </vt:variant>
      <vt:variant>
        <vt:lpwstr>_Toc139897767</vt:lpwstr>
      </vt:variant>
      <vt:variant>
        <vt:i4>1900598</vt:i4>
      </vt:variant>
      <vt:variant>
        <vt:i4>68</vt:i4>
      </vt:variant>
      <vt:variant>
        <vt:i4>0</vt:i4>
      </vt:variant>
      <vt:variant>
        <vt:i4>5</vt:i4>
      </vt:variant>
      <vt:variant>
        <vt:lpwstr/>
      </vt:variant>
      <vt:variant>
        <vt:lpwstr>_Toc139897766</vt:lpwstr>
      </vt:variant>
      <vt:variant>
        <vt:i4>1900598</vt:i4>
      </vt:variant>
      <vt:variant>
        <vt:i4>62</vt:i4>
      </vt:variant>
      <vt:variant>
        <vt:i4>0</vt:i4>
      </vt:variant>
      <vt:variant>
        <vt:i4>5</vt:i4>
      </vt:variant>
      <vt:variant>
        <vt:lpwstr/>
      </vt:variant>
      <vt:variant>
        <vt:lpwstr>_Toc139897765</vt:lpwstr>
      </vt:variant>
      <vt:variant>
        <vt:i4>1900598</vt:i4>
      </vt:variant>
      <vt:variant>
        <vt:i4>56</vt:i4>
      </vt:variant>
      <vt:variant>
        <vt:i4>0</vt:i4>
      </vt:variant>
      <vt:variant>
        <vt:i4>5</vt:i4>
      </vt:variant>
      <vt:variant>
        <vt:lpwstr/>
      </vt:variant>
      <vt:variant>
        <vt:lpwstr>_Toc139897764</vt:lpwstr>
      </vt:variant>
      <vt:variant>
        <vt:i4>1900598</vt:i4>
      </vt:variant>
      <vt:variant>
        <vt:i4>50</vt:i4>
      </vt:variant>
      <vt:variant>
        <vt:i4>0</vt:i4>
      </vt:variant>
      <vt:variant>
        <vt:i4>5</vt:i4>
      </vt:variant>
      <vt:variant>
        <vt:lpwstr/>
      </vt:variant>
      <vt:variant>
        <vt:lpwstr>_Toc139897763</vt:lpwstr>
      </vt:variant>
      <vt:variant>
        <vt:i4>1900598</vt:i4>
      </vt:variant>
      <vt:variant>
        <vt:i4>44</vt:i4>
      </vt:variant>
      <vt:variant>
        <vt:i4>0</vt:i4>
      </vt:variant>
      <vt:variant>
        <vt:i4>5</vt:i4>
      </vt:variant>
      <vt:variant>
        <vt:lpwstr/>
      </vt:variant>
      <vt:variant>
        <vt:lpwstr>_Toc139897762</vt:lpwstr>
      </vt:variant>
      <vt:variant>
        <vt:i4>1900598</vt:i4>
      </vt:variant>
      <vt:variant>
        <vt:i4>38</vt:i4>
      </vt:variant>
      <vt:variant>
        <vt:i4>0</vt:i4>
      </vt:variant>
      <vt:variant>
        <vt:i4>5</vt:i4>
      </vt:variant>
      <vt:variant>
        <vt:lpwstr/>
      </vt:variant>
      <vt:variant>
        <vt:lpwstr>_Toc139897761</vt:lpwstr>
      </vt:variant>
      <vt:variant>
        <vt:i4>1900598</vt:i4>
      </vt:variant>
      <vt:variant>
        <vt:i4>32</vt:i4>
      </vt:variant>
      <vt:variant>
        <vt:i4>0</vt:i4>
      </vt:variant>
      <vt:variant>
        <vt:i4>5</vt:i4>
      </vt:variant>
      <vt:variant>
        <vt:lpwstr/>
      </vt:variant>
      <vt:variant>
        <vt:lpwstr>_Toc139897760</vt:lpwstr>
      </vt:variant>
      <vt:variant>
        <vt:i4>1966134</vt:i4>
      </vt:variant>
      <vt:variant>
        <vt:i4>26</vt:i4>
      </vt:variant>
      <vt:variant>
        <vt:i4>0</vt:i4>
      </vt:variant>
      <vt:variant>
        <vt:i4>5</vt:i4>
      </vt:variant>
      <vt:variant>
        <vt:lpwstr/>
      </vt:variant>
      <vt:variant>
        <vt:lpwstr>_Toc139897759</vt:lpwstr>
      </vt:variant>
      <vt:variant>
        <vt:i4>1966134</vt:i4>
      </vt:variant>
      <vt:variant>
        <vt:i4>20</vt:i4>
      </vt:variant>
      <vt:variant>
        <vt:i4>0</vt:i4>
      </vt:variant>
      <vt:variant>
        <vt:i4>5</vt:i4>
      </vt:variant>
      <vt:variant>
        <vt:lpwstr/>
      </vt:variant>
      <vt:variant>
        <vt:lpwstr>_Toc139897758</vt:lpwstr>
      </vt:variant>
      <vt:variant>
        <vt:i4>1966134</vt:i4>
      </vt:variant>
      <vt:variant>
        <vt:i4>14</vt:i4>
      </vt:variant>
      <vt:variant>
        <vt:i4>0</vt:i4>
      </vt:variant>
      <vt:variant>
        <vt:i4>5</vt:i4>
      </vt:variant>
      <vt:variant>
        <vt:lpwstr/>
      </vt:variant>
      <vt:variant>
        <vt:lpwstr>_Toc139897757</vt:lpwstr>
      </vt:variant>
      <vt:variant>
        <vt:i4>1966134</vt:i4>
      </vt:variant>
      <vt:variant>
        <vt:i4>8</vt:i4>
      </vt:variant>
      <vt:variant>
        <vt:i4>0</vt:i4>
      </vt:variant>
      <vt:variant>
        <vt:i4>5</vt:i4>
      </vt:variant>
      <vt:variant>
        <vt:lpwstr/>
      </vt:variant>
      <vt:variant>
        <vt:lpwstr>_Toc139897756</vt:lpwstr>
      </vt:variant>
      <vt:variant>
        <vt:i4>1966134</vt:i4>
      </vt:variant>
      <vt:variant>
        <vt:i4>2</vt:i4>
      </vt:variant>
      <vt:variant>
        <vt:i4>0</vt:i4>
      </vt:variant>
      <vt:variant>
        <vt:i4>5</vt:i4>
      </vt:variant>
      <vt:variant>
        <vt:lpwstr/>
      </vt:variant>
      <vt:variant>
        <vt:lpwstr>_Toc139897755</vt:lpwstr>
      </vt:variant>
      <vt:variant>
        <vt:i4>5177399</vt:i4>
      </vt:variant>
      <vt:variant>
        <vt:i4>6</vt:i4>
      </vt:variant>
      <vt:variant>
        <vt:i4>0</vt:i4>
      </vt:variant>
      <vt:variant>
        <vt:i4>5</vt:i4>
      </vt:variant>
      <vt:variant>
        <vt:lpwstr>https://www.eba.europa.eu/sites/default/documents/files/document_library/Publications/Draft Technical Standards/2022/EBA-RTS-2022-09 RTS on SA/1041755/Final draft RTS on SA.pdf</vt:lpwstr>
      </vt:variant>
      <vt:variant>
        <vt:lpwstr/>
      </vt:variant>
      <vt:variant>
        <vt:i4>5177399</vt:i4>
      </vt:variant>
      <vt:variant>
        <vt:i4>3</vt:i4>
      </vt:variant>
      <vt:variant>
        <vt:i4>0</vt:i4>
      </vt:variant>
      <vt:variant>
        <vt:i4>5</vt:i4>
      </vt:variant>
      <vt:variant>
        <vt:lpwstr>https://www.eba.europa.eu/sites/default/documents/files/document_library/Publications/Draft Technical Standards/2022/EBA-RTS-2022-09 RTS on SA/1041755/Final draft RTS on SA.pdf</vt:lpwstr>
      </vt:variant>
      <vt:variant>
        <vt:lpwstr/>
      </vt:variant>
      <vt:variant>
        <vt:i4>4522038</vt:i4>
      </vt:variant>
      <vt:variant>
        <vt:i4>0</vt:i4>
      </vt:variant>
      <vt:variant>
        <vt:i4>0</vt:i4>
      </vt:variant>
      <vt:variant>
        <vt:i4>5</vt:i4>
      </vt:variant>
      <vt:variant>
        <vt:lpwstr>https://www.eba.europa.eu/sites/default/documents/files/document_library/Publications/Draft Technical Standards/2022/EBA-RTS-2022-10 RTS on SOTs/1041756/Final draft RTS on SOTs.pdf</vt:lpwstr>
      </vt:variant>
      <vt:variant>
        <vt:lpwstr/>
      </vt:variant>
      <vt:variant>
        <vt:i4>3473436</vt:i4>
      </vt:variant>
      <vt:variant>
        <vt:i4>75</vt:i4>
      </vt:variant>
      <vt:variant>
        <vt:i4>0</vt:i4>
      </vt:variant>
      <vt:variant>
        <vt:i4>5</vt:i4>
      </vt:variant>
      <vt:variant>
        <vt:lpwstr>mailto:Davide.Vioto@eba.europa.eu</vt:lpwstr>
      </vt:variant>
      <vt:variant>
        <vt:lpwstr/>
      </vt:variant>
      <vt:variant>
        <vt:i4>3473436</vt:i4>
      </vt:variant>
      <vt:variant>
        <vt:i4>72</vt:i4>
      </vt:variant>
      <vt:variant>
        <vt:i4>0</vt:i4>
      </vt:variant>
      <vt:variant>
        <vt:i4>5</vt:i4>
      </vt:variant>
      <vt:variant>
        <vt:lpwstr>mailto:Davide.Vioto@eba.europa.eu</vt:lpwstr>
      </vt:variant>
      <vt:variant>
        <vt:lpwstr/>
      </vt:variant>
      <vt:variant>
        <vt:i4>3801093</vt:i4>
      </vt:variant>
      <vt:variant>
        <vt:i4>69</vt:i4>
      </vt:variant>
      <vt:variant>
        <vt:i4>0</vt:i4>
      </vt:variant>
      <vt:variant>
        <vt:i4>5</vt:i4>
      </vt:variant>
      <vt:variant>
        <vt:lpwstr>mailto:Teresa.Bento@eba.europa.eu</vt:lpwstr>
      </vt:variant>
      <vt:variant>
        <vt:lpwstr/>
      </vt:variant>
      <vt:variant>
        <vt:i4>3473436</vt:i4>
      </vt:variant>
      <vt:variant>
        <vt:i4>66</vt:i4>
      </vt:variant>
      <vt:variant>
        <vt:i4>0</vt:i4>
      </vt:variant>
      <vt:variant>
        <vt:i4>5</vt:i4>
      </vt:variant>
      <vt:variant>
        <vt:lpwstr>mailto:Davide.Vioto@eba.europa.eu</vt:lpwstr>
      </vt:variant>
      <vt:variant>
        <vt:lpwstr/>
      </vt:variant>
      <vt:variant>
        <vt:i4>3473436</vt:i4>
      </vt:variant>
      <vt:variant>
        <vt:i4>63</vt:i4>
      </vt:variant>
      <vt:variant>
        <vt:i4>0</vt:i4>
      </vt:variant>
      <vt:variant>
        <vt:i4>5</vt:i4>
      </vt:variant>
      <vt:variant>
        <vt:lpwstr>mailto:Davide.Vioto@eba.europa.eu</vt:lpwstr>
      </vt:variant>
      <vt:variant>
        <vt:lpwstr/>
      </vt:variant>
      <vt:variant>
        <vt:i4>3473436</vt:i4>
      </vt:variant>
      <vt:variant>
        <vt:i4>60</vt:i4>
      </vt:variant>
      <vt:variant>
        <vt:i4>0</vt:i4>
      </vt:variant>
      <vt:variant>
        <vt:i4>5</vt:i4>
      </vt:variant>
      <vt:variant>
        <vt:lpwstr>mailto:Davide.Vioto@eba.europa.eu</vt:lpwstr>
      </vt:variant>
      <vt:variant>
        <vt:lpwstr/>
      </vt:variant>
      <vt:variant>
        <vt:i4>3473436</vt:i4>
      </vt:variant>
      <vt:variant>
        <vt:i4>57</vt:i4>
      </vt:variant>
      <vt:variant>
        <vt:i4>0</vt:i4>
      </vt:variant>
      <vt:variant>
        <vt:i4>5</vt:i4>
      </vt:variant>
      <vt:variant>
        <vt:lpwstr>mailto:Davide.Vioto@eba.europa.eu</vt:lpwstr>
      </vt:variant>
      <vt:variant>
        <vt:lpwstr/>
      </vt:variant>
      <vt:variant>
        <vt:i4>3473436</vt:i4>
      </vt:variant>
      <vt:variant>
        <vt:i4>54</vt:i4>
      </vt:variant>
      <vt:variant>
        <vt:i4>0</vt:i4>
      </vt:variant>
      <vt:variant>
        <vt:i4>5</vt:i4>
      </vt:variant>
      <vt:variant>
        <vt:lpwstr>mailto:Davide.Vioto@eba.europa.eu</vt:lpwstr>
      </vt:variant>
      <vt:variant>
        <vt:lpwstr/>
      </vt:variant>
      <vt:variant>
        <vt:i4>3473436</vt:i4>
      </vt:variant>
      <vt:variant>
        <vt:i4>51</vt:i4>
      </vt:variant>
      <vt:variant>
        <vt:i4>0</vt:i4>
      </vt:variant>
      <vt:variant>
        <vt:i4>5</vt:i4>
      </vt:variant>
      <vt:variant>
        <vt:lpwstr>mailto:Davide.Vioto@eba.europa.eu</vt:lpwstr>
      </vt:variant>
      <vt:variant>
        <vt:lpwstr/>
      </vt:variant>
      <vt:variant>
        <vt:i4>3473436</vt:i4>
      </vt:variant>
      <vt:variant>
        <vt:i4>48</vt:i4>
      </vt:variant>
      <vt:variant>
        <vt:i4>0</vt:i4>
      </vt:variant>
      <vt:variant>
        <vt:i4>5</vt:i4>
      </vt:variant>
      <vt:variant>
        <vt:lpwstr>mailto:Davide.Vioto@eba.europa.eu</vt:lpwstr>
      </vt:variant>
      <vt:variant>
        <vt:lpwstr/>
      </vt:variant>
      <vt:variant>
        <vt:i4>3473436</vt:i4>
      </vt:variant>
      <vt:variant>
        <vt:i4>45</vt:i4>
      </vt:variant>
      <vt:variant>
        <vt:i4>0</vt:i4>
      </vt:variant>
      <vt:variant>
        <vt:i4>5</vt:i4>
      </vt:variant>
      <vt:variant>
        <vt:lpwstr>mailto:Davide.Vioto@eba.europa.eu</vt:lpwstr>
      </vt:variant>
      <vt:variant>
        <vt:lpwstr/>
      </vt:variant>
      <vt:variant>
        <vt:i4>3473436</vt:i4>
      </vt:variant>
      <vt:variant>
        <vt:i4>42</vt:i4>
      </vt:variant>
      <vt:variant>
        <vt:i4>0</vt:i4>
      </vt:variant>
      <vt:variant>
        <vt:i4>5</vt:i4>
      </vt:variant>
      <vt:variant>
        <vt:lpwstr>mailto:Davide.Vioto@eba.europa.eu</vt:lpwstr>
      </vt:variant>
      <vt:variant>
        <vt:lpwstr/>
      </vt:variant>
      <vt:variant>
        <vt:i4>3473436</vt:i4>
      </vt:variant>
      <vt:variant>
        <vt:i4>39</vt:i4>
      </vt:variant>
      <vt:variant>
        <vt:i4>0</vt:i4>
      </vt:variant>
      <vt:variant>
        <vt:i4>5</vt:i4>
      </vt:variant>
      <vt:variant>
        <vt:lpwstr>mailto:Davide.Vioto@eba.europa.eu</vt:lpwstr>
      </vt:variant>
      <vt:variant>
        <vt:lpwstr/>
      </vt:variant>
      <vt:variant>
        <vt:i4>3473436</vt:i4>
      </vt:variant>
      <vt:variant>
        <vt:i4>36</vt:i4>
      </vt:variant>
      <vt:variant>
        <vt:i4>0</vt:i4>
      </vt:variant>
      <vt:variant>
        <vt:i4>5</vt:i4>
      </vt:variant>
      <vt:variant>
        <vt:lpwstr>mailto:Davide.Vioto@eba.europa.eu</vt:lpwstr>
      </vt:variant>
      <vt:variant>
        <vt:lpwstr/>
      </vt:variant>
      <vt:variant>
        <vt:i4>3473436</vt:i4>
      </vt:variant>
      <vt:variant>
        <vt:i4>33</vt:i4>
      </vt:variant>
      <vt:variant>
        <vt:i4>0</vt:i4>
      </vt:variant>
      <vt:variant>
        <vt:i4>5</vt:i4>
      </vt:variant>
      <vt:variant>
        <vt:lpwstr>mailto:Davide.Vioto@eba.europa.eu</vt:lpwstr>
      </vt:variant>
      <vt:variant>
        <vt:lpwstr/>
      </vt:variant>
      <vt:variant>
        <vt:i4>8060994</vt:i4>
      </vt:variant>
      <vt:variant>
        <vt:i4>30</vt:i4>
      </vt:variant>
      <vt:variant>
        <vt:i4>0</vt:i4>
      </vt:variant>
      <vt:variant>
        <vt:i4>5</vt:i4>
      </vt:variant>
      <vt:variant>
        <vt:lpwstr>mailto:Jorge.Rivero@eba.europa.eu</vt:lpwstr>
      </vt:variant>
      <vt:variant>
        <vt:lpwstr/>
      </vt:variant>
      <vt:variant>
        <vt:i4>3473436</vt:i4>
      </vt:variant>
      <vt:variant>
        <vt:i4>27</vt:i4>
      </vt:variant>
      <vt:variant>
        <vt:i4>0</vt:i4>
      </vt:variant>
      <vt:variant>
        <vt:i4>5</vt:i4>
      </vt:variant>
      <vt:variant>
        <vt:lpwstr>mailto:Davide.Vioto@eba.europa.eu</vt:lpwstr>
      </vt:variant>
      <vt:variant>
        <vt:lpwstr/>
      </vt:variant>
      <vt:variant>
        <vt:i4>3473436</vt:i4>
      </vt:variant>
      <vt:variant>
        <vt:i4>24</vt:i4>
      </vt:variant>
      <vt:variant>
        <vt:i4>0</vt:i4>
      </vt:variant>
      <vt:variant>
        <vt:i4>5</vt:i4>
      </vt:variant>
      <vt:variant>
        <vt:lpwstr>mailto:Davide.Vioto@eba.europa.eu</vt:lpwstr>
      </vt:variant>
      <vt:variant>
        <vt:lpwstr/>
      </vt:variant>
      <vt:variant>
        <vt:i4>3473436</vt:i4>
      </vt:variant>
      <vt:variant>
        <vt:i4>21</vt:i4>
      </vt:variant>
      <vt:variant>
        <vt:i4>0</vt:i4>
      </vt:variant>
      <vt:variant>
        <vt:i4>5</vt:i4>
      </vt:variant>
      <vt:variant>
        <vt:lpwstr>mailto:Davide.Vioto@eba.europa.eu</vt:lpwstr>
      </vt:variant>
      <vt:variant>
        <vt:lpwstr/>
      </vt:variant>
      <vt:variant>
        <vt:i4>3473436</vt:i4>
      </vt:variant>
      <vt:variant>
        <vt:i4>18</vt:i4>
      </vt:variant>
      <vt:variant>
        <vt:i4>0</vt:i4>
      </vt:variant>
      <vt:variant>
        <vt:i4>5</vt:i4>
      </vt:variant>
      <vt:variant>
        <vt:lpwstr>mailto:Davide.Vioto@eba.europa.eu</vt:lpwstr>
      </vt:variant>
      <vt:variant>
        <vt:lpwstr/>
      </vt:variant>
      <vt:variant>
        <vt:i4>3801093</vt:i4>
      </vt:variant>
      <vt:variant>
        <vt:i4>15</vt:i4>
      </vt:variant>
      <vt:variant>
        <vt:i4>0</vt:i4>
      </vt:variant>
      <vt:variant>
        <vt:i4>5</vt:i4>
      </vt:variant>
      <vt:variant>
        <vt:lpwstr>mailto:Teresa.Bento@eba.europa.eu</vt:lpwstr>
      </vt:variant>
      <vt:variant>
        <vt:lpwstr/>
      </vt:variant>
      <vt:variant>
        <vt:i4>3473436</vt:i4>
      </vt:variant>
      <vt:variant>
        <vt:i4>12</vt:i4>
      </vt:variant>
      <vt:variant>
        <vt:i4>0</vt:i4>
      </vt:variant>
      <vt:variant>
        <vt:i4>5</vt:i4>
      </vt:variant>
      <vt:variant>
        <vt:lpwstr>mailto:Davide.Vioto@eba.europa.eu</vt:lpwstr>
      </vt:variant>
      <vt:variant>
        <vt:lpwstr/>
      </vt:variant>
      <vt:variant>
        <vt:i4>3801093</vt:i4>
      </vt:variant>
      <vt:variant>
        <vt:i4>9</vt:i4>
      </vt:variant>
      <vt:variant>
        <vt:i4>0</vt:i4>
      </vt:variant>
      <vt:variant>
        <vt:i4>5</vt:i4>
      </vt:variant>
      <vt:variant>
        <vt:lpwstr>mailto:Teresa.Bento@eba.europa.eu</vt:lpwstr>
      </vt:variant>
      <vt:variant>
        <vt:lpwstr/>
      </vt:variant>
      <vt:variant>
        <vt:i4>3473436</vt:i4>
      </vt:variant>
      <vt:variant>
        <vt:i4>6</vt:i4>
      </vt:variant>
      <vt:variant>
        <vt:i4>0</vt:i4>
      </vt:variant>
      <vt:variant>
        <vt:i4>5</vt:i4>
      </vt:variant>
      <vt:variant>
        <vt:lpwstr>mailto:Davide.Vioto@eba.europa.eu</vt:lpwstr>
      </vt:variant>
      <vt:variant>
        <vt:lpwstr/>
      </vt:variant>
      <vt:variant>
        <vt:i4>3801093</vt:i4>
      </vt:variant>
      <vt:variant>
        <vt:i4>3</vt:i4>
      </vt:variant>
      <vt:variant>
        <vt:i4>0</vt:i4>
      </vt:variant>
      <vt:variant>
        <vt:i4>5</vt:i4>
      </vt:variant>
      <vt:variant>
        <vt:lpwstr>mailto:Teresa.Bento@eba.europa.eu</vt:lpwstr>
      </vt:variant>
      <vt:variant>
        <vt:lpwstr/>
      </vt:variant>
      <vt:variant>
        <vt:i4>3473436</vt:i4>
      </vt:variant>
      <vt:variant>
        <vt:i4>0</vt:i4>
      </vt:variant>
      <vt:variant>
        <vt:i4>0</vt:i4>
      </vt:variant>
      <vt:variant>
        <vt:i4>5</vt:i4>
      </vt:variant>
      <vt:variant>
        <vt:lpwstr>mailto:Davide.Vioto@eba.europa.eu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c:subject>
  <dc:creator>Teresa Bento</dc:creator>
  <cp:keywords/>
  <dc:description/>
  <cp:lastModifiedBy>EC CoDe</cp:lastModifiedBy>
  <cp:revision>14</cp:revision>
  <dcterms:created xsi:type="dcterms:W3CDTF">2024-02-28T13:41:00Z</dcterms:created>
  <dcterms:modified xsi:type="dcterms:W3CDTF">2024-03-08T08:33:00Z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2023-08-11T08:59:16Z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f10ae1ef-2de3-4843-ad84-ffdb1424f5d1</vt:lpwstr>
  </property>
  <property fmtid="{D5CDD505-2E9C-101B-9397-08002B2CF9AE}" pid="8" name="MSIP_Label_6bd9ddd1-4d20-43f6-abfa-fc3c07406f94_ContentBits">
    <vt:lpwstr>0</vt:lpwstr>
  </property>
  <property fmtid="{D5CDD505-2E9C-101B-9397-08002B2CF9AE}" pid="9" name="Level of sensitivity">
    <vt:lpwstr>Standard treatment</vt:lpwstr>
  </property>
  <property fmtid="{D5CDD505-2E9C-101B-9397-08002B2CF9AE}" pid="10" name="First annex">
    <vt:lpwstr>2</vt:lpwstr>
  </property>
  <property fmtid="{D5CDD505-2E9C-101B-9397-08002B2CF9AE}" pid="11" name="Last annex">
    <vt:lpwstr>2</vt:lpwstr>
  </property>
  <property fmtid="{D5CDD505-2E9C-101B-9397-08002B2CF9AE}" pid="12" name="Unique annex">
    <vt:lpwstr>0</vt:lpwstr>
  </property>
  <property fmtid="{D5CDD505-2E9C-101B-9397-08002B2CF9AE}" pid="13" name="Part">
    <vt:lpwstr>1</vt:lpwstr>
  </property>
  <property fmtid="{D5CDD505-2E9C-101B-9397-08002B2CF9AE}" pid="14" name="Total parts">
    <vt:lpwstr>1</vt:lpwstr>
  </property>
  <property fmtid="{D5CDD505-2E9C-101B-9397-08002B2CF9AE}" pid="15" name="DocStatus">
    <vt:lpwstr>Green</vt:lpwstr>
  </property>
  <property fmtid="{D5CDD505-2E9C-101B-9397-08002B2CF9AE}" pid="16" name="CPTemplateID">
    <vt:lpwstr>CP-038</vt:lpwstr>
  </property>
  <property fmtid="{D5CDD505-2E9C-101B-9397-08002B2CF9AE}" pid="17" name="Last edited using">
    <vt:lpwstr>LW 9.0, Build 20230317</vt:lpwstr>
  </property>
  <property fmtid="{D5CDD505-2E9C-101B-9397-08002B2CF9AE}" pid="18" name="Created using">
    <vt:lpwstr>LW 9.0, Build 20230317</vt:lpwstr>
  </property>
  <property fmtid="{D5CDD505-2E9C-101B-9397-08002B2CF9AE}" pid="19" name="ContentTypeId">
    <vt:lpwstr>0x010100258AA79CEB83498886A3A086811232500033285A78CCB54F4DA2ECE5FA2B2AF218</vt:lpwstr>
  </property>
</Properties>
</file>