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5D5E4313" w:rsidR="00D82419" w:rsidRPr="00D82419" w:rsidRDefault="004932BF" w:rsidP="004932BF">
      <w:pPr>
        <w:pStyle w:val="Pagedecouverture"/>
        <w:rPr>
          <w:noProof/>
        </w:rPr>
      </w:pPr>
      <w:bookmarkStart w:id="0" w:name="_Toc262568021"/>
      <w:bookmarkStart w:id="1" w:name="_Toc295829847"/>
      <w:bookmarkStart w:id="2" w:name="LW_BM_COVERPAGE"/>
      <w:r>
        <w:rPr>
          <w:noProof/>
        </w:rPr>
        <w:pict w14:anchorId="6C9688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E209D59E-7BBA-423B-BBC9-D9415DD01E1F" style="width:455.15pt;height:396.7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4932B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Anexo II</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«ANEXO XXIX</w:t>
      </w:r>
    </w:p>
    <w:p w14:paraId="644BA8AC" w14:textId="715514E6"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INSTRUÇÕES PARA O RELATO DE INFORMAÇÕES RELATIVAS AO RISCO DE TAXA DE JURO DA CARTEIRA BANCÁRIA</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3C575D">
      <w:pPr>
        <w:pStyle w:val="InstructionsText"/>
        <w:rPr>
          <w:noProof/>
        </w:rPr>
      </w:pPr>
      <w:r>
        <w:rPr>
          <w:noProof/>
        </w:rPr>
        <w:t>Índice</w:t>
      </w:r>
    </w:p>
    <w:p w14:paraId="63654EEA" w14:textId="52C55EFD" w:rsidR="00717E34" w:rsidRDefault="00745369" w:rsidP="00717E34">
      <w:pPr>
        <w:pStyle w:val="TOC2"/>
        <w:rPr>
          <w:rFonts w:asciiTheme="minorHAnsi" w:eastAsiaTheme="minorEastAsia" w:hAnsiTheme="minorHAnsi" w:cstheme="minorBidi"/>
          <w:kern w:val="2"/>
          <w:sz w:val="22"/>
          <w:lang w:val="en-US"/>
          <w14:ligatures w14:val="standardContextual"/>
        </w:rPr>
      </w:pPr>
      <w:r w:rsidRPr="00D82419">
        <w:rPr>
          <w:rFonts w:ascii="Times New Roman" w:hAnsi="Times New Roman"/>
          <w:color w:val="2B579A"/>
          <w:sz w:val="24"/>
          <w:shd w:val="clear" w:color="auto" w:fill="E6E6E6"/>
        </w:rPr>
        <w:fldChar w:fldCharType="begin"/>
      </w:r>
      <w:r w:rsidR="002648B0"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60214231" w:history="1">
        <w:r w:rsidR="00717E34" w:rsidRPr="00121417">
          <w:rPr>
            <w:rStyle w:val="Hyperlink"/>
          </w:rPr>
          <w:t>PARTE I: INSTRUÇÕES GERAIS</w:t>
        </w:r>
        <w:r w:rsidR="00717E34">
          <w:rPr>
            <w:webHidden/>
          </w:rPr>
          <w:tab/>
        </w:r>
        <w:r w:rsidR="00717E34">
          <w:rPr>
            <w:webHidden/>
          </w:rPr>
          <w:fldChar w:fldCharType="begin"/>
        </w:r>
        <w:r w:rsidR="00717E34">
          <w:rPr>
            <w:webHidden/>
          </w:rPr>
          <w:instrText xml:space="preserve"> PAGEREF _Toc160214231 \h </w:instrText>
        </w:r>
        <w:r w:rsidR="00717E34">
          <w:rPr>
            <w:webHidden/>
          </w:rPr>
        </w:r>
        <w:r w:rsidR="00717E34">
          <w:rPr>
            <w:webHidden/>
          </w:rPr>
          <w:fldChar w:fldCharType="separate"/>
        </w:r>
        <w:r w:rsidR="00893F6C">
          <w:rPr>
            <w:webHidden/>
          </w:rPr>
          <w:t>2</w:t>
        </w:r>
        <w:r w:rsidR="00717E34">
          <w:rPr>
            <w:webHidden/>
          </w:rPr>
          <w:fldChar w:fldCharType="end"/>
        </w:r>
      </w:hyperlink>
    </w:p>
    <w:p w14:paraId="409164D0" w14:textId="5E0B3857"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32" w:history="1">
        <w:r w:rsidR="00717E34" w:rsidRPr="00121417">
          <w:rPr>
            <w:rStyle w:val="Hyperlink"/>
            <w:bCs/>
          </w:rPr>
          <w:t>1.</w:t>
        </w:r>
        <w:r w:rsidR="00717E34">
          <w:rPr>
            <w:rFonts w:asciiTheme="minorHAnsi" w:eastAsiaTheme="minorEastAsia" w:hAnsiTheme="minorHAnsi" w:cstheme="minorBidi"/>
            <w:kern w:val="2"/>
            <w:sz w:val="22"/>
            <w:lang w:val="en-US"/>
            <w14:ligatures w14:val="standardContextual"/>
          </w:rPr>
          <w:tab/>
        </w:r>
        <w:r w:rsidR="00717E34" w:rsidRPr="00121417">
          <w:rPr>
            <w:rStyle w:val="Hyperlink"/>
          </w:rPr>
          <w:t>Estrutura</w:t>
        </w:r>
        <w:r w:rsidR="00717E34">
          <w:rPr>
            <w:webHidden/>
          </w:rPr>
          <w:tab/>
        </w:r>
        <w:r w:rsidR="00717E34">
          <w:rPr>
            <w:webHidden/>
          </w:rPr>
          <w:fldChar w:fldCharType="begin"/>
        </w:r>
        <w:r w:rsidR="00717E34">
          <w:rPr>
            <w:webHidden/>
          </w:rPr>
          <w:instrText xml:space="preserve"> PAGEREF _Toc160214232 \h </w:instrText>
        </w:r>
        <w:r w:rsidR="00717E34">
          <w:rPr>
            <w:webHidden/>
          </w:rPr>
        </w:r>
        <w:r w:rsidR="00717E34">
          <w:rPr>
            <w:webHidden/>
          </w:rPr>
          <w:fldChar w:fldCharType="separate"/>
        </w:r>
        <w:r w:rsidR="00893F6C">
          <w:rPr>
            <w:webHidden/>
          </w:rPr>
          <w:t>2</w:t>
        </w:r>
        <w:r w:rsidR="00717E34">
          <w:rPr>
            <w:webHidden/>
          </w:rPr>
          <w:fldChar w:fldCharType="end"/>
        </w:r>
      </w:hyperlink>
    </w:p>
    <w:p w14:paraId="24D5586E" w14:textId="327B14CB"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33" w:history="1">
        <w:r w:rsidR="00717E34" w:rsidRPr="00121417">
          <w:rPr>
            <w:rStyle w:val="Hyperlink"/>
            <w:bCs/>
          </w:rPr>
          <w:t>2.</w:t>
        </w:r>
        <w:r w:rsidR="00717E34">
          <w:rPr>
            <w:rFonts w:asciiTheme="minorHAnsi" w:eastAsiaTheme="minorEastAsia" w:hAnsiTheme="minorHAnsi" w:cstheme="minorBidi"/>
            <w:kern w:val="2"/>
            <w:sz w:val="22"/>
            <w:lang w:val="en-US"/>
            <w14:ligatures w14:val="standardContextual"/>
          </w:rPr>
          <w:tab/>
        </w:r>
        <w:r w:rsidR="00717E34" w:rsidRPr="00121417">
          <w:rPr>
            <w:rStyle w:val="Hyperlink"/>
          </w:rPr>
          <w:t>Âmbito do relato de informações</w:t>
        </w:r>
        <w:r w:rsidR="00717E34">
          <w:rPr>
            <w:webHidden/>
          </w:rPr>
          <w:tab/>
        </w:r>
        <w:r w:rsidR="00717E34">
          <w:rPr>
            <w:webHidden/>
          </w:rPr>
          <w:fldChar w:fldCharType="begin"/>
        </w:r>
        <w:r w:rsidR="00717E34">
          <w:rPr>
            <w:webHidden/>
          </w:rPr>
          <w:instrText xml:space="preserve"> PAGEREF _Toc160214233 \h </w:instrText>
        </w:r>
        <w:r w:rsidR="00717E34">
          <w:rPr>
            <w:webHidden/>
          </w:rPr>
        </w:r>
        <w:r w:rsidR="00717E34">
          <w:rPr>
            <w:webHidden/>
          </w:rPr>
          <w:fldChar w:fldCharType="separate"/>
        </w:r>
        <w:r w:rsidR="00893F6C">
          <w:rPr>
            <w:webHidden/>
          </w:rPr>
          <w:t>2</w:t>
        </w:r>
        <w:r w:rsidR="00717E34">
          <w:rPr>
            <w:webHidden/>
          </w:rPr>
          <w:fldChar w:fldCharType="end"/>
        </w:r>
      </w:hyperlink>
    </w:p>
    <w:p w14:paraId="27AE37C6" w14:textId="520196DB"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34" w:history="1">
        <w:r w:rsidR="00717E34" w:rsidRPr="00121417">
          <w:rPr>
            <w:rStyle w:val="Hyperlink"/>
            <w:bCs/>
          </w:rPr>
          <w:t>3.</w:t>
        </w:r>
        <w:r w:rsidR="00717E34">
          <w:rPr>
            <w:rFonts w:asciiTheme="minorHAnsi" w:eastAsiaTheme="minorEastAsia" w:hAnsiTheme="minorHAnsi" w:cstheme="minorBidi"/>
            <w:kern w:val="2"/>
            <w:sz w:val="22"/>
            <w:lang w:val="en-US"/>
            <w14:ligatures w14:val="standardContextual"/>
          </w:rPr>
          <w:tab/>
        </w:r>
        <w:r w:rsidR="00717E34" w:rsidRPr="00121417">
          <w:rPr>
            <w:rStyle w:val="Hyperlink"/>
          </w:rPr>
          <w:t>Tratamento dos instrumentos de taxa fixa/variável</w:t>
        </w:r>
        <w:r w:rsidR="00717E34">
          <w:rPr>
            <w:webHidden/>
          </w:rPr>
          <w:tab/>
        </w:r>
        <w:r w:rsidR="00717E34">
          <w:rPr>
            <w:webHidden/>
          </w:rPr>
          <w:fldChar w:fldCharType="begin"/>
        </w:r>
        <w:r w:rsidR="00717E34">
          <w:rPr>
            <w:webHidden/>
          </w:rPr>
          <w:instrText xml:space="preserve"> PAGEREF _Toc160214234 \h </w:instrText>
        </w:r>
        <w:r w:rsidR="00717E34">
          <w:rPr>
            <w:webHidden/>
          </w:rPr>
        </w:r>
        <w:r w:rsidR="00717E34">
          <w:rPr>
            <w:webHidden/>
          </w:rPr>
          <w:fldChar w:fldCharType="separate"/>
        </w:r>
        <w:r w:rsidR="00893F6C">
          <w:rPr>
            <w:webHidden/>
          </w:rPr>
          <w:t>2</w:t>
        </w:r>
        <w:r w:rsidR="00717E34">
          <w:rPr>
            <w:webHidden/>
          </w:rPr>
          <w:fldChar w:fldCharType="end"/>
        </w:r>
      </w:hyperlink>
    </w:p>
    <w:p w14:paraId="619E692A" w14:textId="396E529C"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35" w:history="1">
        <w:r w:rsidR="00717E34" w:rsidRPr="00121417">
          <w:rPr>
            <w:rStyle w:val="Hyperlink"/>
            <w:bCs/>
          </w:rPr>
          <w:t>4.</w:t>
        </w:r>
        <w:r w:rsidR="00717E34">
          <w:rPr>
            <w:rFonts w:asciiTheme="minorHAnsi" w:eastAsiaTheme="minorEastAsia" w:hAnsiTheme="minorHAnsi" w:cstheme="minorBidi"/>
            <w:kern w:val="2"/>
            <w:sz w:val="22"/>
            <w:lang w:val="en-US"/>
            <w14:ligatures w14:val="standardContextual"/>
          </w:rPr>
          <w:tab/>
        </w:r>
        <w:r w:rsidR="00717E34" w:rsidRPr="00121417">
          <w:rPr>
            <w:rStyle w:val="Hyperlink"/>
          </w:rPr>
          <w:t>Tratamento de opções</w:t>
        </w:r>
        <w:r w:rsidR="00717E34">
          <w:rPr>
            <w:webHidden/>
          </w:rPr>
          <w:tab/>
        </w:r>
        <w:r w:rsidR="00717E34">
          <w:rPr>
            <w:webHidden/>
          </w:rPr>
          <w:fldChar w:fldCharType="begin"/>
        </w:r>
        <w:r w:rsidR="00717E34">
          <w:rPr>
            <w:webHidden/>
          </w:rPr>
          <w:instrText xml:space="preserve"> PAGEREF _Toc160214235 \h </w:instrText>
        </w:r>
        <w:r w:rsidR="00717E34">
          <w:rPr>
            <w:webHidden/>
          </w:rPr>
        </w:r>
        <w:r w:rsidR="00717E34">
          <w:rPr>
            <w:webHidden/>
          </w:rPr>
          <w:fldChar w:fldCharType="separate"/>
        </w:r>
        <w:r w:rsidR="00893F6C">
          <w:rPr>
            <w:webHidden/>
          </w:rPr>
          <w:t>3</w:t>
        </w:r>
        <w:r w:rsidR="00717E34">
          <w:rPr>
            <w:webHidden/>
          </w:rPr>
          <w:fldChar w:fldCharType="end"/>
        </w:r>
      </w:hyperlink>
    </w:p>
    <w:p w14:paraId="15355FFB" w14:textId="0E2AFCFE"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36" w:history="1">
        <w:r w:rsidR="00717E34" w:rsidRPr="00121417">
          <w:rPr>
            <w:rStyle w:val="Hyperlink"/>
            <w:bCs/>
          </w:rPr>
          <w:t>5.</w:t>
        </w:r>
        <w:r w:rsidR="00717E34">
          <w:rPr>
            <w:rFonts w:asciiTheme="minorHAnsi" w:eastAsiaTheme="minorEastAsia" w:hAnsiTheme="minorHAnsi" w:cstheme="minorBidi"/>
            <w:kern w:val="2"/>
            <w:sz w:val="22"/>
            <w:lang w:val="en-US"/>
            <w14:ligatures w14:val="standardContextual"/>
          </w:rPr>
          <w:tab/>
        </w:r>
        <w:r w:rsidR="00717E34" w:rsidRPr="00121417">
          <w:rPr>
            <w:rStyle w:val="Hyperlink"/>
          </w:rPr>
          <w:t>Sinais convencionados</w:t>
        </w:r>
        <w:r w:rsidR="00717E34">
          <w:rPr>
            <w:webHidden/>
          </w:rPr>
          <w:tab/>
        </w:r>
        <w:r w:rsidR="00717E34">
          <w:rPr>
            <w:webHidden/>
          </w:rPr>
          <w:fldChar w:fldCharType="begin"/>
        </w:r>
        <w:r w:rsidR="00717E34">
          <w:rPr>
            <w:webHidden/>
          </w:rPr>
          <w:instrText xml:space="preserve"> PAGEREF _Toc160214236 \h </w:instrText>
        </w:r>
        <w:r w:rsidR="00717E34">
          <w:rPr>
            <w:webHidden/>
          </w:rPr>
        </w:r>
        <w:r w:rsidR="00717E34">
          <w:rPr>
            <w:webHidden/>
          </w:rPr>
          <w:fldChar w:fldCharType="separate"/>
        </w:r>
        <w:r w:rsidR="00893F6C">
          <w:rPr>
            <w:webHidden/>
          </w:rPr>
          <w:t>3</w:t>
        </w:r>
        <w:r w:rsidR="00717E34">
          <w:rPr>
            <w:webHidden/>
          </w:rPr>
          <w:fldChar w:fldCharType="end"/>
        </w:r>
      </w:hyperlink>
    </w:p>
    <w:p w14:paraId="3BAFCCFE" w14:textId="658C0818"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37" w:history="1">
        <w:r w:rsidR="00717E34" w:rsidRPr="00121417">
          <w:rPr>
            <w:rStyle w:val="Hyperlink"/>
            <w:bCs/>
          </w:rPr>
          <w:t>6.</w:t>
        </w:r>
        <w:r w:rsidR="00717E34">
          <w:rPr>
            <w:rFonts w:asciiTheme="minorHAnsi" w:eastAsiaTheme="minorEastAsia" w:hAnsiTheme="minorHAnsi" w:cstheme="minorBidi"/>
            <w:kern w:val="2"/>
            <w:sz w:val="22"/>
            <w:lang w:val="en-US"/>
            <w14:ligatures w14:val="standardContextual"/>
          </w:rPr>
          <w:tab/>
        </w:r>
        <w:r w:rsidR="00717E34" w:rsidRPr="00121417">
          <w:rPr>
            <w:rStyle w:val="Hyperlink"/>
          </w:rPr>
          <w:t>Abreviaturas</w:t>
        </w:r>
        <w:r w:rsidR="00717E34">
          <w:rPr>
            <w:webHidden/>
          </w:rPr>
          <w:tab/>
        </w:r>
        <w:r w:rsidR="00717E34">
          <w:rPr>
            <w:webHidden/>
          </w:rPr>
          <w:fldChar w:fldCharType="begin"/>
        </w:r>
        <w:r w:rsidR="00717E34">
          <w:rPr>
            <w:webHidden/>
          </w:rPr>
          <w:instrText xml:space="preserve"> PAGEREF _Toc160214237 \h </w:instrText>
        </w:r>
        <w:r w:rsidR="00717E34">
          <w:rPr>
            <w:webHidden/>
          </w:rPr>
        </w:r>
        <w:r w:rsidR="00717E34">
          <w:rPr>
            <w:webHidden/>
          </w:rPr>
          <w:fldChar w:fldCharType="separate"/>
        </w:r>
        <w:r w:rsidR="00893F6C">
          <w:rPr>
            <w:webHidden/>
          </w:rPr>
          <w:t>4</w:t>
        </w:r>
        <w:r w:rsidR="00717E34">
          <w:rPr>
            <w:webHidden/>
          </w:rPr>
          <w:fldChar w:fldCharType="end"/>
        </w:r>
      </w:hyperlink>
    </w:p>
    <w:p w14:paraId="6257F793" w14:textId="76326DFF"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38" w:history="1">
        <w:r w:rsidR="00717E34" w:rsidRPr="00121417">
          <w:rPr>
            <w:rStyle w:val="Hyperlink"/>
          </w:rPr>
          <w:t>7.</w:t>
        </w:r>
        <w:r w:rsidR="00717E34">
          <w:rPr>
            <w:rFonts w:asciiTheme="minorHAnsi" w:eastAsiaTheme="minorEastAsia" w:hAnsiTheme="minorHAnsi" w:cstheme="minorBidi"/>
            <w:kern w:val="2"/>
            <w:sz w:val="22"/>
            <w:lang w:val="en-US"/>
            <w14:ligatures w14:val="standardContextual"/>
          </w:rPr>
          <w:tab/>
        </w:r>
        <w:r w:rsidR="00717E34" w:rsidRPr="00121417">
          <w:rPr>
            <w:rStyle w:val="Hyperlink"/>
          </w:rPr>
          <w:t>Outras convenções</w:t>
        </w:r>
        <w:r w:rsidR="00717E34">
          <w:rPr>
            <w:webHidden/>
          </w:rPr>
          <w:tab/>
        </w:r>
        <w:r w:rsidR="00717E34">
          <w:rPr>
            <w:webHidden/>
          </w:rPr>
          <w:fldChar w:fldCharType="begin"/>
        </w:r>
        <w:r w:rsidR="00717E34">
          <w:rPr>
            <w:webHidden/>
          </w:rPr>
          <w:instrText xml:space="preserve"> PAGEREF _Toc160214238 \h </w:instrText>
        </w:r>
        <w:r w:rsidR="00717E34">
          <w:rPr>
            <w:webHidden/>
          </w:rPr>
        </w:r>
        <w:r w:rsidR="00717E34">
          <w:rPr>
            <w:webHidden/>
          </w:rPr>
          <w:fldChar w:fldCharType="separate"/>
        </w:r>
        <w:r w:rsidR="00893F6C">
          <w:rPr>
            <w:webHidden/>
          </w:rPr>
          <w:t>4</w:t>
        </w:r>
        <w:r w:rsidR="00717E34">
          <w:rPr>
            <w:webHidden/>
          </w:rPr>
          <w:fldChar w:fldCharType="end"/>
        </w:r>
      </w:hyperlink>
    </w:p>
    <w:p w14:paraId="63C1B14B" w14:textId="71BF7E25"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39" w:history="1">
        <w:r w:rsidR="00717E34" w:rsidRPr="00121417">
          <w:rPr>
            <w:rStyle w:val="Hyperlink"/>
          </w:rPr>
          <w:t>PARTE II: AVALIAÇÃO DO IRRBB: SOT EVE/NII E VARIAÇÕES DO MV (J 01.00)</w:t>
        </w:r>
        <w:r w:rsidR="00717E34">
          <w:rPr>
            <w:webHidden/>
          </w:rPr>
          <w:tab/>
        </w:r>
        <w:r w:rsidR="00717E34">
          <w:rPr>
            <w:webHidden/>
          </w:rPr>
          <w:fldChar w:fldCharType="begin"/>
        </w:r>
        <w:r w:rsidR="00717E34">
          <w:rPr>
            <w:webHidden/>
          </w:rPr>
          <w:instrText xml:space="preserve"> PAGEREF _Toc160214239 \h </w:instrText>
        </w:r>
        <w:r w:rsidR="00717E34">
          <w:rPr>
            <w:webHidden/>
          </w:rPr>
        </w:r>
        <w:r w:rsidR="00717E34">
          <w:rPr>
            <w:webHidden/>
          </w:rPr>
          <w:fldChar w:fldCharType="separate"/>
        </w:r>
        <w:r w:rsidR="00893F6C">
          <w:rPr>
            <w:webHidden/>
          </w:rPr>
          <w:t>5</w:t>
        </w:r>
        <w:r w:rsidR="00717E34">
          <w:rPr>
            <w:webHidden/>
          </w:rPr>
          <w:fldChar w:fldCharType="end"/>
        </w:r>
      </w:hyperlink>
    </w:p>
    <w:p w14:paraId="18BB83DC" w14:textId="5E8B8AA9"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40" w:history="1">
        <w:r w:rsidR="00717E34" w:rsidRPr="00121417">
          <w:rPr>
            <w:rStyle w:val="Hyperlink"/>
          </w:rPr>
          <w:t>1.</w:t>
        </w:r>
        <w:r w:rsidR="00717E34">
          <w:rPr>
            <w:rFonts w:asciiTheme="minorHAnsi" w:eastAsiaTheme="minorEastAsia" w:hAnsiTheme="minorHAnsi" w:cstheme="minorBidi"/>
            <w:kern w:val="2"/>
            <w:sz w:val="22"/>
            <w:lang w:val="en-US"/>
            <w14:ligatures w14:val="standardContextual"/>
          </w:rPr>
          <w:tab/>
        </w:r>
        <w:r w:rsidR="00717E34" w:rsidRPr="00121417">
          <w:rPr>
            <w:rStyle w:val="Hyperlink"/>
          </w:rPr>
          <w:t>Observações gerais</w:t>
        </w:r>
        <w:r w:rsidR="00717E34">
          <w:rPr>
            <w:webHidden/>
          </w:rPr>
          <w:tab/>
        </w:r>
        <w:r w:rsidR="00717E34">
          <w:rPr>
            <w:webHidden/>
          </w:rPr>
          <w:fldChar w:fldCharType="begin"/>
        </w:r>
        <w:r w:rsidR="00717E34">
          <w:rPr>
            <w:webHidden/>
          </w:rPr>
          <w:instrText xml:space="preserve"> PAGEREF _Toc160214240 \h </w:instrText>
        </w:r>
        <w:r w:rsidR="00717E34">
          <w:rPr>
            <w:webHidden/>
          </w:rPr>
        </w:r>
        <w:r w:rsidR="00717E34">
          <w:rPr>
            <w:webHidden/>
          </w:rPr>
          <w:fldChar w:fldCharType="separate"/>
        </w:r>
        <w:r w:rsidR="00893F6C">
          <w:rPr>
            <w:webHidden/>
          </w:rPr>
          <w:t>5</w:t>
        </w:r>
        <w:r w:rsidR="00717E34">
          <w:rPr>
            <w:webHidden/>
          </w:rPr>
          <w:fldChar w:fldCharType="end"/>
        </w:r>
      </w:hyperlink>
    </w:p>
    <w:p w14:paraId="6CBE3AD4" w14:textId="5C4C7D5A"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41" w:history="1">
        <w:r w:rsidR="00717E34" w:rsidRPr="00121417">
          <w:rPr>
            <w:rStyle w:val="Hyperlink"/>
          </w:rPr>
          <w:t>2.</w:t>
        </w:r>
        <w:r w:rsidR="00717E34">
          <w:rPr>
            <w:rFonts w:asciiTheme="minorHAnsi" w:eastAsiaTheme="minorEastAsia" w:hAnsiTheme="minorHAnsi" w:cstheme="minorBidi"/>
            <w:kern w:val="2"/>
            <w:sz w:val="22"/>
            <w:lang w:val="en-US"/>
            <w14:ligatures w14:val="standardContextual"/>
          </w:rPr>
          <w:tab/>
        </w:r>
        <w:r w:rsidR="00717E34" w:rsidRPr="00121417">
          <w:rPr>
            <w:rStyle w:val="Hyperlink"/>
          </w:rPr>
          <w:t>Instruções relativas a posições específicas</w:t>
        </w:r>
        <w:r w:rsidR="00717E34">
          <w:rPr>
            <w:webHidden/>
          </w:rPr>
          <w:tab/>
        </w:r>
        <w:r w:rsidR="00717E34">
          <w:rPr>
            <w:webHidden/>
          </w:rPr>
          <w:fldChar w:fldCharType="begin"/>
        </w:r>
        <w:r w:rsidR="00717E34">
          <w:rPr>
            <w:webHidden/>
          </w:rPr>
          <w:instrText xml:space="preserve"> PAGEREF _Toc160214241 \h </w:instrText>
        </w:r>
        <w:r w:rsidR="00717E34">
          <w:rPr>
            <w:webHidden/>
          </w:rPr>
        </w:r>
        <w:r w:rsidR="00717E34">
          <w:rPr>
            <w:webHidden/>
          </w:rPr>
          <w:fldChar w:fldCharType="separate"/>
        </w:r>
        <w:r w:rsidR="00893F6C">
          <w:rPr>
            <w:webHidden/>
          </w:rPr>
          <w:t>5</w:t>
        </w:r>
        <w:r w:rsidR="00717E34">
          <w:rPr>
            <w:webHidden/>
          </w:rPr>
          <w:fldChar w:fldCharType="end"/>
        </w:r>
      </w:hyperlink>
    </w:p>
    <w:p w14:paraId="58E3C1CA" w14:textId="10B691F8"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42" w:history="1">
        <w:r w:rsidR="00717E34" w:rsidRPr="00121417">
          <w:rPr>
            <w:rStyle w:val="Hyperlink"/>
          </w:rPr>
          <w:t xml:space="preserve">PARTE III: REPARTIÇÃO DAS ESTIMATIVAS DE SENSIBILIDADE </w:t>
        </w:r>
        <w:r w:rsidR="00717E34">
          <w:rPr>
            <w:rStyle w:val="Hyperlink"/>
          </w:rPr>
          <w:br/>
        </w:r>
        <w:r w:rsidR="00717E34" w:rsidRPr="00121417">
          <w:rPr>
            <w:rStyle w:val="Hyperlink"/>
          </w:rPr>
          <w:t>(J 02.00, J 03.00 e J 04.00)</w:t>
        </w:r>
        <w:r w:rsidR="00717E34">
          <w:rPr>
            <w:webHidden/>
          </w:rPr>
          <w:tab/>
        </w:r>
        <w:r w:rsidR="00717E34">
          <w:rPr>
            <w:webHidden/>
          </w:rPr>
          <w:fldChar w:fldCharType="begin"/>
        </w:r>
        <w:r w:rsidR="00717E34">
          <w:rPr>
            <w:webHidden/>
          </w:rPr>
          <w:instrText xml:space="preserve"> PAGEREF _Toc160214242 \h </w:instrText>
        </w:r>
        <w:r w:rsidR="00717E34">
          <w:rPr>
            <w:webHidden/>
          </w:rPr>
        </w:r>
        <w:r w:rsidR="00717E34">
          <w:rPr>
            <w:webHidden/>
          </w:rPr>
          <w:fldChar w:fldCharType="separate"/>
        </w:r>
        <w:r w:rsidR="00893F6C">
          <w:rPr>
            <w:webHidden/>
          </w:rPr>
          <w:t>10</w:t>
        </w:r>
        <w:r w:rsidR="00717E34">
          <w:rPr>
            <w:webHidden/>
          </w:rPr>
          <w:fldChar w:fldCharType="end"/>
        </w:r>
      </w:hyperlink>
    </w:p>
    <w:p w14:paraId="348E3614" w14:textId="7C1C4191"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43" w:history="1">
        <w:r w:rsidR="00717E34" w:rsidRPr="00121417">
          <w:rPr>
            <w:rStyle w:val="Hyperlink"/>
          </w:rPr>
          <w:t>1.</w:t>
        </w:r>
        <w:r w:rsidR="00717E34">
          <w:rPr>
            <w:rFonts w:asciiTheme="minorHAnsi" w:eastAsiaTheme="minorEastAsia" w:hAnsiTheme="minorHAnsi" w:cstheme="minorBidi"/>
            <w:kern w:val="2"/>
            <w:sz w:val="22"/>
            <w:lang w:val="en-US"/>
            <w14:ligatures w14:val="standardContextual"/>
          </w:rPr>
          <w:tab/>
        </w:r>
        <w:r w:rsidR="00717E34" w:rsidRPr="00121417">
          <w:rPr>
            <w:rStyle w:val="Hyperlink"/>
          </w:rPr>
          <w:t>Observações gerais</w:t>
        </w:r>
        <w:r w:rsidR="00717E34">
          <w:rPr>
            <w:webHidden/>
          </w:rPr>
          <w:tab/>
        </w:r>
        <w:r w:rsidR="00717E34">
          <w:rPr>
            <w:webHidden/>
          </w:rPr>
          <w:fldChar w:fldCharType="begin"/>
        </w:r>
        <w:r w:rsidR="00717E34">
          <w:rPr>
            <w:webHidden/>
          </w:rPr>
          <w:instrText xml:space="preserve"> PAGEREF _Toc160214243 \h </w:instrText>
        </w:r>
        <w:r w:rsidR="00717E34">
          <w:rPr>
            <w:webHidden/>
          </w:rPr>
        </w:r>
        <w:r w:rsidR="00717E34">
          <w:rPr>
            <w:webHidden/>
          </w:rPr>
          <w:fldChar w:fldCharType="separate"/>
        </w:r>
        <w:r w:rsidR="00893F6C">
          <w:rPr>
            <w:webHidden/>
          </w:rPr>
          <w:t>10</w:t>
        </w:r>
        <w:r w:rsidR="00717E34">
          <w:rPr>
            <w:webHidden/>
          </w:rPr>
          <w:fldChar w:fldCharType="end"/>
        </w:r>
      </w:hyperlink>
    </w:p>
    <w:p w14:paraId="4EBD72FC" w14:textId="6C185E89"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44" w:history="1">
        <w:r w:rsidR="00717E34" w:rsidRPr="00121417">
          <w:rPr>
            <w:rStyle w:val="Hyperlink"/>
          </w:rPr>
          <w:t>2.</w:t>
        </w:r>
        <w:r w:rsidR="00717E34">
          <w:rPr>
            <w:rFonts w:asciiTheme="minorHAnsi" w:eastAsiaTheme="minorEastAsia" w:hAnsiTheme="minorHAnsi" w:cstheme="minorBidi"/>
            <w:kern w:val="2"/>
            <w:sz w:val="22"/>
            <w:lang w:val="en-US"/>
            <w14:ligatures w14:val="standardContextual"/>
          </w:rPr>
          <w:tab/>
        </w:r>
        <w:r w:rsidR="00717E34" w:rsidRPr="00121417">
          <w:rPr>
            <w:rStyle w:val="Hyperlink"/>
          </w:rPr>
          <w:t>Instruções relativas a posições específicas</w:t>
        </w:r>
        <w:r w:rsidR="00717E34">
          <w:rPr>
            <w:webHidden/>
          </w:rPr>
          <w:tab/>
        </w:r>
        <w:r w:rsidR="00717E34">
          <w:rPr>
            <w:webHidden/>
          </w:rPr>
          <w:fldChar w:fldCharType="begin"/>
        </w:r>
        <w:r w:rsidR="00717E34">
          <w:rPr>
            <w:webHidden/>
          </w:rPr>
          <w:instrText xml:space="preserve"> PAGEREF _Toc160214244 \h </w:instrText>
        </w:r>
        <w:r w:rsidR="00717E34">
          <w:rPr>
            <w:webHidden/>
          </w:rPr>
        </w:r>
        <w:r w:rsidR="00717E34">
          <w:rPr>
            <w:webHidden/>
          </w:rPr>
          <w:fldChar w:fldCharType="separate"/>
        </w:r>
        <w:r w:rsidR="00893F6C">
          <w:rPr>
            <w:webHidden/>
          </w:rPr>
          <w:t>10</w:t>
        </w:r>
        <w:r w:rsidR="00717E34">
          <w:rPr>
            <w:webHidden/>
          </w:rPr>
          <w:fldChar w:fldCharType="end"/>
        </w:r>
      </w:hyperlink>
    </w:p>
    <w:p w14:paraId="54F0FF98" w14:textId="6A828E36"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45" w:history="1">
        <w:r w:rsidR="00717E34" w:rsidRPr="00121417">
          <w:rPr>
            <w:rStyle w:val="Hyperlink"/>
          </w:rPr>
          <w:t>PARTE IV: REAVALIAÇÃO DOS FLUXOS DE CAIXA (J 05.00, J 06.00 e J 07.00)</w:t>
        </w:r>
        <w:r w:rsidR="00717E34">
          <w:rPr>
            <w:webHidden/>
          </w:rPr>
          <w:tab/>
        </w:r>
        <w:r w:rsidR="00717E34">
          <w:rPr>
            <w:webHidden/>
          </w:rPr>
          <w:fldChar w:fldCharType="begin"/>
        </w:r>
        <w:r w:rsidR="00717E34">
          <w:rPr>
            <w:webHidden/>
          </w:rPr>
          <w:instrText xml:space="preserve"> PAGEREF _Toc160214245 \h </w:instrText>
        </w:r>
        <w:r w:rsidR="00717E34">
          <w:rPr>
            <w:webHidden/>
          </w:rPr>
        </w:r>
        <w:r w:rsidR="00717E34">
          <w:rPr>
            <w:webHidden/>
          </w:rPr>
          <w:fldChar w:fldCharType="separate"/>
        </w:r>
        <w:r w:rsidR="00893F6C">
          <w:rPr>
            <w:webHidden/>
          </w:rPr>
          <w:t>20</w:t>
        </w:r>
        <w:r w:rsidR="00717E34">
          <w:rPr>
            <w:webHidden/>
          </w:rPr>
          <w:fldChar w:fldCharType="end"/>
        </w:r>
      </w:hyperlink>
    </w:p>
    <w:p w14:paraId="3C8A4016" w14:textId="0544493F"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46" w:history="1">
        <w:r w:rsidR="00717E34" w:rsidRPr="00121417">
          <w:rPr>
            <w:rStyle w:val="Hyperlink"/>
          </w:rPr>
          <w:t>1.</w:t>
        </w:r>
        <w:r w:rsidR="00717E34">
          <w:rPr>
            <w:rFonts w:asciiTheme="minorHAnsi" w:eastAsiaTheme="minorEastAsia" w:hAnsiTheme="minorHAnsi" w:cstheme="minorBidi"/>
            <w:kern w:val="2"/>
            <w:sz w:val="22"/>
            <w:lang w:val="en-US"/>
            <w14:ligatures w14:val="standardContextual"/>
          </w:rPr>
          <w:tab/>
        </w:r>
        <w:r w:rsidR="00717E34" w:rsidRPr="00121417">
          <w:rPr>
            <w:rStyle w:val="Hyperlink"/>
          </w:rPr>
          <w:t>Observações gerais</w:t>
        </w:r>
        <w:r w:rsidR="00717E34">
          <w:rPr>
            <w:webHidden/>
          </w:rPr>
          <w:tab/>
        </w:r>
        <w:r w:rsidR="00717E34">
          <w:rPr>
            <w:webHidden/>
          </w:rPr>
          <w:fldChar w:fldCharType="begin"/>
        </w:r>
        <w:r w:rsidR="00717E34">
          <w:rPr>
            <w:webHidden/>
          </w:rPr>
          <w:instrText xml:space="preserve"> PAGEREF _Toc160214246 \h </w:instrText>
        </w:r>
        <w:r w:rsidR="00717E34">
          <w:rPr>
            <w:webHidden/>
          </w:rPr>
        </w:r>
        <w:r w:rsidR="00717E34">
          <w:rPr>
            <w:webHidden/>
          </w:rPr>
          <w:fldChar w:fldCharType="separate"/>
        </w:r>
        <w:r w:rsidR="00893F6C">
          <w:rPr>
            <w:webHidden/>
          </w:rPr>
          <w:t>20</w:t>
        </w:r>
        <w:r w:rsidR="00717E34">
          <w:rPr>
            <w:webHidden/>
          </w:rPr>
          <w:fldChar w:fldCharType="end"/>
        </w:r>
      </w:hyperlink>
    </w:p>
    <w:p w14:paraId="1EC96BFA" w14:textId="3DC3F4AF"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47" w:history="1">
        <w:r w:rsidR="00717E34" w:rsidRPr="00121417">
          <w:rPr>
            <w:rStyle w:val="Hyperlink"/>
          </w:rPr>
          <w:t>2.</w:t>
        </w:r>
        <w:r w:rsidR="00717E34">
          <w:rPr>
            <w:rFonts w:asciiTheme="minorHAnsi" w:eastAsiaTheme="minorEastAsia" w:hAnsiTheme="minorHAnsi" w:cstheme="minorBidi"/>
            <w:kern w:val="2"/>
            <w:sz w:val="22"/>
            <w:lang w:val="en-US"/>
            <w14:ligatures w14:val="standardContextual"/>
          </w:rPr>
          <w:tab/>
        </w:r>
        <w:r w:rsidR="00717E34" w:rsidRPr="00121417">
          <w:rPr>
            <w:rStyle w:val="Hyperlink"/>
          </w:rPr>
          <w:t>Instruções relativas a posições específicas:</w:t>
        </w:r>
        <w:r w:rsidR="00717E34">
          <w:rPr>
            <w:webHidden/>
          </w:rPr>
          <w:tab/>
        </w:r>
        <w:r w:rsidR="00717E34">
          <w:rPr>
            <w:webHidden/>
          </w:rPr>
          <w:fldChar w:fldCharType="begin"/>
        </w:r>
        <w:r w:rsidR="00717E34">
          <w:rPr>
            <w:webHidden/>
          </w:rPr>
          <w:instrText xml:space="preserve"> PAGEREF _Toc160214247 \h </w:instrText>
        </w:r>
        <w:r w:rsidR="00717E34">
          <w:rPr>
            <w:webHidden/>
          </w:rPr>
        </w:r>
        <w:r w:rsidR="00717E34">
          <w:rPr>
            <w:webHidden/>
          </w:rPr>
          <w:fldChar w:fldCharType="separate"/>
        </w:r>
        <w:r w:rsidR="00893F6C">
          <w:rPr>
            <w:webHidden/>
          </w:rPr>
          <w:t>21</w:t>
        </w:r>
        <w:r w:rsidR="00717E34">
          <w:rPr>
            <w:webHidden/>
          </w:rPr>
          <w:fldChar w:fldCharType="end"/>
        </w:r>
      </w:hyperlink>
    </w:p>
    <w:p w14:paraId="30402373" w14:textId="79FFBC1C"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48" w:history="1">
        <w:r w:rsidR="00717E34" w:rsidRPr="00121417">
          <w:rPr>
            <w:rStyle w:val="Hyperlink"/>
          </w:rPr>
          <w:t>PARTE V: PARÂMETROS PERTINENTES (J 08.00 e J 09.00)</w:t>
        </w:r>
        <w:r w:rsidR="00717E34">
          <w:rPr>
            <w:webHidden/>
          </w:rPr>
          <w:tab/>
        </w:r>
        <w:r w:rsidR="00717E34">
          <w:rPr>
            <w:webHidden/>
          </w:rPr>
          <w:fldChar w:fldCharType="begin"/>
        </w:r>
        <w:r w:rsidR="00717E34">
          <w:rPr>
            <w:webHidden/>
          </w:rPr>
          <w:instrText xml:space="preserve"> PAGEREF _Toc160214248 \h </w:instrText>
        </w:r>
        <w:r w:rsidR="00717E34">
          <w:rPr>
            <w:webHidden/>
          </w:rPr>
        </w:r>
        <w:r w:rsidR="00717E34">
          <w:rPr>
            <w:webHidden/>
          </w:rPr>
          <w:fldChar w:fldCharType="separate"/>
        </w:r>
        <w:r w:rsidR="00893F6C">
          <w:rPr>
            <w:webHidden/>
          </w:rPr>
          <w:t>24</w:t>
        </w:r>
        <w:r w:rsidR="00717E34">
          <w:rPr>
            <w:webHidden/>
          </w:rPr>
          <w:fldChar w:fldCharType="end"/>
        </w:r>
      </w:hyperlink>
    </w:p>
    <w:p w14:paraId="279CAD26" w14:textId="57D04C78"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49" w:history="1">
        <w:r w:rsidR="00717E34" w:rsidRPr="00121417">
          <w:rPr>
            <w:rStyle w:val="Hyperlink"/>
          </w:rPr>
          <w:t>1.</w:t>
        </w:r>
        <w:r w:rsidR="00717E34">
          <w:rPr>
            <w:rFonts w:asciiTheme="minorHAnsi" w:eastAsiaTheme="minorEastAsia" w:hAnsiTheme="minorHAnsi" w:cstheme="minorBidi"/>
            <w:kern w:val="2"/>
            <w:sz w:val="22"/>
            <w:lang w:val="en-US"/>
            <w14:ligatures w14:val="standardContextual"/>
          </w:rPr>
          <w:tab/>
        </w:r>
        <w:r w:rsidR="00717E34" w:rsidRPr="00121417">
          <w:rPr>
            <w:rStyle w:val="Hyperlink"/>
          </w:rPr>
          <w:t>Observações gerais</w:t>
        </w:r>
        <w:r w:rsidR="00717E34">
          <w:rPr>
            <w:webHidden/>
          </w:rPr>
          <w:tab/>
        </w:r>
        <w:r w:rsidR="00717E34">
          <w:rPr>
            <w:webHidden/>
          </w:rPr>
          <w:fldChar w:fldCharType="begin"/>
        </w:r>
        <w:r w:rsidR="00717E34">
          <w:rPr>
            <w:webHidden/>
          </w:rPr>
          <w:instrText xml:space="preserve"> PAGEREF _Toc160214249 \h </w:instrText>
        </w:r>
        <w:r w:rsidR="00717E34">
          <w:rPr>
            <w:webHidden/>
          </w:rPr>
        </w:r>
        <w:r w:rsidR="00717E34">
          <w:rPr>
            <w:webHidden/>
          </w:rPr>
          <w:fldChar w:fldCharType="separate"/>
        </w:r>
        <w:r w:rsidR="00893F6C">
          <w:rPr>
            <w:webHidden/>
          </w:rPr>
          <w:t>24</w:t>
        </w:r>
        <w:r w:rsidR="00717E34">
          <w:rPr>
            <w:webHidden/>
          </w:rPr>
          <w:fldChar w:fldCharType="end"/>
        </w:r>
      </w:hyperlink>
    </w:p>
    <w:p w14:paraId="40AB5163" w14:textId="778DE162"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50" w:history="1">
        <w:r w:rsidR="00717E34" w:rsidRPr="00121417">
          <w:rPr>
            <w:rStyle w:val="Hyperlink"/>
          </w:rPr>
          <w:t>2.</w:t>
        </w:r>
        <w:r w:rsidR="00717E34">
          <w:rPr>
            <w:rFonts w:asciiTheme="minorHAnsi" w:eastAsiaTheme="minorEastAsia" w:hAnsiTheme="minorHAnsi" w:cstheme="minorBidi"/>
            <w:kern w:val="2"/>
            <w:sz w:val="22"/>
            <w:lang w:val="en-US"/>
            <w14:ligatures w14:val="standardContextual"/>
          </w:rPr>
          <w:tab/>
        </w:r>
        <w:r w:rsidR="00717E34" w:rsidRPr="00121417">
          <w:rPr>
            <w:rStyle w:val="Hyperlink"/>
          </w:rPr>
          <w:t>Instruções relativas a posições específicas</w:t>
        </w:r>
        <w:r w:rsidR="00717E34">
          <w:rPr>
            <w:webHidden/>
          </w:rPr>
          <w:tab/>
        </w:r>
        <w:r w:rsidR="00717E34">
          <w:rPr>
            <w:webHidden/>
          </w:rPr>
          <w:fldChar w:fldCharType="begin"/>
        </w:r>
        <w:r w:rsidR="00717E34">
          <w:rPr>
            <w:webHidden/>
          </w:rPr>
          <w:instrText xml:space="preserve"> PAGEREF _Toc160214250 \h </w:instrText>
        </w:r>
        <w:r w:rsidR="00717E34">
          <w:rPr>
            <w:webHidden/>
          </w:rPr>
        </w:r>
        <w:r w:rsidR="00717E34">
          <w:rPr>
            <w:webHidden/>
          </w:rPr>
          <w:fldChar w:fldCharType="separate"/>
        </w:r>
        <w:r w:rsidR="00893F6C">
          <w:rPr>
            <w:webHidden/>
          </w:rPr>
          <w:t>24</w:t>
        </w:r>
        <w:r w:rsidR="00717E34">
          <w:rPr>
            <w:webHidden/>
          </w:rPr>
          <w:fldChar w:fldCharType="end"/>
        </w:r>
      </w:hyperlink>
    </w:p>
    <w:p w14:paraId="075E20DB" w14:textId="08C31A1C"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51" w:history="1">
        <w:r w:rsidR="00717E34" w:rsidRPr="00121417">
          <w:rPr>
            <w:rStyle w:val="Hyperlink"/>
          </w:rPr>
          <w:t>PARTE VI: INFORMAÇÕES QUALITATIVAS (J 10.00 e J 11.00)</w:t>
        </w:r>
        <w:r w:rsidR="00717E34">
          <w:rPr>
            <w:webHidden/>
          </w:rPr>
          <w:tab/>
        </w:r>
        <w:r w:rsidR="00717E34">
          <w:rPr>
            <w:webHidden/>
          </w:rPr>
          <w:fldChar w:fldCharType="begin"/>
        </w:r>
        <w:r w:rsidR="00717E34">
          <w:rPr>
            <w:webHidden/>
          </w:rPr>
          <w:instrText xml:space="preserve"> PAGEREF _Toc160214251 \h </w:instrText>
        </w:r>
        <w:r w:rsidR="00717E34">
          <w:rPr>
            <w:webHidden/>
          </w:rPr>
        </w:r>
        <w:r w:rsidR="00717E34">
          <w:rPr>
            <w:webHidden/>
          </w:rPr>
          <w:fldChar w:fldCharType="separate"/>
        </w:r>
        <w:r w:rsidR="00893F6C">
          <w:rPr>
            <w:webHidden/>
          </w:rPr>
          <w:t>28</w:t>
        </w:r>
        <w:r w:rsidR="00717E34">
          <w:rPr>
            <w:webHidden/>
          </w:rPr>
          <w:fldChar w:fldCharType="end"/>
        </w:r>
      </w:hyperlink>
    </w:p>
    <w:p w14:paraId="411F1586" w14:textId="438E6E24"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52" w:history="1">
        <w:r w:rsidR="00717E34" w:rsidRPr="00121417">
          <w:rPr>
            <w:rStyle w:val="Hyperlink"/>
          </w:rPr>
          <w:t>1.</w:t>
        </w:r>
        <w:r w:rsidR="00717E34">
          <w:rPr>
            <w:rFonts w:asciiTheme="minorHAnsi" w:eastAsiaTheme="minorEastAsia" w:hAnsiTheme="minorHAnsi" w:cstheme="minorBidi"/>
            <w:kern w:val="2"/>
            <w:sz w:val="22"/>
            <w:lang w:val="en-US"/>
            <w14:ligatures w14:val="standardContextual"/>
          </w:rPr>
          <w:tab/>
        </w:r>
        <w:r w:rsidR="00717E34" w:rsidRPr="00121417">
          <w:rPr>
            <w:rStyle w:val="Hyperlink"/>
          </w:rPr>
          <w:t>Observações gerais</w:t>
        </w:r>
        <w:r w:rsidR="00717E34">
          <w:rPr>
            <w:webHidden/>
          </w:rPr>
          <w:tab/>
        </w:r>
        <w:r w:rsidR="00717E34">
          <w:rPr>
            <w:webHidden/>
          </w:rPr>
          <w:fldChar w:fldCharType="begin"/>
        </w:r>
        <w:r w:rsidR="00717E34">
          <w:rPr>
            <w:webHidden/>
          </w:rPr>
          <w:instrText xml:space="preserve"> PAGEREF _Toc160214252 \h </w:instrText>
        </w:r>
        <w:r w:rsidR="00717E34">
          <w:rPr>
            <w:webHidden/>
          </w:rPr>
        </w:r>
        <w:r w:rsidR="00717E34">
          <w:rPr>
            <w:webHidden/>
          </w:rPr>
          <w:fldChar w:fldCharType="separate"/>
        </w:r>
        <w:r w:rsidR="00893F6C">
          <w:rPr>
            <w:webHidden/>
          </w:rPr>
          <w:t>28</w:t>
        </w:r>
        <w:r w:rsidR="00717E34">
          <w:rPr>
            <w:webHidden/>
          </w:rPr>
          <w:fldChar w:fldCharType="end"/>
        </w:r>
      </w:hyperlink>
    </w:p>
    <w:p w14:paraId="608996B6" w14:textId="69CCD004" w:rsidR="00717E34" w:rsidRDefault="004932BF" w:rsidP="00717E34">
      <w:pPr>
        <w:pStyle w:val="TOC2"/>
        <w:rPr>
          <w:rFonts w:asciiTheme="minorHAnsi" w:eastAsiaTheme="minorEastAsia" w:hAnsiTheme="minorHAnsi" w:cstheme="minorBidi"/>
          <w:kern w:val="2"/>
          <w:sz w:val="22"/>
          <w:lang w:val="en-US"/>
          <w14:ligatures w14:val="standardContextual"/>
        </w:rPr>
      </w:pPr>
      <w:hyperlink w:anchor="_Toc160214253" w:history="1">
        <w:r w:rsidR="00717E34" w:rsidRPr="00121417">
          <w:rPr>
            <w:rStyle w:val="Hyperlink"/>
          </w:rPr>
          <w:t>2.</w:t>
        </w:r>
        <w:r w:rsidR="00717E34">
          <w:rPr>
            <w:rFonts w:asciiTheme="minorHAnsi" w:eastAsiaTheme="minorEastAsia" w:hAnsiTheme="minorHAnsi" w:cstheme="minorBidi"/>
            <w:kern w:val="2"/>
            <w:sz w:val="22"/>
            <w:lang w:val="en-US"/>
            <w14:ligatures w14:val="standardContextual"/>
          </w:rPr>
          <w:tab/>
        </w:r>
        <w:r w:rsidR="00717E34" w:rsidRPr="00121417">
          <w:rPr>
            <w:rStyle w:val="Hyperlink"/>
          </w:rPr>
          <w:t>Instruções relativas a posições específicas</w:t>
        </w:r>
        <w:r w:rsidR="00717E34">
          <w:rPr>
            <w:webHidden/>
          </w:rPr>
          <w:tab/>
        </w:r>
        <w:r w:rsidR="00717E34">
          <w:rPr>
            <w:webHidden/>
          </w:rPr>
          <w:fldChar w:fldCharType="begin"/>
        </w:r>
        <w:r w:rsidR="00717E34">
          <w:rPr>
            <w:webHidden/>
          </w:rPr>
          <w:instrText xml:space="preserve"> PAGEREF _Toc160214253 \h </w:instrText>
        </w:r>
        <w:r w:rsidR="00717E34">
          <w:rPr>
            <w:webHidden/>
          </w:rPr>
        </w:r>
        <w:r w:rsidR="00717E34">
          <w:rPr>
            <w:webHidden/>
          </w:rPr>
          <w:fldChar w:fldCharType="separate"/>
        </w:r>
        <w:r w:rsidR="00893F6C">
          <w:rPr>
            <w:webHidden/>
          </w:rPr>
          <w:t>28</w:t>
        </w:r>
        <w:r w:rsidR="00717E34">
          <w:rPr>
            <w:webHidden/>
          </w:rPr>
          <w:fldChar w:fldCharType="end"/>
        </w:r>
      </w:hyperlink>
    </w:p>
    <w:p w14:paraId="7AC7042C" w14:textId="1967A693"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214231"/>
      <w:r>
        <w:rPr>
          <w:noProof/>
        </w:rPr>
        <w:t>PARTE I:</w:t>
      </w:r>
      <w:bookmarkEnd w:id="4"/>
      <w:r>
        <w:rPr>
          <w:noProof/>
        </w:rPr>
        <w:t xml:space="preserve"> INSTRUÇÕES GERAIS</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214232"/>
      <w:r>
        <w:rPr>
          <w:b/>
          <w:noProof/>
          <w:sz w:val="24"/>
        </w:rPr>
        <w:t>Estrutura</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O presente anexo contém as instruções para o relato de informações relativas ao risco de taxa de juro da carteira bancária (IRRBB).</w:t>
      </w:r>
    </w:p>
    <w:p w14:paraId="18B4338F" w14:textId="7CA4DACA" w:rsidR="00EE1EB4" w:rsidRPr="00CB270D" w:rsidRDefault="00722E6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O presente anexo é composto por cinco conjuntos diferentes de modelos:</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Avaliação do IRRBB: testes de supervisão de valores atípicos (SOT) do valor económico do capital próprio (EVE) e dos resultados líquidos de juros (NII) e variações do valor de mercado (MV) (J 01.00);</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Repartição das estimativas de sensibilidade ao IRRBB (J 02.00, J 03.00 e J 04.00);</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w:t>
      </w:r>
      <w:r>
        <w:rPr>
          <w:rFonts w:ascii="Times New Roman" w:hAnsi="Times New Roman"/>
          <w:noProof/>
          <w:sz w:val="24"/>
        </w:rPr>
        <w:tab/>
        <w:t>Fluxos de caixa decorrentes da reavaliação do IRRBB (J 05.00, J 06.00 e J 07.00);</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(d)</w:t>
      </w:r>
      <w:r>
        <w:rPr>
          <w:rFonts w:ascii="Times New Roman" w:hAnsi="Times New Roman"/>
          <w:noProof/>
          <w:sz w:val="24"/>
        </w:rPr>
        <w:tab/>
        <w:t xml:space="preserve">Parâmetros pertinentes para a modelação comportamental (J 08.00 e J 09.00);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w:t>
      </w:r>
      <w:r>
        <w:rPr>
          <w:rFonts w:ascii="Times New Roman" w:hAnsi="Times New Roman"/>
          <w:noProof/>
          <w:sz w:val="24"/>
        </w:rPr>
        <w:tab/>
        <w:t>Informações qualitativas (J 10.00 e J 11.00);</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Pr>
          <w:rFonts w:ascii="Times New Roman" w:hAnsi="Times New Roman"/>
          <w:noProof/>
          <w:sz w:val="24"/>
        </w:rPr>
        <w:t>1.3</w:t>
      </w:r>
      <w:r>
        <w:rPr>
          <w:rFonts w:ascii="Times New Roman" w:hAnsi="Times New Roman"/>
          <w:noProof/>
          <w:sz w:val="24"/>
        </w:rPr>
        <w:tab/>
        <w:t>São fornecidas as referências jurídicas para cada modelo. O presente anexo contém informações em maior pormenor sobre aspetos mais gerais do preenchimento de cada conjunto de modelos e instruções relativas a posições específicas.</w:t>
      </w:r>
    </w:p>
    <w:p w14:paraId="26820BED" w14:textId="7A969893" w:rsidR="006D3733"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1.4</w:t>
      </w:r>
      <w:r>
        <w:rPr>
          <w:rFonts w:ascii="Times New Roman" w:hAnsi="Times New Roman"/>
          <w:noProof/>
          <w:sz w:val="24"/>
        </w:rPr>
        <w:tab/>
        <w:t>As instituições devem preencher os modelos na moeda de relato, independentemente da denominação efetiva dos ativos, dos passivos e dos elementos extrapatrimoniais. As moedas diferentes da moeda de relato devem ser convertidas para a moeda de relato à taxa de câmbio de referência à vista do Banco Central Europeu na data de referência. As instituições devem relatar separadamente os modelos desagregados pelas moedas correspondentes em conformidade com o Regulamento Delegado (UE).../... da Comissão [SP: inserir a referência às NTR relativas aos SOT].</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Em conformidade com o artigo 3.º, n.º 2, alínea c), do Regulamento Delegado (UE).../... (SP: inserir a referência às NTR relativas aos SOT), as instituições devem refletir as opções automáticas e comportamentais nos seus cálculos, se for caso disso, salvo especificação em contrário.</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214233"/>
      <w:r>
        <w:rPr>
          <w:b/>
          <w:noProof/>
          <w:sz w:val="24"/>
        </w:rPr>
        <w:t>Âmbito do relato de informações</w:t>
      </w:r>
      <w:bookmarkEnd w:id="14"/>
    </w:p>
    <w:p w14:paraId="67947B67" w14:textId="4993448A" w:rsidR="001B1D17" w:rsidRPr="00CB270D" w:rsidRDefault="002D7CBD" w:rsidP="00430DF0">
      <w:pPr>
        <w:suppressAutoHyphens/>
        <w:rPr>
          <w:rFonts w:ascii="Times New Roman" w:hAnsi="Times New Roman"/>
          <w:noProof/>
          <w:sz w:val="24"/>
        </w:rPr>
      </w:pPr>
      <w:r>
        <w:rPr>
          <w:rFonts w:ascii="Times New Roman" w:hAnsi="Times New Roman"/>
          <w:noProof/>
          <w:sz w:val="24"/>
        </w:rPr>
        <w:t>As instituições devem projetar as suas estimativas do IRRBB e fornecer informações sobre as exposições decorrentes das suas posições sensíveis à taxa de juro da carteira bancária no âmbito dos SOT [artigos 3.º e 4.º do Regulamento Delegado (UE) .../... (SP: inserir a referência às NTR relativas ao SOT)]. Em especial, as instituições devem ter em conta todos os instrumentos em conformidade com o artigo 3.º, n.º 2, alíneas a) a f), e com o artigo 3.º, n.</w:t>
      </w:r>
      <w:r>
        <w:rPr>
          <w:rFonts w:ascii="Times New Roman" w:hAnsi="Times New Roman"/>
          <w:noProof/>
          <w:sz w:val="24"/>
          <w:vertAlign w:val="superscript"/>
        </w:rPr>
        <w:t>os</w:t>
      </w:r>
      <w:r>
        <w:rPr>
          <w:rFonts w:ascii="Times New Roman" w:hAnsi="Times New Roman"/>
          <w:noProof/>
          <w:sz w:val="24"/>
        </w:rPr>
        <w:t> 3, 4 e 5, do Regulamento Delegado (UE).../... (SP: inserir a referência às NTR relativas aos SOT).</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214234"/>
      <w:r>
        <w:rPr>
          <w:b/>
          <w:noProof/>
          <w:sz w:val="24"/>
        </w:rPr>
        <w:t>Tratamento dos instrumentos de taxa fixa/variável</w:t>
      </w:r>
      <w:bookmarkEnd w:id="15"/>
      <w:bookmarkEnd w:id="16"/>
      <w:bookmarkEnd w:id="17"/>
    </w:p>
    <w:p w14:paraId="77CC8D4D" w14:textId="46BB6ACB" w:rsidR="001B1D17" w:rsidRPr="00380E3B" w:rsidRDefault="0039511B" w:rsidP="00430DF0">
      <w:pPr>
        <w:suppressAutoHyphens/>
        <w:rPr>
          <w:rFonts w:ascii="Times New Roman" w:hAnsi="Times New Roman"/>
          <w:noProof/>
          <w:sz w:val="24"/>
        </w:rPr>
      </w:pPr>
      <w:r>
        <w:rPr>
          <w:rFonts w:ascii="Times New Roman" w:hAnsi="Times New Roman"/>
          <w:noProof/>
          <w:sz w:val="24"/>
        </w:rPr>
        <w:t xml:space="preserve">Caso sejam solicitadas informações separadas relativamente a instrumentos de taxa fixa ou variável, aplicam-se as seguintes definições: </w:t>
      </w:r>
    </w:p>
    <w:p w14:paraId="4A89838D" w14:textId="4A3DDE27"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t xml:space="preserve">(a) </w:t>
      </w:r>
      <w:r w:rsidR="00893F6C">
        <w:rPr>
          <w:rFonts w:ascii="Times New Roman" w:hAnsi="Times New Roman"/>
          <w:noProof/>
          <w:sz w:val="24"/>
        </w:rPr>
        <w:tab/>
      </w:r>
      <w:r>
        <w:rPr>
          <w:rFonts w:ascii="Times New Roman" w:hAnsi="Times New Roman"/>
          <w:noProof/>
          <w:sz w:val="24"/>
        </w:rPr>
        <w:t>«Instrumento de taxa fixa», um instrumento de taxa fixa na aceção do artigo 1.º, ponto 4, do Regulamento Delegado (UE) .../... da Comissão (SP: inserir a referência às NTR relativas ao SA)</w:t>
      </w:r>
      <w:r w:rsidR="00212817" w:rsidRPr="00380E3B">
        <w:rPr>
          <w:rFonts w:ascii="Times New Roman" w:eastAsia="Arial" w:hAnsi="Times New Roman"/>
          <w:noProof/>
          <w:sz w:val="24"/>
          <w:vertAlign w:val="superscript"/>
        </w:rPr>
        <w:footnoteReference w:id="2"/>
      </w:r>
      <w:r>
        <w:rPr>
          <w:rFonts w:ascii="Times New Roman" w:hAnsi="Times New Roman"/>
          <w:noProof/>
          <w:sz w:val="24"/>
        </w:rPr>
        <w:t>. Especificamente:</w:t>
      </w:r>
    </w:p>
    <w:p w14:paraId="5ED6FF8A" w14:textId="1EA800A5"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 xml:space="preserve">(i) </w:t>
      </w:r>
      <w:r w:rsidR="00893F6C">
        <w:rPr>
          <w:rFonts w:ascii="Times New Roman" w:hAnsi="Times New Roman"/>
          <w:noProof/>
          <w:sz w:val="24"/>
        </w:rPr>
        <w:tab/>
      </w:r>
      <w:r>
        <w:rPr>
          <w:rFonts w:ascii="Times New Roman" w:hAnsi="Times New Roman"/>
          <w:noProof/>
          <w:sz w:val="24"/>
        </w:rPr>
        <w:t>instrumentos sem prazo de vencimento contratual específico (ou seja, produtos sem prazo de vencimento), cujos fluxos de caixa dos pagamentos de juros não estão contratualmente ou juridicamente ligados a movimentos num índice de referência externo ou num índice gerido internamente por uma instituição, mas, ao invés, dependem do critério da instituição ou de um organismo público,</w:t>
      </w:r>
    </w:p>
    <w:p w14:paraId="54833A4C" w14:textId="2E2D883E"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 xml:space="preserve">(ii) </w:t>
      </w:r>
      <w:r w:rsidR="00893F6C">
        <w:rPr>
          <w:rFonts w:ascii="Times New Roman" w:hAnsi="Times New Roman"/>
          <w:noProof/>
          <w:sz w:val="24"/>
        </w:rPr>
        <w:tab/>
      </w:r>
      <w:r>
        <w:rPr>
          <w:rFonts w:ascii="Times New Roman" w:hAnsi="Times New Roman"/>
          <w:noProof/>
          <w:sz w:val="24"/>
        </w:rPr>
        <w:t>instrumentos com um prazo de vencimento contratual específico, cujos fluxos de caixa dos pagamentos de juros não são fixos desde o início e até ao vencimento do instrumento, em que a sua reavaliação contratual é inferior ou igual a um ano e em que as alterações na sua remuneração durante a vigência do contrato não dependem do critério da instituição ou de um organismo público.</w:t>
      </w:r>
    </w:p>
    <w:p w14:paraId="270FB2E9" w14:textId="0A751F49"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 xml:space="preserve">(b) </w:t>
      </w:r>
      <w:r w:rsidR="00893F6C">
        <w:rPr>
          <w:rFonts w:ascii="Times New Roman" w:hAnsi="Times New Roman"/>
          <w:noProof/>
          <w:sz w:val="24"/>
        </w:rPr>
        <w:tab/>
      </w:r>
      <w:r>
        <w:rPr>
          <w:rFonts w:ascii="Times New Roman" w:hAnsi="Times New Roman"/>
          <w:noProof/>
          <w:sz w:val="24"/>
        </w:rPr>
        <w:t>«Instrumento de taxa variável», um instrumento de taxa variável na aceção do artigo 1.º, ponto 5, do Regulamento Delegado (UE) .../... (SP: inserir a referência às NTR relativas ao SA). Especificamente:</w:t>
      </w:r>
    </w:p>
    <w:p w14:paraId="1784E8D4" w14:textId="3FAD541D"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 xml:space="preserve">(i) </w:t>
      </w:r>
      <w:r w:rsidR="00893F6C">
        <w:rPr>
          <w:rFonts w:ascii="Times New Roman" w:hAnsi="Times New Roman"/>
          <w:noProof/>
          <w:sz w:val="24"/>
        </w:rPr>
        <w:tab/>
      </w:r>
      <w:r>
        <w:rPr>
          <w:rFonts w:ascii="Times New Roman" w:hAnsi="Times New Roman"/>
          <w:noProof/>
          <w:sz w:val="24"/>
        </w:rPr>
        <w:t>instrumentos sem prazo de vencimento contratual específico (ou seja, produtos sem prazo de vencimento), em que os fluxos de caixa dos pagamentos de juros não dependem do critério da instituição ou de um organismo público, mas estão, ao invés, contratualmente ou juridicamente ligados a movimentos de um índice de referência externo ou de um índice gerido internamente pela instituição,</w:t>
      </w:r>
    </w:p>
    <w:p w14:paraId="2BEB21B8" w14:textId="7780AE34"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 xml:space="preserve">(ii) </w:t>
      </w:r>
      <w:r w:rsidR="00893F6C">
        <w:rPr>
          <w:rFonts w:ascii="Times New Roman" w:hAnsi="Times New Roman"/>
          <w:noProof/>
          <w:sz w:val="24"/>
        </w:rPr>
        <w:tab/>
      </w:r>
      <w:r>
        <w:rPr>
          <w:rFonts w:ascii="Times New Roman" w:hAnsi="Times New Roman"/>
          <w:noProof/>
          <w:sz w:val="24"/>
        </w:rPr>
        <w:t>instrumentos com um prazo de vencimento contratual específico, cujos fluxos de caixa dos pagamentos de juros não são fixos desde o início e até ao vencimento do instrumento, em que a sua reavaliação contratual é inferior ou igual a um ano e em que as alterações na sua remuneração durante a vigência do contrato não dependem do critério da instituição ou de um organismo público.</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214235"/>
      <w:r>
        <w:rPr>
          <w:b/>
          <w:noProof/>
          <w:sz w:val="24"/>
        </w:rPr>
        <w:t>Tratamento de opções</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Caso sejam solicitadas informações separadas relativamente às opções, as instituições devem relatar as informações da seguinte forma:</w:t>
      </w:r>
    </w:p>
    <w:p w14:paraId="6B6F0868" w14:textId="23D0853F"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 xml:space="preserve">(a) </w:t>
      </w:r>
      <w:r w:rsidR="00893F6C">
        <w:rPr>
          <w:rFonts w:ascii="Times New Roman" w:hAnsi="Times New Roman"/>
          <w:noProof/>
          <w:sz w:val="24"/>
        </w:rPr>
        <w:tab/>
      </w:r>
      <w:r>
        <w:rPr>
          <w:rFonts w:ascii="Times New Roman" w:hAnsi="Times New Roman"/>
          <w:noProof/>
          <w:sz w:val="24"/>
        </w:rPr>
        <w:t>Opções integradas, juntamente com o respetivo instrumento de acolhimento;</w:t>
      </w:r>
    </w:p>
    <w:p w14:paraId="1DA2737F" w14:textId="119489BF"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 xml:space="preserve">(b) </w:t>
      </w:r>
      <w:r w:rsidR="00893F6C">
        <w:rPr>
          <w:rFonts w:ascii="Times New Roman" w:hAnsi="Times New Roman"/>
          <w:noProof/>
          <w:sz w:val="24"/>
        </w:rPr>
        <w:tab/>
      </w:r>
      <w:r>
        <w:rPr>
          <w:rFonts w:ascii="Times New Roman" w:hAnsi="Times New Roman"/>
          <w:noProof/>
          <w:sz w:val="24"/>
        </w:rPr>
        <w:t>Opções explícitas/autónomas separadamente para qualquer outro tipo de elementos do balanço como instrumentos derivados (ou seja, devem relatar essas opções juntamente com o elemento coberto).</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214236"/>
      <w:bookmarkEnd w:id="11"/>
      <w:bookmarkEnd w:id="12"/>
      <w:r>
        <w:rPr>
          <w:b/>
          <w:noProof/>
          <w:sz w:val="24"/>
        </w:rPr>
        <w:t>Sinais convencionados</w:t>
      </w:r>
      <w:bookmarkEnd w:id="19"/>
      <w:bookmarkEnd w:id="20"/>
      <w:bookmarkEnd w:id="21"/>
      <w:bookmarkEnd w:id="22"/>
      <w:bookmarkEnd w:id="23"/>
    </w:p>
    <w:p w14:paraId="6633F0CF" w14:textId="63689B05" w:rsidR="001E63FC" w:rsidRPr="005936C2" w:rsidRDefault="008917A8" w:rsidP="00430DF0">
      <w:pPr>
        <w:tabs>
          <w:tab w:val="left" w:pos="567"/>
        </w:tabs>
        <w:suppressAutoHyphens/>
        <w:rPr>
          <w:rFonts w:ascii="Times New Roman" w:hAnsi="Times New Roman"/>
          <w:noProof/>
          <w:sz w:val="24"/>
        </w:rPr>
      </w:pPr>
      <w:bookmarkStart w:id="24" w:name="_Hlk140593002"/>
      <w:r>
        <w:rPr>
          <w:rFonts w:ascii="Times New Roman" w:hAnsi="Times New Roman"/>
          <w:noProof/>
          <w:sz w:val="24"/>
        </w:rPr>
        <w:t>5.1</w:t>
      </w:r>
      <w:r>
        <w:rPr>
          <w:rFonts w:ascii="Times New Roman" w:hAnsi="Times New Roman"/>
          <w:noProof/>
          <w:sz w:val="24"/>
        </w:rPr>
        <w:tab/>
        <w:t xml:space="preserve">De modo geral, as instituições devem relatar positivamente os valores em todos os modelos. Os valores expressos em unidades monetárias referentes ao nível de EVE, ao nível de NII e ao nível de MV devem, em geral, ser relatados como um valor positivo, independentemente de se referirem a um ativo ou passivo, embora devam ser observadas exceções: será esse o caso se o nível de NII for negativo caso as despesas com juros sejam superiores aos resultados de juros no cenário de base ou no caso de derivados em que é necessário relatar os valores compensados das componentes de derivados. </w:t>
      </w:r>
    </w:p>
    <w:bookmarkEnd w:id="24"/>
    <w:p w14:paraId="71AA1747" w14:textId="4D01E42B" w:rsidR="001E63FC" w:rsidRPr="005936C2" w:rsidRDefault="008917A8" w:rsidP="00430DF0">
      <w:pPr>
        <w:tabs>
          <w:tab w:val="left" w:pos="567"/>
        </w:tabs>
        <w:suppressAutoHyphens/>
        <w:rPr>
          <w:rFonts w:ascii="Times New Roman" w:hAnsi="Times New Roman"/>
          <w:noProof/>
          <w:sz w:val="24"/>
        </w:rPr>
      </w:pPr>
      <w:r>
        <w:rPr>
          <w:rFonts w:ascii="Times New Roman" w:hAnsi="Times New Roman"/>
          <w:noProof/>
          <w:sz w:val="24"/>
        </w:rPr>
        <w:t>5.2</w:t>
      </w:r>
      <w:r>
        <w:rPr>
          <w:rFonts w:ascii="Times New Roman" w:hAnsi="Times New Roman"/>
          <w:noProof/>
          <w:sz w:val="24"/>
        </w:rPr>
        <w:tab/>
        <w:t>As instituições devem relatar as alterações (Δ) do EVE, NII e MV com valores positivos ou negativos, dependendo da variação. As instituições devem calcular Δ como a diferença entre o EVE/NII/MV nos cenários de choque e esse valor no cenário de base. As sensibilidades do EVE (e do MV) de um ativo ou passivo específico devem ser relatadas como positivas se o EVE (e o MV) desse ativo ou passivo aumentar num cenário específico de taxa de juro. Do mesmo modo, as sensibilidades do NII de um determinado ativo ou passivo devem ser relatadas como positivas quando os resultados de juros desse ativo, ou as despesas com juros desse passivo, aumentam num cenário concreto de taxa de juro.</w:t>
      </w:r>
    </w:p>
    <w:p w14:paraId="254BF615" w14:textId="5C9B210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5.3</w:t>
      </w:r>
      <w:r>
        <w:rPr>
          <w:rFonts w:ascii="Times New Roman" w:hAnsi="Times New Roman"/>
          <w:noProof/>
          <w:sz w:val="24"/>
        </w:rPr>
        <w:tab/>
        <w:t>Nos pontos de informação relacionados com as exposições nocionais ou com os montantes escriturados, aplica-se a mesma regra, as instituições devem relatar valores positivos tanto para os ativos como para os passivos.</w:t>
      </w:r>
    </w:p>
    <w:p w14:paraId="6E2C3DB2" w14:textId="1AA85B79"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5.4</w:t>
      </w:r>
      <w:r>
        <w:rPr>
          <w:rFonts w:ascii="Times New Roman" w:hAnsi="Times New Roman"/>
          <w:noProof/>
          <w:sz w:val="24"/>
        </w:rPr>
        <w:tab/>
        <w:t xml:space="preserve">As instituições devem relatar os parâmetros de forma positiva, independentemente de esses parâmetros se referirem a um ativo ou passivo e independentemente de esses parâmetros aumentarem ou diminuírem o valor da métrica do IRRBB. Pode haver alguns casos excecionais em que as instituições relatam valores negativos para os parâmetros, incluindo o rendimento médio dos ativos/passivos se a última revisão das taxas de juro se baseou num contexto de taxas de juro de mercado negativas.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214237"/>
      <w:r>
        <w:rPr>
          <w:b/>
          <w:noProof/>
          <w:sz w:val="24"/>
        </w:rPr>
        <w:t>Abreviaturas</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O valor económico do capital próprio é designado por «EVE», os resultados líquidos de juros por «NII», o valor de mercado por «MV», os testes de supervisão de valores atípicos por «SOT», os depósitos sem prazo de vencimento por «NMD» e o sistema de medição interna por «IMS» e o método padrão por «SA».</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214238"/>
      <w:r>
        <w:rPr>
          <w:b/>
          <w:noProof/>
          <w:sz w:val="24"/>
        </w:rPr>
        <w:t>7.</w:t>
      </w:r>
      <w:r>
        <w:rPr>
          <w:b/>
          <w:noProof/>
          <w:sz w:val="24"/>
        </w:rPr>
        <w:tab/>
        <w:t>Outras convenções</w:t>
      </w:r>
      <w:bookmarkEnd w:id="26"/>
    </w:p>
    <w:p w14:paraId="345BE7C5" w14:textId="2AFD3B9C" w:rsidR="009A03CD"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7.1</w:t>
      </w:r>
      <w:r>
        <w:rPr>
          <w:rFonts w:ascii="Times New Roman" w:hAnsi="Times New Roman"/>
          <w:noProof/>
          <w:sz w:val="24"/>
        </w:rPr>
        <w:tab/>
        <w:t>Ao longo do presente anexo, são feitas referências ao Regulamento Delegado (UE) .../... (SP: inserir referência às NTR relativas ao SOT) ou «NTR relativas aos SOT» e ao Regulamento Delegado (UE) .../... (SP: inserir referência às NTR relativas ao SA) ou «NTR relativas ao SA». Sempre que o texto se refira a definições estabelecidas no Regulamento Delegado (UE) .../... (SP: inserir referência às NTR relativas ao SA), essas definições devem ser aplicadas a todas as instituições que relatam informações (e não apenas às que aplicam o SA).</w:t>
      </w:r>
    </w:p>
    <w:p w14:paraId="6E98BFAD" w14:textId="6539675D" w:rsidR="000F5488" w:rsidRPr="00E00C16" w:rsidRDefault="008270ED" w:rsidP="00430DF0">
      <w:pPr>
        <w:suppressAutoHyphens/>
        <w:rPr>
          <w:rFonts w:ascii="Times New Roman" w:hAnsi="Times New Roman"/>
          <w:noProof/>
          <w:sz w:val="24"/>
        </w:rPr>
      </w:pPr>
      <w:r>
        <w:rPr>
          <w:rFonts w:ascii="Times New Roman" w:hAnsi="Times New Roman"/>
          <w:noProof/>
          <w:sz w:val="24"/>
        </w:rPr>
        <w:t>7.2</w:t>
      </w:r>
      <w:r>
        <w:rPr>
          <w:rFonts w:ascii="Times New Roman" w:hAnsi="Times New Roman"/>
          <w:noProof/>
          <w:sz w:val="24"/>
        </w:rPr>
        <w:tab/>
        <w:t>As definições estabelecidas no artigo 1.º do Regulamento Delegado (UE) .../... (SP: inserir a referência às NTR relativas ao SA) aplicam-se ao presente anexo.</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214239"/>
      <w:r>
        <w:rPr>
          <w:noProof/>
        </w:rPr>
        <w:t>PARTE II: AVALIAÇÃO DO IRRBB: SOT EVE/NII E VARIAÇÕES DO MV</w:t>
      </w:r>
      <w:bookmarkEnd w:id="27"/>
      <w:bookmarkEnd w:id="28"/>
      <w:r>
        <w:rPr>
          <w:noProof/>
        </w:rPr>
        <w:t xml:space="preserve"> (J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214240"/>
      <w:r>
        <w:rPr>
          <w:b/>
          <w:noProof/>
          <w:sz w:val="24"/>
        </w:rPr>
        <w:t>1.</w:t>
      </w:r>
      <w:r>
        <w:rPr>
          <w:b/>
          <w:noProof/>
          <w:sz w:val="24"/>
        </w:rPr>
        <w:tab/>
        <w:t>Observações gerais</w:t>
      </w:r>
      <w:bookmarkEnd w:id="30"/>
      <w:bookmarkEnd w:id="31"/>
      <w:bookmarkEnd w:id="32"/>
      <w:bookmarkEnd w:id="33"/>
    </w:p>
    <w:p w14:paraId="058939E3" w14:textId="4759F0EB" w:rsidR="009E536A"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O modelo J 01.00 contém os níveis e as variações do EVE (ΔEVE) e os níveis e as variações de NII (ΔNII), calculados em conformidade com o </w:t>
      </w:r>
      <w:bookmarkStart w:id="34" w:name="_Hlk148976351"/>
      <w:r>
        <w:rPr>
          <w:rFonts w:ascii="Times New Roman" w:hAnsi="Times New Roman"/>
          <w:noProof/>
          <w:sz w:val="24"/>
        </w:rPr>
        <w:t xml:space="preserve">Regulamento Delegado (UE) .../... (SP: inserir a referência às </w:t>
      </w:r>
      <w:bookmarkEnd w:id="34"/>
      <w:r>
        <w:rPr>
          <w:rFonts w:ascii="Times New Roman" w:hAnsi="Times New Roman"/>
          <w:noProof/>
          <w:sz w:val="24"/>
        </w:rPr>
        <w:t xml:space="preserve">NTR relativas aos SOT), bem como o nível e as variações do MV, calculados de acordo com os critérios internos de gestão do risco, tendo em conta um horizonte de um ano e um pressuposto de balanço constante. Contém, nomeadamente, a dimensão especificada dos choques das taxas de juro para as moedas não referidas na parte A do anexo do Regulamento Delegado (UE) .../... (SP: inserir a referência às NTR relativas aos SOT) e os rácios de ΔEVE e ΔNII com os fundos próprios de nível 1 em conformidade com o artigo 25.º do Regulamento (UE) n.º 575/2013, a ΔEVE e a ΔNII nos cenários mais pessimistas e o nível do EVE e do NII no cenário de base, bem como a ΔEVE, a ΔNII e a ΔMV em determinados cenários regulamentares de choque das taxas de juro. </w:t>
      </w:r>
    </w:p>
    <w:p w14:paraId="6EACD58F" w14:textId="5AB9AC60" w:rsidR="003F1439"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Este modelo deve ser relatado separadamente para cada moeda incluída nos cálculos dos SOT em conformidade com o artigo 1.º, n.</w:t>
      </w:r>
      <w:r>
        <w:rPr>
          <w:rFonts w:ascii="Times New Roman" w:hAnsi="Times New Roman"/>
          <w:noProof/>
          <w:sz w:val="24"/>
          <w:vertAlign w:val="superscript"/>
        </w:rPr>
        <w:t>os</w:t>
      </w:r>
      <w:r>
        <w:rPr>
          <w:rFonts w:ascii="Times New Roman" w:hAnsi="Times New Roman"/>
          <w:noProof/>
          <w:sz w:val="24"/>
        </w:rPr>
        <w:t xml:space="preserve"> 3 e 4, do Regulamento Delegado (UE) .../... (SP: inserir a referência às NTR relativas aos SOT), bem como para o agregado de todas as moedas às quais se aplica o artigo 1.º, n.º 4, do referido regulamento delegado. Ao calcular as alterações agregadas (para todas as moedas) relativamente a cada cenário de choque de taxas de juro, aplica-se o artigo 3.º, n.º 8, do Regulamento Delegado (UE) .../... (SP: inserir a referência às NTR relativas aos SOT).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214241"/>
      <w:bookmarkEnd w:id="35"/>
      <w:bookmarkEnd w:id="36"/>
      <w:bookmarkEnd w:id="37"/>
      <w:bookmarkEnd w:id="38"/>
      <w:bookmarkEnd w:id="39"/>
      <w:bookmarkEnd w:id="40"/>
      <w:bookmarkEnd w:id="41"/>
      <w:bookmarkEnd w:id="42"/>
      <w:r>
        <w:rPr>
          <w:b/>
          <w:noProof/>
          <w:sz w:val="24"/>
        </w:rPr>
        <w:t>2.</w:t>
      </w:r>
      <w:r>
        <w:rPr>
          <w:b/>
          <w:noProof/>
          <w:sz w:val="24"/>
        </w:rPr>
        <w:tab/>
        <w:t xml:space="preserve">Instruções relativas a posições </w:t>
      </w:r>
      <w:bookmarkEnd w:id="43"/>
      <w:bookmarkEnd w:id="44"/>
      <w:r>
        <w:rPr>
          <w:b/>
          <w:noProof/>
          <w:sz w:val="24"/>
        </w:rPr>
        <w:t>específicas</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Linha</w:t>
            </w:r>
          </w:p>
        </w:tc>
        <w:tc>
          <w:tcPr>
            <w:tcW w:w="7620" w:type="dxa"/>
            <w:shd w:val="clear" w:color="auto" w:fill="D9D9D9" w:themeFill="background1" w:themeFillShade="D9"/>
          </w:tcPr>
          <w:p w14:paraId="279B0622" w14:textId="438CF73E" w:rsidR="009F50A3" w:rsidRPr="00D82419" w:rsidRDefault="009F50A3"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Referências jurídicas e instruções</w:t>
            </w:r>
          </w:p>
        </w:tc>
      </w:tr>
      <w:tr w:rsidR="009F50A3" w:rsidRPr="00D82419" w14:paraId="7FD2A05C" w14:textId="77777777" w:rsidTr="63452C95">
        <w:tc>
          <w:tcPr>
            <w:tcW w:w="1129" w:type="dxa"/>
          </w:tcPr>
          <w:p w14:paraId="007928D7" w14:textId="440B3C20" w:rsidR="009F50A3" w:rsidRPr="00D82419" w:rsidRDefault="6AA5F51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0010-0090</w:t>
            </w:r>
          </w:p>
        </w:tc>
        <w:tc>
          <w:tcPr>
            <w:tcW w:w="7620" w:type="dxa"/>
          </w:tcPr>
          <w:p w14:paraId="25526098" w14:textId="3A2A11C6" w:rsidR="00D75F04" w:rsidRPr="00D82419" w:rsidRDefault="00D75F0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Valor económico do capital próprio</w:t>
            </w:r>
          </w:p>
          <w:p w14:paraId="4C6CAA6B" w14:textId="1494972D" w:rsidR="009F50A3" w:rsidRPr="00D82419" w:rsidRDefault="700069C0"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Estimativas do EVE calculadas em conformidade com</w:t>
            </w:r>
            <w:r>
              <w:rPr>
                <w:noProof/>
              </w:rPr>
              <w:t xml:space="preserve"> o artigo 98.º, n.º 5, alínea a), da Diretiva 2013/36/UE, e com os artigos 1.º a 3.º do Regulamento Delegado (UE) .../... (SP: inserir a referência às </w:t>
            </w:r>
            <w:r>
              <w:rPr>
                <w:rStyle w:val="FormatvorlageInstructionsTabelleText"/>
                <w:rFonts w:ascii="Times New Roman" w:hAnsi="Times New Roman"/>
                <w:noProof/>
                <w:sz w:val="24"/>
              </w:rPr>
              <w:t>NTR relativas aos SOT)</w:t>
            </w:r>
            <w:r>
              <w:rPr>
                <w:noProof/>
              </w:rPr>
              <w:t>.</w:t>
            </w:r>
            <w:r>
              <w:rPr>
                <w:rStyle w:val="InstructionsTabelleberschrift"/>
                <w:rFonts w:ascii="Times New Roman" w:hAnsi="Times New Roman"/>
                <w:b w:val="0"/>
                <w:noProof/>
                <w:sz w:val="24"/>
                <w:u w:val="none"/>
              </w:rPr>
              <w:t xml:space="preserve"> </w:t>
            </w:r>
            <w:r>
              <w:rPr>
                <w:noProof/>
              </w:rPr>
              <w:t>No</w:t>
            </w:r>
            <w:r>
              <w:rPr>
                <w:rStyle w:val="InstructionsTabelleberschrift"/>
                <w:rFonts w:ascii="Times New Roman" w:hAnsi="Times New Roman"/>
                <w:b w:val="0"/>
                <w:noProof/>
                <w:sz w:val="24"/>
                <w:u w:val="none"/>
              </w:rPr>
              <w:t xml:space="preserve"> que respeita aos pressupostos de modelação e paramétricos não especificados no artigo 3.º do referido regulamento delegado, as instituições devem utilizar os pressupostos que aplicam na respetiva medição e gestão do IRRBB, ou seja, as suas metodologias de medição interna, o método padrão ou o método padrão simplificado, consoante o que for aplicável. </w:t>
            </w:r>
          </w:p>
        </w:tc>
      </w:tr>
      <w:tr w:rsidR="009F50A3" w:rsidRPr="00D82419" w14:paraId="051654EF" w14:textId="77777777" w:rsidTr="63452C95">
        <w:tc>
          <w:tcPr>
            <w:tcW w:w="1129" w:type="dxa"/>
          </w:tcPr>
          <w:p w14:paraId="4E5EF34A" w14:textId="2237A75A"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no pior cenário</w:t>
            </w:r>
          </w:p>
          <w:p w14:paraId="26DCF100" w14:textId="0D0C662A" w:rsidR="009F50A3" w:rsidRPr="00D82419" w:rsidRDefault="7E7469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Variação do EVE nos cenários de choque para efeitos de supervisão a que se refere o </w:t>
            </w:r>
            <w:r>
              <w:rPr>
                <w:rStyle w:val="FormatvorlageInstructionsTabelleText"/>
                <w:rFonts w:ascii="Times New Roman" w:hAnsi="Times New Roman"/>
                <w:noProof/>
                <w:sz w:val="24"/>
              </w:rPr>
              <w:t>artigo 1.º, n.º 1, do Regulamento Delegado (UE) .../... (SP: inserir a referência às NTR relativas aos SOT) que causam o maior declínio do EVE. O pior resultado dos valores das linhas 0040 a 0090 deve ser relatado nesta linha.</w:t>
            </w:r>
          </w:p>
        </w:tc>
      </w:tr>
      <w:tr w:rsidR="00961B7D" w:rsidRPr="00D82419" w14:paraId="5CD63A5C" w14:textId="77777777" w:rsidTr="63452C95">
        <w:tc>
          <w:tcPr>
            <w:tcW w:w="1129" w:type="dxa"/>
          </w:tcPr>
          <w:p w14:paraId="282662CB" w14:textId="7D4DB793" w:rsidR="00961B7D" w:rsidRPr="00D82419" w:rsidRDefault="00961B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11DB2FA3" w14:textId="5E027A81" w:rsidR="00DA2DEA" w:rsidRPr="00D82419" w:rsidRDefault="00DA2DE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Rácio de ∆EVE no pior cenário</w:t>
            </w:r>
          </w:p>
          <w:p w14:paraId="63A8C68F" w14:textId="43D2EE33" w:rsidR="00961B7D" w:rsidRPr="00D82419" w:rsidRDefault="00502F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Rácio entre o valor relatado na linha 0010</w:t>
            </w:r>
            <w:r>
              <w:rPr>
                <w:noProof/>
              </w:rPr>
              <w:t xml:space="preserve"> </w:t>
            </w:r>
            <w:r>
              <w:rPr>
                <w:rStyle w:val="FormatvorlageInstructionsTabelleText"/>
                <w:rFonts w:ascii="Times New Roman" w:hAnsi="Times New Roman"/>
                <w:noProof/>
                <w:sz w:val="24"/>
              </w:rPr>
              <w:t>e</w:t>
            </w:r>
            <w:r>
              <w:rPr>
                <w:rStyle w:val="InstructionsTabelleberschrift"/>
                <w:rFonts w:ascii="Times New Roman" w:hAnsi="Times New Roman"/>
                <w:b w:val="0"/>
                <w:noProof/>
                <w:sz w:val="24"/>
                <w:u w:val="none"/>
              </w:rPr>
              <w:t xml:space="preserve"> os fundos próprios de nível 1, determinado em conformidade com o artigo 25.º do </w:t>
            </w:r>
            <w:r>
              <w:rPr>
                <w:noProof/>
              </w:rPr>
              <w:t>Regulamento (UE) n.º 575/2013</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620" w:type="dxa"/>
          </w:tcPr>
          <w:p w14:paraId="4BF02F51" w14:textId="4BEE7C65" w:rsidR="00A737A0"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no cenário de base e nos cenários de choque para efeitos de supervisão</w:t>
            </w:r>
          </w:p>
          <w:p w14:paraId="32EB5557" w14:textId="0E08FC89" w:rsidR="00F0435A" w:rsidRPr="00D82419" w:rsidRDefault="004F1099"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Nível do EVE no cenário de base e as variações do EVE (ou seja, ΔEVE) nos cenários de choque para efeitos de supervisão a que se refere o </w:t>
            </w:r>
            <w:r>
              <w:rPr>
                <w:rStyle w:val="FormatvorlageInstructionsTabelleText"/>
                <w:rFonts w:ascii="Times New Roman" w:hAnsi="Times New Roman"/>
                <w:noProof/>
                <w:sz w:val="24"/>
              </w:rPr>
              <w:t xml:space="preserve">artigo 1.º, n.º 1, do </w:t>
            </w:r>
            <w:r>
              <w:rPr>
                <w:noProof/>
              </w:rPr>
              <w:t xml:space="preserve">Regulamento Delegado (UE) .../... (SP: inserir a referência às </w:t>
            </w:r>
            <w:r>
              <w:rPr>
                <w:rStyle w:val="FormatvorlageInstructionsTabelleText"/>
                <w:rFonts w:ascii="Times New Roman" w:hAnsi="Times New Roman"/>
                <w:noProof/>
                <w:sz w:val="24"/>
              </w:rPr>
              <w:t xml:space="preserve">NTR relativas aos SOT). </w:t>
            </w:r>
          </w:p>
        </w:tc>
      </w:tr>
      <w:tr w:rsidR="00B0203E" w:rsidRPr="00D82419" w14:paraId="4655EFD3" w14:textId="77777777" w:rsidTr="63452C95">
        <w:tc>
          <w:tcPr>
            <w:tcW w:w="1129" w:type="dxa"/>
          </w:tcPr>
          <w:p w14:paraId="7B647AD7" w14:textId="3E7A916A"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Nível do EVE no cenário de base</w:t>
            </w:r>
          </w:p>
          <w:p w14:paraId="58C9873C" w14:textId="4D13F981" w:rsidR="00B0203E" w:rsidRPr="00D82419" w:rsidDel="00D1769D"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Nível do EVE nos cenários de base da taxa de juro à data de referência.</w:t>
            </w:r>
          </w:p>
        </w:tc>
      </w:tr>
      <w:tr w:rsidR="00B0203E" w:rsidRPr="00D82419" w14:paraId="12F10FB4" w14:textId="77777777" w:rsidTr="63452C95">
        <w:tc>
          <w:tcPr>
            <w:tcW w:w="1129" w:type="dxa"/>
          </w:tcPr>
          <w:p w14:paraId="6C489768" w14:textId="52CDBC8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C32C6C1" w14:textId="688719F1"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num choque de subida paralela</w:t>
            </w:r>
          </w:p>
          <w:p w14:paraId="75608591" w14:textId="2378525F"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Variação dos EVE no cenário de «choque de subida paralela» a que se refere o artigo 1.º, n.º 1, alínea a), e o artigo 2.º do Regulamento Delegado (UE) .../... (SP: inserir a referência às </w:t>
            </w:r>
            <w:r>
              <w:rPr>
                <w:rStyle w:val="FormatvorlageInstructionsTabelleText"/>
                <w:rFonts w:ascii="Times New Roman" w:hAnsi="Times New Roman"/>
                <w:noProof/>
                <w:sz w:val="24"/>
              </w:rPr>
              <w:t>NTR relativas aos SOT)</w:t>
            </w:r>
            <w:r>
              <w:rPr>
                <w:rStyle w:val="InstructionsTabelleberschrift"/>
                <w:rFonts w:ascii="Times New Roman" w:hAnsi="Times New Roman"/>
                <w:b w:val="0"/>
                <w:noProof/>
                <w:sz w:val="24"/>
                <w:u w:val="none"/>
              </w:rPr>
              <w:t>.</w:t>
            </w:r>
          </w:p>
        </w:tc>
      </w:tr>
      <w:tr w:rsidR="00B0203E" w:rsidRPr="00D82419" w14:paraId="702A109C" w14:textId="77777777" w:rsidTr="63452C95">
        <w:tc>
          <w:tcPr>
            <w:tcW w:w="1129" w:type="dxa"/>
          </w:tcPr>
          <w:p w14:paraId="44F421F7" w14:textId="0277BBF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num choque de descida paralela</w:t>
            </w:r>
          </w:p>
          <w:p w14:paraId="615E0D1E" w14:textId="3889B4D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Variação do EVE no cenário de «choque de descida paralela» a que se refere o artigo 1.º, n.º 1, alínea b), e o artigo 2.º do Regulamento Delegado (UE) .../... (SP: inserir a referência às </w:t>
            </w:r>
            <w:r>
              <w:rPr>
                <w:rStyle w:val="FormatvorlageInstructionsTabelleText"/>
                <w:rFonts w:ascii="Times New Roman" w:hAnsi="Times New Roman"/>
                <w:noProof/>
                <w:sz w:val="24"/>
              </w:rPr>
              <w:t>NTR relativas aos SOT)</w:t>
            </w:r>
            <w:r>
              <w:rPr>
                <w:rStyle w:val="InstructionsTabelleberschrift"/>
                <w:rFonts w:ascii="Times New Roman" w:hAnsi="Times New Roman"/>
                <w:b w:val="0"/>
                <w:noProof/>
                <w:sz w:val="24"/>
                <w:u w:val="none"/>
              </w:rPr>
              <w:t>.</w:t>
            </w:r>
          </w:p>
        </w:tc>
      </w:tr>
      <w:tr w:rsidR="00B0203E" w:rsidRPr="00D82419" w14:paraId="78C9A080" w14:textId="77777777" w:rsidTr="63452C95">
        <w:tc>
          <w:tcPr>
            <w:tcW w:w="1129" w:type="dxa"/>
          </w:tcPr>
          <w:p w14:paraId="18CC3346" w14:textId="76476D8B"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num choque de aumento da inclinação da curva</w:t>
            </w:r>
          </w:p>
          <w:p w14:paraId="2E2C691F" w14:textId="06179B82"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Variação do EVE no cenário de «choque de aumento da inclinação da curva» a que se refere o artigo 1.º, n.º 1, alínea c), e o artigo 2.º do Regulamento Delegado (UE) .../... (SP: inserir a referência às </w:t>
            </w:r>
            <w:r>
              <w:rPr>
                <w:rStyle w:val="FormatvorlageInstructionsTabelleText"/>
                <w:rFonts w:ascii="Times New Roman" w:hAnsi="Times New Roman"/>
                <w:noProof/>
                <w:sz w:val="24"/>
              </w:rPr>
              <w:t>NTR relativas aos SOT)</w:t>
            </w:r>
            <w:r>
              <w:rPr>
                <w:rStyle w:val="InstructionsTabelleberschrift"/>
                <w:rFonts w:ascii="Times New Roman" w:hAnsi="Times New Roman"/>
                <w:b w:val="0"/>
                <w:noProof/>
                <w:sz w:val="24"/>
                <w:u w:val="none"/>
              </w:rPr>
              <w:t>.</w:t>
            </w:r>
          </w:p>
        </w:tc>
      </w:tr>
      <w:tr w:rsidR="00B0203E" w:rsidRPr="00D82419" w14:paraId="7C9E2FFE" w14:textId="77777777" w:rsidTr="63452C95">
        <w:tc>
          <w:tcPr>
            <w:tcW w:w="1129" w:type="dxa"/>
          </w:tcPr>
          <w:p w14:paraId="6A1F5153" w14:textId="1A48096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num choque de diminuição da inclinação da curva</w:t>
            </w:r>
          </w:p>
          <w:p w14:paraId="1576761F" w14:textId="18F1A51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Variação do EVE no cenário de «choque de diminuição da inclinação da curva» a que se refere o artigo 1.º, n.º 1, alínea d), e o artigo 2.º do Regulamento Delegado (UE) .../... (SP: inserir a referência às </w:t>
            </w:r>
            <w:r>
              <w:rPr>
                <w:rStyle w:val="FormatvorlageInstructionsTabelleText"/>
                <w:rFonts w:ascii="Times New Roman" w:hAnsi="Times New Roman"/>
                <w:noProof/>
                <w:sz w:val="24"/>
              </w:rPr>
              <w:t>NTR relativas aos SOT)</w:t>
            </w:r>
            <w:r>
              <w:rPr>
                <w:rStyle w:val="InstructionsTabelleberschrift"/>
                <w:rFonts w:ascii="Times New Roman" w:hAnsi="Times New Roman"/>
                <w:b w:val="0"/>
                <w:noProof/>
                <w:sz w:val="24"/>
                <w:u w:val="none"/>
              </w:rPr>
              <w:t>.</w:t>
            </w:r>
          </w:p>
        </w:tc>
      </w:tr>
      <w:tr w:rsidR="00B0203E" w:rsidRPr="00D82419" w14:paraId="1F1952CB" w14:textId="77777777" w:rsidTr="63452C95">
        <w:tc>
          <w:tcPr>
            <w:tcW w:w="1129" w:type="dxa"/>
          </w:tcPr>
          <w:p w14:paraId="5BA40DF8" w14:textId="55480F0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num choque ascendente nas taxas a curto prazo</w:t>
            </w:r>
          </w:p>
          <w:p w14:paraId="30FAC30B" w14:textId="1D74F1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Variação do EVE no cenário de «choque ascendente nas taxas a curto prazo» a que se refere o artigo 1.º, n.º 1, alínea e), e o artigo 2.º do Regulamento Delegado (UE) .../... (SP: inserir a referência às </w:t>
            </w:r>
            <w:r>
              <w:rPr>
                <w:rStyle w:val="FormatvorlageInstructionsTabelleText"/>
                <w:rFonts w:ascii="Times New Roman" w:hAnsi="Times New Roman"/>
                <w:noProof/>
                <w:sz w:val="24"/>
              </w:rPr>
              <w:t>NTR relativas aos SOT)</w:t>
            </w:r>
            <w:r>
              <w:rPr>
                <w:rStyle w:val="InstructionsTabelleberschrift"/>
                <w:rFonts w:ascii="Times New Roman" w:hAnsi="Times New Roman"/>
                <w:b w:val="0"/>
                <w:noProof/>
                <w:sz w:val="24"/>
                <w:u w:val="none"/>
              </w:rPr>
              <w:t>.</w:t>
            </w:r>
          </w:p>
        </w:tc>
      </w:tr>
      <w:tr w:rsidR="00B0203E" w:rsidRPr="00D82419" w14:paraId="25C6DF7C" w14:textId="77777777" w:rsidTr="63452C95">
        <w:tc>
          <w:tcPr>
            <w:tcW w:w="1129" w:type="dxa"/>
          </w:tcPr>
          <w:p w14:paraId="2989E866" w14:textId="5909BE3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350345A" w14:textId="21B26679"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num choque descendente nas taxas a curto prazo</w:t>
            </w:r>
          </w:p>
          <w:p w14:paraId="25CC32D5" w14:textId="55B8644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Variação do EVE no cenário de «choque descendente nas taxas a curto prazo» a que se refere o artigo 1.º, n.º 1, alínea f), e o artigo 2.º do Regulamento Delegado (UE) .../... (SP: inserir a referência às </w:t>
            </w:r>
            <w:r>
              <w:rPr>
                <w:rStyle w:val="FormatvorlageInstructionsTabelleText"/>
                <w:rFonts w:ascii="Times New Roman" w:hAnsi="Times New Roman"/>
                <w:noProof/>
                <w:sz w:val="24"/>
              </w:rPr>
              <w:t>NTR relativas aos SOT)</w:t>
            </w:r>
            <w:r>
              <w:rPr>
                <w:rStyle w:val="InstructionsTabelleberschrift"/>
                <w:rFonts w:ascii="Times New Roman" w:hAnsi="Times New Roman"/>
                <w:b w:val="0"/>
                <w:noProof/>
                <w:sz w:val="24"/>
                <w:u w:val="none"/>
              </w:rPr>
              <w:t>.</w:t>
            </w:r>
          </w:p>
        </w:tc>
      </w:tr>
      <w:tr w:rsidR="00B0203E" w:rsidRPr="00D82419" w14:paraId="550C7814" w14:textId="77777777" w:rsidTr="63452C95">
        <w:tc>
          <w:tcPr>
            <w:tcW w:w="1129" w:type="dxa"/>
          </w:tcPr>
          <w:p w14:paraId="5978642C" w14:textId="7A907FB3"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0100-0140</w:t>
            </w:r>
          </w:p>
        </w:tc>
        <w:tc>
          <w:tcPr>
            <w:tcW w:w="7620" w:type="dxa"/>
          </w:tcPr>
          <w:p w14:paraId="4C372E56" w14:textId="1B90BE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Resultados líquido de juros</w:t>
            </w:r>
          </w:p>
          <w:p w14:paraId="5A9A4DA0" w14:textId="702C71B5" w:rsidR="00B0203E" w:rsidRPr="00D82419"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NII, tal como referido no </w:t>
            </w:r>
            <w:r>
              <w:rPr>
                <w:noProof/>
              </w:rPr>
              <w:t xml:space="preserve">artigo 98.º, n.º 5, alínea b), da Diretiva 2013/36/UE, e especificado no artigo 4.º do Regulamento Delegado (UE) .../... (SP: inserir a referência às </w:t>
            </w:r>
            <w:r>
              <w:rPr>
                <w:rStyle w:val="FormatvorlageInstructionsTabelleText"/>
                <w:rFonts w:ascii="Times New Roman" w:hAnsi="Times New Roman"/>
                <w:noProof/>
                <w:sz w:val="24"/>
              </w:rPr>
              <w:t>NTR relativas aos SOT)</w:t>
            </w:r>
            <w:r>
              <w:rPr>
                <w:noProof/>
              </w:rPr>
              <w:t>.</w:t>
            </w:r>
            <w:r>
              <w:rPr>
                <w:rStyle w:val="InstructionsTabelleberschrift"/>
                <w:rFonts w:ascii="Times New Roman" w:hAnsi="Times New Roman"/>
                <w:b w:val="0"/>
                <w:noProof/>
                <w:sz w:val="24"/>
                <w:u w:val="none"/>
              </w:rPr>
              <w:t xml:space="preserve"> </w:t>
            </w:r>
            <w:r>
              <w:rPr>
                <w:noProof/>
              </w:rPr>
              <w:t>No</w:t>
            </w:r>
            <w:r>
              <w:rPr>
                <w:rStyle w:val="InstructionsTabelleberschrift"/>
                <w:rFonts w:ascii="Times New Roman" w:hAnsi="Times New Roman"/>
                <w:b w:val="0"/>
                <w:noProof/>
                <w:sz w:val="24"/>
                <w:u w:val="none"/>
              </w:rPr>
              <w:t xml:space="preserve"> que respeita aos pressupostos de modelação e paramétricos não especificados no artigo 4.º do referido regulamento delegado, as instituições devem utilizar os pressupostos que aplicam na respetiva medição e gestão do IRRBB, ou seja, as suas metodologias de medição interna, o método padrão ou o método padrão simplificado, consoante o que for aplicável.</w:t>
            </w:r>
          </w:p>
          <w:p w14:paraId="1481DD1E" w14:textId="0736C1D5" w:rsidR="00A11939" w:rsidRPr="00D82419" w:rsidRDefault="0008615C"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As instituições devem considerar o tratamento contabilístico das coberturas (ou seja, contabilidade de cobertura) e não podem incluir os efeitos dos elementos a que se refere o artigo 33.º, n.º 1, alínea a), do </w:t>
            </w:r>
            <w:r>
              <w:rPr>
                <w:noProof/>
              </w:rPr>
              <w:t>Regulamento (UE) n.º 575/2013</w:t>
            </w:r>
            <w:r>
              <w:rPr>
                <w:rStyle w:val="FormatvorlageInstructionsTabelleText"/>
                <w:rFonts w:ascii="Times New Roman" w:hAnsi="Times New Roman"/>
                <w:noProof/>
                <w:sz w:val="24"/>
              </w:rPr>
              <w:t>.</w:t>
            </w:r>
          </w:p>
        </w:tc>
      </w:tr>
      <w:tr w:rsidR="00B0203E" w:rsidRPr="00D82419" w14:paraId="0F980DD4" w14:textId="77777777" w:rsidTr="63452C95">
        <w:tc>
          <w:tcPr>
            <w:tcW w:w="1129" w:type="dxa"/>
          </w:tcPr>
          <w:p w14:paraId="5A67693C" w14:textId="0253A2BF"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1C6833A3" w14:textId="0DF2229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no pior cenário</w:t>
            </w:r>
          </w:p>
          <w:p w14:paraId="0E312D00" w14:textId="5AB6AC0B"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Variação dos NII a um ano nos cenários de choque para efeitos de supervisão a que se refere o </w:t>
            </w:r>
            <w:r>
              <w:rPr>
                <w:rStyle w:val="FormatvorlageInstructionsTabelleText"/>
                <w:rFonts w:ascii="Times New Roman" w:hAnsi="Times New Roman"/>
                <w:noProof/>
                <w:sz w:val="24"/>
              </w:rPr>
              <w:t>artigo 1.º, n.º 2, do Regulamento Delegado (UE) .../... (SP: inserir a referência às NTR relativas aos SOT) que causam o maior declínio do NII.</w:t>
            </w:r>
            <w:r>
              <w:rPr>
                <w:rStyle w:val="FormatvorlageInstructionsTabelleText"/>
                <w:rFonts w:ascii="Times New Roman" w:hAnsi="Times New Roman"/>
                <w:noProof/>
              </w:rPr>
              <w:t xml:space="preserve"> </w:t>
            </w:r>
            <w:r>
              <w:rPr>
                <w:rStyle w:val="FormatvorlageInstructionsTabelleText"/>
                <w:rFonts w:ascii="Times New Roman" w:hAnsi="Times New Roman"/>
                <w:noProof/>
                <w:sz w:val="24"/>
              </w:rPr>
              <w:t xml:space="preserve">O pior resultado dos valores das linhas </w:t>
            </w:r>
            <w:r>
              <w:rPr>
                <w:rStyle w:val="InstructionsTabelleberschrift"/>
                <w:rFonts w:ascii="Times New Roman" w:hAnsi="Times New Roman"/>
                <w:b w:val="0"/>
                <w:noProof/>
                <w:sz w:val="24"/>
                <w:u w:val="none"/>
              </w:rPr>
              <w:t xml:space="preserve">0130 a 0140 </w:t>
            </w:r>
            <w:r>
              <w:rPr>
                <w:rStyle w:val="FormatvorlageInstructionsTabelleText"/>
                <w:rFonts w:ascii="Times New Roman" w:hAnsi="Times New Roman"/>
                <w:noProof/>
                <w:sz w:val="24"/>
              </w:rPr>
              <w:t>deve ser relatado nesta linha.</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7CED9633" w14:textId="512F2026" w:rsidR="00227983" w:rsidRPr="00D82419" w:rsidRDefault="00F64CC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Rácio de ∆NII no pior cenário</w:t>
            </w:r>
          </w:p>
          <w:p w14:paraId="2262B2BB" w14:textId="035A73E6" w:rsidR="009E5DE6" w:rsidRPr="00D82419" w:rsidRDefault="009E5D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Rácio entre o valor relatado na linha 0100 e os fundos próprios de nível 1, </w:t>
            </w:r>
            <w:r>
              <w:rPr>
                <w:noProof/>
              </w:rPr>
              <w:t>determinado em conformidade com o artigo 25.º do Regulamento (UE) n.º 575/2013</w:t>
            </w:r>
            <w:r>
              <w:rPr>
                <w:rStyle w:val="InstructionsTabelleberschrift"/>
                <w:rFonts w:ascii="Times New Roman" w:hAnsi="Times New Roman"/>
                <w:b w:val="0"/>
                <w:noProof/>
                <w:sz w:val="24"/>
                <w:u w:val="none"/>
              </w:rPr>
              <w:t>.</w:t>
            </w:r>
          </w:p>
        </w:tc>
      </w:tr>
      <w:tr w:rsidR="009F50A3" w:rsidRPr="00D82419" w14:paraId="3C0AB8F1" w14:textId="77777777" w:rsidTr="63452C95">
        <w:tc>
          <w:tcPr>
            <w:tcW w:w="1129" w:type="dxa"/>
          </w:tcPr>
          <w:p w14:paraId="575733AA" w14:textId="200097E1"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0120-0140</w:t>
            </w:r>
          </w:p>
        </w:tc>
        <w:tc>
          <w:tcPr>
            <w:tcW w:w="7620" w:type="dxa"/>
          </w:tcPr>
          <w:p w14:paraId="674E2DEC" w14:textId="79C7A2D5" w:rsidR="00F26924"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no cenário de base e nos cenários de choque para efeitos de supervisão</w:t>
            </w:r>
          </w:p>
          <w:p w14:paraId="29D06DA2" w14:textId="401CE418" w:rsidR="001768A4" w:rsidRPr="00D82419" w:rsidRDefault="00E115F2"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Nível dos NII no cenário de base e ΔNII nos cenários de choque para efeitos de supervisão a que se refere o </w:t>
            </w:r>
            <w:r>
              <w:rPr>
                <w:rStyle w:val="FormatvorlageInstructionsTabelleText"/>
                <w:rFonts w:ascii="Times New Roman" w:hAnsi="Times New Roman"/>
                <w:noProof/>
                <w:sz w:val="24"/>
              </w:rPr>
              <w:t>artigo 1.º, n.º 2, do Regulamento Delegado (UE) .../... (SP: inserir a referência às NTR relativas aos SOT).</w:t>
            </w:r>
          </w:p>
        </w:tc>
      </w:tr>
      <w:tr w:rsidR="00B1769B" w:rsidRPr="00D82419" w14:paraId="74B9F5A4" w14:textId="77777777" w:rsidTr="63452C95">
        <w:tc>
          <w:tcPr>
            <w:tcW w:w="1129" w:type="dxa"/>
          </w:tcPr>
          <w:p w14:paraId="6ACD054A" w14:textId="3334CDA1"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Nível do NII no cenário de base </w:t>
            </w:r>
          </w:p>
          <w:p w14:paraId="5650CC49" w14:textId="440C8528" w:rsidR="00B1769B" w:rsidRPr="00D82419" w:rsidDel="008C1F5D"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Nível dos NII no cenário de base da taxa de juro à data de referência.</w:t>
            </w:r>
          </w:p>
        </w:tc>
      </w:tr>
      <w:tr w:rsidR="00B1769B" w:rsidRPr="00D82419" w14:paraId="5A23CC83" w14:textId="77777777" w:rsidTr="63452C95">
        <w:tc>
          <w:tcPr>
            <w:tcW w:w="1129" w:type="dxa"/>
          </w:tcPr>
          <w:p w14:paraId="0265CE45" w14:textId="2A0AC21C"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num choque de subida paralela</w:t>
            </w:r>
          </w:p>
          <w:p w14:paraId="1B5D0209" w14:textId="280D8D7E" w:rsidR="00B1769B" w:rsidRPr="00D82419" w:rsidRDefault="00B1769B"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Variação dos NII no cenário de «choque de subida paralela» a que se refere o artigo 1.º, n.º 2, alínea a), e o artigo 2.º do Regulamento Delegado (UE) .../... (SP: inserir a referência às </w:t>
            </w:r>
            <w:r>
              <w:rPr>
                <w:rStyle w:val="FormatvorlageInstructionsTabelleText"/>
                <w:rFonts w:ascii="Times New Roman" w:hAnsi="Times New Roman"/>
                <w:noProof/>
                <w:sz w:val="24"/>
              </w:rPr>
              <w:t>NTR relativas aos SOT)</w:t>
            </w:r>
            <w:r>
              <w:rPr>
                <w:rStyle w:val="InstructionsTabelleberschrift"/>
                <w:rFonts w:ascii="Times New Roman" w:hAnsi="Times New Roman"/>
                <w:b w:val="0"/>
                <w:noProof/>
                <w:sz w:val="24"/>
                <w:u w:val="none"/>
              </w:rPr>
              <w:t>.</w:t>
            </w:r>
          </w:p>
        </w:tc>
      </w:tr>
      <w:tr w:rsidR="00B1769B" w:rsidRPr="00D82419" w14:paraId="3A41310B" w14:textId="77777777" w:rsidTr="63452C95">
        <w:tc>
          <w:tcPr>
            <w:tcW w:w="1129" w:type="dxa"/>
          </w:tcPr>
          <w:p w14:paraId="2A69B51A" w14:textId="0BBDEA22"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num choque de descida paralela</w:t>
            </w:r>
          </w:p>
          <w:p w14:paraId="4D8674F1" w14:textId="517AA498"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Variação dos NII no cenário de «choque de descida paralela» a que se refere o artigo 1.º, n.º 2, alínea b), e o artigo 2.º do Regulamento Delegado (UE) .../... (SP: inserir a referência às </w:t>
            </w:r>
            <w:r>
              <w:rPr>
                <w:rStyle w:val="FormatvorlageInstructionsTabelleText"/>
                <w:rFonts w:ascii="Times New Roman" w:hAnsi="Times New Roman"/>
                <w:noProof/>
                <w:sz w:val="24"/>
              </w:rPr>
              <w:t>NTR relativas aos SOT)</w:t>
            </w:r>
            <w:r>
              <w:rPr>
                <w:noProof/>
              </w:rPr>
              <w:t>.</w:t>
            </w:r>
          </w:p>
        </w:tc>
      </w:tr>
      <w:tr w:rsidR="00923153" w:rsidRPr="00D82419" w14:paraId="5B99C8B8" w14:textId="77777777" w:rsidTr="63452C95">
        <w:tc>
          <w:tcPr>
            <w:tcW w:w="1129" w:type="dxa"/>
          </w:tcPr>
          <w:p w14:paraId="7203579F" w14:textId="7494CBB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0150-0170</w:t>
            </w:r>
          </w:p>
        </w:tc>
        <w:tc>
          <w:tcPr>
            <w:tcW w:w="7620" w:type="dxa"/>
          </w:tcPr>
          <w:p w14:paraId="094CEC13" w14:textId="51CFDCB3" w:rsidR="00923153" w:rsidRPr="00D82419" w:rsidRDefault="001A01B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Variações do valor de mercado do IMS</w:t>
            </w:r>
          </w:p>
          <w:p w14:paraId="2E5292E0" w14:textId="7A67CD3C" w:rsidR="007229C5" w:rsidRPr="00D82419" w:rsidRDefault="007229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no cenário de base e nos cenários de choque para efeitos de supervisão</w:t>
            </w:r>
          </w:p>
          <w:p w14:paraId="67095171" w14:textId="3967989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As previsões de variações do MV (</w:t>
            </w:r>
            <w:r>
              <w:rPr>
                <w:rStyle w:val="FormatvorlageInstructionsTabelleText"/>
                <w:rFonts w:ascii="Times New Roman" w:hAnsi="Times New Roman"/>
                <w:b/>
                <w:noProof/>
                <w:sz w:val="24"/>
              </w:rPr>
              <w:t>∆</w:t>
            </w:r>
            <w:r>
              <w:rPr>
                <w:rStyle w:val="FormatvorlageInstructionsTabelleText"/>
                <w:rFonts w:ascii="Times New Roman" w:hAnsi="Times New Roman"/>
                <w:noProof/>
                <w:sz w:val="24"/>
              </w:rPr>
              <w:t>MV)</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do montante escriturado ao longo de um horizonte de um ano num </w:t>
            </w:r>
            <w:r>
              <w:rPr>
                <w:rStyle w:val="InstructionsTabelleberschrift"/>
                <w:rFonts w:ascii="Times New Roman" w:hAnsi="Times New Roman"/>
                <w:b w:val="0"/>
                <w:noProof/>
                <w:sz w:val="24"/>
                <w:u w:val="none"/>
              </w:rPr>
              <w:t xml:space="preserve">cenário de base e num cenário de choque para efeitos de supervisão </w:t>
            </w:r>
            <w:r>
              <w:rPr>
                <w:rStyle w:val="FormatvorlageInstructionsTabelleText"/>
                <w:rFonts w:ascii="Times New Roman" w:hAnsi="Times New Roman"/>
                <w:noProof/>
                <w:sz w:val="24"/>
              </w:rPr>
              <w:t xml:space="preserve">devem ser apresentadas na demonstração de resultados ou diretamente no capital próprio (por exemplo, através de outro rendimento integral). As instituições devem relatar o </w:t>
            </w:r>
            <w:r>
              <w:rPr>
                <w:rStyle w:val="InstructionsTabelleberschrift"/>
                <w:rFonts w:ascii="Times New Roman" w:hAnsi="Times New Roman"/>
                <w:noProof/>
                <w:sz w:val="24"/>
                <w:u w:val="none"/>
              </w:rPr>
              <w:t>∆</w:t>
            </w:r>
            <w:r>
              <w:rPr>
                <w:rStyle w:val="FormatvorlageInstructionsTabelleText"/>
                <w:rFonts w:ascii="Times New Roman" w:hAnsi="Times New Roman"/>
                <w:noProof/>
                <w:sz w:val="24"/>
              </w:rPr>
              <w:t xml:space="preserve">MV líquido do efeito das coberturas contabilísticas (ou seja, contabilidade de cobertura) e ignorar os efeitos dos elementos a que se refere o artigo 33.º, n.º 1, alínea a), do </w:t>
            </w:r>
            <w:r>
              <w:rPr>
                <w:noProof/>
              </w:rPr>
              <w:t>Regulamento (UE) n.º 575/2013</w:t>
            </w:r>
            <w:r>
              <w:rPr>
                <w:rStyle w:val="FormatvorlageInstructionsTabelleText"/>
                <w:rFonts w:ascii="Times New Roman" w:hAnsi="Times New Roman"/>
                <w:noProof/>
                <w:sz w:val="24"/>
              </w:rPr>
              <w:t xml:space="preserve"> (componente efetiva dos derivados da contabilidade de cobertura dos fluxos de caixa que cobrem elementos do custo amortizado).</w:t>
            </w:r>
          </w:p>
          <w:p w14:paraId="6B865342" w14:textId="109448BB" w:rsidR="00923153" w:rsidRPr="00D82419" w:rsidRDefault="0092315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Para os cenários de choque para efeitos de supervisão a que se refere o artigo 1.º, n.º 2, do Regulamento Delegado (UE) .../... (SP: inserir a referência às NTR relativas ao SA), as instituições devem utilizar as previsões de ∆MV de acordo com o  IRRBB IMS da instituição ou, se for caso disso, </w:t>
            </w:r>
            <w:r>
              <w:rPr>
                <w:rStyle w:val="FormatvorlageInstructionsTabelleText"/>
                <w:rFonts w:ascii="Times New Roman" w:hAnsi="Times New Roman"/>
                <w:noProof/>
                <w:sz w:val="24"/>
              </w:rPr>
              <w:t xml:space="preserve">com o artigo 22.º do Regulamento Delegado (UE) .../... (SP: inserir a referência às NTR relativas aos SOT). </w:t>
            </w:r>
          </w:p>
          <w:p w14:paraId="24C4DC3D" w14:textId="23B6E2D6"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A dimensão total e a composição do montante cujo valor é sensível ao </w:t>
            </w:r>
            <w:r>
              <w:rPr>
                <w:rStyle w:val="InstructionsTabelleberschrift"/>
                <w:rFonts w:ascii="Times New Roman" w:hAnsi="Times New Roman"/>
                <w:b w:val="0"/>
                <w:noProof/>
                <w:sz w:val="24"/>
                <w:u w:val="none"/>
              </w:rPr>
              <w:t>∆</w:t>
            </w:r>
            <w:r>
              <w:rPr>
                <w:rStyle w:val="FormatvorlageInstructionsTabelleText"/>
                <w:rFonts w:ascii="Times New Roman" w:hAnsi="Times New Roman"/>
                <w:noProof/>
                <w:sz w:val="24"/>
              </w:rPr>
              <w:t>MV devem ser mantidas substituindo os instrumentos que vencem por novos instrumentos com características comparáveis (incluindo a moeda e o montante nominal dos instrumentos).</w:t>
            </w:r>
          </w:p>
          <w:p w14:paraId="536B6F4D" w14:textId="5656A60C" w:rsidR="00AF5A06" w:rsidRPr="00D82419" w:rsidRDefault="00AF5A0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As estimativas de risco, das quais derivam os parâmetros pertinentes, devem ser equivalentes às utilizadas para os cálculos dos SOT, incluindo, se for caso disso, a modelação comportamental e a </w:t>
            </w:r>
            <w:r>
              <w:rPr>
                <w:noProof/>
              </w:rPr>
              <w:t>opcionalidade automática.</w:t>
            </w:r>
          </w:p>
        </w:tc>
      </w:tr>
      <w:tr w:rsidR="00B42594" w:rsidRPr="00D82419" w:rsidDel="008E0D48" w14:paraId="7AC6FA75" w14:textId="77777777" w:rsidTr="63452C95">
        <w:tc>
          <w:tcPr>
            <w:tcW w:w="1129" w:type="dxa"/>
          </w:tcPr>
          <w:p w14:paraId="4F73B923" w14:textId="33FB00F8"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Nível do MV no cenário de base </w:t>
            </w:r>
          </w:p>
          <w:p w14:paraId="25925B58" w14:textId="0CA46700" w:rsidR="00B42594" w:rsidRPr="00D82419" w:rsidDel="008C1F5D"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Nível dos MV no cenário de base da taxa de juro à data de referência.</w:t>
            </w:r>
          </w:p>
        </w:tc>
      </w:tr>
      <w:tr w:rsidR="00B42594" w:rsidRPr="00D82419" w14:paraId="3900C6EB" w14:textId="77777777" w:rsidTr="63452C95">
        <w:tc>
          <w:tcPr>
            <w:tcW w:w="1129" w:type="dxa"/>
          </w:tcPr>
          <w:p w14:paraId="35C36A35" w14:textId="61A8A73B"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num choque de subida paralela</w:t>
            </w:r>
          </w:p>
          <w:p w14:paraId="1898CD18" w14:textId="4E66E93D"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Variação do MV no cenário de «choque de subida paralela» a que se refere o artigo 1.º, n.º 2, alínea a), e o artigo 2.º do Regulamento Delegado (UE) .../... (SP: inserir a referência às </w:t>
            </w:r>
            <w:r>
              <w:rPr>
                <w:rStyle w:val="FormatvorlageInstructionsTabelleText"/>
                <w:rFonts w:ascii="Times New Roman" w:hAnsi="Times New Roman"/>
                <w:noProof/>
                <w:sz w:val="24"/>
              </w:rPr>
              <w:t>NTR relativas aos SOT)</w:t>
            </w:r>
            <w:r>
              <w:rPr>
                <w:rStyle w:val="InstructionsTabelleberschrift"/>
                <w:rFonts w:ascii="Times New Roman" w:hAnsi="Times New Roman"/>
                <w:b w:val="0"/>
                <w:noProof/>
                <w:sz w:val="24"/>
                <w:u w:val="none"/>
              </w:rPr>
              <w:t>.</w:t>
            </w:r>
          </w:p>
        </w:tc>
      </w:tr>
      <w:tr w:rsidR="00B42594" w:rsidRPr="00D82419" w14:paraId="00FFC402" w14:textId="77777777" w:rsidTr="63452C95">
        <w:tc>
          <w:tcPr>
            <w:tcW w:w="1129" w:type="dxa"/>
          </w:tcPr>
          <w:p w14:paraId="6DDBFDDC" w14:textId="51876AB6" w:rsidR="00B42594" w:rsidRPr="00D82419" w:rsidRDefault="00B4259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num choque de descida paralela</w:t>
            </w:r>
          </w:p>
          <w:p w14:paraId="39515A3E" w14:textId="14E3906F" w:rsidR="00B42594" w:rsidRPr="00D82419" w:rsidRDefault="00B42594" w:rsidP="003C575D">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 xml:space="preserve">Variação do MV no cenário de «choque de descida paralela» a que se refere o artigo 1.º, n.º 2, alínea b), e o artigo 2.º do Regulamento Delegado (UE) .../... (SP: inserir a referência às </w:t>
            </w:r>
            <w:r>
              <w:rPr>
                <w:rStyle w:val="FormatvorlageInstructionsTabelleText"/>
                <w:rFonts w:ascii="Times New Roman" w:hAnsi="Times New Roman"/>
                <w:noProof/>
                <w:sz w:val="24"/>
              </w:rPr>
              <w:t>NTR relativas aos SOT)</w:t>
            </w:r>
            <w:r>
              <w:rPr>
                <w:rStyle w:val="InstructionsTabelleberschrift"/>
                <w:rFonts w:ascii="Times New Roman" w:hAnsi="Times New Roman"/>
                <w:b w:val="0"/>
                <w:noProof/>
                <w:sz w:val="24"/>
                <w:u w:val="none"/>
              </w:rPr>
              <w:t>.</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Outras moedas: dimensão dos choques de taxas de juro</w:t>
            </w:r>
          </w:p>
          <w:p w14:paraId="62EEE84C" w14:textId="7928B66E" w:rsidR="00BC1B09" w:rsidRPr="00D82419" w:rsidRDefault="00677FBE"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Parte B do anexo do Regulamento Delegado (UE) .../... (SP: inserir a referência às NTR relativas aos SOT).</w:t>
            </w:r>
          </w:p>
          <w:p w14:paraId="0252908B" w14:textId="68C40504"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Choques de taxas de juro para moedas calibradas em conformidade com a parte B do anexo do Regulamento Delegado (UE) .../... (SP: inserir a referência às NTR relativas aos SOT) e com o artigo 2.º desse regulamento delegado. A dimensão dos choques de taxas de juro deve ser relatada em pontos de base e em valor absoluto. A dimensão do choque representa a diferença (Δ𝑅) em relação à taxa de juro sem risco.</w:t>
            </w:r>
          </w:p>
          <w:p w14:paraId="0D8BD90C" w14:textId="2887FF27" w:rsidR="00BC1B09" w:rsidRPr="00D82419" w:rsidRDefault="00BC1B09" w:rsidP="003C575D">
            <w:pPr>
              <w:pStyle w:val="InstructionsText"/>
              <w:rPr>
                <w:rStyle w:val="FormatvorlageInstructionsTabelleText"/>
                <w:rFonts w:ascii="Times New Roman" w:hAnsi="Times New Roman"/>
                <w:b/>
                <w:noProof/>
                <w:sz w:val="24"/>
                <w:highlight w:val="yellow"/>
                <w:u w:val="single"/>
              </w:rPr>
            </w:pPr>
            <w:r>
              <w:rPr>
                <w:rStyle w:val="InstructionsTabelleberschrift"/>
                <w:rFonts w:ascii="Times New Roman" w:hAnsi="Times New Roman"/>
                <w:b w:val="0"/>
                <w:noProof/>
                <w:sz w:val="24"/>
                <w:u w:val="none"/>
              </w:rPr>
              <w:t xml:space="preserve">Estas linhas não podem ser relatadas para as moedas referidas na parte A do anexo do Regulamento Delegado (UE) .../... (SP: inserir a referência às </w:t>
            </w:r>
            <w:r>
              <w:rPr>
                <w:rStyle w:val="FormatvorlageInstructionsTabelleText"/>
                <w:rFonts w:ascii="Times New Roman" w:hAnsi="Times New Roman"/>
                <w:noProof/>
                <w:sz w:val="24"/>
              </w:rPr>
              <w:t xml:space="preserve">NTR relativas aos SOT). Só devem ser relatadas para as moedas consideradas nos SOT, </w:t>
            </w:r>
            <w:r>
              <w:rPr>
                <w:noProof/>
              </w:rPr>
              <w:t>em conformidade com o artigo 1.º, n.º 4, do referido regulamento delegado</w:t>
            </w:r>
            <w:r>
              <w:rPr>
                <w:rStyle w:val="FormatvorlageInstructionsTabelleText"/>
                <w:rFonts w:ascii="Times New Roman" w:hAnsi="Times New Roman"/>
                <w:noProof/>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Choque paralelo </w:t>
            </w:r>
          </w:p>
          <w:p w14:paraId="120B2401" w14:textId="7AFA356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 xml:space="preserve">Dimensão do choque paralelo de taxas de juro em pontos base calibrados em conformidade com a parte B do anexo do Regulamento Delegado (UE) .../... (SP: inserir a referência às </w:t>
            </w:r>
            <w:r>
              <w:rPr>
                <w:noProof/>
              </w:rPr>
              <w:t>NTR relativas aos SOT)</w:t>
            </w:r>
            <w:r>
              <w:rPr>
                <w:rStyle w:val="FormatvorlageInstructionsTabelleText"/>
                <w:rFonts w:ascii="Times New Roman" w:hAnsi="Times New Roman"/>
                <w:noProof/>
                <w:sz w:val="24"/>
              </w:rPr>
              <w:t xml:space="preserve"> e com o artigo 2.º, n.º 1, do referido regulamento delegado.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Choque de taxa a curto prazo</w:t>
            </w:r>
          </w:p>
          <w:p w14:paraId="268536D0" w14:textId="54B23D9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Dimensão do choque das taxas de juro a curto prazo em pontos base calibrados de acordo com o choque a curto prazo referido na</w:t>
            </w:r>
            <w:r>
              <w:rPr>
                <w:noProof/>
                <w:sz w:val="23"/>
              </w:rPr>
              <w:t xml:space="preserve"> </w:t>
            </w:r>
            <w:r>
              <w:rPr>
                <w:rStyle w:val="FormatvorlageInstructionsTabelleText"/>
                <w:rFonts w:ascii="Times New Roman" w:hAnsi="Times New Roman"/>
                <w:noProof/>
                <w:sz w:val="24"/>
              </w:rPr>
              <w:t xml:space="preserve">parte B do anexo do Regulamento Delegado (UE) .../... (SP: inserir a referência às </w:t>
            </w:r>
            <w:r>
              <w:rPr>
                <w:noProof/>
              </w:rPr>
              <w:t>NTR relativas aos SOT)</w:t>
            </w:r>
            <w:r>
              <w:rPr>
                <w:rStyle w:val="FormatvorlageInstructionsTabelleText"/>
                <w:rFonts w:ascii="Times New Roman" w:hAnsi="Times New Roman"/>
                <w:noProof/>
                <w:sz w:val="24"/>
              </w:rPr>
              <w:t xml:space="preserve"> e no artigo 2.º, n.º 2, do referido regulamento delegado.</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Choque de taxa a longo prazo</w:t>
            </w:r>
          </w:p>
          <w:p w14:paraId="0C2901AA" w14:textId="300F2D03"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Dimensão do choque das taxas de juro a longo prazo em pontos base calibrados de acordo com o choque a longo prazo referido na</w:t>
            </w:r>
            <w:r>
              <w:rPr>
                <w:noProof/>
                <w:sz w:val="23"/>
              </w:rPr>
              <w:t xml:space="preserve"> </w:t>
            </w:r>
            <w:r>
              <w:rPr>
                <w:rStyle w:val="FormatvorlageInstructionsTabelleText"/>
                <w:rFonts w:ascii="Times New Roman" w:hAnsi="Times New Roman"/>
                <w:noProof/>
                <w:sz w:val="24"/>
              </w:rPr>
              <w:t>parte B do anexo do Regulamento Delegado (UE) .../... (SP: inserir a referência às NTR relativas aos SOT) e no artigo 2.º, n.º 3, do referido regulamento delegado.</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Colunas</w:t>
            </w:r>
          </w:p>
        </w:tc>
        <w:tc>
          <w:tcPr>
            <w:tcW w:w="7620" w:type="dxa"/>
            <w:shd w:val="clear" w:color="auto" w:fill="D9D9D9" w:themeFill="background1" w:themeFillShade="D9"/>
          </w:tcPr>
          <w:p w14:paraId="439B0F6E"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Referências jurídicas e instruções</w:t>
            </w:r>
          </w:p>
        </w:tc>
      </w:tr>
      <w:tr w:rsidR="00AD0050" w:rsidRPr="00D82419" w14:paraId="47947801" w14:textId="77777777" w:rsidTr="63452C95">
        <w:tc>
          <w:tcPr>
            <w:tcW w:w="1129" w:type="dxa"/>
          </w:tcPr>
          <w:p w14:paraId="0F239392" w14:textId="77777777" w:rsidR="00AD0050" w:rsidRPr="00D82419" w:rsidRDefault="00AD005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Montante</w:t>
            </w:r>
          </w:p>
          <w:p w14:paraId="6D17DD5F" w14:textId="7B468155" w:rsidR="00AD0050" w:rsidRPr="00D82419" w:rsidRDefault="3F6CE5E4" w:rsidP="003C575D">
            <w:pPr>
              <w:pStyle w:val="InstructionsText"/>
              <w:rPr>
                <w:noProof/>
              </w:rPr>
            </w:pPr>
            <w:r>
              <w:rPr>
                <w:noProof/>
              </w:rPr>
              <w:t xml:space="preserve">A dimensão especificada dos choques de taxas de juro deve ser relatada em pontos de base (pb), as </w:t>
            </w:r>
            <w:r>
              <w:rPr>
                <w:rStyle w:val="InstructionsTabelleberschrift"/>
                <w:rFonts w:ascii="Times New Roman" w:hAnsi="Times New Roman"/>
                <w:noProof/>
                <w:sz w:val="24"/>
                <w:u w:val="none"/>
              </w:rPr>
              <w:t>∆</w:t>
            </w:r>
            <w:r>
              <w:rPr>
                <w:noProof/>
              </w:rPr>
              <w:t xml:space="preserve">EVE e as </w:t>
            </w:r>
            <w:r>
              <w:rPr>
                <w:rStyle w:val="InstructionsTabelleberschrift"/>
                <w:rFonts w:ascii="Times New Roman" w:hAnsi="Times New Roman"/>
                <w:noProof/>
                <w:sz w:val="24"/>
                <w:u w:val="none"/>
              </w:rPr>
              <w:t>∆</w:t>
            </w:r>
            <w:r>
              <w:rPr>
                <w:noProof/>
              </w:rPr>
              <w:t>INI devem ser relatadas como rácios e montantes (tal como especificado nas instruções das linhas). Os montantes devem ser relatados na moeda de relato.</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1257BA2F" w:rsidR="009E536A" w:rsidRPr="00D82419" w:rsidRDefault="009E536A" w:rsidP="00430DF0">
      <w:pPr>
        <w:pStyle w:val="Heading2"/>
        <w:suppressAutoHyphens/>
        <w:rPr>
          <w:noProof/>
        </w:rPr>
      </w:pPr>
      <w:bookmarkStart w:id="48" w:name="_Toc160214242"/>
      <w:r>
        <w:rPr>
          <w:noProof/>
        </w:rPr>
        <w:t>PARTE III: REPARTIÇÃO DAS ESTIMATIVAS DE SENSIBILIDADE (J 02.00, J 03.00 e J 04.00)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214243"/>
      <w:r>
        <w:rPr>
          <w:b/>
          <w:noProof/>
          <w:sz w:val="24"/>
        </w:rPr>
        <w:t>1.</w:t>
      </w:r>
      <w:r>
        <w:rPr>
          <w:b/>
          <w:noProof/>
          <w:sz w:val="24"/>
        </w:rPr>
        <w:tab/>
        <w:t>Observações gerais</w:t>
      </w:r>
      <w:bookmarkEnd w:id="49"/>
    </w:p>
    <w:p w14:paraId="166F23E4" w14:textId="65159E23" w:rsidR="007F62B7"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Os modelos J 02.00, J 03.00 e J 04.00 apresentam novas repartições das estimativas de uma instituição das sensibilidades IRRBB dos SOT [Regulamento Delegado (UE) .../... (SP: inserir a referência às NTR relativas aos SOT)] e das variações do MV (gestão interna dos riscos com um horizonte de um ano e pressuposto constante de balanço), incluindo opcionalidade comportamental/condicional e automática para uma repartição específica das rubricas do balanço. </w:t>
      </w:r>
    </w:p>
    <w:p w14:paraId="0B9B6E14" w14:textId="4E265B10" w:rsidR="00911248"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As instituições devem relatar o conteúdo desses modelos separadamente para cada moeda relativamente à qual as instituições têm posições em que o valor contabilístico dos ativos ou passivos financeiros denominados numa moeda ascenda a 5 % ou mais do total dos ativos ou passivos financeiros da carteira bancária, ou seja inferior a 5 % se a soma dos ativos ou passivos financeiros incluídos no cálculo for inferior a 90 % do total dos ativos (excluindo ativos tangíveis) ou passivos financeiros da carteira bancária.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214244"/>
      <w:r>
        <w:rPr>
          <w:b/>
          <w:noProof/>
          <w:sz w:val="24"/>
        </w:rPr>
        <w:t>2.</w:t>
      </w:r>
      <w:r>
        <w:rPr>
          <w:b/>
          <w:noProof/>
          <w:sz w:val="24"/>
        </w:rPr>
        <w:tab/>
        <w:t>Instruções relativas a posições específicas</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Linha</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Referências jurídicas e instruções</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Total dos ativos</w:t>
            </w:r>
          </w:p>
          <w:p w14:paraId="7107F5D8" w14:textId="44611D25"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Total dos ativos sensíveis às taxas de juro</w:t>
            </w:r>
            <w:r>
              <w:rPr>
                <w:noProof/>
              </w:rPr>
              <w:t xml:space="preserve"> no âmbito de aplicação do Regulamento Delegado (UE) .../... (SP: inserir a referência às NTR relativas aos SOT), </w:t>
            </w:r>
            <w:r>
              <w:rPr>
                <w:rStyle w:val="FormatvorlageInstructionsTabelleText"/>
                <w:rFonts w:ascii="Times New Roman" w:hAnsi="Times New Roman"/>
                <w:noProof/>
                <w:sz w:val="24"/>
              </w:rPr>
              <w:t xml:space="preserve">independentemente do seu tratamento contabilístico. Esta linha deve incluir: </w:t>
            </w:r>
          </w:p>
          <w:p w14:paraId="5F3B0345" w14:textId="5954E224" w:rsidR="00D1720D"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ativos face aos bancos centrais,</w:t>
            </w:r>
          </w:p>
          <w:p w14:paraId="2F726373" w14:textId="2FE063AD" w:rsidR="006E4174" w:rsidRPr="00D82419"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ativos interbancários,</w:t>
            </w:r>
          </w:p>
          <w:p w14:paraId="04EFCDE1" w14:textId="4E5CB67E" w:rsidR="00741F94" w:rsidRPr="00D82419" w:rsidRDefault="00E21745"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empréstimos e adiantamentos,</w:t>
            </w:r>
          </w:p>
          <w:p w14:paraId="7EB9F6CB" w14:textId="55D1E706"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instrumentos de dívida,</w:t>
            </w:r>
          </w:p>
          <w:p w14:paraId="3F3DC394" w14:textId="7098B68E"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derivados para cobertura de ativos,</w:t>
            </w:r>
          </w:p>
          <w:p w14:paraId="3F84EC18" w14:textId="2DA05C93"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outros.</w:t>
            </w:r>
          </w:p>
          <w:p w14:paraId="69621AB3" w14:textId="68D06F22" w:rsidR="00741F94" w:rsidRPr="00D82419" w:rsidRDefault="00F13E6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As instituições devem relatar as exposições relativas ao IRRBB de ativos que não são deduzidos aos fundos próprios principais de nível 1 (CET1) determinados nos termos da parte II, título I, capítulo 2, do </w:t>
            </w:r>
            <w:r>
              <w:rPr>
                <w:noProof/>
              </w:rPr>
              <w:t>Regulamento (UE) n.º 575/2013</w:t>
            </w:r>
            <w:r>
              <w:rPr>
                <w:rStyle w:val="InstructionsTabelleberschrift"/>
                <w:rFonts w:ascii="Times New Roman" w:hAnsi="Times New Roman"/>
                <w:b w:val="0"/>
                <w:noProof/>
                <w:sz w:val="24"/>
                <w:u w:val="none"/>
              </w:rPr>
              <w:t xml:space="preserve"> e excluindo ativos tangíveis, como bens imóveis, bem como as exposições sobre ações da carteira bancária a que se referem o artigo 133.º e o artigo 147.º, n.º 2, alínea e), do </w:t>
            </w:r>
            <w:r>
              <w:rPr>
                <w:noProof/>
              </w:rPr>
              <w:t>Regulamento (UE) n.º 575/2013</w:t>
            </w:r>
            <w:r>
              <w:rPr>
                <w:rStyle w:val="InstructionsTabelleberschrift"/>
                <w:rFonts w:ascii="Times New Roman" w:hAnsi="Times New Roman"/>
                <w:b w:val="0"/>
                <w:noProof/>
                <w:sz w:val="24"/>
                <w:u w:val="none"/>
              </w:rPr>
              <w:t>. Estas exposições devem ser afetadas aos setores das contrapartes de acordo com a natureza da contraparte imediata.</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dos quais: devido a opcionalidade automática</w:t>
            </w:r>
          </w:p>
          <w:p w14:paraId="7FE49A82" w14:textId="40A972FE" w:rsidR="00364443" w:rsidRPr="0041005E" w:rsidRDefault="001D67C3" w:rsidP="003C575D">
            <w:pPr>
              <w:pStyle w:val="InstructionsText"/>
              <w:rPr>
                <w:noProof/>
              </w:rPr>
            </w:pPr>
            <w:r>
              <w:rPr>
                <w:noProof/>
              </w:rPr>
              <w:t>Contribuição da opcionalidade automática integrada e explícita para o total dos ativos sensíveis às taxa</w:t>
            </w:r>
            <w:r w:rsidR="00893F6C">
              <w:rPr>
                <w:noProof/>
              </w:rPr>
              <w:t>s</w:t>
            </w:r>
            <w:r>
              <w:rPr>
                <w:noProof/>
              </w:rPr>
              <w:t xml:space="preserve"> de juro no âmbito de aplicação do Regulamento Delegado (UE) .../... (SP: inserir a referência às NTR relativas aos SOT), independentemente do seu tratamento contabilístico.</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Banco central</w:t>
            </w:r>
          </w:p>
          <w:p w14:paraId="4F18E9BC" w14:textId="7D9B69C5" w:rsidR="00741F94" w:rsidRPr="00D82419" w:rsidRDefault="000503D6" w:rsidP="003C575D">
            <w:pPr>
              <w:pStyle w:val="InstructionsText"/>
              <w:rPr>
                <w:rStyle w:val="InstructionsTabelleberschrift"/>
                <w:rFonts w:ascii="Times New Roman" w:hAnsi="Times New Roman"/>
                <w:b w:val="0"/>
                <w:bCs w:val="0"/>
                <w:noProof/>
                <w:sz w:val="24"/>
                <w:u w:val="none"/>
              </w:rPr>
            </w:pPr>
            <w:r>
              <w:rPr>
                <w:noProof/>
              </w:rPr>
              <w:t>Ativos face aos bancos centrais, incluindo saldos de caixa e depósitos à ordem, a que se refere o anexo V, parte 1, ponto 42, alínea a), do presente regulamento.</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Interbancário</w:t>
            </w:r>
          </w:p>
          <w:p w14:paraId="6C7EA869" w14:textId="37B60FF4" w:rsidR="00544C58" w:rsidRPr="00D82419" w:rsidRDefault="00CB3FA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Todos os ativos cuja contraparte seja uma instituição de crédito a que se refere o anexo V, parte 1, ponto 42, alínea c), do presente </w:t>
            </w:r>
            <w:r>
              <w:rPr>
                <w:noProof/>
              </w:rPr>
              <w:t>regulamento, excluindo valores mobiliários e exposições sobre derivados</w:t>
            </w:r>
            <w:r>
              <w:rPr>
                <w:rStyle w:val="InstructionsTabelleberschrift"/>
                <w:rFonts w:ascii="Times New Roman" w:hAnsi="Times New Roman"/>
                <w:b w:val="0"/>
                <w:noProof/>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Empréstimos e adiantamentos</w:t>
            </w:r>
          </w:p>
          <w:p w14:paraId="64597ADD" w14:textId="23559F2E" w:rsidR="00741F94" w:rsidRPr="00D82419" w:rsidRDefault="00CE054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Instrumentos de dívida detidos pelas instituições que não sejam valores mobiliários, </w:t>
            </w:r>
            <w:r>
              <w:rPr>
                <w:noProof/>
              </w:rPr>
              <w:t>tal como referido no anexo V, parte 1, ponto 32, do presente regulamento</w:t>
            </w:r>
            <w:r>
              <w:rPr>
                <w:rStyle w:val="InstructionsTabelleberschrift"/>
                <w:rFonts w:ascii="Times New Roman" w:hAnsi="Times New Roman"/>
                <w:b w:val="0"/>
                <w:noProof/>
                <w:sz w:val="24"/>
                <w:u w:val="none"/>
              </w:rPr>
              <w:t>. Esta linha não pode incluir as exposições incluídas nas linhas 0030 e 0040.</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dos quais: taxa fixa</w:t>
            </w:r>
          </w:p>
          <w:p w14:paraId="0C01CA13" w14:textId="2A2D1336" w:rsidR="003E575E" w:rsidRPr="00D82419" w:rsidRDefault="003E575E" w:rsidP="003C575D">
            <w:pPr>
              <w:pStyle w:val="InstructionsText"/>
              <w:rPr>
                <w:rStyle w:val="InstructionsTabelleberschrift"/>
                <w:rFonts w:ascii="Times New Roman" w:hAnsi="Times New Roman"/>
                <w:noProof/>
                <w:sz w:val="24"/>
              </w:rPr>
            </w:pPr>
            <w:r>
              <w:rPr>
                <w:noProof/>
              </w:rPr>
              <w:t xml:space="preserve">As instituições devem relatar os valores relativos aos instrumentos de taxa fixa, de acordo com as convenções especificadas na parte I, secção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99267D">
              <w:rPr>
                <w:noProof/>
              </w:rPr>
              <w:t>3</w:t>
            </w:r>
            <w:r w:rsidRPr="0099267D">
              <w:rPr>
                <w:noProof/>
              </w:rPr>
              <w:fldChar w:fldCharType="end"/>
            </w:r>
            <w:r>
              <w:rPr>
                <w:noProof/>
              </w:rPr>
              <w:t>, do presente anexo.</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dos quais: não produtivos</w:t>
            </w:r>
          </w:p>
          <w:p w14:paraId="65A1D079" w14:textId="06E8A2CC" w:rsidR="00741F94" w:rsidRPr="00D82419" w:rsidRDefault="007F62B7"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Empréstimos e adiantamentos não produtivos a que se refere o artigo 3.º, n.º 4, do Regulamento Delegado (UE) .../... (SP: inserir a referência às </w:t>
            </w:r>
            <w:r>
              <w:rPr>
                <w:noProof/>
              </w:rPr>
              <w:t>NTR relativas aos SOT)</w:t>
            </w:r>
            <w:r>
              <w:rPr>
                <w:rStyle w:val="InstructionsTabelleberschrift"/>
                <w:rFonts w:ascii="Times New Roman" w:hAnsi="Times New Roman"/>
                <w:b w:val="0"/>
                <w:noProof/>
                <w:sz w:val="24"/>
                <w:u w:val="none"/>
              </w:rPr>
              <w:t xml:space="preserve"> e o artigo 47.º-A, n.º 3, do </w:t>
            </w:r>
            <w:r>
              <w:rPr>
                <w:noProof/>
              </w:rPr>
              <w:t>Regulamento (UE) n.º 575/2013</w:t>
            </w:r>
            <w:r>
              <w:rPr>
                <w:rStyle w:val="InstructionsTabelleberschrift"/>
                <w:rFonts w:ascii="Times New Roman" w:hAnsi="Times New Roman"/>
                <w:b w:val="0"/>
                <w:noProof/>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Retalho</w:t>
            </w:r>
          </w:p>
          <w:p w14:paraId="6F9561E9" w14:textId="0D5F796D" w:rsidR="00BB1FA5" w:rsidRPr="00D82419" w:rsidRDefault="007F62B7" w:rsidP="003C575D">
            <w:pPr>
              <w:pStyle w:val="InstructionsText"/>
              <w:rPr>
                <w:noProof/>
              </w:rPr>
            </w:pPr>
            <w:r>
              <w:rPr>
                <w:noProof/>
              </w:rPr>
              <w:t xml:space="preserve">Empréstimos e adiantamentos a uma pessoa singular ou PME, se a exposição sobre </w:t>
            </w:r>
            <w:r>
              <w:rPr>
                <w:rStyle w:val="cf01"/>
                <w:rFonts w:ascii="Times New Roman" w:hAnsi="Times New Roman"/>
                <w:noProof/>
                <w:sz w:val="24"/>
              </w:rPr>
              <w:t>pequenas e médias empresas</w:t>
            </w:r>
            <w:r>
              <w:rPr>
                <w:noProof/>
              </w:rPr>
              <w:t xml:space="preserve"> (PME) for elegível para a classe de exposições sobre a carteira de retalho nos termos do método padrão ou baseado em notações internas (IRB) para o risco de crédito, tal como estabelecido na parte I, título II, capítulos 2 e 3, do Regulamento (UE) n.º 575/2013, ou a uma empresa elegível para o tratamento previsto no artigo 153.º, n.º 4, do Regulamento (UE) n.º 575/2013 e se os depósitos agregados dessa PME ou empresa numa base de grupo não excederem 1 milhão de EUR.</w:t>
            </w:r>
          </w:p>
          <w:p w14:paraId="2F00E30F" w14:textId="05247D51" w:rsidR="00741F94" w:rsidRPr="00D82419" w:rsidRDefault="00741F94" w:rsidP="003C575D">
            <w:pPr>
              <w:pStyle w:val="InstructionsText"/>
              <w:rPr>
                <w:rStyle w:val="InstructionsTabelleberschrift"/>
                <w:rFonts w:ascii="Times New Roman" w:hAnsi="Times New Roman"/>
                <w:b w:val="0"/>
                <w:bCs w:val="0"/>
                <w:noProof/>
                <w:sz w:val="24"/>
                <w:u w:val="none"/>
              </w:rPr>
            </w:pPr>
            <w:r>
              <w:rPr>
                <w:noProof/>
              </w:rPr>
              <w:t>Os empréstimos e adiantamentos de retalho, tanto produtivos como não produtivos, devem ser relatados nesta linha.</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dos quais: garantidos por imóveis destinados à habitação</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rPr>
            </w:pPr>
            <w:r>
              <w:rPr>
                <w:rStyle w:val="InstructionsTabelleberschrift"/>
                <w:rFonts w:ascii="Times New Roman" w:hAnsi="Times New Roman"/>
                <w:b w:val="0"/>
                <w:noProof/>
                <w:sz w:val="24"/>
                <w:u w:val="none"/>
              </w:rPr>
              <w:t>E</w:t>
            </w:r>
            <w:r>
              <w:rPr>
                <w:rFonts w:ascii="Times New Roman" w:hAnsi="Times New Roman"/>
                <w:noProof/>
                <w:sz w:val="24"/>
              </w:rPr>
              <w:t>mpréstimos de retalho formalmente garantidos por imóveis destinados à habitação, independentemente do respetivo rácio empréstimo/garantia («rácio empréstimo/valor») e da forma jurídica da caução.</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Grossistas, não financeiros</w:t>
            </w:r>
          </w:p>
          <w:p w14:paraId="44A9638B" w14:textId="224BD641" w:rsidR="00741F94" w:rsidRPr="00D82419" w:rsidRDefault="002612D5" w:rsidP="003C575D">
            <w:pPr>
              <w:pStyle w:val="InstructionsText"/>
              <w:rPr>
                <w:rStyle w:val="InstructionsTabelleberschrift"/>
                <w:rFonts w:ascii="Times New Roman" w:hAnsi="Times New Roman"/>
                <w:b w:val="0"/>
                <w:bCs w:val="0"/>
                <w:noProof/>
                <w:sz w:val="24"/>
                <w:u w:val="none"/>
              </w:rPr>
            </w:pPr>
            <w:r>
              <w:rPr>
                <w:noProof/>
              </w:rPr>
              <w:t>Empréstimos e adiantamentos a administrações públicas e sociedades não financeiras a que se refere o anexo V, parte 1, ponto 42, alíneas b) e e), do presente regulamento. Esta linha não pode incluir as exposições incluídas na linha 0080.</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Grossistas, financeiros</w:t>
            </w:r>
          </w:p>
          <w:p w14:paraId="4D684432" w14:textId="57EDA359"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Empréstimos e adiantamentos a outras sociedades financeiras a que se refere o anexo V, parte 1, ponto 42, alínea d), do presente</w:t>
            </w:r>
            <w:r>
              <w:rPr>
                <w:noProof/>
              </w:rPr>
              <w:t xml:space="preserve"> regulamento</w:t>
            </w:r>
            <w:r>
              <w:rPr>
                <w:rStyle w:val="FormatvorlageInstructionsTabelleText"/>
                <w:rFonts w:ascii="Times New Roman" w:hAnsi="Times New Roman"/>
                <w:noProof/>
                <w:sz w:val="24"/>
              </w:rPr>
              <w:t xml:space="preserve">.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Instrumentos de dívida</w:t>
            </w:r>
          </w:p>
          <w:p w14:paraId="4F3589E5" w14:textId="297A6910" w:rsidR="00741F94" w:rsidRPr="00D82419" w:rsidRDefault="006E417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Instrumentos de dívida detidos pelas instituições emitidos como valores mobiliários que não sejam empréstimos, </w:t>
            </w:r>
            <w:r>
              <w:rPr>
                <w:noProof/>
              </w:rPr>
              <w:t>tal como referido no anexo V, parte 1, ponto 31, do presente regulamento</w:t>
            </w:r>
            <w:r>
              <w:rPr>
                <w:rStyle w:val="InstructionsTabelleberschrift"/>
                <w:rFonts w:ascii="Times New Roman" w:hAnsi="Times New Roman"/>
                <w:b w:val="0"/>
                <w:noProof/>
                <w:sz w:val="24"/>
                <w:u w:val="none"/>
              </w:rPr>
              <w:t>,</w:t>
            </w:r>
            <w:r>
              <w:rPr>
                <w:noProof/>
              </w:rPr>
              <w:t xml:space="preserve"> incluindo obrigações cobertas e exposições de titularização.</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Derivados para cobertura de ativos</w:t>
            </w:r>
          </w:p>
          <w:p w14:paraId="052D8F4E" w14:textId="7AAB2C56" w:rsidR="001E5979" w:rsidRPr="00D82419" w:rsidDel="00551014" w:rsidRDefault="00E04F77"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Derivados na aceção do artigo 2.º, n.º 1, ponto 29, do Regulamento (UE) n.º 600/2014 do Parlamento Europeu e do Conselho</w:t>
            </w:r>
            <w:r w:rsidR="00D3693A">
              <w:rPr>
                <w:rStyle w:val="FootnoteReference"/>
                <w:noProof/>
              </w:rPr>
              <w:footnoteReference w:id="3"/>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As instituições </w:t>
            </w:r>
            <w:r>
              <w:rPr>
                <w:noProof/>
              </w:rPr>
              <w:t xml:space="preserve">devem relatar os derivados detidos ao abrigo do regime de contabilidade de cobertura, nos termos do quadro contabilístico aplicável, quando o elemento coberto for um ativo sensível às taxas de juro.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Cobertura de instrumentos de dívida</w:t>
            </w:r>
          </w:p>
          <w:p w14:paraId="6CE16F3F" w14:textId="57795022" w:rsidR="00B60371" w:rsidRPr="00D82419" w:rsidRDefault="00CC25CA" w:rsidP="003C575D">
            <w:pPr>
              <w:pStyle w:val="InstructionsText"/>
              <w:rPr>
                <w:rStyle w:val="InstructionsTabelleberschrift"/>
                <w:rFonts w:ascii="Times New Roman" w:hAnsi="Times New Roman"/>
                <w:b w:val="0"/>
                <w:noProof/>
                <w:sz w:val="24"/>
                <w:u w:val="none"/>
              </w:rPr>
            </w:pPr>
            <w:r>
              <w:rPr>
                <w:noProof/>
              </w:rPr>
              <w:t>Derivados</w:t>
            </w:r>
            <w:r>
              <w:rPr>
                <w:rStyle w:val="InstructionsTabelleberschrift"/>
                <w:rFonts w:ascii="Times New Roman" w:hAnsi="Times New Roman"/>
                <w:b w:val="0"/>
                <w:noProof/>
                <w:sz w:val="24"/>
                <w:u w:val="none"/>
              </w:rPr>
              <w:t xml:space="preserve"> da contabilidade de cobertura de instrumentos de dívida.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Cobertura d eoutros ativos</w:t>
            </w:r>
          </w:p>
          <w:p w14:paraId="455AF042" w14:textId="0B1C6939" w:rsidR="00B60371" w:rsidRPr="00D82419" w:rsidRDefault="00881542" w:rsidP="003C575D">
            <w:pPr>
              <w:pStyle w:val="InstructionsText"/>
              <w:rPr>
                <w:rStyle w:val="InstructionsTabelleberschrift"/>
                <w:rFonts w:ascii="Times New Roman" w:hAnsi="Times New Roman"/>
                <w:noProof/>
                <w:sz w:val="24"/>
              </w:rPr>
            </w:pPr>
            <w:r>
              <w:rPr>
                <w:noProof/>
              </w:rPr>
              <w:t>Derivados</w:t>
            </w:r>
            <w:r>
              <w:rPr>
                <w:rStyle w:val="InstructionsTabelleberschrift"/>
                <w:rFonts w:ascii="Times New Roman" w:hAnsi="Times New Roman"/>
                <w:b w:val="0"/>
                <w:noProof/>
                <w:sz w:val="24"/>
                <w:u w:val="none"/>
              </w:rPr>
              <w:t xml:space="preserve"> da contabilidade de cobertura de ativos que não são instrumentos de dívida.</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Outros</w:t>
            </w:r>
          </w:p>
          <w:p w14:paraId="483AE853" w14:textId="32773246"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Outros ativos patrimoniais sensíveis às taxas de juro que </w:t>
            </w:r>
            <w:r>
              <w:rPr>
                <w:noProof/>
              </w:rPr>
              <w:t>não sejam abrangidos pelas linhas acima devem ser relatados nesta linha.</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3C575D">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Ativos extrapatrimoniais: ativos contingentes</w:t>
            </w:r>
          </w:p>
          <w:bookmarkEnd w:id="52"/>
          <w:p w14:paraId="6EED4CE2" w14:textId="13D0DEFF" w:rsidR="007F62B7" w:rsidRPr="00D82419" w:rsidRDefault="005F0A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Ativos extrapatrimoniais enumerados no anexo I do </w:t>
            </w:r>
            <w:r>
              <w:rPr>
                <w:noProof/>
              </w:rPr>
              <w:t>Regulamento (UE) n.º 575/2013</w:t>
            </w:r>
            <w:r>
              <w:rPr>
                <w:rStyle w:val="InstructionsTabelleberschrift"/>
                <w:rFonts w:ascii="Times New Roman" w:hAnsi="Times New Roman"/>
                <w:b w:val="0"/>
                <w:noProof/>
                <w:sz w:val="24"/>
                <w:u w:val="none"/>
              </w:rPr>
              <w:t xml:space="preserve"> que são sensíveis às taxas de juro e que são abrangidos pelo âmbito de aplicação do Regulamento Delegado (UE) .../... (SP: inserir a referência às </w:t>
            </w:r>
            <w:r>
              <w:rPr>
                <w:noProof/>
              </w:rPr>
              <w:t>NTR relativas ao SOT)</w:t>
            </w:r>
            <w:r>
              <w:rPr>
                <w:rStyle w:val="InstructionsTabelleberschrift"/>
                <w:rFonts w:ascii="Times New Roman" w:hAnsi="Times New Roman"/>
                <w:b w:val="0"/>
                <w:noProof/>
                <w:sz w:val="24"/>
                <w:u w:val="none"/>
              </w:rPr>
              <w:t xml:space="preserve">. </w:t>
            </w:r>
          </w:p>
          <w:p w14:paraId="25844732" w14:textId="45453180"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Os compromissos de empréstimo de taxa fixa com potenciais mutuários devem também ser incluídos nesta linha.</w:t>
            </w:r>
          </w:p>
          <w:p w14:paraId="5EAC10F2" w14:textId="3AA5FBCB"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O compromisso de empréstimo deve ser relatado como uma combinação de uma posição curta e uma posição longa. É o caso de um compromisso de empréstimo de taxa fixa em que a instituição detém uma posição longa no empréstimo no início do compromisso e uma posição curta quando o empréstimo deve ser utilizado. As instituições devem relatar as posições longas como ativos e as posições curtas como passivos. Só devem relatar os instrumentos contingentes elegíveis como ativos nesta linha.</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Total dos passivos</w:t>
            </w:r>
          </w:p>
          <w:p w14:paraId="7C38ACF0" w14:textId="41477556"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Total dos passivos sensíveis às taxas de juro</w:t>
            </w:r>
            <w:r>
              <w:rPr>
                <w:noProof/>
              </w:rPr>
              <w:t xml:space="preserve"> no âmbito de aplicação do Regulamento Delegado (UE) .../... (SP: inserir a referência às NTR relativas aos SOT), </w:t>
            </w:r>
            <w:r>
              <w:rPr>
                <w:rStyle w:val="FormatvorlageInstructionsTabelleText"/>
                <w:rFonts w:ascii="Times New Roman" w:hAnsi="Times New Roman"/>
                <w:noProof/>
                <w:sz w:val="24"/>
              </w:rPr>
              <w:t xml:space="preserve">independentemente do seu tratamento contabilístico. Esta linha deve incluir: </w:t>
            </w:r>
          </w:p>
          <w:p w14:paraId="440E6249" w14:textId="6D6D4905" w:rsidR="000D6402"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passivos face aos bancos centrais,</w:t>
            </w:r>
          </w:p>
          <w:p w14:paraId="58C223B7" w14:textId="14972A6C" w:rsidR="005F0A8B" w:rsidRPr="00D82419" w:rsidRDefault="00E21745"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passivos interbancários,</w:t>
            </w:r>
          </w:p>
          <w:p w14:paraId="28D57E3D" w14:textId="06433067"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instrumentos de dívida emitidos,</w:t>
            </w:r>
          </w:p>
          <w:p w14:paraId="084236A4" w14:textId="5AA4979D"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depósitos sem prazo de vencimento,</w:t>
            </w:r>
          </w:p>
          <w:p w14:paraId="253174FC" w14:textId="775944B6" w:rsidR="00531B36"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depósitos a prazo,</w:t>
            </w:r>
          </w:p>
          <w:p w14:paraId="2158A787" w14:textId="36AE02CA"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derivados par cobertura de passivos,</w:t>
            </w:r>
          </w:p>
          <w:p w14:paraId="4FD61CA1" w14:textId="4CADBED9" w:rsidR="00741F94" w:rsidRPr="00D82419" w:rsidRDefault="00E21745"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outros.</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dos quais: devido a opcionalidade automática </w:t>
            </w:r>
          </w:p>
          <w:p w14:paraId="6F491059" w14:textId="407F5EE7" w:rsidR="00033F40" w:rsidRPr="00D82419" w:rsidRDefault="004F67A8" w:rsidP="003C575D">
            <w:pPr>
              <w:pStyle w:val="InstructionsText"/>
              <w:rPr>
                <w:rStyle w:val="InstructionsTabelleberschrift"/>
                <w:rFonts w:ascii="Times New Roman" w:hAnsi="Times New Roman"/>
                <w:noProof/>
                <w:sz w:val="24"/>
              </w:rPr>
            </w:pPr>
            <w:r>
              <w:rPr>
                <w:noProof/>
              </w:rPr>
              <w:t>Contribuição da opcionalidade automática integrada e explícita para o total dos passivos sensíveis às taxas de juro no âmbito de aplicação do Regulamento Delegado (UE) .../... (SP: inserir a referência às NTR relativas aos SOT), independentemente do seu tratamento contabilístico.</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Banco central </w:t>
            </w:r>
          </w:p>
          <w:p w14:paraId="63153454" w14:textId="72460C63"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Passivos </w:t>
            </w:r>
            <w:r>
              <w:rPr>
                <w:noProof/>
              </w:rPr>
              <w:t>perante bancos centrais a que se refere o anexo V, parte 1, ponto 42, alínea a), do presente regulamento.</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Interbancário</w:t>
            </w:r>
          </w:p>
          <w:p w14:paraId="140AD124" w14:textId="10351551" w:rsidR="008B01DA" w:rsidRPr="00D82419" w:rsidRDefault="00B8037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Todos os passivos cuja contraparte seja uma instituição de crédito</w:t>
            </w:r>
            <w:r>
              <w:rPr>
                <w:noProof/>
              </w:rPr>
              <w:t xml:space="preserve"> a que se refere o anexo V, parte 1, ponto 42, alínea c), do presente regulamento, excluindo valores mobiliários e exposições sobre derivados.</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Instrumentos de dívida emitidos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rStyle w:val="InstructionsTabelleberschrift"/>
                <w:rFonts w:ascii="Times New Roman" w:hAnsi="Times New Roman"/>
                <w:b w:val="0"/>
                <w:noProof/>
                <w:sz w:val="24"/>
                <w:u w:val="none"/>
              </w:rPr>
              <w:t xml:space="preserve">Instrumentos de dívida emitidos como valores mobiliários pela instituição que não sejam depósitos, tal como referido no anexo V, parte 1, artigo 37.º, do presente </w:t>
            </w:r>
            <w:r>
              <w:rPr>
                <w:noProof/>
              </w:rPr>
              <w:t>regulamento.</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Dos quais: FPA1 ou FP2</w:t>
            </w:r>
          </w:p>
          <w:p w14:paraId="725742BC" w14:textId="610E3248" w:rsidR="00741F94" w:rsidRPr="00166525" w:rsidRDefault="00741F94" w:rsidP="003C575D">
            <w:pPr>
              <w:pStyle w:val="InstructionsText"/>
              <w:rPr>
                <w:noProof/>
              </w:rPr>
            </w:pPr>
            <w:r>
              <w:rPr>
                <w:rStyle w:val="InstructionsTabelleberschrift"/>
                <w:rFonts w:ascii="Times New Roman" w:hAnsi="Times New Roman"/>
                <w:b w:val="0"/>
                <w:noProof/>
                <w:sz w:val="24"/>
                <w:u w:val="none"/>
              </w:rPr>
              <w:t xml:space="preserve">Instrumentos de dívida emitidos em conformidade com os </w:t>
            </w:r>
            <w:r>
              <w:rPr>
                <w:rStyle w:val="FormatvorlageInstructionsTabelleText"/>
                <w:rFonts w:ascii="Times New Roman" w:hAnsi="Times New Roman"/>
                <w:noProof/>
                <w:sz w:val="24"/>
              </w:rPr>
              <w:t xml:space="preserve">artigos 61.º ou 71.º </w:t>
            </w:r>
            <w:r>
              <w:rPr>
                <w:noProof/>
              </w:rPr>
              <w:t>do Regulamento (UE) n.º 575/2013, excluindo os fundos próprios perpétuos sem quaisquer datas de resgate [artigo 3.º do Regulamento Delegado (UE) .../... (SP: inserir a referência às NTR relativas aos SOT)].</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retalho, transacionais</w:t>
            </w:r>
          </w:p>
          <w:p w14:paraId="0E15693D" w14:textId="0F15BCF8" w:rsidR="007F62B7" w:rsidRPr="00D82419" w:rsidRDefault="00FD0B8B" w:rsidP="003C575D">
            <w:pPr>
              <w:pStyle w:val="InstructionsText"/>
              <w:rPr>
                <w:rStyle w:val="InstructionsTabelleberschrift"/>
                <w:rFonts w:ascii="Times New Roman" w:hAnsi="Times New Roman"/>
                <w:b w:val="0"/>
                <w:bCs w:val="0"/>
                <w:noProof/>
                <w:sz w:val="24"/>
                <w:u w:val="none"/>
              </w:rPr>
            </w:pPr>
            <w:r>
              <w:rPr>
                <w:noProof/>
              </w:rPr>
              <w:t>Depósitos de retalho sem prazo de vencimento, detidos numa conta transacional, na aceção do artigo 1.º, ponto 10, do Regulamento Delegado (UE) .../... (SP: inserir a referência às NTR relativas ao SA). Os NMD de retalho transacionais incluem contas de retalho não remuneradas e outras contas de retalho cuja componente de remuneração não seja pertinente para a decisão do cliente de deter fundos na conta.</w:t>
            </w:r>
          </w:p>
        </w:tc>
      </w:tr>
      <w:tr w:rsidR="00741F94" w:rsidRPr="00D82419" w14:paraId="0A45DBFC" w14:textId="77777777" w:rsidTr="00A63913">
        <w:trPr>
          <w:trHeight w:val="2717"/>
        </w:trPr>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dos quais: componente central</w:t>
            </w:r>
          </w:p>
          <w:p w14:paraId="7212A9D8" w14:textId="5997E649" w:rsidR="00FD0B8B" w:rsidRPr="00D82419" w:rsidRDefault="009D614B" w:rsidP="003C575D">
            <w:pPr>
              <w:pStyle w:val="InstructionsText"/>
              <w:rPr>
                <w:noProof/>
              </w:rPr>
            </w:pPr>
            <w:r>
              <w:rPr>
                <w:noProof/>
              </w:rPr>
              <w:t>Componente central de depósitos sem prazo de vencimento na aceção do artigo 1.º, ponto 15, do Regulamento Delegado (UE) .../... (SP: inserir a referência às NTR relativas ao SA).</w:t>
            </w:r>
          </w:p>
          <w:p w14:paraId="32F8B509" w14:textId="5D9C51E8" w:rsidR="00741F94" w:rsidRPr="00D82419" w:rsidRDefault="008F26F7" w:rsidP="003C575D">
            <w:pPr>
              <w:pStyle w:val="InstructionsText"/>
              <w:rPr>
                <w:rStyle w:val="InstructionsTabelleberschrift"/>
                <w:rFonts w:ascii="Times New Roman" w:hAnsi="Times New Roman"/>
                <w:noProof/>
                <w:sz w:val="24"/>
              </w:rPr>
            </w:pPr>
            <w:r>
              <w:rPr>
                <w:noProof/>
              </w:rPr>
              <w:t>Os NMD que são estáveis e poucos suscetíveis de sofrerem uma reavaliação, mesmo em caso de alterações significativas na conjuntura das taxas de juro, ou outros depósitos cuja elasticidade limitada face às variações das taxas de juro deve ser modelada pelas instituições.</w:t>
            </w:r>
          </w:p>
        </w:tc>
      </w:tr>
      <w:tr w:rsidR="00741F94" w:rsidRPr="00D82419" w14:paraId="03D8F8BF" w14:textId="77777777" w:rsidTr="00A63913">
        <w:trPr>
          <w:trHeight w:val="1987"/>
        </w:trPr>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dos quais: isentos do limite máximo de cinco anos </w:t>
            </w:r>
          </w:p>
          <w:p w14:paraId="0D57FEDC" w14:textId="2D768F7A"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Exposições às poupanças regulamentadas a que se refere o artigo 428.º-F, n.º 2, alínea a), do </w:t>
            </w:r>
            <w:r>
              <w:rPr>
                <w:noProof/>
              </w:rPr>
              <w:t>Regulamento (UE) n.º 575/2013</w:t>
            </w:r>
            <w:r>
              <w:rPr>
                <w:rStyle w:val="InstructionsTabelleberschrift"/>
                <w:rFonts w:ascii="Times New Roman" w:hAnsi="Times New Roman"/>
                <w:b w:val="0"/>
                <w:noProof/>
                <w:sz w:val="24"/>
                <w:u w:val="none"/>
              </w:rPr>
              <w:t>, mas não exclusivamente à parte centralizada, ou às que têm restrições económicas ou orçamentais significativas em caso de levantamento, relativamente às quais a instituição não limita a data máxima ponderada de reavaliação a cinco anos.</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retalho, não transacionais</w:t>
            </w:r>
          </w:p>
          <w:p w14:paraId="67DA1BF0" w14:textId="0DA9F77A" w:rsidR="00FD0B8B" w:rsidRPr="00D82419" w:rsidRDefault="00FD0B8B" w:rsidP="003C575D">
            <w:pPr>
              <w:pStyle w:val="InstructionsText"/>
              <w:rPr>
                <w:noProof/>
              </w:rPr>
            </w:pPr>
            <w:r>
              <w:rPr>
                <w:noProof/>
              </w:rPr>
              <w:t>Depósitos de retalho sem prazo de vencimento detidos numa conta não transacional, na aceção do artigo 1.º, ponto 11, do Regulamento Delegado (UE) .../... (SP: inserir a referência às NTR relativas ao SA).</w:t>
            </w:r>
          </w:p>
          <w:p w14:paraId="2CCF1716" w14:textId="014E0882" w:rsidR="007F62B7" w:rsidRPr="00D82419" w:rsidRDefault="007F62B7" w:rsidP="003C575D">
            <w:pPr>
              <w:pStyle w:val="InstructionsText"/>
              <w:rPr>
                <w:noProof/>
              </w:rPr>
            </w:pPr>
            <w:r>
              <w:rPr>
                <w:noProof/>
              </w:rPr>
              <w:t xml:space="preserve">Outros depósitos de retalho que não são considerados «Depósitos sem prazo de vencimento: retalho» devem ser considerados como detidos numa conta não transacional. </w:t>
            </w:r>
          </w:p>
          <w:p w14:paraId="684A5676" w14:textId="536F0AD6" w:rsidR="00741F94" w:rsidRPr="00D82419" w:rsidRDefault="007F62B7" w:rsidP="003C575D">
            <w:pPr>
              <w:pStyle w:val="InstructionsText"/>
              <w:rPr>
                <w:rStyle w:val="InstructionsTabelleberschrift"/>
                <w:rFonts w:ascii="Times New Roman" w:hAnsi="Times New Roman"/>
                <w:noProof/>
                <w:sz w:val="24"/>
              </w:rPr>
            </w:pPr>
            <w:r>
              <w:rPr>
                <w:noProof/>
              </w:rPr>
              <w:t>Em especial, os depósitos de retalho não transacionais incluem as contas de retalho (incluindo as regulamentadas) e outras contas de retalho cuja componente de remuneração seja pertinente para a decisão do cliente de deter fundos na conta.</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Grossistas, não financeiros</w:t>
            </w:r>
          </w:p>
          <w:p w14:paraId="623AA74F" w14:textId="28B35872" w:rsidR="00741F94" w:rsidRPr="00B123AB" w:rsidRDefault="008C641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Depósitos grossistas, </w:t>
            </w:r>
            <w:r>
              <w:rPr>
                <w:noProof/>
              </w:rPr>
              <w:t xml:space="preserve">na aceção do artigo 1.º, ponto 12, do Regulamento Delegado (UE) .../... (SP: inserir a referência às NTR relativas ao SA) que são NMD das administrações públicas e das sociedades não financeiras (SNF) a que se refere o anexo V, parte 1, </w:t>
            </w:r>
            <w:r>
              <w:rPr>
                <w:rStyle w:val="InstructionsTabelleberschrift"/>
                <w:rFonts w:ascii="Times New Roman" w:hAnsi="Times New Roman"/>
                <w:b w:val="0"/>
                <w:noProof/>
                <w:sz w:val="24"/>
                <w:u w:val="none"/>
              </w:rPr>
              <w:t xml:space="preserve">ponto 42, alíneas b) e e), </w:t>
            </w:r>
            <w:r>
              <w:rPr>
                <w:noProof/>
              </w:rPr>
              <w:t>do presente regulamento</w:t>
            </w:r>
            <w:r>
              <w:rPr>
                <w:rStyle w:val="InstructionsTabelleberschrift"/>
                <w:rFonts w:ascii="Times New Roman" w:hAnsi="Times New Roman"/>
                <w:b w:val="0"/>
                <w:noProof/>
                <w:sz w:val="24"/>
                <w:u w:val="none"/>
              </w:rPr>
              <w:t xml:space="preserve">.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Grossistas, financeiros</w:t>
            </w:r>
          </w:p>
          <w:p w14:paraId="290B416D" w14:textId="7642E962" w:rsidR="00A63913" w:rsidRPr="00A63913" w:rsidRDefault="008C6415" w:rsidP="00B123AB">
            <w:pPr>
              <w:suppressAutoHyphens/>
              <w:spacing w:after="139"/>
              <w:ind w:right="66"/>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Depósitos grossistas, </w:t>
            </w:r>
            <w:r>
              <w:rPr>
                <w:rFonts w:ascii="Times New Roman" w:hAnsi="Times New Roman"/>
                <w:noProof/>
                <w:sz w:val="24"/>
              </w:rPr>
              <w:t xml:space="preserve">na aceção do artigo 1.º, ponto 12, do Regulamento Delegado (UE) .../... (SP: inserir a referência às NTR relativas ao SA) que são NMD de contrapartes de acordo com o anexo V, parte 1, ponto 42, alínea </w:t>
            </w:r>
            <w:r>
              <w:rPr>
                <w:rStyle w:val="InstructionsTabelleberschrift"/>
                <w:rFonts w:ascii="Times New Roman" w:hAnsi="Times New Roman"/>
                <w:b w:val="0"/>
                <w:noProof/>
                <w:sz w:val="24"/>
                <w:u w:val="none"/>
              </w:rPr>
              <w:t xml:space="preserve">d), do presente regulamento.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dos quais: depósitos operacionais</w:t>
            </w:r>
          </w:p>
          <w:p w14:paraId="147EE0A6" w14:textId="72D4164C" w:rsidR="00741F94" w:rsidRPr="001B37CD" w:rsidRDefault="00A852A4" w:rsidP="003C575D">
            <w:pPr>
              <w:pStyle w:val="InstructionsText"/>
              <w:rPr>
                <w:rStyle w:val="InstructionsTabelleberschrift"/>
                <w:rFonts w:ascii="Times New Roman" w:hAnsi="Times New Roman"/>
                <w:noProof/>
                <w:sz w:val="24"/>
              </w:rPr>
            </w:pPr>
            <w:r>
              <w:rPr>
                <w:noProof/>
              </w:rPr>
              <w:t>NMD que se classificam como depósitos operacionais em conformidade com o artigo 27.º, n.º 1, alínea a), do Regulamento Delegado (UE) 2015/61 da Comissão</w:t>
            </w:r>
            <w:r w:rsidR="00491D20" w:rsidRPr="001B37CD">
              <w:rPr>
                <w:rStyle w:val="FootnoteReference"/>
                <w:rFonts w:ascii="Times New Roman" w:hAnsi="Times New Roman"/>
                <w:noProof/>
                <w:sz w:val="24"/>
                <w:szCs w:val="24"/>
                <w:vertAlign w:val="superscript"/>
              </w:rPr>
              <w:footnoteReference w:id="4"/>
            </w:r>
            <w:r>
              <w:rPr>
                <w:noProof/>
              </w:rPr>
              <w:t>.</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Depósitos a prazo</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Depósitos não transferíveis que o depositante não está autorizado a levantar antes de um prazo de vencimento acordado ou que possam ser levantados antecipadamente mediante cobrança ao depositante de custos e comissões de levantamento antecipado (pré-pagamento). Esta rubrica deve incluir depósitos de poupança regulamentados administrativamente se o critério relacionado com o prazo de vencimento não for pertinente. Embora os depósitos com prazo de vencimento acordado possam eventualmente ser objeto de resgate antecipado, mediante aviso prévio, ou serem reembolsados à vista, ainda que sujeitos a determinadas penalizações, entende-se que tais características não podem ser utilizadas para efeitos de classificação. Esta linha não pode incluir as exposições nas linhas 0220 e 0230.</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Retalho</w:t>
            </w:r>
          </w:p>
          <w:p w14:paraId="0C1BD336" w14:textId="6F50C206"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Esta linha deve incluir os depósitos de retalho a prazo</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Grossistas, não financeiros</w:t>
            </w:r>
          </w:p>
          <w:p w14:paraId="0429A193" w14:textId="2BE1783B" w:rsidR="00AB4CE3" w:rsidRPr="00D82419" w:rsidRDefault="00AB4CE3" w:rsidP="003C575D">
            <w:pPr>
              <w:pStyle w:val="InstructionsText"/>
              <w:rPr>
                <w:noProof/>
              </w:rPr>
            </w:pPr>
            <w:r>
              <w:rPr>
                <w:noProof/>
              </w:rPr>
              <w:t>Depósitos a prazo de clientes não financeiros grossistas.</w:t>
            </w:r>
          </w:p>
          <w:p w14:paraId="05C6DCF8" w14:textId="3E2A1ABB" w:rsidR="00741F94" w:rsidRPr="00D82419" w:rsidRDefault="00894C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Depósitos grossistas, </w:t>
            </w:r>
            <w:r>
              <w:rPr>
                <w:noProof/>
              </w:rPr>
              <w:t xml:space="preserve">na aceção do artigo 1.º, ponto 12, do Regulamento Delegado (UE) .../... (SP: inserir a referência às NTR relativas ao SA) que são depósitos que não são NMD das administrações públicas e das SNF a que se refere o anexo V, parte 1, </w:t>
            </w:r>
            <w:r>
              <w:rPr>
                <w:rStyle w:val="InstructionsTabelleberschrift"/>
                <w:rFonts w:ascii="Times New Roman" w:hAnsi="Times New Roman"/>
                <w:b w:val="0"/>
                <w:noProof/>
                <w:sz w:val="24"/>
                <w:u w:val="none"/>
              </w:rPr>
              <w:t xml:space="preserve">ponto 42, alíneas b) e e), </w:t>
            </w:r>
            <w:r>
              <w:rPr>
                <w:noProof/>
              </w:rPr>
              <w:t>do presente regulamento</w:t>
            </w:r>
            <w:r>
              <w:rPr>
                <w:rStyle w:val="InstructionsTabelleberschrift"/>
                <w:rFonts w:ascii="Times New Roman" w:hAnsi="Times New Roman"/>
                <w:b w:val="0"/>
                <w:noProof/>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Grossistas, financeiros</w:t>
            </w:r>
          </w:p>
          <w:p w14:paraId="0EAB8936" w14:textId="77777777" w:rsidR="00741F94" w:rsidRPr="00D82419" w:rsidRDefault="00741F94" w:rsidP="003C575D">
            <w:pPr>
              <w:pStyle w:val="InstructionsText"/>
              <w:rPr>
                <w:noProof/>
              </w:rPr>
            </w:pPr>
            <w:r>
              <w:rPr>
                <w:noProof/>
              </w:rPr>
              <w:t>Depósitos a prazo de clientes financeiros grossistas.</w:t>
            </w:r>
          </w:p>
          <w:p w14:paraId="43BE6736" w14:textId="5D9CED62" w:rsidR="00894CF8" w:rsidRPr="00D82419" w:rsidRDefault="00894CF8" w:rsidP="00430DF0">
            <w:pPr>
              <w:suppressAutoHyphens/>
              <w:spacing w:after="139"/>
              <w:ind w:right="66"/>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Depósitos grossistas, </w:t>
            </w:r>
            <w:r>
              <w:rPr>
                <w:rFonts w:ascii="Times New Roman" w:hAnsi="Times New Roman"/>
                <w:noProof/>
                <w:sz w:val="24"/>
              </w:rPr>
              <w:t>na aceção do artigo 1.º, ponto 12, do Regulamento Delegado (UE) .../... (SP: inserir a referência às NTR relativas ao SA) que não são</w:t>
            </w:r>
            <w:r>
              <w:rPr>
                <w:rFonts w:ascii="Times New Roman" w:hAnsi="Times New Roman"/>
                <w:noProof/>
              </w:rPr>
              <w:t xml:space="preserve"> </w:t>
            </w:r>
            <w:r>
              <w:rPr>
                <w:rFonts w:ascii="Times New Roman" w:hAnsi="Times New Roman"/>
                <w:noProof/>
                <w:sz w:val="24"/>
              </w:rPr>
              <w:t xml:space="preserve">NMD de contrapartes a que se refere o anexo V, parte 1, ponto 42, alínea </w:t>
            </w:r>
            <w:r>
              <w:rPr>
                <w:rStyle w:val="InstructionsTabelleberschrift"/>
                <w:rFonts w:ascii="Times New Roman" w:hAnsi="Times New Roman"/>
                <w:b w:val="0"/>
                <w:noProof/>
                <w:sz w:val="24"/>
                <w:u w:val="none"/>
              </w:rPr>
              <w:t xml:space="preserve">d), do </w:t>
            </w:r>
            <w:r>
              <w:rPr>
                <w:rFonts w:ascii="Times New Roman" w:hAnsi="Times New Roman"/>
                <w:noProof/>
                <w:sz w:val="24"/>
              </w:rPr>
              <w:t>presente regulamento</w:t>
            </w:r>
            <w:r>
              <w:rPr>
                <w:rStyle w:val="InstructionsTabelleberschrift"/>
                <w:rFonts w:ascii="Times New Roman" w:hAnsi="Times New Roman"/>
                <w:b w:val="0"/>
                <w:noProof/>
                <w:sz w:val="24"/>
                <w:u w:val="none"/>
              </w:rPr>
              <w:t xml:space="preserve">.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Derivados para cobertura de passivos</w:t>
            </w:r>
          </w:p>
          <w:p w14:paraId="2EE47E8C" w14:textId="3B81836A" w:rsidR="00A4472C" w:rsidRPr="00D82419" w:rsidDel="00576E55" w:rsidRDefault="0032170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Derivados na aceção do artigo 2.º, n.º 1, ponto 29, do Regulamento (UE) n.º 600/2014</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As instituições </w:t>
            </w:r>
            <w:r>
              <w:rPr>
                <w:noProof/>
              </w:rPr>
              <w:t>devem relatar os derivados detidos ao abrigo do regime de contabilidade de cobertura, nos termos do quadro contabilístico aplicável, sendo o elemento coberto um passivo sensível à taxa de juro.</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Cobertura de instrumentos de dívida</w:t>
            </w:r>
          </w:p>
          <w:p w14:paraId="4CC38832" w14:textId="220A5504" w:rsidR="00912ADD" w:rsidRPr="00D82419" w:rsidRDefault="00AA0E8C" w:rsidP="003C575D">
            <w:pPr>
              <w:pStyle w:val="InstructionsText"/>
              <w:rPr>
                <w:rStyle w:val="InstructionsTabelleberschrift"/>
                <w:rFonts w:ascii="Times New Roman" w:hAnsi="Times New Roman"/>
                <w:noProof/>
                <w:sz w:val="24"/>
              </w:rPr>
            </w:pPr>
            <w:r>
              <w:rPr>
                <w:noProof/>
              </w:rPr>
              <w:t xml:space="preserve">Derivados para cobertura de passivos </w:t>
            </w:r>
            <w:r>
              <w:rPr>
                <w:rStyle w:val="InstructionsTabelleberschrift"/>
                <w:rFonts w:ascii="Times New Roman" w:hAnsi="Times New Roman"/>
                <w:b w:val="0"/>
                <w:noProof/>
                <w:sz w:val="24"/>
                <w:u w:val="none"/>
              </w:rPr>
              <w:t xml:space="preserve"> da contabilidade de cobertura que são instrumentos de dívida.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Cobertura de outros passivos</w:t>
            </w:r>
          </w:p>
          <w:p w14:paraId="4488459D" w14:textId="79A2A28C" w:rsidR="00693056" w:rsidRPr="00D82419" w:rsidRDefault="00AA0E8C" w:rsidP="003C575D">
            <w:pPr>
              <w:pStyle w:val="InstructionsText"/>
              <w:rPr>
                <w:rStyle w:val="InstructionsTabelleberschrift"/>
                <w:rFonts w:ascii="Times New Roman" w:hAnsi="Times New Roman"/>
                <w:noProof/>
                <w:sz w:val="24"/>
              </w:rPr>
            </w:pPr>
            <w:r>
              <w:rPr>
                <w:noProof/>
              </w:rPr>
              <w:t>Derivados para cobertura de passivos</w:t>
            </w:r>
            <w:r>
              <w:rPr>
                <w:rStyle w:val="InstructionsTabelleberschrift"/>
                <w:rFonts w:ascii="Times New Roman" w:hAnsi="Times New Roman"/>
                <w:b w:val="0"/>
                <w:noProof/>
                <w:sz w:val="24"/>
                <w:u w:val="none"/>
              </w:rPr>
              <w:t xml:space="preserve"> da contabilidade de cobertura que não são instrumentos de dívida.</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Outros</w:t>
            </w:r>
          </w:p>
          <w:p w14:paraId="65D0639C" w14:textId="76B42BA3" w:rsidR="00E96058" w:rsidRPr="00D82419" w:rsidRDefault="00E9605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Outros passivos patrimoniais sensíveis às taxas de juro que </w:t>
            </w:r>
            <w:r>
              <w:rPr>
                <w:noProof/>
              </w:rPr>
              <w:t>não estejam classificados nas linhas acima devem ser relatados nesta linha.</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Passivos extrapatrimoniais: </w:t>
            </w:r>
            <w:bookmarkStart w:id="53" w:name="_Hlk116393169"/>
            <w:r>
              <w:rPr>
                <w:rStyle w:val="InstructionsTabelleberschrift"/>
                <w:rFonts w:ascii="Times New Roman" w:hAnsi="Times New Roman"/>
                <w:noProof/>
                <w:sz w:val="24"/>
              </w:rPr>
              <w:t>passivos contingentes</w:t>
            </w:r>
            <w:bookmarkEnd w:id="53"/>
          </w:p>
          <w:p w14:paraId="75027371" w14:textId="350951E4"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Os elementos extrapatrimoniais devem incluir produtos como os compromissos de empréstimo sensíveis às taxas de juro.</w:t>
            </w:r>
          </w:p>
          <w:p w14:paraId="7A13B80C" w14:textId="0020F409"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Os passivos contingentes devem ser considerados como uma combinação de uma posição curta e uma posição longa. Especificamente, no caso de a instituição ter uma linha de crédito junto de outras instituições, a instituição terá uma posição longa quando o empréstimo deva ser utilizado e uma posição curta na data de início da linha de crédito. </w:t>
            </w:r>
          </w:p>
          <w:p w14:paraId="52F8703B" w14:textId="72FEC13F" w:rsidR="00741F94" w:rsidRPr="00D82419" w:rsidRDefault="00741F94" w:rsidP="003C575D">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As posições longas devem ser relatadas como ativos, enquanto as posições curtas devem ser relatadas como um passivo. Apenas os instrumentos contingentes elegíveis como passivos devem ser relatados nesta linha.</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Outros derivados (ativo/passivo líquido)</w:t>
            </w:r>
          </w:p>
          <w:p w14:paraId="445A1B2E" w14:textId="52EF1626" w:rsidR="008A50EB" w:rsidRPr="00D82419" w:rsidRDefault="00AA6996"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Derivados de taxas de juro não concebidos como coberturas contabilísticas, tais como coberturas de taxas de juro económicas, que se destinam a cobrir o risco de taxa de juro da carteira bancária, mas que não estão sujeitos a um regime de cobertura contabilística.</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Rubricas para memória</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Derivados líquidos</w:t>
            </w:r>
          </w:p>
          <w:p w14:paraId="1072B82F" w14:textId="0B3EBFA9" w:rsidR="00AA6996" w:rsidRPr="00D82419" w:rsidRDefault="00CD037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Contribuição líquida de todos os derivados de taxas de juro da carteira bancária, tendo em conta os derivados de taxa de juro para cobertura de ativos (linha 0140) ou passivos (linha 0470) ao abrigo de um regime de cobertura contabilística da carteira bancária e as coberturas económicas de taxas de juro (linha 0530) de outros derivados de taxas de juro da carteira bancária não concebidos como coberturas contabilísticas.</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Posição líquida de taxas de juro sem derivados</w:t>
            </w:r>
          </w:p>
          <w:p w14:paraId="575BB1CF" w14:textId="016C3B32" w:rsidR="0009034B" w:rsidRPr="00D82419" w:rsidRDefault="0009034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Todas as exposições sobre taxas de juro da carteira bancária</w:t>
            </w:r>
            <w:r>
              <w:rPr>
                <w:noProof/>
              </w:rPr>
              <w:t>, incluindo as exposições extrapatrimoniais e</w:t>
            </w:r>
            <w:r>
              <w:rPr>
                <w:rStyle w:val="InstructionsTabelleberschrift"/>
                <w:rFonts w:ascii="Times New Roman" w:hAnsi="Times New Roman"/>
                <w:b w:val="0"/>
                <w:noProof/>
                <w:sz w:val="24"/>
                <w:u w:val="none"/>
              </w:rPr>
              <w:t xml:space="preserve"> excluindo derivados de taxas de juro. Em especial, todos os ativos e passivos, excluindo o efeito dos derivados.</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Posição líquida de taxas de juro com derivados</w:t>
            </w:r>
          </w:p>
          <w:p w14:paraId="4E5947AA" w14:textId="53D59421" w:rsidR="0009034B" w:rsidRPr="00D82419" w:rsidRDefault="003A313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Todos os ativos e passivos, incluindo </w:t>
            </w:r>
            <w:r>
              <w:rPr>
                <w:noProof/>
              </w:rPr>
              <w:t xml:space="preserve">as exposições extrapatrimoniais e </w:t>
            </w:r>
            <w:r>
              <w:rPr>
                <w:rStyle w:val="InstructionsTabelleberschrift"/>
                <w:rFonts w:ascii="Times New Roman" w:hAnsi="Times New Roman"/>
                <w:b w:val="0"/>
                <w:noProof/>
                <w:sz w:val="24"/>
                <w:u w:val="none"/>
              </w:rPr>
              <w:t>os derivados de taxas de juro.</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Total dos ativos com impacto no MV</w:t>
            </w:r>
          </w:p>
          <w:p w14:paraId="3C8D6849" w14:textId="684BBA7E" w:rsidR="00741F94" w:rsidRPr="00D82419" w:rsidRDefault="0033679B" w:rsidP="003C575D">
            <w:pPr>
              <w:pStyle w:val="InstructionsText"/>
              <w:rPr>
                <w:rStyle w:val="InstructionsTabelleberschrift"/>
                <w:rFonts w:ascii="Times New Roman" w:hAnsi="Times New Roman"/>
                <w:b w:val="0"/>
                <w:bCs w:val="0"/>
                <w:noProof/>
                <w:sz w:val="24"/>
                <w:u w:val="none"/>
              </w:rPr>
            </w:pPr>
            <w:r>
              <w:rPr>
                <w:noProof/>
              </w:rPr>
              <w:t>Total dos ativos em que as variações do MV são pertinentes para os resultados ou para o capital próprio, excluindo os derivados de cobertura não contabilísticos relatados na linha 0530. Para as instituições que aplicam as IFRS nos termos do Regulamento (CE) n.º 1606/2002 do Parlamento Europeu e do Conselho</w:t>
            </w:r>
            <w:r w:rsidR="00D3693A">
              <w:rPr>
                <w:rStyle w:val="FootnoteReference"/>
                <w:noProof/>
                <w:lang w:val="en-US"/>
              </w:rPr>
              <w:footnoteReference w:id="5"/>
            </w:r>
            <w:r>
              <w:rPr>
                <w:noProof/>
              </w:rPr>
              <w:t>, ativos da carteira bancária registados pelo justo valor de acordo com o quadro contabilístico aplicável (através dos resultados ou de outro rendimento integral), juntamente com títulos de dívida e outros instrumentos registados pelo custo amortizado sujeitos a uma contabilidade de cobertura de justo valor. Os derivados para cobertura de ativos da carteira bancária ao abrigo de um regime de contabilidade de cobertura devem ser relatados nesta secção, com exceção da componente efetiva desses derivados da contabilidade de cobertura dos fluxos de caixa que cobrem elementos do custo amortizado a que se refere o artigo 33.º, n.º 1, alínea a), do Regulamento (UE) n.º 575/2013.</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Instrumentos de dívida</w:t>
            </w:r>
          </w:p>
          <w:p w14:paraId="2EF51544" w14:textId="630CA150" w:rsidR="006D2D2D" w:rsidRPr="00D82419" w:rsidRDefault="00855A8F" w:rsidP="003C575D">
            <w:pPr>
              <w:pStyle w:val="InstructionsText"/>
              <w:rPr>
                <w:rStyle w:val="InstructionsTabelleberschrift"/>
                <w:rFonts w:ascii="Times New Roman" w:hAnsi="Times New Roman"/>
                <w:b w:val="0"/>
                <w:noProof/>
                <w:sz w:val="24"/>
                <w:u w:val="none"/>
              </w:rPr>
            </w:pPr>
            <w:r>
              <w:rPr>
                <w:noProof/>
              </w:rPr>
              <w:t>Instrumentos de dívida em que as variações do MV são pertinentes para os resultados ou para o capital. Inclui os instrumentos de dívida pelo justo valor juntamente com os instrumentos de dívida registados pelo custo amortizado sujeitos a uma cobertura contabilística de justo valor.</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Derivados</w:t>
            </w:r>
          </w:p>
          <w:p w14:paraId="00FE0B0D" w14:textId="5AF9E87E" w:rsidR="000A3491" w:rsidRPr="00D82419" w:rsidRDefault="000A3491"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Derivados na aceção do artigo 2.º, n.º 1, ponto 29, do Regulamento (UE) n.º 600/2014</w:t>
            </w:r>
            <w:r>
              <w:rPr>
                <w:rStyle w:val="InstructionsTabelleberschrift"/>
                <w:rFonts w:ascii="Times New Roman" w:hAnsi="Times New Roman"/>
                <w:noProof/>
                <w:sz w:val="24"/>
                <w:u w:val="none"/>
              </w:rPr>
              <w:t xml:space="preserve"> </w:t>
            </w:r>
          </w:p>
          <w:p w14:paraId="200AA535" w14:textId="40590E67" w:rsidR="002867FC" w:rsidRPr="00D82419" w:rsidRDefault="00D71CFD" w:rsidP="003C575D">
            <w:pPr>
              <w:pStyle w:val="InstructionsText"/>
              <w:rPr>
                <w:rStyle w:val="InstructionsTabelleberschrift"/>
                <w:rFonts w:ascii="Times New Roman" w:hAnsi="Times New Roman"/>
                <w:noProof/>
                <w:sz w:val="24"/>
                <w:u w:val="none"/>
              </w:rPr>
            </w:pPr>
            <w:r>
              <w:rPr>
                <w:noProof/>
              </w:rPr>
              <w:t>Os derivados para cobertura de ativos sujeitos a um regime de contabilidade de cobertura devem ser relatados nesta linha, excluindo os derivados concebidos como coberturas dos fluxos de caixa para cobertura de elementos do custo amortizado.</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Outros</w:t>
            </w:r>
          </w:p>
          <w:p w14:paraId="1BFC1FE3" w14:textId="338A5D16"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Outros ativos pelo justo valor, em conjunto com outros ativos pelo custo amortizado sujeitos a uma contabilidade de cobertura de justo valor.</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Total dos passivos com impacto no MV</w:t>
            </w:r>
          </w:p>
          <w:p w14:paraId="1AB95EED" w14:textId="77777777"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Total dos passivos em que as variações do MV são pertinentes para os resultados ou para o capital próprio, excluindo os derivados de cobertura não contabilísticos relatados na linha 0530.</w:t>
            </w:r>
          </w:p>
          <w:p w14:paraId="7E6E8ABF" w14:textId="2E0D9203" w:rsidR="002867FC" w:rsidRPr="00D82419" w:rsidRDefault="00D71CFD" w:rsidP="003C575D">
            <w:pPr>
              <w:pStyle w:val="InstructionsText"/>
              <w:rPr>
                <w:rStyle w:val="InstructionsTabelleberschrift"/>
                <w:rFonts w:ascii="Times New Roman" w:hAnsi="Times New Roman"/>
                <w:noProof/>
                <w:sz w:val="24"/>
              </w:rPr>
            </w:pPr>
            <w:r>
              <w:rPr>
                <w:noProof/>
              </w:rPr>
              <w:t>Passivos registados pelo justo valor de acordo com o quadro contabilístico aplicável (através dos resultados ou de outro rendimento integral) em conjunto com instrumentos de dívida emitidos e outros passivos registados pelo custo amortizado sujeitos a uma contabilidade de cobertura de justo valor. Os derivados para cobertura de passivos sujeitos a um regime de contabilidade de cobertura devem também ser relatados nesta secção, exceto no que se refere à componente efetiva desses derivados da contabilidade de cobertura dos fluxos de caixa que cobrem elementos do custo amortizado em conformidade com o artigo 33.º, n.º 1, alínea a), do Regulamento (UE) n.º 575/2013.</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Instrumentos de dívida emitidos</w:t>
            </w:r>
          </w:p>
          <w:p w14:paraId="4BAC31C0" w14:textId="62EC4A5E" w:rsidR="00C856CF" w:rsidRPr="00D82419" w:rsidRDefault="002867FC" w:rsidP="003C575D">
            <w:pPr>
              <w:pStyle w:val="InstructionsText"/>
              <w:rPr>
                <w:rStyle w:val="InstructionsTabelleberschrift"/>
                <w:rFonts w:ascii="Times New Roman" w:hAnsi="Times New Roman"/>
                <w:b w:val="0"/>
                <w:noProof/>
                <w:sz w:val="24"/>
                <w:u w:val="none"/>
              </w:rPr>
            </w:pPr>
            <w:r>
              <w:rPr>
                <w:noProof/>
              </w:rPr>
              <w:t xml:space="preserve">Instrumentos de dívida emitidos </w:t>
            </w:r>
            <w:r>
              <w:rPr>
                <w:rStyle w:val="InstructionsTabelleberschrift"/>
                <w:rFonts w:ascii="Times New Roman" w:hAnsi="Times New Roman"/>
                <w:b w:val="0"/>
                <w:noProof/>
                <w:sz w:val="24"/>
                <w:u w:val="none"/>
              </w:rPr>
              <w:t>como valores mobiliários pela instituição que não sejam depósitos, na aceção do anexo V, parte 1, ponto 37, do</w:t>
            </w:r>
            <w:r>
              <w:rPr>
                <w:noProof/>
              </w:rPr>
              <w:t xml:space="preserve"> presente regulamento</w:t>
            </w:r>
            <w:r>
              <w:rPr>
                <w:rStyle w:val="InstructionsTabelleberschrift"/>
                <w:rFonts w:ascii="Times New Roman" w:hAnsi="Times New Roman"/>
                <w:b w:val="0"/>
                <w:noProof/>
                <w:sz w:val="24"/>
                <w:u w:val="none"/>
              </w:rPr>
              <w:t>, contabilizados</w:t>
            </w:r>
            <w:r>
              <w:rPr>
                <w:noProof/>
              </w:rPr>
              <w:t xml:space="preserve"> quando as variações do MV forem pertinentes para os resultados ou para o capital.</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Derivados</w:t>
            </w:r>
          </w:p>
          <w:p w14:paraId="50E7B932" w14:textId="2CADDE44" w:rsidR="00217697" w:rsidRPr="00D82419" w:rsidRDefault="00217697"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Derivados na aceção do artigo 2.º, n.º 1, ponto 29, do Regulamento (UE) n.º 600/2014</w:t>
            </w:r>
            <w:r>
              <w:rPr>
                <w:rStyle w:val="InstructionsTabelleberschrift"/>
                <w:rFonts w:ascii="Times New Roman" w:hAnsi="Times New Roman"/>
                <w:noProof/>
                <w:sz w:val="24"/>
                <w:u w:val="none"/>
              </w:rPr>
              <w:t xml:space="preserve"> </w:t>
            </w:r>
          </w:p>
          <w:p w14:paraId="4721BBE0" w14:textId="2534AD8C" w:rsidR="00217697" w:rsidRPr="00D82419" w:rsidRDefault="00D71CFD" w:rsidP="003C575D">
            <w:pPr>
              <w:pStyle w:val="InstructionsText"/>
              <w:rPr>
                <w:noProof/>
              </w:rPr>
            </w:pPr>
            <w:r>
              <w:rPr>
                <w:noProof/>
              </w:rPr>
              <w:t>As instituições devem relatar nesta secção os derivados para cobertura de passivos ao abrigo de um regime de contabilidade de cobertura, excluindo os derivados concebidos como coberturas dos fluxos de caixa que cobrem elementos do custo amortizado.</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Outros</w:t>
            </w:r>
          </w:p>
          <w:p w14:paraId="4D8DC141" w14:textId="70F29B57"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Outros passivos pelo justo valor, em conjunto com outros passivos pelo custo amortizado sujeitos a uma contabilidade de cobertura de justo valor.</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Colunas</w:t>
            </w:r>
          </w:p>
        </w:tc>
        <w:tc>
          <w:tcPr>
            <w:tcW w:w="7308" w:type="dxa"/>
            <w:shd w:val="clear" w:color="auto" w:fill="D9D9D9" w:themeFill="background1" w:themeFillShade="D9"/>
          </w:tcPr>
          <w:p w14:paraId="2A82BF3B"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Referências jurídicas e instruções</w:t>
            </w:r>
          </w:p>
        </w:tc>
      </w:tr>
      <w:tr w:rsidR="0020221E" w:rsidRPr="00D82419" w14:paraId="6332F4DC" w14:textId="77777777" w:rsidTr="00466F09">
        <w:tc>
          <w:tcPr>
            <w:tcW w:w="1701" w:type="dxa"/>
            <w:shd w:val="clear" w:color="auto" w:fill="auto"/>
          </w:tcPr>
          <w:p w14:paraId="51E6FC62" w14:textId="3666E55F"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Montante escriturado</w:t>
            </w:r>
          </w:p>
          <w:p w14:paraId="256D0A5A" w14:textId="61AE7FD8" w:rsidR="0020221E" w:rsidRPr="00D82419" w:rsidRDefault="00766444" w:rsidP="003C575D">
            <w:pPr>
              <w:pStyle w:val="InstructionsText"/>
              <w:rPr>
                <w:rStyle w:val="FormatvorlageInstructionsTabelleText"/>
                <w:rFonts w:ascii="Times New Roman" w:hAnsi="Times New Roman"/>
                <w:b/>
                <w:bCs w:val="0"/>
                <w:noProof/>
                <w:sz w:val="24"/>
                <w:u w:val="single"/>
              </w:rPr>
            </w:pPr>
            <w:r>
              <w:rPr>
                <w:rStyle w:val="InstructionsTabelleberschrift"/>
                <w:rFonts w:ascii="Times New Roman" w:hAnsi="Times New Roman"/>
                <w:b w:val="0"/>
                <w:noProof/>
                <w:sz w:val="24"/>
                <w:u w:val="none"/>
              </w:rPr>
              <w:t xml:space="preserve">Anexo V, parte 1, ponto 27, do presente </w:t>
            </w:r>
            <w:r>
              <w:rPr>
                <w:noProof/>
              </w:rPr>
              <w:t>regulamento</w:t>
            </w:r>
            <w:r>
              <w:rPr>
                <w:rStyle w:val="InstructionsTabelleberschrift"/>
                <w:rFonts w:ascii="Times New Roman" w:hAnsi="Times New Roman"/>
                <w:b w:val="0"/>
                <w:noProof/>
                <w:sz w:val="24"/>
                <w:u w:val="none"/>
              </w:rPr>
              <w:t>.</w:t>
            </w:r>
          </w:p>
        </w:tc>
      </w:tr>
      <w:tr w:rsidR="0020221E" w:rsidRPr="00D82419" w14:paraId="5F1440C3" w14:textId="77777777" w:rsidTr="00466F09">
        <w:tc>
          <w:tcPr>
            <w:tcW w:w="1701" w:type="dxa"/>
            <w:shd w:val="clear" w:color="auto" w:fill="auto"/>
          </w:tcPr>
          <w:p w14:paraId="55FE2AE0" w14:textId="79BE3587"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Duração</w:t>
            </w:r>
          </w:p>
          <w:p w14:paraId="0B50AF85" w14:textId="3C438F63"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 xml:space="preserve">Duração modificada («Dmod», em anos), incluindo a opcionalidade automática, em que: Dmod = - EV01 / (valor económico * 0,0001) </w:t>
            </w:r>
          </w:p>
          <w:p w14:paraId="12BFB1CA" w14:textId="316A4427" w:rsidR="00FC06C4" w:rsidRPr="00D82419" w:rsidRDefault="0033679B" w:rsidP="003C575D">
            <w:pPr>
              <w:pStyle w:val="InstructionsText"/>
              <w:rPr>
                <w:rStyle w:val="FormatvorlageInstructionsTabelleText"/>
                <w:rFonts w:ascii="Times New Roman" w:hAnsi="Times New Roman"/>
                <w:noProof/>
                <w:sz w:val="24"/>
              </w:rPr>
            </w:pPr>
            <w:r>
              <w:rPr>
                <w:noProof/>
              </w:rPr>
              <w:t>EV01 é igual a uma sensibilidade de +1 ponto de base (choque paralelo) do valor económico.</w:t>
            </w:r>
          </w:p>
        </w:tc>
      </w:tr>
      <w:tr w:rsidR="00DE4D5E" w:rsidRPr="00D82419" w14:paraId="659E0F8D" w14:textId="77777777" w:rsidTr="00466F09">
        <w:tc>
          <w:tcPr>
            <w:tcW w:w="1701" w:type="dxa"/>
          </w:tcPr>
          <w:p w14:paraId="6D0DD35B" w14:textId="2A77B439"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308" w:type="dxa"/>
          </w:tcPr>
          <w:p w14:paraId="4672288B" w14:textId="1CF64418" w:rsidR="00DE4D5E" w:rsidRPr="00D82419" w:rsidRDefault="00DE4D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Valor económico do capital próprio</w:t>
            </w:r>
          </w:p>
          <w:p w14:paraId="248A3849" w14:textId="21777469" w:rsidR="00DE4D5E" w:rsidRPr="00D82419" w:rsidRDefault="0061536B" w:rsidP="003C575D">
            <w:pPr>
              <w:pStyle w:val="InstructionsText"/>
              <w:rPr>
                <w:rStyle w:val="InstructionsTabelleberschrift"/>
                <w:rFonts w:ascii="Times New Roman" w:hAnsi="Times New Roman"/>
                <w:b w:val="0"/>
                <w:noProof/>
                <w:sz w:val="24"/>
                <w:u w:val="none"/>
              </w:rPr>
            </w:pPr>
            <w:r>
              <w:rPr>
                <w:noProof/>
              </w:rPr>
              <w:t>As instituições devem seguir as mesmas instruções que são descritas em {J 01.00; r0010-r0090}.</w:t>
            </w:r>
          </w:p>
        </w:tc>
      </w:tr>
      <w:tr w:rsidR="00DE4D5E" w:rsidRPr="00D82419" w14:paraId="5013F5EE" w14:textId="77777777" w:rsidTr="00466F09">
        <w:tc>
          <w:tcPr>
            <w:tcW w:w="1701" w:type="dxa"/>
          </w:tcPr>
          <w:p w14:paraId="7BC7758D" w14:textId="4D49B9A3"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308" w:type="dxa"/>
          </w:tcPr>
          <w:p w14:paraId="2DF5A08E" w14:textId="621509C5" w:rsidR="00DE4D5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Nível do EVE — cenário de base</w:t>
            </w:r>
          </w:p>
          <w:p w14:paraId="431D24A7" w14:textId="17FCE104" w:rsidR="00DE4D5E" w:rsidRPr="00D82419" w:rsidRDefault="00057D6D" w:rsidP="003C575D">
            <w:pPr>
              <w:pStyle w:val="InstructionsText"/>
              <w:rPr>
                <w:rStyle w:val="InstructionsTabelleberschrift"/>
                <w:rFonts w:ascii="Times New Roman" w:hAnsi="Times New Roman"/>
                <w:noProof/>
                <w:sz w:val="24"/>
              </w:rPr>
            </w:pPr>
            <w:r>
              <w:rPr>
                <w:noProof/>
              </w:rPr>
              <w:t>As instituições devem seguir as mesmas instruções que são descritas em {J 01.00; r0030}.</w:t>
            </w:r>
          </w:p>
        </w:tc>
      </w:tr>
      <w:tr w:rsidR="00DE4D5E" w:rsidRPr="00D82419" w14:paraId="072F36D8" w14:textId="77777777" w:rsidTr="00466F09">
        <w:tc>
          <w:tcPr>
            <w:tcW w:w="1701" w:type="dxa"/>
          </w:tcPr>
          <w:p w14:paraId="28CE8E71" w14:textId="20636E45"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choque de subida paralela</w:t>
            </w:r>
          </w:p>
          <w:p w14:paraId="5B6685FE" w14:textId="68AFB2ED" w:rsidR="00DE4D5E" w:rsidRPr="00D82419" w:rsidRDefault="008963CC" w:rsidP="003C575D">
            <w:pPr>
              <w:pStyle w:val="InstructionsText"/>
              <w:rPr>
                <w:rStyle w:val="InstructionsTabelleberschrift"/>
                <w:rFonts w:ascii="Times New Roman" w:hAnsi="Times New Roman"/>
                <w:b w:val="0"/>
                <w:noProof/>
                <w:sz w:val="24"/>
                <w:u w:val="none"/>
              </w:rPr>
            </w:pPr>
            <w:r>
              <w:rPr>
                <w:noProof/>
              </w:rPr>
              <w:t>As instituições devem seguir as mesmas instruções que são descritas em {J 01.00; r0040}.</w:t>
            </w:r>
          </w:p>
        </w:tc>
      </w:tr>
      <w:tr w:rsidR="00DE4D5E" w:rsidRPr="00D82419" w14:paraId="2EFC486B" w14:textId="77777777" w:rsidTr="00466F09">
        <w:tc>
          <w:tcPr>
            <w:tcW w:w="1701" w:type="dxa"/>
          </w:tcPr>
          <w:p w14:paraId="3957C094" w14:textId="218A0E8E"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choque de descida paralela</w:t>
            </w:r>
          </w:p>
          <w:p w14:paraId="39312F9C" w14:textId="6C869EDF" w:rsidR="00DE4D5E" w:rsidRPr="00D82419" w:rsidRDefault="0045709F" w:rsidP="003C575D">
            <w:pPr>
              <w:pStyle w:val="InstructionsText"/>
              <w:rPr>
                <w:rStyle w:val="InstructionsTabelleberschrift"/>
                <w:rFonts w:ascii="Times New Roman" w:hAnsi="Times New Roman"/>
                <w:noProof/>
                <w:sz w:val="24"/>
              </w:rPr>
            </w:pPr>
            <w:r>
              <w:rPr>
                <w:noProof/>
              </w:rPr>
              <w:t>As instituições devem seguir as mesmas instruções que são descritas em {J 01.00; r0050}.</w:t>
            </w:r>
          </w:p>
        </w:tc>
      </w:tr>
      <w:tr w:rsidR="007A4538" w:rsidRPr="00D82419" w14:paraId="668FC06E" w14:textId="77777777" w:rsidTr="00466F09">
        <w:tc>
          <w:tcPr>
            <w:tcW w:w="1701" w:type="dxa"/>
          </w:tcPr>
          <w:p w14:paraId="4D34A16E" w14:textId="485D2DF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choque de aumento da inclinação da curva</w:t>
            </w:r>
          </w:p>
          <w:p w14:paraId="7721CBAE" w14:textId="75811AF2" w:rsidR="007A4538" w:rsidRPr="00D82419" w:rsidRDefault="0045709F" w:rsidP="003C575D">
            <w:pPr>
              <w:pStyle w:val="InstructionsText"/>
              <w:rPr>
                <w:rStyle w:val="InstructionsTabelleberschrift"/>
                <w:rFonts w:ascii="Times New Roman" w:hAnsi="Times New Roman"/>
                <w:noProof/>
                <w:sz w:val="24"/>
              </w:rPr>
            </w:pPr>
            <w:r>
              <w:rPr>
                <w:noProof/>
              </w:rPr>
              <w:t>As instituições devem seguir as mesmas instruções que são descritas em {J 01.00; r0060}.</w:t>
            </w:r>
          </w:p>
        </w:tc>
      </w:tr>
      <w:tr w:rsidR="007A4538" w:rsidRPr="00D82419" w14:paraId="0B64F039" w14:textId="77777777" w:rsidTr="00466F09">
        <w:tc>
          <w:tcPr>
            <w:tcW w:w="1701" w:type="dxa"/>
          </w:tcPr>
          <w:p w14:paraId="1D8ACFB7" w14:textId="39B9F29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choque de diminuição da inclinação da curva</w:t>
            </w:r>
          </w:p>
          <w:p w14:paraId="714F5461" w14:textId="6FFD472B" w:rsidR="007A4538" w:rsidRPr="00D82419" w:rsidRDefault="0056083C" w:rsidP="003C575D">
            <w:pPr>
              <w:pStyle w:val="InstructionsText"/>
              <w:rPr>
                <w:rStyle w:val="InstructionsTabelleberschrift"/>
                <w:rFonts w:ascii="Times New Roman" w:hAnsi="Times New Roman"/>
                <w:noProof/>
                <w:sz w:val="24"/>
              </w:rPr>
            </w:pPr>
            <w:r>
              <w:rPr>
                <w:noProof/>
              </w:rPr>
              <w:t>As instituições devem seguir as mesmas instruções que são descritas em {J 01.00; r0070}.</w:t>
            </w:r>
          </w:p>
        </w:tc>
      </w:tr>
      <w:tr w:rsidR="007A4538" w:rsidRPr="00D82419" w14:paraId="0F88D558" w14:textId="77777777" w:rsidTr="00466F09">
        <w:tc>
          <w:tcPr>
            <w:tcW w:w="1701" w:type="dxa"/>
          </w:tcPr>
          <w:p w14:paraId="5CBC25A5" w14:textId="2D9B6C3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choque ascendente nas taxas a curto prazo</w:t>
            </w:r>
          </w:p>
          <w:p w14:paraId="5CE9C71F" w14:textId="32920038" w:rsidR="007A4538" w:rsidRPr="00D82419" w:rsidRDefault="0056083C" w:rsidP="003C575D">
            <w:pPr>
              <w:pStyle w:val="InstructionsText"/>
              <w:rPr>
                <w:rStyle w:val="InstructionsTabelleberschrift"/>
                <w:rFonts w:ascii="Times New Roman" w:hAnsi="Times New Roman"/>
                <w:noProof/>
                <w:sz w:val="24"/>
              </w:rPr>
            </w:pPr>
            <w:r>
              <w:rPr>
                <w:noProof/>
              </w:rPr>
              <w:t>As instituições devem seguir as mesmas instruções que são descritas em {J 01.00; r0080}.</w:t>
            </w:r>
          </w:p>
        </w:tc>
      </w:tr>
      <w:tr w:rsidR="007A4538" w:rsidRPr="00D82419" w14:paraId="7ACFF56C" w14:textId="77777777" w:rsidTr="00466F09">
        <w:tc>
          <w:tcPr>
            <w:tcW w:w="1701" w:type="dxa"/>
          </w:tcPr>
          <w:p w14:paraId="0F6D45B9" w14:textId="4EB1693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choque descendente nas taxas a curto prazo</w:t>
            </w:r>
          </w:p>
          <w:p w14:paraId="3BE27C86" w14:textId="7C34A314" w:rsidR="007A4538" w:rsidRPr="00D82419" w:rsidRDefault="00B42A65" w:rsidP="003C575D">
            <w:pPr>
              <w:pStyle w:val="InstructionsText"/>
              <w:rPr>
                <w:rStyle w:val="InstructionsTabelleberschrift"/>
                <w:rFonts w:ascii="Times New Roman" w:hAnsi="Times New Roman"/>
                <w:noProof/>
                <w:sz w:val="24"/>
              </w:rPr>
            </w:pPr>
            <w:r>
              <w:rPr>
                <w:noProof/>
              </w:rPr>
              <w:t>As instituições devem seguir as mesmas instruções que são descritas em {J 01.00; r0090}.</w:t>
            </w:r>
          </w:p>
        </w:tc>
      </w:tr>
      <w:tr w:rsidR="007A4538" w:rsidRPr="00D82419" w14:paraId="56F10020" w14:textId="77777777" w:rsidTr="00466F09">
        <w:tc>
          <w:tcPr>
            <w:tcW w:w="1701" w:type="dxa"/>
          </w:tcPr>
          <w:p w14:paraId="22B568E7" w14:textId="4779400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0100-0120</w:t>
            </w:r>
          </w:p>
        </w:tc>
        <w:tc>
          <w:tcPr>
            <w:tcW w:w="7308" w:type="dxa"/>
          </w:tcPr>
          <w:p w14:paraId="66F2CB32" w14:textId="57EDD3D8" w:rsidR="00F22C91" w:rsidRPr="00D82419" w:rsidRDefault="00B61D5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Resultado líquido de juros</w:t>
            </w:r>
          </w:p>
          <w:p w14:paraId="4B715C5C" w14:textId="2BC80B39" w:rsidR="007A4538" w:rsidRPr="00D82419" w:rsidRDefault="00B61D5C" w:rsidP="003C575D">
            <w:pPr>
              <w:pStyle w:val="InstructionsText"/>
              <w:rPr>
                <w:rStyle w:val="InstructionsTabelleberschrift"/>
                <w:rFonts w:ascii="Times New Roman" w:hAnsi="Times New Roman"/>
                <w:b w:val="0"/>
                <w:noProof/>
                <w:sz w:val="24"/>
                <w:u w:val="none"/>
              </w:rPr>
            </w:pPr>
            <w:r>
              <w:rPr>
                <w:noProof/>
              </w:rPr>
              <w:t>As instituições devem seguir as mesmas instruções que são descritas em {J 01.00; r0100-r0140}.</w:t>
            </w:r>
          </w:p>
        </w:tc>
      </w:tr>
      <w:tr w:rsidR="007A4538" w:rsidRPr="00D82419" w14:paraId="2F3EA8BB" w14:textId="77777777" w:rsidTr="00466F09">
        <w:tc>
          <w:tcPr>
            <w:tcW w:w="1701" w:type="dxa"/>
          </w:tcPr>
          <w:p w14:paraId="769EA922" w14:textId="0EEDAEC6" w:rsidR="007A4538" w:rsidRPr="00D82419" w:rsidRDefault="00721EE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Nível do NII — cenário de base</w:t>
            </w:r>
          </w:p>
          <w:p w14:paraId="7AD09706" w14:textId="69D23F80" w:rsidR="007A4538" w:rsidRPr="00D82419" w:rsidRDefault="00492E67" w:rsidP="003C575D">
            <w:pPr>
              <w:pStyle w:val="InstructionsText"/>
              <w:rPr>
                <w:rStyle w:val="InstructionsTabelleberschrift"/>
                <w:rFonts w:ascii="Times New Roman" w:hAnsi="Times New Roman"/>
                <w:b w:val="0"/>
                <w:noProof/>
                <w:sz w:val="24"/>
                <w:u w:val="none"/>
              </w:rPr>
            </w:pPr>
            <w:r>
              <w:rPr>
                <w:noProof/>
              </w:rPr>
              <w:t>As instituições devem seguir as mesmas instruções que são descritas em {J 01.00; r0120}.</w:t>
            </w:r>
          </w:p>
        </w:tc>
      </w:tr>
      <w:tr w:rsidR="007A4538" w:rsidRPr="00D82419" w14:paraId="018275B7" w14:textId="77777777" w:rsidTr="00466F09">
        <w:tc>
          <w:tcPr>
            <w:tcW w:w="1701" w:type="dxa"/>
          </w:tcPr>
          <w:p w14:paraId="11DBE8FA" w14:textId="47F3855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308" w:type="dxa"/>
          </w:tcPr>
          <w:p w14:paraId="370EDFF1" w14:textId="14E13989"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choque de subida paralela</w:t>
            </w:r>
          </w:p>
          <w:p w14:paraId="64BB5395" w14:textId="18B94676" w:rsidR="004041EF" w:rsidRPr="00D82419" w:rsidRDefault="00492E67" w:rsidP="003C575D">
            <w:pPr>
              <w:pStyle w:val="InstructionsText"/>
              <w:rPr>
                <w:rStyle w:val="InstructionsTabelleberschrift"/>
                <w:rFonts w:ascii="Times New Roman" w:hAnsi="Times New Roman"/>
                <w:noProof/>
                <w:sz w:val="24"/>
              </w:rPr>
            </w:pPr>
            <w:r>
              <w:rPr>
                <w:noProof/>
              </w:rPr>
              <w:t>As instituições devem seguir as mesmas instruções que são descritas em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choque de descida paralela</w:t>
            </w:r>
          </w:p>
          <w:p w14:paraId="79C7988C" w14:textId="156E5C31" w:rsidR="004041EF" w:rsidRPr="00D82419" w:rsidRDefault="00492E67" w:rsidP="003C575D">
            <w:pPr>
              <w:pStyle w:val="InstructionsText"/>
              <w:rPr>
                <w:rStyle w:val="InstructionsTabelleberschrift"/>
                <w:rFonts w:ascii="Times New Roman" w:hAnsi="Times New Roman"/>
                <w:noProof/>
                <w:sz w:val="24"/>
              </w:rPr>
            </w:pPr>
            <w:r>
              <w:rPr>
                <w:noProof/>
              </w:rPr>
              <w:t>As instituições devem seguir as mesmas instruções que são descritas em {J 01.00; r0140}.</w:t>
            </w:r>
          </w:p>
        </w:tc>
      </w:tr>
      <w:tr w:rsidR="007A4538" w:rsidRPr="00D82419" w14:paraId="787EFD12" w14:textId="77777777" w:rsidTr="00466F09">
        <w:tc>
          <w:tcPr>
            <w:tcW w:w="1701" w:type="dxa"/>
          </w:tcPr>
          <w:p w14:paraId="60DFF26B" w14:textId="2482EC0B"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0130-0150</w:t>
            </w:r>
          </w:p>
        </w:tc>
        <w:tc>
          <w:tcPr>
            <w:tcW w:w="7308" w:type="dxa"/>
          </w:tcPr>
          <w:p w14:paraId="41D72025" w14:textId="6B83FFCF" w:rsidR="00EA079E"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Valor de mercado</w:t>
            </w:r>
          </w:p>
          <w:p w14:paraId="7D3BC199" w14:textId="00971876" w:rsidR="007A4538" w:rsidRPr="00D82419" w:rsidRDefault="00303FCE" w:rsidP="003C575D">
            <w:pPr>
              <w:pStyle w:val="InstructionsText"/>
              <w:rPr>
                <w:rStyle w:val="InstructionsTabelleberschrift"/>
                <w:rFonts w:ascii="Times New Roman" w:hAnsi="Times New Roman"/>
                <w:b w:val="0"/>
                <w:noProof/>
                <w:sz w:val="24"/>
                <w:u w:val="none"/>
              </w:rPr>
            </w:pPr>
            <w:r>
              <w:rPr>
                <w:noProof/>
              </w:rPr>
              <w:t>As instituições devem seguir as mesmas instruções que são descritas em {J 01.00; r0150-r0170}.</w:t>
            </w:r>
          </w:p>
        </w:tc>
      </w:tr>
      <w:tr w:rsidR="007A4538" w:rsidRPr="00D82419" w14:paraId="644F7128" w14:textId="77777777" w:rsidTr="00466F09">
        <w:trPr>
          <w:trHeight w:val="507"/>
        </w:trPr>
        <w:tc>
          <w:tcPr>
            <w:tcW w:w="1701" w:type="dxa"/>
          </w:tcPr>
          <w:p w14:paraId="3ABF8A5C" w14:textId="4DA62342"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Nível do MV — cenário de base</w:t>
            </w:r>
          </w:p>
          <w:p w14:paraId="6536044A" w14:textId="0D1A40C4" w:rsidR="007A4538" w:rsidRPr="00D82419" w:rsidRDefault="006D1EB6" w:rsidP="003C575D">
            <w:pPr>
              <w:pStyle w:val="InstructionsText"/>
              <w:rPr>
                <w:rStyle w:val="InstructionsTabelleberschrift"/>
                <w:rFonts w:ascii="Times New Roman" w:hAnsi="Times New Roman"/>
                <w:noProof/>
                <w:sz w:val="24"/>
              </w:rPr>
            </w:pPr>
            <w:r>
              <w:rPr>
                <w:noProof/>
              </w:rPr>
              <w:t>As instituições devem seguir as mesmas instruções que são descritas em {J 01.00; r0150}.</w:t>
            </w:r>
          </w:p>
        </w:tc>
      </w:tr>
      <w:tr w:rsidR="007A4538" w:rsidRPr="00D82419" w14:paraId="0E97A024" w14:textId="77777777" w:rsidTr="00466F09">
        <w:tc>
          <w:tcPr>
            <w:tcW w:w="1701" w:type="dxa"/>
          </w:tcPr>
          <w:p w14:paraId="56B50969" w14:textId="79A37CD4"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 choque de subida paralela</w:t>
            </w:r>
          </w:p>
          <w:p w14:paraId="2661BCE0" w14:textId="14594E55" w:rsidR="004041EF" w:rsidRPr="00D82419" w:rsidRDefault="006D1EB6" w:rsidP="003C575D">
            <w:pPr>
              <w:pStyle w:val="InstructionsText"/>
              <w:rPr>
                <w:rStyle w:val="InstructionsTabelleberschrift"/>
                <w:rFonts w:ascii="Times New Roman" w:hAnsi="Times New Roman"/>
                <w:noProof/>
                <w:sz w:val="24"/>
              </w:rPr>
            </w:pPr>
            <w:r>
              <w:rPr>
                <w:noProof/>
              </w:rPr>
              <w:t>As instituições devem seguir as mesmas instruções que são descritas em {J 01.00; r0160}.</w:t>
            </w:r>
          </w:p>
        </w:tc>
      </w:tr>
      <w:tr w:rsidR="007A4538" w:rsidRPr="00D82419" w14:paraId="45C4E5F3" w14:textId="77777777" w:rsidTr="00466F09">
        <w:tc>
          <w:tcPr>
            <w:tcW w:w="1701" w:type="dxa"/>
          </w:tcPr>
          <w:p w14:paraId="69E7327C" w14:textId="0FF8D9C3"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 choque de descida paralela</w:t>
            </w:r>
          </w:p>
          <w:p w14:paraId="44CB4939" w14:textId="482E3B3A" w:rsidR="004041EF" w:rsidRPr="00D82419" w:rsidRDefault="006D1EB6" w:rsidP="003C575D">
            <w:pPr>
              <w:pStyle w:val="InstructionsText"/>
              <w:rPr>
                <w:rStyle w:val="InstructionsTabelleberschrift"/>
                <w:rFonts w:ascii="Times New Roman" w:hAnsi="Times New Roman"/>
                <w:noProof/>
                <w:sz w:val="24"/>
              </w:rPr>
            </w:pPr>
            <w:r>
              <w:rPr>
                <w:noProof/>
              </w:rPr>
              <w:t>As instituições devem seguir as mesmas instruções que são descritas em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63F1E14E" w:rsidR="009E536A" w:rsidRPr="00D82419" w:rsidRDefault="009E536A" w:rsidP="00430DF0">
      <w:pPr>
        <w:pStyle w:val="Heading2"/>
        <w:suppressAutoHyphens/>
        <w:rPr>
          <w:noProof/>
        </w:rPr>
      </w:pPr>
      <w:bookmarkStart w:id="54" w:name="_Toc160214245"/>
      <w:r>
        <w:rPr>
          <w:noProof/>
        </w:rPr>
        <w:t>PARTE IV: REAVALIAÇÃO DOS FLUXOS DE CAIXA (J 05.00, J 06.00 e J 07.00)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214246"/>
      <w:r>
        <w:rPr>
          <w:b/>
          <w:noProof/>
          <w:sz w:val="24"/>
        </w:rPr>
        <w:t>1.</w:t>
      </w:r>
      <w:r>
        <w:rPr>
          <w:b/>
          <w:noProof/>
          <w:sz w:val="24"/>
        </w:rPr>
        <w:tab/>
        <w:t>Observações gerais</w:t>
      </w:r>
      <w:bookmarkEnd w:id="55"/>
    </w:p>
    <w:p w14:paraId="2C9ABE9B" w14:textId="1549DB17" w:rsidR="00903207"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Os modelos J 05.00, J 06.00 e J 07.00 contêm informações pormenorizadas sobre a reavaliação dos fluxos de caixa para os elementos do balanço relatados nos modelos J 02.00, J 03.00 e J 04.00. As instituições devem relatar essas informações na perspetiva do EVE, tendo em conta os requisitos e pressupostos de modelação especificados no artigo 3.º do Regulamento Delegado (UE) .../... (SP: inserir a referência às NTR relativas ao SOT) e tendo em conta as informações contratuais e comportamentais e, em ambos os casos, ignorando a opcionalidade automática. As instruções para as linhas devem ser as descritas na parte I, secção 2, do presente anexo. Além disso, as instituições devem ter devidamente em conta as convenções de relato especificadas na parte I, em especial as relacionadas com a definição de instrumentos de taxa fixa/variável e o tratamento das opções.</w:t>
      </w:r>
    </w:p>
    <w:p w14:paraId="476D1915" w14:textId="3E68B675" w:rsidR="0076500E"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As instituições devem relatar o conteúdo desses modelos separadamente para cada moeda relativamente à qual as instituições têm posições em que o valor contabilístico dos ativos ou passivos financeiros denominados numa moeda ascenda a 5 % ou mais do total dos ativos ou passivos financeiros da carteira bancária, ou seja inferior a 5 % se a soma dos ativos ou passivos financeiros incluídos no cálculo for inferior a 90 % do total dos ativos (excluindo ativos tangíveis) ou passivos financeiros da carteira bancária. </w:t>
      </w:r>
    </w:p>
    <w:p w14:paraId="7C0A7F4F" w14:textId="3B1416C7" w:rsidR="002E2229"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1.3</w:t>
      </w:r>
      <w:r>
        <w:rPr>
          <w:rFonts w:ascii="Times New Roman" w:hAnsi="Times New Roman"/>
          <w:noProof/>
          <w:sz w:val="24"/>
        </w:rPr>
        <w:tab/>
        <w:t>As instituições devem relatar o conteúdo destes modelos separadamente de acordo com as condições contratuais e comportamentais (Modelação: contractual ou comportamental):</w:t>
      </w:r>
    </w:p>
    <w:p w14:paraId="4AF04087" w14:textId="381712C5"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 xml:space="preserve">(a) </w:t>
      </w:r>
      <w:r w:rsidR="00893F6C">
        <w:rPr>
          <w:rFonts w:ascii="Times New Roman" w:hAnsi="Times New Roman"/>
          <w:noProof/>
          <w:sz w:val="24"/>
        </w:rPr>
        <w:tab/>
      </w:r>
      <w:r>
        <w:rPr>
          <w:rFonts w:ascii="Times New Roman" w:hAnsi="Times New Roman"/>
          <w:noProof/>
          <w:sz w:val="24"/>
        </w:rPr>
        <w:t>contratual: de acordo com a data contratual de reavaliação, na aceção do artigo 1.º, ponto 2, do Regulamento Delegado (UE) .../... (SP: inserir a referência às NTR relativas ao SA), sem ter em conta os pressupostos comportamentais. Apenas devem ser tidas em conta as características contratuais e jurídicas (sem ter em conta as opções automáticas e os limites máximos/mínimos legais). O perfil dos fluxos de caixa dos produtos sem prazo de vencimento (incluindo os NMD) deve ser tratado como posições variáveis de curto prazo (intervalo temporal mais curto). Não é aplicada qualquer rescisão antecipada ou pré-pagamento comportamental, equivalentes a taxas de 0 % para o pré-pagamento condicional e o resgate antecipado;</w:t>
      </w:r>
    </w:p>
    <w:p w14:paraId="5697020E" w14:textId="6837D313"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 xml:space="preserve">(b) </w:t>
      </w:r>
      <w:r w:rsidR="00893F6C">
        <w:rPr>
          <w:rFonts w:ascii="Times New Roman" w:hAnsi="Times New Roman"/>
          <w:noProof/>
          <w:sz w:val="24"/>
        </w:rPr>
        <w:tab/>
      </w:r>
      <w:r>
        <w:rPr>
          <w:rFonts w:ascii="Times New Roman" w:hAnsi="Times New Roman"/>
          <w:noProof/>
          <w:sz w:val="24"/>
        </w:rPr>
        <w:t>modelação comportamental no cenário de base: de acordo com os fluxos de caixa decorrentes da reavaliação modelada que contabiliza, se for caso disso, os pressupostos comportamentais no cenário de base.</w:t>
      </w:r>
    </w:p>
    <w:p w14:paraId="63E1F799" w14:textId="45FDFDC4" w:rsidR="00786D30" w:rsidRPr="00577327" w:rsidRDefault="00A75ED8" w:rsidP="00430DF0">
      <w:pPr>
        <w:tabs>
          <w:tab w:val="left" w:pos="567"/>
        </w:tabs>
        <w:suppressAutoHyphens/>
        <w:rPr>
          <w:rFonts w:ascii="Times New Roman" w:hAnsi="Times New Roman"/>
          <w:noProof/>
          <w:sz w:val="24"/>
        </w:rPr>
      </w:pPr>
      <w:bookmarkStart w:id="56" w:name="_Ref140654581"/>
      <w:r>
        <w:rPr>
          <w:rFonts w:ascii="Times New Roman" w:hAnsi="Times New Roman"/>
          <w:noProof/>
          <w:sz w:val="24"/>
        </w:rPr>
        <w:t>1.4</w:t>
      </w:r>
      <w:r>
        <w:rPr>
          <w:rFonts w:ascii="Times New Roman" w:hAnsi="Times New Roman"/>
          <w:noProof/>
          <w:sz w:val="24"/>
        </w:rPr>
        <w:tab/>
        <w:t>No caso dos derivados, as instituições devem relatar os montantes líquidos dos fluxos de caixa decorrentes da reavaliação (ou seja, não discriminados por componentes de receção/pagamento). Para os derivados</w:t>
      </w:r>
      <w:r w:rsidR="00893F6C">
        <w:rPr>
          <w:rFonts w:ascii="Times New Roman" w:hAnsi="Times New Roman"/>
          <w:noProof/>
          <w:sz w:val="24"/>
        </w:rPr>
        <w:t xml:space="preserve"> </w:t>
      </w:r>
      <w:r>
        <w:rPr>
          <w:rFonts w:ascii="Times New Roman" w:hAnsi="Times New Roman"/>
          <w:noProof/>
          <w:sz w:val="24"/>
        </w:rPr>
        <w:t>para cobertura de ativos, a componente longa (receção/ativo) do derivado deve ser considerada com um sinal positivo, enquanto a componente curta (pagamento/passivo) deve ser considerada com um sinal negativo ao calcular os montantes líquidos por intervalo temporal. São aplicáveis exceções a esta regra no caso do cupão de receção fixado num contexto de taxas de juro negativas, que deve ser considerado com um sinal negativo mesmo que a parte da componente longa (receção/ativo) tenha sido considerada com um valor positivo. O contrário aplica-se aos derivados para cobertura de passivos: a componente longa (receção/ativo) deve ser considerada com um sinal negativo, enquanto a curta (pagamento/passivo) deve ser considerada com um sinal positivo ao calcular os fluxos de caixa líquidos decorrentes da reavaliação.</w:t>
      </w:r>
      <w:bookmarkEnd w:id="56"/>
      <w:r>
        <w:rPr>
          <w:rFonts w:ascii="Times New Roman" w:hAnsi="Times New Roman"/>
          <w:noProof/>
          <w:sz w:val="24"/>
        </w:rPr>
        <w:t xml:space="preserve"> </w:t>
      </w:r>
    </w:p>
    <w:p w14:paraId="0A355842" w14:textId="3B32B977" w:rsidR="00A75ED8" w:rsidRPr="00577327" w:rsidRDefault="00A75ED8"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As instituições não devem relatar colunas relacionadas com o montante nocional, as informações sobre as opções automáticas e a modelação comportamental, o rendimento médio e o prazo de vencimento contratual nas folhas relativas às condições contratuais.</w:t>
      </w:r>
    </w:p>
    <w:p w14:paraId="34D3A582" w14:textId="4F06788E" w:rsidR="003F3D6D" w:rsidRPr="00A75ED8" w:rsidRDefault="00A75ED8" w:rsidP="00A63913">
      <w:pPr>
        <w:pStyle w:val="Instructionsberschrift2"/>
        <w:numPr>
          <w:ilvl w:val="0"/>
          <w:numId w:val="0"/>
        </w:numPr>
        <w:suppressAutoHyphens/>
        <w:spacing w:before="360" w:after="120"/>
        <w:rPr>
          <w:rFonts w:cs="Times New Roman"/>
          <w:b/>
          <w:bCs/>
          <w:noProof/>
          <w:sz w:val="24"/>
        </w:rPr>
      </w:pPr>
      <w:bookmarkStart w:id="57" w:name="_Toc160214247"/>
      <w:r>
        <w:rPr>
          <w:b/>
          <w:noProof/>
          <w:sz w:val="24"/>
        </w:rPr>
        <w:t>2.</w:t>
      </w:r>
      <w:r>
        <w:rPr>
          <w:b/>
          <w:noProof/>
          <w:sz w:val="24"/>
        </w:rPr>
        <w:tab/>
        <w:t>Instruções relativas a posições específicas:</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Colunas</w:t>
            </w:r>
          </w:p>
        </w:tc>
        <w:tc>
          <w:tcPr>
            <w:tcW w:w="7620" w:type="dxa"/>
            <w:shd w:val="clear" w:color="auto" w:fill="D9D9D9" w:themeFill="background1" w:themeFillShade="D9"/>
          </w:tcPr>
          <w:p w14:paraId="2F9FA5E5"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Referências jurídicas e instruções</w:t>
            </w:r>
          </w:p>
        </w:tc>
      </w:tr>
      <w:tr w:rsidR="00A65377" w:rsidRPr="00D82419" w:rsidDel="00910670" w14:paraId="4BFF452C" w14:textId="77777777" w:rsidTr="63452C95">
        <w:tc>
          <w:tcPr>
            <w:tcW w:w="1129" w:type="dxa"/>
          </w:tcPr>
          <w:p w14:paraId="424DCEEA" w14:textId="2047D5C3" w:rsidR="00A65377" w:rsidRPr="00D82419" w:rsidDel="00910670" w:rsidRDefault="00ED0A0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Taxa fixa</w:t>
            </w:r>
          </w:p>
          <w:p w14:paraId="3E07CAE3" w14:textId="552D9907"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As instituições devem relatar as estimativas relativas aos instrumentos de taxa fixa, de acordo com as convenções especificadas na parte I, secção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do presente anexo.</w:t>
            </w:r>
          </w:p>
        </w:tc>
      </w:tr>
      <w:tr w:rsidR="00A65377" w:rsidRPr="00D82419" w:rsidDel="00910670" w14:paraId="57B0CF75" w14:textId="77777777" w:rsidTr="63452C95">
        <w:tc>
          <w:tcPr>
            <w:tcW w:w="1129" w:type="dxa"/>
          </w:tcPr>
          <w:p w14:paraId="6E3BC7AB" w14:textId="2B703315" w:rsidR="00A65377" w:rsidRPr="00D82419" w:rsidDel="00910670" w:rsidRDefault="00543AB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Taxa variável</w:t>
            </w:r>
          </w:p>
          <w:p w14:paraId="0667D05A" w14:textId="1C1E5E1A" w:rsidR="00EF76AB" w:rsidRPr="00D82419" w:rsidDel="00910670" w:rsidRDefault="00EF76AB" w:rsidP="003C575D">
            <w:pPr>
              <w:pStyle w:val="InstructionsText"/>
              <w:rPr>
                <w:rStyle w:val="InstructionsTabelleberschrift"/>
                <w:rFonts w:ascii="Times New Roman" w:hAnsi="Times New Roman"/>
                <w:noProof/>
                <w:sz w:val="24"/>
              </w:rPr>
            </w:pPr>
            <w:r>
              <w:rPr>
                <w:noProof/>
              </w:rPr>
              <w:t>As instituições devem relatar as estimativas relativas aos instrumentos de taxa v</w:t>
            </w:r>
            <w:r>
              <w:rPr>
                <w:rStyle w:val="InstructionsTabelleberschrift"/>
                <w:rFonts w:ascii="Times New Roman" w:hAnsi="Times New Roman"/>
                <w:b w:val="0"/>
                <w:noProof/>
                <w:sz w:val="24"/>
                <w:u w:val="none"/>
              </w:rPr>
              <w:t>ariável</w:t>
            </w:r>
            <w:r>
              <w:rPr>
                <w:noProof/>
              </w:rPr>
              <w:t xml:space="preserve">, de acordo com as convenções especificadas na parte I, secção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do presente anexo</w:t>
            </w:r>
            <w:r>
              <w:rPr>
                <w:b/>
                <w:noProof/>
              </w:rPr>
              <w:t>.</w:t>
            </w:r>
          </w:p>
        </w:tc>
      </w:tr>
      <w:tr w:rsidR="00910670" w:rsidRPr="00D82419" w:rsidDel="00910670" w14:paraId="501C377B" w14:textId="77777777" w:rsidTr="63452C95">
        <w:tc>
          <w:tcPr>
            <w:tcW w:w="1129" w:type="dxa"/>
          </w:tcPr>
          <w:p w14:paraId="440DBE1C" w14:textId="5EB8B8CF" w:rsidR="00910670" w:rsidRPr="00D82419" w:rsidDel="00910670" w:rsidRDefault="0091067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Montante nocional</w:t>
            </w:r>
          </w:p>
          <w:p w14:paraId="46766D8B" w14:textId="222F990D" w:rsidR="00CB0263" w:rsidRPr="00D82419" w:rsidRDefault="00CB026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As instituições devem relatar o montante do capital em dívida dos instrumentos.</w:t>
            </w:r>
          </w:p>
          <w:p w14:paraId="5E431F7F" w14:textId="07283D72" w:rsidR="00910670" w:rsidRPr="00D82419" w:rsidDel="00910670" w:rsidRDefault="00C57102" w:rsidP="003C575D">
            <w:pPr>
              <w:pStyle w:val="InstructionsText"/>
              <w:rPr>
                <w:rStyle w:val="InstructionsTabelleberschrift"/>
                <w:rFonts w:ascii="Times New Roman" w:hAnsi="Times New Roman"/>
                <w:b w:val="0"/>
                <w:noProof/>
                <w:sz w:val="24"/>
                <w:u w:val="none"/>
              </w:rPr>
            </w:pPr>
            <w:r>
              <w:rPr>
                <w:noProof/>
              </w:rPr>
              <w:t>No caso dos derivados, deve ser relatado o montante de capital em dívida da componente do ativo (receção) (ou seja, nenhum montante compensado das componentes de receção/pagamento).</w:t>
            </w:r>
          </w:p>
        </w:tc>
      </w:tr>
      <w:tr w:rsidR="008A13DA" w:rsidRPr="00D82419" w14:paraId="2FB0A7BA" w14:textId="77777777" w:rsidTr="63452C95">
        <w:tc>
          <w:tcPr>
            <w:tcW w:w="1129" w:type="dxa"/>
          </w:tcPr>
          <w:p w14:paraId="3AFC7C48" w14:textId="1AE5011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 e 0270</w:t>
            </w:r>
          </w:p>
        </w:tc>
        <w:tc>
          <w:tcPr>
            <w:tcW w:w="7620" w:type="dxa"/>
          </w:tcPr>
          <w:p w14:paraId="1D1717F1" w14:textId="693BF04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com opcionalidade automática integrada ou explícita — comprados</w:t>
            </w:r>
          </w:p>
          <w:p w14:paraId="19FE4847" w14:textId="216BDE82"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Percentagem do montante nocional relatado nas colunas 0010 e 0260 sujeito a opções automáticas sobre taxas de juro compradas. A opcionalidade pode resultar de instrumentos autónomos comprados pela instituição (incluindo </w:t>
            </w:r>
            <w:r>
              <w:rPr>
                <w:rStyle w:val="InstructionsTabelleberschrift"/>
                <w:rFonts w:ascii="Times New Roman" w:hAnsi="Times New Roman"/>
                <w:b w:val="0"/>
                <w:i/>
                <w:noProof/>
                <w:sz w:val="24"/>
                <w:u w:val="none"/>
              </w:rPr>
              <w:t>limites mínimos, limites máximos</w:t>
            </w:r>
            <w:r>
              <w:rPr>
                <w:rStyle w:val="InstructionsTabelleberschrift"/>
                <w:rFonts w:ascii="Times New Roman" w:hAnsi="Times New Roman"/>
                <w:b w:val="0"/>
                <w:noProof/>
                <w:sz w:val="24"/>
                <w:u w:val="none"/>
              </w:rPr>
              <w:t xml:space="preserve"> e </w:t>
            </w:r>
            <w:r>
              <w:rPr>
                <w:rStyle w:val="InstructionsTabelleberschrift"/>
                <w:rFonts w:ascii="Times New Roman" w:hAnsi="Times New Roman"/>
                <w:b w:val="0"/>
                <w:i/>
                <w:noProof/>
                <w:sz w:val="24"/>
                <w:u w:val="none"/>
              </w:rPr>
              <w:t xml:space="preserve">opções sobre </w:t>
            </w:r>
            <w:r>
              <w:rPr>
                <w:rStyle w:val="InstructionsTabelleberschrift"/>
                <w:rFonts w:ascii="Times New Roman" w:hAnsi="Times New Roman"/>
                <w:b w:val="0"/>
                <w:noProof/>
                <w:sz w:val="24"/>
                <w:u w:val="none"/>
              </w:rPr>
              <w:t>swaps) ou ser «integrada» nas condições contratuais de outros produtos bancários padrão.</w:t>
            </w:r>
          </w:p>
          <w:p w14:paraId="03C11696" w14:textId="540CCE6E" w:rsidR="00A83E73" w:rsidRPr="00D82419" w:rsidRDefault="00A83E73" w:rsidP="003C575D">
            <w:pPr>
              <w:pStyle w:val="InstructionsText"/>
              <w:rPr>
                <w:rStyle w:val="InstructionsTabelleberschrift"/>
                <w:rFonts w:ascii="Times New Roman" w:hAnsi="Times New Roman"/>
                <w:b w:val="0"/>
                <w:bCs w:val="0"/>
                <w:noProof/>
                <w:sz w:val="24"/>
                <w:u w:val="none"/>
              </w:rPr>
            </w:pPr>
            <w:r>
              <w:rPr>
                <w:noProof/>
              </w:rPr>
              <w:t>As opções automáticas sobre taxas de juro integradas devem ser relatadas juntamente com o seu instrumento de base pertinente (ativo ou passivo). As opções automáticas explícitas sobre taxas de juro devem ser relatadas como instrumentos derivados.</w:t>
            </w:r>
          </w:p>
          <w:p w14:paraId="1515B951" w14:textId="0815A965" w:rsidR="000452C6"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As opções automáticas compradas e integradas devem incluir, no caso de posições de taxa variável: (i) limites mínimos comprados em relação aos ativos de taxa variável (empréstimos ou instrumentos de dívida); (ii)  limites máximos comprados em relação aos instrumentos de dívida de taxa variável emitidos, etc. </w:t>
            </w:r>
          </w:p>
          <w:p w14:paraId="4B278975" w14:textId="2CD15610" w:rsidR="008A13DA" w:rsidRPr="00D82419" w:rsidRDefault="008449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As opções automáticas compradas e integradas devem incluir, no caso de posições de taxa fixa: (i) ativos de instrumentos de dívida de taxa fixa com opção de pré-pagamento para a instituição (pagamento de opção sobre </w:t>
            </w:r>
            <w:r>
              <w:rPr>
                <w:rStyle w:val="InstructionsTabelleberschrift"/>
                <w:rFonts w:ascii="Times New Roman" w:hAnsi="Times New Roman"/>
                <w:b w:val="0"/>
                <w:i/>
                <w:iCs/>
                <w:noProof/>
                <w:sz w:val="24"/>
                <w:u w:val="none"/>
              </w:rPr>
              <w:t>swaps</w:t>
            </w:r>
            <w:r>
              <w:rPr>
                <w:rStyle w:val="InstructionsTabelleberschrift"/>
                <w:rFonts w:ascii="Times New Roman" w:hAnsi="Times New Roman"/>
                <w:b w:val="0"/>
                <w:noProof/>
                <w:sz w:val="24"/>
                <w:u w:val="none"/>
              </w:rPr>
              <w:t xml:space="preserve"> comprada e integrada); (ii) passivos de instrumentos de dívida de taxa fixa com opção de pré-pagamento para a instituição (receção de opção sobre </w:t>
            </w:r>
            <w:r>
              <w:rPr>
                <w:rStyle w:val="InstructionsTabelleberschrift"/>
                <w:rFonts w:ascii="Times New Roman" w:hAnsi="Times New Roman"/>
                <w:b w:val="0"/>
                <w:i/>
                <w:iCs/>
                <w:noProof/>
                <w:sz w:val="24"/>
                <w:u w:val="none"/>
              </w:rPr>
              <w:t>swaps</w:t>
            </w:r>
            <w:r>
              <w:rPr>
                <w:rStyle w:val="InstructionsTabelleberschrift"/>
                <w:rFonts w:ascii="Times New Roman" w:hAnsi="Times New Roman"/>
                <w:b w:val="0"/>
                <w:noProof/>
                <w:sz w:val="24"/>
                <w:u w:val="none"/>
              </w:rPr>
              <w:t xml:space="preserve"> comprada e integrada).</w:t>
            </w:r>
          </w:p>
          <w:p w14:paraId="0EC5C984" w14:textId="06780A02" w:rsidR="004736B2" w:rsidRPr="00D82419" w:rsidRDefault="004736B2"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As opções automáticas compradas e explícitas são derivados que devem incluir: (i) limites mínimos comprados e explícitos; (ii) pagamento de opções sobre </w:t>
            </w:r>
            <w:r>
              <w:rPr>
                <w:rStyle w:val="InstructionsTabelleberschrift"/>
                <w:rFonts w:ascii="Times New Roman" w:hAnsi="Times New Roman"/>
                <w:b w:val="0"/>
                <w:i/>
                <w:iCs/>
                <w:noProof/>
                <w:sz w:val="24"/>
                <w:u w:val="none"/>
              </w:rPr>
              <w:t>swaps</w:t>
            </w:r>
            <w:r>
              <w:rPr>
                <w:rStyle w:val="InstructionsTabelleberschrift"/>
                <w:rFonts w:ascii="Times New Roman" w:hAnsi="Times New Roman"/>
                <w:b w:val="0"/>
                <w:noProof/>
                <w:sz w:val="24"/>
                <w:u w:val="none"/>
              </w:rPr>
              <w:t xml:space="preserve"> compradas e explícitas (uma instituição tem o direito de celebrar um </w:t>
            </w:r>
            <w:r>
              <w:rPr>
                <w:rStyle w:val="InstructionsTabelleberschrift"/>
                <w:rFonts w:ascii="Times New Roman" w:hAnsi="Times New Roman"/>
                <w:b w:val="0"/>
                <w:i/>
                <w:iCs/>
                <w:noProof/>
                <w:sz w:val="24"/>
                <w:u w:val="none"/>
              </w:rPr>
              <w:t>swap</w:t>
            </w:r>
            <w:r>
              <w:rPr>
                <w:rStyle w:val="InstructionsTabelleberschrift"/>
                <w:rFonts w:ascii="Times New Roman" w:hAnsi="Times New Roman"/>
                <w:b w:val="0"/>
                <w:noProof/>
                <w:sz w:val="24"/>
                <w:u w:val="none"/>
              </w:rPr>
              <w:t xml:space="preserve"> de taxas de juro que pague uma variável de receção fixa); (iii)  limites máximos comprados e explícitos; (iv) receção de opções sobre </w:t>
            </w:r>
            <w:r>
              <w:rPr>
                <w:rStyle w:val="InstructionsTabelleberschrift"/>
                <w:rFonts w:ascii="Times New Roman" w:hAnsi="Times New Roman"/>
                <w:b w:val="0"/>
                <w:i/>
                <w:iCs/>
                <w:noProof/>
                <w:sz w:val="24"/>
                <w:u w:val="none"/>
              </w:rPr>
              <w:t>swaps</w:t>
            </w:r>
            <w:r>
              <w:rPr>
                <w:rStyle w:val="InstructionsTabelleberschrift"/>
                <w:rFonts w:ascii="Times New Roman" w:hAnsi="Times New Roman"/>
                <w:b w:val="0"/>
                <w:noProof/>
                <w:sz w:val="24"/>
                <w:u w:val="none"/>
              </w:rPr>
              <w:t xml:space="preserve"> compradas e explícitas (uma instituição tem o direito de celebrar um </w:t>
            </w:r>
            <w:r>
              <w:rPr>
                <w:rStyle w:val="InstructionsTabelleberschrift"/>
                <w:rFonts w:ascii="Times New Roman" w:hAnsi="Times New Roman"/>
                <w:b w:val="0"/>
                <w:i/>
                <w:iCs/>
                <w:noProof/>
                <w:sz w:val="24"/>
                <w:u w:val="none"/>
              </w:rPr>
              <w:t>swap</w:t>
            </w:r>
            <w:r>
              <w:rPr>
                <w:rStyle w:val="InstructionsTabelleberschrift"/>
                <w:rFonts w:ascii="Times New Roman" w:hAnsi="Times New Roman"/>
                <w:b w:val="0"/>
                <w:noProof/>
                <w:sz w:val="24"/>
                <w:u w:val="none"/>
              </w:rPr>
              <w:t xml:space="preserve"> de taxas de juro que receba uma variável de pagamento fixo).</w:t>
            </w:r>
          </w:p>
          <w:p w14:paraId="0338A8CE" w14:textId="46249BD5" w:rsidR="008A13DA" w:rsidRPr="00D82419" w:rsidRDefault="004736B2" w:rsidP="003C575D">
            <w:pPr>
              <w:pStyle w:val="InstructionsText"/>
              <w:rPr>
                <w:rStyle w:val="InstructionsTabelleberschrift"/>
                <w:rFonts w:ascii="Times New Roman" w:hAnsi="Times New Roman"/>
                <w:noProof/>
                <w:sz w:val="24"/>
              </w:rPr>
            </w:pPr>
            <w:r>
              <w:rPr>
                <w:noProof/>
              </w:rPr>
              <w:t xml:space="preserve">Ao calcular a percentagem de exposição, as instituições devem ter em devida conta as convenções especificadas na parte I, secção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no que diz respeito às opções.</w:t>
            </w:r>
          </w:p>
        </w:tc>
      </w:tr>
      <w:tr w:rsidR="008A13DA" w:rsidRPr="00D82419" w14:paraId="148EA992" w14:textId="77777777" w:rsidTr="63452C95">
        <w:tc>
          <w:tcPr>
            <w:tcW w:w="1129" w:type="dxa"/>
          </w:tcPr>
          <w:p w14:paraId="0C9C2184" w14:textId="481FBD2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e 0280</w:t>
            </w:r>
          </w:p>
        </w:tc>
        <w:tc>
          <w:tcPr>
            <w:tcW w:w="7620" w:type="dxa"/>
          </w:tcPr>
          <w:p w14:paraId="685A6336" w14:textId="5A91B1B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com opcionalidade automática integrada ou explícita) — vendidos</w:t>
            </w:r>
          </w:p>
          <w:p w14:paraId="6E9CFF28" w14:textId="4243EF27"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Percentagem do montante nocional relatado nas colunas 0010 e 0260 sujeito a opções automáticas sobre taxas de juro vendidas. A opcionalidade pode resultar de instrumentos autónomos vendidos pela instituição (incluindo </w:t>
            </w:r>
            <w:r>
              <w:rPr>
                <w:rStyle w:val="InstructionsTabelleberschrift"/>
                <w:rFonts w:ascii="Times New Roman" w:hAnsi="Times New Roman"/>
                <w:b w:val="0"/>
                <w:i/>
                <w:noProof/>
                <w:sz w:val="24"/>
                <w:u w:val="none"/>
              </w:rPr>
              <w:t>limites mínimos, limites máximos</w:t>
            </w:r>
            <w:r>
              <w:rPr>
                <w:rStyle w:val="InstructionsTabelleberschrift"/>
                <w:rFonts w:ascii="Times New Roman" w:hAnsi="Times New Roman"/>
                <w:b w:val="0"/>
                <w:noProof/>
                <w:sz w:val="24"/>
                <w:u w:val="none"/>
              </w:rPr>
              <w:t xml:space="preserve"> e </w:t>
            </w:r>
            <w:r>
              <w:rPr>
                <w:rStyle w:val="InstructionsTabelleberschrift"/>
                <w:rFonts w:ascii="Times New Roman" w:hAnsi="Times New Roman"/>
                <w:b w:val="0"/>
                <w:i/>
                <w:noProof/>
                <w:sz w:val="24"/>
                <w:u w:val="none"/>
              </w:rPr>
              <w:t xml:space="preserve">opções sobre </w:t>
            </w:r>
            <w:r>
              <w:rPr>
                <w:rStyle w:val="InstructionsTabelleberschrift"/>
                <w:rFonts w:ascii="Times New Roman" w:hAnsi="Times New Roman"/>
                <w:b w:val="0"/>
                <w:noProof/>
                <w:sz w:val="24"/>
                <w:u w:val="none"/>
              </w:rPr>
              <w:t>swaps) ou ser «integrada» nas condições contratuais de outros produtos bancários padrão.</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As opções automáticas sobre taxas de juro integradas devem ser relatadas juntamente com o seu instrumento de base pertinente (ativo ou passivo). As opções automáticas explícitas sobre taxas de juro devem ser relatadas como instrumentos derivados.</w:t>
            </w:r>
          </w:p>
          <w:p w14:paraId="5E648301" w14:textId="67D908B7" w:rsidR="000978F0" w:rsidRPr="00D82419" w:rsidRDefault="008A13DA" w:rsidP="003C575D">
            <w:pPr>
              <w:pStyle w:val="InstructionsText"/>
              <w:rPr>
                <w:noProof/>
              </w:rPr>
            </w:pPr>
            <w:r>
              <w:rPr>
                <w:noProof/>
              </w:rPr>
              <w:t xml:space="preserve">As opções automáticas de taxas de juro compradas e integradas devem incluir, no caso de posições de taxa variável: (i) limites mínimos vendidos em relação aos ativos de taxa variável (empréstimos e instrumentos de dívida); (ii)  limites mínimos vendidos em relação aos instrumentos de dívida de taxa variável emitidos, etc. </w:t>
            </w:r>
          </w:p>
          <w:p w14:paraId="17F59AFE" w14:textId="1DC8181A" w:rsidR="008A13DA" w:rsidRPr="00D82419" w:rsidRDefault="008A13DA" w:rsidP="003C575D">
            <w:pPr>
              <w:pStyle w:val="InstructionsText"/>
              <w:rPr>
                <w:noProof/>
              </w:rPr>
            </w:pPr>
            <w:r>
              <w:rPr>
                <w:noProof/>
              </w:rPr>
              <w:t xml:space="preserve">Relativamente às posições de taxa fixa, as opções automáticas de taxa de juro vendidas e integradas devem incluir: (i) instrumentos de dívida de taxa fixa com opção de pré-pagamento para o emitente (receção de opção sobre </w:t>
            </w:r>
            <w:r>
              <w:rPr>
                <w:i/>
                <w:iCs/>
                <w:noProof/>
              </w:rPr>
              <w:t>swaps</w:t>
            </w:r>
            <w:r>
              <w:rPr>
                <w:noProof/>
              </w:rPr>
              <w:t xml:space="preserve"> vendida e integrada);ii) limites mínimos vendidos relativamente a NMD e depósitos a prazo, incluindo limites mínimos legais e implícitos, e iii) instrumentos de dívida de taxa fixa emitidos com uma opção de pré-pagamento para o investidor (receção de opção sobre </w:t>
            </w:r>
            <w:r>
              <w:rPr>
                <w:i/>
                <w:iCs/>
                <w:noProof/>
              </w:rPr>
              <w:t>swaps</w:t>
            </w:r>
            <w:r>
              <w:rPr>
                <w:noProof/>
              </w:rPr>
              <w:t xml:space="preserve"> vendida e integrada).</w:t>
            </w:r>
          </w:p>
          <w:p w14:paraId="4039C229" w14:textId="6ACB1D35" w:rsidR="00F73C99" w:rsidRPr="00D82419" w:rsidRDefault="00F73C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As opções automáticas vendidas e explícitas são derivados que devem incluir: (i) limites máximos vendidos e explícitos; (ii) recebimento de opções sobre </w:t>
            </w:r>
            <w:r>
              <w:rPr>
                <w:rStyle w:val="InstructionsTabelleberschrift"/>
                <w:rFonts w:ascii="Times New Roman" w:hAnsi="Times New Roman"/>
                <w:b w:val="0"/>
                <w:i/>
                <w:iCs/>
                <w:noProof/>
                <w:sz w:val="24"/>
                <w:u w:val="none"/>
              </w:rPr>
              <w:t>swaps</w:t>
            </w:r>
            <w:r>
              <w:rPr>
                <w:rStyle w:val="InstructionsTabelleberschrift"/>
                <w:rFonts w:ascii="Times New Roman" w:hAnsi="Times New Roman"/>
                <w:b w:val="0"/>
                <w:noProof/>
                <w:sz w:val="24"/>
                <w:u w:val="none"/>
              </w:rPr>
              <w:t xml:space="preserve"> vendidas e explícitas (uma instituição tem a obrigação de celebrar um </w:t>
            </w:r>
            <w:r>
              <w:rPr>
                <w:rStyle w:val="InstructionsTabelleberschrift"/>
                <w:rFonts w:ascii="Times New Roman" w:hAnsi="Times New Roman"/>
                <w:b w:val="0"/>
                <w:i/>
                <w:iCs/>
                <w:noProof/>
                <w:sz w:val="24"/>
                <w:u w:val="none"/>
              </w:rPr>
              <w:t>swap</w:t>
            </w:r>
            <w:r>
              <w:rPr>
                <w:rStyle w:val="InstructionsTabelleberschrift"/>
                <w:rFonts w:ascii="Times New Roman" w:hAnsi="Times New Roman"/>
                <w:b w:val="0"/>
                <w:noProof/>
                <w:sz w:val="24"/>
                <w:u w:val="none"/>
              </w:rPr>
              <w:t xml:space="preserve"> de taxas de juro que pague uma variável de receção fixa); (iii)  limites mínimos vendidos e explícitos; (iv) pagamento de opções sobre </w:t>
            </w:r>
            <w:r>
              <w:rPr>
                <w:rStyle w:val="InstructionsTabelleberschrift"/>
                <w:rFonts w:ascii="Times New Roman" w:hAnsi="Times New Roman"/>
                <w:b w:val="0"/>
                <w:i/>
                <w:iCs/>
                <w:noProof/>
                <w:sz w:val="24"/>
                <w:u w:val="none"/>
              </w:rPr>
              <w:t>swaps</w:t>
            </w:r>
            <w:r>
              <w:rPr>
                <w:rStyle w:val="InstructionsTabelleberschrift"/>
                <w:rFonts w:ascii="Times New Roman" w:hAnsi="Times New Roman"/>
                <w:b w:val="0"/>
                <w:noProof/>
                <w:sz w:val="24"/>
                <w:u w:val="none"/>
              </w:rPr>
              <w:t xml:space="preserve"> vendidas e explícitas (uma instituição tem a obrigação de celebrar um </w:t>
            </w:r>
            <w:r>
              <w:rPr>
                <w:rStyle w:val="InstructionsTabelleberschrift"/>
                <w:rFonts w:ascii="Times New Roman" w:hAnsi="Times New Roman"/>
                <w:b w:val="0"/>
                <w:i/>
                <w:iCs/>
                <w:noProof/>
                <w:sz w:val="24"/>
                <w:u w:val="none"/>
              </w:rPr>
              <w:t>swap</w:t>
            </w:r>
            <w:r>
              <w:rPr>
                <w:rStyle w:val="InstructionsTabelleberschrift"/>
                <w:rFonts w:ascii="Times New Roman" w:hAnsi="Times New Roman"/>
                <w:b w:val="0"/>
                <w:noProof/>
                <w:sz w:val="24"/>
                <w:u w:val="none"/>
              </w:rPr>
              <w:t xml:space="preserve"> de taxas de juro que receba uma variável de pagamento fixo).</w:t>
            </w:r>
          </w:p>
          <w:p w14:paraId="5CBE88B0" w14:textId="0D2C5A51" w:rsidR="008A13DA" w:rsidRPr="00D82419" w:rsidRDefault="00F73C99" w:rsidP="003C575D">
            <w:pPr>
              <w:pStyle w:val="InstructionsText"/>
              <w:rPr>
                <w:rStyle w:val="InstructionsTabelleberschrift"/>
                <w:rFonts w:ascii="Times New Roman" w:hAnsi="Times New Roman"/>
                <w:noProof/>
                <w:sz w:val="24"/>
              </w:rPr>
            </w:pPr>
            <w:r>
              <w:rPr>
                <w:noProof/>
              </w:rPr>
              <w:t xml:space="preserve">Ao calcular a percentagem, as instituições devem ter em devida conta as convenções especificadas na parte I, secção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no que diz respeito às opções.</w:t>
            </w:r>
          </w:p>
        </w:tc>
      </w:tr>
      <w:tr w:rsidR="005A510E" w:rsidRPr="00D82419" w14:paraId="2D5F7193" w14:textId="77777777" w:rsidTr="63452C95">
        <w:tc>
          <w:tcPr>
            <w:tcW w:w="1129" w:type="dxa"/>
          </w:tcPr>
          <w:p w14:paraId="400C1384" w14:textId="08885C17"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 e 0290</w:t>
            </w:r>
          </w:p>
        </w:tc>
        <w:tc>
          <w:tcPr>
            <w:tcW w:w="7620" w:type="dxa"/>
          </w:tcPr>
          <w:p w14:paraId="0B5BDF1F" w14:textId="77777777"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sujeita a modelação comportamental</w:t>
            </w:r>
          </w:p>
          <w:p w14:paraId="2A5581C0" w14:textId="2E607039" w:rsidR="005A510E"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Percentagem do montante nocional relatado nas colunas 0010 e 0260, sujeita a modelação comportamental, relativamente à qual o calendário ou o montante dos fluxos de caixa dependem do comportamento dos clientes.</w:t>
            </w:r>
          </w:p>
        </w:tc>
      </w:tr>
      <w:tr w:rsidR="005A510E" w:rsidRPr="00D82419" w14:paraId="320394BE" w14:textId="77777777" w:rsidTr="63452C95">
        <w:tc>
          <w:tcPr>
            <w:tcW w:w="1129" w:type="dxa"/>
          </w:tcPr>
          <w:p w14:paraId="4194F18A" w14:textId="66BE13F3"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 e 0300</w:t>
            </w:r>
          </w:p>
        </w:tc>
        <w:tc>
          <w:tcPr>
            <w:tcW w:w="7620" w:type="dxa"/>
          </w:tcPr>
          <w:p w14:paraId="1F589AA0" w14:textId="6E6F27F9"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Rendimento médio ponderado</w:t>
            </w:r>
          </w:p>
          <w:p w14:paraId="0A030C82" w14:textId="148A1E1F" w:rsidR="005A510E" w:rsidRPr="00D82419" w:rsidRDefault="000B09F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Rendimento médio anual ponderado pelo montante nocional.</w:t>
            </w:r>
          </w:p>
        </w:tc>
      </w:tr>
      <w:tr w:rsidR="005A510E" w:rsidRPr="00D82419" w14:paraId="241B7FD2" w14:textId="77777777" w:rsidTr="63452C95">
        <w:tc>
          <w:tcPr>
            <w:tcW w:w="1129" w:type="dxa"/>
          </w:tcPr>
          <w:p w14:paraId="05DB9DDC" w14:textId="75231452"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e 0310</w:t>
            </w:r>
          </w:p>
        </w:tc>
        <w:tc>
          <w:tcPr>
            <w:tcW w:w="7620" w:type="dxa"/>
          </w:tcPr>
          <w:p w14:paraId="61B75614" w14:textId="476C6EAF"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Prazo de vencimento médio ponderado (contratual)</w:t>
            </w:r>
          </w:p>
          <w:p w14:paraId="5543C64E" w14:textId="5DCF7F02" w:rsidR="005A510E" w:rsidRPr="00D82419" w:rsidRDefault="00E054D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Prazo de vencimento contratual médio ponderado em anos pelo montante nocional.</w:t>
            </w:r>
          </w:p>
        </w:tc>
      </w:tr>
      <w:tr w:rsidR="00E334BE" w:rsidRPr="00D82419" w14:paraId="1C045037" w14:textId="77777777" w:rsidTr="63452C95">
        <w:tc>
          <w:tcPr>
            <w:tcW w:w="1129" w:type="dxa"/>
          </w:tcPr>
          <w:p w14:paraId="77861FE1" w14:textId="066DD219" w:rsidR="00E334BE" w:rsidRPr="00D82419" w:rsidRDefault="00B45B2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0070-0250 e 0320-0390</w:t>
            </w:r>
          </w:p>
        </w:tc>
        <w:tc>
          <w:tcPr>
            <w:tcW w:w="7620" w:type="dxa"/>
          </w:tcPr>
          <w:p w14:paraId="244DABE7" w14:textId="77777777" w:rsidR="00A37710" w:rsidRPr="00D82419" w:rsidRDefault="00E334B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Calendário de reavaliação para os fluxos de caixa decorrentes da reavaliação dos valores nocionais</w:t>
            </w:r>
          </w:p>
          <w:p w14:paraId="27AC5034" w14:textId="495DB905" w:rsidR="00F93C6A" w:rsidRPr="00D82419" w:rsidRDefault="00F93C6A" w:rsidP="003C575D">
            <w:pPr>
              <w:pStyle w:val="InstructionsText"/>
              <w:rPr>
                <w:noProof/>
              </w:rPr>
            </w:pPr>
            <w:r>
              <w:rPr>
                <w:noProof/>
              </w:rPr>
              <w:t xml:space="preserve">As instituições devem relatar todos os futuros fluxos de caixa decorrentes da reavaliação dos valores nocionais resultantes das posições sensíveis à taxa de juro no âmbito do </w:t>
            </w:r>
            <w:r>
              <w:rPr>
                <w:rStyle w:val="InstructionsTabelleberschrift"/>
                <w:rFonts w:ascii="Times New Roman" w:hAnsi="Times New Roman"/>
                <w:b w:val="0"/>
                <w:noProof/>
                <w:sz w:val="24"/>
                <w:u w:val="none"/>
              </w:rPr>
              <w:t>Regulamento Delegado (UE) .../... (SP: inserir a referência às NTR relativas ao SOT)</w:t>
            </w:r>
            <w:r>
              <w:rPr>
                <w:noProof/>
              </w:rPr>
              <w:t xml:space="preserve"> nos intervalos temporais predefinidos (nos quais se incluem de acordo com as respetivas datas de reavaliação). </w:t>
            </w:r>
            <w:r>
              <w:rPr>
                <w:rStyle w:val="FormatvorlageInstructionsTabelleText"/>
                <w:rFonts w:ascii="Times New Roman" w:hAnsi="Times New Roman"/>
                <w:noProof/>
                <w:sz w:val="24"/>
              </w:rPr>
              <w:t>(definição de «fluxos de caixa decorrentes da reavaliação dos valores nocionais» e «data de reavaliação», tal como estabelecido no artigo 1.º, pontos 1 e 2, do</w:t>
            </w:r>
            <w:r>
              <w:rPr>
                <w:noProof/>
              </w:rPr>
              <w:t xml:space="preserve"> Regulamento Delegado (UE) .../... (SP: inserir a referência às NTR relativas ao SA)</w:t>
            </w:r>
            <w:r>
              <w:rPr>
                <w:rStyle w:val="FormatvorlageInstructionsTabelleText"/>
                <w:rFonts w:ascii="Times New Roman" w:hAnsi="Times New Roman"/>
                <w:noProof/>
                <w:sz w:val="24"/>
              </w:rPr>
              <w:t>.</w:t>
            </w:r>
          </w:p>
          <w:p w14:paraId="07BE21EC" w14:textId="406647A0" w:rsidR="00E334BE" w:rsidRPr="00D82419" w:rsidRDefault="00F93C6A" w:rsidP="003C575D">
            <w:pPr>
              <w:pStyle w:val="InstructionsText"/>
              <w:rPr>
                <w:noProof/>
              </w:rPr>
            </w:pPr>
            <w:r>
              <w:rPr>
                <w:noProof/>
              </w:rPr>
              <w:t>As opções automáticas sobre taxas de juro, quer sejam explícitas ou integradas, devem ser excluídas dos seus contratos de acolhimento e ignoradas na afetação dos fluxos de caixa decorrentes da reavaliação dos valores nocionais.</w:t>
            </w:r>
          </w:p>
          <w:p w14:paraId="126FAB26" w14:textId="3C5ADDB7" w:rsidR="00DE2BDF" w:rsidRPr="00D82419" w:rsidRDefault="00DE2BDF" w:rsidP="003C575D">
            <w:pPr>
              <w:pStyle w:val="InstructionsText"/>
              <w:rPr>
                <w:noProof/>
              </w:rPr>
            </w:pPr>
            <w:r>
              <w:rPr>
                <w:noProof/>
              </w:rPr>
              <w:t xml:space="preserve">Os derivados que não sejam opções automáticas sobre taxas de juro devem ser convertidos em posições no subjacente pertinente e divididos em posições de pagamento e receção (posições curtas e longas) no subjacente pertinente. Os montantes considerados devem ser os montantes de capital do subjacente ou do subjacente nocional. Os contratos de futuros e os contratos a prazo, incluindo os contratos a prazo de taxas de juro, devem ser tratados como uma combinação de posições curtas e longas. </w:t>
            </w:r>
          </w:p>
          <w:p w14:paraId="4256EE64" w14:textId="3862EF6A" w:rsidR="00DE2BDF" w:rsidRPr="00D82419" w:rsidRDefault="00DE2BDF" w:rsidP="003C575D">
            <w:pPr>
              <w:pStyle w:val="InstructionsText"/>
              <w:rPr>
                <w:rStyle w:val="InstructionsTabelleberschrift"/>
                <w:rFonts w:ascii="Times New Roman" w:hAnsi="Times New Roman"/>
                <w:b w:val="0"/>
                <w:noProof/>
                <w:u w:val="none"/>
              </w:rPr>
            </w:pPr>
            <w:r>
              <w:rPr>
                <w:noProof/>
              </w:rPr>
              <w:t xml:space="preserve">Ao representarem os fluxos de caixa decorrentes da reavaliação de derivados que não sejam opções automáticas sobre taxas de juro, as instituições devem ter em devida conta as convenções especificadas na parte IV, secção 1, ponto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8A047B">
              <w:rPr>
                <w:noProof/>
              </w:rPr>
              <w:t>1.</w:t>
            </w:r>
            <w:r w:rsidR="004049B3" w:rsidRPr="008A047B">
              <w:rPr>
                <w:noProof/>
              </w:rPr>
              <w:t>4</w:t>
            </w:r>
            <w:r w:rsidR="00D401D8" w:rsidRPr="008A047B">
              <w:rPr>
                <w:noProof/>
              </w:rPr>
              <w:fldChar w:fldCharType="end"/>
            </w:r>
            <w:r>
              <w:rPr>
                <w:noProof/>
              </w:rPr>
              <w:t xml:space="preserve"> no que diz respeito aos derivados.</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6E369EE" w:rsidR="0074085C" w:rsidRPr="00D82419" w:rsidRDefault="0074085C" w:rsidP="00430DF0">
      <w:pPr>
        <w:pStyle w:val="Heading2"/>
        <w:suppressAutoHyphens/>
        <w:rPr>
          <w:noProof/>
        </w:rPr>
      </w:pPr>
      <w:bookmarkStart w:id="58" w:name="_Toc160214248"/>
      <w:r>
        <w:rPr>
          <w:noProof/>
        </w:rPr>
        <w:t>PARTE V: PARÂMETROS PERTINENTES (J 08.00 e J 09.00)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214249"/>
      <w:r>
        <w:rPr>
          <w:b/>
          <w:noProof/>
          <w:sz w:val="24"/>
        </w:rPr>
        <w:t>1.</w:t>
      </w:r>
      <w:r>
        <w:rPr>
          <w:b/>
          <w:noProof/>
          <w:sz w:val="24"/>
        </w:rPr>
        <w:tab/>
        <w:t>Observações gerais</w:t>
      </w:r>
      <w:bookmarkEnd w:id="59"/>
    </w:p>
    <w:p w14:paraId="6DBD998C" w14:textId="462008A4" w:rsidR="00615CD6"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Os modelos J 08.00 e J 09.00 contêm informações sobre os parâmetros pertinentes para monitorizar a modelação do IRRBB. A maior parte das informações neste modelo deve decorrer das informações relatadas nos modelos J 02.00 a J 07.00. As informações devem ser relatadas tendo em conta uma perspetiva do EVE, incluindo os requisitos e pressupostos de modelação especificados no artigo 3.º do Regulamento Delegado (UE) .../... (SP: inserir a referência às NTR relativas ao SOT), e não tendo em conta a opcionalidade automática, exceto relativamente às linhas 0120 a 0150.</w:t>
      </w:r>
    </w:p>
    <w:p w14:paraId="392AF82E" w14:textId="63D81CC8" w:rsidR="00583FE1"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Estes modelos devem ser relatados separadamente para cada moeda relativamente à qual as instituições têm posições em que o valor contabilístico dos ativos ou passivos financeiros denominados numa moeda ascenda a 5 % ou mais do total dos ativos ou passivos financeiros da carteira bancária, ou inferior a 5 % se a soma dos ativos ou passivos financeiros incluídos no cálculo for inferior a 90 % do total dos ativos (excluindo ativos tangíveis) ou passivos financeiros da carteira bancária.</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214250"/>
      <w:r>
        <w:rPr>
          <w:b/>
          <w:noProof/>
          <w:sz w:val="24"/>
        </w:rPr>
        <w:t>2.</w:t>
      </w:r>
      <w:r>
        <w:rPr>
          <w:b/>
          <w:noProof/>
          <w:sz w:val="24"/>
        </w:rPr>
        <w:tab/>
        <w:t>Instruções relativas a posições específicas</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Linha</w:t>
            </w:r>
          </w:p>
        </w:tc>
        <w:tc>
          <w:tcPr>
            <w:tcW w:w="7620" w:type="dxa"/>
            <w:shd w:val="clear" w:color="auto" w:fill="D9D9D9" w:themeFill="background1" w:themeFillShade="D9"/>
          </w:tcPr>
          <w:p w14:paraId="35F1E6EB" w14:textId="77777777" w:rsidR="00B87342" w:rsidRPr="00D82419" w:rsidRDefault="00B87342"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Referências jurídicas e instruções</w:t>
            </w:r>
          </w:p>
        </w:tc>
      </w:tr>
      <w:tr w:rsidR="00B87342" w:rsidRPr="00D82419" w14:paraId="0045BC51" w14:textId="77777777" w:rsidTr="63452C95">
        <w:tc>
          <w:tcPr>
            <w:tcW w:w="1129" w:type="dxa"/>
          </w:tcPr>
          <w:p w14:paraId="25ECF8E9" w14:textId="7BC0B77B"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0010-0110</w:t>
            </w:r>
          </w:p>
        </w:tc>
        <w:tc>
          <w:tcPr>
            <w:tcW w:w="7620" w:type="dxa"/>
          </w:tcPr>
          <w:p w14:paraId="4F4071B3" w14:textId="3F3376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 — modelação comportamental — datas médias de reavaliação antes e depois da modelização</w:t>
            </w:r>
          </w:p>
          <w:p w14:paraId="7656C57A" w14:textId="5C4468A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As datas médias de reavaliação, medidas em anos, devem ser calculadas por categoria NMD de acordo com a discriminação especificada na parte III, </w:t>
            </w:r>
            <w:r>
              <w:rPr>
                <w:noProof/>
              </w:rPr>
              <w:t>secção 2, do presente anexo</w:t>
            </w:r>
            <w:r>
              <w:rPr>
                <w:rStyle w:val="FormatvorlageInstructionsTabelleText"/>
                <w:rFonts w:ascii="Times New Roman" w:hAnsi="Times New Roman"/>
                <w:noProof/>
                <w:sz w:val="24"/>
              </w:rPr>
              <w:t xml:space="preserve">, com uma discriminação adicional: a) da parte considerada como o volume «central» (para os NMD diferentes dos financeiros grossistas, e de acordo com a definição de «central» constante do artigo 1.º, ponto 15, do </w:t>
            </w:r>
            <w:r>
              <w:rPr>
                <w:noProof/>
              </w:rPr>
              <w:t>Regulamento Delegado (UE) .../... (SP: inserir a referência às NTR relativas ao SA)</w:t>
            </w:r>
            <w:r>
              <w:rPr>
                <w:rStyle w:val="FormatvorlageInstructionsTabelleText"/>
                <w:rFonts w:ascii="Times New Roman" w:hAnsi="Times New Roman"/>
                <w:noProof/>
                <w:sz w:val="24"/>
              </w:rPr>
              <w:t xml:space="preserve">, b) do perímetro das poupanças regulamentadas a que se refere o artigo 428.º-F, n.º 2, alínea a), do </w:t>
            </w:r>
            <w:r>
              <w:rPr>
                <w:noProof/>
              </w:rPr>
              <w:t>Regulamento (UE) n.º 575/2013</w:t>
            </w:r>
            <w:r>
              <w:rPr>
                <w:rStyle w:val="FormatvorlageInstructionsTabelleText"/>
                <w:rFonts w:ascii="Times New Roman" w:hAnsi="Times New Roman"/>
                <w:noProof/>
                <w:sz w:val="24"/>
              </w:rPr>
              <w:t xml:space="preserve"> — não limitado à parte centralizada — ou qualquer outra parte com restrições económicas ou orçamentais significativas em caso de levantamento, relativamente à qual a instituição não está a aplicar um limite máximo ao seu prazo de vencimento de reavaliação (como o limite máximo de cinco anos), na sua gestão interna do risco do IRRBB e c) do perímetro dos depósitos operacionais na aceção do artigo 27.º, n.º 1, alínea a), do</w:t>
            </w:r>
            <w:r>
              <w:rPr>
                <w:noProof/>
              </w:rPr>
              <w:t xml:space="preserve"> Regulamento Delegado (UE) 2015/61</w:t>
            </w:r>
            <w:r>
              <w:rPr>
                <w:rStyle w:val="FormatvorlageInstructionsTabelleText"/>
                <w:rFonts w:ascii="Times New Roman" w:hAnsi="Times New Roman"/>
                <w:noProof/>
                <w:sz w:val="24"/>
              </w:rPr>
              <w:t>.</w:t>
            </w:r>
          </w:p>
          <w:p w14:paraId="0E697F4F" w14:textId="0B347860" w:rsidR="00B87342" w:rsidRPr="00D82419" w:rsidRDefault="00B87342"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As datas médias de reavaliação são calculadas como uma média ponderada das «datas de reavaliação» e da ponderação atribuída como base nos «fluxos de caixa decorrentes da reavaliação dos valores nocionais» das posições em cada categoria/desagregação de NMD pertinente [definição de «fluxos de caixa decorrentes da reavaliação dos valores nocionais» e «data de reavaliação», tal como estabelecido no artigo 1.º, pontos 1 e 2, </w:t>
            </w:r>
            <w:r>
              <w:rPr>
                <w:noProof/>
              </w:rPr>
              <w:t>do Regulamento Delegado (UE) .../... (SP: inserir a referência às NTR relativas ao SA)</w:t>
            </w:r>
            <w:r>
              <w:rPr>
                <w:rStyle w:val="FormatvorlageInstructionsTabelleText"/>
                <w:rFonts w:ascii="Times New Roman" w:hAnsi="Times New Roman"/>
                <w:noProof/>
                <w:sz w:val="24"/>
              </w:rPr>
              <w:t>].</w:t>
            </w:r>
          </w:p>
        </w:tc>
      </w:tr>
      <w:tr w:rsidR="00B87342" w:rsidRPr="00D82419" w14:paraId="1314EB2E" w14:textId="77777777" w:rsidTr="63452C95">
        <w:tc>
          <w:tcPr>
            <w:tcW w:w="1129" w:type="dxa"/>
          </w:tcPr>
          <w:p w14:paraId="0E560EE6" w14:textId="1917CD8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0120-0150</w:t>
            </w:r>
          </w:p>
        </w:tc>
        <w:tc>
          <w:tcPr>
            <w:tcW w:w="7620" w:type="dxa"/>
          </w:tcPr>
          <w:p w14:paraId="16864C20" w14:textId="4D758673"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 — modelação comportamental — PTR ao longo do horizonte de um ano</w:t>
            </w:r>
          </w:p>
          <w:p w14:paraId="7BE8129E" w14:textId="53FD4EE3" w:rsidR="00B87342" w:rsidRPr="00D82419" w:rsidRDefault="3DB3CFB4"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A taxa de repercussão (PTR), tal como definida no artigo 1.º, ponto 14, do </w:t>
            </w:r>
            <w:r>
              <w:rPr>
                <w:noProof/>
              </w:rPr>
              <w:t xml:space="preserve">Regulamento Delegado (UE) .../... (SP: inserir a referência às NTR relativas ao SA) </w:t>
            </w:r>
            <w:r>
              <w:rPr>
                <w:rStyle w:val="FormatvorlageInstructionsTabelleText"/>
                <w:rFonts w:ascii="Times New Roman" w:hAnsi="Times New Roman"/>
                <w:noProof/>
                <w:sz w:val="24"/>
              </w:rPr>
              <w:t xml:space="preserve">deve ser relatada por categoria NMD de acordo com a discriminação especificada na </w:t>
            </w:r>
            <w:r>
              <w:rPr>
                <w:noProof/>
              </w:rPr>
              <w:t>parte I, secção , do presente anexo</w:t>
            </w:r>
            <w:r>
              <w:rPr>
                <w:rStyle w:val="FormatvorlageInstructionsTabelleText"/>
                <w:rFonts w:ascii="Times New Roman" w:hAnsi="Times New Roman"/>
                <w:noProof/>
                <w:sz w:val="24"/>
              </w:rPr>
              <w:t xml:space="preserve"> e para um horizonte temporal de um ano.</w:t>
            </w:r>
          </w:p>
          <w:p w14:paraId="39231CCE" w14:textId="5897B846" w:rsidR="00B87342" w:rsidRPr="00D82419" w:rsidRDefault="7EB25965" w:rsidP="003C575D">
            <w:pPr>
              <w:pStyle w:val="InstructionsText"/>
              <w:rPr>
                <w:rFonts w:eastAsia="Calibri"/>
                <w:noProof/>
              </w:rPr>
            </w:pPr>
            <w:r>
              <w:rPr>
                <w:noProof/>
              </w:rPr>
              <w:t xml:space="preserve">As instituições devem relatar como PTR a percentagem média ponderada do choque de taxas de juro que se presume ser transferido para os seus NMD, no âmbito dos cenários regulamentares das taxas de juro e da métrica de NII especificados no </w:t>
            </w:r>
            <w:r>
              <w:rPr>
                <w:rStyle w:val="InstructionsTabelleberschrift"/>
                <w:rFonts w:ascii="Times New Roman" w:hAnsi="Times New Roman"/>
                <w:b w:val="0"/>
                <w:noProof/>
                <w:sz w:val="24"/>
                <w:u w:val="none"/>
              </w:rPr>
              <w:t xml:space="preserve">Regulamento Delegado (UE) .../... (SP: inserir a referência às NTR relativas ao </w:t>
            </w:r>
            <w:r>
              <w:rPr>
                <w:rStyle w:val="FormatvorlageInstructionsTabelleText"/>
                <w:rFonts w:ascii="Times New Roman" w:hAnsi="Times New Roman"/>
                <w:noProof/>
                <w:sz w:val="24"/>
              </w:rPr>
              <w:t>SOT)</w:t>
            </w:r>
            <w:r>
              <w:rPr>
                <w:noProof/>
              </w:rPr>
              <w:t>.</w:t>
            </w:r>
          </w:p>
        </w:tc>
      </w:tr>
      <w:tr w:rsidR="00B87342" w:rsidRPr="00D82419" w14:paraId="44881724" w14:textId="77777777" w:rsidTr="63452C95">
        <w:tc>
          <w:tcPr>
            <w:tcW w:w="1129" w:type="dxa"/>
          </w:tcPr>
          <w:p w14:paraId="248EEF52" w14:textId="6ED74CE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0160-0220</w:t>
            </w:r>
          </w:p>
        </w:tc>
        <w:tc>
          <w:tcPr>
            <w:tcW w:w="7620" w:type="dxa"/>
          </w:tcPr>
          <w:p w14:paraId="1A7FEBB1" w14:textId="77777777"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Taxa fixa — risco de pagamento antecipado — datas médias de reavaliação antes e depois da modelação</w:t>
            </w:r>
          </w:p>
          <w:p w14:paraId="3E76D491" w14:textId="0A6DCF17" w:rsidR="0011705A" w:rsidRPr="00D82419" w:rsidRDefault="0011705A"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As datas médias de reavaliação, medidas em anos, são calculadas para cada categoria pertinente, tal como especificado na parte I, </w:t>
            </w:r>
            <w:r>
              <w:rPr>
                <w:noProof/>
              </w:rPr>
              <w:t>secção , do presente anexo</w:t>
            </w:r>
            <w:r>
              <w:rPr>
                <w:rStyle w:val="FormatvorlageInstructionsTabelleText"/>
                <w:rFonts w:ascii="Times New Roman" w:hAnsi="Times New Roman"/>
                <w:noProof/>
                <w:sz w:val="24"/>
              </w:rPr>
              <w:t xml:space="preserve"> para «empréstimos e adiantamentos» de taxa fixa e «instrumentos de dívida» de taxa fixa sujeitos a risco de pré-pagamento.</w:t>
            </w:r>
          </w:p>
          <w:p w14:paraId="6058AA3F" w14:textId="67C5AABC" w:rsidR="00B87342" w:rsidRPr="00D82419" w:rsidRDefault="0011705A"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As instituições só devem considerar como posições sujeitas a risco de pré-pagamento as posições relativamente às quais o cliente não suporta a totalidade dos custos económicos do pré-pagamento antecipado. As posições em relação às quais o cliente suporte o custo económico total do pré-pagamento antecipado não devem ser consideradas vomo sujeitas ao risco de pré-pagamento para efeitos do cálculo. As datas médias de reavaliação são calculadas como uma média ponderada das «datas de reavaliação» e da ponderação atribuída aos «fluxos de caixa decorrentes da reavaliação dos valores nocionais» das posições em cada categoria/distribuição de «empréstimos e adiantamentos» de taxa fixa e «instrumentos de dívida» de taxa fixa pertinentes (definição de «fluxos de caixa decorrentes da reavaliação dos valores nocionais» e «data de reavaliação», tal como estabelecido no artigo 1.º, pontos 1 e 2, </w:t>
            </w:r>
            <w:r>
              <w:rPr>
                <w:noProof/>
              </w:rPr>
              <w:t>do Regulamento Delegado (UE) .../... (SP: inserir a referência às NTR relativas ao SA)</w:t>
            </w:r>
            <w:r>
              <w:rPr>
                <w:rStyle w:val="FormatvorlageInstructionsTabelleText"/>
                <w:rFonts w:ascii="Times New Roman" w:hAnsi="Times New Roman"/>
                <w:noProof/>
                <w:sz w:val="24"/>
              </w:rPr>
              <w:t>).</w:t>
            </w:r>
          </w:p>
        </w:tc>
      </w:tr>
      <w:tr w:rsidR="00B87342" w:rsidRPr="00D82419" w14:paraId="105F7BA0" w14:textId="77777777" w:rsidTr="63452C95">
        <w:tc>
          <w:tcPr>
            <w:tcW w:w="1129" w:type="dxa"/>
          </w:tcPr>
          <w:p w14:paraId="33EC9B44" w14:textId="29F9C45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0230-0290</w:t>
            </w:r>
          </w:p>
        </w:tc>
        <w:tc>
          <w:tcPr>
            <w:tcW w:w="7620" w:type="dxa"/>
          </w:tcPr>
          <w:p w14:paraId="170D5BB8" w14:textId="74C86AF3" w:rsidR="00B87342" w:rsidRPr="00D82419" w:rsidRDefault="00B87342"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Taxa fixa — risco de pré-pagamento — taxas de pré-pagamento condicionais (média anualizada)</w:t>
            </w:r>
          </w:p>
          <w:p w14:paraId="689AA958" w14:textId="083E3BBE" w:rsidR="00B87342" w:rsidRPr="00D82419" w:rsidRDefault="006A74E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A</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taxa média anualizada</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de pré-pagamento condicional deve ser relatada em termos anualizados, por categoria pertinente, tal como especificado na parte I, </w:t>
            </w:r>
            <w:r>
              <w:rPr>
                <w:noProof/>
              </w:rPr>
              <w:t>secção 2, do presente anexo</w:t>
            </w:r>
            <w:r>
              <w:rPr>
                <w:rStyle w:val="FormatvorlageInstructionsTabelleText"/>
                <w:rFonts w:ascii="Times New Roman" w:hAnsi="Times New Roman"/>
                <w:noProof/>
                <w:sz w:val="24"/>
              </w:rPr>
              <w:t>, como a taxa média anual ponderada de pré-pagamento, pelo montante em dívida em cada período anual, até à liquidação da carteira, das carteiras de «empréstimos e adiantamentos» de taxa fixa e de «instrumentos de dívida» de taxa fixa sujeitas a risco de pré-pagamento.</w:t>
            </w:r>
          </w:p>
        </w:tc>
      </w:tr>
      <w:tr w:rsidR="00B87342" w:rsidRPr="00D82419" w14:paraId="57163FCB" w14:textId="77777777" w:rsidTr="63452C95">
        <w:tc>
          <w:tcPr>
            <w:tcW w:w="1129" w:type="dxa"/>
          </w:tcPr>
          <w:p w14:paraId="3A1656C2" w14:textId="3B773E3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0300-0330</w:t>
            </w:r>
          </w:p>
        </w:tc>
        <w:tc>
          <w:tcPr>
            <w:tcW w:w="7620" w:type="dxa"/>
          </w:tcPr>
          <w:p w14:paraId="060B1BB5" w14:textId="56BF7C42"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Taxa fixa — risco de resgate antecipado — datas médias de reavaliação antes e depois da modelação</w:t>
            </w:r>
          </w:p>
          <w:p w14:paraId="1E1D4FB4" w14:textId="52E85BA2"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As datas médias de reavaliação, medidas em anos, são calculadas para cada categoria pertinente, tal , como especificado na parte I, </w:t>
            </w:r>
            <w:r>
              <w:rPr>
                <w:noProof/>
              </w:rPr>
              <w:t>secção 2, do presente anexo</w:t>
            </w:r>
            <w:r>
              <w:rPr>
                <w:rStyle w:val="FormatvorlageInstructionsTabelleText"/>
                <w:rFonts w:ascii="Times New Roman" w:hAnsi="Times New Roman"/>
                <w:noProof/>
                <w:sz w:val="24"/>
              </w:rPr>
              <w:t xml:space="preserve"> para «depósitos a prazo» de taxa fixa sujeitos a risco de reembolso antecipado.</w:t>
            </w:r>
          </w:p>
          <w:p w14:paraId="6587669C" w14:textId="6CE97E7A"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As datas médias de reavaliação são calculadas como uma média ponderada das «datas de reavaliação» e da ponderação atribuída como base nos «fluxos de caixa decorrentes da reavaliação dos valores nocionais» das posições agreagadas em cada categoria/desagregação pertinente [definição de «fluxos de caixa decorrentes da reavaliação dos valores nocionais» e «data de reavaliação», tal como estabelecido no artigo 1.º, pontos 1 e 2, </w:t>
            </w:r>
            <w:r>
              <w:rPr>
                <w:noProof/>
              </w:rPr>
              <w:t>do Regulamento Delegado (UE) .../... (SP: inserir a referência às NTR relativas ao SA)</w:t>
            </w:r>
            <w:r>
              <w:rPr>
                <w:rStyle w:val="FormatvorlageInstructionsTabelleText"/>
                <w:rFonts w:ascii="Times New Roman" w:hAnsi="Times New Roman"/>
                <w:noProof/>
                <w:sz w:val="24"/>
              </w:rPr>
              <w:t>].</w:t>
            </w:r>
          </w:p>
          <w:p w14:paraId="7AA2EACA" w14:textId="10F458EC" w:rsidR="00B87342" w:rsidRPr="00D82419" w:rsidRDefault="002901F9"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As instituições só devem considerar como posições sujeitas a risco de resgate antecipado as posições relativamente às quais o cliente não suporta a totalidade dos custos económicos do resgate antecipado. As posições em relação às quais o cliente suporte o custo económico total do resgate antecipado não devem ser consideradas como sujeitas ao risco de resgate antecipado para efeitos do cálculo.</w:t>
            </w:r>
          </w:p>
        </w:tc>
      </w:tr>
      <w:tr w:rsidR="00B87342" w:rsidRPr="00D82419" w14:paraId="481018BD" w14:textId="77777777" w:rsidTr="63452C95">
        <w:tc>
          <w:tcPr>
            <w:tcW w:w="1129" w:type="dxa"/>
          </w:tcPr>
          <w:p w14:paraId="0B9A24B1" w14:textId="6B6EE88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0340-0370</w:t>
            </w:r>
          </w:p>
        </w:tc>
        <w:tc>
          <w:tcPr>
            <w:tcW w:w="7620" w:type="dxa"/>
          </w:tcPr>
          <w:p w14:paraId="337E5AE4" w14:textId="084B5B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Taxa fixa — risco de resgate antecipado — taxas de resgate antecipado (média cumulativa)</w:t>
            </w:r>
          </w:p>
          <w:p w14:paraId="34980BF9" w14:textId="2C0D7DC4" w:rsidR="00B87342" w:rsidRPr="00D82419" w:rsidRDefault="00950563"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A taxa</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cumulativa</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média de resgate antecipado condicional deve ser relatada por categoria pertinente, tal como especificado na parte I, </w:t>
            </w:r>
            <w:r>
              <w:rPr>
                <w:noProof/>
              </w:rPr>
              <w:t>secção 2, do presente anexo</w:t>
            </w:r>
            <w:r>
              <w:rPr>
                <w:rStyle w:val="FormatvorlageInstructionsTabelleText"/>
                <w:rFonts w:ascii="Times New Roman" w:hAnsi="Times New Roman"/>
                <w:noProof/>
                <w:sz w:val="24"/>
              </w:rPr>
              <w:t>, como o rácio entre o montante resgatado antecipadamente das posições de «depósito a prazo» de taxa fixa sujeitas a risco de resgate antecipado (por categoria pertinente), dividido pelo montante total em dívida de «depósitos a prazo» de taxa fixa sujeitos a risco de resgate antecipado (por categoria pertinente).</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Colunas</w:t>
            </w:r>
          </w:p>
        </w:tc>
        <w:tc>
          <w:tcPr>
            <w:tcW w:w="7620" w:type="dxa"/>
            <w:shd w:val="clear" w:color="auto" w:fill="D9D9D9" w:themeFill="background1" w:themeFillShade="D9"/>
          </w:tcPr>
          <w:p w14:paraId="353000F0"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Referências jurídicas e instruções</w:t>
            </w:r>
          </w:p>
        </w:tc>
      </w:tr>
      <w:tr w:rsidR="00F47983" w:rsidRPr="00D82419" w:rsidDel="00F47983" w14:paraId="4C4CB1B5" w14:textId="77777777" w:rsidTr="63452C95">
        <w:tc>
          <w:tcPr>
            <w:tcW w:w="1129" w:type="dxa"/>
          </w:tcPr>
          <w:p w14:paraId="62C284D6" w14:textId="7940C70E" w:rsidR="00F47983" w:rsidRPr="00D82419" w:rsidDel="00F47983" w:rsidRDefault="00F4798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Montante nocional</w:t>
            </w:r>
          </w:p>
          <w:p w14:paraId="5B6EFF80" w14:textId="5E9934E5" w:rsidR="00F47983" w:rsidRPr="00D82419" w:rsidDel="00F47983" w:rsidRDefault="004F47D0" w:rsidP="003C575D">
            <w:pPr>
              <w:pStyle w:val="InstructionsText"/>
              <w:rPr>
                <w:rStyle w:val="InstructionsTabelleberschrift"/>
                <w:rFonts w:ascii="Times New Roman" w:hAnsi="Times New Roman"/>
                <w:noProof/>
                <w:sz w:val="24"/>
              </w:rPr>
            </w:pPr>
            <w:r>
              <w:rPr>
                <w:noProof/>
              </w:rPr>
              <w:t>As instituições devem seguir as mesmas instruções que são descritas em {J 05.00; c0010}.</w:t>
            </w:r>
          </w:p>
        </w:tc>
      </w:tr>
      <w:tr w:rsidR="005B10B8" w:rsidRPr="00D82419" w14:paraId="102216EE" w14:textId="77777777" w:rsidTr="63452C95">
        <w:tc>
          <w:tcPr>
            <w:tcW w:w="1129" w:type="dxa"/>
          </w:tcPr>
          <w:p w14:paraId="5DE0749C" w14:textId="01F50747"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46BCBBB4" w14:textId="77777777" w:rsidR="00E62089" w:rsidRPr="00D82419" w:rsidRDefault="005B10B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Sujeito a modelação comportamental (%)</w:t>
            </w:r>
            <w:r>
              <w:rPr>
                <w:rStyle w:val="InstructionsTabelleberschrift"/>
                <w:rFonts w:ascii="Times New Roman" w:hAnsi="Times New Roman"/>
                <w:b w:val="0"/>
                <w:noProof/>
                <w:sz w:val="24"/>
                <w:u w:val="none"/>
              </w:rPr>
              <w:t xml:space="preserve"> </w:t>
            </w:r>
          </w:p>
          <w:p w14:paraId="516AFABD" w14:textId="368F2955" w:rsidR="005B10B8" w:rsidRPr="00D82419" w:rsidRDefault="0083437E" w:rsidP="003C575D">
            <w:pPr>
              <w:pStyle w:val="InstructionsText"/>
              <w:rPr>
                <w:rStyle w:val="InstructionsTabelleberschrift"/>
                <w:rFonts w:ascii="Times New Roman" w:hAnsi="Times New Roman"/>
                <w:b w:val="0"/>
                <w:noProof/>
                <w:sz w:val="24"/>
                <w:u w:val="none"/>
              </w:rPr>
            </w:pPr>
            <w:r>
              <w:rPr>
                <w:noProof/>
              </w:rPr>
              <w:t>As instituições devem seguir as mesmas instruções que são descritas em {J 05.00; c0040}.</w:t>
            </w:r>
          </w:p>
        </w:tc>
      </w:tr>
      <w:tr w:rsidR="005B10B8" w:rsidRPr="00D82419" w14:paraId="42F754E3" w14:textId="77777777" w:rsidTr="63452C95">
        <w:tc>
          <w:tcPr>
            <w:tcW w:w="1129" w:type="dxa"/>
          </w:tcPr>
          <w:p w14:paraId="70F3C500" w14:textId="1658EE49"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Cenário de base (contratual)</w:t>
            </w:r>
          </w:p>
          <w:p w14:paraId="3844FF21" w14:textId="29835F5D" w:rsidR="003D25AF" w:rsidRPr="00D82419" w:rsidRDefault="003D25A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As instituições devem fornecer os parâmetros pertinentes (ou seja, datas médias de reavaliação) de acordo com as condições contratuais dos instrumentos subjacentes</w:t>
            </w:r>
            <w:r>
              <w:rPr>
                <w:rStyle w:val="InstructionsTabelleberschrift"/>
                <w:rFonts w:ascii="Times New Roman" w:hAnsi="Times New Roman"/>
                <w:b w:val="0"/>
                <w:noProof/>
                <w:sz w:val="24"/>
                <w:u w:val="none"/>
              </w:rPr>
              <w:t xml:space="preserve"> para as exposições sujeitas a termos e características contratuais, no cenário de taxas de juro de base</w:t>
            </w:r>
            <w:r>
              <w:rPr>
                <w:rStyle w:val="FormatvorlageInstructionsTabelleText"/>
                <w:rFonts w:ascii="Times New Roman" w:hAnsi="Times New Roman"/>
                <w:noProof/>
                <w:sz w:val="24"/>
              </w:rPr>
              <w:t xml:space="preserve">. </w:t>
            </w:r>
          </w:p>
          <w:p w14:paraId="49FC7605" w14:textId="5C296D41" w:rsidR="003D25AF" w:rsidRPr="00D82419" w:rsidRDefault="003D25AF" w:rsidP="003C575D">
            <w:pPr>
              <w:pStyle w:val="InstructionsText"/>
              <w:rPr>
                <w:rStyle w:val="FormatvorlageInstructionsTabelleText"/>
                <w:rFonts w:ascii="Times New Roman" w:hAnsi="Times New Roman"/>
                <w:bCs w:val="0"/>
                <w:noProof/>
                <w:sz w:val="24"/>
              </w:rPr>
            </w:pPr>
            <w:r>
              <w:rPr>
                <w:rStyle w:val="InstructionsTabelleberschrift"/>
                <w:rFonts w:ascii="Times New Roman" w:hAnsi="Times New Roman"/>
                <w:b w:val="0"/>
                <w:noProof/>
                <w:sz w:val="24"/>
                <w:u w:val="none"/>
              </w:rPr>
              <w:t xml:space="preserve">As instituições devem relatar os dados com base nas especificações previstas no artigo 98.º, n.º 5, alínea a), da </w:t>
            </w:r>
            <w:r>
              <w:rPr>
                <w:noProof/>
              </w:rPr>
              <w:t xml:space="preserve">Diretiva 2013/36/UE </w:t>
            </w:r>
            <w:r>
              <w:rPr>
                <w:rStyle w:val="InstructionsTabelleberschrift"/>
                <w:rFonts w:ascii="Times New Roman" w:hAnsi="Times New Roman"/>
                <w:b w:val="0"/>
                <w:noProof/>
                <w:sz w:val="24"/>
                <w:u w:val="none"/>
              </w:rPr>
              <w:t xml:space="preserve">e no artigo 3.º do Regulamento Delegado (UE) .../... (SP: inserir a referência às NTR relativas aos </w:t>
            </w:r>
            <w:r>
              <w:rPr>
                <w:rStyle w:val="FormatvorlageInstructionsTabelleText"/>
                <w:rFonts w:ascii="Times New Roman" w:hAnsi="Times New Roman"/>
                <w:noProof/>
                <w:sz w:val="24"/>
              </w:rPr>
              <w:t>SOT).</w:t>
            </w:r>
          </w:p>
          <w:p w14:paraId="0039C2EB" w14:textId="764ED080" w:rsidR="00A36E5F" w:rsidRPr="00D82419" w:rsidRDefault="003D25AF" w:rsidP="003C575D">
            <w:pPr>
              <w:pStyle w:val="InstructionsText"/>
              <w:rPr>
                <w:rStyle w:val="InstructionsTabelleberschrift"/>
                <w:rFonts w:ascii="Times New Roman" w:hAnsi="Times New Roman"/>
                <w:b w:val="0"/>
                <w:noProof/>
                <w:sz w:val="24"/>
                <w:u w:val="none"/>
              </w:rPr>
            </w:pPr>
            <w:r>
              <w:rPr>
                <w:rStyle w:val="FormatvorlageInstructionsTabelleText"/>
                <w:rFonts w:ascii="Times New Roman" w:hAnsi="Times New Roman"/>
                <w:noProof/>
                <w:sz w:val="24"/>
              </w:rPr>
              <w:t xml:space="preserve">Os modelos comportamentais ou os modelos condicionais (conforme especificado no artigo 3.º, n.º 2, alínea c), do Regulamento Delegado (UE) .../... (SP: inserir a referência às NTR relativas aos </w:t>
            </w:r>
            <w:r>
              <w:rPr>
                <w:rStyle w:val="InstructionsTabelleberschrift"/>
                <w:rFonts w:ascii="Times New Roman" w:hAnsi="Times New Roman"/>
                <w:b w:val="0"/>
                <w:noProof/>
                <w:sz w:val="24"/>
                <w:u w:val="none"/>
              </w:rPr>
              <w:t>SOT) não devem ser tidos em conta para efeitos da determinação dos parâmetros.</w:t>
            </w:r>
          </w:p>
        </w:tc>
      </w:tr>
      <w:tr w:rsidR="00B2164F" w:rsidRPr="00D82419" w14:paraId="667D2C44" w14:textId="77777777" w:rsidTr="63452C95">
        <w:tc>
          <w:tcPr>
            <w:tcW w:w="1129" w:type="dxa"/>
          </w:tcPr>
          <w:p w14:paraId="2580660E" w14:textId="5AD3781B"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Cenário de base (comportamental)</w:t>
            </w:r>
          </w:p>
          <w:p w14:paraId="0577FD0F" w14:textId="5353BCF4" w:rsidR="00B2164F" w:rsidRPr="00D82419" w:rsidRDefault="00B2164F"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As instituições devem fornecer os parâmetros pertinentes (ou seja, datas médias de reavaliação) utilizados </w:t>
            </w:r>
            <w:r>
              <w:rPr>
                <w:rStyle w:val="InstructionsTabelleberschrift"/>
                <w:rFonts w:ascii="Times New Roman" w:hAnsi="Times New Roman"/>
                <w:b w:val="0"/>
                <w:noProof/>
                <w:sz w:val="24"/>
                <w:u w:val="none"/>
              </w:rPr>
              <w:t>para as exposições sujeitas a modelização comportamental, relativamente às quais o calendário e o montante dos fluxos de caixa dependem do comportamento dos clientes, no cenário de base de taxas de juro</w:t>
            </w:r>
            <w:r>
              <w:rPr>
                <w:rStyle w:val="FormatvorlageInstructionsTabelleText"/>
                <w:rFonts w:ascii="Times New Roman" w:hAnsi="Times New Roman"/>
                <w:noProof/>
                <w:sz w:val="24"/>
              </w:rPr>
              <w:t xml:space="preserve">. </w:t>
            </w:r>
          </w:p>
          <w:p w14:paraId="7A4FE7D1" w14:textId="6D70AB16" w:rsidR="00B2164F" w:rsidRPr="00D82419" w:rsidRDefault="00B2164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As instituições devem relatar os dados com base nas especificações previstas no artigo 98.º, n.º 5, alínea a), da </w:t>
            </w:r>
            <w:r>
              <w:rPr>
                <w:noProof/>
              </w:rPr>
              <w:t xml:space="preserve">Diretiva 2013/36/UE </w:t>
            </w:r>
            <w:r>
              <w:rPr>
                <w:rStyle w:val="InstructionsTabelleberschrift"/>
                <w:rFonts w:ascii="Times New Roman" w:hAnsi="Times New Roman"/>
                <w:b w:val="0"/>
                <w:noProof/>
                <w:sz w:val="24"/>
                <w:u w:val="none"/>
              </w:rPr>
              <w:t xml:space="preserve">e no artigo 3.º do Regulamento Delegado (UE) .../... (SP: inserir a referência às NTR relativas aos </w:t>
            </w:r>
            <w:r>
              <w:rPr>
                <w:rStyle w:val="FormatvorlageInstructionsTabelleText"/>
                <w:rFonts w:ascii="Times New Roman" w:hAnsi="Times New Roman"/>
                <w:noProof/>
                <w:sz w:val="24"/>
              </w:rPr>
              <w:t>SOT).</w:t>
            </w:r>
          </w:p>
        </w:tc>
      </w:tr>
      <w:tr w:rsidR="00B2164F" w:rsidRPr="00D82419" w14:paraId="6D8D7D20" w14:textId="77777777" w:rsidTr="63452C95">
        <w:tc>
          <w:tcPr>
            <w:tcW w:w="1129" w:type="dxa"/>
          </w:tcPr>
          <w:p w14:paraId="6B1829E8" w14:textId="30EECC5E"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6DB8ED08" w14:textId="7099B5A1"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Choque de subida paralela </w:t>
            </w:r>
          </w:p>
          <w:p w14:paraId="300C93C3" w14:textId="0E724783" w:rsidR="00B2164F" w:rsidRPr="00D82419" w:rsidRDefault="00E32A97" w:rsidP="003C575D">
            <w:pPr>
              <w:pStyle w:val="InstructionsText"/>
              <w:rPr>
                <w:rStyle w:val="InstructionsTabelleberschrift"/>
                <w:rFonts w:ascii="Times New Roman" w:hAnsi="Times New Roman"/>
                <w:b w:val="0"/>
                <w:bCs w:val="0"/>
                <w:noProof/>
                <w:sz w:val="24"/>
                <w:u w:val="none"/>
              </w:rPr>
            </w:pPr>
            <w:r>
              <w:rPr>
                <w:noProof/>
              </w:rPr>
              <w:t>As instituições devem seguir as mesmas instruções que são descritas em {J 01.00; r0040}.</w:t>
            </w:r>
          </w:p>
        </w:tc>
      </w:tr>
      <w:tr w:rsidR="00B2164F" w:rsidRPr="00D82419" w14:paraId="544E890D" w14:textId="77777777" w:rsidTr="63452C95">
        <w:tc>
          <w:tcPr>
            <w:tcW w:w="1129" w:type="dxa"/>
          </w:tcPr>
          <w:p w14:paraId="53DE47F8" w14:textId="418E41D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79AB7DEB" w14:textId="53D9DB8C"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Choque de descida paralela </w:t>
            </w:r>
          </w:p>
          <w:p w14:paraId="117BC558" w14:textId="751EDFD3" w:rsidR="00B2164F" w:rsidRPr="00D82419" w:rsidRDefault="00E32A97" w:rsidP="003C575D">
            <w:pPr>
              <w:pStyle w:val="InstructionsText"/>
              <w:rPr>
                <w:rStyle w:val="InstructionsTabelleberschrift"/>
                <w:rFonts w:ascii="Times New Roman" w:hAnsi="Times New Roman"/>
                <w:noProof/>
                <w:sz w:val="24"/>
              </w:rPr>
            </w:pPr>
            <w:r>
              <w:rPr>
                <w:noProof/>
              </w:rPr>
              <w:t>As instituições devem seguir as mesmas instruções que são descritas em {J 01.00; r0050}.</w:t>
            </w:r>
          </w:p>
        </w:tc>
      </w:tr>
      <w:tr w:rsidR="00B2164F" w:rsidRPr="00D82419" w14:paraId="787D1540" w14:textId="77777777" w:rsidTr="63452C95">
        <w:tc>
          <w:tcPr>
            <w:tcW w:w="1129" w:type="dxa"/>
          </w:tcPr>
          <w:p w14:paraId="79200A12" w14:textId="78456E0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Choque de aumento da inclinação da curva </w:t>
            </w:r>
          </w:p>
          <w:p w14:paraId="5D2F3E7C" w14:textId="43E6083D" w:rsidR="00B2164F" w:rsidRPr="00D82419" w:rsidRDefault="00E32A97" w:rsidP="003C575D">
            <w:pPr>
              <w:pStyle w:val="InstructionsText"/>
              <w:rPr>
                <w:rStyle w:val="InstructionsTabelleberschrift"/>
                <w:rFonts w:ascii="Times New Roman" w:hAnsi="Times New Roman"/>
                <w:noProof/>
                <w:sz w:val="24"/>
              </w:rPr>
            </w:pPr>
            <w:r>
              <w:rPr>
                <w:noProof/>
              </w:rPr>
              <w:t>As instituições devem seguir as mesmas instruções que são descritas em {J 01.00; r0060}.</w:t>
            </w:r>
          </w:p>
        </w:tc>
      </w:tr>
      <w:tr w:rsidR="00B2164F" w:rsidRPr="00D82419" w14:paraId="26632335" w14:textId="77777777" w:rsidTr="63452C95">
        <w:tc>
          <w:tcPr>
            <w:tcW w:w="1129" w:type="dxa"/>
          </w:tcPr>
          <w:p w14:paraId="0601D2A0" w14:textId="683FDEA6"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Choque de diminuição da inclinação da curva </w:t>
            </w:r>
          </w:p>
          <w:p w14:paraId="0EF9F61B" w14:textId="340D5599" w:rsidR="00B2164F" w:rsidRPr="00D82419" w:rsidRDefault="00E32A97" w:rsidP="003C575D">
            <w:pPr>
              <w:pStyle w:val="InstructionsText"/>
              <w:rPr>
                <w:rStyle w:val="InstructionsTabelleberschrift"/>
                <w:rFonts w:ascii="Times New Roman" w:hAnsi="Times New Roman"/>
                <w:noProof/>
                <w:sz w:val="24"/>
              </w:rPr>
            </w:pPr>
            <w:r>
              <w:rPr>
                <w:noProof/>
              </w:rPr>
              <w:t>As instituições devem seguir as mesmas instruções que são descritas em {J 01.00; r0070}.</w:t>
            </w:r>
          </w:p>
        </w:tc>
      </w:tr>
      <w:tr w:rsidR="00B2164F" w:rsidRPr="00D82419" w14:paraId="58F3D8B0" w14:textId="77777777" w:rsidTr="63452C95">
        <w:tc>
          <w:tcPr>
            <w:tcW w:w="1129" w:type="dxa"/>
          </w:tcPr>
          <w:p w14:paraId="1C269019" w14:textId="66D93D88"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Choque ascendente nas taxas a curto prazo </w:t>
            </w:r>
          </w:p>
          <w:p w14:paraId="7CD02A4D" w14:textId="077159AA" w:rsidR="00B2164F" w:rsidRPr="00D82419" w:rsidRDefault="002100F4" w:rsidP="003C575D">
            <w:pPr>
              <w:pStyle w:val="InstructionsText"/>
              <w:rPr>
                <w:rStyle w:val="InstructionsTabelleberschrift"/>
                <w:rFonts w:ascii="Times New Roman" w:hAnsi="Times New Roman"/>
                <w:noProof/>
                <w:sz w:val="24"/>
              </w:rPr>
            </w:pPr>
            <w:r>
              <w:rPr>
                <w:noProof/>
              </w:rPr>
              <w:t>As instituições devem seguir as mesmas instruções que são descritas em {J 01.00; r0080}.</w:t>
            </w:r>
          </w:p>
        </w:tc>
      </w:tr>
      <w:tr w:rsidR="00B2164F" w:rsidRPr="00D82419" w14:paraId="3C8E5AC7" w14:textId="77777777" w:rsidTr="63452C95">
        <w:tc>
          <w:tcPr>
            <w:tcW w:w="1129" w:type="dxa"/>
          </w:tcPr>
          <w:p w14:paraId="1DCCB693" w14:textId="701E1D81"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Choque descendente nas taxas a curto prazo </w:t>
            </w:r>
          </w:p>
          <w:p w14:paraId="04293978" w14:textId="3C4DA249" w:rsidR="00B2164F" w:rsidRPr="00D82419" w:rsidRDefault="002100F4" w:rsidP="003C575D">
            <w:pPr>
              <w:pStyle w:val="InstructionsText"/>
              <w:rPr>
                <w:rStyle w:val="InstructionsTabelleberschrift"/>
                <w:rFonts w:ascii="Times New Roman" w:hAnsi="Times New Roman"/>
                <w:noProof/>
                <w:sz w:val="24"/>
              </w:rPr>
            </w:pPr>
            <w:r>
              <w:rPr>
                <w:noProof/>
              </w:rPr>
              <w:t>As instituições devem seguir as mesmas instruções que são descritas em {J 01.00; r0090}.</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231412D1" w:rsidR="0074085C" w:rsidRPr="00CB270D" w:rsidRDefault="0074085C" w:rsidP="00430DF0">
      <w:pPr>
        <w:pStyle w:val="Heading2"/>
        <w:suppressAutoHyphens/>
        <w:rPr>
          <w:noProof/>
        </w:rPr>
      </w:pPr>
      <w:bookmarkStart w:id="61" w:name="_Toc160214251"/>
      <w:r>
        <w:rPr>
          <w:noProof/>
        </w:rPr>
        <w:t>PARTE VI: INFORMAÇÕES QUALITATIVAS (J 10.00 e J 11.00)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214252"/>
      <w:r>
        <w:rPr>
          <w:b/>
          <w:noProof/>
          <w:sz w:val="24"/>
        </w:rPr>
        <w:t>1.</w:t>
      </w:r>
      <w:r>
        <w:rPr>
          <w:b/>
          <w:noProof/>
          <w:sz w:val="24"/>
        </w:rPr>
        <w:tab/>
        <w:t>Observações gerais</w:t>
      </w:r>
      <w:bookmarkEnd w:id="62"/>
    </w:p>
    <w:p w14:paraId="74AAE8C3" w14:textId="0484956A" w:rsidR="0074085C" w:rsidRPr="007F52CC" w:rsidRDefault="00D10176" w:rsidP="00430DF0">
      <w:pPr>
        <w:tabs>
          <w:tab w:val="left" w:pos="567"/>
        </w:tabs>
        <w:suppressAutoHyphens/>
        <w:rPr>
          <w:rFonts w:ascii="Times New Roman" w:hAnsi="Times New Roman"/>
          <w:noProof/>
          <w:sz w:val="24"/>
        </w:rPr>
      </w:pPr>
      <w:r>
        <w:rPr>
          <w:noProof/>
        </w:rPr>
        <w:t>1.1</w:t>
      </w:r>
      <w:r>
        <w:rPr>
          <w:noProof/>
        </w:rPr>
        <w:tab/>
      </w:r>
      <w:r>
        <w:rPr>
          <w:rFonts w:ascii="Times New Roman" w:hAnsi="Times New Roman"/>
          <w:noProof/>
          <w:sz w:val="24"/>
        </w:rPr>
        <w:t xml:space="preserve">Os modelos J 10.00 e J 11.00 contêm informações qualitativas sobre as metodologias utilizadas na avaliação do IRRBB. </w:t>
      </w:r>
    </w:p>
    <w:p w14:paraId="5B806750" w14:textId="40BB27F9" w:rsidR="003C1853" w:rsidRPr="006942B1" w:rsidRDefault="00D1017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As instituições devem relatar as informações pertinentes com base numa lista predeterminada de opções. As linhas 0320 a 0360 devem ser relatadas separadamente para cada moeda relativamente à qual as instituições têm posições em que o valor contabilístico dos ativos ou passivos financeiros denominados numa moeda ascenda a 5 % ou mais do total dos ativos ou passivos financeiros da carteira bancária, ou inferior a 5 % se a soma dos ativos ou passivos financeiros incluídos no cálculo for inferior a 90 % do total dos ativos (excluindo ativos tangíveis) ou passivos financeiros da carteira bancária. As outras linhas (de 0010 a 0310) não dependem da moeda.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214253"/>
      <w:r>
        <w:rPr>
          <w:b/>
          <w:noProof/>
          <w:sz w:val="24"/>
        </w:rPr>
        <w:t>2.</w:t>
      </w:r>
      <w:r>
        <w:rPr>
          <w:b/>
          <w:noProof/>
          <w:sz w:val="24"/>
        </w:rPr>
        <w:tab/>
        <w:t>Instruções relativas a posições específicas</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Linha</w:t>
            </w:r>
          </w:p>
        </w:tc>
        <w:tc>
          <w:tcPr>
            <w:tcW w:w="7620" w:type="dxa"/>
            <w:shd w:val="clear" w:color="auto" w:fill="D9D9D9" w:themeFill="background1" w:themeFillShade="D9"/>
          </w:tcPr>
          <w:p w14:paraId="54162349" w14:textId="77777777" w:rsidR="0074085C" w:rsidRPr="00D82419" w:rsidRDefault="0074085C"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Referências jurídicas e instruções</w:t>
            </w:r>
          </w:p>
        </w:tc>
      </w:tr>
      <w:tr w:rsidR="004B1A38" w:rsidRPr="00D82419" w14:paraId="5F38AE8D" w14:textId="77777777" w:rsidTr="763F32FC">
        <w:tc>
          <w:tcPr>
            <w:tcW w:w="1129" w:type="dxa"/>
          </w:tcPr>
          <w:p w14:paraId="29457CC0" w14:textId="715B783F" w:rsidR="004B1A38" w:rsidRPr="00D82419" w:rsidRDefault="00841D8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Abordagem utilizada para efeitos dos SOT (NII/EVE)</w:t>
            </w:r>
          </w:p>
          <w:p w14:paraId="7216C571" w14:textId="77455230" w:rsidR="004B1A38" w:rsidRPr="00D82419" w:rsidRDefault="00217BB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As instituições devem indicar a abordagem utilizada para efeitos dos cálculos dos SOT (NII/EVE):</w:t>
            </w:r>
          </w:p>
          <w:p w14:paraId="7B855B4F" w14:textId="557797B9"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SA simplificado,</w:t>
            </w:r>
          </w:p>
          <w:p w14:paraId="7E6C77BA" w14:textId="36428AA7"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SA,</w:t>
            </w:r>
          </w:p>
          <w:p w14:paraId="69CFAD4F" w14:textId="2BFF009E" w:rsidR="00217BB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IMS.</w:t>
            </w:r>
          </w:p>
        </w:tc>
      </w:tr>
      <w:tr w:rsidR="00157828" w:rsidRPr="00D82419" w14:paraId="64BE9BF4" w14:textId="77777777" w:rsidTr="763F32FC">
        <w:tc>
          <w:tcPr>
            <w:tcW w:w="1129" w:type="dxa"/>
          </w:tcPr>
          <w:p w14:paraId="20392DF4" w14:textId="5D20EF89" w:rsidR="00157828" w:rsidRPr="00D82419" w:rsidRDefault="001578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5F35D420" w14:textId="3A4EC9E8" w:rsidR="00157828" w:rsidRPr="00D82419" w:rsidRDefault="00DA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Requisito da autoridade competente (NII/EVE)</w:t>
            </w:r>
          </w:p>
          <w:p w14:paraId="389D5262" w14:textId="29DEC2AA" w:rsidR="00277E76" w:rsidRPr="00D82419" w:rsidRDefault="00BE7DD8" w:rsidP="003C575D">
            <w:pPr>
              <w:pStyle w:val="InstructionsText"/>
              <w:rPr>
                <w:rStyle w:val="InstructionsTabelleberschrift"/>
                <w:rFonts w:ascii="Times New Roman" w:hAnsi="Times New Roman"/>
                <w:b w:val="0"/>
                <w:bCs w:val="0"/>
                <w:noProof/>
                <w:sz w:val="24"/>
                <w:u w:val="none"/>
              </w:rPr>
            </w:pPr>
            <w:r>
              <w:rPr>
                <w:noProof/>
              </w:rPr>
              <w:t>Artigo 84.º, n.</w:t>
            </w:r>
            <w:r>
              <w:rPr>
                <w:noProof/>
                <w:vertAlign w:val="superscript"/>
              </w:rPr>
              <w:t>os</w:t>
            </w:r>
            <w:r>
              <w:rPr>
                <w:noProof/>
              </w:rPr>
              <w:t> 3 e 4, da Diretiva 2013/36/UE. Caso o método da instituição para calcular o EVE/NII se baseie no SA, as instituições devem relatar se se trata de um requisito da autoridade competente:</w:t>
            </w:r>
          </w:p>
          <w:p w14:paraId="066E4D86" w14:textId="61DECE1F" w:rsidR="00277E76"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sim,</w:t>
            </w:r>
          </w:p>
          <w:p w14:paraId="5A773C0F" w14:textId="3B965759" w:rsidR="00157828"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não,</w:t>
            </w:r>
          </w:p>
          <w:p w14:paraId="4CA4AE46" w14:textId="11A1D43E" w:rsidR="00D9240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não aplicável.</w:t>
            </w:r>
          </w:p>
        </w:tc>
      </w:tr>
      <w:tr w:rsidR="763F32FC" w:rsidRPr="00D82419" w14:paraId="59431DE9" w14:textId="77777777" w:rsidTr="763F32FC">
        <w:tc>
          <w:tcPr>
            <w:tcW w:w="1129" w:type="dxa"/>
          </w:tcPr>
          <w:p w14:paraId="6EBAC84A" w14:textId="1DE0F1C8" w:rsidR="52C6E47D" w:rsidRPr="00D82419" w:rsidRDefault="52C6E4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Metodologia (NII)</w:t>
            </w:r>
          </w:p>
          <w:p w14:paraId="66032093" w14:textId="0857F903" w:rsidR="52C6E47D" w:rsidRPr="00D82419" w:rsidRDefault="52C6E47D" w:rsidP="003C575D">
            <w:pPr>
              <w:pStyle w:val="InstructionsText"/>
              <w:rPr>
                <w:noProof/>
              </w:rPr>
            </w:pPr>
            <w:r>
              <w:rPr>
                <w:noProof/>
              </w:rPr>
              <w:t xml:space="preserve">As instituições devem indicar se foi considerado um desvio de reavaliação, uma reavaliação total ou um método misto nos cálculos dos SOT do NII: </w:t>
            </w:r>
          </w:p>
          <w:p w14:paraId="452346E8" w14:textId="29667BFF" w:rsidR="52C6E47D" w:rsidRPr="00D82419" w:rsidRDefault="00C5351C" w:rsidP="003C575D">
            <w:pPr>
              <w:pStyle w:val="InstructionsText"/>
              <w:rPr>
                <w:noProof/>
              </w:rPr>
            </w:pPr>
            <w:r>
              <w:rPr>
                <w:noProof/>
              </w:rPr>
              <w:t>— desvio de reavaliação,</w:t>
            </w:r>
          </w:p>
          <w:p w14:paraId="194FA0B0" w14:textId="5BAFAD44" w:rsidR="52C6E47D" w:rsidRPr="00D82419" w:rsidRDefault="00D92403" w:rsidP="003C575D">
            <w:pPr>
              <w:pStyle w:val="InstructionsText"/>
              <w:rPr>
                <w:noProof/>
              </w:rPr>
            </w:pPr>
            <w:r>
              <w:rPr>
                <w:noProof/>
              </w:rPr>
              <w:t>— reavaliação total,</w:t>
            </w:r>
          </w:p>
          <w:p w14:paraId="76F39DDB" w14:textId="245E723C" w:rsidR="52C6E47D" w:rsidRPr="00D82419" w:rsidRDefault="00D92403" w:rsidP="003C575D">
            <w:pPr>
              <w:pStyle w:val="InstructionsText"/>
              <w:rPr>
                <w:noProof/>
              </w:rPr>
            </w:pPr>
            <w:r>
              <w:rPr>
                <w:noProof/>
              </w:rPr>
              <w:t>— misto,</w:t>
            </w:r>
          </w:p>
          <w:p w14:paraId="583AB55E" w14:textId="565127DC" w:rsidR="52C6E47D" w:rsidRPr="00D82419" w:rsidRDefault="00D92403" w:rsidP="003C575D">
            <w:pPr>
              <w:pStyle w:val="InstructionsText"/>
              <w:rPr>
                <w:noProof/>
              </w:rPr>
            </w:pPr>
            <w:r>
              <w:rPr>
                <w:noProof/>
              </w:rPr>
              <w:t>— outros.</w:t>
            </w:r>
          </w:p>
        </w:tc>
      </w:tr>
      <w:tr w:rsidR="763F32FC" w:rsidRPr="00D82419" w14:paraId="12B42F11" w14:textId="77777777" w:rsidTr="763F32FC">
        <w:tc>
          <w:tcPr>
            <w:tcW w:w="1129" w:type="dxa"/>
          </w:tcPr>
          <w:p w14:paraId="7E0CC1E5" w14:textId="53925547"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Fluxos de caixa condicionais (NII)</w:t>
            </w:r>
          </w:p>
          <w:p w14:paraId="58A3E268" w14:textId="02730861" w:rsidR="0C990F80" w:rsidRPr="00D82419" w:rsidRDefault="0C990F80" w:rsidP="003C575D">
            <w:pPr>
              <w:pStyle w:val="InstructionsText"/>
              <w:rPr>
                <w:noProof/>
              </w:rPr>
            </w:pPr>
            <w:r>
              <w:rPr>
                <w:noProof/>
              </w:rPr>
              <w:t xml:space="preserve">As instituições devem indicar se os fluxos de caixa condicionais foram considerados nos cálculos dos SOT do NII: </w:t>
            </w:r>
          </w:p>
          <w:p w14:paraId="45813F3E" w14:textId="4FD81609" w:rsidR="0C990F80" w:rsidRPr="00D82419" w:rsidRDefault="00C5351C" w:rsidP="003C575D">
            <w:pPr>
              <w:pStyle w:val="InstructionsText"/>
              <w:rPr>
                <w:noProof/>
              </w:rPr>
            </w:pPr>
            <w:r>
              <w:rPr>
                <w:noProof/>
              </w:rPr>
              <w:t xml:space="preserve">— todos os elementos materiais, </w:t>
            </w:r>
          </w:p>
          <w:p w14:paraId="7EBCAFEA" w14:textId="2C9BFD64" w:rsidR="0C990F80" w:rsidRPr="00D82419" w:rsidRDefault="00C5351C" w:rsidP="003C575D">
            <w:pPr>
              <w:pStyle w:val="InstructionsText"/>
              <w:rPr>
                <w:noProof/>
              </w:rPr>
            </w:pPr>
            <w:r>
              <w:rPr>
                <w:noProof/>
              </w:rPr>
              <w:t xml:space="preserve">— alguns elementos materiais, </w:t>
            </w:r>
          </w:p>
          <w:p w14:paraId="544BB1F4" w14:textId="7754A876" w:rsidR="763F32FC" w:rsidRPr="00D82419" w:rsidRDefault="00C5351C" w:rsidP="003C575D">
            <w:pPr>
              <w:pStyle w:val="InstructionsText"/>
              <w:rPr>
                <w:noProof/>
              </w:rPr>
            </w:pPr>
            <w:r>
              <w:rPr>
                <w:noProof/>
              </w:rPr>
              <w:t>— não considerado.</w:t>
            </w:r>
          </w:p>
        </w:tc>
      </w:tr>
      <w:tr w:rsidR="763F32FC" w:rsidRPr="00D82419" w14:paraId="3F42A7DA" w14:textId="77777777" w:rsidTr="763F32FC">
        <w:tc>
          <w:tcPr>
            <w:tcW w:w="1129" w:type="dxa"/>
          </w:tcPr>
          <w:p w14:paraId="0F383914" w14:textId="4C29E384"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09470A6C" w14:textId="33E9121B" w:rsidR="763F32FC" w:rsidRPr="00D82419" w:rsidRDefault="6B674FF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Risco de opção (NII)</w:t>
            </w:r>
          </w:p>
          <w:p w14:paraId="560A53E7" w14:textId="05CFAD7C" w:rsidR="3FE6FD8F" w:rsidRPr="00D82419" w:rsidRDefault="3FE6FD8F" w:rsidP="003C575D">
            <w:pPr>
              <w:pStyle w:val="InstructionsText"/>
              <w:rPr>
                <w:noProof/>
              </w:rPr>
            </w:pPr>
            <w:r>
              <w:rPr>
                <w:noProof/>
              </w:rPr>
              <w:t xml:space="preserve">As instituições devem indicar se o risco de opção foi considerado nos cálculos dos SOT do NII: </w:t>
            </w:r>
          </w:p>
          <w:p w14:paraId="08F6654E" w14:textId="0B3F0FD8" w:rsidR="3FE6FD8F" w:rsidRPr="00D82419" w:rsidRDefault="00C5351C" w:rsidP="003C575D">
            <w:pPr>
              <w:pStyle w:val="InstructionsText"/>
              <w:rPr>
                <w:noProof/>
              </w:rPr>
            </w:pPr>
            <w:r>
              <w:rPr>
                <w:noProof/>
              </w:rPr>
              <w:t xml:space="preserve">— considerado, </w:t>
            </w:r>
          </w:p>
          <w:p w14:paraId="095F51A9" w14:textId="0D4F81E0" w:rsidR="3FE6FD8F" w:rsidRPr="00D82419" w:rsidRDefault="00C5351C" w:rsidP="003C575D">
            <w:pPr>
              <w:pStyle w:val="InstructionsText"/>
              <w:rPr>
                <w:noProof/>
              </w:rPr>
            </w:pPr>
            <w:r>
              <w:rPr>
                <w:noProof/>
              </w:rPr>
              <w:t>— não considerado.</w:t>
            </w:r>
          </w:p>
        </w:tc>
      </w:tr>
      <w:tr w:rsidR="763F32FC" w:rsidRPr="00D82419" w14:paraId="2570BF8E" w14:textId="77777777" w:rsidTr="763F32FC">
        <w:tc>
          <w:tcPr>
            <w:tcW w:w="1129" w:type="dxa"/>
          </w:tcPr>
          <w:p w14:paraId="0BA99032" w14:textId="64B391ED"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Risco de base (NII)</w:t>
            </w:r>
          </w:p>
          <w:p w14:paraId="17E07B43" w14:textId="3E362EE4" w:rsidR="070D7E34" w:rsidRPr="00D82419" w:rsidRDefault="070D7E34" w:rsidP="003C575D">
            <w:pPr>
              <w:pStyle w:val="InstructionsText"/>
              <w:rPr>
                <w:noProof/>
              </w:rPr>
            </w:pPr>
            <w:r>
              <w:rPr>
                <w:noProof/>
              </w:rPr>
              <w:t xml:space="preserve">As instituições devem indicar se o risco de base foi considerado nos cálculos dos SOT do NII: </w:t>
            </w:r>
          </w:p>
          <w:p w14:paraId="3EE4DDE1" w14:textId="3FB1A35D" w:rsidR="070D7E34" w:rsidRPr="00D82419" w:rsidRDefault="00C5351C" w:rsidP="003C575D">
            <w:pPr>
              <w:pStyle w:val="InstructionsText"/>
              <w:rPr>
                <w:noProof/>
              </w:rPr>
            </w:pPr>
            <w:r>
              <w:rPr>
                <w:noProof/>
              </w:rPr>
              <w:t xml:space="preserve">— considerado, </w:t>
            </w:r>
          </w:p>
          <w:p w14:paraId="649CCC92" w14:textId="1CD50C04" w:rsidR="070D7E34" w:rsidRPr="00D82419" w:rsidRDefault="00C5351C" w:rsidP="003C575D">
            <w:pPr>
              <w:pStyle w:val="InstructionsText"/>
              <w:rPr>
                <w:noProof/>
              </w:rPr>
            </w:pPr>
            <w:r>
              <w:rPr>
                <w:noProof/>
              </w:rPr>
              <w:t>— não considerado.</w:t>
            </w:r>
          </w:p>
        </w:tc>
      </w:tr>
      <w:tr w:rsidR="763F32FC" w:rsidRPr="00D82419" w14:paraId="6486DBA5" w14:textId="77777777" w:rsidTr="763F32FC">
        <w:tc>
          <w:tcPr>
            <w:tcW w:w="1129" w:type="dxa"/>
          </w:tcPr>
          <w:p w14:paraId="741CBF91" w14:textId="7C1EA4E8"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Metodologia (EVE)</w:t>
            </w:r>
          </w:p>
          <w:p w14:paraId="1BABA0D4" w14:textId="343AB824" w:rsidR="763F32FC" w:rsidRPr="00D82419" w:rsidRDefault="763F32FC" w:rsidP="003C575D">
            <w:pPr>
              <w:pStyle w:val="InstructionsText"/>
              <w:rPr>
                <w:noProof/>
              </w:rPr>
            </w:pPr>
            <w:r>
              <w:rPr>
                <w:noProof/>
              </w:rPr>
              <w:t xml:space="preserve">As instituições devem indicar se foi considerada uma diferença de duração ou uma abordagem de reavaliação total no cálculo dos SOT do EVE: </w:t>
            </w:r>
          </w:p>
          <w:p w14:paraId="20A04372" w14:textId="4802DD8C" w:rsidR="64A51879" w:rsidRPr="00D82419" w:rsidRDefault="008A192D" w:rsidP="003C575D">
            <w:pPr>
              <w:pStyle w:val="InstructionsText"/>
              <w:rPr>
                <w:noProof/>
              </w:rPr>
            </w:pPr>
            <w:r>
              <w:rPr>
                <w:noProof/>
              </w:rPr>
              <w:t xml:space="preserve">— diferença de duração, </w:t>
            </w:r>
          </w:p>
          <w:p w14:paraId="4C457BB6" w14:textId="047AC2EA" w:rsidR="763F32FC" w:rsidRPr="00D82419" w:rsidRDefault="008A192D" w:rsidP="003C575D">
            <w:pPr>
              <w:pStyle w:val="InstructionsText"/>
              <w:rPr>
                <w:noProof/>
              </w:rPr>
            </w:pPr>
            <w:r>
              <w:rPr>
                <w:noProof/>
              </w:rPr>
              <w:t>— reavaliação total,</w:t>
            </w:r>
          </w:p>
          <w:p w14:paraId="4C151CBC" w14:textId="74942F58" w:rsidR="763F32FC" w:rsidRPr="00D82419" w:rsidRDefault="008A192D" w:rsidP="003C575D">
            <w:pPr>
              <w:pStyle w:val="InstructionsText"/>
              <w:rPr>
                <w:noProof/>
              </w:rPr>
            </w:pPr>
            <w:r>
              <w:rPr>
                <w:noProof/>
              </w:rPr>
              <w:t xml:space="preserve">— misto, </w:t>
            </w:r>
          </w:p>
          <w:p w14:paraId="50BEB398" w14:textId="73E946D7" w:rsidR="763F32FC" w:rsidRPr="00D82419" w:rsidRDefault="00C5351C" w:rsidP="003C575D">
            <w:pPr>
              <w:pStyle w:val="InstructionsText"/>
              <w:rPr>
                <w:noProof/>
              </w:rPr>
            </w:pPr>
            <w:r>
              <w:rPr>
                <w:noProof/>
              </w:rPr>
              <w:t>— outros.</w:t>
            </w:r>
          </w:p>
        </w:tc>
      </w:tr>
      <w:tr w:rsidR="763F32FC" w:rsidRPr="00D82419" w14:paraId="00BE1C3A" w14:textId="77777777" w:rsidTr="763F32FC">
        <w:tc>
          <w:tcPr>
            <w:tcW w:w="1129" w:type="dxa"/>
          </w:tcPr>
          <w:p w14:paraId="574576BF" w14:textId="7B1007FE"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560D6E2E" w14:textId="4C948B63"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Fluxos de caixa condicionais (EVE)</w:t>
            </w:r>
          </w:p>
          <w:p w14:paraId="5A1AF2A1" w14:textId="574F9A51" w:rsidR="763F32FC" w:rsidRPr="00D82419" w:rsidRDefault="763F32FC" w:rsidP="003C575D">
            <w:pPr>
              <w:pStyle w:val="InstructionsText"/>
              <w:rPr>
                <w:noProof/>
              </w:rPr>
            </w:pPr>
            <w:r>
              <w:rPr>
                <w:noProof/>
              </w:rPr>
              <w:t xml:space="preserve">As instituições devem indicar se os fluxos de caixa condicionais foram considerados nos cálculos dos SOT do EVE: </w:t>
            </w:r>
          </w:p>
          <w:p w14:paraId="78F8AD0B" w14:textId="65182544" w:rsidR="763F32FC" w:rsidRPr="00D82419" w:rsidRDefault="008A192D" w:rsidP="003C575D">
            <w:pPr>
              <w:pStyle w:val="InstructionsText"/>
              <w:rPr>
                <w:noProof/>
              </w:rPr>
            </w:pPr>
            <w:r>
              <w:rPr>
                <w:noProof/>
              </w:rPr>
              <w:t xml:space="preserve">— todos os elementos materiais, </w:t>
            </w:r>
          </w:p>
          <w:p w14:paraId="0B4611A5" w14:textId="2C6A935C" w:rsidR="763F32FC" w:rsidRPr="00D82419" w:rsidRDefault="008A192D" w:rsidP="003C575D">
            <w:pPr>
              <w:pStyle w:val="InstructionsText"/>
              <w:rPr>
                <w:noProof/>
              </w:rPr>
            </w:pPr>
            <w:r>
              <w:rPr>
                <w:noProof/>
              </w:rPr>
              <w:t xml:space="preserve">— alguns elementos materiais, </w:t>
            </w:r>
          </w:p>
          <w:p w14:paraId="71069CE3" w14:textId="0FA3F67C" w:rsidR="763F32FC" w:rsidRPr="00D82419" w:rsidRDefault="008A192D" w:rsidP="003C575D">
            <w:pPr>
              <w:pStyle w:val="InstructionsText"/>
              <w:rPr>
                <w:noProof/>
              </w:rPr>
            </w:pPr>
            <w:r>
              <w:rPr>
                <w:noProof/>
              </w:rPr>
              <w:t>— não considerado.</w:t>
            </w:r>
          </w:p>
        </w:tc>
      </w:tr>
      <w:tr w:rsidR="763F32FC" w:rsidRPr="00D82419" w14:paraId="369003CD" w14:textId="77777777" w:rsidTr="763F32FC">
        <w:tc>
          <w:tcPr>
            <w:tcW w:w="1129" w:type="dxa"/>
          </w:tcPr>
          <w:p w14:paraId="606284D4" w14:textId="766B3122"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Risco de opção (EVE)</w:t>
            </w:r>
          </w:p>
          <w:p w14:paraId="2937ACD4" w14:textId="67DF171C" w:rsidR="763F32FC" w:rsidRPr="00D82419" w:rsidRDefault="763F32FC" w:rsidP="003C575D">
            <w:pPr>
              <w:pStyle w:val="InstructionsText"/>
              <w:rPr>
                <w:noProof/>
              </w:rPr>
            </w:pPr>
            <w:r>
              <w:rPr>
                <w:noProof/>
              </w:rPr>
              <w:t xml:space="preserve">As instituições devem indicar se o risco da opção foi considerado nos cálculos dos SOT do EVE. </w:t>
            </w:r>
          </w:p>
          <w:p w14:paraId="548B2643" w14:textId="2033A028" w:rsidR="763F32FC" w:rsidRPr="00D82419" w:rsidRDefault="008A192D" w:rsidP="003C575D">
            <w:pPr>
              <w:pStyle w:val="InstructionsText"/>
              <w:rPr>
                <w:noProof/>
              </w:rPr>
            </w:pPr>
            <w:r>
              <w:rPr>
                <w:noProof/>
              </w:rPr>
              <w:t xml:space="preserve">— considerado, </w:t>
            </w:r>
          </w:p>
          <w:p w14:paraId="587E9328" w14:textId="7793DF57" w:rsidR="763F32FC" w:rsidRPr="00D82419" w:rsidRDefault="008A192D" w:rsidP="003C575D">
            <w:pPr>
              <w:pStyle w:val="InstructionsText"/>
              <w:rPr>
                <w:noProof/>
              </w:rPr>
            </w:pPr>
            <w:r>
              <w:rPr>
                <w:noProof/>
              </w:rPr>
              <w:t>— não considerado.</w:t>
            </w:r>
          </w:p>
        </w:tc>
      </w:tr>
      <w:tr w:rsidR="763F32FC" w:rsidRPr="00D82419" w14:paraId="2AFEFF08" w14:textId="77777777" w:rsidTr="763F32FC">
        <w:tc>
          <w:tcPr>
            <w:tcW w:w="1129" w:type="dxa"/>
          </w:tcPr>
          <w:p w14:paraId="72EDD5E2" w14:textId="74868C79"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Risco de base (EVE)</w:t>
            </w:r>
          </w:p>
          <w:p w14:paraId="3B23B83A" w14:textId="7EEC1160" w:rsidR="763F32FC" w:rsidRPr="00D82419" w:rsidRDefault="763F32FC" w:rsidP="00430DF0">
            <w:pPr>
              <w:suppressAutoHyphens/>
              <w:rPr>
                <w:rFonts w:ascii="Times New Roman" w:hAnsi="Times New Roman"/>
                <w:noProof/>
                <w:sz w:val="24"/>
              </w:rPr>
            </w:pPr>
            <w:r>
              <w:rPr>
                <w:rFonts w:ascii="Times New Roman" w:hAnsi="Times New Roman"/>
                <w:noProof/>
                <w:sz w:val="24"/>
              </w:rPr>
              <w:t xml:space="preserve">As instituições devem indicar se o risco de base foi considerado nos cálculos dos SOT do EVE: </w:t>
            </w:r>
          </w:p>
          <w:p w14:paraId="424B47DA" w14:textId="41638AFC" w:rsidR="763F32FC" w:rsidRPr="00D82419" w:rsidRDefault="008A192D" w:rsidP="003C575D">
            <w:pPr>
              <w:pStyle w:val="InstructionsText"/>
              <w:rPr>
                <w:noProof/>
              </w:rPr>
            </w:pPr>
            <w:r>
              <w:rPr>
                <w:noProof/>
              </w:rPr>
              <w:t xml:space="preserve">— considerado, </w:t>
            </w:r>
          </w:p>
          <w:p w14:paraId="232998CD" w14:textId="22D7A9CF" w:rsidR="763F32FC" w:rsidRPr="00D82419" w:rsidRDefault="008A192D" w:rsidP="003C575D">
            <w:pPr>
              <w:pStyle w:val="InstructionsText"/>
              <w:rPr>
                <w:noProof/>
              </w:rPr>
            </w:pPr>
            <w:r>
              <w:rPr>
                <w:noProof/>
              </w:rPr>
              <w:t>— não considerado.</w:t>
            </w:r>
          </w:p>
        </w:tc>
      </w:tr>
      <w:tr w:rsidR="00C12CCF" w:rsidRPr="00D82419" w14:paraId="2C78FC42" w14:textId="77777777" w:rsidTr="763F32FC">
        <w:tc>
          <w:tcPr>
            <w:tcW w:w="1129" w:type="dxa"/>
          </w:tcPr>
          <w:p w14:paraId="1930DDCD" w14:textId="4E12156D"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Margens comerciais/outros componentes do </w:t>
            </w:r>
            <w:r>
              <w:rPr>
                <w:rStyle w:val="InstructionsTabelleberschrift"/>
                <w:rFonts w:ascii="Times New Roman" w:hAnsi="Times New Roman"/>
                <w:i/>
                <w:noProof/>
                <w:sz w:val="24"/>
              </w:rPr>
              <w:t>spread</w:t>
            </w:r>
            <w:r>
              <w:rPr>
                <w:rStyle w:val="InstructionsTabelleberschrift"/>
                <w:rFonts w:ascii="Times New Roman" w:hAnsi="Times New Roman"/>
                <w:noProof/>
                <w:sz w:val="24"/>
              </w:rPr>
              <w:t xml:space="preserve"> (EVE)</w:t>
            </w:r>
          </w:p>
          <w:p w14:paraId="0F471F3B" w14:textId="2B60EF94" w:rsidR="0041268F" w:rsidRPr="00D82419" w:rsidRDefault="0041268F" w:rsidP="003C575D">
            <w:pPr>
              <w:pStyle w:val="InstructionsText"/>
              <w:rPr>
                <w:rStyle w:val="InstructionsTabelleberschrift"/>
                <w:rFonts w:ascii="Times New Roman" w:hAnsi="Times New Roman"/>
                <w:b w:val="0"/>
                <w:bCs w:val="0"/>
                <w:noProof/>
                <w:sz w:val="24"/>
                <w:u w:val="none"/>
              </w:rPr>
            </w:pPr>
            <w:r>
              <w:rPr>
                <w:noProof/>
              </w:rPr>
              <w:t xml:space="preserve">As instituições devem indicar se margens comerciais e outras componentes de </w:t>
            </w:r>
            <w:r>
              <w:rPr>
                <w:i/>
                <w:noProof/>
              </w:rPr>
              <w:t>spread</w:t>
            </w:r>
            <w:r>
              <w:rPr>
                <w:noProof/>
              </w:rPr>
              <w:t xml:space="preserve"> foram incluídas nos cálculos da medida de risco dos SOT do EVE:</w:t>
            </w:r>
          </w:p>
          <w:p w14:paraId="5D3C585E" w14:textId="469A2FE2"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incluídas,</w:t>
            </w:r>
          </w:p>
          <w:p w14:paraId="02B9C9A2" w14:textId="242BC81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excluídas.</w:t>
            </w:r>
          </w:p>
        </w:tc>
      </w:tr>
      <w:tr w:rsidR="00C12CCF" w:rsidRPr="00D82419" w14:paraId="1A79783A" w14:textId="77777777" w:rsidTr="763F32FC">
        <w:tc>
          <w:tcPr>
            <w:tcW w:w="1129" w:type="dxa"/>
          </w:tcPr>
          <w:p w14:paraId="3872307E" w14:textId="1AFD8382"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Penalizações decorrentes de pagamentos antecipados de empréstimos</w:t>
            </w:r>
          </w:p>
          <w:p w14:paraId="7BD499BC" w14:textId="2D316A30"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As instituições devem indicar se as penalizações decorrentes de pagamentos antecipados de empréstimos foram incluídas no âmbito dos SOT do EVE/NII:</w:t>
            </w:r>
          </w:p>
          <w:p w14:paraId="3739DD8A" w14:textId="3EA8162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incluídas,</w:t>
            </w:r>
          </w:p>
          <w:p w14:paraId="0FBB2B51" w14:textId="51661940"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excluídas.</w:t>
            </w:r>
          </w:p>
        </w:tc>
      </w:tr>
      <w:tr w:rsidR="00C12CCF" w:rsidRPr="00D82419" w14:paraId="264BB766" w14:textId="77777777" w:rsidTr="763F32FC">
        <w:tc>
          <w:tcPr>
            <w:tcW w:w="1129" w:type="dxa"/>
          </w:tcPr>
          <w:p w14:paraId="41060C95" w14:textId="56216889"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Obrigações relativas a pensões/ativos de planos de pensões</w:t>
            </w:r>
          </w:p>
          <w:p w14:paraId="32BE6413" w14:textId="75B316BE"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As instituições devem indicar se as obrigações em matéria de pensões e os ativos de planos de pensões foram incluídos nos cálculos dos SOT do EVE/NII:</w:t>
            </w:r>
          </w:p>
          <w:p w14:paraId="09F4D480" w14:textId="54E3929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incluídas,</w:t>
            </w:r>
          </w:p>
          <w:p w14:paraId="201D7CDC" w14:textId="397BFC6E"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excluídas.</w:t>
            </w:r>
          </w:p>
        </w:tc>
      </w:tr>
      <w:tr w:rsidR="00C12CCF" w:rsidRPr="00D82419" w14:paraId="6F804664" w14:textId="77777777" w:rsidTr="763F32FC">
        <w:tc>
          <w:tcPr>
            <w:tcW w:w="1129" w:type="dxa"/>
          </w:tcPr>
          <w:p w14:paraId="32EBC373" w14:textId="4B5706BC"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Exposições não produtivas </w:t>
            </w:r>
          </w:p>
          <w:p w14:paraId="34535DAF" w14:textId="675EC6A3" w:rsidR="00E138D5" w:rsidRPr="00D82419" w:rsidRDefault="00E138D5" w:rsidP="003C575D">
            <w:pPr>
              <w:pStyle w:val="InstructionsText"/>
              <w:rPr>
                <w:rStyle w:val="InstructionsTabelleberschrift"/>
                <w:rFonts w:ascii="Times New Roman" w:hAnsi="Times New Roman"/>
                <w:b w:val="0"/>
                <w:noProof/>
                <w:sz w:val="24"/>
                <w:u w:val="none"/>
              </w:rPr>
            </w:pPr>
            <w:r>
              <w:rPr>
                <w:noProof/>
              </w:rPr>
              <w:t>As instituições devem indicar se as exposições não produtivas foram incluídas nos cálculos dos SOT do EVE/NII:</w:t>
            </w:r>
          </w:p>
          <w:p w14:paraId="2AE7E06F" w14:textId="648FE3AC"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incluídas,</w:t>
            </w:r>
          </w:p>
          <w:p w14:paraId="19B5D385" w14:textId="7F1E23E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excluídas.</w:t>
            </w:r>
          </w:p>
        </w:tc>
      </w:tr>
      <w:tr w:rsidR="00C12CCF" w:rsidRPr="00D82419" w14:paraId="5659F8D1" w14:textId="77777777" w:rsidTr="763F32FC">
        <w:tc>
          <w:tcPr>
            <w:tcW w:w="1129" w:type="dxa"/>
          </w:tcPr>
          <w:p w14:paraId="2719698F" w14:textId="6F4EA384"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7E20A73B" w14:textId="36E3EE26"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Compromissos de empréstimo a taxa fixa </w:t>
            </w:r>
          </w:p>
          <w:p w14:paraId="1EC6CE29" w14:textId="727C7BB8" w:rsidR="00E138D5" w:rsidRPr="00D82419" w:rsidRDefault="00E138D5" w:rsidP="003C575D">
            <w:pPr>
              <w:pStyle w:val="InstructionsText"/>
              <w:rPr>
                <w:rStyle w:val="InstructionsTabelleberschrift"/>
                <w:rFonts w:ascii="Times New Roman" w:hAnsi="Times New Roman"/>
                <w:b w:val="0"/>
                <w:noProof/>
                <w:sz w:val="24"/>
                <w:u w:val="none"/>
              </w:rPr>
            </w:pPr>
            <w:r>
              <w:rPr>
                <w:noProof/>
              </w:rPr>
              <w:t>As instituições devem indicar se os compromissos de empréstimo a taxa fixa foram incluídos nos cálculos dos SOT do EVE/NII:</w:t>
            </w:r>
          </w:p>
          <w:p w14:paraId="786511A5" w14:textId="42548719"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incluídas,</w:t>
            </w:r>
          </w:p>
          <w:p w14:paraId="14F356EA" w14:textId="3FCFA1D3"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excluídas.</w:t>
            </w:r>
          </w:p>
        </w:tc>
      </w:tr>
      <w:tr w:rsidR="00C12CCF" w:rsidRPr="00D82419" w14:paraId="5199326E" w14:textId="77777777" w:rsidTr="763F32FC">
        <w:tc>
          <w:tcPr>
            <w:tcW w:w="1129" w:type="dxa"/>
          </w:tcPr>
          <w:p w14:paraId="2D43B355" w14:textId="2E114DE7"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Risco de pré-pagamento </w:t>
            </w:r>
          </w:p>
          <w:p w14:paraId="42D03395" w14:textId="2CA3360F"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As instituições devem indicar se o risco de pré-pagamento de retalho foi incluído nos cálculos dos SOT do EVE/NII:</w:t>
            </w:r>
          </w:p>
          <w:p w14:paraId="049C644C" w14:textId="1B7FEA08"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incluídas,</w:t>
            </w:r>
          </w:p>
          <w:p w14:paraId="19439AE0" w14:textId="1541E83C"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excluídas.</w:t>
            </w:r>
          </w:p>
        </w:tc>
      </w:tr>
      <w:tr w:rsidR="00C12CCF" w:rsidRPr="00D82419" w14:paraId="4C1D220B" w14:textId="77777777" w:rsidTr="763F32FC">
        <w:tc>
          <w:tcPr>
            <w:tcW w:w="1129" w:type="dxa"/>
          </w:tcPr>
          <w:p w14:paraId="7D30827E" w14:textId="2E38F1CA"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Risco de resgate antecipado </w:t>
            </w:r>
          </w:p>
          <w:p w14:paraId="67868C1F" w14:textId="0C5DACCD" w:rsidR="008478F8" w:rsidRPr="00D82419" w:rsidRDefault="008478F8" w:rsidP="003C575D">
            <w:pPr>
              <w:pStyle w:val="InstructionsText"/>
              <w:rPr>
                <w:noProof/>
              </w:rPr>
            </w:pPr>
            <w:r>
              <w:rPr>
                <w:noProof/>
              </w:rPr>
              <w:t>As instituições devem indicar se o risco de resgate antecipado foi incluído nos cálculos dos SOT do EVE/NII:</w:t>
            </w:r>
          </w:p>
          <w:p w14:paraId="17E090F3" w14:textId="1C770989"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incluídas,</w:t>
            </w:r>
          </w:p>
          <w:p w14:paraId="490B287D" w14:textId="1DB5880A"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excluídas.</w:t>
            </w:r>
          </w:p>
        </w:tc>
      </w:tr>
      <w:tr w:rsidR="00343C28" w:rsidRPr="00D82419" w14:paraId="0AD7CFF7" w14:textId="77777777" w:rsidTr="763F32FC">
        <w:tc>
          <w:tcPr>
            <w:tcW w:w="1129" w:type="dxa"/>
          </w:tcPr>
          <w:p w14:paraId="51E55F8D" w14:textId="284EAFCF" w:rsidR="00343C28" w:rsidRPr="00D82419" w:rsidRDefault="00343C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Pr>
                <w:rFonts w:ascii="Times New Roman" w:hAnsi="Times New Roman"/>
                <w:b/>
                <w:noProof/>
                <w:sz w:val="24"/>
                <w:u w:val="single"/>
              </w:rPr>
              <w:t>Abordagem geral para a modelação de NMD</w:t>
            </w:r>
          </w:p>
          <w:p w14:paraId="77B7CA20" w14:textId="633B5127" w:rsidR="008857EC" w:rsidRPr="00D82419" w:rsidRDefault="007A5DA9" w:rsidP="00430DF0">
            <w:pPr>
              <w:suppressAutoHyphens/>
              <w:spacing w:before="0"/>
              <w:rPr>
                <w:rFonts w:ascii="Times New Roman" w:hAnsi="Times New Roman"/>
                <w:noProof/>
                <w:sz w:val="24"/>
              </w:rPr>
            </w:pPr>
            <w:r>
              <w:rPr>
                <w:rFonts w:ascii="Times New Roman" w:hAnsi="Times New Roman"/>
                <w:noProof/>
                <w:sz w:val="24"/>
              </w:rPr>
              <w:t xml:space="preserve">As instituições devem indicar o método utilizado para determinar o tempo de reavaliação comportamental dos NMD: </w:t>
            </w:r>
          </w:p>
          <w:p w14:paraId="63BED8EC" w14:textId="5830B51C" w:rsidR="008857EC" w:rsidRPr="00CB270D" w:rsidRDefault="008A192D" w:rsidP="00430DF0">
            <w:pPr>
              <w:suppressAutoHyphens/>
              <w:spacing w:before="0"/>
              <w:rPr>
                <w:rFonts w:ascii="Times New Roman" w:hAnsi="Times New Roman"/>
                <w:noProof/>
                <w:sz w:val="24"/>
              </w:rPr>
            </w:pPr>
            <w:r>
              <w:rPr>
                <w:rFonts w:ascii="Times New Roman" w:hAnsi="Times New Roman"/>
                <w:noProof/>
                <w:sz w:val="24"/>
              </w:rPr>
              <w:t>— modelo de séries cronológicas (abordagem estável/não estável/PTR de Basileia/EBA),</w:t>
            </w:r>
          </w:p>
          <w:p w14:paraId="332AB750" w14:textId="5FA0C5F7"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carteira de replicação,</w:t>
            </w:r>
          </w:p>
          <w:p w14:paraId="76311097" w14:textId="28D2D982"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modelos económicos (modelação da afetação de riqueza financeira aos NMD ou investimentos alternativos de acordo com diferentes cenários de mercado/fatores económicos),</w:t>
            </w:r>
          </w:p>
          <w:p w14:paraId="080A6466" w14:textId="3BEF2199"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parecer de perito,</w:t>
            </w:r>
          </w:p>
          <w:p w14:paraId="678F986F" w14:textId="5FE8CE76" w:rsidR="007A5DA9" w:rsidRPr="00D82419" w:rsidRDefault="008A192D" w:rsidP="00430DF0">
            <w:pPr>
              <w:suppressAutoHyphens/>
              <w:spacing w:before="0"/>
              <w:rPr>
                <w:rFonts w:ascii="Times New Roman" w:hAnsi="Times New Roman"/>
                <w:noProof/>
                <w:sz w:val="24"/>
              </w:rPr>
            </w:pPr>
            <w:r>
              <w:rPr>
                <w:rFonts w:ascii="Times New Roman" w:hAnsi="Times New Roman"/>
                <w:noProof/>
                <w:sz w:val="24"/>
              </w:rPr>
              <w:t>— outros.</w:t>
            </w:r>
          </w:p>
        </w:tc>
      </w:tr>
      <w:tr w:rsidR="00B3451B" w:rsidRPr="00D82419" w14:paraId="46309D17" w14:textId="77777777" w:rsidTr="763F32FC">
        <w:tc>
          <w:tcPr>
            <w:tcW w:w="1129" w:type="dxa"/>
          </w:tcPr>
          <w:p w14:paraId="178C8037" w14:textId="03375BE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Identificação dos saldos de NMD da componente central</w:t>
            </w:r>
            <w:r>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As instituições devem indicar se enfrentam desafios na identificação dos saldos fundamentais de NMD não dependentes do cenário de IR:</w:t>
            </w:r>
          </w:p>
          <w:p w14:paraId="405B5D9F" w14:textId="0145639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sim,</w:t>
            </w:r>
          </w:p>
          <w:p w14:paraId="0C236ED0" w14:textId="5E09EF0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não,</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não aplicável.</w:t>
            </w:r>
          </w:p>
        </w:tc>
      </w:tr>
      <w:tr w:rsidR="00B3451B" w:rsidRPr="00D82419" w14:paraId="0AC7A101" w14:textId="77777777" w:rsidTr="763F32FC">
        <w:tc>
          <w:tcPr>
            <w:tcW w:w="1129" w:type="dxa"/>
          </w:tcPr>
          <w:p w14:paraId="52074635" w14:textId="572A5CB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Fatores pertinentes para os saldos dos NMD</w:t>
            </w:r>
          </w:p>
          <w:p w14:paraId="7C1D4AB3" w14:textId="027E9701"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 xml:space="preserve">As instituições devem indicar o(s) nome(s) do(s) fator(es) pertinente(s) utilizado(s) para identificar os saldos principais. </w:t>
            </w:r>
          </w:p>
        </w:tc>
      </w:tr>
      <w:tr w:rsidR="00B3451B" w:rsidRPr="00D82419" w14:paraId="7E64C4CA" w14:textId="77777777" w:rsidTr="763F32FC">
        <w:tc>
          <w:tcPr>
            <w:tcW w:w="1129" w:type="dxa"/>
          </w:tcPr>
          <w:p w14:paraId="48F8F1A7" w14:textId="27235DE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Saldos das componentes centrais dos NMD (afetação dos saldos das componentes centrais)</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As instituições devem indicar a forma como afetam os saldos principais dos NMD:</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todos os saldos principais afetados a apenas um prazo de reavaliação,</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saldos principais afetados a diferentes prazos de reavaliação.</w:t>
            </w:r>
          </w:p>
        </w:tc>
      </w:tr>
      <w:tr w:rsidR="00B3451B" w:rsidRPr="00D82419" w14:paraId="793FE408" w14:textId="77777777" w:rsidTr="763F32FC">
        <w:tc>
          <w:tcPr>
            <w:tcW w:w="1129" w:type="dxa"/>
          </w:tcPr>
          <w:p w14:paraId="09DC633C" w14:textId="6BD27C7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Limite máximo de reavaliação dos NMD a cinco anos relativamente à gestão do risco IRRBB</w:t>
            </w:r>
          </w:p>
          <w:p w14:paraId="188A8A54" w14:textId="00BAF5AA"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As instituições devem indicar se é observado qualquer impacto não intencional em termos de estratégias de gestão do risco e de cobertura do IRRBB, devido ao limite máximo de reavaliação a 5 anos no IMS do IRRBB:</w:t>
            </w:r>
          </w:p>
          <w:p w14:paraId="6B092AAE" w14:textId="5178F0EE"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sim,</w:t>
            </w:r>
          </w:p>
          <w:p w14:paraId="59B74C58" w14:textId="27BFB67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não,</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não aplicável.</w:t>
            </w:r>
          </w:p>
        </w:tc>
      </w:tr>
      <w:tr w:rsidR="00B3451B" w:rsidRPr="00D82419" w14:paraId="000798D2" w14:textId="77777777" w:rsidTr="763F32FC">
        <w:tc>
          <w:tcPr>
            <w:tcW w:w="1129" w:type="dxa"/>
          </w:tcPr>
          <w:p w14:paraId="231BFCC5" w14:textId="1A03F6AA"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Isenções ao limite máximo de cinco anos para a reavaliação dos NMD</w:t>
            </w:r>
          </w:p>
          <w:p w14:paraId="2B9A88F2" w14:textId="75C94D59"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As instituições devem indicar se utilizam as isenções ao limite máximo de reavaliação a cinco anos para qualquer um dos seus produtos IRRBB:</w:t>
            </w:r>
          </w:p>
          <w:p w14:paraId="1A4C2114" w14:textId="17E2F52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sim,</w:t>
            </w:r>
          </w:p>
          <w:p w14:paraId="759DBDD3" w14:textId="78E3FEFB"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não,</w:t>
            </w:r>
          </w:p>
          <w:p w14:paraId="03BCE0C5" w14:textId="40E33CC3"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não aplicável.</w:t>
            </w:r>
          </w:p>
        </w:tc>
      </w:tr>
      <w:tr w:rsidR="00B3451B" w:rsidRPr="00D82419" w14:paraId="640FEDD7" w14:textId="77777777" w:rsidTr="763F32FC">
        <w:tc>
          <w:tcPr>
            <w:tcW w:w="1129" w:type="dxa"/>
          </w:tcPr>
          <w:p w14:paraId="3E7E6D0E" w14:textId="5FCC1AC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Modelação de NMD operacionais de clientes financeiros</w:t>
            </w:r>
          </w:p>
          <w:p w14:paraId="016808F6" w14:textId="045DC9E3"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As instituições devem indicar se os NMD de clientes financeiros classificadas como depósitos operacionais, aos quais se aplica o artigo 27.º, n.º 1, alínea a), do Regulamento Delegado (UE) 2015/61, estão sujeitos a modelação comportamental:</w:t>
            </w:r>
          </w:p>
          <w:p w14:paraId="66706F43" w14:textId="1D16C3C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sim,</w:t>
            </w:r>
          </w:p>
          <w:p w14:paraId="026950A9" w14:textId="0D60CF7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não,</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não aplicável.</w:t>
            </w:r>
          </w:p>
        </w:tc>
      </w:tr>
      <w:tr w:rsidR="00B3451B" w:rsidRPr="00D82419" w14:paraId="73931E62" w14:textId="77777777" w:rsidTr="763F32FC">
        <w:tc>
          <w:tcPr>
            <w:tcW w:w="1129" w:type="dxa"/>
          </w:tcPr>
          <w:p w14:paraId="0BA17B70" w14:textId="732BF3CF"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Alterações na estrutura do balanço devido às taxas de juro</w:t>
            </w:r>
          </w:p>
          <w:p w14:paraId="1B01EB73" w14:textId="45302EF2"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As instituições devem indicar as alterações efetuadas na sua estrutura de balanço desde o último relato de informações relativas ao IRRBB: </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redução da diferença de duração entre o ativo/passivo através da redução da duração do ativo,</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redução da diferença de duração entre o ativo/passivo através do aumento da duração do passivo,</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redução da diferença de duração entre o ativo/passivo através da redução da duração do ativo e do aumento da duração do passivo,</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aumento da diferença de duração através do aumento da duração do ativo,</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aumento da diferença de duração através da redução da duração do passivo,</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aumento da diferença de duração através do aumento da duração do ativo e da redução da duração do passivo.</w:t>
            </w:r>
          </w:p>
        </w:tc>
      </w:tr>
      <w:tr w:rsidR="00B3451B" w:rsidRPr="00D82419" w14:paraId="218435CB" w14:textId="77777777" w:rsidTr="763F32FC">
        <w:tc>
          <w:tcPr>
            <w:tcW w:w="1129" w:type="dxa"/>
          </w:tcPr>
          <w:p w14:paraId="6E0196ED" w14:textId="6D16DEF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Estratégias de mitigação e cobertura do IRRBB (EVE)</w:t>
            </w:r>
          </w:p>
          <w:p w14:paraId="6516422C" w14:textId="3150FCEC"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As instituições devem indicar se preveem introduzir alterações nas suas estratégias de atenuação e cobertura de IRR em qualquer dos cenários previstos no </w:t>
            </w:r>
            <w:r>
              <w:rPr>
                <w:rStyle w:val="InstructionsTabelleberschrift"/>
                <w:rFonts w:ascii="Times New Roman" w:hAnsi="Times New Roman"/>
                <w:b w:val="0"/>
                <w:noProof/>
                <w:sz w:val="24"/>
                <w:u w:val="none"/>
              </w:rPr>
              <w:t>Regulamento Delegado (UE) .../... (SP: inserir a referência às NTR relativas aos</w:t>
            </w:r>
            <w:r>
              <w:rPr>
                <w:rFonts w:ascii="Times New Roman" w:hAnsi="Times New Roman"/>
                <w:noProof/>
                <w:sz w:val="24"/>
              </w:rPr>
              <w:t xml:space="preserve"> SOT) relativamente ao EVE:</w:t>
            </w:r>
          </w:p>
          <w:p w14:paraId="0F1BB673" w14:textId="5D6449C7"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choque de subida paralela,</w:t>
            </w:r>
          </w:p>
          <w:p w14:paraId="353314E6" w14:textId="2682B715"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choque de descida paralela,</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choque de aumento da inclinação da curva,</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choque de diminuição da inclinação da curva,</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choque ascendente nas taxas a curto prazo,</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choque descendente nas taxas a curto prazo.</w:t>
            </w:r>
          </w:p>
        </w:tc>
      </w:tr>
      <w:tr w:rsidR="00F466A7" w:rsidRPr="00D82419" w14:paraId="532A6946" w14:textId="77777777" w:rsidTr="763F32FC">
        <w:tc>
          <w:tcPr>
            <w:tcW w:w="1129" w:type="dxa"/>
          </w:tcPr>
          <w:p w14:paraId="3EAC5854" w14:textId="247A16AB" w:rsidR="00F466A7" w:rsidRPr="00D82419" w:rsidRDefault="00F466A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noProof/>
                <w:sz w:val="24"/>
                <w:u w:val="single"/>
              </w:rPr>
              <w:t>Estratégias de mitigação e cobertura do IRRBB (NII)</w:t>
            </w:r>
          </w:p>
          <w:p w14:paraId="5FA7EE52" w14:textId="73479DF8" w:rsidR="00F466A7" w:rsidRPr="00D82419" w:rsidRDefault="00F466A7" w:rsidP="00430DF0">
            <w:pPr>
              <w:suppressAutoHyphens/>
              <w:spacing w:before="0"/>
              <w:rPr>
                <w:rFonts w:ascii="Times New Roman" w:hAnsi="Times New Roman"/>
                <w:noProof/>
                <w:sz w:val="24"/>
              </w:rPr>
            </w:pPr>
            <w:r>
              <w:rPr>
                <w:rFonts w:ascii="Times New Roman" w:hAnsi="Times New Roman"/>
                <w:noProof/>
                <w:sz w:val="24"/>
              </w:rPr>
              <w:t xml:space="preserve">As instituições devem indicar se preveem introduzir alterações nas suas estratégias de atenuação e cobertura de IRR em qualquer dos cenários previstos no </w:t>
            </w:r>
            <w:r>
              <w:rPr>
                <w:rStyle w:val="InstructionsTabelleberschrift"/>
                <w:rFonts w:ascii="Times New Roman" w:hAnsi="Times New Roman"/>
                <w:b w:val="0"/>
                <w:noProof/>
                <w:sz w:val="24"/>
                <w:u w:val="none"/>
              </w:rPr>
              <w:t>Regulamento Delegado (UE) .../... (SP: inserir a referência às NTR relativas aos</w:t>
            </w:r>
            <w:r>
              <w:rPr>
                <w:rFonts w:ascii="Times New Roman" w:hAnsi="Times New Roman"/>
                <w:noProof/>
                <w:sz w:val="24"/>
              </w:rPr>
              <w:t xml:space="preserve"> SOT) relativamente ao NII:</w:t>
            </w:r>
          </w:p>
          <w:p w14:paraId="2683288C" w14:textId="3EC59A21"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choque de subida paralela,</w:t>
            </w:r>
          </w:p>
          <w:p w14:paraId="74C56115" w14:textId="3DB6C0E6"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choque de descida paralela.</w:t>
            </w:r>
          </w:p>
        </w:tc>
      </w:tr>
      <w:tr w:rsidR="00831F72" w:rsidRPr="00D82419" w14:paraId="0AE292E1" w14:textId="77777777" w:rsidTr="763F32FC">
        <w:tc>
          <w:tcPr>
            <w:tcW w:w="1129" w:type="dxa"/>
          </w:tcPr>
          <w:p w14:paraId="37E0D940" w14:textId="089C8BDE"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relativos à medida do risco de NII no âmbito da abordagem do IMS — PTR dos depósitos a prazo de retalho</w:t>
            </w:r>
          </w:p>
          <w:p w14:paraId="41C954DD" w14:textId="41834E99"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 xml:space="preserve">As instituições devem indicar se repercutem 100 % das alterações das taxas de juro do mercado para a reavaliação dos depósitos a prazo de retalho após o seu vencimento no âmbito do cenário paralelo de IR +200: </w:t>
            </w:r>
          </w:p>
          <w:p w14:paraId="59547F70" w14:textId="27131A6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sim,</w:t>
            </w:r>
          </w:p>
          <w:p w14:paraId="19A9CCCC" w14:textId="22E811D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não,</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não aplicável.</w:t>
            </w:r>
          </w:p>
        </w:tc>
      </w:tr>
      <w:tr w:rsidR="00831F72" w:rsidRPr="00D82419" w14:paraId="0CE0F7C9" w14:textId="77777777" w:rsidTr="763F32FC">
        <w:tc>
          <w:tcPr>
            <w:tcW w:w="1129" w:type="dxa"/>
          </w:tcPr>
          <w:p w14:paraId="6B5FECF5" w14:textId="6F8280B6"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relativos à medida do risco de NII no âmbito da abordagem do IMS — PTR dos empréstimos de retalho a taxa fixa</w:t>
            </w:r>
          </w:p>
          <w:p w14:paraId="2EAF0973" w14:textId="36777687"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 xml:space="preserve">As instituições devem indicar se repercutem 100 % das alterações da taxa de juro do mercado para a reavaliação dos empréstimos de retalho a taxa fixa após o seu vencimento no âmbito do cenário paralelo de IR +200: </w:t>
            </w:r>
          </w:p>
          <w:p w14:paraId="71DBAFC7" w14:textId="1D2812E8"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sim,</w:t>
            </w:r>
          </w:p>
          <w:p w14:paraId="13F351DE" w14:textId="256A1970"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não,</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não aplicável.</w:t>
            </w:r>
          </w:p>
        </w:tc>
      </w:tr>
      <w:tr w:rsidR="00D23E14" w:rsidRPr="00D82419" w14:paraId="3B602049" w14:textId="77777777" w:rsidTr="763F32FC">
        <w:tc>
          <w:tcPr>
            <w:tcW w:w="1129" w:type="dxa"/>
          </w:tcPr>
          <w:p w14:paraId="7B5D50F2" w14:textId="748605D2"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Risco de base</w:t>
            </w:r>
          </w:p>
          <w:p w14:paraId="6E9C9674" w14:textId="28AF3529"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 xml:space="preserve">As instituições devem indicar se consideram que o risco de base é significativo: </w:t>
            </w:r>
          </w:p>
          <w:p w14:paraId="1D01F903" w14:textId="3204DDA5"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sim,</w:t>
            </w:r>
          </w:p>
          <w:p w14:paraId="6FBAAE4C" w14:textId="7FB7D48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não,</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não aplicável.</w:t>
            </w:r>
          </w:p>
        </w:tc>
      </w:tr>
      <w:tr w:rsidR="00D23E14" w:rsidRPr="00D82419" w14:paraId="5E0618BC" w14:textId="77777777" w:rsidTr="763F32FC">
        <w:tc>
          <w:tcPr>
            <w:tcW w:w="1129" w:type="dxa"/>
          </w:tcPr>
          <w:p w14:paraId="6D05D7E7" w14:textId="143F0C8F"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Risco de diferencial de crédito da carteira bancária (CSRBB)</w:t>
            </w:r>
          </w:p>
          <w:p w14:paraId="2E5544DE" w14:textId="674E5533"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As instituições devem indicar se consideraram um perímetro diferente de instrumentos sujeitos ao CSRBB, tal como referido no artigo 84.º, n.º 2, da Diretiva 2013/36/UE, para as métricas do NII e do EVE:</w:t>
            </w:r>
          </w:p>
          <w:p w14:paraId="50023EB7" w14:textId="43277B64"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sim,</w:t>
            </w:r>
          </w:p>
          <w:p w14:paraId="012CE02E" w14:textId="5CB57A7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não,</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não aplicável.</w:t>
            </w:r>
          </w:p>
        </w:tc>
      </w:tr>
      <w:tr w:rsidR="00831F72" w:rsidRPr="00D82419" w14:paraId="1BDCDE63" w14:textId="77777777" w:rsidTr="763F32FC">
        <w:tc>
          <w:tcPr>
            <w:tcW w:w="1129" w:type="dxa"/>
          </w:tcPr>
          <w:p w14:paraId="6C3568C5" w14:textId="15541633"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0320</w:t>
            </w:r>
          </w:p>
        </w:tc>
        <w:tc>
          <w:tcPr>
            <w:tcW w:w="7620" w:type="dxa"/>
          </w:tcPr>
          <w:p w14:paraId="58014394" w14:textId="4E31E255"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Curva de rendimentos sem risco (atualização dos SOT do EVE) </w:t>
            </w:r>
          </w:p>
          <w:p w14:paraId="438A61E7" w14:textId="6492A071" w:rsidR="00831F72" w:rsidRPr="00D82419" w:rsidRDefault="00831F72" w:rsidP="003C575D">
            <w:pPr>
              <w:pStyle w:val="InstructionsText"/>
              <w:rPr>
                <w:noProof/>
              </w:rPr>
            </w:pPr>
            <w:r>
              <w:rPr>
                <w:noProof/>
              </w:rPr>
              <w:t xml:space="preserve">As instituições devem relatar a curva de rendimentos sem risco que tenha sido utilizada para efeitos de atualização em conformidade com o artigo 3.º, n.º 10, do </w:t>
            </w:r>
            <w:r>
              <w:rPr>
                <w:rStyle w:val="InstructionsTabelleberschrift"/>
                <w:rFonts w:ascii="Times New Roman" w:hAnsi="Times New Roman"/>
                <w:b w:val="0"/>
                <w:noProof/>
                <w:sz w:val="24"/>
                <w:u w:val="none"/>
              </w:rPr>
              <w:t>Regulamento Delegado (UE) .../... (SP: inserir a referência às NTR relativas aos SOT)</w:t>
            </w:r>
            <w:r>
              <w:rPr>
                <w:noProof/>
              </w:rPr>
              <w:t>:</w:t>
            </w:r>
          </w:p>
          <w:p w14:paraId="1C07B050" w14:textId="7C4E723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interbancário com garantia,</w:t>
            </w:r>
          </w:p>
          <w:p w14:paraId="452A2398" w14:textId="03AAC715"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 interbancário sem garantia </w:t>
            </w:r>
            <w:r>
              <w:rPr>
                <w:rStyle w:val="InstructionsTabelleberschrift"/>
                <w:rFonts w:ascii="Times New Roman" w:hAnsi="Times New Roman"/>
                <w:b w:val="0"/>
                <w:i/>
                <w:noProof/>
                <w:sz w:val="24"/>
                <w:u w:val="none"/>
              </w:rPr>
              <w:t>overnight</w:t>
            </w:r>
            <w:r>
              <w:rPr>
                <w:rStyle w:val="InstructionsTabelleberschrift"/>
                <w:rFonts w:ascii="Times New Roman" w:hAnsi="Times New Roman"/>
                <w:b w:val="0"/>
                <w:noProof/>
                <w:sz w:val="24"/>
                <w:u w:val="none"/>
              </w:rPr>
              <w:t>,</w:t>
            </w:r>
          </w:p>
          <w:p w14:paraId="7CC5BD45" w14:textId="3AB07E7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interbancário sem garantia a prazo,</w:t>
            </w:r>
          </w:p>
          <w:p w14:paraId="46113D77" w14:textId="6DAA15EF"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da dívida soberana,</w:t>
            </w:r>
          </w:p>
          <w:p w14:paraId="01B618A9" w14:textId="0CE7A167"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específica do produto,</w:t>
            </w:r>
          </w:p>
          <w:p w14:paraId="5E68E7CE" w14:textId="62989819" w:rsidR="00F41077"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específica da entidade,</w:t>
            </w:r>
          </w:p>
          <w:p w14:paraId="3CE0EC7A" w14:textId="130FD61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outros.</w:t>
            </w:r>
          </w:p>
        </w:tc>
      </w:tr>
      <w:tr w:rsidR="00831F72" w:rsidRPr="00D82419" w14:paraId="0D032E3B" w14:textId="77777777" w:rsidTr="763F32FC">
        <w:tc>
          <w:tcPr>
            <w:tcW w:w="1129" w:type="dxa"/>
          </w:tcPr>
          <w:p w14:paraId="1D5E6175" w14:textId="55E46B5B"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0330</w:t>
            </w:r>
          </w:p>
        </w:tc>
        <w:tc>
          <w:tcPr>
            <w:tcW w:w="7620" w:type="dxa"/>
          </w:tcPr>
          <w:p w14:paraId="39EBEB8B" w14:textId="06081CF4"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Curva de rendimentos sem risco (medidas de risco interno do EVE)</w:t>
            </w:r>
          </w:p>
          <w:p w14:paraId="17F84D95" w14:textId="01917E40" w:rsidR="00831F72" w:rsidRPr="00D82419" w:rsidRDefault="00831F72" w:rsidP="003C575D">
            <w:pPr>
              <w:pStyle w:val="InstructionsText"/>
              <w:rPr>
                <w:noProof/>
              </w:rPr>
            </w:pPr>
            <w:r>
              <w:rPr>
                <w:noProof/>
              </w:rPr>
              <w:t>As instituições devem relatar a curva de rendimentos sem risco que tenha sido utilizada para fins internos para atualizar a medida do risco interno do EVE:</w:t>
            </w:r>
          </w:p>
          <w:p w14:paraId="2BC51B81" w14:textId="2F8C5CA1"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interbancário com garantia,</w:t>
            </w:r>
          </w:p>
          <w:p w14:paraId="43BCFD8D" w14:textId="0A26DFD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 interbancário sem garantia </w:t>
            </w:r>
            <w:r>
              <w:rPr>
                <w:rStyle w:val="InstructionsTabelleberschrift"/>
                <w:rFonts w:ascii="Times New Roman" w:hAnsi="Times New Roman"/>
                <w:b w:val="0"/>
                <w:i/>
                <w:noProof/>
                <w:sz w:val="24"/>
                <w:u w:val="none"/>
              </w:rPr>
              <w:t>overnight</w:t>
            </w:r>
            <w:r>
              <w:rPr>
                <w:rStyle w:val="InstructionsTabelleberschrift"/>
                <w:rFonts w:ascii="Times New Roman" w:hAnsi="Times New Roman"/>
                <w:b w:val="0"/>
                <w:noProof/>
                <w:sz w:val="24"/>
                <w:u w:val="none"/>
              </w:rPr>
              <w:t>,</w:t>
            </w:r>
          </w:p>
          <w:p w14:paraId="4457F452" w14:textId="2951F9F4"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interbancário sem garantia a prazo,</w:t>
            </w:r>
          </w:p>
          <w:p w14:paraId="7D44CF6B" w14:textId="0A5A38E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da dívida soberana,</w:t>
            </w:r>
          </w:p>
          <w:p w14:paraId="53D62FB6" w14:textId="0266FD1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específica do produto,</w:t>
            </w:r>
          </w:p>
          <w:p w14:paraId="5AF12C10" w14:textId="59D8FA9C"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específica da entidade,</w:t>
            </w:r>
          </w:p>
          <w:p w14:paraId="48CD74B5" w14:textId="74132250"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outros.</w:t>
            </w:r>
          </w:p>
        </w:tc>
      </w:tr>
      <w:tr w:rsidR="00831F72" w:rsidRPr="00D82419" w14:paraId="6BE31A4F" w14:textId="77777777" w:rsidTr="763F32FC">
        <w:tc>
          <w:tcPr>
            <w:tcW w:w="1129" w:type="dxa"/>
          </w:tcPr>
          <w:p w14:paraId="6879B5FB" w14:textId="36F7712E"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Alteração dos pressupostos materiais (EVE)</w:t>
            </w:r>
          </w:p>
          <w:p w14:paraId="68EE4B49" w14:textId="6B95A076" w:rsidR="00831F72" w:rsidRPr="00D82419" w:rsidRDefault="00831F72" w:rsidP="003C575D">
            <w:pPr>
              <w:pStyle w:val="InstructionsText"/>
              <w:rPr>
                <w:rStyle w:val="InstructionsTabelleberschrift"/>
                <w:rFonts w:ascii="Times New Roman" w:hAnsi="Times New Roman"/>
                <w:b w:val="0"/>
                <w:bCs w:val="0"/>
                <w:noProof/>
                <w:sz w:val="24"/>
                <w:u w:val="none"/>
              </w:rPr>
            </w:pPr>
            <w:r>
              <w:rPr>
                <w:noProof/>
              </w:rPr>
              <w:t>As instituições devem indicar se quaisquer pressupostos materiais subjacentes ao cálculo do choque padrão de supervisão nas métricas dos SOT do EVE se alteraram desde o último relato de informações:</w:t>
            </w:r>
          </w:p>
          <w:p w14:paraId="08DC01FF" w14:textId="1D1849A1"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sim,</w:t>
            </w:r>
          </w:p>
          <w:p w14:paraId="7B454EAD" w14:textId="47CD74FD"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não,</w:t>
            </w:r>
          </w:p>
          <w:p w14:paraId="2047570C" w14:textId="300DDD09"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não aplicável.</w:t>
            </w:r>
          </w:p>
        </w:tc>
      </w:tr>
      <w:tr w:rsidR="00831F72" w:rsidRPr="00D82419" w14:paraId="0E990BEC" w14:textId="77777777" w:rsidTr="763F32FC">
        <w:tc>
          <w:tcPr>
            <w:tcW w:w="1129" w:type="dxa"/>
          </w:tcPr>
          <w:p w14:paraId="63FEF734" w14:textId="4DBDB37F"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Alteração dos pressupostos materiais (NII)</w:t>
            </w:r>
          </w:p>
          <w:p w14:paraId="6679202D" w14:textId="4DB0B200" w:rsidR="00831F72" w:rsidRPr="00D82419" w:rsidRDefault="00831F72" w:rsidP="003C575D">
            <w:pPr>
              <w:pStyle w:val="InstructionsText"/>
              <w:rPr>
                <w:noProof/>
              </w:rPr>
            </w:pPr>
            <w:r>
              <w:rPr>
                <w:noProof/>
              </w:rPr>
              <w:t>As instituições devem indicar se quaisquer pressupostos materiais subjacentes ao cálculo do choque padrão de supervisão nas métricas dos SOT do NII se alteraram desde o último relato de informações:</w:t>
            </w:r>
            <w:r>
              <w:rPr>
                <w:noProof/>
                <w:color w:val="333333"/>
                <w:sz w:val="18"/>
              </w:rPr>
              <w:t xml:space="preserve"> </w:t>
            </w:r>
          </w:p>
          <w:p w14:paraId="7DAFE939" w14:textId="1EE574EB"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sim,</w:t>
            </w:r>
          </w:p>
          <w:p w14:paraId="60932CE9" w14:textId="63C31C42"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não,</w:t>
            </w:r>
          </w:p>
          <w:p w14:paraId="475E7AC7" w14:textId="4F1FF55B"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não aplicável.</w:t>
            </w:r>
          </w:p>
        </w:tc>
      </w:tr>
      <w:tr w:rsidR="00831F72" w:rsidRPr="00D82419" w14:paraId="77B4BB6E" w14:textId="77777777" w:rsidTr="763F32FC">
        <w:tc>
          <w:tcPr>
            <w:tcW w:w="1129" w:type="dxa"/>
          </w:tcPr>
          <w:p w14:paraId="3103DAA3" w14:textId="019BFB6A"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Limite mínimo das taxas de juro pós-choque (NII/EVE)</w:t>
            </w:r>
          </w:p>
          <w:p w14:paraId="48577CD6" w14:textId="63FB4571" w:rsidR="00831F72" w:rsidRPr="00D82419" w:rsidRDefault="00126BE8" w:rsidP="003C575D">
            <w:pPr>
              <w:pStyle w:val="InstructionsText"/>
              <w:rPr>
                <w:rStyle w:val="InstructionsTabelleberschrift"/>
                <w:rFonts w:ascii="Times New Roman" w:hAnsi="Times New Roman"/>
                <w:b w:val="0"/>
                <w:bCs w:val="0"/>
                <w:noProof/>
                <w:sz w:val="24"/>
                <w:u w:val="none"/>
              </w:rPr>
            </w:pPr>
            <w:r>
              <w:rPr>
                <w:noProof/>
              </w:rPr>
              <w:t xml:space="preserve">Em conformidade com o artigo 3.º, n.º 7, do </w:t>
            </w:r>
            <w:r>
              <w:rPr>
                <w:rStyle w:val="InstructionsTabelleberschrift"/>
                <w:rFonts w:ascii="Times New Roman" w:hAnsi="Times New Roman"/>
                <w:b w:val="0"/>
                <w:noProof/>
                <w:sz w:val="24"/>
                <w:u w:val="none"/>
              </w:rPr>
              <w:t>Regulamento Delegado (UE) .../... (SP: inserir a referência às NTR relativas aos SOT)</w:t>
            </w:r>
            <w:r>
              <w:rPr>
                <w:noProof/>
              </w:rPr>
              <w:t>, as instituições devem indicar se o limite mínimo da taxa de juro posterior ao choque dependente do vencimento é vinculativo para qualquer uma das moedas específicas relatadas:</w:t>
            </w:r>
          </w:p>
          <w:p w14:paraId="15C5A4DA" w14:textId="39A3E0B6"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sim,</w:t>
            </w:r>
          </w:p>
          <w:p w14:paraId="608E34DA" w14:textId="5EF065BB"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não,</w:t>
            </w:r>
          </w:p>
          <w:p w14:paraId="7BE76904" w14:textId="477B98F1"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não aplicável.</w:t>
            </w:r>
          </w:p>
        </w:tc>
      </w:tr>
    </w:tbl>
    <w:p w14:paraId="1A268D09" w14:textId="510344B9" w:rsidR="0071714D" w:rsidRPr="0071714D" w:rsidRDefault="0071714D" w:rsidP="00704C32">
      <w:pPr>
        <w:suppressAutoHyphens/>
        <w:spacing w:after="0"/>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D62A20" w14:textId="5694BC1F" w:rsidR="004932BF" w:rsidRPr="004932BF" w:rsidRDefault="004932BF" w:rsidP="004932BF">
    <w:pPr>
      <w:pStyle w:val="FooterCoverPage"/>
      <w:rPr>
        <w:rFonts w:ascii="Arial" w:hAnsi="Arial" w:cs="Arial"/>
        <w:b/>
        <w:sz w:val="48"/>
      </w:rPr>
    </w:pPr>
    <w:r w:rsidRPr="004932BF">
      <w:rPr>
        <w:rFonts w:ascii="Arial" w:hAnsi="Arial" w:cs="Arial"/>
        <w:b/>
        <w:sz w:val="48"/>
      </w:rPr>
      <w:t>PT</w:t>
    </w:r>
    <w:r w:rsidRPr="004932BF">
      <w:rPr>
        <w:rFonts w:ascii="Arial" w:hAnsi="Arial" w:cs="Arial"/>
        <w:b/>
        <w:sz w:val="48"/>
      </w:rPr>
      <w:tab/>
    </w:r>
    <w:r w:rsidRPr="004932BF">
      <w:rPr>
        <w:rFonts w:ascii="Arial" w:hAnsi="Arial" w:cs="Arial"/>
        <w:b/>
        <w:sz w:val="48"/>
      </w:rPr>
      <w:tab/>
    </w:r>
    <w:r w:rsidRPr="004932BF">
      <w:tab/>
    </w:r>
    <w:r w:rsidRPr="004932BF">
      <w:rPr>
        <w:rFonts w:ascii="Arial" w:hAnsi="Arial" w:cs="Arial"/>
        <w:b/>
        <w:sz w:val="48"/>
      </w:rPr>
      <w:t>PT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4F374" w14:textId="602703E0" w:rsidR="004932BF" w:rsidRPr="004932BF" w:rsidRDefault="004932BF" w:rsidP="004932BF">
    <w:pPr>
      <w:pStyle w:val="FooterCoverPage"/>
      <w:rPr>
        <w:rFonts w:ascii="Arial" w:hAnsi="Arial" w:cs="Arial"/>
        <w:b/>
        <w:sz w:val="48"/>
      </w:rPr>
    </w:pPr>
    <w:r w:rsidRPr="004932BF">
      <w:rPr>
        <w:rFonts w:ascii="Arial" w:hAnsi="Arial" w:cs="Arial"/>
        <w:b/>
        <w:sz w:val="48"/>
      </w:rPr>
      <w:t>PT</w:t>
    </w:r>
    <w:r w:rsidRPr="004932BF">
      <w:rPr>
        <w:rFonts w:ascii="Arial" w:hAnsi="Arial" w:cs="Arial"/>
        <w:b/>
        <w:sz w:val="48"/>
      </w:rPr>
      <w:tab/>
    </w:r>
    <w:r w:rsidRPr="004932BF">
      <w:rPr>
        <w:rFonts w:ascii="Arial" w:hAnsi="Arial" w:cs="Arial"/>
        <w:b/>
        <w:sz w:val="48"/>
      </w:rPr>
      <w:tab/>
    </w:r>
    <w:r w:rsidRPr="004932BF">
      <w:tab/>
    </w:r>
    <w:r w:rsidRPr="004932BF">
      <w:rPr>
        <w:rFonts w:ascii="Arial" w:hAnsi="Arial" w:cs="Arial"/>
        <w:b/>
        <w:sz w:val="48"/>
      </w:rPr>
      <w:t>PT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AE18E" w14:textId="77777777" w:rsidR="004932BF" w:rsidRPr="004932BF" w:rsidRDefault="004932BF" w:rsidP="004932BF">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5F2ED4DA"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4932BF">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64F5A19F"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4932BF">
      <w:rPr>
        <w:rFonts w:ascii="Times New Roman" w:hAnsi="Times New Roman"/>
        <w:noProof/>
        <w:sz w:val="20"/>
      </w:rPr>
      <w:t>5</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Regulamento Delegado (UE) .../... da Comissão, de XXX, que complementa a Diretiva 2013/36/UE do Parlamento Europeu e do Conselho no respeitante às normas técnicas de regulamentação que especificam uma metodologia padrão e uma metodologia padrão simplificada para avaliar os riscos resultantes de eventuais alterações das taxas de juro que afetem tanto o valor económico do capital próprio como os resultados líquidos de juros das suas atividades não incluídas na carteira de negociação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Regulamento (UE) n.º 600/2014 do Parlamento Europeu e do Conselho, de 15 de maio de 2014, relativo aos mercados de instrumentos financeiros e que altera o Regulamento (UE) n.º 648/2012 (JO L 173 de 12.6.2014, p. 84, ELI: http://data.europa.eu/eli/reg/2014/600/oj).</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ab/>
        <w:t>Regulamento Delegado (UE) 2015/61 da Comissão, de 10 de outubro de 2014, que completa o Regulamento (UE) n.º 575/2013 Parlamento Europeu e do Conselho, no que diz respeito ao requisito de cobertura de liquidez para as instituições de crédito (JO L 11 de 17.1.205, p. 1,http://data.europa.eu/eli/reg_del/2015/61/oj).</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Regulamento (CE) n.º 1606/2002 do Parlamento Europeu e do Conselho, de 19 de julho de 2002, relativo à aplicação das normas internacionais de contabilidade (JO L 243 de 11.9.2002, p.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4B720" w14:textId="77777777" w:rsidR="004932BF" w:rsidRPr="004932BF" w:rsidRDefault="004932BF" w:rsidP="004932BF">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4762D6" w14:textId="77777777" w:rsidR="004932BF" w:rsidRPr="004932BF" w:rsidRDefault="004932BF" w:rsidP="004932BF">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40F29D" w14:textId="77777777" w:rsidR="004932BF" w:rsidRPr="004932BF" w:rsidRDefault="004932BF" w:rsidP="004932BF">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B/iXB6ZQIAAKYEAAAOAAAAAAAAAAAAAAAAAC4CAABkcnMvZTJv&#10;RG9jLnhtbFBLAQItABQABgAIAAAAIQA0gToW2gAAAAMBAAAPAAAAAAAAAAAAAAAAAL8EAABkcnMv&#10;ZG93bnJldi54bWxQSwUGAAAAAAQABADzAAAAxgU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A Regular Us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EMRKTmYCAACtBAAADgAAAAAAAAAAAAAAAAAuAgAAZHJzL2Uy&#10;b0RvYy54bWxQSwECLQAUAAYACAAAACEANIE6FtoAAAADAQAADwAAAAAAAAAAAAAAAADABAAAZHJz&#10;L2Rvd25yZXYueG1sUEsFBgAAAAAEAAQA8wAAAMcFA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activeWritingStyle w:appName="MSWord" w:lang="pt-PT"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do"/>
    <w:docVar w:name="LW_ANNEX_NBR_FIRST" w:val="2"/>
    <w:docVar w:name="LW_ANNEX_NBR_LAST" w:val="2"/>
    <w:docVar w:name="LW_ANNEX_UNIQUE" w:val="0"/>
    <w:docVar w:name="LW_CORRIGENDUM" w:val="&lt;UNUSED&gt;"/>
    <w:docVar w:name="LW_COVERPAGE_EXISTS" w:val="True"/>
    <w:docVar w:name="LW_COVERPAGE_GUID" w:val="E209D59E-7BBA-423B-BBC9-D9415DD01E1F"/>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Bruxelas, "/>
    <w:docVar w:name="LW_EMISSION_SUFFIX" w:val=" "/>
    <w:docVar w:name="LW_ID_DOCTYPE_NONLW" w:val="CP-038"/>
    <w:docVar w:name="LW_LANGUE" w:val="PT"/>
    <w:docVar w:name="LW_LEVEL_OF_SENSITIVITY" w:val="Standard treatment"/>
    <w:docVar w:name="LW_NOM.INST" w:val="COMISSÃO EUROPEIA"/>
    <w:docVar w:name="LW_NOM.INST_JOINTDOC" w:val="&lt;EMPTY&gt;"/>
    <w:docVar w:name="LW_OBJETACTEPRINCIPAL.CP" w:val="&lt;FMT:Bold&gt;que altera as normas técnicas de execução estabelecidas no Regulamento de Execução (UE) 2021/451 no que respeita às regras do relato para fins de supervisão quanto ao risco de taxa de juro da carteira bancária&lt;/FMT&gt;"/>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EXO_x000b_"/>
    <w:docVar w:name="LW_TYPEACTEPRINCIPAL.CP" w:val="Regulamento de Execução da Comissão"/>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2BF"/>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4C32"/>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E34"/>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3F6C"/>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1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5953"/>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t-P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t-PT"/>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pt-P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717E34"/>
    <w:pPr>
      <w:tabs>
        <w:tab w:val="left" w:pos="794"/>
        <w:tab w:val="right" w:leader="dot" w:pos="9071"/>
      </w:tabs>
      <w:suppressAutoHyphens/>
      <w:spacing w:after="60"/>
      <w:ind w:left="794" w:hanging="794"/>
      <w:jc w:val="left"/>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t-P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t-P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t-P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C575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t-P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C575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t-P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t-P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t-PT"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t-P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t-P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pt-PT"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pt-PT"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2.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3.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56C726-EC65-4993-8B69-F5A1E6DA01B5}">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28</TotalTime>
  <Pages>7</Pages>
  <Words>11468</Words>
  <Characters>65372</Characters>
  <Application>Microsoft Office Word</Application>
  <DocSecurity>0</DocSecurity>
  <Lines>544</Lines>
  <Paragraphs>153</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76687</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10</cp:revision>
  <dcterms:created xsi:type="dcterms:W3CDTF">2024-02-28T13:41:00Z</dcterms:created>
  <dcterms:modified xsi:type="dcterms:W3CDTF">2024-03-08T08:32:00Z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