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369CD4" w14:textId="07714E6E" w:rsidR="00D82419" w:rsidRPr="00D82419" w:rsidRDefault="00BD6DA4" w:rsidP="00BD6DA4">
      <w:pPr>
        <w:pStyle w:val="Pagedecouverture"/>
        <w:rPr>
          <w:noProof/>
        </w:rPr>
      </w:pPr>
      <w:bookmarkStart w:id="0" w:name="_Toc262568021"/>
      <w:bookmarkStart w:id="1" w:name="_Toc295829847"/>
      <w:bookmarkStart w:id="2" w:name="LW_BM_COVERPAGE"/>
      <w:r>
        <w:rPr>
          <w:noProof/>
        </w:rPr>
        <w:pict w14:anchorId="535A89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F2D87BE1-97DA-41A6-9BDF-212BFE26142F" style="width:455.15pt;height:396.7pt">
            <v:imagedata r:id="rId11" o:title=""/>
          </v:shape>
        </w:pict>
      </w:r>
    </w:p>
    <w:bookmarkEnd w:id="2"/>
    <w:p w14:paraId="387E4651" w14:textId="77777777" w:rsidR="00D82419" w:rsidRPr="00D82419" w:rsidRDefault="00D82419" w:rsidP="00430DF0">
      <w:pPr>
        <w:suppressAutoHyphens/>
        <w:rPr>
          <w:rFonts w:ascii="Times New Roman" w:hAnsi="Times New Roman"/>
          <w:noProof/>
        </w:rPr>
        <w:sectPr w:rsidR="00D82419" w:rsidRPr="00D82419" w:rsidSect="00BD6DA4">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pgMar w:top="1134" w:right="1417" w:bottom="1134" w:left="1417" w:header="709" w:footer="709" w:gutter="0"/>
          <w:pgNumType w:start="0"/>
          <w:cols w:space="720"/>
          <w:docGrid w:linePitch="360"/>
        </w:sectPr>
      </w:pPr>
    </w:p>
    <w:p w14:paraId="12D686B6" w14:textId="3D4129CB" w:rsidR="00480D67" w:rsidRPr="00BE2481" w:rsidRDefault="00480D67" w:rsidP="00430DF0">
      <w:pPr>
        <w:pStyle w:val="Heading9"/>
        <w:suppressAutoHyphens/>
        <w:jc w:val="center"/>
        <w:rPr>
          <w:rFonts w:ascii="Times New Roman" w:hAnsi="Times New Roman"/>
          <w:noProof/>
          <w:sz w:val="24"/>
          <w:szCs w:val="24"/>
        </w:rPr>
      </w:pPr>
      <w:bookmarkStart w:id="3" w:name="_GoBack"/>
      <w:bookmarkEnd w:id="3"/>
      <w:r>
        <w:rPr>
          <w:rFonts w:ascii="Times New Roman" w:hAnsi="Times New Roman"/>
          <w:noProof/>
          <w:sz w:val="24"/>
        </w:rPr>
        <w:lastRenderedPageBreak/>
        <w:t>II. melléklet</w:t>
      </w:r>
    </w:p>
    <w:p w14:paraId="52460C1D" w14:textId="0A648DA0" w:rsidR="002648B0" w:rsidRPr="00CB270D" w:rsidRDefault="00480D67" w:rsidP="00430DF0">
      <w:pPr>
        <w:pStyle w:val="Heading9"/>
        <w:suppressAutoHyphens/>
        <w:jc w:val="center"/>
        <w:rPr>
          <w:rFonts w:ascii="Times New Roman" w:hAnsi="Times New Roman"/>
          <w:noProof/>
          <w:sz w:val="24"/>
          <w:szCs w:val="24"/>
        </w:rPr>
      </w:pPr>
      <w:r>
        <w:rPr>
          <w:rFonts w:ascii="Times New Roman" w:hAnsi="Times New Roman"/>
          <w:noProof/>
          <w:sz w:val="24"/>
        </w:rPr>
        <w:t>„XXIX. MELLÉKLET</w:t>
      </w:r>
    </w:p>
    <w:p w14:paraId="644BA8AC" w14:textId="3C7A610B" w:rsidR="002648B0" w:rsidRPr="00D82419" w:rsidRDefault="002648B0" w:rsidP="00430DF0">
      <w:pPr>
        <w:suppressAutoHyphens/>
        <w:jc w:val="center"/>
        <w:rPr>
          <w:rFonts w:ascii="Times New Roman" w:hAnsi="Times New Roman"/>
          <w:b/>
          <w:noProof/>
          <w:sz w:val="24"/>
        </w:rPr>
      </w:pPr>
      <w:r>
        <w:rPr>
          <w:rFonts w:ascii="Times New Roman" w:hAnsi="Times New Roman"/>
          <w:b/>
          <w:noProof/>
          <w:sz w:val="24"/>
        </w:rPr>
        <w:t>ÚTMUTATÓ A BANKI KÖNYVI KAMATLÁBKOCKÁZATRA VONATKOZÓ ADATSZOLGÁLTATÁSHOZ</w:t>
      </w:r>
    </w:p>
    <w:p w14:paraId="4592BD27" w14:textId="77777777" w:rsidR="00436204" w:rsidRPr="00D82419" w:rsidRDefault="00436204" w:rsidP="00430DF0">
      <w:pPr>
        <w:suppressAutoHyphens/>
        <w:jc w:val="center"/>
        <w:rPr>
          <w:rFonts w:ascii="Times New Roman" w:hAnsi="Times New Roman"/>
          <w:b/>
          <w:noProof/>
          <w:sz w:val="24"/>
          <w:lang w:eastAsia="de-DE"/>
        </w:rPr>
      </w:pPr>
    </w:p>
    <w:p w14:paraId="296F65E0" w14:textId="77777777" w:rsidR="00783881" w:rsidRPr="00D82419" w:rsidRDefault="002648B0" w:rsidP="003C575D">
      <w:pPr>
        <w:pStyle w:val="InstructionsText"/>
        <w:rPr>
          <w:noProof/>
        </w:rPr>
      </w:pPr>
      <w:r>
        <w:rPr>
          <w:noProof/>
        </w:rPr>
        <w:t>Tartalom</w:t>
      </w:r>
    </w:p>
    <w:p w14:paraId="7994D836" w14:textId="3F169AA2" w:rsidR="007D5D55" w:rsidRDefault="00745369">
      <w:pPr>
        <w:pStyle w:val="TOC2"/>
        <w:rPr>
          <w:rFonts w:asciiTheme="minorHAnsi" w:eastAsiaTheme="minorEastAsia" w:hAnsiTheme="minorHAnsi" w:cstheme="minorBidi"/>
          <w:b w:val="0"/>
          <w:smallCaps w:val="0"/>
          <w:kern w:val="2"/>
          <w:sz w:val="22"/>
          <w:lang w:val="en-IE" w:eastAsia="en-IE"/>
          <w14:ligatures w14:val="standardContextual"/>
        </w:rPr>
      </w:pPr>
      <w:r w:rsidRPr="00D82419">
        <w:rPr>
          <w:rFonts w:ascii="Times New Roman" w:hAnsi="Times New Roman"/>
          <w:color w:val="2B579A"/>
          <w:sz w:val="24"/>
          <w:shd w:val="clear" w:color="auto" w:fill="E6E6E6"/>
        </w:rPr>
        <w:fldChar w:fldCharType="begin"/>
      </w:r>
      <w:r w:rsidR="002648B0" w:rsidRPr="00D82419">
        <w:rPr>
          <w:rFonts w:ascii="Times New Roman" w:hAnsi="Times New Roman"/>
          <w:sz w:val="24"/>
        </w:rPr>
        <w:instrText xml:space="preserve"> TOC \o "1-3" \h \z \u </w:instrText>
      </w:r>
      <w:r w:rsidRPr="00D82419">
        <w:rPr>
          <w:rFonts w:ascii="Times New Roman" w:hAnsi="Times New Roman"/>
          <w:color w:val="2B579A"/>
          <w:sz w:val="24"/>
          <w:shd w:val="clear" w:color="auto" w:fill="E6E6E6"/>
        </w:rPr>
        <w:fldChar w:fldCharType="separate"/>
      </w:r>
      <w:hyperlink w:anchor="_Toc160184407" w:history="1">
        <w:r w:rsidR="007D5D55" w:rsidRPr="00F456F8">
          <w:rPr>
            <w:rStyle w:val="Hyperlink"/>
          </w:rPr>
          <w:t>I. RÉSZ: ÁLTALÁNOS ÚTMUTATÁSOK</w:t>
        </w:r>
        <w:r w:rsidR="007D5D55">
          <w:rPr>
            <w:webHidden/>
          </w:rPr>
          <w:tab/>
        </w:r>
        <w:r w:rsidR="007D5D55">
          <w:rPr>
            <w:webHidden/>
          </w:rPr>
          <w:fldChar w:fldCharType="begin"/>
        </w:r>
        <w:r w:rsidR="007D5D55">
          <w:rPr>
            <w:webHidden/>
          </w:rPr>
          <w:instrText xml:space="preserve"> PAGEREF _Toc160184407 \h </w:instrText>
        </w:r>
        <w:r w:rsidR="007D5D55">
          <w:rPr>
            <w:webHidden/>
          </w:rPr>
        </w:r>
        <w:r w:rsidR="007D5D55">
          <w:rPr>
            <w:webHidden/>
          </w:rPr>
          <w:fldChar w:fldCharType="separate"/>
        </w:r>
        <w:r w:rsidR="00733FF4">
          <w:rPr>
            <w:webHidden/>
          </w:rPr>
          <w:t>2</w:t>
        </w:r>
        <w:r w:rsidR="007D5D55">
          <w:rPr>
            <w:webHidden/>
          </w:rPr>
          <w:fldChar w:fldCharType="end"/>
        </w:r>
      </w:hyperlink>
    </w:p>
    <w:p w14:paraId="5E37821B" w14:textId="19507C6A" w:rsidR="007D5D55" w:rsidRDefault="00BD6DA4">
      <w:pPr>
        <w:pStyle w:val="TOC2"/>
        <w:rPr>
          <w:rFonts w:asciiTheme="minorHAnsi" w:eastAsiaTheme="minorEastAsia" w:hAnsiTheme="minorHAnsi" w:cstheme="minorBidi"/>
          <w:b w:val="0"/>
          <w:smallCaps w:val="0"/>
          <w:kern w:val="2"/>
          <w:sz w:val="22"/>
          <w:lang w:val="en-IE" w:eastAsia="en-IE"/>
          <w14:ligatures w14:val="standardContextual"/>
        </w:rPr>
      </w:pPr>
      <w:hyperlink w:anchor="_Toc160184408" w:history="1">
        <w:r w:rsidR="007D5D55" w:rsidRPr="00F456F8">
          <w:rPr>
            <w:rStyle w:val="Hyperlink"/>
            <w:bCs/>
          </w:rPr>
          <w:t>1.</w:t>
        </w:r>
        <w:r w:rsidR="007D5D55">
          <w:rPr>
            <w:rFonts w:asciiTheme="minorHAnsi" w:eastAsiaTheme="minorEastAsia" w:hAnsiTheme="minorHAnsi" w:cstheme="minorBidi"/>
            <w:b w:val="0"/>
            <w:smallCaps w:val="0"/>
            <w:kern w:val="2"/>
            <w:sz w:val="22"/>
            <w:lang w:val="en-IE" w:eastAsia="en-IE"/>
            <w14:ligatures w14:val="standardContextual"/>
          </w:rPr>
          <w:tab/>
        </w:r>
        <w:r w:rsidR="007D5D55" w:rsidRPr="00F456F8">
          <w:rPr>
            <w:rStyle w:val="Hyperlink"/>
          </w:rPr>
          <w:t>Struktúra</w:t>
        </w:r>
        <w:r w:rsidR="007D5D55">
          <w:rPr>
            <w:webHidden/>
          </w:rPr>
          <w:tab/>
        </w:r>
        <w:r w:rsidR="007D5D55">
          <w:rPr>
            <w:webHidden/>
          </w:rPr>
          <w:fldChar w:fldCharType="begin"/>
        </w:r>
        <w:r w:rsidR="007D5D55">
          <w:rPr>
            <w:webHidden/>
          </w:rPr>
          <w:instrText xml:space="preserve"> PAGEREF _Toc160184408 \h </w:instrText>
        </w:r>
        <w:r w:rsidR="007D5D55">
          <w:rPr>
            <w:webHidden/>
          </w:rPr>
        </w:r>
        <w:r w:rsidR="007D5D55">
          <w:rPr>
            <w:webHidden/>
          </w:rPr>
          <w:fldChar w:fldCharType="separate"/>
        </w:r>
        <w:r w:rsidR="00733FF4">
          <w:rPr>
            <w:webHidden/>
          </w:rPr>
          <w:t>2</w:t>
        </w:r>
        <w:r w:rsidR="007D5D55">
          <w:rPr>
            <w:webHidden/>
          </w:rPr>
          <w:fldChar w:fldCharType="end"/>
        </w:r>
      </w:hyperlink>
    </w:p>
    <w:p w14:paraId="128734A1" w14:textId="048F59C8" w:rsidR="007D5D55" w:rsidRDefault="00BD6DA4">
      <w:pPr>
        <w:pStyle w:val="TOC2"/>
        <w:rPr>
          <w:rFonts w:asciiTheme="minorHAnsi" w:eastAsiaTheme="minorEastAsia" w:hAnsiTheme="minorHAnsi" w:cstheme="minorBidi"/>
          <w:b w:val="0"/>
          <w:smallCaps w:val="0"/>
          <w:kern w:val="2"/>
          <w:sz w:val="22"/>
          <w:lang w:val="en-IE" w:eastAsia="en-IE"/>
          <w14:ligatures w14:val="standardContextual"/>
        </w:rPr>
      </w:pPr>
      <w:hyperlink w:anchor="_Toc160184409" w:history="1">
        <w:r w:rsidR="007D5D55" w:rsidRPr="00F456F8">
          <w:rPr>
            <w:rStyle w:val="Hyperlink"/>
            <w:bCs/>
          </w:rPr>
          <w:t>2.</w:t>
        </w:r>
        <w:r w:rsidR="007D5D55">
          <w:rPr>
            <w:rFonts w:asciiTheme="minorHAnsi" w:eastAsiaTheme="minorEastAsia" w:hAnsiTheme="minorHAnsi" w:cstheme="minorBidi"/>
            <w:b w:val="0"/>
            <w:smallCaps w:val="0"/>
            <w:kern w:val="2"/>
            <w:sz w:val="22"/>
            <w:lang w:val="en-IE" w:eastAsia="en-IE"/>
            <w14:ligatures w14:val="standardContextual"/>
          </w:rPr>
          <w:tab/>
        </w:r>
        <w:r w:rsidR="007D5D55" w:rsidRPr="00F456F8">
          <w:rPr>
            <w:rStyle w:val="Hyperlink"/>
          </w:rPr>
          <w:t>Az adatszolgáltatás köre</w:t>
        </w:r>
        <w:r w:rsidR="007D5D55">
          <w:rPr>
            <w:webHidden/>
          </w:rPr>
          <w:tab/>
        </w:r>
        <w:r w:rsidR="007D5D55">
          <w:rPr>
            <w:webHidden/>
          </w:rPr>
          <w:fldChar w:fldCharType="begin"/>
        </w:r>
        <w:r w:rsidR="007D5D55">
          <w:rPr>
            <w:webHidden/>
          </w:rPr>
          <w:instrText xml:space="preserve"> PAGEREF _Toc160184409 \h </w:instrText>
        </w:r>
        <w:r w:rsidR="007D5D55">
          <w:rPr>
            <w:webHidden/>
          </w:rPr>
        </w:r>
        <w:r w:rsidR="007D5D55">
          <w:rPr>
            <w:webHidden/>
          </w:rPr>
          <w:fldChar w:fldCharType="separate"/>
        </w:r>
        <w:r w:rsidR="00733FF4">
          <w:rPr>
            <w:webHidden/>
          </w:rPr>
          <w:t>2</w:t>
        </w:r>
        <w:r w:rsidR="007D5D55">
          <w:rPr>
            <w:webHidden/>
          </w:rPr>
          <w:fldChar w:fldCharType="end"/>
        </w:r>
      </w:hyperlink>
    </w:p>
    <w:p w14:paraId="67FAD0C3" w14:textId="1D8D7BD9" w:rsidR="007D5D55" w:rsidRDefault="00BD6DA4">
      <w:pPr>
        <w:pStyle w:val="TOC2"/>
        <w:rPr>
          <w:rFonts w:asciiTheme="minorHAnsi" w:eastAsiaTheme="minorEastAsia" w:hAnsiTheme="minorHAnsi" w:cstheme="minorBidi"/>
          <w:b w:val="0"/>
          <w:smallCaps w:val="0"/>
          <w:kern w:val="2"/>
          <w:sz w:val="22"/>
          <w:lang w:val="en-IE" w:eastAsia="en-IE"/>
          <w14:ligatures w14:val="standardContextual"/>
        </w:rPr>
      </w:pPr>
      <w:hyperlink w:anchor="_Toc160184410" w:history="1">
        <w:r w:rsidR="007D5D55" w:rsidRPr="00F456F8">
          <w:rPr>
            <w:rStyle w:val="Hyperlink"/>
            <w:bCs/>
          </w:rPr>
          <w:t>3.</w:t>
        </w:r>
        <w:r w:rsidR="007D5D55">
          <w:rPr>
            <w:rFonts w:asciiTheme="minorHAnsi" w:eastAsiaTheme="minorEastAsia" w:hAnsiTheme="minorHAnsi" w:cstheme="minorBidi"/>
            <w:b w:val="0"/>
            <w:smallCaps w:val="0"/>
            <w:kern w:val="2"/>
            <w:sz w:val="22"/>
            <w:lang w:val="en-IE" w:eastAsia="en-IE"/>
            <w14:ligatures w14:val="standardContextual"/>
          </w:rPr>
          <w:tab/>
        </w:r>
        <w:r w:rsidR="007D5D55" w:rsidRPr="00F456F8">
          <w:rPr>
            <w:rStyle w:val="Hyperlink"/>
          </w:rPr>
          <w:t>Rögzített/változó kamatozású instrumentumok kezelése</w:t>
        </w:r>
        <w:r w:rsidR="007D5D55">
          <w:rPr>
            <w:webHidden/>
          </w:rPr>
          <w:tab/>
        </w:r>
        <w:r w:rsidR="007D5D55">
          <w:rPr>
            <w:webHidden/>
          </w:rPr>
          <w:fldChar w:fldCharType="begin"/>
        </w:r>
        <w:r w:rsidR="007D5D55">
          <w:rPr>
            <w:webHidden/>
          </w:rPr>
          <w:instrText xml:space="preserve"> PAGEREF _Toc160184410 \h </w:instrText>
        </w:r>
        <w:r w:rsidR="007D5D55">
          <w:rPr>
            <w:webHidden/>
          </w:rPr>
        </w:r>
        <w:r w:rsidR="007D5D55">
          <w:rPr>
            <w:webHidden/>
          </w:rPr>
          <w:fldChar w:fldCharType="separate"/>
        </w:r>
        <w:r w:rsidR="00733FF4">
          <w:rPr>
            <w:webHidden/>
          </w:rPr>
          <w:t>2</w:t>
        </w:r>
        <w:r w:rsidR="007D5D55">
          <w:rPr>
            <w:webHidden/>
          </w:rPr>
          <w:fldChar w:fldCharType="end"/>
        </w:r>
      </w:hyperlink>
    </w:p>
    <w:p w14:paraId="1C27C599" w14:textId="1F5B609F" w:rsidR="007D5D55" w:rsidRDefault="00BD6DA4">
      <w:pPr>
        <w:pStyle w:val="TOC2"/>
        <w:rPr>
          <w:rFonts w:asciiTheme="minorHAnsi" w:eastAsiaTheme="minorEastAsia" w:hAnsiTheme="minorHAnsi" w:cstheme="minorBidi"/>
          <w:b w:val="0"/>
          <w:smallCaps w:val="0"/>
          <w:kern w:val="2"/>
          <w:sz w:val="22"/>
          <w:lang w:val="en-IE" w:eastAsia="en-IE"/>
          <w14:ligatures w14:val="standardContextual"/>
        </w:rPr>
      </w:pPr>
      <w:hyperlink w:anchor="_Toc160184411" w:history="1">
        <w:r w:rsidR="007D5D55" w:rsidRPr="00F456F8">
          <w:rPr>
            <w:rStyle w:val="Hyperlink"/>
            <w:bCs/>
          </w:rPr>
          <w:t>4.</w:t>
        </w:r>
        <w:r w:rsidR="007D5D55">
          <w:rPr>
            <w:rFonts w:asciiTheme="minorHAnsi" w:eastAsiaTheme="minorEastAsia" w:hAnsiTheme="minorHAnsi" w:cstheme="minorBidi"/>
            <w:b w:val="0"/>
            <w:smallCaps w:val="0"/>
            <w:kern w:val="2"/>
            <w:sz w:val="22"/>
            <w:lang w:val="en-IE" w:eastAsia="en-IE"/>
            <w14:ligatures w14:val="standardContextual"/>
          </w:rPr>
          <w:tab/>
        </w:r>
        <w:r w:rsidR="007D5D55" w:rsidRPr="00F456F8">
          <w:rPr>
            <w:rStyle w:val="Hyperlink"/>
          </w:rPr>
          <w:t>Opciók kezelése</w:t>
        </w:r>
        <w:r w:rsidR="007D5D55">
          <w:rPr>
            <w:webHidden/>
          </w:rPr>
          <w:tab/>
        </w:r>
        <w:r w:rsidR="007D5D55">
          <w:rPr>
            <w:webHidden/>
          </w:rPr>
          <w:fldChar w:fldCharType="begin"/>
        </w:r>
        <w:r w:rsidR="007D5D55">
          <w:rPr>
            <w:webHidden/>
          </w:rPr>
          <w:instrText xml:space="preserve"> PAGEREF _Toc160184411 \h </w:instrText>
        </w:r>
        <w:r w:rsidR="007D5D55">
          <w:rPr>
            <w:webHidden/>
          </w:rPr>
        </w:r>
        <w:r w:rsidR="007D5D55">
          <w:rPr>
            <w:webHidden/>
          </w:rPr>
          <w:fldChar w:fldCharType="separate"/>
        </w:r>
        <w:r w:rsidR="00733FF4">
          <w:rPr>
            <w:webHidden/>
          </w:rPr>
          <w:t>3</w:t>
        </w:r>
        <w:r w:rsidR="007D5D55">
          <w:rPr>
            <w:webHidden/>
          </w:rPr>
          <w:fldChar w:fldCharType="end"/>
        </w:r>
      </w:hyperlink>
    </w:p>
    <w:p w14:paraId="3CD4429E" w14:textId="1A61E58C" w:rsidR="007D5D55" w:rsidRDefault="00BD6DA4">
      <w:pPr>
        <w:pStyle w:val="TOC2"/>
        <w:rPr>
          <w:rFonts w:asciiTheme="minorHAnsi" w:eastAsiaTheme="minorEastAsia" w:hAnsiTheme="minorHAnsi" w:cstheme="minorBidi"/>
          <w:b w:val="0"/>
          <w:smallCaps w:val="0"/>
          <w:kern w:val="2"/>
          <w:sz w:val="22"/>
          <w:lang w:val="en-IE" w:eastAsia="en-IE"/>
          <w14:ligatures w14:val="standardContextual"/>
        </w:rPr>
      </w:pPr>
      <w:hyperlink w:anchor="_Toc160184412" w:history="1">
        <w:r w:rsidR="007D5D55" w:rsidRPr="00F456F8">
          <w:rPr>
            <w:rStyle w:val="Hyperlink"/>
            <w:bCs/>
          </w:rPr>
          <w:t>5.</w:t>
        </w:r>
        <w:r w:rsidR="007D5D55">
          <w:rPr>
            <w:rFonts w:asciiTheme="minorHAnsi" w:eastAsiaTheme="minorEastAsia" w:hAnsiTheme="minorHAnsi" w:cstheme="minorBidi"/>
            <w:b w:val="0"/>
            <w:smallCaps w:val="0"/>
            <w:kern w:val="2"/>
            <w:sz w:val="22"/>
            <w:lang w:val="en-IE" w:eastAsia="en-IE"/>
            <w14:ligatures w14:val="standardContextual"/>
          </w:rPr>
          <w:tab/>
        </w:r>
        <w:r w:rsidR="007D5D55" w:rsidRPr="00F456F8">
          <w:rPr>
            <w:rStyle w:val="Hyperlink"/>
          </w:rPr>
          <w:t>Előjelre vonatkozó szabályok</w:t>
        </w:r>
        <w:r w:rsidR="007D5D55">
          <w:rPr>
            <w:webHidden/>
          </w:rPr>
          <w:tab/>
        </w:r>
        <w:r w:rsidR="007D5D55">
          <w:rPr>
            <w:webHidden/>
          </w:rPr>
          <w:fldChar w:fldCharType="begin"/>
        </w:r>
        <w:r w:rsidR="007D5D55">
          <w:rPr>
            <w:webHidden/>
          </w:rPr>
          <w:instrText xml:space="preserve"> PAGEREF _Toc160184412 \h </w:instrText>
        </w:r>
        <w:r w:rsidR="007D5D55">
          <w:rPr>
            <w:webHidden/>
          </w:rPr>
        </w:r>
        <w:r w:rsidR="007D5D55">
          <w:rPr>
            <w:webHidden/>
          </w:rPr>
          <w:fldChar w:fldCharType="separate"/>
        </w:r>
        <w:r w:rsidR="00733FF4">
          <w:rPr>
            <w:webHidden/>
          </w:rPr>
          <w:t>3</w:t>
        </w:r>
        <w:r w:rsidR="007D5D55">
          <w:rPr>
            <w:webHidden/>
          </w:rPr>
          <w:fldChar w:fldCharType="end"/>
        </w:r>
      </w:hyperlink>
    </w:p>
    <w:p w14:paraId="360C7E8A" w14:textId="4FF20293" w:rsidR="007D5D55" w:rsidRDefault="00BD6DA4">
      <w:pPr>
        <w:pStyle w:val="TOC2"/>
        <w:rPr>
          <w:rFonts w:asciiTheme="minorHAnsi" w:eastAsiaTheme="minorEastAsia" w:hAnsiTheme="minorHAnsi" w:cstheme="minorBidi"/>
          <w:b w:val="0"/>
          <w:smallCaps w:val="0"/>
          <w:kern w:val="2"/>
          <w:sz w:val="22"/>
          <w:lang w:val="en-IE" w:eastAsia="en-IE"/>
          <w14:ligatures w14:val="standardContextual"/>
        </w:rPr>
      </w:pPr>
      <w:hyperlink w:anchor="_Toc160184413" w:history="1">
        <w:r w:rsidR="007D5D55" w:rsidRPr="00F456F8">
          <w:rPr>
            <w:rStyle w:val="Hyperlink"/>
            <w:bCs/>
          </w:rPr>
          <w:t>6.</w:t>
        </w:r>
        <w:r w:rsidR="007D5D55">
          <w:rPr>
            <w:rFonts w:asciiTheme="minorHAnsi" w:eastAsiaTheme="minorEastAsia" w:hAnsiTheme="minorHAnsi" w:cstheme="minorBidi"/>
            <w:b w:val="0"/>
            <w:smallCaps w:val="0"/>
            <w:kern w:val="2"/>
            <w:sz w:val="22"/>
            <w:lang w:val="en-IE" w:eastAsia="en-IE"/>
            <w14:ligatures w14:val="standardContextual"/>
          </w:rPr>
          <w:tab/>
        </w:r>
        <w:r w:rsidR="007D5D55" w:rsidRPr="00F456F8">
          <w:rPr>
            <w:rStyle w:val="Hyperlink"/>
          </w:rPr>
          <w:t>Rövidítések</w:t>
        </w:r>
        <w:r w:rsidR="007D5D55">
          <w:rPr>
            <w:webHidden/>
          </w:rPr>
          <w:tab/>
        </w:r>
        <w:r w:rsidR="007D5D55">
          <w:rPr>
            <w:webHidden/>
          </w:rPr>
          <w:fldChar w:fldCharType="begin"/>
        </w:r>
        <w:r w:rsidR="007D5D55">
          <w:rPr>
            <w:webHidden/>
          </w:rPr>
          <w:instrText xml:space="preserve"> PAGEREF _Toc160184413 \h </w:instrText>
        </w:r>
        <w:r w:rsidR="007D5D55">
          <w:rPr>
            <w:webHidden/>
          </w:rPr>
        </w:r>
        <w:r w:rsidR="007D5D55">
          <w:rPr>
            <w:webHidden/>
          </w:rPr>
          <w:fldChar w:fldCharType="separate"/>
        </w:r>
        <w:r w:rsidR="00733FF4">
          <w:rPr>
            <w:webHidden/>
          </w:rPr>
          <w:t>4</w:t>
        </w:r>
        <w:r w:rsidR="007D5D55">
          <w:rPr>
            <w:webHidden/>
          </w:rPr>
          <w:fldChar w:fldCharType="end"/>
        </w:r>
      </w:hyperlink>
    </w:p>
    <w:p w14:paraId="185F577E" w14:textId="142979BD" w:rsidR="007D5D55" w:rsidRDefault="00BD6DA4">
      <w:pPr>
        <w:pStyle w:val="TOC2"/>
        <w:rPr>
          <w:rFonts w:asciiTheme="minorHAnsi" w:eastAsiaTheme="minorEastAsia" w:hAnsiTheme="minorHAnsi" w:cstheme="minorBidi"/>
          <w:b w:val="0"/>
          <w:smallCaps w:val="0"/>
          <w:kern w:val="2"/>
          <w:sz w:val="22"/>
          <w:lang w:val="en-IE" w:eastAsia="en-IE"/>
          <w14:ligatures w14:val="standardContextual"/>
        </w:rPr>
      </w:pPr>
      <w:hyperlink w:anchor="_Toc160184414" w:history="1">
        <w:r w:rsidR="007D5D55" w:rsidRPr="00F456F8">
          <w:rPr>
            <w:rStyle w:val="Hyperlink"/>
          </w:rPr>
          <w:t>7.</w:t>
        </w:r>
        <w:r w:rsidR="007D5D55">
          <w:rPr>
            <w:rFonts w:asciiTheme="minorHAnsi" w:eastAsiaTheme="minorEastAsia" w:hAnsiTheme="minorHAnsi" w:cstheme="minorBidi"/>
            <w:b w:val="0"/>
            <w:smallCaps w:val="0"/>
            <w:kern w:val="2"/>
            <w:sz w:val="22"/>
            <w:lang w:val="en-IE" w:eastAsia="en-IE"/>
            <w14:ligatures w14:val="standardContextual"/>
          </w:rPr>
          <w:tab/>
        </w:r>
        <w:r w:rsidR="007D5D55" w:rsidRPr="00F456F8">
          <w:rPr>
            <w:rStyle w:val="Hyperlink"/>
          </w:rPr>
          <w:t>Egyéb szabályok</w:t>
        </w:r>
        <w:r w:rsidR="007D5D55">
          <w:rPr>
            <w:webHidden/>
          </w:rPr>
          <w:tab/>
        </w:r>
        <w:r w:rsidR="007D5D55">
          <w:rPr>
            <w:webHidden/>
          </w:rPr>
          <w:fldChar w:fldCharType="begin"/>
        </w:r>
        <w:r w:rsidR="007D5D55">
          <w:rPr>
            <w:webHidden/>
          </w:rPr>
          <w:instrText xml:space="preserve"> PAGEREF _Toc160184414 \h </w:instrText>
        </w:r>
        <w:r w:rsidR="007D5D55">
          <w:rPr>
            <w:webHidden/>
          </w:rPr>
        </w:r>
        <w:r w:rsidR="007D5D55">
          <w:rPr>
            <w:webHidden/>
          </w:rPr>
          <w:fldChar w:fldCharType="separate"/>
        </w:r>
        <w:r w:rsidR="00733FF4">
          <w:rPr>
            <w:webHidden/>
          </w:rPr>
          <w:t>4</w:t>
        </w:r>
        <w:r w:rsidR="007D5D55">
          <w:rPr>
            <w:webHidden/>
          </w:rPr>
          <w:fldChar w:fldCharType="end"/>
        </w:r>
      </w:hyperlink>
    </w:p>
    <w:p w14:paraId="1CAC2AB5" w14:textId="4C8DFF2F" w:rsidR="007D5D55" w:rsidRDefault="00BD6DA4">
      <w:pPr>
        <w:pStyle w:val="TOC2"/>
        <w:rPr>
          <w:rFonts w:asciiTheme="minorHAnsi" w:eastAsiaTheme="minorEastAsia" w:hAnsiTheme="minorHAnsi" w:cstheme="minorBidi"/>
          <w:b w:val="0"/>
          <w:smallCaps w:val="0"/>
          <w:kern w:val="2"/>
          <w:sz w:val="22"/>
          <w:lang w:val="en-IE" w:eastAsia="en-IE"/>
          <w14:ligatures w14:val="standardContextual"/>
        </w:rPr>
      </w:pPr>
      <w:hyperlink w:anchor="_Toc160184415" w:history="1">
        <w:r w:rsidR="007D5D55" w:rsidRPr="00F456F8">
          <w:rPr>
            <w:rStyle w:val="Hyperlink"/>
          </w:rPr>
          <w:t>II. RÉSZ: A BANKI KÖNYVI KAMATLÁBKOCKÁZAT (IRRBB) ÉRTÉKELÉSE: A TŐKE GAZDASÁGI ÉRTÉKÉRE (EVE) ÉS A NETTÓ KAMATBEVÉTELRE (NII) VONATKOZÓ FELÜGYELETI KIUGRÓÉRTÉK-TESZT (SOT) ÉS A PIACI ÉRTÉK (MV) VÁLTOZÁSAI (J 01.00)</w:t>
        </w:r>
        <w:r w:rsidR="007D5D55">
          <w:rPr>
            <w:webHidden/>
          </w:rPr>
          <w:tab/>
        </w:r>
        <w:r w:rsidR="007D5D55">
          <w:rPr>
            <w:webHidden/>
          </w:rPr>
          <w:fldChar w:fldCharType="begin"/>
        </w:r>
        <w:r w:rsidR="007D5D55">
          <w:rPr>
            <w:webHidden/>
          </w:rPr>
          <w:instrText xml:space="preserve"> PAGEREF _Toc160184415 \h </w:instrText>
        </w:r>
        <w:r w:rsidR="007D5D55">
          <w:rPr>
            <w:webHidden/>
          </w:rPr>
        </w:r>
        <w:r w:rsidR="007D5D55">
          <w:rPr>
            <w:webHidden/>
          </w:rPr>
          <w:fldChar w:fldCharType="separate"/>
        </w:r>
        <w:r w:rsidR="00733FF4">
          <w:rPr>
            <w:webHidden/>
          </w:rPr>
          <w:t>5</w:t>
        </w:r>
        <w:r w:rsidR="007D5D55">
          <w:rPr>
            <w:webHidden/>
          </w:rPr>
          <w:fldChar w:fldCharType="end"/>
        </w:r>
      </w:hyperlink>
    </w:p>
    <w:p w14:paraId="13EF227F" w14:textId="18637DC6" w:rsidR="007D5D55" w:rsidRDefault="00BD6DA4">
      <w:pPr>
        <w:pStyle w:val="TOC2"/>
        <w:rPr>
          <w:rFonts w:asciiTheme="minorHAnsi" w:eastAsiaTheme="minorEastAsia" w:hAnsiTheme="minorHAnsi" w:cstheme="minorBidi"/>
          <w:b w:val="0"/>
          <w:smallCaps w:val="0"/>
          <w:kern w:val="2"/>
          <w:sz w:val="22"/>
          <w:lang w:val="en-IE" w:eastAsia="en-IE"/>
          <w14:ligatures w14:val="standardContextual"/>
        </w:rPr>
      </w:pPr>
      <w:hyperlink w:anchor="_Toc160184416" w:history="1">
        <w:r w:rsidR="007D5D55" w:rsidRPr="00F456F8">
          <w:rPr>
            <w:rStyle w:val="Hyperlink"/>
          </w:rPr>
          <w:t>1.</w:t>
        </w:r>
        <w:r w:rsidR="007D5D55">
          <w:rPr>
            <w:rFonts w:asciiTheme="minorHAnsi" w:eastAsiaTheme="minorEastAsia" w:hAnsiTheme="minorHAnsi" w:cstheme="minorBidi"/>
            <w:b w:val="0"/>
            <w:smallCaps w:val="0"/>
            <w:kern w:val="2"/>
            <w:sz w:val="22"/>
            <w:lang w:val="en-IE" w:eastAsia="en-IE"/>
            <w14:ligatures w14:val="standardContextual"/>
          </w:rPr>
          <w:tab/>
        </w:r>
        <w:r w:rsidR="007D5D55" w:rsidRPr="00F456F8">
          <w:rPr>
            <w:rStyle w:val="Hyperlink"/>
          </w:rPr>
          <w:t>Általános megjegyzések</w:t>
        </w:r>
        <w:r w:rsidR="007D5D55">
          <w:rPr>
            <w:webHidden/>
          </w:rPr>
          <w:tab/>
        </w:r>
        <w:r w:rsidR="007D5D55">
          <w:rPr>
            <w:webHidden/>
          </w:rPr>
          <w:fldChar w:fldCharType="begin"/>
        </w:r>
        <w:r w:rsidR="007D5D55">
          <w:rPr>
            <w:webHidden/>
          </w:rPr>
          <w:instrText xml:space="preserve"> PAGEREF _Toc160184416 \h </w:instrText>
        </w:r>
        <w:r w:rsidR="007D5D55">
          <w:rPr>
            <w:webHidden/>
          </w:rPr>
        </w:r>
        <w:r w:rsidR="007D5D55">
          <w:rPr>
            <w:webHidden/>
          </w:rPr>
          <w:fldChar w:fldCharType="separate"/>
        </w:r>
        <w:r w:rsidR="00733FF4">
          <w:rPr>
            <w:webHidden/>
          </w:rPr>
          <w:t>5</w:t>
        </w:r>
        <w:r w:rsidR="007D5D55">
          <w:rPr>
            <w:webHidden/>
          </w:rPr>
          <w:fldChar w:fldCharType="end"/>
        </w:r>
      </w:hyperlink>
    </w:p>
    <w:p w14:paraId="580B1337" w14:textId="24791BFC" w:rsidR="007D5D55" w:rsidRDefault="00BD6DA4">
      <w:pPr>
        <w:pStyle w:val="TOC2"/>
        <w:rPr>
          <w:rFonts w:asciiTheme="minorHAnsi" w:eastAsiaTheme="minorEastAsia" w:hAnsiTheme="minorHAnsi" w:cstheme="minorBidi"/>
          <w:b w:val="0"/>
          <w:smallCaps w:val="0"/>
          <w:kern w:val="2"/>
          <w:sz w:val="22"/>
          <w:lang w:val="en-IE" w:eastAsia="en-IE"/>
          <w14:ligatures w14:val="standardContextual"/>
        </w:rPr>
      </w:pPr>
      <w:hyperlink w:anchor="_Toc160184417" w:history="1">
        <w:r w:rsidR="007D5D55" w:rsidRPr="00F456F8">
          <w:rPr>
            <w:rStyle w:val="Hyperlink"/>
          </w:rPr>
          <w:t>2.</w:t>
        </w:r>
        <w:r w:rsidR="007D5D55">
          <w:rPr>
            <w:rFonts w:asciiTheme="minorHAnsi" w:eastAsiaTheme="minorEastAsia" w:hAnsiTheme="minorHAnsi" w:cstheme="minorBidi"/>
            <w:b w:val="0"/>
            <w:smallCaps w:val="0"/>
            <w:kern w:val="2"/>
            <w:sz w:val="22"/>
            <w:lang w:val="en-IE" w:eastAsia="en-IE"/>
            <w14:ligatures w14:val="standardContextual"/>
          </w:rPr>
          <w:tab/>
        </w:r>
        <w:r w:rsidR="007D5D55" w:rsidRPr="00F456F8">
          <w:rPr>
            <w:rStyle w:val="Hyperlink"/>
          </w:rPr>
          <w:t>A tábla egyes részeire vonatkozó útmutatások</w:t>
        </w:r>
        <w:r w:rsidR="007D5D55">
          <w:rPr>
            <w:webHidden/>
          </w:rPr>
          <w:tab/>
        </w:r>
        <w:r w:rsidR="007D5D55">
          <w:rPr>
            <w:webHidden/>
          </w:rPr>
          <w:fldChar w:fldCharType="begin"/>
        </w:r>
        <w:r w:rsidR="007D5D55">
          <w:rPr>
            <w:webHidden/>
          </w:rPr>
          <w:instrText xml:space="preserve"> PAGEREF _Toc160184417 \h </w:instrText>
        </w:r>
        <w:r w:rsidR="007D5D55">
          <w:rPr>
            <w:webHidden/>
          </w:rPr>
        </w:r>
        <w:r w:rsidR="007D5D55">
          <w:rPr>
            <w:webHidden/>
          </w:rPr>
          <w:fldChar w:fldCharType="separate"/>
        </w:r>
        <w:r w:rsidR="00733FF4">
          <w:rPr>
            <w:webHidden/>
          </w:rPr>
          <w:t>5</w:t>
        </w:r>
        <w:r w:rsidR="007D5D55">
          <w:rPr>
            <w:webHidden/>
          </w:rPr>
          <w:fldChar w:fldCharType="end"/>
        </w:r>
      </w:hyperlink>
    </w:p>
    <w:p w14:paraId="3BECFDD9" w14:textId="2C6B1655" w:rsidR="007D5D55" w:rsidRDefault="00BD6DA4">
      <w:pPr>
        <w:pStyle w:val="TOC2"/>
        <w:rPr>
          <w:rFonts w:asciiTheme="minorHAnsi" w:eastAsiaTheme="minorEastAsia" w:hAnsiTheme="minorHAnsi" w:cstheme="minorBidi"/>
          <w:b w:val="0"/>
          <w:smallCaps w:val="0"/>
          <w:kern w:val="2"/>
          <w:sz w:val="22"/>
          <w:lang w:val="en-IE" w:eastAsia="en-IE"/>
          <w14:ligatures w14:val="standardContextual"/>
        </w:rPr>
      </w:pPr>
      <w:hyperlink w:anchor="_Toc160184418" w:history="1">
        <w:r w:rsidR="007D5D55" w:rsidRPr="00F456F8">
          <w:rPr>
            <w:rStyle w:val="Hyperlink"/>
          </w:rPr>
          <w:t>III. RÉSZ: AZ ÉRZÉKENYSÉGRE VONATKOZÓ BECSLÉSEK BONTÁSA (J 02.00, J 03.00 és J 04.00)</w:t>
        </w:r>
        <w:r w:rsidR="007D5D55">
          <w:rPr>
            <w:webHidden/>
          </w:rPr>
          <w:tab/>
        </w:r>
        <w:r w:rsidR="007D5D55">
          <w:rPr>
            <w:webHidden/>
          </w:rPr>
          <w:fldChar w:fldCharType="begin"/>
        </w:r>
        <w:r w:rsidR="007D5D55">
          <w:rPr>
            <w:webHidden/>
          </w:rPr>
          <w:instrText xml:space="preserve"> PAGEREF _Toc160184418 \h </w:instrText>
        </w:r>
        <w:r w:rsidR="007D5D55">
          <w:rPr>
            <w:webHidden/>
          </w:rPr>
        </w:r>
        <w:r w:rsidR="007D5D55">
          <w:rPr>
            <w:webHidden/>
          </w:rPr>
          <w:fldChar w:fldCharType="separate"/>
        </w:r>
        <w:r w:rsidR="00733FF4">
          <w:rPr>
            <w:webHidden/>
          </w:rPr>
          <w:t>11</w:t>
        </w:r>
        <w:r w:rsidR="007D5D55">
          <w:rPr>
            <w:webHidden/>
          </w:rPr>
          <w:fldChar w:fldCharType="end"/>
        </w:r>
      </w:hyperlink>
    </w:p>
    <w:p w14:paraId="0DD331A5" w14:textId="1999E20D" w:rsidR="007D5D55" w:rsidRDefault="00BD6DA4">
      <w:pPr>
        <w:pStyle w:val="TOC2"/>
        <w:rPr>
          <w:rFonts w:asciiTheme="minorHAnsi" w:eastAsiaTheme="minorEastAsia" w:hAnsiTheme="minorHAnsi" w:cstheme="minorBidi"/>
          <w:b w:val="0"/>
          <w:smallCaps w:val="0"/>
          <w:kern w:val="2"/>
          <w:sz w:val="22"/>
          <w:lang w:val="en-IE" w:eastAsia="en-IE"/>
          <w14:ligatures w14:val="standardContextual"/>
        </w:rPr>
      </w:pPr>
      <w:hyperlink w:anchor="_Toc160184419" w:history="1">
        <w:r w:rsidR="007D5D55" w:rsidRPr="00F456F8">
          <w:rPr>
            <w:rStyle w:val="Hyperlink"/>
          </w:rPr>
          <w:t>1.</w:t>
        </w:r>
        <w:r w:rsidR="007D5D55">
          <w:rPr>
            <w:rFonts w:asciiTheme="minorHAnsi" w:eastAsiaTheme="minorEastAsia" w:hAnsiTheme="minorHAnsi" w:cstheme="minorBidi"/>
            <w:b w:val="0"/>
            <w:smallCaps w:val="0"/>
            <w:kern w:val="2"/>
            <w:sz w:val="22"/>
            <w:lang w:val="en-IE" w:eastAsia="en-IE"/>
            <w14:ligatures w14:val="standardContextual"/>
          </w:rPr>
          <w:tab/>
        </w:r>
        <w:r w:rsidR="007D5D55" w:rsidRPr="00F456F8">
          <w:rPr>
            <w:rStyle w:val="Hyperlink"/>
          </w:rPr>
          <w:t>Általános megjegyzések</w:t>
        </w:r>
        <w:r w:rsidR="007D5D55">
          <w:rPr>
            <w:webHidden/>
          </w:rPr>
          <w:tab/>
        </w:r>
        <w:r w:rsidR="007D5D55">
          <w:rPr>
            <w:webHidden/>
          </w:rPr>
          <w:fldChar w:fldCharType="begin"/>
        </w:r>
        <w:r w:rsidR="007D5D55">
          <w:rPr>
            <w:webHidden/>
          </w:rPr>
          <w:instrText xml:space="preserve"> PAGEREF _Toc160184419 \h </w:instrText>
        </w:r>
        <w:r w:rsidR="007D5D55">
          <w:rPr>
            <w:webHidden/>
          </w:rPr>
        </w:r>
        <w:r w:rsidR="007D5D55">
          <w:rPr>
            <w:webHidden/>
          </w:rPr>
          <w:fldChar w:fldCharType="separate"/>
        </w:r>
        <w:r w:rsidR="00733FF4">
          <w:rPr>
            <w:webHidden/>
          </w:rPr>
          <w:t>11</w:t>
        </w:r>
        <w:r w:rsidR="007D5D55">
          <w:rPr>
            <w:webHidden/>
          </w:rPr>
          <w:fldChar w:fldCharType="end"/>
        </w:r>
      </w:hyperlink>
    </w:p>
    <w:p w14:paraId="7A24492D" w14:textId="73438D54" w:rsidR="007D5D55" w:rsidRDefault="00BD6DA4">
      <w:pPr>
        <w:pStyle w:val="TOC2"/>
        <w:rPr>
          <w:rFonts w:asciiTheme="minorHAnsi" w:eastAsiaTheme="minorEastAsia" w:hAnsiTheme="minorHAnsi" w:cstheme="minorBidi"/>
          <w:b w:val="0"/>
          <w:smallCaps w:val="0"/>
          <w:kern w:val="2"/>
          <w:sz w:val="22"/>
          <w:lang w:val="en-IE" w:eastAsia="en-IE"/>
          <w14:ligatures w14:val="standardContextual"/>
        </w:rPr>
      </w:pPr>
      <w:hyperlink w:anchor="_Toc160184420" w:history="1">
        <w:r w:rsidR="007D5D55" w:rsidRPr="00F456F8">
          <w:rPr>
            <w:rStyle w:val="Hyperlink"/>
          </w:rPr>
          <w:t>2.</w:t>
        </w:r>
        <w:r w:rsidR="007D5D55">
          <w:rPr>
            <w:rFonts w:asciiTheme="minorHAnsi" w:eastAsiaTheme="minorEastAsia" w:hAnsiTheme="minorHAnsi" w:cstheme="minorBidi"/>
            <w:b w:val="0"/>
            <w:smallCaps w:val="0"/>
            <w:kern w:val="2"/>
            <w:sz w:val="22"/>
            <w:lang w:val="en-IE" w:eastAsia="en-IE"/>
            <w14:ligatures w14:val="standardContextual"/>
          </w:rPr>
          <w:tab/>
        </w:r>
        <w:r w:rsidR="007D5D55" w:rsidRPr="00F456F8">
          <w:rPr>
            <w:rStyle w:val="Hyperlink"/>
          </w:rPr>
          <w:t>A táblák egyes részeire vonatkozó útmutatások</w:t>
        </w:r>
        <w:r w:rsidR="007D5D55">
          <w:rPr>
            <w:webHidden/>
          </w:rPr>
          <w:tab/>
        </w:r>
        <w:r w:rsidR="007D5D55">
          <w:rPr>
            <w:webHidden/>
          </w:rPr>
          <w:fldChar w:fldCharType="begin"/>
        </w:r>
        <w:r w:rsidR="007D5D55">
          <w:rPr>
            <w:webHidden/>
          </w:rPr>
          <w:instrText xml:space="preserve"> PAGEREF _Toc160184420 \h </w:instrText>
        </w:r>
        <w:r w:rsidR="007D5D55">
          <w:rPr>
            <w:webHidden/>
          </w:rPr>
        </w:r>
        <w:r w:rsidR="007D5D55">
          <w:rPr>
            <w:webHidden/>
          </w:rPr>
          <w:fldChar w:fldCharType="separate"/>
        </w:r>
        <w:r w:rsidR="00733FF4">
          <w:rPr>
            <w:webHidden/>
          </w:rPr>
          <w:t>11</w:t>
        </w:r>
        <w:r w:rsidR="007D5D55">
          <w:rPr>
            <w:webHidden/>
          </w:rPr>
          <w:fldChar w:fldCharType="end"/>
        </w:r>
      </w:hyperlink>
    </w:p>
    <w:p w14:paraId="5D183310" w14:textId="5219D4BF" w:rsidR="007D5D55" w:rsidRDefault="00BD6DA4">
      <w:pPr>
        <w:pStyle w:val="TOC2"/>
        <w:rPr>
          <w:rFonts w:asciiTheme="minorHAnsi" w:eastAsiaTheme="minorEastAsia" w:hAnsiTheme="minorHAnsi" w:cstheme="minorBidi"/>
          <w:b w:val="0"/>
          <w:smallCaps w:val="0"/>
          <w:kern w:val="2"/>
          <w:sz w:val="22"/>
          <w:lang w:val="en-IE" w:eastAsia="en-IE"/>
          <w14:ligatures w14:val="standardContextual"/>
        </w:rPr>
      </w:pPr>
      <w:hyperlink w:anchor="_Toc160184421" w:history="1">
        <w:r w:rsidR="007D5D55" w:rsidRPr="00F456F8">
          <w:rPr>
            <w:rStyle w:val="Hyperlink"/>
          </w:rPr>
          <w:t>IV. RÉSZ: ÁTÁRAZÓDÓ PÉNZÁRAMLÁSOK (J 05.00, J 06.00 és J 07.00)</w:t>
        </w:r>
        <w:r w:rsidR="007D5D55">
          <w:rPr>
            <w:webHidden/>
          </w:rPr>
          <w:tab/>
        </w:r>
        <w:r w:rsidR="007D5D55">
          <w:rPr>
            <w:webHidden/>
          </w:rPr>
          <w:fldChar w:fldCharType="begin"/>
        </w:r>
        <w:r w:rsidR="007D5D55">
          <w:rPr>
            <w:webHidden/>
          </w:rPr>
          <w:instrText xml:space="preserve"> PAGEREF _Toc160184421 \h </w:instrText>
        </w:r>
        <w:r w:rsidR="007D5D55">
          <w:rPr>
            <w:webHidden/>
          </w:rPr>
        </w:r>
        <w:r w:rsidR="007D5D55">
          <w:rPr>
            <w:webHidden/>
          </w:rPr>
          <w:fldChar w:fldCharType="separate"/>
        </w:r>
        <w:r w:rsidR="00733FF4">
          <w:rPr>
            <w:webHidden/>
          </w:rPr>
          <w:t>22</w:t>
        </w:r>
        <w:r w:rsidR="007D5D55">
          <w:rPr>
            <w:webHidden/>
          </w:rPr>
          <w:fldChar w:fldCharType="end"/>
        </w:r>
      </w:hyperlink>
    </w:p>
    <w:p w14:paraId="046BE66D" w14:textId="53CB6402" w:rsidR="007D5D55" w:rsidRDefault="00BD6DA4">
      <w:pPr>
        <w:pStyle w:val="TOC2"/>
        <w:rPr>
          <w:rFonts w:asciiTheme="minorHAnsi" w:eastAsiaTheme="minorEastAsia" w:hAnsiTheme="minorHAnsi" w:cstheme="minorBidi"/>
          <w:b w:val="0"/>
          <w:smallCaps w:val="0"/>
          <w:kern w:val="2"/>
          <w:sz w:val="22"/>
          <w:lang w:val="en-IE" w:eastAsia="en-IE"/>
          <w14:ligatures w14:val="standardContextual"/>
        </w:rPr>
      </w:pPr>
      <w:hyperlink w:anchor="_Toc160184422" w:history="1">
        <w:r w:rsidR="007D5D55" w:rsidRPr="00F456F8">
          <w:rPr>
            <w:rStyle w:val="Hyperlink"/>
          </w:rPr>
          <w:t>1.</w:t>
        </w:r>
        <w:r w:rsidR="007D5D55">
          <w:rPr>
            <w:rFonts w:asciiTheme="minorHAnsi" w:eastAsiaTheme="minorEastAsia" w:hAnsiTheme="minorHAnsi" w:cstheme="minorBidi"/>
            <w:b w:val="0"/>
            <w:smallCaps w:val="0"/>
            <w:kern w:val="2"/>
            <w:sz w:val="22"/>
            <w:lang w:val="en-IE" w:eastAsia="en-IE"/>
            <w14:ligatures w14:val="standardContextual"/>
          </w:rPr>
          <w:tab/>
        </w:r>
        <w:r w:rsidR="007D5D55" w:rsidRPr="00F456F8">
          <w:rPr>
            <w:rStyle w:val="Hyperlink"/>
          </w:rPr>
          <w:t>Általános megjegyzések</w:t>
        </w:r>
        <w:r w:rsidR="007D5D55">
          <w:rPr>
            <w:webHidden/>
          </w:rPr>
          <w:tab/>
        </w:r>
        <w:r w:rsidR="007D5D55">
          <w:rPr>
            <w:webHidden/>
          </w:rPr>
          <w:fldChar w:fldCharType="begin"/>
        </w:r>
        <w:r w:rsidR="007D5D55">
          <w:rPr>
            <w:webHidden/>
          </w:rPr>
          <w:instrText xml:space="preserve"> PAGEREF _Toc160184422 \h </w:instrText>
        </w:r>
        <w:r w:rsidR="007D5D55">
          <w:rPr>
            <w:webHidden/>
          </w:rPr>
        </w:r>
        <w:r w:rsidR="007D5D55">
          <w:rPr>
            <w:webHidden/>
          </w:rPr>
          <w:fldChar w:fldCharType="separate"/>
        </w:r>
        <w:r w:rsidR="00733FF4">
          <w:rPr>
            <w:webHidden/>
          </w:rPr>
          <w:t>22</w:t>
        </w:r>
        <w:r w:rsidR="007D5D55">
          <w:rPr>
            <w:webHidden/>
          </w:rPr>
          <w:fldChar w:fldCharType="end"/>
        </w:r>
      </w:hyperlink>
    </w:p>
    <w:p w14:paraId="3A738F82" w14:textId="747442ED" w:rsidR="007D5D55" w:rsidRDefault="00BD6DA4">
      <w:pPr>
        <w:pStyle w:val="TOC2"/>
        <w:rPr>
          <w:rFonts w:asciiTheme="minorHAnsi" w:eastAsiaTheme="minorEastAsia" w:hAnsiTheme="minorHAnsi" w:cstheme="minorBidi"/>
          <w:b w:val="0"/>
          <w:smallCaps w:val="0"/>
          <w:kern w:val="2"/>
          <w:sz w:val="22"/>
          <w:lang w:val="en-IE" w:eastAsia="en-IE"/>
          <w14:ligatures w14:val="standardContextual"/>
        </w:rPr>
      </w:pPr>
      <w:hyperlink w:anchor="_Toc160184423" w:history="1">
        <w:r w:rsidR="007D5D55" w:rsidRPr="00F456F8">
          <w:rPr>
            <w:rStyle w:val="Hyperlink"/>
          </w:rPr>
          <w:t>2.</w:t>
        </w:r>
        <w:r w:rsidR="007D5D55">
          <w:rPr>
            <w:rFonts w:asciiTheme="minorHAnsi" w:eastAsiaTheme="minorEastAsia" w:hAnsiTheme="minorHAnsi" w:cstheme="minorBidi"/>
            <w:b w:val="0"/>
            <w:smallCaps w:val="0"/>
            <w:kern w:val="2"/>
            <w:sz w:val="22"/>
            <w:lang w:val="en-IE" w:eastAsia="en-IE"/>
            <w14:ligatures w14:val="standardContextual"/>
          </w:rPr>
          <w:tab/>
        </w:r>
        <w:r w:rsidR="007D5D55" w:rsidRPr="00F456F8">
          <w:rPr>
            <w:rStyle w:val="Hyperlink"/>
          </w:rPr>
          <w:t>A táblák egyes részeire vonatkozó útmutatások</w:t>
        </w:r>
        <w:r w:rsidR="007D5D55">
          <w:rPr>
            <w:webHidden/>
          </w:rPr>
          <w:tab/>
        </w:r>
        <w:r w:rsidR="007D5D55">
          <w:rPr>
            <w:webHidden/>
          </w:rPr>
          <w:fldChar w:fldCharType="begin"/>
        </w:r>
        <w:r w:rsidR="007D5D55">
          <w:rPr>
            <w:webHidden/>
          </w:rPr>
          <w:instrText xml:space="preserve"> PAGEREF _Toc160184423 \h </w:instrText>
        </w:r>
        <w:r w:rsidR="007D5D55">
          <w:rPr>
            <w:webHidden/>
          </w:rPr>
        </w:r>
        <w:r w:rsidR="007D5D55">
          <w:rPr>
            <w:webHidden/>
          </w:rPr>
          <w:fldChar w:fldCharType="separate"/>
        </w:r>
        <w:r w:rsidR="00733FF4">
          <w:rPr>
            <w:webHidden/>
          </w:rPr>
          <w:t>23</w:t>
        </w:r>
        <w:r w:rsidR="007D5D55">
          <w:rPr>
            <w:webHidden/>
          </w:rPr>
          <w:fldChar w:fldCharType="end"/>
        </w:r>
      </w:hyperlink>
    </w:p>
    <w:p w14:paraId="7E5532A2" w14:textId="328E537F" w:rsidR="007D5D55" w:rsidRDefault="00BD6DA4">
      <w:pPr>
        <w:pStyle w:val="TOC2"/>
        <w:rPr>
          <w:rFonts w:asciiTheme="minorHAnsi" w:eastAsiaTheme="minorEastAsia" w:hAnsiTheme="minorHAnsi" w:cstheme="minorBidi"/>
          <w:b w:val="0"/>
          <w:smallCaps w:val="0"/>
          <w:kern w:val="2"/>
          <w:sz w:val="22"/>
          <w:lang w:val="en-IE" w:eastAsia="en-IE"/>
          <w14:ligatures w14:val="standardContextual"/>
        </w:rPr>
      </w:pPr>
      <w:hyperlink w:anchor="_Toc160184424" w:history="1">
        <w:r w:rsidR="007D5D55" w:rsidRPr="00F456F8">
          <w:rPr>
            <w:rStyle w:val="Hyperlink"/>
          </w:rPr>
          <w:t>V. RÉSZ: RELEVÁNS PARAMÉTEREK (J 08.00 és J 09.00)</w:t>
        </w:r>
        <w:r w:rsidR="007D5D55">
          <w:rPr>
            <w:webHidden/>
          </w:rPr>
          <w:tab/>
        </w:r>
        <w:r w:rsidR="007D5D55">
          <w:rPr>
            <w:webHidden/>
          </w:rPr>
          <w:fldChar w:fldCharType="begin"/>
        </w:r>
        <w:r w:rsidR="007D5D55">
          <w:rPr>
            <w:webHidden/>
          </w:rPr>
          <w:instrText xml:space="preserve"> PAGEREF _Toc160184424 \h </w:instrText>
        </w:r>
        <w:r w:rsidR="007D5D55">
          <w:rPr>
            <w:webHidden/>
          </w:rPr>
        </w:r>
        <w:r w:rsidR="007D5D55">
          <w:rPr>
            <w:webHidden/>
          </w:rPr>
          <w:fldChar w:fldCharType="separate"/>
        </w:r>
        <w:r w:rsidR="00733FF4">
          <w:rPr>
            <w:webHidden/>
          </w:rPr>
          <w:t>26</w:t>
        </w:r>
        <w:r w:rsidR="007D5D55">
          <w:rPr>
            <w:webHidden/>
          </w:rPr>
          <w:fldChar w:fldCharType="end"/>
        </w:r>
      </w:hyperlink>
    </w:p>
    <w:p w14:paraId="25846AD6" w14:textId="5F7BBB4C" w:rsidR="007D5D55" w:rsidRDefault="00BD6DA4">
      <w:pPr>
        <w:pStyle w:val="TOC2"/>
        <w:rPr>
          <w:rFonts w:asciiTheme="minorHAnsi" w:eastAsiaTheme="minorEastAsia" w:hAnsiTheme="minorHAnsi" w:cstheme="minorBidi"/>
          <w:b w:val="0"/>
          <w:smallCaps w:val="0"/>
          <w:kern w:val="2"/>
          <w:sz w:val="22"/>
          <w:lang w:val="en-IE" w:eastAsia="en-IE"/>
          <w14:ligatures w14:val="standardContextual"/>
        </w:rPr>
      </w:pPr>
      <w:hyperlink w:anchor="_Toc160184425" w:history="1">
        <w:r w:rsidR="007D5D55" w:rsidRPr="00F456F8">
          <w:rPr>
            <w:rStyle w:val="Hyperlink"/>
          </w:rPr>
          <w:t>1.</w:t>
        </w:r>
        <w:r w:rsidR="007D5D55">
          <w:rPr>
            <w:rFonts w:asciiTheme="minorHAnsi" w:eastAsiaTheme="minorEastAsia" w:hAnsiTheme="minorHAnsi" w:cstheme="minorBidi"/>
            <w:b w:val="0"/>
            <w:smallCaps w:val="0"/>
            <w:kern w:val="2"/>
            <w:sz w:val="22"/>
            <w:lang w:val="en-IE" w:eastAsia="en-IE"/>
            <w14:ligatures w14:val="standardContextual"/>
          </w:rPr>
          <w:tab/>
        </w:r>
        <w:r w:rsidR="007D5D55" w:rsidRPr="00F456F8">
          <w:rPr>
            <w:rStyle w:val="Hyperlink"/>
          </w:rPr>
          <w:t>Általános megjegyzések</w:t>
        </w:r>
        <w:r w:rsidR="007D5D55">
          <w:rPr>
            <w:webHidden/>
          </w:rPr>
          <w:tab/>
        </w:r>
        <w:r w:rsidR="007D5D55">
          <w:rPr>
            <w:webHidden/>
          </w:rPr>
          <w:fldChar w:fldCharType="begin"/>
        </w:r>
        <w:r w:rsidR="007D5D55">
          <w:rPr>
            <w:webHidden/>
          </w:rPr>
          <w:instrText xml:space="preserve"> PAGEREF _Toc160184425 \h </w:instrText>
        </w:r>
        <w:r w:rsidR="007D5D55">
          <w:rPr>
            <w:webHidden/>
          </w:rPr>
        </w:r>
        <w:r w:rsidR="007D5D55">
          <w:rPr>
            <w:webHidden/>
          </w:rPr>
          <w:fldChar w:fldCharType="separate"/>
        </w:r>
        <w:r w:rsidR="00733FF4">
          <w:rPr>
            <w:webHidden/>
          </w:rPr>
          <w:t>26</w:t>
        </w:r>
        <w:r w:rsidR="007D5D55">
          <w:rPr>
            <w:webHidden/>
          </w:rPr>
          <w:fldChar w:fldCharType="end"/>
        </w:r>
      </w:hyperlink>
    </w:p>
    <w:p w14:paraId="6403627D" w14:textId="6551055E" w:rsidR="007D5D55" w:rsidRDefault="00BD6DA4">
      <w:pPr>
        <w:pStyle w:val="TOC2"/>
        <w:rPr>
          <w:rFonts w:asciiTheme="minorHAnsi" w:eastAsiaTheme="minorEastAsia" w:hAnsiTheme="minorHAnsi" w:cstheme="minorBidi"/>
          <w:b w:val="0"/>
          <w:smallCaps w:val="0"/>
          <w:kern w:val="2"/>
          <w:sz w:val="22"/>
          <w:lang w:val="en-IE" w:eastAsia="en-IE"/>
          <w14:ligatures w14:val="standardContextual"/>
        </w:rPr>
      </w:pPr>
      <w:hyperlink w:anchor="_Toc160184426" w:history="1">
        <w:r w:rsidR="007D5D55" w:rsidRPr="00F456F8">
          <w:rPr>
            <w:rStyle w:val="Hyperlink"/>
          </w:rPr>
          <w:t>2.</w:t>
        </w:r>
        <w:r w:rsidR="007D5D55">
          <w:rPr>
            <w:rFonts w:asciiTheme="minorHAnsi" w:eastAsiaTheme="minorEastAsia" w:hAnsiTheme="minorHAnsi" w:cstheme="minorBidi"/>
            <w:b w:val="0"/>
            <w:smallCaps w:val="0"/>
            <w:kern w:val="2"/>
            <w:sz w:val="22"/>
            <w:lang w:val="en-IE" w:eastAsia="en-IE"/>
            <w14:ligatures w14:val="standardContextual"/>
          </w:rPr>
          <w:tab/>
        </w:r>
        <w:r w:rsidR="007D5D55" w:rsidRPr="00F456F8">
          <w:rPr>
            <w:rStyle w:val="Hyperlink"/>
          </w:rPr>
          <w:t>A táblák egyes részeire vonatkozó útmutatások</w:t>
        </w:r>
        <w:r w:rsidR="007D5D55">
          <w:rPr>
            <w:webHidden/>
          </w:rPr>
          <w:tab/>
        </w:r>
        <w:r w:rsidR="007D5D55">
          <w:rPr>
            <w:webHidden/>
          </w:rPr>
          <w:fldChar w:fldCharType="begin"/>
        </w:r>
        <w:r w:rsidR="007D5D55">
          <w:rPr>
            <w:webHidden/>
          </w:rPr>
          <w:instrText xml:space="preserve"> PAGEREF _Toc160184426 \h </w:instrText>
        </w:r>
        <w:r w:rsidR="007D5D55">
          <w:rPr>
            <w:webHidden/>
          </w:rPr>
        </w:r>
        <w:r w:rsidR="007D5D55">
          <w:rPr>
            <w:webHidden/>
          </w:rPr>
          <w:fldChar w:fldCharType="separate"/>
        </w:r>
        <w:r w:rsidR="00733FF4">
          <w:rPr>
            <w:webHidden/>
          </w:rPr>
          <w:t>26</w:t>
        </w:r>
        <w:r w:rsidR="007D5D55">
          <w:rPr>
            <w:webHidden/>
          </w:rPr>
          <w:fldChar w:fldCharType="end"/>
        </w:r>
      </w:hyperlink>
    </w:p>
    <w:p w14:paraId="70E651F0" w14:textId="0BDD5A6C" w:rsidR="007D5D55" w:rsidRDefault="00BD6DA4">
      <w:pPr>
        <w:pStyle w:val="TOC2"/>
        <w:rPr>
          <w:rFonts w:asciiTheme="minorHAnsi" w:eastAsiaTheme="minorEastAsia" w:hAnsiTheme="minorHAnsi" w:cstheme="minorBidi"/>
          <w:b w:val="0"/>
          <w:smallCaps w:val="0"/>
          <w:kern w:val="2"/>
          <w:sz w:val="22"/>
          <w:lang w:val="en-IE" w:eastAsia="en-IE"/>
          <w14:ligatures w14:val="standardContextual"/>
        </w:rPr>
      </w:pPr>
      <w:hyperlink w:anchor="_Toc160184427" w:history="1">
        <w:r w:rsidR="007D5D55" w:rsidRPr="00F456F8">
          <w:rPr>
            <w:rStyle w:val="Hyperlink"/>
          </w:rPr>
          <w:t>VI. RÉSZ: KVALITATÍV INFORMÁCIÓK (J 10.00 és J 11.00)</w:t>
        </w:r>
        <w:r w:rsidR="007D5D55">
          <w:rPr>
            <w:webHidden/>
          </w:rPr>
          <w:tab/>
        </w:r>
        <w:r w:rsidR="007D5D55">
          <w:rPr>
            <w:webHidden/>
          </w:rPr>
          <w:fldChar w:fldCharType="begin"/>
        </w:r>
        <w:r w:rsidR="007D5D55">
          <w:rPr>
            <w:webHidden/>
          </w:rPr>
          <w:instrText xml:space="preserve"> PAGEREF _Toc160184427 \h </w:instrText>
        </w:r>
        <w:r w:rsidR="007D5D55">
          <w:rPr>
            <w:webHidden/>
          </w:rPr>
        </w:r>
        <w:r w:rsidR="007D5D55">
          <w:rPr>
            <w:webHidden/>
          </w:rPr>
          <w:fldChar w:fldCharType="separate"/>
        </w:r>
        <w:r w:rsidR="00733FF4">
          <w:rPr>
            <w:webHidden/>
          </w:rPr>
          <w:t>30</w:t>
        </w:r>
        <w:r w:rsidR="007D5D55">
          <w:rPr>
            <w:webHidden/>
          </w:rPr>
          <w:fldChar w:fldCharType="end"/>
        </w:r>
      </w:hyperlink>
    </w:p>
    <w:p w14:paraId="4EE2600B" w14:textId="20925A3D" w:rsidR="007D5D55" w:rsidRDefault="00BD6DA4">
      <w:pPr>
        <w:pStyle w:val="TOC2"/>
        <w:rPr>
          <w:rFonts w:asciiTheme="minorHAnsi" w:eastAsiaTheme="minorEastAsia" w:hAnsiTheme="minorHAnsi" w:cstheme="minorBidi"/>
          <w:b w:val="0"/>
          <w:smallCaps w:val="0"/>
          <w:kern w:val="2"/>
          <w:sz w:val="22"/>
          <w:lang w:val="en-IE" w:eastAsia="en-IE"/>
          <w14:ligatures w14:val="standardContextual"/>
        </w:rPr>
      </w:pPr>
      <w:hyperlink w:anchor="_Toc160184428" w:history="1">
        <w:r w:rsidR="007D5D55" w:rsidRPr="00F456F8">
          <w:rPr>
            <w:rStyle w:val="Hyperlink"/>
          </w:rPr>
          <w:t>1.</w:t>
        </w:r>
        <w:r w:rsidR="007D5D55">
          <w:rPr>
            <w:rFonts w:asciiTheme="minorHAnsi" w:eastAsiaTheme="minorEastAsia" w:hAnsiTheme="minorHAnsi" w:cstheme="minorBidi"/>
            <w:b w:val="0"/>
            <w:smallCaps w:val="0"/>
            <w:kern w:val="2"/>
            <w:sz w:val="22"/>
            <w:lang w:val="en-IE" w:eastAsia="en-IE"/>
            <w14:ligatures w14:val="standardContextual"/>
          </w:rPr>
          <w:tab/>
        </w:r>
        <w:r w:rsidR="007D5D55" w:rsidRPr="00F456F8">
          <w:rPr>
            <w:rStyle w:val="Hyperlink"/>
          </w:rPr>
          <w:t>Általános megjegyzések</w:t>
        </w:r>
        <w:r w:rsidR="007D5D55">
          <w:rPr>
            <w:webHidden/>
          </w:rPr>
          <w:tab/>
        </w:r>
        <w:r w:rsidR="007D5D55">
          <w:rPr>
            <w:webHidden/>
          </w:rPr>
          <w:fldChar w:fldCharType="begin"/>
        </w:r>
        <w:r w:rsidR="007D5D55">
          <w:rPr>
            <w:webHidden/>
          </w:rPr>
          <w:instrText xml:space="preserve"> PAGEREF _Toc160184428 \h </w:instrText>
        </w:r>
        <w:r w:rsidR="007D5D55">
          <w:rPr>
            <w:webHidden/>
          </w:rPr>
        </w:r>
        <w:r w:rsidR="007D5D55">
          <w:rPr>
            <w:webHidden/>
          </w:rPr>
          <w:fldChar w:fldCharType="separate"/>
        </w:r>
        <w:r w:rsidR="00733FF4">
          <w:rPr>
            <w:webHidden/>
          </w:rPr>
          <w:t>30</w:t>
        </w:r>
        <w:r w:rsidR="007D5D55">
          <w:rPr>
            <w:webHidden/>
          </w:rPr>
          <w:fldChar w:fldCharType="end"/>
        </w:r>
      </w:hyperlink>
    </w:p>
    <w:p w14:paraId="5D8B6993" w14:textId="795E1596" w:rsidR="007D5D55" w:rsidRDefault="00BD6DA4">
      <w:pPr>
        <w:pStyle w:val="TOC2"/>
        <w:rPr>
          <w:rFonts w:asciiTheme="minorHAnsi" w:eastAsiaTheme="minorEastAsia" w:hAnsiTheme="minorHAnsi" w:cstheme="minorBidi"/>
          <w:b w:val="0"/>
          <w:smallCaps w:val="0"/>
          <w:kern w:val="2"/>
          <w:sz w:val="22"/>
          <w:lang w:val="en-IE" w:eastAsia="en-IE"/>
          <w14:ligatures w14:val="standardContextual"/>
        </w:rPr>
      </w:pPr>
      <w:hyperlink w:anchor="_Toc160184429" w:history="1">
        <w:r w:rsidR="007D5D55" w:rsidRPr="00F456F8">
          <w:rPr>
            <w:rStyle w:val="Hyperlink"/>
          </w:rPr>
          <w:t>2.</w:t>
        </w:r>
        <w:r w:rsidR="007D5D55">
          <w:rPr>
            <w:rFonts w:asciiTheme="minorHAnsi" w:eastAsiaTheme="minorEastAsia" w:hAnsiTheme="minorHAnsi" w:cstheme="minorBidi"/>
            <w:b w:val="0"/>
            <w:smallCaps w:val="0"/>
            <w:kern w:val="2"/>
            <w:sz w:val="22"/>
            <w:lang w:val="en-IE" w:eastAsia="en-IE"/>
            <w14:ligatures w14:val="standardContextual"/>
          </w:rPr>
          <w:tab/>
        </w:r>
        <w:r w:rsidR="007D5D55" w:rsidRPr="00F456F8">
          <w:rPr>
            <w:rStyle w:val="Hyperlink"/>
          </w:rPr>
          <w:t>A táblák egyes részeire vonatkozó útmutatások</w:t>
        </w:r>
        <w:r w:rsidR="007D5D55">
          <w:rPr>
            <w:webHidden/>
          </w:rPr>
          <w:tab/>
        </w:r>
        <w:r w:rsidR="007D5D55">
          <w:rPr>
            <w:webHidden/>
          </w:rPr>
          <w:fldChar w:fldCharType="begin"/>
        </w:r>
        <w:r w:rsidR="007D5D55">
          <w:rPr>
            <w:webHidden/>
          </w:rPr>
          <w:instrText xml:space="preserve"> PAGEREF _Toc160184429 \h </w:instrText>
        </w:r>
        <w:r w:rsidR="007D5D55">
          <w:rPr>
            <w:webHidden/>
          </w:rPr>
        </w:r>
        <w:r w:rsidR="007D5D55">
          <w:rPr>
            <w:webHidden/>
          </w:rPr>
          <w:fldChar w:fldCharType="separate"/>
        </w:r>
        <w:r w:rsidR="00733FF4">
          <w:rPr>
            <w:webHidden/>
          </w:rPr>
          <w:t>30</w:t>
        </w:r>
        <w:r w:rsidR="007D5D55">
          <w:rPr>
            <w:webHidden/>
          </w:rPr>
          <w:fldChar w:fldCharType="end"/>
        </w:r>
      </w:hyperlink>
    </w:p>
    <w:p w14:paraId="7AC7042C" w14:textId="485E159A" w:rsidR="002648B0" w:rsidRPr="00D82419" w:rsidRDefault="00745369" w:rsidP="00430DF0">
      <w:pPr>
        <w:suppressAutoHyphens/>
        <w:rPr>
          <w:rFonts w:ascii="Times New Roman" w:hAnsi="Times New Roman"/>
          <w:noProof/>
          <w:sz w:val="24"/>
        </w:rPr>
        <w:sectPr w:rsidR="002648B0" w:rsidRPr="00D82419" w:rsidSect="00D82419">
          <w:headerReference w:type="even" r:id="rId18"/>
          <w:headerReference w:type="default" r:id="rId19"/>
          <w:footerReference w:type="even" r:id="rId20"/>
          <w:footerReference w:type="default" r:id="rId21"/>
          <w:headerReference w:type="first" r:id="rId22"/>
          <w:footerReference w:type="first" r:id="rId23"/>
          <w:endnotePr>
            <w:numFmt w:val="decimal"/>
          </w:endnotePr>
          <w:pgSz w:w="11906" w:h="16838"/>
          <w:pgMar w:top="1417" w:right="1417" w:bottom="1134" w:left="1417" w:header="708" w:footer="708" w:gutter="0"/>
          <w:cols w:space="720"/>
          <w:titlePg/>
          <w:docGrid w:linePitch="360"/>
        </w:sectPr>
      </w:pPr>
      <w:r w:rsidRPr="00D82419">
        <w:rPr>
          <w:rFonts w:ascii="Times New Roman" w:hAnsi="Times New Roman"/>
          <w:noProof/>
          <w:color w:val="2B579A"/>
          <w:sz w:val="24"/>
          <w:shd w:val="clear" w:color="auto" w:fill="E6E6E6"/>
        </w:rPr>
        <w:fldChar w:fldCharType="end"/>
      </w:r>
    </w:p>
    <w:p w14:paraId="2820F465" w14:textId="77777777" w:rsidR="002648B0" w:rsidRPr="00D82419" w:rsidRDefault="002648B0" w:rsidP="00430DF0">
      <w:pPr>
        <w:pStyle w:val="Heading2"/>
        <w:suppressAutoHyphens/>
        <w:rPr>
          <w:noProof/>
        </w:rPr>
      </w:pPr>
      <w:bookmarkStart w:id="4" w:name="_Toc264038394"/>
      <w:bookmarkStart w:id="5" w:name="_Toc360188317"/>
      <w:bookmarkStart w:id="6" w:name="_Toc473560865"/>
      <w:bookmarkStart w:id="7" w:name="_Toc160184407"/>
      <w:r>
        <w:rPr>
          <w:noProof/>
        </w:rPr>
        <w:lastRenderedPageBreak/>
        <w:t>I. RÉSZ:</w:t>
      </w:r>
      <w:bookmarkEnd w:id="4"/>
      <w:r>
        <w:rPr>
          <w:noProof/>
        </w:rPr>
        <w:t xml:space="preserve"> ÁLTALÁNOS ÚTMUTATÁSOK</w:t>
      </w:r>
      <w:bookmarkEnd w:id="5"/>
      <w:bookmarkEnd w:id="6"/>
      <w:bookmarkEnd w:id="7"/>
    </w:p>
    <w:p w14:paraId="7C7E012C" w14:textId="553E4C56" w:rsidR="002648B0" w:rsidRPr="00A6051C" w:rsidRDefault="51815D13" w:rsidP="00430DF0">
      <w:pPr>
        <w:pStyle w:val="Instructionsberschrift2"/>
        <w:tabs>
          <w:tab w:val="left" w:pos="567"/>
        </w:tabs>
        <w:suppressAutoHyphens/>
        <w:ind w:left="0" w:firstLine="0"/>
        <w:rPr>
          <w:rFonts w:cs="Times New Roman"/>
          <w:b/>
          <w:bCs/>
          <w:noProof/>
          <w:sz w:val="24"/>
        </w:rPr>
      </w:pPr>
      <w:bookmarkStart w:id="8" w:name="_Toc360188319"/>
      <w:bookmarkStart w:id="9" w:name="_Toc473560867"/>
      <w:bookmarkStart w:id="10" w:name="_Toc160184408"/>
      <w:r>
        <w:rPr>
          <w:b/>
          <w:noProof/>
          <w:sz w:val="24"/>
        </w:rPr>
        <w:t>Struktúra</w:t>
      </w:r>
      <w:bookmarkEnd w:id="8"/>
      <w:bookmarkEnd w:id="9"/>
      <w:bookmarkEnd w:id="10"/>
    </w:p>
    <w:p w14:paraId="6C67B776" w14:textId="4974D22A" w:rsidR="005643EA" w:rsidRPr="00380E3B" w:rsidRDefault="00F50ECC"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Ez a melléklet a banki könyvi kamatlábkockázat (IRRBB) adatszolgáltatási tábláira vonatkozó útmutatót tartalmazza.</w:t>
      </w:r>
    </w:p>
    <w:p w14:paraId="18B4338F" w14:textId="7CA4DACA" w:rsidR="00EE1EB4" w:rsidRPr="00CB270D" w:rsidRDefault="00722E66"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Ez a melléklet öt külön táblacsoportból áll:</w:t>
      </w:r>
    </w:p>
    <w:p w14:paraId="40EF6142" w14:textId="5B6A7A0E" w:rsidR="00B25EC5"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a banki könyvi kamatlábkockázat (IRRBB) értékelése: a tőke gazdasági értéke (EVE), a nettó kamatbevétel (NII), a felügyeleti kiugróérték-tesztek (SOT) és a piaci érték (MV) változásai (J 01.00);</w:t>
      </w:r>
    </w:p>
    <w:p w14:paraId="14B9FEC9" w14:textId="1ED962E6" w:rsidR="00C24D7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az érzékenységre vonatkozó becslések bontása (J 02.00, J 03.00 és J 04.00);</w:t>
      </w:r>
    </w:p>
    <w:p w14:paraId="1CE26B54" w14:textId="5501A5DA"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c)</w:t>
      </w:r>
      <w:r>
        <w:rPr>
          <w:rFonts w:ascii="Times New Roman" w:hAnsi="Times New Roman"/>
          <w:noProof/>
          <w:sz w:val="24"/>
        </w:rPr>
        <w:tab/>
        <w:t>IRRBB átárazódó pénzáramlások (J 05.00, J 06.00 és J 07.00);</w:t>
      </w:r>
    </w:p>
    <w:p w14:paraId="0C48DAD9" w14:textId="3DE9AF0C"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d)</w:t>
      </w:r>
      <w:r>
        <w:rPr>
          <w:rFonts w:ascii="Times New Roman" w:hAnsi="Times New Roman"/>
          <w:noProof/>
          <w:sz w:val="24"/>
        </w:rPr>
        <w:tab/>
        <w:t>a viselkedési modellezésre vonatkozó releváns paraméterek (J 08.00 és J 09.00);</w:t>
      </w:r>
    </w:p>
    <w:p w14:paraId="6D80FE95" w14:textId="52271838" w:rsidR="00C90FE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e)</w:t>
      </w:r>
      <w:r>
        <w:rPr>
          <w:rFonts w:ascii="Times New Roman" w:hAnsi="Times New Roman"/>
          <w:noProof/>
          <w:sz w:val="24"/>
        </w:rPr>
        <w:tab/>
        <w:t>kvalitatív információk (J 10.00 és J 11.00).</w:t>
      </w:r>
    </w:p>
    <w:p w14:paraId="0AFC5B98" w14:textId="160403C2" w:rsidR="00EB220B" w:rsidRPr="006154D7" w:rsidRDefault="00A6051C" w:rsidP="00430DF0">
      <w:pPr>
        <w:tabs>
          <w:tab w:val="left" w:pos="567"/>
        </w:tabs>
        <w:suppressAutoHyphens/>
        <w:rPr>
          <w:rFonts w:ascii="Times New Roman" w:hAnsi="Times New Roman"/>
          <w:noProof/>
          <w:sz w:val="24"/>
        </w:rPr>
      </w:pPr>
      <w:bookmarkStart w:id="11" w:name="_Toc360188320"/>
      <w:bookmarkStart w:id="12" w:name="_Toc473560868"/>
      <w:r>
        <w:rPr>
          <w:rFonts w:ascii="Times New Roman" w:hAnsi="Times New Roman"/>
          <w:noProof/>
          <w:sz w:val="24"/>
        </w:rPr>
        <w:t>1.3.</w:t>
      </w:r>
      <w:r>
        <w:rPr>
          <w:rFonts w:ascii="Times New Roman" w:hAnsi="Times New Roman"/>
          <w:noProof/>
          <w:sz w:val="24"/>
        </w:rPr>
        <w:tab/>
        <w:t>Minden táblánál szerepel jogszabályi hivatkozás. Az egyes táblacsoportok útján történő adatszolgáltatás általánosabb szempontjaira vonatkozó további részletes információkat és a táblák egyes részeire vonatkozó útmutatót ez a melléklet tartalmazza.</w:t>
      </w:r>
    </w:p>
    <w:p w14:paraId="26820BED" w14:textId="7A969893" w:rsidR="006D3733" w:rsidRPr="006154D7" w:rsidRDefault="00A6051C" w:rsidP="00430DF0">
      <w:pPr>
        <w:tabs>
          <w:tab w:val="left" w:pos="567"/>
        </w:tabs>
        <w:suppressAutoHyphens/>
        <w:rPr>
          <w:rFonts w:ascii="Times New Roman" w:hAnsi="Times New Roman"/>
          <w:noProof/>
          <w:sz w:val="24"/>
        </w:rPr>
      </w:pPr>
      <w:r>
        <w:rPr>
          <w:rFonts w:ascii="Times New Roman" w:hAnsi="Times New Roman"/>
          <w:noProof/>
          <w:sz w:val="24"/>
        </w:rPr>
        <w:t>1.4.</w:t>
      </w:r>
      <w:r>
        <w:rPr>
          <w:rFonts w:ascii="Times New Roman" w:hAnsi="Times New Roman"/>
          <w:noProof/>
          <w:sz w:val="24"/>
        </w:rPr>
        <w:tab/>
        <w:t>Az intézmények az eszközök, kötelezettségek és mérlegen kívüli tételek tényleges pénznemétől függetlenül, az adatszolgáltatás pénznemében szolgáltatnak adatokat a táblákban. Az adatszolgáltatás pénznemétől eltérő pénznemeket az adatszolgáltatás vonatkozási időpontjában érvényes EKB referencia-devizaárfolyamon kell átváltani az adatszolgáltatás pénznemére. Az intézmények az (EU) .../... felhatalmazáson alapuló bizottsági rendeletnek (Kiadóhivatal: kérjük, illesszék be a felügyeleti kiugróérték-tesztre vonatkozó szabályozástechnikai standardra való hivatkozást) megfelelően külön szolgáltatják a táblákat a megfelelő devizanemek szerinti bontásban.</w:t>
      </w:r>
      <w:bookmarkStart w:id="13" w:name="_@_8F13D57BB9CD4FF0A0FE7B37689B022CZ"/>
      <w:bookmarkEnd w:id="13"/>
    </w:p>
    <w:p w14:paraId="0DEADD70" w14:textId="1077D645" w:rsidR="002E61DB" w:rsidRPr="006154D7" w:rsidRDefault="00A6051C" w:rsidP="00430DF0">
      <w:pPr>
        <w:tabs>
          <w:tab w:val="left" w:pos="567"/>
        </w:tabs>
        <w:suppressAutoHyphens/>
        <w:rPr>
          <w:rFonts w:ascii="Times New Roman" w:hAnsi="Times New Roman"/>
          <w:noProof/>
          <w:sz w:val="24"/>
        </w:rPr>
      </w:pPr>
      <w:r>
        <w:rPr>
          <w:rFonts w:ascii="Times New Roman" w:hAnsi="Times New Roman"/>
          <w:noProof/>
          <w:sz w:val="24"/>
        </w:rPr>
        <w:t>1.5.</w:t>
      </w:r>
      <w:r>
        <w:rPr>
          <w:rFonts w:ascii="Times New Roman" w:hAnsi="Times New Roman"/>
          <w:noProof/>
          <w:sz w:val="24"/>
        </w:rPr>
        <w:tab/>
        <w:t>Az (EU) .../... felhatalmazáson alapuló rendelet (Kiadóhivatal: kérjük, illesszék be a felügyeleti kiugróérték-tesztre vonatkozó szabályozástechnikai standardra való hivatkozást) 3. cikke (2) bekezdésének c) pontjával összhangban és eltérő rendelkezés hiányában az intézmények a számításaikban adott esetben figyelembe veszik az automatikus és a viselkedési opciókat.</w:t>
      </w:r>
    </w:p>
    <w:p w14:paraId="53A7CDF1" w14:textId="261546A6" w:rsidR="001B1D17" w:rsidRPr="003930DF" w:rsidRDefault="001B1D17" w:rsidP="00430DF0">
      <w:pPr>
        <w:pStyle w:val="Instructionsberschrift2"/>
        <w:tabs>
          <w:tab w:val="left" w:pos="567"/>
        </w:tabs>
        <w:suppressAutoHyphens/>
        <w:ind w:left="0" w:firstLine="0"/>
        <w:rPr>
          <w:rFonts w:cs="Times New Roman"/>
          <w:b/>
          <w:bCs/>
          <w:noProof/>
          <w:sz w:val="24"/>
        </w:rPr>
      </w:pPr>
      <w:bookmarkStart w:id="14" w:name="_Toc160184409"/>
      <w:r>
        <w:rPr>
          <w:b/>
          <w:noProof/>
          <w:sz w:val="24"/>
        </w:rPr>
        <w:t>Az adatszolgáltatás köre</w:t>
      </w:r>
      <w:bookmarkEnd w:id="14"/>
    </w:p>
    <w:p w14:paraId="67947B67" w14:textId="4993448A" w:rsidR="001B1D17" w:rsidRPr="00CB270D" w:rsidRDefault="002D7CBD" w:rsidP="00430DF0">
      <w:pPr>
        <w:suppressAutoHyphens/>
        <w:rPr>
          <w:rFonts w:ascii="Times New Roman" w:hAnsi="Times New Roman"/>
          <w:noProof/>
          <w:sz w:val="24"/>
        </w:rPr>
      </w:pPr>
      <w:r>
        <w:rPr>
          <w:rFonts w:ascii="Times New Roman" w:hAnsi="Times New Roman"/>
          <w:noProof/>
          <w:sz w:val="24"/>
        </w:rPr>
        <w:t>Az intézmények megadják az IRRBB-becsléseiket, és információt szolgáltatnak a banki könyvi kamatlábérzékeny pozíciókból eredő kamatlábkitettségeikről a felügyeleti kiugróérték-tesztek keretében (az (EU) .../... felhatalmazáson alapuló rendelet [Kiadóhivatal: kérjük, illesszék be a felügyeleti kiugróérték-tesztre vonatkozó szabályozástechnikai standardra való hivatkozást] 3. és 4. cikke). Az intézmények különösen figyelembe veszik az (EU) .../... felhatalmazáson alapuló rendelet (Kiadóhivatal: kérjük, illesszék be a felügyeleti kiugróérték-tesztre vonatkozó szabályozástechnikai standardra való hivatkozást) 3. cikke (2) bekezdésének a)–f) pontjával, valamint 3. cikkének (3), (4) és (5) bekezdésével összhangban az összes instrumentumot.</w:t>
      </w:r>
    </w:p>
    <w:p w14:paraId="258198B8" w14:textId="0DE6B55B" w:rsidR="001B1D17" w:rsidRPr="00845F8D" w:rsidRDefault="0039144F" w:rsidP="00430DF0">
      <w:pPr>
        <w:pStyle w:val="Instructionsberschrift2"/>
        <w:tabs>
          <w:tab w:val="left" w:pos="567"/>
        </w:tabs>
        <w:suppressAutoHyphens/>
        <w:ind w:left="0" w:firstLine="0"/>
        <w:rPr>
          <w:rFonts w:cs="Times New Roman"/>
          <w:b/>
          <w:bCs/>
          <w:noProof/>
          <w:sz w:val="24"/>
        </w:rPr>
      </w:pPr>
      <w:bookmarkStart w:id="15" w:name="_Ref125115357"/>
      <w:bookmarkStart w:id="16" w:name="_Ref122265153"/>
      <w:bookmarkStart w:id="17" w:name="_Toc160184410"/>
      <w:r>
        <w:rPr>
          <w:b/>
          <w:noProof/>
          <w:sz w:val="24"/>
        </w:rPr>
        <w:t>Rögzített/változó kamatozású instrumentumok kezelése</w:t>
      </w:r>
      <w:bookmarkEnd w:id="15"/>
      <w:bookmarkEnd w:id="16"/>
      <w:bookmarkEnd w:id="17"/>
    </w:p>
    <w:p w14:paraId="77CC8D4D" w14:textId="48ED4736" w:rsidR="001B1D17" w:rsidRPr="00380E3B" w:rsidRDefault="0039511B" w:rsidP="00430DF0">
      <w:pPr>
        <w:suppressAutoHyphens/>
        <w:rPr>
          <w:rFonts w:ascii="Times New Roman" w:hAnsi="Times New Roman"/>
          <w:noProof/>
          <w:sz w:val="24"/>
        </w:rPr>
      </w:pPr>
      <w:r>
        <w:rPr>
          <w:rFonts w:ascii="Times New Roman" w:hAnsi="Times New Roman"/>
          <w:noProof/>
          <w:sz w:val="24"/>
        </w:rPr>
        <w:t>Amennyiben a rögzített vagy változó kamatozású instrumentumokra vonatkozóan külön információt kell szolgáltatni, a következő fogalommeghatározások alkalmazandók:</w:t>
      </w:r>
    </w:p>
    <w:p w14:paraId="4A89838D" w14:textId="7E0FE4E5" w:rsidR="00922BF8" w:rsidRPr="00380E3B" w:rsidRDefault="00845F8D" w:rsidP="00430DF0">
      <w:pPr>
        <w:suppressAutoHyphens/>
        <w:ind w:left="567" w:hanging="567"/>
        <w:rPr>
          <w:rFonts w:ascii="Times New Roman" w:hAnsi="Times New Roman"/>
          <w:noProof/>
          <w:sz w:val="24"/>
        </w:rPr>
      </w:pPr>
      <w:r>
        <w:rPr>
          <w:rFonts w:ascii="Times New Roman" w:hAnsi="Times New Roman"/>
          <w:noProof/>
          <w:sz w:val="24"/>
        </w:rPr>
        <w:lastRenderedPageBreak/>
        <w:t>a)</w:t>
      </w:r>
      <w:r>
        <w:rPr>
          <w:rFonts w:ascii="Times New Roman" w:hAnsi="Times New Roman"/>
          <w:noProof/>
          <w:sz w:val="24"/>
        </w:rPr>
        <w:tab/>
        <w:t>„rögzített kamatozású instrumentum”: az (EU) .../... felhatalmazáson alapuló bizottsági rendelet</w:t>
      </w:r>
      <w:r w:rsidR="00212817" w:rsidRPr="00380E3B">
        <w:rPr>
          <w:rFonts w:ascii="Times New Roman" w:eastAsia="Arial" w:hAnsi="Times New Roman"/>
          <w:noProof/>
          <w:sz w:val="24"/>
          <w:vertAlign w:val="superscript"/>
        </w:rPr>
        <w:footnoteReference w:id="2"/>
      </w:r>
      <w:r>
        <w:rPr>
          <w:rFonts w:ascii="Times New Roman" w:hAnsi="Times New Roman"/>
          <w:noProof/>
          <w:sz w:val="24"/>
        </w:rPr>
        <w:t xml:space="preserve"> (Kiadóhivatal: kérjük, illesszék be a sztenderd módszerre vonatkozó szabályozástechnikai standardra való hivatkozást) 1. cikkének 4. pontjában meghatározott „rögzített kamatozású instrumentum”. Konkrétan:</w:t>
      </w:r>
    </w:p>
    <w:p w14:paraId="5ED6FF8A" w14:textId="158917D4" w:rsidR="001B1D1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w:t>
      </w:r>
      <w:r>
        <w:rPr>
          <w:rFonts w:ascii="Times New Roman" w:hAnsi="Times New Roman"/>
          <w:noProof/>
          <w:sz w:val="24"/>
        </w:rPr>
        <w:tab/>
        <w:t>meghatározott szerződéses lejárat nélküli instrumentumok (azaz lejárat nélküli termékek), amelyek kamatfizetésekből álló pénzáramlásai nem kötöttek szerződés vagy jogszabály által külső referenciaérték vagy intézmény belső kezelésű indexének mozgásához, hanem azokat az intézmény vagy kormányzati szerv határozza meg;</w:t>
      </w:r>
    </w:p>
    <w:p w14:paraId="54833A4C" w14:textId="5EDD161A" w:rsidR="008454E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ii.</w:t>
      </w:r>
      <w:r>
        <w:rPr>
          <w:rFonts w:ascii="Times New Roman" w:hAnsi="Times New Roman"/>
          <w:noProof/>
          <w:sz w:val="24"/>
        </w:rPr>
        <w:tab/>
        <w:t>meghatározott szerződéses lejárattal rendelkező instrumentumok, amelyek kamatfizetésekből álló pénzáramlásai rögzítettek a kezdettől fogva az instrumentum lejártáig, vagy a szerződéses átárazódásukra több mint 1 év után kerül sor; vagy az instrumentum kamatozásának – a szerződés időtartama alatt bármikor történő – módosításairól az intézmény vagy kormányzati szerv dönt;</w:t>
      </w:r>
    </w:p>
    <w:p w14:paraId="270FB2E9" w14:textId="34E79F8D" w:rsidR="00922BF8" w:rsidRPr="00380E3B" w:rsidRDefault="00D3158C"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„változó kamatozású instrumentum”: az (EU) .../... felhatalmazáson alapuló rendelet (Kiadóhivatal: kérjük, illesszék be a sztenderd módszerre vonatkozó szabályozástechnikai standardra való hivatkozást) 1. cikkének 5. pontjában meghatározott „változó kamatozású instrumentum”. Konkrétan:</w:t>
      </w:r>
    </w:p>
    <w:p w14:paraId="1784E8D4" w14:textId="734AD79B" w:rsidR="00AB1BC3"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w:t>
      </w:r>
      <w:r>
        <w:rPr>
          <w:rFonts w:ascii="Times New Roman" w:hAnsi="Times New Roman"/>
          <w:noProof/>
          <w:sz w:val="24"/>
        </w:rPr>
        <w:tab/>
        <w:t>meghatározott szerződéses lejárat nélküli instrumentumok (azaz lejárat nélküli termékek), amelyek kamatfizetésekből álló pénzáramlásait nem az intézmény vagy kormányzati szerv határozza meg, hanem azokat szerződés vagy jogszabály külső referenciaérték vagy intézmény belső kezelésű indexének mozgásához köti;</w:t>
      </w:r>
    </w:p>
    <w:p w14:paraId="2BEB21B8" w14:textId="04E2511B" w:rsidR="001B1D17"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ii.</w:t>
      </w:r>
      <w:r>
        <w:rPr>
          <w:rFonts w:ascii="Times New Roman" w:hAnsi="Times New Roman"/>
          <w:noProof/>
          <w:sz w:val="24"/>
        </w:rPr>
        <w:tab/>
        <w:t>meghatározott szerződéses lejárattal rendelkező instrumentumok, amelyek kamatfizetésekből álló pénzáramlásai rögzítettek a kezdettől fogva az instrumentum lejártáig, vagy a szerződéses átárazódására legfeljebb 1 éven belül kerül sor, és az instrumentum kamatozásának a szerződés időtartama alatti módosításáról nem az intézmény vagy kormányzati szerv dönt.</w:t>
      </w:r>
    </w:p>
    <w:p w14:paraId="18A5F9AF" w14:textId="2B3B0753" w:rsidR="001B1D17" w:rsidRPr="008917A8" w:rsidRDefault="00AB232D" w:rsidP="00430DF0">
      <w:pPr>
        <w:pStyle w:val="Instructionsberschrift2"/>
        <w:suppressAutoHyphens/>
        <w:ind w:left="0" w:firstLine="0"/>
        <w:rPr>
          <w:rFonts w:cs="Times New Roman"/>
          <w:b/>
          <w:bCs/>
          <w:noProof/>
          <w:sz w:val="24"/>
        </w:rPr>
      </w:pPr>
      <w:bookmarkStart w:id="18" w:name="_Toc160184411"/>
      <w:r>
        <w:rPr>
          <w:b/>
          <w:noProof/>
          <w:sz w:val="24"/>
        </w:rPr>
        <w:t>Opciók kezelése</w:t>
      </w:r>
      <w:bookmarkEnd w:id="18"/>
    </w:p>
    <w:p w14:paraId="32686ECA" w14:textId="05954C82" w:rsidR="001B1D17" w:rsidRPr="005936C2" w:rsidRDefault="001A2857" w:rsidP="00430DF0">
      <w:pPr>
        <w:suppressAutoHyphens/>
        <w:rPr>
          <w:rFonts w:ascii="Times New Roman" w:hAnsi="Times New Roman"/>
          <w:noProof/>
          <w:sz w:val="24"/>
        </w:rPr>
      </w:pPr>
      <w:r>
        <w:rPr>
          <w:rFonts w:ascii="Times New Roman" w:hAnsi="Times New Roman"/>
          <w:noProof/>
          <w:sz w:val="24"/>
        </w:rPr>
        <w:t>Amennyiben az opciókra vonatkozóan külön információt kell szolgáltatni, azt az intézmények a következő módon teszik:</w:t>
      </w:r>
    </w:p>
    <w:p w14:paraId="6B6F0868" w14:textId="6DA1CF74"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a beágyazott opciókat a releváns alapinstrumentumaikkal együtt jelentik;</w:t>
      </w:r>
    </w:p>
    <w:p w14:paraId="1DA2737F" w14:textId="75A2B726"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az explicit/önálló opciókat a mérleg bármely más típusú tételétől külön, származtatott instrumentumokként jelentik (azaz ezeket az opciókat a fedezett tétellel együtt kell feltüntetni).</w:t>
      </w:r>
    </w:p>
    <w:p w14:paraId="273A8B8C" w14:textId="0B66CE74" w:rsidR="002648B0" w:rsidRPr="008917A8" w:rsidRDefault="51815D13" w:rsidP="00430DF0">
      <w:pPr>
        <w:pStyle w:val="Instructionsberschrift2"/>
        <w:tabs>
          <w:tab w:val="left" w:pos="567"/>
        </w:tabs>
        <w:suppressAutoHyphens/>
        <w:ind w:left="0" w:firstLine="0"/>
        <w:rPr>
          <w:rFonts w:cs="Times New Roman"/>
          <w:b/>
          <w:bCs/>
          <w:noProof/>
          <w:sz w:val="24"/>
        </w:rPr>
      </w:pPr>
      <w:bookmarkStart w:id="19" w:name="_Toc264038399"/>
      <w:bookmarkStart w:id="20" w:name="_Toc294018834"/>
      <w:bookmarkStart w:id="21" w:name="_Toc360188321"/>
      <w:bookmarkStart w:id="22" w:name="_Toc473560869"/>
      <w:bookmarkStart w:id="23" w:name="_Toc160184412"/>
      <w:bookmarkEnd w:id="11"/>
      <w:bookmarkEnd w:id="12"/>
      <w:r>
        <w:rPr>
          <w:b/>
          <w:noProof/>
          <w:sz w:val="24"/>
        </w:rPr>
        <w:t>Előjelre vonatkozó szabályok</w:t>
      </w:r>
      <w:bookmarkEnd w:id="19"/>
      <w:bookmarkEnd w:id="20"/>
      <w:bookmarkEnd w:id="21"/>
      <w:bookmarkEnd w:id="22"/>
      <w:bookmarkEnd w:id="23"/>
    </w:p>
    <w:p w14:paraId="6633F0CF" w14:textId="51D1B304" w:rsidR="001E63FC" w:rsidRPr="005936C2" w:rsidRDefault="008917A8" w:rsidP="00430DF0">
      <w:pPr>
        <w:tabs>
          <w:tab w:val="left" w:pos="567"/>
        </w:tabs>
        <w:suppressAutoHyphens/>
        <w:rPr>
          <w:rFonts w:ascii="Times New Roman" w:hAnsi="Times New Roman"/>
          <w:noProof/>
          <w:sz w:val="24"/>
        </w:rPr>
      </w:pPr>
      <w:bookmarkStart w:id="24" w:name="_Hlk140593002"/>
      <w:r>
        <w:rPr>
          <w:rFonts w:ascii="Times New Roman" w:hAnsi="Times New Roman"/>
          <w:noProof/>
          <w:sz w:val="24"/>
        </w:rPr>
        <w:t>5.1.</w:t>
      </w:r>
      <w:r>
        <w:rPr>
          <w:rFonts w:ascii="Times New Roman" w:hAnsi="Times New Roman"/>
          <w:noProof/>
          <w:sz w:val="24"/>
        </w:rPr>
        <w:tab/>
        <w:t xml:space="preserve">Az intézmények az értékeket általában pozitív előjellel adják meg a táblákban. Az EVE szintjére, az NII szintjére és az MV szintjére vonatkozó, pénzegységben kifejezett számadatokat általában pozitív számként kell feltüntetni, függetlenül attól, hogy az eszközre vagy kötelezettségre vonatkozik-e, a következő esetek kivételével: az NII szintje negatív, ha a </w:t>
      </w:r>
      <w:r>
        <w:rPr>
          <w:rFonts w:ascii="Times New Roman" w:hAnsi="Times New Roman"/>
          <w:noProof/>
          <w:sz w:val="24"/>
        </w:rPr>
        <w:lastRenderedPageBreak/>
        <w:t>kamatráfordítások nagyobbak a kamatbevételeknél az alapforgatókönyv szerint, vagy olyan származtatott termékek esetében, amelyeknél a származtatott termékek lábainak nettósított értékeit kell jelenteni.</w:t>
      </w:r>
    </w:p>
    <w:bookmarkEnd w:id="24"/>
    <w:p w14:paraId="71AA1747" w14:textId="4D01E42B" w:rsidR="001E63FC" w:rsidRPr="005936C2" w:rsidRDefault="008917A8" w:rsidP="00430DF0">
      <w:pPr>
        <w:tabs>
          <w:tab w:val="left" w:pos="567"/>
        </w:tabs>
        <w:suppressAutoHyphens/>
        <w:rPr>
          <w:rFonts w:ascii="Times New Roman" w:hAnsi="Times New Roman"/>
          <w:noProof/>
          <w:sz w:val="24"/>
        </w:rPr>
      </w:pPr>
      <w:r>
        <w:rPr>
          <w:rFonts w:ascii="Times New Roman" w:hAnsi="Times New Roman"/>
          <w:noProof/>
          <w:sz w:val="24"/>
        </w:rPr>
        <w:t>5.2.</w:t>
      </w:r>
      <w:r>
        <w:rPr>
          <w:rFonts w:ascii="Times New Roman" w:hAnsi="Times New Roman"/>
          <w:noProof/>
          <w:sz w:val="24"/>
        </w:rPr>
        <w:tab/>
        <w:t>Az intézmények az EVE, az NII és az MV változásait (Δ) a változástól függően pozitív vagy negatív előjellel adják meg. Az intézmények a változást (Δ) a sokkforgatókönyv szerinti EVE/NII/MV különbségeként számítják, csökkentve az alapforgatókönyvvel. Egy adott eszköz vagy kötelezettség EVE (és MV) érzékenységét pozitív előjellel kell feltüntetni, ha az adott eszköz vagy kötelezettség EVE (és MV) értéke egy adott kamatláb-forgatókönyv szerint növekszik. Hasonlóképpen, egy adott eszköz vagy kötelezettség NII érzékenységét pozitív előjellel kell feltüntetni, ha az adott eszköz kamatbevétele vagy az adott kötelezettség kamatráfordítása egy konkrét kamatláb-forgatókönyv szerint növekszik.</w:t>
      </w:r>
    </w:p>
    <w:p w14:paraId="254BF615" w14:textId="5C9B2108"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5.3.</w:t>
      </w:r>
      <w:r>
        <w:rPr>
          <w:rFonts w:ascii="Times New Roman" w:hAnsi="Times New Roman"/>
          <w:noProof/>
          <w:sz w:val="24"/>
        </w:rPr>
        <w:tab/>
        <w:t>A névleges kitettségekre vagy a könyv szerinti értékekre vonatkozó adatpontokban ugyanez a szabály alkalmazandó, az intézmények pozitív előjellel adják meg az eszközök és kötelezettségek értékeit.</w:t>
      </w:r>
    </w:p>
    <w:p w14:paraId="6E2C3DB2" w14:textId="74CD7678"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5.4.</w:t>
      </w:r>
      <w:r>
        <w:rPr>
          <w:rFonts w:ascii="Times New Roman" w:hAnsi="Times New Roman"/>
          <w:noProof/>
          <w:sz w:val="24"/>
        </w:rPr>
        <w:tab/>
        <w:t>Az intézmények pozitív előjellel adják meg a paramétereket, függetlenül attól, hogy ezek a paraméterek valamely eszközre vagy kötelezettségre vonatkoznak-e, és függetlenül attól, hogy ezek a paraméterek növelik vagy csökkentik-e az IRRBB mérőszámainak értékét. Előfordulhatnak olyan kivételes esetek, amikor az intézmények negatív számadatokat szolgáltatnak a paraméterekre, például az eszközök/kötelezettségek átlaghozamára vonatkozóan, ha az utolsó kamatláb-újramegállapítás negatív piaci kamatláb-környezetben történt.</w:t>
      </w:r>
    </w:p>
    <w:p w14:paraId="318F1B9B" w14:textId="5EF3812F" w:rsidR="00304CA5" w:rsidRPr="008270ED" w:rsidRDefault="6B10FFE8" w:rsidP="00430DF0">
      <w:pPr>
        <w:pStyle w:val="Instructionsberschrift2"/>
        <w:tabs>
          <w:tab w:val="left" w:pos="567"/>
        </w:tabs>
        <w:suppressAutoHyphens/>
        <w:ind w:left="0" w:firstLine="0"/>
        <w:rPr>
          <w:rFonts w:cs="Times New Roman"/>
          <w:b/>
          <w:bCs/>
          <w:noProof/>
          <w:sz w:val="24"/>
        </w:rPr>
      </w:pPr>
      <w:bookmarkStart w:id="25" w:name="_Toc160184413"/>
      <w:r>
        <w:rPr>
          <w:b/>
          <w:noProof/>
          <w:sz w:val="24"/>
        </w:rPr>
        <w:t>Rövidítések</w:t>
      </w:r>
      <w:bookmarkEnd w:id="25"/>
    </w:p>
    <w:p w14:paraId="78A799F6" w14:textId="45220F93" w:rsidR="0089002A" w:rsidRPr="00E00C16" w:rsidRDefault="0089002A" w:rsidP="00430DF0">
      <w:pPr>
        <w:tabs>
          <w:tab w:val="left" w:pos="567"/>
        </w:tabs>
        <w:suppressAutoHyphens/>
        <w:rPr>
          <w:rFonts w:ascii="Times New Roman" w:hAnsi="Times New Roman"/>
          <w:noProof/>
          <w:sz w:val="24"/>
        </w:rPr>
      </w:pPr>
      <w:r>
        <w:rPr>
          <w:rFonts w:ascii="Times New Roman" w:hAnsi="Times New Roman"/>
          <w:noProof/>
          <w:sz w:val="24"/>
        </w:rPr>
        <w:t>A tőke gazdasági értéke a továbbiakban: EVE, a nettó kamatbevétel: NII, a piaci érték: MV, a felügyeleti kiugróérték-teszt: SOT, a lejárat nélküli betétek: NMD-k, a belső mérési rendszer: IMS, a sztenderd módszer: SA rövidítéssel szerepel.</w:t>
      </w:r>
    </w:p>
    <w:p w14:paraId="7DD577D3" w14:textId="443C35E6" w:rsidR="009A03CD" w:rsidRPr="008270ED" w:rsidRDefault="008270ED" w:rsidP="00430DF0">
      <w:pPr>
        <w:pStyle w:val="Instructionsberschrift2"/>
        <w:numPr>
          <w:ilvl w:val="0"/>
          <w:numId w:val="0"/>
        </w:numPr>
        <w:tabs>
          <w:tab w:val="left" w:pos="567"/>
        </w:tabs>
        <w:suppressAutoHyphens/>
        <w:rPr>
          <w:rFonts w:cs="Times New Roman"/>
          <w:b/>
          <w:bCs/>
          <w:noProof/>
          <w:sz w:val="24"/>
        </w:rPr>
      </w:pPr>
      <w:bookmarkStart w:id="26" w:name="_Toc160184414"/>
      <w:r>
        <w:rPr>
          <w:b/>
          <w:noProof/>
          <w:sz w:val="24"/>
        </w:rPr>
        <w:t>7.</w:t>
      </w:r>
      <w:r>
        <w:rPr>
          <w:b/>
          <w:noProof/>
          <w:sz w:val="24"/>
        </w:rPr>
        <w:tab/>
        <w:t>Egyéb szabályok</w:t>
      </w:r>
      <w:bookmarkEnd w:id="26"/>
    </w:p>
    <w:p w14:paraId="345BE7C5" w14:textId="2AFD3B9C" w:rsidR="009A03CD"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7.1.</w:t>
      </w:r>
      <w:r>
        <w:rPr>
          <w:rFonts w:ascii="Times New Roman" w:hAnsi="Times New Roman"/>
          <w:noProof/>
          <w:sz w:val="24"/>
        </w:rPr>
        <w:tab/>
        <w:t>E melléklet egészében hivatkozás történik az (EU) .../... felhatalmazáson alapuló rendeletre (Kiadóhivatal: kérjük, illesszék be a felügyeleti kiugróérték-tesztre vonatkozó szabályozástechnikai standardra való hivatkozást) vagy a felügyeleti kiugróérték-tesztre vonatkozó szabályozástechnikai standardra, továbbá az (EU) .../... felhatalmazáson alapuló rendeletre (Kiadóhivatal: kérjük, illesszék be a sztenderd módszerre vonatkozó szabályozástechnikai standardra való hivatkozást) vagy a sztenderd módszerre vonatkozó szabályozástechnikai standardra. Amennyiben a szöveg az (EU) .../... felhatalmazáson alapuló rendeletben (Kiadóhivatal: kérjük, illesszék be a sztenderd módszerre vonatkozó szabályozástechnikai standardra való hivatkozást) meghatározott fogalommeghatározásokra hivatkozik, ezeket a fogalommeghatározásokat valamennyi adatszolgáltató intézményre alkalmazni kell (és nem csak a sztenderd módszert alkalmazó intézményekre).</w:t>
      </w:r>
    </w:p>
    <w:p w14:paraId="6E98BFAD" w14:textId="6539675D" w:rsidR="000F5488" w:rsidRPr="00E00C16" w:rsidRDefault="008270ED" w:rsidP="00430DF0">
      <w:pPr>
        <w:suppressAutoHyphens/>
        <w:rPr>
          <w:rFonts w:ascii="Times New Roman" w:hAnsi="Times New Roman"/>
          <w:noProof/>
          <w:sz w:val="24"/>
        </w:rPr>
      </w:pPr>
      <w:r>
        <w:rPr>
          <w:rFonts w:ascii="Times New Roman" w:hAnsi="Times New Roman"/>
          <w:noProof/>
          <w:sz w:val="24"/>
        </w:rPr>
        <w:t>7.2.</w:t>
      </w:r>
      <w:r>
        <w:rPr>
          <w:rFonts w:ascii="Times New Roman" w:hAnsi="Times New Roman"/>
          <w:noProof/>
          <w:sz w:val="24"/>
        </w:rPr>
        <w:tab/>
        <w:t>E mellékletre az (EU) .../... felhatalmazáson alapuló rendelet (Kiadóhivatal: kérjük, illesszék be a sztenderd módszerre vonatkozó szabályozástechnikai standardra való hivatkozást) 1. cikkében szereplő fogalommeghatározások alkalmazandók.</w:t>
      </w:r>
    </w:p>
    <w:p w14:paraId="3E52DFA5" w14:textId="77777777" w:rsidR="00194120" w:rsidRPr="00D82419" w:rsidRDefault="00194120" w:rsidP="00430DF0">
      <w:pPr>
        <w:suppressAutoHyphens/>
        <w:spacing w:before="0" w:after="0"/>
        <w:jc w:val="left"/>
        <w:rPr>
          <w:rFonts w:ascii="Times New Roman" w:eastAsia="Arial" w:hAnsi="Times New Roman"/>
          <w:b/>
          <w:noProof/>
          <w:sz w:val="24"/>
        </w:rPr>
      </w:pPr>
      <w:bookmarkStart w:id="27" w:name="_Toc360188322"/>
      <w:bookmarkStart w:id="28" w:name="_Toc473560870"/>
      <w:r>
        <w:rPr>
          <w:noProof/>
        </w:rPr>
        <w:br w:type="page"/>
      </w:r>
    </w:p>
    <w:p w14:paraId="039B9D1F" w14:textId="6E355974" w:rsidR="002648B0" w:rsidRPr="00D82419" w:rsidRDefault="002648B0" w:rsidP="00430DF0">
      <w:pPr>
        <w:pStyle w:val="Heading2"/>
        <w:suppressAutoHyphens/>
        <w:rPr>
          <w:noProof/>
        </w:rPr>
      </w:pPr>
      <w:bookmarkStart w:id="29" w:name="_Toc160184415"/>
      <w:r>
        <w:rPr>
          <w:noProof/>
        </w:rPr>
        <w:lastRenderedPageBreak/>
        <w:t>II. RÉSZ: A BANKI KÖNYVI KAMATLÁBKOCKÁZAT (IRRBB) ÉRTÉKELÉSE: A TŐKE GAZDASÁGI ÉRTÉKÉRE (EVE) ÉS A NETTÓ KAMATBEVÉTELRE (NII) VONATKOZÓ FELÜGYELETI KIUGRÓÉRTÉK-TESZT (SOT) ÉS A PIACI ÉRTÉK (MV) VÁLTOZÁSAI</w:t>
      </w:r>
      <w:bookmarkEnd w:id="27"/>
      <w:bookmarkEnd w:id="28"/>
      <w:r>
        <w:rPr>
          <w:noProof/>
        </w:rPr>
        <w:t xml:space="preserve"> (J 01.00)</w:t>
      </w:r>
      <w:bookmarkEnd w:id="29"/>
    </w:p>
    <w:p w14:paraId="5E8C221B" w14:textId="1A9ECE3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0" w:name="_Toc308175819"/>
      <w:bookmarkStart w:id="31" w:name="_Toc360188324"/>
      <w:bookmarkStart w:id="32" w:name="_Toc473560872"/>
      <w:bookmarkStart w:id="33" w:name="_Toc160184416"/>
      <w:r>
        <w:rPr>
          <w:b/>
          <w:noProof/>
          <w:sz w:val="24"/>
        </w:rPr>
        <w:t>1.</w:t>
      </w:r>
      <w:r>
        <w:rPr>
          <w:b/>
          <w:noProof/>
          <w:sz w:val="24"/>
        </w:rPr>
        <w:tab/>
        <w:t>Általános megjegyzések</w:t>
      </w:r>
      <w:bookmarkEnd w:id="30"/>
      <w:bookmarkEnd w:id="31"/>
      <w:bookmarkEnd w:id="32"/>
      <w:bookmarkEnd w:id="33"/>
    </w:p>
    <w:p w14:paraId="058939E3" w14:textId="0946C784" w:rsidR="009E536A"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1.1.</w:t>
      </w:r>
      <w:r>
        <w:rPr>
          <w:noProof/>
        </w:rPr>
        <w:tab/>
      </w:r>
      <w:r>
        <w:rPr>
          <w:rFonts w:ascii="Times New Roman" w:hAnsi="Times New Roman"/>
          <w:noProof/>
          <w:sz w:val="24"/>
        </w:rPr>
        <w:t xml:space="preserve">A J 01.00 tábla tartalmazza az (EU) .../... felhatalmazáson alapuló rendeletben </w:t>
      </w:r>
      <w:bookmarkStart w:id="34" w:name="_Hlk148976351"/>
      <w:r>
        <w:rPr>
          <w:rFonts w:ascii="Times New Roman" w:hAnsi="Times New Roman"/>
          <w:noProof/>
          <w:sz w:val="24"/>
        </w:rPr>
        <w:t xml:space="preserve">(Kiadóhivatal: kérjük, illesszék be a felügyeleti kiugróérték-tesztre vonatkozó szabályozástechnikai standardra való hivatkozást) </w:t>
      </w:r>
      <w:bookmarkEnd w:id="34"/>
      <w:r>
        <w:rPr>
          <w:rFonts w:ascii="Times New Roman" w:hAnsi="Times New Roman"/>
          <w:noProof/>
          <w:sz w:val="24"/>
        </w:rPr>
        <w:t>meghatározottak szerint kiszámított EVE szintjeit és változásait (ΔEVE), az NII szintjeit és változásait (ΔNII), valamint a belső kockázatkezelési kritériumok szerint számított MV szintjét és változásait, egyéves időtávot és konstans mérleget feltételezve. E tábla tartalmazza többek között az (EU) .../... felhatalmazáson alapuló rendelet (Kiadóhivatal: kérjük, illesszék be a felügyeleti kiugróérték-tesztre vonatkozó szabályozástechnikai standardra való hivatkozást) mellékletének A. részében nem említett devizanemekre vonatkozó kamatlábsokkok meghatározott mértékét, valamint a ΔEVE-nek és a ΔNII-nek az 575/2013/EU rendelet 25. cikke szerint meghatározott alapvető tőkéhez viszonyított arányát, a legrosszabb forgatókönyvek szerinti ΔEVE és ΔNII értéket, az alapforgatókönyv szerinti EVE és NII szintjét, valamint a ΔEVE, a ΔNII és a ΔMV bizonyos szabályozási kamatlábsokk-forgatókönyvek szerinti szintjét.</w:t>
      </w:r>
    </w:p>
    <w:p w14:paraId="6EACD58F" w14:textId="7B60D869" w:rsidR="003F1439"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Ezt a táblát külön kell benyújtani az (EU) .../... felhatalmazáson alapuló rendelet (Kiadóhivatal: kérjük, illesszék be a felügyeleti kiugróérték-tesztre vonatkozó szabályozástechnikai standardra való hivatkozást) 1. cikkének (3) és (4) bekezdésével összhangban a SOT számításához figyelembe vett minden devizanemre vonatkozóan, és az említett felhatalmazáson alapuló rendelet 1. cikkének (4) bekezdése hatálya alá tartozó valamennyi devizanem aggregátumára vonatkozóan. A kamatlábsokk-forgatókönyvenkénti aggregált változások (valamennyi devizanemre vonatkozóan) kiszámítása során az (EU) .../... felhatalmazáson alapuló rendelet (Kiadóhivatal: kérjük, illesszék be a felügyeleti kiugróérték-tesztre vonatkozó szabályozástechnikai standardra való hivatkozást) 3. cikkének (8) bekezdését kell alkalmazni.</w:t>
      </w:r>
    </w:p>
    <w:p w14:paraId="1640AAF5" w14:textId="0B192E8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5" w:name="_Toc120119047"/>
      <w:bookmarkStart w:id="36" w:name="_Toc120185008"/>
      <w:bookmarkStart w:id="37" w:name="_Toc120119048"/>
      <w:bookmarkStart w:id="38" w:name="_Toc120185009"/>
      <w:bookmarkStart w:id="39" w:name="_Toc117022065"/>
      <w:bookmarkStart w:id="40" w:name="_Toc119940195"/>
      <w:bookmarkStart w:id="41" w:name="_Toc120119049"/>
      <w:bookmarkStart w:id="42" w:name="_Toc120185010"/>
      <w:bookmarkStart w:id="43" w:name="_Toc308175821"/>
      <w:bookmarkStart w:id="44" w:name="_Toc310414968"/>
      <w:bookmarkStart w:id="45" w:name="_Toc360188326"/>
      <w:bookmarkStart w:id="46" w:name="_Toc473560874"/>
      <w:bookmarkStart w:id="47" w:name="_Toc160184417"/>
      <w:bookmarkEnd w:id="35"/>
      <w:bookmarkEnd w:id="36"/>
      <w:bookmarkEnd w:id="37"/>
      <w:bookmarkEnd w:id="38"/>
      <w:bookmarkEnd w:id="39"/>
      <w:bookmarkEnd w:id="40"/>
      <w:bookmarkEnd w:id="41"/>
      <w:bookmarkEnd w:id="42"/>
      <w:r>
        <w:rPr>
          <w:b/>
          <w:noProof/>
          <w:sz w:val="24"/>
        </w:rPr>
        <w:t>2.</w:t>
      </w:r>
      <w:r>
        <w:rPr>
          <w:b/>
          <w:noProof/>
          <w:sz w:val="24"/>
        </w:rPr>
        <w:tab/>
      </w:r>
      <w:r>
        <w:rPr>
          <w:b/>
          <w:noProof/>
        </w:rPr>
        <w:t>A tábla egyes részeire vonatkozó</w:t>
      </w:r>
      <w:bookmarkEnd w:id="43"/>
      <w:bookmarkEnd w:id="44"/>
      <w:r>
        <w:rPr>
          <w:b/>
          <w:noProof/>
        </w:rPr>
        <w:t xml:space="preserve"> útmutatások</w:t>
      </w:r>
      <w:bookmarkEnd w:id="45"/>
      <w:bookmarkEnd w:id="46"/>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F50A3" w:rsidRPr="00D82419" w14:paraId="0146FE7A" w14:textId="77777777" w:rsidTr="63452C95">
        <w:tc>
          <w:tcPr>
            <w:tcW w:w="1129" w:type="dxa"/>
            <w:shd w:val="clear" w:color="auto" w:fill="D9D9D9" w:themeFill="background1" w:themeFillShade="D9"/>
          </w:tcPr>
          <w:bookmarkEnd w:id="0"/>
          <w:bookmarkEnd w:id="1"/>
          <w:p w14:paraId="285A3474" w14:textId="77777777" w:rsidR="009F50A3" w:rsidRPr="00D82419" w:rsidRDefault="009F50A3"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Sor</w:t>
            </w:r>
          </w:p>
        </w:tc>
        <w:tc>
          <w:tcPr>
            <w:tcW w:w="7620" w:type="dxa"/>
            <w:shd w:val="clear" w:color="auto" w:fill="D9D9D9" w:themeFill="background1" w:themeFillShade="D9"/>
          </w:tcPr>
          <w:p w14:paraId="279B0622" w14:textId="438CF73E" w:rsidR="009F50A3" w:rsidRPr="00D82419" w:rsidRDefault="009F50A3"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Jogszabályi hivatkozások és útmutatások</w:t>
            </w:r>
          </w:p>
        </w:tc>
      </w:tr>
      <w:tr w:rsidR="009F50A3" w:rsidRPr="00D82419" w14:paraId="7FD2A05C" w14:textId="77777777" w:rsidTr="63452C95">
        <w:tc>
          <w:tcPr>
            <w:tcW w:w="1129" w:type="dxa"/>
          </w:tcPr>
          <w:p w14:paraId="007928D7" w14:textId="440B3C20" w:rsidR="009F50A3" w:rsidRPr="00D82419" w:rsidRDefault="6AA5F51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0010-0090</w:t>
            </w:r>
          </w:p>
        </w:tc>
        <w:tc>
          <w:tcPr>
            <w:tcW w:w="7620" w:type="dxa"/>
          </w:tcPr>
          <w:p w14:paraId="25526098" w14:textId="3A2A11C6" w:rsidR="00D75F04" w:rsidRPr="00D82419" w:rsidRDefault="00D75F0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 tőke gazdasági értéke (EVE)</w:t>
            </w:r>
          </w:p>
          <w:p w14:paraId="4C6CAA6B" w14:textId="1494972D" w:rsidR="009F50A3" w:rsidRPr="00D82419" w:rsidRDefault="700069C0"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Az EVE</w:t>
            </w:r>
            <w:r>
              <w:rPr>
                <w:noProof/>
              </w:rPr>
              <w:t xml:space="preserve"> 2013/36/EU irányelv 98. cikke (5) bekezdésének a) pontja és az (EU) .../... felhatalmazáson alapuló rendelet (Kiadóhivatal: kérjük, illesszék be a </w:t>
            </w:r>
            <w:r>
              <w:rPr>
                <w:rStyle w:val="FormatvorlageInstructionsTabelleText"/>
                <w:rFonts w:ascii="Times New Roman" w:hAnsi="Times New Roman"/>
                <w:noProof/>
                <w:sz w:val="24"/>
              </w:rPr>
              <w:t>felügyeleti kiugróérték-tesztre vonatkozó szabályozástechnikai standardra való hivatkozást</w:t>
            </w:r>
            <w:r>
              <w:rPr>
                <w:noProof/>
              </w:rPr>
              <w:t>) 1–3. cikke szerint számított becsült értéke.</w:t>
            </w:r>
            <w:r>
              <w:rPr>
                <w:rStyle w:val="InstructionsTabelleberschrift"/>
                <w:rFonts w:ascii="Times New Roman" w:hAnsi="Times New Roman"/>
                <w:b w:val="0"/>
                <w:noProof/>
                <w:sz w:val="24"/>
                <w:u w:val="none"/>
              </w:rPr>
              <w:t xml:space="preserve"> </w:t>
            </w:r>
            <w:r>
              <w:rPr>
                <w:noProof/>
              </w:rPr>
              <w:t xml:space="preserve">Az </w:t>
            </w:r>
            <w:r>
              <w:rPr>
                <w:rStyle w:val="InstructionsTabelleberschrift"/>
                <w:rFonts w:ascii="Times New Roman" w:hAnsi="Times New Roman"/>
                <w:b w:val="0"/>
                <w:noProof/>
                <w:sz w:val="24"/>
                <w:u w:val="none"/>
              </w:rPr>
              <w:t xml:space="preserve">említett felhatalmazáson alapuló rendelet 3. cikkében nem szereplő modellezési és paraméterekre vonatkozó feltételezések tekintetében az intézmények azokat a feltételezéseket használják, amelyeket az IRRBB méréséhez és kezeléséhez használnak, azaz adott esetben a belső mérési módszertanaikat, a sztenderd módszert vagy az egyszerűsített sztenderd módszert. </w:t>
            </w:r>
          </w:p>
        </w:tc>
      </w:tr>
      <w:tr w:rsidR="009F50A3" w:rsidRPr="00D82419" w14:paraId="051654EF" w14:textId="77777777" w:rsidTr="63452C95">
        <w:tc>
          <w:tcPr>
            <w:tcW w:w="1129" w:type="dxa"/>
          </w:tcPr>
          <w:p w14:paraId="4E5EF34A" w14:textId="2237A75A"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029A2F02" w14:textId="382C8285" w:rsidR="00AB2DDE" w:rsidRPr="00D82419" w:rsidRDefault="00AB2DD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a legrosszabb forgatókönyv szerint</w:t>
            </w:r>
          </w:p>
          <w:p w14:paraId="26DCF100" w14:textId="0D0C662A" w:rsidR="009F50A3" w:rsidRPr="00D82419" w:rsidRDefault="7E74698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Az EVE változása az (EU) .../... felhatalmazáson alapuló rendelet (Kiadóhivatal: kérjük, illesszék be a felügyeleti kiugróérték-tesztre vonatkozó szabályozástechnikai standardra való hivatkozást) 1. cikkének (1) </w:t>
            </w:r>
            <w:r>
              <w:rPr>
                <w:rStyle w:val="InstructionsTabelleberschrift"/>
                <w:rFonts w:ascii="Times New Roman" w:hAnsi="Times New Roman"/>
                <w:b w:val="0"/>
                <w:noProof/>
                <w:sz w:val="24"/>
                <w:u w:val="none"/>
              </w:rPr>
              <w:lastRenderedPageBreak/>
              <w:t>bekezdésében említett felügyeleti sokkforgatókönyvek közül azon forgatókönyv</w:t>
            </w:r>
            <w:r>
              <w:rPr>
                <w:noProof/>
              </w:rPr>
              <w:t xml:space="preserve"> </w:t>
            </w:r>
            <w:r>
              <w:rPr>
                <w:rStyle w:val="FormatvorlageInstructionsTabelleText"/>
                <w:rFonts w:ascii="Times New Roman" w:hAnsi="Times New Roman"/>
                <w:noProof/>
                <w:sz w:val="24"/>
              </w:rPr>
              <w:t>szerint, amely az EVE legnagyobb mértékű csökkenését okozza. Ebben a sorban a 0040–0090 sorban szereplő értékek közül a legrosszabbat kell megadni.</w:t>
            </w:r>
          </w:p>
        </w:tc>
      </w:tr>
      <w:tr w:rsidR="00961B7D" w:rsidRPr="00D82419" w14:paraId="5CD63A5C" w14:textId="77777777" w:rsidTr="63452C95">
        <w:tc>
          <w:tcPr>
            <w:tcW w:w="1129" w:type="dxa"/>
          </w:tcPr>
          <w:p w14:paraId="282662CB" w14:textId="7D4DB793" w:rsidR="00961B7D" w:rsidRPr="00D82419" w:rsidRDefault="00961B7D"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lastRenderedPageBreak/>
              <w:t>0020</w:t>
            </w:r>
          </w:p>
        </w:tc>
        <w:tc>
          <w:tcPr>
            <w:tcW w:w="7620" w:type="dxa"/>
          </w:tcPr>
          <w:p w14:paraId="11DB2FA3" w14:textId="5E027A81" w:rsidR="00DA2DEA" w:rsidRPr="00D82419" w:rsidRDefault="00DA2DE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EVE-mutató a legrosszabb forgatókönyv szerint</w:t>
            </w:r>
          </w:p>
          <w:p w14:paraId="63A8C68F" w14:textId="43D2EE33" w:rsidR="00961B7D" w:rsidRPr="00D82419" w:rsidRDefault="00502F7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A 0010 sorban feltüntetett érték és az 575/2013/EU rendelet 25. cikke szerint meghatározott alapvető tőke</w:t>
            </w:r>
            <w:r>
              <w:rPr>
                <w:noProof/>
              </w:rPr>
              <w:t xml:space="preserve"> hányadosa</w:t>
            </w:r>
            <w:r>
              <w:rPr>
                <w:rStyle w:val="FormatvorlageInstructionsTabelleText"/>
                <w:rFonts w:ascii="Times New Roman" w:hAnsi="Times New Roman"/>
                <w:noProof/>
                <w:sz w:val="24"/>
              </w:rPr>
              <w:t xml:space="preserve">. </w:t>
            </w:r>
          </w:p>
        </w:tc>
      </w:tr>
      <w:tr w:rsidR="009F50A3" w:rsidRPr="00D82419" w14:paraId="0935B40A" w14:textId="77777777" w:rsidTr="63452C95">
        <w:tc>
          <w:tcPr>
            <w:tcW w:w="1129" w:type="dxa"/>
          </w:tcPr>
          <w:p w14:paraId="44C516B0" w14:textId="2CF73B70"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0030–0090</w:t>
            </w:r>
          </w:p>
        </w:tc>
        <w:tc>
          <w:tcPr>
            <w:tcW w:w="7620" w:type="dxa"/>
          </w:tcPr>
          <w:p w14:paraId="4BF02F51" w14:textId="4BEE7C65" w:rsidR="00A737A0" w:rsidRPr="00D82419" w:rsidRDefault="0091517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az alapforgatókönyv és a felügyeleti sokkforgatókönyvek szerint</w:t>
            </w:r>
          </w:p>
          <w:p w14:paraId="32EB5557" w14:textId="4D5B1C98" w:rsidR="00F0435A" w:rsidRPr="00D82419" w:rsidRDefault="004F1099"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Az EVE szintje az alapforgatókönyv és az EVE változásai (Δ EVE) az (EU) .../... felhatalmazáson alapuló rendelet </w:t>
            </w:r>
            <w:r>
              <w:rPr>
                <w:rStyle w:val="FormatvorlageInstructionsTabelleText"/>
                <w:rFonts w:ascii="Times New Roman" w:hAnsi="Times New Roman"/>
                <w:noProof/>
                <w:sz w:val="24"/>
              </w:rPr>
              <w:t>(Kiadóhivatal: kérjük, illesszék be a felügyeleti kiugróérték-tesztre vonatkozó szabályozástechnikai standardra való hivatkozást)</w:t>
            </w:r>
            <w:r>
              <w:rPr>
                <w:noProof/>
              </w:rPr>
              <w:t xml:space="preserve"> 1. cikkének (1) bekezdésében említett </w:t>
            </w:r>
            <w:r>
              <w:rPr>
                <w:rStyle w:val="FormatvorlageInstructionsTabelleText"/>
                <w:rFonts w:ascii="Times New Roman" w:hAnsi="Times New Roman"/>
                <w:noProof/>
                <w:sz w:val="24"/>
              </w:rPr>
              <w:t>felügyeleti sokkforgatókönyvek szerint.</w:t>
            </w:r>
          </w:p>
        </w:tc>
      </w:tr>
      <w:tr w:rsidR="00B0203E" w:rsidRPr="00D82419" w14:paraId="4655EFD3" w14:textId="77777777" w:rsidTr="63452C95">
        <w:tc>
          <w:tcPr>
            <w:tcW w:w="1129" w:type="dxa"/>
          </w:tcPr>
          <w:p w14:paraId="7B647AD7" w14:textId="3E7A916A"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3EE65F05" w14:textId="004B6C51" w:rsidR="00B0203E" w:rsidRPr="00D82419" w:rsidRDefault="0091517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Az EVE szintje az alapforgatókönyv szerint</w:t>
            </w:r>
          </w:p>
          <w:p w14:paraId="58C9873C" w14:textId="4D13F981" w:rsidR="00B0203E" w:rsidRPr="00D82419" w:rsidDel="00D1769D" w:rsidRDefault="00B0203E"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Az EVE szintje a kamatláb-alapforgatókönyv szerint az adatszolgáltatás vonatkozási időpontjában.</w:t>
            </w:r>
          </w:p>
        </w:tc>
      </w:tr>
      <w:tr w:rsidR="00B0203E" w:rsidRPr="00D82419" w14:paraId="12F10FB4" w14:textId="77777777" w:rsidTr="63452C95">
        <w:tc>
          <w:tcPr>
            <w:tcW w:w="1129" w:type="dxa"/>
          </w:tcPr>
          <w:p w14:paraId="6C489768" w14:textId="52CDBC8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0C32C6C1" w14:textId="688719F1"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párhuzamos sokkszerű emelkedés esetében</w:t>
            </w:r>
          </w:p>
          <w:p w14:paraId="75608591" w14:textId="2378525F"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Az EVE változása az (EU) .../... felhatalmazáson alapuló rendelet (Kiadóhivatal: kérjük, illesszék be a felügyeleti kiugróérték-tesztre vonatkozó szabályozástechnikai standardra való hivatkozást) 1. cikke (1) bekezdésének a) pontjában és 2. cikkében említett „párhuzamos sokkszerű emelkedést” feltételező forgatókönyv szerint.</w:t>
            </w:r>
          </w:p>
        </w:tc>
      </w:tr>
      <w:tr w:rsidR="00B0203E" w:rsidRPr="00D82419" w14:paraId="702A109C" w14:textId="77777777" w:rsidTr="63452C95">
        <w:tc>
          <w:tcPr>
            <w:tcW w:w="1129" w:type="dxa"/>
          </w:tcPr>
          <w:p w14:paraId="44F421F7" w14:textId="0277BBF5"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50EC282B" w14:textId="08276C58"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párhuzamos sokkszerű csökkenés esetében</w:t>
            </w:r>
          </w:p>
          <w:p w14:paraId="615E0D1E" w14:textId="3889B4D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Az EVE változása az (EU) .../... felhatalmazáson alapuló rendelet (Kiadóhivatal: kérjük, illesszék be a felügyeleti kiugróérték-tesztre vonatkozó szabályozástechnikai standardra való hivatkozást) 1. cikke (1) bekezdésének b) pontjában és 2. cikkében említett „párhuzamos sokkszerű csökkenést”</w:t>
            </w:r>
            <w:r>
              <w:rPr>
                <w:noProof/>
              </w:rPr>
              <w:t xml:space="preserve"> </w:t>
            </w:r>
            <w:r>
              <w:rPr>
                <w:rStyle w:val="InstructionsTabelleberschrift"/>
                <w:rFonts w:ascii="Times New Roman" w:hAnsi="Times New Roman"/>
                <w:b w:val="0"/>
                <w:noProof/>
                <w:sz w:val="24"/>
                <w:u w:val="none"/>
              </w:rPr>
              <w:t>feltételező forgatókönyv szerint.</w:t>
            </w:r>
          </w:p>
        </w:tc>
      </w:tr>
      <w:tr w:rsidR="00B0203E" w:rsidRPr="00D82419" w14:paraId="78C9A080" w14:textId="77777777" w:rsidTr="63452C95">
        <w:tc>
          <w:tcPr>
            <w:tcW w:w="1129" w:type="dxa"/>
          </w:tcPr>
          <w:p w14:paraId="18CC3346" w14:textId="76476D8B"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1C40E806" w14:textId="3E9C090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a meredekség sokkszerű növekedése esetében</w:t>
            </w:r>
          </w:p>
          <w:p w14:paraId="2E2C691F" w14:textId="06179B82"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Az EVE változása az (EU) .../... felhatalmazáson alapuló rendelet (Kiadóhivatal: kérjük, illesszék be a felügyeleti kiugróérték-tesztre vonatkozó szabályozástechnikai standardra való hivatkozást) 1. cikke (1) bekezdésének c) pontjában és 2. cikkében említett, a „meredekség sokkszerű növekedését”</w:t>
            </w:r>
            <w:r>
              <w:rPr>
                <w:noProof/>
              </w:rPr>
              <w:t xml:space="preserve"> </w:t>
            </w:r>
            <w:r>
              <w:rPr>
                <w:rStyle w:val="InstructionsTabelleberschrift"/>
                <w:rFonts w:ascii="Times New Roman" w:hAnsi="Times New Roman"/>
                <w:b w:val="0"/>
                <w:noProof/>
                <w:sz w:val="24"/>
                <w:u w:val="none"/>
              </w:rPr>
              <w:t>feltételező forgatókönyv szerint.</w:t>
            </w:r>
          </w:p>
        </w:tc>
      </w:tr>
      <w:tr w:rsidR="00B0203E" w:rsidRPr="00D82419" w14:paraId="7C9E2FFE" w14:textId="77777777" w:rsidTr="63452C95">
        <w:tc>
          <w:tcPr>
            <w:tcW w:w="1129" w:type="dxa"/>
          </w:tcPr>
          <w:p w14:paraId="6A1F5153" w14:textId="1A48096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EB8CC03" w14:textId="5C10E606"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a meredekség sokkszerű csökkenése esetében</w:t>
            </w:r>
          </w:p>
          <w:p w14:paraId="1576761F" w14:textId="18F1A51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Az EVE változása az (EU) .../... felhatalmazáson alapuló rendelet (Kiadóhivatal: kérjük, illesszék be a felügyeleti kiugróérték-tesztre vonatkozó szabályozástechnikai standardra való hivatkozást) 1. cikke (1) bekezdésének d) pontjában és 2. cikkében említett, a „meredekség sokkszerű csökkenését” feltételező forgatókönyv szerint.</w:t>
            </w:r>
          </w:p>
        </w:tc>
      </w:tr>
      <w:tr w:rsidR="00B0203E" w:rsidRPr="00D82419" w14:paraId="1F1952CB" w14:textId="77777777" w:rsidTr="63452C95">
        <w:tc>
          <w:tcPr>
            <w:tcW w:w="1129" w:type="dxa"/>
          </w:tcPr>
          <w:p w14:paraId="5BA40DF8" w14:textId="55480F05"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F89F092" w14:textId="5753FF57"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a rövid kamatlábak sokkszerű emelkedése esetében</w:t>
            </w:r>
          </w:p>
          <w:p w14:paraId="30FAC30B" w14:textId="1D74F17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Az EVE változása az (EU) .../... felhatalmazáson alapuló rendelet (Kiadóhivatal: kérjük, illesszék be a felügyeleti kiugróérték-tesztre vonatkozó </w:t>
            </w:r>
            <w:r>
              <w:rPr>
                <w:rStyle w:val="InstructionsTabelleberschrift"/>
                <w:rFonts w:ascii="Times New Roman" w:hAnsi="Times New Roman"/>
                <w:b w:val="0"/>
                <w:noProof/>
                <w:sz w:val="24"/>
                <w:u w:val="none"/>
              </w:rPr>
              <w:lastRenderedPageBreak/>
              <w:t>szabályozástechnikai standardra való hivatkozást) 1. cikke (1) bekezdésének e) pontjában és 2. cikkében említett, a „rövid kamatlábak sokkszerű emelkedését” feltételező forgatókönyv szerint.</w:t>
            </w:r>
          </w:p>
        </w:tc>
      </w:tr>
      <w:tr w:rsidR="00B0203E" w:rsidRPr="00D82419" w14:paraId="25C6DF7C" w14:textId="77777777" w:rsidTr="63452C95">
        <w:tc>
          <w:tcPr>
            <w:tcW w:w="1129" w:type="dxa"/>
          </w:tcPr>
          <w:p w14:paraId="2989E866" w14:textId="5909BE3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lastRenderedPageBreak/>
              <w:t>0090</w:t>
            </w:r>
          </w:p>
        </w:tc>
        <w:tc>
          <w:tcPr>
            <w:tcW w:w="7620" w:type="dxa"/>
          </w:tcPr>
          <w:p w14:paraId="0350345A" w14:textId="21B26679"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rövid kamatlábak sokkszerű csökkenése esetében</w:t>
            </w:r>
          </w:p>
          <w:p w14:paraId="25CC32D5" w14:textId="55B8644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Az EVE változása az (EU) .../... felhatalmazáson alapuló rendelet (Kiadóhivatal: kérjük, illesszék be a felügyeleti kiugróérték-tesztre vonatkozó szabályozástechnikai standardra való hivatkozást) 1. cikke (1) bekezdésének f) pontjában és 2. cikkében említett, a „rövid kamatlábak sokkszerű csökkenését” </w:t>
            </w:r>
            <w:r>
              <w:rPr>
                <w:rStyle w:val="FormatvorlageInstructionsTabelleText"/>
                <w:rFonts w:ascii="Times New Roman" w:hAnsi="Times New Roman"/>
                <w:noProof/>
                <w:sz w:val="24"/>
              </w:rPr>
              <w:t>feltételező forgatókönyv szerint</w:t>
            </w:r>
            <w:r>
              <w:rPr>
                <w:rStyle w:val="InstructionsTabelleberschrift"/>
                <w:rFonts w:ascii="Times New Roman" w:hAnsi="Times New Roman"/>
                <w:b w:val="0"/>
                <w:noProof/>
                <w:sz w:val="24"/>
                <w:u w:val="none"/>
              </w:rPr>
              <w:t>.</w:t>
            </w:r>
          </w:p>
        </w:tc>
      </w:tr>
      <w:tr w:rsidR="00B0203E" w:rsidRPr="00D82419" w14:paraId="550C7814" w14:textId="77777777" w:rsidTr="63452C95">
        <w:tc>
          <w:tcPr>
            <w:tcW w:w="1129" w:type="dxa"/>
          </w:tcPr>
          <w:p w14:paraId="5978642C" w14:textId="7A907FB3"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0100–0140</w:t>
            </w:r>
          </w:p>
        </w:tc>
        <w:tc>
          <w:tcPr>
            <w:tcW w:w="7620" w:type="dxa"/>
          </w:tcPr>
          <w:p w14:paraId="4C372E56" w14:textId="1B90BE7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 Nettó kamatbevétel</w:t>
            </w:r>
          </w:p>
          <w:p w14:paraId="5A9A4DA0" w14:textId="702C71B5" w:rsidR="00B0203E" w:rsidRPr="00D82419" w:rsidRDefault="00B0203E"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w:t>
            </w:r>
            <w:r>
              <w:rPr>
                <w:noProof/>
              </w:rPr>
              <w:t xml:space="preserve"> 2013/36/EU irányelv 98. cikke (5) bekezdésének b) pontjában említett és az (EU) .../... felhatalmazáson alapuló rendelet (Kiadóhivatal: kérjük, illesszék be a </w:t>
            </w:r>
            <w:r>
              <w:rPr>
                <w:rStyle w:val="FormatvorlageInstructionsTabelleText"/>
                <w:rFonts w:ascii="Times New Roman" w:hAnsi="Times New Roman"/>
                <w:noProof/>
                <w:sz w:val="24"/>
              </w:rPr>
              <w:t>felügyeleti kiugróérték-tesztre vonatkozó szabályozástechnikai standardra való hivatkozást</w:t>
            </w:r>
            <w:r>
              <w:rPr>
                <w:noProof/>
              </w:rPr>
              <w:t>) 4. cikkében meghatározott nettó kamatbevétel.</w:t>
            </w:r>
            <w:r>
              <w:rPr>
                <w:rStyle w:val="InstructionsTabelleberschrift"/>
                <w:rFonts w:ascii="Times New Roman" w:hAnsi="Times New Roman"/>
                <w:b w:val="0"/>
                <w:noProof/>
                <w:sz w:val="24"/>
                <w:u w:val="none"/>
              </w:rPr>
              <w:t xml:space="preserve"> </w:t>
            </w:r>
            <w:r>
              <w:rPr>
                <w:noProof/>
              </w:rPr>
              <w:t xml:space="preserve">Az </w:t>
            </w:r>
            <w:r>
              <w:rPr>
                <w:rStyle w:val="InstructionsTabelleberschrift"/>
                <w:rFonts w:ascii="Times New Roman" w:hAnsi="Times New Roman"/>
                <w:b w:val="0"/>
                <w:noProof/>
                <w:sz w:val="24"/>
                <w:u w:val="none"/>
              </w:rPr>
              <w:t>említett felhatalmazáson alapuló rendelet 4. cikkében nem szereplő, modellezési és paraméterekre vonatkozó feltételezések tekintetében az intézmények azokat a feltételezéseket használják, amelyeket az IRRBB méréséhez és kezeléséhez használnak, azaz adott esetben a belső mérési módszertanaikat, a sztenderd módszert vagy az egyszerűsített sztenderd módszert.</w:t>
            </w:r>
          </w:p>
          <w:p w14:paraId="1481DD1E" w14:textId="0736C1D5" w:rsidR="00A11939" w:rsidRPr="00D82419" w:rsidRDefault="0008615C"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Az intézmények figyelembe veszik a fedezeti ügyletek elszámolásának módját (azaz a fedezeti elszámolást), de nem vehetik figyelembe az 575/2013/EU rendelet</w:t>
            </w:r>
            <w:r>
              <w:rPr>
                <w:noProof/>
              </w:rPr>
              <w:t xml:space="preserve"> 33. cikke (1) bekezdésének a) pontjában felsorolt elemek hatásait</w:t>
            </w:r>
            <w:r>
              <w:rPr>
                <w:rStyle w:val="FormatvorlageInstructionsTabelleText"/>
                <w:rFonts w:ascii="Times New Roman" w:hAnsi="Times New Roman"/>
                <w:noProof/>
                <w:sz w:val="24"/>
              </w:rPr>
              <w:t>.</w:t>
            </w:r>
          </w:p>
        </w:tc>
      </w:tr>
      <w:tr w:rsidR="00B0203E" w:rsidRPr="00D82419" w14:paraId="0F980DD4" w14:textId="77777777" w:rsidTr="63452C95">
        <w:tc>
          <w:tcPr>
            <w:tcW w:w="1129" w:type="dxa"/>
          </w:tcPr>
          <w:p w14:paraId="5A67693C" w14:textId="0253A2BF"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1C6833A3" w14:textId="0DF2229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a legrosszabb forgatókönyv szerint</w:t>
            </w:r>
          </w:p>
          <w:p w14:paraId="0E312D00" w14:textId="5AB6AC0B"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Az egyéves NII változása az (EU) .../... felhatalmazáson alapuló rendelet (Kiadóhivatal: kérjük, illesszék be a felügyeleti kiugróérték-tesztre vonatkozó szabályozástechnikai standardra való hivatkozást) 1. cikkének (2) bekezdésében említett felügyeleti sokkforgatókönyvek közül azon forgatókönyv</w:t>
            </w:r>
            <w:r>
              <w:rPr>
                <w:noProof/>
              </w:rPr>
              <w:t xml:space="preserve"> </w:t>
            </w:r>
            <w:r>
              <w:rPr>
                <w:rStyle w:val="FormatvorlageInstructionsTabelleText"/>
                <w:rFonts w:ascii="Times New Roman" w:hAnsi="Times New Roman"/>
                <w:noProof/>
                <w:sz w:val="24"/>
              </w:rPr>
              <w:t>szerint, amely az NII legnagyobb mértékű csökkenését okozza.</w:t>
            </w:r>
            <w:r>
              <w:rPr>
                <w:rStyle w:val="FormatvorlageInstructionsTabelleText"/>
                <w:rFonts w:ascii="Times New Roman" w:hAnsi="Times New Roman"/>
                <w:noProof/>
              </w:rPr>
              <w:t xml:space="preserve"> </w:t>
            </w:r>
            <w:r>
              <w:rPr>
                <w:rStyle w:val="FormatvorlageInstructionsTabelleText"/>
                <w:rFonts w:ascii="Times New Roman" w:hAnsi="Times New Roman"/>
                <w:noProof/>
                <w:sz w:val="24"/>
              </w:rPr>
              <w:t>Ebben a sorban</w:t>
            </w:r>
            <w:r>
              <w:rPr>
                <w:rStyle w:val="InstructionsTabelleberschrift"/>
                <w:rFonts w:ascii="Times New Roman" w:hAnsi="Times New Roman"/>
                <w:b w:val="0"/>
                <w:noProof/>
                <w:sz w:val="24"/>
                <w:u w:val="none"/>
              </w:rPr>
              <w:t xml:space="preserve"> </w:t>
            </w:r>
            <w:r>
              <w:rPr>
                <w:rStyle w:val="FormatvorlageInstructionsTabelleText"/>
                <w:rFonts w:ascii="Times New Roman" w:hAnsi="Times New Roman"/>
                <w:noProof/>
                <w:sz w:val="24"/>
              </w:rPr>
              <w:t>a 0130–0140 sorban szereplő értékek közül a legrosszabbat kell megadni.</w:t>
            </w:r>
            <w:r>
              <w:rPr>
                <w:rStyle w:val="InstructionsTabelleberschrift"/>
                <w:rFonts w:ascii="Times New Roman" w:hAnsi="Times New Roman"/>
                <w:b w:val="0"/>
                <w:noProof/>
                <w:sz w:val="24"/>
                <w:u w:val="none"/>
              </w:rPr>
              <w:t xml:space="preserve"> </w:t>
            </w:r>
          </w:p>
        </w:tc>
      </w:tr>
      <w:tr w:rsidR="009E5DE6" w:rsidRPr="00D82419" w14:paraId="3F6F82BB" w14:textId="77777777" w:rsidTr="63452C95">
        <w:tc>
          <w:tcPr>
            <w:tcW w:w="1129" w:type="dxa"/>
          </w:tcPr>
          <w:p w14:paraId="3D3E8435" w14:textId="6C475191" w:rsidR="009E5DE6" w:rsidRPr="00D82419" w:rsidRDefault="009E5DE6"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620" w:type="dxa"/>
          </w:tcPr>
          <w:p w14:paraId="7CED9633" w14:textId="512F2026" w:rsidR="00227983" w:rsidRPr="00D82419" w:rsidRDefault="00F64CC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NII-mutató a legrosszabb forgatókönyv szerint</w:t>
            </w:r>
          </w:p>
          <w:p w14:paraId="2262B2BB" w14:textId="035A73E6" w:rsidR="009E5DE6" w:rsidRPr="00D82419" w:rsidRDefault="009E5DE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A 0100 sorban megadott érték </w:t>
            </w:r>
            <w:r>
              <w:rPr>
                <w:noProof/>
              </w:rPr>
              <w:t>és az 575/2013/EU rendelet 25. cikke szerint meghatározott alapvető tőke hányadosa</w:t>
            </w:r>
            <w:r>
              <w:rPr>
                <w:rStyle w:val="InstructionsTabelleberschrift"/>
                <w:rFonts w:ascii="Times New Roman" w:hAnsi="Times New Roman"/>
                <w:b w:val="0"/>
                <w:noProof/>
                <w:sz w:val="24"/>
                <w:u w:val="none"/>
              </w:rPr>
              <w:t>.</w:t>
            </w:r>
          </w:p>
        </w:tc>
      </w:tr>
      <w:tr w:rsidR="009F50A3" w:rsidRPr="00D82419" w14:paraId="3C0AB8F1" w14:textId="77777777" w:rsidTr="63452C95">
        <w:tc>
          <w:tcPr>
            <w:tcW w:w="1129" w:type="dxa"/>
          </w:tcPr>
          <w:p w14:paraId="575733AA" w14:textId="200097E1"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0120–0140</w:t>
            </w:r>
          </w:p>
        </w:tc>
        <w:tc>
          <w:tcPr>
            <w:tcW w:w="7620" w:type="dxa"/>
          </w:tcPr>
          <w:p w14:paraId="674E2DEC" w14:textId="79C7A2D5" w:rsidR="00F26924" w:rsidRPr="00D82419" w:rsidRDefault="0085527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az alapforgatókönyv és a felügyeleti sokkforgatókönyvek szerint</w:t>
            </w:r>
          </w:p>
          <w:p w14:paraId="29D06DA2" w14:textId="401CE418" w:rsidR="001768A4" w:rsidRPr="00D82419" w:rsidRDefault="00E115F2"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Az NII szintje az alapforgatókönyv szerint és a ΔNII az (EU) .../... felhatalmazáson alapuló rendelet </w:t>
            </w:r>
            <w:r>
              <w:rPr>
                <w:noProof/>
              </w:rPr>
              <w:t xml:space="preserve">(Kiadóhivatal: kérjük, illesszék be a felügyeleti kiugróérték-tesztre vonatkozó szabályozástechnikai standardra való hivatkozást) 1. cikkének (2) bekezdésében említett </w:t>
            </w:r>
            <w:r>
              <w:rPr>
                <w:rStyle w:val="FormatvorlageInstructionsTabelleText"/>
                <w:rFonts w:ascii="Times New Roman" w:hAnsi="Times New Roman"/>
                <w:noProof/>
                <w:sz w:val="24"/>
              </w:rPr>
              <w:t>felügyeleti sokkforgatókönyvek szerint.</w:t>
            </w:r>
          </w:p>
        </w:tc>
      </w:tr>
      <w:tr w:rsidR="00B1769B" w:rsidRPr="00D82419" w14:paraId="74B9F5A4" w14:textId="77777777" w:rsidTr="63452C95">
        <w:tc>
          <w:tcPr>
            <w:tcW w:w="1129" w:type="dxa"/>
          </w:tcPr>
          <w:p w14:paraId="6ACD054A" w14:textId="3334CDA1"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620" w:type="dxa"/>
          </w:tcPr>
          <w:p w14:paraId="5BBF8A3D" w14:textId="3B64D527" w:rsidR="00B1769B" w:rsidRPr="00D82419" w:rsidRDefault="0085527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Az NII szintje az alapforgatókönyv szerint</w:t>
            </w:r>
          </w:p>
          <w:p w14:paraId="5650CC49" w14:textId="440C8528" w:rsidR="00B1769B" w:rsidRPr="00D82419" w:rsidDel="008C1F5D"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Az NII szintje a kamatláb-alapforgatókönyv szerint az adatszolgáltatás vonatkozási időpontjában.</w:t>
            </w:r>
          </w:p>
        </w:tc>
      </w:tr>
      <w:tr w:rsidR="00B1769B" w:rsidRPr="00D82419" w14:paraId="5A23CC83" w14:textId="77777777" w:rsidTr="63452C95">
        <w:tc>
          <w:tcPr>
            <w:tcW w:w="1129" w:type="dxa"/>
          </w:tcPr>
          <w:p w14:paraId="0265CE45" w14:textId="2A0AC21C"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7CB62F0F" w14:textId="33A0680E"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párhuzamos sokkszerű emelkedés esetében</w:t>
            </w:r>
          </w:p>
          <w:p w14:paraId="1B5D0209" w14:textId="280D8D7E" w:rsidR="00B1769B" w:rsidRPr="00D82419" w:rsidRDefault="00B1769B"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Az NII változása az (EU) .../... felhatalmazáson alapuló rendelet (Kiadóhivatal: kérjük, illesszék be a felügyeleti kiugróérték-tesztre vonatkozó szabályozástechnikai standardra való hivatkozást) 1. cikke (2) bekezdésének a) pontjában és 2. cikkében említett „párhuzamos sokkszerű emelkedést” </w:t>
            </w:r>
            <w:r>
              <w:rPr>
                <w:rStyle w:val="FormatvorlageInstructionsTabelleText"/>
                <w:rFonts w:ascii="Times New Roman" w:hAnsi="Times New Roman"/>
                <w:noProof/>
                <w:sz w:val="24"/>
              </w:rPr>
              <w:t>feltételező forgatókönyv szerint</w:t>
            </w:r>
            <w:r>
              <w:rPr>
                <w:rStyle w:val="InstructionsTabelleberschrift"/>
                <w:rFonts w:ascii="Times New Roman" w:hAnsi="Times New Roman"/>
                <w:b w:val="0"/>
                <w:noProof/>
                <w:sz w:val="24"/>
                <w:u w:val="none"/>
              </w:rPr>
              <w:t>.</w:t>
            </w:r>
          </w:p>
        </w:tc>
      </w:tr>
      <w:tr w:rsidR="00B1769B" w:rsidRPr="00D82419" w14:paraId="3A41310B" w14:textId="77777777" w:rsidTr="63452C95">
        <w:tc>
          <w:tcPr>
            <w:tcW w:w="1129" w:type="dxa"/>
          </w:tcPr>
          <w:p w14:paraId="2A69B51A" w14:textId="0BBDEA22"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B1B3FB9" w14:textId="774696BD"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párhuzamos sokkszerű csökkenés esetében</w:t>
            </w:r>
          </w:p>
          <w:p w14:paraId="4D8674F1" w14:textId="517AA498"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Az NII változása az (EU) .../... felhatalmazáson alapuló rendelet (Kiadóhivatal: kérjük, illesszék be a felügyeleti kiugróérték-tesztre vonatkozó szabályozástechnikai standardra való hivatkozást) 1. cikke (2) bekezdésének b) pontjában és 2. cikkében említett „párhuzamos sokkszerű csökkenést”</w:t>
            </w:r>
            <w:r>
              <w:rPr>
                <w:rStyle w:val="FormatvorlageInstructionsTabelleText"/>
                <w:rFonts w:ascii="Times New Roman" w:hAnsi="Times New Roman"/>
                <w:noProof/>
                <w:sz w:val="24"/>
              </w:rPr>
              <w:t xml:space="preserve"> feltételező forgatókönyv szerint</w:t>
            </w:r>
            <w:r>
              <w:rPr>
                <w:noProof/>
              </w:rPr>
              <w:t>.</w:t>
            </w:r>
          </w:p>
        </w:tc>
      </w:tr>
      <w:tr w:rsidR="00923153" w:rsidRPr="00D82419" w14:paraId="5B99C8B8" w14:textId="77777777" w:rsidTr="63452C95">
        <w:tc>
          <w:tcPr>
            <w:tcW w:w="1129" w:type="dxa"/>
          </w:tcPr>
          <w:p w14:paraId="7203579F" w14:textId="7494CBB8"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0150–0170</w:t>
            </w:r>
          </w:p>
        </w:tc>
        <w:tc>
          <w:tcPr>
            <w:tcW w:w="7620" w:type="dxa"/>
          </w:tcPr>
          <w:p w14:paraId="094CEC13" w14:textId="51CFDCB3" w:rsidR="00923153" w:rsidRPr="00D82419" w:rsidRDefault="001A01B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 piaci érték (MV) belső mérési rendszer (IMS) szerinti változásai</w:t>
            </w:r>
          </w:p>
          <w:p w14:paraId="2E5292E0" w14:textId="7A67CD3C" w:rsidR="007229C5" w:rsidRPr="00D82419" w:rsidRDefault="007229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az alapforgatókönyv és a felügyeleti sokkforgatókönyvek szerint</w:t>
            </w:r>
          </w:p>
          <w:p w14:paraId="67095171" w14:textId="39679898"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A könyv szerinti érték 1 éves időtávon belüli piaciérték-változásaira (</w:t>
            </w:r>
            <w:r>
              <w:rPr>
                <w:rStyle w:val="FormatvorlageInstructionsTabelleText"/>
                <w:rFonts w:ascii="Times New Roman" w:hAnsi="Times New Roman"/>
                <w:b/>
                <w:noProof/>
                <w:sz w:val="24"/>
              </w:rPr>
              <w:t>∆</w:t>
            </w:r>
            <w:r>
              <w:rPr>
                <w:rStyle w:val="FormatvorlageInstructionsTabelleText"/>
                <w:rFonts w:ascii="Times New Roman" w:hAnsi="Times New Roman"/>
                <w:noProof/>
                <w:sz w:val="24"/>
              </w:rPr>
              <w:t>MV)</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 xml:space="preserve">vonatkozó, </w:t>
            </w:r>
            <w:r>
              <w:rPr>
                <w:rStyle w:val="InstructionsTabelleberschrift"/>
                <w:rFonts w:ascii="Times New Roman" w:hAnsi="Times New Roman"/>
                <w:b w:val="0"/>
                <w:noProof/>
                <w:sz w:val="24"/>
                <w:u w:val="none"/>
              </w:rPr>
              <w:t>alapforgatókönyv és felügyeleti sokkforgatókönyvek</w:t>
            </w:r>
            <w:r>
              <w:rPr>
                <w:rStyle w:val="FormatvorlageInstructionsTabelleText"/>
                <w:rFonts w:ascii="Times New Roman" w:hAnsi="Times New Roman"/>
                <w:noProof/>
                <w:sz w:val="24"/>
              </w:rPr>
              <w:t xml:space="preserve"> szerinti előrejelzéseket az eredménykimutatásban, vagy közvetlenül a saját tőkében kell feltüntetni (például az egyéb átfogó jövedelem alatt). Az intézmények a piaci érték változását </w:t>
            </w:r>
            <w:r>
              <w:rPr>
                <w:rStyle w:val="InstructionsTabelleberschrift"/>
                <w:rFonts w:ascii="Times New Roman" w:hAnsi="Times New Roman"/>
                <w:noProof/>
                <w:sz w:val="24"/>
                <w:u w:val="none"/>
              </w:rPr>
              <w:t>(∆</w:t>
            </w:r>
            <w:r>
              <w:rPr>
                <w:rStyle w:val="FormatvorlageInstructionsTabelleText"/>
                <w:rFonts w:ascii="Times New Roman" w:hAnsi="Times New Roman"/>
                <w:noProof/>
                <w:sz w:val="24"/>
              </w:rPr>
              <w:t xml:space="preserve">MV) a fedezeti elszámolás hatása nélkül jelentik, de nem vehetik figyelembe az 575/2013/EU rendelet 33. cikke (1) bekezdésének a) pontjában </w:t>
            </w:r>
            <w:r>
              <w:rPr>
                <w:noProof/>
              </w:rPr>
              <w:t>felsorolt elemek hatásait</w:t>
            </w:r>
            <w:r>
              <w:rPr>
                <w:rStyle w:val="FormatvorlageInstructionsTabelleText"/>
                <w:rFonts w:ascii="Times New Roman" w:hAnsi="Times New Roman"/>
                <w:noProof/>
                <w:sz w:val="24"/>
              </w:rPr>
              <w:t xml:space="preserve"> (amortizált bekerülési értéken értékelt tételeket fedező cash flow-fedezeti elszámolású származtatott termékek effektív része).</w:t>
            </w:r>
          </w:p>
          <w:p w14:paraId="6B865342" w14:textId="2651FC28" w:rsidR="00923153" w:rsidRPr="00D82419" w:rsidRDefault="0092315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Az intézmények az (EU) .../... felhatalmazáson alapuló rendelet (Kiadóhivatal: kérjük, illesszék be az egyszerűsített módszerre vonatkozó szabályozástechnikai standardra való hivatkozást) 1. cikkének (2) bekezdésében említett felügyeleti sokkforgatókönyvekhez az intézmény IRRBB belső mérési rendszere, vagy adott esetben az (EU) .../... felhatalmazáson alapuló rendelet (Kiadóhivatal: kérjük, illesszék be a felügyeleti kiugróérték-tesztre vonatkozó szabályozástechnikai standardra való hivatkozást)</w:t>
            </w:r>
            <w:r>
              <w:rPr>
                <w:rStyle w:val="FormatvorlageInstructionsTabelleText"/>
                <w:rFonts w:ascii="Times New Roman" w:hAnsi="Times New Roman"/>
                <w:noProof/>
                <w:sz w:val="24"/>
              </w:rPr>
              <w:t xml:space="preserve"> 22. cikke szerinti ∆MV-előrejelzéseket használják.</w:t>
            </w:r>
          </w:p>
          <w:p w14:paraId="24C4DC3D" w14:textId="23B6E2D6"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Annak az összegnek a teljes nagyságát és összetételét, amelynek értéke érzékeny a piaci érték változására </w:t>
            </w:r>
            <w:r>
              <w:rPr>
                <w:rStyle w:val="InstructionsTabelleberschrift"/>
                <w:rFonts w:ascii="Times New Roman" w:hAnsi="Times New Roman"/>
                <w:b w:val="0"/>
                <w:noProof/>
                <w:sz w:val="24"/>
                <w:u w:val="none"/>
              </w:rPr>
              <w:t>(∆</w:t>
            </w:r>
            <w:r>
              <w:rPr>
                <w:rStyle w:val="FormatvorlageInstructionsTabelleText"/>
                <w:rFonts w:ascii="Times New Roman" w:hAnsi="Times New Roman"/>
                <w:noProof/>
                <w:sz w:val="24"/>
              </w:rPr>
              <w:t>MV), változatlanul kell tartani azáltal, hogy a lejáró instrumentumokat (például a devizanem és az instrumentumok névleges összege tekintetében) hasonló jellemzőkkel rendelkező új instrumentumokkal kell helyettesíteni.</w:t>
            </w:r>
          </w:p>
          <w:p w14:paraId="536B6F4D" w14:textId="5656A60C" w:rsidR="00AF5A06" w:rsidRPr="00D82419" w:rsidRDefault="00AF5A06"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A becsült kockázatok, amelyekből a releváns paraméterek származtatása történik, ekvivalensek a SOT-számításhoz használtakkal, ideértve a viselkedési modellezést és az</w:t>
            </w:r>
            <w:r>
              <w:rPr>
                <w:noProof/>
              </w:rPr>
              <w:t xml:space="preserve"> automatikus opcionalitást.</w:t>
            </w:r>
          </w:p>
        </w:tc>
      </w:tr>
      <w:tr w:rsidR="00B42594" w:rsidRPr="00D82419" w:rsidDel="008E0D48" w14:paraId="7AC6FA75" w14:textId="77777777" w:rsidTr="63452C95">
        <w:tc>
          <w:tcPr>
            <w:tcW w:w="1129" w:type="dxa"/>
          </w:tcPr>
          <w:p w14:paraId="4F73B923" w14:textId="33FB00F8" w:rsidR="00B42594" w:rsidRPr="00D82419" w:rsidRDefault="00B425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620" w:type="dxa"/>
          </w:tcPr>
          <w:p w14:paraId="60E299BE" w14:textId="32434CD8" w:rsidR="00B42594" w:rsidRPr="00D82419" w:rsidRDefault="005D07D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 piaci érték szintje az alapforgatókönyv szerint</w:t>
            </w:r>
          </w:p>
          <w:p w14:paraId="25925B58" w14:textId="0CA46700" w:rsidR="00B42594" w:rsidRPr="00D82419" w:rsidDel="008C1F5D"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A piaci érték szintje a kamatláb-alapforgatókönyv szerint az adatszolgáltatás vonatkozási időpontjában.</w:t>
            </w:r>
          </w:p>
        </w:tc>
      </w:tr>
      <w:tr w:rsidR="00B42594" w:rsidRPr="00D82419" w14:paraId="3900C6EB" w14:textId="77777777" w:rsidTr="63452C95">
        <w:tc>
          <w:tcPr>
            <w:tcW w:w="1129" w:type="dxa"/>
          </w:tcPr>
          <w:p w14:paraId="35C36A35" w14:textId="61A8A73B" w:rsidR="00B42594" w:rsidRPr="00D82419" w:rsidRDefault="00B425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620" w:type="dxa"/>
          </w:tcPr>
          <w:p w14:paraId="76BA99CE" w14:textId="0566EC69" w:rsidR="00B42594" w:rsidRPr="00D82419" w:rsidRDefault="005D07D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MV párhuzamos sokkszerű emelkedés esetében</w:t>
            </w:r>
          </w:p>
          <w:p w14:paraId="1898CD18" w14:textId="4E66E93D" w:rsidR="00B42594" w:rsidRPr="00D82419"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Az MV változása az (EU) .../... felhatalmazáson alapuló rendelet (Kiadóhivatal: kérjük, illesszék be a felügyeleti kiugróérték-tesztre vonatkozó szabályozástechnikai standardra való hivatkozást) 1. cikke (2) bekezdésének a) pontjában és 2. cikkében említett „párhuzamos sokkszerű emelkedést” </w:t>
            </w:r>
            <w:r>
              <w:rPr>
                <w:rStyle w:val="FormatvorlageInstructionsTabelleText"/>
                <w:rFonts w:ascii="Times New Roman" w:hAnsi="Times New Roman"/>
                <w:noProof/>
                <w:sz w:val="24"/>
              </w:rPr>
              <w:t>feltételező forgatókönyv szerint</w:t>
            </w:r>
            <w:r>
              <w:rPr>
                <w:rStyle w:val="InstructionsTabelleberschrift"/>
                <w:rFonts w:ascii="Times New Roman" w:hAnsi="Times New Roman"/>
                <w:b w:val="0"/>
                <w:noProof/>
                <w:sz w:val="24"/>
                <w:u w:val="none"/>
              </w:rPr>
              <w:t>.</w:t>
            </w:r>
          </w:p>
        </w:tc>
      </w:tr>
      <w:tr w:rsidR="00B42594" w:rsidRPr="00D82419" w14:paraId="00FFC402" w14:textId="77777777" w:rsidTr="63452C95">
        <w:tc>
          <w:tcPr>
            <w:tcW w:w="1129" w:type="dxa"/>
          </w:tcPr>
          <w:p w14:paraId="6DDBFDDC" w14:textId="51876AB6" w:rsidR="00B42594" w:rsidRPr="00D82419" w:rsidRDefault="00B4259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0170</w:t>
            </w:r>
          </w:p>
        </w:tc>
        <w:tc>
          <w:tcPr>
            <w:tcW w:w="7620" w:type="dxa"/>
          </w:tcPr>
          <w:p w14:paraId="2EEA207C" w14:textId="17CB8D0F" w:rsidR="00B42594" w:rsidRPr="00D82419"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MV párhuzamos sokkszerű csökkenés esetében</w:t>
            </w:r>
          </w:p>
          <w:p w14:paraId="39515A3E" w14:textId="14E3906F" w:rsidR="00B42594" w:rsidRPr="00D82419" w:rsidRDefault="00B42594" w:rsidP="003C575D">
            <w:pPr>
              <w:pStyle w:val="InstructionsText"/>
              <w:rPr>
                <w:rStyle w:val="InstructionsTabelleberschrift"/>
                <w:rFonts w:ascii="Times New Roman" w:hAnsi="Times New Roman"/>
                <w:noProof/>
                <w:sz w:val="24"/>
                <w:highlight w:val="yellow"/>
              </w:rPr>
            </w:pPr>
            <w:r>
              <w:rPr>
                <w:rStyle w:val="InstructionsTabelleberschrift"/>
                <w:rFonts w:ascii="Times New Roman" w:hAnsi="Times New Roman"/>
                <w:b w:val="0"/>
                <w:noProof/>
                <w:sz w:val="24"/>
                <w:u w:val="none"/>
              </w:rPr>
              <w:t xml:space="preserve">Az MV változása az (EU) .../... felhatalmazáson alapuló rendelet (Kiadóhivatal: kérjük, illesszék be a felügyeleti kiugróérték-tesztre vonatkozó szabályozástechnikai standardra való hivatkozást) 1. cikke (2) bekezdésének b) pontjában és 2. cikkében említett „párhuzamos sokkszerű csökkenést” </w:t>
            </w:r>
            <w:r>
              <w:rPr>
                <w:rStyle w:val="FormatvorlageInstructionsTabelleText"/>
                <w:rFonts w:ascii="Times New Roman" w:hAnsi="Times New Roman"/>
                <w:noProof/>
                <w:sz w:val="24"/>
              </w:rPr>
              <w:t>feltételező forgatókönyv szerint</w:t>
            </w:r>
            <w:r>
              <w:rPr>
                <w:rStyle w:val="InstructionsTabelleberschrift"/>
                <w:rFonts w:ascii="Times New Roman" w:hAnsi="Times New Roman"/>
                <w:b w:val="0"/>
                <w:noProof/>
                <w:sz w:val="24"/>
                <w:u w:val="none"/>
              </w:rPr>
              <w:t>.</w:t>
            </w:r>
          </w:p>
        </w:tc>
      </w:tr>
      <w:tr w:rsidR="00BC1B09" w:rsidRPr="00D82419" w14:paraId="49125AD4" w14:textId="77777777" w:rsidTr="00584AD6">
        <w:tc>
          <w:tcPr>
            <w:tcW w:w="1129" w:type="dxa"/>
            <w:tcBorders>
              <w:top w:val="single" w:sz="4" w:space="0" w:color="auto"/>
              <w:left w:val="single" w:sz="4" w:space="0" w:color="auto"/>
              <w:bottom w:val="single" w:sz="4" w:space="0" w:color="auto"/>
              <w:right w:val="single" w:sz="4" w:space="0" w:color="auto"/>
            </w:tcBorders>
          </w:tcPr>
          <w:p w14:paraId="17299BC8" w14:textId="2B2B1CEF" w:rsidR="00BC1B09" w:rsidRPr="00D82419" w:rsidRDefault="00BC1B0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0180-0200</w:t>
            </w:r>
          </w:p>
        </w:tc>
        <w:tc>
          <w:tcPr>
            <w:tcW w:w="7620" w:type="dxa"/>
            <w:tcBorders>
              <w:top w:val="single" w:sz="4" w:space="0" w:color="auto"/>
              <w:left w:val="single" w:sz="4" w:space="0" w:color="auto"/>
              <w:bottom w:val="single" w:sz="4" w:space="0" w:color="auto"/>
              <w:right w:val="single" w:sz="4" w:space="0" w:color="auto"/>
            </w:tcBorders>
          </w:tcPr>
          <w:p w14:paraId="583FA646" w14:textId="58882327" w:rsidR="00E278CF" w:rsidRPr="00D82419" w:rsidRDefault="00CF733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Egyéb devizanemek: a kamatlábsokkok mértéke</w:t>
            </w:r>
          </w:p>
          <w:p w14:paraId="62EEE84C" w14:textId="7928B66E" w:rsidR="00BC1B09" w:rsidRPr="00D82419" w:rsidRDefault="00677FBE"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Az (EU) .../... felhatalmazáson alapuló rendelet (Kiadóhivatal: kérjük, illesszék be a felügyeleti kiugróérték-tesztre vonatkozó szabályozástechnikai standardra való hivatkozást) mellékletének B. része.</w:t>
            </w:r>
          </w:p>
          <w:p w14:paraId="0252908B" w14:textId="68C40504" w:rsidR="00BC1B09" w:rsidRPr="00D82419" w:rsidRDefault="00BC1B0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Az (EU) .../... felhatalmazáson alapuló rendelet (Kiadóhivatal: kérjük, illesszék be a felügyeleti kiugróérték-tesztre vonatkozó szabályozástechnikai standardra való hivatkozást) melléklete B. részének és az említett felhatalmazáson alapuló rendelet 2. cikkének megfelelően kalibrált, devizanemekre vonatkozó kamatlábsokkok. A kamatlábsokkok mértékét bázispontban és abszolút értékben kell megadni. A sokk mértéke a kockázatmentes kamatlábhoz viszonyított különbség (Δ</w:t>
            </w:r>
            <w:r>
              <w:rPr>
                <w:rStyle w:val="FormatvorlageInstructionsTabelleText"/>
                <w:rFonts w:ascii="Cambria Math" w:hAnsi="Cambria Math"/>
                <w:noProof/>
                <w:sz w:val="24"/>
              </w:rPr>
              <w:t>𝑅</w:t>
            </w:r>
            <w:r>
              <w:rPr>
                <w:rStyle w:val="FormatvorlageInstructionsTabelleText"/>
                <w:rFonts w:ascii="Times New Roman" w:hAnsi="Times New Roman"/>
                <w:noProof/>
                <w:sz w:val="24"/>
              </w:rPr>
              <w:t>).</w:t>
            </w:r>
          </w:p>
          <w:p w14:paraId="0D8BD90C" w14:textId="2887FF27" w:rsidR="00BC1B09" w:rsidRPr="00D82419" w:rsidRDefault="00BC1B09" w:rsidP="003C575D">
            <w:pPr>
              <w:pStyle w:val="InstructionsText"/>
              <w:rPr>
                <w:rStyle w:val="FormatvorlageInstructionsTabelleText"/>
                <w:rFonts w:ascii="Times New Roman" w:hAnsi="Times New Roman"/>
                <w:b/>
                <w:noProof/>
                <w:sz w:val="24"/>
                <w:highlight w:val="yellow"/>
                <w:u w:val="single"/>
              </w:rPr>
            </w:pPr>
            <w:r>
              <w:rPr>
                <w:rStyle w:val="InstructionsTabelleberschrift"/>
                <w:rFonts w:ascii="Times New Roman" w:hAnsi="Times New Roman"/>
                <w:b w:val="0"/>
                <w:noProof/>
                <w:sz w:val="24"/>
                <w:u w:val="none"/>
              </w:rPr>
              <w:t>Ezeket a sorokat nem kell jelenteni az (EU) .../... felhatalmazáson alapuló rendelet (Kiadóhivatal: kérjük, illesszék be a felügyeleti kiugróérték-tesztre vonatkozó szabályozástechnikai standardra való hivatkozást) mellékletének A. részében</w:t>
            </w:r>
            <w:r>
              <w:rPr>
                <w:rStyle w:val="FormatvorlageInstructionsTabelleText"/>
                <w:rFonts w:ascii="Times New Roman" w:hAnsi="Times New Roman"/>
                <w:noProof/>
                <w:sz w:val="24"/>
              </w:rPr>
              <w:t xml:space="preserve"> említett devizanemek esetében. Ezeket a sorokat csak a SOT-hoz figyelembe vett devizanemekre kell jelenteni, </w:t>
            </w:r>
            <w:r>
              <w:rPr>
                <w:noProof/>
              </w:rPr>
              <w:t>összhangban az említett felhatalmazáson alapuló rendelet 1. cikkének (4) bekezdésével</w:t>
            </w:r>
            <w:r>
              <w:rPr>
                <w:rStyle w:val="FormatvorlageInstructionsTabelleText"/>
                <w:rFonts w:ascii="Times New Roman" w:hAnsi="Times New Roman"/>
                <w:noProof/>
                <w:sz w:val="24"/>
              </w:rPr>
              <w:t>.</w:t>
            </w:r>
          </w:p>
        </w:tc>
      </w:tr>
      <w:tr w:rsidR="00C043E8" w:rsidRPr="00D82419" w14:paraId="5070F8ED" w14:textId="77777777" w:rsidTr="00584AD6">
        <w:tc>
          <w:tcPr>
            <w:tcW w:w="1129" w:type="dxa"/>
            <w:tcBorders>
              <w:top w:val="single" w:sz="4" w:space="0" w:color="auto"/>
              <w:left w:val="single" w:sz="4" w:space="0" w:color="auto"/>
              <w:bottom w:val="single" w:sz="4" w:space="0" w:color="auto"/>
              <w:right w:val="single" w:sz="4" w:space="0" w:color="auto"/>
            </w:tcBorders>
          </w:tcPr>
          <w:p w14:paraId="60335D11" w14:textId="19990D2A"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Borders>
              <w:top w:val="single" w:sz="4" w:space="0" w:color="auto"/>
              <w:left w:val="single" w:sz="4" w:space="0" w:color="auto"/>
              <w:bottom w:val="single" w:sz="4" w:space="0" w:color="auto"/>
              <w:right w:val="single" w:sz="4" w:space="0" w:color="auto"/>
            </w:tcBorders>
          </w:tcPr>
          <w:p w14:paraId="5B798E8E" w14:textId="5AE7CACA"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Párhuzamos sokk</w:t>
            </w:r>
          </w:p>
          <w:p w14:paraId="120B2401" w14:textId="7AFA3569"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 xml:space="preserve">Az (EU) .../... felhatalmazáson alapuló rendelet </w:t>
            </w:r>
            <w:r>
              <w:rPr>
                <w:noProof/>
              </w:rPr>
              <w:t>(Kiadóhivatal: kérjük, illesszék be a felügyeleti kiugróérték-tesztre vonatkozó szabályozástechnikai standardra való hivatkozást)</w:t>
            </w:r>
            <w:r>
              <w:rPr>
                <w:rStyle w:val="FormatvorlageInstructionsTabelleText"/>
                <w:rFonts w:ascii="Times New Roman" w:hAnsi="Times New Roman"/>
                <w:noProof/>
                <w:sz w:val="24"/>
              </w:rPr>
              <w:t xml:space="preserve"> melléklete B. részének és az említett felhatalmazáson alapuló rendelet 2. cikkének (1) bekezdésének megfelelően kalibrált párhuzamos kamatlábsokk bázispontokban megadott mértéke. </w:t>
            </w:r>
          </w:p>
        </w:tc>
      </w:tr>
      <w:tr w:rsidR="00C043E8" w:rsidRPr="00D82419" w14:paraId="5F947ED6" w14:textId="77777777" w:rsidTr="00584AD6">
        <w:tc>
          <w:tcPr>
            <w:tcW w:w="1129" w:type="dxa"/>
            <w:tcBorders>
              <w:top w:val="single" w:sz="4" w:space="0" w:color="auto"/>
              <w:left w:val="single" w:sz="4" w:space="0" w:color="auto"/>
              <w:bottom w:val="single" w:sz="4" w:space="0" w:color="auto"/>
              <w:right w:val="single" w:sz="4" w:space="0" w:color="auto"/>
            </w:tcBorders>
          </w:tcPr>
          <w:p w14:paraId="190A8FA4" w14:textId="5E5DF42D"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620" w:type="dxa"/>
            <w:tcBorders>
              <w:top w:val="single" w:sz="4" w:space="0" w:color="auto"/>
              <w:left w:val="single" w:sz="4" w:space="0" w:color="auto"/>
              <w:bottom w:val="single" w:sz="4" w:space="0" w:color="auto"/>
              <w:right w:val="single" w:sz="4" w:space="0" w:color="auto"/>
            </w:tcBorders>
          </w:tcPr>
          <w:p w14:paraId="5767B4BF" w14:textId="5CD31C76"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Rövid távú kamatlábak sokkja</w:t>
            </w:r>
          </w:p>
          <w:p w14:paraId="268536D0" w14:textId="54B23D99"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 xml:space="preserve">Az (EU) .../... felhatalmazáson alapuló rendelet (Kiadóhivatal: kérjük, illesszék be a felügyeleti kiugróérték-tesztre vonatkozó szabályozástechnikai standardra való hivatkozást) </w:t>
            </w:r>
            <w:r>
              <w:rPr>
                <w:noProof/>
              </w:rPr>
              <w:t>melléklete B. részének és az említett felhatalmazáson alapuló rendelet 2. cikkének (2) bekezdésének</w:t>
            </w:r>
            <w:r>
              <w:rPr>
                <w:rStyle w:val="FormatvorlageInstructionsTabelleText"/>
                <w:rFonts w:ascii="Times New Roman" w:hAnsi="Times New Roman"/>
                <w:noProof/>
                <w:sz w:val="24"/>
              </w:rPr>
              <w:t xml:space="preserve"> megfelelően kalibrált, rövid távú kamatlábak sokkjának bázispontokban megadott mértéke.</w:t>
            </w:r>
          </w:p>
        </w:tc>
      </w:tr>
      <w:tr w:rsidR="00C043E8" w:rsidRPr="00D82419" w14:paraId="1C319AB8" w14:textId="77777777" w:rsidTr="00584AD6">
        <w:tc>
          <w:tcPr>
            <w:tcW w:w="1129" w:type="dxa"/>
            <w:tcBorders>
              <w:top w:val="single" w:sz="4" w:space="0" w:color="auto"/>
              <w:left w:val="single" w:sz="4" w:space="0" w:color="auto"/>
              <w:bottom w:val="single" w:sz="4" w:space="0" w:color="auto"/>
              <w:right w:val="single" w:sz="4" w:space="0" w:color="auto"/>
            </w:tcBorders>
          </w:tcPr>
          <w:p w14:paraId="5ED2B733" w14:textId="0996E2FC"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Borders>
              <w:top w:val="single" w:sz="4" w:space="0" w:color="auto"/>
              <w:left w:val="single" w:sz="4" w:space="0" w:color="auto"/>
              <w:bottom w:val="single" w:sz="4" w:space="0" w:color="auto"/>
              <w:right w:val="single" w:sz="4" w:space="0" w:color="auto"/>
            </w:tcBorders>
          </w:tcPr>
          <w:p w14:paraId="1ABAAF9D" w14:textId="29F7B72E"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Hosszú távú kamatlábak sokkja</w:t>
            </w:r>
          </w:p>
          <w:p w14:paraId="0C2901AA" w14:textId="300F2D03"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Az (EU) .../... felhatalmazáson alapuló rendelet</w:t>
            </w:r>
            <w:r>
              <w:rPr>
                <w:noProof/>
                <w:sz w:val="23"/>
              </w:rPr>
              <w:t xml:space="preserve"> </w:t>
            </w:r>
            <w:r>
              <w:rPr>
                <w:noProof/>
              </w:rPr>
              <w:t>(Kiadóhivatal: kérjük, illesszék be a felügyeleti kiugróérték-tesztre vonatkozó szabályozástechnikai standardra való hivatkozást) melléklete B. részének és az említett felhatalmazáson alapuló rendelet 2. cikkének (3) bekezdésének</w:t>
            </w:r>
            <w:r>
              <w:rPr>
                <w:rStyle w:val="FormatvorlageInstructionsTabelleText"/>
                <w:rFonts w:ascii="Times New Roman" w:hAnsi="Times New Roman"/>
                <w:noProof/>
                <w:sz w:val="24"/>
              </w:rPr>
              <w:t xml:space="preserve"> megfelelően kalibrált, hosszú távú kamatlábak sokkjának bázispontokban megadott mértéke.</w:t>
            </w:r>
          </w:p>
        </w:tc>
      </w:tr>
    </w:tbl>
    <w:p w14:paraId="61DBD972" w14:textId="2B4115DD" w:rsidR="009E536A" w:rsidRPr="00D82419" w:rsidRDefault="009E536A" w:rsidP="00430DF0">
      <w:pPr>
        <w:suppressAutoHyphens/>
        <w:spacing w:after="0"/>
        <w:rPr>
          <w:rStyle w:val="InstructionsTabelleText"/>
          <w:rFonts w:ascii="Times New Roman" w:hAnsi="Times New Roman"/>
          <w:noProof/>
          <w:sz w:val="24"/>
        </w:rPr>
      </w:pPr>
    </w:p>
    <w:p w14:paraId="144E410A" w14:textId="7E7BFF82" w:rsidR="00AD0050" w:rsidRPr="00D82419" w:rsidRDefault="00AD0050" w:rsidP="00430DF0">
      <w:pPr>
        <w:suppressAutoHyphens/>
        <w:spacing w:before="0" w:after="0"/>
        <w:jc w:val="left"/>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D0050" w:rsidRPr="00D82419" w14:paraId="2EABC7FA" w14:textId="77777777" w:rsidTr="00466F09">
        <w:trPr>
          <w:trHeight w:val="638"/>
        </w:trPr>
        <w:tc>
          <w:tcPr>
            <w:tcW w:w="1129" w:type="dxa"/>
            <w:shd w:val="clear" w:color="auto" w:fill="D9D9D9" w:themeFill="background1" w:themeFillShade="D9"/>
          </w:tcPr>
          <w:p w14:paraId="1921E000" w14:textId="77777777" w:rsidR="00AD0050" w:rsidRPr="00D82419" w:rsidRDefault="00AD0050"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Oszlopok</w:t>
            </w:r>
          </w:p>
        </w:tc>
        <w:tc>
          <w:tcPr>
            <w:tcW w:w="7620" w:type="dxa"/>
            <w:shd w:val="clear" w:color="auto" w:fill="D9D9D9" w:themeFill="background1" w:themeFillShade="D9"/>
          </w:tcPr>
          <w:p w14:paraId="439B0F6E" w14:textId="77777777" w:rsidR="00AD0050" w:rsidRPr="00D82419" w:rsidRDefault="00AD0050"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Jogszabályi hivatkozások és útmutatások</w:t>
            </w:r>
          </w:p>
        </w:tc>
      </w:tr>
      <w:tr w:rsidR="00AD0050" w:rsidRPr="00D82419" w14:paraId="47947801" w14:textId="77777777" w:rsidTr="63452C95">
        <w:tc>
          <w:tcPr>
            <w:tcW w:w="1129" w:type="dxa"/>
          </w:tcPr>
          <w:p w14:paraId="0F239392" w14:textId="77777777" w:rsidR="00AD0050" w:rsidRPr="00D82419" w:rsidRDefault="00AD005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62E10208" w14:textId="0AA82A12" w:rsidR="00AD0050" w:rsidRPr="00D82419" w:rsidRDefault="10290D5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Összeg</w:t>
            </w:r>
          </w:p>
          <w:p w14:paraId="6D17DD5F" w14:textId="7B468155" w:rsidR="00AD0050" w:rsidRPr="00D82419" w:rsidRDefault="3F6CE5E4" w:rsidP="003C575D">
            <w:pPr>
              <w:pStyle w:val="InstructionsText"/>
              <w:rPr>
                <w:noProof/>
              </w:rPr>
            </w:pPr>
            <w:r>
              <w:rPr>
                <w:noProof/>
              </w:rPr>
              <w:t xml:space="preserve">A kamatlábsokkok meghatározott mértékét bázispontokban, a </w:t>
            </w:r>
            <w:r>
              <w:rPr>
                <w:rStyle w:val="InstructionsTabelleberschrift"/>
                <w:rFonts w:ascii="Times New Roman" w:hAnsi="Times New Roman"/>
                <w:noProof/>
                <w:sz w:val="24"/>
                <w:u w:val="none"/>
              </w:rPr>
              <w:t>∆</w:t>
            </w:r>
            <w:r>
              <w:rPr>
                <w:noProof/>
              </w:rPr>
              <w:t xml:space="preserve">EVE és a </w:t>
            </w:r>
            <w:r>
              <w:rPr>
                <w:rStyle w:val="InstructionsTabelleberschrift"/>
                <w:rFonts w:ascii="Times New Roman" w:hAnsi="Times New Roman"/>
                <w:noProof/>
                <w:sz w:val="24"/>
                <w:u w:val="none"/>
              </w:rPr>
              <w:t>∆</w:t>
            </w:r>
            <w:r>
              <w:rPr>
                <w:noProof/>
              </w:rPr>
              <w:t>NII értékeket mutatóként és összegként is fel kell tüntetni (a sorokra vonatkozó útmutatások szerint). Az összegeket az adatszolgáltatás pénznemében kell feltüntetni.</w:t>
            </w:r>
          </w:p>
        </w:tc>
      </w:tr>
    </w:tbl>
    <w:p w14:paraId="7AF07B4D" w14:textId="02370883" w:rsidR="009E536A" w:rsidRPr="00D82419" w:rsidRDefault="009E536A" w:rsidP="00430DF0">
      <w:pPr>
        <w:suppressAutoHyphens/>
        <w:spacing w:before="0" w:after="0"/>
        <w:jc w:val="left"/>
        <w:rPr>
          <w:rStyle w:val="InstructionsTabelleText"/>
          <w:rFonts w:ascii="Times New Roman" w:hAnsi="Times New Roman"/>
          <w:noProof/>
          <w:sz w:val="24"/>
        </w:rPr>
      </w:pPr>
    </w:p>
    <w:p w14:paraId="159245E1" w14:textId="396BFA0E" w:rsidR="00B74B3D" w:rsidRPr="00D82419" w:rsidRDefault="00B74B3D" w:rsidP="00430DF0">
      <w:pPr>
        <w:suppressAutoHyphens/>
        <w:spacing w:before="0" w:after="0"/>
        <w:jc w:val="left"/>
        <w:rPr>
          <w:rFonts w:ascii="Times New Roman" w:eastAsia="Arial" w:hAnsi="Times New Roman"/>
          <w:b/>
          <w:noProof/>
          <w:sz w:val="24"/>
          <w:lang w:eastAsia="x-none"/>
        </w:rPr>
      </w:pPr>
    </w:p>
    <w:p w14:paraId="23FCC71B" w14:textId="77777777" w:rsidR="00B15E5A" w:rsidRPr="00D82419" w:rsidRDefault="00B15E5A" w:rsidP="00430DF0">
      <w:pPr>
        <w:suppressAutoHyphens/>
        <w:spacing w:before="0" w:after="0"/>
        <w:jc w:val="left"/>
        <w:rPr>
          <w:rFonts w:ascii="Times New Roman" w:eastAsia="Arial" w:hAnsi="Times New Roman"/>
          <w:b/>
          <w:noProof/>
          <w:sz w:val="24"/>
        </w:rPr>
      </w:pPr>
      <w:r>
        <w:rPr>
          <w:noProof/>
        </w:rPr>
        <w:br w:type="page"/>
      </w:r>
    </w:p>
    <w:p w14:paraId="493C8899" w14:textId="095B9CCD" w:rsidR="009E536A" w:rsidRPr="00D82419" w:rsidRDefault="009E536A" w:rsidP="00430DF0">
      <w:pPr>
        <w:pStyle w:val="Heading2"/>
        <w:suppressAutoHyphens/>
        <w:rPr>
          <w:noProof/>
        </w:rPr>
      </w:pPr>
      <w:bookmarkStart w:id="48" w:name="_Toc160184418"/>
      <w:r>
        <w:rPr>
          <w:noProof/>
        </w:rPr>
        <w:t>III. RÉSZ: AZ ÉRZÉKENYSÉGRE VONATKOZÓ BECSLÉSEK BONTÁSA (J 02.00, J 03.00 és J 04.00)</w:t>
      </w:r>
      <w:bookmarkEnd w:id="48"/>
    </w:p>
    <w:p w14:paraId="32513CE9" w14:textId="1A066483" w:rsidR="009E536A" w:rsidRPr="008270ED" w:rsidRDefault="008270ED" w:rsidP="00430DF0">
      <w:pPr>
        <w:pStyle w:val="Instructionsberschrift2"/>
        <w:numPr>
          <w:ilvl w:val="0"/>
          <w:numId w:val="0"/>
        </w:numPr>
        <w:tabs>
          <w:tab w:val="left" w:pos="567"/>
        </w:tabs>
        <w:suppressAutoHyphens/>
        <w:rPr>
          <w:rFonts w:cs="Times New Roman"/>
          <w:b/>
          <w:bCs/>
          <w:noProof/>
          <w:sz w:val="24"/>
        </w:rPr>
      </w:pPr>
      <w:bookmarkStart w:id="49" w:name="_Toc160184419"/>
      <w:r>
        <w:rPr>
          <w:b/>
          <w:noProof/>
          <w:sz w:val="24"/>
        </w:rPr>
        <w:t>1.</w:t>
      </w:r>
      <w:r>
        <w:rPr>
          <w:b/>
          <w:noProof/>
          <w:sz w:val="24"/>
        </w:rPr>
        <w:tab/>
        <w:t>Általános megjegyzések</w:t>
      </w:r>
      <w:bookmarkEnd w:id="49"/>
    </w:p>
    <w:p w14:paraId="166F23E4" w14:textId="1A9B09CA" w:rsidR="007F62B7"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A J 02.00, a J 03.00 és a J 04.00 tábla részletesebb bontásban ismerteti a SOT szerinti IRRBB érzékenységek intézmény általi becslését ((EU) .../... felhatalmazáson alapuló rendelet [Kiadóhivatal: kérjük, illesszék be a felügyeleti kiugróérték-tesztre vonatkozó szabályozástechnikai standardra való hivatkozást]) és az MV-változásokat (belső kockázatkezelési kritériumok szerint számítva, 1 éves időtávot és konstans mérleget feltételezve), beleértve a viselkedési modellezést, valamint a feltételes és automatikus opcionalitást, a mérlegtételek meghatározott bontása szerint.</w:t>
      </w:r>
    </w:p>
    <w:p w14:paraId="0B9B6E14" w14:textId="48D34F64" w:rsidR="00911248"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Az intézmények az említett táblák tartalmát minden egyes olyan devizanemre vonatkozóan külön adják meg, amelyben az intézmény olyan pozíciókkal rendelkezik, ahol a devizában denominált pénzügyi eszközök vagy kötelezettségek könyv szerinti értéke a banki könyvi pénzügyi eszközök vagy kötelezettségek összegének legalább 5 %-át, vagy – ha a számításban szereplő pénzügyi eszközök vagy kötelezettségek összege kisebb a banki könyvi pénzügyi eszközök (tárgyi eszközök nélkül) vagy kötelezettségek összegének 90 %-ánál – kevesebb mint 5 %-át teszi ki.</w:t>
      </w:r>
    </w:p>
    <w:p w14:paraId="367BED49" w14:textId="37D34C2F" w:rsidR="009E536A" w:rsidRPr="00925E4F" w:rsidRDefault="00925E4F" w:rsidP="00430DF0">
      <w:pPr>
        <w:pStyle w:val="Instructionsberschrift2"/>
        <w:numPr>
          <w:ilvl w:val="0"/>
          <w:numId w:val="0"/>
        </w:numPr>
        <w:tabs>
          <w:tab w:val="left" w:pos="567"/>
        </w:tabs>
        <w:suppressAutoHyphens/>
        <w:rPr>
          <w:rFonts w:cs="Times New Roman"/>
          <w:b/>
          <w:bCs/>
          <w:noProof/>
          <w:sz w:val="24"/>
        </w:rPr>
      </w:pPr>
      <w:bookmarkStart w:id="50" w:name="_Ref119418268"/>
      <w:bookmarkStart w:id="51" w:name="_Toc160184420"/>
      <w:r>
        <w:rPr>
          <w:b/>
          <w:noProof/>
          <w:sz w:val="24"/>
        </w:rPr>
        <w:t>2.</w:t>
      </w:r>
      <w:r>
        <w:rPr>
          <w:b/>
          <w:noProof/>
          <w:sz w:val="24"/>
        </w:rPr>
        <w:tab/>
        <w:t>A táblák egyes részeire vonatkozó útmutatások</w:t>
      </w:r>
      <w:bookmarkEnd w:id="50"/>
      <w:bookmarkEnd w:id="51"/>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741F94" w:rsidRPr="00D82419" w14:paraId="67553BBE" w14:textId="77777777" w:rsidTr="00CB270D">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753AF4" w14:textId="77777777" w:rsidR="00741F94" w:rsidRPr="00D82419" w:rsidRDefault="00741F94"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Sor</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637391" w14:textId="77777777" w:rsidR="00741F94" w:rsidRPr="00D82419" w:rsidRDefault="00741F94"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Jogszabályi hivatkozások és útmutatások</w:t>
            </w:r>
          </w:p>
        </w:tc>
      </w:tr>
      <w:tr w:rsidR="00741F94" w:rsidRPr="00D82419" w14:paraId="73A737E4"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4BE1DF75" w14:textId="77777777"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334679E0"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Eszközök összesen</w:t>
            </w:r>
          </w:p>
          <w:p w14:paraId="7107F5D8" w14:textId="6D999454" w:rsidR="007F62B7" w:rsidRPr="00D82419" w:rsidRDefault="007F62B7" w:rsidP="003C575D">
            <w:pPr>
              <w:pStyle w:val="InstructionsText"/>
              <w:rPr>
                <w:rStyle w:val="FormatvorlageInstructionsTabelleText"/>
                <w:rFonts w:ascii="Times New Roman" w:hAnsi="Times New Roman"/>
                <w:bCs w:val="0"/>
                <w:noProof/>
                <w:sz w:val="24"/>
              </w:rPr>
            </w:pPr>
            <w:r>
              <w:rPr>
                <w:noProof/>
              </w:rPr>
              <w:t xml:space="preserve">Az (EU) .../... felhatalmazáson alapuló rendelet (Kiadóhivatal: kérjük, illesszék be a felügyeleti kiemelkedőérték-tesztre vonatkozó szabályozástechnikai standardra való hivatkozást) hatálya alá tartozó </w:t>
            </w:r>
            <w:r>
              <w:rPr>
                <w:rStyle w:val="FormatvorlageInstructionsTabelleText"/>
                <w:rFonts w:ascii="Times New Roman" w:hAnsi="Times New Roman"/>
                <w:noProof/>
                <w:sz w:val="24"/>
              </w:rPr>
              <w:t>kamatlábérzékeny eszközök teljes összege</w:t>
            </w:r>
            <w:r>
              <w:rPr>
                <w:noProof/>
              </w:rPr>
              <w:t xml:space="preserve">, </w:t>
            </w:r>
            <w:r>
              <w:rPr>
                <w:rStyle w:val="FormatvorlageInstructionsTabelleText"/>
                <w:rFonts w:ascii="Times New Roman" w:hAnsi="Times New Roman"/>
                <w:noProof/>
                <w:sz w:val="24"/>
              </w:rPr>
              <w:t>függetlenül azok elszámolási módjától. Ez a sor a következőket tartalmazza:</w:t>
            </w:r>
          </w:p>
          <w:p w14:paraId="5F3B0345" w14:textId="5954E224" w:rsidR="00D1720D" w:rsidRPr="00CB0212"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központi bankokkal szembeni kötelezettségek;</w:t>
            </w:r>
          </w:p>
          <w:p w14:paraId="2F726373" w14:textId="2FE063AD" w:rsidR="006E4174" w:rsidRPr="00D82419"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bankközi eszközök;</w:t>
            </w:r>
          </w:p>
          <w:p w14:paraId="04EFCDE1" w14:textId="4E5CB67E" w:rsidR="00741F94" w:rsidRPr="00D82419" w:rsidRDefault="00E21745" w:rsidP="003C575D">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 hitelek és előlegek;</w:t>
            </w:r>
          </w:p>
          <w:p w14:paraId="7EB9F6CB" w14:textId="55D1E706"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hitelviszonyt megtestesítő értékpapírok;</w:t>
            </w:r>
          </w:p>
          <w:p w14:paraId="3F3DC394" w14:textId="7098B68E"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eszközöket fedező származtatott termékek;</w:t>
            </w:r>
          </w:p>
          <w:p w14:paraId="3F84EC18" w14:textId="2DA05C93"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egyéb.</w:t>
            </w:r>
          </w:p>
          <w:p w14:paraId="69621AB3" w14:textId="68D06F22" w:rsidR="00741F94" w:rsidRPr="00D82419" w:rsidRDefault="00F13E6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Az intézmények megadják azon eszközök IRRBB-kitettségeit, amelyek nem kerülnek levonásra az 575/2013/EU</w:t>
            </w:r>
            <w:r>
              <w:rPr>
                <w:noProof/>
              </w:rPr>
              <w:t xml:space="preserve"> rendelet </w:t>
            </w:r>
            <w:r>
              <w:rPr>
                <w:rStyle w:val="InstructionsTabelleberschrift"/>
                <w:rFonts w:ascii="Times New Roman" w:hAnsi="Times New Roman"/>
                <w:b w:val="0"/>
                <w:noProof/>
                <w:sz w:val="24"/>
                <w:u w:val="none"/>
              </w:rPr>
              <w:t>második része I. címének 2. fejezete szerint meghatározott elsődleges alapvető tőkéből, a tárgyi eszközök (például ingatlanok) nélkül, és megadják az 575/2013/EU</w:t>
            </w:r>
            <w:r>
              <w:rPr>
                <w:noProof/>
              </w:rPr>
              <w:t xml:space="preserve"> rendelet 133. cikkében és a 147. cikke (2) bekezdésének e) pontjában említett banki könyvi részvényjellegű kitettségeket</w:t>
            </w:r>
            <w:r>
              <w:rPr>
                <w:rStyle w:val="InstructionsTabelleberschrift"/>
                <w:rFonts w:ascii="Times New Roman" w:hAnsi="Times New Roman"/>
                <w:b w:val="0"/>
                <w:noProof/>
                <w:sz w:val="24"/>
                <w:u w:val="none"/>
              </w:rPr>
              <w:t>. Ezeket a kitettségeket a közvetlen partner jellege alapján kell hozzárendelni az ügyfélszektorokhoz.</w:t>
            </w:r>
          </w:p>
        </w:tc>
      </w:tr>
      <w:tr w:rsidR="00A827A8" w:rsidRPr="00D82419" w14:paraId="000863FE" w14:textId="77777777" w:rsidTr="00CB270D">
        <w:tc>
          <w:tcPr>
            <w:tcW w:w="1276" w:type="dxa"/>
            <w:tcBorders>
              <w:top w:val="single" w:sz="4" w:space="0" w:color="auto"/>
              <w:left w:val="single" w:sz="4" w:space="0" w:color="auto"/>
              <w:bottom w:val="single" w:sz="4" w:space="0" w:color="auto"/>
              <w:right w:val="single" w:sz="4" w:space="0" w:color="auto"/>
            </w:tcBorders>
          </w:tcPr>
          <w:p w14:paraId="0932E0BE" w14:textId="2547B05B" w:rsidR="00A827A8" w:rsidRPr="00D82419" w:rsidRDefault="00A827A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512" w:type="dxa"/>
            <w:tcBorders>
              <w:top w:val="single" w:sz="4" w:space="0" w:color="auto"/>
              <w:left w:val="single" w:sz="4" w:space="0" w:color="auto"/>
              <w:bottom w:val="single" w:sz="4" w:space="0" w:color="auto"/>
              <w:right w:val="single" w:sz="4" w:space="0" w:color="auto"/>
            </w:tcBorders>
          </w:tcPr>
          <w:p w14:paraId="371FFDE6" w14:textId="349C7A2B" w:rsidR="001D67C3" w:rsidRPr="00CB270D" w:rsidRDefault="001D67C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ebből: automatikus opcionalitás miatt</w:t>
            </w:r>
          </w:p>
          <w:p w14:paraId="7FE49A82" w14:textId="1DF342DD" w:rsidR="00364443" w:rsidRPr="0041005E" w:rsidRDefault="001D67C3" w:rsidP="003C575D">
            <w:pPr>
              <w:pStyle w:val="InstructionsText"/>
              <w:rPr>
                <w:noProof/>
              </w:rPr>
            </w:pPr>
            <w:r>
              <w:rPr>
                <w:noProof/>
              </w:rPr>
              <w:t>A beágyazott és az explicit automatikus opcionalitás hatása az (EU) .../... felhatalmazáson alapuló rendelet (Kiadóhivatal: kérjük, illesszék be a felügyeleti kiemelkedőérték-tesztre vonatkozó szabályozástechnikai standardra való hivatkozást) hatálya alá tartozó kamatlábérzékeny eszközök teljes összegére, függetlenül azok elszámolási módjától.</w:t>
            </w:r>
          </w:p>
        </w:tc>
      </w:tr>
      <w:tr w:rsidR="00741F94" w:rsidRPr="00D82419" w14:paraId="09CBB10F"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7118111F" w14:textId="4400AE1A"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512" w:type="dxa"/>
            <w:tcBorders>
              <w:top w:val="single" w:sz="4" w:space="0" w:color="auto"/>
              <w:left w:val="single" w:sz="4" w:space="0" w:color="auto"/>
              <w:bottom w:val="single" w:sz="4" w:space="0" w:color="auto"/>
              <w:right w:val="single" w:sz="4" w:space="0" w:color="auto"/>
            </w:tcBorders>
            <w:hideMark/>
          </w:tcPr>
          <w:p w14:paraId="4355D6A9" w14:textId="39B6AB85"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Központi bank</w:t>
            </w:r>
          </w:p>
          <w:p w14:paraId="4F18E9BC" w14:textId="7D9B69C5" w:rsidR="00741F94" w:rsidRPr="00D82419" w:rsidRDefault="000503D6" w:rsidP="003C575D">
            <w:pPr>
              <w:pStyle w:val="InstructionsText"/>
              <w:rPr>
                <w:rStyle w:val="InstructionsTabelleberschrift"/>
                <w:rFonts w:ascii="Times New Roman" w:hAnsi="Times New Roman"/>
                <w:b w:val="0"/>
                <w:bCs w:val="0"/>
                <w:noProof/>
                <w:sz w:val="24"/>
                <w:u w:val="none"/>
              </w:rPr>
            </w:pPr>
            <w:r>
              <w:rPr>
                <w:noProof/>
              </w:rPr>
              <w:t>Az e rendelet V. melléklete 1. része 42. pontjának a) alpontjában említett, központi bankokkal szembeni követelések, beleértve a számlaköveteléseket és a látra szóló betéteket.</w:t>
            </w:r>
          </w:p>
        </w:tc>
      </w:tr>
      <w:tr w:rsidR="00544C58" w:rsidRPr="00D82419" w14:paraId="520FA57A" w14:textId="77777777" w:rsidTr="00CB270D">
        <w:tc>
          <w:tcPr>
            <w:tcW w:w="1276" w:type="dxa"/>
            <w:tcBorders>
              <w:top w:val="single" w:sz="4" w:space="0" w:color="auto"/>
              <w:left w:val="single" w:sz="4" w:space="0" w:color="auto"/>
              <w:bottom w:val="single" w:sz="4" w:space="0" w:color="auto"/>
              <w:right w:val="single" w:sz="4" w:space="0" w:color="auto"/>
            </w:tcBorders>
          </w:tcPr>
          <w:p w14:paraId="4ACE6ED4" w14:textId="692403AB" w:rsidR="00544C58"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512" w:type="dxa"/>
            <w:tcBorders>
              <w:top w:val="single" w:sz="4" w:space="0" w:color="auto"/>
              <w:left w:val="single" w:sz="4" w:space="0" w:color="auto"/>
              <w:bottom w:val="single" w:sz="4" w:space="0" w:color="auto"/>
              <w:right w:val="single" w:sz="4" w:space="0" w:color="auto"/>
            </w:tcBorders>
          </w:tcPr>
          <w:p w14:paraId="034E6FD3" w14:textId="77777777" w:rsidR="00544C58" w:rsidRPr="00D82419" w:rsidRDefault="00E9223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Bankközi</w:t>
            </w:r>
          </w:p>
          <w:p w14:paraId="6C7EA869" w14:textId="37DC5506" w:rsidR="00544C58" w:rsidRPr="00D82419" w:rsidRDefault="00CB3FA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Minden olyan eszköz, amelynek partnere hitelintézet az e rendelet</w:t>
            </w:r>
            <w:r>
              <w:rPr>
                <w:noProof/>
              </w:rPr>
              <w:t xml:space="preserve"> V. melléklete 1. része 42. pontjának c) alpontja szerint, az értékpapírok és a származtatott kitettségek nélkül</w:t>
            </w:r>
            <w:r>
              <w:rPr>
                <w:rStyle w:val="InstructionsTabelleberschrift"/>
                <w:rFonts w:ascii="Times New Roman" w:hAnsi="Times New Roman"/>
                <w:b w:val="0"/>
                <w:noProof/>
                <w:sz w:val="24"/>
                <w:u w:val="none"/>
              </w:rPr>
              <w:t>.</w:t>
            </w:r>
          </w:p>
        </w:tc>
      </w:tr>
      <w:tr w:rsidR="00741F94" w:rsidRPr="00D82419" w14:paraId="57CB6133"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6654452B" w14:textId="47AAF884" w:rsidR="00741F94"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9EE6FB7"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Hitelek és előlegek</w:t>
            </w:r>
          </w:p>
          <w:p w14:paraId="64597ADD" w14:textId="23559F2E" w:rsidR="00741F94" w:rsidRPr="00D82419" w:rsidRDefault="00CE054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Az e rendelet V. melléklete 1. részének 32. pontjában említett, intézmények által tartott, hitelviszonyt megtestesítő instrumentumok,</w:t>
            </w:r>
            <w:r>
              <w:rPr>
                <w:noProof/>
              </w:rPr>
              <w:t xml:space="preserve"> amelyek nem értékpapírok</w:t>
            </w:r>
            <w:r>
              <w:rPr>
                <w:rStyle w:val="InstructionsTabelleberschrift"/>
                <w:rFonts w:ascii="Times New Roman" w:hAnsi="Times New Roman"/>
                <w:b w:val="0"/>
                <w:noProof/>
                <w:sz w:val="24"/>
                <w:u w:val="none"/>
              </w:rPr>
              <w:t>. Ebben a sorban nem szerepelhetnek a 0030 és a 0040 sorban feltüntetett kitettségek.</w:t>
            </w:r>
          </w:p>
        </w:tc>
      </w:tr>
      <w:tr w:rsidR="00D82538" w:rsidRPr="00D82419" w14:paraId="3BB1E4DD" w14:textId="77777777" w:rsidTr="00CB270D">
        <w:tc>
          <w:tcPr>
            <w:tcW w:w="1276" w:type="dxa"/>
            <w:tcBorders>
              <w:top w:val="single" w:sz="4" w:space="0" w:color="auto"/>
              <w:left w:val="single" w:sz="4" w:space="0" w:color="auto"/>
              <w:bottom w:val="single" w:sz="4" w:space="0" w:color="auto"/>
              <w:right w:val="single" w:sz="4" w:space="0" w:color="auto"/>
            </w:tcBorders>
          </w:tcPr>
          <w:p w14:paraId="59B4E6A9" w14:textId="0189D751" w:rsidR="00D82538" w:rsidRPr="00D82419" w:rsidDel="002E7204" w:rsidRDefault="00D82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05C72029" w14:textId="77777777" w:rsidR="00D82538" w:rsidRPr="00D82419" w:rsidRDefault="003E575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ebből: rögzített kamatozású</w:t>
            </w:r>
          </w:p>
          <w:p w14:paraId="0C01CA13" w14:textId="2A2D1336" w:rsidR="003E575E" w:rsidRPr="00D82419" w:rsidRDefault="003E575E" w:rsidP="003C575D">
            <w:pPr>
              <w:pStyle w:val="InstructionsText"/>
              <w:rPr>
                <w:rStyle w:val="InstructionsTabelleberschrift"/>
                <w:rFonts w:ascii="Times New Roman" w:hAnsi="Times New Roman"/>
                <w:noProof/>
                <w:sz w:val="24"/>
              </w:rPr>
            </w:pPr>
            <w:r>
              <w:rPr>
                <w:noProof/>
              </w:rPr>
              <w:t xml:space="preserve">Az intézmények a rögzített kamatozású instrumentumokra vonatkozó számadatokat az e melléklet I. részének </w:t>
            </w:r>
            <w:r w:rsidRPr="0099267D">
              <w:rPr>
                <w:noProof/>
              </w:rPr>
              <w:fldChar w:fldCharType="begin"/>
            </w:r>
            <w:r w:rsidRPr="0099267D">
              <w:rPr>
                <w:noProof/>
              </w:rPr>
              <w:instrText xml:space="preserve"> REF _Ref125115357 \r \h  \* MERGEFORMAT </w:instrText>
            </w:r>
            <w:r w:rsidRPr="0099267D">
              <w:rPr>
                <w:noProof/>
              </w:rPr>
            </w:r>
            <w:r w:rsidRPr="0099267D">
              <w:rPr>
                <w:noProof/>
              </w:rPr>
              <w:fldChar w:fldCharType="separate"/>
            </w:r>
            <w:r w:rsidR="003520A1" w:rsidRPr="0099267D">
              <w:rPr>
                <w:noProof/>
              </w:rPr>
              <w:t>3</w:t>
            </w:r>
            <w:r w:rsidRPr="0099267D">
              <w:rPr>
                <w:noProof/>
              </w:rPr>
              <w:fldChar w:fldCharType="end"/>
            </w:r>
            <w:r>
              <w:rPr>
                <w:noProof/>
              </w:rPr>
              <w:t>. szakaszában meghatározott szabály szerint adják meg.</w:t>
            </w:r>
          </w:p>
        </w:tc>
      </w:tr>
      <w:tr w:rsidR="00741F94" w:rsidRPr="00D82419" w14:paraId="0BC793E4" w14:textId="77777777" w:rsidTr="00CB270D">
        <w:tc>
          <w:tcPr>
            <w:tcW w:w="1276" w:type="dxa"/>
            <w:tcBorders>
              <w:top w:val="single" w:sz="4" w:space="0" w:color="auto"/>
              <w:left w:val="single" w:sz="4" w:space="0" w:color="auto"/>
              <w:bottom w:val="single" w:sz="4" w:space="0" w:color="auto"/>
              <w:right w:val="single" w:sz="4" w:space="0" w:color="auto"/>
            </w:tcBorders>
          </w:tcPr>
          <w:p w14:paraId="305CD777" w14:textId="42B71776" w:rsidR="00741F94" w:rsidRPr="00D82419" w:rsidRDefault="002E720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0070</w:t>
            </w:r>
          </w:p>
        </w:tc>
        <w:tc>
          <w:tcPr>
            <w:tcW w:w="7512" w:type="dxa"/>
            <w:tcBorders>
              <w:top w:val="single" w:sz="4" w:space="0" w:color="auto"/>
              <w:left w:val="single" w:sz="4" w:space="0" w:color="auto"/>
              <w:bottom w:val="single" w:sz="4" w:space="0" w:color="auto"/>
              <w:right w:val="single" w:sz="4" w:space="0" w:color="auto"/>
            </w:tcBorders>
          </w:tcPr>
          <w:p w14:paraId="74C2C652" w14:textId="1E46CDAB" w:rsidR="00741F94" w:rsidRPr="00D82419"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ebből: nemteljesítő</w:t>
            </w:r>
          </w:p>
          <w:p w14:paraId="65A1D079" w14:textId="1AB6A06C" w:rsidR="00741F94" w:rsidRPr="00D82419" w:rsidRDefault="007F62B7"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Az (EU) .../... felhatalmazáson alapuló rendelet (Kiadóhivatal: kérjük, illesszék be a felügyeleti kiemelkedőérték-tesztre vonatkozó szabályozástechnikai standardra való hivatkozást) 3. cikkének (4) bekezdésében és az 575/2013/EU rendelet 47a. cikkének (3) bekezdésében említett </w:t>
            </w:r>
            <w:r>
              <w:rPr>
                <w:noProof/>
              </w:rPr>
              <w:t>nemteljesítő hitelek és előlegek</w:t>
            </w:r>
            <w:r>
              <w:rPr>
                <w:rStyle w:val="InstructionsTabelleberschrift"/>
                <w:rFonts w:ascii="Times New Roman" w:hAnsi="Times New Roman"/>
                <w:b w:val="0"/>
                <w:noProof/>
                <w:sz w:val="24"/>
                <w:u w:val="none"/>
              </w:rPr>
              <w:t>.</w:t>
            </w:r>
          </w:p>
        </w:tc>
      </w:tr>
      <w:tr w:rsidR="00741F94" w:rsidRPr="00D82419" w14:paraId="50137C48" w14:textId="77777777" w:rsidTr="00CB270D">
        <w:tc>
          <w:tcPr>
            <w:tcW w:w="1276" w:type="dxa"/>
            <w:tcBorders>
              <w:top w:val="single" w:sz="4" w:space="0" w:color="auto"/>
              <w:left w:val="single" w:sz="4" w:space="0" w:color="auto"/>
              <w:bottom w:val="single" w:sz="4" w:space="0" w:color="auto"/>
              <w:right w:val="single" w:sz="4" w:space="0" w:color="auto"/>
            </w:tcBorders>
          </w:tcPr>
          <w:p w14:paraId="028154D1" w14:textId="78D583D6" w:rsidR="00741F94" w:rsidRPr="00D82419" w:rsidRDefault="002E720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369F983D"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Lakossági</w:t>
            </w:r>
          </w:p>
          <w:p w14:paraId="6F9561E9" w14:textId="0D5F796D" w:rsidR="00BB1FA5" w:rsidRPr="00D82419" w:rsidRDefault="007F62B7" w:rsidP="003C575D">
            <w:pPr>
              <w:pStyle w:val="InstructionsText"/>
              <w:rPr>
                <w:noProof/>
              </w:rPr>
            </w:pPr>
            <w:r>
              <w:rPr>
                <w:noProof/>
              </w:rPr>
              <w:t xml:space="preserve">Természetes személynek vagy </w:t>
            </w:r>
            <w:r>
              <w:rPr>
                <w:rStyle w:val="cf01"/>
                <w:rFonts w:ascii="Times New Roman" w:hAnsi="Times New Roman"/>
                <w:noProof/>
                <w:sz w:val="24"/>
              </w:rPr>
              <w:t>kis- és középvállalkozásoknak</w:t>
            </w:r>
            <w:r>
              <w:rPr>
                <w:noProof/>
              </w:rPr>
              <w:t xml:space="preserve"> (a továbbiakban: kkv) nyújtott hitelek és előlegek, amennyiben a kkv-val szembeni kitettség az 575/2013/EU rendelet I. része II. címének 2. és 3. fejezetében meghatározott, hitelkockázatra alkalmazandó sztenderd módszer vagy belső minősítésen alapuló (IRB) módszer szerint lakossággal szembeni kitettségi osztályba tartozónak minősül, vagy az olyan vállalkozásnak nyújtott hitelek és előlegek, amely esetében az 575/2013/EU rendelet 153. cikkének (4) bekezdésében meghatározott számítás alkalmazandó, és amennyiben ezen kkv vagy vállalkozás csoportalapon figyelembe vett betéteinek aggregált összege nem haladja meg az 1 millió EUR-t.</w:t>
            </w:r>
          </w:p>
          <w:p w14:paraId="2F00E30F" w14:textId="05247D51" w:rsidR="00741F94" w:rsidRPr="00D82419" w:rsidRDefault="00741F94" w:rsidP="003C575D">
            <w:pPr>
              <w:pStyle w:val="InstructionsText"/>
              <w:rPr>
                <w:rStyle w:val="InstructionsTabelleberschrift"/>
                <w:rFonts w:ascii="Times New Roman" w:hAnsi="Times New Roman"/>
                <w:b w:val="0"/>
                <w:bCs w:val="0"/>
                <w:noProof/>
                <w:sz w:val="24"/>
                <w:u w:val="none"/>
              </w:rPr>
            </w:pPr>
            <w:r>
              <w:rPr>
                <w:noProof/>
              </w:rPr>
              <w:t>Ebben a sorban mind a teljesítő, mind a nemteljesítő lakossági hiteleket és előlegeket kell feltüntetni.</w:t>
            </w:r>
          </w:p>
        </w:tc>
      </w:tr>
      <w:tr w:rsidR="00741F94" w:rsidRPr="00D82419" w14:paraId="13DA4198" w14:textId="77777777" w:rsidTr="00CB270D">
        <w:tc>
          <w:tcPr>
            <w:tcW w:w="1276" w:type="dxa"/>
            <w:tcBorders>
              <w:top w:val="single" w:sz="4" w:space="0" w:color="auto"/>
              <w:left w:val="single" w:sz="4" w:space="0" w:color="auto"/>
              <w:bottom w:val="single" w:sz="4" w:space="0" w:color="auto"/>
              <w:right w:val="single" w:sz="4" w:space="0" w:color="auto"/>
            </w:tcBorders>
          </w:tcPr>
          <w:p w14:paraId="1693BB16" w14:textId="755ECBC6" w:rsidR="00741F94"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3C7D082B" w14:textId="22C1F0E3" w:rsidR="00741F94" w:rsidRPr="00D82419" w:rsidRDefault="00E620F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ebből: lakóingatlannal fedezett</w:t>
            </w:r>
          </w:p>
          <w:p w14:paraId="23AF36E9" w14:textId="26C85DBC" w:rsidR="00741F94" w:rsidRPr="00D82419" w:rsidRDefault="006E4174" w:rsidP="00430DF0">
            <w:pPr>
              <w:suppressAutoHyphens/>
              <w:rPr>
                <w:rStyle w:val="InstructionsTabelleberschrift"/>
                <w:rFonts w:ascii="Times New Roman" w:hAnsi="Times New Roman"/>
                <w:b w:val="0"/>
                <w:bCs w:val="0"/>
                <w:noProof/>
                <w:sz w:val="24"/>
              </w:rPr>
            </w:pPr>
            <w:r>
              <w:rPr>
                <w:rFonts w:ascii="Times New Roman" w:hAnsi="Times New Roman"/>
                <w:noProof/>
                <w:sz w:val="24"/>
              </w:rPr>
              <w:t>Az előírásoknak megfelelően lakóingatlannal fedezett lakossági hitelek, függetlenül azok hitelfedezeti arányától és a biztosíték jogi formájától.</w:t>
            </w:r>
          </w:p>
        </w:tc>
      </w:tr>
      <w:tr w:rsidR="00741F94" w:rsidRPr="00D82419" w14:paraId="315C92D4" w14:textId="77777777" w:rsidTr="00CB270D">
        <w:tc>
          <w:tcPr>
            <w:tcW w:w="1276" w:type="dxa"/>
            <w:tcBorders>
              <w:top w:val="single" w:sz="4" w:space="0" w:color="auto"/>
              <w:left w:val="single" w:sz="4" w:space="0" w:color="auto"/>
              <w:bottom w:val="single" w:sz="4" w:space="0" w:color="auto"/>
              <w:right w:val="single" w:sz="4" w:space="0" w:color="auto"/>
            </w:tcBorders>
          </w:tcPr>
          <w:p w14:paraId="63CA55BE" w14:textId="6527E2F6"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64484C70"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Nem lakossági – nem pénzügyi</w:t>
            </w:r>
          </w:p>
          <w:p w14:paraId="44A9638B" w14:textId="224BD641" w:rsidR="00741F94" w:rsidRPr="00D82419" w:rsidRDefault="002612D5" w:rsidP="003C575D">
            <w:pPr>
              <w:pStyle w:val="InstructionsText"/>
              <w:rPr>
                <w:rStyle w:val="InstructionsTabelleberschrift"/>
                <w:rFonts w:ascii="Times New Roman" w:hAnsi="Times New Roman"/>
                <w:b w:val="0"/>
                <w:bCs w:val="0"/>
                <w:noProof/>
                <w:sz w:val="24"/>
                <w:u w:val="none"/>
              </w:rPr>
            </w:pPr>
            <w:r>
              <w:rPr>
                <w:noProof/>
              </w:rPr>
              <w:t>Az e rendelet V. melléklete 1. része 42. pontjának b) és e) alpontjában említett államháztartásoknak és nem pénzügyi vállalatoknak nyújtott hitelek és előlegek. Ebben a sorban nem szerepelhetnek a 0080 sorban feltüntetett kitettségek.</w:t>
            </w:r>
          </w:p>
        </w:tc>
      </w:tr>
      <w:tr w:rsidR="00741F94" w:rsidRPr="00D82419" w14:paraId="340D17C5" w14:textId="77777777" w:rsidTr="00CB270D">
        <w:tc>
          <w:tcPr>
            <w:tcW w:w="1276" w:type="dxa"/>
            <w:tcBorders>
              <w:top w:val="single" w:sz="4" w:space="0" w:color="auto"/>
              <w:left w:val="single" w:sz="4" w:space="0" w:color="auto"/>
              <w:bottom w:val="single" w:sz="4" w:space="0" w:color="auto"/>
              <w:right w:val="single" w:sz="4" w:space="0" w:color="auto"/>
            </w:tcBorders>
          </w:tcPr>
          <w:p w14:paraId="4779A5DB" w14:textId="463AEA4F"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20DCB068" w14:textId="77777777" w:rsidR="00741F94" w:rsidRPr="00D82419" w:rsidRDefault="00741F94" w:rsidP="003C575D">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Nem lakossági – pénzügyi</w:t>
            </w:r>
          </w:p>
          <w:p w14:paraId="4D684432" w14:textId="57EDA359"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Az e rendelet V. melléklete 1. része 42. pontjának d) alpontjában említett egyéb pénzügyi vállalatoknak nyújtott hitelek és előlegek. </w:t>
            </w:r>
          </w:p>
        </w:tc>
      </w:tr>
      <w:tr w:rsidR="00741F94" w:rsidRPr="00D82419" w14:paraId="53F7FDE2" w14:textId="77777777" w:rsidTr="00CB270D">
        <w:tc>
          <w:tcPr>
            <w:tcW w:w="1276" w:type="dxa"/>
            <w:tcBorders>
              <w:top w:val="single" w:sz="4" w:space="0" w:color="auto"/>
              <w:left w:val="single" w:sz="4" w:space="0" w:color="auto"/>
              <w:bottom w:val="single" w:sz="4" w:space="0" w:color="auto"/>
              <w:right w:val="single" w:sz="4" w:space="0" w:color="auto"/>
            </w:tcBorders>
          </w:tcPr>
          <w:p w14:paraId="75559FBA" w14:textId="061F4296"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70DDA77E" w14:textId="74958CC2"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Hitelviszonyt megtestesítő értékpapírok</w:t>
            </w:r>
          </w:p>
          <w:p w14:paraId="4F3589E5" w14:textId="297A6910" w:rsidR="00741F94" w:rsidRPr="00D82419" w:rsidRDefault="006E417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Az e rendelet V. melléklete 1. részének 31. pontjában említett, az intézmény által tartott, értékpapírként kibocsátott, hitelviszonyt megtestesítő instrumentumok,</w:t>
            </w:r>
            <w:r>
              <w:rPr>
                <w:noProof/>
              </w:rPr>
              <w:t xml:space="preserve"> amelyek nem hitelek</w:t>
            </w:r>
            <w:r>
              <w:rPr>
                <w:rStyle w:val="InstructionsTabelleberschrift"/>
                <w:rFonts w:ascii="Times New Roman" w:hAnsi="Times New Roman"/>
                <w:b w:val="0"/>
                <w:noProof/>
                <w:sz w:val="24"/>
                <w:u w:val="none"/>
              </w:rPr>
              <w:t>,</w:t>
            </w:r>
            <w:r>
              <w:rPr>
                <w:noProof/>
              </w:rPr>
              <w:t xml:space="preserve"> ideértve a fedezett kötvényeket és az értékpapírosított kitettségeket.</w:t>
            </w:r>
          </w:p>
        </w:tc>
      </w:tr>
      <w:tr w:rsidR="00551014" w:rsidRPr="00D82419" w:rsidDel="00551014" w14:paraId="3FDF4C19" w14:textId="77777777" w:rsidTr="00CB270D">
        <w:tc>
          <w:tcPr>
            <w:tcW w:w="1276" w:type="dxa"/>
            <w:tcBorders>
              <w:top w:val="single" w:sz="4" w:space="0" w:color="auto"/>
              <w:left w:val="single" w:sz="4" w:space="0" w:color="auto"/>
              <w:bottom w:val="single" w:sz="4" w:space="0" w:color="auto"/>
              <w:right w:val="single" w:sz="4" w:space="0" w:color="auto"/>
            </w:tcBorders>
          </w:tcPr>
          <w:p w14:paraId="61188830" w14:textId="1455FAFF" w:rsidR="00551014" w:rsidRPr="00D82419" w:rsidDel="00551014"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512" w:type="dxa"/>
            <w:tcBorders>
              <w:top w:val="single" w:sz="4" w:space="0" w:color="auto"/>
              <w:left w:val="single" w:sz="4" w:space="0" w:color="auto"/>
              <w:bottom w:val="single" w:sz="4" w:space="0" w:color="auto"/>
              <w:right w:val="single" w:sz="4" w:space="0" w:color="auto"/>
            </w:tcBorders>
          </w:tcPr>
          <w:p w14:paraId="5D9F98E2" w14:textId="77777777" w:rsidR="00551014" w:rsidRPr="00D82419" w:rsidRDefault="003F1BF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Eszközöket fedező származtatott termékek</w:t>
            </w:r>
          </w:p>
          <w:p w14:paraId="052D8F4E" w14:textId="74548C86" w:rsidR="001E5979" w:rsidRPr="00D82419" w:rsidDel="00551014" w:rsidRDefault="00E04F77"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A 600/2014/EU európai parlamenti és tanácsi rendelet</w:t>
            </w:r>
            <w:r w:rsidR="00D3693A">
              <w:rPr>
                <w:rStyle w:val="FootnoteReference"/>
                <w:noProof/>
              </w:rPr>
              <w:footnoteReference w:id="3"/>
            </w:r>
            <w:r>
              <w:rPr>
                <w:rStyle w:val="InstructionsTabelleberschrift"/>
                <w:rFonts w:ascii="Times New Roman" w:hAnsi="Times New Roman"/>
                <w:b w:val="0"/>
                <w:noProof/>
                <w:sz w:val="24"/>
                <w:u w:val="none"/>
              </w:rPr>
              <w:t xml:space="preserve"> 2. cikke (1) bekezdésének 29. pontjában meghatározott származtatott termékek.</w:t>
            </w:r>
            <w:r>
              <w:rPr>
                <w:rStyle w:val="InstructionsTabelleberschrift"/>
                <w:rFonts w:ascii="Times New Roman" w:hAnsi="Times New Roman"/>
                <w:noProof/>
                <w:sz w:val="24"/>
                <w:u w:val="none"/>
              </w:rPr>
              <w:t xml:space="preserve"> </w:t>
            </w:r>
            <w:r>
              <w:rPr>
                <w:rStyle w:val="InstructionsTabelleberschrift"/>
                <w:rFonts w:ascii="Times New Roman" w:hAnsi="Times New Roman"/>
                <w:b w:val="0"/>
                <w:noProof/>
                <w:sz w:val="24"/>
                <w:u w:val="none"/>
              </w:rPr>
              <w:t>Az intézmények</w:t>
            </w:r>
            <w:r>
              <w:rPr>
                <w:noProof/>
              </w:rPr>
              <w:t xml:space="preserve"> az alkalmazandó számviteli szabályozás szerint fedezeti elszámolás alá tartozó származtatott termékek közül azokat jelentik, amelyeknél</w:t>
            </w:r>
            <w:r w:rsidR="00783B3A">
              <w:rPr>
                <w:noProof/>
              </w:rPr>
              <w:t xml:space="preserve"> </w:t>
            </w:r>
            <w:r>
              <w:rPr>
                <w:noProof/>
              </w:rPr>
              <w:t>a</w:t>
            </w:r>
            <w:r w:rsidR="00783B3A">
              <w:rPr>
                <w:noProof/>
              </w:rPr>
              <w:t xml:space="preserve"> </w:t>
            </w:r>
            <w:r>
              <w:rPr>
                <w:noProof/>
              </w:rPr>
              <w:t xml:space="preserve">fedezett tétel kamatlábérzékeny eszköz. </w:t>
            </w:r>
          </w:p>
        </w:tc>
      </w:tr>
      <w:tr w:rsidR="00B60371" w:rsidRPr="00D82419" w:rsidDel="00551014" w14:paraId="1F75A43F" w14:textId="77777777" w:rsidTr="00CB270D">
        <w:tc>
          <w:tcPr>
            <w:tcW w:w="1276" w:type="dxa"/>
            <w:tcBorders>
              <w:top w:val="single" w:sz="4" w:space="0" w:color="auto"/>
              <w:left w:val="single" w:sz="4" w:space="0" w:color="auto"/>
              <w:bottom w:val="single" w:sz="4" w:space="0" w:color="auto"/>
              <w:right w:val="single" w:sz="4" w:space="0" w:color="auto"/>
            </w:tcBorders>
          </w:tcPr>
          <w:p w14:paraId="49F23B80" w14:textId="6601E1A1" w:rsidR="00B60371"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512" w:type="dxa"/>
            <w:tcBorders>
              <w:top w:val="single" w:sz="4" w:space="0" w:color="auto"/>
              <w:left w:val="single" w:sz="4" w:space="0" w:color="auto"/>
              <w:bottom w:val="single" w:sz="4" w:space="0" w:color="auto"/>
              <w:right w:val="single" w:sz="4" w:space="0" w:color="auto"/>
            </w:tcBorders>
          </w:tcPr>
          <w:p w14:paraId="75DCDCEB" w14:textId="77777777" w:rsidR="00B60371" w:rsidRPr="00D82419" w:rsidRDefault="007D1A3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Hitelviszonyt megtestesítő értékpapírokat fedező</w:t>
            </w:r>
          </w:p>
          <w:p w14:paraId="6CE16F3F" w14:textId="57795022" w:rsidR="00B60371" w:rsidRPr="00D82419" w:rsidRDefault="00CC25CA" w:rsidP="003C575D">
            <w:pPr>
              <w:pStyle w:val="InstructionsText"/>
              <w:rPr>
                <w:rStyle w:val="InstructionsTabelleberschrift"/>
                <w:rFonts w:ascii="Times New Roman" w:hAnsi="Times New Roman"/>
                <w:b w:val="0"/>
                <w:noProof/>
                <w:sz w:val="24"/>
                <w:u w:val="none"/>
              </w:rPr>
            </w:pPr>
            <w:r>
              <w:rPr>
                <w:noProof/>
              </w:rPr>
              <w:t xml:space="preserve">Fedezeti elszámolás alá vont származtatott termékek, </w:t>
            </w:r>
            <w:r>
              <w:rPr>
                <w:rStyle w:val="InstructionsTabelleberschrift"/>
                <w:rFonts w:ascii="Times New Roman" w:hAnsi="Times New Roman"/>
                <w:b w:val="0"/>
                <w:noProof/>
                <w:sz w:val="24"/>
                <w:u w:val="none"/>
              </w:rPr>
              <w:t xml:space="preserve">amelyek hitelviszonyt megtestesítő értékpapíroknak minősülő eszközöket fedeznek. </w:t>
            </w:r>
          </w:p>
        </w:tc>
      </w:tr>
      <w:tr w:rsidR="00B60371" w:rsidRPr="00D82419" w:rsidDel="00551014" w14:paraId="4CBFEE57" w14:textId="77777777" w:rsidTr="00CB270D">
        <w:tc>
          <w:tcPr>
            <w:tcW w:w="1276" w:type="dxa"/>
            <w:tcBorders>
              <w:top w:val="single" w:sz="4" w:space="0" w:color="auto"/>
              <w:left w:val="single" w:sz="4" w:space="0" w:color="auto"/>
              <w:bottom w:val="single" w:sz="4" w:space="0" w:color="auto"/>
              <w:right w:val="single" w:sz="4" w:space="0" w:color="auto"/>
            </w:tcBorders>
          </w:tcPr>
          <w:p w14:paraId="3A21FFB1" w14:textId="4D3081DE" w:rsidR="00B60371"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512" w:type="dxa"/>
            <w:tcBorders>
              <w:top w:val="single" w:sz="4" w:space="0" w:color="auto"/>
              <w:left w:val="single" w:sz="4" w:space="0" w:color="auto"/>
              <w:bottom w:val="single" w:sz="4" w:space="0" w:color="auto"/>
              <w:right w:val="single" w:sz="4" w:space="0" w:color="auto"/>
            </w:tcBorders>
          </w:tcPr>
          <w:p w14:paraId="17F88214" w14:textId="77777777" w:rsidR="00B60371" w:rsidRPr="00D82419" w:rsidRDefault="007D1A3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Egyéb eszközöket fedező</w:t>
            </w:r>
          </w:p>
          <w:p w14:paraId="455AF042" w14:textId="0B1C6939" w:rsidR="00B60371" w:rsidRPr="00D82419" w:rsidRDefault="00881542" w:rsidP="003C575D">
            <w:pPr>
              <w:pStyle w:val="InstructionsText"/>
              <w:rPr>
                <w:rStyle w:val="InstructionsTabelleberschrift"/>
                <w:rFonts w:ascii="Times New Roman" w:hAnsi="Times New Roman"/>
                <w:noProof/>
                <w:sz w:val="24"/>
              </w:rPr>
            </w:pPr>
            <w:r>
              <w:rPr>
                <w:noProof/>
              </w:rPr>
              <w:t xml:space="preserve">Fedezeti elszámolás alá vont származtatott termékek, </w:t>
            </w:r>
            <w:r>
              <w:rPr>
                <w:rStyle w:val="InstructionsTabelleberschrift"/>
                <w:rFonts w:ascii="Times New Roman" w:hAnsi="Times New Roman"/>
                <w:b w:val="0"/>
                <w:noProof/>
                <w:sz w:val="24"/>
                <w:u w:val="none"/>
              </w:rPr>
              <w:t>amelyek hitelviszonyt megtestesítő értékpapíroknak nem minősülő eszközöket fedeznek.</w:t>
            </w:r>
          </w:p>
        </w:tc>
      </w:tr>
      <w:tr w:rsidR="007F62B7" w:rsidRPr="00D82419" w14:paraId="16EF9A3C" w14:textId="77777777" w:rsidTr="00CB270D">
        <w:tc>
          <w:tcPr>
            <w:tcW w:w="1276" w:type="dxa"/>
            <w:tcBorders>
              <w:top w:val="single" w:sz="4" w:space="0" w:color="auto"/>
              <w:left w:val="single" w:sz="4" w:space="0" w:color="auto"/>
              <w:bottom w:val="single" w:sz="4" w:space="0" w:color="auto"/>
              <w:right w:val="single" w:sz="4" w:space="0" w:color="auto"/>
            </w:tcBorders>
          </w:tcPr>
          <w:p w14:paraId="5C6AACBF" w14:textId="77DFFD02" w:rsidR="007F62B7"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5CBEED4B" w14:textId="77777777" w:rsidR="007F62B7" w:rsidRPr="00D82419" w:rsidRDefault="007F62B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Egyéb</w:t>
            </w:r>
          </w:p>
          <w:p w14:paraId="483AE853" w14:textId="32773246" w:rsidR="007F62B7" w:rsidRPr="00D82419" w:rsidRDefault="007F62B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Ebben a sorban kell feltüntetni azokat</w:t>
            </w:r>
            <w:r>
              <w:rPr>
                <w:noProof/>
              </w:rPr>
              <w:t xml:space="preserve"> a mérlegen belüli kamatlábérzékeny egyéb eszközöket, amelyek nem tartoznak a fenti sorokba.</w:t>
            </w:r>
          </w:p>
        </w:tc>
      </w:tr>
      <w:tr w:rsidR="00741F94" w:rsidRPr="00D82419" w14:paraId="0A12EE35" w14:textId="77777777" w:rsidTr="00CB270D">
        <w:tc>
          <w:tcPr>
            <w:tcW w:w="1276" w:type="dxa"/>
            <w:tcBorders>
              <w:top w:val="single" w:sz="4" w:space="0" w:color="auto"/>
              <w:left w:val="single" w:sz="4" w:space="0" w:color="auto"/>
              <w:bottom w:val="single" w:sz="4" w:space="0" w:color="auto"/>
              <w:right w:val="single" w:sz="4" w:space="0" w:color="auto"/>
            </w:tcBorders>
          </w:tcPr>
          <w:p w14:paraId="00FCC0B9" w14:textId="1411477B"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7B7A3346" w14:textId="77777777" w:rsidR="00741F94" w:rsidRPr="00D82419" w:rsidRDefault="00741F94" w:rsidP="003C575D">
            <w:pPr>
              <w:pStyle w:val="InstructionsText"/>
              <w:rPr>
                <w:rStyle w:val="InstructionsTabelleberschrift"/>
                <w:rFonts w:ascii="Times New Roman" w:hAnsi="Times New Roman"/>
                <w:bCs w:val="0"/>
                <w:noProof/>
                <w:sz w:val="24"/>
              </w:rPr>
            </w:pPr>
            <w:bookmarkStart w:id="52" w:name="_Hlk120269837"/>
            <w:r>
              <w:rPr>
                <w:rStyle w:val="InstructionsTabelleberschrift"/>
                <w:rFonts w:ascii="Times New Roman" w:hAnsi="Times New Roman"/>
                <w:noProof/>
                <w:sz w:val="24"/>
              </w:rPr>
              <w:t>Mérlegen kívüli eszközök: függő követelések</w:t>
            </w:r>
          </w:p>
          <w:bookmarkEnd w:id="52"/>
          <w:p w14:paraId="6EED4CE2" w14:textId="6B350F85" w:rsidR="007F62B7" w:rsidRPr="00D82419" w:rsidRDefault="005F0A8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Az 575/2013/EU rendelet I. mellékletében felsorolt mérlegen kívüli eszközök</w:t>
            </w:r>
            <w:r>
              <w:rPr>
                <w:noProof/>
              </w:rPr>
              <w:t xml:space="preserve">, </w:t>
            </w:r>
            <w:r>
              <w:rPr>
                <w:rStyle w:val="InstructionsTabelleberschrift"/>
                <w:rFonts w:ascii="Times New Roman" w:hAnsi="Times New Roman"/>
                <w:b w:val="0"/>
                <w:noProof/>
                <w:sz w:val="24"/>
                <w:u w:val="none"/>
              </w:rPr>
              <w:t>amelyek kamatlábérzékenyek, és amelyek az (EU).../... felhatalmazáson alapuló rendelet</w:t>
            </w:r>
            <w:r>
              <w:rPr>
                <w:noProof/>
              </w:rPr>
              <w:t xml:space="preserve"> (Kiadóhivatal: kérjük, illesszék be a felügyeleti kiugróérték-tesztre vonatkozó szabályozástechnikai standardra való hivatkozást) hatálya alá tartoznak</w:t>
            </w:r>
            <w:r>
              <w:rPr>
                <w:rStyle w:val="InstructionsTabelleberschrift"/>
                <w:rFonts w:ascii="Times New Roman" w:hAnsi="Times New Roman"/>
                <w:b w:val="0"/>
                <w:noProof/>
                <w:sz w:val="24"/>
                <w:u w:val="none"/>
              </w:rPr>
              <w:t>.</w:t>
            </w:r>
          </w:p>
          <w:p w14:paraId="25844732" w14:textId="45453180"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Ebben a sorban a leendő hitelfelvevők felé fennálló, rögzített kamatozású hitelnyújtási elkötelezettségeket is fel kell tüntetni.</w:t>
            </w:r>
          </w:p>
          <w:p w14:paraId="5EAC10F2" w14:textId="3AA5FBCB"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 hitelnyújtási elkötelezettséget rövid és hosszú pozíció kombinációjaként kell feltüntetni. Rögzített kamatozású hitelnyújtási elkötelezettség esetében az intézmény az elkötelezettség kezdetekor hosszú pozícióval rendelkezik, a hitel feltételezett lehívásakor pedig rövid pozícióval. Az intézmények a hosszú pozíciókat eszközökként, a rövid pozíciókat pedig kötelezettségekként tüntetik fel. Ebben a sorban csak az eszköznek minősülő függő instrumentumokat kell feltüntetni.</w:t>
            </w:r>
          </w:p>
        </w:tc>
      </w:tr>
      <w:tr w:rsidR="00741F94" w:rsidRPr="00D82419" w14:paraId="64151DDC" w14:textId="77777777" w:rsidTr="00CB270D">
        <w:tc>
          <w:tcPr>
            <w:tcW w:w="1276" w:type="dxa"/>
            <w:tcBorders>
              <w:top w:val="single" w:sz="4" w:space="0" w:color="auto"/>
              <w:left w:val="single" w:sz="4" w:space="0" w:color="auto"/>
              <w:bottom w:val="single" w:sz="4" w:space="0" w:color="auto"/>
              <w:right w:val="single" w:sz="4" w:space="0" w:color="auto"/>
            </w:tcBorders>
          </w:tcPr>
          <w:p w14:paraId="13491603" w14:textId="32E96712" w:rsidR="00741F94" w:rsidRPr="00D82419" w:rsidDel="001D16D7"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512" w:type="dxa"/>
            <w:tcBorders>
              <w:top w:val="single" w:sz="4" w:space="0" w:color="auto"/>
              <w:left w:val="single" w:sz="4" w:space="0" w:color="auto"/>
              <w:bottom w:val="single" w:sz="4" w:space="0" w:color="auto"/>
              <w:right w:val="single" w:sz="4" w:space="0" w:color="auto"/>
            </w:tcBorders>
          </w:tcPr>
          <w:p w14:paraId="75DE31C0" w14:textId="47D40083"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Kötelezettségek összesen</w:t>
            </w:r>
          </w:p>
          <w:p w14:paraId="7C38ACF0" w14:textId="6DA15BAC" w:rsidR="007F62B7" w:rsidRPr="00D82419" w:rsidRDefault="007F62B7" w:rsidP="003C575D">
            <w:pPr>
              <w:pStyle w:val="InstructionsText"/>
              <w:rPr>
                <w:rStyle w:val="FormatvorlageInstructionsTabelleText"/>
                <w:rFonts w:ascii="Times New Roman" w:hAnsi="Times New Roman"/>
                <w:bCs w:val="0"/>
                <w:noProof/>
                <w:sz w:val="24"/>
              </w:rPr>
            </w:pPr>
            <w:r>
              <w:rPr>
                <w:noProof/>
              </w:rPr>
              <w:t xml:space="preserve">Az (EU) .../... felhatalmazáson alapuló rendelet (Kiadóhivatal: kérjük, illesszék be a felügyeleti kiemelkedőérték-tesztre vonatkozó szabályozástechnikai standardra való hivatkozást) hatálya alá tartozó </w:t>
            </w:r>
            <w:r>
              <w:rPr>
                <w:rStyle w:val="FormatvorlageInstructionsTabelleText"/>
                <w:rFonts w:ascii="Times New Roman" w:hAnsi="Times New Roman"/>
                <w:noProof/>
                <w:sz w:val="24"/>
              </w:rPr>
              <w:t>kamatlábérzékeny kötelezettségek teljes összege</w:t>
            </w:r>
            <w:r>
              <w:rPr>
                <w:noProof/>
              </w:rPr>
              <w:t xml:space="preserve">, </w:t>
            </w:r>
            <w:r>
              <w:rPr>
                <w:rStyle w:val="FormatvorlageInstructionsTabelleText"/>
                <w:rFonts w:ascii="Times New Roman" w:hAnsi="Times New Roman"/>
                <w:noProof/>
                <w:sz w:val="24"/>
              </w:rPr>
              <w:t>függetlenül azok elszámolási módjától. Ez a sor a következőket tartalmazza:</w:t>
            </w:r>
          </w:p>
          <w:p w14:paraId="440E6249" w14:textId="6D6D4905" w:rsidR="000D6402" w:rsidRPr="00CB0212"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központi bankokkal szembeni kötelezettségek;</w:t>
            </w:r>
          </w:p>
          <w:p w14:paraId="58C223B7" w14:textId="14972A6C" w:rsidR="005F0A8B" w:rsidRPr="00D82419" w:rsidRDefault="00E21745" w:rsidP="003C575D">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noProof/>
                <w:sz w:val="24"/>
              </w:rPr>
              <w:t>– bankközi kötelezettségek;</w:t>
            </w:r>
          </w:p>
          <w:p w14:paraId="28D57E3D" w14:textId="06433067"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kibocsátott, hitelviszonyt megtestesítő értékpapírok;</w:t>
            </w:r>
          </w:p>
          <w:p w14:paraId="084236A4" w14:textId="5AA4979D"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lejárat nélküli betétek;</w:t>
            </w:r>
          </w:p>
          <w:p w14:paraId="253174FC" w14:textId="775944B6" w:rsidR="00531B36"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lekötött betétek;</w:t>
            </w:r>
          </w:p>
          <w:p w14:paraId="2158A787" w14:textId="36AE02CA"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kötelezettségeket fedező származtatott termékek;</w:t>
            </w:r>
          </w:p>
          <w:p w14:paraId="4FD61CA1" w14:textId="4CADBED9" w:rsidR="00741F94" w:rsidRPr="00D82419" w:rsidRDefault="00E21745"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egyéb.</w:t>
            </w:r>
          </w:p>
        </w:tc>
      </w:tr>
      <w:tr w:rsidR="00033F40" w:rsidRPr="00D82419" w14:paraId="6105288E" w14:textId="77777777" w:rsidTr="00CB270D">
        <w:tc>
          <w:tcPr>
            <w:tcW w:w="1276" w:type="dxa"/>
            <w:tcBorders>
              <w:top w:val="single" w:sz="4" w:space="0" w:color="auto"/>
              <w:left w:val="single" w:sz="4" w:space="0" w:color="auto"/>
              <w:bottom w:val="single" w:sz="4" w:space="0" w:color="auto"/>
              <w:right w:val="single" w:sz="4" w:space="0" w:color="auto"/>
            </w:tcBorders>
          </w:tcPr>
          <w:p w14:paraId="291A4155" w14:textId="772AC6EF" w:rsidR="00033F40" w:rsidRPr="00D82419" w:rsidRDefault="004F67A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0210</w:t>
            </w:r>
          </w:p>
        </w:tc>
        <w:tc>
          <w:tcPr>
            <w:tcW w:w="7512" w:type="dxa"/>
            <w:tcBorders>
              <w:top w:val="single" w:sz="4" w:space="0" w:color="auto"/>
              <w:left w:val="single" w:sz="4" w:space="0" w:color="auto"/>
              <w:bottom w:val="single" w:sz="4" w:space="0" w:color="auto"/>
              <w:right w:val="single" w:sz="4" w:space="0" w:color="auto"/>
            </w:tcBorders>
          </w:tcPr>
          <w:p w14:paraId="32D7F8EC" w14:textId="6246C726" w:rsidR="004F67A8" w:rsidRPr="00D82419" w:rsidRDefault="004F67A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ebből: automatikus opcionalitás miatt</w:t>
            </w:r>
          </w:p>
          <w:p w14:paraId="6F491059" w14:textId="407F5EE7" w:rsidR="00033F40" w:rsidRPr="00D82419" w:rsidRDefault="004F67A8" w:rsidP="003C575D">
            <w:pPr>
              <w:pStyle w:val="InstructionsText"/>
              <w:rPr>
                <w:rStyle w:val="InstructionsTabelleberschrift"/>
                <w:rFonts w:ascii="Times New Roman" w:hAnsi="Times New Roman"/>
                <w:noProof/>
                <w:sz w:val="24"/>
              </w:rPr>
            </w:pPr>
            <w:r>
              <w:rPr>
                <w:noProof/>
              </w:rPr>
              <w:t>A beágyazott és az explicit automatikus opcionalitás hatása az (EU) .../... felhatalmazáson alapuló rendelet (Kiadóhivatal: kérjük, illesszék be a felügyeleti kiemelkedőérték-tesztre vonatkozó szabályozástechnikai standardra való hivatkozást) hatálya alá tartozó kamatlábérzékeny kötelezettségek teljes összegére, függetlenül azok elszámolási módjától.</w:t>
            </w:r>
          </w:p>
        </w:tc>
      </w:tr>
      <w:tr w:rsidR="00741F94" w:rsidRPr="00D82419" w14:paraId="3F855494" w14:textId="77777777" w:rsidTr="00CB270D">
        <w:tc>
          <w:tcPr>
            <w:tcW w:w="1276" w:type="dxa"/>
            <w:tcBorders>
              <w:top w:val="single" w:sz="4" w:space="0" w:color="auto"/>
              <w:left w:val="single" w:sz="4" w:space="0" w:color="auto"/>
              <w:bottom w:val="single" w:sz="4" w:space="0" w:color="auto"/>
              <w:right w:val="single" w:sz="4" w:space="0" w:color="auto"/>
            </w:tcBorders>
          </w:tcPr>
          <w:p w14:paraId="192764CE" w14:textId="6A9385EF" w:rsidR="00741F94" w:rsidRPr="00D82419" w:rsidRDefault="001032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752EB2F" w14:textId="5052EBC6"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Központi bank</w:t>
            </w:r>
          </w:p>
          <w:p w14:paraId="63153454" w14:textId="72460C63" w:rsidR="00741F94" w:rsidRPr="00D82419" w:rsidRDefault="00741F94" w:rsidP="003C575D">
            <w:pPr>
              <w:pStyle w:val="InstructionsText"/>
              <w:rPr>
                <w:rStyle w:val="InstructionsTabelleberschrift"/>
                <w:rFonts w:ascii="Times New Roman" w:hAnsi="Times New Roman"/>
                <w:b w:val="0"/>
                <w:noProof/>
                <w:sz w:val="24"/>
                <w:u w:val="none"/>
              </w:rPr>
            </w:pPr>
            <w:r>
              <w:rPr>
                <w:noProof/>
              </w:rPr>
              <w:t xml:space="preserve">Az e rendelet V. melléklete 1. része 42. pontjának a) alpontjában említett, központi bankokkal szembeni </w:t>
            </w:r>
            <w:r>
              <w:rPr>
                <w:rStyle w:val="InstructionsTabelleberschrift"/>
                <w:rFonts w:ascii="Times New Roman" w:hAnsi="Times New Roman"/>
                <w:b w:val="0"/>
                <w:noProof/>
                <w:sz w:val="24"/>
                <w:u w:val="none"/>
              </w:rPr>
              <w:t>kötelezettségek</w:t>
            </w:r>
            <w:r>
              <w:rPr>
                <w:noProof/>
              </w:rPr>
              <w:t>.</w:t>
            </w:r>
          </w:p>
        </w:tc>
      </w:tr>
      <w:tr w:rsidR="008B01DA" w:rsidRPr="00D82419" w14:paraId="7E060028" w14:textId="77777777" w:rsidTr="00CB270D">
        <w:tc>
          <w:tcPr>
            <w:tcW w:w="1276" w:type="dxa"/>
            <w:tcBorders>
              <w:top w:val="single" w:sz="4" w:space="0" w:color="auto"/>
              <w:left w:val="single" w:sz="4" w:space="0" w:color="auto"/>
              <w:bottom w:val="single" w:sz="4" w:space="0" w:color="auto"/>
              <w:right w:val="single" w:sz="4" w:space="0" w:color="auto"/>
            </w:tcBorders>
          </w:tcPr>
          <w:p w14:paraId="1C661A47" w14:textId="3F23FB80" w:rsidR="008B01DA" w:rsidRPr="00D82419" w:rsidDel="00103272" w:rsidRDefault="0098615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512" w:type="dxa"/>
            <w:tcBorders>
              <w:top w:val="single" w:sz="4" w:space="0" w:color="auto"/>
              <w:left w:val="single" w:sz="4" w:space="0" w:color="auto"/>
              <w:bottom w:val="single" w:sz="4" w:space="0" w:color="auto"/>
              <w:right w:val="single" w:sz="4" w:space="0" w:color="auto"/>
            </w:tcBorders>
          </w:tcPr>
          <w:p w14:paraId="1BE49544" w14:textId="77777777" w:rsidR="008B01DA" w:rsidRPr="00D82419" w:rsidRDefault="00AC072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Bankközi</w:t>
            </w:r>
          </w:p>
          <w:p w14:paraId="140AD124" w14:textId="10351551" w:rsidR="008B01DA" w:rsidRPr="00D82419" w:rsidRDefault="00B8037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Minden olyan kötelezettség, amelynek partnere hitelintézet az e rendelet</w:t>
            </w:r>
            <w:r>
              <w:rPr>
                <w:noProof/>
              </w:rPr>
              <w:t xml:space="preserve"> V. melléklete 1. része 42. pontjának c) alpontja szerint, értékpapírok és származtatott kitettségek nélkül.</w:t>
            </w:r>
          </w:p>
        </w:tc>
      </w:tr>
      <w:tr w:rsidR="00741F94" w:rsidRPr="00D82419" w14:paraId="7CE775AB" w14:textId="77777777" w:rsidTr="00CB270D">
        <w:tc>
          <w:tcPr>
            <w:tcW w:w="1276" w:type="dxa"/>
            <w:tcBorders>
              <w:top w:val="single" w:sz="4" w:space="0" w:color="auto"/>
              <w:left w:val="single" w:sz="4" w:space="0" w:color="auto"/>
              <w:bottom w:val="single" w:sz="4" w:space="0" w:color="auto"/>
              <w:right w:val="single" w:sz="4" w:space="0" w:color="auto"/>
            </w:tcBorders>
          </w:tcPr>
          <w:p w14:paraId="790A9857" w14:textId="517D13A5"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268334FF" w14:textId="182BE525"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Kibocsátott, hitelviszonyt megtestesítő értékpapírok</w:t>
            </w:r>
          </w:p>
          <w:p w14:paraId="5FCAA9F8" w14:textId="393B88FD" w:rsidR="00741F94" w:rsidRPr="00D82419" w:rsidRDefault="0003566D" w:rsidP="00430DF0">
            <w:pPr>
              <w:pStyle w:val="Baseparagraphnumbered"/>
              <w:numPr>
                <w:ilvl w:val="0"/>
                <w:numId w:val="0"/>
              </w:numPr>
              <w:suppressAutoHyphens/>
              <w:jc w:val="left"/>
              <w:rPr>
                <w:rStyle w:val="InstructionsTabelleberschrift"/>
                <w:rFonts w:ascii="Times New Roman" w:hAnsi="Times New Roman"/>
                <w:b w:val="0"/>
                <w:noProof/>
                <w:sz w:val="24"/>
                <w:szCs w:val="24"/>
                <w:u w:val="none"/>
              </w:rPr>
            </w:pPr>
            <w:r>
              <w:rPr>
                <w:noProof/>
              </w:rPr>
              <w:t>Az e rendelet V. melléklete 1. részének 37. cikkében említett, az intézmény által értékpapírként kibocsátott, hitelviszonyt megtestesítő instrumentumok, amelyek nem betétek</w:t>
            </w:r>
            <w:r>
              <w:rPr>
                <w:rStyle w:val="InstructionsTabelleberschrift"/>
                <w:rFonts w:ascii="Times New Roman" w:hAnsi="Times New Roman"/>
                <w:b w:val="0"/>
                <w:noProof/>
                <w:sz w:val="24"/>
                <w:u w:val="none"/>
              </w:rPr>
              <w:t>.</w:t>
            </w:r>
          </w:p>
        </w:tc>
      </w:tr>
      <w:tr w:rsidR="00741F94" w:rsidRPr="00D82419" w14:paraId="18A827B3" w14:textId="77777777" w:rsidTr="00CB270D">
        <w:tc>
          <w:tcPr>
            <w:tcW w:w="1276" w:type="dxa"/>
            <w:tcBorders>
              <w:top w:val="single" w:sz="4" w:space="0" w:color="auto"/>
              <w:left w:val="single" w:sz="4" w:space="0" w:color="auto"/>
              <w:bottom w:val="single" w:sz="4" w:space="0" w:color="auto"/>
              <w:right w:val="single" w:sz="4" w:space="0" w:color="auto"/>
            </w:tcBorders>
          </w:tcPr>
          <w:p w14:paraId="569A1482" w14:textId="522F4936" w:rsidR="00741F94" w:rsidRPr="00166525"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7011B4F0" w14:textId="3C032E26" w:rsidR="00741F94" w:rsidRPr="00166525"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ebből: AT1 vagy T2</w:t>
            </w:r>
          </w:p>
          <w:p w14:paraId="725742BC" w14:textId="610E3248" w:rsidR="00741F94" w:rsidRPr="00166525" w:rsidRDefault="00741F94" w:rsidP="003C575D">
            <w:pPr>
              <w:pStyle w:val="InstructionsText"/>
              <w:rPr>
                <w:noProof/>
              </w:rPr>
            </w:pPr>
            <w:r>
              <w:rPr>
                <w:rStyle w:val="InstructionsTabelleberschrift"/>
                <w:rFonts w:ascii="Times New Roman" w:hAnsi="Times New Roman"/>
                <w:b w:val="0"/>
                <w:noProof/>
                <w:sz w:val="24"/>
                <w:u w:val="none"/>
              </w:rPr>
              <w:t xml:space="preserve">Az 575/2013/EU rendelet 61. vagy 71. cikkével összhangban </w:t>
            </w:r>
            <w:r>
              <w:rPr>
                <w:rStyle w:val="FormatvorlageInstructionsTabelleText"/>
                <w:rFonts w:ascii="Times New Roman" w:hAnsi="Times New Roman"/>
                <w:noProof/>
                <w:sz w:val="24"/>
              </w:rPr>
              <w:t xml:space="preserve">kibocsátott, </w:t>
            </w:r>
            <w:r>
              <w:rPr>
                <w:noProof/>
              </w:rPr>
              <w:t>hitelviszonyt megtestesítő értékpapírok, kivéve a lehívási időpont nélküli, lejárat nélküli szavatoló tőkét (az (EU) .../... felhatalmazáson alapuló rendelet [Kiadóhivatal: kérjük, illesszék be a felügyeleti kiugróérték-tesztre vonatkozó szabályozástechnikai standardra való hivatkozást] 3. cikke).</w:t>
            </w:r>
          </w:p>
        </w:tc>
      </w:tr>
      <w:tr w:rsidR="00741F94" w:rsidRPr="00D82419" w14:paraId="66730361" w14:textId="77777777" w:rsidTr="00CB270D">
        <w:tc>
          <w:tcPr>
            <w:tcW w:w="1276" w:type="dxa"/>
            <w:tcBorders>
              <w:top w:val="single" w:sz="4" w:space="0" w:color="auto"/>
              <w:left w:val="single" w:sz="4" w:space="0" w:color="auto"/>
              <w:bottom w:val="single" w:sz="4" w:space="0" w:color="auto"/>
              <w:right w:val="single" w:sz="4" w:space="0" w:color="auto"/>
            </w:tcBorders>
          </w:tcPr>
          <w:p w14:paraId="0607CC2E" w14:textId="032FA37A"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7430C57E" w14:textId="48B6D67C"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Lejárat nélküli betétek: Lakossági folyószámlabetét</w:t>
            </w:r>
          </w:p>
          <w:p w14:paraId="0E15693D" w14:textId="0F15BCF8" w:rsidR="007F62B7" w:rsidRPr="00D82419" w:rsidRDefault="00FD0B8B" w:rsidP="003C575D">
            <w:pPr>
              <w:pStyle w:val="InstructionsText"/>
              <w:rPr>
                <w:rStyle w:val="InstructionsTabelleberschrift"/>
                <w:rFonts w:ascii="Times New Roman" w:hAnsi="Times New Roman"/>
                <w:b w:val="0"/>
                <w:bCs w:val="0"/>
                <w:noProof/>
                <w:sz w:val="24"/>
                <w:u w:val="none"/>
              </w:rPr>
            </w:pPr>
            <w:r>
              <w:rPr>
                <w:noProof/>
              </w:rPr>
              <w:t>Az (EU) .../... felhatalmazáson alapuló rendelet (Kiadóhivatal: kérjük, illesszék be a sztenderd módszerre vonatkozó szabályozástechnikai standardra való hivatkozást) 1. cikkének 10. pontjában meghatározott lejárat nélküli, lakossági betétek. A lejárat nélküli lakossági folyószámlabetétek közé tartoznak az olyan, nem kamatozó és egyéb lakossági számlák, amelyek javadalmazási komponense nem lényeges az ügyfél arra vonatkozó döntésére nézve, hogy pénzt tartson a számlán.</w:t>
            </w:r>
          </w:p>
        </w:tc>
      </w:tr>
      <w:tr w:rsidR="00741F94" w:rsidRPr="00D82419" w14:paraId="0A45DBFC" w14:textId="77777777" w:rsidTr="00CB270D">
        <w:tc>
          <w:tcPr>
            <w:tcW w:w="1276" w:type="dxa"/>
            <w:tcBorders>
              <w:top w:val="single" w:sz="4" w:space="0" w:color="auto"/>
              <w:left w:val="single" w:sz="4" w:space="0" w:color="auto"/>
              <w:bottom w:val="single" w:sz="4" w:space="0" w:color="auto"/>
              <w:right w:val="single" w:sz="4" w:space="0" w:color="auto"/>
            </w:tcBorders>
          </w:tcPr>
          <w:p w14:paraId="65557F3F" w14:textId="3326431E"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0290, 0330, 0370</w:t>
            </w:r>
          </w:p>
        </w:tc>
        <w:tc>
          <w:tcPr>
            <w:tcW w:w="7512" w:type="dxa"/>
            <w:tcBorders>
              <w:top w:val="single" w:sz="4" w:space="0" w:color="auto"/>
              <w:left w:val="single" w:sz="4" w:space="0" w:color="auto"/>
              <w:bottom w:val="single" w:sz="4" w:space="0" w:color="auto"/>
              <w:right w:val="single" w:sz="4" w:space="0" w:color="auto"/>
            </w:tcBorders>
            <w:hideMark/>
          </w:tcPr>
          <w:p w14:paraId="1BFF7A04" w14:textId="49B4D2D6" w:rsidR="00741F94" w:rsidRPr="00580E65"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Ebből: alapkomponens (core)</w:t>
            </w:r>
          </w:p>
          <w:p w14:paraId="7212A9D8" w14:textId="5997E649" w:rsidR="00FD0B8B" w:rsidRPr="00D82419" w:rsidRDefault="009D614B" w:rsidP="003C575D">
            <w:pPr>
              <w:pStyle w:val="InstructionsText"/>
              <w:rPr>
                <w:noProof/>
              </w:rPr>
            </w:pPr>
            <w:r>
              <w:rPr>
                <w:noProof/>
              </w:rPr>
              <w:t>A lejárat nélküli betéteknek az (EU).../... felhatalmazáson alapuló rendelet (Kiadóhivatal: kérjük, illesszék be a sztenderd módszerre vonatkozó szabályozástechnikai standardra való hivatkozást) 1. cikkének 15. pontjában meghatározott alapkomponense (core).</w:t>
            </w:r>
          </w:p>
          <w:p w14:paraId="32F8B509" w14:textId="5D9C51E8" w:rsidR="00741F94" w:rsidRPr="00D82419" w:rsidRDefault="008F26F7" w:rsidP="003C575D">
            <w:pPr>
              <w:pStyle w:val="InstructionsText"/>
              <w:rPr>
                <w:rStyle w:val="InstructionsTabelleberschrift"/>
                <w:rFonts w:ascii="Times New Roman" w:hAnsi="Times New Roman"/>
                <w:noProof/>
                <w:sz w:val="24"/>
              </w:rPr>
            </w:pPr>
            <w:r>
              <w:rPr>
                <w:noProof/>
              </w:rPr>
              <w:t>Az intézmények itt azokat a lejárat nélküli betéteket modellezik, amelyek stabilak és valószínűleg nem árazódnak át a kamatkörnyezet jelentős változásai ellenére, vagy azokat az egyéb betéteket, amelyek kamatláb-rugalmassága korlátozott.</w:t>
            </w:r>
          </w:p>
        </w:tc>
      </w:tr>
      <w:tr w:rsidR="00741F94" w:rsidRPr="00D82419" w14:paraId="03D8F8BF" w14:textId="77777777" w:rsidTr="00CB270D">
        <w:tc>
          <w:tcPr>
            <w:tcW w:w="1276" w:type="dxa"/>
            <w:tcBorders>
              <w:top w:val="single" w:sz="4" w:space="0" w:color="auto"/>
              <w:left w:val="single" w:sz="4" w:space="0" w:color="auto"/>
              <w:bottom w:val="single" w:sz="4" w:space="0" w:color="auto"/>
              <w:right w:val="single" w:sz="4" w:space="0" w:color="auto"/>
            </w:tcBorders>
          </w:tcPr>
          <w:p w14:paraId="3515117D" w14:textId="6D5EA1F1"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0300, 0340, 0380</w:t>
            </w:r>
          </w:p>
        </w:tc>
        <w:tc>
          <w:tcPr>
            <w:tcW w:w="7512" w:type="dxa"/>
            <w:tcBorders>
              <w:top w:val="single" w:sz="4" w:space="0" w:color="auto"/>
              <w:left w:val="single" w:sz="4" w:space="0" w:color="auto"/>
              <w:bottom w:val="single" w:sz="4" w:space="0" w:color="auto"/>
              <w:right w:val="single" w:sz="4" w:space="0" w:color="auto"/>
            </w:tcBorders>
            <w:hideMark/>
          </w:tcPr>
          <w:p w14:paraId="044CB212" w14:textId="67028A97" w:rsidR="00741F94" w:rsidRPr="00D82419" w:rsidRDefault="00E620F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ebből: az 5 éves korlát alól mentesülő</w:t>
            </w:r>
          </w:p>
          <w:p w14:paraId="0D57FEDC" w14:textId="2D768F7A" w:rsidR="00741F94" w:rsidRPr="00D82419" w:rsidRDefault="00741F94" w:rsidP="003C575D">
            <w:pPr>
              <w:pStyle w:val="InstructionsText"/>
              <w:rPr>
                <w:rStyle w:val="InstructionsTabelleberschrift"/>
                <w:rFonts w:ascii="Times New Roman" w:hAnsi="Times New Roman"/>
                <w:noProof/>
                <w:sz w:val="24"/>
              </w:rPr>
            </w:pPr>
            <w:r>
              <w:rPr>
                <w:noProof/>
              </w:rPr>
              <w:t xml:space="preserve"> </w:t>
            </w:r>
            <w:r>
              <w:rPr>
                <w:rStyle w:val="InstructionsTabelleberschrift"/>
                <w:rFonts w:ascii="Times New Roman" w:hAnsi="Times New Roman"/>
                <w:b w:val="0"/>
                <w:noProof/>
                <w:sz w:val="24"/>
                <w:u w:val="none"/>
              </w:rPr>
              <w:t xml:space="preserve">Az 575/2013/EU rendelet 428f. cikke (2) bekezdésének a) pontjában említett azon szabályozott megatakarítások (nem csak a központosított részre vagy azokra a megtakarításokra korlátozódva, amelyek esetében a kivonásra lényeges gazdasági vagy költségvetési korlátok vonatkoznak), amelyek vonatkozásában az intézmény nem korlátozza </w:t>
            </w:r>
            <w:r>
              <w:rPr>
                <w:rStyle w:val="InstructionsTabelleberschrift"/>
                <w:rFonts w:ascii="Times New Roman" w:hAnsi="Times New Roman"/>
                <w:b w:val="0"/>
                <w:noProof/>
                <w:color w:val="000000"/>
                <w:sz w:val="24"/>
                <w:u w:val="none"/>
              </w:rPr>
              <w:t>a maximális súlyozott átlagos átárazódási időpontot</w:t>
            </w:r>
            <w:r>
              <w:rPr>
                <w:rStyle w:val="InstructionsTabelleberschrift"/>
                <w:rFonts w:ascii="Times New Roman" w:hAnsi="Times New Roman"/>
                <w:b w:val="0"/>
                <w:noProof/>
                <w:sz w:val="24"/>
                <w:u w:val="none"/>
              </w:rPr>
              <w:t xml:space="preserve"> 5 évre</w:t>
            </w:r>
            <w:r>
              <w:rPr>
                <w:noProof/>
              </w:rPr>
              <w:t>.</w:t>
            </w:r>
          </w:p>
        </w:tc>
      </w:tr>
      <w:tr w:rsidR="00741F94" w:rsidRPr="00D82419" w14:paraId="06E3DF23" w14:textId="77777777" w:rsidTr="00CB270D">
        <w:tc>
          <w:tcPr>
            <w:tcW w:w="1276" w:type="dxa"/>
            <w:tcBorders>
              <w:top w:val="single" w:sz="4" w:space="0" w:color="auto"/>
              <w:left w:val="single" w:sz="4" w:space="0" w:color="auto"/>
              <w:bottom w:val="single" w:sz="4" w:space="0" w:color="auto"/>
              <w:right w:val="single" w:sz="4" w:space="0" w:color="auto"/>
            </w:tcBorders>
          </w:tcPr>
          <w:p w14:paraId="35CB5B0E" w14:textId="5A234DD8"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5570ED3E" w14:textId="16E7FC60"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Lejárat nélküli betétek: Lakossági nem folyószámlabetét</w:t>
            </w:r>
          </w:p>
          <w:p w14:paraId="67DA1BF0" w14:textId="0DA9F77A" w:rsidR="00FD0B8B" w:rsidRPr="00D82419" w:rsidRDefault="00FD0B8B" w:rsidP="003C575D">
            <w:pPr>
              <w:pStyle w:val="InstructionsText"/>
              <w:rPr>
                <w:noProof/>
              </w:rPr>
            </w:pPr>
            <w:r>
              <w:rPr>
                <w:noProof/>
              </w:rPr>
              <w:t>Az (EU) .../... felhatalmazáson alapuló rendelet (Kiadóhivatal: kérjük, illesszék be a sztenderd módszerre vonatkozó szabályozástechnikai standardra való hivatkozást) 1. cikkének 11. pontjában meghatározott, nem folyószámlán tartott, lejárat nélküli lakossági betétek.</w:t>
            </w:r>
          </w:p>
          <w:p w14:paraId="2CCF1716" w14:textId="678BAE00" w:rsidR="007F62B7" w:rsidRPr="00D82419" w:rsidRDefault="007F62B7" w:rsidP="003C575D">
            <w:pPr>
              <w:pStyle w:val="InstructionsText"/>
              <w:rPr>
                <w:noProof/>
              </w:rPr>
            </w:pPr>
            <w:r>
              <w:rPr>
                <w:noProof/>
              </w:rPr>
              <w:t>A „Lejárat nélküli betétek: Lakossági folyószámlabetétek” kategóriába nem tartozó egyéb lakossági betéteket úgy kell tekinteni, hogy azokat nem fizetési számlán tartják.</w:t>
            </w:r>
          </w:p>
          <w:p w14:paraId="684A5676" w14:textId="536F0AD6" w:rsidR="00741F94" w:rsidRPr="00D82419" w:rsidRDefault="007F62B7" w:rsidP="003C575D">
            <w:pPr>
              <w:pStyle w:val="InstructionsText"/>
              <w:rPr>
                <w:rStyle w:val="InstructionsTabelleberschrift"/>
                <w:rFonts w:ascii="Times New Roman" w:hAnsi="Times New Roman"/>
                <w:noProof/>
                <w:sz w:val="24"/>
              </w:rPr>
            </w:pPr>
            <w:r>
              <w:rPr>
                <w:noProof/>
              </w:rPr>
              <w:t>Konkrétan, a lakossági nem folyószámlabetétek közé tartoznak az olyan lakossági számlák (ideértve a szabályozottakat is), amelyek javadalmazási komponense lényeges az ügyfél arra vonatkozó döntésére nézve, hogy pénzt tartson a számlán.</w:t>
            </w:r>
          </w:p>
        </w:tc>
      </w:tr>
      <w:tr w:rsidR="00741F94" w:rsidRPr="00D82419" w14:paraId="7F317DA1" w14:textId="77777777" w:rsidTr="00CB270D">
        <w:tc>
          <w:tcPr>
            <w:tcW w:w="1276" w:type="dxa"/>
            <w:tcBorders>
              <w:top w:val="single" w:sz="4" w:space="0" w:color="auto"/>
              <w:left w:val="single" w:sz="4" w:space="0" w:color="auto"/>
              <w:bottom w:val="single" w:sz="4" w:space="0" w:color="auto"/>
              <w:right w:val="single" w:sz="4" w:space="0" w:color="auto"/>
            </w:tcBorders>
          </w:tcPr>
          <w:p w14:paraId="6EF3F543" w14:textId="42F42E21"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20150A58" w14:textId="70C34925"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Lejárat nélküli betétek: Nem lakossági – nem pénzügyi</w:t>
            </w:r>
          </w:p>
          <w:p w14:paraId="623AA74F" w14:textId="28B35872" w:rsidR="00741F94" w:rsidRPr="00B123AB" w:rsidRDefault="008C6415" w:rsidP="003C575D">
            <w:pPr>
              <w:pStyle w:val="InstructionsText"/>
              <w:rPr>
                <w:rStyle w:val="InstructionsTabelleberschrift"/>
                <w:rFonts w:ascii="Times New Roman" w:hAnsi="Times New Roman"/>
                <w:b w:val="0"/>
                <w:bCs w:val="0"/>
                <w:noProof/>
                <w:sz w:val="24"/>
                <w:u w:val="none"/>
              </w:rPr>
            </w:pPr>
            <w:r>
              <w:rPr>
                <w:noProof/>
              </w:rPr>
              <w:t xml:space="preserve">Az (EU) .../... felhatalmazáson alapuló rendelet (Kiadóhivatal: kérjük, illesszék be a sztenderd módszerre vonatkozó szabályozástechnikai standardra való hivatkozást) 1. cikkének 12. pontjában meghatározott </w:t>
            </w:r>
            <w:r>
              <w:rPr>
                <w:rStyle w:val="InstructionsTabelleberschrift"/>
                <w:rFonts w:ascii="Times New Roman" w:hAnsi="Times New Roman"/>
                <w:b w:val="0"/>
                <w:noProof/>
                <w:sz w:val="24"/>
                <w:u w:val="none"/>
              </w:rPr>
              <w:t>nem lakossági betétek</w:t>
            </w:r>
            <w:r>
              <w:rPr>
                <w:noProof/>
              </w:rPr>
              <w:t xml:space="preserve">, amelyek az e rendelet </w:t>
            </w:r>
            <w:r>
              <w:rPr>
                <w:rStyle w:val="InstructionsTabelleberschrift"/>
                <w:rFonts w:ascii="Times New Roman" w:hAnsi="Times New Roman"/>
                <w:b w:val="0"/>
                <w:noProof/>
                <w:sz w:val="24"/>
                <w:u w:val="none"/>
              </w:rPr>
              <w:t>V. melléklete 1. része 42. pontjának b) és e) alpontjában</w:t>
            </w:r>
            <w:r>
              <w:rPr>
                <w:noProof/>
              </w:rPr>
              <w:t xml:space="preserve"> említett államháztartások és nem pénzügyi vállalatok lejárat nélküli betétei</w:t>
            </w:r>
            <w:r>
              <w:rPr>
                <w:rStyle w:val="InstructionsTabelleberschrift"/>
                <w:rFonts w:ascii="Times New Roman" w:hAnsi="Times New Roman"/>
                <w:b w:val="0"/>
                <w:noProof/>
                <w:sz w:val="24"/>
                <w:u w:val="none"/>
              </w:rPr>
              <w:t xml:space="preserve">. </w:t>
            </w:r>
          </w:p>
        </w:tc>
      </w:tr>
      <w:tr w:rsidR="00741F94" w:rsidRPr="00D82419" w14:paraId="2FD9C326" w14:textId="77777777" w:rsidTr="00CB270D">
        <w:tc>
          <w:tcPr>
            <w:tcW w:w="1276" w:type="dxa"/>
            <w:tcBorders>
              <w:top w:val="single" w:sz="4" w:space="0" w:color="auto"/>
              <w:left w:val="single" w:sz="4" w:space="0" w:color="auto"/>
              <w:bottom w:val="single" w:sz="4" w:space="0" w:color="auto"/>
              <w:right w:val="single" w:sz="4" w:space="0" w:color="auto"/>
            </w:tcBorders>
          </w:tcPr>
          <w:p w14:paraId="28AD73F7" w14:textId="3773B142"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2146828E" w14:textId="3FA2459A"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Lejárat nélküli betétek: Nem lakossági – pénzügyi</w:t>
            </w:r>
          </w:p>
          <w:p w14:paraId="290B416D" w14:textId="23917E82" w:rsidR="00741F94" w:rsidRPr="00B123AB" w:rsidRDefault="008C6415" w:rsidP="00B123AB">
            <w:pPr>
              <w:suppressAutoHyphens/>
              <w:spacing w:after="139"/>
              <w:ind w:right="66"/>
              <w:rPr>
                <w:rStyle w:val="InstructionsTabelleberschrift"/>
                <w:rFonts w:ascii="Times New Roman" w:hAnsi="Times New Roman"/>
                <w:b w:val="0"/>
                <w:bCs w:val="0"/>
                <w:noProof/>
                <w:u w:val="none"/>
              </w:rPr>
            </w:pPr>
            <w:r>
              <w:rPr>
                <w:rFonts w:ascii="Times New Roman" w:hAnsi="Times New Roman"/>
                <w:noProof/>
                <w:sz w:val="24"/>
              </w:rPr>
              <w:t xml:space="preserve">Az (EU) .../... felhatalmazáson alapuló rendelet (Kiadóhivatal: kérjük, illesszék be a sztenderd módszerre vonatkozó szabályozástechnikai standardra való hivatkozást) 1. cikkének 12. pontjában meghatározott </w:t>
            </w:r>
            <w:r>
              <w:rPr>
                <w:rStyle w:val="InstructionsTabelleberschrift"/>
                <w:rFonts w:ascii="Times New Roman" w:hAnsi="Times New Roman"/>
                <w:b w:val="0"/>
                <w:noProof/>
                <w:sz w:val="24"/>
                <w:u w:val="none"/>
              </w:rPr>
              <w:t>nem lakossági betétek</w:t>
            </w:r>
            <w:r>
              <w:rPr>
                <w:rFonts w:ascii="Times New Roman" w:hAnsi="Times New Roman"/>
                <w:noProof/>
                <w:sz w:val="24"/>
              </w:rPr>
              <w:t xml:space="preserve">, amelyek az e rendelet </w:t>
            </w:r>
            <w:r>
              <w:rPr>
                <w:rStyle w:val="InstructionsTabelleberschrift"/>
                <w:rFonts w:ascii="Times New Roman" w:hAnsi="Times New Roman"/>
                <w:b w:val="0"/>
                <w:noProof/>
                <w:sz w:val="24"/>
                <w:u w:val="none"/>
              </w:rPr>
              <w:t>V. melléklete 1. része 42. pontjának d) alpontjában</w:t>
            </w:r>
            <w:r>
              <w:rPr>
                <w:rFonts w:ascii="Times New Roman" w:hAnsi="Times New Roman"/>
                <w:noProof/>
                <w:sz w:val="24"/>
              </w:rPr>
              <w:t xml:space="preserve"> említett partnerek lejárat nélküli betétei.</w:t>
            </w:r>
            <w:r>
              <w:rPr>
                <w:rStyle w:val="InstructionsTabelleberschrift"/>
                <w:rFonts w:ascii="Times New Roman" w:hAnsi="Times New Roman"/>
                <w:b w:val="0"/>
                <w:noProof/>
                <w:sz w:val="24"/>
                <w:u w:val="none"/>
              </w:rPr>
              <w:t xml:space="preserve"> </w:t>
            </w:r>
          </w:p>
        </w:tc>
      </w:tr>
      <w:tr w:rsidR="00741F94" w:rsidRPr="00D82419" w14:paraId="627CF461" w14:textId="77777777" w:rsidTr="00CB270D">
        <w:tc>
          <w:tcPr>
            <w:tcW w:w="1276" w:type="dxa"/>
            <w:tcBorders>
              <w:top w:val="single" w:sz="4" w:space="0" w:color="auto"/>
              <w:left w:val="single" w:sz="4" w:space="0" w:color="auto"/>
              <w:bottom w:val="single" w:sz="4" w:space="0" w:color="auto"/>
              <w:right w:val="single" w:sz="4" w:space="0" w:color="auto"/>
            </w:tcBorders>
          </w:tcPr>
          <w:p w14:paraId="50204665" w14:textId="36C23FAD"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01397660" w14:textId="2BDCC513" w:rsidR="00741F94" w:rsidRPr="001B37CD" w:rsidRDefault="00166525"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ebből: operatív betétek</w:t>
            </w:r>
          </w:p>
          <w:p w14:paraId="147EE0A6" w14:textId="72D4164C" w:rsidR="00741F94" w:rsidRPr="001B37CD" w:rsidRDefault="00A852A4" w:rsidP="003C575D">
            <w:pPr>
              <w:pStyle w:val="InstructionsText"/>
              <w:rPr>
                <w:rStyle w:val="InstructionsTabelleberschrift"/>
                <w:rFonts w:ascii="Times New Roman" w:hAnsi="Times New Roman"/>
                <w:noProof/>
                <w:sz w:val="24"/>
              </w:rPr>
            </w:pPr>
            <w:r>
              <w:rPr>
                <w:noProof/>
              </w:rPr>
              <w:t>Lejárat nélküli betétek, amelyek az (EU) 2015/61 felhatalmazáson alapuló bizottsági rendelet</w:t>
            </w:r>
            <w:r w:rsidR="00491D20" w:rsidRPr="001B37CD">
              <w:rPr>
                <w:rStyle w:val="FootnoteReference"/>
                <w:rFonts w:ascii="Times New Roman" w:hAnsi="Times New Roman"/>
                <w:noProof/>
                <w:sz w:val="24"/>
                <w:szCs w:val="24"/>
                <w:vertAlign w:val="superscript"/>
              </w:rPr>
              <w:footnoteReference w:id="4"/>
            </w:r>
            <w:r>
              <w:rPr>
                <w:noProof/>
              </w:rPr>
              <w:t xml:space="preserve"> 27. cikke (1) bekezdése a) pontja szerinti operatív betéteknek minősülnek.</w:t>
            </w:r>
          </w:p>
        </w:tc>
      </w:tr>
      <w:tr w:rsidR="00741F94" w:rsidRPr="00D82419" w14:paraId="42FD9774" w14:textId="77777777" w:rsidTr="00CB270D">
        <w:tc>
          <w:tcPr>
            <w:tcW w:w="1276" w:type="dxa"/>
            <w:tcBorders>
              <w:top w:val="single" w:sz="4" w:space="0" w:color="auto"/>
              <w:left w:val="single" w:sz="4" w:space="0" w:color="auto"/>
              <w:bottom w:val="single" w:sz="4" w:space="0" w:color="auto"/>
              <w:right w:val="single" w:sz="4" w:space="0" w:color="auto"/>
            </w:tcBorders>
          </w:tcPr>
          <w:p w14:paraId="6EB81BCB" w14:textId="7804F10C"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280F2825" w14:textId="1D6FB1A6"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Lekötött betétek</w:t>
            </w:r>
          </w:p>
          <w:p w14:paraId="23926A1D" w14:textId="49652B3C" w:rsidR="00741F94" w:rsidRPr="00D82419" w:rsidRDefault="00741F94" w:rsidP="00430DF0">
            <w:pPr>
              <w:suppressAutoHyphens/>
              <w:spacing w:after="139"/>
              <w:ind w:right="66"/>
              <w:rPr>
                <w:rStyle w:val="InstructionsTabelleberschrift"/>
                <w:rFonts w:ascii="Times New Roman" w:hAnsi="Times New Roman"/>
                <w:b w:val="0"/>
                <w:bCs w:val="0"/>
                <w:noProof/>
                <w:sz w:val="24"/>
                <w:u w:val="none"/>
              </w:rPr>
            </w:pPr>
            <w:r>
              <w:rPr>
                <w:rFonts w:ascii="Times New Roman" w:hAnsi="Times New Roman"/>
                <w:noProof/>
                <w:sz w:val="24"/>
              </w:rPr>
              <w:t>Nem átruházható betétek, amelyeket a betétes az előre rögzített lejárat előtt vagy nem törhet fel, vagy a betétek feltörhetők, feltéve, hogy a betétes lejárat előtti feltörési (előtörlesztési) költségeket és díjakat fizet. Ez a tétel tartalmazza az olyan hatóságilag szabályozott megtakarítási betéteket is, amelyeknél a lejáratra vonatkozó szempont nem mérvadó. Bár a lekötött betétek esetében fennállhat az előzetes értesítés melletti, lejárat előtti feltörés lehetősége, illetve a betétet adott esetben bizonyos szankció terhe mellett korábban fel lehet törni, azonban e jellemzők a besorolás szempontjából nem alkalmazandók. Ebben a sorban nem szerepelhetnek a 0220 és a 0230 sorban feltüntetett kitettségek.</w:t>
            </w:r>
          </w:p>
        </w:tc>
      </w:tr>
      <w:tr w:rsidR="00741F94" w:rsidRPr="00D82419" w14:paraId="228274A5" w14:textId="77777777" w:rsidTr="00CB270D">
        <w:tc>
          <w:tcPr>
            <w:tcW w:w="1276" w:type="dxa"/>
            <w:tcBorders>
              <w:top w:val="single" w:sz="4" w:space="0" w:color="auto"/>
              <w:left w:val="single" w:sz="4" w:space="0" w:color="auto"/>
              <w:bottom w:val="single" w:sz="4" w:space="0" w:color="auto"/>
              <w:right w:val="single" w:sz="4" w:space="0" w:color="auto"/>
            </w:tcBorders>
          </w:tcPr>
          <w:p w14:paraId="15A80A78" w14:textId="447F46C1"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6AA66273"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Lakossági</w:t>
            </w:r>
          </w:p>
          <w:p w14:paraId="0C1BD336" w14:textId="6F50C206"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Ebben a sorban kell feltüntetni a lakossági ügyfelek lekötött betéteit</w:t>
            </w:r>
            <w:r>
              <w:rPr>
                <w:b/>
                <w:noProof/>
              </w:rPr>
              <w:t xml:space="preserve">. </w:t>
            </w:r>
          </w:p>
        </w:tc>
      </w:tr>
      <w:tr w:rsidR="00741F94" w:rsidRPr="00D82419" w14:paraId="3917CDEB" w14:textId="77777777" w:rsidTr="00CB270D">
        <w:tc>
          <w:tcPr>
            <w:tcW w:w="1276" w:type="dxa"/>
            <w:tcBorders>
              <w:top w:val="single" w:sz="4" w:space="0" w:color="auto"/>
              <w:left w:val="single" w:sz="4" w:space="0" w:color="auto"/>
              <w:bottom w:val="single" w:sz="4" w:space="0" w:color="auto"/>
              <w:right w:val="single" w:sz="4" w:space="0" w:color="auto"/>
            </w:tcBorders>
          </w:tcPr>
          <w:p w14:paraId="01C18FFF" w14:textId="009EF5A1"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79BDE9F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Nem lakossági – nem pénzügyi</w:t>
            </w:r>
          </w:p>
          <w:p w14:paraId="0429A193" w14:textId="2BE1783B" w:rsidR="00AB4CE3" w:rsidRPr="00D82419" w:rsidRDefault="00AB4CE3" w:rsidP="003C575D">
            <w:pPr>
              <w:pStyle w:val="InstructionsText"/>
              <w:rPr>
                <w:noProof/>
              </w:rPr>
            </w:pPr>
            <w:r>
              <w:rPr>
                <w:noProof/>
              </w:rPr>
              <w:t>Nem lakossági nem pénzügyi ügyfelek lekötött betétei.</w:t>
            </w:r>
          </w:p>
          <w:p w14:paraId="05C6DCF8" w14:textId="3E2A1ABB" w:rsidR="00741F94" w:rsidRPr="00D82419" w:rsidRDefault="00894CF8" w:rsidP="003C575D">
            <w:pPr>
              <w:pStyle w:val="InstructionsText"/>
              <w:rPr>
                <w:rStyle w:val="InstructionsTabelleberschrift"/>
                <w:rFonts w:ascii="Times New Roman" w:hAnsi="Times New Roman"/>
                <w:noProof/>
                <w:sz w:val="24"/>
              </w:rPr>
            </w:pPr>
            <w:r>
              <w:rPr>
                <w:noProof/>
              </w:rPr>
              <w:t xml:space="preserve">Az (EU) .../... felhatalmazáson alapuló rendelet (Kiadóhivatal: kérjük, illesszék be a sztenderd módszerre vonatkozó szabályozástechnikai standardra való hivatkozást) 1. cikkének 12. pontjában meghatározott </w:t>
            </w:r>
            <w:r>
              <w:rPr>
                <w:rStyle w:val="InstructionsTabelleberschrift"/>
                <w:rFonts w:ascii="Times New Roman" w:hAnsi="Times New Roman"/>
                <w:b w:val="0"/>
                <w:noProof/>
                <w:sz w:val="24"/>
                <w:u w:val="none"/>
              </w:rPr>
              <w:t>nem lakossági betétek</w:t>
            </w:r>
            <w:r>
              <w:rPr>
                <w:noProof/>
              </w:rPr>
              <w:t xml:space="preserve">, amelyek az e rendelet </w:t>
            </w:r>
            <w:r>
              <w:rPr>
                <w:rStyle w:val="InstructionsTabelleberschrift"/>
                <w:rFonts w:ascii="Times New Roman" w:hAnsi="Times New Roman"/>
                <w:b w:val="0"/>
                <w:noProof/>
                <w:sz w:val="24"/>
                <w:u w:val="none"/>
              </w:rPr>
              <w:t>V. melléklete 1. része 42. pontjának b) és e) alpontjában</w:t>
            </w:r>
            <w:r>
              <w:rPr>
                <w:noProof/>
              </w:rPr>
              <w:t xml:space="preserve"> említett államháztartások és nem pénzügyi vállalatok lejárat nélküli betéteitől különböző betétek</w:t>
            </w:r>
            <w:r>
              <w:rPr>
                <w:rStyle w:val="InstructionsTabelleberschrift"/>
                <w:rFonts w:ascii="Times New Roman" w:hAnsi="Times New Roman"/>
                <w:b w:val="0"/>
                <w:noProof/>
                <w:sz w:val="24"/>
                <w:u w:val="none"/>
              </w:rPr>
              <w:t xml:space="preserve">. </w:t>
            </w:r>
          </w:p>
        </w:tc>
      </w:tr>
      <w:tr w:rsidR="00741F94" w:rsidRPr="00D82419" w14:paraId="7A8A6871" w14:textId="77777777" w:rsidTr="00CB270D">
        <w:tc>
          <w:tcPr>
            <w:tcW w:w="1276" w:type="dxa"/>
            <w:tcBorders>
              <w:top w:val="single" w:sz="4" w:space="0" w:color="auto"/>
              <w:left w:val="single" w:sz="4" w:space="0" w:color="auto"/>
              <w:bottom w:val="single" w:sz="4" w:space="0" w:color="auto"/>
              <w:right w:val="single" w:sz="4" w:space="0" w:color="auto"/>
            </w:tcBorders>
          </w:tcPr>
          <w:p w14:paraId="61437035" w14:textId="461D4C90"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7334982A"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Nem lakossági – pénzügyi</w:t>
            </w:r>
          </w:p>
          <w:p w14:paraId="0EAB8936" w14:textId="77777777" w:rsidR="00741F94" w:rsidRPr="00D82419" w:rsidRDefault="00741F94" w:rsidP="003C575D">
            <w:pPr>
              <w:pStyle w:val="InstructionsText"/>
              <w:rPr>
                <w:noProof/>
              </w:rPr>
            </w:pPr>
            <w:r>
              <w:rPr>
                <w:noProof/>
              </w:rPr>
              <w:t>Nem lakossági pénzügyi ügyfelek lekötött betétei.</w:t>
            </w:r>
          </w:p>
          <w:p w14:paraId="43BE6736" w14:textId="749F2C75" w:rsidR="00894CF8" w:rsidRPr="00D82419" w:rsidRDefault="00894CF8" w:rsidP="00430DF0">
            <w:pPr>
              <w:suppressAutoHyphens/>
              <w:spacing w:after="139"/>
              <w:ind w:right="66"/>
              <w:rPr>
                <w:rStyle w:val="InstructionsTabelleberschrift"/>
                <w:rFonts w:ascii="Times New Roman" w:hAnsi="Times New Roman"/>
                <w:b w:val="0"/>
                <w:noProof/>
                <w:sz w:val="24"/>
                <w:u w:val="none"/>
              </w:rPr>
            </w:pPr>
            <w:r>
              <w:rPr>
                <w:rFonts w:ascii="Times New Roman" w:hAnsi="Times New Roman"/>
                <w:noProof/>
                <w:sz w:val="24"/>
              </w:rPr>
              <w:t xml:space="preserve">Az (EU) .../... felhatalmazáson alapuló rendelet (Kiadóhivatal: kérjük, illesszék be a sztenderd módszerre vonatkozó szabályozástechnikai standardra való hivatkozást) 1. cikkének 12. pontjában meghatározott </w:t>
            </w:r>
            <w:r>
              <w:rPr>
                <w:rStyle w:val="InstructionsTabelleberschrift"/>
                <w:rFonts w:ascii="Times New Roman" w:hAnsi="Times New Roman"/>
                <w:b w:val="0"/>
                <w:noProof/>
                <w:sz w:val="24"/>
                <w:u w:val="none"/>
              </w:rPr>
              <w:t>nem lakossági betétek</w:t>
            </w:r>
            <w:r>
              <w:rPr>
                <w:rFonts w:ascii="Times New Roman" w:hAnsi="Times New Roman"/>
                <w:noProof/>
              </w:rPr>
              <w:t xml:space="preserve">, </w:t>
            </w:r>
            <w:r>
              <w:rPr>
                <w:rFonts w:ascii="Times New Roman" w:hAnsi="Times New Roman"/>
                <w:noProof/>
                <w:sz w:val="24"/>
              </w:rPr>
              <w:t xml:space="preserve">amelyek az e rendelet </w:t>
            </w:r>
            <w:r>
              <w:rPr>
                <w:rStyle w:val="InstructionsTabelleberschrift"/>
                <w:rFonts w:ascii="Times New Roman" w:hAnsi="Times New Roman"/>
                <w:b w:val="0"/>
                <w:noProof/>
                <w:sz w:val="24"/>
                <w:u w:val="none"/>
              </w:rPr>
              <w:t>V. melléklete</w:t>
            </w:r>
            <w:r>
              <w:rPr>
                <w:rFonts w:ascii="Times New Roman" w:hAnsi="Times New Roman"/>
                <w:noProof/>
                <w:sz w:val="24"/>
              </w:rPr>
              <w:t xml:space="preserve"> 1. része 42. pontjának d) alpontjában említett partnerektől származó lejárat nélküli betétektől különböző betétek</w:t>
            </w:r>
            <w:r>
              <w:rPr>
                <w:rStyle w:val="InstructionsTabelleberschrift"/>
                <w:rFonts w:ascii="Times New Roman" w:hAnsi="Times New Roman"/>
                <w:b w:val="0"/>
                <w:noProof/>
                <w:sz w:val="24"/>
                <w:u w:val="none"/>
              </w:rPr>
              <w:t>.</w:t>
            </w:r>
          </w:p>
        </w:tc>
      </w:tr>
      <w:tr w:rsidR="00A4472C" w:rsidRPr="00D82419" w:rsidDel="00576E55" w14:paraId="0ED788F2" w14:textId="77777777" w:rsidTr="00CB270D">
        <w:tc>
          <w:tcPr>
            <w:tcW w:w="1276" w:type="dxa"/>
            <w:tcBorders>
              <w:top w:val="single" w:sz="4" w:space="0" w:color="auto"/>
              <w:left w:val="single" w:sz="4" w:space="0" w:color="auto"/>
              <w:bottom w:val="single" w:sz="4" w:space="0" w:color="auto"/>
              <w:right w:val="single" w:sz="4" w:space="0" w:color="auto"/>
            </w:tcBorders>
          </w:tcPr>
          <w:p w14:paraId="03AD6ABD" w14:textId="164CA0CD" w:rsidR="00A4472C" w:rsidRPr="00D82419" w:rsidDel="00576E55"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0470</w:t>
            </w:r>
          </w:p>
        </w:tc>
        <w:tc>
          <w:tcPr>
            <w:tcW w:w="7512" w:type="dxa"/>
            <w:tcBorders>
              <w:top w:val="single" w:sz="4" w:space="0" w:color="auto"/>
              <w:left w:val="single" w:sz="4" w:space="0" w:color="auto"/>
              <w:bottom w:val="single" w:sz="4" w:space="0" w:color="auto"/>
              <w:right w:val="single" w:sz="4" w:space="0" w:color="auto"/>
            </w:tcBorders>
          </w:tcPr>
          <w:p w14:paraId="1B5B172E" w14:textId="77777777" w:rsidR="00A4472C" w:rsidRPr="00D82419" w:rsidRDefault="00217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Kötelezettségeket fedező származtatott termékek</w:t>
            </w:r>
          </w:p>
          <w:p w14:paraId="2EE47E8C" w14:textId="10B65877" w:rsidR="00A4472C" w:rsidRPr="00D82419" w:rsidDel="00576E55" w:rsidRDefault="0032170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A 600/2014/EU rendelet 2. cikke (1) bekezdésének 29. pontjában meghatározott származtatott termékek.</w:t>
            </w:r>
            <w:r>
              <w:rPr>
                <w:rStyle w:val="InstructionsTabelleberschrift"/>
                <w:rFonts w:ascii="Times New Roman" w:hAnsi="Times New Roman"/>
                <w:noProof/>
                <w:sz w:val="24"/>
                <w:u w:val="none"/>
              </w:rPr>
              <w:t xml:space="preserve"> </w:t>
            </w:r>
            <w:r>
              <w:rPr>
                <w:rStyle w:val="InstructionsTabelleberschrift"/>
                <w:rFonts w:ascii="Times New Roman" w:hAnsi="Times New Roman"/>
                <w:b w:val="0"/>
                <w:noProof/>
                <w:sz w:val="24"/>
                <w:u w:val="none"/>
              </w:rPr>
              <w:t>Az intézmények</w:t>
            </w:r>
            <w:r>
              <w:rPr>
                <w:noProof/>
              </w:rPr>
              <w:t xml:space="preserve"> az alkalmazandó számviteli szabályozás szerint fedezeti elszámolás alá tartozó származtatott termékek közül azokat jelentik, amelyeknél</w:t>
            </w:r>
            <w:r w:rsidR="00783B3A">
              <w:rPr>
                <w:noProof/>
              </w:rPr>
              <w:t xml:space="preserve"> </w:t>
            </w:r>
            <w:r>
              <w:rPr>
                <w:noProof/>
              </w:rPr>
              <w:t>a</w:t>
            </w:r>
            <w:r w:rsidR="00783B3A">
              <w:rPr>
                <w:noProof/>
              </w:rPr>
              <w:t xml:space="preserve"> </w:t>
            </w:r>
            <w:r>
              <w:rPr>
                <w:noProof/>
              </w:rPr>
              <w:t xml:space="preserve">fedezett tétel kamatlábérzékeny </w:t>
            </w:r>
            <w:r w:rsidR="006B2684">
              <w:rPr>
                <w:noProof/>
              </w:rPr>
              <w:t>kötelezettség</w:t>
            </w:r>
            <w:r>
              <w:rPr>
                <w:noProof/>
              </w:rPr>
              <w:t>.</w:t>
            </w:r>
          </w:p>
        </w:tc>
      </w:tr>
      <w:tr w:rsidR="00912ADD" w:rsidRPr="00D82419" w:rsidDel="00576E55" w14:paraId="044CCDA5" w14:textId="77777777" w:rsidTr="00CB270D">
        <w:tc>
          <w:tcPr>
            <w:tcW w:w="1276" w:type="dxa"/>
            <w:tcBorders>
              <w:top w:val="single" w:sz="4" w:space="0" w:color="auto"/>
              <w:left w:val="single" w:sz="4" w:space="0" w:color="auto"/>
              <w:bottom w:val="single" w:sz="4" w:space="0" w:color="auto"/>
              <w:right w:val="single" w:sz="4" w:space="0" w:color="auto"/>
            </w:tcBorders>
          </w:tcPr>
          <w:p w14:paraId="00014BBF" w14:textId="68A39A56" w:rsidR="00912ADD"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0490</w:t>
            </w:r>
          </w:p>
        </w:tc>
        <w:tc>
          <w:tcPr>
            <w:tcW w:w="7512" w:type="dxa"/>
            <w:tcBorders>
              <w:top w:val="single" w:sz="4" w:space="0" w:color="auto"/>
              <w:left w:val="single" w:sz="4" w:space="0" w:color="auto"/>
              <w:bottom w:val="single" w:sz="4" w:space="0" w:color="auto"/>
              <w:right w:val="single" w:sz="4" w:space="0" w:color="auto"/>
            </w:tcBorders>
          </w:tcPr>
          <w:p w14:paraId="481EA62D" w14:textId="77777777" w:rsidR="003C7D80" w:rsidRPr="00D82419" w:rsidRDefault="004309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Hitelviszonyt megtestesítő értékpapírokat fedező</w:t>
            </w:r>
          </w:p>
          <w:p w14:paraId="4CC38832" w14:textId="220A5504" w:rsidR="00912ADD" w:rsidRPr="00D82419" w:rsidRDefault="00AA0E8C" w:rsidP="003C575D">
            <w:pPr>
              <w:pStyle w:val="InstructionsText"/>
              <w:rPr>
                <w:rStyle w:val="InstructionsTabelleberschrift"/>
                <w:rFonts w:ascii="Times New Roman" w:hAnsi="Times New Roman"/>
                <w:noProof/>
                <w:sz w:val="24"/>
              </w:rPr>
            </w:pPr>
            <w:r>
              <w:rPr>
                <w:noProof/>
              </w:rPr>
              <w:t xml:space="preserve">Fedezeti elszámolás alá vont származtatott termékek, </w:t>
            </w:r>
            <w:r>
              <w:rPr>
                <w:rStyle w:val="InstructionsTabelleberschrift"/>
                <w:rFonts w:ascii="Times New Roman" w:hAnsi="Times New Roman"/>
                <w:b w:val="0"/>
                <w:noProof/>
                <w:sz w:val="24"/>
                <w:u w:val="none"/>
              </w:rPr>
              <w:t xml:space="preserve">amelyek hitelviszonyt megtestesítő értékpapíroknak minősülő kötelezettségeket fedeznek. </w:t>
            </w:r>
          </w:p>
        </w:tc>
      </w:tr>
      <w:tr w:rsidR="00693056" w:rsidRPr="00D82419" w:rsidDel="00576E55" w14:paraId="3AE364FD" w14:textId="77777777" w:rsidTr="00CB270D">
        <w:tc>
          <w:tcPr>
            <w:tcW w:w="1276" w:type="dxa"/>
            <w:tcBorders>
              <w:top w:val="single" w:sz="4" w:space="0" w:color="auto"/>
              <w:left w:val="single" w:sz="4" w:space="0" w:color="auto"/>
              <w:bottom w:val="single" w:sz="4" w:space="0" w:color="auto"/>
              <w:right w:val="single" w:sz="4" w:space="0" w:color="auto"/>
            </w:tcBorders>
          </w:tcPr>
          <w:p w14:paraId="02DBC7AF" w14:textId="491D07AD" w:rsidR="00693056"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0500</w:t>
            </w:r>
          </w:p>
        </w:tc>
        <w:tc>
          <w:tcPr>
            <w:tcW w:w="7512" w:type="dxa"/>
            <w:tcBorders>
              <w:top w:val="single" w:sz="4" w:space="0" w:color="auto"/>
              <w:left w:val="single" w:sz="4" w:space="0" w:color="auto"/>
              <w:bottom w:val="single" w:sz="4" w:space="0" w:color="auto"/>
              <w:right w:val="single" w:sz="4" w:space="0" w:color="auto"/>
            </w:tcBorders>
          </w:tcPr>
          <w:p w14:paraId="23ADE712" w14:textId="4334F9B3" w:rsidR="003C7D80" w:rsidRPr="00D82419" w:rsidRDefault="003C7D8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Egyéb kötelezettségeket fedező</w:t>
            </w:r>
          </w:p>
          <w:p w14:paraId="4488459D" w14:textId="79A2A28C" w:rsidR="00693056" w:rsidRPr="00D82419" w:rsidRDefault="00AA0E8C" w:rsidP="003C575D">
            <w:pPr>
              <w:pStyle w:val="InstructionsText"/>
              <w:rPr>
                <w:rStyle w:val="InstructionsTabelleberschrift"/>
                <w:rFonts w:ascii="Times New Roman" w:hAnsi="Times New Roman"/>
                <w:noProof/>
                <w:sz w:val="24"/>
              </w:rPr>
            </w:pPr>
            <w:r>
              <w:rPr>
                <w:noProof/>
              </w:rPr>
              <w:t xml:space="preserve">Fedezeti elszámolás alá vont származtatott termékek, </w:t>
            </w:r>
            <w:r>
              <w:rPr>
                <w:rStyle w:val="InstructionsTabelleberschrift"/>
                <w:rFonts w:ascii="Times New Roman" w:hAnsi="Times New Roman"/>
                <w:b w:val="0"/>
                <w:noProof/>
                <w:sz w:val="24"/>
                <w:u w:val="none"/>
              </w:rPr>
              <w:t>amelyek hitelviszonyt megtestesítő értékpapíroknak nem minősülő kötelezettségeket fedeznek.</w:t>
            </w:r>
          </w:p>
        </w:tc>
      </w:tr>
      <w:tr w:rsidR="00E96058" w:rsidRPr="00D82419" w14:paraId="068A5376" w14:textId="77777777" w:rsidTr="00CB270D">
        <w:tc>
          <w:tcPr>
            <w:tcW w:w="1276" w:type="dxa"/>
            <w:tcBorders>
              <w:top w:val="single" w:sz="4" w:space="0" w:color="auto"/>
              <w:left w:val="single" w:sz="4" w:space="0" w:color="auto"/>
              <w:bottom w:val="single" w:sz="4" w:space="0" w:color="auto"/>
              <w:right w:val="single" w:sz="4" w:space="0" w:color="auto"/>
            </w:tcBorders>
          </w:tcPr>
          <w:p w14:paraId="1785C7AC" w14:textId="10310EA9" w:rsidR="00E96058"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A26ECCF" w14:textId="77777777" w:rsidR="00E96058" w:rsidRPr="00D82419" w:rsidRDefault="00E9605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Egyéb</w:t>
            </w:r>
          </w:p>
          <w:p w14:paraId="65D0639C" w14:textId="76B42BA3" w:rsidR="00E96058" w:rsidRPr="00D82419" w:rsidRDefault="00E9605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Ebben a sorban kell feltüntetni azokat</w:t>
            </w:r>
            <w:r>
              <w:rPr>
                <w:noProof/>
              </w:rPr>
              <w:t xml:space="preserve"> a mérlegen belüli kamatlábérzékeny egyéb kötelezettségeket, amelyek nem tartoznak a fenti sorokba.</w:t>
            </w:r>
          </w:p>
        </w:tc>
      </w:tr>
      <w:tr w:rsidR="00741F94" w:rsidRPr="00D82419" w14:paraId="1FF66180" w14:textId="77777777" w:rsidTr="00CB270D">
        <w:tc>
          <w:tcPr>
            <w:tcW w:w="1276" w:type="dxa"/>
            <w:tcBorders>
              <w:top w:val="single" w:sz="4" w:space="0" w:color="auto"/>
              <w:left w:val="single" w:sz="4" w:space="0" w:color="auto"/>
              <w:bottom w:val="single" w:sz="4" w:space="0" w:color="auto"/>
              <w:right w:val="single" w:sz="4" w:space="0" w:color="auto"/>
            </w:tcBorders>
          </w:tcPr>
          <w:p w14:paraId="03B07CAF" w14:textId="478E9652"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24ABFC80" w14:textId="6F42CC98"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Mérlegen kívüli kötelezettségek: </w:t>
            </w:r>
            <w:bookmarkStart w:id="53" w:name="_Hlk116393169"/>
            <w:r>
              <w:rPr>
                <w:rStyle w:val="InstructionsTabelleberschrift"/>
                <w:rFonts w:ascii="Times New Roman" w:hAnsi="Times New Roman"/>
                <w:noProof/>
                <w:sz w:val="24"/>
              </w:rPr>
              <w:t>függő kötelezettségek</w:t>
            </w:r>
            <w:bookmarkEnd w:id="53"/>
          </w:p>
          <w:p w14:paraId="75027371" w14:textId="350951E4"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 mérlegen kívüli tételek között olyan termékeket kell feltüntetni, mint a kamatlábérzékeny hitelnyújtási elkötelezettségek.</w:t>
            </w:r>
          </w:p>
          <w:p w14:paraId="7A13B80C" w14:textId="19798B61"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A függő kötelezettségeket rövid és hosszú pozíció kombinációjaként kell feltüntetni. Abban az esetben, amikor az intézménynek más intézményekkel van hitelkerete, az intézménynek hosszú pozíciója lesz a hitel feltételezett lehívásakor, és rövid pozíciója lesz a hitelkeret megnyitásának napján.</w:t>
            </w:r>
          </w:p>
          <w:p w14:paraId="52F8703B" w14:textId="72FEC13F" w:rsidR="00741F94" w:rsidRPr="00D82419" w:rsidRDefault="00741F94" w:rsidP="003C575D">
            <w:pPr>
              <w:pStyle w:val="InstructionsText"/>
              <w:rPr>
                <w:rStyle w:val="InstructionsTabelleberschrift"/>
                <w:rFonts w:ascii="Times New Roman" w:hAnsi="Times New Roman"/>
                <w:b w:val="0"/>
                <w:bCs w:val="0"/>
                <w:noProof/>
                <w:sz w:val="24"/>
                <w:highlight w:val="yellow"/>
                <w:u w:val="none"/>
              </w:rPr>
            </w:pPr>
            <w:r>
              <w:rPr>
                <w:rStyle w:val="InstructionsTabelleberschrift"/>
                <w:rFonts w:ascii="Times New Roman" w:hAnsi="Times New Roman"/>
                <w:b w:val="0"/>
                <w:noProof/>
                <w:sz w:val="24"/>
                <w:u w:val="none"/>
              </w:rPr>
              <w:t>A hosszú pozíciókat eszközként, a rövid pozíciókat pedig kötelezettségként kell feltüntetni. Ebben a sorban csak a kötelezettségeknek minősülő függő instrumentumokat kell feltüntetni.</w:t>
            </w:r>
          </w:p>
        </w:tc>
      </w:tr>
      <w:tr w:rsidR="005F6854" w:rsidRPr="00D82419" w14:paraId="4FD182D6" w14:textId="77777777" w:rsidTr="00CB270D">
        <w:tc>
          <w:tcPr>
            <w:tcW w:w="1276" w:type="dxa"/>
            <w:tcBorders>
              <w:top w:val="single" w:sz="4" w:space="0" w:color="auto"/>
              <w:left w:val="single" w:sz="4" w:space="0" w:color="auto"/>
              <w:bottom w:val="single" w:sz="4" w:space="0" w:color="auto"/>
              <w:right w:val="single" w:sz="4" w:space="0" w:color="auto"/>
            </w:tcBorders>
          </w:tcPr>
          <w:p w14:paraId="2F3CA386" w14:textId="4429AA05" w:rsidR="005F685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0530</w:t>
            </w:r>
          </w:p>
        </w:tc>
        <w:tc>
          <w:tcPr>
            <w:tcW w:w="7512" w:type="dxa"/>
            <w:tcBorders>
              <w:top w:val="single" w:sz="4" w:space="0" w:color="auto"/>
              <w:left w:val="single" w:sz="4" w:space="0" w:color="auto"/>
              <w:bottom w:val="single" w:sz="4" w:space="0" w:color="auto"/>
              <w:right w:val="single" w:sz="4" w:space="0" w:color="auto"/>
            </w:tcBorders>
          </w:tcPr>
          <w:p w14:paraId="51267A2C" w14:textId="77777777" w:rsidR="005F6854" w:rsidRPr="00D82419" w:rsidRDefault="00D3359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Egyéb származtatott termékek (nettó eszköz/kötelezettség)</w:t>
            </w:r>
          </w:p>
          <w:p w14:paraId="445A1B2E" w14:textId="52EF1626" w:rsidR="008A50EB" w:rsidRPr="00D82419" w:rsidRDefault="00AA6996"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Nem fedezeti elszámolásra kialakított származtatott kamatügyletek, mint például a gazdasági kamatláb-fedezeti ügyletek, amelyek célja a banki könyvi kamatlábkockázat fedezése, de amelyek nem tartoznak fedezeti elszámolás alá.</w:t>
            </w:r>
          </w:p>
        </w:tc>
      </w:tr>
      <w:tr w:rsidR="00741F94" w:rsidRPr="00D82419" w14:paraId="7092C293" w14:textId="77777777" w:rsidTr="00CB270D">
        <w:tc>
          <w:tcPr>
            <w:tcW w:w="1276" w:type="dxa"/>
            <w:tcBorders>
              <w:top w:val="single" w:sz="4" w:space="0" w:color="auto"/>
              <w:left w:val="single" w:sz="4" w:space="0" w:color="auto"/>
              <w:bottom w:val="single" w:sz="4" w:space="0" w:color="auto"/>
              <w:right w:val="single" w:sz="4" w:space="0" w:color="auto"/>
            </w:tcBorders>
          </w:tcPr>
          <w:p w14:paraId="4A072BB7" w14:textId="44EFB244" w:rsidR="00741F94" w:rsidRPr="00D82419" w:rsidDel="001D16D7"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0540–0640</w:t>
            </w:r>
          </w:p>
        </w:tc>
        <w:tc>
          <w:tcPr>
            <w:tcW w:w="7512" w:type="dxa"/>
            <w:tcBorders>
              <w:top w:val="single" w:sz="4" w:space="0" w:color="auto"/>
              <w:left w:val="single" w:sz="4" w:space="0" w:color="auto"/>
              <w:bottom w:val="single" w:sz="4" w:space="0" w:color="auto"/>
              <w:right w:val="single" w:sz="4" w:space="0" w:color="auto"/>
            </w:tcBorders>
          </w:tcPr>
          <w:p w14:paraId="1024D883"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Tájékoztató adatok</w:t>
            </w:r>
          </w:p>
        </w:tc>
      </w:tr>
      <w:tr w:rsidR="009C1A96" w:rsidRPr="00D82419" w14:paraId="1C109EDF" w14:textId="77777777" w:rsidTr="00CB270D">
        <w:tc>
          <w:tcPr>
            <w:tcW w:w="1276" w:type="dxa"/>
            <w:tcBorders>
              <w:top w:val="single" w:sz="4" w:space="0" w:color="auto"/>
              <w:left w:val="single" w:sz="4" w:space="0" w:color="auto"/>
              <w:bottom w:val="single" w:sz="4" w:space="0" w:color="auto"/>
              <w:right w:val="single" w:sz="4" w:space="0" w:color="auto"/>
            </w:tcBorders>
          </w:tcPr>
          <w:p w14:paraId="22F0F1A3" w14:textId="5084B76D" w:rsidR="009C1A96"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w:t>
            </w:r>
          </w:p>
        </w:tc>
        <w:tc>
          <w:tcPr>
            <w:tcW w:w="7512" w:type="dxa"/>
            <w:tcBorders>
              <w:top w:val="single" w:sz="4" w:space="0" w:color="auto"/>
              <w:left w:val="single" w:sz="4" w:space="0" w:color="auto"/>
              <w:bottom w:val="single" w:sz="4" w:space="0" w:color="auto"/>
              <w:right w:val="single" w:sz="4" w:space="0" w:color="auto"/>
            </w:tcBorders>
          </w:tcPr>
          <w:p w14:paraId="17C1F5C7" w14:textId="77777777" w:rsidR="009C1A96" w:rsidRPr="00D82419" w:rsidRDefault="008F3EC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Nettó származtatott termékek</w:t>
            </w:r>
          </w:p>
          <w:p w14:paraId="1072B82F" w14:textId="0B3EBFA9" w:rsidR="00AA6996" w:rsidRPr="00D82419" w:rsidRDefault="00CD037F"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 banki könyvi összes származtatott kamatügylet nettó hozzájárulása, figyelembe véve az eszközöket (0140 sor) vagy kötelezettségeket (0470 sor) fedező, fedezeti elszámolás alá tartozó banki könyvi származtatott kamatügyleteket, és a banki könyvi egyéb származtatott kamatügyletek nem fedezeti elszámolásra kialakított gazdasági kamatláb-fedezeti ügyleteit (0530 sor).</w:t>
            </w:r>
          </w:p>
        </w:tc>
      </w:tr>
      <w:tr w:rsidR="0009034B" w:rsidRPr="00D82419" w14:paraId="73C1333B" w14:textId="77777777" w:rsidTr="00CB270D">
        <w:tc>
          <w:tcPr>
            <w:tcW w:w="1276" w:type="dxa"/>
            <w:tcBorders>
              <w:top w:val="single" w:sz="4" w:space="0" w:color="auto"/>
              <w:left w:val="single" w:sz="4" w:space="0" w:color="auto"/>
              <w:bottom w:val="single" w:sz="4" w:space="0" w:color="auto"/>
              <w:right w:val="single" w:sz="4" w:space="0" w:color="auto"/>
            </w:tcBorders>
          </w:tcPr>
          <w:p w14:paraId="2973B7B7" w14:textId="05E67D87" w:rsidR="0009034B"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0550</w:t>
            </w:r>
          </w:p>
        </w:tc>
        <w:tc>
          <w:tcPr>
            <w:tcW w:w="7512" w:type="dxa"/>
            <w:tcBorders>
              <w:top w:val="single" w:sz="4" w:space="0" w:color="auto"/>
              <w:left w:val="single" w:sz="4" w:space="0" w:color="auto"/>
              <w:bottom w:val="single" w:sz="4" w:space="0" w:color="auto"/>
              <w:right w:val="single" w:sz="4" w:space="0" w:color="auto"/>
            </w:tcBorders>
          </w:tcPr>
          <w:p w14:paraId="4D29D191" w14:textId="5996F47D" w:rsidR="00736664" w:rsidRPr="00D82419" w:rsidRDefault="0073666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Nettó kamatpozíció származtatott termékek nélkül</w:t>
            </w:r>
          </w:p>
          <w:p w14:paraId="575BB1CF" w14:textId="016C3B32" w:rsidR="0009034B" w:rsidRPr="00D82419" w:rsidRDefault="0009034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 banki könyvben szereplő összes kamatlábkitettség</w:t>
            </w:r>
            <w:r>
              <w:rPr>
                <w:noProof/>
              </w:rPr>
              <w:t xml:space="preserve">, beleértve a mérlegen kívüli kitettségeket is, </w:t>
            </w:r>
            <w:r>
              <w:rPr>
                <w:rStyle w:val="InstructionsTabelleberschrift"/>
                <w:rFonts w:ascii="Times New Roman" w:hAnsi="Times New Roman"/>
                <w:b w:val="0"/>
                <w:noProof/>
                <w:sz w:val="24"/>
                <w:u w:val="none"/>
              </w:rPr>
              <w:t>a származtatott kamatügyletek nélkül. Különösen az összes eszköz és kötelezettség, a származtatott termékek hatása nélkül.</w:t>
            </w:r>
          </w:p>
        </w:tc>
      </w:tr>
      <w:tr w:rsidR="0009034B" w:rsidRPr="00D82419" w14:paraId="521F16BB" w14:textId="77777777" w:rsidTr="00CB270D">
        <w:tc>
          <w:tcPr>
            <w:tcW w:w="1276" w:type="dxa"/>
            <w:tcBorders>
              <w:top w:val="single" w:sz="4" w:space="0" w:color="auto"/>
              <w:left w:val="single" w:sz="4" w:space="0" w:color="auto"/>
              <w:bottom w:val="single" w:sz="4" w:space="0" w:color="auto"/>
              <w:right w:val="single" w:sz="4" w:space="0" w:color="auto"/>
            </w:tcBorders>
          </w:tcPr>
          <w:p w14:paraId="0F0F05AC" w14:textId="0F2E380E" w:rsidR="0009034B"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0560</w:t>
            </w:r>
          </w:p>
        </w:tc>
        <w:tc>
          <w:tcPr>
            <w:tcW w:w="7512" w:type="dxa"/>
            <w:tcBorders>
              <w:top w:val="single" w:sz="4" w:space="0" w:color="auto"/>
              <w:left w:val="single" w:sz="4" w:space="0" w:color="auto"/>
              <w:bottom w:val="single" w:sz="4" w:space="0" w:color="auto"/>
              <w:right w:val="single" w:sz="4" w:space="0" w:color="auto"/>
            </w:tcBorders>
          </w:tcPr>
          <w:p w14:paraId="5FA7A1D6" w14:textId="2372EE46" w:rsidR="00AF19C5" w:rsidRPr="00D82419" w:rsidRDefault="0073666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Nettó kamatpozíció származtatott termékekkel</w:t>
            </w:r>
          </w:p>
          <w:p w14:paraId="4E5947AA" w14:textId="53D59421" w:rsidR="0009034B" w:rsidRPr="00D82419" w:rsidRDefault="003A313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Az összes eszköz és kötelezettség, beleértve</w:t>
            </w:r>
            <w:r>
              <w:rPr>
                <w:noProof/>
              </w:rPr>
              <w:t xml:space="preserve"> a mérlegen kívüli kitettségeket és a </w:t>
            </w:r>
            <w:r>
              <w:rPr>
                <w:rStyle w:val="InstructionsTabelleberschrift"/>
                <w:rFonts w:ascii="Times New Roman" w:hAnsi="Times New Roman"/>
                <w:b w:val="0"/>
                <w:noProof/>
                <w:sz w:val="24"/>
                <w:u w:val="none"/>
              </w:rPr>
              <w:t>származtatott kamatügyleteket</w:t>
            </w:r>
            <w:r>
              <w:rPr>
                <w:noProof/>
              </w:rPr>
              <w:t xml:space="preserve"> is.</w:t>
            </w:r>
          </w:p>
        </w:tc>
      </w:tr>
      <w:tr w:rsidR="00741F94" w:rsidRPr="00D82419" w14:paraId="17E69CB4" w14:textId="77777777" w:rsidTr="00CB270D">
        <w:tc>
          <w:tcPr>
            <w:tcW w:w="1276" w:type="dxa"/>
            <w:tcBorders>
              <w:top w:val="single" w:sz="4" w:space="0" w:color="auto"/>
              <w:left w:val="single" w:sz="4" w:space="0" w:color="auto"/>
              <w:bottom w:val="single" w:sz="4" w:space="0" w:color="auto"/>
              <w:right w:val="single" w:sz="4" w:space="0" w:color="auto"/>
            </w:tcBorders>
          </w:tcPr>
          <w:p w14:paraId="493F68F4" w14:textId="2C6A915C" w:rsidR="00741F94" w:rsidRPr="00D82419" w:rsidDel="001D16D7"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0570</w:t>
            </w:r>
          </w:p>
        </w:tc>
        <w:tc>
          <w:tcPr>
            <w:tcW w:w="7512" w:type="dxa"/>
            <w:tcBorders>
              <w:top w:val="single" w:sz="4" w:space="0" w:color="auto"/>
              <w:left w:val="single" w:sz="4" w:space="0" w:color="auto"/>
              <w:bottom w:val="single" w:sz="4" w:space="0" w:color="auto"/>
              <w:right w:val="single" w:sz="4" w:space="0" w:color="auto"/>
            </w:tcBorders>
          </w:tcPr>
          <w:p w14:paraId="5074E4A3" w14:textId="2CD2D4ED" w:rsidR="001D2293"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Az MV változásai által érintett eszközök összesen</w:t>
            </w:r>
          </w:p>
          <w:p w14:paraId="3C8D6849" w14:textId="684BBA7E" w:rsidR="00741F94" w:rsidRPr="00D82419" w:rsidRDefault="0033679B" w:rsidP="003C575D">
            <w:pPr>
              <w:pStyle w:val="InstructionsText"/>
              <w:rPr>
                <w:rStyle w:val="InstructionsTabelleberschrift"/>
                <w:rFonts w:ascii="Times New Roman" w:hAnsi="Times New Roman"/>
                <w:b w:val="0"/>
                <w:bCs w:val="0"/>
                <w:noProof/>
                <w:sz w:val="24"/>
                <w:u w:val="none"/>
              </w:rPr>
            </w:pPr>
            <w:r>
              <w:rPr>
                <w:noProof/>
              </w:rPr>
              <w:t>Azon eszközök teljes összege, amelyek esetében relevánsak az MV változásai az eredményre vagy a saját tőkére nézve, kivéve a 0530 sorban feltüntetett, nem fedezeti elszámolásra kialakított származtatott termékeket. Azon intézmények esetében, amelyek az 1606/2002/EK európai parlamenti és tanácsi rendelet</w:t>
            </w:r>
            <w:r w:rsidR="00D3693A">
              <w:rPr>
                <w:rStyle w:val="FootnoteReference"/>
                <w:noProof/>
                <w:lang w:val="en-US"/>
              </w:rPr>
              <w:footnoteReference w:id="5"/>
            </w:r>
            <w:r>
              <w:rPr>
                <w:noProof/>
              </w:rPr>
              <w:t xml:space="preserve"> szerint a nemzetközi számviteli standardokat alkalmazzák, az alkalmazandó számviteli szabályozás szerint az eredménnyel vagy egyéb átfogó jövedelemmel szemben valós értéken nyilvántartott banki könyvi eszközök, valamint az amortizált bekerülési értéken nyilvántartott, hitelviszonyt megtestesítő értékpapírok és egyéb instrumentumok, amelyek valósérték-fedezeti elszámolás alá tartoznak. Ebben a szakaszban kell feltüntetni a banki könyvben szereplő, fedezeti elszámolás alá vont, eszközöket fedező származtatott termékeket, kivéve az 575/2013/EU rendelet 33. cikke (1) bekezdésének a) pontjában említett, amortizált bekerülési értéken értékelt tételeket fedező cash flow-fedezeti elszámolású származtatott termékek effektív részét.</w:t>
            </w:r>
          </w:p>
        </w:tc>
      </w:tr>
      <w:tr w:rsidR="002867FC" w:rsidRPr="00D82419" w14:paraId="0B3DA88C" w14:textId="77777777" w:rsidTr="00CB270D">
        <w:tc>
          <w:tcPr>
            <w:tcW w:w="1276" w:type="dxa"/>
            <w:tcBorders>
              <w:top w:val="single" w:sz="4" w:space="0" w:color="auto"/>
              <w:left w:val="single" w:sz="4" w:space="0" w:color="auto"/>
              <w:bottom w:val="single" w:sz="4" w:space="0" w:color="auto"/>
              <w:right w:val="single" w:sz="4" w:space="0" w:color="auto"/>
            </w:tcBorders>
          </w:tcPr>
          <w:p w14:paraId="05165340" w14:textId="21051570"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0580</w:t>
            </w:r>
          </w:p>
        </w:tc>
        <w:tc>
          <w:tcPr>
            <w:tcW w:w="7512" w:type="dxa"/>
            <w:tcBorders>
              <w:top w:val="single" w:sz="4" w:space="0" w:color="auto"/>
              <w:left w:val="single" w:sz="4" w:space="0" w:color="auto"/>
              <w:bottom w:val="single" w:sz="4" w:space="0" w:color="auto"/>
              <w:right w:val="single" w:sz="4" w:space="0" w:color="auto"/>
            </w:tcBorders>
          </w:tcPr>
          <w:p w14:paraId="6D030512" w14:textId="1CD5A301"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Hitelviszonyt megtestesítő értékpapírok</w:t>
            </w:r>
          </w:p>
          <w:p w14:paraId="2EF51544" w14:textId="630CA150" w:rsidR="006D2D2D" w:rsidRPr="00D82419" w:rsidRDefault="00855A8F" w:rsidP="003C575D">
            <w:pPr>
              <w:pStyle w:val="InstructionsText"/>
              <w:rPr>
                <w:rStyle w:val="InstructionsTabelleberschrift"/>
                <w:rFonts w:ascii="Times New Roman" w:hAnsi="Times New Roman"/>
                <w:b w:val="0"/>
                <w:noProof/>
                <w:sz w:val="24"/>
                <w:u w:val="none"/>
              </w:rPr>
            </w:pPr>
            <w:r>
              <w:rPr>
                <w:noProof/>
              </w:rPr>
              <w:t>Hitelviszonyt megtestesítő értékpapírok, amelyek esetében az MV változásai relevánsak az eredmény vagy a saját tőke szempontjából. Ide tartoznak a valós értéken értékelt hitelviszonyt megtestesítő értékpapírok, valamint az amortizált bekerülési értéken nyilvántartott, hitelviszonyt megtestesítő értékpapírok, amelyek valósérték-fedezeti elszámolás alá tartoznak.</w:t>
            </w:r>
          </w:p>
        </w:tc>
      </w:tr>
      <w:tr w:rsidR="002867FC" w:rsidRPr="00D82419" w14:paraId="5370A16B" w14:textId="77777777" w:rsidTr="00CB270D">
        <w:tc>
          <w:tcPr>
            <w:tcW w:w="1276" w:type="dxa"/>
            <w:tcBorders>
              <w:top w:val="single" w:sz="4" w:space="0" w:color="auto"/>
              <w:left w:val="single" w:sz="4" w:space="0" w:color="auto"/>
              <w:bottom w:val="single" w:sz="4" w:space="0" w:color="auto"/>
              <w:right w:val="single" w:sz="4" w:space="0" w:color="auto"/>
            </w:tcBorders>
          </w:tcPr>
          <w:p w14:paraId="5777CA57" w14:textId="32DCFAAE"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0590</w:t>
            </w:r>
          </w:p>
        </w:tc>
        <w:tc>
          <w:tcPr>
            <w:tcW w:w="7512" w:type="dxa"/>
            <w:tcBorders>
              <w:top w:val="single" w:sz="4" w:space="0" w:color="auto"/>
              <w:left w:val="single" w:sz="4" w:space="0" w:color="auto"/>
              <w:bottom w:val="single" w:sz="4" w:space="0" w:color="auto"/>
              <w:right w:val="single" w:sz="4" w:space="0" w:color="auto"/>
            </w:tcBorders>
          </w:tcPr>
          <w:p w14:paraId="1591F46E" w14:textId="090B7997"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Származtatott termékek</w:t>
            </w:r>
          </w:p>
          <w:p w14:paraId="00FE0B0D" w14:textId="66E4B9EA" w:rsidR="000A3491" w:rsidRPr="00D82419" w:rsidRDefault="000A3491"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 600/2014/EU rendelet 2. cikke (1) bekezdésének 29. pontjában meghatározott származtatott termékek.</w:t>
            </w:r>
          </w:p>
          <w:p w14:paraId="200AA535" w14:textId="40590E67" w:rsidR="002867FC" w:rsidRPr="00D82419" w:rsidRDefault="00D71CFD" w:rsidP="003C575D">
            <w:pPr>
              <w:pStyle w:val="InstructionsText"/>
              <w:rPr>
                <w:rStyle w:val="InstructionsTabelleberschrift"/>
                <w:rFonts w:ascii="Times New Roman" w:hAnsi="Times New Roman"/>
                <w:noProof/>
                <w:sz w:val="24"/>
                <w:u w:val="none"/>
              </w:rPr>
            </w:pPr>
            <w:r>
              <w:rPr>
                <w:noProof/>
              </w:rPr>
              <w:t>Ebben a sorban kell feltüntetni a fedezeti elszámolás alá vont, eszközöket fedező származtatott termékeket, kivéve az amortizált bekerülési értéken értékelt tételeket fedező cash flow-fedezeti célú származtatott termékeket.</w:t>
            </w:r>
          </w:p>
        </w:tc>
      </w:tr>
      <w:tr w:rsidR="002867FC" w:rsidRPr="00D82419" w14:paraId="326006EE" w14:textId="77777777" w:rsidTr="00CB270D">
        <w:tc>
          <w:tcPr>
            <w:tcW w:w="1276" w:type="dxa"/>
            <w:tcBorders>
              <w:top w:val="single" w:sz="4" w:space="0" w:color="auto"/>
              <w:left w:val="single" w:sz="4" w:space="0" w:color="auto"/>
              <w:bottom w:val="single" w:sz="4" w:space="0" w:color="auto"/>
              <w:right w:val="single" w:sz="4" w:space="0" w:color="auto"/>
            </w:tcBorders>
          </w:tcPr>
          <w:p w14:paraId="22ED646F" w14:textId="2B828D8C"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0600</w:t>
            </w:r>
          </w:p>
        </w:tc>
        <w:tc>
          <w:tcPr>
            <w:tcW w:w="7512" w:type="dxa"/>
            <w:tcBorders>
              <w:top w:val="single" w:sz="4" w:space="0" w:color="auto"/>
              <w:left w:val="single" w:sz="4" w:space="0" w:color="auto"/>
              <w:bottom w:val="single" w:sz="4" w:space="0" w:color="auto"/>
              <w:right w:val="single" w:sz="4" w:space="0" w:color="auto"/>
            </w:tcBorders>
          </w:tcPr>
          <w:p w14:paraId="22C69A7C" w14:textId="680CD727"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Egyéb</w:t>
            </w:r>
          </w:p>
          <w:p w14:paraId="1BFC1FE3" w14:textId="338A5D16" w:rsidR="002867FC" w:rsidRPr="00D82419" w:rsidRDefault="002867FC" w:rsidP="003C575D">
            <w:pPr>
              <w:pStyle w:val="InstructionsText"/>
              <w:rPr>
                <w:rStyle w:val="InstructionsTabelleberschrift"/>
                <w:rFonts w:ascii="Times New Roman" w:hAnsi="Times New Roman"/>
                <w:b w:val="0"/>
                <w:bCs w:val="0"/>
                <w:noProof/>
                <w:sz w:val="24"/>
                <w:u w:val="none"/>
              </w:rPr>
            </w:pPr>
            <w:r>
              <w:rPr>
                <w:noProof/>
              </w:rPr>
              <w:t>A valós értéken értékelt egyéb eszközök, valamint az amortizált bekerülési értéken nyilvántartott egyéb eszközök, amelyek valósérték-fedezeti elszámolás alá tartoznak.</w:t>
            </w:r>
          </w:p>
        </w:tc>
      </w:tr>
      <w:tr w:rsidR="002867FC" w:rsidRPr="00D82419" w14:paraId="71CDBF7D" w14:textId="77777777" w:rsidTr="00CB270D">
        <w:tc>
          <w:tcPr>
            <w:tcW w:w="1276" w:type="dxa"/>
            <w:tcBorders>
              <w:top w:val="single" w:sz="4" w:space="0" w:color="auto"/>
              <w:left w:val="single" w:sz="4" w:space="0" w:color="auto"/>
              <w:bottom w:val="single" w:sz="4" w:space="0" w:color="auto"/>
              <w:right w:val="single" w:sz="4" w:space="0" w:color="auto"/>
            </w:tcBorders>
          </w:tcPr>
          <w:p w14:paraId="28F6AC88" w14:textId="3FC9C123"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0610</w:t>
            </w:r>
          </w:p>
        </w:tc>
        <w:tc>
          <w:tcPr>
            <w:tcW w:w="7512" w:type="dxa"/>
            <w:tcBorders>
              <w:top w:val="single" w:sz="4" w:space="0" w:color="auto"/>
              <w:left w:val="single" w:sz="4" w:space="0" w:color="auto"/>
              <w:bottom w:val="single" w:sz="4" w:space="0" w:color="auto"/>
              <w:right w:val="single" w:sz="4" w:space="0" w:color="auto"/>
            </w:tcBorders>
          </w:tcPr>
          <w:p w14:paraId="70D6BE53" w14:textId="312D5BE8"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Az MV változásai által érintett kötelezettségek összesen</w:t>
            </w:r>
          </w:p>
          <w:p w14:paraId="1AB95EED" w14:textId="77777777" w:rsidR="00D71CFD" w:rsidRPr="00D82419" w:rsidRDefault="00D71CFD" w:rsidP="00430DF0">
            <w:pPr>
              <w:suppressAutoHyphens/>
              <w:spacing w:line="238" w:lineRule="auto"/>
              <w:ind w:left="1" w:right="60"/>
              <w:rPr>
                <w:rFonts w:ascii="Times New Roman" w:hAnsi="Times New Roman"/>
                <w:noProof/>
                <w:sz w:val="24"/>
              </w:rPr>
            </w:pPr>
            <w:r>
              <w:rPr>
                <w:rFonts w:ascii="Times New Roman" w:hAnsi="Times New Roman"/>
                <w:noProof/>
                <w:sz w:val="24"/>
              </w:rPr>
              <w:t>Azon kötelezettségek teljes összege, amelyek esetében relevánsak az MV változásai az eredmény vagy a saját tőke szempontjából, kivéve a 0530 sorban feltüntetett, nem fedezeti elszámolásra kialakított származtatott termékeket.</w:t>
            </w:r>
          </w:p>
          <w:p w14:paraId="7E6E8ABF" w14:textId="2E0D9203" w:rsidR="002867FC" w:rsidRPr="00D82419" w:rsidRDefault="00D71CFD" w:rsidP="003C575D">
            <w:pPr>
              <w:pStyle w:val="InstructionsText"/>
              <w:rPr>
                <w:rStyle w:val="InstructionsTabelleberschrift"/>
                <w:rFonts w:ascii="Times New Roman" w:hAnsi="Times New Roman"/>
                <w:noProof/>
                <w:sz w:val="24"/>
              </w:rPr>
            </w:pPr>
            <w:r>
              <w:rPr>
                <w:noProof/>
              </w:rPr>
              <w:t>Az alkalmazandó számviteli szabályozás szerint az eredménnyel vagy egyéb átfogó jövedelemmel szemben valós értéken nyilvántartott kötelezettségek, valamint az amortizált bekerülési értéken nyilvántartott, kibocsátott, hitelviszonyt megtestesítő értékpapírok és egyéb kötelezettségek, amelyek valósérték-fedezeti elszámolás alá tartoznak. Ugyancsak ebben a szakaszban kell feltüntetni a fedezeti elszámolás alá vont, kötelezettségeket fedező származtatott termékeket, kivéve az 575/2013/EU rendelet 33. cikke (1) bekezdésének a) pontjában említett, amortizált bekerülési értéken értékelt tételeket fedező cash flow-fedezeti elszámolású származtatott termékek effektív részét.</w:t>
            </w:r>
          </w:p>
        </w:tc>
      </w:tr>
      <w:tr w:rsidR="002867FC" w:rsidRPr="00D82419" w14:paraId="27FD700A" w14:textId="77777777" w:rsidTr="00CB270D">
        <w:tc>
          <w:tcPr>
            <w:tcW w:w="1276" w:type="dxa"/>
            <w:tcBorders>
              <w:top w:val="single" w:sz="4" w:space="0" w:color="auto"/>
              <w:left w:val="single" w:sz="4" w:space="0" w:color="auto"/>
              <w:bottom w:val="single" w:sz="4" w:space="0" w:color="auto"/>
              <w:right w:val="single" w:sz="4" w:space="0" w:color="auto"/>
            </w:tcBorders>
          </w:tcPr>
          <w:p w14:paraId="7D381338" w14:textId="7032D970"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0620</w:t>
            </w:r>
          </w:p>
        </w:tc>
        <w:tc>
          <w:tcPr>
            <w:tcW w:w="7512" w:type="dxa"/>
            <w:tcBorders>
              <w:top w:val="single" w:sz="4" w:space="0" w:color="auto"/>
              <w:left w:val="single" w:sz="4" w:space="0" w:color="auto"/>
              <w:bottom w:val="single" w:sz="4" w:space="0" w:color="auto"/>
              <w:right w:val="single" w:sz="4" w:space="0" w:color="auto"/>
            </w:tcBorders>
          </w:tcPr>
          <w:p w14:paraId="71A747D4" w14:textId="619827CA"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Kibocsátott, hitelviszonyt megtestesítő értékpapírok</w:t>
            </w:r>
          </w:p>
          <w:p w14:paraId="4BAC31C0" w14:textId="62EC4A5E" w:rsidR="00C856CF" w:rsidRPr="00D82419" w:rsidRDefault="002867FC" w:rsidP="003C575D">
            <w:pPr>
              <w:pStyle w:val="InstructionsText"/>
              <w:rPr>
                <w:rStyle w:val="InstructionsTabelleberschrift"/>
                <w:rFonts w:ascii="Times New Roman" w:hAnsi="Times New Roman"/>
                <w:b w:val="0"/>
                <w:noProof/>
                <w:sz w:val="24"/>
                <w:u w:val="none"/>
              </w:rPr>
            </w:pPr>
            <w:r>
              <w:rPr>
                <w:noProof/>
              </w:rPr>
              <w:t xml:space="preserve">Az intézmény által </w:t>
            </w:r>
            <w:r>
              <w:rPr>
                <w:rStyle w:val="InstructionsTabelleberschrift"/>
                <w:rFonts w:ascii="Times New Roman" w:hAnsi="Times New Roman"/>
                <w:b w:val="0"/>
                <w:noProof/>
                <w:sz w:val="24"/>
                <w:u w:val="none"/>
              </w:rPr>
              <w:t>értékpapírként kibocsátott, hitelviszonyt megtestesítő értékpapírok, amelyek nem az e rendelet V. melléklete 1. részének 37. pontjában</w:t>
            </w:r>
            <w:r>
              <w:rPr>
                <w:noProof/>
              </w:rPr>
              <w:t xml:space="preserve"> meghatározott betétek, és </w:t>
            </w:r>
            <w:r>
              <w:rPr>
                <w:rStyle w:val="InstructionsTabelleberschrift"/>
                <w:rFonts w:ascii="Times New Roman" w:hAnsi="Times New Roman"/>
                <w:b w:val="0"/>
                <w:noProof/>
                <w:sz w:val="24"/>
                <w:u w:val="none"/>
              </w:rPr>
              <w:t>amelyeket</w:t>
            </w:r>
            <w:r>
              <w:rPr>
                <w:noProof/>
              </w:rPr>
              <w:t xml:space="preserve"> akkor kell feltüntetni, ha a piaci érték változásai relevánsak az eredményre vagy a saját tőkére nézve.</w:t>
            </w:r>
          </w:p>
        </w:tc>
      </w:tr>
      <w:tr w:rsidR="002867FC" w:rsidRPr="00D82419" w14:paraId="743169F2" w14:textId="77777777" w:rsidTr="00CB270D">
        <w:tc>
          <w:tcPr>
            <w:tcW w:w="1276" w:type="dxa"/>
            <w:tcBorders>
              <w:top w:val="single" w:sz="4" w:space="0" w:color="auto"/>
              <w:left w:val="single" w:sz="4" w:space="0" w:color="auto"/>
              <w:bottom w:val="single" w:sz="4" w:space="0" w:color="auto"/>
              <w:right w:val="single" w:sz="4" w:space="0" w:color="auto"/>
            </w:tcBorders>
          </w:tcPr>
          <w:p w14:paraId="40BFE894" w14:textId="69CC7F9E" w:rsidR="002867FC" w:rsidRPr="00D82419" w:rsidRDefault="002867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0630</w:t>
            </w:r>
          </w:p>
        </w:tc>
        <w:tc>
          <w:tcPr>
            <w:tcW w:w="7512" w:type="dxa"/>
            <w:tcBorders>
              <w:top w:val="single" w:sz="4" w:space="0" w:color="auto"/>
              <w:left w:val="single" w:sz="4" w:space="0" w:color="auto"/>
              <w:bottom w:val="single" w:sz="4" w:space="0" w:color="auto"/>
              <w:right w:val="single" w:sz="4" w:space="0" w:color="auto"/>
            </w:tcBorders>
          </w:tcPr>
          <w:p w14:paraId="0ED08E23" w14:textId="4E023BED"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Származtatott termékek</w:t>
            </w:r>
          </w:p>
          <w:p w14:paraId="50E7B932" w14:textId="6FBD3041" w:rsidR="00217697" w:rsidRPr="00D82419" w:rsidRDefault="00217697" w:rsidP="003C575D">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A 600/2014/EU rendelet 2. cikke (1) bekezdésének 29. pontjában meghatározott származtatott termékek.</w:t>
            </w:r>
          </w:p>
          <w:p w14:paraId="4721BBE0" w14:textId="2534AD8C" w:rsidR="00217697" w:rsidRPr="00D82419" w:rsidRDefault="00D71CFD" w:rsidP="003C575D">
            <w:pPr>
              <w:pStyle w:val="InstructionsText"/>
              <w:rPr>
                <w:noProof/>
              </w:rPr>
            </w:pPr>
            <w:r>
              <w:rPr>
                <w:noProof/>
              </w:rPr>
              <w:t>Az intézmények ebben a szakaszban tüntetik fel a fedezeti elszámolás alá vont, kötelezettségeket fedező származtatott termékeket, kivéve az amortizált bekerülési értéken értékelt tételeket fedező cash flow-fedezeti célú származtatott termékeket.</w:t>
            </w:r>
          </w:p>
        </w:tc>
      </w:tr>
      <w:tr w:rsidR="002867FC" w:rsidRPr="00D82419" w14:paraId="523BC217" w14:textId="77777777" w:rsidTr="00CB270D">
        <w:tc>
          <w:tcPr>
            <w:tcW w:w="1276" w:type="dxa"/>
            <w:tcBorders>
              <w:top w:val="single" w:sz="4" w:space="0" w:color="auto"/>
              <w:left w:val="single" w:sz="4" w:space="0" w:color="auto"/>
              <w:bottom w:val="single" w:sz="4" w:space="0" w:color="auto"/>
              <w:right w:val="single" w:sz="4" w:space="0" w:color="auto"/>
            </w:tcBorders>
          </w:tcPr>
          <w:p w14:paraId="26BA667F" w14:textId="0432B819" w:rsidR="002867FC" w:rsidRPr="00D82419" w:rsidRDefault="002867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0640</w:t>
            </w:r>
          </w:p>
        </w:tc>
        <w:tc>
          <w:tcPr>
            <w:tcW w:w="7512" w:type="dxa"/>
            <w:tcBorders>
              <w:top w:val="single" w:sz="4" w:space="0" w:color="auto"/>
              <w:left w:val="single" w:sz="4" w:space="0" w:color="auto"/>
              <w:bottom w:val="single" w:sz="4" w:space="0" w:color="auto"/>
              <w:right w:val="single" w:sz="4" w:space="0" w:color="auto"/>
            </w:tcBorders>
          </w:tcPr>
          <w:p w14:paraId="049BF2BA" w14:textId="2AC3000F" w:rsidR="00684CE6" w:rsidRPr="00D82419" w:rsidRDefault="00684CE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Egyéb</w:t>
            </w:r>
          </w:p>
          <w:p w14:paraId="4D8DC141" w14:textId="70F29B57" w:rsidR="002867FC" w:rsidRPr="00D82419" w:rsidRDefault="002867FC" w:rsidP="003C575D">
            <w:pPr>
              <w:pStyle w:val="InstructionsText"/>
              <w:rPr>
                <w:rStyle w:val="InstructionsTabelleberschrift"/>
                <w:rFonts w:ascii="Times New Roman" w:hAnsi="Times New Roman"/>
                <w:b w:val="0"/>
                <w:bCs w:val="0"/>
                <w:noProof/>
                <w:sz w:val="24"/>
                <w:u w:val="none"/>
              </w:rPr>
            </w:pPr>
            <w:r>
              <w:rPr>
                <w:noProof/>
              </w:rPr>
              <w:t>A valós értéken értékelt egyéb kötelezettségek, valamint az amortizált bekerülési értéken nyilvántartott egyéb kötelezettségek, amelyek valósérték-fedezeti elszámolás alá tartoznak.</w:t>
            </w:r>
          </w:p>
        </w:tc>
      </w:tr>
    </w:tbl>
    <w:p w14:paraId="25EBEDF0" w14:textId="1A54DBA0" w:rsidR="00F02616" w:rsidRPr="00D82419" w:rsidRDefault="00F02616" w:rsidP="00430DF0">
      <w:pPr>
        <w:suppressAutoHyphens/>
        <w:spacing w:after="0"/>
        <w:rPr>
          <w:rFonts w:ascii="Times New Roman" w:hAnsi="Times New Roman"/>
          <w:noProof/>
          <w:sz w:val="24"/>
        </w:rPr>
      </w:pPr>
    </w:p>
    <w:p w14:paraId="7791B105" w14:textId="4EF32722" w:rsidR="00DD00B4" w:rsidRPr="00D82419" w:rsidRDefault="00DD00B4" w:rsidP="00430DF0">
      <w:pPr>
        <w:suppressAutoHyphens/>
        <w:spacing w:after="0"/>
        <w:rPr>
          <w:rStyle w:val="InstructionsTabelleText"/>
          <w:rFonts w:ascii="Times New Roman" w:hAnsi="Times New Roman"/>
          <w:noProof/>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DE4D5E" w:rsidRPr="00D82419" w14:paraId="74EEFDB7" w14:textId="77777777" w:rsidTr="00466F09">
        <w:tc>
          <w:tcPr>
            <w:tcW w:w="1701" w:type="dxa"/>
            <w:shd w:val="clear" w:color="auto" w:fill="D9D9D9" w:themeFill="background1" w:themeFillShade="D9"/>
          </w:tcPr>
          <w:p w14:paraId="3C4B2978" w14:textId="77777777" w:rsidR="00DE4D5E" w:rsidRPr="00D82419" w:rsidRDefault="00DE4D5E" w:rsidP="003C575D">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Oszlopok</w:t>
            </w:r>
          </w:p>
        </w:tc>
        <w:tc>
          <w:tcPr>
            <w:tcW w:w="7308" w:type="dxa"/>
            <w:shd w:val="clear" w:color="auto" w:fill="D9D9D9" w:themeFill="background1" w:themeFillShade="D9"/>
          </w:tcPr>
          <w:p w14:paraId="2A82BF3B" w14:textId="77777777" w:rsidR="00DE4D5E" w:rsidRPr="00D82419" w:rsidRDefault="00DE4D5E" w:rsidP="003C575D">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Jogszabályi hivatkozások és útmutatások</w:t>
            </w:r>
          </w:p>
        </w:tc>
      </w:tr>
      <w:tr w:rsidR="0020221E" w:rsidRPr="00D82419" w14:paraId="6332F4DC" w14:textId="77777777" w:rsidTr="00466F09">
        <w:tc>
          <w:tcPr>
            <w:tcW w:w="1701" w:type="dxa"/>
            <w:shd w:val="clear" w:color="auto" w:fill="auto"/>
          </w:tcPr>
          <w:p w14:paraId="51E6FC62" w14:textId="3666E55F" w:rsidR="0020221E" w:rsidRPr="00D82419" w:rsidRDefault="0020221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308" w:type="dxa"/>
            <w:shd w:val="clear" w:color="auto" w:fill="auto"/>
          </w:tcPr>
          <w:p w14:paraId="414B91EC" w14:textId="77777777" w:rsidR="002D30D8" w:rsidRPr="00D82419" w:rsidRDefault="002D30D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Könyv szerinti érték</w:t>
            </w:r>
          </w:p>
          <w:p w14:paraId="256D0A5A" w14:textId="61AE7FD8" w:rsidR="0020221E" w:rsidRPr="00D82419" w:rsidRDefault="00766444" w:rsidP="003C575D">
            <w:pPr>
              <w:pStyle w:val="InstructionsText"/>
              <w:rPr>
                <w:rStyle w:val="FormatvorlageInstructionsTabelleText"/>
                <w:rFonts w:ascii="Times New Roman" w:hAnsi="Times New Roman"/>
                <w:b/>
                <w:bCs w:val="0"/>
                <w:noProof/>
                <w:sz w:val="24"/>
                <w:u w:val="single"/>
              </w:rPr>
            </w:pPr>
            <w:r>
              <w:rPr>
                <w:rStyle w:val="InstructionsTabelleberschrift"/>
                <w:rFonts w:ascii="Times New Roman" w:hAnsi="Times New Roman"/>
                <w:b w:val="0"/>
                <w:noProof/>
                <w:sz w:val="24"/>
                <w:u w:val="none"/>
              </w:rPr>
              <w:t>E rendelet V. melléklete 1. részének</w:t>
            </w:r>
            <w:r>
              <w:rPr>
                <w:noProof/>
              </w:rPr>
              <w:t xml:space="preserve"> 27. pontja</w:t>
            </w:r>
            <w:r>
              <w:rPr>
                <w:rStyle w:val="InstructionsTabelleberschrift"/>
                <w:rFonts w:ascii="Times New Roman" w:hAnsi="Times New Roman"/>
                <w:b w:val="0"/>
                <w:noProof/>
                <w:sz w:val="24"/>
                <w:u w:val="none"/>
              </w:rPr>
              <w:t>.</w:t>
            </w:r>
          </w:p>
        </w:tc>
      </w:tr>
      <w:tr w:rsidR="0020221E" w:rsidRPr="00D82419" w14:paraId="5F1440C3" w14:textId="77777777" w:rsidTr="00466F09">
        <w:tc>
          <w:tcPr>
            <w:tcW w:w="1701" w:type="dxa"/>
            <w:shd w:val="clear" w:color="auto" w:fill="auto"/>
          </w:tcPr>
          <w:p w14:paraId="55FE2AE0" w14:textId="79BE3587" w:rsidR="0020221E" w:rsidRPr="00D82419" w:rsidRDefault="0020221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308" w:type="dxa"/>
            <w:shd w:val="clear" w:color="auto" w:fill="auto"/>
          </w:tcPr>
          <w:p w14:paraId="0E9EABEF" w14:textId="77777777" w:rsidR="0020221E" w:rsidRPr="00D82419" w:rsidRDefault="00845A45" w:rsidP="003C575D">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Átlagos hátralévő futamidő</w:t>
            </w:r>
          </w:p>
          <w:p w14:paraId="0B50AF85" w14:textId="47F11D2E" w:rsidR="0033679B" w:rsidRPr="00D82419" w:rsidRDefault="0005330F" w:rsidP="00430DF0">
            <w:pPr>
              <w:suppressAutoHyphens/>
              <w:spacing w:after="0" w:line="259" w:lineRule="auto"/>
              <w:ind w:left="2"/>
              <w:jc w:val="left"/>
              <w:rPr>
                <w:rFonts w:ascii="Times New Roman" w:hAnsi="Times New Roman"/>
                <w:noProof/>
                <w:sz w:val="24"/>
              </w:rPr>
            </w:pPr>
            <w:r>
              <w:rPr>
                <w:rFonts w:ascii="Times New Roman" w:hAnsi="Times New Roman"/>
                <w:noProof/>
                <w:sz w:val="24"/>
              </w:rPr>
              <w:t>Módosított átlagos hátralevő futamidő („Dmod”, években jelentett), beleértve az automatikus opcionalitást, ahol: Dmod = –EV01/(gazdasági érték * 0,0001)</w:t>
            </w:r>
          </w:p>
          <w:p w14:paraId="12BFB1CA" w14:textId="316A4427" w:rsidR="00FC06C4" w:rsidRPr="00D82419" w:rsidRDefault="0033679B" w:rsidP="003C575D">
            <w:pPr>
              <w:pStyle w:val="InstructionsText"/>
              <w:rPr>
                <w:rStyle w:val="FormatvorlageInstructionsTabelleText"/>
                <w:rFonts w:ascii="Times New Roman" w:hAnsi="Times New Roman"/>
                <w:noProof/>
                <w:sz w:val="24"/>
              </w:rPr>
            </w:pPr>
            <w:r>
              <w:rPr>
                <w:noProof/>
              </w:rPr>
              <w:t>Az EV01 egyenlő a gazdasági érték +1 bázispontos érzékenységével (párhuzamos sokk).</w:t>
            </w:r>
          </w:p>
        </w:tc>
      </w:tr>
      <w:tr w:rsidR="00DE4D5E" w:rsidRPr="00D82419" w14:paraId="659E0F8D" w14:textId="77777777" w:rsidTr="00466F09">
        <w:tc>
          <w:tcPr>
            <w:tcW w:w="1701" w:type="dxa"/>
          </w:tcPr>
          <w:p w14:paraId="6D0DD35B" w14:textId="2A77B439"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0030–0090</w:t>
            </w:r>
          </w:p>
        </w:tc>
        <w:tc>
          <w:tcPr>
            <w:tcW w:w="7308" w:type="dxa"/>
          </w:tcPr>
          <w:p w14:paraId="4672288B" w14:textId="1CF64418" w:rsidR="00DE4D5E" w:rsidRPr="00D82419" w:rsidRDefault="00DE4D5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 tőke gazdasági értéke (EVE)</w:t>
            </w:r>
          </w:p>
          <w:p w14:paraId="248A3849" w14:textId="21777469" w:rsidR="00DE4D5E" w:rsidRPr="00D82419" w:rsidRDefault="0061536B" w:rsidP="003C575D">
            <w:pPr>
              <w:pStyle w:val="InstructionsText"/>
              <w:rPr>
                <w:rStyle w:val="InstructionsTabelleberschrift"/>
                <w:rFonts w:ascii="Times New Roman" w:hAnsi="Times New Roman"/>
                <w:b w:val="0"/>
                <w:noProof/>
                <w:sz w:val="24"/>
                <w:u w:val="none"/>
              </w:rPr>
            </w:pPr>
            <w:r>
              <w:rPr>
                <w:noProof/>
              </w:rPr>
              <w:t>Az intézmények a J 01.00 tábla 0010–0090 soraira vonatkozó útmutatást követik.</w:t>
            </w:r>
          </w:p>
        </w:tc>
      </w:tr>
      <w:tr w:rsidR="00DE4D5E" w:rsidRPr="00D82419" w14:paraId="5013F5EE" w14:textId="77777777" w:rsidTr="00466F09">
        <w:tc>
          <w:tcPr>
            <w:tcW w:w="1701" w:type="dxa"/>
          </w:tcPr>
          <w:p w14:paraId="7BC7758D" w14:textId="4D49B9A3"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308" w:type="dxa"/>
          </w:tcPr>
          <w:p w14:paraId="2DF5A08E" w14:textId="621509C5" w:rsidR="00DE4D5E"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Az EVE szintje – Alapforgatókönyv</w:t>
            </w:r>
          </w:p>
          <w:p w14:paraId="431D24A7" w14:textId="17FCE104" w:rsidR="00DE4D5E" w:rsidRPr="00D82419" w:rsidRDefault="00057D6D" w:rsidP="003C575D">
            <w:pPr>
              <w:pStyle w:val="InstructionsText"/>
              <w:rPr>
                <w:rStyle w:val="InstructionsTabelleberschrift"/>
                <w:rFonts w:ascii="Times New Roman" w:hAnsi="Times New Roman"/>
                <w:noProof/>
                <w:sz w:val="24"/>
              </w:rPr>
            </w:pPr>
            <w:r>
              <w:rPr>
                <w:noProof/>
              </w:rPr>
              <w:t>Az intézmények a J 01.00 tábla 0030 sorára vonatkozó útmutatást követik.</w:t>
            </w:r>
          </w:p>
        </w:tc>
      </w:tr>
      <w:tr w:rsidR="00DE4D5E" w:rsidRPr="00D82419" w14:paraId="072F36D8" w14:textId="77777777" w:rsidTr="00466F09">
        <w:tc>
          <w:tcPr>
            <w:tcW w:w="1701" w:type="dxa"/>
          </w:tcPr>
          <w:p w14:paraId="28CE8E71" w14:textId="20636E45"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308" w:type="dxa"/>
          </w:tcPr>
          <w:p w14:paraId="482FFA49" w14:textId="55E14F1D" w:rsidR="00F22C91" w:rsidRPr="00D82419" w:rsidRDefault="0045709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Párhuzamos sokkszerű emelkedés</w:t>
            </w:r>
          </w:p>
          <w:p w14:paraId="5B6685FE" w14:textId="68AFB2ED" w:rsidR="00DE4D5E" w:rsidRPr="00D82419" w:rsidRDefault="008963CC" w:rsidP="003C575D">
            <w:pPr>
              <w:pStyle w:val="InstructionsText"/>
              <w:rPr>
                <w:rStyle w:val="InstructionsTabelleberschrift"/>
                <w:rFonts w:ascii="Times New Roman" w:hAnsi="Times New Roman"/>
                <w:b w:val="0"/>
                <w:noProof/>
                <w:sz w:val="24"/>
                <w:u w:val="none"/>
              </w:rPr>
            </w:pPr>
            <w:r>
              <w:rPr>
                <w:noProof/>
              </w:rPr>
              <w:t>Az intézmények a J 01.00 tábla 0040 sorára vonatkozó útmutatást követik.</w:t>
            </w:r>
          </w:p>
        </w:tc>
      </w:tr>
      <w:tr w:rsidR="00DE4D5E" w:rsidRPr="00D82419" w14:paraId="2EFC486B" w14:textId="77777777" w:rsidTr="00466F09">
        <w:tc>
          <w:tcPr>
            <w:tcW w:w="1701" w:type="dxa"/>
          </w:tcPr>
          <w:p w14:paraId="3957C094" w14:textId="218A0E8E"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308" w:type="dxa"/>
          </w:tcPr>
          <w:p w14:paraId="4E28478C" w14:textId="6522AFE1" w:rsidR="00F22C91" w:rsidRPr="00D82419" w:rsidRDefault="0045709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Párhuzamos sokkszerű csökkenés</w:t>
            </w:r>
          </w:p>
          <w:p w14:paraId="39312F9C" w14:textId="6C869EDF" w:rsidR="00DE4D5E" w:rsidRPr="00D82419" w:rsidRDefault="0045709F" w:rsidP="003C575D">
            <w:pPr>
              <w:pStyle w:val="InstructionsText"/>
              <w:rPr>
                <w:rStyle w:val="InstructionsTabelleberschrift"/>
                <w:rFonts w:ascii="Times New Roman" w:hAnsi="Times New Roman"/>
                <w:noProof/>
                <w:sz w:val="24"/>
              </w:rPr>
            </w:pPr>
            <w:r>
              <w:rPr>
                <w:noProof/>
              </w:rPr>
              <w:t>Az intézmények a J 01.00 tábla 0050 sorára vonatkozó útmutatást követik.</w:t>
            </w:r>
          </w:p>
        </w:tc>
      </w:tr>
      <w:tr w:rsidR="007A4538" w:rsidRPr="00D82419" w14:paraId="668FC06E" w14:textId="77777777" w:rsidTr="00466F09">
        <w:tc>
          <w:tcPr>
            <w:tcW w:w="1701" w:type="dxa"/>
          </w:tcPr>
          <w:p w14:paraId="4D34A16E" w14:textId="485D2DFC"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308" w:type="dxa"/>
          </w:tcPr>
          <w:p w14:paraId="59627DC9" w14:textId="78EA9252" w:rsidR="00F22C91" w:rsidRPr="00D82419" w:rsidRDefault="005608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Meredekség sokkszerű növekedése</w:t>
            </w:r>
          </w:p>
          <w:p w14:paraId="7721CBAE" w14:textId="75811AF2" w:rsidR="007A4538" w:rsidRPr="00D82419" w:rsidRDefault="0045709F" w:rsidP="003C575D">
            <w:pPr>
              <w:pStyle w:val="InstructionsText"/>
              <w:rPr>
                <w:rStyle w:val="InstructionsTabelleberschrift"/>
                <w:rFonts w:ascii="Times New Roman" w:hAnsi="Times New Roman"/>
                <w:noProof/>
                <w:sz w:val="24"/>
              </w:rPr>
            </w:pPr>
            <w:r>
              <w:rPr>
                <w:noProof/>
              </w:rPr>
              <w:t>Az intézmények a J 01.00 tábla 0060 sorára vonatkozó útmutatást követik.</w:t>
            </w:r>
          </w:p>
        </w:tc>
      </w:tr>
      <w:tr w:rsidR="007A4538" w:rsidRPr="00D82419" w14:paraId="0B64F039" w14:textId="77777777" w:rsidTr="00466F09">
        <w:tc>
          <w:tcPr>
            <w:tcW w:w="1701" w:type="dxa"/>
          </w:tcPr>
          <w:p w14:paraId="1D8ACFB7" w14:textId="39B9F291"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308" w:type="dxa"/>
          </w:tcPr>
          <w:p w14:paraId="5DDEE894" w14:textId="090F0007" w:rsidR="00F22C91" w:rsidRPr="00D82419" w:rsidRDefault="005608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Meredekség sokkszerű csökkenése</w:t>
            </w:r>
          </w:p>
          <w:p w14:paraId="714F5461" w14:textId="6FFD472B" w:rsidR="007A4538" w:rsidRPr="00D82419" w:rsidRDefault="0056083C" w:rsidP="003C575D">
            <w:pPr>
              <w:pStyle w:val="InstructionsText"/>
              <w:rPr>
                <w:rStyle w:val="InstructionsTabelleberschrift"/>
                <w:rFonts w:ascii="Times New Roman" w:hAnsi="Times New Roman"/>
                <w:noProof/>
                <w:sz w:val="24"/>
              </w:rPr>
            </w:pPr>
            <w:r>
              <w:rPr>
                <w:noProof/>
              </w:rPr>
              <w:t>Az intézmények a J 01.00 tábla 0070 sorára vonatkozó útmutatást követik.</w:t>
            </w:r>
          </w:p>
        </w:tc>
      </w:tr>
      <w:tr w:rsidR="007A4538" w:rsidRPr="00D82419" w14:paraId="0F88D558" w14:textId="77777777" w:rsidTr="00466F09">
        <w:tc>
          <w:tcPr>
            <w:tcW w:w="1701" w:type="dxa"/>
          </w:tcPr>
          <w:p w14:paraId="5CBC25A5" w14:textId="2D9B6C3C"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308" w:type="dxa"/>
          </w:tcPr>
          <w:p w14:paraId="742D48FB" w14:textId="76C2A4DD" w:rsidR="00F22C91" w:rsidRPr="00D82419" w:rsidRDefault="00B42A6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Rövid kamatlábak sokkszerű emelkedése</w:t>
            </w:r>
          </w:p>
          <w:p w14:paraId="5CE9C71F" w14:textId="32920038" w:rsidR="007A4538" w:rsidRPr="00D82419" w:rsidRDefault="0056083C" w:rsidP="003C575D">
            <w:pPr>
              <w:pStyle w:val="InstructionsText"/>
              <w:rPr>
                <w:rStyle w:val="InstructionsTabelleberschrift"/>
                <w:rFonts w:ascii="Times New Roman" w:hAnsi="Times New Roman"/>
                <w:noProof/>
                <w:sz w:val="24"/>
              </w:rPr>
            </w:pPr>
            <w:r>
              <w:rPr>
                <w:noProof/>
              </w:rPr>
              <w:t>Az intézmények a J 01.00 tábla 0080 sorára vonatkozó útmutatást követik.</w:t>
            </w:r>
          </w:p>
        </w:tc>
      </w:tr>
      <w:tr w:rsidR="007A4538" w:rsidRPr="00D82419" w14:paraId="7ACFF56C" w14:textId="77777777" w:rsidTr="00466F09">
        <w:tc>
          <w:tcPr>
            <w:tcW w:w="1701" w:type="dxa"/>
          </w:tcPr>
          <w:p w14:paraId="0F6D45B9" w14:textId="4EB16931"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308" w:type="dxa"/>
          </w:tcPr>
          <w:p w14:paraId="32EE74B7" w14:textId="73FF2821" w:rsidR="00F22C91" w:rsidRPr="00D82419" w:rsidRDefault="00B42A6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Rövid kamatlábak sokkszerű csökkenése</w:t>
            </w:r>
          </w:p>
          <w:p w14:paraId="3BE27C86" w14:textId="7C34A314" w:rsidR="007A4538" w:rsidRPr="00D82419" w:rsidRDefault="00B42A65" w:rsidP="003C575D">
            <w:pPr>
              <w:pStyle w:val="InstructionsText"/>
              <w:rPr>
                <w:rStyle w:val="InstructionsTabelleberschrift"/>
                <w:rFonts w:ascii="Times New Roman" w:hAnsi="Times New Roman"/>
                <w:noProof/>
                <w:sz w:val="24"/>
              </w:rPr>
            </w:pPr>
            <w:r>
              <w:rPr>
                <w:noProof/>
              </w:rPr>
              <w:t>Az intézmények a J 01.00 tábla 0090 sorára vonatkozó útmutatást követik.</w:t>
            </w:r>
          </w:p>
        </w:tc>
      </w:tr>
      <w:tr w:rsidR="007A4538" w:rsidRPr="00D82419" w14:paraId="56F10020" w14:textId="77777777" w:rsidTr="00466F09">
        <w:tc>
          <w:tcPr>
            <w:tcW w:w="1701" w:type="dxa"/>
          </w:tcPr>
          <w:p w14:paraId="22B568E7" w14:textId="47794009"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0100–0120</w:t>
            </w:r>
          </w:p>
        </w:tc>
        <w:tc>
          <w:tcPr>
            <w:tcW w:w="7308" w:type="dxa"/>
          </w:tcPr>
          <w:p w14:paraId="66F2CB32" w14:textId="57EDD3D8" w:rsidR="00F22C91" w:rsidRPr="00D82419" w:rsidRDefault="00B61D5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 Nettó kamatbevétel</w:t>
            </w:r>
          </w:p>
          <w:p w14:paraId="4B715C5C" w14:textId="2BC80B39" w:rsidR="007A4538" w:rsidRPr="00D82419" w:rsidRDefault="00B61D5C" w:rsidP="003C575D">
            <w:pPr>
              <w:pStyle w:val="InstructionsText"/>
              <w:rPr>
                <w:rStyle w:val="InstructionsTabelleberschrift"/>
                <w:rFonts w:ascii="Times New Roman" w:hAnsi="Times New Roman"/>
                <w:b w:val="0"/>
                <w:noProof/>
                <w:sz w:val="24"/>
                <w:u w:val="none"/>
              </w:rPr>
            </w:pPr>
            <w:r>
              <w:rPr>
                <w:noProof/>
              </w:rPr>
              <w:t>Az intézmények a J 01.00 tábla 0100–0140 soraira vonatkozó útmutatást követik.</w:t>
            </w:r>
          </w:p>
        </w:tc>
      </w:tr>
      <w:tr w:rsidR="007A4538" w:rsidRPr="00D82419" w14:paraId="2F3EA8BB" w14:textId="77777777" w:rsidTr="00466F09">
        <w:tc>
          <w:tcPr>
            <w:tcW w:w="1701" w:type="dxa"/>
          </w:tcPr>
          <w:p w14:paraId="769EA922" w14:textId="0EEDAEC6" w:rsidR="007A4538" w:rsidRPr="00D82419" w:rsidRDefault="00721EE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308" w:type="dxa"/>
          </w:tcPr>
          <w:p w14:paraId="1A909637" w14:textId="6DC1F025" w:rsidR="00F22C91"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Az NII szintje – Alapforgatókönyv</w:t>
            </w:r>
          </w:p>
          <w:p w14:paraId="7AD09706" w14:textId="69D23F80" w:rsidR="007A4538" w:rsidRPr="00D82419" w:rsidRDefault="00492E67" w:rsidP="003C575D">
            <w:pPr>
              <w:pStyle w:val="InstructionsText"/>
              <w:rPr>
                <w:rStyle w:val="InstructionsTabelleberschrift"/>
                <w:rFonts w:ascii="Times New Roman" w:hAnsi="Times New Roman"/>
                <w:b w:val="0"/>
                <w:noProof/>
                <w:sz w:val="24"/>
                <w:u w:val="none"/>
              </w:rPr>
            </w:pPr>
            <w:r>
              <w:rPr>
                <w:noProof/>
              </w:rPr>
              <w:t>Az intézmények a J 01.00 tábla 0120 sorára vonatkozó útmutatást követik.</w:t>
            </w:r>
          </w:p>
        </w:tc>
      </w:tr>
      <w:tr w:rsidR="007A4538" w:rsidRPr="00D82419" w14:paraId="018275B7" w14:textId="77777777" w:rsidTr="00466F09">
        <w:tc>
          <w:tcPr>
            <w:tcW w:w="1701" w:type="dxa"/>
          </w:tcPr>
          <w:p w14:paraId="11DBE8FA" w14:textId="47F38559"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308" w:type="dxa"/>
          </w:tcPr>
          <w:p w14:paraId="370EDFF1" w14:textId="14E13989" w:rsidR="00F22C91"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 Párhuzamos sokkszerű emelkedés</w:t>
            </w:r>
          </w:p>
          <w:p w14:paraId="64BB5395" w14:textId="18B94676" w:rsidR="004041EF" w:rsidRPr="00D82419" w:rsidRDefault="00492E67" w:rsidP="003C575D">
            <w:pPr>
              <w:pStyle w:val="InstructionsText"/>
              <w:rPr>
                <w:rStyle w:val="InstructionsTabelleberschrift"/>
                <w:rFonts w:ascii="Times New Roman" w:hAnsi="Times New Roman"/>
                <w:noProof/>
                <w:sz w:val="24"/>
              </w:rPr>
            </w:pPr>
            <w:r>
              <w:rPr>
                <w:noProof/>
              </w:rPr>
              <w:t>Az intézmények a J 01.00 tábla 0130 sorára vonatkozó útmutatást követik.</w:t>
            </w:r>
          </w:p>
        </w:tc>
      </w:tr>
      <w:tr w:rsidR="007A4538" w:rsidRPr="00D82419" w14:paraId="79342798" w14:textId="77777777" w:rsidTr="00466F09">
        <w:trPr>
          <w:trHeight w:val="50"/>
        </w:trPr>
        <w:tc>
          <w:tcPr>
            <w:tcW w:w="1701" w:type="dxa"/>
          </w:tcPr>
          <w:p w14:paraId="04EAA741" w14:textId="5B76EB7F"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308" w:type="dxa"/>
          </w:tcPr>
          <w:p w14:paraId="4C276325" w14:textId="756BA6DE" w:rsidR="00F22C91"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 Párhuzamos sokkszerű csökkenés</w:t>
            </w:r>
          </w:p>
          <w:p w14:paraId="79C7988C" w14:textId="156E5C31" w:rsidR="004041EF" w:rsidRPr="00D82419" w:rsidRDefault="00492E67" w:rsidP="003C575D">
            <w:pPr>
              <w:pStyle w:val="InstructionsText"/>
              <w:rPr>
                <w:rStyle w:val="InstructionsTabelleberschrift"/>
                <w:rFonts w:ascii="Times New Roman" w:hAnsi="Times New Roman"/>
                <w:noProof/>
                <w:sz w:val="24"/>
              </w:rPr>
            </w:pPr>
            <w:r>
              <w:rPr>
                <w:noProof/>
              </w:rPr>
              <w:t>Az intézmények a J 01.00 tábla 0140 sorára vonatkozó útmutatást követik.</w:t>
            </w:r>
          </w:p>
        </w:tc>
      </w:tr>
      <w:tr w:rsidR="007A4538" w:rsidRPr="00D82419" w14:paraId="787EFD12" w14:textId="77777777" w:rsidTr="00466F09">
        <w:tc>
          <w:tcPr>
            <w:tcW w:w="1701" w:type="dxa"/>
          </w:tcPr>
          <w:p w14:paraId="60DFF26B" w14:textId="2482EC0B"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0130–0150</w:t>
            </w:r>
          </w:p>
        </w:tc>
        <w:tc>
          <w:tcPr>
            <w:tcW w:w="7308" w:type="dxa"/>
          </w:tcPr>
          <w:p w14:paraId="41D72025" w14:textId="6B83FFCF" w:rsidR="00EA079E"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 Piaci érték</w:t>
            </w:r>
          </w:p>
          <w:p w14:paraId="7D3BC199" w14:textId="00971876" w:rsidR="007A4538" w:rsidRPr="00D82419" w:rsidRDefault="00303FCE" w:rsidP="003C575D">
            <w:pPr>
              <w:pStyle w:val="InstructionsText"/>
              <w:rPr>
                <w:rStyle w:val="InstructionsTabelleberschrift"/>
                <w:rFonts w:ascii="Times New Roman" w:hAnsi="Times New Roman"/>
                <w:b w:val="0"/>
                <w:noProof/>
                <w:sz w:val="24"/>
                <w:u w:val="none"/>
              </w:rPr>
            </w:pPr>
            <w:r>
              <w:rPr>
                <w:noProof/>
              </w:rPr>
              <w:t>Az intézmények a J 01.00 tábla 0150– 0170 soraira vonatkozó útmutatást követik.</w:t>
            </w:r>
          </w:p>
        </w:tc>
      </w:tr>
      <w:tr w:rsidR="007A4538" w:rsidRPr="00D82419" w14:paraId="644F7128" w14:textId="77777777" w:rsidTr="00466F09">
        <w:trPr>
          <w:trHeight w:val="507"/>
        </w:trPr>
        <w:tc>
          <w:tcPr>
            <w:tcW w:w="1701" w:type="dxa"/>
          </w:tcPr>
          <w:p w14:paraId="3ABF8A5C" w14:textId="4DA62342"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308" w:type="dxa"/>
          </w:tcPr>
          <w:p w14:paraId="681520C2" w14:textId="3286ACAD" w:rsidR="00EA079E"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 piaci érték (MV) szintje – Alapforgatókönyv</w:t>
            </w:r>
          </w:p>
          <w:p w14:paraId="6536044A" w14:textId="0D1A40C4" w:rsidR="007A4538" w:rsidRPr="00D82419" w:rsidRDefault="006D1EB6" w:rsidP="003C575D">
            <w:pPr>
              <w:pStyle w:val="InstructionsText"/>
              <w:rPr>
                <w:rStyle w:val="InstructionsTabelleberschrift"/>
                <w:rFonts w:ascii="Times New Roman" w:hAnsi="Times New Roman"/>
                <w:noProof/>
                <w:sz w:val="24"/>
              </w:rPr>
            </w:pPr>
            <w:r>
              <w:rPr>
                <w:noProof/>
              </w:rPr>
              <w:t>Az intézmények a J 01.00 tábla 0150 sorára vonatkozó útmutatást követik.</w:t>
            </w:r>
          </w:p>
        </w:tc>
      </w:tr>
      <w:tr w:rsidR="007A4538" w:rsidRPr="00D82419" w14:paraId="0E97A024" w14:textId="77777777" w:rsidTr="00466F09">
        <w:tc>
          <w:tcPr>
            <w:tcW w:w="1701" w:type="dxa"/>
          </w:tcPr>
          <w:p w14:paraId="56B50969" w14:textId="79A37CD4"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308" w:type="dxa"/>
          </w:tcPr>
          <w:p w14:paraId="13CE4294" w14:textId="345F1927" w:rsidR="00EA079E" w:rsidRPr="00D82419" w:rsidRDefault="0070008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MV – Párhuzamos sokkszerű emelkedés</w:t>
            </w:r>
          </w:p>
          <w:p w14:paraId="2661BCE0" w14:textId="14594E55" w:rsidR="004041EF" w:rsidRPr="00D82419" w:rsidRDefault="006D1EB6" w:rsidP="003C575D">
            <w:pPr>
              <w:pStyle w:val="InstructionsText"/>
              <w:rPr>
                <w:rStyle w:val="InstructionsTabelleberschrift"/>
                <w:rFonts w:ascii="Times New Roman" w:hAnsi="Times New Roman"/>
                <w:noProof/>
                <w:sz w:val="24"/>
              </w:rPr>
            </w:pPr>
            <w:r>
              <w:rPr>
                <w:noProof/>
              </w:rPr>
              <w:t>Az intézmények a J 01.00 tábla 0160 sorára vonatkozó útmutatást követik.</w:t>
            </w:r>
          </w:p>
        </w:tc>
      </w:tr>
      <w:tr w:rsidR="007A4538" w:rsidRPr="00D82419" w14:paraId="45C4E5F3" w14:textId="77777777" w:rsidTr="00466F09">
        <w:tc>
          <w:tcPr>
            <w:tcW w:w="1701" w:type="dxa"/>
          </w:tcPr>
          <w:p w14:paraId="69E7327C" w14:textId="0FF8D9C3"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308" w:type="dxa"/>
          </w:tcPr>
          <w:p w14:paraId="49D8F6F5" w14:textId="76992071" w:rsidR="00EA079E" w:rsidRPr="00D82419" w:rsidRDefault="0070008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MV – Párhuzamos sokkszerű csökkenés</w:t>
            </w:r>
          </w:p>
          <w:p w14:paraId="44CB4939" w14:textId="482E3B3A" w:rsidR="004041EF" w:rsidRPr="00D82419" w:rsidRDefault="006D1EB6" w:rsidP="003C575D">
            <w:pPr>
              <w:pStyle w:val="InstructionsText"/>
              <w:rPr>
                <w:rStyle w:val="InstructionsTabelleberschrift"/>
                <w:rFonts w:ascii="Times New Roman" w:hAnsi="Times New Roman"/>
                <w:noProof/>
                <w:sz w:val="24"/>
              </w:rPr>
            </w:pPr>
            <w:r>
              <w:rPr>
                <w:noProof/>
              </w:rPr>
              <w:t>Az intézmények a J 01.00 tábla 0170 sorára vonatkozó útmutatást követik.</w:t>
            </w:r>
          </w:p>
        </w:tc>
      </w:tr>
    </w:tbl>
    <w:p w14:paraId="651ED856" w14:textId="77777777" w:rsidR="009E536A" w:rsidRPr="00D82419" w:rsidRDefault="009E536A" w:rsidP="00430DF0">
      <w:pPr>
        <w:suppressAutoHyphens/>
        <w:spacing w:before="0" w:after="0"/>
        <w:jc w:val="left"/>
        <w:rPr>
          <w:rStyle w:val="InstructionsTabelleText"/>
          <w:rFonts w:ascii="Times New Roman" w:hAnsi="Times New Roman"/>
          <w:noProof/>
          <w:sz w:val="24"/>
        </w:rPr>
      </w:pPr>
      <w:r>
        <w:rPr>
          <w:noProof/>
        </w:rPr>
        <w:br w:type="page"/>
      </w:r>
    </w:p>
    <w:p w14:paraId="6B5E5AFE" w14:textId="63F1E14E" w:rsidR="009E536A" w:rsidRPr="00D82419" w:rsidRDefault="009E536A" w:rsidP="00430DF0">
      <w:pPr>
        <w:pStyle w:val="Heading2"/>
        <w:suppressAutoHyphens/>
        <w:rPr>
          <w:noProof/>
        </w:rPr>
      </w:pPr>
      <w:bookmarkStart w:id="54" w:name="_Toc160184421"/>
      <w:r>
        <w:rPr>
          <w:noProof/>
        </w:rPr>
        <w:t>IV. RÉSZ: ÁTÁRAZÓDÓ PÉNZÁRAMLÁSOK (J 05.00, J 06.00 és J 07.00)</w:t>
      </w:r>
      <w:bookmarkEnd w:id="54"/>
    </w:p>
    <w:p w14:paraId="1DD5B6DD" w14:textId="0A06B7E4" w:rsidR="009E536A" w:rsidRPr="00A75ED8" w:rsidRDefault="00A75ED8" w:rsidP="00430DF0">
      <w:pPr>
        <w:pStyle w:val="Instructionsberschrift2"/>
        <w:numPr>
          <w:ilvl w:val="0"/>
          <w:numId w:val="0"/>
        </w:numPr>
        <w:tabs>
          <w:tab w:val="left" w:pos="567"/>
        </w:tabs>
        <w:suppressAutoHyphens/>
        <w:rPr>
          <w:rFonts w:cs="Times New Roman"/>
          <w:b/>
          <w:bCs/>
          <w:noProof/>
          <w:sz w:val="24"/>
        </w:rPr>
      </w:pPr>
      <w:bookmarkStart w:id="55" w:name="_Toc160184422"/>
      <w:r>
        <w:rPr>
          <w:b/>
          <w:noProof/>
          <w:sz w:val="24"/>
        </w:rPr>
        <w:t>1.</w:t>
      </w:r>
      <w:r>
        <w:rPr>
          <w:b/>
          <w:noProof/>
          <w:sz w:val="24"/>
        </w:rPr>
        <w:tab/>
        <w:t>Általános megjegyzések</w:t>
      </w:r>
      <w:bookmarkEnd w:id="55"/>
    </w:p>
    <w:p w14:paraId="2C9ABE9B" w14:textId="1549DB17" w:rsidR="00903207"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A J 05.00, a J 06.00 és a J 07.00 tábla részletes információkat tartalmaz az átárazódó pénzáramlásokra vonatkozóan a J 02.00, a J 03.00 és a J 04.00 táblában jelentett mérlegtételekhez. Az intézmények ezeket az információkat az EVE szempontjából adják meg, ideértve az (EU) .../... felhatalmazáson alapuló rendelet (Kiadóhivatal: kérjük, illesszék be a felügyeleti kiugróérték-tesztre vonatkozó szabályozástechnikai standardra való hivatkozást) 3. cikkében meghatározott követelményeket és modellezési feltételezéseket, figyelemmel a szerződéses és a viselkedési információkra, és mindkét esetben az automatikus opcionalitás nélkül. A sorokra vonatkozó útmutatások azonosak az e melléklet IV. részének 2. szakaszában leírtakkal. Ezen túlmenően az intézmények kellően figyelembe veszik az I. részben meghatározott adatszolgáltatási szabályokat, különösen azokat, amelyek a rögzített/változó kamatozású instrumentumok meghatározására és az opciók kezelésére vonatkoznak.</w:t>
      </w:r>
    </w:p>
    <w:p w14:paraId="476D1915" w14:textId="07F95963" w:rsidR="0076500E"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Az intézmények az említett táblák tartalmát minden egyes olyan devizanemre vonatkozóan külön adják meg, amelyben az intézmény olyan pozíciókkal rendelkezik, ahol a devizában denominált pénzügyi eszközök vagy kötelezettségek könyv szerinti értéke a banki könyvi pénzügyi eszközök vagy kötelezettségek összegének legalább 5 %-át vagy – ha a számításban szereplő pénzügyi eszközök vagy kötelezettségek összege kisebb a banki könyvi pénzügyi eszközök (tárgyi eszközök nélkül) vagy kötelezettségek összegének 90 %-ánál – kevesebb mint 5 %-át teszi ki.</w:t>
      </w:r>
    </w:p>
    <w:p w14:paraId="7C0A7F4F" w14:textId="3B1416C7" w:rsidR="002E2229"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1.3.</w:t>
      </w:r>
      <w:r>
        <w:rPr>
          <w:rFonts w:ascii="Times New Roman" w:hAnsi="Times New Roman"/>
          <w:noProof/>
          <w:sz w:val="24"/>
        </w:rPr>
        <w:tab/>
        <w:t>Az intézmények e táblák tartalmát külön, szerződéses és viselkedési feltételek szerint tüntetik fel (Modellezés: szerződéses vagy viselkedési):</w:t>
      </w:r>
    </w:p>
    <w:p w14:paraId="4AF04087" w14:textId="0CBAB467"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szerződéses: az (EU) .../... felhatalmazáson alapuló rendelet (Kiadóhivatal: kérjük, illesszék be a sztenderd módszerre vonatkozó szabályozástechnikai standardra való hivatkozást) 1. cikkének 2. pontjában meghatározott, szerződéses átárazódási időpont szerint, a viselkedési feltételezések figyelembevétele nélkül. Csak szerződéses és jogi jellemzők vehetők figyelembe (nem vehetők figyelembe az automatikus opciók és a jogilag kötelező felső/alsó határok). A lejárat nélküli termékek (beleértve a lejárat nélküli betéteket is) pénzáramlási profilját rövid változó pozícióként kell kezelni (legrövidebb idősáv). Nem alkalmazható viselkedésfüggő korai felmondás és előtörlesztés, ami a feltételes előtörlesztés és lejárat előtti feltörés esetében 0 %-os rátáknak felel meg;</w:t>
      </w:r>
    </w:p>
    <w:p w14:paraId="5697020E" w14:textId="0EDDD937"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viselkedési modellezés az alapforgatókönyvben: adott esetben az alapforgatókönyv szerinti viselkedési feltételezések alapján modellezett átárazódó pénzáramlások.</w:t>
      </w:r>
    </w:p>
    <w:p w14:paraId="63E1F799" w14:textId="03E6DF1E" w:rsidR="00786D30" w:rsidRPr="00577327" w:rsidRDefault="00A75ED8" w:rsidP="00430DF0">
      <w:pPr>
        <w:tabs>
          <w:tab w:val="left" w:pos="567"/>
        </w:tabs>
        <w:suppressAutoHyphens/>
        <w:rPr>
          <w:rFonts w:ascii="Times New Roman" w:hAnsi="Times New Roman"/>
          <w:noProof/>
          <w:sz w:val="24"/>
        </w:rPr>
      </w:pPr>
      <w:bookmarkStart w:id="56" w:name="_Ref140654581"/>
      <w:r>
        <w:rPr>
          <w:rFonts w:ascii="Times New Roman" w:hAnsi="Times New Roman"/>
          <w:noProof/>
          <w:sz w:val="24"/>
        </w:rPr>
        <w:t>1.4.</w:t>
      </w:r>
      <w:r>
        <w:rPr>
          <w:rFonts w:ascii="Times New Roman" w:hAnsi="Times New Roman"/>
          <w:noProof/>
          <w:sz w:val="24"/>
        </w:rPr>
        <w:tab/>
        <w:t>Származtatott termékek esetében az intézmények az átárazódó pénzáramlások nettó összegeit jelentik (azokat nem kell felvevő/fizető láb szerint bontani). Az eszközöket fedező származtatott termékek esetében a származtatott termék hosszú lábát (felvevő/eszköz) pozitív előjellel, a rövid lábát (fizető/kötelezettség) negatív előjellel kell figyelembe venni az idősávonkénti nettó összegek számításakor. E szabály alól kivételt jelent az az eset, amikor a felvevő kamatszelvényét negatív kamatkörnyezetben rögzítették; ezt még abban az esetben is negatív előjellel kell feltüntetni, ha a hosszú láb (felvevő/eszköz) egy részéhez pozitív előjel tartozik. Ennek az ellenkezője vonatkozik a kötelezettségeket fedező származtatott termékekre: az átárazódó pénzáramlások nettó összegeinek számításakor a hosszú lábat (felvevő/eszköz) negatív előjellel, a rövid lábat (fizető/kötelezettség) pozitív előjellel kell figyelembe venni.</w:t>
      </w:r>
      <w:bookmarkEnd w:id="56"/>
    </w:p>
    <w:p w14:paraId="2401EC9D" w14:textId="6F46E046" w:rsidR="00A75ED8" w:rsidRDefault="00A75ED8" w:rsidP="00733FF4">
      <w:pPr>
        <w:tabs>
          <w:tab w:val="left" w:pos="567"/>
        </w:tabs>
        <w:suppressAutoHyphens/>
        <w:rPr>
          <w:rFonts w:ascii="Times New Roman" w:hAnsi="Times New Roman"/>
          <w:noProof/>
          <w:sz w:val="24"/>
        </w:rPr>
      </w:pPr>
      <w:r>
        <w:rPr>
          <w:rFonts w:ascii="Times New Roman" w:hAnsi="Times New Roman"/>
          <w:noProof/>
          <w:sz w:val="24"/>
        </w:rPr>
        <w:t>1.5.</w:t>
      </w:r>
      <w:r>
        <w:rPr>
          <w:rFonts w:ascii="Times New Roman" w:hAnsi="Times New Roman"/>
          <w:noProof/>
          <w:sz w:val="24"/>
        </w:rPr>
        <w:tab/>
        <w:t>Az intézményeknek nem kell jelenteniük a névleges összeggel, az automatikus opciókkal és a viselkedési modellezéssel, az átlaghozammal és a szerződéses lejárattal kapcsolatos oszlopokat a szerződéses feltételekre vonatkozó lapokon.</w:t>
      </w:r>
      <w:r>
        <w:rPr>
          <w:noProof/>
        </w:rPr>
        <w:br w:type="page"/>
      </w:r>
    </w:p>
    <w:p w14:paraId="34D3A582" w14:textId="4F06788E" w:rsidR="003F3D6D" w:rsidRPr="00A75ED8" w:rsidRDefault="00A75ED8" w:rsidP="00430DF0">
      <w:pPr>
        <w:pStyle w:val="Instructionsberschrift2"/>
        <w:numPr>
          <w:ilvl w:val="0"/>
          <w:numId w:val="0"/>
        </w:numPr>
        <w:suppressAutoHyphens/>
        <w:rPr>
          <w:rFonts w:cs="Times New Roman"/>
          <w:b/>
          <w:bCs/>
          <w:noProof/>
          <w:sz w:val="24"/>
        </w:rPr>
      </w:pPr>
      <w:bookmarkStart w:id="57" w:name="_Toc160184423"/>
      <w:r>
        <w:rPr>
          <w:b/>
          <w:noProof/>
          <w:sz w:val="24"/>
        </w:rPr>
        <w:t>2.</w:t>
      </w:r>
      <w:r>
        <w:rPr>
          <w:b/>
          <w:noProof/>
          <w:sz w:val="24"/>
        </w:rPr>
        <w:tab/>
        <w:t>A táblák egyes részeire vonatkozó útmutatások</w:t>
      </w:r>
      <w:bookmarkEnd w:id="57"/>
    </w:p>
    <w:p w14:paraId="5615CEA5" w14:textId="77777777" w:rsidR="009E536A" w:rsidRPr="00D82419" w:rsidRDefault="009E536A"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334BE" w:rsidRPr="00D82419" w14:paraId="1AAC0987" w14:textId="77777777" w:rsidTr="63452C95">
        <w:tc>
          <w:tcPr>
            <w:tcW w:w="1129" w:type="dxa"/>
            <w:shd w:val="clear" w:color="auto" w:fill="D9D9D9" w:themeFill="background1" w:themeFillShade="D9"/>
          </w:tcPr>
          <w:p w14:paraId="58577E93" w14:textId="77777777" w:rsidR="00E334BE" w:rsidRPr="00D82419" w:rsidRDefault="00E334BE"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Oszlopok</w:t>
            </w:r>
          </w:p>
        </w:tc>
        <w:tc>
          <w:tcPr>
            <w:tcW w:w="7620" w:type="dxa"/>
            <w:shd w:val="clear" w:color="auto" w:fill="D9D9D9" w:themeFill="background1" w:themeFillShade="D9"/>
          </w:tcPr>
          <w:p w14:paraId="2F9FA5E5" w14:textId="77777777" w:rsidR="00E334BE" w:rsidRPr="00D82419" w:rsidRDefault="00E334BE"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Jogszabályi hivatkozások és útmutatások</w:t>
            </w:r>
          </w:p>
        </w:tc>
      </w:tr>
      <w:tr w:rsidR="00A65377" w:rsidRPr="00D82419" w:rsidDel="00910670" w14:paraId="4BFF452C" w14:textId="77777777" w:rsidTr="63452C95">
        <w:tc>
          <w:tcPr>
            <w:tcW w:w="1129" w:type="dxa"/>
          </w:tcPr>
          <w:p w14:paraId="424DCEEA" w14:textId="2047D5C3" w:rsidR="00A65377" w:rsidRPr="00D82419" w:rsidDel="00910670" w:rsidRDefault="00ED0A0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0010–0250</w:t>
            </w:r>
          </w:p>
        </w:tc>
        <w:tc>
          <w:tcPr>
            <w:tcW w:w="7620" w:type="dxa"/>
          </w:tcPr>
          <w:p w14:paraId="53EA9135" w14:textId="66FFB9DA" w:rsidR="00A65377" w:rsidRPr="00D82419" w:rsidRDefault="00FE6D2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Rögzített kamatozás</w:t>
            </w:r>
          </w:p>
          <w:p w14:paraId="3E07CAE3" w14:textId="552D9907" w:rsidR="00EF76AB" w:rsidRPr="00D82419" w:rsidDel="00910670" w:rsidRDefault="00EF76AB" w:rsidP="003C575D">
            <w:pPr>
              <w:pStyle w:val="InstructionsText"/>
              <w:rPr>
                <w:rStyle w:val="InstructionsTabelleberschrift"/>
                <w:rFonts w:ascii="Times New Roman" w:hAnsi="Times New Roman"/>
                <w:noProof/>
                <w:sz w:val="24"/>
              </w:rPr>
            </w:pPr>
            <w:r>
              <w:rPr>
                <w:noProof/>
              </w:rPr>
              <w:t xml:space="preserve">Az intézmények a rögzített kamatozású instrumentumokra vonatkozó becsléseket az e melléklet I. részének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szakaszában meghatározott szabály szerint adják meg.</w:t>
            </w:r>
          </w:p>
        </w:tc>
      </w:tr>
      <w:tr w:rsidR="00A65377" w:rsidRPr="00D82419" w:rsidDel="00910670" w14:paraId="57B0CF75" w14:textId="77777777" w:rsidTr="63452C95">
        <w:tc>
          <w:tcPr>
            <w:tcW w:w="1129" w:type="dxa"/>
          </w:tcPr>
          <w:p w14:paraId="6E3BC7AB" w14:textId="2B703315" w:rsidR="00A65377" w:rsidRPr="00D82419" w:rsidDel="00910670" w:rsidRDefault="00543AB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0260–0390</w:t>
            </w:r>
          </w:p>
        </w:tc>
        <w:tc>
          <w:tcPr>
            <w:tcW w:w="7620" w:type="dxa"/>
          </w:tcPr>
          <w:p w14:paraId="7B9BFD7B" w14:textId="7B89C8CB" w:rsidR="00A65377" w:rsidRPr="00D82419" w:rsidRDefault="00FE6D2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Változó kamatozás</w:t>
            </w:r>
          </w:p>
          <w:p w14:paraId="0667D05A" w14:textId="1C1E5E1A" w:rsidR="00EF76AB" w:rsidRPr="00D82419" w:rsidDel="00910670" w:rsidRDefault="00EF76AB" w:rsidP="003C575D">
            <w:pPr>
              <w:pStyle w:val="InstructionsText"/>
              <w:rPr>
                <w:rStyle w:val="InstructionsTabelleberschrift"/>
                <w:rFonts w:ascii="Times New Roman" w:hAnsi="Times New Roman"/>
                <w:noProof/>
                <w:sz w:val="24"/>
              </w:rPr>
            </w:pPr>
            <w:r>
              <w:rPr>
                <w:noProof/>
              </w:rPr>
              <w:t xml:space="preserve">Az intézmények a </w:t>
            </w:r>
            <w:r>
              <w:rPr>
                <w:rStyle w:val="InstructionsTabelleberschrift"/>
                <w:rFonts w:ascii="Times New Roman" w:hAnsi="Times New Roman"/>
                <w:b w:val="0"/>
                <w:noProof/>
                <w:sz w:val="24"/>
                <w:u w:val="none"/>
              </w:rPr>
              <w:t>változó</w:t>
            </w:r>
            <w:r>
              <w:rPr>
                <w:noProof/>
              </w:rPr>
              <w:t xml:space="preserve"> kamatozású instrumentumokra vonatkozó becsléseket az e melléklet I. részének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szakaszában meghatározott szabály szerint adják meg</w:t>
            </w:r>
            <w:r>
              <w:rPr>
                <w:b/>
                <w:noProof/>
              </w:rPr>
              <w:t>.</w:t>
            </w:r>
          </w:p>
        </w:tc>
      </w:tr>
      <w:tr w:rsidR="00910670" w:rsidRPr="00D82419" w:rsidDel="00910670" w14:paraId="501C377B" w14:textId="77777777" w:rsidTr="63452C95">
        <w:tc>
          <w:tcPr>
            <w:tcW w:w="1129" w:type="dxa"/>
          </w:tcPr>
          <w:p w14:paraId="440DBE1C" w14:textId="5EB8B8CF" w:rsidR="00910670" w:rsidRPr="00D82419" w:rsidDel="00910670" w:rsidRDefault="0091067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75A0ED55" w14:textId="29E23F25" w:rsidR="00910670" w:rsidRPr="00D82419" w:rsidRDefault="0091067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Névleges összeg</w:t>
            </w:r>
          </w:p>
          <w:p w14:paraId="46766D8B" w14:textId="222F990D" w:rsidR="00CB0263" w:rsidRPr="00D82419" w:rsidRDefault="00CB026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Az intézmények az instrumentumok fennálló tőkeösszegét jelentik.</w:t>
            </w:r>
          </w:p>
          <w:p w14:paraId="5E431F7F" w14:textId="07283D72" w:rsidR="00910670" w:rsidRPr="00D82419" w:rsidDel="00910670" w:rsidRDefault="00C57102" w:rsidP="003C575D">
            <w:pPr>
              <w:pStyle w:val="InstructionsText"/>
              <w:rPr>
                <w:rStyle w:val="InstructionsTabelleberschrift"/>
                <w:rFonts w:ascii="Times New Roman" w:hAnsi="Times New Roman"/>
                <w:b w:val="0"/>
                <w:noProof/>
                <w:sz w:val="24"/>
                <w:u w:val="none"/>
              </w:rPr>
            </w:pPr>
            <w:r>
              <w:rPr>
                <w:noProof/>
              </w:rPr>
              <w:t>Származtatott ügyletek esetében az eszköz (felvevő) láb fennálló tőkeösszegét kell jelenteni (azaz a felvevő/fizető láb nem nettósított összegeit).</w:t>
            </w:r>
          </w:p>
        </w:tc>
      </w:tr>
      <w:tr w:rsidR="008A13DA" w:rsidRPr="00D82419" w14:paraId="2FB0A7BA" w14:textId="77777777" w:rsidTr="63452C95">
        <w:tc>
          <w:tcPr>
            <w:tcW w:w="1129" w:type="dxa"/>
          </w:tcPr>
          <w:p w14:paraId="3AFC7C48" w14:textId="1AE50117" w:rsidR="008A13DA" w:rsidRPr="00D82419" w:rsidRDefault="008A13D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 és 0270</w:t>
            </w:r>
          </w:p>
        </w:tc>
        <w:tc>
          <w:tcPr>
            <w:tcW w:w="7620" w:type="dxa"/>
          </w:tcPr>
          <w:p w14:paraId="1D1717F1" w14:textId="693BF044" w:rsidR="008A13DA" w:rsidRPr="00D82419" w:rsidRDefault="008A13D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Beágyazott vagy explicit automatikus opcionalitással – vásárolt</w:t>
            </w:r>
          </w:p>
          <w:p w14:paraId="19FE4847" w14:textId="216BDE82" w:rsidR="008A13DA"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A 0010 és a 0260 oszlopban feltüntetett névleges összegnek a vásárolt automatikus kamatlábopciók alá tartozó aránya. Az opcionalitás származhat az intézmény által vásárolt önálló instrumentumokból (ideértve a </w:t>
            </w:r>
            <w:r>
              <w:rPr>
                <w:rStyle w:val="InstructionsTabelleberschrift"/>
                <w:rFonts w:ascii="Times New Roman" w:hAnsi="Times New Roman"/>
                <w:b w:val="0"/>
                <w:i/>
                <w:noProof/>
                <w:sz w:val="24"/>
                <w:u w:val="none"/>
              </w:rPr>
              <w:t>floor opciókat, a cap opciókat</w:t>
            </w:r>
            <w:r>
              <w:rPr>
                <w:rStyle w:val="InstructionsTabelleberschrift"/>
                <w:rFonts w:ascii="Times New Roman" w:hAnsi="Times New Roman"/>
                <w:b w:val="0"/>
                <w:noProof/>
                <w:sz w:val="24"/>
                <w:u w:val="none"/>
              </w:rPr>
              <w:t xml:space="preserve"> és </w:t>
            </w:r>
            <w:r>
              <w:rPr>
                <w:rStyle w:val="InstructionsTabelleberschrift"/>
                <w:rFonts w:ascii="Times New Roman" w:hAnsi="Times New Roman"/>
                <w:b w:val="0"/>
                <w:i/>
                <w:noProof/>
                <w:sz w:val="24"/>
                <w:u w:val="none"/>
              </w:rPr>
              <w:t>a swap-opciókat</w:t>
            </w:r>
            <w:r>
              <w:rPr>
                <w:rStyle w:val="InstructionsTabelleberschrift"/>
                <w:rFonts w:ascii="Times New Roman" w:hAnsi="Times New Roman"/>
                <w:b w:val="0"/>
                <w:noProof/>
                <w:sz w:val="24"/>
                <w:u w:val="none"/>
              </w:rPr>
              <w:t>), vagy be lehet „ágyazva” más sztenderd banki termékek szerződéses feltételeibe.</w:t>
            </w:r>
          </w:p>
          <w:p w14:paraId="03C11696" w14:textId="540CCE6E" w:rsidR="00A83E73" w:rsidRPr="00D82419" w:rsidRDefault="00A83E73" w:rsidP="003C575D">
            <w:pPr>
              <w:pStyle w:val="InstructionsText"/>
              <w:rPr>
                <w:rStyle w:val="InstructionsTabelleberschrift"/>
                <w:rFonts w:ascii="Times New Roman" w:hAnsi="Times New Roman"/>
                <w:b w:val="0"/>
                <w:bCs w:val="0"/>
                <w:noProof/>
                <w:sz w:val="24"/>
                <w:u w:val="none"/>
              </w:rPr>
            </w:pPr>
            <w:r>
              <w:rPr>
                <w:noProof/>
              </w:rPr>
              <w:t>A beágyazott automatikus kamatlábopciókat a releváns alapinstrumentumaikkal (eszköz vagy kötelezettség) együtt kell feltüntetni. Az explicit automatikus kamatlábopciókat származtatott instrumentumokként kell feltüntetni.</w:t>
            </w:r>
          </w:p>
          <w:p w14:paraId="1515B951" w14:textId="4B0A458F" w:rsidR="000452C6"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 vásárolt, beágyazott automatikus opciók változó kamatozású pozíciók esetében tartalmazzák a következőket: i. változó kamatozású eszközökre (hitelekre vagy hitelviszonyt megtestesítő értékpapírokra) vonatkozó, vásárolt floor opciók; ii. változó kamatozású, kibocsátott, hitelviszonyt megtestesítő értékpapírokra stb. vonatkozó vásárolt cap opciók.</w:t>
            </w:r>
          </w:p>
          <w:p w14:paraId="4B278975" w14:textId="2CD15610" w:rsidR="008A13DA" w:rsidRPr="00D82419" w:rsidRDefault="00844999"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 vásárolt, beágyazott automatikus opciók rögzített kamatozású pozíciók esetében tartalmazzák a következőket: i. rögzített kamatozású, hitelviszonyt megtestesítő értékpapír eszközök előtörlesztési opcióval az intézmény számára (vásárolt, beágyazott fizető swap-opció); ii. rögzített kamatozású, kibocsátott, hitelviszonyt megtestesítő értékpapír kötelezettségek előtörlesztési opcióval az intézmény számára (vásárolt, beágyazott felvevő swap-opció).</w:t>
            </w:r>
          </w:p>
          <w:p w14:paraId="0EC5C984" w14:textId="06780A02" w:rsidR="004736B2" w:rsidRPr="00D82419" w:rsidRDefault="004736B2"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 vásárolt, explicit automatikus opciók olyan származtatott termékek, amelyek magukban foglalják a következőket: i. vásárolt, explicit floor opciók; ii. vásárolt, explicit fizető swap-opciók (az intézménynek jogában áll kamatcsereügyletet kötni, rögzített kamatot fizet és változót kap); iii. vásárolt, explicit cap opciók; iv. vásárolt, explicit felvevő swap-opciók (az intézménynek jogában áll kamatcsereügyletet kötni, rögzített kamatot kap és változót fizet).</w:t>
            </w:r>
          </w:p>
          <w:p w14:paraId="0338A8CE" w14:textId="46249BD5" w:rsidR="008A13DA" w:rsidRPr="00D82419" w:rsidRDefault="004736B2" w:rsidP="003C575D">
            <w:pPr>
              <w:pStyle w:val="InstructionsText"/>
              <w:rPr>
                <w:rStyle w:val="InstructionsTabelleberschrift"/>
                <w:rFonts w:ascii="Times New Roman" w:hAnsi="Times New Roman"/>
                <w:noProof/>
                <w:sz w:val="24"/>
              </w:rPr>
            </w:pPr>
            <w:r>
              <w:rPr>
                <w:noProof/>
              </w:rPr>
              <w:t xml:space="preserve">A százalékos kitettség kiszámításakor az intézmények kellően figyelembe veszik az I. rész </w:t>
            </w:r>
            <w:r w:rsidRPr="0099267D">
              <w:rPr>
                <w:noProof/>
              </w:rPr>
              <w:fldChar w:fldCharType="begin"/>
            </w:r>
            <w:r w:rsidRPr="0099267D">
              <w:rPr>
                <w:noProof/>
              </w:rPr>
              <w:instrText xml:space="preserve"> REF _Ref122265153 \r \h </w:instrText>
            </w:r>
            <w:r w:rsidR="00A6215F"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szakaszában az opciókra vonatkozóan meghatározott szabályokat.</w:t>
            </w:r>
          </w:p>
        </w:tc>
      </w:tr>
      <w:tr w:rsidR="008A13DA" w:rsidRPr="00D82419" w14:paraId="148EA992" w14:textId="77777777" w:rsidTr="63452C95">
        <w:tc>
          <w:tcPr>
            <w:tcW w:w="1129" w:type="dxa"/>
          </w:tcPr>
          <w:p w14:paraId="0C9C2184" w14:textId="481FBD27" w:rsidR="008A13DA" w:rsidRPr="00D82419" w:rsidRDefault="008A13D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 és 0280</w:t>
            </w:r>
          </w:p>
        </w:tc>
        <w:tc>
          <w:tcPr>
            <w:tcW w:w="7620" w:type="dxa"/>
          </w:tcPr>
          <w:p w14:paraId="685A6336" w14:textId="5A91B1B4" w:rsidR="008A13DA" w:rsidRPr="00D82419" w:rsidRDefault="008A13D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Beágyazott vagy explicit automatikus opcionalitással – eladott</w:t>
            </w:r>
          </w:p>
          <w:p w14:paraId="6E9CFF28" w14:textId="4243EF27" w:rsidR="008A13DA"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A 0010 és a 0260 oszlopban feltüntetett névleges összegnek az eladott automatikus kamatlábopciók alá tartozó aránya. Az opcionalitás származhat az intézmény által eladott önálló instrumentumokból (ideértve a </w:t>
            </w:r>
            <w:r>
              <w:rPr>
                <w:rStyle w:val="InstructionsTabelleberschrift"/>
                <w:rFonts w:ascii="Times New Roman" w:hAnsi="Times New Roman"/>
                <w:b w:val="0"/>
                <w:i/>
                <w:noProof/>
                <w:sz w:val="24"/>
                <w:u w:val="none"/>
              </w:rPr>
              <w:t>floor opciókat, a cap opciókat</w:t>
            </w:r>
            <w:r>
              <w:rPr>
                <w:rStyle w:val="InstructionsTabelleberschrift"/>
                <w:rFonts w:ascii="Times New Roman" w:hAnsi="Times New Roman"/>
                <w:b w:val="0"/>
                <w:noProof/>
                <w:sz w:val="24"/>
                <w:u w:val="none"/>
              </w:rPr>
              <w:t xml:space="preserve"> és </w:t>
            </w:r>
            <w:r>
              <w:rPr>
                <w:rStyle w:val="InstructionsTabelleberschrift"/>
                <w:rFonts w:ascii="Times New Roman" w:hAnsi="Times New Roman"/>
                <w:b w:val="0"/>
                <w:i/>
                <w:noProof/>
                <w:sz w:val="24"/>
                <w:u w:val="none"/>
              </w:rPr>
              <w:t>a swap-opciókat</w:t>
            </w:r>
            <w:r>
              <w:rPr>
                <w:rStyle w:val="InstructionsTabelleberschrift"/>
                <w:rFonts w:ascii="Times New Roman" w:hAnsi="Times New Roman"/>
                <w:b w:val="0"/>
                <w:noProof/>
                <w:sz w:val="24"/>
                <w:u w:val="none"/>
              </w:rPr>
              <w:t>), vagy be lehet „ágyazva” más sztenderd banki termékek szerződéses feltételeibe.</w:t>
            </w:r>
          </w:p>
          <w:p w14:paraId="4F3EEBA7" w14:textId="5FC322FE" w:rsidR="00332BAD" w:rsidRPr="00D82419" w:rsidRDefault="00332BAD" w:rsidP="00430DF0">
            <w:pPr>
              <w:suppressAutoHyphens/>
              <w:spacing w:after="118" w:line="244" w:lineRule="auto"/>
              <w:ind w:right="82"/>
              <w:rPr>
                <w:rStyle w:val="InstructionsTabelleberschrift"/>
                <w:rFonts w:ascii="Times New Roman" w:hAnsi="Times New Roman"/>
                <w:b w:val="0"/>
                <w:bCs w:val="0"/>
                <w:noProof/>
                <w:sz w:val="24"/>
                <w:u w:val="none"/>
              </w:rPr>
            </w:pPr>
            <w:r>
              <w:rPr>
                <w:rFonts w:ascii="Times New Roman" w:hAnsi="Times New Roman"/>
                <w:noProof/>
                <w:sz w:val="24"/>
              </w:rPr>
              <w:t>A beágyazott automatikus kamatlábopciókat a releváns alapinstrumentumaikkal (eszköz vagy kötelezettség) együtt kell feltüntetni. Az explicit automatikus kamatlábopciókat származtatott instrumentumokként kell feltüntetni.</w:t>
            </w:r>
          </w:p>
          <w:p w14:paraId="5E648301" w14:textId="641B599C" w:rsidR="000978F0" w:rsidRPr="00D82419" w:rsidRDefault="008A13DA" w:rsidP="003C575D">
            <w:pPr>
              <w:pStyle w:val="InstructionsText"/>
              <w:rPr>
                <w:noProof/>
              </w:rPr>
            </w:pPr>
            <w:r>
              <w:rPr>
                <w:noProof/>
              </w:rPr>
              <w:t>Az eladott, beágyazott automatikus kamatlábopciók változó kamatozású pozíciók esetében tartalmazzák a következőket: i. változó kamatozású eszközökre (hitelekre vagy hitelviszonyt megtestesítő értékpapírokra) vonatkozó, eladott cap opciók; ii. változó kamatozású, kibocsátott, hitelviszonyt megtestesítő értékpapírokra stb. vonatkozó, eladott floor opciók.</w:t>
            </w:r>
          </w:p>
          <w:p w14:paraId="17F59AFE" w14:textId="1DC8181A" w:rsidR="008A13DA" w:rsidRPr="00D82419" w:rsidRDefault="008A13DA" w:rsidP="003C575D">
            <w:pPr>
              <w:pStyle w:val="InstructionsText"/>
              <w:rPr>
                <w:noProof/>
              </w:rPr>
            </w:pPr>
            <w:r>
              <w:rPr>
                <w:noProof/>
              </w:rPr>
              <w:t>A rögzített kamatozású pozíciók esetében az eladott, beágyazott automatikus kamatlábopciók tartalmazzák a következőket: i. rögzített kamatozású, hitelviszonyt megtestesítő értékpapírok előtörlesztési opcióval a kiíró számára (eladott, beágyazott felvevő swap-opció); ii. eladott floor opciók lejárat nélküli betétek és lekötött betétek esetében, ideértve a jogilag kötelező és implicit alsó határokat, és iii. rögzített kamatozású, kibocsátott, hitelviszonyt megtestesítő értékpapírok előtörlesztési opcióval a befektető számára (eladott, beágyazott fizető swap-opció).</w:t>
            </w:r>
          </w:p>
          <w:p w14:paraId="4039C229" w14:textId="6ACB1D35" w:rsidR="00F73C99" w:rsidRPr="00D82419" w:rsidRDefault="00F73C99"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Az eladott, explicit automatikus opciók olyan származtatott termékek, amelyek magukban foglalják a következőket: i. eladott, explicit cap opciók; ii. eladott, explicit felvevő swap-opciók (az intézmény köteles kamatcsereügyletet kötni, rögzített kamatot fizet és változót kap); iii. eladott, explicit floor opciók; iv. eladott, explicit fizető swap-opciók (az intézmény köteles kamatcsereügyletet kötni, rögzített kamatot kap és változót fizet).</w:t>
            </w:r>
          </w:p>
          <w:p w14:paraId="5CBE88B0" w14:textId="0D2C5A51" w:rsidR="008A13DA" w:rsidRPr="00D82419" w:rsidRDefault="00F73C99" w:rsidP="003C575D">
            <w:pPr>
              <w:pStyle w:val="InstructionsText"/>
              <w:rPr>
                <w:rStyle w:val="InstructionsTabelleberschrift"/>
                <w:rFonts w:ascii="Times New Roman" w:hAnsi="Times New Roman"/>
                <w:noProof/>
                <w:sz w:val="24"/>
              </w:rPr>
            </w:pPr>
            <w:r>
              <w:rPr>
                <w:noProof/>
              </w:rPr>
              <w:t xml:space="preserve">A százalékos összeg kiszámításakor az intézmények kellően figyelembe veszik az I. rész </w:t>
            </w:r>
            <w:r w:rsidRPr="0099267D">
              <w:rPr>
                <w:noProof/>
              </w:rPr>
              <w:fldChar w:fldCharType="begin"/>
            </w:r>
            <w:r w:rsidRPr="0099267D">
              <w:rPr>
                <w:noProof/>
              </w:rPr>
              <w:instrText xml:space="preserve"> REF _Ref122265153 \r \h </w:instrText>
            </w:r>
            <w:r w:rsidR="00D82419"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szakaszában az opciókra vonatkozóan meghatározott szabályokat.</w:t>
            </w:r>
          </w:p>
        </w:tc>
      </w:tr>
      <w:tr w:rsidR="005A510E" w:rsidRPr="00D82419" w14:paraId="2D5F7193" w14:textId="77777777" w:rsidTr="63452C95">
        <w:tc>
          <w:tcPr>
            <w:tcW w:w="1129" w:type="dxa"/>
          </w:tcPr>
          <w:p w14:paraId="400C1384" w14:textId="08885C17"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 és 0290</w:t>
            </w:r>
          </w:p>
        </w:tc>
        <w:tc>
          <w:tcPr>
            <w:tcW w:w="7620" w:type="dxa"/>
          </w:tcPr>
          <w:p w14:paraId="0B5BDF1F" w14:textId="77777777" w:rsidR="001D2293"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Viselkedési modellezés alá eső (%)</w:t>
            </w:r>
          </w:p>
          <w:p w14:paraId="2A5581C0" w14:textId="2E607039" w:rsidR="005A510E"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A 0010 és a 0260 oszlopban feltüntetett névleges összegnek a viselkedési modellezés alá eső aránya, amelynél a pénzáramlások időzítése vagy összege az ügyfelek magatartásától függ.</w:t>
            </w:r>
          </w:p>
        </w:tc>
      </w:tr>
      <w:tr w:rsidR="005A510E" w:rsidRPr="00D82419" w14:paraId="320394BE" w14:textId="77777777" w:rsidTr="63452C95">
        <w:tc>
          <w:tcPr>
            <w:tcW w:w="1129" w:type="dxa"/>
          </w:tcPr>
          <w:p w14:paraId="4194F18A" w14:textId="66BE13F3"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 és 0300</w:t>
            </w:r>
          </w:p>
        </w:tc>
        <w:tc>
          <w:tcPr>
            <w:tcW w:w="7620" w:type="dxa"/>
          </w:tcPr>
          <w:p w14:paraId="1F589AA0" w14:textId="6E6F27F9" w:rsidR="005A510E" w:rsidRPr="00D82419" w:rsidRDefault="005A510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Súlyozott átlaghozam</w:t>
            </w:r>
          </w:p>
          <w:p w14:paraId="0A030C82" w14:textId="148A1E1F" w:rsidR="005A510E" w:rsidRPr="00D82419" w:rsidRDefault="000B09F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Éves átlaghozam, a névleges összeggel súlyozva.</w:t>
            </w:r>
          </w:p>
        </w:tc>
      </w:tr>
      <w:tr w:rsidR="005A510E" w:rsidRPr="00D82419" w14:paraId="241B7FD2" w14:textId="77777777" w:rsidTr="63452C95">
        <w:tc>
          <w:tcPr>
            <w:tcW w:w="1129" w:type="dxa"/>
          </w:tcPr>
          <w:p w14:paraId="05DB9DDC" w14:textId="75231452"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és 0310</w:t>
            </w:r>
          </w:p>
        </w:tc>
        <w:tc>
          <w:tcPr>
            <w:tcW w:w="7620" w:type="dxa"/>
          </w:tcPr>
          <w:p w14:paraId="61B75614" w14:textId="476C6EAF" w:rsidR="005A510E" w:rsidRPr="00D82419" w:rsidRDefault="005A510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Súlyozott átlagos futamidő (szerződéses)</w:t>
            </w:r>
          </w:p>
          <w:p w14:paraId="5543C64E" w14:textId="5DCF7F02" w:rsidR="005A510E" w:rsidRPr="00D82419" w:rsidRDefault="00E054D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Átlagos szerződéses futamidő években, a névleges összeggel súlyozva.</w:t>
            </w:r>
          </w:p>
        </w:tc>
      </w:tr>
      <w:tr w:rsidR="00E334BE" w:rsidRPr="00D82419" w14:paraId="1C045037" w14:textId="77777777" w:rsidTr="63452C95">
        <w:tc>
          <w:tcPr>
            <w:tcW w:w="1129" w:type="dxa"/>
          </w:tcPr>
          <w:p w14:paraId="77861FE1" w14:textId="066DD219" w:rsidR="00E334BE" w:rsidRPr="00D82419" w:rsidRDefault="00B45B2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0070–0250 és 0320–0390</w:t>
            </w:r>
          </w:p>
        </w:tc>
        <w:tc>
          <w:tcPr>
            <w:tcW w:w="7620" w:type="dxa"/>
          </w:tcPr>
          <w:p w14:paraId="244DABE7" w14:textId="77777777" w:rsidR="00A37710" w:rsidRPr="00D82419" w:rsidRDefault="00E334B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Átárazódási táblázat: névleges átárazódó pénzáramlások</w:t>
            </w:r>
          </w:p>
          <w:p w14:paraId="27AC5034" w14:textId="495DB905" w:rsidR="00F93C6A" w:rsidRPr="00D82419" w:rsidRDefault="00F93C6A" w:rsidP="003C575D">
            <w:pPr>
              <w:pStyle w:val="InstructionsText"/>
              <w:rPr>
                <w:noProof/>
              </w:rPr>
            </w:pPr>
            <w:r>
              <w:rPr>
                <w:noProof/>
              </w:rPr>
              <w:t xml:space="preserve">Az intézmények az (EU) .../... </w:t>
            </w:r>
            <w:r>
              <w:rPr>
                <w:rStyle w:val="InstructionsTabelleberschrift"/>
                <w:rFonts w:ascii="Times New Roman" w:hAnsi="Times New Roman"/>
                <w:b w:val="0"/>
                <w:noProof/>
                <w:sz w:val="24"/>
                <w:u w:val="none"/>
              </w:rPr>
              <w:t>felhatalmazáson alapuló rendelet (Kiadóhivatal: kérjük illesszék be a felügyeleti kiugróérték-tesztre vonatkozó szabályozástechnikai standardra való hivatkozást</w:t>
            </w:r>
            <w:r>
              <w:rPr>
                <w:noProof/>
              </w:rPr>
              <w:t xml:space="preserve">) hatálya alá tartozó, kamatlábérzékeny pozíciókból származó összes jövőbeli névleges átárazódó pénzáramlást feltüntetik az előre meghatározott idősávok szerinti bontásban (amelyekbe az átárazódási időpontjaik alapján tartoznak) </w:t>
            </w:r>
            <w:r>
              <w:rPr>
                <w:rStyle w:val="FormatvorlageInstructionsTabelleText"/>
                <w:rFonts w:ascii="Times New Roman" w:hAnsi="Times New Roman"/>
                <w:noProof/>
                <w:sz w:val="24"/>
              </w:rPr>
              <w:t>(a „névleges átárazódó pénzáramlások” és „átárazódási időpont” fogalommeghatározását lásd az (EU) .../... felhatalmazáson alapuló rendelet (Kiadóhivatal: kérjük, illesszék be a sztenderd módszerre vonatkozó szabályozástechnikai standardra való hivatkozást) 1. cikkének 1. és 2. pontjában</w:t>
            </w:r>
            <w:r>
              <w:rPr>
                <w:noProof/>
              </w:rPr>
              <w:t xml:space="preserve"> </w:t>
            </w:r>
            <w:r>
              <w:rPr>
                <w:rStyle w:val="FormatvorlageInstructionsTabelleText"/>
                <w:rFonts w:ascii="Times New Roman" w:hAnsi="Times New Roman"/>
                <w:noProof/>
                <w:sz w:val="24"/>
              </w:rPr>
              <w:t>).</w:t>
            </w:r>
          </w:p>
          <w:p w14:paraId="07BE21EC" w14:textId="406647A0" w:rsidR="00E334BE" w:rsidRPr="00D82419" w:rsidRDefault="00F93C6A" w:rsidP="003C575D">
            <w:pPr>
              <w:pStyle w:val="InstructionsText"/>
              <w:rPr>
                <w:noProof/>
              </w:rPr>
            </w:pPr>
            <w:r>
              <w:rPr>
                <w:noProof/>
              </w:rPr>
              <w:t>Az explicit vagy beágyazott automatikus kamatlábopciókat le kell választani az alapszerződéseikről, és azok nem vehetők figyelembe a névleges átárazódó pénzáramlások besorolásakor.</w:t>
            </w:r>
          </w:p>
          <w:p w14:paraId="126FAB26" w14:textId="3C5ADDB7" w:rsidR="00DE2BDF" w:rsidRPr="00D82419" w:rsidRDefault="00DE2BDF" w:rsidP="003C575D">
            <w:pPr>
              <w:pStyle w:val="InstructionsText"/>
              <w:rPr>
                <w:noProof/>
              </w:rPr>
            </w:pPr>
            <w:r>
              <w:rPr>
                <w:noProof/>
              </w:rPr>
              <w:t xml:space="preserve">Azokat a származtatott termékeket, amelyek nem automatikus kamatlábopciók, pozíciókká kell alakítani a releváns alaptermékben, és fizető és felvevő pozíciókra (hosszú és rövid pozíciókra) kell osztani a releváns alaptermékben. A figyelembe veendő összegek az alaptermék vagy az alaptermék névleges értékének tőkeösszegei. A határidős kamatláb-megállapodásokat tartalmazó tőzsdei határidős ügyleteket és tőzsdén kívüli határidős ügyleteket rövid és hosszú pozíciók kombinációjaként kell kezelni. </w:t>
            </w:r>
          </w:p>
          <w:p w14:paraId="4256EE64" w14:textId="3862EF6A" w:rsidR="00DE2BDF" w:rsidRPr="00D82419" w:rsidRDefault="00DE2BDF" w:rsidP="003C575D">
            <w:pPr>
              <w:pStyle w:val="InstructionsText"/>
              <w:rPr>
                <w:rStyle w:val="InstructionsTabelleberschrift"/>
                <w:rFonts w:ascii="Times New Roman" w:hAnsi="Times New Roman"/>
                <w:b w:val="0"/>
                <w:noProof/>
                <w:u w:val="none"/>
              </w:rPr>
            </w:pPr>
            <w:r>
              <w:rPr>
                <w:noProof/>
              </w:rPr>
              <w:t xml:space="preserve">Az olyan származtatott ügyletek pénzáramlás-átárazódásának feltüntetéséhez, amelyek nem automatikus kamatlábopciók, az intézmények kellően figyelembe veszik a IV. rész 1. szakaszának </w:t>
            </w:r>
            <w:r w:rsidR="00D401D8" w:rsidRPr="008A047B">
              <w:rPr>
                <w:noProof/>
              </w:rPr>
              <w:fldChar w:fldCharType="begin"/>
            </w:r>
            <w:r w:rsidR="00D401D8" w:rsidRPr="008A047B">
              <w:rPr>
                <w:noProof/>
              </w:rPr>
              <w:instrText xml:space="preserve"> REF _Ref140654581 \r \h </w:instrText>
            </w:r>
            <w:r w:rsidR="00A6215F" w:rsidRPr="008A047B">
              <w:rPr>
                <w:noProof/>
              </w:rPr>
              <w:instrText xml:space="preserve"> \* MERGEFORMAT </w:instrText>
            </w:r>
            <w:r w:rsidR="00D401D8" w:rsidRPr="008A047B">
              <w:rPr>
                <w:noProof/>
              </w:rPr>
            </w:r>
            <w:r w:rsidR="00D401D8" w:rsidRPr="008A047B">
              <w:rPr>
                <w:noProof/>
              </w:rPr>
              <w:fldChar w:fldCharType="separate"/>
            </w:r>
            <w:r w:rsidR="0099267D" w:rsidRPr="008A047B">
              <w:rPr>
                <w:noProof/>
              </w:rPr>
              <w:t>1.</w:t>
            </w:r>
            <w:r w:rsidR="004049B3" w:rsidRPr="008A047B">
              <w:rPr>
                <w:noProof/>
              </w:rPr>
              <w:t>4</w:t>
            </w:r>
            <w:r w:rsidR="00D401D8" w:rsidRPr="008A047B">
              <w:rPr>
                <w:noProof/>
              </w:rPr>
              <w:fldChar w:fldCharType="end"/>
            </w:r>
            <w:r>
              <w:rPr>
                <w:noProof/>
              </w:rPr>
              <w:t>. pontjában a származtatott ügyletekre vonatkozóan meghatározott szabályokat.</w:t>
            </w:r>
          </w:p>
        </w:tc>
      </w:tr>
    </w:tbl>
    <w:p w14:paraId="14B6B511" w14:textId="02E578E4" w:rsidR="0074085C" w:rsidRPr="00D82419" w:rsidRDefault="0074085C" w:rsidP="00430DF0">
      <w:pPr>
        <w:suppressAutoHyphens/>
        <w:spacing w:after="0"/>
        <w:rPr>
          <w:rStyle w:val="InstructionsTabelleText"/>
          <w:rFonts w:ascii="Times New Roman" w:hAnsi="Times New Roman"/>
          <w:noProof/>
          <w:sz w:val="24"/>
        </w:rPr>
      </w:pPr>
    </w:p>
    <w:p w14:paraId="385B6273" w14:textId="114D160B" w:rsidR="0074085C" w:rsidRPr="00D82419" w:rsidRDefault="0074085C" w:rsidP="00430DF0">
      <w:pPr>
        <w:suppressAutoHyphens/>
        <w:spacing w:before="0" w:after="0"/>
        <w:jc w:val="left"/>
        <w:rPr>
          <w:rStyle w:val="InstructionsTabelleText"/>
          <w:rFonts w:ascii="Times New Roman" w:hAnsi="Times New Roman"/>
          <w:noProof/>
          <w:sz w:val="24"/>
        </w:rPr>
      </w:pPr>
    </w:p>
    <w:p w14:paraId="65BC6811" w14:textId="77777777" w:rsidR="00935CE7" w:rsidRPr="00D82419" w:rsidRDefault="00935CE7" w:rsidP="00430DF0">
      <w:pPr>
        <w:suppressAutoHyphens/>
        <w:spacing w:before="0" w:after="0"/>
        <w:jc w:val="left"/>
        <w:rPr>
          <w:rFonts w:ascii="Times New Roman" w:eastAsia="Arial" w:hAnsi="Times New Roman"/>
          <w:b/>
          <w:noProof/>
          <w:sz w:val="24"/>
        </w:rPr>
      </w:pPr>
      <w:r>
        <w:rPr>
          <w:noProof/>
        </w:rPr>
        <w:br w:type="page"/>
      </w:r>
    </w:p>
    <w:p w14:paraId="24DCA249" w14:textId="0849ADA3" w:rsidR="0074085C" w:rsidRPr="00D82419" w:rsidRDefault="0074085C" w:rsidP="00430DF0">
      <w:pPr>
        <w:pStyle w:val="Heading2"/>
        <w:suppressAutoHyphens/>
        <w:rPr>
          <w:noProof/>
        </w:rPr>
      </w:pPr>
      <w:bookmarkStart w:id="58" w:name="_Toc160184424"/>
      <w:r>
        <w:rPr>
          <w:noProof/>
        </w:rPr>
        <w:t>V. RÉSZ: RELEVÁNS PARAMÉTEREK (J 08.00 és J 09.00)</w:t>
      </w:r>
      <w:bookmarkEnd w:id="58"/>
    </w:p>
    <w:p w14:paraId="3F4A8018" w14:textId="12422CA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59" w:name="_Toc160184425"/>
      <w:r>
        <w:rPr>
          <w:b/>
          <w:noProof/>
          <w:sz w:val="24"/>
        </w:rPr>
        <w:t>1.</w:t>
      </w:r>
      <w:r>
        <w:rPr>
          <w:b/>
          <w:noProof/>
          <w:sz w:val="24"/>
        </w:rPr>
        <w:tab/>
        <w:t>Általános megjegyzések</w:t>
      </w:r>
      <w:bookmarkEnd w:id="59"/>
    </w:p>
    <w:p w14:paraId="6DBD998C" w14:textId="462008A4" w:rsidR="00615CD6"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A J 08.00 és a J 09.00 tábla az IRRBB modellezésének nyomon követéséhez használt releváns paraméterekről tartalmaz információkat. Az ezekben a táblákban szereplő információk többségét a J 02.00 – J 07.00 táblákban feltüntetett információkból kell származtatni. Az információkat az EVE szempontjából kell megadni, ideértve az (EU) .../... felhatalmazáson alapuló rendelet (Kiadóhivatal: kérjük, illesszék be a felügyeleti kiugróérték-tesztre vonatkozó szabályozástechnikai standardra való hivatkozást) 3. cikkében meghatározott követelményeket és modellezési feltételezéseket, a 0120–0150 sorok kivételével az automatikus opcionalitás nélkül.</w:t>
      </w:r>
    </w:p>
    <w:p w14:paraId="392AF82E" w14:textId="63D81CC8" w:rsidR="00583FE1"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A táblák tartalmát minden egyes olyan devizanemre vonatkozóan külön kell megadni, amelyben az intézmény olyan pozíciókkal rendelkezik, ahol a devizában denominált pénzügyi eszközök vagy kötelezettségek könyv szerinti értéke a banki könyvi pénzügyi eszközök vagy kötelezettségek összegének legalább 5 %-át vagy – ha a számításban szereplő pénzügyi eszközök vagy kötelezettségek összege kisebb a banki könyvi pénzügyi eszközök (tárgyi eszközök nélkül) vagy kötelezettségek összegének 90 %-ánál – kevesebb mint 5 %-át teszi ki.</w:t>
      </w:r>
    </w:p>
    <w:p w14:paraId="6E96AF41" w14:textId="32BDCC1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60" w:name="_Toc160184426"/>
      <w:r>
        <w:rPr>
          <w:b/>
          <w:noProof/>
          <w:sz w:val="24"/>
        </w:rPr>
        <w:t>2.</w:t>
      </w:r>
      <w:r>
        <w:rPr>
          <w:b/>
          <w:noProof/>
          <w:sz w:val="24"/>
        </w:rPr>
        <w:tab/>
        <w:t>A táblák egyes részeire vonatkozó útmutatások</w:t>
      </w:r>
      <w:bookmarkEnd w:id="6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B87342" w:rsidRPr="00D82419" w14:paraId="1C34855D" w14:textId="77777777" w:rsidTr="63452C95">
        <w:tc>
          <w:tcPr>
            <w:tcW w:w="1129" w:type="dxa"/>
            <w:shd w:val="clear" w:color="auto" w:fill="D9D9D9" w:themeFill="background1" w:themeFillShade="D9"/>
          </w:tcPr>
          <w:p w14:paraId="409F2F99" w14:textId="77777777" w:rsidR="00B87342" w:rsidRPr="00D82419" w:rsidRDefault="00B87342"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Sor</w:t>
            </w:r>
          </w:p>
        </w:tc>
        <w:tc>
          <w:tcPr>
            <w:tcW w:w="7620" w:type="dxa"/>
            <w:shd w:val="clear" w:color="auto" w:fill="D9D9D9" w:themeFill="background1" w:themeFillShade="D9"/>
          </w:tcPr>
          <w:p w14:paraId="35F1E6EB" w14:textId="77777777" w:rsidR="00B87342" w:rsidRPr="00D82419" w:rsidRDefault="00B87342"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Jogszabályi hivatkozások és útmutatások</w:t>
            </w:r>
          </w:p>
        </w:tc>
      </w:tr>
      <w:tr w:rsidR="00B87342" w:rsidRPr="00D82419" w14:paraId="0045BC51" w14:textId="77777777" w:rsidTr="63452C95">
        <w:tc>
          <w:tcPr>
            <w:tcW w:w="1129" w:type="dxa"/>
          </w:tcPr>
          <w:p w14:paraId="25ECF8E9" w14:textId="7BC0B77B"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0010–0110</w:t>
            </w:r>
          </w:p>
        </w:tc>
        <w:tc>
          <w:tcPr>
            <w:tcW w:w="7620" w:type="dxa"/>
          </w:tcPr>
          <w:p w14:paraId="4F4071B3" w14:textId="3F3376DD"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Lejárat nélküli betétek – Viselkedési modellezés – Átlagos átárazódási időpontok a modellezés előtt és után</w:t>
            </w:r>
          </w:p>
          <w:p w14:paraId="7656C57A" w14:textId="5C4468AF"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Az években mért átlagos átárazódási időpontokat NMD-kategóriánként kell kiszámítani az e melléklet III. részének</w:t>
            </w:r>
            <w:r>
              <w:rPr>
                <w:noProof/>
              </w:rPr>
              <w:t xml:space="preserve"> 2. szakaszában meghatározott bontás szerint, </w:t>
            </w:r>
            <w:r>
              <w:rPr>
                <w:rStyle w:val="FormatvorlageInstructionsTabelleText"/>
                <w:rFonts w:ascii="Times New Roman" w:hAnsi="Times New Roman"/>
                <w:noProof/>
                <w:sz w:val="24"/>
              </w:rPr>
              <w:t>a következők szerinti további bontással: a) az „alap” (core) volumen (nem lakossági pénzügyi betétektől különböző, lejárat nélküli betétek esetében és az (EU) .../... felhatalmazáson alapuló rendelet (Kiadóhivatal: kérjük illesszék be a felügyeleti kiugróérték-tesztre vonatkozó szabályozástechnikai standardra való hivatkozást) 1. cikkének 15. pontjában szereplő</w:t>
            </w:r>
            <w:r>
              <w:rPr>
                <w:noProof/>
              </w:rPr>
              <w:t xml:space="preserve"> „alapkomponens” (core) meghatározása szerint)</w:t>
            </w:r>
            <w:r>
              <w:rPr>
                <w:rStyle w:val="FormatvorlageInstructionsTabelleText"/>
                <w:rFonts w:ascii="Times New Roman" w:hAnsi="Times New Roman"/>
                <w:noProof/>
                <w:sz w:val="24"/>
              </w:rPr>
              <w:t>, b) az 575/2013/EU rendelet 428f. cikke (2) bekezdésének a) pontjában említett azon szabályozott megtakarítások köre</w:t>
            </w:r>
            <w:r>
              <w:rPr>
                <w:noProof/>
              </w:rPr>
              <w:t xml:space="preserve"> </w:t>
            </w:r>
            <w:r>
              <w:rPr>
                <w:rStyle w:val="FormatvorlageInstructionsTabelleText"/>
                <w:rFonts w:ascii="Times New Roman" w:hAnsi="Times New Roman"/>
                <w:noProof/>
                <w:sz w:val="24"/>
              </w:rPr>
              <w:t>(nem csak a központosított részre vagy azokra a megtakarításokra korlátozódva, amelyek esetében a kivonásra lényeges gazdasági vagy költségvetési korlátok vonatkoznak), amelyek vonatkozásában az intézmény nem alkalmaz korlátot (például 5 éves korlátot) az átárazódásig hátralévő időre az IRRBB belső kockázatkezelésében, és c) az (EU) 2015/61 felhatalmazáson alapuló rendelet 27. cikke (1) bekezdésének a) pontjában</w:t>
            </w:r>
            <w:r>
              <w:rPr>
                <w:noProof/>
              </w:rPr>
              <w:t xml:space="preserve"> meghatározott operatív betétek köre</w:t>
            </w:r>
            <w:r>
              <w:rPr>
                <w:rStyle w:val="FormatvorlageInstructionsTabelleText"/>
                <w:rFonts w:ascii="Times New Roman" w:hAnsi="Times New Roman"/>
                <w:noProof/>
                <w:sz w:val="24"/>
              </w:rPr>
              <w:t>.</w:t>
            </w:r>
          </w:p>
          <w:p w14:paraId="0E697F4F" w14:textId="0B347860" w:rsidR="00B87342" w:rsidRPr="00D82419" w:rsidRDefault="00B87342"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Az átlagos átárazódási időpontokat az „átárazódási időpontok” súlyozott átlagaként kell kiszámítani, az egyes NMD kategóriába/bontásba tartozó pozíciók „névleges átárazódó pénzáramlásai” alapján meghatározott súlyok figyelembevételével (a „névleges átárazódó pénzáramlások” és az „átárazódási időpont” fogalommeghatározását lásd az (EU) .../... felhatalmazáson alapuló rendelet (Kiadóhivatal: kérjük illesszék be a sztenderd módszerre</w:t>
            </w:r>
            <w:r>
              <w:rPr>
                <w:noProof/>
              </w:rPr>
              <w:t xml:space="preserve"> vonatkozó szabályozástechnikai standardra való hivatkozást) 1. cikke 1. és 2. pontjában</w:t>
            </w:r>
            <w:r>
              <w:rPr>
                <w:rStyle w:val="FormatvorlageInstructionsTabelleText"/>
                <w:rFonts w:ascii="Times New Roman" w:hAnsi="Times New Roman"/>
                <w:noProof/>
                <w:sz w:val="24"/>
              </w:rPr>
              <w:t>).</w:t>
            </w:r>
          </w:p>
        </w:tc>
      </w:tr>
      <w:tr w:rsidR="00B87342" w:rsidRPr="00D82419" w14:paraId="1314EB2E" w14:textId="77777777" w:rsidTr="63452C95">
        <w:tc>
          <w:tcPr>
            <w:tcW w:w="1129" w:type="dxa"/>
          </w:tcPr>
          <w:p w14:paraId="0E560EE6" w14:textId="1917CD8F"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0120–0150</w:t>
            </w:r>
          </w:p>
        </w:tc>
        <w:tc>
          <w:tcPr>
            <w:tcW w:w="7620" w:type="dxa"/>
          </w:tcPr>
          <w:p w14:paraId="16864C20" w14:textId="4D758673"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Lejárat nélküli betétek – Viselkedési modellezés – PTR 1 éves időtávon</w:t>
            </w:r>
          </w:p>
          <w:p w14:paraId="7BE8129E" w14:textId="53FD4EE3" w:rsidR="00B87342" w:rsidRPr="00D82419" w:rsidRDefault="3DB3CFB4"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Az (EU) .../... felhatalmazáson alapuló rendelet</w:t>
            </w:r>
            <w:r>
              <w:rPr>
                <w:noProof/>
              </w:rPr>
              <w:t xml:space="preserve"> (Kiadóhivatal: kérjük, illesszék be az egyszerűsített módszerre vonatkozó szabályozástechnikai standardra való hivatkozást) 1. cikkének 14. pontjában meghatározott </w:t>
            </w:r>
            <w:r>
              <w:rPr>
                <w:rStyle w:val="FormatvorlageInstructionsTabelleText"/>
                <w:rFonts w:ascii="Times New Roman" w:hAnsi="Times New Roman"/>
                <w:noProof/>
                <w:sz w:val="24"/>
              </w:rPr>
              <w:t>átgyűrűzési rátát (PTR) NMD-kategóriánként kell jelenteni</w:t>
            </w:r>
            <w:r>
              <w:rPr>
                <w:noProof/>
              </w:rPr>
              <w:t xml:space="preserve"> az ezen melléklet III. részének 2. szakaszában </w:t>
            </w:r>
            <w:r>
              <w:rPr>
                <w:rStyle w:val="FormatvorlageInstructionsTabelleText"/>
                <w:rFonts w:ascii="Times New Roman" w:hAnsi="Times New Roman"/>
                <w:noProof/>
                <w:sz w:val="24"/>
              </w:rPr>
              <w:t>meghatározott bontás szerint és 1 éves időtávra vonatkozóan</w:t>
            </w:r>
            <w:r>
              <w:rPr>
                <w:noProof/>
              </w:rPr>
              <w:t>.</w:t>
            </w:r>
          </w:p>
          <w:p w14:paraId="39231CCE" w14:textId="5897B846" w:rsidR="00B87342" w:rsidRPr="00D82419" w:rsidRDefault="7EB25965" w:rsidP="003C575D">
            <w:pPr>
              <w:pStyle w:val="InstructionsText"/>
              <w:rPr>
                <w:rFonts w:eastAsia="Calibri"/>
                <w:noProof/>
              </w:rPr>
            </w:pPr>
            <w:r>
              <w:rPr>
                <w:noProof/>
              </w:rPr>
              <w:t>Az intézmények által jelentendő PTR a kamatlábsokk azon hányadának a súlyozott átlaga, amelyről feltételezhető, hogy átgyűrűzik a lejárat nélküli betéteikre az</w:t>
            </w:r>
            <w:r>
              <w:rPr>
                <w:rStyle w:val="InstructionsTabelleberschrift"/>
                <w:rFonts w:ascii="Times New Roman" w:hAnsi="Times New Roman"/>
                <w:b w:val="0"/>
                <w:noProof/>
                <w:sz w:val="24"/>
                <w:u w:val="none"/>
              </w:rPr>
              <w:t xml:space="preserve"> (EU) .../... felhatalmazáson alapuló rendeletben (Kiadóhivatal: kérjük illesszék be a felügyeleti kiugróérték-tesztre vonatkozó szabályozástechnikai standardra való hivatkozást) említett felügyeleti kamatláb-forgatókönyvek és NII mérőszám</w:t>
            </w:r>
            <w:r>
              <w:rPr>
                <w:rStyle w:val="FormatvorlageInstructionsTabelleText"/>
                <w:rFonts w:ascii="Times New Roman" w:hAnsi="Times New Roman"/>
                <w:noProof/>
                <w:sz w:val="24"/>
              </w:rPr>
              <w:t xml:space="preserve"> alkalmazása mellett</w:t>
            </w:r>
            <w:r>
              <w:rPr>
                <w:noProof/>
              </w:rPr>
              <w:t>.</w:t>
            </w:r>
          </w:p>
        </w:tc>
      </w:tr>
      <w:tr w:rsidR="00B87342" w:rsidRPr="00D82419" w14:paraId="44881724" w14:textId="77777777" w:rsidTr="63452C95">
        <w:tc>
          <w:tcPr>
            <w:tcW w:w="1129" w:type="dxa"/>
          </w:tcPr>
          <w:p w14:paraId="248EEF52" w14:textId="6ED74CE6"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0160–0220</w:t>
            </w:r>
          </w:p>
        </w:tc>
        <w:tc>
          <w:tcPr>
            <w:tcW w:w="7620" w:type="dxa"/>
          </w:tcPr>
          <w:p w14:paraId="1A7FEBB1" w14:textId="77777777"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Rögzített kamatozás – Előtörlesztési kockázat – Átlagos átárazódási időpontok a modellezés előtt és után</w:t>
            </w:r>
          </w:p>
          <w:p w14:paraId="3E76D491" w14:textId="0A6DCF17" w:rsidR="0011705A" w:rsidRPr="00D82419" w:rsidRDefault="0011705A"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Az években mért átlagos átárazódási időpontokat releváns kategóriánként az e melléklet III. részének 2. szakaszában meghatározottak szerint kell</w:t>
            </w:r>
            <w:r>
              <w:rPr>
                <w:noProof/>
              </w:rPr>
              <w:t xml:space="preserve"> kiszámítani </w:t>
            </w:r>
            <w:r>
              <w:rPr>
                <w:rStyle w:val="FormatvorlageInstructionsTabelleText"/>
                <w:rFonts w:ascii="Times New Roman" w:hAnsi="Times New Roman"/>
                <w:noProof/>
                <w:sz w:val="24"/>
              </w:rPr>
              <w:t>az előtörlesztési kockázatnak kitett, rögzített kamatozású „hitelek és előlegek” és rögzített kamatozású „hitelviszonyt megtestesítő értékpapírok” esetében</w:t>
            </w:r>
            <w:r>
              <w:rPr>
                <w:noProof/>
              </w:rPr>
              <w:t>.</w:t>
            </w:r>
          </w:p>
          <w:p w14:paraId="6058AA3F" w14:textId="67C5AABC" w:rsidR="00B87342" w:rsidRPr="00D82419" w:rsidRDefault="0011705A"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Az intézmények előtörlesztési kockázatnak kitett pozíciókként csak azokat a pozíciókat veszik figyelembe, amelyek esetében az ügyfél nem viseli az előtörlesztés teljes gazdasági költségét. Azon pozíciók, amelyek esetében az ügyfél viseli az előtörlesztés teljes gazdasági költségét, úgy tekintendők a számítás során, hogy azok nincsenek kitéve előtörlesztési kockázatnak. Az átlagos átárazódási átárazódási időpontokat az „átárazódási időpontok” súlyozott átlagaként kell kiszámítani, az egyes releváns rögzített kamatozású „hitelek és előlegek” és rögzített kamatozású „hitelviszonyt megtestesítő értékpapírok” kategóriába/bontásba tartozó pozíciók „névleges átárazódó pénzáramlásai” alapján meghatározott súlyok figyelembevételével (a „névleges átárazódó pénzáramlások” és az „átárazódási időpont” fogalommeghatározását lásd az (EU) .../... felhatalmazáson alapuló rendelet (Kiadóhivatal: kérjük illesszék be a sztenderd módszerre</w:t>
            </w:r>
            <w:r>
              <w:rPr>
                <w:noProof/>
              </w:rPr>
              <w:t xml:space="preserve"> vonatkozó szabályozástechnikai standardra való hivatkozást) 1. cikke 1. és 2. pontjában</w:t>
            </w:r>
            <w:r>
              <w:rPr>
                <w:rStyle w:val="FormatvorlageInstructionsTabelleText"/>
                <w:rFonts w:ascii="Times New Roman" w:hAnsi="Times New Roman"/>
                <w:noProof/>
                <w:sz w:val="24"/>
              </w:rPr>
              <w:t>).</w:t>
            </w:r>
          </w:p>
        </w:tc>
      </w:tr>
      <w:tr w:rsidR="00B87342" w:rsidRPr="00D82419" w14:paraId="105F7BA0" w14:textId="77777777" w:rsidTr="63452C95">
        <w:tc>
          <w:tcPr>
            <w:tcW w:w="1129" w:type="dxa"/>
          </w:tcPr>
          <w:p w14:paraId="33EC9B44" w14:textId="29F9C451"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0230–0290</w:t>
            </w:r>
          </w:p>
        </w:tc>
        <w:tc>
          <w:tcPr>
            <w:tcW w:w="7620" w:type="dxa"/>
          </w:tcPr>
          <w:p w14:paraId="170D5BB8" w14:textId="74C86AF3" w:rsidR="00B87342" w:rsidRPr="00D82419" w:rsidRDefault="00B87342" w:rsidP="003C575D">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b/>
                <w:noProof/>
                <w:sz w:val="24"/>
                <w:u w:val="single"/>
              </w:rPr>
              <w:t>Rögzített kamatozás – Előtörlesztési kockázat – Feltételes előtörlesztési ráták (évesített átlag)</w:t>
            </w:r>
          </w:p>
          <w:p w14:paraId="689AA958" w14:textId="083E3BBE" w:rsidR="00B87342" w:rsidRPr="00D82419" w:rsidRDefault="006A74E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Az</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évesített</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átlagos feltételes előtörlesztési rátát évesítve, az ezen melléklet III. részének</w:t>
            </w:r>
            <w:r>
              <w:rPr>
                <w:noProof/>
              </w:rPr>
              <w:t xml:space="preserve"> 2. szakaszában </w:t>
            </w:r>
            <w:r>
              <w:rPr>
                <w:rStyle w:val="FormatvorlageInstructionsTabelleText"/>
                <w:rFonts w:ascii="Times New Roman" w:hAnsi="Times New Roman"/>
                <w:noProof/>
                <w:sz w:val="24"/>
              </w:rPr>
              <w:t>meghatározott releváns kategóriánként kell megadni, az előtörlesztési rátának az előtörlesztési kockázatnak kitett, rögzített kamatozású „hitelek és előlegek” és a rögzített kamatozású „hitelviszonyt megtestesítő értékpapírok” portfólióknak az adott portfólió lejáratáig az egyes éves időszakokban fennálló összegeivel súlyozott éves átlagaként.</w:t>
            </w:r>
          </w:p>
        </w:tc>
      </w:tr>
      <w:tr w:rsidR="00B87342" w:rsidRPr="00D82419" w14:paraId="57163FCB" w14:textId="77777777" w:rsidTr="63452C95">
        <w:tc>
          <w:tcPr>
            <w:tcW w:w="1129" w:type="dxa"/>
          </w:tcPr>
          <w:p w14:paraId="3A1656C2" w14:textId="3B773E31"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0300–0330</w:t>
            </w:r>
          </w:p>
        </w:tc>
        <w:tc>
          <w:tcPr>
            <w:tcW w:w="7620" w:type="dxa"/>
          </w:tcPr>
          <w:p w14:paraId="060B1BB5" w14:textId="56BF7C42"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Rögzített kamatozás – A lejárat előtti feltörés kockázata – Átlagos átárazódási időpontok a modellezés előtt és után</w:t>
            </w:r>
          </w:p>
          <w:p w14:paraId="1E1D4FB4" w14:textId="52E85BA2" w:rsidR="002901F9" w:rsidRPr="00D82419" w:rsidRDefault="002901F9"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Az években mért átlagos átárazódási időpontokat releváns kategóriánként az e melléklet III. részének 2. szakaszában meghatározottak szerint kell</w:t>
            </w:r>
            <w:r>
              <w:rPr>
                <w:noProof/>
              </w:rPr>
              <w:t xml:space="preserve"> kiszámítani </w:t>
            </w:r>
            <w:r>
              <w:rPr>
                <w:rStyle w:val="FormatvorlageInstructionsTabelleText"/>
                <w:rFonts w:ascii="Times New Roman" w:hAnsi="Times New Roman"/>
                <w:noProof/>
                <w:sz w:val="24"/>
              </w:rPr>
              <w:t>a lejárat előtti feltörés kockázatának kitett, rögzített kamatozású „lekötött betétek” esetében</w:t>
            </w:r>
            <w:r>
              <w:rPr>
                <w:noProof/>
              </w:rPr>
              <w:t>.</w:t>
            </w:r>
          </w:p>
          <w:p w14:paraId="6587669C" w14:textId="6CE97E7A" w:rsidR="002901F9" w:rsidRPr="00D82419" w:rsidRDefault="002901F9"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Az átlagos átárazódási időpontokat az „átárazódási időpontok” súlyozott átlagaként kell kiszámítani, az egyes kategóriába/bontásba tartozó pozíciók „névleges átárazódó pénzáramlásai” alapján meghatározott súlyok figyelembevételével (a „névleges átárazódó pénzáramlások” és az „átárazódási időpont” fogalommeghatározását lásd az (EU) .../... felhatalmazáson alapuló rendelet (Kiadóhivatal: kérjük illesszék be a sztenderd módszerre</w:t>
            </w:r>
            <w:r>
              <w:rPr>
                <w:noProof/>
              </w:rPr>
              <w:t xml:space="preserve"> vonatkozó szabályozástechnikai standardra való hivatkozást) 1. cikke 1. és 2. pontjában</w:t>
            </w:r>
            <w:r>
              <w:rPr>
                <w:rStyle w:val="FormatvorlageInstructionsTabelleText"/>
                <w:rFonts w:ascii="Times New Roman" w:hAnsi="Times New Roman"/>
                <w:noProof/>
                <w:sz w:val="24"/>
              </w:rPr>
              <w:t>).</w:t>
            </w:r>
          </w:p>
          <w:p w14:paraId="7AA2EACA" w14:textId="10F458EC" w:rsidR="00B87342" w:rsidRPr="00D82419" w:rsidRDefault="002901F9"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Az intézmények lejárat előtti feltörés kockázatának kitett pozíciókként csak azokat a pozíciókat veszik figyelembe, amelyek esetében az ügyfél nem viseli a lejárat előtti feltörés teljes gazdasági költségét. Azon pozíciók, amelyek esetében az ügyfél viseli a lejárat előtti feltörés teljes gazdasági költségét, úgy tekintendők a számítás során, hogy azok nincsenek kitéve a lejárat előtti feltörés kockázatának.</w:t>
            </w:r>
          </w:p>
        </w:tc>
      </w:tr>
      <w:tr w:rsidR="00B87342" w:rsidRPr="00D82419" w14:paraId="481018BD" w14:textId="77777777" w:rsidTr="63452C95">
        <w:tc>
          <w:tcPr>
            <w:tcW w:w="1129" w:type="dxa"/>
          </w:tcPr>
          <w:p w14:paraId="0B9A24B1" w14:textId="6B6EE886"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0340–0370</w:t>
            </w:r>
          </w:p>
        </w:tc>
        <w:tc>
          <w:tcPr>
            <w:tcW w:w="7620" w:type="dxa"/>
          </w:tcPr>
          <w:p w14:paraId="337E5AE4" w14:textId="084B5BDD"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Rögzített kamatozás – A lejárat előtti feltörés kockázata – Lejárat előtti feltörési ráták (kumulatív átlag)</w:t>
            </w:r>
          </w:p>
          <w:p w14:paraId="34980BF9" w14:textId="2C0D7DC4" w:rsidR="00B87342" w:rsidRPr="00D82419" w:rsidRDefault="00950563"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A</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kumulatív</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átlagos feltételes lejárat előtti feltörési rátát az ezen melléklet III. részének</w:t>
            </w:r>
            <w:r>
              <w:rPr>
                <w:noProof/>
              </w:rPr>
              <w:t xml:space="preserve"> 2. szakaszában </w:t>
            </w:r>
            <w:r>
              <w:rPr>
                <w:rStyle w:val="FormatvorlageInstructionsTabelleText"/>
                <w:rFonts w:ascii="Times New Roman" w:hAnsi="Times New Roman"/>
                <w:noProof/>
                <w:sz w:val="24"/>
              </w:rPr>
              <w:t>meghatározott releváns kategóriánként kell megadni, a következő hányadosként: a lejárat előtti feltörés kockázatának kitett, rögzített kamatozású lekötöttbetét-pozíciók feltört összege (releváns kategóriánként) osztva a lejárat előtti feltörés kockázatának kitett, rögzített kamatozású „lekötött betétek” teljes fennálló összegével (releváns kategóriánként).</w:t>
            </w:r>
          </w:p>
        </w:tc>
      </w:tr>
    </w:tbl>
    <w:p w14:paraId="477588BE" w14:textId="77777777" w:rsidR="0074085C" w:rsidRPr="00D82419" w:rsidRDefault="0074085C" w:rsidP="00430DF0">
      <w:pPr>
        <w:suppressAutoHyphens/>
        <w:spacing w:after="0"/>
        <w:rPr>
          <w:rStyle w:val="InstructionsTabelleText"/>
          <w:rFonts w:ascii="Times New Roman" w:hAnsi="Times New Roman"/>
          <w:noProof/>
          <w:sz w:val="24"/>
        </w:rPr>
      </w:pPr>
    </w:p>
    <w:p w14:paraId="3D10AEE0" w14:textId="77777777" w:rsidR="0074085C" w:rsidRPr="00D82419" w:rsidRDefault="0074085C"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B10B8" w:rsidRPr="00D82419" w14:paraId="0DA0B8E7" w14:textId="77777777" w:rsidTr="63452C95">
        <w:tc>
          <w:tcPr>
            <w:tcW w:w="1129" w:type="dxa"/>
            <w:shd w:val="clear" w:color="auto" w:fill="D9D9D9" w:themeFill="background1" w:themeFillShade="D9"/>
          </w:tcPr>
          <w:p w14:paraId="12788917" w14:textId="77777777" w:rsidR="005B10B8" w:rsidRPr="00D82419" w:rsidRDefault="005B10B8"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Oszlopok</w:t>
            </w:r>
          </w:p>
        </w:tc>
        <w:tc>
          <w:tcPr>
            <w:tcW w:w="7620" w:type="dxa"/>
            <w:shd w:val="clear" w:color="auto" w:fill="D9D9D9" w:themeFill="background1" w:themeFillShade="D9"/>
          </w:tcPr>
          <w:p w14:paraId="353000F0" w14:textId="77777777" w:rsidR="005B10B8" w:rsidRPr="00D82419" w:rsidRDefault="005B10B8"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Jogszabályi hivatkozások és útmutatások</w:t>
            </w:r>
          </w:p>
        </w:tc>
      </w:tr>
      <w:tr w:rsidR="00F47983" w:rsidRPr="00D82419" w:rsidDel="00F47983" w14:paraId="4C4CB1B5" w14:textId="77777777" w:rsidTr="63452C95">
        <w:tc>
          <w:tcPr>
            <w:tcW w:w="1129" w:type="dxa"/>
          </w:tcPr>
          <w:p w14:paraId="62C284D6" w14:textId="7940C70E" w:rsidR="00F47983" w:rsidRPr="00D82419" w:rsidDel="00F47983" w:rsidRDefault="00F4798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2118B900" w14:textId="77777777" w:rsidR="00F47983" w:rsidRPr="00D82419" w:rsidRDefault="00F4798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Névleges összeg</w:t>
            </w:r>
          </w:p>
          <w:p w14:paraId="5B6EFF80" w14:textId="5E9934E5" w:rsidR="00F47983" w:rsidRPr="00D82419" w:rsidDel="00F47983" w:rsidRDefault="004F47D0" w:rsidP="003C575D">
            <w:pPr>
              <w:pStyle w:val="InstructionsText"/>
              <w:rPr>
                <w:rStyle w:val="InstructionsTabelleberschrift"/>
                <w:rFonts w:ascii="Times New Roman" w:hAnsi="Times New Roman"/>
                <w:noProof/>
                <w:sz w:val="24"/>
              </w:rPr>
            </w:pPr>
            <w:r>
              <w:rPr>
                <w:noProof/>
              </w:rPr>
              <w:t>Az intézmények a J 05.00 tábla 0010 oszlopára vonatkozó útmutatást követik.</w:t>
            </w:r>
          </w:p>
        </w:tc>
      </w:tr>
      <w:tr w:rsidR="005B10B8" w:rsidRPr="00D82419" w14:paraId="102216EE" w14:textId="77777777" w:rsidTr="63452C95">
        <w:tc>
          <w:tcPr>
            <w:tcW w:w="1129" w:type="dxa"/>
          </w:tcPr>
          <w:p w14:paraId="5DE0749C" w14:textId="01F50747" w:rsidR="005B10B8" w:rsidRPr="00D82419" w:rsidRDefault="005B10B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46BCBBB4" w14:textId="0D96F247" w:rsidR="00E62089" w:rsidRPr="00D82419" w:rsidRDefault="005B10B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Viselkedési modellezés alá eső (%)</w:t>
            </w:r>
          </w:p>
          <w:p w14:paraId="516AFABD" w14:textId="368F2955" w:rsidR="005B10B8" w:rsidRPr="00D82419" w:rsidRDefault="0083437E" w:rsidP="003C575D">
            <w:pPr>
              <w:pStyle w:val="InstructionsText"/>
              <w:rPr>
                <w:rStyle w:val="InstructionsTabelleberschrift"/>
                <w:rFonts w:ascii="Times New Roman" w:hAnsi="Times New Roman"/>
                <w:b w:val="0"/>
                <w:noProof/>
                <w:sz w:val="24"/>
                <w:u w:val="none"/>
              </w:rPr>
            </w:pPr>
            <w:r>
              <w:rPr>
                <w:noProof/>
              </w:rPr>
              <w:t>Az intézmények a J 05.00 tábla 0040 oszlopára vonatkozó útmutatást követik.</w:t>
            </w:r>
          </w:p>
        </w:tc>
      </w:tr>
      <w:tr w:rsidR="005B10B8" w:rsidRPr="00D82419" w14:paraId="42F754E3" w14:textId="77777777" w:rsidTr="63452C95">
        <w:tc>
          <w:tcPr>
            <w:tcW w:w="1129" w:type="dxa"/>
          </w:tcPr>
          <w:p w14:paraId="70F3C500" w14:textId="1658EE49" w:rsidR="005B10B8" w:rsidRPr="00D82419" w:rsidRDefault="005B10B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52D99519" w14:textId="6F2418B4" w:rsidR="005B10B8" w:rsidRPr="00D82419" w:rsidRDefault="005B10B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Alapforgatókönyv (szerződéses)</w:t>
            </w:r>
          </w:p>
          <w:p w14:paraId="3844FF21" w14:textId="72D939C6" w:rsidR="003D25AF" w:rsidRPr="00D82419" w:rsidRDefault="003D25A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Az intézmények a releváns paramétereket (például az átlagos átárazódási időpontokat) az alaptermékek szerződéses feltételei alapján adják meg a </w:t>
            </w:r>
            <w:r>
              <w:rPr>
                <w:rStyle w:val="InstructionsTabelleberschrift"/>
                <w:rFonts w:ascii="Times New Roman" w:hAnsi="Times New Roman"/>
                <w:b w:val="0"/>
                <w:noProof/>
                <w:sz w:val="24"/>
                <w:u w:val="none"/>
              </w:rPr>
              <w:t>kitettségekre vonatkozóan, a szerződéses feltételek és jellemzők alapján, a kamatláb-alapforgatókönyv szerint</w:t>
            </w:r>
            <w:r>
              <w:rPr>
                <w:rStyle w:val="FormatvorlageInstructionsTabelleText"/>
                <w:rFonts w:ascii="Times New Roman" w:hAnsi="Times New Roman"/>
                <w:noProof/>
                <w:sz w:val="24"/>
              </w:rPr>
              <w:t>.</w:t>
            </w:r>
          </w:p>
          <w:p w14:paraId="49FC7605" w14:textId="5C296D41" w:rsidR="003D25AF" w:rsidRPr="00D82419" w:rsidRDefault="003D25AF" w:rsidP="003C575D">
            <w:pPr>
              <w:pStyle w:val="InstructionsText"/>
              <w:rPr>
                <w:rStyle w:val="FormatvorlageInstructionsTabelleText"/>
                <w:rFonts w:ascii="Times New Roman" w:hAnsi="Times New Roman"/>
                <w:bCs w:val="0"/>
                <w:noProof/>
                <w:sz w:val="24"/>
              </w:rPr>
            </w:pPr>
            <w:r>
              <w:rPr>
                <w:rStyle w:val="InstructionsTabelleberschrift"/>
                <w:rFonts w:ascii="Times New Roman" w:hAnsi="Times New Roman"/>
                <w:b w:val="0"/>
                <w:noProof/>
                <w:sz w:val="24"/>
                <w:u w:val="none"/>
              </w:rPr>
              <w:t xml:space="preserve">Az intézmények a 2013/36/EU irányelv 98. cikke (5) bekezdésének a) pontjában és az (EU) .../... felhatalmazáson alapuló rendelet </w:t>
            </w:r>
            <w:r>
              <w:rPr>
                <w:noProof/>
              </w:rPr>
              <w:t xml:space="preserve">(Kiadóhivatal: kérjük, illesszék be a felügyeleti kiugróérték-tesztre vonatkozó szabályozástechnikai standardra való hivatkozást) </w:t>
            </w:r>
            <w:r>
              <w:rPr>
                <w:rStyle w:val="InstructionsTabelleberschrift"/>
                <w:rFonts w:ascii="Times New Roman" w:hAnsi="Times New Roman"/>
                <w:b w:val="0"/>
                <w:noProof/>
                <w:sz w:val="24"/>
                <w:u w:val="none"/>
              </w:rPr>
              <w:t xml:space="preserve">3. cikkében meghatározottak alapján </w:t>
            </w:r>
            <w:r>
              <w:rPr>
                <w:rStyle w:val="FormatvorlageInstructionsTabelleText"/>
                <w:rFonts w:ascii="Times New Roman" w:hAnsi="Times New Roman"/>
                <w:noProof/>
                <w:sz w:val="24"/>
              </w:rPr>
              <w:t>szolgáltatják az adatokat.</w:t>
            </w:r>
          </w:p>
          <w:p w14:paraId="0039C2EB" w14:textId="764ED080" w:rsidR="00A36E5F" w:rsidRPr="00D82419" w:rsidRDefault="003D25AF" w:rsidP="003C575D">
            <w:pPr>
              <w:pStyle w:val="InstructionsText"/>
              <w:rPr>
                <w:rStyle w:val="InstructionsTabelleberschrift"/>
                <w:rFonts w:ascii="Times New Roman" w:hAnsi="Times New Roman"/>
                <w:b w:val="0"/>
                <w:noProof/>
                <w:sz w:val="24"/>
                <w:u w:val="none"/>
              </w:rPr>
            </w:pPr>
            <w:r>
              <w:rPr>
                <w:rStyle w:val="FormatvorlageInstructionsTabelleText"/>
                <w:rFonts w:ascii="Times New Roman" w:hAnsi="Times New Roman"/>
                <w:noProof/>
                <w:sz w:val="24"/>
              </w:rPr>
              <w:t xml:space="preserve">Az (EU) .../... felhatalmazáson alapuló rendelet </w:t>
            </w:r>
            <w:r>
              <w:rPr>
                <w:rStyle w:val="InstructionsTabelleberschrift"/>
                <w:rFonts w:ascii="Times New Roman" w:hAnsi="Times New Roman"/>
                <w:b w:val="0"/>
                <w:noProof/>
                <w:sz w:val="24"/>
                <w:u w:val="none"/>
              </w:rPr>
              <w:t xml:space="preserve">(Kiadóhivatal: kérjük, illesszék be a felügyeleti kiugróérték-tesztre vonatkozó szabályozástechnikai standardra való hivatkozást) </w:t>
            </w:r>
            <w:r>
              <w:rPr>
                <w:rStyle w:val="FormatvorlageInstructionsTabelleText"/>
                <w:rFonts w:ascii="Times New Roman" w:hAnsi="Times New Roman"/>
                <w:noProof/>
                <w:sz w:val="24"/>
              </w:rPr>
              <w:t>3. cikke (2) bekezdésének c) pontjában meghatározott viselkedési modelleket vagy feltételes modelleket nem kell figyelembe venni a paraméterek származtatásához.</w:t>
            </w:r>
          </w:p>
        </w:tc>
      </w:tr>
      <w:tr w:rsidR="00B2164F" w:rsidRPr="00D82419" w14:paraId="667D2C44" w14:textId="77777777" w:rsidTr="63452C95">
        <w:tc>
          <w:tcPr>
            <w:tcW w:w="1129" w:type="dxa"/>
          </w:tcPr>
          <w:p w14:paraId="2580660E" w14:textId="5AD3781B"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000FABC9" w14:textId="2AF06EDD"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Alapforgatókönyv (viselkedési)</w:t>
            </w:r>
          </w:p>
          <w:p w14:paraId="0577FD0F" w14:textId="128A52AD" w:rsidR="00B2164F" w:rsidRPr="00D82419" w:rsidRDefault="00B2164F"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Az intézmények a viselkedési modellezés alá eső, azaz a pénzáramlások időzítése és összege tekintetében az ügyfelek magatartásától függő kitettségekhez használt releváns paramétereket (például az átlagos átárazódási időpontokat) adják meg</w:t>
            </w:r>
            <w:r>
              <w:rPr>
                <w:rStyle w:val="InstructionsTabelleberschrift"/>
                <w:rFonts w:ascii="Times New Roman" w:hAnsi="Times New Roman"/>
                <w:b w:val="0"/>
                <w:noProof/>
                <w:sz w:val="24"/>
                <w:u w:val="none"/>
              </w:rPr>
              <w:t xml:space="preserve"> a kamatláb-alapforgatókönyv szerint</w:t>
            </w:r>
            <w:r>
              <w:rPr>
                <w:rStyle w:val="FormatvorlageInstructionsTabelleText"/>
                <w:rFonts w:ascii="Times New Roman" w:hAnsi="Times New Roman"/>
                <w:noProof/>
                <w:sz w:val="24"/>
              </w:rPr>
              <w:t>.</w:t>
            </w:r>
          </w:p>
          <w:p w14:paraId="7A4FE7D1" w14:textId="6D70AB16" w:rsidR="00B2164F" w:rsidRPr="00D82419" w:rsidRDefault="00B2164F"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Az intézmények a 2013/36/EU irányelv 98. cikke (5) bekezdésének a) pontjában és az (EU) .../... felhatalmazáson alapuló rendelet </w:t>
            </w:r>
            <w:r>
              <w:rPr>
                <w:noProof/>
              </w:rPr>
              <w:t xml:space="preserve">(Kiadóhivatal: kérjük, illesszék be a felügyeleti kiugróérték-tesztre vonatkozó szabályozástechnikai standardra való hivatkozást) </w:t>
            </w:r>
            <w:r>
              <w:rPr>
                <w:rStyle w:val="InstructionsTabelleberschrift"/>
                <w:rFonts w:ascii="Times New Roman" w:hAnsi="Times New Roman"/>
                <w:b w:val="0"/>
                <w:noProof/>
                <w:sz w:val="24"/>
                <w:u w:val="none"/>
              </w:rPr>
              <w:t xml:space="preserve">3. cikkében meghatározottak alapján </w:t>
            </w:r>
            <w:r>
              <w:rPr>
                <w:rStyle w:val="FormatvorlageInstructionsTabelleText"/>
                <w:rFonts w:ascii="Times New Roman" w:hAnsi="Times New Roman"/>
                <w:noProof/>
                <w:sz w:val="24"/>
              </w:rPr>
              <w:t>szolgáltatják az adatokat.</w:t>
            </w:r>
          </w:p>
        </w:tc>
      </w:tr>
      <w:tr w:rsidR="00B2164F" w:rsidRPr="00D82419" w14:paraId="6D8D7D20" w14:textId="77777777" w:rsidTr="63452C95">
        <w:tc>
          <w:tcPr>
            <w:tcW w:w="1129" w:type="dxa"/>
          </w:tcPr>
          <w:p w14:paraId="6B1829E8" w14:textId="30EECC5E"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6DB8ED08" w14:textId="5F926022"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Párhuzamos sokkszerű emelkedés</w:t>
            </w:r>
          </w:p>
          <w:p w14:paraId="300C93C3" w14:textId="0E724783" w:rsidR="00B2164F" w:rsidRPr="00D82419" w:rsidRDefault="00E32A97" w:rsidP="003C575D">
            <w:pPr>
              <w:pStyle w:val="InstructionsText"/>
              <w:rPr>
                <w:rStyle w:val="InstructionsTabelleberschrift"/>
                <w:rFonts w:ascii="Times New Roman" w:hAnsi="Times New Roman"/>
                <w:b w:val="0"/>
                <w:bCs w:val="0"/>
                <w:noProof/>
                <w:sz w:val="24"/>
                <w:u w:val="none"/>
              </w:rPr>
            </w:pPr>
            <w:r>
              <w:rPr>
                <w:noProof/>
              </w:rPr>
              <w:t>Az intézmények a J 01.00 tábla 0040 sorára vonatkozó útmutatást követik.</w:t>
            </w:r>
          </w:p>
        </w:tc>
      </w:tr>
      <w:tr w:rsidR="00B2164F" w:rsidRPr="00D82419" w14:paraId="544E890D" w14:textId="77777777" w:rsidTr="63452C95">
        <w:tc>
          <w:tcPr>
            <w:tcW w:w="1129" w:type="dxa"/>
          </w:tcPr>
          <w:p w14:paraId="53DE47F8" w14:textId="418E41D9"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79AB7DEB" w14:textId="0D7ED56A"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Párhuzamos sokkszerű csökkenés</w:t>
            </w:r>
          </w:p>
          <w:p w14:paraId="117BC558" w14:textId="751EDFD3" w:rsidR="00B2164F" w:rsidRPr="00D82419" w:rsidRDefault="00E32A97" w:rsidP="003C575D">
            <w:pPr>
              <w:pStyle w:val="InstructionsText"/>
              <w:rPr>
                <w:rStyle w:val="InstructionsTabelleberschrift"/>
                <w:rFonts w:ascii="Times New Roman" w:hAnsi="Times New Roman"/>
                <w:noProof/>
                <w:sz w:val="24"/>
              </w:rPr>
            </w:pPr>
            <w:r>
              <w:rPr>
                <w:noProof/>
              </w:rPr>
              <w:t>Az intézmények a J 01.00 tábla 0050 sorára vonatkozó útmutatást követik.</w:t>
            </w:r>
          </w:p>
        </w:tc>
      </w:tr>
      <w:tr w:rsidR="00B2164F" w:rsidRPr="00D82419" w14:paraId="787D1540" w14:textId="77777777" w:rsidTr="63452C95">
        <w:tc>
          <w:tcPr>
            <w:tcW w:w="1129" w:type="dxa"/>
          </w:tcPr>
          <w:p w14:paraId="79200A12" w14:textId="78456E09"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60534BE" w14:textId="55CE0DE9"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Meredekség sokkszerű növekedése</w:t>
            </w:r>
          </w:p>
          <w:p w14:paraId="5D2F3E7C" w14:textId="43E6083D" w:rsidR="00B2164F" w:rsidRPr="00D82419" w:rsidRDefault="00E32A97" w:rsidP="003C575D">
            <w:pPr>
              <w:pStyle w:val="InstructionsText"/>
              <w:rPr>
                <w:rStyle w:val="InstructionsTabelleberschrift"/>
                <w:rFonts w:ascii="Times New Roman" w:hAnsi="Times New Roman"/>
                <w:noProof/>
                <w:sz w:val="24"/>
              </w:rPr>
            </w:pPr>
            <w:r>
              <w:rPr>
                <w:noProof/>
              </w:rPr>
              <w:t>Az intézmények a J 01.00 tábla 0060 sorára vonatkozó útmutatást követik.</w:t>
            </w:r>
          </w:p>
        </w:tc>
      </w:tr>
      <w:tr w:rsidR="00B2164F" w:rsidRPr="00D82419" w14:paraId="26632335" w14:textId="77777777" w:rsidTr="63452C95">
        <w:tc>
          <w:tcPr>
            <w:tcW w:w="1129" w:type="dxa"/>
          </w:tcPr>
          <w:p w14:paraId="0601D2A0" w14:textId="683FDEA6"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A9F3B03" w14:textId="5CF88BA5"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Meredekség sokkszerű csökkenése</w:t>
            </w:r>
          </w:p>
          <w:p w14:paraId="0EF9F61B" w14:textId="340D5599" w:rsidR="00B2164F" w:rsidRPr="00D82419" w:rsidRDefault="00E32A97" w:rsidP="003C575D">
            <w:pPr>
              <w:pStyle w:val="InstructionsText"/>
              <w:rPr>
                <w:rStyle w:val="InstructionsTabelleberschrift"/>
                <w:rFonts w:ascii="Times New Roman" w:hAnsi="Times New Roman"/>
                <w:noProof/>
                <w:sz w:val="24"/>
              </w:rPr>
            </w:pPr>
            <w:r>
              <w:rPr>
                <w:noProof/>
              </w:rPr>
              <w:t>Az intézmények a J 01.00 tábla 0070 sorára vonatkozó útmutatást követik.</w:t>
            </w:r>
          </w:p>
        </w:tc>
      </w:tr>
      <w:tr w:rsidR="00B2164F" w:rsidRPr="00D82419" w14:paraId="58F3D8B0" w14:textId="77777777" w:rsidTr="63452C95">
        <w:tc>
          <w:tcPr>
            <w:tcW w:w="1129" w:type="dxa"/>
          </w:tcPr>
          <w:p w14:paraId="1C269019" w14:textId="66D93D88"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0E72BFB7" w14:textId="46121747"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Rövid kamatlábak sokkszerű emelkedése</w:t>
            </w:r>
          </w:p>
          <w:p w14:paraId="7CD02A4D" w14:textId="077159AA" w:rsidR="00B2164F" w:rsidRPr="00D82419" w:rsidRDefault="002100F4" w:rsidP="003C575D">
            <w:pPr>
              <w:pStyle w:val="InstructionsText"/>
              <w:rPr>
                <w:rStyle w:val="InstructionsTabelleberschrift"/>
                <w:rFonts w:ascii="Times New Roman" w:hAnsi="Times New Roman"/>
                <w:noProof/>
                <w:sz w:val="24"/>
              </w:rPr>
            </w:pPr>
            <w:r>
              <w:rPr>
                <w:noProof/>
              </w:rPr>
              <w:t>Az intézmények a J 01.00 tábla 0080 sorára vonatkozó útmutatást követik.</w:t>
            </w:r>
          </w:p>
        </w:tc>
      </w:tr>
      <w:tr w:rsidR="00B2164F" w:rsidRPr="00D82419" w14:paraId="3C8E5AC7" w14:textId="77777777" w:rsidTr="63452C95">
        <w:tc>
          <w:tcPr>
            <w:tcW w:w="1129" w:type="dxa"/>
          </w:tcPr>
          <w:p w14:paraId="1DCCB693" w14:textId="701E1D81"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27C110D6" w14:textId="3F13CC92"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Rövid kamatlábak sokkszerű csökkenése</w:t>
            </w:r>
          </w:p>
          <w:p w14:paraId="04293978" w14:textId="3C4DA249" w:rsidR="00B2164F" w:rsidRPr="00D82419" w:rsidRDefault="002100F4" w:rsidP="003C575D">
            <w:pPr>
              <w:pStyle w:val="InstructionsText"/>
              <w:rPr>
                <w:rStyle w:val="InstructionsTabelleberschrift"/>
                <w:rFonts w:ascii="Times New Roman" w:hAnsi="Times New Roman"/>
                <w:noProof/>
                <w:sz w:val="24"/>
              </w:rPr>
            </w:pPr>
            <w:r>
              <w:rPr>
                <w:noProof/>
              </w:rPr>
              <w:t>Az intézmények a J 01.00 tábla 0090 sorára vonatkozó útmutatást követik.</w:t>
            </w:r>
          </w:p>
        </w:tc>
      </w:tr>
    </w:tbl>
    <w:p w14:paraId="239AC0DC" w14:textId="3397F6EF" w:rsidR="009E536A" w:rsidRPr="00D82419" w:rsidRDefault="009E536A" w:rsidP="00430DF0">
      <w:pPr>
        <w:suppressAutoHyphens/>
        <w:spacing w:after="0"/>
        <w:rPr>
          <w:rStyle w:val="InstructionsTabelleText"/>
          <w:rFonts w:ascii="Times New Roman" w:hAnsi="Times New Roman"/>
          <w:noProof/>
          <w:sz w:val="24"/>
        </w:rPr>
      </w:pPr>
    </w:p>
    <w:p w14:paraId="67E90C55" w14:textId="728B0D17" w:rsidR="0074085C" w:rsidRPr="00D82419" w:rsidRDefault="0074085C" w:rsidP="00430DF0">
      <w:pPr>
        <w:suppressAutoHyphens/>
        <w:spacing w:before="0" w:after="0"/>
        <w:jc w:val="left"/>
        <w:rPr>
          <w:rStyle w:val="InstructionsTabelleText"/>
          <w:rFonts w:ascii="Times New Roman" w:hAnsi="Times New Roman"/>
          <w:noProof/>
          <w:sz w:val="24"/>
        </w:rPr>
      </w:pPr>
      <w:r>
        <w:rPr>
          <w:noProof/>
        </w:rPr>
        <w:br w:type="page"/>
      </w:r>
    </w:p>
    <w:p w14:paraId="2A389102" w14:textId="231412D1" w:rsidR="0074085C" w:rsidRPr="00CB270D" w:rsidRDefault="0074085C" w:rsidP="00430DF0">
      <w:pPr>
        <w:pStyle w:val="Heading2"/>
        <w:suppressAutoHyphens/>
        <w:rPr>
          <w:noProof/>
        </w:rPr>
      </w:pPr>
      <w:bookmarkStart w:id="61" w:name="_Toc160184427"/>
      <w:r>
        <w:rPr>
          <w:noProof/>
        </w:rPr>
        <w:t>VI. RÉSZ: KVALITATÍV INFORMÁCIÓK (J 10.00 és J 11.00)</w:t>
      </w:r>
      <w:bookmarkEnd w:id="61"/>
    </w:p>
    <w:p w14:paraId="571FC04F" w14:textId="09F6DCA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2" w:name="_Toc160184428"/>
      <w:r>
        <w:rPr>
          <w:b/>
          <w:noProof/>
          <w:sz w:val="24"/>
        </w:rPr>
        <w:t>1.</w:t>
      </w:r>
      <w:r>
        <w:rPr>
          <w:b/>
          <w:noProof/>
          <w:sz w:val="24"/>
        </w:rPr>
        <w:tab/>
        <w:t>Általános megjegyzések</w:t>
      </w:r>
      <w:bookmarkEnd w:id="62"/>
    </w:p>
    <w:p w14:paraId="74AAE8C3" w14:textId="759BC558" w:rsidR="0074085C" w:rsidRPr="007F52CC" w:rsidRDefault="00D10176"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A J 10.00 és a J 11.00 tábla kvalitatív adatokat tartalmaz az IRRBB értékeléséhez használt módszertanokról.</w:t>
      </w:r>
    </w:p>
    <w:p w14:paraId="5B806750" w14:textId="73EEA5AB" w:rsidR="003C1853" w:rsidRPr="006942B1" w:rsidRDefault="00D10176"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Az intézmények a vonatkozó információkat az opciók előre meghatározott listája alapján adják meg. A 0320–0360 sorokat minden egyes devizanemre vonatkozóan külön kell megadni, amelyekben az intézmény olyan pozíciókkal rendelkezik, ahol a devizában denominált pénzügyi eszközök vagy kötelezettségek könyv szerinti értéke a banki könyvi pénzügyi eszközök vagy kötelezettségek összegének legalább 5 %-át vagy – ha a számításban szereplő pénzügyi eszközök vagy kötelezettségek összege kisebb a banki könyvi pénzügyi eszközök (tárgyi eszközök nélkül) vagy kötelezettségek összegének 90 %-ánál – kevesebb mint 5 %-át teszi ki. A többi sor (0010–0310) nem devizanemfüggő.</w:t>
      </w:r>
    </w:p>
    <w:p w14:paraId="43FC2152" w14:textId="65D36F9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3" w:name="_Toc160184429"/>
      <w:r>
        <w:rPr>
          <w:b/>
          <w:noProof/>
          <w:sz w:val="24"/>
        </w:rPr>
        <w:t>2.</w:t>
      </w:r>
      <w:r>
        <w:rPr>
          <w:b/>
          <w:noProof/>
          <w:sz w:val="24"/>
        </w:rPr>
        <w:tab/>
        <w:t>A táblák egyes részeire vonatkozó útmutatások</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4085C" w:rsidRPr="00D82419" w14:paraId="705499B5" w14:textId="77777777" w:rsidTr="763F32FC">
        <w:tc>
          <w:tcPr>
            <w:tcW w:w="1129" w:type="dxa"/>
            <w:shd w:val="clear" w:color="auto" w:fill="D9D9D9" w:themeFill="background1" w:themeFillShade="D9"/>
          </w:tcPr>
          <w:p w14:paraId="3A97293F" w14:textId="77777777" w:rsidR="0074085C" w:rsidRPr="00D82419" w:rsidRDefault="0074085C"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Sor</w:t>
            </w:r>
          </w:p>
        </w:tc>
        <w:tc>
          <w:tcPr>
            <w:tcW w:w="7620" w:type="dxa"/>
            <w:shd w:val="clear" w:color="auto" w:fill="D9D9D9" w:themeFill="background1" w:themeFillShade="D9"/>
          </w:tcPr>
          <w:p w14:paraId="54162349" w14:textId="77777777" w:rsidR="0074085C" w:rsidRPr="00D82419" w:rsidRDefault="0074085C"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Jogszabályi hivatkozások és útmutatások</w:t>
            </w:r>
          </w:p>
        </w:tc>
      </w:tr>
      <w:tr w:rsidR="004B1A38" w:rsidRPr="00D82419" w14:paraId="5F38AE8D" w14:textId="77777777" w:rsidTr="763F32FC">
        <w:tc>
          <w:tcPr>
            <w:tcW w:w="1129" w:type="dxa"/>
          </w:tcPr>
          <w:p w14:paraId="29457CC0" w14:textId="715B783F" w:rsidR="004B1A38" w:rsidRPr="00D82419" w:rsidRDefault="00841D8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54292758" w14:textId="4685B5BB" w:rsidR="002236E8" w:rsidRPr="00D82419" w:rsidRDefault="00217BB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 SOT (NII/EVE) céljára alkalmazott módszer</w:t>
            </w:r>
          </w:p>
          <w:p w14:paraId="7216C571" w14:textId="77455230" w:rsidR="004B1A38" w:rsidRPr="00D82419" w:rsidRDefault="00217BB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Az intézmények feltüntetik a SOT (NII/EVE) számításhoz alkalmazott módszert:</w:t>
            </w:r>
          </w:p>
          <w:p w14:paraId="7B855B4F" w14:textId="557797B9" w:rsidR="00217BB3"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egyszerűsített sztenderd módszer;</w:t>
            </w:r>
          </w:p>
          <w:p w14:paraId="7E6C77BA" w14:textId="36428AA7" w:rsidR="00217BB3"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sztenderd módszer;</w:t>
            </w:r>
          </w:p>
          <w:p w14:paraId="69CFAD4F" w14:textId="2BFF009E" w:rsidR="00217BB3" w:rsidRPr="00D82419" w:rsidRDefault="00D9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belső mérési rendszer.</w:t>
            </w:r>
          </w:p>
        </w:tc>
      </w:tr>
      <w:tr w:rsidR="00157828" w:rsidRPr="00D82419" w14:paraId="64BE9BF4" w14:textId="77777777" w:rsidTr="763F32FC">
        <w:tc>
          <w:tcPr>
            <w:tcW w:w="1129" w:type="dxa"/>
          </w:tcPr>
          <w:p w14:paraId="20392DF4" w14:textId="5D20EF89" w:rsidR="00157828" w:rsidRPr="00D82419" w:rsidRDefault="0015782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5F35D420" w14:textId="3A4EC9E8" w:rsidR="00157828" w:rsidRPr="00D82419" w:rsidRDefault="00DA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Az illetékes hatóság által előírt követelmény (NII/EVE)</w:t>
            </w:r>
          </w:p>
          <w:p w14:paraId="389D5262" w14:textId="29DEC2AA" w:rsidR="00277E76" w:rsidRPr="00D82419" w:rsidRDefault="00BE7DD8" w:rsidP="003C575D">
            <w:pPr>
              <w:pStyle w:val="InstructionsText"/>
              <w:rPr>
                <w:rStyle w:val="InstructionsTabelleberschrift"/>
                <w:rFonts w:ascii="Times New Roman" w:hAnsi="Times New Roman"/>
                <w:b w:val="0"/>
                <w:bCs w:val="0"/>
                <w:noProof/>
                <w:sz w:val="24"/>
                <w:u w:val="none"/>
              </w:rPr>
            </w:pPr>
            <w:r>
              <w:rPr>
                <w:noProof/>
              </w:rPr>
              <w:t>A 2013/36/EU irányelv 84. cikkének (3) és (4) bekezdése. Amennyiben az intézmény által az EVE/NII kiszámítására alkalmazott módszer a sztenderd módszeren alapul, az intézmények feltüntetik, hogy ez az illetékes hatóság által előírt követelmény volt-e:</w:t>
            </w:r>
          </w:p>
          <w:p w14:paraId="066E4D86" w14:textId="61DECE1F" w:rsidR="00277E76"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igen;</w:t>
            </w:r>
          </w:p>
          <w:p w14:paraId="5A773C0F" w14:textId="3B965759" w:rsidR="00157828"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nem;</w:t>
            </w:r>
          </w:p>
          <w:p w14:paraId="4CA4AE46" w14:textId="11A1D43E" w:rsidR="00D92403" w:rsidRPr="00D82419" w:rsidRDefault="00D9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tárgytalan.</w:t>
            </w:r>
          </w:p>
        </w:tc>
      </w:tr>
      <w:tr w:rsidR="763F32FC" w:rsidRPr="00D82419" w14:paraId="59431DE9" w14:textId="77777777" w:rsidTr="763F32FC">
        <w:tc>
          <w:tcPr>
            <w:tcW w:w="1129" w:type="dxa"/>
          </w:tcPr>
          <w:p w14:paraId="6EBAC84A" w14:textId="1DE0F1C8" w:rsidR="52C6E47D" w:rsidRPr="00D82419" w:rsidRDefault="52C6E47D"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234AE587" w14:textId="56E42126" w:rsidR="00B20B37" w:rsidRPr="00D82419" w:rsidRDefault="00B20B3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Módszertan (NII)</w:t>
            </w:r>
          </w:p>
          <w:p w14:paraId="66032093" w14:textId="2556961F" w:rsidR="52C6E47D" w:rsidRPr="00D82419" w:rsidRDefault="52C6E47D" w:rsidP="003C575D">
            <w:pPr>
              <w:pStyle w:val="InstructionsText"/>
              <w:rPr>
                <w:noProof/>
              </w:rPr>
            </w:pPr>
            <w:r>
              <w:rPr>
                <w:noProof/>
              </w:rPr>
              <w:t>Az intézmények feltüntetik, hogy átárazódási rést, teljes újraértékelést vagy vegyes módszert vettek-e figyelembe az NII SOT számításhoz:</w:t>
            </w:r>
          </w:p>
          <w:p w14:paraId="452346E8" w14:textId="29667BFF" w:rsidR="52C6E47D" w:rsidRPr="00D82419" w:rsidRDefault="00C5351C" w:rsidP="003C575D">
            <w:pPr>
              <w:pStyle w:val="InstructionsText"/>
              <w:rPr>
                <w:noProof/>
              </w:rPr>
            </w:pPr>
            <w:r>
              <w:rPr>
                <w:noProof/>
              </w:rPr>
              <w:t>– átárazódási rés;</w:t>
            </w:r>
          </w:p>
          <w:p w14:paraId="194FA0B0" w14:textId="5BAFAD44" w:rsidR="52C6E47D" w:rsidRPr="00D82419" w:rsidRDefault="00D92403" w:rsidP="003C575D">
            <w:pPr>
              <w:pStyle w:val="InstructionsText"/>
              <w:rPr>
                <w:noProof/>
              </w:rPr>
            </w:pPr>
            <w:r>
              <w:rPr>
                <w:noProof/>
              </w:rPr>
              <w:t>– teljes újraértékelés;</w:t>
            </w:r>
          </w:p>
          <w:p w14:paraId="76F39DDB" w14:textId="245E723C" w:rsidR="52C6E47D" w:rsidRPr="00D82419" w:rsidRDefault="00D92403" w:rsidP="003C575D">
            <w:pPr>
              <w:pStyle w:val="InstructionsText"/>
              <w:rPr>
                <w:noProof/>
              </w:rPr>
            </w:pPr>
            <w:r>
              <w:rPr>
                <w:noProof/>
              </w:rPr>
              <w:t>– vegyes módszer;</w:t>
            </w:r>
          </w:p>
          <w:p w14:paraId="583AB55E" w14:textId="565127DC" w:rsidR="52C6E47D" w:rsidRPr="00D82419" w:rsidRDefault="00D92403" w:rsidP="003C575D">
            <w:pPr>
              <w:pStyle w:val="InstructionsText"/>
              <w:rPr>
                <w:noProof/>
              </w:rPr>
            </w:pPr>
            <w:r>
              <w:rPr>
                <w:noProof/>
              </w:rPr>
              <w:t>– egyéb.</w:t>
            </w:r>
          </w:p>
        </w:tc>
      </w:tr>
      <w:tr w:rsidR="763F32FC" w:rsidRPr="00D82419" w14:paraId="12B42F11" w14:textId="77777777" w:rsidTr="763F32FC">
        <w:tc>
          <w:tcPr>
            <w:tcW w:w="1129" w:type="dxa"/>
          </w:tcPr>
          <w:p w14:paraId="7E0CC1E5" w14:textId="53925547"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24E44913" w14:textId="77777777" w:rsidR="00B30873" w:rsidRPr="00D82419" w:rsidRDefault="4FB20FC0" w:rsidP="00430DF0">
            <w:pPr>
              <w:suppressAutoHyphens/>
              <w:rPr>
                <w:rStyle w:val="InstructionsTabelleberschrift"/>
                <w:rFonts w:ascii="Times New Roman" w:hAnsi="Times New Roman"/>
                <w:noProof/>
                <w:sz w:val="24"/>
              </w:rPr>
            </w:pPr>
            <w:r>
              <w:rPr>
                <w:rStyle w:val="InstructionsTabelleberschrift"/>
                <w:rFonts w:ascii="Times New Roman" w:hAnsi="Times New Roman"/>
                <w:noProof/>
                <w:sz w:val="24"/>
              </w:rPr>
              <w:t>Feltételes pénzáramlások (NII)</w:t>
            </w:r>
          </w:p>
          <w:p w14:paraId="58A3E268" w14:textId="05C9E6A0" w:rsidR="0C990F80" w:rsidRPr="00D82419" w:rsidRDefault="0C990F80" w:rsidP="003C575D">
            <w:pPr>
              <w:pStyle w:val="InstructionsText"/>
              <w:rPr>
                <w:noProof/>
              </w:rPr>
            </w:pPr>
            <w:r>
              <w:rPr>
                <w:noProof/>
              </w:rPr>
              <w:t>Az intézmények feltüntetik, hogy figyelembe vették-e a feltételes pénzáramlásokat az NII SOT számításhoz:</w:t>
            </w:r>
          </w:p>
          <w:p w14:paraId="45813F3E" w14:textId="2DA146EB" w:rsidR="0C990F80" w:rsidRPr="00D82419" w:rsidRDefault="00C5351C" w:rsidP="003C575D">
            <w:pPr>
              <w:pStyle w:val="InstructionsText"/>
              <w:rPr>
                <w:noProof/>
              </w:rPr>
            </w:pPr>
            <w:r>
              <w:rPr>
                <w:noProof/>
              </w:rPr>
              <w:t>– minden lényeges tétel;</w:t>
            </w:r>
          </w:p>
          <w:p w14:paraId="7EBCAFEA" w14:textId="1F2A6117" w:rsidR="0C990F80" w:rsidRPr="00D82419" w:rsidRDefault="00C5351C" w:rsidP="003C575D">
            <w:pPr>
              <w:pStyle w:val="InstructionsText"/>
              <w:rPr>
                <w:noProof/>
              </w:rPr>
            </w:pPr>
            <w:r>
              <w:rPr>
                <w:noProof/>
              </w:rPr>
              <w:t>– néhány lényeges tétel;</w:t>
            </w:r>
          </w:p>
          <w:p w14:paraId="544BB1F4" w14:textId="7754A876" w:rsidR="763F32FC" w:rsidRPr="00D82419" w:rsidRDefault="00C5351C" w:rsidP="003C575D">
            <w:pPr>
              <w:pStyle w:val="InstructionsText"/>
              <w:rPr>
                <w:noProof/>
              </w:rPr>
            </w:pPr>
            <w:r>
              <w:rPr>
                <w:noProof/>
              </w:rPr>
              <w:t>– nem vették figyelembe.</w:t>
            </w:r>
          </w:p>
        </w:tc>
      </w:tr>
      <w:tr w:rsidR="763F32FC" w:rsidRPr="00D82419" w14:paraId="3F42A7DA" w14:textId="77777777" w:rsidTr="763F32FC">
        <w:tc>
          <w:tcPr>
            <w:tcW w:w="1129" w:type="dxa"/>
          </w:tcPr>
          <w:p w14:paraId="0F383914" w14:textId="4C29E384"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09470A6C" w14:textId="33E9121B" w:rsidR="763F32FC" w:rsidRPr="00D82419" w:rsidRDefault="6B674FF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Opciós kockázat (NII)</w:t>
            </w:r>
          </w:p>
          <w:p w14:paraId="560A53E7" w14:textId="37DB8047" w:rsidR="3FE6FD8F" w:rsidRPr="00D82419" w:rsidRDefault="3FE6FD8F" w:rsidP="003C575D">
            <w:pPr>
              <w:pStyle w:val="InstructionsText"/>
              <w:rPr>
                <w:noProof/>
              </w:rPr>
            </w:pPr>
            <w:r>
              <w:rPr>
                <w:noProof/>
              </w:rPr>
              <w:t>Az intézmények feltüntetik, hogy figyelembe vették-e az opciós kockázatot az NII SOT számításhoz:</w:t>
            </w:r>
          </w:p>
          <w:p w14:paraId="08F6654E" w14:textId="7AD50439" w:rsidR="3FE6FD8F" w:rsidRPr="00D82419" w:rsidRDefault="00C5351C" w:rsidP="003C575D">
            <w:pPr>
              <w:pStyle w:val="InstructionsText"/>
              <w:rPr>
                <w:noProof/>
              </w:rPr>
            </w:pPr>
            <w:r>
              <w:rPr>
                <w:noProof/>
              </w:rPr>
              <w:t>– figyelembe vették;</w:t>
            </w:r>
          </w:p>
          <w:p w14:paraId="095F51A9" w14:textId="0D4F81E0" w:rsidR="3FE6FD8F" w:rsidRPr="00D82419" w:rsidRDefault="00C5351C" w:rsidP="003C575D">
            <w:pPr>
              <w:pStyle w:val="InstructionsText"/>
              <w:rPr>
                <w:noProof/>
              </w:rPr>
            </w:pPr>
            <w:r>
              <w:rPr>
                <w:noProof/>
              </w:rPr>
              <w:t>– nem vették figyelembe.</w:t>
            </w:r>
          </w:p>
        </w:tc>
      </w:tr>
      <w:tr w:rsidR="763F32FC" w:rsidRPr="00D82419" w14:paraId="2570BF8E" w14:textId="77777777" w:rsidTr="763F32FC">
        <w:tc>
          <w:tcPr>
            <w:tcW w:w="1129" w:type="dxa"/>
          </w:tcPr>
          <w:p w14:paraId="0BA99032" w14:textId="64B391ED"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330E5BA9" w14:textId="4DE8DEE2" w:rsidR="763F32FC" w:rsidRPr="00D82419" w:rsidRDefault="0207BC4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Báziskockázat (NII)</w:t>
            </w:r>
          </w:p>
          <w:p w14:paraId="17E07B43" w14:textId="590FF624" w:rsidR="070D7E34" w:rsidRPr="00D82419" w:rsidRDefault="070D7E34" w:rsidP="003C575D">
            <w:pPr>
              <w:pStyle w:val="InstructionsText"/>
              <w:rPr>
                <w:noProof/>
              </w:rPr>
            </w:pPr>
            <w:r>
              <w:rPr>
                <w:noProof/>
              </w:rPr>
              <w:t>Az intézmények feltüntetik, hogy figyelembe vették-e a báziskockázatot az NII SOT számításhoz:</w:t>
            </w:r>
          </w:p>
          <w:p w14:paraId="3EE4DDE1" w14:textId="5462B199" w:rsidR="070D7E34" w:rsidRPr="00D82419" w:rsidRDefault="00C5351C" w:rsidP="003C575D">
            <w:pPr>
              <w:pStyle w:val="InstructionsText"/>
              <w:rPr>
                <w:noProof/>
              </w:rPr>
            </w:pPr>
            <w:r>
              <w:rPr>
                <w:noProof/>
              </w:rPr>
              <w:t>– figyelembe vették;</w:t>
            </w:r>
          </w:p>
          <w:p w14:paraId="649CCC92" w14:textId="1CD50C04" w:rsidR="070D7E34" w:rsidRPr="00D82419" w:rsidRDefault="00C5351C" w:rsidP="003C575D">
            <w:pPr>
              <w:pStyle w:val="InstructionsText"/>
              <w:rPr>
                <w:noProof/>
              </w:rPr>
            </w:pPr>
            <w:r>
              <w:rPr>
                <w:noProof/>
              </w:rPr>
              <w:t>– nem vették figyelembe.</w:t>
            </w:r>
          </w:p>
        </w:tc>
      </w:tr>
      <w:tr w:rsidR="763F32FC" w:rsidRPr="00D82419" w14:paraId="6486DBA5" w14:textId="77777777" w:rsidTr="763F32FC">
        <w:tc>
          <w:tcPr>
            <w:tcW w:w="1129" w:type="dxa"/>
          </w:tcPr>
          <w:p w14:paraId="741CBF91" w14:textId="7C1EA4E8"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181923B9" w14:textId="08D89323" w:rsidR="003C5B8C" w:rsidRPr="00D82419" w:rsidRDefault="003C5B8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Módszertan (EVE)</w:t>
            </w:r>
          </w:p>
          <w:p w14:paraId="1BABA0D4" w14:textId="69441159" w:rsidR="763F32FC" w:rsidRPr="00D82419" w:rsidRDefault="763F32FC" w:rsidP="003C575D">
            <w:pPr>
              <w:pStyle w:val="InstructionsText"/>
              <w:rPr>
                <w:noProof/>
              </w:rPr>
            </w:pPr>
            <w:r>
              <w:rPr>
                <w:noProof/>
              </w:rPr>
              <w:t>Az intézmények feltüntetik, hogy átlagidő-rést vagy teljes újraértékelést vettek-e figyelembe az EVE SOT számításhoz:</w:t>
            </w:r>
          </w:p>
          <w:p w14:paraId="20A04372" w14:textId="735A6A35" w:rsidR="64A51879" w:rsidRPr="00D82419" w:rsidRDefault="008A192D" w:rsidP="003C575D">
            <w:pPr>
              <w:pStyle w:val="InstructionsText"/>
              <w:rPr>
                <w:noProof/>
              </w:rPr>
            </w:pPr>
            <w:r>
              <w:rPr>
                <w:noProof/>
              </w:rPr>
              <w:t>– átlagidő-rés;</w:t>
            </w:r>
          </w:p>
          <w:p w14:paraId="4C457BB6" w14:textId="047AC2EA" w:rsidR="763F32FC" w:rsidRPr="00D82419" w:rsidRDefault="008A192D" w:rsidP="003C575D">
            <w:pPr>
              <w:pStyle w:val="InstructionsText"/>
              <w:rPr>
                <w:noProof/>
              </w:rPr>
            </w:pPr>
            <w:r>
              <w:rPr>
                <w:noProof/>
              </w:rPr>
              <w:t>– teljes újraértékelés;</w:t>
            </w:r>
          </w:p>
          <w:p w14:paraId="4C151CBC" w14:textId="6EA95C27" w:rsidR="763F32FC" w:rsidRPr="00D82419" w:rsidRDefault="008A192D" w:rsidP="003C575D">
            <w:pPr>
              <w:pStyle w:val="InstructionsText"/>
              <w:rPr>
                <w:noProof/>
              </w:rPr>
            </w:pPr>
            <w:r>
              <w:rPr>
                <w:noProof/>
              </w:rPr>
              <w:t>– vegyes módszer;</w:t>
            </w:r>
          </w:p>
          <w:p w14:paraId="50BEB398" w14:textId="73E946D7" w:rsidR="763F32FC" w:rsidRPr="00D82419" w:rsidRDefault="00C5351C" w:rsidP="003C575D">
            <w:pPr>
              <w:pStyle w:val="InstructionsText"/>
              <w:rPr>
                <w:noProof/>
              </w:rPr>
            </w:pPr>
            <w:r>
              <w:rPr>
                <w:noProof/>
              </w:rPr>
              <w:t>– egyéb.</w:t>
            </w:r>
          </w:p>
        </w:tc>
      </w:tr>
      <w:tr w:rsidR="763F32FC" w:rsidRPr="00D82419" w14:paraId="00BE1C3A" w14:textId="77777777" w:rsidTr="763F32FC">
        <w:tc>
          <w:tcPr>
            <w:tcW w:w="1129" w:type="dxa"/>
          </w:tcPr>
          <w:p w14:paraId="574576BF" w14:textId="7B1007FE"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560D6E2E" w14:textId="4C948B63"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Feltételes pénzáramlások (EVE)</w:t>
            </w:r>
          </w:p>
          <w:p w14:paraId="5A1AF2A1" w14:textId="72412965" w:rsidR="763F32FC" w:rsidRPr="00D82419" w:rsidRDefault="763F32FC" w:rsidP="003C575D">
            <w:pPr>
              <w:pStyle w:val="InstructionsText"/>
              <w:rPr>
                <w:noProof/>
              </w:rPr>
            </w:pPr>
            <w:r>
              <w:rPr>
                <w:noProof/>
              </w:rPr>
              <w:t>Az intézmények feltüntetik, hogy figyelembe vették-e a feltételes pénzáramlásokat az EVE SOT számításhoz:</w:t>
            </w:r>
          </w:p>
          <w:p w14:paraId="78F8AD0B" w14:textId="48DDF0D1" w:rsidR="763F32FC" w:rsidRPr="00D82419" w:rsidRDefault="008A192D" w:rsidP="003C575D">
            <w:pPr>
              <w:pStyle w:val="InstructionsText"/>
              <w:rPr>
                <w:noProof/>
              </w:rPr>
            </w:pPr>
            <w:r>
              <w:rPr>
                <w:noProof/>
              </w:rPr>
              <w:t>– minden lényeges tétel;</w:t>
            </w:r>
          </w:p>
          <w:p w14:paraId="0B4611A5" w14:textId="056C55C6" w:rsidR="763F32FC" w:rsidRPr="00D82419" w:rsidRDefault="008A192D" w:rsidP="003C575D">
            <w:pPr>
              <w:pStyle w:val="InstructionsText"/>
              <w:rPr>
                <w:noProof/>
              </w:rPr>
            </w:pPr>
            <w:r>
              <w:rPr>
                <w:noProof/>
              </w:rPr>
              <w:t>– néhány lényeges tétel;</w:t>
            </w:r>
          </w:p>
          <w:p w14:paraId="71069CE3" w14:textId="0FA3F67C" w:rsidR="763F32FC" w:rsidRPr="00D82419" w:rsidRDefault="008A192D" w:rsidP="003C575D">
            <w:pPr>
              <w:pStyle w:val="InstructionsText"/>
              <w:rPr>
                <w:noProof/>
              </w:rPr>
            </w:pPr>
            <w:r>
              <w:rPr>
                <w:noProof/>
              </w:rPr>
              <w:t>– nem vették figyelembe.</w:t>
            </w:r>
          </w:p>
        </w:tc>
      </w:tr>
      <w:tr w:rsidR="763F32FC" w:rsidRPr="00D82419" w14:paraId="369003CD" w14:textId="77777777" w:rsidTr="763F32FC">
        <w:tc>
          <w:tcPr>
            <w:tcW w:w="1129" w:type="dxa"/>
          </w:tcPr>
          <w:p w14:paraId="606284D4" w14:textId="766B3122"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12CC20AA" w14:textId="79B4262F"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Opciós kockázat (EVE)</w:t>
            </w:r>
          </w:p>
          <w:p w14:paraId="2937ACD4" w14:textId="28234A39" w:rsidR="763F32FC" w:rsidRPr="00D82419" w:rsidRDefault="763F32FC" w:rsidP="003C575D">
            <w:pPr>
              <w:pStyle w:val="InstructionsText"/>
              <w:rPr>
                <w:noProof/>
              </w:rPr>
            </w:pPr>
            <w:r>
              <w:rPr>
                <w:noProof/>
              </w:rPr>
              <w:t>Az intézmények feltüntetik, hogy figyelembe vették-e az opciós kockázatot az EVE SOT számításhoz:</w:t>
            </w:r>
          </w:p>
          <w:p w14:paraId="548B2643" w14:textId="6CE33682" w:rsidR="763F32FC" w:rsidRPr="00D82419" w:rsidRDefault="008A192D" w:rsidP="003C575D">
            <w:pPr>
              <w:pStyle w:val="InstructionsText"/>
              <w:rPr>
                <w:noProof/>
              </w:rPr>
            </w:pPr>
            <w:r>
              <w:rPr>
                <w:noProof/>
              </w:rPr>
              <w:t>– figyelembe vették;</w:t>
            </w:r>
          </w:p>
          <w:p w14:paraId="587E9328" w14:textId="7793DF57" w:rsidR="763F32FC" w:rsidRPr="00D82419" w:rsidRDefault="008A192D" w:rsidP="003C575D">
            <w:pPr>
              <w:pStyle w:val="InstructionsText"/>
              <w:rPr>
                <w:noProof/>
              </w:rPr>
            </w:pPr>
            <w:r>
              <w:rPr>
                <w:noProof/>
              </w:rPr>
              <w:t>– nem vették figyelembe.</w:t>
            </w:r>
          </w:p>
        </w:tc>
      </w:tr>
      <w:tr w:rsidR="763F32FC" w:rsidRPr="00D82419" w14:paraId="2AFEFF08" w14:textId="77777777" w:rsidTr="763F32FC">
        <w:tc>
          <w:tcPr>
            <w:tcW w:w="1129" w:type="dxa"/>
          </w:tcPr>
          <w:p w14:paraId="72EDD5E2" w14:textId="74868C79"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7382AF45" w14:textId="0F29D562"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Báziskockázat (EVE)</w:t>
            </w:r>
          </w:p>
          <w:p w14:paraId="3B23B83A" w14:textId="63AF1635" w:rsidR="763F32FC" w:rsidRPr="00D82419" w:rsidRDefault="763F32FC" w:rsidP="00430DF0">
            <w:pPr>
              <w:suppressAutoHyphens/>
              <w:rPr>
                <w:rFonts w:ascii="Times New Roman" w:hAnsi="Times New Roman"/>
                <w:noProof/>
                <w:sz w:val="24"/>
              </w:rPr>
            </w:pPr>
            <w:r>
              <w:rPr>
                <w:rFonts w:ascii="Times New Roman" w:hAnsi="Times New Roman"/>
                <w:noProof/>
                <w:sz w:val="24"/>
              </w:rPr>
              <w:t>Az intézmények feltüntetik, hogy figyelembe vették-e a báziskockázatot az EVE SOT számításhoz:</w:t>
            </w:r>
          </w:p>
          <w:p w14:paraId="424B47DA" w14:textId="4EF3C831" w:rsidR="763F32FC" w:rsidRPr="00D82419" w:rsidRDefault="008A192D" w:rsidP="003C575D">
            <w:pPr>
              <w:pStyle w:val="InstructionsText"/>
              <w:rPr>
                <w:noProof/>
              </w:rPr>
            </w:pPr>
            <w:r>
              <w:rPr>
                <w:noProof/>
              </w:rPr>
              <w:t>– figyelembe vették;</w:t>
            </w:r>
          </w:p>
          <w:p w14:paraId="232998CD" w14:textId="22D7A9CF" w:rsidR="763F32FC" w:rsidRPr="00D82419" w:rsidRDefault="008A192D" w:rsidP="003C575D">
            <w:pPr>
              <w:pStyle w:val="InstructionsText"/>
              <w:rPr>
                <w:noProof/>
              </w:rPr>
            </w:pPr>
            <w:r>
              <w:rPr>
                <w:noProof/>
              </w:rPr>
              <w:t>– nem vették figyelembe.</w:t>
            </w:r>
          </w:p>
        </w:tc>
      </w:tr>
      <w:tr w:rsidR="00C12CCF" w:rsidRPr="00D82419" w14:paraId="2C78FC42" w14:textId="77777777" w:rsidTr="763F32FC">
        <w:tc>
          <w:tcPr>
            <w:tcW w:w="1129" w:type="dxa"/>
          </w:tcPr>
          <w:p w14:paraId="1930DDCD" w14:textId="4E12156D"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620" w:type="dxa"/>
          </w:tcPr>
          <w:p w14:paraId="6C36D5EE" w14:textId="2DE64B9A" w:rsidR="00E626D0" w:rsidRPr="00D82419" w:rsidRDefault="00E626D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Kereskedelmi árrés és a kamatfelár egyéb komponensei (EVE)</w:t>
            </w:r>
          </w:p>
          <w:p w14:paraId="0F471F3B" w14:textId="2B60EF94" w:rsidR="0041268F" w:rsidRPr="00D82419" w:rsidRDefault="0041268F" w:rsidP="003C575D">
            <w:pPr>
              <w:pStyle w:val="InstructionsText"/>
              <w:rPr>
                <w:rStyle w:val="InstructionsTabelleberschrift"/>
                <w:rFonts w:ascii="Times New Roman" w:hAnsi="Times New Roman"/>
                <w:b w:val="0"/>
                <w:bCs w:val="0"/>
                <w:noProof/>
                <w:sz w:val="24"/>
                <w:u w:val="none"/>
              </w:rPr>
            </w:pPr>
            <w:r>
              <w:rPr>
                <w:noProof/>
              </w:rPr>
              <w:t>Az intézmények feltüntetik, hogy figyelembe vették-e a kereskedelmi árrést és a kamatfelár egyéb komponenseit az EVE SOT kockázati mérték kiszámításához:</w:t>
            </w:r>
          </w:p>
          <w:p w14:paraId="5D3C585E" w14:textId="469A2FE2"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figyelembe vették;</w:t>
            </w:r>
          </w:p>
          <w:p w14:paraId="02B9C9A2" w14:textId="242BC818"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nem vették figyelembe.</w:t>
            </w:r>
          </w:p>
        </w:tc>
      </w:tr>
      <w:tr w:rsidR="00C12CCF" w:rsidRPr="00D82419" w14:paraId="1A79783A" w14:textId="77777777" w:rsidTr="763F32FC">
        <w:tc>
          <w:tcPr>
            <w:tcW w:w="1129" w:type="dxa"/>
          </w:tcPr>
          <w:p w14:paraId="3872307E" w14:textId="1AFD8382"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620" w:type="dxa"/>
          </w:tcPr>
          <w:p w14:paraId="4C3231D0" w14:textId="78D6A9F2" w:rsidR="0003330C" w:rsidRPr="00D82419" w:rsidRDefault="0003330C"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Előtörlésztési díjak</w:t>
            </w:r>
          </w:p>
          <w:p w14:paraId="7BD499BC" w14:textId="2D316A30"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Az intézmények feltüntetik, hogy figyelembe vették-e a hitelelőtörlesztéssel kapcsolatos előtörlesztési díjakat az EVE/NII SOT számításokhoz:</w:t>
            </w:r>
          </w:p>
          <w:p w14:paraId="3739DD8A" w14:textId="3EA81623"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figyelembe vették;</w:t>
            </w:r>
          </w:p>
          <w:p w14:paraId="0FBB2B51" w14:textId="51661940"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nem vették figyelembe.</w:t>
            </w:r>
          </w:p>
        </w:tc>
      </w:tr>
      <w:tr w:rsidR="00C12CCF" w:rsidRPr="00D82419" w14:paraId="264BB766" w14:textId="77777777" w:rsidTr="763F32FC">
        <w:tc>
          <w:tcPr>
            <w:tcW w:w="1129" w:type="dxa"/>
          </w:tcPr>
          <w:p w14:paraId="41060C95" w14:textId="56216889"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466E2A73" w14:textId="199EAD3A" w:rsidR="00772D0F" w:rsidRPr="00D82419" w:rsidRDefault="00772D0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Nyugdíjkötelezettségek/nyugdíjprogramok eszközei</w:t>
            </w:r>
          </w:p>
          <w:p w14:paraId="32BE6413" w14:textId="75B316BE"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Az intézmények feltüntetik, hogy figyelembe vették-e a nyugdíjkötelezettségeket és a nyugdíjprogramok eszközeit az EVE/NII SOT számításokhoz:</w:t>
            </w:r>
          </w:p>
          <w:p w14:paraId="09F4D480" w14:textId="54E3929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figyelembe vették;</w:t>
            </w:r>
          </w:p>
          <w:p w14:paraId="201D7CDC" w14:textId="397BFC6E"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nem vették figyelembe.</w:t>
            </w:r>
          </w:p>
        </w:tc>
      </w:tr>
      <w:tr w:rsidR="00C12CCF" w:rsidRPr="00D82419" w14:paraId="6F804664" w14:textId="77777777" w:rsidTr="763F32FC">
        <w:tc>
          <w:tcPr>
            <w:tcW w:w="1129" w:type="dxa"/>
          </w:tcPr>
          <w:p w14:paraId="32EBC373" w14:textId="4B5706BC"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CFDFC69" w14:textId="7953F0F0" w:rsidR="00841CA8" w:rsidRPr="00D82419" w:rsidRDefault="00841CA8" w:rsidP="00430DF0">
            <w:pPr>
              <w:suppressAutoHyphens/>
              <w:spacing w:before="0"/>
              <w:rPr>
                <w:rFonts w:ascii="Times New Roman" w:hAnsi="Times New Roman"/>
                <w:b/>
                <w:bCs/>
                <w:noProof/>
                <w:sz w:val="24"/>
                <w:u w:val="single"/>
              </w:rPr>
            </w:pPr>
            <w:r>
              <w:rPr>
                <w:rFonts w:ascii="Times New Roman" w:hAnsi="Times New Roman"/>
                <w:b/>
                <w:noProof/>
                <w:sz w:val="24"/>
                <w:u w:val="single"/>
              </w:rPr>
              <w:t>Nemteljesítő kitettségek</w:t>
            </w:r>
          </w:p>
          <w:p w14:paraId="34535DAF" w14:textId="675EC6A3" w:rsidR="00E138D5" w:rsidRPr="00D82419" w:rsidRDefault="00E138D5" w:rsidP="003C575D">
            <w:pPr>
              <w:pStyle w:val="InstructionsText"/>
              <w:rPr>
                <w:rStyle w:val="InstructionsTabelleberschrift"/>
                <w:rFonts w:ascii="Times New Roman" w:hAnsi="Times New Roman"/>
                <w:b w:val="0"/>
                <w:noProof/>
                <w:sz w:val="24"/>
                <w:u w:val="none"/>
              </w:rPr>
            </w:pPr>
            <w:r>
              <w:rPr>
                <w:noProof/>
              </w:rPr>
              <w:t>Az intézmények feltüntetik, hogy figyelembe vették-e a nemteljesítő kitettségeket az EVE/NII SOT számításokhoz:</w:t>
            </w:r>
          </w:p>
          <w:p w14:paraId="2AE7E06F" w14:textId="648FE3AC"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figyelembe vették;</w:t>
            </w:r>
          </w:p>
          <w:p w14:paraId="19B5D385" w14:textId="7F1E23E8"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nem vették figyelembe.</w:t>
            </w:r>
          </w:p>
        </w:tc>
      </w:tr>
      <w:tr w:rsidR="00C12CCF" w:rsidRPr="00D82419" w14:paraId="5659F8D1" w14:textId="77777777" w:rsidTr="763F32FC">
        <w:tc>
          <w:tcPr>
            <w:tcW w:w="1129" w:type="dxa"/>
          </w:tcPr>
          <w:p w14:paraId="2719698F" w14:textId="6F4EA384"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620" w:type="dxa"/>
          </w:tcPr>
          <w:p w14:paraId="7E20A73B" w14:textId="244F3208" w:rsidR="00C53E68" w:rsidRPr="00D82419" w:rsidRDefault="00C53E68" w:rsidP="00430DF0">
            <w:pPr>
              <w:suppressAutoHyphens/>
              <w:spacing w:before="0"/>
              <w:rPr>
                <w:rFonts w:ascii="Times New Roman" w:hAnsi="Times New Roman"/>
                <w:b/>
                <w:bCs/>
                <w:noProof/>
                <w:sz w:val="24"/>
                <w:u w:val="single"/>
              </w:rPr>
            </w:pPr>
            <w:r>
              <w:rPr>
                <w:rFonts w:ascii="Times New Roman" w:hAnsi="Times New Roman"/>
                <w:b/>
                <w:noProof/>
                <w:sz w:val="24"/>
                <w:u w:val="single"/>
              </w:rPr>
              <w:t>Rögzített kamatozású hitelnyújtási elkötelezettségek</w:t>
            </w:r>
          </w:p>
          <w:p w14:paraId="1EC6CE29" w14:textId="727C7BB8" w:rsidR="00E138D5" w:rsidRPr="00D82419" w:rsidRDefault="00E138D5" w:rsidP="003C575D">
            <w:pPr>
              <w:pStyle w:val="InstructionsText"/>
              <w:rPr>
                <w:rStyle w:val="InstructionsTabelleberschrift"/>
                <w:rFonts w:ascii="Times New Roman" w:hAnsi="Times New Roman"/>
                <w:b w:val="0"/>
                <w:noProof/>
                <w:sz w:val="24"/>
                <w:u w:val="none"/>
              </w:rPr>
            </w:pPr>
            <w:r>
              <w:rPr>
                <w:noProof/>
              </w:rPr>
              <w:t>Az intézmények feltüntetik, hogy figyelembe vették-e a rögzített kamatozású hitelnyújtási elkötelezettségeket az EVE/NII SOT számításokhoz:</w:t>
            </w:r>
          </w:p>
          <w:p w14:paraId="786511A5" w14:textId="42548719"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figyelembe vették;</w:t>
            </w:r>
          </w:p>
          <w:p w14:paraId="14F356EA" w14:textId="3FCFA1D3"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nem vették figyelembe.</w:t>
            </w:r>
          </w:p>
        </w:tc>
      </w:tr>
      <w:tr w:rsidR="00C12CCF" w:rsidRPr="00D82419" w14:paraId="5199326E" w14:textId="77777777" w:rsidTr="763F32FC">
        <w:tc>
          <w:tcPr>
            <w:tcW w:w="1129" w:type="dxa"/>
          </w:tcPr>
          <w:p w14:paraId="2D43B355" w14:textId="2E114DE7"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620" w:type="dxa"/>
          </w:tcPr>
          <w:p w14:paraId="5110BF04" w14:textId="0D3F26B7" w:rsidR="004567EB" w:rsidRPr="00D82419" w:rsidRDefault="004567EB" w:rsidP="00430DF0">
            <w:pPr>
              <w:suppressAutoHyphens/>
              <w:spacing w:before="0"/>
              <w:rPr>
                <w:rFonts w:ascii="Times New Roman" w:hAnsi="Times New Roman"/>
                <w:b/>
                <w:bCs/>
                <w:noProof/>
                <w:sz w:val="24"/>
                <w:u w:val="single"/>
              </w:rPr>
            </w:pPr>
            <w:r>
              <w:rPr>
                <w:rFonts w:ascii="Times New Roman" w:hAnsi="Times New Roman"/>
                <w:b/>
                <w:noProof/>
                <w:sz w:val="24"/>
                <w:u w:val="single"/>
              </w:rPr>
              <w:t>Előtörlesztés kockázata</w:t>
            </w:r>
          </w:p>
          <w:p w14:paraId="42D03395" w14:textId="2CA3360F"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Az intézmények feltüntetik, hogy figyelembe vették-e az előtörlesztés kockázatát az EVE/NII SOT számításokhoz:</w:t>
            </w:r>
          </w:p>
          <w:p w14:paraId="049C644C" w14:textId="1B7FEA08"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figyelembe vették;</w:t>
            </w:r>
          </w:p>
          <w:p w14:paraId="19439AE0" w14:textId="1541E83C"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nem vették figyelembe.</w:t>
            </w:r>
          </w:p>
        </w:tc>
      </w:tr>
      <w:tr w:rsidR="00C12CCF" w:rsidRPr="00D82419" w14:paraId="4C1D220B" w14:textId="77777777" w:rsidTr="763F32FC">
        <w:tc>
          <w:tcPr>
            <w:tcW w:w="1129" w:type="dxa"/>
          </w:tcPr>
          <w:p w14:paraId="7D30827E" w14:textId="2E38F1CA"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620" w:type="dxa"/>
          </w:tcPr>
          <w:p w14:paraId="24FB3F5E" w14:textId="4ABCEABC" w:rsidR="006043A5" w:rsidRPr="00D82419" w:rsidRDefault="006043A5" w:rsidP="00430DF0">
            <w:pPr>
              <w:suppressAutoHyphens/>
              <w:spacing w:before="0"/>
              <w:rPr>
                <w:rFonts w:ascii="Times New Roman" w:hAnsi="Times New Roman"/>
                <w:b/>
                <w:bCs/>
                <w:noProof/>
                <w:sz w:val="24"/>
                <w:u w:val="single"/>
              </w:rPr>
            </w:pPr>
            <w:r>
              <w:rPr>
                <w:rFonts w:ascii="Times New Roman" w:hAnsi="Times New Roman"/>
                <w:b/>
                <w:noProof/>
                <w:sz w:val="24"/>
                <w:u w:val="single"/>
              </w:rPr>
              <w:t>A lejárat előtti feltörés kockázata</w:t>
            </w:r>
          </w:p>
          <w:p w14:paraId="67868C1F" w14:textId="0C5DACCD" w:rsidR="008478F8" w:rsidRPr="00D82419" w:rsidRDefault="008478F8" w:rsidP="003C575D">
            <w:pPr>
              <w:pStyle w:val="InstructionsText"/>
              <w:rPr>
                <w:noProof/>
              </w:rPr>
            </w:pPr>
            <w:r>
              <w:rPr>
                <w:noProof/>
              </w:rPr>
              <w:t>Az intézmények feltüntetik, hogy figyelembe vették-e a lejárat előtti feltörés kockázatát az EVE/NII SOT számításokhoz:</w:t>
            </w:r>
          </w:p>
          <w:p w14:paraId="17E090F3" w14:textId="1C770989"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figyelembe vették;</w:t>
            </w:r>
          </w:p>
          <w:p w14:paraId="490B287D" w14:textId="1DB5880A"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nem vették figyelembe.</w:t>
            </w:r>
          </w:p>
        </w:tc>
      </w:tr>
      <w:tr w:rsidR="00343C28" w:rsidRPr="00D82419" w14:paraId="0AD7CFF7" w14:textId="77777777" w:rsidTr="763F32FC">
        <w:tc>
          <w:tcPr>
            <w:tcW w:w="1129" w:type="dxa"/>
          </w:tcPr>
          <w:p w14:paraId="51E55F8D" w14:textId="284EAFCF" w:rsidR="00343C28" w:rsidRPr="00D82419" w:rsidRDefault="00343C2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Pr>
          <w:p w14:paraId="0ED1DA2C" w14:textId="26163666" w:rsidR="00343C28" w:rsidRPr="00D82419" w:rsidRDefault="007A5DA9" w:rsidP="00430DF0">
            <w:pPr>
              <w:suppressAutoHyphens/>
              <w:spacing w:before="0"/>
              <w:rPr>
                <w:rFonts w:ascii="Times New Roman" w:hAnsi="Times New Roman"/>
                <w:b/>
                <w:bCs/>
                <w:noProof/>
                <w:sz w:val="24"/>
                <w:u w:val="single"/>
              </w:rPr>
            </w:pPr>
            <w:r>
              <w:rPr>
                <w:rFonts w:ascii="Times New Roman" w:hAnsi="Times New Roman"/>
                <w:b/>
                <w:noProof/>
                <w:sz w:val="24"/>
                <w:u w:val="single"/>
              </w:rPr>
              <w:t>Az NMD-modellezésben alkalmazott általános módszer</w:t>
            </w:r>
          </w:p>
          <w:p w14:paraId="77B7CA20" w14:textId="4C86073C" w:rsidR="008857EC" w:rsidRPr="00D82419" w:rsidRDefault="007A5DA9" w:rsidP="00430DF0">
            <w:pPr>
              <w:suppressAutoHyphens/>
              <w:spacing w:before="0"/>
              <w:rPr>
                <w:rFonts w:ascii="Times New Roman" w:hAnsi="Times New Roman"/>
                <w:noProof/>
                <w:sz w:val="24"/>
              </w:rPr>
            </w:pPr>
            <w:r>
              <w:rPr>
                <w:rFonts w:ascii="Times New Roman" w:hAnsi="Times New Roman"/>
                <w:noProof/>
                <w:sz w:val="24"/>
              </w:rPr>
              <w:t>Az intézmények feltüntetik a lejárat nélküli betétek viselkedési alapú átárazódási időpontjának meghatározásához használt módszert:</w:t>
            </w:r>
          </w:p>
          <w:p w14:paraId="63BED8EC" w14:textId="5830B51C" w:rsidR="008857EC" w:rsidRPr="00CB270D" w:rsidRDefault="008A192D" w:rsidP="00430DF0">
            <w:pPr>
              <w:suppressAutoHyphens/>
              <w:spacing w:before="0"/>
              <w:rPr>
                <w:rFonts w:ascii="Times New Roman" w:hAnsi="Times New Roman"/>
                <w:noProof/>
                <w:sz w:val="24"/>
              </w:rPr>
            </w:pPr>
            <w:r>
              <w:rPr>
                <w:rFonts w:ascii="Times New Roman" w:hAnsi="Times New Roman"/>
                <w:noProof/>
                <w:sz w:val="24"/>
              </w:rPr>
              <w:t>– idősormodell (Bázel/EBH stabil/instabil/PTR megközelítés);</w:t>
            </w:r>
          </w:p>
          <w:p w14:paraId="332AB750" w14:textId="5FA0C5F7"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replikáló portfólió;</w:t>
            </w:r>
          </w:p>
          <w:p w14:paraId="76311097" w14:textId="28D2D982"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gazdasági modellek (a vagyon lejárat nélküli betétekbe vagy alternatív eszközökbe fektetésének modellezése különböző piaci forgatókönyvek/gazdasági tényezők alapján).</w:t>
            </w:r>
          </w:p>
          <w:p w14:paraId="080A6466" w14:textId="3BEF2199"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szakértői megítélés;</w:t>
            </w:r>
          </w:p>
          <w:p w14:paraId="678F986F" w14:textId="5FE8CE76" w:rsidR="007A5DA9" w:rsidRPr="00D82419" w:rsidRDefault="008A192D" w:rsidP="00430DF0">
            <w:pPr>
              <w:suppressAutoHyphens/>
              <w:spacing w:before="0"/>
              <w:rPr>
                <w:rFonts w:ascii="Times New Roman" w:hAnsi="Times New Roman"/>
                <w:noProof/>
                <w:sz w:val="24"/>
              </w:rPr>
            </w:pPr>
            <w:r>
              <w:rPr>
                <w:rFonts w:ascii="Times New Roman" w:hAnsi="Times New Roman"/>
                <w:noProof/>
                <w:sz w:val="24"/>
              </w:rPr>
              <w:t>– egyéb.</w:t>
            </w:r>
          </w:p>
        </w:tc>
      </w:tr>
      <w:tr w:rsidR="00B3451B" w:rsidRPr="00D82419" w14:paraId="46309D17" w14:textId="77777777" w:rsidTr="763F32FC">
        <w:tc>
          <w:tcPr>
            <w:tcW w:w="1129" w:type="dxa"/>
          </w:tcPr>
          <w:p w14:paraId="178C8037" w14:textId="03375BE6"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620" w:type="dxa"/>
          </w:tcPr>
          <w:p w14:paraId="11B9CE0D" w14:textId="543F5F75" w:rsidR="00B3451B" w:rsidRPr="00D82419" w:rsidRDefault="00B3451B" w:rsidP="00430DF0">
            <w:pPr>
              <w:suppressAutoHyphens/>
              <w:spacing w:before="0"/>
              <w:rPr>
                <w:rFonts w:ascii="Times New Roman" w:hAnsi="Times New Roman"/>
                <w:noProof/>
                <w:sz w:val="24"/>
                <w:u w:val="single"/>
              </w:rPr>
            </w:pPr>
            <w:r>
              <w:rPr>
                <w:rFonts w:ascii="Times New Roman" w:hAnsi="Times New Roman"/>
                <w:b/>
                <w:noProof/>
                <w:sz w:val="24"/>
                <w:u w:val="single"/>
              </w:rPr>
              <w:t>A lejárat nélküli betétek alapkomponensei (core) állományának azonosítása</w:t>
            </w:r>
            <w:r>
              <w:rPr>
                <w:rFonts w:ascii="Times New Roman" w:hAnsi="Times New Roman"/>
                <w:noProof/>
                <w:sz w:val="24"/>
                <w:u w:val="single"/>
              </w:rPr>
              <w:t xml:space="preserve"> </w:t>
            </w:r>
          </w:p>
          <w:p w14:paraId="7B68425D" w14:textId="08EBCB9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Az intézmények feltüntetik, hogy nehézséget okoz-e számukra a lejárat nélküli betétek kamatláb-forgatókönyvtől független alapkomponens-állományának (core-állományának) azonosítása:</w:t>
            </w:r>
          </w:p>
          <w:p w14:paraId="405B5D9F" w14:textId="0145639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igen;</w:t>
            </w:r>
          </w:p>
          <w:p w14:paraId="0C236ED0" w14:textId="5E09EF0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nem;</w:t>
            </w:r>
          </w:p>
          <w:p w14:paraId="041F774E" w14:textId="3E236CE2" w:rsidR="0096266F"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tárgytalan.</w:t>
            </w:r>
          </w:p>
        </w:tc>
      </w:tr>
      <w:tr w:rsidR="00B3451B" w:rsidRPr="00D82419" w14:paraId="0AC7A101" w14:textId="77777777" w:rsidTr="763F32FC">
        <w:tc>
          <w:tcPr>
            <w:tcW w:w="1129" w:type="dxa"/>
          </w:tcPr>
          <w:p w14:paraId="52074635" w14:textId="572A5CB1"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Pr>
          <w:p w14:paraId="0444DE63" w14:textId="743A7A9C"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A lejárat nélküli betétek állományának azonosításához használt releváns tényezők</w:t>
            </w:r>
          </w:p>
          <w:p w14:paraId="7C1D4AB3" w14:textId="4CD079F0"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noProof/>
                <w:sz w:val="24"/>
              </w:rPr>
              <w:t>Az intézmények megnevezik az alapkomponens-állományok (core-állományok) azonosításához használt releváns tényező(ke)t.</w:t>
            </w:r>
          </w:p>
        </w:tc>
      </w:tr>
      <w:tr w:rsidR="00B3451B" w:rsidRPr="00D82419" w14:paraId="7E64C4CA" w14:textId="77777777" w:rsidTr="763F32FC">
        <w:tc>
          <w:tcPr>
            <w:tcW w:w="1129" w:type="dxa"/>
          </w:tcPr>
          <w:p w14:paraId="48F8F1A7" w14:textId="27235DE7"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0210</w:t>
            </w:r>
          </w:p>
        </w:tc>
        <w:tc>
          <w:tcPr>
            <w:tcW w:w="7620" w:type="dxa"/>
          </w:tcPr>
          <w:p w14:paraId="1E9D3972" w14:textId="5F50B09E"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A lejárat nélküli betétek alapkomponensének (core) állománya (az alapkomponens állományainak az átárazódási tábla idősávjaiba sorolása)</w:t>
            </w:r>
          </w:p>
          <w:p w14:paraId="26774FB2" w14:textId="0373CBF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Az intézmények feltüntetik, hogyan sorolják be a lejárat nélküli betétek alapkomponens-állományait (core-állományait):</w:t>
            </w:r>
          </w:p>
          <w:p w14:paraId="5AED92C8" w14:textId="6CBFEEAA" w:rsidR="00EE6F88" w:rsidRPr="00D82419" w:rsidRDefault="008A192D" w:rsidP="00430DF0">
            <w:pPr>
              <w:suppressAutoHyphens/>
              <w:spacing w:before="0"/>
              <w:rPr>
                <w:rFonts w:ascii="Times New Roman" w:hAnsi="Times New Roman"/>
                <w:b/>
                <w:bCs/>
                <w:noProof/>
                <w:sz w:val="24"/>
                <w:u w:val="single"/>
              </w:rPr>
            </w:pPr>
            <w:r>
              <w:rPr>
                <w:rFonts w:ascii="Times New Roman" w:hAnsi="Times New Roman"/>
                <w:noProof/>
                <w:sz w:val="24"/>
              </w:rPr>
              <w:t>– az összes alapkomponens (core) állományt egyetlen átárazási idősávba sorolják;</w:t>
            </w:r>
          </w:p>
          <w:p w14:paraId="115B80B1" w14:textId="1A33D4D7" w:rsidR="00B3451B" w:rsidRPr="00D82419" w:rsidRDefault="008A192D" w:rsidP="00430DF0">
            <w:pPr>
              <w:suppressAutoHyphens/>
              <w:spacing w:before="0"/>
              <w:rPr>
                <w:rFonts w:ascii="Times New Roman" w:hAnsi="Times New Roman"/>
                <w:b/>
                <w:noProof/>
                <w:u w:val="single"/>
              </w:rPr>
            </w:pPr>
            <w:r>
              <w:rPr>
                <w:rFonts w:ascii="Times New Roman" w:hAnsi="Times New Roman"/>
                <w:noProof/>
                <w:sz w:val="24"/>
              </w:rPr>
              <w:t>– az alapkomponens (core) állományokat különböző átárazódási idősávokba sorolják.</w:t>
            </w:r>
          </w:p>
        </w:tc>
      </w:tr>
      <w:tr w:rsidR="00B3451B" w:rsidRPr="00D82419" w14:paraId="793FE408" w14:textId="77777777" w:rsidTr="763F32FC">
        <w:tc>
          <w:tcPr>
            <w:tcW w:w="1129" w:type="dxa"/>
          </w:tcPr>
          <w:p w14:paraId="09DC633C" w14:textId="6BD27C76"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620" w:type="dxa"/>
          </w:tcPr>
          <w:p w14:paraId="1BD693EB" w14:textId="146148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A lejárat nélküli betétek esetében az IRRBB-kockázatkezelés kapcsán alkalmazott 5 éves átárazódási korlát</w:t>
            </w:r>
          </w:p>
          <w:p w14:paraId="188A8A54" w14:textId="00BAF5AA" w:rsidR="00B3451B" w:rsidRPr="00D82419" w:rsidRDefault="00EE6F88" w:rsidP="00430DF0">
            <w:pPr>
              <w:suppressAutoHyphens/>
              <w:spacing w:before="0"/>
              <w:rPr>
                <w:rFonts w:ascii="Times New Roman" w:hAnsi="Times New Roman"/>
                <w:noProof/>
                <w:sz w:val="24"/>
              </w:rPr>
            </w:pPr>
            <w:r>
              <w:rPr>
                <w:rFonts w:ascii="Times New Roman" w:hAnsi="Times New Roman"/>
                <w:noProof/>
                <w:sz w:val="24"/>
              </w:rPr>
              <w:t>Az intézmények feltüntetik, hogy észleltek-e nem szándékolt hatást az IRRBB kockázatkezelési és fedezeti stratégiák vonatkozásában az IRRBB IMS szerinti 5 éves korlát miatt:</w:t>
            </w:r>
          </w:p>
          <w:p w14:paraId="6B092AAE" w14:textId="5178F0EE"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igen;</w:t>
            </w:r>
          </w:p>
          <w:p w14:paraId="59B74C58" w14:textId="27BFB67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nem;</w:t>
            </w:r>
          </w:p>
          <w:p w14:paraId="66D7A0C7" w14:textId="00C81BE6"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tárgytalan.</w:t>
            </w:r>
          </w:p>
        </w:tc>
      </w:tr>
      <w:tr w:rsidR="00B3451B" w:rsidRPr="00D82419" w14:paraId="000798D2" w14:textId="77777777" w:rsidTr="763F32FC">
        <w:tc>
          <w:tcPr>
            <w:tcW w:w="1129" w:type="dxa"/>
          </w:tcPr>
          <w:p w14:paraId="231BFCC5" w14:textId="1A03F6AA"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620" w:type="dxa"/>
          </w:tcPr>
          <w:p w14:paraId="7C54CEED" w14:textId="777777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A lejárat nélküli betétek átárazódására vonatkozó 5 éves korlát alóli kivételek</w:t>
            </w:r>
          </w:p>
          <w:p w14:paraId="2B9A88F2" w14:textId="75C94D59" w:rsidR="00B3451B" w:rsidRPr="00D82419" w:rsidRDefault="00CD2D7A" w:rsidP="00430DF0">
            <w:pPr>
              <w:suppressAutoHyphens/>
              <w:spacing w:before="0"/>
              <w:rPr>
                <w:rFonts w:ascii="Times New Roman" w:hAnsi="Times New Roman"/>
                <w:noProof/>
                <w:sz w:val="24"/>
              </w:rPr>
            </w:pPr>
            <w:r>
              <w:rPr>
                <w:rFonts w:ascii="Times New Roman" w:hAnsi="Times New Roman"/>
                <w:noProof/>
                <w:sz w:val="24"/>
              </w:rPr>
              <w:t>Az intézmények feltüntetik, hogy alkalmazzák-e az átárazódásra vonatkozó 5 éves korlát alóli kivételeket a banki könyvi kamatlábkockázatnak kitett bármely termékük esetében:</w:t>
            </w:r>
          </w:p>
          <w:p w14:paraId="1A4C2114" w14:textId="17E2F52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igen;</w:t>
            </w:r>
          </w:p>
          <w:p w14:paraId="759DBDD3" w14:textId="78E3FEFB"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nem;</w:t>
            </w:r>
          </w:p>
          <w:p w14:paraId="03BCE0C5" w14:textId="40E33CC3"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tárgytalan.</w:t>
            </w:r>
          </w:p>
        </w:tc>
      </w:tr>
      <w:tr w:rsidR="00B3451B" w:rsidRPr="00D82419" w14:paraId="640FEDD7" w14:textId="77777777" w:rsidTr="763F32FC">
        <w:tc>
          <w:tcPr>
            <w:tcW w:w="1129" w:type="dxa"/>
          </w:tcPr>
          <w:p w14:paraId="3E7E6D0E" w14:textId="5FCC1AC1"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0240</w:t>
            </w:r>
          </w:p>
        </w:tc>
        <w:tc>
          <w:tcPr>
            <w:tcW w:w="7620" w:type="dxa"/>
          </w:tcPr>
          <w:p w14:paraId="7177E094" w14:textId="1488F142"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A pénzügyi ügyfelek operatív, lejárat nélküli betéteinek modellezése</w:t>
            </w:r>
          </w:p>
          <w:p w14:paraId="016808F6" w14:textId="045DC9E3" w:rsidR="00CD2D7A" w:rsidRPr="00D82419" w:rsidRDefault="00CD2D7A" w:rsidP="00430DF0">
            <w:pPr>
              <w:suppressAutoHyphens/>
              <w:spacing w:before="0"/>
              <w:rPr>
                <w:rFonts w:ascii="Times New Roman" w:hAnsi="Times New Roman"/>
                <w:noProof/>
                <w:sz w:val="24"/>
              </w:rPr>
            </w:pPr>
            <w:r>
              <w:rPr>
                <w:rFonts w:ascii="Times New Roman" w:hAnsi="Times New Roman"/>
                <w:noProof/>
                <w:sz w:val="24"/>
              </w:rPr>
              <w:t>Az intézmények feltüntetik, hogy a pénzügyi ügyfelek azon lejárat nélküli betétei, amelyek az (EU) 2015/61 felhatalmazáson alapuló rendelet 27. cikke (1) bekezdése a) pontja szerinti operatív betéteknek minősülnek, viselkedési modellezés alá esnek-e:</w:t>
            </w:r>
          </w:p>
          <w:p w14:paraId="66706F43" w14:textId="1D16C3C3"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igen;</w:t>
            </w:r>
          </w:p>
          <w:p w14:paraId="026950A9" w14:textId="0D60CF7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nem;</w:t>
            </w:r>
          </w:p>
          <w:p w14:paraId="132A97D8" w14:textId="56037725" w:rsidR="00B3451B"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tárgytalan.</w:t>
            </w:r>
          </w:p>
        </w:tc>
      </w:tr>
      <w:tr w:rsidR="00B3451B" w:rsidRPr="00D82419" w14:paraId="73931E62" w14:textId="77777777" w:rsidTr="763F32FC">
        <w:tc>
          <w:tcPr>
            <w:tcW w:w="1129" w:type="dxa"/>
          </w:tcPr>
          <w:p w14:paraId="0BA17B70" w14:textId="732BF3CF"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0250</w:t>
            </w:r>
          </w:p>
        </w:tc>
        <w:tc>
          <w:tcPr>
            <w:tcW w:w="7620" w:type="dxa"/>
          </w:tcPr>
          <w:p w14:paraId="16F3972E" w14:textId="68C6CD62"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A mérleg szerkezetének kamatlábak okozta változásai</w:t>
            </w:r>
          </w:p>
          <w:p w14:paraId="1B01EB73" w14:textId="74E2D0AA"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Az intézmények feltüntetik a mérlegük szerkezetében a legutóbbi IRRBB-adatszolgáltatás óta elvégzett változtatásokat:</w:t>
            </w:r>
          </w:p>
          <w:p w14:paraId="55D34979" w14:textId="0FB61509"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az eszközök/kötelezettségek közötti átlagidő-rés csökkentése az eszközök átlagos hátralévő futamidejének csökkentése révén;</w:t>
            </w:r>
          </w:p>
          <w:p w14:paraId="694D4FF0" w14:textId="722499D5"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az eszközök/kötelezettségek közötti átlagidő-rés csökkentése a kötelezettségek átlagos hátralévő futamidejének növelése révén;</w:t>
            </w:r>
          </w:p>
          <w:p w14:paraId="374D8D69" w14:textId="70919FAA"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az eszközök/kötelezettségek közötti átlagidő-rés csökkentése az eszközök átlagos hátralévő futamidejének csökkentése és a kötelezettségek átlagos hátralévő futamidejének növelése révén;</w:t>
            </w:r>
          </w:p>
          <w:p w14:paraId="57D61254" w14:textId="33EEA5AC" w:rsidR="00B3451B" w:rsidRPr="00D82419" w:rsidRDefault="00694CA0" w:rsidP="00430DF0">
            <w:pPr>
              <w:suppressAutoHyphens/>
              <w:spacing w:before="0"/>
              <w:rPr>
                <w:rFonts w:ascii="Times New Roman" w:hAnsi="Times New Roman"/>
                <w:noProof/>
                <w:sz w:val="24"/>
              </w:rPr>
            </w:pPr>
            <w:r>
              <w:rPr>
                <w:rFonts w:ascii="Times New Roman" w:hAnsi="Times New Roman"/>
                <w:noProof/>
                <w:sz w:val="24"/>
              </w:rPr>
              <w:t>– az átlagidő-rés növelése az eszközök átlagos hátralévő futamidejének növelése révén;</w:t>
            </w:r>
          </w:p>
          <w:p w14:paraId="6BEBC9EB" w14:textId="65569957"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az átlagidő-rés növelése a kötelezettségek átlagos hátralévő futamidejének csökkentése révén;</w:t>
            </w:r>
          </w:p>
          <w:p w14:paraId="4D0929BD" w14:textId="464580FC" w:rsidR="008B3953"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az átlagidő-rés növelése az eszközök átlagos hátralévő futamidejének növelése és a kötelezettségek átlagos hátralévő futamidejének csökkentése révén.</w:t>
            </w:r>
          </w:p>
        </w:tc>
      </w:tr>
      <w:tr w:rsidR="00B3451B" w:rsidRPr="00D82419" w14:paraId="218435CB" w14:textId="77777777" w:rsidTr="763F32FC">
        <w:tc>
          <w:tcPr>
            <w:tcW w:w="1129" w:type="dxa"/>
          </w:tcPr>
          <w:p w14:paraId="6E0196ED" w14:textId="6D16DEF7"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620" w:type="dxa"/>
          </w:tcPr>
          <w:p w14:paraId="4FFDB841" w14:textId="71F7EA4E"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IRRBB mérséklési és fedezeti stratégiák (EVE)</w:t>
            </w:r>
          </w:p>
          <w:p w14:paraId="6516422C" w14:textId="3150FCEC"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 xml:space="preserve">Az intézmények feltüntetik, hogy várhatók-e változtatások az IRRBB mérséklési és fedezeti stratégiáik tekintetében az (EU) .../... </w:t>
            </w:r>
            <w:r>
              <w:rPr>
                <w:rStyle w:val="InstructionsTabelleberschrift"/>
                <w:rFonts w:ascii="Times New Roman" w:hAnsi="Times New Roman"/>
                <w:b w:val="0"/>
                <w:noProof/>
                <w:sz w:val="24"/>
                <w:u w:val="none"/>
              </w:rPr>
              <w:t>felhatalmazáson alapuló rendeletben (Kiadóhivatal: kérjük, illesszék be</w:t>
            </w:r>
            <w:r>
              <w:rPr>
                <w:rFonts w:ascii="Times New Roman" w:hAnsi="Times New Roman"/>
                <w:noProof/>
                <w:sz w:val="24"/>
              </w:rPr>
              <w:t xml:space="preserve"> a felügyeleti kiugróérték-tesztre vonatkozó szabályozástechnikai standardra való hivatkozást) ismertetett, EVE vonatkozású forgatókönyvek esetében:</w:t>
            </w:r>
          </w:p>
          <w:p w14:paraId="0F1BB673" w14:textId="5D6449C7"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párhuzamos sokkszerű emelkedés;</w:t>
            </w:r>
          </w:p>
          <w:p w14:paraId="353314E6" w14:textId="2682B715"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párhuzamos sokkszerű csökkenés;</w:t>
            </w:r>
          </w:p>
          <w:p w14:paraId="03B57B19" w14:textId="13660339"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meredekség sokkszerű növekedése;</w:t>
            </w:r>
          </w:p>
          <w:p w14:paraId="644022C1" w14:textId="60744793"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meredekség sokkszerű csökkenése;</w:t>
            </w:r>
          </w:p>
          <w:p w14:paraId="0B823A8E" w14:textId="31BECE1C"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rövid kamatlábak sokkszerű emelkedése;</w:t>
            </w:r>
          </w:p>
          <w:p w14:paraId="4E07EFB8" w14:textId="7FF5D306" w:rsidR="00F466A7"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rövid kamatlábak sokkszerű csökkenése.</w:t>
            </w:r>
          </w:p>
        </w:tc>
      </w:tr>
      <w:tr w:rsidR="00F466A7" w:rsidRPr="00D82419" w14:paraId="532A6946" w14:textId="77777777" w:rsidTr="763F32FC">
        <w:tc>
          <w:tcPr>
            <w:tcW w:w="1129" w:type="dxa"/>
          </w:tcPr>
          <w:p w14:paraId="3EAC5854" w14:textId="247A16AB" w:rsidR="00F466A7" w:rsidRPr="00D82419" w:rsidRDefault="00F466A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620" w:type="dxa"/>
          </w:tcPr>
          <w:p w14:paraId="423E008D" w14:textId="4EE4B888" w:rsidR="00F466A7" w:rsidRPr="00D82419" w:rsidRDefault="00F466A7" w:rsidP="00430DF0">
            <w:pPr>
              <w:suppressAutoHyphens/>
              <w:spacing w:before="0"/>
              <w:rPr>
                <w:rFonts w:ascii="Times New Roman" w:hAnsi="Times New Roman"/>
                <w:b/>
                <w:bCs/>
                <w:noProof/>
                <w:sz w:val="24"/>
                <w:u w:val="single"/>
              </w:rPr>
            </w:pPr>
            <w:r>
              <w:rPr>
                <w:rFonts w:ascii="Times New Roman" w:hAnsi="Times New Roman"/>
                <w:b/>
                <w:noProof/>
                <w:sz w:val="24"/>
                <w:u w:val="single"/>
              </w:rPr>
              <w:t>IRRBB mérséklési és fedezeti stratégiák (NII)</w:t>
            </w:r>
          </w:p>
          <w:p w14:paraId="5FA7EE52" w14:textId="73479DF8" w:rsidR="00F466A7" w:rsidRPr="00D82419" w:rsidRDefault="00F466A7" w:rsidP="00430DF0">
            <w:pPr>
              <w:suppressAutoHyphens/>
              <w:spacing w:before="0"/>
              <w:rPr>
                <w:rFonts w:ascii="Times New Roman" w:hAnsi="Times New Roman"/>
                <w:noProof/>
                <w:sz w:val="24"/>
              </w:rPr>
            </w:pPr>
            <w:r>
              <w:rPr>
                <w:rFonts w:ascii="Times New Roman" w:hAnsi="Times New Roman"/>
                <w:noProof/>
                <w:sz w:val="24"/>
              </w:rPr>
              <w:t xml:space="preserve">Az intézmények feltüntetik, hogy várhatók-e változtatások az IRRBB mérséklési és fedezeti stratégiáik tekintetében az (EU) .../... </w:t>
            </w:r>
            <w:r>
              <w:rPr>
                <w:rStyle w:val="InstructionsTabelleberschrift"/>
                <w:rFonts w:ascii="Times New Roman" w:hAnsi="Times New Roman"/>
                <w:b w:val="0"/>
                <w:noProof/>
                <w:sz w:val="24"/>
                <w:u w:val="none"/>
              </w:rPr>
              <w:t>felhatalmazáson alapuló rendeletben (Kiadóhivatal: kérjük, illesszék be</w:t>
            </w:r>
            <w:r>
              <w:rPr>
                <w:rFonts w:ascii="Times New Roman" w:hAnsi="Times New Roman"/>
                <w:noProof/>
                <w:sz w:val="24"/>
              </w:rPr>
              <w:t xml:space="preserve"> a felügyeleti kiugróérték-tesztre vonatkozó szabályozástechnikai standardra való hivatkozást) ismertetett, NII vonatkozású forgatókönyvek esetében:</w:t>
            </w:r>
          </w:p>
          <w:p w14:paraId="2683288C" w14:textId="3EC59A21"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párhuzamos sokkszerű emelkedés;</w:t>
            </w:r>
          </w:p>
          <w:p w14:paraId="74C56115" w14:textId="3DB6C0E6"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párhuzamos sokkszerű csökkenés.</w:t>
            </w:r>
          </w:p>
        </w:tc>
      </w:tr>
      <w:tr w:rsidR="00831F72" w:rsidRPr="00D82419" w14:paraId="0AE292E1" w14:textId="77777777" w:rsidTr="763F32FC">
        <w:tc>
          <w:tcPr>
            <w:tcW w:w="1129" w:type="dxa"/>
          </w:tcPr>
          <w:p w14:paraId="37E0D940" w14:textId="089C8BDE"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0280</w:t>
            </w:r>
          </w:p>
        </w:tc>
        <w:tc>
          <w:tcPr>
            <w:tcW w:w="7620" w:type="dxa"/>
          </w:tcPr>
          <w:p w14:paraId="78AE75FF" w14:textId="22A0F2CD"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Az NII kockázati mértékre vonatkozó SOT az IMS módszer szerint – Lakossági lekötött betétek PTR-je</w:t>
            </w:r>
          </w:p>
          <w:p w14:paraId="41C954DD" w14:textId="3C6BF9DA" w:rsidR="00831F72" w:rsidRPr="00D82419" w:rsidRDefault="00831F72" w:rsidP="00430DF0">
            <w:pPr>
              <w:suppressAutoHyphens/>
              <w:spacing w:before="0"/>
              <w:rPr>
                <w:rFonts w:ascii="Times New Roman" w:hAnsi="Times New Roman"/>
                <w:noProof/>
                <w:sz w:val="24"/>
              </w:rPr>
            </w:pPr>
            <w:r>
              <w:rPr>
                <w:rFonts w:ascii="Times New Roman" w:hAnsi="Times New Roman"/>
                <w:noProof/>
                <w:sz w:val="24"/>
              </w:rPr>
              <w:t>Az intézmények feltüntetik, hogy teljes mértékben (100 %-ban) továbbadják-e a piaci kamatlábváltozásokat a lejáratuk után átárazódó lakossági lekötött betéteknek a +200 bázispont mértékű párhuzamos elmozdulást feltételező kamatlábforgatókönyv mellett:</w:t>
            </w:r>
          </w:p>
          <w:p w14:paraId="59547F70" w14:textId="27131A63"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igen;</w:t>
            </w:r>
          </w:p>
          <w:p w14:paraId="19A9CCCC" w14:textId="22E811D9"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nem;</w:t>
            </w:r>
          </w:p>
          <w:p w14:paraId="47FB330F" w14:textId="3C01690E" w:rsidR="00831F72"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tárgytalan.</w:t>
            </w:r>
          </w:p>
        </w:tc>
      </w:tr>
      <w:tr w:rsidR="00831F72" w:rsidRPr="00D82419" w14:paraId="0CE0F7C9" w14:textId="77777777" w:rsidTr="763F32FC">
        <w:tc>
          <w:tcPr>
            <w:tcW w:w="1129" w:type="dxa"/>
          </w:tcPr>
          <w:p w14:paraId="6B5FECF5" w14:textId="6F8280B6"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w:t>
            </w:r>
          </w:p>
        </w:tc>
        <w:tc>
          <w:tcPr>
            <w:tcW w:w="7620" w:type="dxa"/>
          </w:tcPr>
          <w:p w14:paraId="7C90BC0D" w14:textId="6C766439"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Az NII kockázati mértékre vonatkozó SOT az IMS módszer szerint – Rögzített kamatozású lakossági hitelek PTR-je</w:t>
            </w:r>
          </w:p>
          <w:p w14:paraId="2EAF0973" w14:textId="155CEFD9" w:rsidR="002A07FE" w:rsidRPr="00D82419" w:rsidRDefault="002A07FE" w:rsidP="00430DF0">
            <w:pPr>
              <w:suppressAutoHyphens/>
              <w:spacing w:before="0"/>
              <w:rPr>
                <w:rFonts w:ascii="Times New Roman" w:hAnsi="Times New Roman"/>
                <w:noProof/>
                <w:sz w:val="24"/>
              </w:rPr>
            </w:pPr>
            <w:r>
              <w:rPr>
                <w:rFonts w:ascii="Times New Roman" w:hAnsi="Times New Roman"/>
                <w:noProof/>
                <w:sz w:val="24"/>
              </w:rPr>
              <w:t>Az intézmények feltüntetik, hogy teljes mértékben (100 %-ban) továbbadják-e a piaci kamatlábváltozásokat a lejáratuk után átárazódó, rögzített kamatozású lakossági hiteleknek a +200 bázispont mértékű párhuzamos elmozdulást feltételező kamatlábforgatókönyv mellett:</w:t>
            </w:r>
          </w:p>
          <w:p w14:paraId="71DBAFC7" w14:textId="1D2812E8"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igen;</w:t>
            </w:r>
          </w:p>
          <w:p w14:paraId="13F351DE" w14:textId="256A1970"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nem;</w:t>
            </w:r>
          </w:p>
          <w:p w14:paraId="5A1258AE" w14:textId="725E9847" w:rsidR="00831F72"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tárgytalan.</w:t>
            </w:r>
          </w:p>
        </w:tc>
      </w:tr>
      <w:tr w:rsidR="00D23E14" w:rsidRPr="00D82419" w14:paraId="3B602049" w14:textId="77777777" w:rsidTr="763F32FC">
        <w:tc>
          <w:tcPr>
            <w:tcW w:w="1129" w:type="dxa"/>
          </w:tcPr>
          <w:p w14:paraId="7B5D50F2" w14:textId="748605D2" w:rsidR="00D23E14" w:rsidRPr="00D82419" w:rsidRDefault="00D23E1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w:t>
            </w:r>
          </w:p>
        </w:tc>
        <w:tc>
          <w:tcPr>
            <w:tcW w:w="7620" w:type="dxa"/>
          </w:tcPr>
          <w:p w14:paraId="7FF4CAFC" w14:textId="77777777" w:rsidR="00D23E14" w:rsidRPr="00D82419" w:rsidRDefault="00DE58BB" w:rsidP="00430DF0">
            <w:pPr>
              <w:suppressAutoHyphens/>
              <w:spacing w:before="0"/>
              <w:rPr>
                <w:rFonts w:ascii="Times New Roman" w:hAnsi="Times New Roman"/>
                <w:b/>
                <w:bCs/>
                <w:noProof/>
                <w:sz w:val="24"/>
                <w:u w:val="single"/>
              </w:rPr>
            </w:pPr>
            <w:r>
              <w:rPr>
                <w:rFonts w:ascii="Times New Roman" w:hAnsi="Times New Roman"/>
                <w:b/>
                <w:noProof/>
                <w:sz w:val="24"/>
                <w:u w:val="single"/>
              </w:rPr>
              <w:t>Báziskockázat</w:t>
            </w:r>
          </w:p>
          <w:p w14:paraId="6E9C9674" w14:textId="296A0E88" w:rsidR="00DE58BB" w:rsidRPr="00D82419" w:rsidRDefault="00DE58BB" w:rsidP="00430DF0">
            <w:pPr>
              <w:suppressAutoHyphens/>
              <w:spacing w:before="0"/>
              <w:rPr>
                <w:rFonts w:ascii="Times New Roman" w:hAnsi="Times New Roman"/>
                <w:noProof/>
                <w:sz w:val="24"/>
              </w:rPr>
            </w:pPr>
            <w:r>
              <w:rPr>
                <w:rFonts w:ascii="Times New Roman" w:hAnsi="Times New Roman"/>
                <w:noProof/>
                <w:sz w:val="24"/>
              </w:rPr>
              <w:t>Az intézmények feltüntetik, hogy a báziskockázatot lényegesnek tekintik-e:</w:t>
            </w:r>
          </w:p>
          <w:p w14:paraId="1D01F903" w14:textId="3204DDA5"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igen;</w:t>
            </w:r>
          </w:p>
          <w:p w14:paraId="6FBAAE4C" w14:textId="7FB7D489"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nem;</w:t>
            </w:r>
          </w:p>
          <w:p w14:paraId="45F74D5F" w14:textId="4A61848E" w:rsidR="00DE58BB"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tárgytalan.</w:t>
            </w:r>
          </w:p>
        </w:tc>
      </w:tr>
      <w:tr w:rsidR="00D23E14" w:rsidRPr="00D82419" w14:paraId="5E0618BC" w14:textId="77777777" w:rsidTr="763F32FC">
        <w:tc>
          <w:tcPr>
            <w:tcW w:w="1129" w:type="dxa"/>
          </w:tcPr>
          <w:p w14:paraId="6D05D7E7" w14:textId="143F0C8F" w:rsidR="00D23E14" w:rsidRPr="00D82419" w:rsidRDefault="00D23E1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620" w:type="dxa"/>
          </w:tcPr>
          <w:p w14:paraId="7065C1C7" w14:textId="65786C0A" w:rsidR="00213C4A" w:rsidRPr="00D82419" w:rsidRDefault="00213C4A" w:rsidP="00430DF0">
            <w:pPr>
              <w:suppressAutoHyphens/>
              <w:spacing w:before="0"/>
              <w:rPr>
                <w:rFonts w:ascii="Times New Roman" w:hAnsi="Times New Roman"/>
                <w:b/>
                <w:bCs/>
                <w:noProof/>
                <w:sz w:val="24"/>
                <w:u w:val="single"/>
              </w:rPr>
            </w:pPr>
            <w:r>
              <w:rPr>
                <w:rFonts w:ascii="Times New Roman" w:hAnsi="Times New Roman"/>
                <w:b/>
                <w:noProof/>
                <w:sz w:val="24"/>
                <w:u w:val="single"/>
              </w:rPr>
              <w:t>Banki könyvi hitelkockázati felár (CSRBB)</w:t>
            </w:r>
          </w:p>
          <w:p w14:paraId="2E5544DE" w14:textId="674E5533" w:rsidR="0000410C" w:rsidRPr="00D82419" w:rsidRDefault="0000410C" w:rsidP="00430DF0">
            <w:pPr>
              <w:suppressAutoHyphens/>
              <w:spacing w:before="0"/>
              <w:rPr>
                <w:rFonts w:ascii="Times New Roman" w:hAnsi="Times New Roman"/>
                <w:noProof/>
                <w:sz w:val="24"/>
              </w:rPr>
            </w:pPr>
            <w:r>
              <w:rPr>
                <w:rFonts w:ascii="Times New Roman" w:hAnsi="Times New Roman"/>
                <w:noProof/>
                <w:sz w:val="24"/>
              </w:rPr>
              <w:t>Az intézmények feltüntetik, hogy az NII és az EVE mérőszámokhoz figyelembe vettek-e a 2013/36/EU irányelv 84. cikkének (2) bekezdésében említett, a CSRBB-nek kitett más instrumentumok körét:</w:t>
            </w:r>
          </w:p>
          <w:p w14:paraId="50023EB7" w14:textId="43277B64"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igen;</w:t>
            </w:r>
          </w:p>
          <w:p w14:paraId="012CE02E" w14:textId="5CB57A73"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nem;</w:t>
            </w:r>
          </w:p>
          <w:p w14:paraId="1438B1B5" w14:textId="392786CA" w:rsidR="0000410C"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tárgytalan.</w:t>
            </w:r>
          </w:p>
        </w:tc>
      </w:tr>
      <w:tr w:rsidR="00831F72" w:rsidRPr="00D82419" w14:paraId="1BDCDE63" w14:textId="77777777" w:rsidTr="763F32FC">
        <w:tc>
          <w:tcPr>
            <w:tcW w:w="1129" w:type="dxa"/>
          </w:tcPr>
          <w:p w14:paraId="6C3568C5" w14:textId="15541633"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0320</w:t>
            </w:r>
          </w:p>
        </w:tc>
        <w:tc>
          <w:tcPr>
            <w:tcW w:w="7620" w:type="dxa"/>
          </w:tcPr>
          <w:p w14:paraId="58014394" w14:textId="64BC41CF"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Kockázatmentes hozamgörbe (EVE SOT diszkontálás)</w:t>
            </w:r>
          </w:p>
          <w:p w14:paraId="438A61E7" w14:textId="6492A071" w:rsidR="00831F72" w:rsidRPr="00D82419" w:rsidRDefault="00831F72" w:rsidP="003C575D">
            <w:pPr>
              <w:pStyle w:val="InstructionsText"/>
              <w:rPr>
                <w:noProof/>
              </w:rPr>
            </w:pPr>
            <w:r>
              <w:rPr>
                <w:noProof/>
              </w:rPr>
              <w:t xml:space="preserve">Az intézmények megadják a diszkontáláshoz használt, </w:t>
            </w:r>
            <w:r>
              <w:rPr>
                <w:rStyle w:val="InstructionsTabelleberschrift"/>
                <w:rFonts w:ascii="Times New Roman" w:hAnsi="Times New Roman"/>
                <w:b w:val="0"/>
                <w:noProof/>
                <w:sz w:val="24"/>
                <w:u w:val="none"/>
              </w:rPr>
              <w:t>az (EU) .../... felhatalmazáson alapuló rendelet (Kiadóhivatal: kérjük, illesszék be a felügyeleti kiugróérték-tesztre vonatkozó szabályozástechnikai standardra való hivatkozást)</w:t>
            </w:r>
            <w:r>
              <w:rPr>
                <w:noProof/>
              </w:rPr>
              <w:t xml:space="preserve"> 3. cikkének (10) bekezdése szerinti kockázatmentes hozamgörbét:</w:t>
            </w:r>
          </w:p>
          <w:p w14:paraId="1C07B050" w14:textId="7C4E7230"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bankközi fedezett;</w:t>
            </w:r>
          </w:p>
          <w:p w14:paraId="452A2398" w14:textId="03AAC715"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bankközi fedezetlen, egynapos;</w:t>
            </w:r>
          </w:p>
          <w:p w14:paraId="7CC5BD45" w14:textId="3AB07E78"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bankközi fedezetlen, lejárattal rendelkező;</w:t>
            </w:r>
          </w:p>
          <w:p w14:paraId="46113D77" w14:textId="6DAA15EF"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államkötvény-görbe;</w:t>
            </w:r>
          </w:p>
          <w:p w14:paraId="01B618A9" w14:textId="0CE7A167"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termékspecifikus görbe;</w:t>
            </w:r>
          </w:p>
          <w:p w14:paraId="5E68E7CE" w14:textId="62989819" w:rsidR="00F41077"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intézményspecifikus görbe;</w:t>
            </w:r>
          </w:p>
          <w:p w14:paraId="3CE0EC7A" w14:textId="130FD618"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egyéb.</w:t>
            </w:r>
          </w:p>
        </w:tc>
      </w:tr>
      <w:tr w:rsidR="00831F72" w:rsidRPr="00D82419" w14:paraId="0D032E3B" w14:textId="77777777" w:rsidTr="763F32FC">
        <w:tc>
          <w:tcPr>
            <w:tcW w:w="1129" w:type="dxa"/>
          </w:tcPr>
          <w:p w14:paraId="1D5E6175" w14:textId="55E46B5B"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0330</w:t>
            </w:r>
          </w:p>
        </w:tc>
        <w:tc>
          <w:tcPr>
            <w:tcW w:w="7620" w:type="dxa"/>
          </w:tcPr>
          <w:p w14:paraId="39EBEB8B" w14:textId="06081CF4"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Kockázatmentes hozamgörbe (az EVE belső kockázati mértékei)</w:t>
            </w:r>
          </w:p>
          <w:p w14:paraId="17F84D95" w14:textId="01917E40" w:rsidR="00831F72" w:rsidRPr="00D82419" w:rsidRDefault="00831F72" w:rsidP="003C575D">
            <w:pPr>
              <w:pStyle w:val="InstructionsText"/>
              <w:rPr>
                <w:noProof/>
              </w:rPr>
            </w:pPr>
            <w:r>
              <w:rPr>
                <w:noProof/>
              </w:rPr>
              <w:t>Az intézmények megadják azt a kockázatmentes hozamgörbét, amelyet belső célokra használtak az EVE belső kockázati mértékének diszkontálására:</w:t>
            </w:r>
          </w:p>
          <w:p w14:paraId="2BC51B81" w14:textId="2F8C5CA1"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bankközi fedezett;</w:t>
            </w:r>
          </w:p>
          <w:p w14:paraId="43BCFD8D" w14:textId="0A26DFD6"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bankközi fedezetlen, egynapos;</w:t>
            </w:r>
          </w:p>
          <w:p w14:paraId="4457F452" w14:textId="2951F9F4"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bankközi fedezetlen, lejárattal rendelkező;</w:t>
            </w:r>
          </w:p>
          <w:p w14:paraId="7D44CF6B" w14:textId="0A5A38E6"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államkötvény-görbe;</w:t>
            </w:r>
          </w:p>
          <w:p w14:paraId="53D62FB6" w14:textId="0266FD10"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termékspecifikus görbe;</w:t>
            </w:r>
          </w:p>
          <w:p w14:paraId="5AF12C10" w14:textId="59D8FA9C"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intézményspecifikus görbe;</w:t>
            </w:r>
          </w:p>
          <w:p w14:paraId="48CD74B5" w14:textId="74132250"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egyéb.</w:t>
            </w:r>
          </w:p>
        </w:tc>
      </w:tr>
      <w:tr w:rsidR="00831F72" w:rsidRPr="00D82419" w14:paraId="6BE31A4F" w14:textId="77777777" w:rsidTr="763F32FC">
        <w:tc>
          <w:tcPr>
            <w:tcW w:w="1129" w:type="dxa"/>
          </w:tcPr>
          <w:p w14:paraId="6879B5FB" w14:textId="36F7712E" w:rsidR="00831F72" w:rsidRPr="00D82419" w:rsidDel="00DD0AD0"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0340</w:t>
            </w:r>
          </w:p>
        </w:tc>
        <w:tc>
          <w:tcPr>
            <w:tcW w:w="7620" w:type="dxa"/>
          </w:tcPr>
          <w:p w14:paraId="1E8B815B" w14:textId="51D83114"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A lényeges feltételezések változása (EVE)</w:t>
            </w:r>
          </w:p>
          <w:p w14:paraId="68EE4B49" w14:textId="6B95A076" w:rsidR="00831F72" w:rsidRPr="00D82419" w:rsidRDefault="00831F72" w:rsidP="003C575D">
            <w:pPr>
              <w:pStyle w:val="InstructionsText"/>
              <w:rPr>
                <w:rStyle w:val="InstructionsTabelleberschrift"/>
                <w:rFonts w:ascii="Times New Roman" w:hAnsi="Times New Roman"/>
                <w:b w:val="0"/>
                <w:bCs w:val="0"/>
                <w:noProof/>
                <w:sz w:val="24"/>
                <w:u w:val="none"/>
              </w:rPr>
            </w:pPr>
            <w:r>
              <w:rPr>
                <w:noProof/>
              </w:rPr>
              <w:t>Az intézmények feltüntetik, hogy a legutóbbi adatszolgáltatás óta voltak-e változások a felügyeleti sztenderd sokk EVE SOT mérőszámainak számításához alapul szolgáló lényeges feltételezésekben:</w:t>
            </w:r>
          </w:p>
          <w:p w14:paraId="08DC01FF" w14:textId="1D1849A1"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igen;</w:t>
            </w:r>
          </w:p>
          <w:p w14:paraId="7B454EAD" w14:textId="47CD74FD"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nem;</w:t>
            </w:r>
          </w:p>
          <w:p w14:paraId="2047570C" w14:textId="300DDD09"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tárgytalan.</w:t>
            </w:r>
          </w:p>
        </w:tc>
      </w:tr>
      <w:tr w:rsidR="00831F72" w:rsidRPr="00D82419" w14:paraId="0E990BEC" w14:textId="77777777" w:rsidTr="763F32FC">
        <w:tc>
          <w:tcPr>
            <w:tcW w:w="1129" w:type="dxa"/>
          </w:tcPr>
          <w:p w14:paraId="63FEF734" w14:textId="4DBDB37F" w:rsidR="00831F72" w:rsidRPr="00D82419" w:rsidDel="00DD0AD0"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620" w:type="dxa"/>
          </w:tcPr>
          <w:p w14:paraId="64533084" w14:textId="39B1B770"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A lényeges feltételezések változása (NII)</w:t>
            </w:r>
          </w:p>
          <w:p w14:paraId="6679202D" w14:textId="25358A34" w:rsidR="00831F72" w:rsidRPr="00D82419" w:rsidRDefault="00831F72" w:rsidP="003C575D">
            <w:pPr>
              <w:pStyle w:val="InstructionsText"/>
              <w:rPr>
                <w:noProof/>
              </w:rPr>
            </w:pPr>
            <w:r>
              <w:rPr>
                <w:noProof/>
              </w:rPr>
              <w:t>Az intézmények feltüntetik, hogy a legutóbbi adatszolgáltatás óta voltak-e változások a felügyeleti sztenderd sokk NII SOT mérőszámainak számításához alapul szolgáló lényeges feltételezésekben:</w:t>
            </w:r>
          </w:p>
          <w:p w14:paraId="7DAFE939" w14:textId="1EE574EB"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igen;</w:t>
            </w:r>
          </w:p>
          <w:p w14:paraId="60932CE9" w14:textId="63C31C42"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nem;</w:t>
            </w:r>
          </w:p>
          <w:p w14:paraId="475E7AC7" w14:textId="4F1FF55B"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tárgytalan.</w:t>
            </w:r>
          </w:p>
        </w:tc>
      </w:tr>
      <w:tr w:rsidR="00831F72" w:rsidRPr="00D82419" w14:paraId="77B4BB6E" w14:textId="77777777" w:rsidTr="763F32FC">
        <w:tc>
          <w:tcPr>
            <w:tcW w:w="1129" w:type="dxa"/>
          </w:tcPr>
          <w:p w14:paraId="3103DAA3" w14:textId="019BFB6A"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0360</w:t>
            </w:r>
          </w:p>
        </w:tc>
        <w:tc>
          <w:tcPr>
            <w:tcW w:w="7620" w:type="dxa"/>
          </w:tcPr>
          <w:p w14:paraId="5248A7BA" w14:textId="71D70433"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Sokk utáni kamatpadló (NII/EVE)</w:t>
            </w:r>
          </w:p>
          <w:p w14:paraId="48577CD6" w14:textId="63FB4571" w:rsidR="00831F72" w:rsidRPr="00D82419" w:rsidRDefault="00126BE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Az (EU) .../... felhatalmazáson alapuló rendelet (Kiadóhivatal: kérjük, illesszék be a felügyeleti kiugróérték-tesztre való hivatkozást) 3. cikkének (7) bekezdésével összhangban az intézmények feltüntetik</w:t>
            </w:r>
            <w:r>
              <w:rPr>
                <w:noProof/>
              </w:rPr>
              <w:t>, hogy a lejárattól függő, sokk utáni kamatpadló kötelező-e a megadott devizanemek bármelyikére vonatkozóan:</w:t>
            </w:r>
          </w:p>
          <w:p w14:paraId="15C5A4DA" w14:textId="39A3E0B6"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igen;</w:t>
            </w:r>
          </w:p>
          <w:p w14:paraId="608E34DA" w14:textId="5EF065BB"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nem;</w:t>
            </w:r>
          </w:p>
          <w:p w14:paraId="7BE76904" w14:textId="477B98F1" w:rsidR="00694CA0"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tárgytalan.</w:t>
            </w:r>
          </w:p>
        </w:tc>
      </w:tr>
    </w:tbl>
    <w:p w14:paraId="789CC7EA" w14:textId="77777777" w:rsidR="0074085C" w:rsidRPr="00D82419" w:rsidRDefault="0074085C" w:rsidP="00430DF0">
      <w:pPr>
        <w:suppressAutoHyphens/>
        <w:spacing w:after="0"/>
        <w:rPr>
          <w:rStyle w:val="InstructionsTabelleText"/>
          <w:rFonts w:ascii="Times New Roman" w:hAnsi="Times New Roman"/>
          <w:noProof/>
          <w:sz w:val="24"/>
        </w:rPr>
      </w:pPr>
    </w:p>
    <w:p w14:paraId="1A268D09" w14:textId="510344B9" w:rsidR="0071714D" w:rsidRPr="0071714D" w:rsidRDefault="0071714D" w:rsidP="00D3693A">
      <w:pPr>
        <w:suppressAutoHyphens/>
        <w:spacing w:after="0"/>
        <w:ind w:left="705" w:hanging="345"/>
        <w:rPr>
          <w:rStyle w:val="InstructionsTabelleText"/>
          <w:rFonts w:ascii="Times New Roman" w:hAnsi="Times New Roman"/>
          <w:noProof/>
          <w:szCs w:val="20"/>
        </w:rPr>
      </w:pPr>
    </w:p>
    <w:sectPr w:rsidR="0071714D" w:rsidRPr="0071714D" w:rsidSect="00B51F42">
      <w:headerReference w:type="even" r:id="rId24"/>
      <w:headerReference w:type="default" r:id="rId25"/>
      <w:footerReference w:type="even" r:id="rId26"/>
      <w:footerReference w:type="default" r:id="rId27"/>
      <w:headerReference w:type="first" r:id="rId28"/>
      <w:footerReference w:type="first" r:id="rId29"/>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1182AB" w14:textId="77777777" w:rsidR="00DF00D0" w:rsidRDefault="00DF00D0" w:rsidP="00D946DB">
      <w:pPr>
        <w:spacing w:before="0" w:after="0"/>
      </w:pPr>
      <w:r>
        <w:separator/>
      </w:r>
    </w:p>
  </w:endnote>
  <w:endnote w:type="continuationSeparator" w:id="0">
    <w:p w14:paraId="1F883357" w14:textId="77777777" w:rsidR="00DF00D0" w:rsidRDefault="00DF00D0" w:rsidP="00D946DB">
      <w:pPr>
        <w:spacing w:before="0" w:after="0"/>
      </w:pPr>
      <w:r>
        <w:continuationSeparator/>
      </w:r>
    </w:p>
  </w:endnote>
  <w:endnote w:type="continuationNotice" w:id="1">
    <w:p w14:paraId="27446F4C" w14:textId="77777777" w:rsidR="00DF00D0" w:rsidRDefault="00DF00D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80655" w14:textId="5C4F1011" w:rsidR="00BD6DA4" w:rsidRPr="00BD6DA4" w:rsidRDefault="00BD6DA4" w:rsidP="00BD6DA4">
    <w:pPr>
      <w:pStyle w:val="FooterCoverPage"/>
      <w:rPr>
        <w:rFonts w:ascii="Arial" w:hAnsi="Arial" w:cs="Arial"/>
        <w:b/>
        <w:sz w:val="48"/>
      </w:rPr>
    </w:pPr>
    <w:r w:rsidRPr="00BD6DA4">
      <w:rPr>
        <w:rFonts w:ascii="Arial" w:hAnsi="Arial" w:cs="Arial"/>
        <w:b/>
        <w:sz w:val="48"/>
      </w:rPr>
      <w:t>HU</w:t>
    </w:r>
    <w:r w:rsidRPr="00BD6DA4">
      <w:rPr>
        <w:rFonts w:ascii="Arial" w:hAnsi="Arial" w:cs="Arial"/>
        <w:b/>
        <w:sz w:val="48"/>
      </w:rPr>
      <w:tab/>
    </w:r>
    <w:r w:rsidRPr="00BD6DA4">
      <w:rPr>
        <w:rFonts w:ascii="Arial" w:hAnsi="Arial" w:cs="Arial"/>
        <w:b/>
        <w:sz w:val="48"/>
      </w:rPr>
      <w:tab/>
    </w:r>
    <w:r w:rsidRPr="00BD6DA4">
      <w:tab/>
    </w:r>
    <w:r w:rsidRPr="00BD6DA4">
      <w:rPr>
        <w:rFonts w:ascii="Arial" w:hAnsi="Arial" w:cs="Arial"/>
        <w:b/>
        <w:sz w:val="48"/>
      </w:rPr>
      <w:t>HU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34F19B" w14:textId="2990AAE0" w:rsidR="00BD6DA4" w:rsidRPr="00BD6DA4" w:rsidRDefault="00BD6DA4" w:rsidP="00BD6DA4">
    <w:pPr>
      <w:pStyle w:val="FooterCoverPage"/>
      <w:rPr>
        <w:rFonts w:ascii="Arial" w:hAnsi="Arial" w:cs="Arial"/>
        <w:b/>
        <w:sz w:val="48"/>
      </w:rPr>
    </w:pPr>
    <w:r w:rsidRPr="00BD6DA4">
      <w:rPr>
        <w:rFonts w:ascii="Arial" w:hAnsi="Arial" w:cs="Arial"/>
        <w:b/>
        <w:sz w:val="48"/>
      </w:rPr>
      <w:t>HU</w:t>
    </w:r>
    <w:r w:rsidRPr="00BD6DA4">
      <w:rPr>
        <w:rFonts w:ascii="Arial" w:hAnsi="Arial" w:cs="Arial"/>
        <w:b/>
        <w:sz w:val="48"/>
      </w:rPr>
      <w:tab/>
    </w:r>
    <w:r w:rsidRPr="00BD6DA4">
      <w:rPr>
        <w:rFonts w:ascii="Arial" w:hAnsi="Arial" w:cs="Arial"/>
        <w:b/>
        <w:sz w:val="48"/>
      </w:rPr>
      <w:tab/>
    </w:r>
    <w:r w:rsidRPr="00BD6DA4">
      <w:tab/>
    </w:r>
    <w:r w:rsidRPr="00BD6DA4">
      <w:rPr>
        <w:rFonts w:ascii="Arial" w:hAnsi="Arial" w:cs="Arial"/>
        <w:b/>
        <w:sz w:val="48"/>
      </w:rPr>
      <w:t>HU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7F7F" w14:textId="77777777" w:rsidR="00BD6DA4" w:rsidRPr="00BD6DA4" w:rsidRDefault="00BD6DA4" w:rsidP="00BD6DA4">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17DAD" w14:textId="77777777" w:rsidR="00D82419" w:rsidRDefault="00D82419">
    <w:pPr>
      <w:pStyle w:val="Footer"/>
    </w:pPr>
  </w:p>
  <w:p w14:paraId="546F27D1" w14:textId="77777777" w:rsidR="00D82419" w:rsidRDefault="00D82419"/>
  <w:p w14:paraId="47577230" w14:textId="77777777" w:rsidR="00D82419" w:rsidRDefault="00D8241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474B" w14:textId="77777777" w:rsidR="00D82419" w:rsidRPr="00ED1956" w:rsidRDefault="00D82419">
    <w:pPr>
      <w:pStyle w:val="Footer"/>
      <w:jc w:val="right"/>
      <w:rPr>
        <w:rFonts w:ascii="Times New Roman" w:hAnsi="Times New Roman"/>
        <w:sz w:val="22"/>
        <w:szCs w:val="22"/>
      </w:rPr>
    </w:pPr>
    <w:r w:rsidRPr="00ED1956">
      <w:rPr>
        <w:rFonts w:ascii="Times New Roman" w:hAnsi="Times New Roman"/>
        <w:color w:val="2B579A"/>
        <w:sz w:val="22"/>
        <w:shd w:val="clear" w:color="auto" w:fill="E6E6E6"/>
      </w:rPr>
      <w:fldChar w:fldCharType="begin"/>
    </w:r>
    <w:r w:rsidRPr="00ED1956">
      <w:rPr>
        <w:rFonts w:ascii="Times New Roman" w:hAnsi="Times New Roman"/>
        <w:sz w:val="22"/>
      </w:rPr>
      <w:instrText xml:space="preserve"> PAGE   \* MERGEFORMAT </w:instrText>
    </w:r>
    <w:r w:rsidRPr="00ED1956">
      <w:rPr>
        <w:rFonts w:ascii="Times New Roman" w:hAnsi="Times New Roman"/>
        <w:color w:val="2B579A"/>
        <w:sz w:val="22"/>
        <w:shd w:val="clear" w:color="auto" w:fill="E6E6E6"/>
      </w:rPr>
      <w:fldChar w:fldCharType="separate"/>
    </w:r>
    <w:r>
      <w:rPr>
        <w:rFonts w:ascii="Times New Roman" w:hAnsi="Times New Roman"/>
        <w:sz w:val="22"/>
      </w:rPr>
      <w:t>2</w:t>
    </w:r>
    <w:r w:rsidRPr="00ED1956">
      <w:rPr>
        <w:rFonts w:ascii="Times New Roman" w:hAnsi="Times New Roman"/>
        <w:color w:val="2B579A"/>
        <w:sz w:val="22"/>
        <w:shd w:val="clear" w:color="auto" w:fill="E6E6E6"/>
      </w:rPr>
      <w:fldChar w:fldCharType="end"/>
    </w:r>
  </w:p>
  <w:p w14:paraId="2366EA67" w14:textId="77777777" w:rsidR="00D82419" w:rsidRDefault="00D82419">
    <w:pPr>
      <w:pStyle w:val="Footer"/>
    </w:pPr>
  </w:p>
  <w:p w14:paraId="3E3B494F" w14:textId="77777777" w:rsidR="00D82419" w:rsidRDefault="00D82419"/>
  <w:p w14:paraId="03783804" w14:textId="77777777" w:rsidR="00D82419" w:rsidRDefault="00D8241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D30E3" w14:textId="61A4182E"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sidR="00BD6DA4">
      <w:rPr>
        <w:noProof/>
        <w:sz w:val="22"/>
      </w:rPr>
      <w:t>1</w:t>
    </w:r>
    <w:r w:rsidRPr="00E85358">
      <w:rPr>
        <w:color w:val="2B579A"/>
        <w:sz w:val="22"/>
        <w:shd w:val="clear" w:color="auto" w:fill="E6E6E6"/>
      </w:rPr>
      <w:fldChar w:fldCharType="end"/>
    </w:r>
  </w:p>
  <w:p w14:paraId="57B9599E" w14:textId="77777777" w:rsidR="00D82419" w:rsidRDefault="00D82419">
    <w:pPr>
      <w:pStyle w:val="Footer"/>
    </w:pPr>
  </w:p>
  <w:p w14:paraId="7CAFE47A" w14:textId="77777777" w:rsidR="00D82419" w:rsidRDefault="00D82419"/>
  <w:p w14:paraId="02DD139C" w14:textId="77777777" w:rsidR="00D82419" w:rsidRDefault="00D8241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62658C" w:rsidRDefault="0062658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62658C" w:rsidRDefault="0062658C">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20973C7D" w:rsidR="0062658C" w:rsidRPr="00ED1956" w:rsidRDefault="0062658C">
    <w:pPr>
      <w:pStyle w:val="Footer"/>
      <w:jc w:val="right"/>
      <w:rPr>
        <w:rFonts w:ascii="Times New Roman" w:hAnsi="Times New Roman"/>
        <w:sz w:val="20"/>
        <w:szCs w:val="20"/>
      </w:rPr>
    </w:pPr>
    <w:r w:rsidRPr="00ED1956">
      <w:rPr>
        <w:rFonts w:ascii="Times New Roman" w:hAnsi="Times New Roman"/>
        <w:color w:val="2B579A"/>
        <w:sz w:val="20"/>
        <w:shd w:val="clear" w:color="auto" w:fill="E6E6E6"/>
      </w:rPr>
      <w:fldChar w:fldCharType="begin"/>
    </w:r>
    <w:r w:rsidRPr="00ED1956">
      <w:rPr>
        <w:rFonts w:ascii="Times New Roman" w:hAnsi="Times New Roman"/>
        <w:sz w:val="20"/>
      </w:rPr>
      <w:instrText xml:space="preserve"> PAGE   \* MERGEFORMAT </w:instrText>
    </w:r>
    <w:r w:rsidRPr="00ED1956">
      <w:rPr>
        <w:rFonts w:ascii="Times New Roman" w:hAnsi="Times New Roman"/>
        <w:color w:val="2B579A"/>
        <w:sz w:val="20"/>
        <w:shd w:val="clear" w:color="auto" w:fill="E6E6E6"/>
      </w:rPr>
      <w:fldChar w:fldCharType="separate"/>
    </w:r>
    <w:r w:rsidR="00BD6DA4">
      <w:rPr>
        <w:rFonts w:ascii="Times New Roman" w:hAnsi="Times New Roman"/>
        <w:noProof/>
        <w:sz w:val="20"/>
      </w:rPr>
      <w:t>5</w:t>
    </w:r>
    <w:r w:rsidRPr="00ED1956">
      <w:rPr>
        <w:rFonts w:ascii="Times New Roman" w:hAnsi="Times New Roman"/>
        <w:color w:val="2B579A"/>
        <w:sz w:val="20"/>
        <w:shd w:val="clear" w:color="auto" w:fill="E6E6E6"/>
      </w:rPr>
      <w:fldChar w:fldCharType="end"/>
    </w:r>
  </w:p>
  <w:p w14:paraId="4071C94B" w14:textId="77777777" w:rsidR="0062658C" w:rsidRPr="00A772B4" w:rsidRDefault="0062658C" w:rsidP="00A772B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E958E" w14:textId="77777777"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05DC4A85" w14:textId="77777777" w:rsidR="00D82419" w:rsidRDefault="00D82419">
    <w:pPr>
      <w:pStyle w:val="Footer"/>
    </w:pPr>
  </w:p>
  <w:p w14:paraId="6F23934D" w14:textId="77777777" w:rsidR="00D82419" w:rsidRDefault="00D82419"/>
  <w:p w14:paraId="42D6D9A6" w14:textId="77777777" w:rsidR="00D82419" w:rsidRDefault="00D82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442B5F" w14:textId="77777777" w:rsidR="00DF00D0" w:rsidRDefault="00DF00D0" w:rsidP="00D946DB">
      <w:pPr>
        <w:spacing w:before="0" w:after="0"/>
      </w:pPr>
      <w:r>
        <w:separator/>
      </w:r>
    </w:p>
  </w:footnote>
  <w:footnote w:type="continuationSeparator" w:id="0">
    <w:p w14:paraId="0B0F689A" w14:textId="77777777" w:rsidR="00DF00D0" w:rsidRDefault="00DF00D0" w:rsidP="00D946DB">
      <w:pPr>
        <w:spacing w:before="0" w:after="0"/>
      </w:pPr>
      <w:r>
        <w:continuationSeparator/>
      </w:r>
    </w:p>
  </w:footnote>
  <w:footnote w:type="continuationNotice" w:id="1">
    <w:p w14:paraId="6B6A8C38" w14:textId="77777777" w:rsidR="00DF00D0" w:rsidRDefault="00DF00D0">
      <w:pPr>
        <w:spacing w:before="0" w:after="0"/>
      </w:pPr>
    </w:p>
  </w:footnote>
  <w:footnote w:id="2">
    <w:p w14:paraId="2E4D63F6" w14:textId="42058506" w:rsidR="00212817" w:rsidRPr="00CB270D" w:rsidRDefault="00212817" w:rsidP="00FC0D8E">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rPr>
          <w:rFonts w:ascii="Times New Roman" w:hAnsi="Times New Roman"/>
          <w:sz w:val="20"/>
        </w:rPr>
        <w:tab/>
        <w:t>A Bizottság felhatalmazáson alapuló (EU) .../... rendelete (XXX) a 2013/36/EU európai parlamenti és tanácsi irányelvnek az intézmények nem kereskedési könyvi tevékenységeiben a tőke gazdasági értékére és a nettó kamatbevételre egyaránt kiható esetleges kamatlábváltozásokból származó kockázatok értékelésére vonatkozó szabványosított módszert és egyszerűsített szabványosított módszert meghatározó szabályozástechnikai standardok tekintetében történő kiegészítéséről (……).</w:t>
      </w:r>
    </w:p>
  </w:footnote>
  <w:footnote w:id="3">
    <w:p w14:paraId="5BEDD48C" w14:textId="0963FBD5"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ab/>
        <w:t>Az Európai Parlament és a Tanács 600/2014/EU rendelete (2014. május 15.) a pénzügyi eszközök piacairól és a 648/2012/EU rendelet módosításáról (HL L 173., 2014.6.12., 84. o., ELI: http://data.europa.eu/eli/reg/2014/600/oj).</w:t>
      </w:r>
    </w:p>
  </w:footnote>
  <w:footnote w:id="4">
    <w:p w14:paraId="0CB46888" w14:textId="68CD00FB" w:rsidR="0062658C" w:rsidRPr="005B6DAC" w:rsidRDefault="0062658C"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ab/>
        <w:t>A Bizottság (EU) 2015/61 felhatalmazáson alapuló rendelete (2014. október 10.) az 575/2013/EU európai parlamenti és tanácsi rendeletnek a hitelintézetekre vonatkozó likviditásfedezeti követelmények tekintetében történő kiegészítéséről (HL L 11., 2015.1.17., 1. o., http://data.europa.eu/eli/reg_del/2015/61/oj).</w:t>
      </w:r>
    </w:p>
  </w:footnote>
  <w:footnote w:id="5">
    <w:p w14:paraId="7E3A4C22" w14:textId="5D95D77D"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ab/>
        <w:t>Az Európai Parlament és a Tanács 1606/2002/EK rendelete (2002. július 19.) a nemzetközi számviteli standardok alkalmazásáról (HL L 243., 2002.9.11., 1. o.,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A69BF" w14:textId="77777777" w:rsidR="00BD6DA4" w:rsidRPr="00BD6DA4" w:rsidRDefault="00BD6DA4" w:rsidP="00BD6DA4">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3B749" w14:textId="77777777" w:rsidR="00BD6DA4" w:rsidRPr="00BD6DA4" w:rsidRDefault="00BD6DA4" w:rsidP="00BD6DA4">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70BDC" w14:textId="77777777" w:rsidR="00BD6DA4" w:rsidRPr="00BD6DA4" w:rsidRDefault="00BD6DA4" w:rsidP="00BD6DA4">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4F3BF" w14:textId="77777777" w:rsidR="00D82419" w:rsidRDefault="00D82419">
    <w:pPr>
      <w:pStyle w:val="Header"/>
    </w:pPr>
    <w:r>
      <w:rPr>
        <w:noProof/>
        <w:lang w:val="en-GB" w:eastAsia="en-GB"/>
      </w:rPr>
      <mc:AlternateContent>
        <mc:Choice Requires="wps">
          <w:drawing>
            <wp:anchor distT="0" distB="0" distL="0" distR="0" simplePos="0" relativeHeight="251679744" behindDoc="0" locked="0" layoutInCell="1" allowOverlap="1" wp14:anchorId="19629264" wp14:editId="7596CB09">
              <wp:simplePos x="635" y="635"/>
              <wp:positionH relativeFrom="leftMargin">
                <wp:align>left</wp:align>
              </wp:positionH>
              <wp:positionV relativeFrom="paragraph">
                <wp:posOffset>635</wp:posOffset>
              </wp:positionV>
              <wp:extent cx="443865" cy="443865"/>
              <wp:effectExtent l="0" t="0" r="3175" b="4445"/>
              <wp:wrapSquare wrapText="bothSides"/>
              <wp:docPr id="9" name="Text Box 9" descr="EBH – Szokásos felhasználásra">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9629264" id="_x0000_t202" coordsize="21600,21600" o:spt="202" path="m,l,21600r21600,l21600,xe">
              <v:stroke joinstyle="miter"/>
              <v:path gradientshapeok="t" o:connecttype="rect"/>
            </v:shapetype>
            <v:shape id="Text Box 9" o:spid="_x0000_s1026" type="#_x0000_t202" alt="EBH – Szokásos felhasználásra" style="position:absolute;left:0;text-align:left;margin-left:0;margin-top:.05pt;width:34.95pt;height:34.95pt;z-index:25167974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Ai3qB3gAIAALkE&#10;AAAOAAAAAAAAAAAAAAAAAC4CAABkcnMvZTJvRG9jLnhtbFBLAQItABQABgAIAAAAIQA0gToW2gAA&#10;AAMBAAAPAAAAAAAAAAAAAAAAANoEAABkcnMvZG93bnJldi54bWxQSwUGAAAAAAQABADzAAAA4QUA&#10;AAAA&#10;" filled="f" stroked="f">
              <v:textbox style="mso-fit-shape-to-text:t" inset="5pt,0,0,0">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EBH – Szokásos felhasználásra</w:t>
                    </w:r>
                  </w:p>
                </w:txbxContent>
              </v:textbox>
              <w10:wrap type="square" anchorx="margin"/>
            </v:shape>
          </w:pict>
        </mc:Fallback>
      </mc:AlternateContent>
    </w:r>
  </w:p>
  <w:p w14:paraId="54D79045" w14:textId="77777777" w:rsidR="00D82419" w:rsidRDefault="00D82419"/>
  <w:p w14:paraId="6CC69582" w14:textId="77777777" w:rsidR="00D82419" w:rsidRDefault="00D8241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664C4" w14:textId="77777777" w:rsidR="00D82419" w:rsidRDefault="00D82419">
    <w:pPr>
      <w:pStyle w:val="Header"/>
    </w:pPr>
    <w:r>
      <w:rPr>
        <w:noProof/>
        <w:lang w:val="en-GB" w:eastAsia="en-GB"/>
      </w:rPr>
      <mc:AlternateContent>
        <mc:Choice Requires="wps">
          <w:drawing>
            <wp:anchor distT="0" distB="0" distL="0" distR="0" simplePos="0" relativeHeight="251657216" behindDoc="0" locked="0" layoutInCell="1" allowOverlap="1" wp14:anchorId="13FCE741" wp14:editId="68405DA9">
              <wp:simplePos x="635" y="635"/>
              <wp:positionH relativeFrom="leftMargin">
                <wp:align>left</wp:align>
              </wp:positionH>
              <wp:positionV relativeFrom="paragraph">
                <wp:posOffset>635</wp:posOffset>
              </wp:positionV>
              <wp:extent cx="443865" cy="443865"/>
              <wp:effectExtent l="0" t="0" r="3175" b="4445"/>
              <wp:wrapSquare wrapText="bothSides"/>
              <wp:docPr id="8" name="Text Box 8" descr="EBH – Szokásos felhasználásra">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EBH – Szokásos felhasználásra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3FCE741" id="_x0000_t202" coordsize="21600,21600" o:spt="202" path="m,l,21600r21600,l21600,xe">
              <v:stroke joinstyle="miter"/>
              <v:path gradientshapeok="t" o:connecttype="rect"/>
            </v:shapetype>
            <v:shape id="Text Box 8" o:spid="_x0000_s1027" type="#_x0000_t202" alt="EBH – Szokásos felhasználásra" style="position:absolute;left:0;text-align:left;margin-left:0;margin-top:.05pt;width:34.95pt;height:34.95pt;z-index:25165721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" filled="f" stroked="f">
              <v:textbox style="mso-fit-shape-to-text:t" inset="5pt,0,0,0">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EBH – Szokásos felhasználásra</w:t>
                    </w:r>
                  </w:p>
                </w:txbxContent>
              </v:textbox>
              <w10:wrap type="square" anchorx="margin"/>
            </v:shape>
          </w:pict>
        </mc:Fallback>
      </mc:AlternateContent>
    </w:r>
  </w:p>
  <w:p w14:paraId="269478AA" w14:textId="77777777" w:rsidR="00D82419" w:rsidRDefault="00D82419"/>
  <w:p w14:paraId="28E5D3D9" w14:textId="77777777" w:rsidR="00D82419" w:rsidRDefault="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09C5" w14:textId="77777777" w:rsidR="00D82419" w:rsidRDefault="00D8241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C1DEB" w14:textId="5CA78920" w:rsidR="0062658C" w:rsidRDefault="0062658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5F13" w14:textId="4F8249DD" w:rsidR="0062658C" w:rsidRPr="00D82419" w:rsidRDefault="0062658C" w:rsidP="00D8241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22448A3C" w:rsidR="0062658C" w:rsidRDefault="0062658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6"/>
  </w:num>
  <w:num w:numId="2">
    <w:abstractNumId w:val="34"/>
  </w:num>
  <w:num w:numId="3">
    <w:abstractNumId w:val="10"/>
  </w:num>
  <w:num w:numId="4">
    <w:abstractNumId w:val="8"/>
  </w:num>
  <w:num w:numId="5">
    <w:abstractNumId w:val="35"/>
  </w:num>
  <w:num w:numId="6">
    <w:abstractNumId w:val="2"/>
  </w:num>
  <w:num w:numId="7">
    <w:abstractNumId w:val="27"/>
  </w:num>
  <w:num w:numId="8">
    <w:abstractNumId w:val="37"/>
  </w:num>
  <w:num w:numId="9">
    <w:abstractNumId w:val="21"/>
  </w:num>
  <w:num w:numId="10">
    <w:abstractNumId w:val="32"/>
  </w:num>
  <w:num w:numId="11">
    <w:abstractNumId w:val="19"/>
  </w:num>
  <w:num w:numId="12">
    <w:abstractNumId w:val="36"/>
  </w:num>
  <w:num w:numId="13">
    <w:abstractNumId w:val="6"/>
  </w:num>
  <w:num w:numId="14">
    <w:abstractNumId w:val="28"/>
  </w:num>
  <w:num w:numId="15">
    <w:abstractNumId w:val="17"/>
  </w:num>
  <w:num w:numId="16">
    <w:abstractNumId w:val="23"/>
  </w:num>
  <w:num w:numId="17">
    <w:abstractNumId w:val="12"/>
  </w:num>
  <w:num w:numId="18">
    <w:abstractNumId w:val="29"/>
  </w:num>
  <w:num w:numId="19">
    <w:abstractNumId w:val="26"/>
  </w:num>
  <w:num w:numId="20">
    <w:abstractNumId w:val="14"/>
  </w:num>
  <w:num w:numId="21">
    <w:abstractNumId w:val="22"/>
  </w:num>
  <w:num w:numId="22">
    <w:abstractNumId w:val="13"/>
  </w:num>
  <w:num w:numId="23">
    <w:abstractNumId w:val="33"/>
  </w:num>
  <w:num w:numId="24">
    <w:abstractNumId w:val="3"/>
  </w:num>
  <w:num w:numId="25">
    <w:abstractNumId w:val="0"/>
  </w:num>
  <w:num w:numId="26">
    <w:abstractNumId w:val="39"/>
  </w:num>
  <w:num w:numId="27">
    <w:abstractNumId w:val="25"/>
  </w:num>
  <w:num w:numId="28">
    <w:abstractNumId w:val="15"/>
  </w:num>
  <w:num w:numId="29">
    <w:abstractNumId w:val="38"/>
  </w:num>
  <w:num w:numId="30">
    <w:abstractNumId w:val="14"/>
  </w:num>
  <w:num w:numId="31">
    <w:abstractNumId w:val="20"/>
  </w:num>
  <w:num w:numId="32">
    <w:abstractNumId w:val="31"/>
  </w:num>
  <w:num w:numId="33">
    <w:abstractNumId w:val="24"/>
  </w:num>
  <w:num w:numId="34">
    <w:abstractNumId w:val="5"/>
  </w:num>
  <w:num w:numId="35">
    <w:abstractNumId w:val="14"/>
  </w:num>
  <w:num w:numId="36">
    <w:abstractNumId w:val="29"/>
  </w:num>
  <w:num w:numId="37">
    <w:abstractNumId w:val="29"/>
    <w:lvlOverride w:ilvl="0">
      <w:startOverride w:val="1"/>
    </w:lvlOverride>
  </w:num>
  <w:num w:numId="38">
    <w:abstractNumId w:val="14"/>
  </w:num>
  <w:num w:numId="39">
    <w:abstractNumId w:val="29"/>
    <w:lvlOverride w:ilvl="0">
      <w:startOverride w:val="1"/>
    </w:lvlOverride>
  </w:num>
  <w:num w:numId="40">
    <w:abstractNumId w:val="14"/>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4"/>
  </w:num>
  <w:num w:numId="44">
    <w:abstractNumId w:val="14"/>
  </w:num>
  <w:num w:numId="45">
    <w:abstractNumId w:val="30"/>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1"/>
  </w:num>
  <w:num w:numId="53">
    <w:abstractNumId w:val="14"/>
  </w:num>
  <w:num w:numId="54">
    <w:abstractNumId w:val="4"/>
  </w:num>
  <w:num w:numId="55">
    <w:abstractNumId w:val="40"/>
  </w:num>
  <w:num w:numId="56">
    <w:abstractNumId w:val="1"/>
  </w:num>
  <w:num w:numId="57">
    <w:abstractNumId w:val="14"/>
  </w:num>
  <w:num w:numId="58">
    <w:abstractNumId w:val="7"/>
  </w:num>
  <w:num w:numId="59">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en-GB" w:vendorID="64" w:dllVersion="0" w:nlCheck="1" w:checkStyle="0"/>
  <w:activeWritingStyle w:appName="MSWord" w:lang="en-US" w:vendorID="64" w:dllVersion="0" w:nlCheck="1" w:checkStyle="0"/>
  <w:activeWritingStyle w:appName="MSWord" w:lang="en-US" w:vendorID="64" w:dllVersion="6" w:nlCheck="1" w:checkStyle="0"/>
  <w:activeWritingStyle w:appName="MSWord" w:lang="en-GB" w:vendorID="64" w:dllVersion="6" w:nlCheck="1" w:checkStyle="0"/>
  <w:activeWritingStyle w:appName="MSWord" w:lang="fr-FR" w:vendorID="64" w:dllVersion="0" w:nlCheck="1" w:checkStyle="0"/>
  <w:activeWritingStyle w:appName="MSWord" w:lang="fr-FR" w:vendorID="64" w:dllVersion="6" w:nlCheck="1" w:checkStyle="0"/>
  <w:activeWritingStyle w:appName="MSWord" w:lang="it-IT" w:vendorID="64" w:dllVersion="6" w:nlCheck="1" w:checkStyle="0"/>
  <w:activeWritingStyle w:appName="MSWord" w:lang="en-IE" w:vendorID="64" w:dllVersion="0" w:nlCheck="1" w:checkStyle="0"/>
  <w:activeWritingStyle w:appName="MSWord" w:lang="fr-BE" w:vendorID="64" w:dllVersion="0" w:nlCheck="1" w:checkStyle="0"/>
  <w:activeWritingStyle w:appName="MSWord" w:lang="hu-HU"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hyphenationZone w:val="170"/>
  <w:drawingGridHorizontalSpacing w:val="100"/>
  <w:displayHorizontalDrawingGridEvery w:val="2"/>
  <w:characterSpacingControl w:val="doNotCompress"/>
  <w:hdrShapeDefaults>
    <o:shapedefaults v:ext="edit" spidmax="205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FigNum" w:val="1"/>
    <w:docVar w:name="LW_ACCOMPAGNANT.CP" w:val="a  következ\u337?höz:"/>
    <w:docVar w:name="LW_ANNEX_NBR_FIRST" w:val="2"/>
    <w:docVar w:name="LW_ANNEX_NBR_LAST" w:val="2"/>
    <w:docVar w:name="LW_ANNEX_UNIQUE" w:val="0"/>
    <w:docVar w:name="LW_CORRIGENDUM" w:val="&lt;UNUSED&gt;"/>
    <w:docVar w:name="LW_COVERPAGE_EXISTS" w:val="True"/>
    <w:docVar w:name="LW_COVERPAGE_GUID" w:val="F2D87BE1-97DA-41A6-9BDF-212BFE26142F"/>
    <w:docVar w:name="LW_COVERPAGE_TYPE" w:val="1"/>
    <w:docVar w:name="LW_CROSSREFERENCE" w:val="&lt;UNUSED&gt;"/>
    <w:docVar w:name="LW_DocType" w:val="NORMAL"/>
    <w:docVar w:name="LW_EMISSION" w:val="2024.3.15."/>
    <w:docVar w:name="LW_EMISSION_ISODATE" w:val="2024-03-15"/>
    <w:docVar w:name="LW_EMISSION_LOCATION" w:val="BRX"/>
    <w:docVar w:name="LW_EMISSION_PREFIX" w:val="Brüsszel, "/>
    <w:docVar w:name="LW_EMISSION_SUFFIX" w:val=" "/>
    <w:docVar w:name="LW_ID_DOCTYPE_NONLW" w:val="CP-038"/>
    <w:docVar w:name="LW_LANGUE" w:val="HU"/>
    <w:docVar w:name="LW_LEVEL_OF_SENSITIVITY" w:val="Standard treatment"/>
    <w:docVar w:name="LW_NOM.INST" w:val="EURÓPAI BIZOTTSÁG"/>
    <w:docVar w:name="LW_NOM.INST_JOINTDOC" w:val="&lt;EMPTY&gt;"/>
    <w:docVar w:name="LW_OBJETACTEPRINCIPAL.CP" w:val="&lt;FMT:Bold&gt;az (EU) 2021/451 végrehajtási rendeletben meghatározott végrehajtás-technikai standardoknak a banki könyvi kamatlábkockázat felügyeleti adatszolgáltatására vonatkozó szabályok tekintetében történ\u337? módosításáról&lt;/FMT&gt;"/>
    <w:docVar w:name="LW_PART_NBR" w:val="1"/>
    <w:docVar w:name="LW_PART_NBR_TOTAL" w:val="1"/>
    <w:docVar w:name="LW_REF.INST.NEW" w:val="C"/>
    <w:docVar w:name="LW_REF.INST.NEW_ADOPTED" w:val="final"/>
    <w:docVar w:name="LW_REF.INST.NEW_TEXT" w:val="(2024) 162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MELLÉKLET_x000b_"/>
    <w:docVar w:name="LW_TYPEACTEPRINCIPAL.CP" w:val="A BIZOTTSÁG VÉGREHAJTÁSI RENDELETE"/>
    <w:docVar w:name="LwApiVersions" w:val="LW4CoDe 1.24.5.0; LW 9.0, Build 20240221"/>
  </w:docVars>
  <w:rsids>
    <w:rsidRoot w:val="00884FEB"/>
    <w:rsid w:val="000001EC"/>
    <w:rsid w:val="00000255"/>
    <w:rsid w:val="00000347"/>
    <w:rsid w:val="00000F70"/>
    <w:rsid w:val="00001625"/>
    <w:rsid w:val="000017CA"/>
    <w:rsid w:val="000017F3"/>
    <w:rsid w:val="00001AF1"/>
    <w:rsid w:val="00001BF2"/>
    <w:rsid w:val="000020E5"/>
    <w:rsid w:val="00002740"/>
    <w:rsid w:val="00002933"/>
    <w:rsid w:val="00002E14"/>
    <w:rsid w:val="000032AA"/>
    <w:rsid w:val="000037CF"/>
    <w:rsid w:val="0000410C"/>
    <w:rsid w:val="00004478"/>
    <w:rsid w:val="000044B7"/>
    <w:rsid w:val="00004542"/>
    <w:rsid w:val="000046BB"/>
    <w:rsid w:val="00004978"/>
    <w:rsid w:val="00004D21"/>
    <w:rsid w:val="00004FE8"/>
    <w:rsid w:val="00005078"/>
    <w:rsid w:val="00005765"/>
    <w:rsid w:val="00005C5F"/>
    <w:rsid w:val="00005FAC"/>
    <w:rsid w:val="00005FFC"/>
    <w:rsid w:val="00007605"/>
    <w:rsid w:val="0000798F"/>
    <w:rsid w:val="00007D0D"/>
    <w:rsid w:val="00007F45"/>
    <w:rsid w:val="000100F8"/>
    <w:rsid w:val="00010124"/>
    <w:rsid w:val="0001047F"/>
    <w:rsid w:val="00010789"/>
    <w:rsid w:val="00010B91"/>
    <w:rsid w:val="00010C22"/>
    <w:rsid w:val="00011249"/>
    <w:rsid w:val="00011545"/>
    <w:rsid w:val="00011BD0"/>
    <w:rsid w:val="00011ED2"/>
    <w:rsid w:val="00012003"/>
    <w:rsid w:val="000120EB"/>
    <w:rsid w:val="0001246D"/>
    <w:rsid w:val="000130F3"/>
    <w:rsid w:val="00013A9B"/>
    <w:rsid w:val="00013B48"/>
    <w:rsid w:val="00014449"/>
    <w:rsid w:val="00014890"/>
    <w:rsid w:val="00014DC3"/>
    <w:rsid w:val="0001573B"/>
    <w:rsid w:val="0001693F"/>
    <w:rsid w:val="0001796E"/>
    <w:rsid w:val="00017C4C"/>
    <w:rsid w:val="00020200"/>
    <w:rsid w:val="00020516"/>
    <w:rsid w:val="00020857"/>
    <w:rsid w:val="0002085A"/>
    <w:rsid w:val="00020AF9"/>
    <w:rsid w:val="00020CE8"/>
    <w:rsid w:val="0002120E"/>
    <w:rsid w:val="0002157C"/>
    <w:rsid w:val="00021A05"/>
    <w:rsid w:val="00021D77"/>
    <w:rsid w:val="0002264E"/>
    <w:rsid w:val="0002267E"/>
    <w:rsid w:val="000227D4"/>
    <w:rsid w:val="00023102"/>
    <w:rsid w:val="000231F9"/>
    <w:rsid w:val="000232E2"/>
    <w:rsid w:val="00023383"/>
    <w:rsid w:val="00023DF1"/>
    <w:rsid w:val="000242CC"/>
    <w:rsid w:val="000243CE"/>
    <w:rsid w:val="000247E1"/>
    <w:rsid w:val="00024EB8"/>
    <w:rsid w:val="0002506D"/>
    <w:rsid w:val="00025B2A"/>
    <w:rsid w:val="000260E4"/>
    <w:rsid w:val="0002618A"/>
    <w:rsid w:val="000263A8"/>
    <w:rsid w:val="0002657F"/>
    <w:rsid w:val="00027235"/>
    <w:rsid w:val="00032596"/>
    <w:rsid w:val="000326C1"/>
    <w:rsid w:val="00032C91"/>
    <w:rsid w:val="00032D36"/>
    <w:rsid w:val="0003330C"/>
    <w:rsid w:val="00033B7C"/>
    <w:rsid w:val="00033C55"/>
    <w:rsid w:val="00033F40"/>
    <w:rsid w:val="00033FB5"/>
    <w:rsid w:val="00034431"/>
    <w:rsid w:val="0003454D"/>
    <w:rsid w:val="00034834"/>
    <w:rsid w:val="00035446"/>
    <w:rsid w:val="0003566D"/>
    <w:rsid w:val="000359E1"/>
    <w:rsid w:val="000359E7"/>
    <w:rsid w:val="000364CE"/>
    <w:rsid w:val="00037093"/>
    <w:rsid w:val="000371EB"/>
    <w:rsid w:val="0003741A"/>
    <w:rsid w:val="000377CC"/>
    <w:rsid w:val="00037A99"/>
    <w:rsid w:val="00037FCC"/>
    <w:rsid w:val="0004055C"/>
    <w:rsid w:val="00041098"/>
    <w:rsid w:val="000412EA"/>
    <w:rsid w:val="00041480"/>
    <w:rsid w:val="00041556"/>
    <w:rsid w:val="00041815"/>
    <w:rsid w:val="00042048"/>
    <w:rsid w:val="00042EDA"/>
    <w:rsid w:val="000433C4"/>
    <w:rsid w:val="000436D4"/>
    <w:rsid w:val="000436ED"/>
    <w:rsid w:val="000438C0"/>
    <w:rsid w:val="00045036"/>
    <w:rsid w:val="000452C6"/>
    <w:rsid w:val="0004590F"/>
    <w:rsid w:val="00045B43"/>
    <w:rsid w:val="00046C03"/>
    <w:rsid w:val="00047351"/>
    <w:rsid w:val="00047D4B"/>
    <w:rsid w:val="00047DF6"/>
    <w:rsid w:val="000503D6"/>
    <w:rsid w:val="00050827"/>
    <w:rsid w:val="00051BC5"/>
    <w:rsid w:val="00051D01"/>
    <w:rsid w:val="00052B23"/>
    <w:rsid w:val="00052BD1"/>
    <w:rsid w:val="00052CAE"/>
    <w:rsid w:val="00052FEA"/>
    <w:rsid w:val="000530BC"/>
    <w:rsid w:val="0005330F"/>
    <w:rsid w:val="00053B6B"/>
    <w:rsid w:val="00053D80"/>
    <w:rsid w:val="0005400A"/>
    <w:rsid w:val="00054466"/>
    <w:rsid w:val="00054657"/>
    <w:rsid w:val="00054879"/>
    <w:rsid w:val="000548A2"/>
    <w:rsid w:val="00056016"/>
    <w:rsid w:val="0005609F"/>
    <w:rsid w:val="000565B6"/>
    <w:rsid w:val="00056798"/>
    <w:rsid w:val="00056C0F"/>
    <w:rsid w:val="00056C8D"/>
    <w:rsid w:val="00057154"/>
    <w:rsid w:val="00057362"/>
    <w:rsid w:val="00057409"/>
    <w:rsid w:val="0005746D"/>
    <w:rsid w:val="00057D6D"/>
    <w:rsid w:val="0006024F"/>
    <w:rsid w:val="00060CA6"/>
    <w:rsid w:val="00061688"/>
    <w:rsid w:val="0006190C"/>
    <w:rsid w:val="00061E48"/>
    <w:rsid w:val="00062A1F"/>
    <w:rsid w:val="00063085"/>
    <w:rsid w:val="00063B3F"/>
    <w:rsid w:val="00064998"/>
    <w:rsid w:val="000651F4"/>
    <w:rsid w:val="000653DE"/>
    <w:rsid w:val="000657EB"/>
    <w:rsid w:val="00065864"/>
    <w:rsid w:val="00065992"/>
    <w:rsid w:val="00065E3E"/>
    <w:rsid w:val="0006666B"/>
    <w:rsid w:val="000674B5"/>
    <w:rsid w:val="000677A2"/>
    <w:rsid w:val="00067DC1"/>
    <w:rsid w:val="00067EEA"/>
    <w:rsid w:val="00070256"/>
    <w:rsid w:val="00070929"/>
    <w:rsid w:val="00070AF9"/>
    <w:rsid w:val="00070E18"/>
    <w:rsid w:val="00071341"/>
    <w:rsid w:val="000716F4"/>
    <w:rsid w:val="0007219C"/>
    <w:rsid w:val="00072873"/>
    <w:rsid w:val="00073679"/>
    <w:rsid w:val="00074102"/>
    <w:rsid w:val="00074197"/>
    <w:rsid w:val="00074C77"/>
    <w:rsid w:val="00074F23"/>
    <w:rsid w:val="00075157"/>
    <w:rsid w:val="000757AF"/>
    <w:rsid w:val="000758FE"/>
    <w:rsid w:val="00075B51"/>
    <w:rsid w:val="00075B7C"/>
    <w:rsid w:val="00075E67"/>
    <w:rsid w:val="00076091"/>
    <w:rsid w:val="00076880"/>
    <w:rsid w:val="00076B74"/>
    <w:rsid w:val="00076C2A"/>
    <w:rsid w:val="000773CD"/>
    <w:rsid w:val="000776CE"/>
    <w:rsid w:val="00077C5F"/>
    <w:rsid w:val="00077CD9"/>
    <w:rsid w:val="00077E3B"/>
    <w:rsid w:val="00080000"/>
    <w:rsid w:val="00080F38"/>
    <w:rsid w:val="0008111C"/>
    <w:rsid w:val="0008112B"/>
    <w:rsid w:val="0008113D"/>
    <w:rsid w:val="0008126E"/>
    <w:rsid w:val="000812D4"/>
    <w:rsid w:val="000815DE"/>
    <w:rsid w:val="00081872"/>
    <w:rsid w:val="00081D2C"/>
    <w:rsid w:val="00082265"/>
    <w:rsid w:val="000828C6"/>
    <w:rsid w:val="000831EA"/>
    <w:rsid w:val="0008380B"/>
    <w:rsid w:val="00084215"/>
    <w:rsid w:val="000843B3"/>
    <w:rsid w:val="00084486"/>
    <w:rsid w:val="00084A4D"/>
    <w:rsid w:val="00084E12"/>
    <w:rsid w:val="000858A9"/>
    <w:rsid w:val="00085BB9"/>
    <w:rsid w:val="00085D0C"/>
    <w:rsid w:val="00085E27"/>
    <w:rsid w:val="00085E79"/>
    <w:rsid w:val="0008615C"/>
    <w:rsid w:val="00086C6E"/>
    <w:rsid w:val="00087700"/>
    <w:rsid w:val="00087903"/>
    <w:rsid w:val="00087B2B"/>
    <w:rsid w:val="00087E1A"/>
    <w:rsid w:val="0009034B"/>
    <w:rsid w:val="000903FA"/>
    <w:rsid w:val="000904F3"/>
    <w:rsid w:val="000905EA"/>
    <w:rsid w:val="00091017"/>
    <w:rsid w:val="0009195D"/>
    <w:rsid w:val="00091E6A"/>
    <w:rsid w:val="00092F67"/>
    <w:rsid w:val="00093686"/>
    <w:rsid w:val="0009392E"/>
    <w:rsid w:val="00093C6A"/>
    <w:rsid w:val="00093EE3"/>
    <w:rsid w:val="00094D25"/>
    <w:rsid w:val="00095191"/>
    <w:rsid w:val="000951ED"/>
    <w:rsid w:val="0009552F"/>
    <w:rsid w:val="000961AD"/>
    <w:rsid w:val="00096566"/>
    <w:rsid w:val="000973E0"/>
    <w:rsid w:val="0009761E"/>
    <w:rsid w:val="000978F0"/>
    <w:rsid w:val="00097A17"/>
    <w:rsid w:val="00097C81"/>
    <w:rsid w:val="00097E91"/>
    <w:rsid w:val="000A12B8"/>
    <w:rsid w:val="000A1955"/>
    <w:rsid w:val="000A1A8A"/>
    <w:rsid w:val="000A2943"/>
    <w:rsid w:val="000A3491"/>
    <w:rsid w:val="000A3B1A"/>
    <w:rsid w:val="000A3DA4"/>
    <w:rsid w:val="000A3EBB"/>
    <w:rsid w:val="000A4B61"/>
    <w:rsid w:val="000A4C10"/>
    <w:rsid w:val="000A4C44"/>
    <w:rsid w:val="000A57BC"/>
    <w:rsid w:val="000A67F9"/>
    <w:rsid w:val="000A701A"/>
    <w:rsid w:val="000A7A58"/>
    <w:rsid w:val="000A7B4B"/>
    <w:rsid w:val="000A7D27"/>
    <w:rsid w:val="000A7D79"/>
    <w:rsid w:val="000A7FA8"/>
    <w:rsid w:val="000B0385"/>
    <w:rsid w:val="000B039B"/>
    <w:rsid w:val="000B09F9"/>
    <w:rsid w:val="000B0B09"/>
    <w:rsid w:val="000B0E46"/>
    <w:rsid w:val="000B0EBE"/>
    <w:rsid w:val="000B13A1"/>
    <w:rsid w:val="000B22DD"/>
    <w:rsid w:val="000B2300"/>
    <w:rsid w:val="000B25E8"/>
    <w:rsid w:val="000B283D"/>
    <w:rsid w:val="000B2C17"/>
    <w:rsid w:val="000B33E8"/>
    <w:rsid w:val="000B3C33"/>
    <w:rsid w:val="000B3D3C"/>
    <w:rsid w:val="000B3E00"/>
    <w:rsid w:val="000B40FA"/>
    <w:rsid w:val="000B4114"/>
    <w:rsid w:val="000B4334"/>
    <w:rsid w:val="000B487B"/>
    <w:rsid w:val="000B4F9A"/>
    <w:rsid w:val="000B5854"/>
    <w:rsid w:val="000B59E1"/>
    <w:rsid w:val="000B5A24"/>
    <w:rsid w:val="000B5B6D"/>
    <w:rsid w:val="000B6133"/>
    <w:rsid w:val="000B61AE"/>
    <w:rsid w:val="000B6362"/>
    <w:rsid w:val="000B63E1"/>
    <w:rsid w:val="000B64AE"/>
    <w:rsid w:val="000B6A14"/>
    <w:rsid w:val="000B6E03"/>
    <w:rsid w:val="000B70E1"/>
    <w:rsid w:val="000B710D"/>
    <w:rsid w:val="000B73C4"/>
    <w:rsid w:val="000B7444"/>
    <w:rsid w:val="000B7634"/>
    <w:rsid w:val="000B7A80"/>
    <w:rsid w:val="000C0017"/>
    <w:rsid w:val="000C0127"/>
    <w:rsid w:val="000C0914"/>
    <w:rsid w:val="000C0A34"/>
    <w:rsid w:val="000C1A56"/>
    <w:rsid w:val="000C24B5"/>
    <w:rsid w:val="000C29A3"/>
    <w:rsid w:val="000C30A6"/>
    <w:rsid w:val="000C33BA"/>
    <w:rsid w:val="000C4A6C"/>
    <w:rsid w:val="000C527F"/>
    <w:rsid w:val="000C574D"/>
    <w:rsid w:val="000C57A3"/>
    <w:rsid w:val="000C5A1A"/>
    <w:rsid w:val="000C5AE6"/>
    <w:rsid w:val="000C5EA7"/>
    <w:rsid w:val="000C5FB6"/>
    <w:rsid w:val="000C6096"/>
    <w:rsid w:val="000C632D"/>
    <w:rsid w:val="000C6510"/>
    <w:rsid w:val="000C6938"/>
    <w:rsid w:val="000C6B7B"/>
    <w:rsid w:val="000C72FC"/>
    <w:rsid w:val="000C7632"/>
    <w:rsid w:val="000C793F"/>
    <w:rsid w:val="000C7EAA"/>
    <w:rsid w:val="000D017F"/>
    <w:rsid w:val="000D0241"/>
    <w:rsid w:val="000D0818"/>
    <w:rsid w:val="000D094C"/>
    <w:rsid w:val="000D0B56"/>
    <w:rsid w:val="000D0F26"/>
    <w:rsid w:val="000D167C"/>
    <w:rsid w:val="000D194E"/>
    <w:rsid w:val="000D1E61"/>
    <w:rsid w:val="000D220D"/>
    <w:rsid w:val="000D2345"/>
    <w:rsid w:val="000D2BF6"/>
    <w:rsid w:val="000D3078"/>
    <w:rsid w:val="000D3636"/>
    <w:rsid w:val="000D399F"/>
    <w:rsid w:val="000D3B54"/>
    <w:rsid w:val="000D3CBC"/>
    <w:rsid w:val="000D3F54"/>
    <w:rsid w:val="000D4352"/>
    <w:rsid w:val="000D44F9"/>
    <w:rsid w:val="000D5147"/>
    <w:rsid w:val="000D5292"/>
    <w:rsid w:val="000D54BC"/>
    <w:rsid w:val="000D5958"/>
    <w:rsid w:val="000D6402"/>
    <w:rsid w:val="000D65C6"/>
    <w:rsid w:val="000D6B1D"/>
    <w:rsid w:val="000D6B9B"/>
    <w:rsid w:val="000D7761"/>
    <w:rsid w:val="000E070F"/>
    <w:rsid w:val="000E093A"/>
    <w:rsid w:val="000E1572"/>
    <w:rsid w:val="000E2040"/>
    <w:rsid w:val="000E2376"/>
    <w:rsid w:val="000E2544"/>
    <w:rsid w:val="000E2656"/>
    <w:rsid w:val="000E2774"/>
    <w:rsid w:val="000E29C9"/>
    <w:rsid w:val="000E3F99"/>
    <w:rsid w:val="000E3FD7"/>
    <w:rsid w:val="000E3FE9"/>
    <w:rsid w:val="000E40DD"/>
    <w:rsid w:val="000E4320"/>
    <w:rsid w:val="000E45CE"/>
    <w:rsid w:val="000E45E1"/>
    <w:rsid w:val="000E4B19"/>
    <w:rsid w:val="000E6835"/>
    <w:rsid w:val="000E6DAB"/>
    <w:rsid w:val="000E7BA8"/>
    <w:rsid w:val="000E7E8D"/>
    <w:rsid w:val="000E7F08"/>
    <w:rsid w:val="000F030D"/>
    <w:rsid w:val="000F0503"/>
    <w:rsid w:val="000F11B2"/>
    <w:rsid w:val="000F13F9"/>
    <w:rsid w:val="000F1693"/>
    <w:rsid w:val="000F1CEA"/>
    <w:rsid w:val="000F2425"/>
    <w:rsid w:val="000F2525"/>
    <w:rsid w:val="000F27A0"/>
    <w:rsid w:val="000F2DDB"/>
    <w:rsid w:val="000F2EC8"/>
    <w:rsid w:val="000F2F09"/>
    <w:rsid w:val="000F2F1C"/>
    <w:rsid w:val="000F33AF"/>
    <w:rsid w:val="000F435D"/>
    <w:rsid w:val="000F46D5"/>
    <w:rsid w:val="000F4702"/>
    <w:rsid w:val="000F476B"/>
    <w:rsid w:val="000F49B5"/>
    <w:rsid w:val="000F4BE5"/>
    <w:rsid w:val="000F5488"/>
    <w:rsid w:val="000F594C"/>
    <w:rsid w:val="000F5DC4"/>
    <w:rsid w:val="000F5F7A"/>
    <w:rsid w:val="000F633F"/>
    <w:rsid w:val="000F6A80"/>
    <w:rsid w:val="000F6AC5"/>
    <w:rsid w:val="000F6B25"/>
    <w:rsid w:val="000F6FA4"/>
    <w:rsid w:val="000F7045"/>
    <w:rsid w:val="000F70EC"/>
    <w:rsid w:val="0010023B"/>
    <w:rsid w:val="0010123F"/>
    <w:rsid w:val="001012EE"/>
    <w:rsid w:val="0010131D"/>
    <w:rsid w:val="0010177C"/>
    <w:rsid w:val="00101DA5"/>
    <w:rsid w:val="0010202C"/>
    <w:rsid w:val="00102143"/>
    <w:rsid w:val="0010250F"/>
    <w:rsid w:val="00102854"/>
    <w:rsid w:val="00102C6F"/>
    <w:rsid w:val="00102D76"/>
    <w:rsid w:val="00103272"/>
    <w:rsid w:val="00103455"/>
    <w:rsid w:val="00104370"/>
    <w:rsid w:val="00104498"/>
    <w:rsid w:val="0010455D"/>
    <w:rsid w:val="0010469E"/>
    <w:rsid w:val="00104A65"/>
    <w:rsid w:val="00105129"/>
    <w:rsid w:val="0010559F"/>
    <w:rsid w:val="001056E7"/>
    <w:rsid w:val="0010605A"/>
    <w:rsid w:val="001067A8"/>
    <w:rsid w:val="0010696B"/>
    <w:rsid w:val="00106A64"/>
    <w:rsid w:val="00106FC5"/>
    <w:rsid w:val="00107909"/>
    <w:rsid w:val="00107EC5"/>
    <w:rsid w:val="0011053A"/>
    <w:rsid w:val="0011071C"/>
    <w:rsid w:val="00110744"/>
    <w:rsid w:val="0011087F"/>
    <w:rsid w:val="00110F40"/>
    <w:rsid w:val="00111121"/>
    <w:rsid w:val="00111897"/>
    <w:rsid w:val="00112503"/>
    <w:rsid w:val="0011278F"/>
    <w:rsid w:val="001128D4"/>
    <w:rsid w:val="00112D6B"/>
    <w:rsid w:val="00112EED"/>
    <w:rsid w:val="0011328F"/>
    <w:rsid w:val="001136DD"/>
    <w:rsid w:val="00113E45"/>
    <w:rsid w:val="00113EA5"/>
    <w:rsid w:val="00113EA6"/>
    <w:rsid w:val="0011439F"/>
    <w:rsid w:val="0011473F"/>
    <w:rsid w:val="00114CDB"/>
    <w:rsid w:val="00115189"/>
    <w:rsid w:val="001151C1"/>
    <w:rsid w:val="0011539B"/>
    <w:rsid w:val="00115685"/>
    <w:rsid w:val="00116CB5"/>
    <w:rsid w:val="0011705A"/>
    <w:rsid w:val="0011764A"/>
    <w:rsid w:val="00117DF0"/>
    <w:rsid w:val="0012049B"/>
    <w:rsid w:val="001219C2"/>
    <w:rsid w:val="0012243D"/>
    <w:rsid w:val="001229A0"/>
    <w:rsid w:val="00122CFD"/>
    <w:rsid w:val="00122FE0"/>
    <w:rsid w:val="00123D0E"/>
    <w:rsid w:val="00123E0E"/>
    <w:rsid w:val="00124A44"/>
    <w:rsid w:val="00124B85"/>
    <w:rsid w:val="00125098"/>
    <w:rsid w:val="001250CC"/>
    <w:rsid w:val="001254F4"/>
    <w:rsid w:val="00125707"/>
    <w:rsid w:val="00125D44"/>
    <w:rsid w:val="00125DEE"/>
    <w:rsid w:val="00126395"/>
    <w:rsid w:val="00126BE8"/>
    <w:rsid w:val="001273B5"/>
    <w:rsid w:val="00127986"/>
    <w:rsid w:val="00127E36"/>
    <w:rsid w:val="00130586"/>
    <w:rsid w:val="00130667"/>
    <w:rsid w:val="001306BE"/>
    <w:rsid w:val="00130BF0"/>
    <w:rsid w:val="00130EEF"/>
    <w:rsid w:val="00131E53"/>
    <w:rsid w:val="001323BF"/>
    <w:rsid w:val="001324A7"/>
    <w:rsid w:val="001324F3"/>
    <w:rsid w:val="00132778"/>
    <w:rsid w:val="00132785"/>
    <w:rsid w:val="00132D74"/>
    <w:rsid w:val="00133107"/>
    <w:rsid w:val="001331F5"/>
    <w:rsid w:val="00133396"/>
    <w:rsid w:val="00133785"/>
    <w:rsid w:val="00133AC1"/>
    <w:rsid w:val="00134787"/>
    <w:rsid w:val="001350BB"/>
    <w:rsid w:val="00135E96"/>
    <w:rsid w:val="00136316"/>
    <w:rsid w:val="00136376"/>
    <w:rsid w:val="00137071"/>
    <w:rsid w:val="00137AC5"/>
    <w:rsid w:val="001402DB"/>
    <w:rsid w:val="001409D9"/>
    <w:rsid w:val="00140F6E"/>
    <w:rsid w:val="001410B4"/>
    <w:rsid w:val="00141DD1"/>
    <w:rsid w:val="00142917"/>
    <w:rsid w:val="00142A0F"/>
    <w:rsid w:val="001432EE"/>
    <w:rsid w:val="00143965"/>
    <w:rsid w:val="001443AF"/>
    <w:rsid w:val="00144F03"/>
    <w:rsid w:val="00145176"/>
    <w:rsid w:val="00145EAA"/>
    <w:rsid w:val="0014657C"/>
    <w:rsid w:val="00146D50"/>
    <w:rsid w:val="00146F71"/>
    <w:rsid w:val="001472FB"/>
    <w:rsid w:val="0014741E"/>
    <w:rsid w:val="001474E0"/>
    <w:rsid w:val="00147AE0"/>
    <w:rsid w:val="0015008C"/>
    <w:rsid w:val="001505E7"/>
    <w:rsid w:val="001509CA"/>
    <w:rsid w:val="00150A00"/>
    <w:rsid w:val="00151071"/>
    <w:rsid w:val="0015109C"/>
    <w:rsid w:val="00151B44"/>
    <w:rsid w:val="00151BBB"/>
    <w:rsid w:val="00151D8A"/>
    <w:rsid w:val="001524C0"/>
    <w:rsid w:val="0015288B"/>
    <w:rsid w:val="00152985"/>
    <w:rsid w:val="00152B33"/>
    <w:rsid w:val="00153BEC"/>
    <w:rsid w:val="00153EC0"/>
    <w:rsid w:val="0015448C"/>
    <w:rsid w:val="0015481E"/>
    <w:rsid w:val="00154859"/>
    <w:rsid w:val="00154CC2"/>
    <w:rsid w:val="00155114"/>
    <w:rsid w:val="0015530E"/>
    <w:rsid w:val="001555FB"/>
    <w:rsid w:val="001556C9"/>
    <w:rsid w:val="00156555"/>
    <w:rsid w:val="00156B16"/>
    <w:rsid w:val="001570C4"/>
    <w:rsid w:val="00157134"/>
    <w:rsid w:val="001572F2"/>
    <w:rsid w:val="00157828"/>
    <w:rsid w:val="001579E7"/>
    <w:rsid w:val="00157B19"/>
    <w:rsid w:val="00157D54"/>
    <w:rsid w:val="001603CD"/>
    <w:rsid w:val="0016072E"/>
    <w:rsid w:val="00160870"/>
    <w:rsid w:val="00161A02"/>
    <w:rsid w:val="0016282F"/>
    <w:rsid w:val="0016283D"/>
    <w:rsid w:val="001628F4"/>
    <w:rsid w:val="00162CCF"/>
    <w:rsid w:val="00162D32"/>
    <w:rsid w:val="00163749"/>
    <w:rsid w:val="00163DBA"/>
    <w:rsid w:val="00164831"/>
    <w:rsid w:val="00164970"/>
    <w:rsid w:val="00164B62"/>
    <w:rsid w:val="00165E72"/>
    <w:rsid w:val="00165F2E"/>
    <w:rsid w:val="00166184"/>
    <w:rsid w:val="00166525"/>
    <w:rsid w:val="00166EC4"/>
    <w:rsid w:val="001671AC"/>
    <w:rsid w:val="00167476"/>
    <w:rsid w:val="00167619"/>
    <w:rsid w:val="00167763"/>
    <w:rsid w:val="0016776D"/>
    <w:rsid w:val="001679DC"/>
    <w:rsid w:val="00167B5D"/>
    <w:rsid w:val="00167E59"/>
    <w:rsid w:val="00170AEB"/>
    <w:rsid w:val="00170E37"/>
    <w:rsid w:val="00171AD8"/>
    <w:rsid w:val="001721BD"/>
    <w:rsid w:val="00172251"/>
    <w:rsid w:val="001734AB"/>
    <w:rsid w:val="0017440D"/>
    <w:rsid w:val="001747AD"/>
    <w:rsid w:val="001747DD"/>
    <w:rsid w:val="00175957"/>
    <w:rsid w:val="00175D2A"/>
    <w:rsid w:val="00176121"/>
    <w:rsid w:val="001768A4"/>
    <w:rsid w:val="00176EE9"/>
    <w:rsid w:val="001771A4"/>
    <w:rsid w:val="001779CC"/>
    <w:rsid w:val="00177DC1"/>
    <w:rsid w:val="00177E1E"/>
    <w:rsid w:val="001801BE"/>
    <w:rsid w:val="00180D43"/>
    <w:rsid w:val="00180F2A"/>
    <w:rsid w:val="00181174"/>
    <w:rsid w:val="00181402"/>
    <w:rsid w:val="0018155D"/>
    <w:rsid w:val="00181888"/>
    <w:rsid w:val="001822DF"/>
    <w:rsid w:val="001823F4"/>
    <w:rsid w:val="00182D7E"/>
    <w:rsid w:val="0018307D"/>
    <w:rsid w:val="001836AB"/>
    <w:rsid w:val="00183B7A"/>
    <w:rsid w:val="00184045"/>
    <w:rsid w:val="001840A5"/>
    <w:rsid w:val="00184E8A"/>
    <w:rsid w:val="00184F85"/>
    <w:rsid w:val="0018533B"/>
    <w:rsid w:val="001854F6"/>
    <w:rsid w:val="00185877"/>
    <w:rsid w:val="00186264"/>
    <w:rsid w:val="001867BF"/>
    <w:rsid w:val="001868F8"/>
    <w:rsid w:val="00187348"/>
    <w:rsid w:val="00187488"/>
    <w:rsid w:val="00187595"/>
    <w:rsid w:val="00190160"/>
    <w:rsid w:val="0019088A"/>
    <w:rsid w:val="00190FA3"/>
    <w:rsid w:val="001911AC"/>
    <w:rsid w:val="001919E9"/>
    <w:rsid w:val="00191B87"/>
    <w:rsid w:val="001924F4"/>
    <w:rsid w:val="00192744"/>
    <w:rsid w:val="00192F77"/>
    <w:rsid w:val="001930C5"/>
    <w:rsid w:val="0019394E"/>
    <w:rsid w:val="00193CB4"/>
    <w:rsid w:val="00194120"/>
    <w:rsid w:val="001959EF"/>
    <w:rsid w:val="00195AEE"/>
    <w:rsid w:val="00195E49"/>
    <w:rsid w:val="00195EBB"/>
    <w:rsid w:val="00196B16"/>
    <w:rsid w:val="0019727D"/>
    <w:rsid w:val="00197C28"/>
    <w:rsid w:val="001A0129"/>
    <w:rsid w:val="001A0143"/>
    <w:rsid w:val="001A01BB"/>
    <w:rsid w:val="001A0C98"/>
    <w:rsid w:val="001A134A"/>
    <w:rsid w:val="001A2115"/>
    <w:rsid w:val="001A2341"/>
    <w:rsid w:val="001A23D9"/>
    <w:rsid w:val="001A247C"/>
    <w:rsid w:val="001A2857"/>
    <w:rsid w:val="001A31ED"/>
    <w:rsid w:val="001A3980"/>
    <w:rsid w:val="001A3BCE"/>
    <w:rsid w:val="001A3BE2"/>
    <w:rsid w:val="001A4139"/>
    <w:rsid w:val="001A44B3"/>
    <w:rsid w:val="001A4657"/>
    <w:rsid w:val="001A4878"/>
    <w:rsid w:val="001A523B"/>
    <w:rsid w:val="001A531E"/>
    <w:rsid w:val="001A5CBF"/>
    <w:rsid w:val="001A5FF4"/>
    <w:rsid w:val="001A627D"/>
    <w:rsid w:val="001A6A25"/>
    <w:rsid w:val="001A6CA7"/>
    <w:rsid w:val="001A73F1"/>
    <w:rsid w:val="001A741B"/>
    <w:rsid w:val="001A74C8"/>
    <w:rsid w:val="001A7742"/>
    <w:rsid w:val="001A7D28"/>
    <w:rsid w:val="001B023A"/>
    <w:rsid w:val="001B0254"/>
    <w:rsid w:val="001B05C4"/>
    <w:rsid w:val="001B102B"/>
    <w:rsid w:val="001B120B"/>
    <w:rsid w:val="001B12A6"/>
    <w:rsid w:val="001B140A"/>
    <w:rsid w:val="001B1531"/>
    <w:rsid w:val="001B1BF4"/>
    <w:rsid w:val="001B1D17"/>
    <w:rsid w:val="001B1F77"/>
    <w:rsid w:val="001B21AE"/>
    <w:rsid w:val="001B2660"/>
    <w:rsid w:val="001B26BD"/>
    <w:rsid w:val="001B2CB5"/>
    <w:rsid w:val="001B2E7B"/>
    <w:rsid w:val="001B37CD"/>
    <w:rsid w:val="001B38F2"/>
    <w:rsid w:val="001B3FB3"/>
    <w:rsid w:val="001B4170"/>
    <w:rsid w:val="001B4271"/>
    <w:rsid w:val="001B44EE"/>
    <w:rsid w:val="001B4EA5"/>
    <w:rsid w:val="001B50B8"/>
    <w:rsid w:val="001B51C6"/>
    <w:rsid w:val="001B52E7"/>
    <w:rsid w:val="001B5499"/>
    <w:rsid w:val="001B5725"/>
    <w:rsid w:val="001B5B10"/>
    <w:rsid w:val="001B6C12"/>
    <w:rsid w:val="001B6D4D"/>
    <w:rsid w:val="001B7088"/>
    <w:rsid w:val="001B7694"/>
    <w:rsid w:val="001B7B7C"/>
    <w:rsid w:val="001B7D0F"/>
    <w:rsid w:val="001B7F1A"/>
    <w:rsid w:val="001C0D64"/>
    <w:rsid w:val="001C1392"/>
    <w:rsid w:val="001C13DF"/>
    <w:rsid w:val="001C16C0"/>
    <w:rsid w:val="001C1E94"/>
    <w:rsid w:val="001C24B0"/>
    <w:rsid w:val="001C2BA5"/>
    <w:rsid w:val="001C2C2A"/>
    <w:rsid w:val="001C3443"/>
    <w:rsid w:val="001C347F"/>
    <w:rsid w:val="001C3480"/>
    <w:rsid w:val="001C39D0"/>
    <w:rsid w:val="001C3A05"/>
    <w:rsid w:val="001C3D04"/>
    <w:rsid w:val="001C3D30"/>
    <w:rsid w:val="001C4289"/>
    <w:rsid w:val="001C45EA"/>
    <w:rsid w:val="001C4AF9"/>
    <w:rsid w:val="001C4E14"/>
    <w:rsid w:val="001C5557"/>
    <w:rsid w:val="001C58BF"/>
    <w:rsid w:val="001C5CA8"/>
    <w:rsid w:val="001C6166"/>
    <w:rsid w:val="001C6416"/>
    <w:rsid w:val="001C66BC"/>
    <w:rsid w:val="001C6E5A"/>
    <w:rsid w:val="001C6F60"/>
    <w:rsid w:val="001C755D"/>
    <w:rsid w:val="001C7897"/>
    <w:rsid w:val="001C79CB"/>
    <w:rsid w:val="001C7AB7"/>
    <w:rsid w:val="001C7F2A"/>
    <w:rsid w:val="001D08F9"/>
    <w:rsid w:val="001D0E27"/>
    <w:rsid w:val="001D16A2"/>
    <w:rsid w:val="001D16D7"/>
    <w:rsid w:val="001D1F64"/>
    <w:rsid w:val="001D2293"/>
    <w:rsid w:val="001D2FE6"/>
    <w:rsid w:val="001D3409"/>
    <w:rsid w:val="001D396B"/>
    <w:rsid w:val="001D4848"/>
    <w:rsid w:val="001D4B9D"/>
    <w:rsid w:val="001D4D48"/>
    <w:rsid w:val="001D5403"/>
    <w:rsid w:val="001D5604"/>
    <w:rsid w:val="001D62EA"/>
    <w:rsid w:val="001D6599"/>
    <w:rsid w:val="001D67C3"/>
    <w:rsid w:val="001D6BE2"/>
    <w:rsid w:val="001D6D7C"/>
    <w:rsid w:val="001D7382"/>
    <w:rsid w:val="001D7C60"/>
    <w:rsid w:val="001E00BD"/>
    <w:rsid w:val="001E0189"/>
    <w:rsid w:val="001E01BA"/>
    <w:rsid w:val="001E0C80"/>
    <w:rsid w:val="001E0F5B"/>
    <w:rsid w:val="001E119C"/>
    <w:rsid w:val="001E2301"/>
    <w:rsid w:val="001E2E14"/>
    <w:rsid w:val="001E307C"/>
    <w:rsid w:val="001E332C"/>
    <w:rsid w:val="001E38BF"/>
    <w:rsid w:val="001E38FD"/>
    <w:rsid w:val="001E39E5"/>
    <w:rsid w:val="001E3A2B"/>
    <w:rsid w:val="001E3EF1"/>
    <w:rsid w:val="001E4506"/>
    <w:rsid w:val="001E538F"/>
    <w:rsid w:val="001E5979"/>
    <w:rsid w:val="001E5A75"/>
    <w:rsid w:val="001E6127"/>
    <w:rsid w:val="001E63FC"/>
    <w:rsid w:val="001E643F"/>
    <w:rsid w:val="001E6ACE"/>
    <w:rsid w:val="001E6B9D"/>
    <w:rsid w:val="001E7AE4"/>
    <w:rsid w:val="001E7EA7"/>
    <w:rsid w:val="001F0111"/>
    <w:rsid w:val="001F052B"/>
    <w:rsid w:val="001F0593"/>
    <w:rsid w:val="001F0B2D"/>
    <w:rsid w:val="001F0D60"/>
    <w:rsid w:val="001F16C7"/>
    <w:rsid w:val="001F1711"/>
    <w:rsid w:val="001F20EE"/>
    <w:rsid w:val="001F2100"/>
    <w:rsid w:val="001F2830"/>
    <w:rsid w:val="001F2920"/>
    <w:rsid w:val="001F2F4B"/>
    <w:rsid w:val="001F3988"/>
    <w:rsid w:val="001F3BBE"/>
    <w:rsid w:val="001F3D6A"/>
    <w:rsid w:val="001F4188"/>
    <w:rsid w:val="001F4225"/>
    <w:rsid w:val="001F446D"/>
    <w:rsid w:val="001F493C"/>
    <w:rsid w:val="001F5039"/>
    <w:rsid w:val="001F5AC3"/>
    <w:rsid w:val="001F5C31"/>
    <w:rsid w:val="001F6030"/>
    <w:rsid w:val="001F6487"/>
    <w:rsid w:val="001F71CC"/>
    <w:rsid w:val="001F73EA"/>
    <w:rsid w:val="001F7476"/>
    <w:rsid w:val="002004D6"/>
    <w:rsid w:val="00200797"/>
    <w:rsid w:val="00200AA7"/>
    <w:rsid w:val="00200D6E"/>
    <w:rsid w:val="00200E8E"/>
    <w:rsid w:val="0020137C"/>
    <w:rsid w:val="00201704"/>
    <w:rsid w:val="00201936"/>
    <w:rsid w:val="00201F3E"/>
    <w:rsid w:val="00202198"/>
    <w:rsid w:val="0020221E"/>
    <w:rsid w:val="00202742"/>
    <w:rsid w:val="0020282E"/>
    <w:rsid w:val="002028F3"/>
    <w:rsid w:val="00202ACE"/>
    <w:rsid w:val="00204058"/>
    <w:rsid w:val="00204507"/>
    <w:rsid w:val="00204D6F"/>
    <w:rsid w:val="002054DD"/>
    <w:rsid w:val="002059A8"/>
    <w:rsid w:val="00205FB6"/>
    <w:rsid w:val="002065DF"/>
    <w:rsid w:val="00206687"/>
    <w:rsid w:val="00206D7E"/>
    <w:rsid w:val="002100F4"/>
    <w:rsid w:val="00210A6E"/>
    <w:rsid w:val="00210BF0"/>
    <w:rsid w:val="00210E43"/>
    <w:rsid w:val="002110F8"/>
    <w:rsid w:val="00211293"/>
    <w:rsid w:val="002117E7"/>
    <w:rsid w:val="00212585"/>
    <w:rsid w:val="00212817"/>
    <w:rsid w:val="00213102"/>
    <w:rsid w:val="00213800"/>
    <w:rsid w:val="0021389C"/>
    <w:rsid w:val="00213C4A"/>
    <w:rsid w:val="00213CB2"/>
    <w:rsid w:val="00213DC3"/>
    <w:rsid w:val="00213E0E"/>
    <w:rsid w:val="00214D55"/>
    <w:rsid w:val="00214FDA"/>
    <w:rsid w:val="002152D7"/>
    <w:rsid w:val="00215504"/>
    <w:rsid w:val="00215548"/>
    <w:rsid w:val="0021573E"/>
    <w:rsid w:val="00215F60"/>
    <w:rsid w:val="00216478"/>
    <w:rsid w:val="0021658B"/>
    <w:rsid w:val="002169DE"/>
    <w:rsid w:val="00216D45"/>
    <w:rsid w:val="00216D67"/>
    <w:rsid w:val="0021767A"/>
    <w:rsid w:val="00217697"/>
    <w:rsid w:val="00217BB3"/>
    <w:rsid w:val="00217CA0"/>
    <w:rsid w:val="002200A7"/>
    <w:rsid w:val="00220265"/>
    <w:rsid w:val="00220C99"/>
    <w:rsid w:val="00221103"/>
    <w:rsid w:val="002212F3"/>
    <w:rsid w:val="00221AC2"/>
    <w:rsid w:val="00221B71"/>
    <w:rsid w:val="00221C2F"/>
    <w:rsid w:val="00222313"/>
    <w:rsid w:val="00222433"/>
    <w:rsid w:val="00222596"/>
    <w:rsid w:val="002229FF"/>
    <w:rsid w:val="00222AC6"/>
    <w:rsid w:val="00222BFC"/>
    <w:rsid w:val="00222C60"/>
    <w:rsid w:val="00222CD3"/>
    <w:rsid w:val="0022315F"/>
    <w:rsid w:val="002236E0"/>
    <w:rsid w:val="002236E8"/>
    <w:rsid w:val="002237DA"/>
    <w:rsid w:val="00224016"/>
    <w:rsid w:val="00224828"/>
    <w:rsid w:val="002249DB"/>
    <w:rsid w:val="00224E35"/>
    <w:rsid w:val="00224FE5"/>
    <w:rsid w:val="002253C0"/>
    <w:rsid w:val="0022597E"/>
    <w:rsid w:val="00225D42"/>
    <w:rsid w:val="00225F06"/>
    <w:rsid w:val="0022648C"/>
    <w:rsid w:val="002265B5"/>
    <w:rsid w:val="00227017"/>
    <w:rsid w:val="0022724E"/>
    <w:rsid w:val="0022725C"/>
    <w:rsid w:val="00227367"/>
    <w:rsid w:val="002277A0"/>
    <w:rsid w:val="00227983"/>
    <w:rsid w:val="002300C6"/>
    <w:rsid w:val="002301C6"/>
    <w:rsid w:val="002303B3"/>
    <w:rsid w:val="00230539"/>
    <w:rsid w:val="002305D2"/>
    <w:rsid w:val="00231D17"/>
    <w:rsid w:val="00231EA7"/>
    <w:rsid w:val="00232217"/>
    <w:rsid w:val="00232702"/>
    <w:rsid w:val="0023276A"/>
    <w:rsid w:val="002327CE"/>
    <w:rsid w:val="00232B5F"/>
    <w:rsid w:val="00232C9F"/>
    <w:rsid w:val="0023338D"/>
    <w:rsid w:val="00233408"/>
    <w:rsid w:val="00233577"/>
    <w:rsid w:val="00234181"/>
    <w:rsid w:val="0023488F"/>
    <w:rsid w:val="00234C9A"/>
    <w:rsid w:val="00234E7D"/>
    <w:rsid w:val="0023531F"/>
    <w:rsid w:val="0023571F"/>
    <w:rsid w:val="002357EA"/>
    <w:rsid w:val="00235897"/>
    <w:rsid w:val="002367E6"/>
    <w:rsid w:val="00236E33"/>
    <w:rsid w:val="0023700C"/>
    <w:rsid w:val="00237276"/>
    <w:rsid w:val="0023738B"/>
    <w:rsid w:val="00237517"/>
    <w:rsid w:val="0023754D"/>
    <w:rsid w:val="0023769E"/>
    <w:rsid w:val="002376B2"/>
    <w:rsid w:val="00237AA3"/>
    <w:rsid w:val="00237C62"/>
    <w:rsid w:val="002409C1"/>
    <w:rsid w:val="00241190"/>
    <w:rsid w:val="00241358"/>
    <w:rsid w:val="002416A9"/>
    <w:rsid w:val="00241845"/>
    <w:rsid w:val="00241D5D"/>
    <w:rsid w:val="00242134"/>
    <w:rsid w:val="002423CA"/>
    <w:rsid w:val="00242DCC"/>
    <w:rsid w:val="002431DE"/>
    <w:rsid w:val="00243398"/>
    <w:rsid w:val="0024353A"/>
    <w:rsid w:val="00243C61"/>
    <w:rsid w:val="002446F1"/>
    <w:rsid w:val="00244957"/>
    <w:rsid w:val="002450B6"/>
    <w:rsid w:val="002451F8"/>
    <w:rsid w:val="00245325"/>
    <w:rsid w:val="00245C0D"/>
    <w:rsid w:val="00245E37"/>
    <w:rsid w:val="0024629E"/>
    <w:rsid w:val="002462A3"/>
    <w:rsid w:val="002468EC"/>
    <w:rsid w:val="00246BCA"/>
    <w:rsid w:val="00246EA2"/>
    <w:rsid w:val="00246EFA"/>
    <w:rsid w:val="00246FD6"/>
    <w:rsid w:val="002476D8"/>
    <w:rsid w:val="00247AAC"/>
    <w:rsid w:val="00247B36"/>
    <w:rsid w:val="00250176"/>
    <w:rsid w:val="0025032B"/>
    <w:rsid w:val="002506A3"/>
    <w:rsid w:val="00250BAF"/>
    <w:rsid w:val="00250DF2"/>
    <w:rsid w:val="00251C24"/>
    <w:rsid w:val="00251CF4"/>
    <w:rsid w:val="00251F24"/>
    <w:rsid w:val="0025267A"/>
    <w:rsid w:val="00252684"/>
    <w:rsid w:val="0025290C"/>
    <w:rsid w:val="00252A9F"/>
    <w:rsid w:val="00252D90"/>
    <w:rsid w:val="00253022"/>
    <w:rsid w:val="00253568"/>
    <w:rsid w:val="0025363F"/>
    <w:rsid w:val="00253675"/>
    <w:rsid w:val="00253896"/>
    <w:rsid w:val="002540B2"/>
    <w:rsid w:val="002542E2"/>
    <w:rsid w:val="002542F2"/>
    <w:rsid w:val="002547C1"/>
    <w:rsid w:val="00254DF6"/>
    <w:rsid w:val="00255838"/>
    <w:rsid w:val="00255A1F"/>
    <w:rsid w:val="00255BA9"/>
    <w:rsid w:val="0025607F"/>
    <w:rsid w:val="00256212"/>
    <w:rsid w:val="002562F9"/>
    <w:rsid w:val="00256F89"/>
    <w:rsid w:val="00257473"/>
    <w:rsid w:val="00257F35"/>
    <w:rsid w:val="00257FBC"/>
    <w:rsid w:val="0025F08F"/>
    <w:rsid w:val="00260A5B"/>
    <w:rsid w:val="00260A8F"/>
    <w:rsid w:val="00260AA2"/>
    <w:rsid w:val="002610A8"/>
    <w:rsid w:val="00261201"/>
    <w:rsid w:val="00261229"/>
    <w:rsid w:val="002612D5"/>
    <w:rsid w:val="0026145C"/>
    <w:rsid w:val="002618F4"/>
    <w:rsid w:val="00261AD1"/>
    <w:rsid w:val="00261B63"/>
    <w:rsid w:val="00261FA0"/>
    <w:rsid w:val="002625C0"/>
    <w:rsid w:val="00262B48"/>
    <w:rsid w:val="00262C1B"/>
    <w:rsid w:val="002630FB"/>
    <w:rsid w:val="0026352F"/>
    <w:rsid w:val="00263709"/>
    <w:rsid w:val="00263AD0"/>
    <w:rsid w:val="002647D2"/>
    <w:rsid w:val="0026485D"/>
    <w:rsid w:val="002648B0"/>
    <w:rsid w:val="00264C8C"/>
    <w:rsid w:val="00264E1F"/>
    <w:rsid w:val="002650A8"/>
    <w:rsid w:val="0026520D"/>
    <w:rsid w:val="0026568B"/>
    <w:rsid w:val="002664C7"/>
    <w:rsid w:val="00266901"/>
    <w:rsid w:val="002675E9"/>
    <w:rsid w:val="002678CE"/>
    <w:rsid w:val="00267A21"/>
    <w:rsid w:val="0027034D"/>
    <w:rsid w:val="002703D2"/>
    <w:rsid w:val="002705E0"/>
    <w:rsid w:val="0027180E"/>
    <w:rsid w:val="00271917"/>
    <w:rsid w:val="00271C8B"/>
    <w:rsid w:val="00272050"/>
    <w:rsid w:val="0027278D"/>
    <w:rsid w:val="00272F65"/>
    <w:rsid w:val="00273432"/>
    <w:rsid w:val="002735FE"/>
    <w:rsid w:val="00273C4E"/>
    <w:rsid w:val="0027426D"/>
    <w:rsid w:val="00275420"/>
    <w:rsid w:val="002754C0"/>
    <w:rsid w:val="00275B99"/>
    <w:rsid w:val="00276720"/>
    <w:rsid w:val="00276B41"/>
    <w:rsid w:val="00276CA2"/>
    <w:rsid w:val="00276CFC"/>
    <w:rsid w:val="00277037"/>
    <w:rsid w:val="00277058"/>
    <w:rsid w:val="00277398"/>
    <w:rsid w:val="00277E76"/>
    <w:rsid w:val="0028058F"/>
    <w:rsid w:val="002805FD"/>
    <w:rsid w:val="002806C8"/>
    <w:rsid w:val="0028072E"/>
    <w:rsid w:val="002808D3"/>
    <w:rsid w:val="00280B99"/>
    <w:rsid w:val="0028380D"/>
    <w:rsid w:val="00283B5F"/>
    <w:rsid w:val="00283C5E"/>
    <w:rsid w:val="00284A6D"/>
    <w:rsid w:val="00284BE8"/>
    <w:rsid w:val="00284D7C"/>
    <w:rsid w:val="00285866"/>
    <w:rsid w:val="00285ACE"/>
    <w:rsid w:val="00285E2F"/>
    <w:rsid w:val="0028628A"/>
    <w:rsid w:val="002867FC"/>
    <w:rsid w:val="00286E2E"/>
    <w:rsid w:val="0028704E"/>
    <w:rsid w:val="0028748B"/>
    <w:rsid w:val="002874D5"/>
    <w:rsid w:val="002901F9"/>
    <w:rsid w:val="002908D1"/>
    <w:rsid w:val="00290BFA"/>
    <w:rsid w:val="00290CAD"/>
    <w:rsid w:val="00290EFB"/>
    <w:rsid w:val="00290FCC"/>
    <w:rsid w:val="002910E4"/>
    <w:rsid w:val="002917CA"/>
    <w:rsid w:val="00291B04"/>
    <w:rsid w:val="002920FF"/>
    <w:rsid w:val="00292409"/>
    <w:rsid w:val="00292A20"/>
    <w:rsid w:val="00293629"/>
    <w:rsid w:val="00293AA7"/>
    <w:rsid w:val="00294855"/>
    <w:rsid w:val="0029520F"/>
    <w:rsid w:val="00295225"/>
    <w:rsid w:val="0029529A"/>
    <w:rsid w:val="0029630E"/>
    <w:rsid w:val="00296436"/>
    <w:rsid w:val="0029672F"/>
    <w:rsid w:val="002967B4"/>
    <w:rsid w:val="00297074"/>
    <w:rsid w:val="0029726D"/>
    <w:rsid w:val="0029726F"/>
    <w:rsid w:val="00297D40"/>
    <w:rsid w:val="002A04D3"/>
    <w:rsid w:val="002A07FE"/>
    <w:rsid w:val="002A09D5"/>
    <w:rsid w:val="002A1594"/>
    <w:rsid w:val="002A1B49"/>
    <w:rsid w:val="002A1CBF"/>
    <w:rsid w:val="002A270D"/>
    <w:rsid w:val="002A2727"/>
    <w:rsid w:val="002A3365"/>
    <w:rsid w:val="002A4991"/>
    <w:rsid w:val="002A4B85"/>
    <w:rsid w:val="002A4F4B"/>
    <w:rsid w:val="002A5969"/>
    <w:rsid w:val="002A5BC5"/>
    <w:rsid w:val="002A6505"/>
    <w:rsid w:val="002A6913"/>
    <w:rsid w:val="002A6A09"/>
    <w:rsid w:val="002A789A"/>
    <w:rsid w:val="002A7C84"/>
    <w:rsid w:val="002B004B"/>
    <w:rsid w:val="002B0564"/>
    <w:rsid w:val="002B1090"/>
    <w:rsid w:val="002B15B5"/>
    <w:rsid w:val="002B1600"/>
    <w:rsid w:val="002B162E"/>
    <w:rsid w:val="002B1A07"/>
    <w:rsid w:val="002B248A"/>
    <w:rsid w:val="002B28D6"/>
    <w:rsid w:val="002B2A14"/>
    <w:rsid w:val="002B2BA3"/>
    <w:rsid w:val="002B2E36"/>
    <w:rsid w:val="002B31BE"/>
    <w:rsid w:val="002B3E36"/>
    <w:rsid w:val="002B49AA"/>
    <w:rsid w:val="002B5403"/>
    <w:rsid w:val="002B5492"/>
    <w:rsid w:val="002B59CE"/>
    <w:rsid w:val="002B5B50"/>
    <w:rsid w:val="002B5CD1"/>
    <w:rsid w:val="002B5DC6"/>
    <w:rsid w:val="002B5F2D"/>
    <w:rsid w:val="002B66BD"/>
    <w:rsid w:val="002B74B8"/>
    <w:rsid w:val="002C0206"/>
    <w:rsid w:val="002C03D1"/>
    <w:rsid w:val="002C053E"/>
    <w:rsid w:val="002C06FD"/>
    <w:rsid w:val="002C1068"/>
    <w:rsid w:val="002C1251"/>
    <w:rsid w:val="002C1781"/>
    <w:rsid w:val="002C1C33"/>
    <w:rsid w:val="002C1FEC"/>
    <w:rsid w:val="002C2E10"/>
    <w:rsid w:val="002C3030"/>
    <w:rsid w:val="002C33F4"/>
    <w:rsid w:val="002C37D9"/>
    <w:rsid w:val="002C37DC"/>
    <w:rsid w:val="002C3986"/>
    <w:rsid w:val="002C3C97"/>
    <w:rsid w:val="002C41E3"/>
    <w:rsid w:val="002C41F1"/>
    <w:rsid w:val="002C4D74"/>
    <w:rsid w:val="002C5369"/>
    <w:rsid w:val="002C5525"/>
    <w:rsid w:val="002C5671"/>
    <w:rsid w:val="002C5755"/>
    <w:rsid w:val="002C6263"/>
    <w:rsid w:val="002C66A4"/>
    <w:rsid w:val="002C674A"/>
    <w:rsid w:val="002C7419"/>
    <w:rsid w:val="002C783E"/>
    <w:rsid w:val="002C96AB"/>
    <w:rsid w:val="002D0DE1"/>
    <w:rsid w:val="002D1AB0"/>
    <w:rsid w:val="002D2A24"/>
    <w:rsid w:val="002D2C75"/>
    <w:rsid w:val="002D2E42"/>
    <w:rsid w:val="002D30D8"/>
    <w:rsid w:val="002D315F"/>
    <w:rsid w:val="002D31AA"/>
    <w:rsid w:val="002D31E5"/>
    <w:rsid w:val="002D36DF"/>
    <w:rsid w:val="002D3982"/>
    <w:rsid w:val="002D3A1B"/>
    <w:rsid w:val="002D3DAF"/>
    <w:rsid w:val="002D4561"/>
    <w:rsid w:val="002D469C"/>
    <w:rsid w:val="002D46C0"/>
    <w:rsid w:val="002D4A72"/>
    <w:rsid w:val="002D4E10"/>
    <w:rsid w:val="002D4F6A"/>
    <w:rsid w:val="002D6147"/>
    <w:rsid w:val="002D6B9E"/>
    <w:rsid w:val="002D7156"/>
    <w:rsid w:val="002D7779"/>
    <w:rsid w:val="002D7CBD"/>
    <w:rsid w:val="002E03F5"/>
    <w:rsid w:val="002E053A"/>
    <w:rsid w:val="002E0AFE"/>
    <w:rsid w:val="002E0CF1"/>
    <w:rsid w:val="002E0DDB"/>
    <w:rsid w:val="002E0E83"/>
    <w:rsid w:val="002E10A2"/>
    <w:rsid w:val="002E136A"/>
    <w:rsid w:val="002E17A9"/>
    <w:rsid w:val="002E1B35"/>
    <w:rsid w:val="002E1F45"/>
    <w:rsid w:val="002E202B"/>
    <w:rsid w:val="002E2061"/>
    <w:rsid w:val="002E2164"/>
    <w:rsid w:val="002E2229"/>
    <w:rsid w:val="002E2434"/>
    <w:rsid w:val="002E246B"/>
    <w:rsid w:val="002E28EA"/>
    <w:rsid w:val="002E3720"/>
    <w:rsid w:val="002E38D2"/>
    <w:rsid w:val="002E40F2"/>
    <w:rsid w:val="002E4367"/>
    <w:rsid w:val="002E4729"/>
    <w:rsid w:val="002E4828"/>
    <w:rsid w:val="002E4EB7"/>
    <w:rsid w:val="002E5295"/>
    <w:rsid w:val="002E587F"/>
    <w:rsid w:val="002E5D77"/>
    <w:rsid w:val="002E609B"/>
    <w:rsid w:val="002E61DB"/>
    <w:rsid w:val="002E6340"/>
    <w:rsid w:val="002E6401"/>
    <w:rsid w:val="002E6DD4"/>
    <w:rsid w:val="002E7204"/>
    <w:rsid w:val="002F01CC"/>
    <w:rsid w:val="002F07EA"/>
    <w:rsid w:val="002F0937"/>
    <w:rsid w:val="002F098B"/>
    <w:rsid w:val="002F0B4B"/>
    <w:rsid w:val="002F0FB3"/>
    <w:rsid w:val="002F1163"/>
    <w:rsid w:val="002F170E"/>
    <w:rsid w:val="002F1920"/>
    <w:rsid w:val="002F19BB"/>
    <w:rsid w:val="002F1E8D"/>
    <w:rsid w:val="002F24CE"/>
    <w:rsid w:val="002F2663"/>
    <w:rsid w:val="002F293A"/>
    <w:rsid w:val="002F39A7"/>
    <w:rsid w:val="002F3C9D"/>
    <w:rsid w:val="002F4A67"/>
    <w:rsid w:val="002F4A87"/>
    <w:rsid w:val="002F4BB4"/>
    <w:rsid w:val="002F5571"/>
    <w:rsid w:val="002F6237"/>
    <w:rsid w:val="002F65D8"/>
    <w:rsid w:val="002F78EA"/>
    <w:rsid w:val="002F7BFD"/>
    <w:rsid w:val="002F7E28"/>
    <w:rsid w:val="00300224"/>
    <w:rsid w:val="003006B0"/>
    <w:rsid w:val="003012AB"/>
    <w:rsid w:val="0030167E"/>
    <w:rsid w:val="00301777"/>
    <w:rsid w:val="00302425"/>
    <w:rsid w:val="00302C3F"/>
    <w:rsid w:val="003036CA"/>
    <w:rsid w:val="00303FCE"/>
    <w:rsid w:val="00304CA5"/>
    <w:rsid w:val="0030510F"/>
    <w:rsid w:val="0030572F"/>
    <w:rsid w:val="00305CBA"/>
    <w:rsid w:val="00306163"/>
    <w:rsid w:val="00306AD1"/>
    <w:rsid w:val="00306C00"/>
    <w:rsid w:val="00306F71"/>
    <w:rsid w:val="00306F8E"/>
    <w:rsid w:val="00307063"/>
    <w:rsid w:val="003073B2"/>
    <w:rsid w:val="0030795C"/>
    <w:rsid w:val="00307CC4"/>
    <w:rsid w:val="00307D5E"/>
    <w:rsid w:val="003105C6"/>
    <w:rsid w:val="00310DAB"/>
    <w:rsid w:val="00310F05"/>
    <w:rsid w:val="00310F96"/>
    <w:rsid w:val="00311119"/>
    <w:rsid w:val="00311498"/>
    <w:rsid w:val="00311B2D"/>
    <w:rsid w:val="00311B69"/>
    <w:rsid w:val="00312202"/>
    <w:rsid w:val="00312304"/>
    <w:rsid w:val="003124F8"/>
    <w:rsid w:val="00312BA3"/>
    <w:rsid w:val="003132E6"/>
    <w:rsid w:val="003137B9"/>
    <w:rsid w:val="003138BF"/>
    <w:rsid w:val="003138E2"/>
    <w:rsid w:val="00313C7F"/>
    <w:rsid w:val="00313D20"/>
    <w:rsid w:val="00313FC3"/>
    <w:rsid w:val="0031405B"/>
    <w:rsid w:val="003140E0"/>
    <w:rsid w:val="003141F6"/>
    <w:rsid w:val="003143F7"/>
    <w:rsid w:val="003149E9"/>
    <w:rsid w:val="00314F08"/>
    <w:rsid w:val="00315102"/>
    <w:rsid w:val="003156F7"/>
    <w:rsid w:val="00315954"/>
    <w:rsid w:val="003159DC"/>
    <w:rsid w:val="0031725E"/>
    <w:rsid w:val="00320BB4"/>
    <w:rsid w:val="0032167F"/>
    <w:rsid w:val="0032170D"/>
    <w:rsid w:val="003217A9"/>
    <w:rsid w:val="003218D7"/>
    <w:rsid w:val="00321A3B"/>
    <w:rsid w:val="00321D54"/>
    <w:rsid w:val="003220BD"/>
    <w:rsid w:val="0032212C"/>
    <w:rsid w:val="003223B8"/>
    <w:rsid w:val="00324AA7"/>
    <w:rsid w:val="00324D7F"/>
    <w:rsid w:val="003250F5"/>
    <w:rsid w:val="00325654"/>
    <w:rsid w:val="003259DA"/>
    <w:rsid w:val="00325F47"/>
    <w:rsid w:val="00326075"/>
    <w:rsid w:val="0032635E"/>
    <w:rsid w:val="00327392"/>
    <w:rsid w:val="00327BFD"/>
    <w:rsid w:val="00327CD6"/>
    <w:rsid w:val="00327F55"/>
    <w:rsid w:val="003300FF"/>
    <w:rsid w:val="00330199"/>
    <w:rsid w:val="00330327"/>
    <w:rsid w:val="00330A6B"/>
    <w:rsid w:val="00331C37"/>
    <w:rsid w:val="00331C54"/>
    <w:rsid w:val="00331FE6"/>
    <w:rsid w:val="00332BAD"/>
    <w:rsid w:val="00332C70"/>
    <w:rsid w:val="00332E7A"/>
    <w:rsid w:val="00333A44"/>
    <w:rsid w:val="00333C8A"/>
    <w:rsid w:val="00334093"/>
    <w:rsid w:val="00334118"/>
    <w:rsid w:val="00334E5F"/>
    <w:rsid w:val="0033503C"/>
    <w:rsid w:val="00335D76"/>
    <w:rsid w:val="0033679B"/>
    <w:rsid w:val="003368EB"/>
    <w:rsid w:val="00336D36"/>
    <w:rsid w:val="0033732D"/>
    <w:rsid w:val="003374C1"/>
    <w:rsid w:val="00337849"/>
    <w:rsid w:val="00337BEA"/>
    <w:rsid w:val="00340094"/>
    <w:rsid w:val="003400BB"/>
    <w:rsid w:val="00340130"/>
    <w:rsid w:val="0034021C"/>
    <w:rsid w:val="003403E1"/>
    <w:rsid w:val="00341731"/>
    <w:rsid w:val="00342B6A"/>
    <w:rsid w:val="00342C4B"/>
    <w:rsid w:val="00342F1D"/>
    <w:rsid w:val="00343091"/>
    <w:rsid w:val="003434F2"/>
    <w:rsid w:val="003438E8"/>
    <w:rsid w:val="00343A9C"/>
    <w:rsid w:val="00343C28"/>
    <w:rsid w:val="00343F0D"/>
    <w:rsid w:val="00343FC4"/>
    <w:rsid w:val="00344294"/>
    <w:rsid w:val="00345121"/>
    <w:rsid w:val="003452B1"/>
    <w:rsid w:val="003459F8"/>
    <w:rsid w:val="00345A82"/>
    <w:rsid w:val="00345E53"/>
    <w:rsid w:val="00346736"/>
    <w:rsid w:val="00346A34"/>
    <w:rsid w:val="00346C65"/>
    <w:rsid w:val="0034786E"/>
    <w:rsid w:val="003478F3"/>
    <w:rsid w:val="00347A8B"/>
    <w:rsid w:val="00347FF9"/>
    <w:rsid w:val="00350DDB"/>
    <w:rsid w:val="00351133"/>
    <w:rsid w:val="003520A1"/>
    <w:rsid w:val="00352A45"/>
    <w:rsid w:val="00352C6E"/>
    <w:rsid w:val="00352FB3"/>
    <w:rsid w:val="00353246"/>
    <w:rsid w:val="00353D40"/>
    <w:rsid w:val="00354479"/>
    <w:rsid w:val="00355430"/>
    <w:rsid w:val="003556A3"/>
    <w:rsid w:val="003558BE"/>
    <w:rsid w:val="00355903"/>
    <w:rsid w:val="00355982"/>
    <w:rsid w:val="00356773"/>
    <w:rsid w:val="00356E89"/>
    <w:rsid w:val="00357117"/>
    <w:rsid w:val="00357CD1"/>
    <w:rsid w:val="00357F63"/>
    <w:rsid w:val="00357F8E"/>
    <w:rsid w:val="00360F19"/>
    <w:rsid w:val="0036112F"/>
    <w:rsid w:val="003616A1"/>
    <w:rsid w:val="0036172B"/>
    <w:rsid w:val="00361D60"/>
    <w:rsid w:val="00362127"/>
    <w:rsid w:val="00362574"/>
    <w:rsid w:val="0036264E"/>
    <w:rsid w:val="003626F5"/>
    <w:rsid w:val="00363336"/>
    <w:rsid w:val="00363969"/>
    <w:rsid w:val="00363B53"/>
    <w:rsid w:val="0036415F"/>
    <w:rsid w:val="00364443"/>
    <w:rsid w:val="00364B0B"/>
    <w:rsid w:val="00364C5C"/>
    <w:rsid w:val="00364EBB"/>
    <w:rsid w:val="003658B7"/>
    <w:rsid w:val="003659BF"/>
    <w:rsid w:val="003666D2"/>
    <w:rsid w:val="00366794"/>
    <w:rsid w:val="00366E0D"/>
    <w:rsid w:val="003673A9"/>
    <w:rsid w:val="003703D0"/>
    <w:rsid w:val="003704F7"/>
    <w:rsid w:val="0037056C"/>
    <w:rsid w:val="00370576"/>
    <w:rsid w:val="00370D79"/>
    <w:rsid w:val="00371525"/>
    <w:rsid w:val="00371593"/>
    <w:rsid w:val="00371653"/>
    <w:rsid w:val="00372FB1"/>
    <w:rsid w:val="00373028"/>
    <w:rsid w:val="00373AEA"/>
    <w:rsid w:val="00373E3E"/>
    <w:rsid w:val="00373FD7"/>
    <w:rsid w:val="00374407"/>
    <w:rsid w:val="003745EA"/>
    <w:rsid w:val="00374946"/>
    <w:rsid w:val="003753F9"/>
    <w:rsid w:val="003755F5"/>
    <w:rsid w:val="00375C47"/>
    <w:rsid w:val="00377CDE"/>
    <w:rsid w:val="003805B9"/>
    <w:rsid w:val="00380A28"/>
    <w:rsid w:val="00380D47"/>
    <w:rsid w:val="00380E3B"/>
    <w:rsid w:val="003812AC"/>
    <w:rsid w:val="003813DF"/>
    <w:rsid w:val="0038147E"/>
    <w:rsid w:val="00381CC3"/>
    <w:rsid w:val="00381F95"/>
    <w:rsid w:val="0038229D"/>
    <w:rsid w:val="00382364"/>
    <w:rsid w:val="003826D9"/>
    <w:rsid w:val="00382961"/>
    <w:rsid w:val="00383190"/>
    <w:rsid w:val="003837E0"/>
    <w:rsid w:val="00383BF5"/>
    <w:rsid w:val="00383D4B"/>
    <w:rsid w:val="00383FF2"/>
    <w:rsid w:val="00385352"/>
    <w:rsid w:val="003853EB"/>
    <w:rsid w:val="00385759"/>
    <w:rsid w:val="003859F0"/>
    <w:rsid w:val="00386492"/>
    <w:rsid w:val="003867D7"/>
    <w:rsid w:val="00386910"/>
    <w:rsid w:val="00387414"/>
    <w:rsid w:val="00387647"/>
    <w:rsid w:val="00387B23"/>
    <w:rsid w:val="00387E40"/>
    <w:rsid w:val="00390552"/>
    <w:rsid w:val="003907F9"/>
    <w:rsid w:val="003908C5"/>
    <w:rsid w:val="00390DDA"/>
    <w:rsid w:val="0039144F"/>
    <w:rsid w:val="0039169F"/>
    <w:rsid w:val="00391C82"/>
    <w:rsid w:val="00391EE6"/>
    <w:rsid w:val="003925A5"/>
    <w:rsid w:val="003927BE"/>
    <w:rsid w:val="00392C11"/>
    <w:rsid w:val="00392EB8"/>
    <w:rsid w:val="00392FFD"/>
    <w:rsid w:val="003930DF"/>
    <w:rsid w:val="0039346B"/>
    <w:rsid w:val="00393539"/>
    <w:rsid w:val="003936AB"/>
    <w:rsid w:val="00393795"/>
    <w:rsid w:val="00394410"/>
    <w:rsid w:val="00394FF1"/>
    <w:rsid w:val="0039511B"/>
    <w:rsid w:val="003953C8"/>
    <w:rsid w:val="003953E6"/>
    <w:rsid w:val="003953F1"/>
    <w:rsid w:val="00395F5A"/>
    <w:rsid w:val="003962D7"/>
    <w:rsid w:val="003967F5"/>
    <w:rsid w:val="00397094"/>
    <w:rsid w:val="00397314"/>
    <w:rsid w:val="00397A77"/>
    <w:rsid w:val="003A0318"/>
    <w:rsid w:val="003A06D4"/>
    <w:rsid w:val="003A0835"/>
    <w:rsid w:val="003A0C05"/>
    <w:rsid w:val="003A1178"/>
    <w:rsid w:val="003A1469"/>
    <w:rsid w:val="003A1B96"/>
    <w:rsid w:val="003A1FDA"/>
    <w:rsid w:val="003A200A"/>
    <w:rsid w:val="003A246C"/>
    <w:rsid w:val="003A2798"/>
    <w:rsid w:val="003A2D2C"/>
    <w:rsid w:val="003A3138"/>
    <w:rsid w:val="003A3877"/>
    <w:rsid w:val="003A449C"/>
    <w:rsid w:val="003A497B"/>
    <w:rsid w:val="003A4C8B"/>
    <w:rsid w:val="003A519F"/>
    <w:rsid w:val="003A5743"/>
    <w:rsid w:val="003A5D8C"/>
    <w:rsid w:val="003A6791"/>
    <w:rsid w:val="003A69BE"/>
    <w:rsid w:val="003A6DC7"/>
    <w:rsid w:val="003A7174"/>
    <w:rsid w:val="003A7214"/>
    <w:rsid w:val="003A7464"/>
    <w:rsid w:val="003A7887"/>
    <w:rsid w:val="003A7D42"/>
    <w:rsid w:val="003B00CD"/>
    <w:rsid w:val="003B00F4"/>
    <w:rsid w:val="003B06B9"/>
    <w:rsid w:val="003B0722"/>
    <w:rsid w:val="003B0886"/>
    <w:rsid w:val="003B176A"/>
    <w:rsid w:val="003B20D7"/>
    <w:rsid w:val="003B253B"/>
    <w:rsid w:val="003B2558"/>
    <w:rsid w:val="003B25F0"/>
    <w:rsid w:val="003B2712"/>
    <w:rsid w:val="003B2C15"/>
    <w:rsid w:val="003B2CA8"/>
    <w:rsid w:val="003B2E93"/>
    <w:rsid w:val="003B3112"/>
    <w:rsid w:val="003B3533"/>
    <w:rsid w:val="003B3552"/>
    <w:rsid w:val="003B3DBB"/>
    <w:rsid w:val="003B488D"/>
    <w:rsid w:val="003B6C57"/>
    <w:rsid w:val="003B6D71"/>
    <w:rsid w:val="003B7060"/>
    <w:rsid w:val="003B70EE"/>
    <w:rsid w:val="003B7776"/>
    <w:rsid w:val="003B7BFF"/>
    <w:rsid w:val="003C050A"/>
    <w:rsid w:val="003C0FB5"/>
    <w:rsid w:val="003C1804"/>
    <w:rsid w:val="003C1853"/>
    <w:rsid w:val="003C1BB1"/>
    <w:rsid w:val="003C1F77"/>
    <w:rsid w:val="003C20AF"/>
    <w:rsid w:val="003C2409"/>
    <w:rsid w:val="003C2566"/>
    <w:rsid w:val="003C2C8A"/>
    <w:rsid w:val="003C3168"/>
    <w:rsid w:val="003C38F0"/>
    <w:rsid w:val="003C3AAB"/>
    <w:rsid w:val="003C3ADB"/>
    <w:rsid w:val="003C3B79"/>
    <w:rsid w:val="003C3EE5"/>
    <w:rsid w:val="003C3FD5"/>
    <w:rsid w:val="003C41B3"/>
    <w:rsid w:val="003C4307"/>
    <w:rsid w:val="003C4422"/>
    <w:rsid w:val="003C575D"/>
    <w:rsid w:val="003C583D"/>
    <w:rsid w:val="003C5B8C"/>
    <w:rsid w:val="003C60B9"/>
    <w:rsid w:val="003C61F4"/>
    <w:rsid w:val="003C6B2B"/>
    <w:rsid w:val="003C7853"/>
    <w:rsid w:val="003C786B"/>
    <w:rsid w:val="003C7D80"/>
    <w:rsid w:val="003D09CF"/>
    <w:rsid w:val="003D10E9"/>
    <w:rsid w:val="003D1657"/>
    <w:rsid w:val="003D17D0"/>
    <w:rsid w:val="003D1863"/>
    <w:rsid w:val="003D199D"/>
    <w:rsid w:val="003D1D1F"/>
    <w:rsid w:val="003D25AF"/>
    <w:rsid w:val="003D2AA3"/>
    <w:rsid w:val="003D2B11"/>
    <w:rsid w:val="003D2B70"/>
    <w:rsid w:val="003D3CED"/>
    <w:rsid w:val="003D431C"/>
    <w:rsid w:val="003D485B"/>
    <w:rsid w:val="003D4D5D"/>
    <w:rsid w:val="003D56DE"/>
    <w:rsid w:val="003D5E1F"/>
    <w:rsid w:val="003D63B8"/>
    <w:rsid w:val="003D655D"/>
    <w:rsid w:val="003D69CB"/>
    <w:rsid w:val="003D6ABD"/>
    <w:rsid w:val="003D6D45"/>
    <w:rsid w:val="003D6D88"/>
    <w:rsid w:val="003D725D"/>
    <w:rsid w:val="003D7822"/>
    <w:rsid w:val="003D78E0"/>
    <w:rsid w:val="003D7A1E"/>
    <w:rsid w:val="003D7C99"/>
    <w:rsid w:val="003D7F50"/>
    <w:rsid w:val="003E098F"/>
    <w:rsid w:val="003E20C3"/>
    <w:rsid w:val="003E2598"/>
    <w:rsid w:val="003E272D"/>
    <w:rsid w:val="003E2A6B"/>
    <w:rsid w:val="003E2CFB"/>
    <w:rsid w:val="003E2D91"/>
    <w:rsid w:val="003E3102"/>
    <w:rsid w:val="003E3220"/>
    <w:rsid w:val="003E3766"/>
    <w:rsid w:val="003E391A"/>
    <w:rsid w:val="003E47E0"/>
    <w:rsid w:val="003E4982"/>
    <w:rsid w:val="003E49D1"/>
    <w:rsid w:val="003E4C18"/>
    <w:rsid w:val="003E4C79"/>
    <w:rsid w:val="003E4EF2"/>
    <w:rsid w:val="003E5145"/>
    <w:rsid w:val="003E52DA"/>
    <w:rsid w:val="003E575E"/>
    <w:rsid w:val="003E5814"/>
    <w:rsid w:val="003E6D0B"/>
    <w:rsid w:val="003E6D10"/>
    <w:rsid w:val="003E7051"/>
    <w:rsid w:val="003E7AEC"/>
    <w:rsid w:val="003F02D2"/>
    <w:rsid w:val="003F036D"/>
    <w:rsid w:val="003F048B"/>
    <w:rsid w:val="003F05A0"/>
    <w:rsid w:val="003F1103"/>
    <w:rsid w:val="003F1439"/>
    <w:rsid w:val="003F15BB"/>
    <w:rsid w:val="003F16A4"/>
    <w:rsid w:val="003F17BB"/>
    <w:rsid w:val="003F1BF2"/>
    <w:rsid w:val="003F20EC"/>
    <w:rsid w:val="003F23A1"/>
    <w:rsid w:val="003F3523"/>
    <w:rsid w:val="003F35E2"/>
    <w:rsid w:val="003F3D6D"/>
    <w:rsid w:val="003F460E"/>
    <w:rsid w:val="003F5197"/>
    <w:rsid w:val="003F5FB4"/>
    <w:rsid w:val="003F610C"/>
    <w:rsid w:val="003F635B"/>
    <w:rsid w:val="003F6A7C"/>
    <w:rsid w:val="003F7C95"/>
    <w:rsid w:val="003F7FA8"/>
    <w:rsid w:val="0040079F"/>
    <w:rsid w:val="00400DB5"/>
    <w:rsid w:val="00400EAB"/>
    <w:rsid w:val="00401111"/>
    <w:rsid w:val="00401378"/>
    <w:rsid w:val="0040156B"/>
    <w:rsid w:val="00401772"/>
    <w:rsid w:val="0040271E"/>
    <w:rsid w:val="004041EF"/>
    <w:rsid w:val="00404232"/>
    <w:rsid w:val="004049B3"/>
    <w:rsid w:val="0040521E"/>
    <w:rsid w:val="00405A04"/>
    <w:rsid w:val="00405C0A"/>
    <w:rsid w:val="00406023"/>
    <w:rsid w:val="004068B7"/>
    <w:rsid w:val="00407110"/>
    <w:rsid w:val="00407936"/>
    <w:rsid w:val="00407D18"/>
    <w:rsid w:val="0041005E"/>
    <w:rsid w:val="00410166"/>
    <w:rsid w:val="0041056A"/>
    <w:rsid w:val="004105F7"/>
    <w:rsid w:val="00410796"/>
    <w:rsid w:val="00410B23"/>
    <w:rsid w:val="00411130"/>
    <w:rsid w:val="00411C7E"/>
    <w:rsid w:val="004120DF"/>
    <w:rsid w:val="00412186"/>
    <w:rsid w:val="0041268F"/>
    <w:rsid w:val="004129D0"/>
    <w:rsid w:val="00412D44"/>
    <w:rsid w:val="004133D9"/>
    <w:rsid w:val="00413C08"/>
    <w:rsid w:val="00413D64"/>
    <w:rsid w:val="00415291"/>
    <w:rsid w:val="004158C5"/>
    <w:rsid w:val="00415A1B"/>
    <w:rsid w:val="00415B69"/>
    <w:rsid w:val="00415CDC"/>
    <w:rsid w:val="004162FF"/>
    <w:rsid w:val="0041685B"/>
    <w:rsid w:val="00416D84"/>
    <w:rsid w:val="004173B8"/>
    <w:rsid w:val="00417984"/>
    <w:rsid w:val="0042083B"/>
    <w:rsid w:val="00420863"/>
    <w:rsid w:val="00420ECE"/>
    <w:rsid w:val="00421566"/>
    <w:rsid w:val="004216B5"/>
    <w:rsid w:val="00422449"/>
    <w:rsid w:val="00422858"/>
    <w:rsid w:val="004228F8"/>
    <w:rsid w:val="0042298A"/>
    <w:rsid w:val="00422E48"/>
    <w:rsid w:val="00423007"/>
    <w:rsid w:val="00423307"/>
    <w:rsid w:val="004233B3"/>
    <w:rsid w:val="00423556"/>
    <w:rsid w:val="00423994"/>
    <w:rsid w:val="00423F7E"/>
    <w:rsid w:val="0042505E"/>
    <w:rsid w:val="004250B8"/>
    <w:rsid w:val="004254D2"/>
    <w:rsid w:val="0042556C"/>
    <w:rsid w:val="004255D6"/>
    <w:rsid w:val="0042594B"/>
    <w:rsid w:val="00425F4C"/>
    <w:rsid w:val="00426554"/>
    <w:rsid w:val="0042766A"/>
    <w:rsid w:val="00427829"/>
    <w:rsid w:val="0043000A"/>
    <w:rsid w:val="0043001B"/>
    <w:rsid w:val="004304C0"/>
    <w:rsid w:val="004305E3"/>
    <w:rsid w:val="0043093C"/>
    <w:rsid w:val="00430DF0"/>
    <w:rsid w:val="00430EB8"/>
    <w:rsid w:val="00430F6F"/>
    <w:rsid w:val="004310AA"/>
    <w:rsid w:val="0043144C"/>
    <w:rsid w:val="0043168D"/>
    <w:rsid w:val="004317F7"/>
    <w:rsid w:val="004319EB"/>
    <w:rsid w:val="00431BBF"/>
    <w:rsid w:val="0043231D"/>
    <w:rsid w:val="00432A37"/>
    <w:rsid w:val="00432C7A"/>
    <w:rsid w:val="004350F2"/>
    <w:rsid w:val="004357B9"/>
    <w:rsid w:val="00436204"/>
    <w:rsid w:val="0043622D"/>
    <w:rsid w:val="0043627A"/>
    <w:rsid w:val="00436490"/>
    <w:rsid w:val="00436A46"/>
    <w:rsid w:val="00436BBC"/>
    <w:rsid w:val="004377DA"/>
    <w:rsid w:val="004377E2"/>
    <w:rsid w:val="004402E9"/>
    <w:rsid w:val="004404A0"/>
    <w:rsid w:val="004408E7"/>
    <w:rsid w:val="0044135F"/>
    <w:rsid w:val="00441843"/>
    <w:rsid w:val="00441B7D"/>
    <w:rsid w:val="0044279C"/>
    <w:rsid w:val="004427C3"/>
    <w:rsid w:val="00442A42"/>
    <w:rsid w:val="00442CA0"/>
    <w:rsid w:val="00443003"/>
    <w:rsid w:val="00443DD0"/>
    <w:rsid w:val="0044413A"/>
    <w:rsid w:val="0044539D"/>
    <w:rsid w:val="00445E06"/>
    <w:rsid w:val="0044639C"/>
    <w:rsid w:val="004466B6"/>
    <w:rsid w:val="00446875"/>
    <w:rsid w:val="0044768C"/>
    <w:rsid w:val="00447E17"/>
    <w:rsid w:val="00450266"/>
    <w:rsid w:val="0045099E"/>
    <w:rsid w:val="00450A2E"/>
    <w:rsid w:val="00451220"/>
    <w:rsid w:val="0045128A"/>
    <w:rsid w:val="0045134F"/>
    <w:rsid w:val="0045151A"/>
    <w:rsid w:val="00451B63"/>
    <w:rsid w:val="004528AB"/>
    <w:rsid w:val="00452EBC"/>
    <w:rsid w:val="00452FEF"/>
    <w:rsid w:val="00453156"/>
    <w:rsid w:val="004533F8"/>
    <w:rsid w:val="00453999"/>
    <w:rsid w:val="00454082"/>
    <w:rsid w:val="00454139"/>
    <w:rsid w:val="00454CFC"/>
    <w:rsid w:val="004551FB"/>
    <w:rsid w:val="0045523B"/>
    <w:rsid w:val="00455364"/>
    <w:rsid w:val="00455B49"/>
    <w:rsid w:val="004562C1"/>
    <w:rsid w:val="004567EB"/>
    <w:rsid w:val="0045709F"/>
    <w:rsid w:val="00457928"/>
    <w:rsid w:val="004600E4"/>
    <w:rsid w:val="00460291"/>
    <w:rsid w:val="004603C7"/>
    <w:rsid w:val="00460A9C"/>
    <w:rsid w:val="00461A5A"/>
    <w:rsid w:val="00462058"/>
    <w:rsid w:val="004624C1"/>
    <w:rsid w:val="004629A2"/>
    <w:rsid w:val="00462B1A"/>
    <w:rsid w:val="00462BAB"/>
    <w:rsid w:val="00462DD9"/>
    <w:rsid w:val="004633A7"/>
    <w:rsid w:val="00464292"/>
    <w:rsid w:val="004647DB"/>
    <w:rsid w:val="00464898"/>
    <w:rsid w:val="00464DCB"/>
    <w:rsid w:val="00464F34"/>
    <w:rsid w:val="00466559"/>
    <w:rsid w:val="00466708"/>
    <w:rsid w:val="004668D7"/>
    <w:rsid w:val="0046697C"/>
    <w:rsid w:val="00466D6B"/>
    <w:rsid w:val="00466F09"/>
    <w:rsid w:val="00467483"/>
    <w:rsid w:val="004676C5"/>
    <w:rsid w:val="0046788C"/>
    <w:rsid w:val="00467F08"/>
    <w:rsid w:val="00470F2E"/>
    <w:rsid w:val="00470FC7"/>
    <w:rsid w:val="00471A96"/>
    <w:rsid w:val="00471F0B"/>
    <w:rsid w:val="00472745"/>
    <w:rsid w:val="00472B5A"/>
    <w:rsid w:val="004736B2"/>
    <w:rsid w:val="00473D48"/>
    <w:rsid w:val="00473DE6"/>
    <w:rsid w:val="00474874"/>
    <w:rsid w:val="00474A85"/>
    <w:rsid w:val="00474C49"/>
    <w:rsid w:val="00474C68"/>
    <w:rsid w:val="0047503C"/>
    <w:rsid w:val="0047513B"/>
    <w:rsid w:val="0047563E"/>
    <w:rsid w:val="00475B6A"/>
    <w:rsid w:val="00475D9B"/>
    <w:rsid w:val="0047602E"/>
    <w:rsid w:val="00476209"/>
    <w:rsid w:val="00476566"/>
    <w:rsid w:val="004766D4"/>
    <w:rsid w:val="0047693D"/>
    <w:rsid w:val="00476AC3"/>
    <w:rsid w:val="00476DB8"/>
    <w:rsid w:val="00477000"/>
    <w:rsid w:val="004773AB"/>
    <w:rsid w:val="004773EE"/>
    <w:rsid w:val="00477C45"/>
    <w:rsid w:val="00477CB6"/>
    <w:rsid w:val="004801E8"/>
    <w:rsid w:val="004808AC"/>
    <w:rsid w:val="00480A69"/>
    <w:rsid w:val="00480D67"/>
    <w:rsid w:val="004810B5"/>
    <w:rsid w:val="0048116C"/>
    <w:rsid w:val="0048143B"/>
    <w:rsid w:val="0048198B"/>
    <w:rsid w:val="00482ADC"/>
    <w:rsid w:val="00482BE8"/>
    <w:rsid w:val="00482DB4"/>
    <w:rsid w:val="004831C4"/>
    <w:rsid w:val="00483E5A"/>
    <w:rsid w:val="00483FC9"/>
    <w:rsid w:val="00484070"/>
    <w:rsid w:val="004846FA"/>
    <w:rsid w:val="00484DDA"/>
    <w:rsid w:val="004852B9"/>
    <w:rsid w:val="00486778"/>
    <w:rsid w:val="00486CA1"/>
    <w:rsid w:val="00486DA5"/>
    <w:rsid w:val="00487197"/>
    <w:rsid w:val="00487597"/>
    <w:rsid w:val="00487771"/>
    <w:rsid w:val="004901BE"/>
    <w:rsid w:val="0049066C"/>
    <w:rsid w:val="00490A11"/>
    <w:rsid w:val="00490A70"/>
    <w:rsid w:val="00490BFC"/>
    <w:rsid w:val="00490F1C"/>
    <w:rsid w:val="00491113"/>
    <w:rsid w:val="004913CE"/>
    <w:rsid w:val="00491993"/>
    <w:rsid w:val="00491D20"/>
    <w:rsid w:val="00491F4D"/>
    <w:rsid w:val="004920F0"/>
    <w:rsid w:val="00492D77"/>
    <w:rsid w:val="00492E67"/>
    <w:rsid w:val="004933CE"/>
    <w:rsid w:val="004934E2"/>
    <w:rsid w:val="00493C79"/>
    <w:rsid w:val="00493D5E"/>
    <w:rsid w:val="00493D74"/>
    <w:rsid w:val="00493F68"/>
    <w:rsid w:val="00494B72"/>
    <w:rsid w:val="00494B90"/>
    <w:rsid w:val="004955F2"/>
    <w:rsid w:val="00495E4D"/>
    <w:rsid w:val="004967ED"/>
    <w:rsid w:val="00496C53"/>
    <w:rsid w:val="00496F5D"/>
    <w:rsid w:val="004970FA"/>
    <w:rsid w:val="00497871"/>
    <w:rsid w:val="00497D60"/>
    <w:rsid w:val="004A01B7"/>
    <w:rsid w:val="004A01BF"/>
    <w:rsid w:val="004A084A"/>
    <w:rsid w:val="004A0885"/>
    <w:rsid w:val="004A0D4A"/>
    <w:rsid w:val="004A1101"/>
    <w:rsid w:val="004A11BD"/>
    <w:rsid w:val="004A1949"/>
    <w:rsid w:val="004A1AAE"/>
    <w:rsid w:val="004A1D97"/>
    <w:rsid w:val="004A323E"/>
    <w:rsid w:val="004A3247"/>
    <w:rsid w:val="004A331D"/>
    <w:rsid w:val="004A3A58"/>
    <w:rsid w:val="004A3A8F"/>
    <w:rsid w:val="004A3B3D"/>
    <w:rsid w:val="004A3B5E"/>
    <w:rsid w:val="004A3DEE"/>
    <w:rsid w:val="004A40B8"/>
    <w:rsid w:val="004A426D"/>
    <w:rsid w:val="004A46C7"/>
    <w:rsid w:val="004A4826"/>
    <w:rsid w:val="004A4FAF"/>
    <w:rsid w:val="004A568C"/>
    <w:rsid w:val="004A5880"/>
    <w:rsid w:val="004A5A9B"/>
    <w:rsid w:val="004A608C"/>
    <w:rsid w:val="004A688F"/>
    <w:rsid w:val="004A6C52"/>
    <w:rsid w:val="004A705D"/>
    <w:rsid w:val="004A7294"/>
    <w:rsid w:val="004A75ED"/>
    <w:rsid w:val="004A7617"/>
    <w:rsid w:val="004A7B60"/>
    <w:rsid w:val="004B031B"/>
    <w:rsid w:val="004B135C"/>
    <w:rsid w:val="004B1747"/>
    <w:rsid w:val="004B1A38"/>
    <w:rsid w:val="004B2A17"/>
    <w:rsid w:val="004B2BE0"/>
    <w:rsid w:val="004B2C89"/>
    <w:rsid w:val="004B2E84"/>
    <w:rsid w:val="004B317D"/>
    <w:rsid w:val="004B38D3"/>
    <w:rsid w:val="004B38D7"/>
    <w:rsid w:val="004B3B58"/>
    <w:rsid w:val="004B4054"/>
    <w:rsid w:val="004B4181"/>
    <w:rsid w:val="004B4AC1"/>
    <w:rsid w:val="004B4DF9"/>
    <w:rsid w:val="004B5087"/>
    <w:rsid w:val="004B5478"/>
    <w:rsid w:val="004B572C"/>
    <w:rsid w:val="004B5870"/>
    <w:rsid w:val="004B6691"/>
    <w:rsid w:val="004B67ED"/>
    <w:rsid w:val="004B686C"/>
    <w:rsid w:val="004B691C"/>
    <w:rsid w:val="004B6F2B"/>
    <w:rsid w:val="004B76EE"/>
    <w:rsid w:val="004B79C8"/>
    <w:rsid w:val="004B7F4A"/>
    <w:rsid w:val="004C03BC"/>
    <w:rsid w:val="004C0508"/>
    <w:rsid w:val="004C058F"/>
    <w:rsid w:val="004C15A0"/>
    <w:rsid w:val="004C1ACF"/>
    <w:rsid w:val="004C1C0A"/>
    <w:rsid w:val="004C2281"/>
    <w:rsid w:val="004C22A2"/>
    <w:rsid w:val="004C296F"/>
    <w:rsid w:val="004C2AE3"/>
    <w:rsid w:val="004C2FE9"/>
    <w:rsid w:val="004C3111"/>
    <w:rsid w:val="004C31C2"/>
    <w:rsid w:val="004C4478"/>
    <w:rsid w:val="004C4A22"/>
    <w:rsid w:val="004C5F1C"/>
    <w:rsid w:val="004C66D4"/>
    <w:rsid w:val="004C67EF"/>
    <w:rsid w:val="004C6E6F"/>
    <w:rsid w:val="004C7007"/>
    <w:rsid w:val="004C74EC"/>
    <w:rsid w:val="004C7CBE"/>
    <w:rsid w:val="004D0582"/>
    <w:rsid w:val="004D0C15"/>
    <w:rsid w:val="004D1673"/>
    <w:rsid w:val="004D1693"/>
    <w:rsid w:val="004D2031"/>
    <w:rsid w:val="004D2753"/>
    <w:rsid w:val="004D2DDC"/>
    <w:rsid w:val="004D36B6"/>
    <w:rsid w:val="004D42F4"/>
    <w:rsid w:val="004D4419"/>
    <w:rsid w:val="004D44D7"/>
    <w:rsid w:val="004D45AA"/>
    <w:rsid w:val="004D5161"/>
    <w:rsid w:val="004D5673"/>
    <w:rsid w:val="004D5C29"/>
    <w:rsid w:val="004D5F72"/>
    <w:rsid w:val="004D65ED"/>
    <w:rsid w:val="004D6755"/>
    <w:rsid w:val="004D6AE5"/>
    <w:rsid w:val="004D6C74"/>
    <w:rsid w:val="004D6FCD"/>
    <w:rsid w:val="004D71F7"/>
    <w:rsid w:val="004D780C"/>
    <w:rsid w:val="004D7864"/>
    <w:rsid w:val="004D7B6B"/>
    <w:rsid w:val="004D7CCC"/>
    <w:rsid w:val="004E0244"/>
    <w:rsid w:val="004E04BF"/>
    <w:rsid w:val="004E081B"/>
    <w:rsid w:val="004E0A91"/>
    <w:rsid w:val="004E0CE9"/>
    <w:rsid w:val="004E19CD"/>
    <w:rsid w:val="004E2725"/>
    <w:rsid w:val="004E28B1"/>
    <w:rsid w:val="004E2BE7"/>
    <w:rsid w:val="004E40E0"/>
    <w:rsid w:val="004E4A6F"/>
    <w:rsid w:val="004E4ABD"/>
    <w:rsid w:val="004E5B02"/>
    <w:rsid w:val="004E5CF6"/>
    <w:rsid w:val="004E6D5F"/>
    <w:rsid w:val="004E6F46"/>
    <w:rsid w:val="004E74B5"/>
    <w:rsid w:val="004E7936"/>
    <w:rsid w:val="004E7DF2"/>
    <w:rsid w:val="004F0284"/>
    <w:rsid w:val="004F0D16"/>
    <w:rsid w:val="004F0D3D"/>
    <w:rsid w:val="004F1099"/>
    <w:rsid w:val="004F1362"/>
    <w:rsid w:val="004F2025"/>
    <w:rsid w:val="004F2A5C"/>
    <w:rsid w:val="004F2B30"/>
    <w:rsid w:val="004F3766"/>
    <w:rsid w:val="004F3C2F"/>
    <w:rsid w:val="004F458D"/>
    <w:rsid w:val="004F4775"/>
    <w:rsid w:val="004F47D0"/>
    <w:rsid w:val="004F4BB8"/>
    <w:rsid w:val="004F4ED3"/>
    <w:rsid w:val="004F50AF"/>
    <w:rsid w:val="004F519D"/>
    <w:rsid w:val="004F540B"/>
    <w:rsid w:val="004F5906"/>
    <w:rsid w:val="004F5C89"/>
    <w:rsid w:val="004F6194"/>
    <w:rsid w:val="004F6747"/>
    <w:rsid w:val="004F67A8"/>
    <w:rsid w:val="004F6B6B"/>
    <w:rsid w:val="004F776D"/>
    <w:rsid w:val="004F7BD3"/>
    <w:rsid w:val="00500028"/>
    <w:rsid w:val="005011AF"/>
    <w:rsid w:val="00501BC3"/>
    <w:rsid w:val="00501D0C"/>
    <w:rsid w:val="00501F7C"/>
    <w:rsid w:val="0050227C"/>
    <w:rsid w:val="00502363"/>
    <w:rsid w:val="00502461"/>
    <w:rsid w:val="005029F5"/>
    <w:rsid w:val="00502BC6"/>
    <w:rsid w:val="00502F70"/>
    <w:rsid w:val="00502FC6"/>
    <w:rsid w:val="0050394C"/>
    <w:rsid w:val="0050399F"/>
    <w:rsid w:val="00503F93"/>
    <w:rsid w:val="00504029"/>
    <w:rsid w:val="00504A16"/>
    <w:rsid w:val="005050CE"/>
    <w:rsid w:val="00505B5C"/>
    <w:rsid w:val="00505F3E"/>
    <w:rsid w:val="00506251"/>
    <w:rsid w:val="00506408"/>
    <w:rsid w:val="005067A1"/>
    <w:rsid w:val="005068BA"/>
    <w:rsid w:val="00506932"/>
    <w:rsid w:val="005073F7"/>
    <w:rsid w:val="0050813F"/>
    <w:rsid w:val="005100E7"/>
    <w:rsid w:val="00511476"/>
    <w:rsid w:val="00511B51"/>
    <w:rsid w:val="00511CBB"/>
    <w:rsid w:val="00512CC3"/>
    <w:rsid w:val="005130D9"/>
    <w:rsid w:val="005132CD"/>
    <w:rsid w:val="005135D6"/>
    <w:rsid w:val="00513645"/>
    <w:rsid w:val="00513822"/>
    <w:rsid w:val="00513A2B"/>
    <w:rsid w:val="00514158"/>
    <w:rsid w:val="005145A6"/>
    <w:rsid w:val="00514783"/>
    <w:rsid w:val="005149AA"/>
    <w:rsid w:val="00514B66"/>
    <w:rsid w:val="0051576B"/>
    <w:rsid w:val="00516E32"/>
    <w:rsid w:val="00517042"/>
    <w:rsid w:val="005170C5"/>
    <w:rsid w:val="0051734F"/>
    <w:rsid w:val="00517C44"/>
    <w:rsid w:val="0052019A"/>
    <w:rsid w:val="00520816"/>
    <w:rsid w:val="00520E61"/>
    <w:rsid w:val="00520FBB"/>
    <w:rsid w:val="00521D56"/>
    <w:rsid w:val="00521F26"/>
    <w:rsid w:val="005225D7"/>
    <w:rsid w:val="00522F33"/>
    <w:rsid w:val="0052367C"/>
    <w:rsid w:val="005238F8"/>
    <w:rsid w:val="00523DD6"/>
    <w:rsid w:val="0052443A"/>
    <w:rsid w:val="00524CE6"/>
    <w:rsid w:val="00525F0E"/>
    <w:rsid w:val="005279F7"/>
    <w:rsid w:val="00527E90"/>
    <w:rsid w:val="00527EF6"/>
    <w:rsid w:val="005306C4"/>
    <w:rsid w:val="0053078D"/>
    <w:rsid w:val="00530830"/>
    <w:rsid w:val="00530BA1"/>
    <w:rsid w:val="00530D4E"/>
    <w:rsid w:val="00530FC7"/>
    <w:rsid w:val="00531B36"/>
    <w:rsid w:val="00531D9F"/>
    <w:rsid w:val="00531FC9"/>
    <w:rsid w:val="00531FDD"/>
    <w:rsid w:val="00532026"/>
    <w:rsid w:val="0053327A"/>
    <w:rsid w:val="005333D5"/>
    <w:rsid w:val="00533D6A"/>
    <w:rsid w:val="00533D84"/>
    <w:rsid w:val="00533E53"/>
    <w:rsid w:val="005342A5"/>
    <w:rsid w:val="00534721"/>
    <w:rsid w:val="00534F88"/>
    <w:rsid w:val="00535130"/>
    <w:rsid w:val="00535350"/>
    <w:rsid w:val="00535515"/>
    <w:rsid w:val="005358F0"/>
    <w:rsid w:val="00535A98"/>
    <w:rsid w:val="00535FA2"/>
    <w:rsid w:val="005360A3"/>
    <w:rsid w:val="00536360"/>
    <w:rsid w:val="00536B6D"/>
    <w:rsid w:val="00536EFA"/>
    <w:rsid w:val="0053702D"/>
    <w:rsid w:val="005373DB"/>
    <w:rsid w:val="005404ED"/>
    <w:rsid w:val="005406AD"/>
    <w:rsid w:val="00541716"/>
    <w:rsid w:val="005418C9"/>
    <w:rsid w:val="00541E37"/>
    <w:rsid w:val="0054248F"/>
    <w:rsid w:val="005429A0"/>
    <w:rsid w:val="00542C33"/>
    <w:rsid w:val="00542DE2"/>
    <w:rsid w:val="00542E0D"/>
    <w:rsid w:val="00542EAE"/>
    <w:rsid w:val="00543438"/>
    <w:rsid w:val="00543964"/>
    <w:rsid w:val="00543AB9"/>
    <w:rsid w:val="00543DBD"/>
    <w:rsid w:val="0054446A"/>
    <w:rsid w:val="00544AC0"/>
    <w:rsid w:val="00544C58"/>
    <w:rsid w:val="00544DA4"/>
    <w:rsid w:val="00544E37"/>
    <w:rsid w:val="00545461"/>
    <w:rsid w:val="00546AE8"/>
    <w:rsid w:val="00547047"/>
    <w:rsid w:val="00547294"/>
    <w:rsid w:val="00547774"/>
    <w:rsid w:val="00547A1B"/>
    <w:rsid w:val="00547B50"/>
    <w:rsid w:val="00547C35"/>
    <w:rsid w:val="00547D9D"/>
    <w:rsid w:val="00550113"/>
    <w:rsid w:val="005506DD"/>
    <w:rsid w:val="00550DD0"/>
    <w:rsid w:val="00551014"/>
    <w:rsid w:val="005511AD"/>
    <w:rsid w:val="00551271"/>
    <w:rsid w:val="005516D2"/>
    <w:rsid w:val="005522A9"/>
    <w:rsid w:val="0055245C"/>
    <w:rsid w:val="005524DF"/>
    <w:rsid w:val="005528C1"/>
    <w:rsid w:val="00552A83"/>
    <w:rsid w:val="00552E3E"/>
    <w:rsid w:val="00553429"/>
    <w:rsid w:val="00553744"/>
    <w:rsid w:val="005538A7"/>
    <w:rsid w:val="00553A57"/>
    <w:rsid w:val="0055473C"/>
    <w:rsid w:val="00554886"/>
    <w:rsid w:val="00554A32"/>
    <w:rsid w:val="00554EFF"/>
    <w:rsid w:val="005551DD"/>
    <w:rsid w:val="005551F9"/>
    <w:rsid w:val="00555830"/>
    <w:rsid w:val="00555D94"/>
    <w:rsid w:val="005563DA"/>
    <w:rsid w:val="0055657F"/>
    <w:rsid w:val="00556822"/>
    <w:rsid w:val="00556CBD"/>
    <w:rsid w:val="00556E89"/>
    <w:rsid w:val="0055791B"/>
    <w:rsid w:val="00557CBB"/>
    <w:rsid w:val="00557CEB"/>
    <w:rsid w:val="00557D09"/>
    <w:rsid w:val="00557D2E"/>
    <w:rsid w:val="0056083C"/>
    <w:rsid w:val="005609D1"/>
    <w:rsid w:val="00560A14"/>
    <w:rsid w:val="00560A5C"/>
    <w:rsid w:val="00561375"/>
    <w:rsid w:val="005617F7"/>
    <w:rsid w:val="0056181B"/>
    <w:rsid w:val="00562181"/>
    <w:rsid w:val="0056290A"/>
    <w:rsid w:val="00562B8B"/>
    <w:rsid w:val="00563313"/>
    <w:rsid w:val="00563474"/>
    <w:rsid w:val="005634C3"/>
    <w:rsid w:val="005643EA"/>
    <w:rsid w:val="0056494B"/>
    <w:rsid w:val="00564A89"/>
    <w:rsid w:val="00565031"/>
    <w:rsid w:val="0056568B"/>
    <w:rsid w:val="00566615"/>
    <w:rsid w:val="005666F4"/>
    <w:rsid w:val="00566A45"/>
    <w:rsid w:val="0057104C"/>
    <w:rsid w:val="00571F4D"/>
    <w:rsid w:val="005723E9"/>
    <w:rsid w:val="005727AA"/>
    <w:rsid w:val="005727DB"/>
    <w:rsid w:val="00572C82"/>
    <w:rsid w:val="00572FA8"/>
    <w:rsid w:val="0057350E"/>
    <w:rsid w:val="0057364B"/>
    <w:rsid w:val="00573BD4"/>
    <w:rsid w:val="00573DB4"/>
    <w:rsid w:val="00574015"/>
    <w:rsid w:val="005740BA"/>
    <w:rsid w:val="00574473"/>
    <w:rsid w:val="005749A1"/>
    <w:rsid w:val="00574C08"/>
    <w:rsid w:val="005756F8"/>
    <w:rsid w:val="00575D38"/>
    <w:rsid w:val="00575F1F"/>
    <w:rsid w:val="005760D5"/>
    <w:rsid w:val="00576215"/>
    <w:rsid w:val="0057632A"/>
    <w:rsid w:val="005764D6"/>
    <w:rsid w:val="00576702"/>
    <w:rsid w:val="005769BF"/>
    <w:rsid w:val="00576C84"/>
    <w:rsid w:val="00576E55"/>
    <w:rsid w:val="00577327"/>
    <w:rsid w:val="0057753A"/>
    <w:rsid w:val="00577A1C"/>
    <w:rsid w:val="005808DE"/>
    <w:rsid w:val="00580E65"/>
    <w:rsid w:val="00581030"/>
    <w:rsid w:val="00581274"/>
    <w:rsid w:val="005815B0"/>
    <w:rsid w:val="005819C0"/>
    <w:rsid w:val="00581FA5"/>
    <w:rsid w:val="00582156"/>
    <w:rsid w:val="005822C8"/>
    <w:rsid w:val="00582496"/>
    <w:rsid w:val="00582923"/>
    <w:rsid w:val="00582A58"/>
    <w:rsid w:val="00582C15"/>
    <w:rsid w:val="00583884"/>
    <w:rsid w:val="005839C1"/>
    <w:rsid w:val="00583ECC"/>
    <w:rsid w:val="00583FE1"/>
    <w:rsid w:val="00584165"/>
    <w:rsid w:val="00584598"/>
    <w:rsid w:val="00584AD6"/>
    <w:rsid w:val="00584B3F"/>
    <w:rsid w:val="00584E37"/>
    <w:rsid w:val="00585466"/>
    <w:rsid w:val="00585AC7"/>
    <w:rsid w:val="00585C1D"/>
    <w:rsid w:val="0058617B"/>
    <w:rsid w:val="00586538"/>
    <w:rsid w:val="0059005C"/>
    <w:rsid w:val="00590386"/>
    <w:rsid w:val="00590A58"/>
    <w:rsid w:val="005911AC"/>
    <w:rsid w:val="0059137F"/>
    <w:rsid w:val="0059138D"/>
    <w:rsid w:val="00591990"/>
    <w:rsid w:val="005930CA"/>
    <w:rsid w:val="005931B3"/>
    <w:rsid w:val="005936C2"/>
    <w:rsid w:val="005937D1"/>
    <w:rsid w:val="0059388B"/>
    <w:rsid w:val="00593E1F"/>
    <w:rsid w:val="0059475A"/>
    <w:rsid w:val="00594A69"/>
    <w:rsid w:val="00595017"/>
    <w:rsid w:val="00595DEC"/>
    <w:rsid w:val="00595FB6"/>
    <w:rsid w:val="0059604A"/>
    <w:rsid w:val="0059657D"/>
    <w:rsid w:val="005965CE"/>
    <w:rsid w:val="00596B6C"/>
    <w:rsid w:val="0059713C"/>
    <w:rsid w:val="00597425"/>
    <w:rsid w:val="00597452"/>
    <w:rsid w:val="005975C3"/>
    <w:rsid w:val="00597BBC"/>
    <w:rsid w:val="00597E9E"/>
    <w:rsid w:val="005A020C"/>
    <w:rsid w:val="005A0453"/>
    <w:rsid w:val="005A137D"/>
    <w:rsid w:val="005A18FB"/>
    <w:rsid w:val="005A1E30"/>
    <w:rsid w:val="005A2055"/>
    <w:rsid w:val="005A2182"/>
    <w:rsid w:val="005A2363"/>
    <w:rsid w:val="005A2646"/>
    <w:rsid w:val="005A2AEA"/>
    <w:rsid w:val="005A2C21"/>
    <w:rsid w:val="005A2E33"/>
    <w:rsid w:val="005A326B"/>
    <w:rsid w:val="005A3A01"/>
    <w:rsid w:val="005A3BAA"/>
    <w:rsid w:val="005A3D5B"/>
    <w:rsid w:val="005A3DEA"/>
    <w:rsid w:val="005A43B1"/>
    <w:rsid w:val="005A4C77"/>
    <w:rsid w:val="005A4E71"/>
    <w:rsid w:val="005A510E"/>
    <w:rsid w:val="005A52E6"/>
    <w:rsid w:val="005A5863"/>
    <w:rsid w:val="005A5960"/>
    <w:rsid w:val="005A5BDA"/>
    <w:rsid w:val="005A5CCD"/>
    <w:rsid w:val="005A5E6F"/>
    <w:rsid w:val="005A6081"/>
    <w:rsid w:val="005A60A5"/>
    <w:rsid w:val="005A6139"/>
    <w:rsid w:val="005A6305"/>
    <w:rsid w:val="005A63A1"/>
    <w:rsid w:val="005A670F"/>
    <w:rsid w:val="005A68BC"/>
    <w:rsid w:val="005A6940"/>
    <w:rsid w:val="005A6F9B"/>
    <w:rsid w:val="005A70DD"/>
    <w:rsid w:val="005A760D"/>
    <w:rsid w:val="005A7952"/>
    <w:rsid w:val="005A7CA9"/>
    <w:rsid w:val="005B02DE"/>
    <w:rsid w:val="005B03FD"/>
    <w:rsid w:val="005B0463"/>
    <w:rsid w:val="005B04C9"/>
    <w:rsid w:val="005B089A"/>
    <w:rsid w:val="005B0C36"/>
    <w:rsid w:val="005B0C8D"/>
    <w:rsid w:val="005B0F09"/>
    <w:rsid w:val="005B10B8"/>
    <w:rsid w:val="005B13A0"/>
    <w:rsid w:val="005B17C9"/>
    <w:rsid w:val="005B1C67"/>
    <w:rsid w:val="005B24C3"/>
    <w:rsid w:val="005B321D"/>
    <w:rsid w:val="005B33EE"/>
    <w:rsid w:val="005B3AEF"/>
    <w:rsid w:val="005B3B7C"/>
    <w:rsid w:val="005B408D"/>
    <w:rsid w:val="005B508C"/>
    <w:rsid w:val="005B50C3"/>
    <w:rsid w:val="005B54BB"/>
    <w:rsid w:val="005B555E"/>
    <w:rsid w:val="005B5D85"/>
    <w:rsid w:val="005B64DF"/>
    <w:rsid w:val="005B6DAC"/>
    <w:rsid w:val="005B7BD6"/>
    <w:rsid w:val="005B7EFB"/>
    <w:rsid w:val="005C14B0"/>
    <w:rsid w:val="005C1BC9"/>
    <w:rsid w:val="005C287F"/>
    <w:rsid w:val="005C2A1D"/>
    <w:rsid w:val="005C2BC8"/>
    <w:rsid w:val="005C2DE8"/>
    <w:rsid w:val="005C4591"/>
    <w:rsid w:val="005C5136"/>
    <w:rsid w:val="005C517E"/>
    <w:rsid w:val="005C5773"/>
    <w:rsid w:val="005C58BD"/>
    <w:rsid w:val="005C68AD"/>
    <w:rsid w:val="005C6C7F"/>
    <w:rsid w:val="005C6CF7"/>
    <w:rsid w:val="005C6DEB"/>
    <w:rsid w:val="005C7590"/>
    <w:rsid w:val="005C7A91"/>
    <w:rsid w:val="005D07DF"/>
    <w:rsid w:val="005D09EB"/>
    <w:rsid w:val="005D1562"/>
    <w:rsid w:val="005D16FF"/>
    <w:rsid w:val="005D20C0"/>
    <w:rsid w:val="005D277B"/>
    <w:rsid w:val="005D2E06"/>
    <w:rsid w:val="005D2F62"/>
    <w:rsid w:val="005D3318"/>
    <w:rsid w:val="005D3493"/>
    <w:rsid w:val="005D35A0"/>
    <w:rsid w:val="005D3ACB"/>
    <w:rsid w:val="005D3DD9"/>
    <w:rsid w:val="005D3E00"/>
    <w:rsid w:val="005D40D9"/>
    <w:rsid w:val="005D476E"/>
    <w:rsid w:val="005D48F6"/>
    <w:rsid w:val="005D4E27"/>
    <w:rsid w:val="005D50AB"/>
    <w:rsid w:val="005D5228"/>
    <w:rsid w:val="005D5509"/>
    <w:rsid w:val="005D5914"/>
    <w:rsid w:val="005D5E4A"/>
    <w:rsid w:val="005D6337"/>
    <w:rsid w:val="005D6F8E"/>
    <w:rsid w:val="005E0301"/>
    <w:rsid w:val="005E03B8"/>
    <w:rsid w:val="005E079C"/>
    <w:rsid w:val="005E0917"/>
    <w:rsid w:val="005E0A37"/>
    <w:rsid w:val="005E1B10"/>
    <w:rsid w:val="005E23B0"/>
    <w:rsid w:val="005E295E"/>
    <w:rsid w:val="005E2D6F"/>
    <w:rsid w:val="005E3309"/>
    <w:rsid w:val="005E3471"/>
    <w:rsid w:val="005E38B5"/>
    <w:rsid w:val="005E39E6"/>
    <w:rsid w:val="005E3D60"/>
    <w:rsid w:val="005E4226"/>
    <w:rsid w:val="005E4BEC"/>
    <w:rsid w:val="005E4EB0"/>
    <w:rsid w:val="005E5070"/>
    <w:rsid w:val="005E51C6"/>
    <w:rsid w:val="005E6DE5"/>
    <w:rsid w:val="005E6E2E"/>
    <w:rsid w:val="005E72BA"/>
    <w:rsid w:val="005E7377"/>
    <w:rsid w:val="005E7DF2"/>
    <w:rsid w:val="005F0520"/>
    <w:rsid w:val="005F05ED"/>
    <w:rsid w:val="005F0821"/>
    <w:rsid w:val="005F088A"/>
    <w:rsid w:val="005F09FB"/>
    <w:rsid w:val="005F0A8B"/>
    <w:rsid w:val="005F0AEE"/>
    <w:rsid w:val="005F0DAE"/>
    <w:rsid w:val="005F1095"/>
    <w:rsid w:val="005F12F9"/>
    <w:rsid w:val="005F136C"/>
    <w:rsid w:val="005F1957"/>
    <w:rsid w:val="005F1990"/>
    <w:rsid w:val="005F1EB8"/>
    <w:rsid w:val="005F20CB"/>
    <w:rsid w:val="005F2B2B"/>
    <w:rsid w:val="005F3409"/>
    <w:rsid w:val="005F3828"/>
    <w:rsid w:val="005F3AC1"/>
    <w:rsid w:val="005F3BBE"/>
    <w:rsid w:val="005F42EF"/>
    <w:rsid w:val="005F4887"/>
    <w:rsid w:val="005F4F28"/>
    <w:rsid w:val="005F52EC"/>
    <w:rsid w:val="005F5B6B"/>
    <w:rsid w:val="005F5DF8"/>
    <w:rsid w:val="005F6354"/>
    <w:rsid w:val="005F6603"/>
    <w:rsid w:val="005F6854"/>
    <w:rsid w:val="005F6AA2"/>
    <w:rsid w:val="005F6F93"/>
    <w:rsid w:val="005F6FDF"/>
    <w:rsid w:val="005F70C4"/>
    <w:rsid w:val="0060010C"/>
    <w:rsid w:val="006002BE"/>
    <w:rsid w:val="0060043C"/>
    <w:rsid w:val="00600733"/>
    <w:rsid w:val="00600B75"/>
    <w:rsid w:val="00601450"/>
    <w:rsid w:val="006015FF"/>
    <w:rsid w:val="006016BB"/>
    <w:rsid w:val="0060179C"/>
    <w:rsid w:val="006022CB"/>
    <w:rsid w:val="00602329"/>
    <w:rsid w:val="00602FA5"/>
    <w:rsid w:val="00603276"/>
    <w:rsid w:val="00603DEF"/>
    <w:rsid w:val="006043A5"/>
    <w:rsid w:val="00604786"/>
    <w:rsid w:val="00604C8D"/>
    <w:rsid w:val="00604E5F"/>
    <w:rsid w:val="0060500C"/>
    <w:rsid w:val="0060502A"/>
    <w:rsid w:val="00605A9A"/>
    <w:rsid w:val="00605C13"/>
    <w:rsid w:val="00605F23"/>
    <w:rsid w:val="00606414"/>
    <w:rsid w:val="00606690"/>
    <w:rsid w:val="0060673F"/>
    <w:rsid w:val="00606885"/>
    <w:rsid w:val="00606E03"/>
    <w:rsid w:val="0060723F"/>
    <w:rsid w:val="006072F5"/>
    <w:rsid w:val="00607523"/>
    <w:rsid w:val="00607B3B"/>
    <w:rsid w:val="006102A9"/>
    <w:rsid w:val="00610349"/>
    <w:rsid w:val="00610500"/>
    <w:rsid w:val="006108B8"/>
    <w:rsid w:val="00610920"/>
    <w:rsid w:val="00610B56"/>
    <w:rsid w:val="00611073"/>
    <w:rsid w:val="00611885"/>
    <w:rsid w:val="00611C39"/>
    <w:rsid w:val="00611DFE"/>
    <w:rsid w:val="0061222C"/>
    <w:rsid w:val="0061248F"/>
    <w:rsid w:val="00612780"/>
    <w:rsid w:val="006128D7"/>
    <w:rsid w:val="006137FD"/>
    <w:rsid w:val="00614509"/>
    <w:rsid w:val="0061482E"/>
    <w:rsid w:val="00615178"/>
    <w:rsid w:val="0061536B"/>
    <w:rsid w:val="006154D7"/>
    <w:rsid w:val="0061552A"/>
    <w:rsid w:val="0061552D"/>
    <w:rsid w:val="0061562E"/>
    <w:rsid w:val="00615CD6"/>
    <w:rsid w:val="006160B1"/>
    <w:rsid w:val="00616264"/>
    <w:rsid w:val="00616690"/>
    <w:rsid w:val="00616E90"/>
    <w:rsid w:val="00617121"/>
    <w:rsid w:val="0061722C"/>
    <w:rsid w:val="00617AD4"/>
    <w:rsid w:val="00620325"/>
    <w:rsid w:val="00620AB3"/>
    <w:rsid w:val="006219AD"/>
    <w:rsid w:val="00622B37"/>
    <w:rsid w:val="00622DD8"/>
    <w:rsid w:val="00622DF8"/>
    <w:rsid w:val="006238FA"/>
    <w:rsid w:val="00623B51"/>
    <w:rsid w:val="00623BD2"/>
    <w:rsid w:val="00623EAD"/>
    <w:rsid w:val="00624305"/>
    <w:rsid w:val="00624624"/>
    <w:rsid w:val="0062558D"/>
    <w:rsid w:val="006259C7"/>
    <w:rsid w:val="0062658C"/>
    <w:rsid w:val="006269F7"/>
    <w:rsid w:val="00626A88"/>
    <w:rsid w:val="00627143"/>
    <w:rsid w:val="0062788E"/>
    <w:rsid w:val="00627B05"/>
    <w:rsid w:val="00627D7F"/>
    <w:rsid w:val="00630711"/>
    <w:rsid w:val="006317A9"/>
    <w:rsid w:val="006317CC"/>
    <w:rsid w:val="00631BF2"/>
    <w:rsid w:val="00631DA6"/>
    <w:rsid w:val="00632092"/>
    <w:rsid w:val="00632EDA"/>
    <w:rsid w:val="0063314E"/>
    <w:rsid w:val="0063337F"/>
    <w:rsid w:val="0063349C"/>
    <w:rsid w:val="00633D3C"/>
    <w:rsid w:val="00633DEB"/>
    <w:rsid w:val="0063421C"/>
    <w:rsid w:val="006343AC"/>
    <w:rsid w:val="0063493E"/>
    <w:rsid w:val="0063501E"/>
    <w:rsid w:val="006350F8"/>
    <w:rsid w:val="00635AED"/>
    <w:rsid w:val="00635D6C"/>
    <w:rsid w:val="006364E5"/>
    <w:rsid w:val="00640475"/>
    <w:rsid w:val="00640831"/>
    <w:rsid w:val="00640E17"/>
    <w:rsid w:val="00641571"/>
    <w:rsid w:val="00641E3B"/>
    <w:rsid w:val="0064247A"/>
    <w:rsid w:val="00643011"/>
    <w:rsid w:val="00643250"/>
    <w:rsid w:val="00643362"/>
    <w:rsid w:val="00643D03"/>
    <w:rsid w:val="00644400"/>
    <w:rsid w:val="00644563"/>
    <w:rsid w:val="00644831"/>
    <w:rsid w:val="0064497A"/>
    <w:rsid w:val="0064499D"/>
    <w:rsid w:val="00645015"/>
    <w:rsid w:val="00645070"/>
    <w:rsid w:val="006452A4"/>
    <w:rsid w:val="00645573"/>
    <w:rsid w:val="006455B0"/>
    <w:rsid w:val="00645ADD"/>
    <w:rsid w:val="00646287"/>
    <w:rsid w:val="006462E3"/>
    <w:rsid w:val="00646404"/>
    <w:rsid w:val="0064687B"/>
    <w:rsid w:val="00646C26"/>
    <w:rsid w:val="00646D1B"/>
    <w:rsid w:val="00647115"/>
    <w:rsid w:val="00647374"/>
    <w:rsid w:val="0064767A"/>
    <w:rsid w:val="006477B8"/>
    <w:rsid w:val="00647828"/>
    <w:rsid w:val="00647F9C"/>
    <w:rsid w:val="0065016E"/>
    <w:rsid w:val="00650B6C"/>
    <w:rsid w:val="00650D5A"/>
    <w:rsid w:val="00650DB8"/>
    <w:rsid w:val="00651910"/>
    <w:rsid w:val="00651C18"/>
    <w:rsid w:val="00651E27"/>
    <w:rsid w:val="00652460"/>
    <w:rsid w:val="006527CF"/>
    <w:rsid w:val="00652DF7"/>
    <w:rsid w:val="00652F11"/>
    <w:rsid w:val="00652FA2"/>
    <w:rsid w:val="00652FBC"/>
    <w:rsid w:val="0065352D"/>
    <w:rsid w:val="006545B9"/>
    <w:rsid w:val="00654769"/>
    <w:rsid w:val="00654A02"/>
    <w:rsid w:val="00654B28"/>
    <w:rsid w:val="006561F2"/>
    <w:rsid w:val="0065624C"/>
    <w:rsid w:val="00656780"/>
    <w:rsid w:val="00656BF0"/>
    <w:rsid w:val="00657BE8"/>
    <w:rsid w:val="0066029F"/>
    <w:rsid w:val="00660DBF"/>
    <w:rsid w:val="00660FF9"/>
    <w:rsid w:val="00661415"/>
    <w:rsid w:val="0066173C"/>
    <w:rsid w:val="0066186C"/>
    <w:rsid w:val="00662545"/>
    <w:rsid w:val="00664008"/>
    <w:rsid w:val="0066427B"/>
    <w:rsid w:val="00664361"/>
    <w:rsid w:val="006646B6"/>
    <w:rsid w:val="006647BE"/>
    <w:rsid w:val="00664874"/>
    <w:rsid w:val="006659D2"/>
    <w:rsid w:val="00665E12"/>
    <w:rsid w:val="006660B9"/>
    <w:rsid w:val="00666996"/>
    <w:rsid w:val="00670C25"/>
    <w:rsid w:val="006710A3"/>
    <w:rsid w:val="00671180"/>
    <w:rsid w:val="00672A65"/>
    <w:rsid w:val="00672CA4"/>
    <w:rsid w:val="00672D2A"/>
    <w:rsid w:val="00673B73"/>
    <w:rsid w:val="00673B96"/>
    <w:rsid w:val="006746DB"/>
    <w:rsid w:val="00674A3C"/>
    <w:rsid w:val="00674BF5"/>
    <w:rsid w:val="00674CCB"/>
    <w:rsid w:val="006750B8"/>
    <w:rsid w:val="006759D7"/>
    <w:rsid w:val="00676819"/>
    <w:rsid w:val="00676B42"/>
    <w:rsid w:val="00676B98"/>
    <w:rsid w:val="00676E10"/>
    <w:rsid w:val="00676EAF"/>
    <w:rsid w:val="006771CE"/>
    <w:rsid w:val="00677234"/>
    <w:rsid w:val="00677398"/>
    <w:rsid w:val="00677540"/>
    <w:rsid w:val="006778A2"/>
    <w:rsid w:val="00677A91"/>
    <w:rsid w:val="00677FBE"/>
    <w:rsid w:val="00680478"/>
    <w:rsid w:val="00681382"/>
    <w:rsid w:val="00681E12"/>
    <w:rsid w:val="00683093"/>
    <w:rsid w:val="00684138"/>
    <w:rsid w:val="00684CE6"/>
    <w:rsid w:val="00684E08"/>
    <w:rsid w:val="00684EA1"/>
    <w:rsid w:val="0068509B"/>
    <w:rsid w:val="00685182"/>
    <w:rsid w:val="006857B5"/>
    <w:rsid w:val="0068594D"/>
    <w:rsid w:val="00685C3A"/>
    <w:rsid w:val="006862BC"/>
    <w:rsid w:val="006865F1"/>
    <w:rsid w:val="00686932"/>
    <w:rsid w:val="0068695A"/>
    <w:rsid w:val="00686AE9"/>
    <w:rsid w:val="0068743C"/>
    <w:rsid w:val="00690D01"/>
    <w:rsid w:val="00691342"/>
    <w:rsid w:val="006916DC"/>
    <w:rsid w:val="006917A5"/>
    <w:rsid w:val="00691F49"/>
    <w:rsid w:val="00691F9C"/>
    <w:rsid w:val="00692342"/>
    <w:rsid w:val="006929CF"/>
    <w:rsid w:val="00692A55"/>
    <w:rsid w:val="00692B10"/>
    <w:rsid w:val="00693056"/>
    <w:rsid w:val="00693092"/>
    <w:rsid w:val="006936F5"/>
    <w:rsid w:val="00693B95"/>
    <w:rsid w:val="00693F4C"/>
    <w:rsid w:val="00694260"/>
    <w:rsid w:val="006942B1"/>
    <w:rsid w:val="00694507"/>
    <w:rsid w:val="006946D9"/>
    <w:rsid w:val="00694CA0"/>
    <w:rsid w:val="00694DE2"/>
    <w:rsid w:val="00694FC2"/>
    <w:rsid w:val="006952C4"/>
    <w:rsid w:val="0069572F"/>
    <w:rsid w:val="0069619C"/>
    <w:rsid w:val="0069667E"/>
    <w:rsid w:val="006966FF"/>
    <w:rsid w:val="00696ADE"/>
    <w:rsid w:val="00696CB4"/>
    <w:rsid w:val="00696D98"/>
    <w:rsid w:val="00696F12"/>
    <w:rsid w:val="006972E8"/>
    <w:rsid w:val="0069796A"/>
    <w:rsid w:val="006A01F5"/>
    <w:rsid w:val="006A0471"/>
    <w:rsid w:val="006A14F6"/>
    <w:rsid w:val="006A20A0"/>
    <w:rsid w:val="006A2291"/>
    <w:rsid w:val="006A2CF7"/>
    <w:rsid w:val="006A3201"/>
    <w:rsid w:val="006A3874"/>
    <w:rsid w:val="006A3A82"/>
    <w:rsid w:val="006A48FF"/>
    <w:rsid w:val="006A4B1B"/>
    <w:rsid w:val="006A4F15"/>
    <w:rsid w:val="006A5512"/>
    <w:rsid w:val="006A580B"/>
    <w:rsid w:val="006A5840"/>
    <w:rsid w:val="006A5AD2"/>
    <w:rsid w:val="006A5BDA"/>
    <w:rsid w:val="006A6049"/>
    <w:rsid w:val="006A6072"/>
    <w:rsid w:val="006A66C9"/>
    <w:rsid w:val="006A6822"/>
    <w:rsid w:val="006A6CCF"/>
    <w:rsid w:val="006A74E7"/>
    <w:rsid w:val="006A7AEE"/>
    <w:rsid w:val="006A7DF0"/>
    <w:rsid w:val="006B06DE"/>
    <w:rsid w:val="006B08A5"/>
    <w:rsid w:val="006B114E"/>
    <w:rsid w:val="006B126A"/>
    <w:rsid w:val="006B19A0"/>
    <w:rsid w:val="006B1A77"/>
    <w:rsid w:val="006B1D7B"/>
    <w:rsid w:val="006B2333"/>
    <w:rsid w:val="006B2684"/>
    <w:rsid w:val="006B2945"/>
    <w:rsid w:val="006B2A31"/>
    <w:rsid w:val="006B2C5D"/>
    <w:rsid w:val="006B3029"/>
    <w:rsid w:val="006B36C2"/>
    <w:rsid w:val="006B3BAE"/>
    <w:rsid w:val="006B42A7"/>
    <w:rsid w:val="006B42BD"/>
    <w:rsid w:val="006B4773"/>
    <w:rsid w:val="006B4AC8"/>
    <w:rsid w:val="006B55D6"/>
    <w:rsid w:val="006B5A2B"/>
    <w:rsid w:val="006B5BA8"/>
    <w:rsid w:val="006B5FEC"/>
    <w:rsid w:val="006B6D0F"/>
    <w:rsid w:val="006B6D4F"/>
    <w:rsid w:val="006B6E6A"/>
    <w:rsid w:val="006B7228"/>
    <w:rsid w:val="006B72F3"/>
    <w:rsid w:val="006B77CA"/>
    <w:rsid w:val="006B796B"/>
    <w:rsid w:val="006B7AD9"/>
    <w:rsid w:val="006B7DD5"/>
    <w:rsid w:val="006B7FD0"/>
    <w:rsid w:val="006C0177"/>
    <w:rsid w:val="006C03E6"/>
    <w:rsid w:val="006C05D4"/>
    <w:rsid w:val="006C0691"/>
    <w:rsid w:val="006C0915"/>
    <w:rsid w:val="006C0EF3"/>
    <w:rsid w:val="006C10E4"/>
    <w:rsid w:val="006C11BB"/>
    <w:rsid w:val="006C163A"/>
    <w:rsid w:val="006C1FB5"/>
    <w:rsid w:val="006C21BA"/>
    <w:rsid w:val="006C2F61"/>
    <w:rsid w:val="006C35BA"/>
    <w:rsid w:val="006C3F62"/>
    <w:rsid w:val="006C3FA1"/>
    <w:rsid w:val="006C3FF9"/>
    <w:rsid w:val="006C4136"/>
    <w:rsid w:val="006C4174"/>
    <w:rsid w:val="006C45C6"/>
    <w:rsid w:val="006C4A8F"/>
    <w:rsid w:val="006C4D76"/>
    <w:rsid w:val="006C4FB6"/>
    <w:rsid w:val="006C52E6"/>
    <w:rsid w:val="006C65A8"/>
    <w:rsid w:val="006C66DB"/>
    <w:rsid w:val="006C6CA7"/>
    <w:rsid w:val="006C6D3F"/>
    <w:rsid w:val="006C6EE0"/>
    <w:rsid w:val="006C719F"/>
    <w:rsid w:val="006C7201"/>
    <w:rsid w:val="006C72AE"/>
    <w:rsid w:val="006C77F3"/>
    <w:rsid w:val="006D03F0"/>
    <w:rsid w:val="006D05DA"/>
    <w:rsid w:val="006D1EB6"/>
    <w:rsid w:val="006D2806"/>
    <w:rsid w:val="006D2D2D"/>
    <w:rsid w:val="006D35FC"/>
    <w:rsid w:val="006D36E6"/>
    <w:rsid w:val="006D3733"/>
    <w:rsid w:val="006D3B1A"/>
    <w:rsid w:val="006D3D8C"/>
    <w:rsid w:val="006D49F3"/>
    <w:rsid w:val="006D665A"/>
    <w:rsid w:val="006D69BF"/>
    <w:rsid w:val="006D6AE0"/>
    <w:rsid w:val="006D720D"/>
    <w:rsid w:val="006D730B"/>
    <w:rsid w:val="006D7512"/>
    <w:rsid w:val="006D7A5E"/>
    <w:rsid w:val="006D7AEC"/>
    <w:rsid w:val="006D7FBB"/>
    <w:rsid w:val="006D7FD3"/>
    <w:rsid w:val="006E01DA"/>
    <w:rsid w:val="006E0809"/>
    <w:rsid w:val="006E20E4"/>
    <w:rsid w:val="006E3440"/>
    <w:rsid w:val="006E345B"/>
    <w:rsid w:val="006E4174"/>
    <w:rsid w:val="006E43AB"/>
    <w:rsid w:val="006E465B"/>
    <w:rsid w:val="006E51FB"/>
    <w:rsid w:val="006E5297"/>
    <w:rsid w:val="006E52E7"/>
    <w:rsid w:val="006E5518"/>
    <w:rsid w:val="006E559D"/>
    <w:rsid w:val="006E5D07"/>
    <w:rsid w:val="006E5FCC"/>
    <w:rsid w:val="006E61E4"/>
    <w:rsid w:val="006E6778"/>
    <w:rsid w:val="006E6AEF"/>
    <w:rsid w:val="006E73A1"/>
    <w:rsid w:val="006E7B6B"/>
    <w:rsid w:val="006F0968"/>
    <w:rsid w:val="006F18EC"/>
    <w:rsid w:val="006F20A4"/>
    <w:rsid w:val="006F25BE"/>
    <w:rsid w:val="006F2637"/>
    <w:rsid w:val="006F2761"/>
    <w:rsid w:val="006F2799"/>
    <w:rsid w:val="006F2989"/>
    <w:rsid w:val="006F3251"/>
    <w:rsid w:val="006F3626"/>
    <w:rsid w:val="006F369C"/>
    <w:rsid w:val="006F39CE"/>
    <w:rsid w:val="006F4170"/>
    <w:rsid w:val="006F4B79"/>
    <w:rsid w:val="006F503D"/>
    <w:rsid w:val="006F53D7"/>
    <w:rsid w:val="006F6973"/>
    <w:rsid w:val="006F7212"/>
    <w:rsid w:val="0070008E"/>
    <w:rsid w:val="007000CF"/>
    <w:rsid w:val="00700DE8"/>
    <w:rsid w:val="00700DFD"/>
    <w:rsid w:val="00700FD8"/>
    <w:rsid w:val="007016AD"/>
    <w:rsid w:val="0070245C"/>
    <w:rsid w:val="007031E9"/>
    <w:rsid w:val="00703255"/>
    <w:rsid w:val="0070372D"/>
    <w:rsid w:val="00703C87"/>
    <w:rsid w:val="00704BFF"/>
    <w:rsid w:val="00705025"/>
    <w:rsid w:val="0070505F"/>
    <w:rsid w:val="00705EB9"/>
    <w:rsid w:val="00706212"/>
    <w:rsid w:val="007064A9"/>
    <w:rsid w:val="007064E0"/>
    <w:rsid w:val="007065FE"/>
    <w:rsid w:val="00706A32"/>
    <w:rsid w:val="00706A83"/>
    <w:rsid w:val="00706D25"/>
    <w:rsid w:val="00707045"/>
    <w:rsid w:val="007074CA"/>
    <w:rsid w:val="0070781A"/>
    <w:rsid w:val="00707CEB"/>
    <w:rsid w:val="007106FB"/>
    <w:rsid w:val="00710CEE"/>
    <w:rsid w:val="00710F31"/>
    <w:rsid w:val="007111B3"/>
    <w:rsid w:val="00711D19"/>
    <w:rsid w:val="00711EC8"/>
    <w:rsid w:val="00711F3A"/>
    <w:rsid w:val="007121C9"/>
    <w:rsid w:val="00712943"/>
    <w:rsid w:val="00712B6C"/>
    <w:rsid w:val="00712C8C"/>
    <w:rsid w:val="007130D0"/>
    <w:rsid w:val="0071377A"/>
    <w:rsid w:val="00713CA8"/>
    <w:rsid w:val="00713E91"/>
    <w:rsid w:val="0071427D"/>
    <w:rsid w:val="00714293"/>
    <w:rsid w:val="00714BAF"/>
    <w:rsid w:val="00716053"/>
    <w:rsid w:val="0071714D"/>
    <w:rsid w:val="007175AE"/>
    <w:rsid w:val="00717FF7"/>
    <w:rsid w:val="00720193"/>
    <w:rsid w:val="007201BC"/>
    <w:rsid w:val="00720A74"/>
    <w:rsid w:val="00720A9D"/>
    <w:rsid w:val="00720ADC"/>
    <w:rsid w:val="00720B36"/>
    <w:rsid w:val="00721A22"/>
    <w:rsid w:val="00721CEA"/>
    <w:rsid w:val="00721D96"/>
    <w:rsid w:val="00721EE0"/>
    <w:rsid w:val="0072265E"/>
    <w:rsid w:val="007229C5"/>
    <w:rsid w:val="00722A10"/>
    <w:rsid w:val="00722E66"/>
    <w:rsid w:val="00722EEC"/>
    <w:rsid w:val="007233B1"/>
    <w:rsid w:val="007237FD"/>
    <w:rsid w:val="00723A40"/>
    <w:rsid w:val="00723AD0"/>
    <w:rsid w:val="007241D3"/>
    <w:rsid w:val="007247ED"/>
    <w:rsid w:val="007248BD"/>
    <w:rsid w:val="00725062"/>
    <w:rsid w:val="00725558"/>
    <w:rsid w:val="00725ABB"/>
    <w:rsid w:val="007260DA"/>
    <w:rsid w:val="00726A9C"/>
    <w:rsid w:val="00727420"/>
    <w:rsid w:val="0072750B"/>
    <w:rsid w:val="00727756"/>
    <w:rsid w:val="0072778F"/>
    <w:rsid w:val="00730040"/>
    <w:rsid w:val="00730255"/>
    <w:rsid w:val="0073032D"/>
    <w:rsid w:val="007309C4"/>
    <w:rsid w:val="00730CC7"/>
    <w:rsid w:val="00731232"/>
    <w:rsid w:val="0073242B"/>
    <w:rsid w:val="0073247A"/>
    <w:rsid w:val="00732D6D"/>
    <w:rsid w:val="00732E24"/>
    <w:rsid w:val="0073317D"/>
    <w:rsid w:val="0073320D"/>
    <w:rsid w:val="00733A66"/>
    <w:rsid w:val="00733B77"/>
    <w:rsid w:val="00733FF4"/>
    <w:rsid w:val="007345BC"/>
    <w:rsid w:val="007345D3"/>
    <w:rsid w:val="0073473E"/>
    <w:rsid w:val="0073527C"/>
    <w:rsid w:val="0073581C"/>
    <w:rsid w:val="00736098"/>
    <w:rsid w:val="00736331"/>
    <w:rsid w:val="0073640A"/>
    <w:rsid w:val="00736446"/>
    <w:rsid w:val="007364B7"/>
    <w:rsid w:val="007365BA"/>
    <w:rsid w:val="00736664"/>
    <w:rsid w:val="00736AD5"/>
    <w:rsid w:val="00736B59"/>
    <w:rsid w:val="00736D27"/>
    <w:rsid w:val="00736E70"/>
    <w:rsid w:val="00736F34"/>
    <w:rsid w:val="00736F86"/>
    <w:rsid w:val="0074085C"/>
    <w:rsid w:val="007414CB"/>
    <w:rsid w:val="00741AF5"/>
    <w:rsid w:val="00741BA6"/>
    <w:rsid w:val="00741D72"/>
    <w:rsid w:val="00741F94"/>
    <w:rsid w:val="007420C6"/>
    <w:rsid w:val="00742305"/>
    <w:rsid w:val="00743048"/>
    <w:rsid w:val="007434D0"/>
    <w:rsid w:val="007436D0"/>
    <w:rsid w:val="00744035"/>
    <w:rsid w:val="007441D7"/>
    <w:rsid w:val="007443FF"/>
    <w:rsid w:val="007445C4"/>
    <w:rsid w:val="007446C9"/>
    <w:rsid w:val="00744926"/>
    <w:rsid w:val="00744C12"/>
    <w:rsid w:val="00744D53"/>
    <w:rsid w:val="00745142"/>
    <w:rsid w:val="00745369"/>
    <w:rsid w:val="00745425"/>
    <w:rsid w:val="00745572"/>
    <w:rsid w:val="00745B84"/>
    <w:rsid w:val="007463E2"/>
    <w:rsid w:val="007466A4"/>
    <w:rsid w:val="00746FE1"/>
    <w:rsid w:val="0074755E"/>
    <w:rsid w:val="0074774F"/>
    <w:rsid w:val="007477B6"/>
    <w:rsid w:val="00747F5A"/>
    <w:rsid w:val="00747FFA"/>
    <w:rsid w:val="007503D4"/>
    <w:rsid w:val="00750484"/>
    <w:rsid w:val="007504D9"/>
    <w:rsid w:val="007510AA"/>
    <w:rsid w:val="0075112B"/>
    <w:rsid w:val="007512B0"/>
    <w:rsid w:val="007513C2"/>
    <w:rsid w:val="007515E5"/>
    <w:rsid w:val="007515FF"/>
    <w:rsid w:val="00752A1A"/>
    <w:rsid w:val="00752B94"/>
    <w:rsid w:val="0075303E"/>
    <w:rsid w:val="00753251"/>
    <w:rsid w:val="00754015"/>
    <w:rsid w:val="007546CD"/>
    <w:rsid w:val="007549E0"/>
    <w:rsid w:val="00754BBD"/>
    <w:rsid w:val="00754F6F"/>
    <w:rsid w:val="0075517F"/>
    <w:rsid w:val="007552A5"/>
    <w:rsid w:val="00755FD9"/>
    <w:rsid w:val="00756060"/>
    <w:rsid w:val="00756982"/>
    <w:rsid w:val="00756E80"/>
    <w:rsid w:val="007574C3"/>
    <w:rsid w:val="007576C8"/>
    <w:rsid w:val="00757C76"/>
    <w:rsid w:val="007608E4"/>
    <w:rsid w:val="007610E0"/>
    <w:rsid w:val="007615A8"/>
    <w:rsid w:val="00761856"/>
    <w:rsid w:val="00761891"/>
    <w:rsid w:val="00761BB7"/>
    <w:rsid w:val="007623A0"/>
    <w:rsid w:val="00762441"/>
    <w:rsid w:val="0076257F"/>
    <w:rsid w:val="007625B2"/>
    <w:rsid w:val="007632B5"/>
    <w:rsid w:val="0076391F"/>
    <w:rsid w:val="0076398F"/>
    <w:rsid w:val="00763A4B"/>
    <w:rsid w:val="00763B4B"/>
    <w:rsid w:val="00764100"/>
    <w:rsid w:val="0076457A"/>
    <w:rsid w:val="00764B7A"/>
    <w:rsid w:val="00764BC5"/>
    <w:rsid w:val="00764E61"/>
    <w:rsid w:val="00765008"/>
    <w:rsid w:val="0076500E"/>
    <w:rsid w:val="0076530D"/>
    <w:rsid w:val="00765A4E"/>
    <w:rsid w:val="00766444"/>
    <w:rsid w:val="00766856"/>
    <w:rsid w:val="007668FF"/>
    <w:rsid w:val="00766BB5"/>
    <w:rsid w:val="007676ED"/>
    <w:rsid w:val="007679BF"/>
    <w:rsid w:val="00767DFE"/>
    <w:rsid w:val="007704F0"/>
    <w:rsid w:val="0077079E"/>
    <w:rsid w:val="00770830"/>
    <w:rsid w:val="00770D40"/>
    <w:rsid w:val="00770EAF"/>
    <w:rsid w:val="00770F0C"/>
    <w:rsid w:val="007711E7"/>
    <w:rsid w:val="007715D6"/>
    <w:rsid w:val="00771B83"/>
    <w:rsid w:val="00771E97"/>
    <w:rsid w:val="00772027"/>
    <w:rsid w:val="0077276E"/>
    <w:rsid w:val="007729B3"/>
    <w:rsid w:val="00772D0F"/>
    <w:rsid w:val="0077455F"/>
    <w:rsid w:val="007745EB"/>
    <w:rsid w:val="00774653"/>
    <w:rsid w:val="00774698"/>
    <w:rsid w:val="00774931"/>
    <w:rsid w:val="00774DA9"/>
    <w:rsid w:val="00775570"/>
    <w:rsid w:val="0077559A"/>
    <w:rsid w:val="00776552"/>
    <w:rsid w:val="0077785C"/>
    <w:rsid w:val="00777FCF"/>
    <w:rsid w:val="0078015D"/>
    <w:rsid w:val="00781160"/>
    <w:rsid w:val="0078122E"/>
    <w:rsid w:val="007816C5"/>
    <w:rsid w:val="007827A3"/>
    <w:rsid w:val="00782D54"/>
    <w:rsid w:val="007832A1"/>
    <w:rsid w:val="00783881"/>
    <w:rsid w:val="00783B3A"/>
    <w:rsid w:val="00783DA7"/>
    <w:rsid w:val="00784477"/>
    <w:rsid w:val="00784A19"/>
    <w:rsid w:val="0078506A"/>
    <w:rsid w:val="00785E60"/>
    <w:rsid w:val="00785F3E"/>
    <w:rsid w:val="00786186"/>
    <w:rsid w:val="007864CA"/>
    <w:rsid w:val="00786973"/>
    <w:rsid w:val="00786997"/>
    <w:rsid w:val="00786D30"/>
    <w:rsid w:val="00786EB7"/>
    <w:rsid w:val="00787028"/>
    <w:rsid w:val="00787CDE"/>
    <w:rsid w:val="007904FB"/>
    <w:rsid w:val="00791079"/>
    <w:rsid w:val="007913B1"/>
    <w:rsid w:val="00791DA9"/>
    <w:rsid w:val="00791DF7"/>
    <w:rsid w:val="00791E52"/>
    <w:rsid w:val="007926F8"/>
    <w:rsid w:val="00792D62"/>
    <w:rsid w:val="0079311D"/>
    <w:rsid w:val="00793A05"/>
    <w:rsid w:val="00795018"/>
    <w:rsid w:val="0079588F"/>
    <w:rsid w:val="00795C64"/>
    <w:rsid w:val="00795EC6"/>
    <w:rsid w:val="007963FC"/>
    <w:rsid w:val="00796906"/>
    <w:rsid w:val="007969A4"/>
    <w:rsid w:val="0079745A"/>
    <w:rsid w:val="00797715"/>
    <w:rsid w:val="00797C89"/>
    <w:rsid w:val="007A00D6"/>
    <w:rsid w:val="007A045D"/>
    <w:rsid w:val="007A1067"/>
    <w:rsid w:val="007A125B"/>
    <w:rsid w:val="007A1D61"/>
    <w:rsid w:val="007A1E2E"/>
    <w:rsid w:val="007A212A"/>
    <w:rsid w:val="007A2331"/>
    <w:rsid w:val="007A25C2"/>
    <w:rsid w:val="007A2776"/>
    <w:rsid w:val="007A3BF9"/>
    <w:rsid w:val="007A3DC5"/>
    <w:rsid w:val="007A3F70"/>
    <w:rsid w:val="007A40CB"/>
    <w:rsid w:val="007A4538"/>
    <w:rsid w:val="007A4619"/>
    <w:rsid w:val="007A49AC"/>
    <w:rsid w:val="007A4CFD"/>
    <w:rsid w:val="007A5DA9"/>
    <w:rsid w:val="007A5E30"/>
    <w:rsid w:val="007A6ECD"/>
    <w:rsid w:val="007A71F9"/>
    <w:rsid w:val="007A7596"/>
    <w:rsid w:val="007A7C5D"/>
    <w:rsid w:val="007B0068"/>
    <w:rsid w:val="007B017A"/>
    <w:rsid w:val="007B025E"/>
    <w:rsid w:val="007B054E"/>
    <w:rsid w:val="007B0AC3"/>
    <w:rsid w:val="007B10CD"/>
    <w:rsid w:val="007B1297"/>
    <w:rsid w:val="007B16A3"/>
    <w:rsid w:val="007B1B88"/>
    <w:rsid w:val="007B2661"/>
    <w:rsid w:val="007B285B"/>
    <w:rsid w:val="007B2E04"/>
    <w:rsid w:val="007B2F85"/>
    <w:rsid w:val="007B3AB2"/>
    <w:rsid w:val="007B4E72"/>
    <w:rsid w:val="007B4F0B"/>
    <w:rsid w:val="007B4FD3"/>
    <w:rsid w:val="007B5523"/>
    <w:rsid w:val="007B576C"/>
    <w:rsid w:val="007B5773"/>
    <w:rsid w:val="007B60A7"/>
    <w:rsid w:val="007B61A9"/>
    <w:rsid w:val="007B6219"/>
    <w:rsid w:val="007B6247"/>
    <w:rsid w:val="007B6DA1"/>
    <w:rsid w:val="007B7274"/>
    <w:rsid w:val="007B7ECC"/>
    <w:rsid w:val="007C06F3"/>
    <w:rsid w:val="007C099C"/>
    <w:rsid w:val="007C0C5D"/>
    <w:rsid w:val="007C1F07"/>
    <w:rsid w:val="007C1F92"/>
    <w:rsid w:val="007C3027"/>
    <w:rsid w:val="007C34CB"/>
    <w:rsid w:val="007C3B71"/>
    <w:rsid w:val="007C3E83"/>
    <w:rsid w:val="007C40B0"/>
    <w:rsid w:val="007C4C33"/>
    <w:rsid w:val="007C50A3"/>
    <w:rsid w:val="007C5390"/>
    <w:rsid w:val="007C5872"/>
    <w:rsid w:val="007C58BD"/>
    <w:rsid w:val="007C5DF2"/>
    <w:rsid w:val="007C64F7"/>
    <w:rsid w:val="007C6E13"/>
    <w:rsid w:val="007C6E66"/>
    <w:rsid w:val="007C7637"/>
    <w:rsid w:val="007C795D"/>
    <w:rsid w:val="007D02A6"/>
    <w:rsid w:val="007D0FC8"/>
    <w:rsid w:val="007D1117"/>
    <w:rsid w:val="007D15B4"/>
    <w:rsid w:val="007D1696"/>
    <w:rsid w:val="007D183F"/>
    <w:rsid w:val="007D185D"/>
    <w:rsid w:val="007D1A3B"/>
    <w:rsid w:val="007D1A4B"/>
    <w:rsid w:val="007D1F12"/>
    <w:rsid w:val="007D21A1"/>
    <w:rsid w:val="007D2AEF"/>
    <w:rsid w:val="007D2CE6"/>
    <w:rsid w:val="007D3997"/>
    <w:rsid w:val="007D3B8D"/>
    <w:rsid w:val="007D3BBA"/>
    <w:rsid w:val="007D4FF8"/>
    <w:rsid w:val="007D506C"/>
    <w:rsid w:val="007D5D55"/>
    <w:rsid w:val="007D5FD0"/>
    <w:rsid w:val="007D633B"/>
    <w:rsid w:val="007D63B3"/>
    <w:rsid w:val="007D6447"/>
    <w:rsid w:val="007D652B"/>
    <w:rsid w:val="007D6714"/>
    <w:rsid w:val="007D7D1F"/>
    <w:rsid w:val="007D7D73"/>
    <w:rsid w:val="007E0D01"/>
    <w:rsid w:val="007E11FB"/>
    <w:rsid w:val="007E16E5"/>
    <w:rsid w:val="007E18BB"/>
    <w:rsid w:val="007E1BD6"/>
    <w:rsid w:val="007E1DEB"/>
    <w:rsid w:val="007E1E9C"/>
    <w:rsid w:val="007E2078"/>
    <w:rsid w:val="007E2C4F"/>
    <w:rsid w:val="007E2D0F"/>
    <w:rsid w:val="007E33D4"/>
    <w:rsid w:val="007E39E6"/>
    <w:rsid w:val="007E3DCF"/>
    <w:rsid w:val="007E475F"/>
    <w:rsid w:val="007E4AE8"/>
    <w:rsid w:val="007E5285"/>
    <w:rsid w:val="007E56CD"/>
    <w:rsid w:val="007E629E"/>
    <w:rsid w:val="007E639D"/>
    <w:rsid w:val="007E69CD"/>
    <w:rsid w:val="007E6F35"/>
    <w:rsid w:val="007E717E"/>
    <w:rsid w:val="007E7340"/>
    <w:rsid w:val="007E7C67"/>
    <w:rsid w:val="007F03F9"/>
    <w:rsid w:val="007F0442"/>
    <w:rsid w:val="007F09CA"/>
    <w:rsid w:val="007F09EB"/>
    <w:rsid w:val="007F123A"/>
    <w:rsid w:val="007F1292"/>
    <w:rsid w:val="007F17EE"/>
    <w:rsid w:val="007F1970"/>
    <w:rsid w:val="007F28A2"/>
    <w:rsid w:val="007F2932"/>
    <w:rsid w:val="007F2C65"/>
    <w:rsid w:val="007F2EFD"/>
    <w:rsid w:val="007F3089"/>
    <w:rsid w:val="007F360A"/>
    <w:rsid w:val="007F3D32"/>
    <w:rsid w:val="007F45ED"/>
    <w:rsid w:val="007F5225"/>
    <w:rsid w:val="007F52CC"/>
    <w:rsid w:val="007F5488"/>
    <w:rsid w:val="007F56E5"/>
    <w:rsid w:val="007F62B7"/>
    <w:rsid w:val="007F6979"/>
    <w:rsid w:val="007F6D99"/>
    <w:rsid w:val="007F6EA3"/>
    <w:rsid w:val="007F7831"/>
    <w:rsid w:val="007F7A60"/>
    <w:rsid w:val="008003BB"/>
    <w:rsid w:val="00800491"/>
    <w:rsid w:val="008004DF"/>
    <w:rsid w:val="00800755"/>
    <w:rsid w:val="008015A0"/>
    <w:rsid w:val="008018C1"/>
    <w:rsid w:val="00801EF7"/>
    <w:rsid w:val="00801FE7"/>
    <w:rsid w:val="00802421"/>
    <w:rsid w:val="008024B2"/>
    <w:rsid w:val="008024BD"/>
    <w:rsid w:val="00802958"/>
    <w:rsid w:val="008031BA"/>
    <w:rsid w:val="008035E2"/>
    <w:rsid w:val="00804116"/>
    <w:rsid w:val="00804871"/>
    <w:rsid w:val="008048A6"/>
    <w:rsid w:val="00804984"/>
    <w:rsid w:val="00804A25"/>
    <w:rsid w:val="00804D43"/>
    <w:rsid w:val="00805255"/>
    <w:rsid w:val="00805C7A"/>
    <w:rsid w:val="0080634D"/>
    <w:rsid w:val="00806501"/>
    <w:rsid w:val="0080653E"/>
    <w:rsid w:val="00807A3B"/>
    <w:rsid w:val="00807F1C"/>
    <w:rsid w:val="00810131"/>
    <w:rsid w:val="008101C2"/>
    <w:rsid w:val="008101C9"/>
    <w:rsid w:val="008103BC"/>
    <w:rsid w:val="00810585"/>
    <w:rsid w:val="00810CC3"/>
    <w:rsid w:val="00810D73"/>
    <w:rsid w:val="00810F87"/>
    <w:rsid w:val="00811564"/>
    <w:rsid w:val="0081176B"/>
    <w:rsid w:val="00812582"/>
    <w:rsid w:val="008125D7"/>
    <w:rsid w:val="008136B4"/>
    <w:rsid w:val="00813AEC"/>
    <w:rsid w:val="00813F28"/>
    <w:rsid w:val="008143BC"/>
    <w:rsid w:val="008151A6"/>
    <w:rsid w:val="00816941"/>
    <w:rsid w:val="00816B32"/>
    <w:rsid w:val="00816E70"/>
    <w:rsid w:val="00816F2D"/>
    <w:rsid w:val="00816FC9"/>
    <w:rsid w:val="00820E23"/>
    <w:rsid w:val="0082105B"/>
    <w:rsid w:val="00821569"/>
    <w:rsid w:val="008219C1"/>
    <w:rsid w:val="00822B4B"/>
    <w:rsid w:val="00822FA0"/>
    <w:rsid w:val="00823357"/>
    <w:rsid w:val="008241B9"/>
    <w:rsid w:val="00824291"/>
    <w:rsid w:val="00824622"/>
    <w:rsid w:val="008247BA"/>
    <w:rsid w:val="008248E0"/>
    <w:rsid w:val="00824DAD"/>
    <w:rsid w:val="00824FB7"/>
    <w:rsid w:val="00825507"/>
    <w:rsid w:val="0082576D"/>
    <w:rsid w:val="00826157"/>
    <w:rsid w:val="00827009"/>
    <w:rsid w:val="008270ED"/>
    <w:rsid w:val="0082750D"/>
    <w:rsid w:val="00827C9A"/>
    <w:rsid w:val="0083031C"/>
    <w:rsid w:val="008304E8"/>
    <w:rsid w:val="00830637"/>
    <w:rsid w:val="00830F86"/>
    <w:rsid w:val="00831701"/>
    <w:rsid w:val="008317AE"/>
    <w:rsid w:val="00831AF8"/>
    <w:rsid w:val="00831F72"/>
    <w:rsid w:val="008322BB"/>
    <w:rsid w:val="0083260B"/>
    <w:rsid w:val="0083278B"/>
    <w:rsid w:val="0083285D"/>
    <w:rsid w:val="0083285E"/>
    <w:rsid w:val="00832C9F"/>
    <w:rsid w:val="008330A1"/>
    <w:rsid w:val="008331BD"/>
    <w:rsid w:val="0083364A"/>
    <w:rsid w:val="00833839"/>
    <w:rsid w:val="00833A1F"/>
    <w:rsid w:val="00833EC0"/>
    <w:rsid w:val="0083437E"/>
    <w:rsid w:val="008343BD"/>
    <w:rsid w:val="0083444D"/>
    <w:rsid w:val="00834480"/>
    <w:rsid w:val="00834B9C"/>
    <w:rsid w:val="00834CDC"/>
    <w:rsid w:val="0083557A"/>
    <w:rsid w:val="008360EA"/>
    <w:rsid w:val="00836845"/>
    <w:rsid w:val="00836B9C"/>
    <w:rsid w:val="00837158"/>
    <w:rsid w:val="00837E6A"/>
    <w:rsid w:val="0084043F"/>
    <w:rsid w:val="0084075C"/>
    <w:rsid w:val="008409AE"/>
    <w:rsid w:val="00840B46"/>
    <w:rsid w:val="00841322"/>
    <w:rsid w:val="00841645"/>
    <w:rsid w:val="00841CA8"/>
    <w:rsid w:val="00841D88"/>
    <w:rsid w:val="008420D9"/>
    <w:rsid w:val="00842514"/>
    <w:rsid w:val="008427C5"/>
    <w:rsid w:val="00842A5C"/>
    <w:rsid w:val="00842C37"/>
    <w:rsid w:val="00843869"/>
    <w:rsid w:val="008438BC"/>
    <w:rsid w:val="00844184"/>
    <w:rsid w:val="00844689"/>
    <w:rsid w:val="00844999"/>
    <w:rsid w:val="00844F0C"/>
    <w:rsid w:val="008454E7"/>
    <w:rsid w:val="00845545"/>
    <w:rsid w:val="00845700"/>
    <w:rsid w:val="008457C1"/>
    <w:rsid w:val="00845A45"/>
    <w:rsid w:val="00845F8D"/>
    <w:rsid w:val="0084651B"/>
    <w:rsid w:val="008467E0"/>
    <w:rsid w:val="008469DF"/>
    <w:rsid w:val="00846C16"/>
    <w:rsid w:val="008473FF"/>
    <w:rsid w:val="00847804"/>
    <w:rsid w:val="0084785C"/>
    <w:rsid w:val="008478F8"/>
    <w:rsid w:val="0085004B"/>
    <w:rsid w:val="008503E1"/>
    <w:rsid w:val="00850441"/>
    <w:rsid w:val="00850BEB"/>
    <w:rsid w:val="00850C75"/>
    <w:rsid w:val="00851D1D"/>
    <w:rsid w:val="00851DD6"/>
    <w:rsid w:val="008526C1"/>
    <w:rsid w:val="00852CAD"/>
    <w:rsid w:val="00852D06"/>
    <w:rsid w:val="00853086"/>
    <w:rsid w:val="00853A86"/>
    <w:rsid w:val="00853B8B"/>
    <w:rsid w:val="00853C11"/>
    <w:rsid w:val="00853CE0"/>
    <w:rsid w:val="00853D0D"/>
    <w:rsid w:val="00853D8C"/>
    <w:rsid w:val="008542CA"/>
    <w:rsid w:val="008548C4"/>
    <w:rsid w:val="0085498D"/>
    <w:rsid w:val="00854E5A"/>
    <w:rsid w:val="00854FAA"/>
    <w:rsid w:val="0085520E"/>
    <w:rsid w:val="0085527D"/>
    <w:rsid w:val="00855447"/>
    <w:rsid w:val="0085593F"/>
    <w:rsid w:val="00855A8F"/>
    <w:rsid w:val="00855B4C"/>
    <w:rsid w:val="00855D5F"/>
    <w:rsid w:val="008564FF"/>
    <w:rsid w:val="00856854"/>
    <w:rsid w:val="0085692D"/>
    <w:rsid w:val="00856E3D"/>
    <w:rsid w:val="00856E42"/>
    <w:rsid w:val="008578AF"/>
    <w:rsid w:val="00857FC7"/>
    <w:rsid w:val="0085E2AA"/>
    <w:rsid w:val="008600EF"/>
    <w:rsid w:val="00860E53"/>
    <w:rsid w:val="0086119A"/>
    <w:rsid w:val="00861669"/>
    <w:rsid w:val="00861853"/>
    <w:rsid w:val="00861A64"/>
    <w:rsid w:val="00861CC2"/>
    <w:rsid w:val="00862DF2"/>
    <w:rsid w:val="0086327D"/>
    <w:rsid w:val="008634C9"/>
    <w:rsid w:val="00864814"/>
    <w:rsid w:val="00864829"/>
    <w:rsid w:val="00864D33"/>
    <w:rsid w:val="00865677"/>
    <w:rsid w:val="00865EEF"/>
    <w:rsid w:val="0086634C"/>
    <w:rsid w:val="00866571"/>
    <w:rsid w:val="0086688B"/>
    <w:rsid w:val="00866A39"/>
    <w:rsid w:val="008670D4"/>
    <w:rsid w:val="00867EDC"/>
    <w:rsid w:val="008703C7"/>
    <w:rsid w:val="00870531"/>
    <w:rsid w:val="0087087C"/>
    <w:rsid w:val="0087092A"/>
    <w:rsid w:val="008713CE"/>
    <w:rsid w:val="00871877"/>
    <w:rsid w:val="00871CAF"/>
    <w:rsid w:val="00871DA4"/>
    <w:rsid w:val="00871ECA"/>
    <w:rsid w:val="0087230A"/>
    <w:rsid w:val="008726CA"/>
    <w:rsid w:val="008737EA"/>
    <w:rsid w:val="00873855"/>
    <w:rsid w:val="00873BC6"/>
    <w:rsid w:val="0087411F"/>
    <w:rsid w:val="008744A5"/>
    <w:rsid w:val="008745D3"/>
    <w:rsid w:val="0087489F"/>
    <w:rsid w:val="00874C0D"/>
    <w:rsid w:val="00874F0C"/>
    <w:rsid w:val="00875044"/>
    <w:rsid w:val="008752BB"/>
    <w:rsid w:val="00875C7F"/>
    <w:rsid w:val="0088008A"/>
    <w:rsid w:val="00880D3E"/>
    <w:rsid w:val="00880ED1"/>
    <w:rsid w:val="00881127"/>
    <w:rsid w:val="00881135"/>
    <w:rsid w:val="008811DB"/>
    <w:rsid w:val="00881281"/>
    <w:rsid w:val="00881542"/>
    <w:rsid w:val="008815DE"/>
    <w:rsid w:val="0088172D"/>
    <w:rsid w:val="00882103"/>
    <w:rsid w:val="008821FE"/>
    <w:rsid w:val="008824B3"/>
    <w:rsid w:val="00883142"/>
    <w:rsid w:val="00883733"/>
    <w:rsid w:val="00883F1C"/>
    <w:rsid w:val="00884660"/>
    <w:rsid w:val="00884A1A"/>
    <w:rsid w:val="00884B2C"/>
    <w:rsid w:val="00884CD1"/>
    <w:rsid w:val="00884FEB"/>
    <w:rsid w:val="00885185"/>
    <w:rsid w:val="008852BF"/>
    <w:rsid w:val="00885309"/>
    <w:rsid w:val="008857EC"/>
    <w:rsid w:val="0088587E"/>
    <w:rsid w:val="00885928"/>
    <w:rsid w:val="0088619E"/>
    <w:rsid w:val="0088630E"/>
    <w:rsid w:val="0088659E"/>
    <w:rsid w:val="00886875"/>
    <w:rsid w:val="00887637"/>
    <w:rsid w:val="0088787C"/>
    <w:rsid w:val="0088795E"/>
    <w:rsid w:val="00887A83"/>
    <w:rsid w:val="0089002A"/>
    <w:rsid w:val="0089010B"/>
    <w:rsid w:val="00890405"/>
    <w:rsid w:val="00891229"/>
    <w:rsid w:val="0089165E"/>
    <w:rsid w:val="008917A8"/>
    <w:rsid w:val="00891CA7"/>
    <w:rsid w:val="00892F48"/>
    <w:rsid w:val="00893133"/>
    <w:rsid w:val="008932B5"/>
    <w:rsid w:val="00893517"/>
    <w:rsid w:val="00894221"/>
    <w:rsid w:val="00894CF8"/>
    <w:rsid w:val="0089599B"/>
    <w:rsid w:val="008963CC"/>
    <w:rsid w:val="008968A4"/>
    <w:rsid w:val="00897812"/>
    <w:rsid w:val="00897938"/>
    <w:rsid w:val="00897C2A"/>
    <w:rsid w:val="008A025E"/>
    <w:rsid w:val="008A047B"/>
    <w:rsid w:val="008A0983"/>
    <w:rsid w:val="008A13DA"/>
    <w:rsid w:val="008A192D"/>
    <w:rsid w:val="008A1A1E"/>
    <w:rsid w:val="008A1C51"/>
    <w:rsid w:val="008A1D97"/>
    <w:rsid w:val="008A1F3D"/>
    <w:rsid w:val="008A200A"/>
    <w:rsid w:val="008A221D"/>
    <w:rsid w:val="008A2C77"/>
    <w:rsid w:val="008A301C"/>
    <w:rsid w:val="008A3152"/>
    <w:rsid w:val="008A35E8"/>
    <w:rsid w:val="008A37AB"/>
    <w:rsid w:val="008A3D96"/>
    <w:rsid w:val="008A49E8"/>
    <w:rsid w:val="008A509C"/>
    <w:rsid w:val="008A50EB"/>
    <w:rsid w:val="008A5CB2"/>
    <w:rsid w:val="008A5D76"/>
    <w:rsid w:val="008A5DBC"/>
    <w:rsid w:val="008A6074"/>
    <w:rsid w:val="008A61B3"/>
    <w:rsid w:val="008A6C2C"/>
    <w:rsid w:val="008A6D04"/>
    <w:rsid w:val="008A6E97"/>
    <w:rsid w:val="008A6EC9"/>
    <w:rsid w:val="008A6F7B"/>
    <w:rsid w:val="008A7079"/>
    <w:rsid w:val="008A7A5D"/>
    <w:rsid w:val="008B01DA"/>
    <w:rsid w:val="008B0835"/>
    <w:rsid w:val="008B0909"/>
    <w:rsid w:val="008B0911"/>
    <w:rsid w:val="008B0CB7"/>
    <w:rsid w:val="008B0DE1"/>
    <w:rsid w:val="008B187E"/>
    <w:rsid w:val="008B1A0F"/>
    <w:rsid w:val="008B2119"/>
    <w:rsid w:val="008B2F5E"/>
    <w:rsid w:val="008B3266"/>
    <w:rsid w:val="008B37B1"/>
    <w:rsid w:val="008B3953"/>
    <w:rsid w:val="008B3E8F"/>
    <w:rsid w:val="008B5C8E"/>
    <w:rsid w:val="008B5D77"/>
    <w:rsid w:val="008B6066"/>
    <w:rsid w:val="008B6358"/>
    <w:rsid w:val="008B695F"/>
    <w:rsid w:val="008B69FE"/>
    <w:rsid w:val="008B6B86"/>
    <w:rsid w:val="008B6D35"/>
    <w:rsid w:val="008B7267"/>
    <w:rsid w:val="008B73EE"/>
    <w:rsid w:val="008B7672"/>
    <w:rsid w:val="008B7B6E"/>
    <w:rsid w:val="008B7B93"/>
    <w:rsid w:val="008B7C6B"/>
    <w:rsid w:val="008B7D3A"/>
    <w:rsid w:val="008C017D"/>
    <w:rsid w:val="008C09FE"/>
    <w:rsid w:val="008C11D3"/>
    <w:rsid w:val="008C122C"/>
    <w:rsid w:val="008C1F56"/>
    <w:rsid w:val="008C1F5D"/>
    <w:rsid w:val="008C2330"/>
    <w:rsid w:val="008C26F8"/>
    <w:rsid w:val="008C2DC4"/>
    <w:rsid w:val="008C3506"/>
    <w:rsid w:val="008C3A01"/>
    <w:rsid w:val="008C402F"/>
    <w:rsid w:val="008C40D1"/>
    <w:rsid w:val="008C49A6"/>
    <w:rsid w:val="008C5233"/>
    <w:rsid w:val="008C529C"/>
    <w:rsid w:val="008C548F"/>
    <w:rsid w:val="008C58DA"/>
    <w:rsid w:val="008C5EF5"/>
    <w:rsid w:val="008C624D"/>
    <w:rsid w:val="008C6415"/>
    <w:rsid w:val="008C6A9B"/>
    <w:rsid w:val="008C6E0B"/>
    <w:rsid w:val="008C7D30"/>
    <w:rsid w:val="008C7F7F"/>
    <w:rsid w:val="008D056C"/>
    <w:rsid w:val="008D0D6A"/>
    <w:rsid w:val="008D16C6"/>
    <w:rsid w:val="008D1961"/>
    <w:rsid w:val="008D1D6C"/>
    <w:rsid w:val="008D2210"/>
    <w:rsid w:val="008D230A"/>
    <w:rsid w:val="008D24A6"/>
    <w:rsid w:val="008D274F"/>
    <w:rsid w:val="008D30D0"/>
    <w:rsid w:val="008D30F0"/>
    <w:rsid w:val="008D34F0"/>
    <w:rsid w:val="008D3534"/>
    <w:rsid w:val="008D4535"/>
    <w:rsid w:val="008D53B8"/>
    <w:rsid w:val="008D5428"/>
    <w:rsid w:val="008D56F8"/>
    <w:rsid w:val="008D6256"/>
    <w:rsid w:val="008D6581"/>
    <w:rsid w:val="008D6E8E"/>
    <w:rsid w:val="008D75AE"/>
    <w:rsid w:val="008D7D83"/>
    <w:rsid w:val="008D7DF7"/>
    <w:rsid w:val="008E004C"/>
    <w:rsid w:val="008E057C"/>
    <w:rsid w:val="008E0D48"/>
    <w:rsid w:val="008E0E86"/>
    <w:rsid w:val="008E0F08"/>
    <w:rsid w:val="008E10EF"/>
    <w:rsid w:val="008E1C7D"/>
    <w:rsid w:val="008E1EAA"/>
    <w:rsid w:val="008E20BD"/>
    <w:rsid w:val="008E2572"/>
    <w:rsid w:val="008E2B78"/>
    <w:rsid w:val="008E32A9"/>
    <w:rsid w:val="008E32FB"/>
    <w:rsid w:val="008E3376"/>
    <w:rsid w:val="008E36DC"/>
    <w:rsid w:val="008E39A9"/>
    <w:rsid w:val="008E3B13"/>
    <w:rsid w:val="008E3CA9"/>
    <w:rsid w:val="008E3E19"/>
    <w:rsid w:val="008E3E2B"/>
    <w:rsid w:val="008E410E"/>
    <w:rsid w:val="008E4499"/>
    <w:rsid w:val="008E47D2"/>
    <w:rsid w:val="008E5A4A"/>
    <w:rsid w:val="008E5ADB"/>
    <w:rsid w:val="008E5DC7"/>
    <w:rsid w:val="008E6AB5"/>
    <w:rsid w:val="008E7064"/>
    <w:rsid w:val="008E797B"/>
    <w:rsid w:val="008F0BB5"/>
    <w:rsid w:val="008F0FD7"/>
    <w:rsid w:val="008F11AA"/>
    <w:rsid w:val="008F1D0B"/>
    <w:rsid w:val="008F1D51"/>
    <w:rsid w:val="008F26F7"/>
    <w:rsid w:val="008F2C6B"/>
    <w:rsid w:val="008F2D4E"/>
    <w:rsid w:val="008F30F6"/>
    <w:rsid w:val="008F33FA"/>
    <w:rsid w:val="008F3562"/>
    <w:rsid w:val="008F3EC2"/>
    <w:rsid w:val="008F42E6"/>
    <w:rsid w:val="008F4A03"/>
    <w:rsid w:val="008F504F"/>
    <w:rsid w:val="008F50DF"/>
    <w:rsid w:val="008F54B0"/>
    <w:rsid w:val="008F5597"/>
    <w:rsid w:val="008F5BFE"/>
    <w:rsid w:val="008F63E5"/>
    <w:rsid w:val="008F6FD5"/>
    <w:rsid w:val="008F7BA1"/>
    <w:rsid w:val="008F7C56"/>
    <w:rsid w:val="008F7EB6"/>
    <w:rsid w:val="009001D0"/>
    <w:rsid w:val="0090036A"/>
    <w:rsid w:val="009008C5"/>
    <w:rsid w:val="00900C1D"/>
    <w:rsid w:val="00900D81"/>
    <w:rsid w:val="009014E3"/>
    <w:rsid w:val="00901501"/>
    <w:rsid w:val="00901571"/>
    <w:rsid w:val="00901CBA"/>
    <w:rsid w:val="009028CA"/>
    <w:rsid w:val="00902A50"/>
    <w:rsid w:val="00902EFC"/>
    <w:rsid w:val="00903207"/>
    <w:rsid w:val="009040A8"/>
    <w:rsid w:val="0090512A"/>
    <w:rsid w:val="00905281"/>
    <w:rsid w:val="009055E9"/>
    <w:rsid w:val="0090560C"/>
    <w:rsid w:val="00905EA9"/>
    <w:rsid w:val="009068C9"/>
    <w:rsid w:val="00906ACE"/>
    <w:rsid w:val="00906CE3"/>
    <w:rsid w:val="00907115"/>
    <w:rsid w:val="00907513"/>
    <w:rsid w:val="009076D1"/>
    <w:rsid w:val="00907EE3"/>
    <w:rsid w:val="00910030"/>
    <w:rsid w:val="00910210"/>
    <w:rsid w:val="00910355"/>
    <w:rsid w:val="00910670"/>
    <w:rsid w:val="009109C8"/>
    <w:rsid w:val="00910D9F"/>
    <w:rsid w:val="00911248"/>
    <w:rsid w:val="009118EE"/>
    <w:rsid w:val="00911EE4"/>
    <w:rsid w:val="00912ADD"/>
    <w:rsid w:val="00912C44"/>
    <w:rsid w:val="00912D02"/>
    <w:rsid w:val="00912DF5"/>
    <w:rsid w:val="00913122"/>
    <w:rsid w:val="009132C0"/>
    <w:rsid w:val="009137FD"/>
    <w:rsid w:val="00913B07"/>
    <w:rsid w:val="00913B80"/>
    <w:rsid w:val="00914105"/>
    <w:rsid w:val="00915179"/>
    <w:rsid w:val="00915620"/>
    <w:rsid w:val="00915E10"/>
    <w:rsid w:val="00916183"/>
    <w:rsid w:val="009166F8"/>
    <w:rsid w:val="009167CA"/>
    <w:rsid w:val="00917444"/>
    <w:rsid w:val="00917B09"/>
    <w:rsid w:val="00917BF7"/>
    <w:rsid w:val="00917F77"/>
    <w:rsid w:val="00920491"/>
    <w:rsid w:val="00920670"/>
    <w:rsid w:val="009206BE"/>
    <w:rsid w:val="009207A3"/>
    <w:rsid w:val="00920F12"/>
    <w:rsid w:val="00921565"/>
    <w:rsid w:val="00921700"/>
    <w:rsid w:val="00921758"/>
    <w:rsid w:val="00921AA6"/>
    <w:rsid w:val="00922BF8"/>
    <w:rsid w:val="00922F04"/>
    <w:rsid w:val="00923153"/>
    <w:rsid w:val="0092338C"/>
    <w:rsid w:val="0092379C"/>
    <w:rsid w:val="00924181"/>
    <w:rsid w:val="009243FB"/>
    <w:rsid w:val="009247A0"/>
    <w:rsid w:val="00924DF1"/>
    <w:rsid w:val="00924EEF"/>
    <w:rsid w:val="00924FE7"/>
    <w:rsid w:val="00925966"/>
    <w:rsid w:val="00925E4F"/>
    <w:rsid w:val="009263EF"/>
    <w:rsid w:val="009265F9"/>
    <w:rsid w:val="00926F25"/>
    <w:rsid w:val="009270B8"/>
    <w:rsid w:val="009270FE"/>
    <w:rsid w:val="009273BF"/>
    <w:rsid w:val="00927A7A"/>
    <w:rsid w:val="00927A8B"/>
    <w:rsid w:val="00927F02"/>
    <w:rsid w:val="009304EF"/>
    <w:rsid w:val="0093055F"/>
    <w:rsid w:val="009306AD"/>
    <w:rsid w:val="00930817"/>
    <w:rsid w:val="009308DB"/>
    <w:rsid w:val="00931282"/>
    <w:rsid w:val="00931528"/>
    <w:rsid w:val="0093153F"/>
    <w:rsid w:val="009317AA"/>
    <w:rsid w:val="00931BD2"/>
    <w:rsid w:val="00931D41"/>
    <w:rsid w:val="0093202C"/>
    <w:rsid w:val="0093242C"/>
    <w:rsid w:val="00932C88"/>
    <w:rsid w:val="00932E47"/>
    <w:rsid w:val="00933232"/>
    <w:rsid w:val="0093350B"/>
    <w:rsid w:val="009337A7"/>
    <w:rsid w:val="009338E1"/>
    <w:rsid w:val="009339C1"/>
    <w:rsid w:val="00933A4C"/>
    <w:rsid w:val="00933C56"/>
    <w:rsid w:val="0093491B"/>
    <w:rsid w:val="00934BDB"/>
    <w:rsid w:val="00934F04"/>
    <w:rsid w:val="00935898"/>
    <w:rsid w:val="00935945"/>
    <w:rsid w:val="0093597F"/>
    <w:rsid w:val="00935C83"/>
    <w:rsid w:val="00935CE7"/>
    <w:rsid w:val="009361FE"/>
    <w:rsid w:val="00936395"/>
    <w:rsid w:val="009364AD"/>
    <w:rsid w:val="009364B5"/>
    <w:rsid w:val="00936BB3"/>
    <w:rsid w:val="00936BBA"/>
    <w:rsid w:val="00936DD1"/>
    <w:rsid w:val="00936E87"/>
    <w:rsid w:val="009371BA"/>
    <w:rsid w:val="00937E2F"/>
    <w:rsid w:val="00940746"/>
    <w:rsid w:val="00940ED2"/>
    <w:rsid w:val="0094162B"/>
    <w:rsid w:val="00941843"/>
    <w:rsid w:val="009418B6"/>
    <w:rsid w:val="00941C08"/>
    <w:rsid w:val="00941CD9"/>
    <w:rsid w:val="00942368"/>
    <w:rsid w:val="009424DA"/>
    <w:rsid w:val="00942EAC"/>
    <w:rsid w:val="00942FCC"/>
    <w:rsid w:val="00942FEE"/>
    <w:rsid w:val="009433BC"/>
    <w:rsid w:val="0094380A"/>
    <w:rsid w:val="00943B03"/>
    <w:rsid w:val="00943B93"/>
    <w:rsid w:val="009441A3"/>
    <w:rsid w:val="00944530"/>
    <w:rsid w:val="00945182"/>
    <w:rsid w:val="009451F3"/>
    <w:rsid w:val="00946116"/>
    <w:rsid w:val="0094619B"/>
    <w:rsid w:val="0094651A"/>
    <w:rsid w:val="00946E7A"/>
    <w:rsid w:val="00947028"/>
    <w:rsid w:val="00947A01"/>
    <w:rsid w:val="00950563"/>
    <w:rsid w:val="009508C0"/>
    <w:rsid w:val="00950950"/>
    <w:rsid w:val="00950B09"/>
    <w:rsid w:val="0095142E"/>
    <w:rsid w:val="0095156A"/>
    <w:rsid w:val="0095276A"/>
    <w:rsid w:val="00952CD1"/>
    <w:rsid w:val="00953861"/>
    <w:rsid w:val="00953F5C"/>
    <w:rsid w:val="00953F6A"/>
    <w:rsid w:val="00954485"/>
    <w:rsid w:val="00954771"/>
    <w:rsid w:val="00954A0C"/>
    <w:rsid w:val="00954BFA"/>
    <w:rsid w:val="00954F58"/>
    <w:rsid w:val="009551D4"/>
    <w:rsid w:val="009554D7"/>
    <w:rsid w:val="00955742"/>
    <w:rsid w:val="00955A85"/>
    <w:rsid w:val="00955AA6"/>
    <w:rsid w:val="00955C81"/>
    <w:rsid w:val="00955F25"/>
    <w:rsid w:val="00956197"/>
    <w:rsid w:val="00956CEF"/>
    <w:rsid w:val="00957067"/>
    <w:rsid w:val="00960638"/>
    <w:rsid w:val="00960B47"/>
    <w:rsid w:val="00960E2F"/>
    <w:rsid w:val="00960E3B"/>
    <w:rsid w:val="00960EF7"/>
    <w:rsid w:val="00961426"/>
    <w:rsid w:val="00961B7D"/>
    <w:rsid w:val="0096266F"/>
    <w:rsid w:val="00962BBD"/>
    <w:rsid w:val="00962DEE"/>
    <w:rsid w:val="009631DA"/>
    <w:rsid w:val="00963301"/>
    <w:rsid w:val="00963750"/>
    <w:rsid w:val="0096378F"/>
    <w:rsid w:val="009643D9"/>
    <w:rsid w:val="00964737"/>
    <w:rsid w:val="00964E1D"/>
    <w:rsid w:val="00965272"/>
    <w:rsid w:val="00965D27"/>
    <w:rsid w:val="00966633"/>
    <w:rsid w:val="00966663"/>
    <w:rsid w:val="009668B9"/>
    <w:rsid w:val="009676E1"/>
    <w:rsid w:val="00967868"/>
    <w:rsid w:val="00967FAE"/>
    <w:rsid w:val="0097023D"/>
    <w:rsid w:val="009702F4"/>
    <w:rsid w:val="009704AD"/>
    <w:rsid w:val="0097112A"/>
    <w:rsid w:val="00971815"/>
    <w:rsid w:val="00971A2C"/>
    <w:rsid w:val="009720F9"/>
    <w:rsid w:val="00972227"/>
    <w:rsid w:val="00972A1C"/>
    <w:rsid w:val="00972F24"/>
    <w:rsid w:val="00973355"/>
    <w:rsid w:val="009734BF"/>
    <w:rsid w:val="00973560"/>
    <w:rsid w:val="00973707"/>
    <w:rsid w:val="00973B8E"/>
    <w:rsid w:val="00974150"/>
    <w:rsid w:val="009746FF"/>
    <w:rsid w:val="00974E1D"/>
    <w:rsid w:val="00974E3F"/>
    <w:rsid w:val="0097510A"/>
    <w:rsid w:val="00975976"/>
    <w:rsid w:val="00975CA2"/>
    <w:rsid w:val="00975F7F"/>
    <w:rsid w:val="009761F1"/>
    <w:rsid w:val="009769DE"/>
    <w:rsid w:val="00976E8F"/>
    <w:rsid w:val="0097708C"/>
    <w:rsid w:val="00977776"/>
    <w:rsid w:val="00980D69"/>
    <w:rsid w:val="009813B6"/>
    <w:rsid w:val="00981540"/>
    <w:rsid w:val="00981703"/>
    <w:rsid w:val="0098182F"/>
    <w:rsid w:val="0098245F"/>
    <w:rsid w:val="009828BC"/>
    <w:rsid w:val="00982985"/>
    <w:rsid w:val="009830F6"/>
    <w:rsid w:val="00983A75"/>
    <w:rsid w:val="00984090"/>
    <w:rsid w:val="0098483D"/>
    <w:rsid w:val="00984A5C"/>
    <w:rsid w:val="00984ED7"/>
    <w:rsid w:val="00985397"/>
    <w:rsid w:val="00985958"/>
    <w:rsid w:val="00985F14"/>
    <w:rsid w:val="00985F4C"/>
    <w:rsid w:val="0098606E"/>
    <w:rsid w:val="0098615B"/>
    <w:rsid w:val="00986581"/>
    <w:rsid w:val="00986885"/>
    <w:rsid w:val="00986FA9"/>
    <w:rsid w:val="0098757C"/>
    <w:rsid w:val="0098778D"/>
    <w:rsid w:val="00987B4A"/>
    <w:rsid w:val="00987CF4"/>
    <w:rsid w:val="00987EBE"/>
    <w:rsid w:val="00987FC0"/>
    <w:rsid w:val="00990DAF"/>
    <w:rsid w:val="00990E61"/>
    <w:rsid w:val="00990FEB"/>
    <w:rsid w:val="00991C37"/>
    <w:rsid w:val="00991D59"/>
    <w:rsid w:val="00991F99"/>
    <w:rsid w:val="009921F0"/>
    <w:rsid w:val="0099267D"/>
    <w:rsid w:val="0099270E"/>
    <w:rsid w:val="009928FF"/>
    <w:rsid w:val="00992FA2"/>
    <w:rsid w:val="00993200"/>
    <w:rsid w:val="0099403E"/>
    <w:rsid w:val="00995332"/>
    <w:rsid w:val="00995A7F"/>
    <w:rsid w:val="00995B12"/>
    <w:rsid w:val="009964E1"/>
    <w:rsid w:val="0099694B"/>
    <w:rsid w:val="00996DA3"/>
    <w:rsid w:val="009A03CD"/>
    <w:rsid w:val="009A04AB"/>
    <w:rsid w:val="009A0900"/>
    <w:rsid w:val="009A11F9"/>
    <w:rsid w:val="009A1317"/>
    <w:rsid w:val="009A1763"/>
    <w:rsid w:val="009A17B1"/>
    <w:rsid w:val="009A1A9B"/>
    <w:rsid w:val="009A1ACA"/>
    <w:rsid w:val="009A1B6A"/>
    <w:rsid w:val="009A2864"/>
    <w:rsid w:val="009A2D83"/>
    <w:rsid w:val="009A2E43"/>
    <w:rsid w:val="009A30B3"/>
    <w:rsid w:val="009A337E"/>
    <w:rsid w:val="009A3874"/>
    <w:rsid w:val="009A455A"/>
    <w:rsid w:val="009A47E2"/>
    <w:rsid w:val="009A4B3E"/>
    <w:rsid w:val="009A5612"/>
    <w:rsid w:val="009A5752"/>
    <w:rsid w:val="009A5A9D"/>
    <w:rsid w:val="009A6E08"/>
    <w:rsid w:val="009A715B"/>
    <w:rsid w:val="009A7222"/>
    <w:rsid w:val="009A77F8"/>
    <w:rsid w:val="009A7A38"/>
    <w:rsid w:val="009A7F35"/>
    <w:rsid w:val="009B09F5"/>
    <w:rsid w:val="009B0E38"/>
    <w:rsid w:val="009B0F70"/>
    <w:rsid w:val="009B25C7"/>
    <w:rsid w:val="009B29C1"/>
    <w:rsid w:val="009B355E"/>
    <w:rsid w:val="009B403F"/>
    <w:rsid w:val="009B511B"/>
    <w:rsid w:val="009B526D"/>
    <w:rsid w:val="009B591B"/>
    <w:rsid w:val="009B5985"/>
    <w:rsid w:val="009B6CE4"/>
    <w:rsid w:val="009B7004"/>
    <w:rsid w:val="009B74EB"/>
    <w:rsid w:val="009B7C88"/>
    <w:rsid w:val="009C001E"/>
    <w:rsid w:val="009C083D"/>
    <w:rsid w:val="009C0888"/>
    <w:rsid w:val="009C0CAD"/>
    <w:rsid w:val="009C1A96"/>
    <w:rsid w:val="009C1C8C"/>
    <w:rsid w:val="009C1F0C"/>
    <w:rsid w:val="009C20E1"/>
    <w:rsid w:val="009C2658"/>
    <w:rsid w:val="009C2831"/>
    <w:rsid w:val="009C2C58"/>
    <w:rsid w:val="009C301E"/>
    <w:rsid w:val="009C345D"/>
    <w:rsid w:val="009C3680"/>
    <w:rsid w:val="009C3801"/>
    <w:rsid w:val="009C3B60"/>
    <w:rsid w:val="009C3D16"/>
    <w:rsid w:val="009C3DD6"/>
    <w:rsid w:val="009C4291"/>
    <w:rsid w:val="009C42F0"/>
    <w:rsid w:val="009C44E7"/>
    <w:rsid w:val="009C4702"/>
    <w:rsid w:val="009C5551"/>
    <w:rsid w:val="009C5582"/>
    <w:rsid w:val="009C57C5"/>
    <w:rsid w:val="009C5826"/>
    <w:rsid w:val="009C68BF"/>
    <w:rsid w:val="009C7112"/>
    <w:rsid w:val="009C7695"/>
    <w:rsid w:val="009C7899"/>
    <w:rsid w:val="009C7D6A"/>
    <w:rsid w:val="009D0C9A"/>
    <w:rsid w:val="009D106B"/>
    <w:rsid w:val="009D1072"/>
    <w:rsid w:val="009D12B6"/>
    <w:rsid w:val="009D1EFD"/>
    <w:rsid w:val="009D2F08"/>
    <w:rsid w:val="009D30AF"/>
    <w:rsid w:val="009D3244"/>
    <w:rsid w:val="009D4D61"/>
    <w:rsid w:val="009D50E7"/>
    <w:rsid w:val="009D5501"/>
    <w:rsid w:val="009D5901"/>
    <w:rsid w:val="009D5D1A"/>
    <w:rsid w:val="009D5DE3"/>
    <w:rsid w:val="009D614B"/>
    <w:rsid w:val="009D62B1"/>
    <w:rsid w:val="009D6914"/>
    <w:rsid w:val="009D69FD"/>
    <w:rsid w:val="009D6EDB"/>
    <w:rsid w:val="009D7384"/>
    <w:rsid w:val="009D7386"/>
    <w:rsid w:val="009D74A6"/>
    <w:rsid w:val="009D7A90"/>
    <w:rsid w:val="009D7B21"/>
    <w:rsid w:val="009E0145"/>
    <w:rsid w:val="009E03C8"/>
    <w:rsid w:val="009E1644"/>
    <w:rsid w:val="009E1ABE"/>
    <w:rsid w:val="009E283E"/>
    <w:rsid w:val="009E2BBD"/>
    <w:rsid w:val="009E42EE"/>
    <w:rsid w:val="009E4FA0"/>
    <w:rsid w:val="009E5111"/>
    <w:rsid w:val="009E515A"/>
    <w:rsid w:val="009E536A"/>
    <w:rsid w:val="009E563E"/>
    <w:rsid w:val="009E5DCC"/>
    <w:rsid w:val="009E5DE6"/>
    <w:rsid w:val="009E655E"/>
    <w:rsid w:val="009E718A"/>
    <w:rsid w:val="009E7AD9"/>
    <w:rsid w:val="009E7D4D"/>
    <w:rsid w:val="009F0653"/>
    <w:rsid w:val="009F096C"/>
    <w:rsid w:val="009F0B7E"/>
    <w:rsid w:val="009F0FB5"/>
    <w:rsid w:val="009F1070"/>
    <w:rsid w:val="009F1084"/>
    <w:rsid w:val="009F1550"/>
    <w:rsid w:val="009F168E"/>
    <w:rsid w:val="009F1F3F"/>
    <w:rsid w:val="009F2B54"/>
    <w:rsid w:val="009F2BEC"/>
    <w:rsid w:val="009F2CBD"/>
    <w:rsid w:val="009F325E"/>
    <w:rsid w:val="009F3573"/>
    <w:rsid w:val="009F3AD0"/>
    <w:rsid w:val="009F3B58"/>
    <w:rsid w:val="009F4499"/>
    <w:rsid w:val="009F45B7"/>
    <w:rsid w:val="009F4C5F"/>
    <w:rsid w:val="009F50A3"/>
    <w:rsid w:val="009F523B"/>
    <w:rsid w:val="009F5244"/>
    <w:rsid w:val="009F5262"/>
    <w:rsid w:val="009F5379"/>
    <w:rsid w:val="009F5435"/>
    <w:rsid w:val="009F59DF"/>
    <w:rsid w:val="009F5FA4"/>
    <w:rsid w:val="009F78B4"/>
    <w:rsid w:val="009F7AD0"/>
    <w:rsid w:val="009F7C08"/>
    <w:rsid w:val="009F7D63"/>
    <w:rsid w:val="00A00316"/>
    <w:rsid w:val="00A00835"/>
    <w:rsid w:val="00A00EBD"/>
    <w:rsid w:val="00A01278"/>
    <w:rsid w:val="00A014DF"/>
    <w:rsid w:val="00A0171A"/>
    <w:rsid w:val="00A01C72"/>
    <w:rsid w:val="00A01F19"/>
    <w:rsid w:val="00A02850"/>
    <w:rsid w:val="00A0371C"/>
    <w:rsid w:val="00A03C89"/>
    <w:rsid w:val="00A03DC9"/>
    <w:rsid w:val="00A045D1"/>
    <w:rsid w:val="00A0483F"/>
    <w:rsid w:val="00A04CFA"/>
    <w:rsid w:val="00A05A8B"/>
    <w:rsid w:val="00A05D6E"/>
    <w:rsid w:val="00A0602E"/>
    <w:rsid w:val="00A07845"/>
    <w:rsid w:val="00A10C90"/>
    <w:rsid w:val="00A11279"/>
    <w:rsid w:val="00A1142D"/>
    <w:rsid w:val="00A11939"/>
    <w:rsid w:val="00A11C6E"/>
    <w:rsid w:val="00A127BA"/>
    <w:rsid w:val="00A12837"/>
    <w:rsid w:val="00A12B66"/>
    <w:rsid w:val="00A13601"/>
    <w:rsid w:val="00A136CD"/>
    <w:rsid w:val="00A14137"/>
    <w:rsid w:val="00A14679"/>
    <w:rsid w:val="00A1638A"/>
    <w:rsid w:val="00A16692"/>
    <w:rsid w:val="00A16759"/>
    <w:rsid w:val="00A16D6B"/>
    <w:rsid w:val="00A16FFF"/>
    <w:rsid w:val="00A17282"/>
    <w:rsid w:val="00A177B8"/>
    <w:rsid w:val="00A17B9E"/>
    <w:rsid w:val="00A201CF"/>
    <w:rsid w:val="00A203C1"/>
    <w:rsid w:val="00A21301"/>
    <w:rsid w:val="00A2183A"/>
    <w:rsid w:val="00A22A88"/>
    <w:rsid w:val="00A232F8"/>
    <w:rsid w:val="00A23F4B"/>
    <w:rsid w:val="00A24153"/>
    <w:rsid w:val="00A24751"/>
    <w:rsid w:val="00A248E2"/>
    <w:rsid w:val="00A250C4"/>
    <w:rsid w:val="00A25A0F"/>
    <w:rsid w:val="00A25F56"/>
    <w:rsid w:val="00A25F7A"/>
    <w:rsid w:val="00A25FF7"/>
    <w:rsid w:val="00A26662"/>
    <w:rsid w:val="00A2674E"/>
    <w:rsid w:val="00A27295"/>
    <w:rsid w:val="00A2757B"/>
    <w:rsid w:val="00A2771C"/>
    <w:rsid w:val="00A27876"/>
    <w:rsid w:val="00A278BE"/>
    <w:rsid w:val="00A27DB9"/>
    <w:rsid w:val="00A30C4C"/>
    <w:rsid w:val="00A31125"/>
    <w:rsid w:val="00A31BDD"/>
    <w:rsid w:val="00A31C07"/>
    <w:rsid w:val="00A31FA4"/>
    <w:rsid w:val="00A31FB5"/>
    <w:rsid w:val="00A320B1"/>
    <w:rsid w:val="00A32103"/>
    <w:rsid w:val="00A325F5"/>
    <w:rsid w:val="00A327E0"/>
    <w:rsid w:val="00A32C84"/>
    <w:rsid w:val="00A32F17"/>
    <w:rsid w:val="00A33695"/>
    <w:rsid w:val="00A33C55"/>
    <w:rsid w:val="00A34026"/>
    <w:rsid w:val="00A3414E"/>
    <w:rsid w:val="00A34B2E"/>
    <w:rsid w:val="00A369B8"/>
    <w:rsid w:val="00A369C3"/>
    <w:rsid w:val="00A36BEF"/>
    <w:rsid w:val="00A36E5F"/>
    <w:rsid w:val="00A36F51"/>
    <w:rsid w:val="00A37710"/>
    <w:rsid w:val="00A37887"/>
    <w:rsid w:val="00A37988"/>
    <w:rsid w:val="00A37A04"/>
    <w:rsid w:val="00A37FDF"/>
    <w:rsid w:val="00A402A8"/>
    <w:rsid w:val="00A40C93"/>
    <w:rsid w:val="00A413BA"/>
    <w:rsid w:val="00A41540"/>
    <w:rsid w:val="00A41661"/>
    <w:rsid w:val="00A41D3F"/>
    <w:rsid w:val="00A422DE"/>
    <w:rsid w:val="00A4250A"/>
    <w:rsid w:val="00A42705"/>
    <w:rsid w:val="00A4281F"/>
    <w:rsid w:val="00A42C00"/>
    <w:rsid w:val="00A4309F"/>
    <w:rsid w:val="00A4319E"/>
    <w:rsid w:val="00A4357A"/>
    <w:rsid w:val="00A43AAC"/>
    <w:rsid w:val="00A4472C"/>
    <w:rsid w:val="00A447EF"/>
    <w:rsid w:val="00A45097"/>
    <w:rsid w:val="00A45F10"/>
    <w:rsid w:val="00A46D64"/>
    <w:rsid w:val="00A473DF"/>
    <w:rsid w:val="00A50B73"/>
    <w:rsid w:val="00A50DA1"/>
    <w:rsid w:val="00A50E2E"/>
    <w:rsid w:val="00A50EB7"/>
    <w:rsid w:val="00A510F1"/>
    <w:rsid w:val="00A51AA9"/>
    <w:rsid w:val="00A5221E"/>
    <w:rsid w:val="00A52651"/>
    <w:rsid w:val="00A53023"/>
    <w:rsid w:val="00A5305C"/>
    <w:rsid w:val="00A53B59"/>
    <w:rsid w:val="00A53C11"/>
    <w:rsid w:val="00A5585A"/>
    <w:rsid w:val="00A56B4D"/>
    <w:rsid w:val="00A56F0F"/>
    <w:rsid w:val="00A57171"/>
    <w:rsid w:val="00A57DF9"/>
    <w:rsid w:val="00A60195"/>
    <w:rsid w:val="00A602E9"/>
    <w:rsid w:val="00A60344"/>
    <w:rsid w:val="00A604F1"/>
    <w:rsid w:val="00A6051C"/>
    <w:rsid w:val="00A60833"/>
    <w:rsid w:val="00A60A1B"/>
    <w:rsid w:val="00A618C4"/>
    <w:rsid w:val="00A61E20"/>
    <w:rsid w:val="00A6215F"/>
    <w:rsid w:val="00A62472"/>
    <w:rsid w:val="00A6371B"/>
    <w:rsid w:val="00A63823"/>
    <w:rsid w:val="00A6394C"/>
    <w:rsid w:val="00A63D5B"/>
    <w:rsid w:val="00A64421"/>
    <w:rsid w:val="00A6489B"/>
    <w:rsid w:val="00A648C2"/>
    <w:rsid w:val="00A651B2"/>
    <w:rsid w:val="00A65377"/>
    <w:rsid w:val="00A65572"/>
    <w:rsid w:val="00A6594D"/>
    <w:rsid w:val="00A65ABC"/>
    <w:rsid w:val="00A6661B"/>
    <w:rsid w:val="00A667B3"/>
    <w:rsid w:val="00A6683C"/>
    <w:rsid w:val="00A66D4C"/>
    <w:rsid w:val="00A66EA8"/>
    <w:rsid w:val="00A66EC6"/>
    <w:rsid w:val="00A66EFB"/>
    <w:rsid w:val="00A6706B"/>
    <w:rsid w:val="00A671F5"/>
    <w:rsid w:val="00A675D9"/>
    <w:rsid w:val="00A67B72"/>
    <w:rsid w:val="00A70159"/>
    <w:rsid w:val="00A70245"/>
    <w:rsid w:val="00A7054F"/>
    <w:rsid w:val="00A70EBB"/>
    <w:rsid w:val="00A720BB"/>
    <w:rsid w:val="00A7231D"/>
    <w:rsid w:val="00A725DE"/>
    <w:rsid w:val="00A72764"/>
    <w:rsid w:val="00A72DAE"/>
    <w:rsid w:val="00A72DF3"/>
    <w:rsid w:val="00A73282"/>
    <w:rsid w:val="00A7376F"/>
    <w:rsid w:val="00A737A0"/>
    <w:rsid w:val="00A7480D"/>
    <w:rsid w:val="00A74817"/>
    <w:rsid w:val="00A74B40"/>
    <w:rsid w:val="00A74D8D"/>
    <w:rsid w:val="00A75422"/>
    <w:rsid w:val="00A75E8D"/>
    <w:rsid w:val="00A75ED8"/>
    <w:rsid w:val="00A7601C"/>
    <w:rsid w:val="00A762B8"/>
    <w:rsid w:val="00A76381"/>
    <w:rsid w:val="00A76AAD"/>
    <w:rsid w:val="00A76DA6"/>
    <w:rsid w:val="00A76FC9"/>
    <w:rsid w:val="00A77190"/>
    <w:rsid w:val="00A772B4"/>
    <w:rsid w:val="00A774C1"/>
    <w:rsid w:val="00A7769C"/>
    <w:rsid w:val="00A779E9"/>
    <w:rsid w:val="00A77B37"/>
    <w:rsid w:val="00A77BD4"/>
    <w:rsid w:val="00A77F62"/>
    <w:rsid w:val="00A8004B"/>
    <w:rsid w:val="00A801A9"/>
    <w:rsid w:val="00A803F1"/>
    <w:rsid w:val="00A808DC"/>
    <w:rsid w:val="00A80A02"/>
    <w:rsid w:val="00A80B83"/>
    <w:rsid w:val="00A80C2E"/>
    <w:rsid w:val="00A80EA8"/>
    <w:rsid w:val="00A8189E"/>
    <w:rsid w:val="00A81AFC"/>
    <w:rsid w:val="00A8231D"/>
    <w:rsid w:val="00A82540"/>
    <w:rsid w:val="00A827A8"/>
    <w:rsid w:val="00A8299B"/>
    <w:rsid w:val="00A82F95"/>
    <w:rsid w:val="00A8318E"/>
    <w:rsid w:val="00A837E5"/>
    <w:rsid w:val="00A83E73"/>
    <w:rsid w:val="00A840BE"/>
    <w:rsid w:val="00A840D5"/>
    <w:rsid w:val="00A852A4"/>
    <w:rsid w:val="00A85CE0"/>
    <w:rsid w:val="00A85DE6"/>
    <w:rsid w:val="00A85E91"/>
    <w:rsid w:val="00A86139"/>
    <w:rsid w:val="00A86AC2"/>
    <w:rsid w:val="00A86EB4"/>
    <w:rsid w:val="00A87249"/>
    <w:rsid w:val="00A87F92"/>
    <w:rsid w:val="00A90916"/>
    <w:rsid w:val="00A90BDF"/>
    <w:rsid w:val="00A90C51"/>
    <w:rsid w:val="00A91E36"/>
    <w:rsid w:val="00A928F5"/>
    <w:rsid w:val="00A92CFF"/>
    <w:rsid w:val="00A92F0D"/>
    <w:rsid w:val="00A931FA"/>
    <w:rsid w:val="00A9428A"/>
    <w:rsid w:val="00A94862"/>
    <w:rsid w:val="00A94F5F"/>
    <w:rsid w:val="00A94FBC"/>
    <w:rsid w:val="00A952FE"/>
    <w:rsid w:val="00A9559C"/>
    <w:rsid w:val="00A95A3D"/>
    <w:rsid w:val="00A95E03"/>
    <w:rsid w:val="00A95EBD"/>
    <w:rsid w:val="00A95FD0"/>
    <w:rsid w:val="00A96476"/>
    <w:rsid w:val="00A96577"/>
    <w:rsid w:val="00A96627"/>
    <w:rsid w:val="00A968D0"/>
    <w:rsid w:val="00A976D9"/>
    <w:rsid w:val="00A97750"/>
    <w:rsid w:val="00A97CCE"/>
    <w:rsid w:val="00A97F0D"/>
    <w:rsid w:val="00AA02BE"/>
    <w:rsid w:val="00AA02FF"/>
    <w:rsid w:val="00AA0425"/>
    <w:rsid w:val="00AA04D7"/>
    <w:rsid w:val="00AA058E"/>
    <w:rsid w:val="00AA0E8C"/>
    <w:rsid w:val="00AA1B66"/>
    <w:rsid w:val="00AA1E93"/>
    <w:rsid w:val="00AA3189"/>
    <w:rsid w:val="00AA4392"/>
    <w:rsid w:val="00AA4E36"/>
    <w:rsid w:val="00AA4F4C"/>
    <w:rsid w:val="00AA629F"/>
    <w:rsid w:val="00AA64B0"/>
    <w:rsid w:val="00AA6642"/>
    <w:rsid w:val="00AA6996"/>
    <w:rsid w:val="00AA6A66"/>
    <w:rsid w:val="00AA6BDD"/>
    <w:rsid w:val="00AA7658"/>
    <w:rsid w:val="00AA7DAB"/>
    <w:rsid w:val="00AA7E82"/>
    <w:rsid w:val="00AB00A2"/>
    <w:rsid w:val="00AB01A1"/>
    <w:rsid w:val="00AB0412"/>
    <w:rsid w:val="00AB1025"/>
    <w:rsid w:val="00AB165B"/>
    <w:rsid w:val="00AB1978"/>
    <w:rsid w:val="00AB1BC3"/>
    <w:rsid w:val="00AB1C4B"/>
    <w:rsid w:val="00AB1D4D"/>
    <w:rsid w:val="00AB232D"/>
    <w:rsid w:val="00AB2397"/>
    <w:rsid w:val="00AB2B90"/>
    <w:rsid w:val="00AB2C97"/>
    <w:rsid w:val="00AB2DDE"/>
    <w:rsid w:val="00AB2F46"/>
    <w:rsid w:val="00AB3319"/>
    <w:rsid w:val="00AB3837"/>
    <w:rsid w:val="00AB393F"/>
    <w:rsid w:val="00AB3A99"/>
    <w:rsid w:val="00AB3D67"/>
    <w:rsid w:val="00AB3FE1"/>
    <w:rsid w:val="00AB40BA"/>
    <w:rsid w:val="00AB413E"/>
    <w:rsid w:val="00AB4CE3"/>
    <w:rsid w:val="00AB4D6B"/>
    <w:rsid w:val="00AB4E51"/>
    <w:rsid w:val="00AB550F"/>
    <w:rsid w:val="00AB638B"/>
    <w:rsid w:val="00AB63E5"/>
    <w:rsid w:val="00AB6610"/>
    <w:rsid w:val="00AB67AA"/>
    <w:rsid w:val="00AB6BEF"/>
    <w:rsid w:val="00AB70B4"/>
    <w:rsid w:val="00AB725A"/>
    <w:rsid w:val="00AB78C9"/>
    <w:rsid w:val="00AB796B"/>
    <w:rsid w:val="00AB7970"/>
    <w:rsid w:val="00AB7B8D"/>
    <w:rsid w:val="00AB7EF6"/>
    <w:rsid w:val="00AC06B8"/>
    <w:rsid w:val="00AC072A"/>
    <w:rsid w:val="00AC0B36"/>
    <w:rsid w:val="00AC0B58"/>
    <w:rsid w:val="00AC0C9F"/>
    <w:rsid w:val="00AC0F2C"/>
    <w:rsid w:val="00AC14E2"/>
    <w:rsid w:val="00AC1E28"/>
    <w:rsid w:val="00AC24E6"/>
    <w:rsid w:val="00AC3054"/>
    <w:rsid w:val="00AC38F7"/>
    <w:rsid w:val="00AC4299"/>
    <w:rsid w:val="00AC4963"/>
    <w:rsid w:val="00AC49BB"/>
    <w:rsid w:val="00AC4C96"/>
    <w:rsid w:val="00AC4E3A"/>
    <w:rsid w:val="00AC4E9C"/>
    <w:rsid w:val="00AC5975"/>
    <w:rsid w:val="00AC5BC1"/>
    <w:rsid w:val="00AC5D72"/>
    <w:rsid w:val="00AC5F45"/>
    <w:rsid w:val="00AC6255"/>
    <w:rsid w:val="00AC6339"/>
    <w:rsid w:val="00AC654C"/>
    <w:rsid w:val="00AC6570"/>
    <w:rsid w:val="00AC70D3"/>
    <w:rsid w:val="00AC7107"/>
    <w:rsid w:val="00AC7261"/>
    <w:rsid w:val="00AC788C"/>
    <w:rsid w:val="00AD0050"/>
    <w:rsid w:val="00AD02DF"/>
    <w:rsid w:val="00AD061B"/>
    <w:rsid w:val="00AD0C6F"/>
    <w:rsid w:val="00AD18D0"/>
    <w:rsid w:val="00AD1A08"/>
    <w:rsid w:val="00AD24F3"/>
    <w:rsid w:val="00AD3D94"/>
    <w:rsid w:val="00AD3E7C"/>
    <w:rsid w:val="00AD4321"/>
    <w:rsid w:val="00AD440A"/>
    <w:rsid w:val="00AD4571"/>
    <w:rsid w:val="00AD4A76"/>
    <w:rsid w:val="00AD4A9F"/>
    <w:rsid w:val="00AD4C07"/>
    <w:rsid w:val="00AD5151"/>
    <w:rsid w:val="00AD6000"/>
    <w:rsid w:val="00AD627C"/>
    <w:rsid w:val="00AD6F03"/>
    <w:rsid w:val="00AD6FCE"/>
    <w:rsid w:val="00AD6FF1"/>
    <w:rsid w:val="00AD70F1"/>
    <w:rsid w:val="00AD7434"/>
    <w:rsid w:val="00AE080C"/>
    <w:rsid w:val="00AE08E4"/>
    <w:rsid w:val="00AE0A6A"/>
    <w:rsid w:val="00AE0C1B"/>
    <w:rsid w:val="00AE1C7D"/>
    <w:rsid w:val="00AE1CD7"/>
    <w:rsid w:val="00AE1FFA"/>
    <w:rsid w:val="00AE28A0"/>
    <w:rsid w:val="00AE2AA1"/>
    <w:rsid w:val="00AE3011"/>
    <w:rsid w:val="00AE391C"/>
    <w:rsid w:val="00AE3D0A"/>
    <w:rsid w:val="00AE3D79"/>
    <w:rsid w:val="00AE3F8E"/>
    <w:rsid w:val="00AE47EF"/>
    <w:rsid w:val="00AE49B2"/>
    <w:rsid w:val="00AE4AE4"/>
    <w:rsid w:val="00AE4C83"/>
    <w:rsid w:val="00AE510C"/>
    <w:rsid w:val="00AE54E9"/>
    <w:rsid w:val="00AE6655"/>
    <w:rsid w:val="00AE6CB8"/>
    <w:rsid w:val="00AE7CD3"/>
    <w:rsid w:val="00AF0017"/>
    <w:rsid w:val="00AF003B"/>
    <w:rsid w:val="00AF07E2"/>
    <w:rsid w:val="00AF0D6E"/>
    <w:rsid w:val="00AF0EDC"/>
    <w:rsid w:val="00AF1037"/>
    <w:rsid w:val="00AF1104"/>
    <w:rsid w:val="00AF18F2"/>
    <w:rsid w:val="00AF19C5"/>
    <w:rsid w:val="00AF1C9B"/>
    <w:rsid w:val="00AF1E50"/>
    <w:rsid w:val="00AF1F57"/>
    <w:rsid w:val="00AF269A"/>
    <w:rsid w:val="00AF2AB4"/>
    <w:rsid w:val="00AF2EF6"/>
    <w:rsid w:val="00AF300C"/>
    <w:rsid w:val="00AF318F"/>
    <w:rsid w:val="00AF3C10"/>
    <w:rsid w:val="00AF3D7A"/>
    <w:rsid w:val="00AF47B4"/>
    <w:rsid w:val="00AF4B50"/>
    <w:rsid w:val="00AF4ED2"/>
    <w:rsid w:val="00AF4F1C"/>
    <w:rsid w:val="00AF5025"/>
    <w:rsid w:val="00AF5965"/>
    <w:rsid w:val="00AF5A06"/>
    <w:rsid w:val="00AF5A7D"/>
    <w:rsid w:val="00AF5BEC"/>
    <w:rsid w:val="00AF5CA3"/>
    <w:rsid w:val="00AF62BC"/>
    <w:rsid w:val="00AF672F"/>
    <w:rsid w:val="00AF6B95"/>
    <w:rsid w:val="00AF6F2C"/>
    <w:rsid w:val="00AF7783"/>
    <w:rsid w:val="00AF7B78"/>
    <w:rsid w:val="00AF7B8B"/>
    <w:rsid w:val="00AF7FA5"/>
    <w:rsid w:val="00B00469"/>
    <w:rsid w:val="00B006E9"/>
    <w:rsid w:val="00B0111E"/>
    <w:rsid w:val="00B01163"/>
    <w:rsid w:val="00B011E2"/>
    <w:rsid w:val="00B01684"/>
    <w:rsid w:val="00B01D1D"/>
    <w:rsid w:val="00B0203E"/>
    <w:rsid w:val="00B0233A"/>
    <w:rsid w:val="00B024AD"/>
    <w:rsid w:val="00B024D7"/>
    <w:rsid w:val="00B0261B"/>
    <w:rsid w:val="00B026C4"/>
    <w:rsid w:val="00B0371A"/>
    <w:rsid w:val="00B042CB"/>
    <w:rsid w:val="00B048F1"/>
    <w:rsid w:val="00B049B4"/>
    <w:rsid w:val="00B04D23"/>
    <w:rsid w:val="00B0509E"/>
    <w:rsid w:val="00B057CA"/>
    <w:rsid w:val="00B059D4"/>
    <w:rsid w:val="00B05E03"/>
    <w:rsid w:val="00B0641E"/>
    <w:rsid w:val="00B065CA"/>
    <w:rsid w:val="00B06F5A"/>
    <w:rsid w:val="00B10004"/>
    <w:rsid w:val="00B104A0"/>
    <w:rsid w:val="00B1053F"/>
    <w:rsid w:val="00B11248"/>
    <w:rsid w:val="00B11505"/>
    <w:rsid w:val="00B1174D"/>
    <w:rsid w:val="00B11D0D"/>
    <w:rsid w:val="00B11D4D"/>
    <w:rsid w:val="00B11D50"/>
    <w:rsid w:val="00B11E71"/>
    <w:rsid w:val="00B123AB"/>
    <w:rsid w:val="00B12632"/>
    <w:rsid w:val="00B12EA6"/>
    <w:rsid w:val="00B13061"/>
    <w:rsid w:val="00B1337C"/>
    <w:rsid w:val="00B13638"/>
    <w:rsid w:val="00B1367F"/>
    <w:rsid w:val="00B136AE"/>
    <w:rsid w:val="00B13C79"/>
    <w:rsid w:val="00B1403F"/>
    <w:rsid w:val="00B1417C"/>
    <w:rsid w:val="00B14216"/>
    <w:rsid w:val="00B14253"/>
    <w:rsid w:val="00B145A2"/>
    <w:rsid w:val="00B148D1"/>
    <w:rsid w:val="00B14BBF"/>
    <w:rsid w:val="00B14C95"/>
    <w:rsid w:val="00B14F73"/>
    <w:rsid w:val="00B15280"/>
    <w:rsid w:val="00B15DB6"/>
    <w:rsid w:val="00B15E5A"/>
    <w:rsid w:val="00B1618D"/>
    <w:rsid w:val="00B161D3"/>
    <w:rsid w:val="00B16847"/>
    <w:rsid w:val="00B16A6A"/>
    <w:rsid w:val="00B16DF4"/>
    <w:rsid w:val="00B17100"/>
    <w:rsid w:val="00B171C0"/>
    <w:rsid w:val="00B1769B"/>
    <w:rsid w:val="00B17999"/>
    <w:rsid w:val="00B17DFF"/>
    <w:rsid w:val="00B17F52"/>
    <w:rsid w:val="00B20317"/>
    <w:rsid w:val="00B20585"/>
    <w:rsid w:val="00B20894"/>
    <w:rsid w:val="00B20B37"/>
    <w:rsid w:val="00B20E5D"/>
    <w:rsid w:val="00B2107A"/>
    <w:rsid w:val="00B2164F"/>
    <w:rsid w:val="00B21B15"/>
    <w:rsid w:val="00B21DE2"/>
    <w:rsid w:val="00B21E50"/>
    <w:rsid w:val="00B22110"/>
    <w:rsid w:val="00B222B6"/>
    <w:rsid w:val="00B223EC"/>
    <w:rsid w:val="00B224F7"/>
    <w:rsid w:val="00B2266E"/>
    <w:rsid w:val="00B22E27"/>
    <w:rsid w:val="00B22F22"/>
    <w:rsid w:val="00B23005"/>
    <w:rsid w:val="00B23539"/>
    <w:rsid w:val="00B236B5"/>
    <w:rsid w:val="00B23AFC"/>
    <w:rsid w:val="00B24168"/>
    <w:rsid w:val="00B24CA5"/>
    <w:rsid w:val="00B251BF"/>
    <w:rsid w:val="00B25EC5"/>
    <w:rsid w:val="00B261CE"/>
    <w:rsid w:val="00B267A1"/>
    <w:rsid w:val="00B26927"/>
    <w:rsid w:val="00B27DE8"/>
    <w:rsid w:val="00B30046"/>
    <w:rsid w:val="00B30480"/>
    <w:rsid w:val="00B30873"/>
    <w:rsid w:val="00B3089D"/>
    <w:rsid w:val="00B30DF8"/>
    <w:rsid w:val="00B30FAC"/>
    <w:rsid w:val="00B31429"/>
    <w:rsid w:val="00B31D8A"/>
    <w:rsid w:val="00B32012"/>
    <w:rsid w:val="00B32AFB"/>
    <w:rsid w:val="00B32C14"/>
    <w:rsid w:val="00B338E9"/>
    <w:rsid w:val="00B34001"/>
    <w:rsid w:val="00B340DA"/>
    <w:rsid w:val="00B34346"/>
    <w:rsid w:val="00B3451B"/>
    <w:rsid w:val="00B3451C"/>
    <w:rsid w:val="00B34B0B"/>
    <w:rsid w:val="00B34B77"/>
    <w:rsid w:val="00B34DD6"/>
    <w:rsid w:val="00B34E8F"/>
    <w:rsid w:val="00B34FCD"/>
    <w:rsid w:val="00B3590A"/>
    <w:rsid w:val="00B35C96"/>
    <w:rsid w:val="00B35F80"/>
    <w:rsid w:val="00B36481"/>
    <w:rsid w:val="00B3662F"/>
    <w:rsid w:val="00B36BA6"/>
    <w:rsid w:val="00B36EAA"/>
    <w:rsid w:val="00B37163"/>
    <w:rsid w:val="00B37743"/>
    <w:rsid w:val="00B37BFA"/>
    <w:rsid w:val="00B4177D"/>
    <w:rsid w:val="00B42594"/>
    <w:rsid w:val="00B42994"/>
    <w:rsid w:val="00B42A65"/>
    <w:rsid w:val="00B42D45"/>
    <w:rsid w:val="00B431BD"/>
    <w:rsid w:val="00B43959"/>
    <w:rsid w:val="00B439B1"/>
    <w:rsid w:val="00B43B60"/>
    <w:rsid w:val="00B43C2A"/>
    <w:rsid w:val="00B43F29"/>
    <w:rsid w:val="00B4423C"/>
    <w:rsid w:val="00B442BD"/>
    <w:rsid w:val="00B44F8C"/>
    <w:rsid w:val="00B4512A"/>
    <w:rsid w:val="00B45527"/>
    <w:rsid w:val="00B45B2A"/>
    <w:rsid w:val="00B47F0C"/>
    <w:rsid w:val="00B50194"/>
    <w:rsid w:val="00B501AC"/>
    <w:rsid w:val="00B50D10"/>
    <w:rsid w:val="00B511EE"/>
    <w:rsid w:val="00B5153D"/>
    <w:rsid w:val="00B51CC6"/>
    <w:rsid w:val="00B51F42"/>
    <w:rsid w:val="00B522A4"/>
    <w:rsid w:val="00B52872"/>
    <w:rsid w:val="00B53030"/>
    <w:rsid w:val="00B535E3"/>
    <w:rsid w:val="00B53847"/>
    <w:rsid w:val="00B53939"/>
    <w:rsid w:val="00B5416D"/>
    <w:rsid w:val="00B54264"/>
    <w:rsid w:val="00B542AB"/>
    <w:rsid w:val="00B551D4"/>
    <w:rsid w:val="00B5535F"/>
    <w:rsid w:val="00B554AF"/>
    <w:rsid w:val="00B55794"/>
    <w:rsid w:val="00B56331"/>
    <w:rsid w:val="00B56AB8"/>
    <w:rsid w:val="00B571D6"/>
    <w:rsid w:val="00B57B40"/>
    <w:rsid w:val="00B57DCB"/>
    <w:rsid w:val="00B60371"/>
    <w:rsid w:val="00B60385"/>
    <w:rsid w:val="00B611CB"/>
    <w:rsid w:val="00B61482"/>
    <w:rsid w:val="00B61D5C"/>
    <w:rsid w:val="00B62277"/>
    <w:rsid w:val="00B62635"/>
    <w:rsid w:val="00B62904"/>
    <w:rsid w:val="00B62F65"/>
    <w:rsid w:val="00B6323B"/>
    <w:rsid w:val="00B63A2F"/>
    <w:rsid w:val="00B643B0"/>
    <w:rsid w:val="00B64DD1"/>
    <w:rsid w:val="00B656B8"/>
    <w:rsid w:val="00B657C6"/>
    <w:rsid w:val="00B658AD"/>
    <w:rsid w:val="00B65C62"/>
    <w:rsid w:val="00B6637B"/>
    <w:rsid w:val="00B66DF4"/>
    <w:rsid w:val="00B702C9"/>
    <w:rsid w:val="00B70800"/>
    <w:rsid w:val="00B70A6C"/>
    <w:rsid w:val="00B70A73"/>
    <w:rsid w:val="00B70BF1"/>
    <w:rsid w:val="00B71000"/>
    <w:rsid w:val="00B71532"/>
    <w:rsid w:val="00B7155C"/>
    <w:rsid w:val="00B71CD5"/>
    <w:rsid w:val="00B71DAC"/>
    <w:rsid w:val="00B725BE"/>
    <w:rsid w:val="00B7283C"/>
    <w:rsid w:val="00B728AB"/>
    <w:rsid w:val="00B72E87"/>
    <w:rsid w:val="00B730C7"/>
    <w:rsid w:val="00B7350E"/>
    <w:rsid w:val="00B73E38"/>
    <w:rsid w:val="00B7408D"/>
    <w:rsid w:val="00B74792"/>
    <w:rsid w:val="00B74824"/>
    <w:rsid w:val="00B74827"/>
    <w:rsid w:val="00B74B3D"/>
    <w:rsid w:val="00B74FA2"/>
    <w:rsid w:val="00B7589B"/>
    <w:rsid w:val="00B759BA"/>
    <w:rsid w:val="00B75F07"/>
    <w:rsid w:val="00B76A97"/>
    <w:rsid w:val="00B770C6"/>
    <w:rsid w:val="00B77440"/>
    <w:rsid w:val="00B775A9"/>
    <w:rsid w:val="00B77900"/>
    <w:rsid w:val="00B779AF"/>
    <w:rsid w:val="00B80267"/>
    <w:rsid w:val="00B80373"/>
    <w:rsid w:val="00B811B0"/>
    <w:rsid w:val="00B8122D"/>
    <w:rsid w:val="00B81389"/>
    <w:rsid w:val="00B816A3"/>
    <w:rsid w:val="00B81785"/>
    <w:rsid w:val="00B822A4"/>
    <w:rsid w:val="00B828FF"/>
    <w:rsid w:val="00B82F08"/>
    <w:rsid w:val="00B833FB"/>
    <w:rsid w:val="00B83834"/>
    <w:rsid w:val="00B83D6A"/>
    <w:rsid w:val="00B841CA"/>
    <w:rsid w:val="00B846EC"/>
    <w:rsid w:val="00B84DD1"/>
    <w:rsid w:val="00B85030"/>
    <w:rsid w:val="00B8560C"/>
    <w:rsid w:val="00B8575F"/>
    <w:rsid w:val="00B85F75"/>
    <w:rsid w:val="00B86114"/>
    <w:rsid w:val="00B86CA9"/>
    <w:rsid w:val="00B86CE4"/>
    <w:rsid w:val="00B86E03"/>
    <w:rsid w:val="00B870D4"/>
    <w:rsid w:val="00B87342"/>
    <w:rsid w:val="00B876A7"/>
    <w:rsid w:val="00B87911"/>
    <w:rsid w:val="00B87C4A"/>
    <w:rsid w:val="00B87D95"/>
    <w:rsid w:val="00B87EBD"/>
    <w:rsid w:val="00B90350"/>
    <w:rsid w:val="00B903C5"/>
    <w:rsid w:val="00B906DA"/>
    <w:rsid w:val="00B90FED"/>
    <w:rsid w:val="00B91440"/>
    <w:rsid w:val="00B91559"/>
    <w:rsid w:val="00B918B1"/>
    <w:rsid w:val="00B920D8"/>
    <w:rsid w:val="00B92665"/>
    <w:rsid w:val="00B92977"/>
    <w:rsid w:val="00B9368F"/>
    <w:rsid w:val="00B93A69"/>
    <w:rsid w:val="00B93FA1"/>
    <w:rsid w:val="00B94D32"/>
    <w:rsid w:val="00B954F5"/>
    <w:rsid w:val="00B9562F"/>
    <w:rsid w:val="00B95838"/>
    <w:rsid w:val="00B95933"/>
    <w:rsid w:val="00B96B9F"/>
    <w:rsid w:val="00B96F5F"/>
    <w:rsid w:val="00B96FBD"/>
    <w:rsid w:val="00B974E3"/>
    <w:rsid w:val="00B976CF"/>
    <w:rsid w:val="00B979EC"/>
    <w:rsid w:val="00B97F1B"/>
    <w:rsid w:val="00BA034F"/>
    <w:rsid w:val="00BA05FE"/>
    <w:rsid w:val="00BA08AC"/>
    <w:rsid w:val="00BA170E"/>
    <w:rsid w:val="00BA1C6C"/>
    <w:rsid w:val="00BA2863"/>
    <w:rsid w:val="00BA31DF"/>
    <w:rsid w:val="00BA325A"/>
    <w:rsid w:val="00BA39E2"/>
    <w:rsid w:val="00BA52D8"/>
    <w:rsid w:val="00BA53A5"/>
    <w:rsid w:val="00BA5424"/>
    <w:rsid w:val="00BA54B4"/>
    <w:rsid w:val="00BA58FE"/>
    <w:rsid w:val="00BA5C1F"/>
    <w:rsid w:val="00BA6384"/>
    <w:rsid w:val="00BA65DD"/>
    <w:rsid w:val="00BA670F"/>
    <w:rsid w:val="00BA6B9E"/>
    <w:rsid w:val="00BA6E03"/>
    <w:rsid w:val="00BA7215"/>
    <w:rsid w:val="00BA7643"/>
    <w:rsid w:val="00BA7735"/>
    <w:rsid w:val="00BA78EA"/>
    <w:rsid w:val="00BA7C1B"/>
    <w:rsid w:val="00BA7CE0"/>
    <w:rsid w:val="00BA7E96"/>
    <w:rsid w:val="00BB0243"/>
    <w:rsid w:val="00BB0847"/>
    <w:rsid w:val="00BB0EB4"/>
    <w:rsid w:val="00BB1292"/>
    <w:rsid w:val="00BB1699"/>
    <w:rsid w:val="00BB169C"/>
    <w:rsid w:val="00BB1B9E"/>
    <w:rsid w:val="00BB1BEC"/>
    <w:rsid w:val="00BB1FA5"/>
    <w:rsid w:val="00BB2063"/>
    <w:rsid w:val="00BB22D4"/>
    <w:rsid w:val="00BB3574"/>
    <w:rsid w:val="00BB3CBE"/>
    <w:rsid w:val="00BB3F83"/>
    <w:rsid w:val="00BB4176"/>
    <w:rsid w:val="00BB4211"/>
    <w:rsid w:val="00BB4E47"/>
    <w:rsid w:val="00BB503A"/>
    <w:rsid w:val="00BB50BB"/>
    <w:rsid w:val="00BB548D"/>
    <w:rsid w:val="00BB5B5D"/>
    <w:rsid w:val="00BB5C79"/>
    <w:rsid w:val="00BB632B"/>
    <w:rsid w:val="00BB6397"/>
    <w:rsid w:val="00BB6C79"/>
    <w:rsid w:val="00BB6D1C"/>
    <w:rsid w:val="00BB7008"/>
    <w:rsid w:val="00BB73C8"/>
    <w:rsid w:val="00BB7E19"/>
    <w:rsid w:val="00BB7F21"/>
    <w:rsid w:val="00BC05EA"/>
    <w:rsid w:val="00BC0624"/>
    <w:rsid w:val="00BC068F"/>
    <w:rsid w:val="00BC0A7F"/>
    <w:rsid w:val="00BC1220"/>
    <w:rsid w:val="00BC1A06"/>
    <w:rsid w:val="00BC1B09"/>
    <w:rsid w:val="00BC2787"/>
    <w:rsid w:val="00BC27D3"/>
    <w:rsid w:val="00BC2925"/>
    <w:rsid w:val="00BC2C58"/>
    <w:rsid w:val="00BC35BD"/>
    <w:rsid w:val="00BC3CF6"/>
    <w:rsid w:val="00BC3F13"/>
    <w:rsid w:val="00BC40B5"/>
    <w:rsid w:val="00BC43FD"/>
    <w:rsid w:val="00BC47BF"/>
    <w:rsid w:val="00BC4F1C"/>
    <w:rsid w:val="00BC5D00"/>
    <w:rsid w:val="00BC5D7D"/>
    <w:rsid w:val="00BC61CD"/>
    <w:rsid w:val="00BC67C0"/>
    <w:rsid w:val="00BC6EC7"/>
    <w:rsid w:val="00BC6F41"/>
    <w:rsid w:val="00BC7632"/>
    <w:rsid w:val="00BC7666"/>
    <w:rsid w:val="00BC7784"/>
    <w:rsid w:val="00BC793E"/>
    <w:rsid w:val="00BC7F91"/>
    <w:rsid w:val="00BD02D2"/>
    <w:rsid w:val="00BD1270"/>
    <w:rsid w:val="00BD1288"/>
    <w:rsid w:val="00BD1379"/>
    <w:rsid w:val="00BD2808"/>
    <w:rsid w:val="00BD2FE7"/>
    <w:rsid w:val="00BD35A4"/>
    <w:rsid w:val="00BD36DE"/>
    <w:rsid w:val="00BD414C"/>
    <w:rsid w:val="00BD4E13"/>
    <w:rsid w:val="00BD52C3"/>
    <w:rsid w:val="00BD5485"/>
    <w:rsid w:val="00BD5A3B"/>
    <w:rsid w:val="00BD5CCE"/>
    <w:rsid w:val="00BD5F43"/>
    <w:rsid w:val="00BD63EB"/>
    <w:rsid w:val="00BD661B"/>
    <w:rsid w:val="00BD687C"/>
    <w:rsid w:val="00BD6A76"/>
    <w:rsid w:val="00BD6C30"/>
    <w:rsid w:val="00BD6D73"/>
    <w:rsid w:val="00BD6DA4"/>
    <w:rsid w:val="00BD6DB9"/>
    <w:rsid w:val="00BD7412"/>
    <w:rsid w:val="00BD75D1"/>
    <w:rsid w:val="00BD7A7C"/>
    <w:rsid w:val="00BD7ACF"/>
    <w:rsid w:val="00BE029D"/>
    <w:rsid w:val="00BE0363"/>
    <w:rsid w:val="00BE0A45"/>
    <w:rsid w:val="00BE1233"/>
    <w:rsid w:val="00BE1311"/>
    <w:rsid w:val="00BE19C2"/>
    <w:rsid w:val="00BE1B8D"/>
    <w:rsid w:val="00BE2481"/>
    <w:rsid w:val="00BE2635"/>
    <w:rsid w:val="00BE316D"/>
    <w:rsid w:val="00BE32DE"/>
    <w:rsid w:val="00BE358B"/>
    <w:rsid w:val="00BE3A15"/>
    <w:rsid w:val="00BE3CAA"/>
    <w:rsid w:val="00BE4109"/>
    <w:rsid w:val="00BE42E9"/>
    <w:rsid w:val="00BE432C"/>
    <w:rsid w:val="00BE447B"/>
    <w:rsid w:val="00BE450D"/>
    <w:rsid w:val="00BE4782"/>
    <w:rsid w:val="00BE47D8"/>
    <w:rsid w:val="00BE48EF"/>
    <w:rsid w:val="00BE49A0"/>
    <w:rsid w:val="00BE4E77"/>
    <w:rsid w:val="00BE4FD9"/>
    <w:rsid w:val="00BE567A"/>
    <w:rsid w:val="00BE5B1A"/>
    <w:rsid w:val="00BE5D73"/>
    <w:rsid w:val="00BE61EA"/>
    <w:rsid w:val="00BE6617"/>
    <w:rsid w:val="00BE6DFE"/>
    <w:rsid w:val="00BE6E3B"/>
    <w:rsid w:val="00BE7DD8"/>
    <w:rsid w:val="00BF0637"/>
    <w:rsid w:val="00BF0A6F"/>
    <w:rsid w:val="00BF124A"/>
    <w:rsid w:val="00BF143E"/>
    <w:rsid w:val="00BF1810"/>
    <w:rsid w:val="00BF25E9"/>
    <w:rsid w:val="00BF2907"/>
    <w:rsid w:val="00BF37A9"/>
    <w:rsid w:val="00BF4551"/>
    <w:rsid w:val="00BF4770"/>
    <w:rsid w:val="00BF496E"/>
    <w:rsid w:val="00BF4B98"/>
    <w:rsid w:val="00BF4C5B"/>
    <w:rsid w:val="00BF4D48"/>
    <w:rsid w:val="00BF5106"/>
    <w:rsid w:val="00BF540A"/>
    <w:rsid w:val="00BF5D03"/>
    <w:rsid w:val="00BF5D10"/>
    <w:rsid w:val="00BF61D3"/>
    <w:rsid w:val="00BF67D7"/>
    <w:rsid w:val="00BF6EC1"/>
    <w:rsid w:val="00BF7042"/>
    <w:rsid w:val="00BF7257"/>
    <w:rsid w:val="00BF776D"/>
    <w:rsid w:val="00BF7CC2"/>
    <w:rsid w:val="00C003A5"/>
    <w:rsid w:val="00C00C5B"/>
    <w:rsid w:val="00C01220"/>
    <w:rsid w:val="00C017D1"/>
    <w:rsid w:val="00C029BC"/>
    <w:rsid w:val="00C0305E"/>
    <w:rsid w:val="00C03253"/>
    <w:rsid w:val="00C038A4"/>
    <w:rsid w:val="00C03C43"/>
    <w:rsid w:val="00C043E8"/>
    <w:rsid w:val="00C04D37"/>
    <w:rsid w:val="00C05941"/>
    <w:rsid w:val="00C06092"/>
    <w:rsid w:val="00C06386"/>
    <w:rsid w:val="00C0643E"/>
    <w:rsid w:val="00C0650B"/>
    <w:rsid w:val="00C0657C"/>
    <w:rsid w:val="00C06B3E"/>
    <w:rsid w:val="00C074C4"/>
    <w:rsid w:val="00C1004A"/>
    <w:rsid w:val="00C10606"/>
    <w:rsid w:val="00C10CD4"/>
    <w:rsid w:val="00C11B21"/>
    <w:rsid w:val="00C11B8D"/>
    <w:rsid w:val="00C11CAB"/>
    <w:rsid w:val="00C11D77"/>
    <w:rsid w:val="00C11F10"/>
    <w:rsid w:val="00C12AE0"/>
    <w:rsid w:val="00C12CCF"/>
    <w:rsid w:val="00C12FEB"/>
    <w:rsid w:val="00C13246"/>
    <w:rsid w:val="00C132CA"/>
    <w:rsid w:val="00C13673"/>
    <w:rsid w:val="00C13743"/>
    <w:rsid w:val="00C13DBA"/>
    <w:rsid w:val="00C140C6"/>
    <w:rsid w:val="00C14261"/>
    <w:rsid w:val="00C144EF"/>
    <w:rsid w:val="00C14E1B"/>
    <w:rsid w:val="00C1534E"/>
    <w:rsid w:val="00C15718"/>
    <w:rsid w:val="00C15B74"/>
    <w:rsid w:val="00C161BA"/>
    <w:rsid w:val="00C1655D"/>
    <w:rsid w:val="00C1716D"/>
    <w:rsid w:val="00C17E95"/>
    <w:rsid w:val="00C20175"/>
    <w:rsid w:val="00C2024C"/>
    <w:rsid w:val="00C2047C"/>
    <w:rsid w:val="00C20B1A"/>
    <w:rsid w:val="00C20CE0"/>
    <w:rsid w:val="00C20D6B"/>
    <w:rsid w:val="00C20F78"/>
    <w:rsid w:val="00C2101B"/>
    <w:rsid w:val="00C211DC"/>
    <w:rsid w:val="00C2135F"/>
    <w:rsid w:val="00C214B9"/>
    <w:rsid w:val="00C216DF"/>
    <w:rsid w:val="00C224A1"/>
    <w:rsid w:val="00C22AF4"/>
    <w:rsid w:val="00C233C6"/>
    <w:rsid w:val="00C234F6"/>
    <w:rsid w:val="00C23945"/>
    <w:rsid w:val="00C23D4E"/>
    <w:rsid w:val="00C23E48"/>
    <w:rsid w:val="00C24D70"/>
    <w:rsid w:val="00C24ED2"/>
    <w:rsid w:val="00C25670"/>
    <w:rsid w:val="00C25865"/>
    <w:rsid w:val="00C258C7"/>
    <w:rsid w:val="00C259E2"/>
    <w:rsid w:val="00C2636B"/>
    <w:rsid w:val="00C264C7"/>
    <w:rsid w:val="00C26869"/>
    <w:rsid w:val="00C277FB"/>
    <w:rsid w:val="00C27CEA"/>
    <w:rsid w:val="00C30639"/>
    <w:rsid w:val="00C306B3"/>
    <w:rsid w:val="00C306F6"/>
    <w:rsid w:val="00C30F55"/>
    <w:rsid w:val="00C314FC"/>
    <w:rsid w:val="00C3194E"/>
    <w:rsid w:val="00C31AEC"/>
    <w:rsid w:val="00C31BBB"/>
    <w:rsid w:val="00C3204A"/>
    <w:rsid w:val="00C32D20"/>
    <w:rsid w:val="00C3336A"/>
    <w:rsid w:val="00C34061"/>
    <w:rsid w:val="00C345ED"/>
    <w:rsid w:val="00C3470B"/>
    <w:rsid w:val="00C34778"/>
    <w:rsid w:val="00C34837"/>
    <w:rsid w:val="00C348B3"/>
    <w:rsid w:val="00C3548F"/>
    <w:rsid w:val="00C356C8"/>
    <w:rsid w:val="00C35970"/>
    <w:rsid w:val="00C367B4"/>
    <w:rsid w:val="00C368AA"/>
    <w:rsid w:val="00C36B2D"/>
    <w:rsid w:val="00C372A7"/>
    <w:rsid w:val="00C37615"/>
    <w:rsid w:val="00C37B29"/>
    <w:rsid w:val="00C37D9E"/>
    <w:rsid w:val="00C4097B"/>
    <w:rsid w:val="00C40C32"/>
    <w:rsid w:val="00C40D23"/>
    <w:rsid w:val="00C40D60"/>
    <w:rsid w:val="00C41B7A"/>
    <w:rsid w:val="00C42408"/>
    <w:rsid w:val="00C428CD"/>
    <w:rsid w:val="00C4348B"/>
    <w:rsid w:val="00C439A7"/>
    <w:rsid w:val="00C43A7D"/>
    <w:rsid w:val="00C4425F"/>
    <w:rsid w:val="00C4438C"/>
    <w:rsid w:val="00C44421"/>
    <w:rsid w:val="00C447D2"/>
    <w:rsid w:val="00C44A04"/>
    <w:rsid w:val="00C45411"/>
    <w:rsid w:val="00C4599C"/>
    <w:rsid w:val="00C461E0"/>
    <w:rsid w:val="00C463D4"/>
    <w:rsid w:val="00C465E1"/>
    <w:rsid w:val="00C46954"/>
    <w:rsid w:val="00C46B50"/>
    <w:rsid w:val="00C46BFF"/>
    <w:rsid w:val="00C46DB1"/>
    <w:rsid w:val="00C4706F"/>
    <w:rsid w:val="00C473A1"/>
    <w:rsid w:val="00C475BB"/>
    <w:rsid w:val="00C47B79"/>
    <w:rsid w:val="00C47BD3"/>
    <w:rsid w:val="00C50407"/>
    <w:rsid w:val="00C504D3"/>
    <w:rsid w:val="00C51260"/>
    <w:rsid w:val="00C51C51"/>
    <w:rsid w:val="00C520F7"/>
    <w:rsid w:val="00C528BA"/>
    <w:rsid w:val="00C52A7F"/>
    <w:rsid w:val="00C52B3C"/>
    <w:rsid w:val="00C52C8F"/>
    <w:rsid w:val="00C53358"/>
    <w:rsid w:val="00C5351C"/>
    <w:rsid w:val="00C536B3"/>
    <w:rsid w:val="00C53B22"/>
    <w:rsid w:val="00C53E68"/>
    <w:rsid w:val="00C54054"/>
    <w:rsid w:val="00C542A9"/>
    <w:rsid w:val="00C5442F"/>
    <w:rsid w:val="00C54467"/>
    <w:rsid w:val="00C54643"/>
    <w:rsid w:val="00C54763"/>
    <w:rsid w:val="00C553E7"/>
    <w:rsid w:val="00C55547"/>
    <w:rsid w:val="00C55649"/>
    <w:rsid w:val="00C560FD"/>
    <w:rsid w:val="00C563A1"/>
    <w:rsid w:val="00C56B37"/>
    <w:rsid w:val="00C57102"/>
    <w:rsid w:val="00C571BC"/>
    <w:rsid w:val="00C576F8"/>
    <w:rsid w:val="00C578D4"/>
    <w:rsid w:val="00C57BC1"/>
    <w:rsid w:val="00C57F07"/>
    <w:rsid w:val="00C57F69"/>
    <w:rsid w:val="00C57F6D"/>
    <w:rsid w:val="00C604F5"/>
    <w:rsid w:val="00C6077A"/>
    <w:rsid w:val="00C607FF"/>
    <w:rsid w:val="00C60FB9"/>
    <w:rsid w:val="00C614D1"/>
    <w:rsid w:val="00C61FF5"/>
    <w:rsid w:val="00C6238A"/>
    <w:rsid w:val="00C623A0"/>
    <w:rsid w:val="00C62CD3"/>
    <w:rsid w:val="00C634F1"/>
    <w:rsid w:val="00C635CF"/>
    <w:rsid w:val="00C635FD"/>
    <w:rsid w:val="00C64027"/>
    <w:rsid w:val="00C646A9"/>
    <w:rsid w:val="00C655F3"/>
    <w:rsid w:val="00C657D7"/>
    <w:rsid w:val="00C65E17"/>
    <w:rsid w:val="00C661DD"/>
    <w:rsid w:val="00C66473"/>
    <w:rsid w:val="00C66A4D"/>
    <w:rsid w:val="00C67004"/>
    <w:rsid w:val="00C6707D"/>
    <w:rsid w:val="00C67259"/>
    <w:rsid w:val="00C67387"/>
    <w:rsid w:val="00C679E4"/>
    <w:rsid w:val="00C67AA9"/>
    <w:rsid w:val="00C67EE0"/>
    <w:rsid w:val="00C703F5"/>
    <w:rsid w:val="00C705B1"/>
    <w:rsid w:val="00C70718"/>
    <w:rsid w:val="00C707EE"/>
    <w:rsid w:val="00C7103D"/>
    <w:rsid w:val="00C7156A"/>
    <w:rsid w:val="00C716E5"/>
    <w:rsid w:val="00C717C8"/>
    <w:rsid w:val="00C71862"/>
    <w:rsid w:val="00C7187C"/>
    <w:rsid w:val="00C719FE"/>
    <w:rsid w:val="00C71AF2"/>
    <w:rsid w:val="00C71B86"/>
    <w:rsid w:val="00C71D62"/>
    <w:rsid w:val="00C72213"/>
    <w:rsid w:val="00C723EA"/>
    <w:rsid w:val="00C72492"/>
    <w:rsid w:val="00C72648"/>
    <w:rsid w:val="00C72B5C"/>
    <w:rsid w:val="00C72B70"/>
    <w:rsid w:val="00C73078"/>
    <w:rsid w:val="00C731CE"/>
    <w:rsid w:val="00C74B71"/>
    <w:rsid w:val="00C75665"/>
    <w:rsid w:val="00C763D4"/>
    <w:rsid w:val="00C765CB"/>
    <w:rsid w:val="00C768E9"/>
    <w:rsid w:val="00C76D68"/>
    <w:rsid w:val="00C76E4A"/>
    <w:rsid w:val="00C7768F"/>
    <w:rsid w:val="00C776FF"/>
    <w:rsid w:val="00C779AB"/>
    <w:rsid w:val="00C77E9D"/>
    <w:rsid w:val="00C80436"/>
    <w:rsid w:val="00C804AA"/>
    <w:rsid w:val="00C80731"/>
    <w:rsid w:val="00C80811"/>
    <w:rsid w:val="00C80D51"/>
    <w:rsid w:val="00C8137A"/>
    <w:rsid w:val="00C81391"/>
    <w:rsid w:val="00C81743"/>
    <w:rsid w:val="00C81EAF"/>
    <w:rsid w:val="00C8294D"/>
    <w:rsid w:val="00C82BE9"/>
    <w:rsid w:val="00C837F5"/>
    <w:rsid w:val="00C83CAB"/>
    <w:rsid w:val="00C83D79"/>
    <w:rsid w:val="00C84270"/>
    <w:rsid w:val="00C84442"/>
    <w:rsid w:val="00C844C4"/>
    <w:rsid w:val="00C84BAF"/>
    <w:rsid w:val="00C84C64"/>
    <w:rsid w:val="00C84E71"/>
    <w:rsid w:val="00C850D5"/>
    <w:rsid w:val="00C85522"/>
    <w:rsid w:val="00C856CF"/>
    <w:rsid w:val="00C8571F"/>
    <w:rsid w:val="00C8747F"/>
    <w:rsid w:val="00C87CEE"/>
    <w:rsid w:val="00C9009E"/>
    <w:rsid w:val="00C90C4F"/>
    <w:rsid w:val="00C90FE0"/>
    <w:rsid w:val="00C917B0"/>
    <w:rsid w:val="00C91AAD"/>
    <w:rsid w:val="00C91DC9"/>
    <w:rsid w:val="00C91EE6"/>
    <w:rsid w:val="00C93207"/>
    <w:rsid w:val="00C93323"/>
    <w:rsid w:val="00C93697"/>
    <w:rsid w:val="00C93FC2"/>
    <w:rsid w:val="00C941FF"/>
    <w:rsid w:val="00C94812"/>
    <w:rsid w:val="00C94AFD"/>
    <w:rsid w:val="00C95414"/>
    <w:rsid w:val="00C95E48"/>
    <w:rsid w:val="00C960CE"/>
    <w:rsid w:val="00C9673B"/>
    <w:rsid w:val="00C9735E"/>
    <w:rsid w:val="00C973B8"/>
    <w:rsid w:val="00C973FB"/>
    <w:rsid w:val="00C9759B"/>
    <w:rsid w:val="00C97EB6"/>
    <w:rsid w:val="00CA08B4"/>
    <w:rsid w:val="00CA0B84"/>
    <w:rsid w:val="00CA0C40"/>
    <w:rsid w:val="00CA126C"/>
    <w:rsid w:val="00CA13B9"/>
    <w:rsid w:val="00CA1ED1"/>
    <w:rsid w:val="00CA21CA"/>
    <w:rsid w:val="00CA236C"/>
    <w:rsid w:val="00CA270D"/>
    <w:rsid w:val="00CA2E80"/>
    <w:rsid w:val="00CA2E92"/>
    <w:rsid w:val="00CA36FB"/>
    <w:rsid w:val="00CA3DAC"/>
    <w:rsid w:val="00CA3E89"/>
    <w:rsid w:val="00CA3F90"/>
    <w:rsid w:val="00CA4EB2"/>
    <w:rsid w:val="00CA58A5"/>
    <w:rsid w:val="00CA5FC1"/>
    <w:rsid w:val="00CA61EE"/>
    <w:rsid w:val="00CA62FA"/>
    <w:rsid w:val="00CA641A"/>
    <w:rsid w:val="00CA68CA"/>
    <w:rsid w:val="00CA6BD0"/>
    <w:rsid w:val="00CA6F54"/>
    <w:rsid w:val="00CA6F61"/>
    <w:rsid w:val="00CA6F88"/>
    <w:rsid w:val="00CA7776"/>
    <w:rsid w:val="00CB0212"/>
    <w:rsid w:val="00CB0263"/>
    <w:rsid w:val="00CB026E"/>
    <w:rsid w:val="00CB1ABF"/>
    <w:rsid w:val="00CB1F27"/>
    <w:rsid w:val="00CB1FD4"/>
    <w:rsid w:val="00CB256D"/>
    <w:rsid w:val="00CB2683"/>
    <w:rsid w:val="00CB270D"/>
    <w:rsid w:val="00CB2C9F"/>
    <w:rsid w:val="00CB39A1"/>
    <w:rsid w:val="00CB3FAD"/>
    <w:rsid w:val="00CB484B"/>
    <w:rsid w:val="00CB4E0C"/>
    <w:rsid w:val="00CB4F16"/>
    <w:rsid w:val="00CB5059"/>
    <w:rsid w:val="00CB680A"/>
    <w:rsid w:val="00CB6C8D"/>
    <w:rsid w:val="00CB7F46"/>
    <w:rsid w:val="00CC0286"/>
    <w:rsid w:val="00CC0453"/>
    <w:rsid w:val="00CC070A"/>
    <w:rsid w:val="00CC15C3"/>
    <w:rsid w:val="00CC168E"/>
    <w:rsid w:val="00CC177B"/>
    <w:rsid w:val="00CC1A09"/>
    <w:rsid w:val="00CC1D85"/>
    <w:rsid w:val="00CC2508"/>
    <w:rsid w:val="00CC25CA"/>
    <w:rsid w:val="00CC26A6"/>
    <w:rsid w:val="00CC2F2F"/>
    <w:rsid w:val="00CC3F08"/>
    <w:rsid w:val="00CC4070"/>
    <w:rsid w:val="00CC461F"/>
    <w:rsid w:val="00CC47A1"/>
    <w:rsid w:val="00CC49E2"/>
    <w:rsid w:val="00CC4C52"/>
    <w:rsid w:val="00CC4F4F"/>
    <w:rsid w:val="00CC4F94"/>
    <w:rsid w:val="00CC57CA"/>
    <w:rsid w:val="00CC5A45"/>
    <w:rsid w:val="00CC5E00"/>
    <w:rsid w:val="00CC6321"/>
    <w:rsid w:val="00CC6811"/>
    <w:rsid w:val="00CC6A7B"/>
    <w:rsid w:val="00CC7195"/>
    <w:rsid w:val="00CC76CD"/>
    <w:rsid w:val="00CC7888"/>
    <w:rsid w:val="00CD007F"/>
    <w:rsid w:val="00CD01B6"/>
    <w:rsid w:val="00CD02EB"/>
    <w:rsid w:val="00CD037F"/>
    <w:rsid w:val="00CD0409"/>
    <w:rsid w:val="00CD0D24"/>
    <w:rsid w:val="00CD1420"/>
    <w:rsid w:val="00CD1B30"/>
    <w:rsid w:val="00CD1E9E"/>
    <w:rsid w:val="00CD213E"/>
    <w:rsid w:val="00CD23D1"/>
    <w:rsid w:val="00CD2603"/>
    <w:rsid w:val="00CD2D7A"/>
    <w:rsid w:val="00CD35F2"/>
    <w:rsid w:val="00CD385E"/>
    <w:rsid w:val="00CD3A16"/>
    <w:rsid w:val="00CD3A68"/>
    <w:rsid w:val="00CD3B94"/>
    <w:rsid w:val="00CD3CE4"/>
    <w:rsid w:val="00CD3F0E"/>
    <w:rsid w:val="00CD6AB0"/>
    <w:rsid w:val="00CD6D31"/>
    <w:rsid w:val="00CD7D5B"/>
    <w:rsid w:val="00CD7ED8"/>
    <w:rsid w:val="00CD7F92"/>
    <w:rsid w:val="00CE0544"/>
    <w:rsid w:val="00CE0B64"/>
    <w:rsid w:val="00CE0C2B"/>
    <w:rsid w:val="00CE1093"/>
    <w:rsid w:val="00CE113A"/>
    <w:rsid w:val="00CE1883"/>
    <w:rsid w:val="00CE1C68"/>
    <w:rsid w:val="00CE22A5"/>
    <w:rsid w:val="00CE2318"/>
    <w:rsid w:val="00CE2458"/>
    <w:rsid w:val="00CE24E9"/>
    <w:rsid w:val="00CE2B78"/>
    <w:rsid w:val="00CE2E08"/>
    <w:rsid w:val="00CE2E7C"/>
    <w:rsid w:val="00CE31F7"/>
    <w:rsid w:val="00CE3220"/>
    <w:rsid w:val="00CE3686"/>
    <w:rsid w:val="00CE4152"/>
    <w:rsid w:val="00CE46E2"/>
    <w:rsid w:val="00CE47AF"/>
    <w:rsid w:val="00CE496E"/>
    <w:rsid w:val="00CE4AA1"/>
    <w:rsid w:val="00CE4BEB"/>
    <w:rsid w:val="00CE4C49"/>
    <w:rsid w:val="00CE4E2B"/>
    <w:rsid w:val="00CE5188"/>
    <w:rsid w:val="00CE5594"/>
    <w:rsid w:val="00CE5ACF"/>
    <w:rsid w:val="00CE64E9"/>
    <w:rsid w:val="00CE65A4"/>
    <w:rsid w:val="00CE6C76"/>
    <w:rsid w:val="00CE70FE"/>
    <w:rsid w:val="00CE7899"/>
    <w:rsid w:val="00CE79DC"/>
    <w:rsid w:val="00CE7E86"/>
    <w:rsid w:val="00CE7F91"/>
    <w:rsid w:val="00CF0568"/>
    <w:rsid w:val="00CF0BB6"/>
    <w:rsid w:val="00CF0D44"/>
    <w:rsid w:val="00CF1561"/>
    <w:rsid w:val="00CF21A1"/>
    <w:rsid w:val="00CF2D64"/>
    <w:rsid w:val="00CF2EA8"/>
    <w:rsid w:val="00CF38F0"/>
    <w:rsid w:val="00CF3EAE"/>
    <w:rsid w:val="00CF4186"/>
    <w:rsid w:val="00CF4803"/>
    <w:rsid w:val="00CF4DAD"/>
    <w:rsid w:val="00CF540D"/>
    <w:rsid w:val="00CF5466"/>
    <w:rsid w:val="00CF55F4"/>
    <w:rsid w:val="00CF5FE5"/>
    <w:rsid w:val="00CF6BEB"/>
    <w:rsid w:val="00CF6D85"/>
    <w:rsid w:val="00CF6ECD"/>
    <w:rsid w:val="00CF6F63"/>
    <w:rsid w:val="00CF724C"/>
    <w:rsid w:val="00CF7339"/>
    <w:rsid w:val="00CF74DC"/>
    <w:rsid w:val="00CF771A"/>
    <w:rsid w:val="00CF7E09"/>
    <w:rsid w:val="00D00527"/>
    <w:rsid w:val="00D00AB9"/>
    <w:rsid w:val="00D00B6A"/>
    <w:rsid w:val="00D013AE"/>
    <w:rsid w:val="00D021AF"/>
    <w:rsid w:val="00D024BD"/>
    <w:rsid w:val="00D02770"/>
    <w:rsid w:val="00D02E89"/>
    <w:rsid w:val="00D03097"/>
    <w:rsid w:val="00D03A46"/>
    <w:rsid w:val="00D03B89"/>
    <w:rsid w:val="00D03BC0"/>
    <w:rsid w:val="00D0415F"/>
    <w:rsid w:val="00D04201"/>
    <w:rsid w:val="00D04837"/>
    <w:rsid w:val="00D04998"/>
    <w:rsid w:val="00D04C7C"/>
    <w:rsid w:val="00D054C0"/>
    <w:rsid w:val="00D05A94"/>
    <w:rsid w:val="00D06527"/>
    <w:rsid w:val="00D0668B"/>
    <w:rsid w:val="00D06F70"/>
    <w:rsid w:val="00D10176"/>
    <w:rsid w:val="00D10700"/>
    <w:rsid w:val="00D10E91"/>
    <w:rsid w:val="00D11691"/>
    <w:rsid w:val="00D11D41"/>
    <w:rsid w:val="00D1223C"/>
    <w:rsid w:val="00D12385"/>
    <w:rsid w:val="00D12970"/>
    <w:rsid w:val="00D14A32"/>
    <w:rsid w:val="00D14AAB"/>
    <w:rsid w:val="00D14C08"/>
    <w:rsid w:val="00D14CF0"/>
    <w:rsid w:val="00D14EE0"/>
    <w:rsid w:val="00D151E0"/>
    <w:rsid w:val="00D152AB"/>
    <w:rsid w:val="00D15808"/>
    <w:rsid w:val="00D15F93"/>
    <w:rsid w:val="00D1601F"/>
    <w:rsid w:val="00D1635E"/>
    <w:rsid w:val="00D16380"/>
    <w:rsid w:val="00D167F4"/>
    <w:rsid w:val="00D1690D"/>
    <w:rsid w:val="00D16F5B"/>
    <w:rsid w:val="00D16FBF"/>
    <w:rsid w:val="00D1720D"/>
    <w:rsid w:val="00D1769D"/>
    <w:rsid w:val="00D1786A"/>
    <w:rsid w:val="00D17913"/>
    <w:rsid w:val="00D17DED"/>
    <w:rsid w:val="00D200AB"/>
    <w:rsid w:val="00D20174"/>
    <w:rsid w:val="00D2018B"/>
    <w:rsid w:val="00D20799"/>
    <w:rsid w:val="00D20943"/>
    <w:rsid w:val="00D209AF"/>
    <w:rsid w:val="00D20C67"/>
    <w:rsid w:val="00D212FE"/>
    <w:rsid w:val="00D21590"/>
    <w:rsid w:val="00D218D5"/>
    <w:rsid w:val="00D21B29"/>
    <w:rsid w:val="00D21B87"/>
    <w:rsid w:val="00D21B89"/>
    <w:rsid w:val="00D21BF8"/>
    <w:rsid w:val="00D21C1C"/>
    <w:rsid w:val="00D21E2E"/>
    <w:rsid w:val="00D21FB1"/>
    <w:rsid w:val="00D22279"/>
    <w:rsid w:val="00D2283A"/>
    <w:rsid w:val="00D22947"/>
    <w:rsid w:val="00D22AC8"/>
    <w:rsid w:val="00D23776"/>
    <w:rsid w:val="00D23E14"/>
    <w:rsid w:val="00D23E8F"/>
    <w:rsid w:val="00D2428D"/>
    <w:rsid w:val="00D24553"/>
    <w:rsid w:val="00D24FFF"/>
    <w:rsid w:val="00D2506C"/>
    <w:rsid w:val="00D2536D"/>
    <w:rsid w:val="00D257FE"/>
    <w:rsid w:val="00D25F22"/>
    <w:rsid w:val="00D25F78"/>
    <w:rsid w:val="00D26FC4"/>
    <w:rsid w:val="00D27544"/>
    <w:rsid w:val="00D27A08"/>
    <w:rsid w:val="00D27ECE"/>
    <w:rsid w:val="00D27F99"/>
    <w:rsid w:val="00D300B2"/>
    <w:rsid w:val="00D300D9"/>
    <w:rsid w:val="00D30243"/>
    <w:rsid w:val="00D306CF"/>
    <w:rsid w:val="00D30735"/>
    <w:rsid w:val="00D3084F"/>
    <w:rsid w:val="00D30A68"/>
    <w:rsid w:val="00D30BE6"/>
    <w:rsid w:val="00D30C04"/>
    <w:rsid w:val="00D30DFF"/>
    <w:rsid w:val="00D30ECC"/>
    <w:rsid w:val="00D3120F"/>
    <w:rsid w:val="00D314D5"/>
    <w:rsid w:val="00D3158C"/>
    <w:rsid w:val="00D31B5E"/>
    <w:rsid w:val="00D31C7A"/>
    <w:rsid w:val="00D32447"/>
    <w:rsid w:val="00D32838"/>
    <w:rsid w:val="00D329AD"/>
    <w:rsid w:val="00D329EB"/>
    <w:rsid w:val="00D33590"/>
    <w:rsid w:val="00D33746"/>
    <w:rsid w:val="00D3387C"/>
    <w:rsid w:val="00D33AA1"/>
    <w:rsid w:val="00D33F8D"/>
    <w:rsid w:val="00D34F75"/>
    <w:rsid w:val="00D3502E"/>
    <w:rsid w:val="00D355AD"/>
    <w:rsid w:val="00D35B3D"/>
    <w:rsid w:val="00D35B65"/>
    <w:rsid w:val="00D35BD5"/>
    <w:rsid w:val="00D35C30"/>
    <w:rsid w:val="00D3605F"/>
    <w:rsid w:val="00D36501"/>
    <w:rsid w:val="00D366AD"/>
    <w:rsid w:val="00D3686E"/>
    <w:rsid w:val="00D3693A"/>
    <w:rsid w:val="00D369C6"/>
    <w:rsid w:val="00D3752B"/>
    <w:rsid w:val="00D37B77"/>
    <w:rsid w:val="00D400C3"/>
    <w:rsid w:val="00D401D8"/>
    <w:rsid w:val="00D409BF"/>
    <w:rsid w:val="00D40C0F"/>
    <w:rsid w:val="00D412C0"/>
    <w:rsid w:val="00D4194D"/>
    <w:rsid w:val="00D4195F"/>
    <w:rsid w:val="00D420C9"/>
    <w:rsid w:val="00D42211"/>
    <w:rsid w:val="00D42298"/>
    <w:rsid w:val="00D424CA"/>
    <w:rsid w:val="00D427DA"/>
    <w:rsid w:val="00D43CF8"/>
    <w:rsid w:val="00D4457C"/>
    <w:rsid w:val="00D445CE"/>
    <w:rsid w:val="00D447F7"/>
    <w:rsid w:val="00D44F4C"/>
    <w:rsid w:val="00D459F5"/>
    <w:rsid w:val="00D45B15"/>
    <w:rsid w:val="00D45F30"/>
    <w:rsid w:val="00D46659"/>
    <w:rsid w:val="00D472F6"/>
    <w:rsid w:val="00D47551"/>
    <w:rsid w:val="00D47CD7"/>
    <w:rsid w:val="00D5053E"/>
    <w:rsid w:val="00D50A1A"/>
    <w:rsid w:val="00D516A0"/>
    <w:rsid w:val="00D51A17"/>
    <w:rsid w:val="00D51E41"/>
    <w:rsid w:val="00D52387"/>
    <w:rsid w:val="00D527FA"/>
    <w:rsid w:val="00D5285D"/>
    <w:rsid w:val="00D52A03"/>
    <w:rsid w:val="00D52E29"/>
    <w:rsid w:val="00D52FC3"/>
    <w:rsid w:val="00D52FEA"/>
    <w:rsid w:val="00D53348"/>
    <w:rsid w:val="00D533DD"/>
    <w:rsid w:val="00D53774"/>
    <w:rsid w:val="00D5433B"/>
    <w:rsid w:val="00D54657"/>
    <w:rsid w:val="00D54C42"/>
    <w:rsid w:val="00D55098"/>
    <w:rsid w:val="00D5531B"/>
    <w:rsid w:val="00D566DE"/>
    <w:rsid w:val="00D56AF5"/>
    <w:rsid w:val="00D60795"/>
    <w:rsid w:val="00D6085B"/>
    <w:rsid w:val="00D60EA2"/>
    <w:rsid w:val="00D60F96"/>
    <w:rsid w:val="00D61651"/>
    <w:rsid w:val="00D618CD"/>
    <w:rsid w:val="00D620B7"/>
    <w:rsid w:val="00D624FA"/>
    <w:rsid w:val="00D634CB"/>
    <w:rsid w:val="00D63C23"/>
    <w:rsid w:val="00D6494A"/>
    <w:rsid w:val="00D649F3"/>
    <w:rsid w:val="00D64ADE"/>
    <w:rsid w:val="00D64B66"/>
    <w:rsid w:val="00D65052"/>
    <w:rsid w:val="00D65159"/>
    <w:rsid w:val="00D6539E"/>
    <w:rsid w:val="00D65EF4"/>
    <w:rsid w:val="00D6607A"/>
    <w:rsid w:val="00D667D6"/>
    <w:rsid w:val="00D66CAA"/>
    <w:rsid w:val="00D66F87"/>
    <w:rsid w:val="00D6706B"/>
    <w:rsid w:val="00D67483"/>
    <w:rsid w:val="00D67D0D"/>
    <w:rsid w:val="00D70371"/>
    <w:rsid w:val="00D7062B"/>
    <w:rsid w:val="00D70AD1"/>
    <w:rsid w:val="00D70B5E"/>
    <w:rsid w:val="00D70F07"/>
    <w:rsid w:val="00D718B9"/>
    <w:rsid w:val="00D71CFD"/>
    <w:rsid w:val="00D71EDA"/>
    <w:rsid w:val="00D723FC"/>
    <w:rsid w:val="00D7242F"/>
    <w:rsid w:val="00D72634"/>
    <w:rsid w:val="00D72A10"/>
    <w:rsid w:val="00D731E3"/>
    <w:rsid w:val="00D732D4"/>
    <w:rsid w:val="00D73515"/>
    <w:rsid w:val="00D735DF"/>
    <w:rsid w:val="00D73D9A"/>
    <w:rsid w:val="00D74164"/>
    <w:rsid w:val="00D741AB"/>
    <w:rsid w:val="00D742A8"/>
    <w:rsid w:val="00D74308"/>
    <w:rsid w:val="00D747DB"/>
    <w:rsid w:val="00D749D6"/>
    <w:rsid w:val="00D74A48"/>
    <w:rsid w:val="00D74EE1"/>
    <w:rsid w:val="00D75215"/>
    <w:rsid w:val="00D75438"/>
    <w:rsid w:val="00D75D69"/>
    <w:rsid w:val="00D75F00"/>
    <w:rsid w:val="00D75F04"/>
    <w:rsid w:val="00D76421"/>
    <w:rsid w:val="00D7661F"/>
    <w:rsid w:val="00D766E9"/>
    <w:rsid w:val="00D76C33"/>
    <w:rsid w:val="00D76C9C"/>
    <w:rsid w:val="00D770A2"/>
    <w:rsid w:val="00D77602"/>
    <w:rsid w:val="00D77799"/>
    <w:rsid w:val="00D77974"/>
    <w:rsid w:val="00D77B35"/>
    <w:rsid w:val="00D77C72"/>
    <w:rsid w:val="00D8090E"/>
    <w:rsid w:val="00D8096D"/>
    <w:rsid w:val="00D80EB3"/>
    <w:rsid w:val="00D81422"/>
    <w:rsid w:val="00D81C35"/>
    <w:rsid w:val="00D81D90"/>
    <w:rsid w:val="00D82419"/>
    <w:rsid w:val="00D82538"/>
    <w:rsid w:val="00D8254C"/>
    <w:rsid w:val="00D826AC"/>
    <w:rsid w:val="00D82913"/>
    <w:rsid w:val="00D82B60"/>
    <w:rsid w:val="00D82C0E"/>
    <w:rsid w:val="00D82DDE"/>
    <w:rsid w:val="00D82F57"/>
    <w:rsid w:val="00D8369E"/>
    <w:rsid w:val="00D8416E"/>
    <w:rsid w:val="00D84719"/>
    <w:rsid w:val="00D84EB7"/>
    <w:rsid w:val="00D850B3"/>
    <w:rsid w:val="00D8545A"/>
    <w:rsid w:val="00D85959"/>
    <w:rsid w:val="00D85AC7"/>
    <w:rsid w:val="00D85B9D"/>
    <w:rsid w:val="00D863C7"/>
    <w:rsid w:val="00D86DAC"/>
    <w:rsid w:val="00D86DB5"/>
    <w:rsid w:val="00D87B03"/>
    <w:rsid w:val="00D87BAB"/>
    <w:rsid w:val="00D90713"/>
    <w:rsid w:val="00D90B5A"/>
    <w:rsid w:val="00D90BFF"/>
    <w:rsid w:val="00D91CFC"/>
    <w:rsid w:val="00D92048"/>
    <w:rsid w:val="00D92396"/>
    <w:rsid w:val="00D92403"/>
    <w:rsid w:val="00D92910"/>
    <w:rsid w:val="00D929F3"/>
    <w:rsid w:val="00D92D5C"/>
    <w:rsid w:val="00D92F99"/>
    <w:rsid w:val="00D93704"/>
    <w:rsid w:val="00D93929"/>
    <w:rsid w:val="00D93E72"/>
    <w:rsid w:val="00D942AB"/>
    <w:rsid w:val="00D946DB"/>
    <w:rsid w:val="00D949F6"/>
    <w:rsid w:val="00D95045"/>
    <w:rsid w:val="00D956C2"/>
    <w:rsid w:val="00D95857"/>
    <w:rsid w:val="00D96E61"/>
    <w:rsid w:val="00DA040A"/>
    <w:rsid w:val="00DA0B84"/>
    <w:rsid w:val="00DA0DB4"/>
    <w:rsid w:val="00DA1253"/>
    <w:rsid w:val="00DA1525"/>
    <w:rsid w:val="00DA1645"/>
    <w:rsid w:val="00DA1EC5"/>
    <w:rsid w:val="00DA2403"/>
    <w:rsid w:val="00DA28CB"/>
    <w:rsid w:val="00DA2CB3"/>
    <w:rsid w:val="00DA2DEA"/>
    <w:rsid w:val="00DA3A92"/>
    <w:rsid w:val="00DA3B36"/>
    <w:rsid w:val="00DA3E72"/>
    <w:rsid w:val="00DA3FEB"/>
    <w:rsid w:val="00DA411F"/>
    <w:rsid w:val="00DA4440"/>
    <w:rsid w:val="00DA4727"/>
    <w:rsid w:val="00DA4A2F"/>
    <w:rsid w:val="00DA4AAA"/>
    <w:rsid w:val="00DA4C41"/>
    <w:rsid w:val="00DA5AFE"/>
    <w:rsid w:val="00DA5B5D"/>
    <w:rsid w:val="00DA5F14"/>
    <w:rsid w:val="00DA65A4"/>
    <w:rsid w:val="00DA6CB8"/>
    <w:rsid w:val="00DA6F50"/>
    <w:rsid w:val="00DA77E1"/>
    <w:rsid w:val="00DA7F01"/>
    <w:rsid w:val="00DB0274"/>
    <w:rsid w:val="00DB02DF"/>
    <w:rsid w:val="00DB0F07"/>
    <w:rsid w:val="00DB23B2"/>
    <w:rsid w:val="00DB272D"/>
    <w:rsid w:val="00DB2DD0"/>
    <w:rsid w:val="00DB3547"/>
    <w:rsid w:val="00DB3B68"/>
    <w:rsid w:val="00DB3EEA"/>
    <w:rsid w:val="00DB40CA"/>
    <w:rsid w:val="00DB4A25"/>
    <w:rsid w:val="00DB5503"/>
    <w:rsid w:val="00DB5A3F"/>
    <w:rsid w:val="00DB61BB"/>
    <w:rsid w:val="00DB7070"/>
    <w:rsid w:val="00DB7AFA"/>
    <w:rsid w:val="00DC03E0"/>
    <w:rsid w:val="00DC0817"/>
    <w:rsid w:val="00DC09EA"/>
    <w:rsid w:val="00DC1FD1"/>
    <w:rsid w:val="00DC28F5"/>
    <w:rsid w:val="00DC2B07"/>
    <w:rsid w:val="00DC2D05"/>
    <w:rsid w:val="00DC3779"/>
    <w:rsid w:val="00DC3A83"/>
    <w:rsid w:val="00DC3B38"/>
    <w:rsid w:val="00DC3DBE"/>
    <w:rsid w:val="00DC40DA"/>
    <w:rsid w:val="00DC4930"/>
    <w:rsid w:val="00DC4CE4"/>
    <w:rsid w:val="00DC4DCD"/>
    <w:rsid w:val="00DC4FCC"/>
    <w:rsid w:val="00DC52BD"/>
    <w:rsid w:val="00DC5547"/>
    <w:rsid w:val="00DC646A"/>
    <w:rsid w:val="00DC66E3"/>
    <w:rsid w:val="00DC7148"/>
    <w:rsid w:val="00DC75D4"/>
    <w:rsid w:val="00DC7B9E"/>
    <w:rsid w:val="00DD00B4"/>
    <w:rsid w:val="00DD07FF"/>
    <w:rsid w:val="00DD092D"/>
    <w:rsid w:val="00DD1377"/>
    <w:rsid w:val="00DD156E"/>
    <w:rsid w:val="00DD1906"/>
    <w:rsid w:val="00DD1ADB"/>
    <w:rsid w:val="00DD212F"/>
    <w:rsid w:val="00DD21A5"/>
    <w:rsid w:val="00DD2722"/>
    <w:rsid w:val="00DD2C1E"/>
    <w:rsid w:val="00DD2D79"/>
    <w:rsid w:val="00DD2F83"/>
    <w:rsid w:val="00DD2FAD"/>
    <w:rsid w:val="00DD3A31"/>
    <w:rsid w:val="00DD41BE"/>
    <w:rsid w:val="00DD4CFC"/>
    <w:rsid w:val="00DD5967"/>
    <w:rsid w:val="00DD5B76"/>
    <w:rsid w:val="00DD5D0B"/>
    <w:rsid w:val="00DD5F87"/>
    <w:rsid w:val="00DD600A"/>
    <w:rsid w:val="00DD60DF"/>
    <w:rsid w:val="00DD6B76"/>
    <w:rsid w:val="00DD6D54"/>
    <w:rsid w:val="00DD6F35"/>
    <w:rsid w:val="00DD72AA"/>
    <w:rsid w:val="00DD74A8"/>
    <w:rsid w:val="00DE00F1"/>
    <w:rsid w:val="00DE0157"/>
    <w:rsid w:val="00DE01E1"/>
    <w:rsid w:val="00DE044C"/>
    <w:rsid w:val="00DE0560"/>
    <w:rsid w:val="00DE07A0"/>
    <w:rsid w:val="00DE0962"/>
    <w:rsid w:val="00DE1F76"/>
    <w:rsid w:val="00DE213A"/>
    <w:rsid w:val="00DE21B5"/>
    <w:rsid w:val="00DE223B"/>
    <w:rsid w:val="00DE230A"/>
    <w:rsid w:val="00DE26F2"/>
    <w:rsid w:val="00DE2BDF"/>
    <w:rsid w:val="00DE3389"/>
    <w:rsid w:val="00DE3F44"/>
    <w:rsid w:val="00DE4001"/>
    <w:rsid w:val="00DE4267"/>
    <w:rsid w:val="00DE489B"/>
    <w:rsid w:val="00DE48EF"/>
    <w:rsid w:val="00DE4D5E"/>
    <w:rsid w:val="00DE4E51"/>
    <w:rsid w:val="00DE4EF2"/>
    <w:rsid w:val="00DE58BB"/>
    <w:rsid w:val="00DE5A31"/>
    <w:rsid w:val="00DE6A61"/>
    <w:rsid w:val="00DE7076"/>
    <w:rsid w:val="00DE73B4"/>
    <w:rsid w:val="00DE776E"/>
    <w:rsid w:val="00DE7B41"/>
    <w:rsid w:val="00DF00D0"/>
    <w:rsid w:val="00DF0689"/>
    <w:rsid w:val="00DF09BB"/>
    <w:rsid w:val="00DF0AB5"/>
    <w:rsid w:val="00DF0EF2"/>
    <w:rsid w:val="00DF107F"/>
    <w:rsid w:val="00DF16B0"/>
    <w:rsid w:val="00DF2092"/>
    <w:rsid w:val="00DF29A3"/>
    <w:rsid w:val="00DF2E73"/>
    <w:rsid w:val="00DF3079"/>
    <w:rsid w:val="00DF30E2"/>
    <w:rsid w:val="00DF30EB"/>
    <w:rsid w:val="00DF34F9"/>
    <w:rsid w:val="00DF3996"/>
    <w:rsid w:val="00DF3FB5"/>
    <w:rsid w:val="00DF4405"/>
    <w:rsid w:val="00DF5E66"/>
    <w:rsid w:val="00DF65DF"/>
    <w:rsid w:val="00DF6AC5"/>
    <w:rsid w:val="00DF70AE"/>
    <w:rsid w:val="00DF7382"/>
    <w:rsid w:val="00DF73E9"/>
    <w:rsid w:val="00DF7BE4"/>
    <w:rsid w:val="00DF7D0D"/>
    <w:rsid w:val="00E0008E"/>
    <w:rsid w:val="00E000F8"/>
    <w:rsid w:val="00E004B3"/>
    <w:rsid w:val="00E00C16"/>
    <w:rsid w:val="00E00CCA"/>
    <w:rsid w:val="00E01351"/>
    <w:rsid w:val="00E0175F"/>
    <w:rsid w:val="00E01F9D"/>
    <w:rsid w:val="00E02356"/>
    <w:rsid w:val="00E026FB"/>
    <w:rsid w:val="00E02F76"/>
    <w:rsid w:val="00E037E3"/>
    <w:rsid w:val="00E03AD2"/>
    <w:rsid w:val="00E03B14"/>
    <w:rsid w:val="00E03DF0"/>
    <w:rsid w:val="00E04F77"/>
    <w:rsid w:val="00E050F3"/>
    <w:rsid w:val="00E052A9"/>
    <w:rsid w:val="00E054D3"/>
    <w:rsid w:val="00E05B95"/>
    <w:rsid w:val="00E05C87"/>
    <w:rsid w:val="00E0639C"/>
    <w:rsid w:val="00E06628"/>
    <w:rsid w:val="00E0672B"/>
    <w:rsid w:val="00E06AD4"/>
    <w:rsid w:val="00E06E19"/>
    <w:rsid w:val="00E06EEB"/>
    <w:rsid w:val="00E0725A"/>
    <w:rsid w:val="00E0751E"/>
    <w:rsid w:val="00E079C9"/>
    <w:rsid w:val="00E07C8E"/>
    <w:rsid w:val="00E102E3"/>
    <w:rsid w:val="00E10644"/>
    <w:rsid w:val="00E10726"/>
    <w:rsid w:val="00E10B85"/>
    <w:rsid w:val="00E11262"/>
    <w:rsid w:val="00E115F2"/>
    <w:rsid w:val="00E11F7B"/>
    <w:rsid w:val="00E138D5"/>
    <w:rsid w:val="00E143FD"/>
    <w:rsid w:val="00E14C4D"/>
    <w:rsid w:val="00E152FA"/>
    <w:rsid w:val="00E15489"/>
    <w:rsid w:val="00E15E54"/>
    <w:rsid w:val="00E16498"/>
    <w:rsid w:val="00E1696D"/>
    <w:rsid w:val="00E16EB0"/>
    <w:rsid w:val="00E16EF6"/>
    <w:rsid w:val="00E17065"/>
    <w:rsid w:val="00E17410"/>
    <w:rsid w:val="00E1750A"/>
    <w:rsid w:val="00E179E0"/>
    <w:rsid w:val="00E20ABF"/>
    <w:rsid w:val="00E20B50"/>
    <w:rsid w:val="00E20FAC"/>
    <w:rsid w:val="00E216F8"/>
    <w:rsid w:val="00E21745"/>
    <w:rsid w:val="00E2178E"/>
    <w:rsid w:val="00E218BE"/>
    <w:rsid w:val="00E21E1B"/>
    <w:rsid w:val="00E22BD2"/>
    <w:rsid w:val="00E23A7B"/>
    <w:rsid w:val="00E23F2D"/>
    <w:rsid w:val="00E2447E"/>
    <w:rsid w:val="00E249EF"/>
    <w:rsid w:val="00E24C62"/>
    <w:rsid w:val="00E24CD9"/>
    <w:rsid w:val="00E24EC6"/>
    <w:rsid w:val="00E2563D"/>
    <w:rsid w:val="00E25862"/>
    <w:rsid w:val="00E26C52"/>
    <w:rsid w:val="00E26CB6"/>
    <w:rsid w:val="00E27490"/>
    <w:rsid w:val="00E278CF"/>
    <w:rsid w:val="00E27969"/>
    <w:rsid w:val="00E27ABD"/>
    <w:rsid w:val="00E27BD4"/>
    <w:rsid w:val="00E30787"/>
    <w:rsid w:val="00E30CD1"/>
    <w:rsid w:val="00E312C9"/>
    <w:rsid w:val="00E3159B"/>
    <w:rsid w:val="00E3179D"/>
    <w:rsid w:val="00E3279F"/>
    <w:rsid w:val="00E328CF"/>
    <w:rsid w:val="00E32A97"/>
    <w:rsid w:val="00E32ABB"/>
    <w:rsid w:val="00E32C03"/>
    <w:rsid w:val="00E32C58"/>
    <w:rsid w:val="00E32DA2"/>
    <w:rsid w:val="00E334BE"/>
    <w:rsid w:val="00E33BF7"/>
    <w:rsid w:val="00E33E62"/>
    <w:rsid w:val="00E3409C"/>
    <w:rsid w:val="00E340D7"/>
    <w:rsid w:val="00E3416F"/>
    <w:rsid w:val="00E3570E"/>
    <w:rsid w:val="00E35D12"/>
    <w:rsid w:val="00E36F85"/>
    <w:rsid w:val="00E37588"/>
    <w:rsid w:val="00E4014C"/>
    <w:rsid w:val="00E403E2"/>
    <w:rsid w:val="00E412E8"/>
    <w:rsid w:val="00E41A58"/>
    <w:rsid w:val="00E41E4F"/>
    <w:rsid w:val="00E42A4D"/>
    <w:rsid w:val="00E42E37"/>
    <w:rsid w:val="00E43AB1"/>
    <w:rsid w:val="00E43CD2"/>
    <w:rsid w:val="00E43F32"/>
    <w:rsid w:val="00E440D2"/>
    <w:rsid w:val="00E44276"/>
    <w:rsid w:val="00E44801"/>
    <w:rsid w:val="00E44AAC"/>
    <w:rsid w:val="00E44E70"/>
    <w:rsid w:val="00E45329"/>
    <w:rsid w:val="00E453D5"/>
    <w:rsid w:val="00E45F0E"/>
    <w:rsid w:val="00E45F52"/>
    <w:rsid w:val="00E46936"/>
    <w:rsid w:val="00E46AC0"/>
    <w:rsid w:val="00E471D4"/>
    <w:rsid w:val="00E473B0"/>
    <w:rsid w:val="00E47723"/>
    <w:rsid w:val="00E47B54"/>
    <w:rsid w:val="00E47CCD"/>
    <w:rsid w:val="00E47D28"/>
    <w:rsid w:val="00E5050E"/>
    <w:rsid w:val="00E509EA"/>
    <w:rsid w:val="00E50E79"/>
    <w:rsid w:val="00E51115"/>
    <w:rsid w:val="00E51141"/>
    <w:rsid w:val="00E518CC"/>
    <w:rsid w:val="00E5199B"/>
    <w:rsid w:val="00E52040"/>
    <w:rsid w:val="00E52401"/>
    <w:rsid w:val="00E52782"/>
    <w:rsid w:val="00E52C4B"/>
    <w:rsid w:val="00E53179"/>
    <w:rsid w:val="00E53E55"/>
    <w:rsid w:val="00E543B2"/>
    <w:rsid w:val="00E54B05"/>
    <w:rsid w:val="00E54DFE"/>
    <w:rsid w:val="00E5542E"/>
    <w:rsid w:val="00E55A92"/>
    <w:rsid w:val="00E56180"/>
    <w:rsid w:val="00E561BD"/>
    <w:rsid w:val="00E576C6"/>
    <w:rsid w:val="00E57F76"/>
    <w:rsid w:val="00E602B2"/>
    <w:rsid w:val="00E60322"/>
    <w:rsid w:val="00E60B53"/>
    <w:rsid w:val="00E60C82"/>
    <w:rsid w:val="00E60D18"/>
    <w:rsid w:val="00E60F37"/>
    <w:rsid w:val="00E61805"/>
    <w:rsid w:val="00E61840"/>
    <w:rsid w:val="00E62089"/>
    <w:rsid w:val="00E620F8"/>
    <w:rsid w:val="00E622B3"/>
    <w:rsid w:val="00E626D0"/>
    <w:rsid w:val="00E62D52"/>
    <w:rsid w:val="00E62F2B"/>
    <w:rsid w:val="00E63274"/>
    <w:rsid w:val="00E635F6"/>
    <w:rsid w:val="00E6373B"/>
    <w:rsid w:val="00E63DC8"/>
    <w:rsid w:val="00E63DFF"/>
    <w:rsid w:val="00E6434E"/>
    <w:rsid w:val="00E64BFE"/>
    <w:rsid w:val="00E65327"/>
    <w:rsid w:val="00E66040"/>
    <w:rsid w:val="00E6616A"/>
    <w:rsid w:val="00E66705"/>
    <w:rsid w:val="00E67E00"/>
    <w:rsid w:val="00E67F16"/>
    <w:rsid w:val="00E70445"/>
    <w:rsid w:val="00E709CF"/>
    <w:rsid w:val="00E70AB0"/>
    <w:rsid w:val="00E70C92"/>
    <w:rsid w:val="00E71171"/>
    <w:rsid w:val="00E717A2"/>
    <w:rsid w:val="00E71E3B"/>
    <w:rsid w:val="00E721D9"/>
    <w:rsid w:val="00E72404"/>
    <w:rsid w:val="00E72E80"/>
    <w:rsid w:val="00E7346B"/>
    <w:rsid w:val="00E73636"/>
    <w:rsid w:val="00E73D81"/>
    <w:rsid w:val="00E73F4B"/>
    <w:rsid w:val="00E74C2C"/>
    <w:rsid w:val="00E75668"/>
    <w:rsid w:val="00E75979"/>
    <w:rsid w:val="00E75993"/>
    <w:rsid w:val="00E75D47"/>
    <w:rsid w:val="00E764E7"/>
    <w:rsid w:val="00E7671A"/>
    <w:rsid w:val="00E76C0E"/>
    <w:rsid w:val="00E80106"/>
    <w:rsid w:val="00E8013D"/>
    <w:rsid w:val="00E80172"/>
    <w:rsid w:val="00E801F1"/>
    <w:rsid w:val="00E804CC"/>
    <w:rsid w:val="00E8052C"/>
    <w:rsid w:val="00E81186"/>
    <w:rsid w:val="00E8174D"/>
    <w:rsid w:val="00E81DB9"/>
    <w:rsid w:val="00E81EC0"/>
    <w:rsid w:val="00E81F69"/>
    <w:rsid w:val="00E822B1"/>
    <w:rsid w:val="00E822F7"/>
    <w:rsid w:val="00E8231C"/>
    <w:rsid w:val="00E8262F"/>
    <w:rsid w:val="00E82AE6"/>
    <w:rsid w:val="00E83700"/>
    <w:rsid w:val="00E83F41"/>
    <w:rsid w:val="00E83F92"/>
    <w:rsid w:val="00E84C8E"/>
    <w:rsid w:val="00E85090"/>
    <w:rsid w:val="00E85358"/>
    <w:rsid w:val="00E85A27"/>
    <w:rsid w:val="00E863C1"/>
    <w:rsid w:val="00E8641F"/>
    <w:rsid w:val="00E86638"/>
    <w:rsid w:val="00E86B8E"/>
    <w:rsid w:val="00E86B98"/>
    <w:rsid w:val="00E87183"/>
    <w:rsid w:val="00E871FE"/>
    <w:rsid w:val="00E87B6C"/>
    <w:rsid w:val="00E91353"/>
    <w:rsid w:val="00E916F8"/>
    <w:rsid w:val="00E91EA0"/>
    <w:rsid w:val="00E921F1"/>
    <w:rsid w:val="00E92235"/>
    <w:rsid w:val="00E92282"/>
    <w:rsid w:val="00E92556"/>
    <w:rsid w:val="00E928BB"/>
    <w:rsid w:val="00E92C04"/>
    <w:rsid w:val="00E92F88"/>
    <w:rsid w:val="00E93AB5"/>
    <w:rsid w:val="00E94434"/>
    <w:rsid w:val="00E94E7B"/>
    <w:rsid w:val="00E956C1"/>
    <w:rsid w:val="00E95975"/>
    <w:rsid w:val="00E96058"/>
    <w:rsid w:val="00E964F9"/>
    <w:rsid w:val="00E965A8"/>
    <w:rsid w:val="00E96A85"/>
    <w:rsid w:val="00E97253"/>
    <w:rsid w:val="00E9758A"/>
    <w:rsid w:val="00E979E9"/>
    <w:rsid w:val="00E97A39"/>
    <w:rsid w:val="00E97CD2"/>
    <w:rsid w:val="00EA050A"/>
    <w:rsid w:val="00EA05B3"/>
    <w:rsid w:val="00EA0754"/>
    <w:rsid w:val="00EA079E"/>
    <w:rsid w:val="00EA0BAB"/>
    <w:rsid w:val="00EA11F0"/>
    <w:rsid w:val="00EA1331"/>
    <w:rsid w:val="00EA1AEC"/>
    <w:rsid w:val="00EA1F5A"/>
    <w:rsid w:val="00EA2EEF"/>
    <w:rsid w:val="00EA383F"/>
    <w:rsid w:val="00EA3D2D"/>
    <w:rsid w:val="00EA3FEF"/>
    <w:rsid w:val="00EA400F"/>
    <w:rsid w:val="00EA4108"/>
    <w:rsid w:val="00EA419C"/>
    <w:rsid w:val="00EA4251"/>
    <w:rsid w:val="00EA47CE"/>
    <w:rsid w:val="00EA56D1"/>
    <w:rsid w:val="00EA5840"/>
    <w:rsid w:val="00EA6070"/>
    <w:rsid w:val="00EA61D5"/>
    <w:rsid w:val="00EA65A4"/>
    <w:rsid w:val="00EA71B1"/>
    <w:rsid w:val="00EA743F"/>
    <w:rsid w:val="00EB04F9"/>
    <w:rsid w:val="00EB075D"/>
    <w:rsid w:val="00EB1034"/>
    <w:rsid w:val="00EB154B"/>
    <w:rsid w:val="00EB16CB"/>
    <w:rsid w:val="00EB1D14"/>
    <w:rsid w:val="00EB1DBE"/>
    <w:rsid w:val="00EB220B"/>
    <w:rsid w:val="00EB24C1"/>
    <w:rsid w:val="00EB2536"/>
    <w:rsid w:val="00EB2A87"/>
    <w:rsid w:val="00EB2BC5"/>
    <w:rsid w:val="00EB3ADF"/>
    <w:rsid w:val="00EB4109"/>
    <w:rsid w:val="00EB4F9A"/>
    <w:rsid w:val="00EB5013"/>
    <w:rsid w:val="00EB56D2"/>
    <w:rsid w:val="00EB5804"/>
    <w:rsid w:val="00EB5C9A"/>
    <w:rsid w:val="00EB6224"/>
    <w:rsid w:val="00EB62C2"/>
    <w:rsid w:val="00EB6793"/>
    <w:rsid w:val="00EB6B6E"/>
    <w:rsid w:val="00EB6DEA"/>
    <w:rsid w:val="00EB6E04"/>
    <w:rsid w:val="00EB6FC2"/>
    <w:rsid w:val="00EB7F64"/>
    <w:rsid w:val="00EC022A"/>
    <w:rsid w:val="00EC067D"/>
    <w:rsid w:val="00EC06DE"/>
    <w:rsid w:val="00EC0862"/>
    <w:rsid w:val="00EC0B74"/>
    <w:rsid w:val="00EC1562"/>
    <w:rsid w:val="00EC19AE"/>
    <w:rsid w:val="00EC1BAD"/>
    <w:rsid w:val="00EC1BEB"/>
    <w:rsid w:val="00EC1EDF"/>
    <w:rsid w:val="00EC2175"/>
    <w:rsid w:val="00EC2356"/>
    <w:rsid w:val="00EC2CDF"/>
    <w:rsid w:val="00EC31BC"/>
    <w:rsid w:val="00EC3432"/>
    <w:rsid w:val="00EC3B66"/>
    <w:rsid w:val="00EC4291"/>
    <w:rsid w:val="00EC46D7"/>
    <w:rsid w:val="00EC5046"/>
    <w:rsid w:val="00EC53E0"/>
    <w:rsid w:val="00EC579E"/>
    <w:rsid w:val="00EC57C6"/>
    <w:rsid w:val="00EC5FA2"/>
    <w:rsid w:val="00EC74C6"/>
    <w:rsid w:val="00EC7AB4"/>
    <w:rsid w:val="00EC7FBE"/>
    <w:rsid w:val="00ED048B"/>
    <w:rsid w:val="00ED0A05"/>
    <w:rsid w:val="00ED0F26"/>
    <w:rsid w:val="00ED1364"/>
    <w:rsid w:val="00ED1379"/>
    <w:rsid w:val="00ED1956"/>
    <w:rsid w:val="00ED1BDB"/>
    <w:rsid w:val="00ED2335"/>
    <w:rsid w:val="00ED35C4"/>
    <w:rsid w:val="00ED3FB3"/>
    <w:rsid w:val="00ED43B5"/>
    <w:rsid w:val="00ED4622"/>
    <w:rsid w:val="00ED4629"/>
    <w:rsid w:val="00ED4653"/>
    <w:rsid w:val="00ED51DF"/>
    <w:rsid w:val="00ED52BC"/>
    <w:rsid w:val="00ED55F7"/>
    <w:rsid w:val="00ED5704"/>
    <w:rsid w:val="00ED59A2"/>
    <w:rsid w:val="00ED63A3"/>
    <w:rsid w:val="00ED669B"/>
    <w:rsid w:val="00ED66A4"/>
    <w:rsid w:val="00ED767E"/>
    <w:rsid w:val="00ED78AD"/>
    <w:rsid w:val="00ED7C8E"/>
    <w:rsid w:val="00ED7F35"/>
    <w:rsid w:val="00EE079A"/>
    <w:rsid w:val="00EE0B9D"/>
    <w:rsid w:val="00EE1637"/>
    <w:rsid w:val="00EE195D"/>
    <w:rsid w:val="00EE1D3E"/>
    <w:rsid w:val="00EE1D8A"/>
    <w:rsid w:val="00EE1EB4"/>
    <w:rsid w:val="00EE2205"/>
    <w:rsid w:val="00EE2BDA"/>
    <w:rsid w:val="00EE2BEA"/>
    <w:rsid w:val="00EE34F2"/>
    <w:rsid w:val="00EE4243"/>
    <w:rsid w:val="00EE43F8"/>
    <w:rsid w:val="00EE4AE9"/>
    <w:rsid w:val="00EE4C2E"/>
    <w:rsid w:val="00EE54DF"/>
    <w:rsid w:val="00EE5691"/>
    <w:rsid w:val="00EE580E"/>
    <w:rsid w:val="00EE5E1C"/>
    <w:rsid w:val="00EE63B4"/>
    <w:rsid w:val="00EE6F88"/>
    <w:rsid w:val="00EE7A61"/>
    <w:rsid w:val="00EF03E6"/>
    <w:rsid w:val="00EF08E1"/>
    <w:rsid w:val="00EF0C0C"/>
    <w:rsid w:val="00EF0DA4"/>
    <w:rsid w:val="00EF0DDB"/>
    <w:rsid w:val="00EF1DEB"/>
    <w:rsid w:val="00EF2028"/>
    <w:rsid w:val="00EF23E2"/>
    <w:rsid w:val="00EF28C8"/>
    <w:rsid w:val="00EF3354"/>
    <w:rsid w:val="00EF36D2"/>
    <w:rsid w:val="00EF3ACE"/>
    <w:rsid w:val="00EF3F40"/>
    <w:rsid w:val="00EF40FE"/>
    <w:rsid w:val="00EF446C"/>
    <w:rsid w:val="00EF5812"/>
    <w:rsid w:val="00EF59C9"/>
    <w:rsid w:val="00EF6FD5"/>
    <w:rsid w:val="00EF76AB"/>
    <w:rsid w:val="00F0033C"/>
    <w:rsid w:val="00F006CF"/>
    <w:rsid w:val="00F00A38"/>
    <w:rsid w:val="00F015E6"/>
    <w:rsid w:val="00F02616"/>
    <w:rsid w:val="00F02B31"/>
    <w:rsid w:val="00F02F15"/>
    <w:rsid w:val="00F0322C"/>
    <w:rsid w:val="00F03710"/>
    <w:rsid w:val="00F03992"/>
    <w:rsid w:val="00F0435A"/>
    <w:rsid w:val="00F052D1"/>
    <w:rsid w:val="00F06166"/>
    <w:rsid w:val="00F0620E"/>
    <w:rsid w:val="00F076A5"/>
    <w:rsid w:val="00F07B3F"/>
    <w:rsid w:val="00F07BCD"/>
    <w:rsid w:val="00F07F09"/>
    <w:rsid w:val="00F101EA"/>
    <w:rsid w:val="00F1041F"/>
    <w:rsid w:val="00F10422"/>
    <w:rsid w:val="00F1062E"/>
    <w:rsid w:val="00F10ED3"/>
    <w:rsid w:val="00F11185"/>
    <w:rsid w:val="00F114BE"/>
    <w:rsid w:val="00F114E6"/>
    <w:rsid w:val="00F114E9"/>
    <w:rsid w:val="00F117D1"/>
    <w:rsid w:val="00F11854"/>
    <w:rsid w:val="00F1188C"/>
    <w:rsid w:val="00F11A1A"/>
    <w:rsid w:val="00F11BF3"/>
    <w:rsid w:val="00F11F89"/>
    <w:rsid w:val="00F12328"/>
    <w:rsid w:val="00F12809"/>
    <w:rsid w:val="00F12EA3"/>
    <w:rsid w:val="00F12FB4"/>
    <w:rsid w:val="00F13761"/>
    <w:rsid w:val="00F13D3D"/>
    <w:rsid w:val="00F13E60"/>
    <w:rsid w:val="00F143AD"/>
    <w:rsid w:val="00F143BC"/>
    <w:rsid w:val="00F1455C"/>
    <w:rsid w:val="00F149DE"/>
    <w:rsid w:val="00F14B07"/>
    <w:rsid w:val="00F1530F"/>
    <w:rsid w:val="00F15D75"/>
    <w:rsid w:val="00F160CC"/>
    <w:rsid w:val="00F163FF"/>
    <w:rsid w:val="00F16979"/>
    <w:rsid w:val="00F16BF4"/>
    <w:rsid w:val="00F170B7"/>
    <w:rsid w:val="00F17208"/>
    <w:rsid w:val="00F17362"/>
    <w:rsid w:val="00F177C6"/>
    <w:rsid w:val="00F17B2E"/>
    <w:rsid w:val="00F200A8"/>
    <w:rsid w:val="00F2047E"/>
    <w:rsid w:val="00F20561"/>
    <w:rsid w:val="00F20EC1"/>
    <w:rsid w:val="00F21267"/>
    <w:rsid w:val="00F215C7"/>
    <w:rsid w:val="00F2228C"/>
    <w:rsid w:val="00F22648"/>
    <w:rsid w:val="00F22C91"/>
    <w:rsid w:val="00F23114"/>
    <w:rsid w:val="00F23247"/>
    <w:rsid w:val="00F232E1"/>
    <w:rsid w:val="00F23325"/>
    <w:rsid w:val="00F239C8"/>
    <w:rsid w:val="00F23EDA"/>
    <w:rsid w:val="00F24086"/>
    <w:rsid w:val="00F24249"/>
    <w:rsid w:val="00F249CD"/>
    <w:rsid w:val="00F24B15"/>
    <w:rsid w:val="00F24BC2"/>
    <w:rsid w:val="00F2521E"/>
    <w:rsid w:val="00F2532D"/>
    <w:rsid w:val="00F26924"/>
    <w:rsid w:val="00F26A3A"/>
    <w:rsid w:val="00F26B14"/>
    <w:rsid w:val="00F26D64"/>
    <w:rsid w:val="00F26E83"/>
    <w:rsid w:val="00F271B3"/>
    <w:rsid w:val="00F27AEC"/>
    <w:rsid w:val="00F30076"/>
    <w:rsid w:val="00F301AE"/>
    <w:rsid w:val="00F302B4"/>
    <w:rsid w:val="00F315FD"/>
    <w:rsid w:val="00F3182D"/>
    <w:rsid w:val="00F31D47"/>
    <w:rsid w:val="00F31D7F"/>
    <w:rsid w:val="00F325B9"/>
    <w:rsid w:val="00F32D09"/>
    <w:rsid w:val="00F33640"/>
    <w:rsid w:val="00F336FF"/>
    <w:rsid w:val="00F33845"/>
    <w:rsid w:val="00F339A5"/>
    <w:rsid w:val="00F33ABB"/>
    <w:rsid w:val="00F33B55"/>
    <w:rsid w:val="00F33B7B"/>
    <w:rsid w:val="00F33F6B"/>
    <w:rsid w:val="00F3499D"/>
    <w:rsid w:val="00F356CE"/>
    <w:rsid w:val="00F358AF"/>
    <w:rsid w:val="00F358B8"/>
    <w:rsid w:val="00F36287"/>
    <w:rsid w:val="00F375FC"/>
    <w:rsid w:val="00F40485"/>
    <w:rsid w:val="00F4082D"/>
    <w:rsid w:val="00F40982"/>
    <w:rsid w:val="00F409D5"/>
    <w:rsid w:val="00F41077"/>
    <w:rsid w:val="00F41508"/>
    <w:rsid w:val="00F423F0"/>
    <w:rsid w:val="00F424FE"/>
    <w:rsid w:val="00F42B1E"/>
    <w:rsid w:val="00F43194"/>
    <w:rsid w:val="00F43352"/>
    <w:rsid w:val="00F43820"/>
    <w:rsid w:val="00F4393C"/>
    <w:rsid w:val="00F43B60"/>
    <w:rsid w:val="00F43CB1"/>
    <w:rsid w:val="00F43D2B"/>
    <w:rsid w:val="00F45359"/>
    <w:rsid w:val="00F45BAA"/>
    <w:rsid w:val="00F46113"/>
    <w:rsid w:val="00F46138"/>
    <w:rsid w:val="00F463F5"/>
    <w:rsid w:val="00F466A7"/>
    <w:rsid w:val="00F469A3"/>
    <w:rsid w:val="00F474E2"/>
    <w:rsid w:val="00F47628"/>
    <w:rsid w:val="00F47983"/>
    <w:rsid w:val="00F47A9F"/>
    <w:rsid w:val="00F500F6"/>
    <w:rsid w:val="00F50709"/>
    <w:rsid w:val="00F50AD6"/>
    <w:rsid w:val="00F50C8D"/>
    <w:rsid w:val="00F50ECC"/>
    <w:rsid w:val="00F512CE"/>
    <w:rsid w:val="00F5132F"/>
    <w:rsid w:val="00F519A4"/>
    <w:rsid w:val="00F51CC9"/>
    <w:rsid w:val="00F52DF6"/>
    <w:rsid w:val="00F52FC6"/>
    <w:rsid w:val="00F5337F"/>
    <w:rsid w:val="00F535E7"/>
    <w:rsid w:val="00F53615"/>
    <w:rsid w:val="00F5381F"/>
    <w:rsid w:val="00F549C3"/>
    <w:rsid w:val="00F5524C"/>
    <w:rsid w:val="00F55547"/>
    <w:rsid w:val="00F55938"/>
    <w:rsid w:val="00F55F1A"/>
    <w:rsid w:val="00F56205"/>
    <w:rsid w:val="00F56546"/>
    <w:rsid w:val="00F56641"/>
    <w:rsid w:val="00F56956"/>
    <w:rsid w:val="00F57031"/>
    <w:rsid w:val="00F570EC"/>
    <w:rsid w:val="00F577A8"/>
    <w:rsid w:val="00F57838"/>
    <w:rsid w:val="00F57A08"/>
    <w:rsid w:val="00F57D9E"/>
    <w:rsid w:val="00F57ED1"/>
    <w:rsid w:val="00F60315"/>
    <w:rsid w:val="00F607FB"/>
    <w:rsid w:val="00F60F37"/>
    <w:rsid w:val="00F61095"/>
    <w:rsid w:val="00F61384"/>
    <w:rsid w:val="00F61AC4"/>
    <w:rsid w:val="00F61C06"/>
    <w:rsid w:val="00F620A2"/>
    <w:rsid w:val="00F6272C"/>
    <w:rsid w:val="00F62E5D"/>
    <w:rsid w:val="00F63080"/>
    <w:rsid w:val="00F63BA7"/>
    <w:rsid w:val="00F64065"/>
    <w:rsid w:val="00F64244"/>
    <w:rsid w:val="00F647EE"/>
    <w:rsid w:val="00F64CCF"/>
    <w:rsid w:val="00F64FF4"/>
    <w:rsid w:val="00F65282"/>
    <w:rsid w:val="00F656A1"/>
    <w:rsid w:val="00F656E4"/>
    <w:rsid w:val="00F66294"/>
    <w:rsid w:val="00F66371"/>
    <w:rsid w:val="00F66830"/>
    <w:rsid w:val="00F66870"/>
    <w:rsid w:val="00F66FC1"/>
    <w:rsid w:val="00F67476"/>
    <w:rsid w:val="00F67634"/>
    <w:rsid w:val="00F707BC"/>
    <w:rsid w:val="00F71545"/>
    <w:rsid w:val="00F71DF2"/>
    <w:rsid w:val="00F72026"/>
    <w:rsid w:val="00F726AA"/>
    <w:rsid w:val="00F73C99"/>
    <w:rsid w:val="00F75DCD"/>
    <w:rsid w:val="00F75FD2"/>
    <w:rsid w:val="00F768EF"/>
    <w:rsid w:val="00F76A64"/>
    <w:rsid w:val="00F76B13"/>
    <w:rsid w:val="00F777C7"/>
    <w:rsid w:val="00F7CFF1"/>
    <w:rsid w:val="00F800B6"/>
    <w:rsid w:val="00F80486"/>
    <w:rsid w:val="00F8071F"/>
    <w:rsid w:val="00F81049"/>
    <w:rsid w:val="00F811C6"/>
    <w:rsid w:val="00F811F8"/>
    <w:rsid w:val="00F819C8"/>
    <w:rsid w:val="00F82FBC"/>
    <w:rsid w:val="00F833D0"/>
    <w:rsid w:val="00F83794"/>
    <w:rsid w:val="00F83A82"/>
    <w:rsid w:val="00F8411E"/>
    <w:rsid w:val="00F84B2D"/>
    <w:rsid w:val="00F84BC7"/>
    <w:rsid w:val="00F84D73"/>
    <w:rsid w:val="00F8520A"/>
    <w:rsid w:val="00F855D5"/>
    <w:rsid w:val="00F85863"/>
    <w:rsid w:val="00F85A14"/>
    <w:rsid w:val="00F85A2D"/>
    <w:rsid w:val="00F85ACE"/>
    <w:rsid w:val="00F85D06"/>
    <w:rsid w:val="00F862F9"/>
    <w:rsid w:val="00F86CD6"/>
    <w:rsid w:val="00F86F2E"/>
    <w:rsid w:val="00F86FDA"/>
    <w:rsid w:val="00F87D43"/>
    <w:rsid w:val="00F87E46"/>
    <w:rsid w:val="00F913DC"/>
    <w:rsid w:val="00F9145F"/>
    <w:rsid w:val="00F914A3"/>
    <w:rsid w:val="00F9175C"/>
    <w:rsid w:val="00F91E30"/>
    <w:rsid w:val="00F91FB6"/>
    <w:rsid w:val="00F92373"/>
    <w:rsid w:val="00F92A11"/>
    <w:rsid w:val="00F92A4E"/>
    <w:rsid w:val="00F93133"/>
    <w:rsid w:val="00F93400"/>
    <w:rsid w:val="00F93B5F"/>
    <w:rsid w:val="00F93C6A"/>
    <w:rsid w:val="00F93F6A"/>
    <w:rsid w:val="00F940F0"/>
    <w:rsid w:val="00F946D4"/>
    <w:rsid w:val="00F9591C"/>
    <w:rsid w:val="00F95F04"/>
    <w:rsid w:val="00F96336"/>
    <w:rsid w:val="00F97166"/>
    <w:rsid w:val="00F971B9"/>
    <w:rsid w:val="00F978AD"/>
    <w:rsid w:val="00F97B67"/>
    <w:rsid w:val="00F97CF7"/>
    <w:rsid w:val="00F97DB8"/>
    <w:rsid w:val="00FA0709"/>
    <w:rsid w:val="00FA173C"/>
    <w:rsid w:val="00FA1797"/>
    <w:rsid w:val="00FA1945"/>
    <w:rsid w:val="00FA2864"/>
    <w:rsid w:val="00FA357B"/>
    <w:rsid w:val="00FA3858"/>
    <w:rsid w:val="00FA3865"/>
    <w:rsid w:val="00FA46C8"/>
    <w:rsid w:val="00FA4738"/>
    <w:rsid w:val="00FA4AC0"/>
    <w:rsid w:val="00FA4C21"/>
    <w:rsid w:val="00FA4E19"/>
    <w:rsid w:val="00FA58CF"/>
    <w:rsid w:val="00FA610E"/>
    <w:rsid w:val="00FA6418"/>
    <w:rsid w:val="00FA641C"/>
    <w:rsid w:val="00FA6C8A"/>
    <w:rsid w:val="00FA6DCC"/>
    <w:rsid w:val="00FA6E69"/>
    <w:rsid w:val="00FA6E87"/>
    <w:rsid w:val="00FA77E4"/>
    <w:rsid w:val="00FB023B"/>
    <w:rsid w:val="00FB053E"/>
    <w:rsid w:val="00FB0A56"/>
    <w:rsid w:val="00FB0EAC"/>
    <w:rsid w:val="00FB1578"/>
    <w:rsid w:val="00FB199D"/>
    <w:rsid w:val="00FB1C26"/>
    <w:rsid w:val="00FB1D44"/>
    <w:rsid w:val="00FB1E3F"/>
    <w:rsid w:val="00FB21AB"/>
    <w:rsid w:val="00FB232D"/>
    <w:rsid w:val="00FB25EE"/>
    <w:rsid w:val="00FB2CD7"/>
    <w:rsid w:val="00FB2E7B"/>
    <w:rsid w:val="00FB3F3C"/>
    <w:rsid w:val="00FB4223"/>
    <w:rsid w:val="00FB4960"/>
    <w:rsid w:val="00FB4FD8"/>
    <w:rsid w:val="00FB5258"/>
    <w:rsid w:val="00FB5985"/>
    <w:rsid w:val="00FB5C4C"/>
    <w:rsid w:val="00FB6515"/>
    <w:rsid w:val="00FB68B2"/>
    <w:rsid w:val="00FB7947"/>
    <w:rsid w:val="00FB7A46"/>
    <w:rsid w:val="00FB7D65"/>
    <w:rsid w:val="00FC019F"/>
    <w:rsid w:val="00FC04E6"/>
    <w:rsid w:val="00FC0624"/>
    <w:rsid w:val="00FC06C4"/>
    <w:rsid w:val="00FC0B81"/>
    <w:rsid w:val="00FC0D8E"/>
    <w:rsid w:val="00FC0E08"/>
    <w:rsid w:val="00FC1030"/>
    <w:rsid w:val="00FC11C4"/>
    <w:rsid w:val="00FC1715"/>
    <w:rsid w:val="00FC1EFC"/>
    <w:rsid w:val="00FC1F85"/>
    <w:rsid w:val="00FC20DD"/>
    <w:rsid w:val="00FC223C"/>
    <w:rsid w:val="00FC371D"/>
    <w:rsid w:val="00FC37BD"/>
    <w:rsid w:val="00FC41EC"/>
    <w:rsid w:val="00FC4668"/>
    <w:rsid w:val="00FC4854"/>
    <w:rsid w:val="00FC4D06"/>
    <w:rsid w:val="00FC51CF"/>
    <w:rsid w:val="00FC53C3"/>
    <w:rsid w:val="00FC5515"/>
    <w:rsid w:val="00FC57A0"/>
    <w:rsid w:val="00FC5D84"/>
    <w:rsid w:val="00FC6275"/>
    <w:rsid w:val="00FC6368"/>
    <w:rsid w:val="00FC692F"/>
    <w:rsid w:val="00FC6B0D"/>
    <w:rsid w:val="00FC6CBF"/>
    <w:rsid w:val="00FC6D7A"/>
    <w:rsid w:val="00FC7A82"/>
    <w:rsid w:val="00FC7C96"/>
    <w:rsid w:val="00FD0193"/>
    <w:rsid w:val="00FD08A4"/>
    <w:rsid w:val="00FD0B8B"/>
    <w:rsid w:val="00FD0BA9"/>
    <w:rsid w:val="00FD0FAA"/>
    <w:rsid w:val="00FD10A8"/>
    <w:rsid w:val="00FD16F5"/>
    <w:rsid w:val="00FD1E78"/>
    <w:rsid w:val="00FD2007"/>
    <w:rsid w:val="00FD22D9"/>
    <w:rsid w:val="00FD239F"/>
    <w:rsid w:val="00FD246D"/>
    <w:rsid w:val="00FD2F78"/>
    <w:rsid w:val="00FD3452"/>
    <w:rsid w:val="00FD380B"/>
    <w:rsid w:val="00FD3883"/>
    <w:rsid w:val="00FD38B8"/>
    <w:rsid w:val="00FD3CCC"/>
    <w:rsid w:val="00FD457C"/>
    <w:rsid w:val="00FD4E90"/>
    <w:rsid w:val="00FD5421"/>
    <w:rsid w:val="00FD54FC"/>
    <w:rsid w:val="00FD5721"/>
    <w:rsid w:val="00FD5ABD"/>
    <w:rsid w:val="00FD5B25"/>
    <w:rsid w:val="00FD63A1"/>
    <w:rsid w:val="00FD64B9"/>
    <w:rsid w:val="00FD67E6"/>
    <w:rsid w:val="00FD6CCB"/>
    <w:rsid w:val="00FD6D27"/>
    <w:rsid w:val="00FD7524"/>
    <w:rsid w:val="00FD77DC"/>
    <w:rsid w:val="00FD780D"/>
    <w:rsid w:val="00FD7960"/>
    <w:rsid w:val="00FD7DC9"/>
    <w:rsid w:val="00FD7E66"/>
    <w:rsid w:val="00FD7F83"/>
    <w:rsid w:val="00FD7FB3"/>
    <w:rsid w:val="00FE052A"/>
    <w:rsid w:val="00FE0FA4"/>
    <w:rsid w:val="00FE122E"/>
    <w:rsid w:val="00FE1304"/>
    <w:rsid w:val="00FE219F"/>
    <w:rsid w:val="00FE21F5"/>
    <w:rsid w:val="00FE2633"/>
    <w:rsid w:val="00FE2948"/>
    <w:rsid w:val="00FE30C1"/>
    <w:rsid w:val="00FE31AA"/>
    <w:rsid w:val="00FE3BD8"/>
    <w:rsid w:val="00FE43D5"/>
    <w:rsid w:val="00FE4798"/>
    <w:rsid w:val="00FE4855"/>
    <w:rsid w:val="00FE4AE0"/>
    <w:rsid w:val="00FE4D22"/>
    <w:rsid w:val="00FE5C7E"/>
    <w:rsid w:val="00FE65CF"/>
    <w:rsid w:val="00FE6995"/>
    <w:rsid w:val="00FE69AC"/>
    <w:rsid w:val="00FE6CC5"/>
    <w:rsid w:val="00FE6CFB"/>
    <w:rsid w:val="00FE6D25"/>
    <w:rsid w:val="00FE7559"/>
    <w:rsid w:val="00FF0040"/>
    <w:rsid w:val="00FF03AB"/>
    <w:rsid w:val="00FF0EC7"/>
    <w:rsid w:val="00FF1422"/>
    <w:rsid w:val="00FF151F"/>
    <w:rsid w:val="00FF1A6E"/>
    <w:rsid w:val="00FF1FB8"/>
    <w:rsid w:val="00FF203C"/>
    <w:rsid w:val="00FF208F"/>
    <w:rsid w:val="00FF2658"/>
    <w:rsid w:val="00FF2818"/>
    <w:rsid w:val="00FF2D06"/>
    <w:rsid w:val="00FF2D0E"/>
    <w:rsid w:val="00FF36A5"/>
    <w:rsid w:val="00FF3B3B"/>
    <w:rsid w:val="00FF43B8"/>
    <w:rsid w:val="00FF5165"/>
    <w:rsid w:val="00FF5216"/>
    <w:rsid w:val="00FF54C5"/>
    <w:rsid w:val="00FF5A6B"/>
    <w:rsid w:val="00FF5E6E"/>
    <w:rsid w:val="00FF65DE"/>
    <w:rsid w:val="00FF6D23"/>
    <w:rsid w:val="00FF743F"/>
    <w:rsid w:val="00FF75CC"/>
    <w:rsid w:val="010BED6B"/>
    <w:rsid w:val="0112ECFB"/>
    <w:rsid w:val="012AE668"/>
    <w:rsid w:val="0132874E"/>
    <w:rsid w:val="01374983"/>
    <w:rsid w:val="014BD0BD"/>
    <w:rsid w:val="01534CB5"/>
    <w:rsid w:val="0171D393"/>
    <w:rsid w:val="017E28BA"/>
    <w:rsid w:val="01890F03"/>
    <w:rsid w:val="01907C6D"/>
    <w:rsid w:val="01934372"/>
    <w:rsid w:val="01966803"/>
    <w:rsid w:val="01A1B3EA"/>
    <w:rsid w:val="01AFB776"/>
    <w:rsid w:val="01F57898"/>
    <w:rsid w:val="0205F33A"/>
    <w:rsid w:val="0207BC45"/>
    <w:rsid w:val="020F9587"/>
    <w:rsid w:val="02548D02"/>
    <w:rsid w:val="025911FA"/>
    <w:rsid w:val="026D3EC5"/>
    <w:rsid w:val="026E870B"/>
    <w:rsid w:val="02701E2E"/>
    <w:rsid w:val="027A3392"/>
    <w:rsid w:val="027B74E6"/>
    <w:rsid w:val="028CA554"/>
    <w:rsid w:val="0293FDF6"/>
    <w:rsid w:val="02994E37"/>
    <w:rsid w:val="02A5D879"/>
    <w:rsid w:val="02C55CC0"/>
    <w:rsid w:val="02C7A51E"/>
    <w:rsid w:val="02DE556A"/>
    <w:rsid w:val="02DF98CB"/>
    <w:rsid w:val="02F60B90"/>
    <w:rsid w:val="031568F3"/>
    <w:rsid w:val="03337995"/>
    <w:rsid w:val="0334F570"/>
    <w:rsid w:val="03498EE2"/>
    <w:rsid w:val="034A5D18"/>
    <w:rsid w:val="036BB9D7"/>
    <w:rsid w:val="037F1A38"/>
    <w:rsid w:val="038A3F27"/>
    <w:rsid w:val="039199A7"/>
    <w:rsid w:val="0399A072"/>
    <w:rsid w:val="03A75D6F"/>
    <w:rsid w:val="03C52FD4"/>
    <w:rsid w:val="03CFCA29"/>
    <w:rsid w:val="040FDD58"/>
    <w:rsid w:val="04181055"/>
    <w:rsid w:val="041E8D52"/>
    <w:rsid w:val="042C1BD7"/>
    <w:rsid w:val="044094C4"/>
    <w:rsid w:val="04422F23"/>
    <w:rsid w:val="04481CFB"/>
    <w:rsid w:val="046A160B"/>
    <w:rsid w:val="04913FA4"/>
    <w:rsid w:val="04955902"/>
    <w:rsid w:val="04B5AFAC"/>
    <w:rsid w:val="04D4C662"/>
    <w:rsid w:val="04D90CAC"/>
    <w:rsid w:val="04F6E168"/>
    <w:rsid w:val="04F9CA80"/>
    <w:rsid w:val="04FBBACE"/>
    <w:rsid w:val="04FC4F46"/>
    <w:rsid w:val="05239086"/>
    <w:rsid w:val="0524A661"/>
    <w:rsid w:val="05411CBA"/>
    <w:rsid w:val="05436FDA"/>
    <w:rsid w:val="054D74BD"/>
    <w:rsid w:val="0557E4AC"/>
    <w:rsid w:val="055DD401"/>
    <w:rsid w:val="056748A7"/>
    <w:rsid w:val="057491BB"/>
    <w:rsid w:val="0576D0A8"/>
    <w:rsid w:val="0581C58D"/>
    <w:rsid w:val="05911BC7"/>
    <w:rsid w:val="05A0EFF4"/>
    <w:rsid w:val="05B3E1D3"/>
    <w:rsid w:val="05BF627E"/>
    <w:rsid w:val="05D7ADAD"/>
    <w:rsid w:val="05E645DB"/>
    <w:rsid w:val="05F3004B"/>
    <w:rsid w:val="05F9AD11"/>
    <w:rsid w:val="05FBED51"/>
    <w:rsid w:val="05FBFAD2"/>
    <w:rsid w:val="06023A2C"/>
    <w:rsid w:val="0615014F"/>
    <w:rsid w:val="062B4279"/>
    <w:rsid w:val="062E3BEE"/>
    <w:rsid w:val="06317FE5"/>
    <w:rsid w:val="0632AA20"/>
    <w:rsid w:val="063F878D"/>
    <w:rsid w:val="064803DA"/>
    <w:rsid w:val="066F9775"/>
    <w:rsid w:val="0697D423"/>
    <w:rsid w:val="06C60D0A"/>
    <w:rsid w:val="06D83C87"/>
    <w:rsid w:val="06E6FC5A"/>
    <w:rsid w:val="06F2E0CA"/>
    <w:rsid w:val="06F70559"/>
    <w:rsid w:val="070D7E34"/>
    <w:rsid w:val="070DBC37"/>
    <w:rsid w:val="07244849"/>
    <w:rsid w:val="072C9660"/>
    <w:rsid w:val="072F7548"/>
    <w:rsid w:val="0736BD96"/>
    <w:rsid w:val="0755030C"/>
    <w:rsid w:val="0756DB43"/>
    <w:rsid w:val="0760490B"/>
    <w:rsid w:val="07764653"/>
    <w:rsid w:val="07847857"/>
    <w:rsid w:val="07923605"/>
    <w:rsid w:val="079F4DBA"/>
    <w:rsid w:val="07AF1245"/>
    <w:rsid w:val="07B5F5B8"/>
    <w:rsid w:val="07BF010F"/>
    <w:rsid w:val="07DB9672"/>
    <w:rsid w:val="07DEF3C8"/>
    <w:rsid w:val="0803EDE1"/>
    <w:rsid w:val="08192464"/>
    <w:rsid w:val="0820DED8"/>
    <w:rsid w:val="08248519"/>
    <w:rsid w:val="08335B90"/>
    <w:rsid w:val="083372AE"/>
    <w:rsid w:val="084E9FFA"/>
    <w:rsid w:val="08533E6D"/>
    <w:rsid w:val="087487D0"/>
    <w:rsid w:val="0882E1C9"/>
    <w:rsid w:val="088AB392"/>
    <w:rsid w:val="08906039"/>
    <w:rsid w:val="0890E31F"/>
    <w:rsid w:val="08A0570B"/>
    <w:rsid w:val="08B3E427"/>
    <w:rsid w:val="08CD4B19"/>
    <w:rsid w:val="08D89F97"/>
    <w:rsid w:val="08DE3D72"/>
    <w:rsid w:val="08F6B94F"/>
    <w:rsid w:val="08F9FF5F"/>
    <w:rsid w:val="08FB0352"/>
    <w:rsid w:val="091C4B52"/>
    <w:rsid w:val="092C1284"/>
    <w:rsid w:val="093937EB"/>
    <w:rsid w:val="0952951A"/>
    <w:rsid w:val="0954E5BD"/>
    <w:rsid w:val="0962C768"/>
    <w:rsid w:val="0975B26D"/>
    <w:rsid w:val="099C9A33"/>
    <w:rsid w:val="099D6B4C"/>
    <w:rsid w:val="09BA210B"/>
    <w:rsid w:val="09C2B9AC"/>
    <w:rsid w:val="09FAE832"/>
    <w:rsid w:val="0A052760"/>
    <w:rsid w:val="0A149C22"/>
    <w:rsid w:val="0A204189"/>
    <w:rsid w:val="0A2FF2A8"/>
    <w:rsid w:val="0A444FF8"/>
    <w:rsid w:val="0A546D71"/>
    <w:rsid w:val="0A61450A"/>
    <w:rsid w:val="0A6A73D1"/>
    <w:rsid w:val="0A7348C3"/>
    <w:rsid w:val="0A83EB19"/>
    <w:rsid w:val="0AA97063"/>
    <w:rsid w:val="0AC7820A"/>
    <w:rsid w:val="0AC86972"/>
    <w:rsid w:val="0ACF8E7B"/>
    <w:rsid w:val="0AD6738B"/>
    <w:rsid w:val="0ADD89C3"/>
    <w:rsid w:val="0AFE021A"/>
    <w:rsid w:val="0B005324"/>
    <w:rsid w:val="0B0817CF"/>
    <w:rsid w:val="0B0EEF26"/>
    <w:rsid w:val="0B426E29"/>
    <w:rsid w:val="0B4B3C6B"/>
    <w:rsid w:val="0B4E312D"/>
    <w:rsid w:val="0B5C1ECA"/>
    <w:rsid w:val="0B6AFC52"/>
    <w:rsid w:val="0B7FCE00"/>
    <w:rsid w:val="0BA40C47"/>
    <w:rsid w:val="0BA58D4B"/>
    <w:rsid w:val="0BBE23A6"/>
    <w:rsid w:val="0BBF6E35"/>
    <w:rsid w:val="0BCBB854"/>
    <w:rsid w:val="0BCD33A1"/>
    <w:rsid w:val="0BD12DBE"/>
    <w:rsid w:val="0BDA8B30"/>
    <w:rsid w:val="0BF2900C"/>
    <w:rsid w:val="0BF39EA6"/>
    <w:rsid w:val="0BF97300"/>
    <w:rsid w:val="0BFC3097"/>
    <w:rsid w:val="0C01AFB1"/>
    <w:rsid w:val="0C134023"/>
    <w:rsid w:val="0C14C4EC"/>
    <w:rsid w:val="0C184DE6"/>
    <w:rsid w:val="0C297BF3"/>
    <w:rsid w:val="0C3DE682"/>
    <w:rsid w:val="0C6D52B4"/>
    <w:rsid w:val="0C990F80"/>
    <w:rsid w:val="0CA7E5C9"/>
    <w:rsid w:val="0CA89E8B"/>
    <w:rsid w:val="0CC83610"/>
    <w:rsid w:val="0CCA7FE2"/>
    <w:rsid w:val="0CDEB137"/>
    <w:rsid w:val="0CE01D79"/>
    <w:rsid w:val="0CEB045C"/>
    <w:rsid w:val="0D065B6C"/>
    <w:rsid w:val="0D2BF80D"/>
    <w:rsid w:val="0D385994"/>
    <w:rsid w:val="0D3D6E46"/>
    <w:rsid w:val="0D4F4830"/>
    <w:rsid w:val="0D5603A8"/>
    <w:rsid w:val="0D66931F"/>
    <w:rsid w:val="0D693B76"/>
    <w:rsid w:val="0D8A4143"/>
    <w:rsid w:val="0D90310B"/>
    <w:rsid w:val="0D9274DF"/>
    <w:rsid w:val="0D9E2958"/>
    <w:rsid w:val="0DBE2549"/>
    <w:rsid w:val="0DD71BAD"/>
    <w:rsid w:val="0DDF09D3"/>
    <w:rsid w:val="0DFC286B"/>
    <w:rsid w:val="0E079259"/>
    <w:rsid w:val="0E10DEFE"/>
    <w:rsid w:val="0E1901CF"/>
    <w:rsid w:val="0E213819"/>
    <w:rsid w:val="0E23ECEC"/>
    <w:rsid w:val="0E34A177"/>
    <w:rsid w:val="0E3FC370"/>
    <w:rsid w:val="0E429ACD"/>
    <w:rsid w:val="0E4752E6"/>
    <w:rsid w:val="0E56ADCF"/>
    <w:rsid w:val="0E6B8E8D"/>
    <w:rsid w:val="0E7ED729"/>
    <w:rsid w:val="0E89A360"/>
    <w:rsid w:val="0EB41D29"/>
    <w:rsid w:val="0EBB6BB5"/>
    <w:rsid w:val="0EBCD4C0"/>
    <w:rsid w:val="0EE19A1C"/>
    <w:rsid w:val="0EE5EF5E"/>
    <w:rsid w:val="0EE66E19"/>
    <w:rsid w:val="0F007008"/>
    <w:rsid w:val="0F0AD2A7"/>
    <w:rsid w:val="0F0AD3BF"/>
    <w:rsid w:val="0F0F51B9"/>
    <w:rsid w:val="0F1ED5B0"/>
    <w:rsid w:val="0F2B68FB"/>
    <w:rsid w:val="0F2F3567"/>
    <w:rsid w:val="0F32DC83"/>
    <w:rsid w:val="0F35D63E"/>
    <w:rsid w:val="0F382F91"/>
    <w:rsid w:val="0F48572D"/>
    <w:rsid w:val="0F6F1827"/>
    <w:rsid w:val="0F6FF845"/>
    <w:rsid w:val="0F76E74F"/>
    <w:rsid w:val="0F9731B8"/>
    <w:rsid w:val="0F9C6946"/>
    <w:rsid w:val="0FCE16C4"/>
    <w:rsid w:val="0FCF24BE"/>
    <w:rsid w:val="0FED05F9"/>
    <w:rsid w:val="0FEF7A49"/>
    <w:rsid w:val="1004AA71"/>
    <w:rsid w:val="100599C9"/>
    <w:rsid w:val="101D6681"/>
    <w:rsid w:val="10290D55"/>
    <w:rsid w:val="1043A25F"/>
    <w:rsid w:val="1043B7F9"/>
    <w:rsid w:val="10498F39"/>
    <w:rsid w:val="106776BD"/>
    <w:rsid w:val="1071254C"/>
    <w:rsid w:val="107EFB33"/>
    <w:rsid w:val="107F3704"/>
    <w:rsid w:val="108307CF"/>
    <w:rsid w:val="108CFE66"/>
    <w:rsid w:val="108DEEBD"/>
    <w:rsid w:val="10A198D9"/>
    <w:rsid w:val="10ACCEB9"/>
    <w:rsid w:val="10C06176"/>
    <w:rsid w:val="10C23AA7"/>
    <w:rsid w:val="10CB5889"/>
    <w:rsid w:val="10D57D08"/>
    <w:rsid w:val="10D6F489"/>
    <w:rsid w:val="10DCDD24"/>
    <w:rsid w:val="10E275D2"/>
    <w:rsid w:val="110676B8"/>
    <w:rsid w:val="11164933"/>
    <w:rsid w:val="1118BC5D"/>
    <w:rsid w:val="1152A838"/>
    <w:rsid w:val="11849CD7"/>
    <w:rsid w:val="1186BF0A"/>
    <w:rsid w:val="118DF5EE"/>
    <w:rsid w:val="11A09A54"/>
    <w:rsid w:val="11B8A56B"/>
    <w:rsid w:val="11C11579"/>
    <w:rsid w:val="11C3C567"/>
    <w:rsid w:val="11D2A66C"/>
    <w:rsid w:val="11D444B1"/>
    <w:rsid w:val="11DA898F"/>
    <w:rsid w:val="11DBC664"/>
    <w:rsid w:val="11F28263"/>
    <w:rsid w:val="11F4B543"/>
    <w:rsid w:val="1263BA08"/>
    <w:rsid w:val="12696242"/>
    <w:rsid w:val="1297F6AA"/>
    <w:rsid w:val="129B7B30"/>
    <w:rsid w:val="129E510B"/>
    <w:rsid w:val="12BEB82D"/>
    <w:rsid w:val="12C8EF25"/>
    <w:rsid w:val="12CC0A05"/>
    <w:rsid w:val="12EFB564"/>
    <w:rsid w:val="12F12420"/>
    <w:rsid w:val="1305CE8A"/>
    <w:rsid w:val="131ACD03"/>
    <w:rsid w:val="13229644"/>
    <w:rsid w:val="13262A04"/>
    <w:rsid w:val="132E5824"/>
    <w:rsid w:val="134442A4"/>
    <w:rsid w:val="134A258C"/>
    <w:rsid w:val="135B3A2C"/>
    <w:rsid w:val="1363C6A8"/>
    <w:rsid w:val="13646F12"/>
    <w:rsid w:val="1375EE99"/>
    <w:rsid w:val="138A7BA3"/>
    <w:rsid w:val="138AF1BB"/>
    <w:rsid w:val="13A1E730"/>
    <w:rsid w:val="13A29E9F"/>
    <w:rsid w:val="13B8F0C1"/>
    <w:rsid w:val="13CB1012"/>
    <w:rsid w:val="13D9F526"/>
    <w:rsid w:val="13EB24FF"/>
    <w:rsid w:val="13FC9F5C"/>
    <w:rsid w:val="140A0FD9"/>
    <w:rsid w:val="14147C9B"/>
    <w:rsid w:val="14174F90"/>
    <w:rsid w:val="145A4E81"/>
    <w:rsid w:val="145BF75C"/>
    <w:rsid w:val="1468BDA4"/>
    <w:rsid w:val="1483BB08"/>
    <w:rsid w:val="148FF7FA"/>
    <w:rsid w:val="14957020"/>
    <w:rsid w:val="14A19EEB"/>
    <w:rsid w:val="14A1E153"/>
    <w:rsid w:val="14B22779"/>
    <w:rsid w:val="14B60768"/>
    <w:rsid w:val="14C013BB"/>
    <w:rsid w:val="14C0909B"/>
    <w:rsid w:val="14C72E32"/>
    <w:rsid w:val="14CF4C6C"/>
    <w:rsid w:val="14D43150"/>
    <w:rsid w:val="14F70A8D"/>
    <w:rsid w:val="14FEDA4A"/>
    <w:rsid w:val="15215EBA"/>
    <w:rsid w:val="15413B94"/>
    <w:rsid w:val="1553D9CC"/>
    <w:rsid w:val="1569DA52"/>
    <w:rsid w:val="156EAE00"/>
    <w:rsid w:val="15C9CB13"/>
    <w:rsid w:val="15CF4788"/>
    <w:rsid w:val="15DFE528"/>
    <w:rsid w:val="15E5780D"/>
    <w:rsid w:val="15EC792E"/>
    <w:rsid w:val="16093290"/>
    <w:rsid w:val="161029E6"/>
    <w:rsid w:val="162BC85B"/>
    <w:rsid w:val="16372BAC"/>
    <w:rsid w:val="163D1D7B"/>
    <w:rsid w:val="164C1EF7"/>
    <w:rsid w:val="165CCB7C"/>
    <w:rsid w:val="1665CB09"/>
    <w:rsid w:val="1677CD28"/>
    <w:rsid w:val="168030E6"/>
    <w:rsid w:val="16835079"/>
    <w:rsid w:val="168843C3"/>
    <w:rsid w:val="16919A00"/>
    <w:rsid w:val="16AD2943"/>
    <w:rsid w:val="16AF7E10"/>
    <w:rsid w:val="16D22ADA"/>
    <w:rsid w:val="16FD60DB"/>
    <w:rsid w:val="1704F244"/>
    <w:rsid w:val="1723A6C6"/>
    <w:rsid w:val="1734A452"/>
    <w:rsid w:val="17357FA5"/>
    <w:rsid w:val="174427E8"/>
    <w:rsid w:val="17614E07"/>
    <w:rsid w:val="176540B6"/>
    <w:rsid w:val="1774553B"/>
    <w:rsid w:val="1789437A"/>
    <w:rsid w:val="179F45FE"/>
    <w:rsid w:val="17BCFD9E"/>
    <w:rsid w:val="17BFD78E"/>
    <w:rsid w:val="17C8FAE7"/>
    <w:rsid w:val="17D84CF2"/>
    <w:rsid w:val="17D962D0"/>
    <w:rsid w:val="1803C8CD"/>
    <w:rsid w:val="1825685A"/>
    <w:rsid w:val="1826EB23"/>
    <w:rsid w:val="1830242E"/>
    <w:rsid w:val="18393574"/>
    <w:rsid w:val="18508A03"/>
    <w:rsid w:val="18622C54"/>
    <w:rsid w:val="18672855"/>
    <w:rsid w:val="187B5AD9"/>
    <w:rsid w:val="1889DB07"/>
    <w:rsid w:val="188CCC95"/>
    <w:rsid w:val="18ABAEE0"/>
    <w:rsid w:val="18B63B4D"/>
    <w:rsid w:val="18C5D61F"/>
    <w:rsid w:val="18FC3E5E"/>
    <w:rsid w:val="19296724"/>
    <w:rsid w:val="1937EB19"/>
    <w:rsid w:val="194146A1"/>
    <w:rsid w:val="19519EE0"/>
    <w:rsid w:val="1987EBDF"/>
    <w:rsid w:val="19A7AA10"/>
    <w:rsid w:val="19ADD2B1"/>
    <w:rsid w:val="19BB8229"/>
    <w:rsid w:val="19BC2DE8"/>
    <w:rsid w:val="19C1D1DC"/>
    <w:rsid w:val="19F40EE1"/>
    <w:rsid w:val="19F7C6E5"/>
    <w:rsid w:val="19FBFC60"/>
    <w:rsid w:val="1A1A38FF"/>
    <w:rsid w:val="1A34020B"/>
    <w:rsid w:val="1A459218"/>
    <w:rsid w:val="1A4E0FEC"/>
    <w:rsid w:val="1A502AC8"/>
    <w:rsid w:val="1AAC3924"/>
    <w:rsid w:val="1AB3E830"/>
    <w:rsid w:val="1AC42680"/>
    <w:rsid w:val="1AF02168"/>
    <w:rsid w:val="1B009BA9"/>
    <w:rsid w:val="1B140DA1"/>
    <w:rsid w:val="1B1B0739"/>
    <w:rsid w:val="1B1F901A"/>
    <w:rsid w:val="1B2CA0A0"/>
    <w:rsid w:val="1B395D93"/>
    <w:rsid w:val="1B43FCCD"/>
    <w:rsid w:val="1B63BD72"/>
    <w:rsid w:val="1B68D7FA"/>
    <w:rsid w:val="1B7E66E3"/>
    <w:rsid w:val="1B8E5AF9"/>
    <w:rsid w:val="1B8E9F48"/>
    <w:rsid w:val="1B926463"/>
    <w:rsid w:val="1B9507C5"/>
    <w:rsid w:val="1BDDB2DC"/>
    <w:rsid w:val="1BDFA2DF"/>
    <w:rsid w:val="1BE06F04"/>
    <w:rsid w:val="1BF66718"/>
    <w:rsid w:val="1C043053"/>
    <w:rsid w:val="1C0A15D8"/>
    <w:rsid w:val="1C11B6B7"/>
    <w:rsid w:val="1C5621B6"/>
    <w:rsid w:val="1C6C4124"/>
    <w:rsid w:val="1C71C710"/>
    <w:rsid w:val="1CBF79C5"/>
    <w:rsid w:val="1CD011AC"/>
    <w:rsid w:val="1CE571CA"/>
    <w:rsid w:val="1D095C28"/>
    <w:rsid w:val="1D0AE9EA"/>
    <w:rsid w:val="1D418A2E"/>
    <w:rsid w:val="1D4D87B1"/>
    <w:rsid w:val="1D6E4D65"/>
    <w:rsid w:val="1D75078B"/>
    <w:rsid w:val="1D7655B9"/>
    <w:rsid w:val="1D773971"/>
    <w:rsid w:val="1DB0250F"/>
    <w:rsid w:val="1DBE8B39"/>
    <w:rsid w:val="1DCC3EE7"/>
    <w:rsid w:val="1DD73C4C"/>
    <w:rsid w:val="1DE93816"/>
    <w:rsid w:val="1DF2A53D"/>
    <w:rsid w:val="1DFD3DC1"/>
    <w:rsid w:val="1E09ACC6"/>
    <w:rsid w:val="1E0BDB97"/>
    <w:rsid w:val="1E23545D"/>
    <w:rsid w:val="1E2CA08E"/>
    <w:rsid w:val="1E4AEE2D"/>
    <w:rsid w:val="1E4E10B2"/>
    <w:rsid w:val="1E4FE1EB"/>
    <w:rsid w:val="1E5158F5"/>
    <w:rsid w:val="1E6B9871"/>
    <w:rsid w:val="1E6CDBAF"/>
    <w:rsid w:val="1E6D14E0"/>
    <w:rsid w:val="1E77DB21"/>
    <w:rsid w:val="1E85F01F"/>
    <w:rsid w:val="1E87EA5A"/>
    <w:rsid w:val="1E8B6ECA"/>
    <w:rsid w:val="1EA0E290"/>
    <w:rsid w:val="1EAA68C0"/>
    <w:rsid w:val="1EB3A21E"/>
    <w:rsid w:val="1EDA0074"/>
    <w:rsid w:val="1EFD676E"/>
    <w:rsid w:val="1F0D9DBB"/>
    <w:rsid w:val="1F0ED412"/>
    <w:rsid w:val="1F4C8B67"/>
    <w:rsid w:val="1F4F1A7C"/>
    <w:rsid w:val="1F55689C"/>
    <w:rsid w:val="1FAFCAE6"/>
    <w:rsid w:val="1FBCAC00"/>
    <w:rsid w:val="1FC58D9E"/>
    <w:rsid w:val="1FC77F68"/>
    <w:rsid w:val="1FD15083"/>
    <w:rsid w:val="1FD35519"/>
    <w:rsid w:val="1FE80FD0"/>
    <w:rsid w:val="1FF3EA49"/>
    <w:rsid w:val="1FF59B1D"/>
    <w:rsid w:val="1FF60A1F"/>
    <w:rsid w:val="1FF68DBE"/>
    <w:rsid w:val="1FFF1DD0"/>
    <w:rsid w:val="2007950A"/>
    <w:rsid w:val="2013AF6F"/>
    <w:rsid w:val="20149AEF"/>
    <w:rsid w:val="2015BE54"/>
    <w:rsid w:val="2039BB59"/>
    <w:rsid w:val="203EBB80"/>
    <w:rsid w:val="204A08A1"/>
    <w:rsid w:val="205149AF"/>
    <w:rsid w:val="20575A36"/>
    <w:rsid w:val="206E14E4"/>
    <w:rsid w:val="206EE370"/>
    <w:rsid w:val="209A8A61"/>
    <w:rsid w:val="20A6CD31"/>
    <w:rsid w:val="20C09C65"/>
    <w:rsid w:val="20C10A0F"/>
    <w:rsid w:val="20C35A5A"/>
    <w:rsid w:val="20C39127"/>
    <w:rsid w:val="20CAC78D"/>
    <w:rsid w:val="20FB3C1D"/>
    <w:rsid w:val="21194B90"/>
    <w:rsid w:val="213A650D"/>
    <w:rsid w:val="216CF976"/>
    <w:rsid w:val="217C13C8"/>
    <w:rsid w:val="2185E6FE"/>
    <w:rsid w:val="21AF74FC"/>
    <w:rsid w:val="21C2FA61"/>
    <w:rsid w:val="21CCB8DA"/>
    <w:rsid w:val="21D5E904"/>
    <w:rsid w:val="21F039D1"/>
    <w:rsid w:val="21F2F942"/>
    <w:rsid w:val="21F6C644"/>
    <w:rsid w:val="21FD8125"/>
    <w:rsid w:val="224DD55B"/>
    <w:rsid w:val="225979FC"/>
    <w:rsid w:val="22645C08"/>
    <w:rsid w:val="226FBC40"/>
    <w:rsid w:val="22772CE6"/>
    <w:rsid w:val="227D2DF4"/>
    <w:rsid w:val="2287F1AA"/>
    <w:rsid w:val="22A3258B"/>
    <w:rsid w:val="22A7CD98"/>
    <w:rsid w:val="22AFBF5F"/>
    <w:rsid w:val="22DBC4E2"/>
    <w:rsid w:val="22DED457"/>
    <w:rsid w:val="22EBC05E"/>
    <w:rsid w:val="230DADF1"/>
    <w:rsid w:val="23266802"/>
    <w:rsid w:val="232F1664"/>
    <w:rsid w:val="23383F4F"/>
    <w:rsid w:val="235D5447"/>
    <w:rsid w:val="235F445E"/>
    <w:rsid w:val="2369C107"/>
    <w:rsid w:val="236BE31B"/>
    <w:rsid w:val="2371B965"/>
    <w:rsid w:val="237E67DF"/>
    <w:rsid w:val="2386B012"/>
    <w:rsid w:val="238CEE83"/>
    <w:rsid w:val="23927117"/>
    <w:rsid w:val="23A2CCE2"/>
    <w:rsid w:val="23A4186E"/>
    <w:rsid w:val="23B77829"/>
    <w:rsid w:val="23BF5A84"/>
    <w:rsid w:val="23C37D23"/>
    <w:rsid w:val="23CED008"/>
    <w:rsid w:val="23CFC740"/>
    <w:rsid w:val="23D01F17"/>
    <w:rsid w:val="23D82D84"/>
    <w:rsid w:val="23E34D34"/>
    <w:rsid w:val="23EB9B1A"/>
    <w:rsid w:val="23FDF504"/>
    <w:rsid w:val="240D4407"/>
    <w:rsid w:val="240EA7CA"/>
    <w:rsid w:val="2412A5D3"/>
    <w:rsid w:val="2427EF30"/>
    <w:rsid w:val="2429D0E6"/>
    <w:rsid w:val="2430CEB9"/>
    <w:rsid w:val="243E7782"/>
    <w:rsid w:val="243EE491"/>
    <w:rsid w:val="2440C488"/>
    <w:rsid w:val="24423903"/>
    <w:rsid w:val="2446EFB1"/>
    <w:rsid w:val="244D7148"/>
    <w:rsid w:val="246D1CBF"/>
    <w:rsid w:val="24714945"/>
    <w:rsid w:val="247CFC6F"/>
    <w:rsid w:val="248C5F45"/>
    <w:rsid w:val="2499DC0F"/>
    <w:rsid w:val="24A36B78"/>
    <w:rsid w:val="24A67703"/>
    <w:rsid w:val="24A8A52A"/>
    <w:rsid w:val="24AA7ED5"/>
    <w:rsid w:val="24CD90E4"/>
    <w:rsid w:val="24D84359"/>
    <w:rsid w:val="24DF8CCD"/>
    <w:rsid w:val="24EB45EE"/>
    <w:rsid w:val="24F67432"/>
    <w:rsid w:val="250F3CD5"/>
    <w:rsid w:val="2520499E"/>
    <w:rsid w:val="2533BE68"/>
    <w:rsid w:val="2544884A"/>
    <w:rsid w:val="25616A9D"/>
    <w:rsid w:val="2567FB58"/>
    <w:rsid w:val="2599BC9F"/>
    <w:rsid w:val="25B4F26A"/>
    <w:rsid w:val="25C4F893"/>
    <w:rsid w:val="25D057B9"/>
    <w:rsid w:val="25D58B3B"/>
    <w:rsid w:val="25EEF4CF"/>
    <w:rsid w:val="25F6BA35"/>
    <w:rsid w:val="2605CA3C"/>
    <w:rsid w:val="260B6CA5"/>
    <w:rsid w:val="26131FCB"/>
    <w:rsid w:val="26331D0C"/>
    <w:rsid w:val="263B39E5"/>
    <w:rsid w:val="263F9F89"/>
    <w:rsid w:val="26471C83"/>
    <w:rsid w:val="264EF6B9"/>
    <w:rsid w:val="265BAE48"/>
    <w:rsid w:val="26893E69"/>
    <w:rsid w:val="26A4F0CC"/>
    <w:rsid w:val="26ACCDBC"/>
    <w:rsid w:val="26B653CA"/>
    <w:rsid w:val="26BF5F17"/>
    <w:rsid w:val="26C3B659"/>
    <w:rsid w:val="26C68488"/>
    <w:rsid w:val="26CF2DA4"/>
    <w:rsid w:val="2704B472"/>
    <w:rsid w:val="271B8173"/>
    <w:rsid w:val="27282139"/>
    <w:rsid w:val="273F125A"/>
    <w:rsid w:val="274A2F33"/>
    <w:rsid w:val="274F1C2A"/>
    <w:rsid w:val="2757AA41"/>
    <w:rsid w:val="275DA5F5"/>
    <w:rsid w:val="2774251B"/>
    <w:rsid w:val="277F7F58"/>
    <w:rsid w:val="27820B7D"/>
    <w:rsid w:val="27883C61"/>
    <w:rsid w:val="2798A303"/>
    <w:rsid w:val="27DB0EEE"/>
    <w:rsid w:val="27E4352C"/>
    <w:rsid w:val="27EF83DF"/>
    <w:rsid w:val="27FCF7BC"/>
    <w:rsid w:val="2800393D"/>
    <w:rsid w:val="28039E35"/>
    <w:rsid w:val="2807C806"/>
    <w:rsid w:val="280E54D2"/>
    <w:rsid w:val="2821050C"/>
    <w:rsid w:val="284A8C16"/>
    <w:rsid w:val="284F6E1E"/>
    <w:rsid w:val="2857A3D0"/>
    <w:rsid w:val="2869CB96"/>
    <w:rsid w:val="289E5FFF"/>
    <w:rsid w:val="289E8C07"/>
    <w:rsid w:val="28A8685A"/>
    <w:rsid w:val="28DC4E61"/>
    <w:rsid w:val="28E70B53"/>
    <w:rsid w:val="2901E3ED"/>
    <w:rsid w:val="2904A188"/>
    <w:rsid w:val="292BDED0"/>
    <w:rsid w:val="2934DD4C"/>
    <w:rsid w:val="293EF8B3"/>
    <w:rsid w:val="2955519A"/>
    <w:rsid w:val="2957DC04"/>
    <w:rsid w:val="295D4306"/>
    <w:rsid w:val="296E4B24"/>
    <w:rsid w:val="298ADD7C"/>
    <w:rsid w:val="298CD516"/>
    <w:rsid w:val="2990E0DE"/>
    <w:rsid w:val="29938FFC"/>
    <w:rsid w:val="29951DCC"/>
    <w:rsid w:val="29957027"/>
    <w:rsid w:val="29997D73"/>
    <w:rsid w:val="29B33F97"/>
    <w:rsid w:val="29B73ACB"/>
    <w:rsid w:val="29B9FA1C"/>
    <w:rsid w:val="29C4AAF5"/>
    <w:rsid w:val="29CD0CFA"/>
    <w:rsid w:val="29D7CE09"/>
    <w:rsid w:val="29E97BD0"/>
    <w:rsid w:val="29EBF052"/>
    <w:rsid w:val="29F6FFD9"/>
    <w:rsid w:val="2A0C3528"/>
    <w:rsid w:val="2A0F8157"/>
    <w:rsid w:val="2A2653A7"/>
    <w:rsid w:val="2A2D65D4"/>
    <w:rsid w:val="2A5589A8"/>
    <w:rsid w:val="2A5954B2"/>
    <w:rsid w:val="2A5B7483"/>
    <w:rsid w:val="2A5B977F"/>
    <w:rsid w:val="2A64CD75"/>
    <w:rsid w:val="2A8DAF7B"/>
    <w:rsid w:val="2A9308ED"/>
    <w:rsid w:val="2A959B1F"/>
    <w:rsid w:val="2AACA44C"/>
    <w:rsid w:val="2AADB40B"/>
    <w:rsid w:val="2AB4D87B"/>
    <w:rsid w:val="2ABF5719"/>
    <w:rsid w:val="2B075879"/>
    <w:rsid w:val="2B105C0F"/>
    <w:rsid w:val="2B21D013"/>
    <w:rsid w:val="2B2718D5"/>
    <w:rsid w:val="2B2C304B"/>
    <w:rsid w:val="2B3BDB4E"/>
    <w:rsid w:val="2B5C9F40"/>
    <w:rsid w:val="2B5D010E"/>
    <w:rsid w:val="2B5E970B"/>
    <w:rsid w:val="2B71C0C9"/>
    <w:rsid w:val="2B7C15F7"/>
    <w:rsid w:val="2B815FB7"/>
    <w:rsid w:val="2B871129"/>
    <w:rsid w:val="2B9AA171"/>
    <w:rsid w:val="2BA710F8"/>
    <w:rsid w:val="2BB2F345"/>
    <w:rsid w:val="2BCB06CF"/>
    <w:rsid w:val="2BDCD93C"/>
    <w:rsid w:val="2C3A231C"/>
    <w:rsid w:val="2C699C9B"/>
    <w:rsid w:val="2C6B3B18"/>
    <w:rsid w:val="2C986E89"/>
    <w:rsid w:val="2CBB985E"/>
    <w:rsid w:val="2CF6FE49"/>
    <w:rsid w:val="2D04F7BC"/>
    <w:rsid w:val="2D1A816E"/>
    <w:rsid w:val="2D1E1427"/>
    <w:rsid w:val="2D1F1107"/>
    <w:rsid w:val="2D2EA09B"/>
    <w:rsid w:val="2D685FCE"/>
    <w:rsid w:val="2D6AF428"/>
    <w:rsid w:val="2D6BDF7D"/>
    <w:rsid w:val="2D7C9C11"/>
    <w:rsid w:val="2D7DE1A5"/>
    <w:rsid w:val="2D82B28F"/>
    <w:rsid w:val="2DA01F28"/>
    <w:rsid w:val="2DA220E1"/>
    <w:rsid w:val="2DB25EAF"/>
    <w:rsid w:val="2DB93519"/>
    <w:rsid w:val="2DCD2491"/>
    <w:rsid w:val="2E0AC3B9"/>
    <w:rsid w:val="2E109299"/>
    <w:rsid w:val="2E1739AE"/>
    <w:rsid w:val="2E211C23"/>
    <w:rsid w:val="2E2218B5"/>
    <w:rsid w:val="2E23D824"/>
    <w:rsid w:val="2E2542DE"/>
    <w:rsid w:val="2E4E1D0E"/>
    <w:rsid w:val="2E5E0C06"/>
    <w:rsid w:val="2E78D267"/>
    <w:rsid w:val="2E87CC31"/>
    <w:rsid w:val="2E9C4142"/>
    <w:rsid w:val="2E9C4FC4"/>
    <w:rsid w:val="2EAFC5CA"/>
    <w:rsid w:val="2EB4F33D"/>
    <w:rsid w:val="2EC96408"/>
    <w:rsid w:val="2ED24233"/>
    <w:rsid w:val="2EDAE1EE"/>
    <w:rsid w:val="2F0CD6A1"/>
    <w:rsid w:val="2F1A5FC2"/>
    <w:rsid w:val="2F65203B"/>
    <w:rsid w:val="2F66EFDB"/>
    <w:rsid w:val="2F69EA1E"/>
    <w:rsid w:val="2F6C7042"/>
    <w:rsid w:val="2F747584"/>
    <w:rsid w:val="2FA3A304"/>
    <w:rsid w:val="2FA76F4E"/>
    <w:rsid w:val="2FD7D5CD"/>
    <w:rsid w:val="2FF458FD"/>
    <w:rsid w:val="2FF847F4"/>
    <w:rsid w:val="300B33FB"/>
    <w:rsid w:val="30116467"/>
    <w:rsid w:val="303FF6DE"/>
    <w:rsid w:val="30454333"/>
    <w:rsid w:val="304CCC77"/>
    <w:rsid w:val="304F0FC2"/>
    <w:rsid w:val="305AC441"/>
    <w:rsid w:val="305E203E"/>
    <w:rsid w:val="30679F73"/>
    <w:rsid w:val="308107E9"/>
    <w:rsid w:val="308161B5"/>
    <w:rsid w:val="30897789"/>
    <w:rsid w:val="308F493B"/>
    <w:rsid w:val="309232C9"/>
    <w:rsid w:val="30A001B8"/>
    <w:rsid w:val="30AD5A1C"/>
    <w:rsid w:val="30B39ECF"/>
    <w:rsid w:val="30B3DD28"/>
    <w:rsid w:val="30BA261D"/>
    <w:rsid w:val="30C37DF0"/>
    <w:rsid w:val="30C488D2"/>
    <w:rsid w:val="30D1B1D6"/>
    <w:rsid w:val="30D4C70C"/>
    <w:rsid w:val="30D976B1"/>
    <w:rsid w:val="3104DE53"/>
    <w:rsid w:val="3122AA55"/>
    <w:rsid w:val="3129043C"/>
    <w:rsid w:val="31290F4A"/>
    <w:rsid w:val="3138C592"/>
    <w:rsid w:val="31547EEC"/>
    <w:rsid w:val="315FF766"/>
    <w:rsid w:val="316C8087"/>
    <w:rsid w:val="31857D3D"/>
    <w:rsid w:val="318DD9CE"/>
    <w:rsid w:val="31B3647B"/>
    <w:rsid w:val="31B72D78"/>
    <w:rsid w:val="31C0E55F"/>
    <w:rsid w:val="31C30F74"/>
    <w:rsid w:val="31CAEC13"/>
    <w:rsid w:val="31CB29BC"/>
    <w:rsid w:val="31D7A88D"/>
    <w:rsid w:val="31D9741A"/>
    <w:rsid w:val="31DBB967"/>
    <w:rsid w:val="32156A3F"/>
    <w:rsid w:val="32319656"/>
    <w:rsid w:val="3237C832"/>
    <w:rsid w:val="32457CE3"/>
    <w:rsid w:val="3245A384"/>
    <w:rsid w:val="324FF45B"/>
    <w:rsid w:val="32531842"/>
    <w:rsid w:val="3256CDF4"/>
    <w:rsid w:val="3258233A"/>
    <w:rsid w:val="32609B8D"/>
    <w:rsid w:val="326FC5E1"/>
    <w:rsid w:val="3270E053"/>
    <w:rsid w:val="32727F56"/>
    <w:rsid w:val="3273039C"/>
    <w:rsid w:val="3292A4C7"/>
    <w:rsid w:val="32A6A564"/>
    <w:rsid w:val="32B2DF18"/>
    <w:rsid w:val="32BE7AB6"/>
    <w:rsid w:val="32C866F5"/>
    <w:rsid w:val="32CCD3A8"/>
    <w:rsid w:val="32E00871"/>
    <w:rsid w:val="32E2594C"/>
    <w:rsid w:val="32E62516"/>
    <w:rsid w:val="32F30366"/>
    <w:rsid w:val="33016941"/>
    <w:rsid w:val="3306A520"/>
    <w:rsid w:val="33186034"/>
    <w:rsid w:val="33499027"/>
    <w:rsid w:val="334DDBF3"/>
    <w:rsid w:val="334EF7C2"/>
    <w:rsid w:val="3367B0B2"/>
    <w:rsid w:val="33960FE7"/>
    <w:rsid w:val="33964D15"/>
    <w:rsid w:val="3397DE72"/>
    <w:rsid w:val="33AB2801"/>
    <w:rsid w:val="33B2632C"/>
    <w:rsid w:val="33C13C60"/>
    <w:rsid w:val="33CB9251"/>
    <w:rsid w:val="33CD418C"/>
    <w:rsid w:val="33D46A78"/>
    <w:rsid w:val="33D814EA"/>
    <w:rsid w:val="33EE19CD"/>
    <w:rsid w:val="33EEE8A3"/>
    <w:rsid w:val="33F94602"/>
    <w:rsid w:val="340CB0B4"/>
    <w:rsid w:val="34158878"/>
    <w:rsid w:val="341BA708"/>
    <w:rsid w:val="341C973E"/>
    <w:rsid w:val="341CC49F"/>
    <w:rsid w:val="342B2ADF"/>
    <w:rsid w:val="342BF3F3"/>
    <w:rsid w:val="345D9D22"/>
    <w:rsid w:val="34671D00"/>
    <w:rsid w:val="347C4E06"/>
    <w:rsid w:val="347F9B8D"/>
    <w:rsid w:val="3481D5A9"/>
    <w:rsid w:val="348A5877"/>
    <w:rsid w:val="34986CFF"/>
    <w:rsid w:val="349F2CA4"/>
    <w:rsid w:val="34BAD56E"/>
    <w:rsid w:val="34C807FA"/>
    <w:rsid w:val="34C850BA"/>
    <w:rsid w:val="34CF7408"/>
    <w:rsid w:val="34D65968"/>
    <w:rsid w:val="34DC0726"/>
    <w:rsid w:val="34DE292D"/>
    <w:rsid w:val="34E0A777"/>
    <w:rsid w:val="34EAE31D"/>
    <w:rsid w:val="34F39D92"/>
    <w:rsid w:val="3507C663"/>
    <w:rsid w:val="35144CD8"/>
    <w:rsid w:val="352CD76F"/>
    <w:rsid w:val="35447767"/>
    <w:rsid w:val="3569089E"/>
    <w:rsid w:val="356F565D"/>
    <w:rsid w:val="35711098"/>
    <w:rsid w:val="359988B1"/>
    <w:rsid w:val="3599A26C"/>
    <w:rsid w:val="359B6183"/>
    <w:rsid w:val="35AB1AB6"/>
    <w:rsid w:val="35E30105"/>
    <w:rsid w:val="35E91DFA"/>
    <w:rsid w:val="360B5C3C"/>
    <w:rsid w:val="36198765"/>
    <w:rsid w:val="364B823E"/>
    <w:rsid w:val="366FA176"/>
    <w:rsid w:val="368D5197"/>
    <w:rsid w:val="369616F9"/>
    <w:rsid w:val="36B2A04C"/>
    <w:rsid w:val="36C0CF90"/>
    <w:rsid w:val="36C18155"/>
    <w:rsid w:val="36CBD4F4"/>
    <w:rsid w:val="36CD1844"/>
    <w:rsid w:val="36D04ECF"/>
    <w:rsid w:val="36D0736B"/>
    <w:rsid w:val="36FC41FD"/>
    <w:rsid w:val="371709F6"/>
    <w:rsid w:val="372FF875"/>
    <w:rsid w:val="373208B4"/>
    <w:rsid w:val="3735D12A"/>
    <w:rsid w:val="374A188A"/>
    <w:rsid w:val="3757F832"/>
    <w:rsid w:val="37879DB9"/>
    <w:rsid w:val="379DE35C"/>
    <w:rsid w:val="379EEDDD"/>
    <w:rsid w:val="37AEA650"/>
    <w:rsid w:val="37B5409D"/>
    <w:rsid w:val="37E5A851"/>
    <w:rsid w:val="37EE3F0C"/>
    <w:rsid w:val="37F2FD13"/>
    <w:rsid w:val="38010949"/>
    <w:rsid w:val="38027EFC"/>
    <w:rsid w:val="382FCC27"/>
    <w:rsid w:val="383A2D97"/>
    <w:rsid w:val="383B3CA1"/>
    <w:rsid w:val="383F502D"/>
    <w:rsid w:val="38460C41"/>
    <w:rsid w:val="3846F526"/>
    <w:rsid w:val="384BDC67"/>
    <w:rsid w:val="38570904"/>
    <w:rsid w:val="3866C86F"/>
    <w:rsid w:val="3876610F"/>
    <w:rsid w:val="3886F69C"/>
    <w:rsid w:val="3890728D"/>
    <w:rsid w:val="38A726E6"/>
    <w:rsid w:val="38BCEC78"/>
    <w:rsid w:val="38C3E16E"/>
    <w:rsid w:val="38C98662"/>
    <w:rsid w:val="38CC204C"/>
    <w:rsid w:val="38DE6E67"/>
    <w:rsid w:val="38E4828D"/>
    <w:rsid w:val="391446CC"/>
    <w:rsid w:val="39420966"/>
    <w:rsid w:val="3958A71E"/>
    <w:rsid w:val="39797A44"/>
    <w:rsid w:val="398E4A79"/>
    <w:rsid w:val="399652E9"/>
    <w:rsid w:val="399ED690"/>
    <w:rsid w:val="39A56A61"/>
    <w:rsid w:val="39A6F53E"/>
    <w:rsid w:val="39AC7E32"/>
    <w:rsid w:val="39B124DA"/>
    <w:rsid w:val="39BA60FE"/>
    <w:rsid w:val="39C1ACD9"/>
    <w:rsid w:val="39C9829B"/>
    <w:rsid w:val="39CD3F93"/>
    <w:rsid w:val="39CEC7BC"/>
    <w:rsid w:val="39D0178E"/>
    <w:rsid w:val="39D63883"/>
    <w:rsid w:val="39D7D9B4"/>
    <w:rsid w:val="39F3A027"/>
    <w:rsid w:val="39F97FA3"/>
    <w:rsid w:val="3A04DAFB"/>
    <w:rsid w:val="3A0AF2B0"/>
    <w:rsid w:val="3A275DF4"/>
    <w:rsid w:val="3A2F0DD6"/>
    <w:rsid w:val="3A4C7A73"/>
    <w:rsid w:val="3A50FBAD"/>
    <w:rsid w:val="3A5F1CAE"/>
    <w:rsid w:val="3A60F789"/>
    <w:rsid w:val="3A68E156"/>
    <w:rsid w:val="3A856B72"/>
    <w:rsid w:val="3AAB344B"/>
    <w:rsid w:val="3AF0075F"/>
    <w:rsid w:val="3AFEBB87"/>
    <w:rsid w:val="3B003721"/>
    <w:rsid w:val="3B014B43"/>
    <w:rsid w:val="3B08E9F7"/>
    <w:rsid w:val="3B1A74F9"/>
    <w:rsid w:val="3B2A1436"/>
    <w:rsid w:val="3B3408C9"/>
    <w:rsid w:val="3B3E8679"/>
    <w:rsid w:val="3B67014C"/>
    <w:rsid w:val="3B69693C"/>
    <w:rsid w:val="3B700E8E"/>
    <w:rsid w:val="3B73ADD1"/>
    <w:rsid w:val="3B8E3FC7"/>
    <w:rsid w:val="3B9960DB"/>
    <w:rsid w:val="3BAE6D5B"/>
    <w:rsid w:val="3BB255D5"/>
    <w:rsid w:val="3BC03AC5"/>
    <w:rsid w:val="3BC0E570"/>
    <w:rsid w:val="3BE137BE"/>
    <w:rsid w:val="3BEC5F29"/>
    <w:rsid w:val="3BF8502A"/>
    <w:rsid w:val="3C00C07A"/>
    <w:rsid w:val="3C0A7EB9"/>
    <w:rsid w:val="3C1BC191"/>
    <w:rsid w:val="3C2AD2F3"/>
    <w:rsid w:val="3C2E5D38"/>
    <w:rsid w:val="3C3C2CAF"/>
    <w:rsid w:val="3C4E1D51"/>
    <w:rsid w:val="3C623DAA"/>
    <w:rsid w:val="3C7521FE"/>
    <w:rsid w:val="3C837530"/>
    <w:rsid w:val="3C84FC1E"/>
    <w:rsid w:val="3C948672"/>
    <w:rsid w:val="3CA52F5B"/>
    <w:rsid w:val="3CD0DF83"/>
    <w:rsid w:val="3CD67752"/>
    <w:rsid w:val="3CD7AFA4"/>
    <w:rsid w:val="3CDFA7ED"/>
    <w:rsid w:val="3CE9A410"/>
    <w:rsid w:val="3CF76401"/>
    <w:rsid w:val="3CFFE9B2"/>
    <w:rsid w:val="3D2DE178"/>
    <w:rsid w:val="3D3633E4"/>
    <w:rsid w:val="3D37D56B"/>
    <w:rsid w:val="3D38ED8E"/>
    <w:rsid w:val="3D573E97"/>
    <w:rsid w:val="3D5C5BD4"/>
    <w:rsid w:val="3D5FBCDE"/>
    <w:rsid w:val="3D61B686"/>
    <w:rsid w:val="3D8D6624"/>
    <w:rsid w:val="3D95D203"/>
    <w:rsid w:val="3DA1304B"/>
    <w:rsid w:val="3DAC6A4D"/>
    <w:rsid w:val="3DB2A9DC"/>
    <w:rsid w:val="3DB30C36"/>
    <w:rsid w:val="3DB3CFB4"/>
    <w:rsid w:val="3DB6D6AB"/>
    <w:rsid w:val="3DC2998B"/>
    <w:rsid w:val="3DC50F17"/>
    <w:rsid w:val="3DF12CF3"/>
    <w:rsid w:val="3E157A89"/>
    <w:rsid w:val="3E212A22"/>
    <w:rsid w:val="3E2697A1"/>
    <w:rsid w:val="3E33F082"/>
    <w:rsid w:val="3E456D34"/>
    <w:rsid w:val="3E48FC4C"/>
    <w:rsid w:val="3E5B0910"/>
    <w:rsid w:val="3E8C41DD"/>
    <w:rsid w:val="3E8E247C"/>
    <w:rsid w:val="3E96DC66"/>
    <w:rsid w:val="3EA203C4"/>
    <w:rsid w:val="3EA2CE53"/>
    <w:rsid w:val="3EC2456E"/>
    <w:rsid w:val="3EC8323D"/>
    <w:rsid w:val="3EC8625C"/>
    <w:rsid w:val="3ECFDEE0"/>
    <w:rsid w:val="3EDA9C00"/>
    <w:rsid w:val="3EDDB922"/>
    <w:rsid w:val="3EE38784"/>
    <w:rsid w:val="3EE3C163"/>
    <w:rsid w:val="3EEDEABF"/>
    <w:rsid w:val="3EF17A0B"/>
    <w:rsid w:val="3F047A20"/>
    <w:rsid w:val="3F1950E7"/>
    <w:rsid w:val="3F2265D9"/>
    <w:rsid w:val="3F24007C"/>
    <w:rsid w:val="3F241184"/>
    <w:rsid w:val="3F3867FC"/>
    <w:rsid w:val="3F4321A8"/>
    <w:rsid w:val="3F4BEE24"/>
    <w:rsid w:val="3F6259FE"/>
    <w:rsid w:val="3F66F995"/>
    <w:rsid w:val="3F6BF888"/>
    <w:rsid w:val="3F6CE5E4"/>
    <w:rsid w:val="3F78D99E"/>
    <w:rsid w:val="3F8FCDEA"/>
    <w:rsid w:val="3F9A0CF7"/>
    <w:rsid w:val="3FA2181C"/>
    <w:rsid w:val="3FA945DE"/>
    <w:rsid w:val="3FBFFFF6"/>
    <w:rsid w:val="3FC728EB"/>
    <w:rsid w:val="3FDC9A69"/>
    <w:rsid w:val="3FE6FD8F"/>
    <w:rsid w:val="3FF6D9F0"/>
    <w:rsid w:val="3FFAE776"/>
    <w:rsid w:val="4001CBC3"/>
    <w:rsid w:val="40219ADE"/>
    <w:rsid w:val="402CC6A2"/>
    <w:rsid w:val="403D6DC2"/>
    <w:rsid w:val="40417199"/>
    <w:rsid w:val="40544163"/>
    <w:rsid w:val="4083A338"/>
    <w:rsid w:val="408FD40B"/>
    <w:rsid w:val="40A30C21"/>
    <w:rsid w:val="40A4B5D6"/>
    <w:rsid w:val="40B4448C"/>
    <w:rsid w:val="40CFCC68"/>
    <w:rsid w:val="40D20B5F"/>
    <w:rsid w:val="40DDAD22"/>
    <w:rsid w:val="40E0014B"/>
    <w:rsid w:val="410119E8"/>
    <w:rsid w:val="410C929D"/>
    <w:rsid w:val="410F09D9"/>
    <w:rsid w:val="4118BF4B"/>
    <w:rsid w:val="411A4E9A"/>
    <w:rsid w:val="411BD605"/>
    <w:rsid w:val="41577167"/>
    <w:rsid w:val="415B1813"/>
    <w:rsid w:val="415C2F7B"/>
    <w:rsid w:val="4174A028"/>
    <w:rsid w:val="41877AE2"/>
    <w:rsid w:val="4190A154"/>
    <w:rsid w:val="419FA871"/>
    <w:rsid w:val="41A17EEE"/>
    <w:rsid w:val="41B70F21"/>
    <w:rsid w:val="41C77159"/>
    <w:rsid w:val="41E068F8"/>
    <w:rsid w:val="41E7DE65"/>
    <w:rsid w:val="41F02AE7"/>
    <w:rsid w:val="420E09BC"/>
    <w:rsid w:val="4227158A"/>
    <w:rsid w:val="4227F445"/>
    <w:rsid w:val="4230CBD6"/>
    <w:rsid w:val="423A6206"/>
    <w:rsid w:val="423FAEA1"/>
    <w:rsid w:val="42560E41"/>
    <w:rsid w:val="4259E369"/>
    <w:rsid w:val="428E6961"/>
    <w:rsid w:val="428F6398"/>
    <w:rsid w:val="429C91A1"/>
    <w:rsid w:val="42A031C6"/>
    <w:rsid w:val="42A7D3CF"/>
    <w:rsid w:val="42B4B3B5"/>
    <w:rsid w:val="42BA8756"/>
    <w:rsid w:val="42BD9DFD"/>
    <w:rsid w:val="42C0E8F6"/>
    <w:rsid w:val="42C6194C"/>
    <w:rsid w:val="42DA3D10"/>
    <w:rsid w:val="42E608F3"/>
    <w:rsid w:val="42FA99AE"/>
    <w:rsid w:val="42FD4593"/>
    <w:rsid w:val="42FFB2E9"/>
    <w:rsid w:val="4332B797"/>
    <w:rsid w:val="43361C8F"/>
    <w:rsid w:val="4347386D"/>
    <w:rsid w:val="4350C93A"/>
    <w:rsid w:val="4352665B"/>
    <w:rsid w:val="435BA283"/>
    <w:rsid w:val="436462EE"/>
    <w:rsid w:val="436BED43"/>
    <w:rsid w:val="43806211"/>
    <w:rsid w:val="43890FB5"/>
    <w:rsid w:val="438F002F"/>
    <w:rsid w:val="43912540"/>
    <w:rsid w:val="43A8C065"/>
    <w:rsid w:val="43B12F47"/>
    <w:rsid w:val="43C3808A"/>
    <w:rsid w:val="43ED7054"/>
    <w:rsid w:val="441A7D3E"/>
    <w:rsid w:val="443F4F59"/>
    <w:rsid w:val="444B332D"/>
    <w:rsid w:val="445AAFAD"/>
    <w:rsid w:val="447BE7E1"/>
    <w:rsid w:val="44830C27"/>
    <w:rsid w:val="4491F0B3"/>
    <w:rsid w:val="44A4E2E1"/>
    <w:rsid w:val="44B5EE30"/>
    <w:rsid w:val="44B8A25E"/>
    <w:rsid w:val="44BA5AA1"/>
    <w:rsid w:val="44ED2A4E"/>
    <w:rsid w:val="44F72A08"/>
    <w:rsid w:val="451ECEE1"/>
    <w:rsid w:val="45332159"/>
    <w:rsid w:val="4538DBEC"/>
    <w:rsid w:val="454625E1"/>
    <w:rsid w:val="4558B461"/>
    <w:rsid w:val="455DCDE2"/>
    <w:rsid w:val="455E6587"/>
    <w:rsid w:val="456A319E"/>
    <w:rsid w:val="456EE21D"/>
    <w:rsid w:val="45759C47"/>
    <w:rsid w:val="45979CA0"/>
    <w:rsid w:val="459C27BE"/>
    <w:rsid w:val="459DD3DB"/>
    <w:rsid w:val="45BF3053"/>
    <w:rsid w:val="45CD0612"/>
    <w:rsid w:val="45CDD705"/>
    <w:rsid w:val="45E018B3"/>
    <w:rsid w:val="45E91F1C"/>
    <w:rsid w:val="45F53B92"/>
    <w:rsid w:val="45FA9ED7"/>
    <w:rsid w:val="460023D7"/>
    <w:rsid w:val="46093B5C"/>
    <w:rsid w:val="461266E2"/>
    <w:rsid w:val="4618D1D3"/>
    <w:rsid w:val="462DD672"/>
    <w:rsid w:val="463E89C7"/>
    <w:rsid w:val="4645BEE9"/>
    <w:rsid w:val="464C6620"/>
    <w:rsid w:val="464F56D3"/>
    <w:rsid w:val="4661DC72"/>
    <w:rsid w:val="4670CD21"/>
    <w:rsid w:val="4690DC62"/>
    <w:rsid w:val="4698F192"/>
    <w:rsid w:val="46A67571"/>
    <w:rsid w:val="46B13528"/>
    <w:rsid w:val="46C60E8E"/>
    <w:rsid w:val="46D242B2"/>
    <w:rsid w:val="46EF35F6"/>
    <w:rsid w:val="4700BF73"/>
    <w:rsid w:val="4701D9B0"/>
    <w:rsid w:val="47093FFA"/>
    <w:rsid w:val="471A534D"/>
    <w:rsid w:val="471A5B39"/>
    <w:rsid w:val="471D9C5B"/>
    <w:rsid w:val="471F019A"/>
    <w:rsid w:val="4731B802"/>
    <w:rsid w:val="4732968C"/>
    <w:rsid w:val="47760982"/>
    <w:rsid w:val="477EF36F"/>
    <w:rsid w:val="4789915C"/>
    <w:rsid w:val="47BAC425"/>
    <w:rsid w:val="47CE9796"/>
    <w:rsid w:val="47D27AA4"/>
    <w:rsid w:val="47DA5A28"/>
    <w:rsid w:val="47E54F21"/>
    <w:rsid w:val="47F3724A"/>
    <w:rsid w:val="48001519"/>
    <w:rsid w:val="48029D06"/>
    <w:rsid w:val="4823C7BF"/>
    <w:rsid w:val="48350FD6"/>
    <w:rsid w:val="48352857"/>
    <w:rsid w:val="4836CAA8"/>
    <w:rsid w:val="484E3833"/>
    <w:rsid w:val="4855D82B"/>
    <w:rsid w:val="485E131E"/>
    <w:rsid w:val="4868DD01"/>
    <w:rsid w:val="48704D76"/>
    <w:rsid w:val="48796065"/>
    <w:rsid w:val="487B6217"/>
    <w:rsid w:val="4892A6A2"/>
    <w:rsid w:val="48A23547"/>
    <w:rsid w:val="48A8C731"/>
    <w:rsid w:val="48A92D55"/>
    <w:rsid w:val="48AA9745"/>
    <w:rsid w:val="48ADD802"/>
    <w:rsid w:val="48B667B3"/>
    <w:rsid w:val="48BE6845"/>
    <w:rsid w:val="48BEFCA5"/>
    <w:rsid w:val="48D08EFD"/>
    <w:rsid w:val="48E42E4E"/>
    <w:rsid w:val="48F15EFA"/>
    <w:rsid w:val="49058A9C"/>
    <w:rsid w:val="4909B33B"/>
    <w:rsid w:val="49216CB3"/>
    <w:rsid w:val="4972ED69"/>
    <w:rsid w:val="49762A89"/>
    <w:rsid w:val="497B4441"/>
    <w:rsid w:val="49847C49"/>
    <w:rsid w:val="49863FE0"/>
    <w:rsid w:val="4989D36A"/>
    <w:rsid w:val="49916A30"/>
    <w:rsid w:val="49937083"/>
    <w:rsid w:val="499D5BA7"/>
    <w:rsid w:val="49AB7484"/>
    <w:rsid w:val="49BA1D81"/>
    <w:rsid w:val="49C36730"/>
    <w:rsid w:val="49D9B97F"/>
    <w:rsid w:val="49EC88AF"/>
    <w:rsid w:val="49F6FC3C"/>
    <w:rsid w:val="4A029CA3"/>
    <w:rsid w:val="4A052854"/>
    <w:rsid w:val="4A0E19B1"/>
    <w:rsid w:val="4A18A884"/>
    <w:rsid w:val="4A280B8F"/>
    <w:rsid w:val="4A574EE9"/>
    <w:rsid w:val="4A647B43"/>
    <w:rsid w:val="4A75BF06"/>
    <w:rsid w:val="4A7870EB"/>
    <w:rsid w:val="4A792C99"/>
    <w:rsid w:val="4A83EF61"/>
    <w:rsid w:val="4AA2DB4C"/>
    <w:rsid w:val="4AA5B489"/>
    <w:rsid w:val="4AA8B333"/>
    <w:rsid w:val="4AB538D9"/>
    <w:rsid w:val="4ABB29CE"/>
    <w:rsid w:val="4ACD6095"/>
    <w:rsid w:val="4AE91104"/>
    <w:rsid w:val="4AF76672"/>
    <w:rsid w:val="4AFB1B45"/>
    <w:rsid w:val="4B11FAEA"/>
    <w:rsid w:val="4B145C7F"/>
    <w:rsid w:val="4B1D1C4B"/>
    <w:rsid w:val="4B235E1C"/>
    <w:rsid w:val="4B24C79C"/>
    <w:rsid w:val="4B2863C7"/>
    <w:rsid w:val="4B36C453"/>
    <w:rsid w:val="4B61608B"/>
    <w:rsid w:val="4B6786F7"/>
    <w:rsid w:val="4B7B8E8A"/>
    <w:rsid w:val="4B7F269A"/>
    <w:rsid w:val="4B8619DF"/>
    <w:rsid w:val="4B862CDE"/>
    <w:rsid w:val="4BA0CEC5"/>
    <w:rsid w:val="4BA9EBE0"/>
    <w:rsid w:val="4BBA22DE"/>
    <w:rsid w:val="4C1E0119"/>
    <w:rsid w:val="4C2B926E"/>
    <w:rsid w:val="4C2FACD6"/>
    <w:rsid w:val="4C55CDB4"/>
    <w:rsid w:val="4C7C5A95"/>
    <w:rsid w:val="4C7FBDB7"/>
    <w:rsid w:val="4C8F6EFB"/>
    <w:rsid w:val="4C94B30B"/>
    <w:rsid w:val="4CA66656"/>
    <w:rsid w:val="4CAB6C43"/>
    <w:rsid w:val="4CBFFA6E"/>
    <w:rsid w:val="4CE92CE2"/>
    <w:rsid w:val="4CF0C58D"/>
    <w:rsid w:val="4CFC9FD0"/>
    <w:rsid w:val="4D001DE6"/>
    <w:rsid w:val="4D33BFDD"/>
    <w:rsid w:val="4D439D7A"/>
    <w:rsid w:val="4D44DC96"/>
    <w:rsid w:val="4D5E9741"/>
    <w:rsid w:val="4D686FD3"/>
    <w:rsid w:val="4D6FD65E"/>
    <w:rsid w:val="4D788AD8"/>
    <w:rsid w:val="4DB113F0"/>
    <w:rsid w:val="4DC6C3BD"/>
    <w:rsid w:val="4DD15EA2"/>
    <w:rsid w:val="4DE15E5F"/>
    <w:rsid w:val="4DE57C99"/>
    <w:rsid w:val="4DF1567B"/>
    <w:rsid w:val="4E00B5B5"/>
    <w:rsid w:val="4E252B9D"/>
    <w:rsid w:val="4E26ABAA"/>
    <w:rsid w:val="4E44C931"/>
    <w:rsid w:val="4E563306"/>
    <w:rsid w:val="4E60F612"/>
    <w:rsid w:val="4E78EDEA"/>
    <w:rsid w:val="4ECA9357"/>
    <w:rsid w:val="4ED20CCF"/>
    <w:rsid w:val="4ED617B0"/>
    <w:rsid w:val="4F0A1E01"/>
    <w:rsid w:val="4F18E60C"/>
    <w:rsid w:val="4F2D5233"/>
    <w:rsid w:val="4F610A84"/>
    <w:rsid w:val="4F6BBCC3"/>
    <w:rsid w:val="4F6CF4D3"/>
    <w:rsid w:val="4FAD35D2"/>
    <w:rsid w:val="4FB20FC0"/>
    <w:rsid w:val="4FC305A8"/>
    <w:rsid w:val="4FC4A4D5"/>
    <w:rsid w:val="4FC4E366"/>
    <w:rsid w:val="4FE4ED81"/>
    <w:rsid w:val="500537F0"/>
    <w:rsid w:val="501CF682"/>
    <w:rsid w:val="502AE90C"/>
    <w:rsid w:val="5051FDF5"/>
    <w:rsid w:val="5056738F"/>
    <w:rsid w:val="50694CC3"/>
    <w:rsid w:val="507CB540"/>
    <w:rsid w:val="50A644E8"/>
    <w:rsid w:val="50AD6AD6"/>
    <w:rsid w:val="50D42D92"/>
    <w:rsid w:val="50D60F02"/>
    <w:rsid w:val="50E4E8FF"/>
    <w:rsid w:val="50F179ED"/>
    <w:rsid w:val="510A78A3"/>
    <w:rsid w:val="51129CF5"/>
    <w:rsid w:val="511E5EBB"/>
    <w:rsid w:val="512B5F03"/>
    <w:rsid w:val="5135B696"/>
    <w:rsid w:val="51385677"/>
    <w:rsid w:val="513922DE"/>
    <w:rsid w:val="5154FE20"/>
    <w:rsid w:val="5173895E"/>
    <w:rsid w:val="51754655"/>
    <w:rsid w:val="517C6241"/>
    <w:rsid w:val="51815D13"/>
    <w:rsid w:val="51C28ED0"/>
    <w:rsid w:val="51CB238A"/>
    <w:rsid w:val="51FB7439"/>
    <w:rsid w:val="51FBE746"/>
    <w:rsid w:val="520674C1"/>
    <w:rsid w:val="52107F6F"/>
    <w:rsid w:val="52130BD1"/>
    <w:rsid w:val="521FEC7A"/>
    <w:rsid w:val="522EA7CD"/>
    <w:rsid w:val="5240037A"/>
    <w:rsid w:val="52566E44"/>
    <w:rsid w:val="5257093E"/>
    <w:rsid w:val="52729773"/>
    <w:rsid w:val="5280E971"/>
    <w:rsid w:val="5293DB46"/>
    <w:rsid w:val="52A3E06F"/>
    <w:rsid w:val="52A6FCFB"/>
    <w:rsid w:val="52A7E1E5"/>
    <w:rsid w:val="52B59422"/>
    <w:rsid w:val="52B85076"/>
    <w:rsid w:val="52C1527B"/>
    <w:rsid w:val="52C4F113"/>
    <w:rsid w:val="52C6E47D"/>
    <w:rsid w:val="52CDDDA0"/>
    <w:rsid w:val="52E5758A"/>
    <w:rsid w:val="52FEE8CD"/>
    <w:rsid w:val="531DD245"/>
    <w:rsid w:val="5323A25C"/>
    <w:rsid w:val="5333381D"/>
    <w:rsid w:val="53344121"/>
    <w:rsid w:val="53483940"/>
    <w:rsid w:val="534E3980"/>
    <w:rsid w:val="534E47B1"/>
    <w:rsid w:val="53517164"/>
    <w:rsid w:val="5357FD5E"/>
    <w:rsid w:val="535A0186"/>
    <w:rsid w:val="536381F3"/>
    <w:rsid w:val="536813C7"/>
    <w:rsid w:val="537CC694"/>
    <w:rsid w:val="5387C669"/>
    <w:rsid w:val="5388EA2A"/>
    <w:rsid w:val="53913189"/>
    <w:rsid w:val="53A4598E"/>
    <w:rsid w:val="53A8FE59"/>
    <w:rsid w:val="53AAB660"/>
    <w:rsid w:val="53BE63F5"/>
    <w:rsid w:val="53C2332E"/>
    <w:rsid w:val="53C9BCA6"/>
    <w:rsid w:val="53D46CA8"/>
    <w:rsid w:val="53D6C753"/>
    <w:rsid w:val="53E58126"/>
    <w:rsid w:val="5408D802"/>
    <w:rsid w:val="540CC787"/>
    <w:rsid w:val="54247DC0"/>
    <w:rsid w:val="542E96BF"/>
    <w:rsid w:val="542FE68F"/>
    <w:rsid w:val="543E998E"/>
    <w:rsid w:val="54400EF0"/>
    <w:rsid w:val="544586FE"/>
    <w:rsid w:val="544FDF58"/>
    <w:rsid w:val="548C66C1"/>
    <w:rsid w:val="54E03B51"/>
    <w:rsid w:val="54E14E3D"/>
    <w:rsid w:val="55232F34"/>
    <w:rsid w:val="552C1F37"/>
    <w:rsid w:val="552DCF6E"/>
    <w:rsid w:val="553FD7E0"/>
    <w:rsid w:val="5540C124"/>
    <w:rsid w:val="5547FFF2"/>
    <w:rsid w:val="55599026"/>
    <w:rsid w:val="555DD09B"/>
    <w:rsid w:val="55657EEB"/>
    <w:rsid w:val="55754714"/>
    <w:rsid w:val="5584BDF1"/>
    <w:rsid w:val="559580D1"/>
    <w:rsid w:val="559D114D"/>
    <w:rsid w:val="55B3490C"/>
    <w:rsid w:val="55B7F116"/>
    <w:rsid w:val="55CC0EC1"/>
    <w:rsid w:val="55CFBD1B"/>
    <w:rsid w:val="55D30FDA"/>
    <w:rsid w:val="55DD5EF2"/>
    <w:rsid w:val="55E58978"/>
    <w:rsid w:val="55E6C072"/>
    <w:rsid w:val="55FC5B00"/>
    <w:rsid w:val="5609049F"/>
    <w:rsid w:val="5617AC9D"/>
    <w:rsid w:val="561BEF31"/>
    <w:rsid w:val="562E5723"/>
    <w:rsid w:val="56768E18"/>
    <w:rsid w:val="56779FA9"/>
    <w:rsid w:val="5678E387"/>
    <w:rsid w:val="56952F63"/>
    <w:rsid w:val="569D6B0F"/>
    <w:rsid w:val="56A21C8B"/>
    <w:rsid w:val="56AA53D3"/>
    <w:rsid w:val="56C03A3B"/>
    <w:rsid w:val="56D0751E"/>
    <w:rsid w:val="571DCB1A"/>
    <w:rsid w:val="573E8DFB"/>
    <w:rsid w:val="5747E613"/>
    <w:rsid w:val="574D7A16"/>
    <w:rsid w:val="575B997F"/>
    <w:rsid w:val="57953BDD"/>
    <w:rsid w:val="5795C2EC"/>
    <w:rsid w:val="579B74DD"/>
    <w:rsid w:val="579E0EEA"/>
    <w:rsid w:val="57AB7FB2"/>
    <w:rsid w:val="57B0DF52"/>
    <w:rsid w:val="57C40DCE"/>
    <w:rsid w:val="57C7075D"/>
    <w:rsid w:val="57D3D0D6"/>
    <w:rsid w:val="57D8B825"/>
    <w:rsid w:val="57E35E91"/>
    <w:rsid w:val="57F49A6C"/>
    <w:rsid w:val="58047915"/>
    <w:rsid w:val="5818F107"/>
    <w:rsid w:val="582D72A9"/>
    <w:rsid w:val="584F4266"/>
    <w:rsid w:val="58551651"/>
    <w:rsid w:val="5860777B"/>
    <w:rsid w:val="58642888"/>
    <w:rsid w:val="5868CF60"/>
    <w:rsid w:val="5878BDD7"/>
    <w:rsid w:val="587B715F"/>
    <w:rsid w:val="587FC3CB"/>
    <w:rsid w:val="58892C71"/>
    <w:rsid w:val="5894F03C"/>
    <w:rsid w:val="58B0DB06"/>
    <w:rsid w:val="58BCF60C"/>
    <w:rsid w:val="58CB7678"/>
    <w:rsid w:val="58D99682"/>
    <w:rsid w:val="58DB67D5"/>
    <w:rsid w:val="58E2C2DB"/>
    <w:rsid w:val="58EFB7AF"/>
    <w:rsid w:val="58F466DB"/>
    <w:rsid w:val="58F52A20"/>
    <w:rsid w:val="58F969CE"/>
    <w:rsid w:val="590C92AD"/>
    <w:rsid w:val="5925B306"/>
    <w:rsid w:val="59383B64"/>
    <w:rsid w:val="594CE253"/>
    <w:rsid w:val="594E96E6"/>
    <w:rsid w:val="59646043"/>
    <w:rsid w:val="596FEA0F"/>
    <w:rsid w:val="597E0068"/>
    <w:rsid w:val="598F48AD"/>
    <w:rsid w:val="59AAFA8F"/>
    <w:rsid w:val="59CC1787"/>
    <w:rsid w:val="59CD76FD"/>
    <w:rsid w:val="59F85E49"/>
    <w:rsid w:val="5A06A6AA"/>
    <w:rsid w:val="5A0CAB8D"/>
    <w:rsid w:val="5A166377"/>
    <w:rsid w:val="5A192C4B"/>
    <w:rsid w:val="5A1F2E4B"/>
    <w:rsid w:val="5A395EDA"/>
    <w:rsid w:val="5A399692"/>
    <w:rsid w:val="5A3EA338"/>
    <w:rsid w:val="5A3FEBEB"/>
    <w:rsid w:val="5A57CC7C"/>
    <w:rsid w:val="5A7127DA"/>
    <w:rsid w:val="5A7DBCF9"/>
    <w:rsid w:val="5A997003"/>
    <w:rsid w:val="5ACA7661"/>
    <w:rsid w:val="5ACBED27"/>
    <w:rsid w:val="5AF6EEE2"/>
    <w:rsid w:val="5AF8A411"/>
    <w:rsid w:val="5B0B9789"/>
    <w:rsid w:val="5B0DC68C"/>
    <w:rsid w:val="5B376207"/>
    <w:rsid w:val="5B3EE054"/>
    <w:rsid w:val="5B42A156"/>
    <w:rsid w:val="5B42B8D2"/>
    <w:rsid w:val="5B4E7C60"/>
    <w:rsid w:val="5B53ED7C"/>
    <w:rsid w:val="5B73EF88"/>
    <w:rsid w:val="5B7889F7"/>
    <w:rsid w:val="5BABDB5A"/>
    <w:rsid w:val="5BAC1879"/>
    <w:rsid w:val="5BB40E40"/>
    <w:rsid w:val="5BD265A0"/>
    <w:rsid w:val="5BFBF6B7"/>
    <w:rsid w:val="5C0610A1"/>
    <w:rsid w:val="5C0EAFEB"/>
    <w:rsid w:val="5C30A7F1"/>
    <w:rsid w:val="5C356312"/>
    <w:rsid w:val="5C44CCEF"/>
    <w:rsid w:val="5C49EE9E"/>
    <w:rsid w:val="5C54D1C7"/>
    <w:rsid w:val="5C59131D"/>
    <w:rsid w:val="5C5AAA86"/>
    <w:rsid w:val="5C5AC462"/>
    <w:rsid w:val="5C73C379"/>
    <w:rsid w:val="5C75FF9A"/>
    <w:rsid w:val="5C78C359"/>
    <w:rsid w:val="5C8D15D1"/>
    <w:rsid w:val="5CAE12DE"/>
    <w:rsid w:val="5CBB4851"/>
    <w:rsid w:val="5CC62597"/>
    <w:rsid w:val="5CFBAAB8"/>
    <w:rsid w:val="5D08A83E"/>
    <w:rsid w:val="5D12C614"/>
    <w:rsid w:val="5D1E2F36"/>
    <w:rsid w:val="5D62E616"/>
    <w:rsid w:val="5D66C248"/>
    <w:rsid w:val="5D755B2C"/>
    <w:rsid w:val="5D7973FB"/>
    <w:rsid w:val="5D8B73BA"/>
    <w:rsid w:val="5D9D5A16"/>
    <w:rsid w:val="5DDF5871"/>
    <w:rsid w:val="5E0A322F"/>
    <w:rsid w:val="5E0DD7AF"/>
    <w:rsid w:val="5E129F40"/>
    <w:rsid w:val="5E25BE02"/>
    <w:rsid w:val="5E3C7A82"/>
    <w:rsid w:val="5E3CEA5B"/>
    <w:rsid w:val="5E4CEB54"/>
    <w:rsid w:val="5E57C9C4"/>
    <w:rsid w:val="5E5D308A"/>
    <w:rsid w:val="5E6129AC"/>
    <w:rsid w:val="5E74AF3D"/>
    <w:rsid w:val="5E8804D7"/>
    <w:rsid w:val="5E8E57A1"/>
    <w:rsid w:val="5E9023FE"/>
    <w:rsid w:val="5EC0A3A5"/>
    <w:rsid w:val="5EC6F6EB"/>
    <w:rsid w:val="5EC8A211"/>
    <w:rsid w:val="5ED022BF"/>
    <w:rsid w:val="5EF62FD5"/>
    <w:rsid w:val="5F03174A"/>
    <w:rsid w:val="5F0465DB"/>
    <w:rsid w:val="5F091562"/>
    <w:rsid w:val="5F0D36C0"/>
    <w:rsid w:val="5F2BBEBD"/>
    <w:rsid w:val="5F66289E"/>
    <w:rsid w:val="5F7D02D7"/>
    <w:rsid w:val="5F7E374B"/>
    <w:rsid w:val="5F7E6F2B"/>
    <w:rsid w:val="5F7F0102"/>
    <w:rsid w:val="5F82D4A7"/>
    <w:rsid w:val="5F858B10"/>
    <w:rsid w:val="5F993D87"/>
    <w:rsid w:val="5FA1CF0C"/>
    <w:rsid w:val="5FAA28D2"/>
    <w:rsid w:val="5FAFA8FA"/>
    <w:rsid w:val="5FB1E028"/>
    <w:rsid w:val="5FB64A27"/>
    <w:rsid w:val="5FB6DF78"/>
    <w:rsid w:val="5FF75B99"/>
    <w:rsid w:val="5FFC6EBA"/>
    <w:rsid w:val="600D8DB0"/>
    <w:rsid w:val="601EE463"/>
    <w:rsid w:val="601F1DB1"/>
    <w:rsid w:val="602B19FF"/>
    <w:rsid w:val="602B9E88"/>
    <w:rsid w:val="6038DDA5"/>
    <w:rsid w:val="603FD8C7"/>
    <w:rsid w:val="6050E3E2"/>
    <w:rsid w:val="6061759D"/>
    <w:rsid w:val="6079A277"/>
    <w:rsid w:val="60897EE9"/>
    <w:rsid w:val="60CDC818"/>
    <w:rsid w:val="60D29960"/>
    <w:rsid w:val="60E03744"/>
    <w:rsid w:val="60E2C1C7"/>
    <w:rsid w:val="60F0B6A7"/>
    <w:rsid w:val="60F93BF8"/>
    <w:rsid w:val="611C1263"/>
    <w:rsid w:val="6125C69C"/>
    <w:rsid w:val="61318C56"/>
    <w:rsid w:val="61332E2C"/>
    <w:rsid w:val="614B65CA"/>
    <w:rsid w:val="615C61DD"/>
    <w:rsid w:val="61602DE2"/>
    <w:rsid w:val="616E7CFC"/>
    <w:rsid w:val="61720C7A"/>
    <w:rsid w:val="61722727"/>
    <w:rsid w:val="61745748"/>
    <w:rsid w:val="6193060E"/>
    <w:rsid w:val="61AF35BF"/>
    <w:rsid w:val="61AF3BC4"/>
    <w:rsid w:val="61B1F3F3"/>
    <w:rsid w:val="61DC7731"/>
    <w:rsid w:val="61EBC19F"/>
    <w:rsid w:val="61F7EE30"/>
    <w:rsid w:val="6222304A"/>
    <w:rsid w:val="6222D0B1"/>
    <w:rsid w:val="62266BAE"/>
    <w:rsid w:val="622967BE"/>
    <w:rsid w:val="6238EF15"/>
    <w:rsid w:val="623E5F04"/>
    <w:rsid w:val="6240323B"/>
    <w:rsid w:val="6242CD5F"/>
    <w:rsid w:val="6245988F"/>
    <w:rsid w:val="627E9228"/>
    <w:rsid w:val="6284E041"/>
    <w:rsid w:val="62C8AA92"/>
    <w:rsid w:val="62D8FD82"/>
    <w:rsid w:val="6307FF51"/>
    <w:rsid w:val="632830B4"/>
    <w:rsid w:val="632ED861"/>
    <w:rsid w:val="63452C95"/>
    <w:rsid w:val="63500C2B"/>
    <w:rsid w:val="63543B0F"/>
    <w:rsid w:val="6359933E"/>
    <w:rsid w:val="6368883C"/>
    <w:rsid w:val="63754EBF"/>
    <w:rsid w:val="637A9D3E"/>
    <w:rsid w:val="638D70BA"/>
    <w:rsid w:val="63A97A89"/>
    <w:rsid w:val="63BEDC93"/>
    <w:rsid w:val="63C52ECF"/>
    <w:rsid w:val="63D1B153"/>
    <w:rsid w:val="63D4445F"/>
    <w:rsid w:val="63E65662"/>
    <w:rsid w:val="63EE2D20"/>
    <w:rsid w:val="641A6289"/>
    <w:rsid w:val="6425FEE8"/>
    <w:rsid w:val="6448191A"/>
    <w:rsid w:val="644FCE79"/>
    <w:rsid w:val="64597D48"/>
    <w:rsid w:val="646160A7"/>
    <w:rsid w:val="6474932C"/>
    <w:rsid w:val="6482734B"/>
    <w:rsid w:val="6488402E"/>
    <w:rsid w:val="64A51879"/>
    <w:rsid w:val="64A9AD3C"/>
    <w:rsid w:val="64AB9A34"/>
    <w:rsid w:val="64C1EFAB"/>
    <w:rsid w:val="64D4A0C1"/>
    <w:rsid w:val="64DE3F3C"/>
    <w:rsid w:val="64E77CC1"/>
    <w:rsid w:val="64F8E055"/>
    <w:rsid w:val="64FC07EC"/>
    <w:rsid w:val="6504B053"/>
    <w:rsid w:val="650EF2AC"/>
    <w:rsid w:val="651A5A4D"/>
    <w:rsid w:val="651D3529"/>
    <w:rsid w:val="6523B673"/>
    <w:rsid w:val="652B241C"/>
    <w:rsid w:val="65310C73"/>
    <w:rsid w:val="654D0137"/>
    <w:rsid w:val="654F6DBB"/>
    <w:rsid w:val="6578EA63"/>
    <w:rsid w:val="65A9E596"/>
    <w:rsid w:val="65B89AC3"/>
    <w:rsid w:val="65B99988"/>
    <w:rsid w:val="65BC3274"/>
    <w:rsid w:val="65CBAC4B"/>
    <w:rsid w:val="65CF69A6"/>
    <w:rsid w:val="65DCBDDB"/>
    <w:rsid w:val="65FDD09C"/>
    <w:rsid w:val="6600D196"/>
    <w:rsid w:val="66099CCB"/>
    <w:rsid w:val="661D4D5F"/>
    <w:rsid w:val="662ED3E3"/>
    <w:rsid w:val="666E65E0"/>
    <w:rsid w:val="667A4111"/>
    <w:rsid w:val="668D0A82"/>
    <w:rsid w:val="6693965F"/>
    <w:rsid w:val="669BDA80"/>
    <w:rsid w:val="66A1D1C5"/>
    <w:rsid w:val="66A4076C"/>
    <w:rsid w:val="66A8E70B"/>
    <w:rsid w:val="66AD16C3"/>
    <w:rsid w:val="66BF46AA"/>
    <w:rsid w:val="66C21CBF"/>
    <w:rsid w:val="66F94452"/>
    <w:rsid w:val="66FC2630"/>
    <w:rsid w:val="6705AD95"/>
    <w:rsid w:val="670ED5BB"/>
    <w:rsid w:val="670FBC0D"/>
    <w:rsid w:val="672B135F"/>
    <w:rsid w:val="672D0F4F"/>
    <w:rsid w:val="674A5B41"/>
    <w:rsid w:val="674AA1B9"/>
    <w:rsid w:val="6754660D"/>
    <w:rsid w:val="67634502"/>
    <w:rsid w:val="6770AC13"/>
    <w:rsid w:val="677C80F7"/>
    <w:rsid w:val="6780FF51"/>
    <w:rsid w:val="6783D453"/>
    <w:rsid w:val="67A89B48"/>
    <w:rsid w:val="67ADFCDC"/>
    <w:rsid w:val="67C5A94B"/>
    <w:rsid w:val="67D33672"/>
    <w:rsid w:val="67DB937B"/>
    <w:rsid w:val="67F68C79"/>
    <w:rsid w:val="67F73BF3"/>
    <w:rsid w:val="67FC148A"/>
    <w:rsid w:val="67FDD000"/>
    <w:rsid w:val="6804277A"/>
    <w:rsid w:val="680660A1"/>
    <w:rsid w:val="680AB07A"/>
    <w:rsid w:val="68104843"/>
    <w:rsid w:val="6829D3B0"/>
    <w:rsid w:val="684249CB"/>
    <w:rsid w:val="68430D95"/>
    <w:rsid w:val="68473F99"/>
    <w:rsid w:val="6859002A"/>
    <w:rsid w:val="685FADA8"/>
    <w:rsid w:val="686E933E"/>
    <w:rsid w:val="687AA5B3"/>
    <w:rsid w:val="687DDE00"/>
    <w:rsid w:val="688591EB"/>
    <w:rsid w:val="689209E0"/>
    <w:rsid w:val="68A58835"/>
    <w:rsid w:val="68B11A59"/>
    <w:rsid w:val="68BD5E39"/>
    <w:rsid w:val="68BDD13E"/>
    <w:rsid w:val="68C5D8E9"/>
    <w:rsid w:val="68CCFA15"/>
    <w:rsid w:val="68D27B95"/>
    <w:rsid w:val="68EDD3AC"/>
    <w:rsid w:val="68F44D15"/>
    <w:rsid w:val="692AD4D4"/>
    <w:rsid w:val="692DB269"/>
    <w:rsid w:val="6945F8B4"/>
    <w:rsid w:val="69468B19"/>
    <w:rsid w:val="69862782"/>
    <w:rsid w:val="6986B9FD"/>
    <w:rsid w:val="69BC4323"/>
    <w:rsid w:val="69C8BED0"/>
    <w:rsid w:val="69CE1A27"/>
    <w:rsid w:val="69D098DB"/>
    <w:rsid w:val="69D62FFA"/>
    <w:rsid w:val="69E7545A"/>
    <w:rsid w:val="69E7D5C3"/>
    <w:rsid w:val="69EBECF4"/>
    <w:rsid w:val="69F8F889"/>
    <w:rsid w:val="6A0C043C"/>
    <w:rsid w:val="6A378015"/>
    <w:rsid w:val="6A3A78DE"/>
    <w:rsid w:val="6A50FC30"/>
    <w:rsid w:val="6A51FFB1"/>
    <w:rsid w:val="6A635947"/>
    <w:rsid w:val="6A879353"/>
    <w:rsid w:val="6A8D44BA"/>
    <w:rsid w:val="6A8D75E7"/>
    <w:rsid w:val="6A9EED28"/>
    <w:rsid w:val="6AA5F513"/>
    <w:rsid w:val="6AC0A37E"/>
    <w:rsid w:val="6AC81B86"/>
    <w:rsid w:val="6ACA0CA0"/>
    <w:rsid w:val="6ACB5A66"/>
    <w:rsid w:val="6ADAA46E"/>
    <w:rsid w:val="6AF1316D"/>
    <w:rsid w:val="6AF624A7"/>
    <w:rsid w:val="6B10FFE8"/>
    <w:rsid w:val="6B34B623"/>
    <w:rsid w:val="6B5EA9B6"/>
    <w:rsid w:val="6B674FF6"/>
    <w:rsid w:val="6B78696D"/>
    <w:rsid w:val="6B813B54"/>
    <w:rsid w:val="6B93D8C0"/>
    <w:rsid w:val="6BB1CCF9"/>
    <w:rsid w:val="6BB24675"/>
    <w:rsid w:val="6BBDA025"/>
    <w:rsid w:val="6BDF9382"/>
    <w:rsid w:val="6BF23D87"/>
    <w:rsid w:val="6C05B70B"/>
    <w:rsid w:val="6C0DA21C"/>
    <w:rsid w:val="6C2A3F42"/>
    <w:rsid w:val="6C3CFE00"/>
    <w:rsid w:val="6C3E458B"/>
    <w:rsid w:val="6C46B8FE"/>
    <w:rsid w:val="6C559429"/>
    <w:rsid w:val="6C571CF1"/>
    <w:rsid w:val="6C584688"/>
    <w:rsid w:val="6C780F81"/>
    <w:rsid w:val="6C7D9976"/>
    <w:rsid w:val="6C80310D"/>
    <w:rsid w:val="6C844AE3"/>
    <w:rsid w:val="6C8E7DA2"/>
    <w:rsid w:val="6C97E1E0"/>
    <w:rsid w:val="6CABF23F"/>
    <w:rsid w:val="6CBE55F2"/>
    <w:rsid w:val="6CCDFE44"/>
    <w:rsid w:val="6CCE86DE"/>
    <w:rsid w:val="6CD2E064"/>
    <w:rsid w:val="6CFF3442"/>
    <w:rsid w:val="6D193761"/>
    <w:rsid w:val="6D2A19C4"/>
    <w:rsid w:val="6D35F49B"/>
    <w:rsid w:val="6D69C19D"/>
    <w:rsid w:val="6D6EE135"/>
    <w:rsid w:val="6D79667C"/>
    <w:rsid w:val="6D7BAB76"/>
    <w:rsid w:val="6D82928C"/>
    <w:rsid w:val="6D8D374E"/>
    <w:rsid w:val="6DACCA61"/>
    <w:rsid w:val="6DC6AB1B"/>
    <w:rsid w:val="6DD25827"/>
    <w:rsid w:val="6DDF5A30"/>
    <w:rsid w:val="6DF11B6B"/>
    <w:rsid w:val="6E020C0C"/>
    <w:rsid w:val="6E031AB4"/>
    <w:rsid w:val="6E0E1D6E"/>
    <w:rsid w:val="6E1243FA"/>
    <w:rsid w:val="6E155E34"/>
    <w:rsid w:val="6E1969D7"/>
    <w:rsid w:val="6E24FC5E"/>
    <w:rsid w:val="6E2665DB"/>
    <w:rsid w:val="6E47932E"/>
    <w:rsid w:val="6E6263C6"/>
    <w:rsid w:val="6E659ED4"/>
    <w:rsid w:val="6E7C4CBA"/>
    <w:rsid w:val="6E8364AB"/>
    <w:rsid w:val="6E9C8300"/>
    <w:rsid w:val="6EA5BB2C"/>
    <w:rsid w:val="6EC841AE"/>
    <w:rsid w:val="6EE6D523"/>
    <w:rsid w:val="6EEE4582"/>
    <w:rsid w:val="6F080EC2"/>
    <w:rsid w:val="6F1418EC"/>
    <w:rsid w:val="6F2692D0"/>
    <w:rsid w:val="6F31BC07"/>
    <w:rsid w:val="6F32C76F"/>
    <w:rsid w:val="6F3B322B"/>
    <w:rsid w:val="6F427E6A"/>
    <w:rsid w:val="6F493E16"/>
    <w:rsid w:val="6F4A48E0"/>
    <w:rsid w:val="6F55779C"/>
    <w:rsid w:val="6F7ADD5F"/>
    <w:rsid w:val="6F886757"/>
    <w:rsid w:val="6F8B303C"/>
    <w:rsid w:val="6F90B4AC"/>
    <w:rsid w:val="6FCEB095"/>
    <w:rsid w:val="6FDAA812"/>
    <w:rsid w:val="6FDF83BB"/>
    <w:rsid w:val="6FFD824A"/>
    <w:rsid w:val="700069C0"/>
    <w:rsid w:val="7001ECC7"/>
    <w:rsid w:val="70284465"/>
    <w:rsid w:val="70429A04"/>
    <w:rsid w:val="705B2E78"/>
    <w:rsid w:val="70617387"/>
    <w:rsid w:val="70800EFF"/>
    <w:rsid w:val="708FECEE"/>
    <w:rsid w:val="7099EB0E"/>
    <w:rsid w:val="70B692B0"/>
    <w:rsid w:val="70C19471"/>
    <w:rsid w:val="70CB566F"/>
    <w:rsid w:val="70E1F0A8"/>
    <w:rsid w:val="70F8EFBC"/>
    <w:rsid w:val="7100FE5A"/>
    <w:rsid w:val="712ED96E"/>
    <w:rsid w:val="715329C2"/>
    <w:rsid w:val="716273E2"/>
    <w:rsid w:val="716C7F35"/>
    <w:rsid w:val="719756DA"/>
    <w:rsid w:val="71A5ED3B"/>
    <w:rsid w:val="71AC7F93"/>
    <w:rsid w:val="71AD823E"/>
    <w:rsid w:val="71C90B00"/>
    <w:rsid w:val="71D5B20D"/>
    <w:rsid w:val="71D62EF5"/>
    <w:rsid w:val="71DE4F02"/>
    <w:rsid w:val="71F1DA88"/>
    <w:rsid w:val="71FA63C3"/>
    <w:rsid w:val="720FE753"/>
    <w:rsid w:val="721954A6"/>
    <w:rsid w:val="72420A77"/>
    <w:rsid w:val="724C9C7B"/>
    <w:rsid w:val="72658598"/>
    <w:rsid w:val="7273438E"/>
    <w:rsid w:val="728D095F"/>
    <w:rsid w:val="72B88222"/>
    <w:rsid w:val="72C87D83"/>
    <w:rsid w:val="72D6F86B"/>
    <w:rsid w:val="72DC83FA"/>
    <w:rsid w:val="72E0DAE4"/>
    <w:rsid w:val="72F0FEE8"/>
    <w:rsid w:val="72FB6892"/>
    <w:rsid w:val="72FC7EBB"/>
    <w:rsid w:val="73099ABF"/>
    <w:rsid w:val="7311A271"/>
    <w:rsid w:val="733261D8"/>
    <w:rsid w:val="73379860"/>
    <w:rsid w:val="7353D26F"/>
    <w:rsid w:val="7366586F"/>
    <w:rsid w:val="7378F383"/>
    <w:rsid w:val="737E6B09"/>
    <w:rsid w:val="73803799"/>
    <w:rsid w:val="739B3A15"/>
    <w:rsid w:val="73A2EFD2"/>
    <w:rsid w:val="73A3290D"/>
    <w:rsid w:val="73B2FD33"/>
    <w:rsid w:val="73BFDE74"/>
    <w:rsid w:val="73F4F62A"/>
    <w:rsid w:val="73F81718"/>
    <w:rsid w:val="740241A5"/>
    <w:rsid w:val="7409B57E"/>
    <w:rsid w:val="7428D72A"/>
    <w:rsid w:val="74421FF5"/>
    <w:rsid w:val="7457A7C7"/>
    <w:rsid w:val="746F8CFC"/>
    <w:rsid w:val="7498ADDA"/>
    <w:rsid w:val="749E7BBC"/>
    <w:rsid w:val="74C8A09A"/>
    <w:rsid w:val="74E66653"/>
    <w:rsid w:val="74EED353"/>
    <w:rsid w:val="7503C536"/>
    <w:rsid w:val="751646D6"/>
    <w:rsid w:val="7518CD2E"/>
    <w:rsid w:val="7521EB83"/>
    <w:rsid w:val="754A78C0"/>
    <w:rsid w:val="755AE78D"/>
    <w:rsid w:val="75624780"/>
    <w:rsid w:val="7569825D"/>
    <w:rsid w:val="756BECCF"/>
    <w:rsid w:val="757B6B13"/>
    <w:rsid w:val="757B7A07"/>
    <w:rsid w:val="757B8911"/>
    <w:rsid w:val="757E0845"/>
    <w:rsid w:val="7586B4F1"/>
    <w:rsid w:val="75875A2F"/>
    <w:rsid w:val="758EDBA4"/>
    <w:rsid w:val="75953025"/>
    <w:rsid w:val="759D26DA"/>
    <w:rsid w:val="759D60F4"/>
    <w:rsid w:val="75AD9324"/>
    <w:rsid w:val="75B86197"/>
    <w:rsid w:val="75E1C08A"/>
    <w:rsid w:val="76102A9D"/>
    <w:rsid w:val="761C521C"/>
    <w:rsid w:val="762D5AEA"/>
    <w:rsid w:val="763396FD"/>
    <w:rsid w:val="763F32FC"/>
    <w:rsid w:val="7663DD69"/>
    <w:rsid w:val="7667E0FD"/>
    <w:rsid w:val="7667F366"/>
    <w:rsid w:val="76743FDD"/>
    <w:rsid w:val="76757D05"/>
    <w:rsid w:val="76948EEE"/>
    <w:rsid w:val="769AB8F1"/>
    <w:rsid w:val="769D727A"/>
    <w:rsid w:val="769DDD77"/>
    <w:rsid w:val="76A19EF6"/>
    <w:rsid w:val="76B832E1"/>
    <w:rsid w:val="76CC11E6"/>
    <w:rsid w:val="76FF5E2E"/>
    <w:rsid w:val="77044804"/>
    <w:rsid w:val="770A5193"/>
    <w:rsid w:val="770C37FC"/>
    <w:rsid w:val="771CDB39"/>
    <w:rsid w:val="774A1E34"/>
    <w:rsid w:val="7759650A"/>
    <w:rsid w:val="7785C294"/>
    <w:rsid w:val="7791387F"/>
    <w:rsid w:val="77A40CCB"/>
    <w:rsid w:val="77A6AF14"/>
    <w:rsid w:val="77B04F92"/>
    <w:rsid w:val="77E91924"/>
    <w:rsid w:val="77F3B3E2"/>
    <w:rsid w:val="77FD5E02"/>
    <w:rsid w:val="78221CA7"/>
    <w:rsid w:val="7828EF9F"/>
    <w:rsid w:val="7840D700"/>
    <w:rsid w:val="78428FD5"/>
    <w:rsid w:val="784B3BC7"/>
    <w:rsid w:val="78672B90"/>
    <w:rsid w:val="787D79B7"/>
    <w:rsid w:val="787FE575"/>
    <w:rsid w:val="78A1D2D5"/>
    <w:rsid w:val="78A51FCD"/>
    <w:rsid w:val="78ACA3F4"/>
    <w:rsid w:val="78C207AD"/>
    <w:rsid w:val="78FB6BE8"/>
    <w:rsid w:val="79001F40"/>
    <w:rsid w:val="7902D03E"/>
    <w:rsid w:val="79090D32"/>
    <w:rsid w:val="7918CBD3"/>
    <w:rsid w:val="7919E7CB"/>
    <w:rsid w:val="79270A69"/>
    <w:rsid w:val="7929103A"/>
    <w:rsid w:val="7968B2FB"/>
    <w:rsid w:val="79725941"/>
    <w:rsid w:val="7989BE84"/>
    <w:rsid w:val="79A7E9C7"/>
    <w:rsid w:val="79C42D20"/>
    <w:rsid w:val="79ED9C3E"/>
    <w:rsid w:val="79F93BCA"/>
    <w:rsid w:val="7A0E5128"/>
    <w:rsid w:val="7A1B5B81"/>
    <w:rsid w:val="7A2EF1CB"/>
    <w:rsid w:val="7A2FC231"/>
    <w:rsid w:val="7A53C80C"/>
    <w:rsid w:val="7A544C91"/>
    <w:rsid w:val="7A60295C"/>
    <w:rsid w:val="7A7577E5"/>
    <w:rsid w:val="7A928453"/>
    <w:rsid w:val="7AB29CA7"/>
    <w:rsid w:val="7AC112BB"/>
    <w:rsid w:val="7AECC142"/>
    <w:rsid w:val="7AF53BF6"/>
    <w:rsid w:val="7AFE38DC"/>
    <w:rsid w:val="7B0D14C6"/>
    <w:rsid w:val="7B0F36DA"/>
    <w:rsid w:val="7B137B24"/>
    <w:rsid w:val="7B1C9DE8"/>
    <w:rsid w:val="7B1DB041"/>
    <w:rsid w:val="7B1DC309"/>
    <w:rsid w:val="7B375A73"/>
    <w:rsid w:val="7B3F0A93"/>
    <w:rsid w:val="7B45BA4A"/>
    <w:rsid w:val="7B6B76BB"/>
    <w:rsid w:val="7B7F28C5"/>
    <w:rsid w:val="7B8D6824"/>
    <w:rsid w:val="7B910874"/>
    <w:rsid w:val="7B916103"/>
    <w:rsid w:val="7B95DB46"/>
    <w:rsid w:val="7BAF0E43"/>
    <w:rsid w:val="7BB1C384"/>
    <w:rsid w:val="7BBB822F"/>
    <w:rsid w:val="7BBFA128"/>
    <w:rsid w:val="7BCD8766"/>
    <w:rsid w:val="7BE4419B"/>
    <w:rsid w:val="7BE8C478"/>
    <w:rsid w:val="7BED0FF2"/>
    <w:rsid w:val="7BF54F3B"/>
    <w:rsid w:val="7C0B3CBB"/>
    <w:rsid w:val="7C138350"/>
    <w:rsid w:val="7C1526D3"/>
    <w:rsid w:val="7C3A1C61"/>
    <w:rsid w:val="7C576889"/>
    <w:rsid w:val="7C5BCEB4"/>
    <w:rsid w:val="7C69F2C8"/>
    <w:rsid w:val="7C7295DC"/>
    <w:rsid w:val="7C840338"/>
    <w:rsid w:val="7C8D9B62"/>
    <w:rsid w:val="7CA3F417"/>
    <w:rsid w:val="7CB4ECF9"/>
    <w:rsid w:val="7CBD82BE"/>
    <w:rsid w:val="7CD7C4B2"/>
    <w:rsid w:val="7CD96162"/>
    <w:rsid w:val="7CED31E1"/>
    <w:rsid w:val="7CFDEF1B"/>
    <w:rsid w:val="7D063981"/>
    <w:rsid w:val="7D08073B"/>
    <w:rsid w:val="7D208BB3"/>
    <w:rsid w:val="7D36E13E"/>
    <w:rsid w:val="7D3AC30F"/>
    <w:rsid w:val="7D3EA568"/>
    <w:rsid w:val="7D550DDC"/>
    <w:rsid w:val="7D632433"/>
    <w:rsid w:val="7D672A9F"/>
    <w:rsid w:val="7D67823B"/>
    <w:rsid w:val="7D71EB1C"/>
    <w:rsid w:val="7D77B4EF"/>
    <w:rsid w:val="7D8ACEA6"/>
    <w:rsid w:val="7DA20A0E"/>
    <w:rsid w:val="7DA3E9A0"/>
    <w:rsid w:val="7DC4A3E7"/>
    <w:rsid w:val="7DCE71DD"/>
    <w:rsid w:val="7DD10606"/>
    <w:rsid w:val="7DD719C7"/>
    <w:rsid w:val="7DFC071E"/>
    <w:rsid w:val="7E1D8692"/>
    <w:rsid w:val="7E1DC023"/>
    <w:rsid w:val="7E628F01"/>
    <w:rsid w:val="7E73A67F"/>
    <w:rsid w:val="7E73F810"/>
    <w:rsid w:val="7E74698B"/>
    <w:rsid w:val="7E94F5C5"/>
    <w:rsid w:val="7EB25965"/>
    <w:rsid w:val="7EB4101F"/>
    <w:rsid w:val="7EBA308C"/>
    <w:rsid w:val="7EC853C2"/>
    <w:rsid w:val="7ECBC876"/>
    <w:rsid w:val="7ED84520"/>
    <w:rsid w:val="7EDB52CA"/>
    <w:rsid w:val="7EDD11D8"/>
    <w:rsid w:val="7EEC1F12"/>
    <w:rsid w:val="7EFE78FB"/>
    <w:rsid w:val="7F013FAE"/>
    <w:rsid w:val="7F039CCE"/>
    <w:rsid w:val="7F064034"/>
    <w:rsid w:val="7F124E65"/>
    <w:rsid w:val="7F1A72C2"/>
    <w:rsid w:val="7F25B758"/>
    <w:rsid w:val="7F3DFFB5"/>
    <w:rsid w:val="7F4288BC"/>
    <w:rsid w:val="7F58AA06"/>
    <w:rsid w:val="7F67CC69"/>
    <w:rsid w:val="7F6A4B71"/>
    <w:rsid w:val="7F7B0197"/>
    <w:rsid w:val="7F8523AC"/>
    <w:rsid w:val="7F8FA7E2"/>
    <w:rsid w:val="7FA2046A"/>
    <w:rsid w:val="7FB9DE23"/>
    <w:rsid w:val="7FC08B20"/>
    <w:rsid w:val="7FD53E96"/>
    <w:rsid w:val="7FD9D2F1"/>
    <w:rsid w:val="7FDBD629"/>
    <w:rsid w:val="7FF6F4A8"/>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774D65CD"/>
  <w15:docId w15:val="{73AEC36B-898D-4582-AF60-C35A9ADE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hu-HU"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E1304"/>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hu-HU"/>
    </w:rPr>
  </w:style>
  <w:style w:type="character" w:customStyle="1" w:styleId="Heading2Char">
    <w:name w:val="Heading 2 Char"/>
    <w:link w:val="Heading2"/>
    <w:uiPriority w:val="99"/>
    <w:locked/>
    <w:rsid w:val="00FE1304"/>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hu-HU"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6"/>
      </w:numPr>
      <w:spacing w:line="240" w:lineRule="exact"/>
    </w:pPr>
  </w:style>
  <w:style w:type="paragraph" w:customStyle="1" w:styleId="Aufzhlungszeichen2">
    <w:name w:val="Aufzählungszeichen2"/>
    <w:basedOn w:val="Normal"/>
    <w:uiPriority w:val="1"/>
    <w:qFormat/>
    <w:rsid w:val="001E5A75"/>
    <w:pPr>
      <w:numPr>
        <w:numId w:val="7"/>
      </w:numPr>
      <w:spacing w:line="240" w:lineRule="exact"/>
    </w:pPr>
  </w:style>
  <w:style w:type="paragraph" w:customStyle="1" w:styleId="Aufzhlungszeichen3">
    <w:name w:val="Aufzählungszeichen3"/>
    <w:basedOn w:val="Normal"/>
    <w:uiPriority w:val="1"/>
    <w:qFormat/>
    <w:rsid w:val="001E5A75"/>
    <w:pPr>
      <w:numPr>
        <w:numId w:val="8"/>
      </w:numPr>
      <w:spacing w:line="240" w:lineRule="exact"/>
    </w:pPr>
  </w:style>
  <w:style w:type="paragraph" w:customStyle="1" w:styleId="Aufzhlungszeichen4">
    <w:name w:val="Aufzählungszeichen4"/>
    <w:basedOn w:val="Normal"/>
    <w:uiPriority w:val="1"/>
    <w:qFormat/>
    <w:rsid w:val="001E5A75"/>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link w:val="FootnoteText"/>
    <w:uiPriority w:val="99"/>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12"/>
      </w:numPr>
      <w:spacing w:line="312" w:lineRule="auto"/>
    </w:pPr>
  </w:style>
  <w:style w:type="paragraph" w:customStyle="1" w:styleId="GliederungmitNummerierung">
    <w:name w:val="Gliederung mit Nummerierung"/>
    <w:basedOn w:val="Normal"/>
    <w:uiPriority w:val="1"/>
    <w:qFormat/>
    <w:rsid w:val="001E5A75"/>
    <w:pPr>
      <w:numPr>
        <w:numId w:val="13"/>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14"/>
      </w:numPr>
    </w:pPr>
  </w:style>
  <w:style w:type="paragraph" w:customStyle="1" w:styleId="Nummerierungsart2">
    <w:name w:val="Nummerierungsart2"/>
    <w:basedOn w:val="Normal"/>
    <w:uiPriority w:val="1"/>
    <w:qFormat/>
    <w:rsid w:val="001E5A75"/>
    <w:pPr>
      <w:numPr>
        <w:numId w:val="15"/>
      </w:numPr>
    </w:pPr>
  </w:style>
  <w:style w:type="paragraph" w:customStyle="1" w:styleId="Nummerierungsart3">
    <w:name w:val="Nummerierungsart3"/>
    <w:basedOn w:val="Normal"/>
    <w:uiPriority w:val="1"/>
    <w:qFormat/>
    <w:rsid w:val="001E5A75"/>
    <w:pPr>
      <w:numPr>
        <w:numId w:val="16"/>
      </w:numPr>
    </w:pPr>
  </w:style>
  <w:style w:type="paragraph" w:customStyle="1" w:styleId="Nummerierungsart4">
    <w:name w:val="Nummerierungsart4"/>
    <w:basedOn w:val="Normal"/>
    <w:uiPriority w:val="1"/>
    <w:qFormat/>
    <w:rsid w:val="001E5A75"/>
    <w:pPr>
      <w:numPr>
        <w:numId w:val="17"/>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A65ABC"/>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hu-HU"/>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hu-HU"/>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hu-HU"/>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6746DB"/>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C575D"/>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hu-HU"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C575D"/>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20"/>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hu-HU"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hu-HU"/>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hu-HU" w:eastAsia="de-DE"/>
    </w:rPr>
  </w:style>
  <w:style w:type="paragraph" w:customStyle="1" w:styleId="NumPar1">
    <w:name w:val="NumPar 1"/>
    <w:basedOn w:val="Normal"/>
    <w:next w:val="Normal"/>
    <w:link w:val="NumPar1Char"/>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hu-HU"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11"/>
      </w:numPr>
    </w:pPr>
  </w:style>
  <w:style w:type="numbering" w:customStyle="1" w:styleId="Formatvorlage3">
    <w:name w:val="Formatvorlage3"/>
    <w:uiPriority w:val="99"/>
    <w:rsid w:val="00BF60F7"/>
    <w:pPr>
      <w:numPr>
        <w:numId w:val="21"/>
      </w:numPr>
    </w:pPr>
  </w:style>
  <w:style w:type="numbering" w:customStyle="1" w:styleId="Formatvorlage1">
    <w:name w:val="Formatvorlage1"/>
    <w:uiPriority w:val="99"/>
    <w:rsid w:val="00BF60F7"/>
    <w:pPr>
      <w:numPr>
        <w:numId w:val="10"/>
      </w:numPr>
    </w:pPr>
  </w:style>
  <w:style w:type="numbering" w:customStyle="1" w:styleId="Formatvorlage4">
    <w:name w:val="Formatvorlage4"/>
    <w:uiPriority w:val="99"/>
    <w:rsid w:val="00BF60F7"/>
    <w:pPr>
      <w:numPr>
        <w:numId w:val="23"/>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hu-HU"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link w:val="bodyChar"/>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1">
    <w:name w:val="Unresolved Mention1"/>
    <w:basedOn w:val="DefaultParagraphFont"/>
    <w:uiPriority w:val="99"/>
    <w:unhideWhenUsed/>
    <w:rsid w:val="00572FA8"/>
    <w:rPr>
      <w:color w:val="605E5C"/>
      <w:shd w:val="clear" w:color="auto" w:fill="E1DFDD"/>
    </w:rPr>
  </w:style>
  <w:style w:type="paragraph" w:customStyle="1" w:styleId="Chartleft-Measure">
    <w:name w:val="Chart left - Measure"/>
    <w:link w:val="Chartleft-MeasureChar"/>
    <w:uiPriority w:val="3"/>
    <w:qFormat/>
    <w:rsid w:val="00F02616"/>
    <w:pPr>
      <w:keepNext/>
      <w:keepLines/>
      <w:framePr w:w="4706" w:hSpace="227" w:wrap="around" w:vAnchor="text" w:hAnchor="page" w:x="1135" w:y="1"/>
      <w:spacing w:before="100" w:after="100" w:line="144" w:lineRule="atLeast"/>
      <w:contextualSpacing/>
    </w:pPr>
    <w:rPr>
      <w:rFonts w:eastAsia="Times New Roman" w:cs="Sendnya"/>
      <w:color w:val="003299"/>
      <w:kern w:val="12"/>
      <w:sz w:val="12"/>
      <w:szCs w:val="22"/>
      <w:lang w:bidi="ar-SA"/>
    </w:rPr>
  </w:style>
  <w:style w:type="character" w:customStyle="1" w:styleId="Chartleft-MeasureChar">
    <w:name w:val="Chart left - Measure Char"/>
    <w:link w:val="Chartleft-Measure"/>
    <w:uiPriority w:val="3"/>
    <w:rsid w:val="00F02616"/>
    <w:rPr>
      <w:rFonts w:eastAsia="Times New Roman" w:cs="Sendnya"/>
      <w:color w:val="003299"/>
      <w:kern w:val="12"/>
      <w:sz w:val="12"/>
      <w:szCs w:val="22"/>
      <w:lang w:bidi="ar-SA"/>
    </w:rPr>
  </w:style>
  <w:style w:type="character" w:customStyle="1" w:styleId="lxp-definition-term">
    <w:name w:val="lxp-definition-term"/>
    <w:basedOn w:val="DefaultParagraphFont"/>
    <w:rsid w:val="00F02616"/>
  </w:style>
  <w:style w:type="character" w:customStyle="1" w:styleId="FooterChar1">
    <w:name w:val="Footer Char1"/>
    <w:uiPriority w:val="99"/>
    <w:locked/>
    <w:rsid w:val="00D00AB9"/>
    <w:rPr>
      <w:rFonts w:ascii="Arial" w:hAnsi="Arial" w:cs="Times New Roman"/>
      <w:sz w:val="14"/>
      <w:szCs w:val="14"/>
      <w:lang w:eastAsia="de-DE"/>
    </w:rPr>
  </w:style>
  <w:style w:type="character" w:customStyle="1" w:styleId="HeaderChar1">
    <w:name w:val="Header Char1"/>
    <w:uiPriority w:val="99"/>
    <w:locked/>
    <w:rsid w:val="00D00AB9"/>
    <w:rPr>
      <w:rFonts w:ascii="Arial" w:hAnsi="Arial" w:cs="Times New Roman"/>
      <w:sz w:val="20"/>
      <w:szCs w:val="20"/>
      <w:lang w:eastAsia="de-DE"/>
    </w:rPr>
  </w:style>
  <w:style w:type="character" w:customStyle="1" w:styleId="bodyChar">
    <w:name w:val="body Char"/>
    <w:basedOn w:val="DefaultParagraphFont"/>
    <w:link w:val="body"/>
    <w:rsid w:val="00512CC3"/>
    <w:rPr>
      <w:rFonts w:asciiTheme="minorHAnsi" w:eastAsiaTheme="minorEastAsia" w:hAnsiTheme="minorHAnsi" w:cstheme="minorBidi"/>
      <w:sz w:val="22"/>
      <w:szCs w:val="24"/>
      <w:lang w:val="hu-HU" w:eastAsia="en-US" w:bidi="ar-SA"/>
    </w:rPr>
  </w:style>
  <w:style w:type="character" w:customStyle="1" w:styleId="Mention2">
    <w:name w:val="Mention2"/>
    <w:basedOn w:val="DefaultParagraphFont"/>
    <w:uiPriority w:val="99"/>
    <w:unhideWhenUsed/>
    <w:rsid w:val="00693092"/>
    <w:rPr>
      <w:color w:val="2B579A"/>
      <w:shd w:val="clear" w:color="auto" w:fill="E1DFDD"/>
    </w:rPr>
  </w:style>
  <w:style w:type="paragraph" w:customStyle="1" w:styleId="NumPar2">
    <w:name w:val="NumPar 2"/>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940746"/>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7E639D"/>
    <w:rPr>
      <w:color w:val="2B579A"/>
      <w:shd w:val="clear" w:color="auto" w:fill="E1DFDD"/>
    </w:rPr>
  </w:style>
  <w:style w:type="character" w:customStyle="1" w:styleId="UnresolvedMention2">
    <w:name w:val="Unresolved Mention2"/>
    <w:basedOn w:val="DefaultParagraphFont"/>
    <w:uiPriority w:val="99"/>
    <w:semiHidden/>
    <w:unhideWhenUsed/>
    <w:rsid w:val="001B51C6"/>
    <w:rPr>
      <w:color w:val="605E5C"/>
      <w:shd w:val="clear" w:color="auto" w:fill="E1DFDD"/>
    </w:rPr>
  </w:style>
  <w:style w:type="character" w:customStyle="1" w:styleId="Mention30">
    <w:name w:val="Mention3"/>
    <w:basedOn w:val="DefaultParagraphFont"/>
    <w:uiPriority w:val="99"/>
    <w:unhideWhenUsed/>
    <w:rsid w:val="000F5488"/>
    <w:rPr>
      <w:color w:val="2B579A"/>
      <w:shd w:val="clear" w:color="auto" w:fill="E1DFDD"/>
    </w:rPr>
  </w:style>
  <w:style w:type="character" w:customStyle="1" w:styleId="UnresolvedMention20">
    <w:name w:val="Unresolved Mention2"/>
    <w:basedOn w:val="DefaultParagraphFont"/>
    <w:uiPriority w:val="99"/>
    <w:semiHidden/>
    <w:unhideWhenUsed/>
    <w:rsid w:val="000F5488"/>
    <w:rPr>
      <w:color w:val="605E5C"/>
      <w:shd w:val="clear" w:color="auto" w:fill="E1DFDD"/>
    </w:rPr>
  </w:style>
  <w:style w:type="character" w:customStyle="1" w:styleId="ui-provider">
    <w:name w:val="ui-provider"/>
    <w:basedOn w:val="DefaultParagraphFont"/>
    <w:rsid w:val="002705E0"/>
  </w:style>
  <w:style w:type="character" w:customStyle="1" w:styleId="cf01">
    <w:name w:val="cf01"/>
    <w:basedOn w:val="DefaultParagraphFont"/>
    <w:rsid w:val="007963FC"/>
    <w:rPr>
      <w:rFonts w:ascii="Segoe UI" w:hAnsi="Segoe UI" w:cs="Segoe UI" w:hint="default"/>
      <w:sz w:val="18"/>
      <w:szCs w:val="18"/>
    </w:rPr>
  </w:style>
  <w:style w:type="paragraph" w:customStyle="1" w:styleId="footnotedescription">
    <w:name w:val="footnote description"/>
    <w:next w:val="Normal"/>
    <w:link w:val="footnotedescriptionChar"/>
    <w:hidden/>
    <w:rsid w:val="00212817"/>
    <w:pPr>
      <w:spacing w:line="241" w:lineRule="auto"/>
      <w:ind w:left="144" w:right="260" w:hanging="144"/>
      <w:jc w:val="both"/>
    </w:pPr>
    <w:rPr>
      <w:rFonts w:cs="Arial"/>
      <w:color w:val="000000"/>
      <w:sz w:val="16"/>
      <w:szCs w:val="22"/>
      <w:lang w:eastAsia="es-ES" w:bidi="ar-SA"/>
    </w:rPr>
  </w:style>
  <w:style w:type="character" w:customStyle="1" w:styleId="footnotedescriptionChar">
    <w:name w:val="footnote description Char"/>
    <w:link w:val="footnotedescription"/>
    <w:rsid w:val="00212817"/>
    <w:rPr>
      <w:rFonts w:cs="Arial"/>
      <w:color w:val="000000"/>
      <w:sz w:val="16"/>
      <w:szCs w:val="22"/>
      <w:lang w:val="hu-HU" w:eastAsia="es-ES" w:bidi="ar-SA"/>
    </w:rPr>
  </w:style>
  <w:style w:type="character" w:customStyle="1" w:styleId="footnotemark">
    <w:name w:val="footnote mark"/>
    <w:hidden/>
    <w:rsid w:val="00212817"/>
    <w:rPr>
      <w:rFonts w:ascii="Arial" w:eastAsia="Arial" w:hAnsi="Arial" w:cs="Arial"/>
      <w:color w:val="000000"/>
      <w:sz w:val="20"/>
      <w:vertAlign w:val="superscript"/>
    </w:rPr>
  </w:style>
  <w:style w:type="character" w:customStyle="1" w:styleId="Mention">
    <w:name w:val="Mention"/>
    <w:basedOn w:val="DefaultParagraphFont"/>
    <w:uiPriority w:val="99"/>
    <w:unhideWhenUsed/>
    <w:rsid w:val="008A6E97"/>
    <w:rPr>
      <w:color w:val="2B579A"/>
      <w:shd w:val="clear" w:color="auto" w:fill="E1DFDD"/>
    </w:rPr>
  </w:style>
  <w:style w:type="character" w:customStyle="1" w:styleId="Marker">
    <w:name w:val="Marker"/>
    <w:basedOn w:val="DefaultParagraphFont"/>
    <w:rsid w:val="00D82419"/>
    <w:rPr>
      <w:color w:val="0000FF"/>
      <w:shd w:val="clear" w:color="auto" w:fill="auto"/>
    </w:rPr>
  </w:style>
  <w:style w:type="paragraph" w:customStyle="1" w:styleId="Pagedecouverture">
    <w:name w:val="Page de couverture"/>
    <w:basedOn w:val="Normal"/>
    <w:next w:val="Normal"/>
    <w:link w:val="PagedecouvertureChar"/>
    <w:rsid w:val="00D82419"/>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D82419"/>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D82419"/>
    <w:rPr>
      <w:rFonts w:ascii="Times New Roman" w:eastAsiaTheme="minorHAnsi" w:hAnsi="Times New Roman"/>
      <w:sz w:val="24"/>
      <w:szCs w:val="22"/>
      <w:lang w:eastAsia="en-US" w:bidi="ar-SA"/>
    </w:rPr>
  </w:style>
  <w:style w:type="character" w:customStyle="1" w:styleId="FooterCoverPageChar">
    <w:name w:val="Footer Cover Page Char"/>
    <w:basedOn w:val="PagedecouvertureChar"/>
    <w:link w:val="FooterCoverPage"/>
    <w:rsid w:val="00D82419"/>
    <w:rPr>
      <w:rFonts w:ascii="Times New Roman" w:eastAsia="Times New Roman" w:hAnsi="Times New Roman"/>
      <w:sz w:val="24"/>
      <w:szCs w:val="24"/>
      <w:lang w:eastAsia="en-US" w:bidi="ar-SA"/>
    </w:rPr>
  </w:style>
  <w:style w:type="paragraph" w:customStyle="1" w:styleId="FooterSensitivity">
    <w:name w:val="Footer Sensitivity"/>
    <w:basedOn w:val="Normal"/>
    <w:link w:val="FooterSensitivityChar"/>
    <w:rsid w:val="00D82419"/>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D82419"/>
    <w:rPr>
      <w:rFonts w:ascii="Times New Roman" w:eastAsia="Times New Roman" w:hAnsi="Times New Roman"/>
      <w:b/>
      <w:sz w:val="32"/>
      <w:szCs w:val="24"/>
      <w:lang w:eastAsia="en-US" w:bidi="ar-SA"/>
    </w:rPr>
  </w:style>
  <w:style w:type="paragraph" w:customStyle="1" w:styleId="HeaderCoverPage">
    <w:name w:val="Header Cover Page"/>
    <w:basedOn w:val="Normal"/>
    <w:link w:val="HeaderCoverPageChar"/>
    <w:rsid w:val="00D82419"/>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D82419"/>
    <w:rPr>
      <w:rFonts w:ascii="Times New Roman" w:eastAsia="Times New Roman" w:hAnsi="Times New Roman"/>
      <w:sz w:val="24"/>
      <w:szCs w:val="24"/>
      <w:lang w:eastAsia="en-US" w:bidi="ar-SA"/>
    </w:rPr>
  </w:style>
  <w:style w:type="paragraph" w:customStyle="1" w:styleId="HeaderSensitivity">
    <w:name w:val="Header Sensitivity"/>
    <w:basedOn w:val="Normal"/>
    <w:link w:val="HeaderSensitivityChar"/>
    <w:rsid w:val="00D82419"/>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D82419"/>
    <w:rPr>
      <w:rFonts w:ascii="Times New Roman" w:eastAsia="Times New Roman" w:hAnsi="Times New Roman"/>
      <w:b/>
      <w:sz w:val="32"/>
      <w:szCs w:val="24"/>
      <w:lang w:eastAsia="en-US" w:bidi="ar-SA"/>
    </w:rPr>
  </w:style>
  <w:style w:type="paragraph" w:customStyle="1" w:styleId="HeaderSensitivityRight">
    <w:name w:val="Header Sensitivity Right"/>
    <w:basedOn w:val="Normal"/>
    <w:link w:val="HeaderSensitivityRightChar"/>
    <w:rsid w:val="00D82419"/>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D82419"/>
    <w:rPr>
      <w:rFonts w:ascii="Times New Roman" w:eastAsia="Times New Roman" w:hAnsi="Times New Roman"/>
      <w:sz w:val="28"/>
      <w:szCs w:val="24"/>
      <w:lang w:eastAsia="en-US" w:bidi="ar-SA"/>
    </w:rPr>
  </w:style>
  <w:style w:type="character" w:customStyle="1" w:styleId="UnresolvedMention">
    <w:name w:val="Unresolved Mention"/>
    <w:basedOn w:val="DefaultParagraphFont"/>
    <w:uiPriority w:val="99"/>
    <w:semiHidden/>
    <w:unhideWhenUsed/>
    <w:rsid w:val="007171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33621892">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69496910">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282807518">
      <w:bodyDiv w:val="1"/>
      <w:marLeft w:val="0"/>
      <w:marRight w:val="0"/>
      <w:marTop w:val="0"/>
      <w:marBottom w:val="0"/>
      <w:divBdr>
        <w:top w:val="none" w:sz="0" w:space="0" w:color="auto"/>
        <w:left w:val="none" w:sz="0" w:space="0" w:color="auto"/>
        <w:bottom w:val="none" w:sz="0" w:space="0" w:color="auto"/>
        <w:right w:val="none" w:sz="0" w:space="0" w:color="auto"/>
      </w:divBdr>
    </w:div>
    <w:div w:id="1349869843">
      <w:bodyDiv w:val="1"/>
      <w:marLeft w:val="0"/>
      <w:marRight w:val="0"/>
      <w:marTop w:val="0"/>
      <w:marBottom w:val="0"/>
      <w:divBdr>
        <w:top w:val="none" w:sz="0" w:space="0" w:color="auto"/>
        <w:left w:val="none" w:sz="0" w:space="0" w:color="auto"/>
        <w:bottom w:val="none" w:sz="0" w:space="0" w:color="auto"/>
        <w:right w:val="none" w:sz="0" w:space="0" w:color="auto"/>
      </w:divBdr>
    </w:div>
    <w:div w:id="1352951290">
      <w:bodyDiv w:val="1"/>
      <w:marLeft w:val="0"/>
      <w:marRight w:val="0"/>
      <w:marTop w:val="0"/>
      <w:marBottom w:val="0"/>
      <w:divBdr>
        <w:top w:val="none" w:sz="0" w:space="0" w:color="auto"/>
        <w:left w:val="none" w:sz="0" w:space="0" w:color="auto"/>
        <w:bottom w:val="none" w:sz="0" w:space="0" w:color="auto"/>
        <w:right w:val="none" w:sz="0" w:space="0" w:color="auto"/>
      </w:divBdr>
    </w:div>
    <w:div w:id="166346380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1891187645">
      <w:bodyDiv w:val="1"/>
      <w:marLeft w:val="0"/>
      <w:marRight w:val="0"/>
      <w:marTop w:val="0"/>
      <w:marBottom w:val="0"/>
      <w:divBdr>
        <w:top w:val="none" w:sz="0" w:space="0" w:color="auto"/>
        <w:left w:val="none" w:sz="0" w:space="0" w:color="auto"/>
        <w:bottom w:val="none" w:sz="0" w:space="0" w:color="auto"/>
        <w:right w:val="none" w:sz="0" w:space="0" w:color="auto"/>
      </w:divBdr>
    </w:div>
    <w:div w:id="1999115281">
      <w:bodyDiv w:val="1"/>
      <w:marLeft w:val="0"/>
      <w:marRight w:val="0"/>
      <w:marTop w:val="0"/>
      <w:marBottom w:val="0"/>
      <w:divBdr>
        <w:top w:val="none" w:sz="0" w:space="0" w:color="auto"/>
        <w:left w:val="none" w:sz="0" w:space="0" w:color="auto"/>
        <w:bottom w:val="none" w:sz="0" w:space="0" w:color="auto"/>
        <w:right w:val="none" w:sz="0" w:space="0" w:color="auto"/>
      </w:divBdr>
      <w:divsChild>
        <w:div w:id="146216544">
          <w:marLeft w:val="0"/>
          <w:marRight w:val="0"/>
          <w:marTop w:val="0"/>
          <w:marBottom w:val="0"/>
          <w:divBdr>
            <w:top w:val="none" w:sz="0" w:space="0" w:color="auto"/>
            <w:left w:val="none" w:sz="0" w:space="0" w:color="auto"/>
            <w:bottom w:val="none" w:sz="0" w:space="0" w:color="auto"/>
            <w:right w:val="none" w:sz="0" w:space="0" w:color="auto"/>
          </w:divBdr>
          <w:divsChild>
            <w:div w:id="149861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ABC3CB-892C-4F62-BA8D-4EC5D06FF4DB}">
  <ds:schemaRefs>
    <ds:schemaRef ds:uri="http://schemas.microsoft.com/sharepoint/v3/contenttype/forms"/>
  </ds:schemaRefs>
</ds:datastoreItem>
</file>

<file path=customXml/itemProps2.xml><?xml version="1.0" encoding="utf-8"?>
<ds:datastoreItem xmlns:ds="http://schemas.openxmlformats.org/officeDocument/2006/customXml" ds:itemID="{D0206DDB-9395-42E0-8E2D-12A408D4D072}">
  <ds:schemaRefs>
    <ds:schemaRef ds:uri="http://schemas.microsoft.com/office/2006/metadata/properties"/>
    <ds:schemaRef ds:uri="http://schemas.microsoft.com/office/infopath/2007/PartnerControls"/>
    <ds:schemaRef ds:uri="39d607b5-3019-4139-86e9-2e131faaffa8"/>
    <ds:schemaRef ds:uri="http://schemas.microsoft.com/sharepoint/v3/fields"/>
  </ds:schemaRefs>
</ds:datastoreItem>
</file>

<file path=customXml/itemProps3.xml><?xml version="1.0" encoding="utf-8"?>
<ds:datastoreItem xmlns:ds="http://schemas.openxmlformats.org/officeDocument/2006/customXml" ds:itemID="{BD231E69-C26A-4435-8485-4C4CA5425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204DE3-11EA-4159-B03F-CD0131E046FE}">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55</TotalTime>
  <Pages>8</Pages>
  <Words>12482</Words>
  <Characters>71152</Characters>
  <Application>Microsoft Office Word</Application>
  <DocSecurity>0</DocSecurity>
  <Lines>592</Lines>
  <Paragraphs>166</Paragraphs>
  <ScaleCrop>false</ScaleCrop>
  <HeadingPairs>
    <vt:vector size="10" baseType="variant">
      <vt:variant>
        <vt:lpstr>Title</vt:lpstr>
      </vt:variant>
      <vt:variant>
        <vt:i4>1</vt:i4>
      </vt:variant>
      <vt:variant>
        <vt:lpstr>Titolo</vt:lpstr>
      </vt:variant>
      <vt:variant>
        <vt:i4>1</vt:i4>
      </vt:variant>
      <vt:variant>
        <vt:lpstr>Titel</vt:lpstr>
      </vt:variant>
      <vt:variant>
        <vt:i4>1</vt:i4>
      </vt:variant>
      <vt:variant>
        <vt:lpstr>Naslov</vt:lpstr>
      </vt:variant>
      <vt:variant>
        <vt:i4>1</vt:i4>
      </vt:variant>
      <vt:variant>
        <vt:lpstr>Título</vt:lpstr>
      </vt:variant>
      <vt:variant>
        <vt:i4>1</vt:i4>
      </vt:variant>
    </vt:vector>
  </HeadingPairs>
  <TitlesOfParts>
    <vt:vector size="5" baseType="lpstr">
      <vt:lpstr/>
      <vt:lpstr/>
      <vt:lpstr/>
      <vt:lpstr/>
      <vt:lpstr/>
    </vt:vector>
  </TitlesOfParts>
  <Company/>
  <LinksUpToDate>false</LinksUpToDate>
  <CharactersWithSpaces>83468</CharactersWithSpaces>
  <SharedDoc>false</SharedDoc>
  <HLinks>
    <vt:vector size="318" baseType="variant">
      <vt:variant>
        <vt:i4>1835062</vt:i4>
      </vt:variant>
      <vt:variant>
        <vt:i4>140</vt:i4>
      </vt:variant>
      <vt:variant>
        <vt:i4>0</vt:i4>
      </vt:variant>
      <vt:variant>
        <vt:i4>5</vt:i4>
      </vt:variant>
      <vt:variant>
        <vt:lpwstr/>
      </vt:variant>
      <vt:variant>
        <vt:lpwstr>_Toc139897778</vt:lpwstr>
      </vt:variant>
      <vt:variant>
        <vt:i4>1835062</vt:i4>
      </vt:variant>
      <vt:variant>
        <vt:i4>134</vt:i4>
      </vt:variant>
      <vt:variant>
        <vt:i4>0</vt:i4>
      </vt:variant>
      <vt:variant>
        <vt:i4>5</vt:i4>
      </vt:variant>
      <vt:variant>
        <vt:lpwstr/>
      </vt:variant>
      <vt:variant>
        <vt:lpwstr>_Toc139897777</vt:lpwstr>
      </vt:variant>
      <vt:variant>
        <vt:i4>1835062</vt:i4>
      </vt:variant>
      <vt:variant>
        <vt:i4>128</vt:i4>
      </vt:variant>
      <vt:variant>
        <vt:i4>0</vt:i4>
      </vt:variant>
      <vt:variant>
        <vt:i4>5</vt:i4>
      </vt:variant>
      <vt:variant>
        <vt:lpwstr/>
      </vt:variant>
      <vt:variant>
        <vt:lpwstr>_Toc139897776</vt:lpwstr>
      </vt:variant>
      <vt:variant>
        <vt:i4>1835062</vt:i4>
      </vt:variant>
      <vt:variant>
        <vt:i4>122</vt:i4>
      </vt:variant>
      <vt:variant>
        <vt:i4>0</vt:i4>
      </vt:variant>
      <vt:variant>
        <vt:i4>5</vt:i4>
      </vt:variant>
      <vt:variant>
        <vt:lpwstr/>
      </vt:variant>
      <vt:variant>
        <vt:lpwstr>_Toc139897775</vt:lpwstr>
      </vt:variant>
      <vt:variant>
        <vt:i4>1835062</vt:i4>
      </vt:variant>
      <vt:variant>
        <vt:i4>116</vt:i4>
      </vt:variant>
      <vt:variant>
        <vt:i4>0</vt:i4>
      </vt:variant>
      <vt:variant>
        <vt:i4>5</vt:i4>
      </vt:variant>
      <vt:variant>
        <vt:lpwstr/>
      </vt:variant>
      <vt:variant>
        <vt:lpwstr>_Toc139897774</vt:lpwstr>
      </vt:variant>
      <vt:variant>
        <vt:i4>1835062</vt:i4>
      </vt:variant>
      <vt:variant>
        <vt:i4>110</vt:i4>
      </vt:variant>
      <vt:variant>
        <vt:i4>0</vt:i4>
      </vt:variant>
      <vt:variant>
        <vt:i4>5</vt:i4>
      </vt:variant>
      <vt:variant>
        <vt:lpwstr/>
      </vt:variant>
      <vt:variant>
        <vt:lpwstr>_Toc139897773</vt:lpwstr>
      </vt:variant>
      <vt:variant>
        <vt:i4>1835062</vt:i4>
      </vt:variant>
      <vt:variant>
        <vt:i4>104</vt:i4>
      </vt:variant>
      <vt:variant>
        <vt:i4>0</vt:i4>
      </vt:variant>
      <vt:variant>
        <vt:i4>5</vt:i4>
      </vt:variant>
      <vt:variant>
        <vt:lpwstr/>
      </vt:variant>
      <vt:variant>
        <vt:lpwstr>_Toc139897772</vt:lpwstr>
      </vt:variant>
      <vt:variant>
        <vt:i4>1835062</vt:i4>
      </vt:variant>
      <vt:variant>
        <vt:i4>98</vt:i4>
      </vt:variant>
      <vt:variant>
        <vt:i4>0</vt:i4>
      </vt:variant>
      <vt:variant>
        <vt:i4>5</vt:i4>
      </vt:variant>
      <vt:variant>
        <vt:lpwstr/>
      </vt:variant>
      <vt:variant>
        <vt:lpwstr>_Toc139897771</vt:lpwstr>
      </vt:variant>
      <vt:variant>
        <vt:i4>1835062</vt:i4>
      </vt:variant>
      <vt:variant>
        <vt:i4>92</vt:i4>
      </vt:variant>
      <vt:variant>
        <vt:i4>0</vt:i4>
      </vt:variant>
      <vt:variant>
        <vt:i4>5</vt:i4>
      </vt:variant>
      <vt:variant>
        <vt:lpwstr/>
      </vt:variant>
      <vt:variant>
        <vt:lpwstr>_Toc139897770</vt:lpwstr>
      </vt:variant>
      <vt:variant>
        <vt:i4>1900598</vt:i4>
      </vt:variant>
      <vt:variant>
        <vt:i4>86</vt:i4>
      </vt:variant>
      <vt:variant>
        <vt:i4>0</vt:i4>
      </vt:variant>
      <vt:variant>
        <vt:i4>5</vt:i4>
      </vt:variant>
      <vt:variant>
        <vt:lpwstr/>
      </vt:variant>
      <vt:variant>
        <vt:lpwstr>_Toc139897769</vt:lpwstr>
      </vt:variant>
      <vt:variant>
        <vt:i4>1900598</vt:i4>
      </vt:variant>
      <vt:variant>
        <vt:i4>80</vt:i4>
      </vt:variant>
      <vt:variant>
        <vt:i4>0</vt:i4>
      </vt:variant>
      <vt:variant>
        <vt:i4>5</vt:i4>
      </vt:variant>
      <vt:variant>
        <vt:lpwstr/>
      </vt:variant>
      <vt:variant>
        <vt:lpwstr>_Toc139897768</vt:lpwstr>
      </vt:variant>
      <vt:variant>
        <vt:i4>1900598</vt:i4>
      </vt:variant>
      <vt:variant>
        <vt:i4>74</vt:i4>
      </vt:variant>
      <vt:variant>
        <vt:i4>0</vt:i4>
      </vt:variant>
      <vt:variant>
        <vt:i4>5</vt:i4>
      </vt:variant>
      <vt:variant>
        <vt:lpwstr/>
      </vt:variant>
      <vt:variant>
        <vt:lpwstr>_Toc139897767</vt:lpwstr>
      </vt:variant>
      <vt:variant>
        <vt:i4>1900598</vt:i4>
      </vt:variant>
      <vt:variant>
        <vt:i4>68</vt:i4>
      </vt:variant>
      <vt:variant>
        <vt:i4>0</vt:i4>
      </vt:variant>
      <vt:variant>
        <vt:i4>5</vt:i4>
      </vt:variant>
      <vt:variant>
        <vt:lpwstr/>
      </vt:variant>
      <vt:variant>
        <vt:lpwstr>_Toc139897766</vt:lpwstr>
      </vt:variant>
      <vt:variant>
        <vt:i4>1900598</vt:i4>
      </vt:variant>
      <vt:variant>
        <vt:i4>62</vt:i4>
      </vt:variant>
      <vt:variant>
        <vt:i4>0</vt:i4>
      </vt:variant>
      <vt:variant>
        <vt:i4>5</vt:i4>
      </vt:variant>
      <vt:variant>
        <vt:lpwstr/>
      </vt:variant>
      <vt:variant>
        <vt:lpwstr>_Toc139897765</vt:lpwstr>
      </vt:variant>
      <vt:variant>
        <vt:i4>1900598</vt:i4>
      </vt:variant>
      <vt:variant>
        <vt:i4>56</vt:i4>
      </vt:variant>
      <vt:variant>
        <vt:i4>0</vt:i4>
      </vt:variant>
      <vt:variant>
        <vt:i4>5</vt:i4>
      </vt:variant>
      <vt:variant>
        <vt:lpwstr/>
      </vt:variant>
      <vt:variant>
        <vt:lpwstr>_Toc139897764</vt:lpwstr>
      </vt:variant>
      <vt:variant>
        <vt:i4>1900598</vt:i4>
      </vt:variant>
      <vt:variant>
        <vt:i4>50</vt:i4>
      </vt:variant>
      <vt:variant>
        <vt:i4>0</vt:i4>
      </vt:variant>
      <vt:variant>
        <vt:i4>5</vt:i4>
      </vt:variant>
      <vt:variant>
        <vt:lpwstr/>
      </vt:variant>
      <vt:variant>
        <vt:lpwstr>_Toc139897763</vt:lpwstr>
      </vt:variant>
      <vt:variant>
        <vt:i4>1900598</vt:i4>
      </vt:variant>
      <vt:variant>
        <vt:i4>44</vt:i4>
      </vt:variant>
      <vt:variant>
        <vt:i4>0</vt:i4>
      </vt:variant>
      <vt:variant>
        <vt:i4>5</vt:i4>
      </vt:variant>
      <vt:variant>
        <vt:lpwstr/>
      </vt:variant>
      <vt:variant>
        <vt:lpwstr>_Toc139897762</vt:lpwstr>
      </vt:variant>
      <vt:variant>
        <vt:i4>1900598</vt:i4>
      </vt:variant>
      <vt:variant>
        <vt:i4>38</vt:i4>
      </vt:variant>
      <vt:variant>
        <vt:i4>0</vt:i4>
      </vt:variant>
      <vt:variant>
        <vt:i4>5</vt:i4>
      </vt:variant>
      <vt:variant>
        <vt:lpwstr/>
      </vt:variant>
      <vt:variant>
        <vt:lpwstr>_Toc139897761</vt:lpwstr>
      </vt:variant>
      <vt:variant>
        <vt:i4>1900598</vt:i4>
      </vt:variant>
      <vt:variant>
        <vt:i4>32</vt:i4>
      </vt:variant>
      <vt:variant>
        <vt:i4>0</vt:i4>
      </vt:variant>
      <vt:variant>
        <vt:i4>5</vt:i4>
      </vt:variant>
      <vt:variant>
        <vt:lpwstr/>
      </vt:variant>
      <vt:variant>
        <vt:lpwstr>_Toc139897760</vt:lpwstr>
      </vt:variant>
      <vt:variant>
        <vt:i4>1966134</vt:i4>
      </vt:variant>
      <vt:variant>
        <vt:i4>26</vt:i4>
      </vt:variant>
      <vt:variant>
        <vt:i4>0</vt:i4>
      </vt:variant>
      <vt:variant>
        <vt:i4>5</vt:i4>
      </vt:variant>
      <vt:variant>
        <vt:lpwstr/>
      </vt:variant>
      <vt:variant>
        <vt:lpwstr>_Toc139897759</vt:lpwstr>
      </vt:variant>
      <vt:variant>
        <vt:i4>1966134</vt:i4>
      </vt:variant>
      <vt:variant>
        <vt:i4>20</vt:i4>
      </vt:variant>
      <vt:variant>
        <vt:i4>0</vt:i4>
      </vt:variant>
      <vt:variant>
        <vt:i4>5</vt:i4>
      </vt:variant>
      <vt:variant>
        <vt:lpwstr/>
      </vt:variant>
      <vt:variant>
        <vt:lpwstr>_Toc139897758</vt:lpwstr>
      </vt:variant>
      <vt:variant>
        <vt:i4>1966134</vt:i4>
      </vt:variant>
      <vt:variant>
        <vt:i4>14</vt:i4>
      </vt:variant>
      <vt:variant>
        <vt:i4>0</vt:i4>
      </vt:variant>
      <vt:variant>
        <vt:i4>5</vt:i4>
      </vt:variant>
      <vt:variant>
        <vt:lpwstr/>
      </vt:variant>
      <vt:variant>
        <vt:lpwstr>_Toc139897757</vt:lpwstr>
      </vt:variant>
      <vt:variant>
        <vt:i4>1966134</vt:i4>
      </vt:variant>
      <vt:variant>
        <vt:i4>8</vt:i4>
      </vt:variant>
      <vt:variant>
        <vt:i4>0</vt:i4>
      </vt:variant>
      <vt:variant>
        <vt:i4>5</vt:i4>
      </vt:variant>
      <vt:variant>
        <vt:lpwstr/>
      </vt:variant>
      <vt:variant>
        <vt:lpwstr>_Toc139897756</vt:lpwstr>
      </vt:variant>
      <vt:variant>
        <vt:i4>1966134</vt:i4>
      </vt:variant>
      <vt:variant>
        <vt:i4>2</vt:i4>
      </vt:variant>
      <vt:variant>
        <vt:i4>0</vt:i4>
      </vt:variant>
      <vt:variant>
        <vt:i4>5</vt:i4>
      </vt:variant>
      <vt:variant>
        <vt:lpwstr/>
      </vt:variant>
      <vt:variant>
        <vt:lpwstr>_Toc139897755</vt:lpwstr>
      </vt:variant>
      <vt:variant>
        <vt:i4>5177399</vt:i4>
      </vt:variant>
      <vt:variant>
        <vt:i4>6</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5177399</vt:i4>
      </vt:variant>
      <vt:variant>
        <vt:i4>3</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4522038</vt:i4>
      </vt:variant>
      <vt:variant>
        <vt:i4>0</vt:i4>
      </vt:variant>
      <vt:variant>
        <vt:i4>0</vt:i4>
      </vt:variant>
      <vt:variant>
        <vt:i4>5</vt:i4>
      </vt:variant>
      <vt:variant>
        <vt:lpwstr>https://www.eba.europa.eu/sites/default/documents/files/document_library/Publications/Draft Technical Standards/2022/EBA-RTS-2022-10 RTS on SOTs/1041756/Final draft RTS on SOTs.pdf</vt:lpwstr>
      </vt:variant>
      <vt:variant>
        <vt:lpwstr/>
      </vt:variant>
      <vt:variant>
        <vt:i4>3473436</vt:i4>
      </vt:variant>
      <vt:variant>
        <vt:i4>75</vt:i4>
      </vt:variant>
      <vt:variant>
        <vt:i4>0</vt:i4>
      </vt:variant>
      <vt:variant>
        <vt:i4>5</vt:i4>
      </vt:variant>
      <vt:variant>
        <vt:lpwstr>mailto:Davide.Vioto@eba.europa.eu</vt:lpwstr>
      </vt:variant>
      <vt:variant>
        <vt:lpwstr/>
      </vt:variant>
      <vt:variant>
        <vt:i4>3473436</vt:i4>
      </vt:variant>
      <vt:variant>
        <vt:i4>72</vt:i4>
      </vt:variant>
      <vt:variant>
        <vt:i4>0</vt:i4>
      </vt:variant>
      <vt:variant>
        <vt:i4>5</vt:i4>
      </vt:variant>
      <vt:variant>
        <vt:lpwstr>mailto:Davide.Vioto@eba.europa.eu</vt:lpwstr>
      </vt:variant>
      <vt:variant>
        <vt:lpwstr/>
      </vt:variant>
      <vt:variant>
        <vt:i4>3801093</vt:i4>
      </vt:variant>
      <vt:variant>
        <vt:i4>69</vt:i4>
      </vt:variant>
      <vt:variant>
        <vt:i4>0</vt:i4>
      </vt:variant>
      <vt:variant>
        <vt:i4>5</vt:i4>
      </vt:variant>
      <vt:variant>
        <vt:lpwstr>mailto:Teresa.Bento@eba.europa.eu</vt:lpwstr>
      </vt:variant>
      <vt:variant>
        <vt:lpwstr/>
      </vt:variant>
      <vt:variant>
        <vt:i4>3473436</vt:i4>
      </vt:variant>
      <vt:variant>
        <vt:i4>66</vt:i4>
      </vt:variant>
      <vt:variant>
        <vt:i4>0</vt:i4>
      </vt:variant>
      <vt:variant>
        <vt:i4>5</vt:i4>
      </vt:variant>
      <vt:variant>
        <vt:lpwstr>mailto:Davide.Vioto@eba.europa.eu</vt:lpwstr>
      </vt:variant>
      <vt:variant>
        <vt:lpwstr/>
      </vt:variant>
      <vt:variant>
        <vt:i4>3473436</vt:i4>
      </vt:variant>
      <vt:variant>
        <vt:i4>63</vt:i4>
      </vt:variant>
      <vt:variant>
        <vt:i4>0</vt:i4>
      </vt:variant>
      <vt:variant>
        <vt:i4>5</vt:i4>
      </vt:variant>
      <vt:variant>
        <vt:lpwstr>mailto:Davide.Vioto@eba.europa.eu</vt:lpwstr>
      </vt:variant>
      <vt:variant>
        <vt:lpwstr/>
      </vt:variant>
      <vt:variant>
        <vt:i4>3473436</vt:i4>
      </vt:variant>
      <vt:variant>
        <vt:i4>60</vt:i4>
      </vt:variant>
      <vt:variant>
        <vt:i4>0</vt:i4>
      </vt:variant>
      <vt:variant>
        <vt:i4>5</vt:i4>
      </vt:variant>
      <vt:variant>
        <vt:lpwstr>mailto:Davide.Vioto@eba.europa.eu</vt:lpwstr>
      </vt:variant>
      <vt:variant>
        <vt:lpwstr/>
      </vt:variant>
      <vt:variant>
        <vt:i4>3473436</vt:i4>
      </vt:variant>
      <vt:variant>
        <vt:i4>57</vt:i4>
      </vt:variant>
      <vt:variant>
        <vt:i4>0</vt:i4>
      </vt:variant>
      <vt:variant>
        <vt:i4>5</vt:i4>
      </vt:variant>
      <vt:variant>
        <vt:lpwstr>mailto:Davide.Vioto@eba.europa.eu</vt:lpwstr>
      </vt:variant>
      <vt:variant>
        <vt:lpwstr/>
      </vt:variant>
      <vt:variant>
        <vt:i4>3473436</vt:i4>
      </vt:variant>
      <vt:variant>
        <vt:i4>54</vt:i4>
      </vt:variant>
      <vt:variant>
        <vt:i4>0</vt:i4>
      </vt:variant>
      <vt:variant>
        <vt:i4>5</vt:i4>
      </vt:variant>
      <vt:variant>
        <vt:lpwstr>mailto:Davide.Vioto@eba.europa.eu</vt:lpwstr>
      </vt:variant>
      <vt:variant>
        <vt:lpwstr/>
      </vt:variant>
      <vt:variant>
        <vt:i4>3473436</vt:i4>
      </vt:variant>
      <vt:variant>
        <vt:i4>51</vt:i4>
      </vt:variant>
      <vt:variant>
        <vt:i4>0</vt:i4>
      </vt:variant>
      <vt:variant>
        <vt:i4>5</vt:i4>
      </vt:variant>
      <vt:variant>
        <vt:lpwstr>mailto:Davide.Vioto@eba.europa.eu</vt:lpwstr>
      </vt:variant>
      <vt:variant>
        <vt:lpwstr/>
      </vt:variant>
      <vt:variant>
        <vt:i4>3473436</vt:i4>
      </vt:variant>
      <vt:variant>
        <vt:i4>48</vt:i4>
      </vt:variant>
      <vt:variant>
        <vt:i4>0</vt:i4>
      </vt:variant>
      <vt:variant>
        <vt:i4>5</vt:i4>
      </vt:variant>
      <vt:variant>
        <vt:lpwstr>mailto:Davide.Vioto@eba.europa.eu</vt:lpwstr>
      </vt:variant>
      <vt:variant>
        <vt:lpwstr/>
      </vt:variant>
      <vt:variant>
        <vt:i4>3473436</vt:i4>
      </vt:variant>
      <vt:variant>
        <vt:i4>45</vt:i4>
      </vt:variant>
      <vt:variant>
        <vt:i4>0</vt:i4>
      </vt:variant>
      <vt:variant>
        <vt:i4>5</vt:i4>
      </vt:variant>
      <vt:variant>
        <vt:lpwstr>mailto:Davide.Vioto@eba.europa.eu</vt:lpwstr>
      </vt:variant>
      <vt:variant>
        <vt:lpwstr/>
      </vt:variant>
      <vt:variant>
        <vt:i4>3473436</vt:i4>
      </vt:variant>
      <vt:variant>
        <vt:i4>42</vt:i4>
      </vt:variant>
      <vt:variant>
        <vt:i4>0</vt:i4>
      </vt:variant>
      <vt:variant>
        <vt:i4>5</vt:i4>
      </vt:variant>
      <vt:variant>
        <vt:lpwstr>mailto:Davide.Vioto@eba.europa.eu</vt:lpwstr>
      </vt:variant>
      <vt:variant>
        <vt:lpwstr/>
      </vt:variant>
      <vt:variant>
        <vt:i4>3473436</vt:i4>
      </vt:variant>
      <vt:variant>
        <vt:i4>39</vt:i4>
      </vt:variant>
      <vt:variant>
        <vt:i4>0</vt:i4>
      </vt:variant>
      <vt:variant>
        <vt:i4>5</vt:i4>
      </vt:variant>
      <vt:variant>
        <vt:lpwstr>mailto:Davide.Vioto@eba.europa.eu</vt:lpwstr>
      </vt:variant>
      <vt:variant>
        <vt:lpwstr/>
      </vt:variant>
      <vt:variant>
        <vt:i4>3473436</vt:i4>
      </vt:variant>
      <vt:variant>
        <vt:i4>36</vt:i4>
      </vt:variant>
      <vt:variant>
        <vt:i4>0</vt:i4>
      </vt:variant>
      <vt:variant>
        <vt:i4>5</vt:i4>
      </vt:variant>
      <vt:variant>
        <vt:lpwstr>mailto:Davide.Vioto@eba.europa.eu</vt:lpwstr>
      </vt:variant>
      <vt:variant>
        <vt:lpwstr/>
      </vt:variant>
      <vt:variant>
        <vt:i4>3473436</vt:i4>
      </vt:variant>
      <vt:variant>
        <vt:i4>33</vt:i4>
      </vt:variant>
      <vt:variant>
        <vt:i4>0</vt:i4>
      </vt:variant>
      <vt:variant>
        <vt:i4>5</vt:i4>
      </vt:variant>
      <vt:variant>
        <vt:lpwstr>mailto:Davide.Vioto@eba.europa.eu</vt:lpwstr>
      </vt:variant>
      <vt:variant>
        <vt:lpwstr/>
      </vt:variant>
      <vt:variant>
        <vt:i4>8060994</vt:i4>
      </vt:variant>
      <vt:variant>
        <vt:i4>30</vt:i4>
      </vt:variant>
      <vt:variant>
        <vt:i4>0</vt:i4>
      </vt:variant>
      <vt:variant>
        <vt:i4>5</vt:i4>
      </vt:variant>
      <vt:variant>
        <vt:lpwstr>mailto:Jorge.Rivero@eba.europa.eu</vt:lpwstr>
      </vt:variant>
      <vt:variant>
        <vt:lpwstr/>
      </vt:variant>
      <vt:variant>
        <vt:i4>3473436</vt:i4>
      </vt:variant>
      <vt:variant>
        <vt:i4>27</vt:i4>
      </vt:variant>
      <vt:variant>
        <vt:i4>0</vt:i4>
      </vt:variant>
      <vt:variant>
        <vt:i4>5</vt:i4>
      </vt:variant>
      <vt:variant>
        <vt:lpwstr>mailto:Davide.Vioto@eba.europa.eu</vt:lpwstr>
      </vt:variant>
      <vt:variant>
        <vt:lpwstr/>
      </vt:variant>
      <vt:variant>
        <vt:i4>3473436</vt:i4>
      </vt:variant>
      <vt:variant>
        <vt:i4>24</vt:i4>
      </vt:variant>
      <vt:variant>
        <vt:i4>0</vt:i4>
      </vt:variant>
      <vt:variant>
        <vt:i4>5</vt:i4>
      </vt:variant>
      <vt:variant>
        <vt:lpwstr>mailto:Davide.Vioto@eba.europa.eu</vt:lpwstr>
      </vt:variant>
      <vt:variant>
        <vt:lpwstr/>
      </vt:variant>
      <vt:variant>
        <vt:i4>3473436</vt:i4>
      </vt:variant>
      <vt:variant>
        <vt:i4>21</vt:i4>
      </vt:variant>
      <vt:variant>
        <vt:i4>0</vt:i4>
      </vt:variant>
      <vt:variant>
        <vt:i4>5</vt:i4>
      </vt:variant>
      <vt:variant>
        <vt:lpwstr>mailto:Davide.Vioto@eba.europa.eu</vt:lpwstr>
      </vt:variant>
      <vt:variant>
        <vt:lpwstr/>
      </vt:variant>
      <vt:variant>
        <vt:i4>3473436</vt:i4>
      </vt:variant>
      <vt:variant>
        <vt:i4>18</vt:i4>
      </vt:variant>
      <vt:variant>
        <vt:i4>0</vt:i4>
      </vt:variant>
      <vt:variant>
        <vt:i4>5</vt:i4>
      </vt:variant>
      <vt:variant>
        <vt:lpwstr>mailto:Davide.Vioto@eba.europa.eu</vt:lpwstr>
      </vt:variant>
      <vt:variant>
        <vt:lpwstr/>
      </vt:variant>
      <vt:variant>
        <vt:i4>3801093</vt:i4>
      </vt:variant>
      <vt:variant>
        <vt:i4>15</vt:i4>
      </vt:variant>
      <vt:variant>
        <vt:i4>0</vt:i4>
      </vt:variant>
      <vt:variant>
        <vt:i4>5</vt:i4>
      </vt:variant>
      <vt:variant>
        <vt:lpwstr>mailto:Teresa.Bento@eba.europa.eu</vt:lpwstr>
      </vt:variant>
      <vt:variant>
        <vt:lpwstr/>
      </vt:variant>
      <vt:variant>
        <vt:i4>3473436</vt:i4>
      </vt:variant>
      <vt:variant>
        <vt:i4>12</vt:i4>
      </vt:variant>
      <vt:variant>
        <vt:i4>0</vt:i4>
      </vt:variant>
      <vt:variant>
        <vt:i4>5</vt:i4>
      </vt:variant>
      <vt:variant>
        <vt:lpwstr>mailto:Davide.Vioto@eba.europa.eu</vt:lpwstr>
      </vt:variant>
      <vt:variant>
        <vt:lpwstr/>
      </vt:variant>
      <vt:variant>
        <vt:i4>3801093</vt:i4>
      </vt:variant>
      <vt:variant>
        <vt:i4>9</vt:i4>
      </vt:variant>
      <vt:variant>
        <vt:i4>0</vt:i4>
      </vt:variant>
      <vt:variant>
        <vt:i4>5</vt:i4>
      </vt:variant>
      <vt:variant>
        <vt:lpwstr>mailto:Teresa.Bento@eba.europa.eu</vt:lpwstr>
      </vt:variant>
      <vt:variant>
        <vt:lpwstr/>
      </vt:variant>
      <vt:variant>
        <vt:i4>3473436</vt:i4>
      </vt:variant>
      <vt:variant>
        <vt:i4>6</vt:i4>
      </vt:variant>
      <vt:variant>
        <vt:i4>0</vt:i4>
      </vt:variant>
      <vt:variant>
        <vt:i4>5</vt:i4>
      </vt:variant>
      <vt:variant>
        <vt:lpwstr>mailto:Davide.Vioto@eba.europa.eu</vt:lpwstr>
      </vt:variant>
      <vt:variant>
        <vt:lpwstr/>
      </vt:variant>
      <vt:variant>
        <vt:i4>3801093</vt:i4>
      </vt:variant>
      <vt:variant>
        <vt:i4>3</vt:i4>
      </vt:variant>
      <vt:variant>
        <vt:i4>0</vt:i4>
      </vt:variant>
      <vt:variant>
        <vt:i4>5</vt:i4>
      </vt:variant>
      <vt:variant>
        <vt:lpwstr>mailto:Teresa.Bento@eba.europa.eu</vt:lpwstr>
      </vt:variant>
      <vt:variant>
        <vt:lpwstr/>
      </vt:variant>
      <vt:variant>
        <vt:i4>3473436</vt:i4>
      </vt:variant>
      <vt:variant>
        <vt:i4>0</vt:i4>
      </vt:variant>
      <vt:variant>
        <vt:i4>0</vt:i4>
      </vt:variant>
      <vt:variant>
        <vt:i4>5</vt:i4>
      </vt:variant>
      <vt:variant>
        <vt:lpwstr>mailto:Davide.Vioto@eba.europa.eu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Teresa Bento</dc:creator>
  <cp:keywords/>
  <dc:description/>
  <cp:lastModifiedBy>EC CoDe</cp:lastModifiedBy>
  <cp:revision>12</cp:revision>
  <dcterms:created xsi:type="dcterms:W3CDTF">2024-02-28T13:41:00Z</dcterms:created>
  <dcterms:modified xsi:type="dcterms:W3CDTF">2024-03-08T08:32:00Z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2023-08-11T08:59:16Z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f10ae1ef-2de3-4843-ad84-ffdb1424f5d1</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First annex">
    <vt:lpwstr>2</vt:lpwstr>
  </property>
  <property fmtid="{D5CDD505-2E9C-101B-9397-08002B2CF9AE}" pid="11" name="Last annex">
    <vt:lpwstr>2</vt:lpwstr>
  </property>
  <property fmtid="{D5CDD505-2E9C-101B-9397-08002B2CF9AE}" pid="12" name="Unique annex">
    <vt:lpwstr>0</vt:lpwstr>
  </property>
  <property fmtid="{D5CDD505-2E9C-101B-9397-08002B2CF9AE}" pid="13" name="Part">
    <vt:lpwstr>1</vt:lpwstr>
  </property>
  <property fmtid="{D5CDD505-2E9C-101B-9397-08002B2CF9AE}" pid="14" name="Total parts">
    <vt:lpwstr>1</vt:lpwstr>
  </property>
  <property fmtid="{D5CDD505-2E9C-101B-9397-08002B2CF9AE}" pid="15" name="DocStatus">
    <vt:lpwstr>Green</vt:lpwstr>
  </property>
  <property fmtid="{D5CDD505-2E9C-101B-9397-08002B2CF9AE}" pid="16" name="CPTemplateID">
    <vt:lpwstr>CP-038</vt:lpwstr>
  </property>
  <property fmtid="{D5CDD505-2E9C-101B-9397-08002B2CF9AE}" pid="17" name="Last edited using">
    <vt:lpwstr>LW 9.0, Build 20230317</vt:lpwstr>
  </property>
  <property fmtid="{D5CDD505-2E9C-101B-9397-08002B2CF9AE}" pid="18" name="Created using">
    <vt:lpwstr>LW 9.0, Build 20230317</vt:lpwstr>
  </property>
  <property fmtid="{D5CDD505-2E9C-101B-9397-08002B2CF9AE}" pid="19" name="ContentTypeId">
    <vt:lpwstr>0x010100258AA79CEB83498886A3A086811232500033285A78CCB54F4DA2ECE5FA2B2AF218</vt:lpwstr>
  </property>
</Properties>
</file>