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2359B845" w:rsidR="00D82419" w:rsidRPr="00D82419" w:rsidRDefault="00733FB1" w:rsidP="00733FB1">
      <w:pPr>
        <w:pStyle w:val="Pagedecouverture"/>
        <w:rPr>
          <w:noProof/>
        </w:rPr>
      </w:pPr>
      <w:bookmarkStart w:id="0" w:name="_Toc262568021"/>
      <w:bookmarkStart w:id="1" w:name="_Toc295829847"/>
      <w:bookmarkStart w:id="2" w:name="LW_BM_COVERPAGE"/>
      <w:r>
        <w:rPr>
          <w:noProof/>
        </w:rPr>
        <w:pict w14:anchorId="5D3343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521BA89-4C04-4755-9AAA-5076E28B62CD"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733FB1">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Приложение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„ПРИЛОЖЕНИЕ XXIX</w:t>
      </w:r>
    </w:p>
    <w:p w14:paraId="644BA8AC" w14:textId="314CBDC6"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УКАЗАНИЯ ЗА ОТЧИТАНЕ</w:t>
      </w:r>
      <w:r w:rsidR="00A90C2D">
        <w:rPr>
          <w:rFonts w:ascii="Times New Roman" w:hAnsi="Times New Roman"/>
          <w:b/>
          <w:noProof/>
          <w:sz w:val="24"/>
        </w:rPr>
        <w:t>ТО</w:t>
      </w:r>
      <w:r>
        <w:rPr>
          <w:rFonts w:ascii="Times New Roman" w:hAnsi="Times New Roman"/>
          <w:b/>
          <w:noProof/>
          <w:sz w:val="24"/>
        </w:rPr>
        <w:t xml:space="preserve"> НА ЛИХВЕНИЯ РИСК В БАНКОВИЯ ПОРТФЕЙЛ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2F0B4B">
      <w:pPr>
        <w:pStyle w:val="InstructionsText"/>
        <w:rPr>
          <w:noProof/>
        </w:rPr>
      </w:pPr>
      <w:r>
        <w:rPr>
          <w:noProof/>
        </w:rPr>
        <w:t>Съдържание</w:t>
      </w:r>
    </w:p>
    <w:p w14:paraId="43DB331B" w14:textId="0ACF7807" w:rsidR="004D26C0"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087686" w:history="1">
        <w:r w:rsidR="004D26C0" w:rsidRPr="002F1831">
          <w:rPr>
            <w:rStyle w:val="Hyperlink"/>
          </w:rPr>
          <w:t>ЧАСТ I: ОБЩИ УКАЗАНИЯ</w:t>
        </w:r>
        <w:r w:rsidR="004D26C0">
          <w:rPr>
            <w:webHidden/>
          </w:rPr>
          <w:tab/>
        </w:r>
        <w:r w:rsidR="004D26C0">
          <w:rPr>
            <w:webHidden/>
          </w:rPr>
          <w:fldChar w:fldCharType="begin"/>
        </w:r>
        <w:r w:rsidR="004D26C0">
          <w:rPr>
            <w:webHidden/>
          </w:rPr>
          <w:instrText xml:space="preserve"> PAGEREF _Toc160087686 \h </w:instrText>
        </w:r>
        <w:r w:rsidR="004D26C0">
          <w:rPr>
            <w:webHidden/>
          </w:rPr>
        </w:r>
        <w:r w:rsidR="004D26C0">
          <w:rPr>
            <w:webHidden/>
          </w:rPr>
          <w:fldChar w:fldCharType="separate"/>
        </w:r>
        <w:r w:rsidR="004D26C0">
          <w:rPr>
            <w:webHidden/>
          </w:rPr>
          <w:t>2</w:t>
        </w:r>
        <w:r w:rsidR="004D26C0">
          <w:rPr>
            <w:webHidden/>
          </w:rPr>
          <w:fldChar w:fldCharType="end"/>
        </w:r>
      </w:hyperlink>
    </w:p>
    <w:p w14:paraId="4B4474E4" w14:textId="370DA56A"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87" w:history="1">
        <w:r w:rsidR="004D26C0" w:rsidRPr="002F1831">
          <w:rPr>
            <w:rStyle w:val="Hyperlink"/>
            <w:bCs/>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Структура</w:t>
        </w:r>
        <w:r w:rsidR="004D26C0">
          <w:rPr>
            <w:webHidden/>
          </w:rPr>
          <w:tab/>
        </w:r>
        <w:r w:rsidR="004D26C0">
          <w:rPr>
            <w:webHidden/>
          </w:rPr>
          <w:fldChar w:fldCharType="begin"/>
        </w:r>
        <w:r w:rsidR="004D26C0">
          <w:rPr>
            <w:webHidden/>
          </w:rPr>
          <w:instrText xml:space="preserve"> PAGEREF _Toc160087687 \h </w:instrText>
        </w:r>
        <w:r w:rsidR="004D26C0">
          <w:rPr>
            <w:webHidden/>
          </w:rPr>
        </w:r>
        <w:r w:rsidR="004D26C0">
          <w:rPr>
            <w:webHidden/>
          </w:rPr>
          <w:fldChar w:fldCharType="separate"/>
        </w:r>
        <w:r w:rsidR="004D26C0">
          <w:rPr>
            <w:webHidden/>
          </w:rPr>
          <w:t>2</w:t>
        </w:r>
        <w:r w:rsidR="004D26C0">
          <w:rPr>
            <w:webHidden/>
          </w:rPr>
          <w:fldChar w:fldCharType="end"/>
        </w:r>
      </w:hyperlink>
    </w:p>
    <w:p w14:paraId="1C451FC1" w14:textId="2035F1BF"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88" w:history="1">
        <w:r w:rsidR="004D26C0" w:rsidRPr="002F1831">
          <w:rPr>
            <w:rStyle w:val="Hyperlink"/>
            <w:bCs/>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Обхват на отчитането</w:t>
        </w:r>
        <w:r w:rsidR="004D26C0">
          <w:rPr>
            <w:webHidden/>
          </w:rPr>
          <w:tab/>
        </w:r>
        <w:r w:rsidR="004D26C0">
          <w:rPr>
            <w:webHidden/>
          </w:rPr>
          <w:fldChar w:fldCharType="begin"/>
        </w:r>
        <w:r w:rsidR="004D26C0">
          <w:rPr>
            <w:webHidden/>
          </w:rPr>
          <w:instrText xml:space="preserve"> PAGEREF _Toc160087688 \h </w:instrText>
        </w:r>
        <w:r w:rsidR="004D26C0">
          <w:rPr>
            <w:webHidden/>
          </w:rPr>
        </w:r>
        <w:r w:rsidR="004D26C0">
          <w:rPr>
            <w:webHidden/>
          </w:rPr>
          <w:fldChar w:fldCharType="separate"/>
        </w:r>
        <w:r w:rsidR="004D26C0">
          <w:rPr>
            <w:webHidden/>
          </w:rPr>
          <w:t>2</w:t>
        </w:r>
        <w:r w:rsidR="004D26C0">
          <w:rPr>
            <w:webHidden/>
          </w:rPr>
          <w:fldChar w:fldCharType="end"/>
        </w:r>
      </w:hyperlink>
    </w:p>
    <w:p w14:paraId="22DFE92F" w14:textId="11789E5E"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89" w:history="1">
        <w:r w:rsidR="004D26C0" w:rsidRPr="002F1831">
          <w:rPr>
            <w:rStyle w:val="Hyperlink"/>
            <w:bCs/>
          </w:rPr>
          <w:t>3.</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Третиране на инструментите с фиксиран/плаващ лихвен процент</w:t>
        </w:r>
        <w:r w:rsidR="004D26C0">
          <w:rPr>
            <w:webHidden/>
          </w:rPr>
          <w:tab/>
        </w:r>
        <w:r w:rsidR="004D26C0">
          <w:rPr>
            <w:webHidden/>
          </w:rPr>
          <w:fldChar w:fldCharType="begin"/>
        </w:r>
        <w:r w:rsidR="004D26C0">
          <w:rPr>
            <w:webHidden/>
          </w:rPr>
          <w:instrText xml:space="preserve"> PAGEREF _Toc160087689 \h </w:instrText>
        </w:r>
        <w:r w:rsidR="004D26C0">
          <w:rPr>
            <w:webHidden/>
          </w:rPr>
        </w:r>
        <w:r w:rsidR="004D26C0">
          <w:rPr>
            <w:webHidden/>
          </w:rPr>
          <w:fldChar w:fldCharType="separate"/>
        </w:r>
        <w:r w:rsidR="004D26C0">
          <w:rPr>
            <w:webHidden/>
          </w:rPr>
          <w:t>3</w:t>
        </w:r>
        <w:r w:rsidR="004D26C0">
          <w:rPr>
            <w:webHidden/>
          </w:rPr>
          <w:fldChar w:fldCharType="end"/>
        </w:r>
      </w:hyperlink>
    </w:p>
    <w:p w14:paraId="03018127" w14:textId="08EE8838"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0" w:history="1">
        <w:r w:rsidR="004D26C0" w:rsidRPr="002F1831">
          <w:rPr>
            <w:rStyle w:val="Hyperlink"/>
            <w:bCs/>
          </w:rPr>
          <w:t>4.</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Третиране на опциите</w:t>
        </w:r>
        <w:r w:rsidR="004D26C0">
          <w:rPr>
            <w:webHidden/>
          </w:rPr>
          <w:tab/>
        </w:r>
        <w:r w:rsidR="004D26C0">
          <w:rPr>
            <w:webHidden/>
          </w:rPr>
          <w:fldChar w:fldCharType="begin"/>
        </w:r>
        <w:r w:rsidR="004D26C0">
          <w:rPr>
            <w:webHidden/>
          </w:rPr>
          <w:instrText xml:space="preserve"> PAGEREF _Toc160087690 \h </w:instrText>
        </w:r>
        <w:r w:rsidR="004D26C0">
          <w:rPr>
            <w:webHidden/>
          </w:rPr>
        </w:r>
        <w:r w:rsidR="004D26C0">
          <w:rPr>
            <w:webHidden/>
          </w:rPr>
          <w:fldChar w:fldCharType="separate"/>
        </w:r>
        <w:r w:rsidR="004D26C0">
          <w:rPr>
            <w:webHidden/>
          </w:rPr>
          <w:t>3</w:t>
        </w:r>
        <w:r w:rsidR="004D26C0">
          <w:rPr>
            <w:webHidden/>
          </w:rPr>
          <w:fldChar w:fldCharType="end"/>
        </w:r>
      </w:hyperlink>
    </w:p>
    <w:p w14:paraId="6BC456CF" w14:textId="5FFBEF4C"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1" w:history="1">
        <w:r w:rsidR="004D26C0" w:rsidRPr="002F1831">
          <w:rPr>
            <w:rStyle w:val="Hyperlink"/>
            <w:bCs/>
          </w:rPr>
          <w:t>5.</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Установени практики при използването на знаци</w:t>
        </w:r>
        <w:r w:rsidR="004D26C0">
          <w:rPr>
            <w:webHidden/>
          </w:rPr>
          <w:tab/>
        </w:r>
        <w:r w:rsidR="004D26C0">
          <w:rPr>
            <w:webHidden/>
          </w:rPr>
          <w:fldChar w:fldCharType="begin"/>
        </w:r>
        <w:r w:rsidR="004D26C0">
          <w:rPr>
            <w:webHidden/>
          </w:rPr>
          <w:instrText xml:space="preserve"> PAGEREF _Toc160087691 \h </w:instrText>
        </w:r>
        <w:r w:rsidR="004D26C0">
          <w:rPr>
            <w:webHidden/>
          </w:rPr>
        </w:r>
        <w:r w:rsidR="004D26C0">
          <w:rPr>
            <w:webHidden/>
          </w:rPr>
          <w:fldChar w:fldCharType="separate"/>
        </w:r>
        <w:r w:rsidR="004D26C0">
          <w:rPr>
            <w:webHidden/>
          </w:rPr>
          <w:t>4</w:t>
        </w:r>
        <w:r w:rsidR="004D26C0">
          <w:rPr>
            <w:webHidden/>
          </w:rPr>
          <w:fldChar w:fldCharType="end"/>
        </w:r>
      </w:hyperlink>
    </w:p>
    <w:p w14:paraId="66433265" w14:textId="28C7BFDD"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2" w:history="1">
        <w:r w:rsidR="004D26C0" w:rsidRPr="002F1831">
          <w:rPr>
            <w:rStyle w:val="Hyperlink"/>
            <w:bCs/>
          </w:rPr>
          <w:t>6.</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Съкращения</w:t>
        </w:r>
        <w:r w:rsidR="004D26C0">
          <w:rPr>
            <w:webHidden/>
          </w:rPr>
          <w:tab/>
        </w:r>
        <w:r w:rsidR="004D26C0">
          <w:rPr>
            <w:webHidden/>
          </w:rPr>
          <w:fldChar w:fldCharType="begin"/>
        </w:r>
        <w:r w:rsidR="004D26C0">
          <w:rPr>
            <w:webHidden/>
          </w:rPr>
          <w:instrText xml:space="preserve"> PAGEREF _Toc160087692 \h </w:instrText>
        </w:r>
        <w:r w:rsidR="004D26C0">
          <w:rPr>
            <w:webHidden/>
          </w:rPr>
        </w:r>
        <w:r w:rsidR="004D26C0">
          <w:rPr>
            <w:webHidden/>
          </w:rPr>
          <w:fldChar w:fldCharType="separate"/>
        </w:r>
        <w:r w:rsidR="004D26C0">
          <w:rPr>
            <w:webHidden/>
          </w:rPr>
          <w:t>4</w:t>
        </w:r>
        <w:r w:rsidR="004D26C0">
          <w:rPr>
            <w:webHidden/>
          </w:rPr>
          <w:fldChar w:fldCharType="end"/>
        </w:r>
      </w:hyperlink>
    </w:p>
    <w:p w14:paraId="3AF12C86" w14:textId="255EF463"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3" w:history="1">
        <w:r w:rsidR="004D26C0" w:rsidRPr="002F1831">
          <w:rPr>
            <w:rStyle w:val="Hyperlink"/>
          </w:rPr>
          <w:t>7.</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Установени практики</w:t>
        </w:r>
        <w:r w:rsidR="004D26C0">
          <w:rPr>
            <w:webHidden/>
          </w:rPr>
          <w:tab/>
        </w:r>
        <w:r w:rsidR="004D26C0">
          <w:rPr>
            <w:webHidden/>
          </w:rPr>
          <w:fldChar w:fldCharType="begin"/>
        </w:r>
        <w:r w:rsidR="004D26C0">
          <w:rPr>
            <w:webHidden/>
          </w:rPr>
          <w:instrText xml:space="preserve"> PAGEREF _Toc160087693 \h </w:instrText>
        </w:r>
        <w:r w:rsidR="004D26C0">
          <w:rPr>
            <w:webHidden/>
          </w:rPr>
        </w:r>
        <w:r w:rsidR="004D26C0">
          <w:rPr>
            <w:webHidden/>
          </w:rPr>
          <w:fldChar w:fldCharType="separate"/>
        </w:r>
        <w:r w:rsidR="004D26C0">
          <w:rPr>
            <w:webHidden/>
          </w:rPr>
          <w:t>4</w:t>
        </w:r>
        <w:r w:rsidR="004D26C0">
          <w:rPr>
            <w:webHidden/>
          </w:rPr>
          <w:fldChar w:fldCharType="end"/>
        </w:r>
      </w:hyperlink>
    </w:p>
    <w:p w14:paraId="5145F6BB" w14:textId="19104382"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4" w:history="1">
        <w:r w:rsidR="004D26C0" w:rsidRPr="002F1831">
          <w:rPr>
            <w:rStyle w:val="Hyperlink"/>
          </w:rPr>
          <w:t>ЧАСТ II: ОЦЕНКА НА ЛРБП: НТГО ПО ОТНОШЕНИЕ НА ИССК/НПЛ И ПРОМЕНИ В ПС (J 01.00)</w:t>
        </w:r>
        <w:r w:rsidR="004D26C0">
          <w:rPr>
            <w:webHidden/>
          </w:rPr>
          <w:tab/>
        </w:r>
        <w:r w:rsidR="004D26C0">
          <w:rPr>
            <w:webHidden/>
          </w:rPr>
          <w:fldChar w:fldCharType="begin"/>
        </w:r>
        <w:r w:rsidR="004D26C0">
          <w:rPr>
            <w:webHidden/>
          </w:rPr>
          <w:instrText xml:space="preserve"> PAGEREF _Toc160087694 \h </w:instrText>
        </w:r>
        <w:r w:rsidR="004D26C0">
          <w:rPr>
            <w:webHidden/>
          </w:rPr>
        </w:r>
        <w:r w:rsidR="004D26C0">
          <w:rPr>
            <w:webHidden/>
          </w:rPr>
          <w:fldChar w:fldCharType="separate"/>
        </w:r>
        <w:r w:rsidR="004D26C0">
          <w:rPr>
            <w:webHidden/>
          </w:rPr>
          <w:t>5</w:t>
        </w:r>
        <w:r w:rsidR="004D26C0">
          <w:rPr>
            <w:webHidden/>
          </w:rPr>
          <w:fldChar w:fldCharType="end"/>
        </w:r>
      </w:hyperlink>
    </w:p>
    <w:p w14:paraId="04174CEA" w14:textId="48AC59B2"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5" w:history="1">
        <w:r w:rsidR="004D26C0" w:rsidRPr="002F1831">
          <w:rPr>
            <w:rStyle w:val="Hyperlink"/>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Общи бележки</w:t>
        </w:r>
        <w:r w:rsidR="004D26C0">
          <w:rPr>
            <w:webHidden/>
          </w:rPr>
          <w:tab/>
        </w:r>
        <w:r w:rsidR="004D26C0">
          <w:rPr>
            <w:webHidden/>
          </w:rPr>
          <w:fldChar w:fldCharType="begin"/>
        </w:r>
        <w:r w:rsidR="004D26C0">
          <w:rPr>
            <w:webHidden/>
          </w:rPr>
          <w:instrText xml:space="preserve"> PAGEREF _Toc160087695 \h </w:instrText>
        </w:r>
        <w:r w:rsidR="004D26C0">
          <w:rPr>
            <w:webHidden/>
          </w:rPr>
        </w:r>
        <w:r w:rsidR="004D26C0">
          <w:rPr>
            <w:webHidden/>
          </w:rPr>
          <w:fldChar w:fldCharType="separate"/>
        </w:r>
        <w:r w:rsidR="004D26C0">
          <w:rPr>
            <w:webHidden/>
          </w:rPr>
          <w:t>5</w:t>
        </w:r>
        <w:r w:rsidR="004D26C0">
          <w:rPr>
            <w:webHidden/>
          </w:rPr>
          <w:fldChar w:fldCharType="end"/>
        </w:r>
      </w:hyperlink>
    </w:p>
    <w:p w14:paraId="0CEE4C7B" w14:textId="54B41D87"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6" w:history="1">
        <w:r w:rsidR="004D26C0" w:rsidRPr="002F1831">
          <w:rPr>
            <w:rStyle w:val="Hyperlink"/>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Указания относно определени позиции</w:t>
        </w:r>
        <w:r w:rsidR="004D26C0">
          <w:rPr>
            <w:webHidden/>
          </w:rPr>
          <w:tab/>
        </w:r>
        <w:r w:rsidR="004D26C0">
          <w:rPr>
            <w:webHidden/>
          </w:rPr>
          <w:fldChar w:fldCharType="begin"/>
        </w:r>
        <w:r w:rsidR="004D26C0">
          <w:rPr>
            <w:webHidden/>
          </w:rPr>
          <w:instrText xml:space="preserve"> PAGEREF _Toc160087696 \h </w:instrText>
        </w:r>
        <w:r w:rsidR="004D26C0">
          <w:rPr>
            <w:webHidden/>
          </w:rPr>
        </w:r>
        <w:r w:rsidR="004D26C0">
          <w:rPr>
            <w:webHidden/>
          </w:rPr>
          <w:fldChar w:fldCharType="separate"/>
        </w:r>
        <w:r w:rsidR="004D26C0">
          <w:rPr>
            <w:webHidden/>
          </w:rPr>
          <w:t>5</w:t>
        </w:r>
        <w:r w:rsidR="004D26C0">
          <w:rPr>
            <w:webHidden/>
          </w:rPr>
          <w:fldChar w:fldCharType="end"/>
        </w:r>
      </w:hyperlink>
    </w:p>
    <w:p w14:paraId="2CF8C940" w14:textId="2901B92A"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7" w:history="1">
        <w:r w:rsidR="004D26C0" w:rsidRPr="002F1831">
          <w:rPr>
            <w:rStyle w:val="Hyperlink"/>
          </w:rPr>
          <w:t>ЧАСТ IIІ РАЗПРЕДЕЛЕНИЕ НА ПРИБЛИЗИТЕЛНИТЕ ОЦЕНКИ НА ЧУВСТВИТЕЛНОСТТА (J 02.00, J 03.00 и J 04.00)</w:t>
        </w:r>
        <w:r w:rsidR="004D26C0">
          <w:rPr>
            <w:webHidden/>
          </w:rPr>
          <w:tab/>
        </w:r>
        <w:r w:rsidR="004D26C0">
          <w:rPr>
            <w:webHidden/>
          </w:rPr>
          <w:fldChar w:fldCharType="begin"/>
        </w:r>
        <w:r w:rsidR="004D26C0">
          <w:rPr>
            <w:webHidden/>
          </w:rPr>
          <w:instrText xml:space="preserve"> PAGEREF _Toc160087697 \h </w:instrText>
        </w:r>
        <w:r w:rsidR="004D26C0">
          <w:rPr>
            <w:webHidden/>
          </w:rPr>
        </w:r>
        <w:r w:rsidR="004D26C0">
          <w:rPr>
            <w:webHidden/>
          </w:rPr>
          <w:fldChar w:fldCharType="separate"/>
        </w:r>
        <w:r w:rsidR="004D26C0">
          <w:rPr>
            <w:webHidden/>
          </w:rPr>
          <w:t>10</w:t>
        </w:r>
        <w:r w:rsidR="004D26C0">
          <w:rPr>
            <w:webHidden/>
          </w:rPr>
          <w:fldChar w:fldCharType="end"/>
        </w:r>
      </w:hyperlink>
    </w:p>
    <w:p w14:paraId="5F4D696D" w14:textId="3D3789B1"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8" w:history="1">
        <w:r w:rsidR="004D26C0" w:rsidRPr="002F1831">
          <w:rPr>
            <w:rStyle w:val="Hyperlink"/>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Общи бележки</w:t>
        </w:r>
        <w:r w:rsidR="004D26C0">
          <w:rPr>
            <w:webHidden/>
          </w:rPr>
          <w:tab/>
        </w:r>
        <w:r w:rsidR="004D26C0">
          <w:rPr>
            <w:webHidden/>
          </w:rPr>
          <w:fldChar w:fldCharType="begin"/>
        </w:r>
        <w:r w:rsidR="004D26C0">
          <w:rPr>
            <w:webHidden/>
          </w:rPr>
          <w:instrText xml:space="preserve"> PAGEREF _Toc160087698 \h </w:instrText>
        </w:r>
        <w:r w:rsidR="004D26C0">
          <w:rPr>
            <w:webHidden/>
          </w:rPr>
        </w:r>
        <w:r w:rsidR="004D26C0">
          <w:rPr>
            <w:webHidden/>
          </w:rPr>
          <w:fldChar w:fldCharType="separate"/>
        </w:r>
        <w:r w:rsidR="004D26C0">
          <w:rPr>
            <w:webHidden/>
          </w:rPr>
          <w:t>10</w:t>
        </w:r>
        <w:r w:rsidR="004D26C0">
          <w:rPr>
            <w:webHidden/>
          </w:rPr>
          <w:fldChar w:fldCharType="end"/>
        </w:r>
      </w:hyperlink>
    </w:p>
    <w:p w14:paraId="37D257E2" w14:textId="42A4020A"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699" w:history="1">
        <w:r w:rsidR="004D26C0" w:rsidRPr="002F1831">
          <w:rPr>
            <w:rStyle w:val="Hyperlink"/>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Указания относно определени позиции</w:t>
        </w:r>
        <w:r w:rsidR="004D26C0">
          <w:rPr>
            <w:webHidden/>
          </w:rPr>
          <w:tab/>
        </w:r>
        <w:r w:rsidR="004D26C0">
          <w:rPr>
            <w:webHidden/>
          </w:rPr>
          <w:fldChar w:fldCharType="begin"/>
        </w:r>
        <w:r w:rsidR="004D26C0">
          <w:rPr>
            <w:webHidden/>
          </w:rPr>
          <w:instrText xml:space="preserve"> PAGEREF _Toc160087699 \h </w:instrText>
        </w:r>
        <w:r w:rsidR="004D26C0">
          <w:rPr>
            <w:webHidden/>
          </w:rPr>
        </w:r>
        <w:r w:rsidR="004D26C0">
          <w:rPr>
            <w:webHidden/>
          </w:rPr>
          <w:fldChar w:fldCharType="separate"/>
        </w:r>
        <w:r w:rsidR="004D26C0">
          <w:rPr>
            <w:webHidden/>
          </w:rPr>
          <w:t>10</w:t>
        </w:r>
        <w:r w:rsidR="004D26C0">
          <w:rPr>
            <w:webHidden/>
          </w:rPr>
          <w:fldChar w:fldCharType="end"/>
        </w:r>
      </w:hyperlink>
    </w:p>
    <w:p w14:paraId="1B82586A" w14:textId="35EB365D"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0" w:history="1">
        <w:r w:rsidR="004D26C0" w:rsidRPr="002F1831">
          <w:rPr>
            <w:rStyle w:val="Hyperlink"/>
          </w:rPr>
          <w:t>ЧАСТ IV: ПАРИЧНИ ПОТОЦИ, ПОДЛЕЖАЩИ НА ПРЕОЦЕНКА (J 05.00, J 06.00 и J 07.00)</w:t>
        </w:r>
        <w:r w:rsidR="004D26C0">
          <w:rPr>
            <w:webHidden/>
          </w:rPr>
          <w:tab/>
        </w:r>
        <w:r w:rsidR="004D26C0">
          <w:rPr>
            <w:webHidden/>
          </w:rPr>
          <w:fldChar w:fldCharType="begin"/>
        </w:r>
        <w:r w:rsidR="004D26C0">
          <w:rPr>
            <w:webHidden/>
          </w:rPr>
          <w:instrText xml:space="preserve"> PAGEREF _Toc160087700 \h </w:instrText>
        </w:r>
        <w:r w:rsidR="004D26C0">
          <w:rPr>
            <w:webHidden/>
          </w:rPr>
        </w:r>
        <w:r w:rsidR="004D26C0">
          <w:rPr>
            <w:webHidden/>
          </w:rPr>
          <w:fldChar w:fldCharType="separate"/>
        </w:r>
        <w:r w:rsidR="004D26C0">
          <w:rPr>
            <w:webHidden/>
          </w:rPr>
          <w:t>21</w:t>
        </w:r>
        <w:r w:rsidR="004D26C0">
          <w:rPr>
            <w:webHidden/>
          </w:rPr>
          <w:fldChar w:fldCharType="end"/>
        </w:r>
      </w:hyperlink>
    </w:p>
    <w:p w14:paraId="72868FC7" w14:textId="31DB20DC"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1" w:history="1">
        <w:r w:rsidR="004D26C0" w:rsidRPr="002F1831">
          <w:rPr>
            <w:rStyle w:val="Hyperlink"/>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Общи бележки</w:t>
        </w:r>
        <w:r w:rsidR="004D26C0">
          <w:rPr>
            <w:webHidden/>
          </w:rPr>
          <w:tab/>
        </w:r>
        <w:r w:rsidR="004D26C0">
          <w:rPr>
            <w:webHidden/>
          </w:rPr>
          <w:fldChar w:fldCharType="begin"/>
        </w:r>
        <w:r w:rsidR="004D26C0">
          <w:rPr>
            <w:webHidden/>
          </w:rPr>
          <w:instrText xml:space="preserve"> PAGEREF _Toc160087701 \h </w:instrText>
        </w:r>
        <w:r w:rsidR="004D26C0">
          <w:rPr>
            <w:webHidden/>
          </w:rPr>
        </w:r>
        <w:r w:rsidR="004D26C0">
          <w:rPr>
            <w:webHidden/>
          </w:rPr>
          <w:fldChar w:fldCharType="separate"/>
        </w:r>
        <w:r w:rsidR="004D26C0">
          <w:rPr>
            <w:webHidden/>
          </w:rPr>
          <w:t>21</w:t>
        </w:r>
        <w:r w:rsidR="004D26C0">
          <w:rPr>
            <w:webHidden/>
          </w:rPr>
          <w:fldChar w:fldCharType="end"/>
        </w:r>
      </w:hyperlink>
    </w:p>
    <w:p w14:paraId="2F46CB1E" w14:textId="6A044DCF"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2" w:history="1">
        <w:r w:rsidR="004D26C0" w:rsidRPr="002F1831">
          <w:rPr>
            <w:rStyle w:val="Hyperlink"/>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Указания относно определени позиции:</w:t>
        </w:r>
        <w:r w:rsidR="004D26C0">
          <w:rPr>
            <w:webHidden/>
          </w:rPr>
          <w:tab/>
        </w:r>
        <w:r w:rsidR="004D26C0">
          <w:rPr>
            <w:webHidden/>
          </w:rPr>
          <w:fldChar w:fldCharType="begin"/>
        </w:r>
        <w:r w:rsidR="004D26C0">
          <w:rPr>
            <w:webHidden/>
          </w:rPr>
          <w:instrText xml:space="preserve"> PAGEREF _Toc160087702 \h </w:instrText>
        </w:r>
        <w:r w:rsidR="004D26C0">
          <w:rPr>
            <w:webHidden/>
          </w:rPr>
        </w:r>
        <w:r w:rsidR="004D26C0">
          <w:rPr>
            <w:webHidden/>
          </w:rPr>
          <w:fldChar w:fldCharType="separate"/>
        </w:r>
        <w:r w:rsidR="004D26C0">
          <w:rPr>
            <w:webHidden/>
          </w:rPr>
          <w:t>23</w:t>
        </w:r>
        <w:r w:rsidR="004D26C0">
          <w:rPr>
            <w:webHidden/>
          </w:rPr>
          <w:fldChar w:fldCharType="end"/>
        </w:r>
      </w:hyperlink>
    </w:p>
    <w:p w14:paraId="49EB0142" w14:textId="17E8C8D5"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3" w:history="1">
        <w:r w:rsidR="004D26C0" w:rsidRPr="002F1831">
          <w:rPr>
            <w:rStyle w:val="Hyperlink"/>
          </w:rPr>
          <w:t>ЧАСТ V: ОТНОСИМИ ПАРАМЕТРИ (J 08.00 и J 09.00)</w:t>
        </w:r>
        <w:r w:rsidR="004D26C0">
          <w:rPr>
            <w:webHidden/>
          </w:rPr>
          <w:tab/>
        </w:r>
        <w:r w:rsidR="004D26C0">
          <w:rPr>
            <w:webHidden/>
          </w:rPr>
          <w:fldChar w:fldCharType="begin"/>
        </w:r>
        <w:r w:rsidR="004D26C0">
          <w:rPr>
            <w:webHidden/>
          </w:rPr>
          <w:instrText xml:space="preserve"> PAGEREF _Toc160087703 \h </w:instrText>
        </w:r>
        <w:r w:rsidR="004D26C0">
          <w:rPr>
            <w:webHidden/>
          </w:rPr>
        </w:r>
        <w:r w:rsidR="004D26C0">
          <w:rPr>
            <w:webHidden/>
          </w:rPr>
          <w:fldChar w:fldCharType="separate"/>
        </w:r>
        <w:r w:rsidR="004D26C0">
          <w:rPr>
            <w:webHidden/>
          </w:rPr>
          <w:t>26</w:t>
        </w:r>
        <w:r w:rsidR="004D26C0">
          <w:rPr>
            <w:webHidden/>
          </w:rPr>
          <w:fldChar w:fldCharType="end"/>
        </w:r>
      </w:hyperlink>
    </w:p>
    <w:p w14:paraId="579C2621" w14:textId="65615342"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4" w:history="1">
        <w:r w:rsidR="004D26C0" w:rsidRPr="002F1831">
          <w:rPr>
            <w:rStyle w:val="Hyperlink"/>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Общи бележки</w:t>
        </w:r>
        <w:r w:rsidR="004D26C0">
          <w:rPr>
            <w:webHidden/>
          </w:rPr>
          <w:tab/>
        </w:r>
        <w:r w:rsidR="004D26C0">
          <w:rPr>
            <w:webHidden/>
          </w:rPr>
          <w:fldChar w:fldCharType="begin"/>
        </w:r>
        <w:r w:rsidR="004D26C0">
          <w:rPr>
            <w:webHidden/>
          </w:rPr>
          <w:instrText xml:space="preserve"> PAGEREF _Toc160087704 \h </w:instrText>
        </w:r>
        <w:r w:rsidR="004D26C0">
          <w:rPr>
            <w:webHidden/>
          </w:rPr>
        </w:r>
        <w:r w:rsidR="004D26C0">
          <w:rPr>
            <w:webHidden/>
          </w:rPr>
          <w:fldChar w:fldCharType="separate"/>
        </w:r>
        <w:r w:rsidR="004D26C0">
          <w:rPr>
            <w:webHidden/>
          </w:rPr>
          <w:t>26</w:t>
        </w:r>
        <w:r w:rsidR="004D26C0">
          <w:rPr>
            <w:webHidden/>
          </w:rPr>
          <w:fldChar w:fldCharType="end"/>
        </w:r>
      </w:hyperlink>
    </w:p>
    <w:p w14:paraId="1C6FA212" w14:textId="2A9C580B"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5" w:history="1">
        <w:r w:rsidR="004D26C0" w:rsidRPr="002F1831">
          <w:rPr>
            <w:rStyle w:val="Hyperlink"/>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Указания относно определени позиции</w:t>
        </w:r>
        <w:r w:rsidR="004D26C0">
          <w:rPr>
            <w:webHidden/>
          </w:rPr>
          <w:tab/>
        </w:r>
        <w:r w:rsidR="004D26C0">
          <w:rPr>
            <w:webHidden/>
          </w:rPr>
          <w:fldChar w:fldCharType="begin"/>
        </w:r>
        <w:r w:rsidR="004D26C0">
          <w:rPr>
            <w:webHidden/>
          </w:rPr>
          <w:instrText xml:space="preserve"> PAGEREF _Toc160087705 \h </w:instrText>
        </w:r>
        <w:r w:rsidR="004D26C0">
          <w:rPr>
            <w:webHidden/>
          </w:rPr>
        </w:r>
        <w:r w:rsidR="004D26C0">
          <w:rPr>
            <w:webHidden/>
          </w:rPr>
          <w:fldChar w:fldCharType="separate"/>
        </w:r>
        <w:r w:rsidR="004D26C0">
          <w:rPr>
            <w:webHidden/>
          </w:rPr>
          <w:t>26</w:t>
        </w:r>
        <w:r w:rsidR="004D26C0">
          <w:rPr>
            <w:webHidden/>
          </w:rPr>
          <w:fldChar w:fldCharType="end"/>
        </w:r>
      </w:hyperlink>
    </w:p>
    <w:p w14:paraId="01A95D77" w14:textId="34512326"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6" w:history="1">
        <w:r w:rsidR="004D26C0" w:rsidRPr="002F1831">
          <w:rPr>
            <w:rStyle w:val="Hyperlink"/>
          </w:rPr>
          <w:t>ЧАСТ VI: КАЧЕСТВЕНА ИНФОРМАЦИЯ (J 10.00 и J 11.00);</w:t>
        </w:r>
        <w:r w:rsidR="004D26C0">
          <w:rPr>
            <w:webHidden/>
          </w:rPr>
          <w:tab/>
        </w:r>
        <w:r w:rsidR="004D26C0">
          <w:rPr>
            <w:webHidden/>
          </w:rPr>
          <w:fldChar w:fldCharType="begin"/>
        </w:r>
        <w:r w:rsidR="004D26C0">
          <w:rPr>
            <w:webHidden/>
          </w:rPr>
          <w:instrText xml:space="preserve"> PAGEREF _Toc160087706 \h </w:instrText>
        </w:r>
        <w:r w:rsidR="004D26C0">
          <w:rPr>
            <w:webHidden/>
          </w:rPr>
        </w:r>
        <w:r w:rsidR="004D26C0">
          <w:rPr>
            <w:webHidden/>
          </w:rPr>
          <w:fldChar w:fldCharType="separate"/>
        </w:r>
        <w:r w:rsidR="004D26C0">
          <w:rPr>
            <w:webHidden/>
          </w:rPr>
          <w:t>30</w:t>
        </w:r>
        <w:r w:rsidR="004D26C0">
          <w:rPr>
            <w:webHidden/>
          </w:rPr>
          <w:fldChar w:fldCharType="end"/>
        </w:r>
      </w:hyperlink>
    </w:p>
    <w:p w14:paraId="5973584C" w14:textId="2A7A3AB6"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7" w:history="1">
        <w:r w:rsidR="004D26C0" w:rsidRPr="002F1831">
          <w:rPr>
            <w:rStyle w:val="Hyperlink"/>
          </w:rPr>
          <w:t>1.</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Общи бележки</w:t>
        </w:r>
        <w:r w:rsidR="004D26C0">
          <w:rPr>
            <w:webHidden/>
          </w:rPr>
          <w:tab/>
        </w:r>
        <w:r w:rsidR="004D26C0">
          <w:rPr>
            <w:webHidden/>
          </w:rPr>
          <w:fldChar w:fldCharType="begin"/>
        </w:r>
        <w:r w:rsidR="004D26C0">
          <w:rPr>
            <w:webHidden/>
          </w:rPr>
          <w:instrText xml:space="preserve"> PAGEREF _Toc160087707 \h </w:instrText>
        </w:r>
        <w:r w:rsidR="004D26C0">
          <w:rPr>
            <w:webHidden/>
          </w:rPr>
        </w:r>
        <w:r w:rsidR="004D26C0">
          <w:rPr>
            <w:webHidden/>
          </w:rPr>
          <w:fldChar w:fldCharType="separate"/>
        </w:r>
        <w:r w:rsidR="004D26C0">
          <w:rPr>
            <w:webHidden/>
          </w:rPr>
          <w:t>30</w:t>
        </w:r>
        <w:r w:rsidR="004D26C0">
          <w:rPr>
            <w:webHidden/>
          </w:rPr>
          <w:fldChar w:fldCharType="end"/>
        </w:r>
      </w:hyperlink>
    </w:p>
    <w:p w14:paraId="390F530C" w14:textId="49BC7097" w:rsidR="004D26C0" w:rsidRDefault="00733FB1">
      <w:pPr>
        <w:pStyle w:val="TOC2"/>
        <w:rPr>
          <w:rFonts w:asciiTheme="minorHAnsi" w:eastAsiaTheme="minorEastAsia" w:hAnsiTheme="minorHAnsi" w:cstheme="minorBidi"/>
          <w:b w:val="0"/>
          <w:smallCaps w:val="0"/>
          <w:kern w:val="2"/>
          <w:sz w:val="22"/>
          <w:lang w:val="en-IE" w:eastAsia="en-IE"/>
          <w14:ligatures w14:val="standardContextual"/>
        </w:rPr>
      </w:pPr>
      <w:hyperlink w:anchor="_Toc160087708" w:history="1">
        <w:r w:rsidR="004D26C0" w:rsidRPr="002F1831">
          <w:rPr>
            <w:rStyle w:val="Hyperlink"/>
          </w:rPr>
          <w:t>2.</w:t>
        </w:r>
        <w:r w:rsidR="004D26C0">
          <w:rPr>
            <w:rFonts w:asciiTheme="minorHAnsi" w:eastAsiaTheme="minorEastAsia" w:hAnsiTheme="minorHAnsi" w:cstheme="minorBidi"/>
            <w:b w:val="0"/>
            <w:smallCaps w:val="0"/>
            <w:kern w:val="2"/>
            <w:sz w:val="22"/>
            <w:lang w:val="en-IE" w:eastAsia="en-IE"/>
            <w14:ligatures w14:val="standardContextual"/>
          </w:rPr>
          <w:tab/>
        </w:r>
        <w:r w:rsidR="004D26C0" w:rsidRPr="002F1831">
          <w:rPr>
            <w:rStyle w:val="Hyperlink"/>
          </w:rPr>
          <w:t>Указания относно определени позиции</w:t>
        </w:r>
        <w:r w:rsidR="004D26C0">
          <w:rPr>
            <w:webHidden/>
          </w:rPr>
          <w:tab/>
        </w:r>
        <w:r w:rsidR="004D26C0">
          <w:rPr>
            <w:webHidden/>
          </w:rPr>
          <w:fldChar w:fldCharType="begin"/>
        </w:r>
        <w:r w:rsidR="004D26C0">
          <w:rPr>
            <w:webHidden/>
          </w:rPr>
          <w:instrText xml:space="preserve"> PAGEREF _Toc160087708 \h </w:instrText>
        </w:r>
        <w:r w:rsidR="004D26C0">
          <w:rPr>
            <w:webHidden/>
          </w:rPr>
        </w:r>
        <w:r w:rsidR="004D26C0">
          <w:rPr>
            <w:webHidden/>
          </w:rPr>
          <w:fldChar w:fldCharType="separate"/>
        </w:r>
        <w:r w:rsidR="004D26C0">
          <w:rPr>
            <w:webHidden/>
          </w:rPr>
          <w:t>30</w:t>
        </w:r>
        <w:r w:rsidR="004D26C0">
          <w:rPr>
            <w:webHidden/>
          </w:rPr>
          <w:fldChar w:fldCharType="end"/>
        </w:r>
      </w:hyperlink>
    </w:p>
    <w:p w14:paraId="7AC7042C" w14:textId="1BF1C6D5"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087686"/>
      <w:r>
        <w:rPr>
          <w:noProof/>
        </w:rPr>
        <w:t>ЧАСТ I:</w:t>
      </w:r>
      <w:bookmarkEnd w:id="4"/>
      <w:r>
        <w:rPr>
          <w:noProof/>
        </w:rPr>
        <w:t xml:space="preserve"> ОБЩИ УКАЗАНИЯ</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087687"/>
      <w:r>
        <w:rPr>
          <w:b/>
          <w:noProof/>
          <w:sz w:val="24"/>
        </w:rPr>
        <w:t>Структура</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Настоящото приложение съдържа указанията относно образците за отчитане на лихвения риск в банковия портфейл (ЛРБП).</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Настоящото приложение се състои от пет различни комплекта образци:</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а)</w:t>
      </w:r>
      <w:r>
        <w:rPr>
          <w:rFonts w:ascii="Times New Roman" w:hAnsi="Times New Roman"/>
          <w:noProof/>
          <w:sz w:val="24"/>
        </w:rPr>
        <w:tab/>
        <w:t>оценка на ЛРБП: надзорен тест за големи отклонения (НТГО) по отношение на икономическата стойност на собствения капитал (ИССК) и нетните приходи от лихви (НПЛ) и промените в пазарната стойност (ПС)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б)</w:t>
      </w:r>
      <w:r>
        <w:rPr>
          <w:rFonts w:ascii="Times New Roman" w:hAnsi="Times New Roman"/>
          <w:noProof/>
          <w:sz w:val="24"/>
        </w:rPr>
        <w:tab/>
        <w:t>разпределение на приблизителните оценки на чувствителността за ЛРБП (J 02.00, J 03.00 и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в)</w:t>
      </w:r>
      <w:r>
        <w:rPr>
          <w:rFonts w:ascii="Times New Roman" w:hAnsi="Times New Roman"/>
          <w:noProof/>
          <w:sz w:val="24"/>
        </w:rPr>
        <w:tab/>
        <w:t>парични потоци, подлежащи на преоценка, във връзка с ЛРБП (J 05.00, J 06.00 и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г)</w:t>
      </w:r>
      <w:r>
        <w:rPr>
          <w:rFonts w:ascii="Times New Roman" w:hAnsi="Times New Roman"/>
          <w:noProof/>
          <w:sz w:val="24"/>
        </w:rPr>
        <w:tab/>
        <w:t xml:space="preserve">относимите параметри относно поведенческото моделиране (J 08.00 и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д)</w:t>
      </w:r>
      <w:r>
        <w:rPr>
          <w:rFonts w:ascii="Times New Roman" w:hAnsi="Times New Roman"/>
          <w:noProof/>
          <w:sz w:val="24"/>
        </w:rPr>
        <w:tab/>
        <w:t>качествена информация (J 10.00 и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За всеки образец са посочени препратки към законодателни актове. В настоящото приложение са включени допълнителна подробна информация относно по-общите аспекти на отчитането по всеки набор от образци и указания относно конкретните позиции.</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Институциите попълват образците в отчетната валута, независимо от това в коя валута са изразени активите, пасивите и задбалансовите статии. Сумите във валути, различни от отчетната валута, се превръщат в отчетната валута по референтния обменен курс на Европейската централна банка на референтната дата. В съответствие с Делегиран регламент (ЕС) .../... на Комисията (Служба за публикации: моля, добавете препратка към РТС относно НТГО) институциите попълват образците отделно, разпределени в съответните валути.</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В съответствие с член 3, параграф 2, буква в) от Делегиран регламент (ЕС) .../... (Служба за публикации: моля, добавете препратка към РТС относно НТГО) институциите отразяват при своите изчисления, когато това е приложимо, автоматичните и поведенческите опции, с изключение на случаите, в които е посочено друго.</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087688"/>
      <w:r>
        <w:rPr>
          <w:b/>
          <w:noProof/>
          <w:sz w:val="24"/>
        </w:rPr>
        <w:t>Обхват на отчитането</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Институциите планират своите приблизителни оценки на ЛРБП и предоставят информация относно своите лихвени експозиции, произтичащи от чувствителни към лихвения процент позиции в банковия портфейл в обхвата на НТГО (членове 3 и 4 от Делегиран регламент (ЕС) .../... (Служба за публикации: моля, добавете препратка към РТС относно НТГО). По-специално, институциите вземат предвид всички инструменти в съответствие с член 3, параграф 2, букви а)—е) и член 3, параграфи 3, 4 и 5 от Делегиран регламент (ЕС) .../... (Служба за публикации: моля, добавете препратка към РТС относно НТГО).</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087689"/>
      <w:r>
        <w:rPr>
          <w:b/>
          <w:noProof/>
          <w:sz w:val="24"/>
        </w:rPr>
        <w:t>Третиране на инструментите с фиксиран/плаващ лихвен процент</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Когато се изисква отделна информация във връзка с инструменти с фиксиран или плаващ лихвен процент, се прилагат следните определения: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а)</w:t>
      </w:r>
      <w:r>
        <w:rPr>
          <w:rFonts w:ascii="Times New Roman" w:hAnsi="Times New Roman"/>
          <w:noProof/>
          <w:sz w:val="24"/>
        </w:rPr>
        <w:tab/>
        <w:t>„инструмент с фиксиран лихвен процент“ означава „инструмент с фиксиран лихвен процент“ съгласно определението в член 1, точка 4 от Делегиран регламент (ЕС) .../... на Комисията (Служба за публикации: моля, добавете препратка към РТС относно СП)</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По-конкретно:</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инструменти без определен договорен падеж (т.е. продукти без падеж, или безсрочни продукти), при които паричните потоци от лихви не са договорно или законово свързани с движенията на външен базов показател или вътрешно управляван индекс на институцията, а са по преценка на институцията или на държавна агенция;</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инструменти с определен договорен падеж, при които паричните потоци от лихви са определени от началото чак до падежа на инструмента, или когато срокът за договорната преоценка е над 1 година; или когато промените във възнаграждението му — по всяко време през срока на договора — са по преценка на институцията или на държавна агенция.</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б)</w:t>
      </w:r>
      <w:r>
        <w:rPr>
          <w:rFonts w:ascii="Times New Roman" w:hAnsi="Times New Roman"/>
          <w:noProof/>
          <w:sz w:val="24"/>
        </w:rPr>
        <w:tab/>
        <w:t>„инструмент с плаващ лихвен процент“ означава „инструмент с плаващ лихвен процент“ съгласно определението в член 1, точка 5 от Делегиран регламент (ЕС) .../... (Служба за публикации: моля, добавете препратка към РТС относно СП). По-конкретно:</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инструменти без определен договорен падеж (т.е. продукти без падеж), при които паричните потоци от лихви не са по преценка на институцията или на държавна агенция, а са договорно или законово свързани с движенията на външен базов показател или вътрешно управляван индекс на институцията;</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инструменти с определен договорен падеж, при които паричните потоци от лихви не са определени от началото чак до падежа на инструмента, когато срокът за договорната преоценка е по-малък или равен на 1 година и когато промените във възнаграждението му през целия срок на договора не са по преценка на институцията или на държавна агенция.</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087690"/>
      <w:r>
        <w:rPr>
          <w:b/>
          <w:noProof/>
          <w:sz w:val="24"/>
        </w:rPr>
        <w:t>Третиране на опциите</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Когато се изисква отделна информация относно опциите, институциите се отчитат по следния начин:</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а)</w:t>
      </w:r>
      <w:r>
        <w:rPr>
          <w:rFonts w:ascii="Times New Roman" w:hAnsi="Times New Roman"/>
          <w:noProof/>
          <w:sz w:val="24"/>
        </w:rPr>
        <w:tab/>
        <w:t>вградени опции заедно с относимите им основни инструменти;</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б)</w:t>
      </w:r>
      <w:r>
        <w:rPr>
          <w:rFonts w:ascii="Times New Roman" w:hAnsi="Times New Roman"/>
          <w:noProof/>
          <w:sz w:val="24"/>
        </w:rPr>
        <w:tab/>
        <w:t>изрични/самостоятелни опции отделно от всякакъв друг вид статии в счетоводния баланс като дериватни инструменти (т.е. те отчитат тези опции заедно с хеджирания отчетен обект (позиция).</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087691"/>
      <w:bookmarkEnd w:id="11"/>
      <w:bookmarkEnd w:id="12"/>
      <w:r>
        <w:rPr>
          <w:b/>
          <w:noProof/>
          <w:sz w:val="24"/>
        </w:rPr>
        <w:t>Установени практики при използването на знаци</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Като цяло институциите отчитат стойностите положително във всички образци. Изразените в парични единици цифри, отнасящи се до равнището на ИССК, равнището на НПЛ и равнището на ПС, се отчитат по принцип като положително число, независимо дали се отнасят за актив, или пасив, въпреки че трябва да се съблюдават изключенията: такъв е случаят, когато равнището на НПЛ е отрицателно, ако разходите за лихви са по-големи от приходите от лихви в основния сценарий, или в случай на деривати, когато трябва да се отчитат нетираните стойности на дериватните рамена.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Институциите отчитат промените (Δ) в ИССК, НПЛ и ПС с положителни или отрицателни стойности, в зависимост от промяната. Институциите изчисляват Δ като разликата между ИССК/НПЛ/ПС при шоковите сценарии и при базовия сценарий. Чувствителността на ИССК (и ПС) на конкретен актив или пасив се отчита като положителна, ако ИССК (и ПС) на този актив или пасив се увеличава при конкретен сценарий за лихвения процент (ЛП). По същия начин чувствителността на НПЛ по конкретен актив или пасив се отчита като положителна, когато приходите от лихви по този актив или разходите за лихви по този пасив се увеличават при конкретен сценарий за ЛП.</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Същите правила се прилагат и в данните, свързани с условните експозиции или балансови стойности, като институциите отчитат стойностите за активи и пасиви като положителни числа.</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Институциите отчитат параметрите като положителни числа, независимо дали тези параметри се отнасят за актив, или пасив, и независимо дали тези параметри увеличават, или намаляват стойността на измерителите на ЛРБП. Може да има някои изключителни случаи, при които институциите отчитат отрицателни числа за параметрите, включително средната доходност на активите/пасивите, ако последната промяна на лихвения процент се основава на среда с отрицателен пазарен лихвен процент.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087692"/>
      <w:r>
        <w:rPr>
          <w:b/>
          <w:noProof/>
          <w:sz w:val="24"/>
        </w:rPr>
        <w:t>Съкращения</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Икономическата стойност на собствения капитал се означава като ИССК, нетните приходи от лихви – като НПЛ, пазарната стойност – като ПС, надзорният тест за големи отклонения – като НТГО, безсрочните депозити – като БД, вътрешната система за измерване – като ВСИ , а стандартизираният подход – като СП.</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087693"/>
      <w:r>
        <w:rPr>
          <w:b/>
          <w:noProof/>
          <w:sz w:val="24"/>
        </w:rPr>
        <w:t>7.</w:t>
      </w:r>
      <w:r>
        <w:rPr>
          <w:b/>
          <w:noProof/>
          <w:sz w:val="24"/>
        </w:rPr>
        <w:tab/>
        <w:t>Установени практики</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В настоящото приложение се правят препратки към Делегиран регламент (ЕС) …/… (Служба за публикации: моля, добавете препратка към РТС относно НТГО), или „РТС относно НТГО“, и Делегиран регламент (ЕС) …/… (Служба за публикации: моля, добавете препратка към РТС относно СП), или „РТС относно СП“. Когато в текста се съдържат препратки към определения, посочени в Делегиран регламент (ЕС) …/… (Служба за публикации: моля, добавете препратка към РТС относно СП), тези определения се прилагат за всички отчитащи се институции (а не само тези, които прилагат СП).</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Определенията, установени в член 1 от Делегиран регламент (ЕС) …/… (Служба за публикации: моля, добавете препратка към РТС относно СП), се прилагат за настоящото приложение.</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087694"/>
      <w:r>
        <w:rPr>
          <w:noProof/>
        </w:rPr>
        <w:t>ЧАСТ II: ОЦЕНКА НА ЛРБП: НТГО ПО ОТНОШЕНИЕ НА ИССК/НПЛ И ПРОМЕНИ В ПС</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087695"/>
      <w:r>
        <w:rPr>
          <w:b/>
          <w:noProof/>
          <w:sz w:val="24"/>
        </w:rPr>
        <w:t>1.</w:t>
      </w:r>
      <w:r>
        <w:rPr>
          <w:b/>
          <w:noProof/>
          <w:sz w:val="24"/>
        </w:rPr>
        <w:tab/>
        <w:t>Общи бележки</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Образец J 01.00 съдържа равнищата и промените в ИССК (ΔИССК) и равнищата и промените в НПЛ (ΔНПЛ), изчислени по реда на </w:t>
      </w:r>
      <w:bookmarkStart w:id="34" w:name="_Hlk148976351"/>
      <w:r>
        <w:rPr>
          <w:rFonts w:ascii="Times New Roman" w:hAnsi="Times New Roman"/>
          <w:noProof/>
          <w:sz w:val="24"/>
        </w:rPr>
        <w:t xml:space="preserve">Делегиран регламент (ЕС) .../... (Служба за публикации: моля, добавете препратка към </w:t>
      </w:r>
      <w:bookmarkEnd w:id="34"/>
      <w:r>
        <w:rPr>
          <w:rFonts w:ascii="Times New Roman" w:hAnsi="Times New Roman"/>
          <w:noProof/>
          <w:sz w:val="24"/>
        </w:rPr>
        <w:t xml:space="preserve">РТС относно НТГО), както и равнищата и промените на ПС, изчислени съгласно критериите за вътрешно управление на риска, като се взема предвид хоризонт от 1 година и допускане за постоянен счетоводен баланс. Той съдържа, наред с другото, определения размер на шоковете на лихвените проценти за валути, които не са посочени в част А от приложението към Делегиран регламент (ЕС) .../... (Служба за публикации: моля, добавете препратка към РТС относно НТГО), и отношенията на ΔИССК и ΔНПЛ към капитала от първи ред съгласно член 25 от Регламент (ЕС) № 575/2013, ΔИССК и ΔНПЛ при най-лошите сценарии и равнището на ИССК и НПЛ при базовия сценарий, както и ΔИССК, ΔНПЛ и ΔПС при определени  шокови сценарии за лихвените проценти за регулаторни цели.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Този образец се попълва отделно за всяка валута, включена в изчисляването за НТГО в съответствие с член 1, параграфи 3 и 4 от Делегиран регламент (ЕС) .../... (Служба за публикации: моля, добавете препратка към РТС относно НТГО), за съвкупността от всички валути, за които се прилага член 1, параграф 4 от посочения делегиран регламент. Когато се изчисляват съвкупните промени (за всички валути) за всеки шоков сценарий за лихвените проценти се прилага член 3, параграф 8 от Делегиран регламент (ЕС) …/… (Служба за публикации: моля, добавете препратка към РТС относно НТГО).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087696"/>
      <w:bookmarkEnd w:id="35"/>
      <w:bookmarkEnd w:id="36"/>
      <w:bookmarkEnd w:id="37"/>
      <w:bookmarkEnd w:id="38"/>
      <w:bookmarkEnd w:id="39"/>
      <w:bookmarkEnd w:id="40"/>
      <w:bookmarkEnd w:id="41"/>
      <w:bookmarkEnd w:id="42"/>
      <w:r>
        <w:rPr>
          <w:b/>
          <w:noProof/>
          <w:sz w:val="24"/>
        </w:rPr>
        <w:t>2.</w:t>
      </w:r>
      <w:r>
        <w:rPr>
          <w:b/>
          <w:noProof/>
          <w:sz w:val="24"/>
        </w:rPr>
        <w:tab/>
        <w:t xml:space="preserve">Указания относно определени </w:t>
      </w:r>
      <w:bookmarkEnd w:id="43"/>
      <w:bookmarkEnd w:id="44"/>
      <w:r>
        <w:rPr>
          <w:b/>
          <w:noProof/>
          <w:sz w:val="24"/>
        </w:rPr>
        <w:t>позиции</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Ред</w:t>
            </w:r>
          </w:p>
        </w:tc>
        <w:tc>
          <w:tcPr>
            <w:tcW w:w="7620" w:type="dxa"/>
            <w:shd w:val="clear" w:color="auto" w:fill="D9D9D9" w:themeFill="background1" w:themeFillShade="D9"/>
          </w:tcPr>
          <w:p w14:paraId="279B0622" w14:textId="438CF73E" w:rsidR="009F50A3" w:rsidRPr="00D82419" w:rsidRDefault="009F50A3"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9F50A3" w:rsidRPr="00D82419" w14:paraId="7FD2A05C" w14:textId="77777777" w:rsidTr="63452C95">
        <w:tc>
          <w:tcPr>
            <w:tcW w:w="1129" w:type="dxa"/>
          </w:tcPr>
          <w:p w14:paraId="007928D7" w14:textId="440B3C20" w:rsidR="009F50A3" w:rsidRPr="00D82419" w:rsidRDefault="6AA5F51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Икономическа стойност на собствения капитал</w:t>
            </w:r>
          </w:p>
          <w:p w14:paraId="4C6CAA6B" w14:textId="1494972D" w:rsidR="009F50A3" w:rsidRPr="00D82419" w:rsidRDefault="700069C0"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Приблизителните оценки на ИССК, изчислени в съответствие с </w:t>
            </w:r>
            <w:r>
              <w:rPr>
                <w:noProof/>
              </w:rPr>
              <w:t xml:space="preserve">член 98, параграф 5, буква а) от Директива 2013/36/ЕС и членове 1—3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noProof/>
              </w:rPr>
              <w:t>.</w:t>
            </w:r>
            <w:r>
              <w:rPr>
                <w:rStyle w:val="InstructionsTabelleberschrift"/>
                <w:rFonts w:ascii="Times New Roman" w:hAnsi="Times New Roman"/>
                <w:b w:val="0"/>
                <w:noProof/>
                <w:sz w:val="24"/>
                <w:u w:val="none"/>
              </w:rPr>
              <w:t xml:space="preserve"> </w:t>
            </w:r>
            <w:r>
              <w:rPr>
                <w:noProof/>
              </w:rPr>
              <w:t>По</w:t>
            </w:r>
            <w:r>
              <w:rPr>
                <w:rStyle w:val="InstructionsTabelleberschrift"/>
                <w:rFonts w:ascii="Times New Roman" w:hAnsi="Times New Roman"/>
                <w:b w:val="0"/>
                <w:noProof/>
                <w:sz w:val="24"/>
                <w:u w:val="none"/>
              </w:rPr>
              <w:t xml:space="preserve"> отношение на допусканията за моделирането и параметрите, които не са определени в член 3 от посочения делегиран регламент, институциите използват онези допускания, които прилагат при измерването и управлението на ЛРБП, т.е. своите вътрешни методики за измерване, стандартизирания подход или опростения стандартизиран подход, според случая. </w:t>
            </w:r>
          </w:p>
        </w:tc>
      </w:tr>
      <w:tr w:rsidR="009F50A3" w:rsidRPr="00D82419" w14:paraId="051654EF" w14:textId="77777777" w:rsidTr="63452C95">
        <w:tc>
          <w:tcPr>
            <w:tcW w:w="1129" w:type="dxa"/>
          </w:tcPr>
          <w:p w14:paraId="4E5EF34A" w14:textId="2237A75A"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най-лошия сценарий</w:t>
            </w:r>
          </w:p>
          <w:p w14:paraId="26DCF100" w14:textId="0D0C662A" w:rsidR="009F50A3" w:rsidRPr="00D82419" w:rsidRDefault="7E74698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Промяната в ИССК при шоковите сценарии за надзорни цели, посочени в </w:t>
            </w:r>
            <w:r>
              <w:rPr>
                <w:rStyle w:val="FormatvorlageInstructionsTabelleText"/>
                <w:rFonts w:ascii="Times New Roman" w:hAnsi="Times New Roman"/>
                <w:noProof/>
                <w:sz w:val="24"/>
              </w:rPr>
              <w:t>член 1, параграф 1 от Делегиран регламент (ЕС) .../... (Служба за публикации: моля, добавете препратка към РТС относно НТГО), който причинява най-големия спад на ИССК. В този ред се отчита най-лошият резултат от стойностите в редове 0040 и 0090.</w:t>
            </w:r>
          </w:p>
        </w:tc>
      </w:tr>
      <w:tr w:rsidR="00961B7D" w:rsidRPr="00D82419" w14:paraId="5CD63A5C" w14:textId="77777777" w:rsidTr="63452C95">
        <w:tc>
          <w:tcPr>
            <w:tcW w:w="1129" w:type="dxa"/>
          </w:tcPr>
          <w:p w14:paraId="282662CB" w14:textId="7D4DB793" w:rsidR="00961B7D" w:rsidRPr="00D82419" w:rsidRDefault="00961B7D"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Отношение на ∆ ИССК при най-лошия сценарий</w:t>
            </w:r>
          </w:p>
          <w:p w14:paraId="63A8C68F" w14:textId="43D2EE33" w:rsidR="00961B7D" w:rsidRPr="00D82419" w:rsidRDefault="00502F7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Отношението на стойността, отчетена в ред 0010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към капитала от първи ред, определен в съответствие с член 25 от </w:t>
            </w:r>
            <w:r>
              <w:rPr>
                <w:noProof/>
              </w:rPr>
              <w:t>Регламент (ЕС) №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при базовия сценарий и шоковите сценарии за надзорни цели</w:t>
            </w:r>
          </w:p>
          <w:p w14:paraId="32EB5557" w14:textId="0E08FC89" w:rsidR="00F0435A" w:rsidRPr="00D82419" w:rsidRDefault="004F1099"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Равнище на ИССК при базовия сценарий и промените в ИССК (т.е. Δ ИССК) при шоковите сценарии за надзорни цели, посочени в </w:t>
            </w:r>
            <w:r>
              <w:rPr>
                <w:rStyle w:val="FormatvorlageInstructionsTabelleText"/>
                <w:rFonts w:ascii="Times New Roman" w:hAnsi="Times New Roman"/>
                <w:noProof/>
                <w:sz w:val="24"/>
              </w:rPr>
              <w:t xml:space="preserve">член 1, параграф 1 от </w:t>
            </w:r>
            <w:r>
              <w:rPr>
                <w:noProof/>
              </w:rPr>
              <w:t xml:space="preserve">Делегиран регламент (ЕС) .../... (Служба за публикации: моля, добавете препратка към </w:t>
            </w:r>
            <w:r>
              <w:rPr>
                <w:rStyle w:val="FormatvorlageInstructionsTabelleText"/>
                <w:rFonts w:ascii="Times New Roman" w:hAnsi="Times New Roman"/>
                <w:noProof/>
                <w:sz w:val="24"/>
              </w:rPr>
              <w:t xml:space="preserve">РТС относно НТГО). </w:t>
            </w:r>
          </w:p>
        </w:tc>
      </w:tr>
      <w:tr w:rsidR="00B0203E" w:rsidRPr="00D82419" w14:paraId="4655EFD3" w14:textId="77777777" w:rsidTr="63452C95">
        <w:tc>
          <w:tcPr>
            <w:tcW w:w="1129" w:type="dxa"/>
          </w:tcPr>
          <w:p w14:paraId="7B647AD7" w14:textId="3E7A916A"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Равнище на ИССК при базовия сценарий</w:t>
            </w:r>
          </w:p>
          <w:p w14:paraId="58C9873C" w14:textId="4D13F981" w:rsidR="00B0203E" w:rsidRPr="00D82419" w:rsidDel="00D1769D" w:rsidRDefault="00B0203E"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Равнището на ИССК при базовите сценарии за лихвените проценти на референтната дата.</w:t>
            </w:r>
          </w:p>
        </w:tc>
      </w:tr>
      <w:tr w:rsidR="00B0203E" w:rsidRPr="00D82419" w14:paraId="12F10FB4" w14:textId="77777777" w:rsidTr="63452C95">
        <w:tc>
          <w:tcPr>
            <w:tcW w:w="1129" w:type="dxa"/>
          </w:tcPr>
          <w:p w14:paraId="6C489768" w14:textId="52CDBC8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успореден шок нагоре</w:t>
            </w:r>
          </w:p>
          <w:p w14:paraId="75608591" w14:textId="2378525F"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ИССК при сценария на „успореден шок нагоре“, посочен в член 1, параграф 1, буква а)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успореден шок надолу</w:t>
            </w:r>
          </w:p>
          <w:p w14:paraId="615E0D1E" w14:textId="3889B4D5"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Промяната на ИССК при сценария на „успореден шок надолу“, посочен в член 1, параграф 1, буква б) и член 2 от</w:t>
            </w:r>
            <w:r>
              <w:rPr>
                <w:noProof/>
              </w:rPr>
              <w:t xml:space="preserve">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шок към повишаване на стръмността</w:t>
            </w:r>
          </w:p>
          <w:p w14:paraId="2E2C691F" w14:textId="06179B82"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Промяната на ИССК при сценария на „шок към повишаване на стръмността“, посочен в член 1, параграф 1, буква в) и член 2 от</w:t>
            </w:r>
            <w:r>
              <w:rPr>
                <w:noProof/>
              </w:rPr>
              <w:t xml:space="preserve">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изравнителен шок</w:t>
            </w:r>
          </w:p>
          <w:p w14:paraId="1576761F" w14:textId="18F1A51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ИССК при сценария на „изравнителен шок“, посочен в член 1, параграф 1, буква г)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при шок към повишаване на краткосрочните лихвени проценти</w:t>
            </w:r>
          </w:p>
          <w:p w14:paraId="30FAC30B" w14:textId="1D74F175"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ИССК при „шок към повишаване на краткосрочните лихвени проценти“, посочен в член 1, параграф 1, буква д)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ИССК — шок към понижаване на краткосрочните лихвени проценти</w:t>
            </w:r>
          </w:p>
          <w:p w14:paraId="25CC32D5" w14:textId="55B8644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ИССК при „шок към понижаване на краткосрочните лихвени проценти“, посочен в член 1, параграф 1, буква е)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Нетни приходи от лихви</w:t>
            </w:r>
          </w:p>
          <w:p w14:paraId="5A9A4DA0" w14:textId="702C71B5" w:rsidR="00B0203E" w:rsidRPr="00D82419" w:rsidRDefault="00B0203E"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НПЛ, посочен в </w:t>
            </w:r>
            <w:r>
              <w:rPr>
                <w:noProof/>
              </w:rPr>
              <w:t xml:space="preserve">член 98, параграф 5, буква б) от Директива 2013/36/ЕС и определен в член 4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noProof/>
              </w:rPr>
              <w:t>.</w:t>
            </w:r>
            <w:r>
              <w:rPr>
                <w:rStyle w:val="InstructionsTabelleberschrift"/>
                <w:rFonts w:ascii="Times New Roman" w:hAnsi="Times New Roman"/>
                <w:b w:val="0"/>
                <w:noProof/>
                <w:sz w:val="24"/>
                <w:u w:val="none"/>
              </w:rPr>
              <w:t xml:space="preserve"> </w:t>
            </w:r>
            <w:r>
              <w:rPr>
                <w:noProof/>
              </w:rPr>
              <w:t>По</w:t>
            </w:r>
            <w:r>
              <w:rPr>
                <w:rStyle w:val="InstructionsTabelleberschrift"/>
                <w:rFonts w:ascii="Times New Roman" w:hAnsi="Times New Roman"/>
                <w:b w:val="0"/>
                <w:noProof/>
                <w:sz w:val="24"/>
                <w:u w:val="none"/>
              </w:rPr>
              <w:t xml:space="preserve"> отношение на допусканията за моделирането и параметрите, които не са определени в член 4 от посочения делегиран регламент, институциите използват онези допускания, които прилагат при измерването и управлението на ЛРБП, т.е. своите вътрешни методики за измерване, стандартизирания подход или опростения стандартизиран подход, според случая.</w:t>
            </w:r>
          </w:p>
          <w:p w14:paraId="1481DD1E" w14:textId="0736C1D5" w:rsidR="00A11939" w:rsidRPr="00D82419" w:rsidRDefault="0008615C"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Институциите вземат предвид счетоводното третиране на хеджирането (т.е. отчитането на хеджирането) и не включват ефектите от отчетните обекти (позициите) по член 33, параграф 1, буква а) от </w:t>
            </w:r>
            <w:r>
              <w:rPr>
                <w:noProof/>
              </w:rPr>
              <w:t>Регламент (ЕС) №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НПЛ при най-лошия сценарий</w:t>
            </w:r>
          </w:p>
          <w:p w14:paraId="0E312D00" w14:textId="5AB6AC0B"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в едногодишния НПЛ при шоковите сценарии за надзорни цели, посочени в </w:t>
            </w:r>
            <w:r>
              <w:rPr>
                <w:rStyle w:val="FormatvorlageInstructionsTabelleText"/>
                <w:rFonts w:ascii="Times New Roman" w:hAnsi="Times New Roman"/>
                <w:noProof/>
                <w:sz w:val="24"/>
              </w:rPr>
              <w:t>член 1, параграф 2 от Делегиран регламент (ЕС) .../... (Служба за публикации: моля, добавете препратка към РТС относно НТГО), който причинява най-големия спад на НПЛ.</w:t>
            </w:r>
            <w:r>
              <w:rPr>
                <w:rStyle w:val="FormatvorlageInstructionsTabelleText"/>
                <w:rFonts w:ascii="Times New Roman" w:hAnsi="Times New Roman"/>
                <w:noProof/>
              </w:rPr>
              <w:t xml:space="preserve"> </w:t>
            </w:r>
            <w:r>
              <w:rPr>
                <w:noProof/>
              </w:rPr>
              <w:t xml:space="preserve">В този ред се отчита </w:t>
            </w:r>
            <w:r>
              <w:rPr>
                <w:rStyle w:val="FormatvorlageInstructionsTabelleText"/>
                <w:rFonts w:ascii="Times New Roman" w:hAnsi="Times New Roman"/>
                <w:noProof/>
                <w:sz w:val="24"/>
              </w:rPr>
              <w:t>най-лошият резултат от стойностите в редове</w:t>
            </w:r>
            <w:r>
              <w:rPr>
                <w:rStyle w:val="InstructionsTabelleberschrift"/>
                <w:rFonts w:ascii="Times New Roman" w:hAnsi="Times New Roman"/>
                <w:b w:val="0"/>
                <w:noProof/>
                <w:sz w:val="24"/>
                <w:u w:val="none"/>
              </w:rPr>
              <w:t xml:space="preserve"> 0130 и 0140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Отношение на ∆ НПЛ при най-лошия сценарий</w:t>
            </w:r>
          </w:p>
          <w:p w14:paraId="2262B2BB" w14:textId="035A73E6" w:rsidR="009E5DE6" w:rsidRPr="00D82419" w:rsidRDefault="009E5DE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Отношението на стойността, отчетена в ред 0100, към капитала от първи ред </w:t>
            </w:r>
            <w:r>
              <w:rPr>
                <w:noProof/>
              </w:rPr>
              <w:t>определено в съответствие с член 25 от Регламент (ЕС) №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НПЛ при базовия сценарий и шоковите сценарии за надзорни цели</w:t>
            </w:r>
          </w:p>
          <w:p w14:paraId="29D06DA2" w14:textId="401CE418" w:rsidR="001768A4" w:rsidRPr="00D82419" w:rsidRDefault="00E115F2"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Равнището на НПЛ при базовия сценарий и Δ НПЛ при шоковите сценарии за надзорни цели, посочени в </w:t>
            </w:r>
            <w:r>
              <w:rPr>
                <w:rStyle w:val="FormatvorlageInstructionsTabelleText"/>
                <w:rFonts w:ascii="Times New Roman" w:hAnsi="Times New Roman"/>
                <w:noProof/>
                <w:sz w:val="24"/>
              </w:rPr>
              <w:t>член 1, параграф 2 от Делегиран регламент (ЕС) …/… (Служба за публикации: моля, добавете препратка към РТС относно НТГО)</w:t>
            </w:r>
            <w:r>
              <w:rPr>
                <w:noProof/>
              </w:rPr>
              <w:t>.</w:t>
            </w:r>
          </w:p>
        </w:tc>
      </w:tr>
      <w:tr w:rsidR="00B1769B" w:rsidRPr="00D82419" w14:paraId="74B9F5A4" w14:textId="77777777" w:rsidTr="63452C95">
        <w:tc>
          <w:tcPr>
            <w:tcW w:w="1129" w:type="dxa"/>
          </w:tcPr>
          <w:p w14:paraId="6ACD054A" w14:textId="3334CDA1"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Равнище на НПЛ при базовия сценарий </w:t>
            </w:r>
          </w:p>
          <w:p w14:paraId="5650CC49" w14:textId="440C8528" w:rsidR="00B1769B" w:rsidRPr="00D82419" w:rsidDel="008C1F5D"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Равнището на НПЛ при базовия сценарий за лихвените проценти към референтната дата.</w:t>
            </w:r>
          </w:p>
        </w:tc>
      </w:tr>
      <w:tr w:rsidR="00B1769B" w:rsidRPr="00D82419" w14:paraId="5A23CC83" w14:textId="77777777" w:rsidTr="63452C95">
        <w:tc>
          <w:tcPr>
            <w:tcW w:w="1129" w:type="dxa"/>
          </w:tcPr>
          <w:p w14:paraId="0265CE45" w14:textId="2A0AC21C"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∆НПЛ при успореден шок нагоре</w:t>
            </w:r>
          </w:p>
          <w:p w14:paraId="1B5D0209" w14:textId="280D8D7E" w:rsidR="00B1769B" w:rsidRPr="00D82419" w:rsidRDefault="00B1769B"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Промяната на НПЛ при сценария на „успореден шок нагоре“, посочен в член 1, параграф 2, буква а)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∆НПЛ при успореден шок надолу</w:t>
            </w:r>
          </w:p>
          <w:p w14:paraId="4D8674F1" w14:textId="517AA498" w:rsidR="00B1769B" w:rsidRPr="00D82419"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НПЛ при сценария на „успореден шок надолу“, посочен в член 1, параграф 2, буква б)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p>
        </w:tc>
      </w:tr>
      <w:tr w:rsidR="00923153" w:rsidRPr="00D82419" w14:paraId="5B99C8B8" w14:textId="77777777" w:rsidTr="63452C95">
        <w:tc>
          <w:tcPr>
            <w:tcW w:w="1129" w:type="dxa"/>
          </w:tcPr>
          <w:p w14:paraId="7203579F" w14:textId="7494CBB8"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Промени в пазарната стойност на МНИ</w:t>
            </w:r>
          </w:p>
          <w:p w14:paraId="2E5292E0" w14:textId="7A67CD3C" w:rsidR="007229C5" w:rsidRPr="00D82419" w:rsidRDefault="007229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ПС при базовия сценарий и шоковите сценарии за надзорни цели</w:t>
            </w:r>
          </w:p>
          <w:p w14:paraId="67095171" w14:textId="39679898"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Прогнозите за промените в ПС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ПС)</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на балансовата стойност за хоризонт от 1 година съгласно </w:t>
            </w:r>
            <w:r>
              <w:rPr>
                <w:rStyle w:val="InstructionsTabelleberschrift"/>
                <w:rFonts w:ascii="Times New Roman" w:hAnsi="Times New Roman"/>
                <w:b w:val="0"/>
                <w:noProof/>
                <w:sz w:val="24"/>
                <w:u w:val="none"/>
              </w:rPr>
              <w:t>базовия сценарий и шоковия сценарий за надзорни цели</w:t>
            </w:r>
            <w:r>
              <w:rPr>
                <w:noProof/>
              </w:rPr>
              <w:t xml:space="preserve"> </w:t>
            </w:r>
            <w:r>
              <w:rPr>
                <w:rStyle w:val="FormatvorlageInstructionsTabelleText"/>
                <w:rFonts w:ascii="Times New Roman" w:hAnsi="Times New Roman"/>
                <w:noProof/>
                <w:sz w:val="24"/>
              </w:rPr>
              <w:t xml:space="preserve"> се представят или в отчета за приходите и разходите, или директно в собствения капитал (като например чрез другия всеобхватен доход). Институциите отчитат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ПС нетно от ефекта на счетоводното хеджиране (т.е. отчитането на хеджирането) и не вземат предвид ефектите от отчетните обекти, посочени в член 33, параграф 1, буква а) от </w:t>
            </w:r>
            <w:r>
              <w:rPr>
                <w:noProof/>
              </w:rPr>
              <w:t>Регламент (ЕС) № 575/2013</w:t>
            </w:r>
            <w:r>
              <w:rPr>
                <w:rStyle w:val="FormatvorlageInstructionsTabelleText"/>
                <w:rFonts w:ascii="Times New Roman" w:hAnsi="Times New Roman"/>
                <w:noProof/>
                <w:sz w:val="24"/>
              </w:rPr>
              <w:t xml:space="preserve"> (ефективен компонент на дериватите в рамките на отчитането на хеджирането на паричния поток, с които се хеджират отчетни обекти, оценявани по амортизирана стойност).</w:t>
            </w:r>
          </w:p>
          <w:p w14:paraId="6B865342" w14:textId="109448BB" w:rsidR="00923153" w:rsidRPr="00D82419" w:rsidRDefault="0092315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Институциите използват прогнозите за ∆ПС съгласно своята ВСИ за ЛРБП или когато е приложимо, съгласно член 22 от Делегиран регламент (ЕС) …/… (Служба за публикации: моля, добавете препратка към РТС относно СП) за шоковите сценарии за надзорни цели, посочени в </w:t>
            </w:r>
            <w:r>
              <w:rPr>
                <w:rStyle w:val="FormatvorlageInstructionsTabelleText"/>
                <w:rFonts w:ascii="Times New Roman" w:hAnsi="Times New Roman"/>
                <w:noProof/>
                <w:sz w:val="24"/>
              </w:rPr>
              <w:t xml:space="preserve">член 1, параграф 2 от Делегиран регламент (ЕС) …/… (Служба за публикации: моля, добавете препратка към РТС относно НТГО). </w:t>
            </w:r>
          </w:p>
          <w:p w14:paraId="24C4DC3D" w14:textId="23B6E2D6"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Общият размер и състав на сумата, към чиято стойност е чувствителна към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ПС, се поддържа чрез замяна на инструменти с настъпващ падеж с нови инструменти, които имат сравними характеристики (включително валута и номинална стойност на инструментите).</w:t>
            </w:r>
          </w:p>
          <w:p w14:paraId="536B6F4D" w14:textId="5656A60C" w:rsidR="00AF5A06" w:rsidRPr="00D82419" w:rsidRDefault="00AF5A06"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Оценките на риска, от които се получават относимите параметри, трябва да бъдат равностойни на тези, използвани за изчисляването за НТГО, включително, когато е приложимо, поведенческото моделиране и </w:t>
            </w:r>
            <w:r>
              <w:rPr>
                <w:noProof/>
              </w:rPr>
              <w:t>автоматичните опционални характеристики.</w:t>
            </w:r>
          </w:p>
        </w:tc>
      </w:tr>
      <w:tr w:rsidR="00B42594" w:rsidRPr="00D82419" w:rsidDel="008E0D48" w14:paraId="7AC6FA75" w14:textId="77777777" w:rsidTr="63452C95">
        <w:tc>
          <w:tcPr>
            <w:tcW w:w="1129" w:type="dxa"/>
          </w:tcPr>
          <w:p w14:paraId="4F73B923" w14:textId="33FB00F8" w:rsidR="00B42594" w:rsidRPr="00D82419" w:rsidRDefault="00B425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Равнище на пазарната стойност при базовия сценарий </w:t>
            </w:r>
          </w:p>
          <w:p w14:paraId="25925B58" w14:textId="0CA46700" w:rsidR="00B42594" w:rsidRPr="00D82419" w:rsidDel="008C1F5D"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Равнището на ПС при базовия сценарий за лихвените проценти към референтната дата.</w:t>
            </w:r>
          </w:p>
        </w:tc>
      </w:tr>
      <w:tr w:rsidR="00B42594" w:rsidRPr="00D82419" w14:paraId="3900C6EB" w14:textId="77777777" w:rsidTr="63452C95">
        <w:tc>
          <w:tcPr>
            <w:tcW w:w="1129" w:type="dxa"/>
          </w:tcPr>
          <w:p w14:paraId="35C36A35" w14:textId="61A8A73B" w:rsidR="00B42594" w:rsidRPr="00D82419" w:rsidRDefault="00B425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∆ПС при успореден шок нагоре</w:t>
            </w:r>
          </w:p>
          <w:p w14:paraId="1898CD18" w14:textId="4E66E93D" w:rsidR="00B42594" w:rsidRPr="00D82419"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Промяната на ПС при сценария на „успореден шок нагоре“, посочен в член 1, параграф 2, буква а)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∆ПС при успореден шок надолу</w:t>
            </w:r>
          </w:p>
          <w:p w14:paraId="39515A3E" w14:textId="14E3906F" w:rsidR="00B42594" w:rsidRPr="00D82419" w:rsidRDefault="00B42594" w:rsidP="002F0B4B">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Промяната на ПС при сценария на „успореден шок надолу“, посочен в член 1, параграф 2, буква а) и член 2 от Делегиран регламент (ЕС) …/… (Служба за публикации: моля, добавете препратка към </w:t>
            </w:r>
            <w:r>
              <w:rPr>
                <w:rStyle w:val="FormatvorlageInstructionsTabelleText"/>
                <w:rFonts w:ascii="Times New Roman" w:hAnsi="Times New Roman"/>
                <w:noProof/>
                <w:sz w:val="24"/>
              </w:rPr>
              <w:t>РТС относно НТГО)</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 валути: Размер на шоковете на лихвените проценти</w:t>
            </w:r>
          </w:p>
          <w:p w14:paraId="62EEE84C" w14:textId="7928B66E" w:rsidR="00BC1B09" w:rsidRPr="00D82419" w:rsidRDefault="00677FBE"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Част Б от приложението към Делегиран регламент (ЕС) .../... (Служба за публикации: моля, добавете препратка към РТС относно НТГО).</w:t>
            </w:r>
          </w:p>
          <w:p w14:paraId="0252908B" w14:textId="68C40504" w:rsidR="00BC1B09" w:rsidRPr="00D82419" w:rsidRDefault="00BC1B0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Шоковете на лихвените проценти за валути, калибрирани в съответствие с част Б от приложението към Делегиран регламент (ЕС) .../... (Служба за публикации: моля, добавете препратка към РТС относно НТГО) и член 2 от посочения делегиран регламент. Размерът на шоковете на лихвените проценти се отчита в базисни пунктове и в абсолютна стойност. Размерът на шока представлява разликата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спрямо безрисковия лихвен процент.</w:t>
            </w:r>
          </w:p>
          <w:p w14:paraId="0D8BD90C" w14:textId="2887FF27" w:rsidR="00BC1B09" w:rsidRPr="00D82419" w:rsidRDefault="00BC1B09" w:rsidP="002F0B4B">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Тези редове не се попълват за валутите, посочени в част А от приложението към Делегиран регламент (ЕС) …/… (Служба за публикации: моля, добавете препратка към </w:t>
            </w:r>
            <w:r>
              <w:rPr>
                <w:rStyle w:val="FormatvorlageInstructionsTabelleText"/>
                <w:rFonts w:ascii="Times New Roman" w:hAnsi="Times New Roman"/>
                <w:noProof/>
                <w:sz w:val="24"/>
              </w:rPr>
              <w:t xml:space="preserve">РТС относно НТГО). Те се попълват само за валутите, разгледани в НТГО, </w:t>
            </w:r>
            <w:r>
              <w:rPr>
                <w:noProof/>
              </w:rPr>
              <w:t>в съответствие с член 1, параграф 4 от посочения делегиран регламент</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Успореден шок </w:t>
            </w:r>
          </w:p>
          <w:p w14:paraId="120B2401" w14:textId="7AFA3569"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Размерът на успоредния на лихвените проценти в базисни пунктове, калибрирани в съответствие с част Б от приложението към Делегиран регламент (ЕС) .../... (Служба за публикации: моля, добавете препратка към </w:t>
            </w:r>
            <w:r>
              <w:rPr>
                <w:noProof/>
              </w:rPr>
              <w:t>РТС относно НТГО)</w:t>
            </w:r>
            <w:r>
              <w:rPr>
                <w:rStyle w:val="FormatvorlageInstructionsTabelleText"/>
                <w:rFonts w:ascii="Times New Roman" w:hAnsi="Times New Roman"/>
                <w:noProof/>
                <w:sz w:val="24"/>
              </w:rPr>
              <w:t xml:space="preserve"> и член 2, параграф 1 от посочения делегиран регламент.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Шок на краткосрочните лихвени проценти</w:t>
            </w:r>
          </w:p>
          <w:p w14:paraId="268536D0" w14:textId="54B23D99"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Размерът на краткосрочния шок на лихвените проценти в базисни пунктове, калибрирани съгласно краткосрочния шок в </w:t>
            </w:r>
            <w:r>
              <w:rPr>
                <w:noProof/>
                <w:sz w:val="23"/>
              </w:rPr>
              <w:t xml:space="preserve"> </w:t>
            </w:r>
            <w:r>
              <w:rPr>
                <w:rStyle w:val="FormatvorlageInstructionsTabelleText"/>
                <w:rFonts w:ascii="Times New Roman" w:hAnsi="Times New Roman"/>
                <w:noProof/>
                <w:sz w:val="24"/>
              </w:rPr>
              <w:t xml:space="preserve">част Б от приложението към Делегиран регламент (ЕС) .../... (Служба за публикации: моля, добавете препратка към </w:t>
            </w:r>
            <w:r>
              <w:rPr>
                <w:noProof/>
              </w:rPr>
              <w:t>РТС относно НТГО)</w:t>
            </w:r>
            <w:r>
              <w:rPr>
                <w:rStyle w:val="FormatvorlageInstructionsTabelleText"/>
                <w:rFonts w:ascii="Times New Roman" w:hAnsi="Times New Roman"/>
                <w:noProof/>
                <w:sz w:val="24"/>
              </w:rPr>
              <w:t xml:space="preserve"> и член 2, параграф 2 от посочения делегиран регламент.</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Шок на дългосрочните лихвени проценти</w:t>
            </w:r>
          </w:p>
          <w:p w14:paraId="0C2901AA" w14:textId="300F2D03"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Размерът на дългосрочния шок на лихвените проценти в базисни пунктове, калибрирани съгласно дългосрочния шок в </w:t>
            </w:r>
            <w:r>
              <w:rPr>
                <w:noProof/>
                <w:sz w:val="23"/>
              </w:rPr>
              <w:t xml:space="preserve"> </w:t>
            </w:r>
            <w:r>
              <w:rPr>
                <w:rStyle w:val="FormatvorlageInstructionsTabelleText"/>
                <w:rFonts w:ascii="Times New Roman" w:hAnsi="Times New Roman"/>
                <w:noProof/>
                <w:sz w:val="24"/>
              </w:rPr>
              <w:t>част Б от приложението към Делегиран регламент (ЕС) .../... (Служба за публикации: моля, добавете препратка към РТС относно НТГО) и член 2, параграф 3 от посочения делегиран регламент.</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Колони</w:t>
            </w:r>
          </w:p>
        </w:tc>
        <w:tc>
          <w:tcPr>
            <w:tcW w:w="7620" w:type="dxa"/>
            <w:shd w:val="clear" w:color="auto" w:fill="D9D9D9" w:themeFill="background1" w:themeFillShade="D9"/>
          </w:tcPr>
          <w:p w14:paraId="439B0F6E" w14:textId="77777777" w:rsidR="00AD0050" w:rsidRPr="00D82419" w:rsidRDefault="00AD0050"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AD0050" w:rsidRPr="00D82419" w14:paraId="47947801" w14:textId="77777777" w:rsidTr="63452C95">
        <w:tc>
          <w:tcPr>
            <w:tcW w:w="1129" w:type="dxa"/>
          </w:tcPr>
          <w:p w14:paraId="0F239392" w14:textId="77777777" w:rsidR="00AD0050" w:rsidRPr="00D82419" w:rsidRDefault="00AD005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Стойност</w:t>
            </w:r>
          </w:p>
          <w:p w14:paraId="6D17DD5F" w14:textId="7B468155" w:rsidR="00AD0050" w:rsidRPr="00D82419" w:rsidRDefault="3F6CE5E4" w:rsidP="002F0B4B">
            <w:pPr>
              <w:pStyle w:val="InstructionsText"/>
              <w:rPr>
                <w:noProof/>
              </w:rPr>
            </w:pPr>
            <w:r>
              <w:rPr>
                <w:noProof/>
              </w:rPr>
              <w:t xml:space="preserve">Определеният размер на шоковете на лихвените проценти се отчита в базисни пунктове (б.п.), </w:t>
            </w:r>
            <w:r>
              <w:rPr>
                <w:rStyle w:val="InstructionsTabelleberschrift"/>
                <w:rFonts w:ascii="Times New Roman" w:hAnsi="Times New Roman"/>
                <w:noProof/>
                <w:sz w:val="24"/>
                <w:u w:val="none"/>
              </w:rPr>
              <w:t>∆</w:t>
            </w:r>
            <w:r>
              <w:rPr>
                <w:noProof/>
              </w:rPr>
              <w:t xml:space="preserve">ИССК и </w:t>
            </w:r>
            <w:r>
              <w:rPr>
                <w:rStyle w:val="InstructionsTabelleberschrift"/>
                <w:rFonts w:ascii="Times New Roman" w:hAnsi="Times New Roman"/>
                <w:noProof/>
                <w:sz w:val="24"/>
                <w:u w:val="none"/>
              </w:rPr>
              <w:t>∆</w:t>
            </w:r>
            <w:r>
              <w:rPr>
                <w:noProof/>
              </w:rPr>
              <w:t>НПЛ се отчитат както като отношения, така и като размери (както е посочено в указанията относно редовете). Сумите се отчитат в отчетната валута.</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087697"/>
      <w:r>
        <w:rPr>
          <w:noProof/>
        </w:rPr>
        <w:t>ЧАСТ IIІ РАЗПРЕДЕЛЕНИЕ НА ПРИБЛИЗИТЕЛНИТЕ ОЦЕНКИ НА ЧУВСТВИТЕЛНОСТТА (J 02.00, J 03.00 и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087698"/>
      <w:r>
        <w:rPr>
          <w:b/>
          <w:noProof/>
          <w:sz w:val="24"/>
        </w:rPr>
        <w:t>1.</w:t>
      </w:r>
      <w:r>
        <w:rPr>
          <w:b/>
          <w:noProof/>
          <w:sz w:val="24"/>
        </w:rPr>
        <w:tab/>
        <w:t>Общи бележки</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В образци J 02.00, J 03.00 и J 04.00 се предоставя допълнително разпределение на приблизителните оценки на институциите за чувствителността на ЛРБП при НТГО (Делегиран регламент (ЕС) .../... (Служба за публикации: моля, добавете препратка към РТС относно НТГО) и промените в ПС (вътрешно управление на риска за  хоризонт от 1 година и допускане за постоянен счетоводен баланс), включително поведенчески/договорни и автоматични опционални характеристики за конкретно разпределение на балансовите статии.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Институциите попълват съдържанието на тези образци отделно за всяка валута, за която институцията има позиции, когато счетоводната стойност на финансовите активи или пасиви, деноминирани във валута, възлиза на 5 % или повече от общите финансови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087699"/>
      <w:r>
        <w:rPr>
          <w:b/>
          <w:noProof/>
          <w:sz w:val="24"/>
        </w:rPr>
        <w:t>2.</w:t>
      </w:r>
      <w:r>
        <w:rPr>
          <w:b/>
          <w:noProof/>
          <w:sz w:val="24"/>
        </w:rPr>
        <w:tab/>
        <w:t>Указания относно определени позиции</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Ред</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Общо активи</w:t>
            </w:r>
          </w:p>
          <w:p w14:paraId="7107F5D8" w14:textId="44611D25" w:rsidR="007F62B7" w:rsidRPr="00D82419" w:rsidRDefault="007F62B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Общо чувствителни към лихвения процент активи </w:t>
            </w:r>
            <w:r>
              <w:rPr>
                <w:noProof/>
              </w:rPr>
              <w:t xml:space="preserve">в обхвата на Делегиран регламент (ЕС) .../... (Служба за публикации: моля, добавете препратка към РТС относно НТГО), </w:t>
            </w:r>
            <w:r>
              <w:rPr>
                <w:rStyle w:val="FormatvorlageInstructionsTabelleText"/>
                <w:rFonts w:ascii="Times New Roman" w:hAnsi="Times New Roman"/>
                <w:noProof/>
                <w:sz w:val="24"/>
              </w:rPr>
              <w:t xml:space="preserve">независимо от счетоводното им третиране. Този ред включва: </w:t>
            </w:r>
          </w:p>
          <w:p w14:paraId="5F3B0345" w14:textId="5CA7E3F0" w:rsidR="00D1720D" w:rsidRPr="0099267D"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активи към централни банки;</w:t>
            </w:r>
          </w:p>
          <w:p w14:paraId="2F726373" w14:textId="2FE063AD" w:rsidR="006E4174" w:rsidRPr="00D82419"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междубанкови активи;</w:t>
            </w:r>
          </w:p>
          <w:p w14:paraId="04EFCDE1" w14:textId="4E5CB67E" w:rsidR="00741F94" w:rsidRPr="00D82419" w:rsidRDefault="00E21745" w:rsidP="002F0B4B">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заеми и аванси;</w:t>
            </w:r>
          </w:p>
          <w:p w14:paraId="7EB9F6CB" w14:textId="55D1E706"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дългови ценни книжа;</w:t>
            </w:r>
          </w:p>
          <w:p w14:paraId="3F3DC394" w14:textId="7098B68E"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деривати, с които се хеджират активи;</w:t>
            </w:r>
          </w:p>
          <w:p w14:paraId="3F84EC18" w14:textId="2DA05C93"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други.</w:t>
            </w:r>
          </w:p>
          <w:p w14:paraId="69621AB3" w14:textId="68D06F22" w:rsidR="00741F94" w:rsidRPr="00D82419" w:rsidRDefault="00F13E6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Институциите отчитат експозициите към ЛРБП на активите, които не са приспаднати от базовия собствен капитал от първи ред (БСК1), определен в съответствие с част втора, дял I, глава 2 от </w:t>
            </w:r>
            <w:r>
              <w:rPr>
                <w:noProof/>
              </w:rPr>
              <w:t>Регламент (ЕС) № 575/2013</w:t>
            </w:r>
            <w:r>
              <w:rPr>
                <w:rStyle w:val="InstructionsTabelleberschrift"/>
                <w:rFonts w:ascii="Times New Roman" w:hAnsi="Times New Roman"/>
                <w:b w:val="0"/>
                <w:noProof/>
                <w:sz w:val="24"/>
                <w:u w:val="none"/>
              </w:rPr>
              <w:t xml:space="preserve">, с изключение на материалните активи, като недвижимо имущество, както и експозициите по капиталови инструменти в банковия портфейл, посочени в член 133 и член 147, параграф 2, буква д) от </w:t>
            </w:r>
            <w:r>
              <w:rPr>
                <w:noProof/>
              </w:rPr>
              <w:t>Регламент (ЕС) № 575/2013</w:t>
            </w:r>
            <w:r>
              <w:rPr>
                <w:rStyle w:val="InstructionsTabelleberschrift"/>
                <w:rFonts w:ascii="Times New Roman" w:hAnsi="Times New Roman"/>
                <w:b w:val="0"/>
                <w:noProof/>
                <w:sz w:val="24"/>
                <w:u w:val="none"/>
              </w:rPr>
              <w:t>. Тези експозиции се отнасят към секторите на контрагентите според естеството на прекия контрагент.</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в т.ч.: поради автоматични опционални характеристики</w:t>
            </w:r>
          </w:p>
          <w:p w14:paraId="7FE49A82" w14:textId="1DF342DD" w:rsidR="00364443" w:rsidRPr="0041005E" w:rsidRDefault="001D67C3" w:rsidP="002F0B4B">
            <w:pPr>
              <w:pStyle w:val="InstructionsText"/>
              <w:rPr>
                <w:noProof/>
              </w:rPr>
            </w:pPr>
            <w:r>
              <w:rPr>
                <w:noProof/>
              </w:rPr>
              <w:t>Принос на вградените и изричните автоматични опционални характеристики към общите чувствителни към лихвения процент активи в обхвата на Делегиран регламент (ЕС) .../... (Служба за публикации: моля, добавете препратка към РТС относно НТГО), независимо от счетоводното им третиране.</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Към централни банки</w:t>
            </w:r>
          </w:p>
          <w:p w14:paraId="4F18E9BC" w14:textId="7D9B69C5" w:rsidR="00741F94" w:rsidRPr="00D82419" w:rsidRDefault="000503D6" w:rsidP="002F0B4B">
            <w:pPr>
              <w:pStyle w:val="InstructionsText"/>
              <w:rPr>
                <w:rStyle w:val="InstructionsTabelleberschrift"/>
                <w:rFonts w:ascii="Times New Roman" w:hAnsi="Times New Roman"/>
                <w:b w:val="0"/>
                <w:bCs w:val="0"/>
                <w:noProof/>
                <w:sz w:val="24"/>
                <w:u w:val="none"/>
              </w:rPr>
            </w:pPr>
            <w:r>
              <w:rPr>
                <w:noProof/>
              </w:rPr>
              <w:t>Активи към централни банки, включително касови наличности и безсрочни депозити, както е посочено в част 1, точка 42, буква а) от приложение V към настоящия регламент.</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Междубанкови</w:t>
            </w:r>
          </w:p>
          <w:p w14:paraId="6C7EA869" w14:textId="37B60FF4" w:rsidR="00544C58" w:rsidRPr="00D82419" w:rsidRDefault="00CB3FA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Всички активи, чийто контрагент е кредитна институция, както е посочено в част 1, точка 42, буква в) от приложение V към настоящия</w:t>
            </w:r>
            <w:r>
              <w:rPr>
                <w:noProof/>
              </w:rPr>
              <w:t xml:space="preserve"> регламент, с изключение на експозициите по ценни книжа и деривати</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Заеми и аванси</w:t>
            </w:r>
          </w:p>
          <w:p w14:paraId="64597ADD" w14:textId="23559F2E" w:rsidR="00741F94" w:rsidRPr="00D82419" w:rsidRDefault="00CE054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Държаните от институциите дългови инструменти, които не са ценни книжа, </w:t>
            </w:r>
            <w:r>
              <w:rPr>
                <w:noProof/>
              </w:rPr>
              <w:t>както е посочено в част 1, точка 32 от приложение V към настоящия регламент</w:t>
            </w:r>
            <w:r>
              <w:rPr>
                <w:rStyle w:val="InstructionsTabelleberschrift"/>
                <w:rFonts w:ascii="Times New Roman" w:hAnsi="Times New Roman"/>
                <w:b w:val="0"/>
                <w:noProof/>
                <w:sz w:val="24"/>
                <w:u w:val="none"/>
              </w:rPr>
              <w:t>. Този ред не включва експозициите, включени в редове 0030 и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в т.ч.: с фиксиран лихвен процент</w:t>
            </w:r>
          </w:p>
          <w:p w14:paraId="0C01CA13" w14:textId="2A2D1336" w:rsidR="003E575E" w:rsidRPr="00D82419" w:rsidRDefault="003E575E" w:rsidP="002F0B4B">
            <w:pPr>
              <w:pStyle w:val="InstructionsText"/>
              <w:rPr>
                <w:rStyle w:val="InstructionsTabelleberschrift"/>
                <w:rFonts w:ascii="Times New Roman" w:hAnsi="Times New Roman"/>
                <w:noProof/>
                <w:sz w:val="24"/>
              </w:rPr>
            </w:pPr>
            <w:r>
              <w:rPr>
                <w:noProof/>
              </w:rPr>
              <w:t>Институциите отчитат цифри, свързани с инструменти с фиксиран лихвен процент, съгласно установените практики, посочени в част I, раздел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от настоящото приложение.</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в т.ч.: необслужвани</w:t>
            </w:r>
          </w:p>
          <w:p w14:paraId="65A1D079" w14:textId="06E8A2CC" w:rsidR="00741F94" w:rsidRPr="00D82419" w:rsidRDefault="007F62B7"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Необслужвани заеми и аванси, посочени в член 3, параграф 4 от Делегиран регламент (ЕС) …/… (Служба за публикации: моля, добавете препратка към </w:t>
            </w:r>
            <w:r>
              <w:rPr>
                <w:noProof/>
              </w:rPr>
              <w:t>РТС относно НТГО)</w:t>
            </w:r>
            <w:r>
              <w:rPr>
                <w:rStyle w:val="InstructionsTabelleberschrift"/>
                <w:rFonts w:ascii="Times New Roman" w:hAnsi="Times New Roman"/>
                <w:b w:val="0"/>
                <w:noProof/>
                <w:sz w:val="24"/>
                <w:u w:val="none"/>
              </w:rPr>
              <w:t xml:space="preserve"> и в член 47а, параграф 3 от </w:t>
            </w:r>
            <w:r>
              <w:rPr>
                <w:noProof/>
              </w:rPr>
              <w:t>Регламент (ЕС) №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5EE9FE5A" w:rsidR="00741F94" w:rsidRPr="00D82419" w:rsidRDefault="00643EF6"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Заеми и аванси н</w:t>
            </w:r>
            <w:r w:rsidR="00741F94">
              <w:rPr>
                <w:rStyle w:val="InstructionsTabelleberschrift"/>
                <w:rFonts w:ascii="Times New Roman" w:hAnsi="Times New Roman"/>
                <w:noProof/>
                <w:sz w:val="24"/>
              </w:rPr>
              <w:t>а дребно</w:t>
            </w:r>
          </w:p>
          <w:p w14:paraId="6F9561E9" w14:textId="1EABE9DB" w:rsidR="00BB1FA5" w:rsidRPr="00D82419" w:rsidRDefault="007F62B7" w:rsidP="002F0B4B">
            <w:pPr>
              <w:pStyle w:val="InstructionsText"/>
              <w:rPr>
                <w:noProof/>
              </w:rPr>
            </w:pPr>
            <w:r>
              <w:rPr>
                <w:noProof/>
              </w:rPr>
              <w:t xml:space="preserve">Заеми и аванси за физически лица или МСП, при които експозицията към </w:t>
            </w:r>
            <w:r>
              <w:rPr>
                <w:rStyle w:val="cf01"/>
                <w:rFonts w:ascii="Times New Roman" w:hAnsi="Times New Roman"/>
                <w:noProof/>
                <w:sz w:val="24"/>
              </w:rPr>
              <w:t>малки и средни предприятия</w:t>
            </w:r>
            <w:r>
              <w:rPr>
                <w:noProof/>
              </w:rPr>
              <w:t> (МСП) трябва да отговаря на изискванията за класа експозиции на дребно съгласно стандартизирания или вътрешнорейтинговия подход (ВРП) за кредитен риск, определен в част първа, дял II, глави 2 и 3 от Регламент (ЕС) № 575/2013, или към дружество, което отговаря на условието за третиране, определено в член 153, параграф 4 от Регламент (ЕС) № 575/2013, и когато съвкупният размер на депозитите на това МСП или дружество не надвишава 1 милион евро на групова база.</w:t>
            </w:r>
          </w:p>
          <w:p w14:paraId="2F00E30F" w14:textId="05247D51" w:rsidR="00741F94" w:rsidRPr="00D82419" w:rsidRDefault="00741F94" w:rsidP="002F0B4B">
            <w:pPr>
              <w:pStyle w:val="InstructionsText"/>
              <w:rPr>
                <w:rStyle w:val="InstructionsTabelleberschrift"/>
                <w:rFonts w:ascii="Times New Roman" w:hAnsi="Times New Roman"/>
                <w:b w:val="0"/>
                <w:bCs w:val="0"/>
                <w:noProof/>
                <w:sz w:val="24"/>
                <w:u w:val="none"/>
              </w:rPr>
            </w:pPr>
            <w:r>
              <w:rPr>
                <w:noProof/>
              </w:rPr>
              <w:t>В този ред се отчитат както обслужваните, така и необслужваните заеми и аванси на дребно.</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в т.ч.: обезпечени с жилищни недвижими имоти</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Заеми</w:t>
            </w:r>
            <w:r>
              <w:rPr>
                <w:rFonts w:ascii="Times New Roman" w:hAnsi="Times New Roman"/>
                <w:noProof/>
                <w:sz w:val="24"/>
              </w:rPr>
              <w:t xml:space="preserve"> на дребно, официално обезпечени с жилищен имот, независимо от отношението заем/обезпечение (отношението на размера на заема към стойността на обезпечението) и от правната форма на обезпечението.</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53358564" w:rsidR="00741F94" w:rsidRPr="00D82419" w:rsidRDefault="00643E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w:t>
            </w:r>
            <w:r w:rsidR="00741F94">
              <w:rPr>
                <w:rStyle w:val="InstructionsTabelleberschrift"/>
                <w:rFonts w:ascii="Times New Roman" w:hAnsi="Times New Roman"/>
                <w:noProof/>
                <w:sz w:val="24"/>
              </w:rPr>
              <w:t>епозити на едро на нефинансови клиенти</w:t>
            </w:r>
          </w:p>
          <w:p w14:paraId="44A9638B" w14:textId="224BD641" w:rsidR="00741F94" w:rsidRPr="00D82419" w:rsidRDefault="002612D5" w:rsidP="002F0B4B">
            <w:pPr>
              <w:pStyle w:val="InstructionsText"/>
              <w:rPr>
                <w:rStyle w:val="InstructionsTabelleberschrift"/>
                <w:rFonts w:ascii="Times New Roman" w:hAnsi="Times New Roman"/>
                <w:b w:val="0"/>
                <w:bCs w:val="0"/>
                <w:noProof/>
                <w:sz w:val="24"/>
                <w:u w:val="none"/>
              </w:rPr>
            </w:pPr>
            <w:r>
              <w:rPr>
                <w:noProof/>
              </w:rPr>
              <w:t>Заеми и аванси за сектор „Държавно управление“ и за нефинансови предприятия, както е посочено в част 1, точка 42, букви б) и д) от приложение V към настоящия регламент. Този ред не включва експозициите, включени в ред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2F0B4B">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Депозити на едро на финансови клиенти</w:t>
            </w:r>
          </w:p>
          <w:p w14:paraId="4D684432" w14:textId="57EDA359"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Заеми и аванси за други финансови предприятия, посочени в част 1, точка 42, буква д) от приложение V към настоящия </w:t>
            </w:r>
            <w:r>
              <w:rPr>
                <w:noProof/>
              </w:rPr>
              <w:t>регламент</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Дългови ценни книжа</w:t>
            </w:r>
          </w:p>
          <w:p w14:paraId="4F3589E5" w14:textId="297A6910" w:rsidR="00741F94" w:rsidRPr="00D82419" w:rsidRDefault="006E417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Държани от институцията дългови инструменти, емитирани като ценни книжа, които не са заеми, </w:t>
            </w:r>
            <w:r>
              <w:rPr>
                <w:noProof/>
              </w:rPr>
              <w:t>посочени в част 1, точка 31 от приложение V към настоящия регламент</w:t>
            </w:r>
            <w:r>
              <w:rPr>
                <w:rStyle w:val="InstructionsTabelleberschrift"/>
                <w:rFonts w:ascii="Times New Roman" w:hAnsi="Times New Roman"/>
                <w:b w:val="0"/>
                <w:noProof/>
                <w:sz w:val="24"/>
                <w:u w:val="none"/>
              </w:rPr>
              <w:t>,</w:t>
            </w:r>
            <w:r>
              <w:rPr>
                <w:noProof/>
              </w:rPr>
              <w:t xml:space="preserve"> включително обезпечени облигации и секюритизиращи експозиции.</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 с които се хеджират активи</w:t>
            </w:r>
          </w:p>
          <w:p w14:paraId="052D8F4E" w14:textId="7AAB2C56" w:rsidR="001E5979" w:rsidRPr="00D82419" w:rsidDel="00551014" w:rsidRDefault="00E04F77"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Деривати съгласно определението в член 2, параграф 1, точка 29 от Регламент (ЕС) № 600/2014 на Европейския парламент и на Съвета</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Институциите </w:t>
            </w:r>
            <w:r>
              <w:rPr>
                <w:noProof/>
              </w:rPr>
              <w:t xml:space="preserve">отчитат дериватите, държани при режим на отчитане на хеджирането, съгласно приложимата счетоводна рамка, тъй като хеджираният отчетен обект е актив, чувствителен към лихвения процент.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 с които се хеджират дългови ценни книжа</w:t>
            </w:r>
          </w:p>
          <w:p w14:paraId="6CE16F3F" w14:textId="57795022" w:rsidR="00B60371" w:rsidRPr="00D82419" w:rsidRDefault="00CC25CA" w:rsidP="002F0B4B">
            <w:pPr>
              <w:pStyle w:val="InstructionsText"/>
              <w:rPr>
                <w:rStyle w:val="InstructionsTabelleberschrift"/>
                <w:rFonts w:ascii="Times New Roman" w:hAnsi="Times New Roman"/>
                <w:b w:val="0"/>
                <w:noProof/>
                <w:sz w:val="24"/>
                <w:u w:val="none"/>
              </w:rPr>
            </w:pPr>
            <w:r>
              <w:rPr>
                <w:noProof/>
              </w:rPr>
              <w:t>С дериватите в рамките на отчитането на хеджирането</w:t>
            </w:r>
            <w:r>
              <w:rPr>
                <w:rStyle w:val="InstructionsTabelleberschrift"/>
                <w:rFonts w:ascii="Times New Roman" w:hAnsi="Times New Roman"/>
                <w:b w:val="0"/>
                <w:noProof/>
                <w:sz w:val="24"/>
                <w:u w:val="none"/>
              </w:rPr>
              <w:t xml:space="preserve"> се хеджират активи, които са дългови ценни книжа.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Хеджиране на други активи</w:t>
            </w:r>
          </w:p>
          <w:p w14:paraId="455AF042" w14:textId="0B1C6939" w:rsidR="00B60371" w:rsidRPr="00D82419" w:rsidRDefault="00881542" w:rsidP="002F0B4B">
            <w:pPr>
              <w:pStyle w:val="InstructionsText"/>
              <w:rPr>
                <w:rStyle w:val="InstructionsTabelleberschrift"/>
                <w:rFonts w:ascii="Times New Roman" w:hAnsi="Times New Roman"/>
                <w:noProof/>
                <w:sz w:val="24"/>
              </w:rPr>
            </w:pPr>
            <w:r>
              <w:rPr>
                <w:noProof/>
              </w:rPr>
              <w:t>С дериватите в рамките на отчитането на хеджирането</w:t>
            </w:r>
            <w:r>
              <w:rPr>
                <w:rStyle w:val="InstructionsTabelleberschrift"/>
                <w:rFonts w:ascii="Times New Roman" w:hAnsi="Times New Roman"/>
                <w:b w:val="0"/>
                <w:noProof/>
                <w:sz w:val="24"/>
                <w:u w:val="none"/>
              </w:rPr>
              <w:t xml:space="preserve"> се хеджират активи, които не са дългови ценни книжа.</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w:t>
            </w:r>
          </w:p>
          <w:p w14:paraId="483AE853" w14:textId="32773246" w:rsidR="007F62B7" w:rsidRPr="00D82419" w:rsidRDefault="007F62B7" w:rsidP="002F0B4B">
            <w:pPr>
              <w:pStyle w:val="InstructionsText"/>
              <w:rPr>
                <w:rStyle w:val="InstructionsTabelleberschrift"/>
                <w:rFonts w:ascii="Times New Roman" w:hAnsi="Times New Roman"/>
                <w:noProof/>
                <w:sz w:val="24"/>
              </w:rPr>
            </w:pPr>
            <w:r>
              <w:rPr>
                <w:noProof/>
              </w:rPr>
              <w:t xml:space="preserve">В този ред се отчитат </w:t>
            </w:r>
            <w:r>
              <w:rPr>
                <w:rStyle w:val="InstructionsTabelleberschrift"/>
                <w:rFonts w:ascii="Times New Roman" w:hAnsi="Times New Roman"/>
                <w:b w:val="0"/>
                <w:noProof/>
                <w:sz w:val="24"/>
                <w:u w:val="none"/>
              </w:rPr>
              <w:t xml:space="preserve">други балансови активи, чувствителни към лихвения процент, </w:t>
            </w:r>
            <w:r>
              <w:rPr>
                <w:noProof/>
              </w:rPr>
              <w:t>които не се отчитат в горепосочените редове.</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2F0B4B">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Задбалансови активи: условни активи</w:t>
            </w:r>
          </w:p>
          <w:bookmarkEnd w:id="52"/>
          <w:p w14:paraId="6EED4CE2" w14:textId="13D0DEFF" w:rsidR="007F62B7" w:rsidRPr="00D82419" w:rsidRDefault="005F0A8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Задбалансовите активи, посочени в приложение I към </w:t>
            </w:r>
            <w:r>
              <w:rPr>
                <w:noProof/>
              </w:rPr>
              <w:t>Регламент (ЕС) № 575/2013</w:t>
            </w:r>
            <w:r>
              <w:rPr>
                <w:rStyle w:val="InstructionsTabelleberschrift"/>
                <w:rFonts w:ascii="Times New Roman" w:hAnsi="Times New Roman"/>
                <w:b w:val="0"/>
                <w:noProof/>
                <w:sz w:val="24"/>
                <w:u w:val="none"/>
              </w:rPr>
              <w:t xml:space="preserve">, които са чувствителни към лихвения процент и които попадат в обхвата на Делегиран регламент (ЕС) …/… (Служба за публикации: моля, добавете препратка към </w:t>
            </w:r>
            <w:r>
              <w:rPr>
                <w:noProof/>
              </w:rPr>
              <w:t>РТС относно НТГО)</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В този ред се включват и заемните ангажименти с фиксиран лихвен процент по отношение на потенциални заемополучатели.</w:t>
            </w:r>
          </w:p>
          <w:p w14:paraId="5EAC10F2" w14:textId="3AA5FBCB"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Заемният ангажимент се отчита като комбинация от къса и дълга позиция. В случай на заемен ангажимент с фиксиран лихвен процент институцията има дълга позиция в заема в началото на ангажимента и къса позиция, когато заемът трябва да бъде усвоен. Институциите отчитат дългите позиции като активи, а късите позиции като пасиви. Те отчитат в този ред само условни инструменти, отговарящи на изискванията за активи.</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Общо пасиви</w:t>
            </w:r>
          </w:p>
          <w:p w14:paraId="7C38ACF0" w14:textId="41477556" w:rsidR="007F62B7" w:rsidRPr="00D82419" w:rsidRDefault="007F62B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Общо чувствителни към лихвения процент пасиви </w:t>
            </w:r>
            <w:r>
              <w:rPr>
                <w:noProof/>
              </w:rPr>
              <w:t xml:space="preserve">в обхвата на Делегиран регламент (ЕС) .../... (Служба за публикации: моля, добавете препратка към РТС относно НТГО), </w:t>
            </w:r>
            <w:r>
              <w:rPr>
                <w:rStyle w:val="FormatvorlageInstructionsTabelleText"/>
                <w:rFonts w:ascii="Times New Roman" w:hAnsi="Times New Roman"/>
                <w:noProof/>
                <w:sz w:val="24"/>
              </w:rPr>
              <w:t xml:space="preserve">независимо от счетоводното им третиране. Този ред включва: </w:t>
            </w:r>
          </w:p>
          <w:p w14:paraId="440E6249" w14:textId="6D6D4905" w:rsidR="000D6402" w:rsidRPr="0099267D"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пасиви (задължения) към централни банки;</w:t>
            </w:r>
          </w:p>
          <w:p w14:paraId="58C223B7" w14:textId="14972A6C" w:rsidR="005F0A8B" w:rsidRPr="00D82419" w:rsidRDefault="00E21745" w:rsidP="002F0B4B">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междубанкови пасиви;</w:t>
            </w:r>
          </w:p>
          <w:p w14:paraId="28D57E3D" w14:textId="06433067"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емитирани дългови ценни книжа;</w:t>
            </w:r>
          </w:p>
          <w:p w14:paraId="084236A4" w14:textId="5AA4979D"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безсрочни депозити;</w:t>
            </w:r>
          </w:p>
          <w:p w14:paraId="253174FC" w14:textId="775944B6" w:rsidR="00531B36"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срочни депозити;</w:t>
            </w:r>
          </w:p>
          <w:p w14:paraId="2158A787" w14:textId="36AE02CA"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деривати, с които се хеджират пасиви;</w:t>
            </w:r>
          </w:p>
          <w:p w14:paraId="4FD61CA1" w14:textId="4CADBED9" w:rsidR="00741F94" w:rsidRPr="00D82419" w:rsidRDefault="00E21745"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други.</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в т.ч.: поради автоматични опционални характеристики </w:t>
            </w:r>
          </w:p>
          <w:p w14:paraId="6F491059" w14:textId="407F5EE7" w:rsidR="00033F40" w:rsidRPr="00D82419" w:rsidRDefault="004F67A8" w:rsidP="002F0B4B">
            <w:pPr>
              <w:pStyle w:val="InstructionsText"/>
              <w:rPr>
                <w:rStyle w:val="InstructionsTabelleberschrift"/>
                <w:rFonts w:ascii="Times New Roman" w:hAnsi="Times New Roman"/>
                <w:noProof/>
                <w:sz w:val="24"/>
              </w:rPr>
            </w:pPr>
            <w:r>
              <w:rPr>
                <w:noProof/>
              </w:rPr>
              <w:t>Принос на вградените и изричните автоматични опционални характеристики към общите чувствителни към лихвения процент пасиви в обхвата на Делегиран регламент (ЕС) .../... (Служба за публикации: моля, добавете препратка към РТС относно НТГО), независимо от счетоводното им третиране.</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Към централни банки </w:t>
            </w:r>
          </w:p>
          <w:p w14:paraId="63153454" w14:textId="72460C63"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Пасиви </w:t>
            </w:r>
            <w:r>
              <w:rPr>
                <w:noProof/>
              </w:rPr>
              <w:t>към централни банки, както е посочено в част 1, точка 42, буква а) от приложение V към настоящия регламент.</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Междубанкови</w:t>
            </w:r>
          </w:p>
          <w:p w14:paraId="140AD124" w14:textId="10351551" w:rsidR="008B01DA" w:rsidRPr="00D82419" w:rsidRDefault="00B8037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Всички пасиви, чийто контрагент е кредитна институция</w:t>
            </w:r>
            <w:r>
              <w:rPr>
                <w:noProof/>
              </w:rPr>
              <w:t>, както е посочено в част 1, точка 42, буква в) от приложение V към настоящия регламент, с изключение на експозициите по ценни книжа и деривати.</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Емитирани дългови ценни книжа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Дългови инструменти, емитирани като ценни книжа от институцията, които не са депозити, както е посочено в част 1, член 37 от приложение V към настоящия </w:t>
            </w:r>
            <w:r>
              <w:rPr>
                <w:noProof/>
              </w:rPr>
              <w:t>регламент.</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в т.ч.: AT1 или T2</w:t>
            </w:r>
          </w:p>
          <w:p w14:paraId="725742BC" w14:textId="610E3248" w:rsidR="00741F94" w:rsidRPr="00166525" w:rsidRDefault="00741F94" w:rsidP="002F0B4B">
            <w:pPr>
              <w:pStyle w:val="InstructionsText"/>
              <w:rPr>
                <w:noProof/>
              </w:rPr>
            </w:pPr>
            <w:r>
              <w:rPr>
                <w:rStyle w:val="InstructionsTabelleberschrift"/>
                <w:rFonts w:ascii="Times New Roman" w:hAnsi="Times New Roman"/>
                <w:b w:val="0"/>
                <w:noProof/>
                <w:sz w:val="24"/>
                <w:u w:val="none"/>
              </w:rPr>
              <w:t xml:space="preserve">Дългови ценни книжа, емитирани в съответствие с </w:t>
            </w:r>
            <w:r>
              <w:rPr>
                <w:rStyle w:val="FormatvorlageInstructionsTabelleText"/>
                <w:rFonts w:ascii="Times New Roman" w:hAnsi="Times New Roman"/>
                <w:noProof/>
                <w:sz w:val="24"/>
              </w:rPr>
              <w:t xml:space="preserve">членове 61—71 </w:t>
            </w:r>
            <w:r>
              <w:rPr>
                <w:noProof/>
              </w:rPr>
              <w:t>от Регламент (ЕС) № 575/2013, с изключение на постоянен собствен капитал, без каквито и да е дати на предсрочно обратно изкупуване (член 3 от Делегиран регламент (ЕС) .../... (Служба за публикации: моля, добавете препратка към РТС относно НТГО).</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БД: депозити на дребно по разплащателна сметка („трансакционни“)</w:t>
            </w:r>
          </w:p>
          <w:p w14:paraId="0E15693D" w14:textId="0F15BCF8" w:rsidR="007F62B7" w:rsidRPr="00D82419" w:rsidRDefault="00FD0B8B" w:rsidP="002F0B4B">
            <w:pPr>
              <w:pStyle w:val="InstructionsText"/>
              <w:rPr>
                <w:rStyle w:val="InstructionsTabelleberschrift"/>
                <w:rFonts w:ascii="Times New Roman" w:hAnsi="Times New Roman"/>
                <w:b w:val="0"/>
                <w:bCs w:val="0"/>
                <w:noProof/>
                <w:sz w:val="24"/>
                <w:u w:val="none"/>
              </w:rPr>
            </w:pPr>
            <w:r>
              <w:rPr>
                <w:noProof/>
              </w:rPr>
              <w:t>Безсрочни депозити на дребно по разплащателна сметка, определени в член 1, точка 10) от Делегиран регламент (ЕС) .../... (Служба за публикации: моля, добавете препратка към РТС относно СП). БД на дребно по разплащателна сметка включват безлихвени и други сметки на дребно, чийто компонент на възнаграждението не е от значение за решението на клиента да държи пари в сметката.</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в т.ч.: основен компонент</w:t>
            </w:r>
          </w:p>
          <w:p w14:paraId="7212A9D8" w14:textId="5997E649" w:rsidR="00FD0B8B" w:rsidRPr="00D82419" w:rsidRDefault="009D614B" w:rsidP="002F0B4B">
            <w:pPr>
              <w:pStyle w:val="InstructionsText"/>
              <w:rPr>
                <w:noProof/>
              </w:rPr>
            </w:pPr>
            <w:r>
              <w:rPr>
                <w:noProof/>
              </w:rPr>
              <w:t>Основният компонент на безсрочните депозити съгласно определението в член 1, точка 15 от Делегиран регламент (ЕС) .../... (Служба за публикации: моля, добавете препратка към РТС относно НТАС)</w:t>
            </w:r>
          </w:p>
          <w:p w14:paraId="32F8B509" w14:textId="5D9C51E8" w:rsidR="00741F94" w:rsidRPr="00D82419" w:rsidRDefault="008F26F7" w:rsidP="002F0B4B">
            <w:pPr>
              <w:pStyle w:val="InstructionsText"/>
              <w:rPr>
                <w:rStyle w:val="InstructionsTabelleberschrift"/>
                <w:rFonts w:ascii="Times New Roman" w:hAnsi="Times New Roman"/>
                <w:noProof/>
                <w:sz w:val="24"/>
              </w:rPr>
            </w:pPr>
            <w:r>
              <w:rPr>
                <w:noProof/>
              </w:rPr>
              <w:t>БД, които са стабилни и е малко вероятно да бъдат подложени на преоценка дори при значителни промени в средата на лихвените проценти, или други депозити, чиято ограничена еластичност спрямо промените на лихвените проценти се моделира от институциите</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в т.ч.: освободени от 5-годишното ограничение за преоценката </w:t>
            </w:r>
          </w:p>
          <w:p w14:paraId="0D57FEDC" w14:textId="2D768F7A"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Експозиции в регулирани спестявания, посочени в член 428е, параграф 2, буква а) от </w:t>
            </w:r>
            <w:r>
              <w:rPr>
                <w:noProof/>
              </w:rPr>
              <w:t>Регламент (ЕС) № 575/2013</w:t>
            </w:r>
            <w:r>
              <w:rPr>
                <w:rStyle w:val="InstructionsTabelleberschrift"/>
                <w:rFonts w:ascii="Times New Roman" w:hAnsi="Times New Roman"/>
                <w:b w:val="0"/>
                <w:noProof/>
                <w:sz w:val="24"/>
                <w:u w:val="none"/>
              </w:rPr>
              <w:t xml:space="preserve">, но не ограничени до централизираната част, или тези със съществени икономически или фискални ограничения в случай на теглене, за които институцията не ограничава </w:t>
            </w:r>
            <w:r>
              <w:rPr>
                <w:rStyle w:val="InstructionsTabelleberschrift"/>
                <w:rFonts w:ascii="Times New Roman" w:hAnsi="Times New Roman"/>
                <w:b w:val="0"/>
                <w:noProof/>
                <w:color w:val="000000"/>
                <w:sz w:val="24"/>
                <w:u w:val="none"/>
              </w:rPr>
              <w:t>максималния среднопретеглен срок до датата на преоценка</w:t>
            </w:r>
            <w:r>
              <w:rPr>
                <w:rStyle w:val="InstructionsTabelleberschrift"/>
                <w:rFonts w:ascii="Times New Roman" w:hAnsi="Times New Roman"/>
                <w:b w:val="0"/>
                <w:noProof/>
                <w:sz w:val="24"/>
                <w:u w:val="none"/>
              </w:rPr>
              <w:t xml:space="preserve"> до 5 години</w:t>
            </w:r>
            <w:r>
              <w:rPr>
                <w:noProof/>
              </w:rPr>
              <w: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БД: депозити на дребно по неразплащателна сметка („нетрансакционни“)</w:t>
            </w:r>
          </w:p>
          <w:p w14:paraId="67DA1BF0" w14:textId="0DA9F77A" w:rsidR="00FD0B8B" w:rsidRPr="00D82419" w:rsidRDefault="00FD0B8B" w:rsidP="002F0B4B">
            <w:pPr>
              <w:pStyle w:val="InstructionsText"/>
              <w:rPr>
                <w:noProof/>
              </w:rPr>
            </w:pPr>
            <w:r>
              <w:rPr>
                <w:noProof/>
              </w:rPr>
              <w:t>Безсрочни депозити на дребно по неразплащателна сметка, определени в член 1, точка 11) от Делегиран регламент (ЕС) .../... (Служба за публикации: моля, добавете препратка към РТС относно СП).</w:t>
            </w:r>
          </w:p>
          <w:p w14:paraId="2CCF1716" w14:textId="014E0882" w:rsidR="007F62B7" w:rsidRPr="00D82419" w:rsidRDefault="007F62B7" w:rsidP="002F0B4B">
            <w:pPr>
              <w:pStyle w:val="InstructionsText"/>
              <w:rPr>
                <w:noProof/>
              </w:rPr>
            </w:pPr>
            <w:r>
              <w:rPr>
                <w:noProof/>
              </w:rPr>
              <w:t xml:space="preserve">Другите депозити на дребно, които не се считат за „безсрочни депозити: разплащания на дребно”, се считат за държани по неразплащателна сметка. </w:t>
            </w:r>
          </w:p>
          <w:p w14:paraId="684A5676" w14:textId="536F0AD6" w:rsidR="00741F94" w:rsidRPr="00D82419" w:rsidRDefault="007F62B7" w:rsidP="002F0B4B">
            <w:pPr>
              <w:pStyle w:val="InstructionsText"/>
              <w:rPr>
                <w:rStyle w:val="InstructionsTabelleberschrift"/>
                <w:rFonts w:ascii="Times New Roman" w:hAnsi="Times New Roman"/>
                <w:noProof/>
                <w:sz w:val="24"/>
              </w:rPr>
            </w:pPr>
            <w:r>
              <w:rPr>
                <w:noProof/>
              </w:rPr>
              <w:t>По-специално депозитите на дребно по неразплащателна сметка включват сметки на клиенти на дребно (включително регулирани), чийто компонент на възнаграждението е от значение за решението на клиента да държи пари в сметката.</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БД: депозити на едро на нефинансови клиенти</w:t>
            </w:r>
          </w:p>
          <w:p w14:paraId="623AA74F" w14:textId="28B35872" w:rsidR="00741F94" w:rsidRPr="00B123AB" w:rsidRDefault="008C641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Депозити на едро </w:t>
            </w:r>
            <w:r>
              <w:rPr>
                <w:noProof/>
              </w:rPr>
              <w:t>, определени в член 1, точка 12 от Делегиран регламент (ЕС) .../... (Служба за публикации: моля, добавете препратка към РТС относно СП), които са БД от сектор „Държавно управление“ и от нефинансови контрагенти (НФК), както е посочено в част 1,</w:t>
            </w:r>
            <w:r>
              <w:rPr>
                <w:rStyle w:val="InstructionsTabelleberschrift"/>
                <w:rFonts w:ascii="Times New Roman" w:hAnsi="Times New Roman"/>
                <w:b w:val="0"/>
                <w:noProof/>
                <w:sz w:val="24"/>
                <w:u w:val="none"/>
              </w:rPr>
              <w:t xml:space="preserve"> точка 42, букви б) и д) от приложение V към настоящия </w:t>
            </w:r>
            <w:r>
              <w:rPr>
                <w:noProof/>
              </w:rPr>
              <w:t>регламент</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БД: депозити на едро на финансови клиенти</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Депозити на едро </w:t>
            </w:r>
            <w:r>
              <w:rPr>
                <w:rFonts w:ascii="Times New Roman" w:hAnsi="Times New Roman"/>
                <w:noProof/>
                <w:sz w:val="24"/>
              </w:rPr>
              <w:t>, определени в член 1, точка 12 от Делегиран регламент (ЕС) .../... (Служба за публикации: моля, добавете препратка към РТС относно СП), които са БД от контрагенти съгласно част 1, точка 42,</w:t>
            </w:r>
            <w:r>
              <w:rPr>
                <w:rStyle w:val="InstructionsTabelleberschrift"/>
                <w:rFonts w:ascii="Times New Roman" w:hAnsi="Times New Roman"/>
                <w:b w:val="0"/>
                <w:noProof/>
                <w:sz w:val="24"/>
                <w:u w:val="none"/>
              </w:rPr>
              <w:t xml:space="preserve"> буква г) от приложение V към настоящия регламент.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в т.ч.: оперативни депозити</w:t>
            </w:r>
          </w:p>
          <w:p w14:paraId="147EE0A6" w14:textId="72D4164C" w:rsidR="00741F94" w:rsidRPr="001B37CD" w:rsidRDefault="00A852A4" w:rsidP="002F0B4B">
            <w:pPr>
              <w:pStyle w:val="InstructionsText"/>
              <w:rPr>
                <w:rStyle w:val="InstructionsTabelleberschrift"/>
                <w:rFonts w:ascii="Times New Roman" w:hAnsi="Times New Roman"/>
                <w:noProof/>
                <w:sz w:val="24"/>
              </w:rPr>
            </w:pPr>
            <w:r>
              <w:rPr>
                <w:noProof/>
              </w:rPr>
              <w:t>БД, които се класифицират като оперативни депозити съгласно член 27, параграф 1, буква а) от Делегиран регламент (ЕС) 2015/61 на Комисията</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Срочни депозити</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Непрехвърлими депозити, които вложителят няма право да изтегли преди договорения падеж или които може да бъдат изтеглени предсрочно, при условие че на вложителя са начислени разходи и такси за предсрочно изтегляне (предсрочно погасяване). Тази статия включва административно регулираните спестовни депозити, когато свързаният с падежа критерий не е от значение. Въпреки че депозитите с договорен падеж може да включват възможност за предсрочно изтегляне след предизвестие или може да се теглят при поискване с налагане на определени наказателни такси, тези характеристики не се използват за целите на класификацията. Този ред не включва експозициите в редове 0220 и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54D6C4E7" w:rsidR="00741F94" w:rsidRPr="00D82419" w:rsidRDefault="00643E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Депозити н</w:t>
            </w:r>
            <w:r w:rsidR="00741F94">
              <w:rPr>
                <w:rStyle w:val="InstructionsTabelleberschrift"/>
                <w:rFonts w:ascii="Times New Roman" w:hAnsi="Times New Roman"/>
                <w:noProof/>
                <w:sz w:val="24"/>
              </w:rPr>
              <w:t>а дребно</w:t>
            </w:r>
          </w:p>
          <w:p w14:paraId="0C1BD336" w14:textId="6F50C206"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Този ред включва срочните депозити от клиенти на дребно</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1B48CCF0" w:rsidR="00741F94" w:rsidRPr="00D82419" w:rsidRDefault="00643EF6"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Д</w:t>
            </w:r>
            <w:r w:rsidR="00741F94">
              <w:rPr>
                <w:rStyle w:val="InstructionsTabelleberschrift"/>
                <w:rFonts w:ascii="Times New Roman" w:hAnsi="Times New Roman"/>
                <w:noProof/>
                <w:sz w:val="24"/>
              </w:rPr>
              <w:t>епозити на едро на нефинансови клиенти</w:t>
            </w:r>
          </w:p>
          <w:p w14:paraId="0429A193" w14:textId="2BE1783B" w:rsidR="00AB4CE3" w:rsidRPr="00D82419" w:rsidRDefault="00AB4CE3" w:rsidP="002F0B4B">
            <w:pPr>
              <w:pStyle w:val="InstructionsText"/>
              <w:rPr>
                <w:noProof/>
              </w:rPr>
            </w:pPr>
            <w:r>
              <w:rPr>
                <w:noProof/>
              </w:rPr>
              <w:t>Срочни депозити от депозити на едро на нефинансови клиенти.</w:t>
            </w:r>
          </w:p>
          <w:p w14:paraId="05C6DCF8" w14:textId="3E2A1ABB" w:rsidR="00741F94" w:rsidRPr="00D82419" w:rsidRDefault="00894C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Депозити на едро</w:t>
            </w:r>
            <w:r>
              <w:rPr>
                <w:noProof/>
              </w:rPr>
              <w:t>, определени в член 1, точка 12 от Делегиран регламент (ЕС) .../... (Служба за публикации: моля, въведете препратка към РТС относно СП), които са депозити, различни от БД от сектор „Държавно управление“ и от нефинансови контрагенти, както е посочено в</w:t>
            </w:r>
            <w:r>
              <w:rPr>
                <w:rStyle w:val="InstructionsTabelleberschrift"/>
                <w:rFonts w:ascii="Times New Roman" w:hAnsi="Times New Roman"/>
                <w:b w:val="0"/>
                <w:noProof/>
                <w:sz w:val="24"/>
                <w:u w:val="none"/>
              </w:rPr>
              <w:t xml:space="preserve"> част 1, точка 42, букви б) и д) от приложение V към настоящия </w:t>
            </w:r>
            <w:r>
              <w:rPr>
                <w:noProof/>
              </w:rPr>
              <w:t>регламент</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депозити на едро на финансови клиенти</w:t>
            </w:r>
          </w:p>
          <w:p w14:paraId="0EAB8936" w14:textId="77777777" w:rsidR="00741F94" w:rsidRPr="00D82419" w:rsidRDefault="00741F94" w:rsidP="002F0B4B">
            <w:pPr>
              <w:pStyle w:val="InstructionsText"/>
              <w:rPr>
                <w:noProof/>
              </w:rPr>
            </w:pPr>
            <w:r>
              <w:rPr>
                <w:noProof/>
              </w:rPr>
              <w:t>Срочни депозити от депозити на едро на финансови клиенти.</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Депозити на едро</w:t>
            </w:r>
            <w:r>
              <w:rPr>
                <w:rFonts w:ascii="Times New Roman" w:hAnsi="Times New Roman"/>
                <w:noProof/>
                <w:sz w:val="24"/>
              </w:rPr>
              <w:t>, определени в член 1, точка 12 от Делегиран регламент (ЕС) .../... (Служба за публикации: моля, въведете препратка към РТС относно СП), които са</w:t>
            </w:r>
            <w:r>
              <w:rPr>
                <w:rFonts w:ascii="Times New Roman" w:hAnsi="Times New Roman"/>
                <w:noProof/>
              </w:rPr>
              <w:t xml:space="preserve"> </w:t>
            </w:r>
            <w:r>
              <w:rPr>
                <w:rFonts w:ascii="Times New Roman" w:hAnsi="Times New Roman"/>
                <w:noProof/>
                <w:sz w:val="24"/>
              </w:rPr>
              <w:t>депозити, различни от БД от контрагенти, както е посочено в част 1, точка 42</w:t>
            </w:r>
            <w:r>
              <w:rPr>
                <w:rStyle w:val="InstructionsTabelleberschrift"/>
                <w:rFonts w:ascii="Times New Roman" w:hAnsi="Times New Roman"/>
                <w:b w:val="0"/>
                <w:noProof/>
                <w:sz w:val="24"/>
                <w:u w:val="none"/>
              </w:rPr>
              <w:t>, буква г) от приложение V към</w:t>
            </w:r>
            <w:r>
              <w:rPr>
                <w:rFonts w:ascii="Times New Roman" w:hAnsi="Times New Roman"/>
                <w:noProof/>
                <w:sz w:val="24"/>
              </w:rPr>
              <w:t xml:space="preserve"> настоящия регламент</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 с които се хеджират пасиви</w:t>
            </w:r>
          </w:p>
          <w:p w14:paraId="2EE47E8C" w14:textId="3B81836A" w:rsidR="00A4472C" w:rsidRPr="00D82419" w:rsidDel="00576E55" w:rsidRDefault="0032170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Дериватите, определени в член 2, параграф 1, точка 29 от Регламент (ЕС) №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Институциите </w:t>
            </w:r>
            <w:r>
              <w:rPr>
                <w:noProof/>
              </w:rPr>
              <w:t>отчитат дериватите, държани при режим на отчитане на хеджирането, съгласно приложимата счетоводна рамка, тъй като хеджираният отчетен обект е пасив, чувствителен към лихвен процент.</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 с които се хеджират дългови ценни книжа</w:t>
            </w:r>
          </w:p>
          <w:p w14:paraId="4CC38832" w14:textId="220A5504" w:rsidR="00912ADD" w:rsidRPr="00D82419" w:rsidRDefault="00AA0E8C" w:rsidP="002F0B4B">
            <w:pPr>
              <w:pStyle w:val="InstructionsText"/>
              <w:rPr>
                <w:rStyle w:val="InstructionsTabelleberschrift"/>
                <w:rFonts w:ascii="Times New Roman" w:hAnsi="Times New Roman"/>
                <w:noProof/>
                <w:sz w:val="24"/>
              </w:rPr>
            </w:pPr>
            <w:r>
              <w:rPr>
                <w:noProof/>
              </w:rPr>
              <w:t>С дериватите в рамките на отчитането на хеджирането</w:t>
            </w:r>
            <w:r>
              <w:rPr>
                <w:rStyle w:val="InstructionsTabelleberschrift"/>
                <w:rFonts w:ascii="Times New Roman" w:hAnsi="Times New Roman"/>
                <w:b w:val="0"/>
                <w:noProof/>
                <w:sz w:val="24"/>
                <w:u w:val="none"/>
              </w:rPr>
              <w:t xml:space="preserve"> се хеджират пасиви, които са дългови ценни книжа.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 с които се хеджират други пасиви</w:t>
            </w:r>
          </w:p>
          <w:p w14:paraId="4488459D" w14:textId="79A2A28C" w:rsidR="00693056" w:rsidRPr="00D82419" w:rsidRDefault="00AA0E8C" w:rsidP="002F0B4B">
            <w:pPr>
              <w:pStyle w:val="InstructionsText"/>
              <w:rPr>
                <w:rStyle w:val="InstructionsTabelleberschrift"/>
                <w:rFonts w:ascii="Times New Roman" w:hAnsi="Times New Roman"/>
                <w:noProof/>
                <w:sz w:val="24"/>
              </w:rPr>
            </w:pPr>
            <w:r>
              <w:rPr>
                <w:noProof/>
              </w:rPr>
              <w:t>С дериватите в рамките на отчитането на хеджирането</w:t>
            </w:r>
            <w:r>
              <w:rPr>
                <w:rStyle w:val="InstructionsTabelleberschrift"/>
                <w:rFonts w:ascii="Times New Roman" w:hAnsi="Times New Roman"/>
                <w:b w:val="0"/>
                <w:noProof/>
                <w:sz w:val="24"/>
                <w:u w:val="none"/>
              </w:rPr>
              <w:t xml:space="preserve"> се хеджират пасиви, които не са дългови ценни книжа.</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w:t>
            </w:r>
          </w:p>
          <w:p w14:paraId="65D0639C" w14:textId="76B42BA3" w:rsidR="00E96058" w:rsidRPr="00D82419" w:rsidRDefault="00E96058" w:rsidP="002F0B4B">
            <w:pPr>
              <w:pStyle w:val="InstructionsText"/>
              <w:rPr>
                <w:rStyle w:val="InstructionsTabelleberschrift"/>
                <w:rFonts w:ascii="Times New Roman" w:hAnsi="Times New Roman"/>
                <w:b w:val="0"/>
                <w:bCs w:val="0"/>
                <w:noProof/>
                <w:sz w:val="24"/>
                <w:u w:val="none"/>
              </w:rPr>
            </w:pPr>
            <w:r>
              <w:rPr>
                <w:noProof/>
              </w:rPr>
              <w:t xml:space="preserve">В този ред се отчитат </w:t>
            </w:r>
            <w:r>
              <w:rPr>
                <w:rStyle w:val="InstructionsTabelleberschrift"/>
                <w:rFonts w:ascii="Times New Roman" w:hAnsi="Times New Roman"/>
                <w:b w:val="0"/>
                <w:noProof/>
                <w:sz w:val="24"/>
                <w:u w:val="none"/>
              </w:rPr>
              <w:t xml:space="preserve">други балансови пасиви, чувствителни към лихвения процент, които </w:t>
            </w:r>
            <w:r>
              <w:rPr>
                <w:noProof/>
              </w:rPr>
              <w:t>не са класифицирани в горепосочените редове.</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Задбалансови пасиви: </w:t>
            </w:r>
            <w:bookmarkStart w:id="53" w:name="_Hlk116393169"/>
            <w:r>
              <w:rPr>
                <w:rStyle w:val="InstructionsTabelleberschrift"/>
                <w:rFonts w:ascii="Times New Roman" w:hAnsi="Times New Roman"/>
                <w:noProof/>
                <w:sz w:val="24"/>
              </w:rPr>
              <w:t>Условни пасиви</w:t>
            </w:r>
            <w:bookmarkEnd w:id="53"/>
          </w:p>
          <w:p w14:paraId="75027371" w14:textId="350951E4"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Задбалансовите статии включват продукти като заемни ангажименти, чувствителни към лихвения процент.</w:t>
            </w:r>
          </w:p>
          <w:p w14:paraId="7A13B80C" w14:textId="0020F409"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Условните пасиви се разглеждат като комбинация от къса и дълга позиция. По-специално, в случай че има кредитна линия с други институции, институцията ще има дълга позиция, когато заемът трябва да бъде усвоен, и къса позиция на датата на откриване на кредитната линия. </w:t>
            </w:r>
          </w:p>
          <w:p w14:paraId="52F8703B" w14:textId="72FEC13F" w:rsidR="00741F94" w:rsidRPr="00D82419" w:rsidRDefault="00741F94" w:rsidP="002F0B4B">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Дългите позиции се отчитат като активи, докато късите позиции се отчитат като пасив. В този ред се отчитат само условните инструменти, квалифицирани като пасиви.</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 деривати (нетни активи/пасиви)</w:t>
            </w:r>
          </w:p>
          <w:p w14:paraId="445A1B2E" w14:textId="52EF1626" w:rsidR="008A50EB" w:rsidRPr="00D82419" w:rsidRDefault="00AA6996"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Лихвени деривати, които не са предназначени за счетоводно хеджиране, като хеджиране на икономически лихвени проценти, които са предназначени за хеджиране на лихвения риск в банковия портфейл, но не са под режим на счетоводно хеджиране.</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Поясняващи статии</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Нетни деривати</w:t>
            </w:r>
          </w:p>
          <w:p w14:paraId="1072B82F" w14:textId="0B3EBFA9" w:rsidR="00AA6996" w:rsidRPr="00D82419" w:rsidRDefault="00CD037F"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Нетен принос на всички лихвени деривати в банковия портфейл, като се вземат предвид тези лихвени деривати, с които се хеджират активи (ред 0140) или пасиви (ред 0470) съгласно режим на счетоводно хеджиране в банковия портфейл и хеджиране на икономически лихвен процент (ред 0530) на други лихвени деривати в банковия портфейл, които не са предназначени за счетоводно хеджиране.</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Нетна позиция по отношение на лихвен процент без деривати</w:t>
            </w:r>
          </w:p>
          <w:p w14:paraId="575BB1CF" w14:textId="016C3B32" w:rsidR="0009034B" w:rsidRPr="00D82419" w:rsidRDefault="0009034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Всички лихвени експозиции в банковия портфейл</w:t>
            </w:r>
            <w:r>
              <w:rPr>
                <w:noProof/>
              </w:rPr>
              <w:t>, включително задбалансови експозиции,</w:t>
            </w:r>
            <w:r>
              <w:rPr>
                <w:rStyle w:val="InstructionsTabelleberschrift"/>
                <w:rFonts w:ascii="Times New Roman" w:hAnsi="Times New Roman"/>
                <w:b w:val="0"/>
                <w:noProof/>
                <w:sz w:val="24"/>
                <w:u w:val="none"/>
              </w:rPr>
              <w:t xml:space="preserve"> с изключение на лихвени деривати. По-специално всички активи и пасиви, с изключение на ефекта от дериватите.</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Нетна позиция по отношение на лихвен процент с деривати</w:t>
            </w:r>
          </w:p>
          <w:p w14:paraId="4E5947AA" w14:textId="53D59421" w:rsidR="0009034B" w:rsidRPr="00D82419" w:rsidRDefault="003A3138"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Всички активи и пасиви, включително </w:t>
            </w:r>
            <w:r>
              <w:rPr>
                <w:noProof/>
              </w:rPr>
              <w:t xml:space="preserve">извънбалансови експозиции и </w:t>
            </w:r>
            <w:r>
              <w:rPr>
                <w:rStyle w:val="InstructionsTabelleberschrift"/>
                <w:rFonts w:ascii="Times New Roman" w:hAnsi="Times New Roman"/>
                <w:b w:val="0"/>
                <w:noProof/>
                <w:sz w:val="24"/>
                <w:u w:val="none"/>
              </w:rPr>
              <w:t>деривати върху лихвени проценти.</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Общо активи с въздействие върху ПС</w:t>
            </w:r>
          </w:p>
          <w:p w14:paraId="3C8D6849" w14:textId="684BBA7E" w:rsidR="00741F94" w:rsidRPr="00D82419" w:rsidRDefault="0033679B" w:rsidP="002F0B4B">
            <w:pPr>
              <w:pStyle w:val="InstructionsText"/>
              <w:rPr>
                <w:rStyle w:val="InstructionsTabelleberschrift"/>
                <w:rFonts w:ascii="Times New Roman" w:hAnsi="Times New Roman"/>
                <w:b w:val="0"/>
                <w:bCs w:val="0"/>
                <w:noProof/>
                <w:sz w:val="24"/>
                <w:u w:val="none"/>
              </w:rPr>
            </w:pPr>
            <w:r>
              <w:rPr>
                <w:noProof/>
              </w:rPr>
              <w:t>Всички активи, при които промените в ПС са от значение за приходите или разходите или за собствения капитал, с изключение на несчетоводни деривати за хеджиране, отчетени в ред 0530. За всички институции, прилагащи МСФО съгласно Регламент (ЕО) № 1606/2002 на Европейския парламент и на Съвета</w:t>
            </w:r>
            <w:r w:rsidR="00D3693A">
              <w:rPr>
                <w:rStyle w:val="FootnoteReference"/>
                <w:noProof/>
                <w:lang w:val="en-US"/>
              </w:rPr>
              <w:footnoteReference w:id="5"/>
            </w:r>
            <w:r>
              <w:rPr>
                <w:noProof/>
              </w:rPr>
              <w:t>, активите в банковия портфейл, които се записват по справедлива стойност съгласно приложимата счетоводна рамка (било то чрез приходите или разходите, или чрез друг всеобхватен доход), заедно с дългови ценни книжа и други инструменти, записани по амортизирана стойност, подлежащи на отчитане на хеджирането на справедливата стойност. В този раздел се отчитат дериватите, с които се хеджират активи в банковия портфейл съгласно режим на отчитане на хеджирането, с изключение на ефективния компонент на тези деривати за хеджиране на счетоводния паричен поток, с които се хеджират отчетните обекти по член 33, параграф 1, буква а) от Регламент (ЕС) № 575/2013, оценявани по амортизирана стойност.</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Дългови ценни книжа</w:t>
            </w:r>
          </w:p>
          <w:p w14:paraId="2EF51544" w14:textId="630CA150" w:rsidR="006D2D2D" w:rsidRPr="00D82419" w:rsidRDefault="00855A8F" w:rsidP="002F0B4B">
            <w:pPr>
              <w:pStyle w:val="InstructionsText"/>
              <w:rPr>
                <w:rStyle w:val="InstructionsTabelleberschrift"/>
                <w:rFonts w:ascii="Times New Roman" w:hAnsi="Times New Roman"/>
                <w:b w:val="0"/>
                <w:noProof/>
                <w:sz w:val="24"/>
                <w:u w:val="none"/>
              </w:rPr>
            </w:pPr>
            <w:r>
              <w:rPr>
                <w:noProof/>
              </w:rPr>
              <w:t>Дългови ценни книжа, при които промените в ПС са от значение за приходите или разходите, или за собствения капитал. Това включва дългови ценни книжа по справедлива стойност заедно с дългови ценни книжа, записани по амортизирана стойност, подлежащи на отчитане на хеджирането на справедливата стойност.</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w:t>
            </w:r>
          </w:p>
          <w:p w14:paraId="00FE0B0D" w14:textId="5AF9E87E" w:rsidR="000A3491" w:rsidRPr="00D82419" w:rsidRDefault="000A3491"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Дериватите, определени в член 2, параграф 1, точка 29 от Регламент (ЕС) №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2F0B4B">
            <w:pPr>
              <w:pStyle w:val="InstructionsText"/>
              <w:rPr>
                <w:rStyle w:val="InstructionsTabelleberschrift"/>
                <w:rFonts w:ascii="Times New Roman" w:hAnsi="Times New Roman"/>
                <w:noProof/>
                <w:sz w:val="24"/>
                <w:u w:val="none"/>
              </w:rPr>
            </w:pPr>
            <w:r>
              <w:rPr>
                <w:noProof/>
              </w:rPr>
              <w:t>В този ред се отчитат деривати, с които се хеджират активи при режим на отчитане на хеджирането, с изключение на тези деривати, предназначени за хеджиране на парични потоци, с които се хеджират отчетни обекти, оценявани по амортизирана стойност.</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w:t>
            </w:r>
          </w:p>
          <w:p w14:paraId="1BFC1FE3" w14:textId="338A5D16" w:rsidR="002867FC" w:rsidRPr="00D82419" w:rsidRDefault="002867FC" w:rsidP="002F0B4B">
            <w:pPr>
              <w:pStyle w:val="InstructionsText"/>
              <w:rPr>
                <w:rStyle w:val="InstructionsTabelleberschrift"/>
                <w:rFonts w:ascii="Times New Roman" w:hAnsi="Times New Roman"/>
                <w:b w:val="0"/>
                <w:bCs w:val="0"/>
                <w:noProof/>
                <w:sz w:val="24"/>
                <w:u w:val="none"/>
              </w:rPr>
            </w:pPr>
            <w:r>
              <w:rPr>
                <w:noProof/>
              </w:rPr>
              <w:t>Други активи по справедлива стойност, заедно с други активи по амортизирана стойност, подлежащи на отчитане на хеджирането на справедливата стойност.</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Общо пасиви с въздействие върху ПС</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Всички пасиви, при които промените в ПС са от значение за приходите или разходите или за собствения капитал, с изключение на несчетоводни деривати за хеджиране, отчетени в ред 0530.</w:t>
            </w:r>
          </w:p>
          <w:p w14:paraId="7E6E8ABF" w14:textId="2E0D9203" w:rsidR="002867FC" w:rsidRPr="00D82419" w:rsidRDefault="00D71CFD" w:rsidP="002F0B4B">
            <w:pPr>
              <w:pStyle w:val="InstructionsText"/>
              <w:rPr>
                <w:rStyle w:val="InstructionsTabelleberschrift"/>
                <w:rFonts w:ascii="Times New Roman" w:hAnsi="Times New Roman"/>
                <w:noProof/>
                <w:sz w:val="24"/>
              </w:rPr>
            </w:pPr>
            <w:r>
              <w:rPr>
                <w:noProof/>
              </w:rPr>
              <w:t>Пасиви, които се записват по справедлива стойност съгласно приложимата счетоводна рамка (било то чрез приходите или разходите, или чрез другия всеобхватен доход), заедно с емитираните дългови ценни книжа и други пасиви, записани по амортизирана стойност, подлежащи на отчитане на хеджирането на справедливата стойност. Дериватите, с които се хеджират пасивите съгласно режим на отчитане на хеджирането, също се отчитат в този раздел, с изключение на ефективния компонент на тези деривати за хеджиране на счетоводния паричен поток, с които се хеджират отчетните обекти по член 33, параграф 1, буква а) от Регламент (ЕС) № 575/2013, оценявани по амортизирана стойност.</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Емитирани дългови ценни книжа</w:t>
            </w:r>
          </w:p>
          <w:p w14:paraId="4BAC31C0" w14:textId="62EC4A5E" w:rsidR="00C856CF" w:rsidRPr="00D82419" w:rsidRDefault="002867FC" w:rsidP="002F0B4B">
            <w:pPr>
              <w:pStyle w:val="InstructionsText"/>
              <w:rPr>
                <w:rStyle w:val="InstructionsTabelleberschrift"/>
                <w:rFonts w:ascii="Times New Roman" w:hAnsi="Times New Roman"/>
                <w:b w:val="0"/>
                <w:noProof/>
                <w:sz w:val="24"/>
                <w:u w:val="none"/>
              </w:rPr>
            </w:pPr>
            <w:r>
              <w:rPr>
                <w:noProof/>
              </w:rPr>
              <w:t xml:space="preserve">Дългови ценни книжа, емитирани </w:t>
            </w:r>
            <w:r>
              <w:rPr>
                <w:rStyle w:val="InstructionsTabelleberschrift"/>
                <w:rFonts w:ascii="Times New Roman" w:hAnsi="Times New Roman"/>
                <w:b w:val="0"/>
                <w:noProof/>
                <w:sz w:val="24"/>
                <w:u w:val="none"/>
              </w:rPr>
              <w:t xml:space="preserve">от институцията като ценни книжа, които не са депозити, определени в част 1, точка 37 от приложение V към </w:t>
            </w:r>
            <w:r>
              <w:rPr>
                <w:noProof/>
              </w:rPr>
              <w:t xml:space="preserve">настоящия регламент, </w:t>
            </w:r>
            <w:r>
              <w:rPr>
                <w:rStyle w:val="InstructionsTabelleberschrift"/>
                <w:rFonts w:ascii="Times New Roman" w:hAnsi="Times New Roman"/>
                <w:b w:val="0"/>
                <w:noProof/>
                <w:sz w:val="24"/>
                <w:u w:val="none"/>
              </w:rPr>
              <w:t>които</w:t>
            </w:r>
            <w:r>
              <w:rPr>
                <w:noProof/>
              </w:rPr>
              <w:t xml:space="preserve"> се отчитат, когато промените в ПС са от значение за приходите или разходите, или за собствения капитал.</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Деривати</w:t>
            </w:r>
          </w:p>
          <w:p w14:paraId="50E7B932" w14:textId="2CADDE44" w:rsidR="00217697" w:rsidRPr="00D82419" w:rsidRDefault="00217697" w:rsidP="002F0B4B">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Дериватите, определени в член 2, параграф 1, точка 29 от Регламент (ЕС) №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2F0B4B">
            <w:pPr>
              <w:pStyle w:val="InstructionsText"/>
              <w:rPr>
                <w:noProof/>
              </w:rPr>
            </w:pPr>
            <w:r>
              <w:rPr>
                <w:noProof/>
              </w:rPr>
              <w:t>Институциите отчитат по този раздел дериватите, с които се хеджират пасивите съгласно режим на отчитане на хеджирането, с изключение на онези деривати, предназначени за хеджиране на парични потоци, с които се хеджират отчетните обекти, оценявани по амортизирана стойност.</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Други</w:t>
            </w:r>
          </w:p>
          <w:p w14:paraId="4D8DC141" w14:textId="70F29B57" w:rsidR="002867FC" w:rsidRPr="00D82419" w:rsidRDefault="002867FC" w:rsidP="002F0B4B">
            <w:pPr>
              <w:pStyle w:val="InstructionsText"/>
              <w:rPr>
                <w:rStyle w:val="InstructionsTabelleberschrift"/>
                <w:rFonts w:ascii="Times New Roman" w:hAnsi="Times New Roman"/>
                <w:b w:val="0"/>
                <w:bCs w:val="0"/>
                <w:noProof/>
                <w:sz w:val="24"/>
                <w:u w:val="none"/>
              </w:rPr>
            </w:pPr>
            <w:r>
              <w:rPr>
                <w:noProof/>
              </w:rPr>
              <w:t>Други пасиви по справедлива стойност, заедно с други пасиви по амортизирана стойност, подлежащи на отчитане на хеджирането на справедливата стойност.</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2F0B4B">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Колони</w:t>
            </w:r>
          </w:p>
        </w:tc>
        <w:tc>
          <w:tcPr>
            <w:tcW w:w="7308" w:type="dxa"/>
            <w:shd w:val="clear" w:color="auto" w:fill="D9D9D9" w:themeFill="background1" w:themeFillShade="D9"/>
          </w:tcPr>
          <w:p w14:paraId="2A82BF3B" w14:textId="77777777" w:rsidR="00DE4D5E" w:rsidRPr="00D82419" w:rsidRDefault="00DE4D5E" w:rsidP="002F0B4B">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Препратки към правни норми и указания</w:t>
            </w:r>
          </w:p>
        </w:tc>
      </w:tr>
      <w:tr w:rsidR="0020221E" w:rsidRPr="00D82419" w14:paraId="6332F4DC" w14:textId="77777777" w:rsidTr="00466F09">
        <w:tc>
          <w:tcPr>
            <w:tcW w:w="1701" w:type="dxa"/>
            <w:shd w:val="clear" w:color="auto" w:fill="auto"/>
          </w:tcPr>
          <w:p w14:paraId="51E6FC62" w14:textId="3666E55F" w:rsidR="0020221E" w:rsidRPr="00D82419" w:rsidRDefault="0020221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Балансова стойност</w:t>
            </w:r>
          </w:p>
          <w:p w14:paraId="256D0A5A" w14:textId="61AE7FD8" w:rsidR="0020221E" w:rsidRPr="00D82419" w:rsidRDefault="00766444" w:rsidP="002F0B4B">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Част 1, точка 27 от приложение V към настоящия </w:t>
            </w:r>
            <w:r>
              <w:rPr>
                <w:noProof/>
              </w:rPr>
              <w:t>регламент</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2F0B4B">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Среднопретеглена срочност</w:t>
            </w:r>
          </w:p>
          <w:p w14:paraId="0B50AF85" w14:textId="7259D452"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Изменена среднопретеглена срочност („Dmod“</w:t>
            </w:r>
            <w:r w:rsidR="00F03459">
              <w:rPr>
                <w:rFonts w:ascii="Times New Roman" w:hAnsi="Times New Roman"/>
                <w:noProof/>
                <w:sz w:val="24"/>
              </w:rPr>
              <w:t>, отчита се в години</w:t>
            </w:r>
            <w:r>
              <w:rPr>
                <w:rFonts w:ascii="Times New Roman" w:hAnsi="Times New Roman"/>
                <w:noProof/>
                <w:sz w:val="24"/>
              </w:rPr>
              <w:t xml:space="preserve">), включително автоматичните опционални характеристики, където: Dmod = - EV01/(Икономическа стойност * 0,0001) </w:t>
            </w:r>
          </w:p>
          <w:p w14:paraId="12BFB1CA" w14:textId="316A4427" w:rsidR="00FC06C4" w:rsidRPr="00D82419" w:rsidRDefault="0033679B" w:rsidP="002F0B4B">
            <w:pPr>
              <w:pStyle w:val="InstructionsText"/>
              <w:rPr>
                <w:rStyle w:val="FormatvorlageInstructionsTabelleText"/>
                <w:rFonts w:ascii="Times New Roman" w:hAnsi="Times New Roman"/>
                <w:noProof/>
                <w:sz w:val="24"/>
              </w:rPr>
            </w:pPr>
            <w:r>
              <w:rPr>
                <w:noProof/>
              </w:rPr>
              <w:t>EV01 се равнява на +1 б.п. чувствителност (успоредeн шок) на икономическата стойност.</w:t>
            </w:r>
          </w:p>
        </w:tc>
      </w:tr>
      <w:tr w:rsidR="00DE4D5E" w:rsidRPr="00D82419" w14:paraId="659E0F8D" w14:textId="77777777" w:rsidTr="00466F09">
        <w:tc>
          <w:tcPr>
            <w:tcW w:w="1701" w:type="dxa"/>
          </w:tcPr>
          <w:p w14:paraId="6D0DD35B" w14:textId="2A77B439"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Икономическа стойност на собствения капитал</w:t>
            </w:r>
          </w:p>
          <w:p w14:paraId="248A3849" w14:textId="21777469" w:rsidR="00DE4D5E" w:rsidRPr="00D82419" w:rsidRDefault="0061536B"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01.00; r0010—r0090}.</w:t>
            </w:r>
          </w:p>
        </w:tc>
      </w:tr>
      <w:tr w:rsidR="00DE4D5E" w:rsidRPr="00D82419" w14:paraId="5013F5EE" w14:textId="77777777" w:rsidTr="00466F09">
        <w:tc>
          <w:tcPr>
            <w:tcW w:w="1701" w:type="dxa"/>
          </w:tcPr>
          <w:p w14:paraId="7BC7758D" w14:textId="4D49B9A3"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Равнище на ИССК — базов сценарий</w:t>
            </w:r>
          </w:p>
          <w:p w14:paraId="431D24A7" w14:textId="17FCE104" w:rsidR="00DE4D5E" w:rsidRPr="00D82419" w:rsidRDefault="00057D6D"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r0030}.</w:t>
            </w:r>
          </w:p>
        </w:tc>
      </w:tr>
      <w:tr w:rsidR="00DE4D5E" w:rsidRPr="00D82419" w14:paraId="072F36D8" w14:textId="77777777" w:rsidTr="00466F09">
        <w:tc>
          <w:tcPr>
            <w:tcW w:w="1701" w:type="dxa"/>
          </w:tcPr>
          <w:p w14:paraId="28CE8E71" w14:textId="20636E45"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успореден шок нагоре</w:t>
            </w:r>
          </w:p>
          <w:p w14:paraId="5B6685FE" w14:textId="68AFB2ED" w:rsidR="00DE4D5E" w:rsidRPr="00D82419" w:rsidRDefault="008963CC"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01.00; r0040}.</w:t>
            </w:r>
          </w:p>
        </w:tc>
      </w:tr>
      <w:tr w:rsidR="00DE4D5E" w:rsidRPr="00D82419" w14:paraId="2EFC486B" w14:textId="77777777" w:rsidTr="00466F09">
        <w:tc>
          <w:tcPr>
            <w:tcW w:w="1701" w:type="dxa"/>
          </w:tcPr>
          <w:p w14:paraId="3957C094" w14:textId="218A0E8E"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успореден шок надолу</w:t>
            </w:r>
          </w:p>
          <w:p w14:paraId="39312F9C" w14:textId="6C869EDF" w:rsidR="00DE4D5E" w:rsidRPr="00D82419" w:rsidRDefault="0045709F"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r0050}.</w:t>
            </w:r>
          </w:p>
        </w:tc>
      </w:tr>
      <w:tr w:rsidR="007A4538" w:rsidRPr="00D82419" w14:paraId="668FC06E" w14:textId="77777777" w:rsidTr="00466F09">
        <w:tc>
          <w:tcPr>
            <w:tcW w:w="1701" w:type="dxa"/>
          </w:tcPr>
          <w:p w14:paraId="4D34A16E" w14:textId="485D2DFC"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шок към повишаване на стръмността</w:t>
            </w:r>
          </w:p>
          <w:p w14:paraId="7721CBAE" w14:textId="75811AF2" w:rsidR="007A4538" w:rsidRPr="00D82419" w:rsidRDefault="0045709F"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r0060}.</w:t>
            </w:r>
          </w:p>
        </w:tc>
      </w:tr>
      <w:tr w:rsidR="007A4538" w:rsidRPr="00D82419" w14:paraId="0B64F039" w14:textId="77777777" w:rsidTr="00466F09">
        <w:tc>
          <w:tcPr>
            <w:tcW w:w="1701" w:type="dxa"/>
          </w:tcPr>
          <w:p w14:paraId="1D8ACFB7" w14:textId="39B9F291"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изравнителен шок</w:t>
            </w:r>
          </w:p>
          <w:p w14:paraId="714F5461" w14:textId="6FFD472B" w:rsidR="007A4538" w:rsidRPr="00D82419" w:rsidRDefault="0056083C"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r0070}.</w:t>
            </w:r>
          </w:p>
        </w:tc>
      </w:tr>
      <w:tr w:rsidR="007A4538" w:rsidRPr="00D82419" w14:paraId="0F88D558" w14:textId="77777777" w:rsidTr="00466F09">
        <w:tc>
          <w:tcPr>
            <w:tcW w:w="1701" w:type="dxa"/>
          </w:tcPr>
          <w:p w14:paraId="5CBC25A5" w14:textId="2D9B6C3C"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шок към повишаване на краткосрочните лихвени проценти</w:t>
            </w:r>
          </w:p>
          <w:p w14:paraId="5CE9C71F" w14:textId="32920038" w:rsidR="007A4538" w:rsidRPr="00D82419" w:rsidRDefault="0056083C"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r0080}.</w:t>
            </w:r>
          </w:p>
        </w:tc>
      </w:tr>
      <w:tr w:rsidR="007A4538" w:rsidRPr="00D82419" w14:paraId="7ACFF56C" w14:textId="77777777" w:rsidTr="00466F09">
        <w:tc>
          <w:tcPr>
            <w:tcW w:w="1701" w:type="dxa"/>
          </w:tcPr>
          <w:p w14:paraId="0F6D45B9" w14:textId="4EB16931"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∆ИССК — шок към понижаване на краткосрочните лихвени проценти</w:t>
            </w:r>
          </w:p>
          <w:p w14:paraId="3BE27C86" w14:textId="7C34A314" w:rsidR="007A4538" w:rsidRPr="00D82419" w:rsidRDefault="00B42A65"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r0090}.</w:t>
            </w:r>
          </w:p>
        </w:tc>
      </w:tr>
      <w:tr w:rsidR="007A4538" w:rsidRPr="00D82419" w14:paraId="56F10020" w14:textId="77777777" w:rsidTr="00466F09">
        <w:tc>
          <w:tcPr>
            <w:tcW w:w="1701" w:type="dxa"/>
          </w:tcPr>
          <w:p w14:paraId="22B568E7" w14:textId="47794009"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Нетни приходи от лихви</w:t>
            </w:r>
          </w:p>
          <w:p w14:paraId="4B715C5C" w14:textId="2BC80B39" w:rsidR="007A4538" w:rsidRPr="00D82419" w:rsidRDefault="00B61D5C"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01.00; r0100— r0140}.</w:t>
            </w:r>
          </w:p>
        </w:tc>
      </w:tr>
      <w:tr w:rsidR="007A4538" w:rsidRPr="00D82419" w14:paraId="2F3EA8BB" w14:textId="77777777" w:rsidTr="00466F09">
        <w:tc>
          <w:tcPr>
            <w:tcW w:w="1701" w:type="dxa"/>
          </w:tcPr>
          <w:p w14:paraId="769EA922" w14:textId="0EEDAEC6" w:rsidR="007A4538" w:rsidRPr="00D82419" w:rsidRDefault="00721EE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Равнище на НПЛ — базов сценарий</w:t>
            </w:r>
          </w:p>
          <w:p w14:paraId="7AD09706" w14:textId="69D23F80" w:rsidR="007A4538" w:rsidRPr="00D82419" w:rsidRDefault="00492E67"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01.00; r0120}.</w:t>
            </w:r>
          </w:p>
        </w:tc>
      </w:tr>
      <w:tr w:rsidR="007A4538" w:rsidRPr="00D82419" w14:paraId="018275B7" w14:textId="77777777" w:rsidTr="00466F09">
        <w:tc>
          <w:tcPr>
            <w:tcW w:w="1701" w:type="dxa"/>
          </w:tcPr>
          <w:p w14:paraId="11DBE8FA" w14:textId="47F38559"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∆НПЛ — успореден шок нагоре</w:t>
            </w:r>
          </w:p>
          <w:p w14:paraId="64BB5395" w14:textId="18B94676" w:rsidR="004041EF" w:rsidRPr="00D82419" w:rsidRDefault="00492E67"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∆НПЛ — успореден шок надолу</w:t>
            </w:r>
          </w:p>
          <w:p w14:paraId="79C7988C" w14:textId="156E5C31" w:rsidR="004041EF" w:rsidRPr="00D82419" w:rsidRDefault="00492E67"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r0140}.</w:t>
            </w:r>
          </w:p>
        </w:tc>
      </w:tr>
      <w:tr w:rsidR="007A4538" w:rsidRPr="00D82419" w14:paraId="787EFD12" w14:textId="77777777" w:rsidTr="00466F09">
        <w:tc>
          <w:tcPr>
            <w:tcW w:w="1701" w:type="dxa"/>
          </w:tcPr>
          <w:p w14:paraId="60DFF26B" w14:textId="2482EC0B"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Пазарна стойност</w:t>
            </w:r>
          </w:p>
          <w:p w14:paraId="7D3BC199" w14:textId="00971876" w:rsidR="007A4538" w:rsidRPr="00D82419" w:rsidRDefault="00303FCE"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01.00; r0150— r0170}.</w:t>
            </w:r>
          </w:p>
        </w:tc>
      </w:tr>
      <w:tr w:rsidR="007A4538" w:rsidRPr="00D82419" w14:paraId="644F7128" w14:textId="77777777" w:rsidTr="00466F09">
        <w:trPr>
          <w:trHeight w:val="507"/>
        </w:trPr>
        <w:tc>
          <w:tcPr>
            <w:tcW w:w="1701" w:type="dxa"/>
          </w:tcPr>
          <w:p w14:paraId="3ABF8A5C" w14:textId="4DA62342"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Равнище на ПС — базов сценарий</w:t>
            </w:r>
          </w:p>
          <w:p w14:paraId="6536044A" w14:textId="0D1A40C4" w:rsidR="007A4538" w:rsidRPr="00D82419" w:rsidRDefault="006D1EB6"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r0150}.</w:t>
            </w:r>
          </w:p>
        </w:tc>
      </w:tr>
      <w:tr w:rsidR="007A4538" w:rsidRPr="00D82419" w14:paraId="0E97A024" w14:textId="77777777" w:rsidTr="00466F09">
        <w:tc>
          <w:tcPr>
            <w:tcW w:w="1701" w:type="dxa"/>
          </w:tcPr>
          <w:p w14:paraId="56B50969" w14:textId="79A37CD4"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∆ПС — успореден шок нагоре</w:t>
            </w:r>
          </w:p>
          <w:p w14:paraId="2661BCE0" w14:textId="14594E55" w:rsidR="004041EF" w:rsidRPr="00D82419" w:rsidRDefault="006D1EB6"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r0160}.</w:t>
            </w:r>
          </w:p>
        </w:tc>
      </w:tr>
      <w:tr w:rsidR="007A4538" w:rsidRPr="00D82419" w14:paraId="45C4E5F3" w14:textId="77777777" w:rsidTr="00466F09">
        <w:tc>
          <w:tcPr>
            <w:tcW w:w="1701" w:type="dxa"/>
          </w:tcPr>
          <w:p w14:paraId="69E7327C" w14:textId="0FF8D9C3"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∆ПС — успореден шок надолу</w:t>
            </w:r>
          </w:p>
          <w:p w14:paraId="44CB4939" w14:textId="482E3B3A" w:rsidR="004041EF" w:rsidRPr="00D82419" w:rsidRDefault="006D1EB6"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087700"/>
      <w:r>
        <w:rPr>
          <w:noProof/>
        </w:rPr>
        <w:t>ЧАСТ IV: ПАРИЧНИ ПОТОЦИ, ПОДЛЕЖАЩИ НА ПРЕОЦЕНКА (J 05.00, J 06.00 и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087701"/>
      <w:r>
        <w:rPr>
          <w:b/>
          <w:noProof/>
          <w:sz w:val="24"/>
        </w:rPr>
        <w:t>1.</w:t>
      </w:r>
      <w:r>
        <w:rPr>
          <w:b/>
          <w:noProof/>
          <w:sz w:val="24"/>
        </w:rPr>
        <w:tab/>
        <w:t>Общи бележки</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В образци J 05.00, J 06.00 и J 07.00 се съдържа подробна информация относно паричните потоци, подлежащи на преоценка, за балансовите статии, отчетени в образци J 02.00, J 03.00 и J 04.00. Институциите попълват тази информация с оглед на перспективата за ИССК, като вземат предвид изискванията и допусканията за модела, посочени в член 3 от Делегиран регламент (ЕС) .../... (Служба за публикации: моля, добавете препратка към РТС относно НТГО), и като вземат предвид договорната и поведенческата информация, като и в двата случая не се вземат предвид автоматичните опционални характеристики. Указанията за редовете са същите като посочените в част IV, раздел 2 от настоящото приложение. Освен това институциите надлежно вземат предвид посочените в част I установени практики за отчитане, по-специално тези, свързани с определението за инструменти с фиксиран/плаващ лихвен процент и третирането на опциите.</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Институциите попълват тези образци отделно за всяка валута, в която институцията има позиции, когато счетоводната стойност на финансовите активи или пасиви, деноминирани в дадена валута, възлиза на 5 % или повече от общия размер на финансовите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Институциите отчитат съдържанието на тези образци отделно съгласно договорните условия и поведенческите условия (Моделиране: договорно или поведенческо):</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а)</w:t>
      </w:r>
      <w:r>
        <w:rPr>
          <w:rFonts w:ascii="Times New Roman" w:hAnsi="Times New Roman"/>
          <w:noProof/>
          <w:sz w:val="24"/>
        </w:rPr>
        <w:tab/>
        <w:t>договорно: съгласно датата на договорната преоценка, определена в член 1, параграф 2 от Делегиран регламент (ЕС) .../... (Служба за публикации: моля, добавете препратка към РТС относно СП), без да се вземат предвид поведенческите допускания. Ще се вземат предвид само договорни и правни характеристики (без да се вземат предвид автоматичните опции и правните лихвени опции „таван“/„под“ – т.е. опциите с горна граница и опциите с долна граница). Профилът на паричните потоци на продукти без падеж (включително БД) се разглежда като краткосрочни променливи позиции (най-кратък времеви интервал). Не се прилага предсрочно прекратяване и предсрочно погасяване съгласно поведенческия профил, което се равнява на 0 % ставки за условното предсрочно погасяване и условното предсрочно изтегляне;</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б)</w:t>
      </w:r>
      <w:r>
        <w:rPr>
          <w:rFonts w:ascii="Times New Roman" w:hAnsi="Times New Roman"/>
          <w:noProof/>
          <w:sz w:val="24"/>
        </w:rPr>
        <w:tab/>
        <w:t>поведенческо моделиране при базовия сценарий: в съответствие с моделираните парични потоци, подлежащи на преоценка, при които се отчитат, когато е приложимо, поведенческите допускания при базовия сценарий.</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При дериватите институциите отчитат нетните суми от преоценката на паричните потоци (т.е. без разпределение по рамена получател/платец). При изчисляване на нетните суми за времеви интервал за деривати, с които се хеджират активи, дългото рамо (получател/актив) на деривата трябва да се счита с положителен знак, а късото рамо (платец/пасив) трябва да се счита с отрицателен знак. Изключения от това правило се прилагат в случай на фиксиран купон на получател в среда с отрицателен лихвен процент, който се счита с отрицателен знак дори ако част от дългото рамо (получател/актив) е била взет предвид с положителен знак. Обратното важи за дериватите, с които се хеджират пасиви: при изчисляване на нетните парични потоци, подлежащи на преоценка, дългото рамо (получател/актив) се взема предвид с отрицателен знак, а късото рамо (платец/пасив) — с положителен знак.</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Институциите не отчитат информация в колоните, свързани с условната стойност, информация за автоматичните опции и поведенческото моделиране, средната доходност и договорния падеж в листовете за договорните условия.</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087702"/>
      <w:r>
        <w:rPr>
          <w:b/>
          <w:noProof/>
          <w:sz w:val="24"/>
        </w:rPr>
        <w:t>2.</w:t>
      </w:r>
      <w:r>
        <w:rPr>
          <w:b/>
          <w:noProof/>
          <w:sz w:val="24"/>
        </w:rPr>
        <w:tab/>
        <w:t>Указания относно определени позиции:</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Колони</w:t>
            </w:r>
          </w:p>
        </w:tc>
        <w:tc>
          <w:tcPr>
            <w:tcW w:w="7620" w:type="dxa"/>
            <w:shd w:val="clear" w:color="auto" w:fill="D9D9D9" w:themeFill="background1" w:themeFillShade="D9"/>
          </w:tcPr>
          <w:p w14:paraId="2F9FA5E5" w14:textId="77777777" w:rsidR="00E334BE" w:rsidRPr="00D82419" w:rsidRDefault="00E334BE"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A65377" w:rsidRPr="00D82419" w:rsidDel="00910670" w14:paraId="4BFF452C" w14:textId="77777777" w:rsidTr="63452C95">
        <w:tc>
          <w:tcPr>
            <w:tcW w:w="1129" w:type="dxa"/>
          </w:tcPr>
          <w:p w14:paraId="424DCEEA" w14:textId="2047D5C3" w:rsidR="00A65377" w:rsidRPr="00D82419" w:rsidDel="00910670" w:rsidRDefault="00ED0A0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Фиксиран лихвен процент</w:t>
            </w:r>
          </w:p>
          <w:p w14:paraId="3E07CAE3" w14:textId="552D9907" w:rsidR="00EF76AB" w:rsidRPr="00D82419" w:rsidDel="00910670" w:rsidRDefault="00EF76AB" w:rsidP="002F0B4B">
            <w:pPr>
              <w:pStyle w:val="InstructionsText"/>
              <w:rPr>
                <w:rStyle w:val="InstructionsTabelleberschrift"/>
                <w:rFonts w:ascii="Times New Roman" w:hAnsi="Times New Roman"/>
                <w:noProof/>
                <w:sz w:val="24"/>
              </w:rPr>
            </w:pPr>
            <w:r>
              <w:rPr>
                <w:noProof/>
              </w:rPr>
              <w:t>Институциите отчитат приблизителните оценки, свързани с инструменти с фиксиран лихвен процент, съгласно установените практики, посочени в част I, раздел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от настоящото приложение.</w:t>
            </w:r>
          </w:p>
        </w:tc>
      </w:tr>
      <w:tr w:rsidR="00A65377" w:rsidRPr="00D82419" w:rsidDel="00910670" w14:paraId="57B0CF75" w14:textId="77777777" w:rsidTr="63452C95">
        <w:tc>
          <w:tcPr>
            <w:tcW w:w="1129" w:type="dxa"/>
          </w:tcPr>
          <w:p w14:paraId="6E3BC7AB" w14:textId="2B703315" w:rsidR="00A65377" w:rsidRPr="00D82419" w:rsidDel="00910670" w:rsidRDefault="00543AB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Плаващ лихвен процент</w:t>
            </w:r>
          </w:p>
          <w:p w14:paraId="0667D05A" w14:textId="1C1E5E1A" w:rsidR="00EF76AB" w:rsidRPr="00D82419" w:rsidDel="00910670" w:rsidRDefault="00EF76AB" w:rsidP="002F0B4B">
            <w:pPr>
              <w:pStyle w:val="InstructionsText"/>
              <w:rPr>
                <w:rStyle w:val="InstructionsTabelleberschrift"/>
                <w:rFonts w:ascii="Times New Roman" w:hAnsi="Times New Roman"/>
                <w:noProof/>
                <w:sz w:val="24"/>
              </w:rPr>
            </w:pPr>
            <w:r>
              <w:rPr>
                <w:noProof/>
              </w:rPr>
              <w:t xml:space="preserve">Институциите отчитат приблизителните оценки, свързани с инструменти с </w:t>
            </w:r>
            <w:r>
              <w:rPr>
                <w:rStyle w:val="InstructionsTabelleberschrift"/>
                <w:rFonts w:ascii="Times New Roman" w:hAnsi="Times New Roman"/>
                <w:b w:val="0"/>
                <w:noProof/>
                <w:sz w:val="24"/>
                <w:u w:val="none"/>
              </w:rPr>
              <w:t>плаващ</w:t>
            </w:r>
            <w:r>
              <w:rPr>
                <w:noProof/>
              </w:rPr>
              <w:t xml:space="preserve"> лихвен процент, съгласно установените практики, посочени в част I, раздел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от настоящото приложение</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Условна стойност</w:t>
            </w:r>
          </w:p>
          <w:p w14:paraId="46766D8B" w14:textId="222F990D" w:rsidR="00CB0263" w:rsidRPr="00D82419" w:rsidRDefault="00CB026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Институциите отчитат непогасената главница на инструментите.</w:t>
            </w:r>
          </w:p>
          <w:p w14:paraId="5E431F7F" w14:textId="07283D72" w:rsidR="00910670" w:rsidRPr="00D82419" w:rsidDel="00910670" w:rsidRDefault="00C57102" w:rsidP="002F0B4B">
            <w:pPr>
              <w:pStyle w:val="InstructionsText"/>
              <w:rPr>
                <w:rStyle w:val="InstructionsTabelleberschrift"/>
                <w:rFonts w:ascii="Times New Roman" w:hAnsi="Times New Roman"/>
                <w:b w:val="0"/>
                <w:noProof/>
                <w:sz w:val="24"/>
                <w:u w:val="none"/>
              </w:rPr>
            </w:pPr>
            <w:r>
              <w:rPr>
                <w:noProof/>
              </w:rPr>
              <w:t>В случай на деривати се отчита непогасената главница на рамото на актива (получателя) (т.е. без нетирани суми на рамената получател/платец).</w:t>
            </w:r>
          </w:p>
        </w:tc>
      </w:tr>
      <w:tr w:rsidR="008A13DA" w:rsidRPr="00D82419" w14:paraId="2FB0A7BA" w14:textId="77777777" w:rsidTr="63452C95">
        <w:tc>
          <w:tcPr>
            <w:tcW w:w="1129" w:type="dxa"/>
          </w:tcPr>
          <w:p w14:paraId="3AFC7C48" w14:textId="1AE50117" w:rsidR="008A13DA" w:rsidRPr="00D82419" w:rsidRDefault="008A13D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и 0270</w:t>
            </w:r>
          </w:p>
        </w:tc>
        <w:tc>
          <w:tcPr>
            <w:tcW w:w="7620" w:type="dxa"/>
          </w:tcPr>
          <w:p w14:paraId="1D1717F1" w14:textId="693BF044" w:rsidR="008A13DA" w:rsidRPr="00D82419" w:rsidRDefault="008A13D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с вградени или изрични автоматични опционални характеристики — закупени</w:t>
            </w:r>
          </w:p>
          <w:p w14:paraId="19FE4847" w14:textId="216BDE82" w:rsidR="008A13DA"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Процент от условната стойност, отчетена в колони 0010 и 0260, предмет на закупени автоматични лихвени опции. Опционалните характеристики може да произтичат от самостоятелни инструменти, закупени от институцията (включително </w:t>
            </w:r>
            <w:r>
              <w:rPr>
                <w:rStyle w:val="InstructionsTabelleberschrift"/>
                <w:rFonts w:ascii="Times New Roman" w:hAnsi="Times New Roman"/>
                <w:b w:val="0"/>
                <w:i/>
                <w:noProof/>
                <w:sz w:val="24"/>
                <w:u w:val="none"/>
              </w:rPr>
              <w:t>лихвена опция „таван“, лихвена опция „под“</w:t>
            </w:r>
            <w:r>
              <w:rPr>
                <w:rStyle w:val="InstructionsTabelleberschrift"/>
                <w:rFonts w:ascii="Times New Roman" w:hAnsi="Times New Roman"/>
                <w:b w:val="0"/>
                <w:noProof/>
                <w:sz w:val="24"/>
                <w:u w:val="none"/>
              </w:rPr>
              <w:t xml:space="preserve"> и </w:t>
            </w:r>
            <w:r>
              <w:rPr>
                <w:rStyle w:val="InstructionsTabelleberschrift"/>
                <w:rFonts w:ascii="Times New Roman" w:hAnsi="Times New Roman"/>
                <w:b w:val="0"/>
                <w:i/>
                <w:noProof/>
                <w:sz w:val="24"/>
                <w:u w:val="none"/>
              </w:rPr>
              <w:t>суапции</w:t>
            </w:r>
            <w:r>
              <w:rPr>
                <w:rStyle w:val="InstructionsTabelleberschrift"/>
                <w:rFonts w:ascii="Times New Roman" w:hAnsi="Times New Roman"/>
                <w:b w:val="0"/>
                <w:noProof/>
                <w:sz w:val="24"/>
                <w:u w:val="none"/>
              </w:rPr>
              <w:t>), или да бъдат вградени в договорните условия на други стандартни банкови продукти.</w:t>
            </w:r>
          </w:p>
          <w:p w14:paraId="03C11696" w14:textId="540CCE6E" w:rsidR="00A83E73" w:rsidRPr="00D82419" w:rsidRDefault="00A83E73" w:rsidP="002F0B4B">
            <w:pPr>
              <w:pStyle w:val="InstructionsText"/>
              <w:rPr>
                <w:rStyle w:val="InstructionsTabelleberschrift"/>
                <w:rFonts w:ascii="Times New Roman" w:hAnsi="Times New Roman"/>
                <w:b w:val="0"/>
                <w:bCs w:val="0"/>
                <w:noProof/>
                <w:sz w:val="24"/>
                <w:u w:val="none"/>
              </w:rPr>
            </w:pPr>
            <w:r>
              <w:rPr>
                <w:noProof/>
              </w:rPr>
              <w:t>Вградените автоматични лихвени опции се отчитат заедно с относимия основен инструмент (актив или пасив). Изричните автоматични лихвени опции се отчитат като дериватни инструменти.</w:t>
            </w:r>
          </w:p>
          <w:p w14:paraId="1515B951" w14:textId="0815A965" w:rsidR="000452C6"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Вградените автоматично закупени опции включват, в случай на позиции с плаващ лихвен процент: i) закупени лихвени опции „под“ за активи с плаващ лихвен процент (заеми или дългови ценни книжа); ii) закупени лихвени опции „таван“ над емитирани дългови ценни книжа с плаващ лихвен процент и др. </w:t>
            </w:r>
          </w:p>
          <w:p w14:paraId="4B278975" w14:textId="2CD15610" w:rsidR="008A13DA" w:rsidRPr="00D82419" w:rsidRDefault="00844999"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Вградените автоматично закупени опции включват, в случай на позиции с фиксиран лихвен процент: i) активи, които са дългови ценни книжа с фиксиран лихвен процент с опция за предварително погасяване за институцията (платец на вградената закупена суапция); ii) емитирани пасиви, които са дългови ценни книжа с фиксиран лихвен процент с опция за предварително погасяване за институцията (получател на вградената закупена суапция);</w:t>
            </w:r>
          </w:p>
          <w:p w14:paraId="0EC5C984" w14:textId="06780A02" w:rsidR="004736B2" w:rsidRPr="00D82419" w:rsidRDefault="004736B2"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Изричните автоматични закупени опции са деривати, които включват: i) изрични закупени лихвени опции „под“; ii) платци на изрични закупени суапции (дадена институция има правото да встъпи в лихвен суап с плащане на фиксиран лихвен процент и получаване на плаващ лихвен процент); iii) изрични закупени лихвени опции „таван“; iV) получатели на изрични закупени суапции (дадена институция има правото да встъпи в лихвен суап с получаване на фиксиран лихвен процент и плащане на плаващ лихвен процент);</w:t>
            </w:r>
          </w:p>
          <w:p w14:paraId="0338A8CE" w14:textId="46249BD5" w:rsidR="008A13DA" w:rsidRPr="00D82419" w:rsidRDefault="004736B2" w:rsidP="002F0B4B">
            <w:pPr>
              <w:pStyle w:val="InstructionsText"/>
              <w:rPr>
                <w:rStyle w:val="InstructionsTabelleberschrift"/>
                <w:rFonts w:ascii="Times New Roman" w:hAnsi="Times New Roman"/>
                <w:noProof/>
                <w:sz w:val="24"/>
              </w:rPr>
            </w:pPr>
            <w:r>
              <w:rPr>
                <w:noProof/>
              </w:rPr>
              <w:t>При изчисляването на процентната експозиция институциите надлежно вземат предвид посочените в част I, раздел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установени практики по отношение на опциите.</w:t>
            </w:r>
          </w:p>
        </w:tc>
      </w:tr>
      <w:tr w:rsidR="008A13DA" w:rsidRPr="00D82419" w14:paraId="148EA992" w14:textId="77777777" w:rsidTr="63452C95">
        <w:tc>
          <w:tcPr>
            <w:tcW w:w="1129" w:type="dxa"/>
          </w:tcPr>
          <w:p w14:paraId="0C9C2184" w14:textId="481FBD27" w:rsidR="008A13DA" w:rsidRPr="00D82419" w:rsidRDefault="008A13D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и 0280</w:t>
            </w:r>
          </w:p>
        </w:tc>
        <w:tc>
          <w:tcPr>
            <w:tcW w:w="7620" w:type="dxa"/>
          </w:tcPr>
          <w:p w14:paraId="685A6336" w14:textId="5A91B1B4" w:rsidR="008A13DA" w:rsidRPr="00D82419" w:rsidRDefault="008A13D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с вградени или изрични автоматични опционални характеристики — продадени</w:t>
            </w:r>
          </w:p>
          <w:p w14:paraId="6E9CFF28" w14:textId="4243EF27" w:rsidR="008A13DA"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Процент от условната стойност, отчетена в колони 0010 и 0260, предмет на продадени автоматични лихвени опции. Опционалните характеристики може да произтичат от самостоятелни инструменти, продадени от институцията (включително </w:t>
            </w:r>
            <w:r>
              <w:rPr>
                <w:rStyle w:val="InstructionsTabelleberschrift"/>
                <w:rFonts w:ascii="Times New Roman" w:hAnsi="Times New Roman"/>
                <w:b w:val="0"/>
                <w:i/>
                <w:noProof/>
                <w:sz w:val="24"/>
                <w:u w:val="none"/>
              </w:rPr>
              <w:t xml:space="preserve">лихвена опция „таван“, лихвена опция „под“ </w:t>
            </w:r>
            <w:r>
              <w:rPr>
                <w:rStyle w:val="InstructionsTabelleberschrift"/>
                <w:rFonts w:ascii="Times New Roman" w:hAnsi="Times New Roman"/>
                <w:b w:val="0"/>
                <w:noProof/>
                <w:sz w:val="24"/>
                <w:u w:val="none"/>
              </w:rPr>
              <w:t xml:space="preserve">и </w:t>
            </w:r>
            <w:r>
              <w:rPr>
                <w:rStyle w:val="InstructionsTabelleberschrift"/>
                <w:rFonts w:ascii="Times New Roman" w:hAnsi="Times New Roman"/>
                <w:b w:val="0"/>
                <w:i/>
                <w:noProof/>
                <w:sz w:val="24"/>
                <w:u w:val="none"/>
              </w:rPr>
              <w:t>суапции</w:t>
            </w:r>
            <w:r>
              <w:rPr>
                <w:rStyle w:val="InstructionsTabelleberschrift"/>
                <w:rFonts w:ascii="Times New Roman" w:hAnsi="Times New Roman"/>
                <w:b w:val="0"/>
                <w:noProof/>
                <w:sz w:val="24"/>
                <w:u w:val="none"/>
              </w:rPr>
              <w:t>), или да бъдат вградени в договорните условия на други стандартни банкови продукти.</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Вградените автоматични лихвени опции се отчитат заедно с относимия им основен инструмент (актив или пасив). Изричните автоматични лихвени опции се отчитат като дериватни инструменти.</w:t>
            </w:r>
          </w:p>
          <w:p w14:paraId="5E648301" w14:textId="67D908B7" w:rsidR="000978F0" w:rsidRPr="00D82419" w:rsidRDefault="008A13DA" w:rsidP="002F0B4B">
            <w:pPr>
              <w:pStyle w:val="InstructionsText"/>
              <w:rPr>
                <w:noProof/>
              </w:rPr>
            </w:pPr>
            <w:r>
              <w:rPr>
                <w:noProof/>
              </w:rPr>
              <w:t xml:space="preserve">Вградените автоматично продадени лихвени опции включват, в случай на позиции с плаващ лихвен процент: i) закупени лихвени опции „таван“ над активи с плаващ лихвен процент (заеми или дългови ценни книжа); ii) продадени лихвени опции „под“ за емитирани дългови ценни книжа с плаващ лихвен процент и др. </w:t>
            </w:r>
          </w:p>
          <w:p w14:paraId="17F59AFE" w14:textId="1DC8181A" w:rsidR="008A13DA" w:rsidRPr="00D82419" w:rsidRDefault="008A13DA" w:rsidP="002F0B4B">
            <w:pPr>
              <w:pStyle w:val="InstructionsText"/>
              <w:rPr>
                <w:noProof/>
              </w:rPr>
            </w:pPr>
            <w:r>
              <w:rPr>
                <w:noProof/>
              </w:rPr>
              <w:t>За позиции с фиксиран лихвен процент, вградените автоматично продадени лихвени опции включват: i) дългови ценни книжа с фиксиран лихвен процент с опция за предварително погасяване за емитента (получател на вградената продадена суапция); ii) продадени лихвени опции „под“ за БД и срочни депозити, включително правни и подразбиращи се лихвени опции „под“, и iii) дългови ценни книжа с фиксиран лихвен процент, емитирани с опция за предсрочно погасяване за инвеститора (платец на вградената продадена суапция).</w:t>
            </w:r>
          </w:p>
          <w:p w14:paraId="4039C229" w14:textId="6ACB1D35" w:rsidR="00F73C99" w:rsidRPr="00D82419" w:rsidRDefault="00F73C99"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Изричните автоматични продадени опции са деривати, които включват, i) изрични продадени лихвени опции „таван“; ii) получатели на изрични продадени суапции (дадена институция е задължена да встъпи в лихвен суап с плащане на фиксиран лихвен процент и получаване на плаващ лихвен процент); iii) изрични продадени лихвени опции „под“; iv) платци на изрични продадени суапции (дадена институция е задължена да встъпи в лихвен суап с получаване на фиксиран лихвен процент и плащане на плаващ лихвен процент);</w:t>
            </w:r>
          </w:p>
          <w:p w14:paraId="5CBE88B0" w14:textId="0D2C5A51" w:rsidR="008A13DA" w:rsidRPr="00D82419" w:rsidRDefault="00F73C99" w:rsidP="002F0B4B">
            <w:pPr>
              <w:pStyle w:val="InstructionsText"/>
              <w:rPr>
                <w:rStyle w:val="InstructionsTabelleberschrift"/>
                <w:rFonts w:ascii="Times New Roman" w:hAnsi="Times New Roman"/>
                <w:noProof/>
                <w:sz w:val="24"/>
              </w:rPr>
            </w:pPr>
            <w:r>
              <w:rPr>
                <w:noProof/>
              </w:rPr>
              <w:t>При изчисляването на процентната експозиция, институциите надлежно вземат предвид посочените в част I, раздел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установени практики по отношение на опциите.</w:t>
            </w:r>
          </w:p>
        </w:tc>
      </w:tr>
      <w:tr w:rsidR="005A510E" w:rsidRPr="00D82419" w14:paraId="2D5F7193" w14:textId="77777777" w:rsidTr="63452C95">
        <w:tc>
          <w:tcPr>
            <w:tcW w:w="1129" w:type="dxa"/>
          </w:tcPr>
          <w:p w14:paraId="400C1384" w14:textId="08885C17"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и 0290</w:t>
            </w:r>
          </w:p>
        </w:tc>
        <w:tc>
          <w:tcPr>
            <w:tcW w:w="7620" w:type="dxa"/>
          </w:tcPr>
          <w:p w14:paraId="0B5BDF1F" w14:textId="77777777" w:rsidR="001D2293"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подлежащи на поведенческо моделиране</w:t>
            </w:r>
          </w:p>
          <w:p w14:paraId="2A5581C0" w14:textId="2E607039" w:rsidR="005A510E"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Процент от условната стойност, отчетена в колони 0010 и 0260, подлежаща на поведенческо моделиране, за която разпределението във времето или размерът на паричните потоци зависят от поведението на клиентите.</w:t>
            </w:r>
          </w:p>
        </w:tc>
      </w:tr>
      <w:tr w:rsidR="005A510E" w:rsidRPr="00D82419" w14:paraId="320394BE" w14:textId="77777777" w:rsidTr="63452C95">
        <w:tc>
          <w:tcPr>
            <w:tcW w:w="1129" w:type="dxa"/>
          </w:tcPr>
          <w:p w14:paraId="4194F18A" w14:textId="66BE13F3"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и 0300</w:t>
            </w:r>
          </w:p>
        </w:tc>
        <w:tc>
          <w:tcPr>
            <w:tcW w:w="7620" w:type="dxa"/>
          </w:tcPr>
          <w:p w14:paraId="1F589AA0" w14:textId="6E6F27F9" w:rsidR="005A510E" w:rsidRPr="00D82419" w:rsidRDefault="005A510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Среднопретеглена доходност</w:t>
            </w:r>
          </w:p>
          <w:p w14:paraId="0A030C82" w14:textId="148A1E1F" w:rsidR="005A510E" w:rsidRPr="00D82419" w:rsidRDefault="000B09F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Средна доходност на годишна база, претеглена с условната стойност.</w:t>
            </w:r>
          </w:p>
        </w:tc>
      </w:tr>
      <w:tr w:rsidR="005A510E" w:rsidRPr="00D82419" w14:paraId="241B7FD2" w14:textId="77777777" w:rsidTr="63452C95">
        <w:tc>
          <w:tcPr>
            <w:tcW w:w="1129" w:type="dxa"/>
          </w:tcPr>
          <w:p w14:paraId="05DB9DDC" w14:textId="75231452"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и 0310</w:t>
            </w:r>
          </w:p>
        </w:tc>
        <w:tc>
          <w:tcPr>
            <w:tcW w:w="7620" w:type="dxa"/>
          </w:tcPr>
          <w:p w14:paraId="61B75614" w14:textId="476C6EAF" w:rsidR="005A510E" w:rsidRPr="00D82419" w:rsidRDefault="005A510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Среднопретеглен срок до падежа (договорен)</w:t>
            </w:r>
          </w:p>
          <w:p w14:paraId="5543C64E" w14:textId="5DCF7F02" w:rsidR="005A510E" w:rsidRPr="00D82419" w:rsidRDefault="00E054D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Среден договорен срок до падежа, измерен в години, претеглен с условната стойност.</w:t>
            </w:r>
          </w:p>
        </w:tc>
      </w:tr>
      <w:tr w:rsidR="00E334BE" w:rsidRPr="00D82419" w14:paraId="1C045037" w14:textId="77777777" w:rsidTr="63452C95">
        <w:tc>
          <w:tcPr>
            <w:tcW w:w="1129" w:type="dxa"/>
          </w:tcPr>
          <w:p w14:paraId="77861FE1" w14:textId="066DD219" w:rsidR="00E334BE" w:rsidRPr="00D82419" w:rsidRDefault="00B45B2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и 0320—0390</w:t>
            </w:r>
          </w:p>
        </w:tc>
        <w:tc>
          <w:tcPr>
            <w:tcW w:w="7620" w:type="dxa"/>
          </w:tcPr>
          <w:p w14:paraId="244DABE7" w14:textId="77777777" w:rsidR="00A37710" w:rsidRPr="00D82419" w:rsidRDefault="00E334B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Планирано преоценка за всички условни парични потоци, подлежащи на преоценка</w:t>
            </w:r>
          </w:p>
          <w:p w14:paraId="27AC5034" w14:textId="495DB905" w:rsidR="00F93C6A" w:rsidRPr="00D82419" w:rsidRDefault="00F93C6A" w:rsidP="002F0B4B">
            <w:pPr>
              <w:pStyle w:val="InstructionsText"/>
              <w:rPr>
                <w:noProof/>
              </w:rPr>
            </w:pPr>
            <w:r>
              <w:rPr>
                <w:noProof/>
              </w:rPr>
              <w:t xml:space="preserve">Институциите отчитат всички бъдещи условни парични потоци, подлежащи на преоценка, произтичащи от чувствителни към лихвения процент позиции в обхвата на </w:t>
            </w:r>
            <w:r>
              <w:rPr>
                <w:rStyle w:val="InstructionsTabelleberschrift"/>
                <w:rFonts w:ascii="Times New Roman" w:hAnsi="Times New Roman"/>
                <w:b w:val="0"/>
                <w:noProof/>
                <w:sz w:val="24"/>
                <w:u w:val="none"/>
              </w:rPr>
              <w:t>Делегиран Регламент (ЕС) …/… (Служба за публикации: моля, добавете препратка към РТС относно НТГО)</w:t>
            </w:r>
            <w:r>
              <w:rPr>
                <w:noProof/>
              </w:rPr>
              <w:t xml:space="preserve">), по предварително зададен времеви интервал (в който те попадат според датите им на преоценка). </w:t>
            </w:r>
            <w:r>
              <w:rPr>
                <w:rStyle w:val="FormatvorlageInstructionsTabelleText"/>
                <w:rFonts w:ascii="Times New Roman" w:hAnsi="Times New Roman"/>
                <w:noProof/>
                <w:sz w:val="24"/>
              </w:rPr>
              <w:t xml:space="preserve">(определения за „условни парични потоци, подлежащи на преоценка“ и „дата на преоценка“, посочени в член 1, точки 1 и 2 от </w:t>
            </w:r>
            <w:r>
              <w:rPr>
                <w:noProof/>
              </w:rPr>
              <w:t>Делегиран регламент (ЕС) .../... (Служба за публикации: моля, добавете препратка към РТС относно СП)</w:t>
            </w:r>
            <w:r>
              <w:rPr>
                <w:rStyle w:val="FormatvorlageInstructionsTabelleText"/>
                <w:rFonts w:ascii="Times New Roman" w:hAnsi="Times New Roman"/>
                <w:noProof/>
                <w:sz w:val="24"/>
              </w:rPr>
              <w:t>.</w:t>
            </w:r>
          </w:p>
          <w:p w14:paraId="07BE21EC" w14:textId="406647A0" w:rsidR="00E334BE" w:rsidRPr="00D82419" w:rsidRDefault="00F93C6A" w:rsidP="002F0B4B">
            <w:pPr>
              <w:pStyle w:val="InstructionsText"/>
              <w:rPr>
                <w:noProof/>
              </w:rPr>
            </w:pPr>
            <w:r>
              <w:rPr>
                <w:noProof/>
              </w:rPr>
              <w:t>Автоматичните лихвени опции, независимо дали са изрични, или вградени, се премахват от съответните основни договори и не се вземат предвид при разграничаване на условните парични потоци, подлежащи на преоценка.</w:t>
            </w:r>
          </w:p>
          <w:p w14:paraId="126FAB26" w14:textId="3C5ADDB7" w:rsidR="00DE2BDF" w:rsidRPr="00D82419" w:rsidRDefault="00DE2BDF" w:rsidP="002F0B4B">
            <w:pPr>
              <w:pStyle w:val="InstructionsText"/>
              <w:rPr>
                <w:noProof/>
              </w:rPr>
            </w:pPr>
            <w:r>
              <w:rPr>
                <w:noProof/>
              </w:rPr>
              <w:t xml:space="preserve">Дериватите, които не са автоматични лихвени опции, се превръщат в позиции в относимия базисен инструмент и се разделят на плащащи и получаващи позиции (къси и дълги позиции) в относимия базисен инструмент. Разглежданите суми са главници на базисния инструмент или на условния базисен инструмент. Фючърси и форуърдни договори, включително форуърдни лихвени споразумения, се разглеждат като комбинация от кратки и дълги позиции. </w:t>
            </w:r>
          </w:p>
          <w:p w14:paraId="4256EE64" w14:textId="3862EF6A" w:rsidR="00DE2BDF" w:rsidRPr="00D82419" w:rsidRDefault="00DE2BDF" w:rsidP="002F0B4B">
            <w:pPr>
              <w:pStyle w:val="InstructionsText"/>
              <w:rPr>
                <w:rStyle w:val="InstructionsTabelleberschrift"/>
                <w:rFonts w:ascii="Times New Roman" w:hAnsi="Times New Roman"/>
                <w:b w:val="0"/>
                <w:noProof/>
                <w:u w:val="none"/>
              </w:rPr>
            </w:pPr>
            <w:r>
              <w:rPr>
                <w:noProof/>
              </w:rPr>
              <w:t>При представянето на подлежащите на преоценка парични потоци от деривати, които не са автоматични лихвени опции, институциите надлежно вземат предвид установените практики по част IV, раздел 1, параграф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по отношение на дериватите.</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087703"/>
      <w:r>
        <w:rPr>
          <w:noProof/>
        </w:rPr>
        <w:t>ЧАСТ V: ОТНОСИМИ ПАРАМЕТРИ (J 08.00 и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087704"/>
      <w:r>
        <w:rPr>
          <w:b/>
          <w:noProof/>
          <w:sz w:val="24"/>
        </w:rPr>
        <w:t>1.</w:t>
      </w:r>
      <w:r>
        <w:rPr>
          <w:b/>
          <w:noProof/>
          <w:sz w:val="24"/>
        </w:rPr>
        <w:tab/>
        <w:t>Общи бележки</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Образци J 08.00 и J 09.00 съдържат информация относно относимите параметри за наблюдение на моделирането на НТАС. По-голямата част от информацията в този образец ще бъде извлечена от информацията, отчетена в образци J 02.00— J 07.00. Информацията се отчита, като се взема предвид перспективата за НТГО, включително изискванията и допусканията за моделиране, посочени в член 3 от Делегиран регламент (ЕС) .../... (Служба за публикации: моля, добавете препратка към РТС относно НТГО), и не се вземат предвид автоматичните опционални характеристики, с изключение на редове 0120—0150.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Тези образци се попълват отделно за всяка валута, за която институцията има позиции, когато счетоводната стойност на финансовите активи или пасиви, деноминирани във валута, възлиза на 5 % или повече от общия размер на финансовите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087705"/>
      <w:r>
        <w:rPr>
          <w:b/>
          <w:noProof/>
          <w:sz w:val="24"/>
        </w:rPr>
        <w:t>2.</w:t>
      </w:r>
      <w:r>
        <w:rPr>
          <w:b/>
          <w:noProof/>
          <w:sz w:val="24"/>
        </w:rPr>
        <w:tab/>
        <w:t>Указания относно определени позиции</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Ред</w:t>
            </w:r>
          </w:p>
        </w:tc>
        <w:tc>
          <w:tcPr>
            <w:tcW w:w="7620" w:type="dxa"/>
            <w:shd w:val="clear" w:color="auto" w:fill="D9D9D9" w:themeFill="background1" w:themeFillShade="D9"/>
          </w:tcPr>
          <w:p w14:paraId="35F1E6EB" w14:textId="77777777" w:rsidR="00B87342" w:rsidRPr="00D82419" w:rsidRDefault="00B87342"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B87342" w:rsidRPr="00D82419" w14:paraId="0045BC51" w14:textId="77777777" w:rsidTr="63452C95">
        <w:tc>
          <w:tcPr>
            <w:tcW w:w="1129" w:type="dxa"/>
          </w:tcPr>
          <w:p w14:paraId="25ECF8E9" w14:textId="7BC0B77B"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БД — Поведенческо моделиране — Среден срок до датите на преоценка преди и след моделиране</w:t>
            </w:r>
          </w:p>
          <w:p w14:paraId="7656C57A" w14:textId="1DA0750B"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Средният срок до датите на преоценка</w:t>
            </w:r>
            <w:r w:rsidR="00F03459">
              <w:rPr>
                <w:rStyle w:val="FormatvorlageInstructionsTabelleText"/>
                <w:rFonts w:ascii="Times New Roman" w:hAnsi="Times New Roman"/>
                <w:noProof/>
                <w:sz w:val="24"/>
              </w:rPr>
              <w:t>, измерван в години,</w:t>
            </w:r>
            <w:r>
              <w:rPr>
                <w:rStyle w:val="FormatvorlageInstructionsTabelleText"/>
                <w:rFonts w:ascii="Times New Roman" w:hAnsi="Times New Roman"/>
                <w:noProof/>
                <w:sz w:val="24"/>
              </w:rPr>
              <w:t xml:space="preserve"> се изчислява по категории БД съгласно разпределението, посочено в част III, </w:t>
            </w:r>
            <w:r>
              <w:rPr>
                <w:noProof/>
              </w:rPr>
              <w:t>раздел 2 от настоящото приложение</w:t>
            </w:r>
            <w:r>
              <w:rPr>
                <w:rStyle w:val="FormatvorlageInstructionsTabelleText"/>
                <w:rFonts w:ascii="Times New Roman" w:hAnsi="Times New Roman"/>
                <w:noProof/>
                <w:sz w:val="24"/>
              </w:rPr>
              <w:t xml:space="preserve">, с допълнително разпределение на: а) частта, която се счита за „основен“ обем (за БД, различни от финансовите на едро, и съгласно определението за „основен“ в член 1, точка 15 от </w:t>
            </w:r>
            <w:r>
              <w:rPr>
                <w:noProof/>
              </w:rPr>
              <w:t>Делегиран регламент (ЕС) .../... (Служба за публикации: моля, добавете препратка към РТС относно СП)</w:t>
            </w:r>
            <w:r>
              <w:rPr>
                <w:rStyle w:val="FormatvorlageInstructionsTabelleText"/>
                <w:rFonts w:ascii="Times New Roman" w:hAnsi="Times New Roman"/>
                <w:noProof/>
                <w:sz w:val="24"/>
              </w:rPr>
              <w:t xml:space="preserve">, б) периметърът на регулираните спестявания, посочени в член 428е, параграф 2, буква а) от </w:t>
            </w:r>
            <w:r>
              <w:rPr>
                <w:noProof/>
              </w:rPr>
              <w:t>Регламент (ЕС) № 575/2013</w:t>
            </w:r>
            <w:r>
              <w:rPr>
                <w:rStyle w:val="FormatvorlageInstructionsTabelleText"/>
                <w:rFonts w:ascii="Times New Roman" w:hAnsi="Times New Roman"/>
                <w:noProof/>
                <w:sz w:val="24"/>
              </w:rPr>
              <w:t xml:space="preserve"> — без да са ограничени до централизираната част — или всякакви други със съществени икономически или фискални ограничения в случай на теглене, за които институцията не прилага таван върху техния срок за преоценка (като 5-годишното ограничение за преоценката) във вътрешното си управление на риска за НТАС, и в) периметърът на оперативните депозити, определени в член 27, параграф 1, буква а) от </w:t>
            </w:r>
            <w:r>
              <w:rPr>
                <w:noProof/>
              </w:rPr>
              <w:t>Делегиран регламент (ЕС) 2015/61</w:t>
            </w:r>
            <w:r>
              <w:rPr>
                <w:rStyle w:val="FormatvorlageInstructionsTabelleText"/>
                <w:rFonts w:ascii="Times New Roman" w:hAnsi="Times New Roman"/>
                <w:noProof/>
                <w:sz w:val="24"/>
              </w:rPr>
              <w:t>.</w:t>
            </w:r>
          </w:p>
          <w:p w14:paraId="0E697F4F" w14:textId="0B347860" w:rsidR="00B87342" w:rsidRPr="00D82419" w:rsidRDefault="00B87342"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Средният срок до датите на преоценка се изчислява като среднопретегления от сроковете до „датите на преоценка“ и определеното тегло въз основа на „условните парични потоци, подлежащи на преоценка“, за позициите във всяка съответна категория/всяко съответно разпределение на БД (определението за „условни парични потоци, подлежащи на преоценка“ и „дата на преоценка“, както е посочено в член 1, точки 1 и 2 от </w:t>
            </w:r>
            <w:r>
              <w:rPr>
                <w:noProof/>
              </w:rPr>
              <w:t>Делегиран регламент (ЕС) .../... (Служба за публикации: моля, добавете препратка към РТС относно СП)</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БД — Поведенческо моделиране — ПП за хоризонт от 1 година</w:t>
            </w:r>
          </w:p>
          <w:p w14:paraId="7BE8129E" w14:textId="53FD4EE3" w:rsidR="00B87342" w:rsidRPr="00D82419" w:rsidRDefault="3DB3CFB4"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Процентът на прехвърляне (ПП), определен в член 1, точка 14 от </w:t>
            </w:r>
            <w:r>
              <w:rPr>
                <w:noProof/>
              </w:rPr>
              <w:t xml:space="preserve">Делегиран регламент (ЕС) .../... (Служба за публикации: моля, добавете препратка към РТС относно СП) </w:t>
            </w:r>
            <w:r>
              <w:rPr>
                <w:rStyle w:val="FormatvorlageInstructionsTabelleText"/>
                <w:rFonts w:ascii="Times New Roman" w:hAnsi="Times New Roman"/>
                <w:noProof/>
                <w:sz w:val="24"/>
              </w:rPr>
              <w:t xml:space="preserve">, се отчита по категории БД съгласно разпределението, определено в </w:t>
            </w:r>
            <w:r>
              <w:rPr>
                <w:noProof/>
              </w:rPr>
              <w:t>част III, раздел 2 от настоящото приложение,</w:t>
            </w:r>
            <w:r>
              <w:rPr>
                <w:rStyle w:val="FormatvorlageInstructionsTabelleText"/>
                <w:rFonts w:ascii="Times New Roman" w:hAnsi="Times New Roman"/>
                <w:noProof/>
                <w:sz w:val="24"/>
              </w:rPr>
              <w:t xml:space="preserve"> и за хоризонт от 1 година.</w:t>
            </w:r>
          </w:p>
          <w:p w14:paraId="39231CCE" w14:textId="5897B846" w:rsidR="00B87342" w:rsidRPr="00D82419" w:rsidRDefault="7EB25965" w:rsidP="002F0B4B">
            <w:pPr>
              <w:pStyle w:val="InstructionsText"/>
              <w:rPr>
                <w:rFonts w:eastAsia="Calibri"/>
                <w:noProof/>
              </w:rPr>
            </w:pPr>
            <w:r>
              <w:rPr>
                <w:noProof/>
              </w:rPr>
              <w:t xml:space="preserve">Институциите отчитат като ПП среднопретегления процент на шока на лихвените проценти, който се предполага, че ще бъде прехвърлен към техните БД, съгласно регулаторните сценарии за лихвените проценти и измерителя за НПЛ, посочени в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РТС относно </w:t>
            </w:r>
            <w:r>
              <w:rPr>
                <w:rStyle w:val="FormatvorlageInstructionsTabelleText"/>
                <w:rFonts w:ascii="Times New Roman" w:hAnsi="Times New Roman"/>
                <w:noProof/>
                <w:sz w:val="24"/>
              </w:rPr>
              <w:t>НТГО)</w:t>
            </w:r>
            <w:r>
              <w:rPr>
                <w:noProof/>
              </w:rPr>
              <w:t>.</w:t>
            </w:r>
          </w:p>
        </w:tc>
      </w:tr>
      <w:tr w:rsidR="00B87342" w:rsidRPr="00D82419" w14:paraId="44881724" w14:textId="77777777" w:rsidTr="63452C95">
        <w:tc>
          <w:tcPr>
            <w:tcW w:w="1129" w:type="dxa"/>
          </w:tcPr>
          <w:p w14:paraId="248EEF52" w14:textId="6ED74CE6"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Фиксиран лихвен процент — Риск от предсрочно погасяване — Среден срок до датите на преоценка преди и след моделиране</w:t>
            </w:r>
          </w:p>
          <w:p w14:paraId="3E76D491" w14:textId="45263B4C" w:rsidR="0011705A" w:rsidRPr="00D82419" w:rsidRDefault="0011705A"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Средният срок до датите на преоценка</w:t>
            </w:r>
            <w:r w:rsidR="00F03459">
              <w:rPr>
                <w:rStyle w:val="FormatvorlageInstructionsTabelleText"/>
                <w:rFonts w:ascii="Times New Roman" w:hAnsi="Times New Roman"/>
                <w:noProof/>
                <w:sz w:val="24"/>
              </w:rPr>
              <w:t>, измерван в години,</w:t>
            </w:r>
            <w:r>
              <w:rPr>
                <w:rStyle w:val="FormatvorlageInstructionsTabelleText"/>
                <w:rFonts w:ascii="Times New Roman" w:hAnsi="Times New Roman"/>
                <w:noProof/>
                <w:sz w:val="24"/>
              </w:rPr>
              <w:t xml:space="preserve"> се изчислява за съответната категория, както е посочено в част III, </w:t>
            </w:r>
            <w:r>
              <w:rPr>
                <w:noProof/>
              </w:rPr>
              <w:t>раздел 2 от настоящото приложение,</w:t>
            </w:r>
            <w:r>
              <w:rPr>
                <w:rStyle w:val="FormatvorlageInstructionsTabelleText"/>
                <w:rFonts w:ascii="Times New Roman" w:hAnsi="Times New Roman"/>
                <w:noProof/>
                <w:sz w:val="24"/>
              </w:rPr>
              <w:t xml:space="preserve"> за „заемите и авансите“ с фиксиран лихвен процент и за „дълговите ценни книжа“ с фиксиран лихвен процент, изложени на риск от предсрочно погасяване.</w:t>
            </w:r>
          </w:p>
          <w:p w14:paraId="6058AA3F" w14:textId="67C5AABC" w:rsidR="00B87342" w:rsidRPr="00D82419" w:rsidRDefault="0011705A"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Институциите отчитат като позиции, изложени на риск от предсрочно погасяване, само онези позиции, за които клиентът не поема пълните икономически разходи от предсрочното погасяване. Позиции, за които клиентът поема пълния икономически разход на предсрочното погасяване, не се считат за изложени на риск от предсрочно погасяване за целите на изчислението. Средният срок до датите на преоценка се изчислява като среднопретегления от сроковете до „датите на преоценка“ и определеното тегло въз основа на „условните парични потоци, подлежащи на преоценка“ за позициите във всяка съответна категория/всяко съответно разпределение на „заемите и аванси“ с фиксиран лихвен процент и „дълговите ценни книжа“ с фиксиран лихвен процент (определенията за „условни парични потоци, подлежащи на преоценка“ и „дата на преоценка“ са установени в член 1, точки 1 и 2 от </w:t>
            </w:r>
            <w:r>
              <w:rPr>
                <w:noProof/>
              </w:rPr>
              <w:t>Делегиран регламент (ЕС) .../... (Служба за публикации: моля, добавете препратка към РТС относно СП)</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2F0B4B">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Фиксиран лихвен процент — Риск от предсрочно погасяване — Проценти на условно предсрочно погасяване (средна стойност на годишна основа)</w:t>
            </w:r>
          </w:p>
          <w:p w14:paraId="689AA958" w14:textId="083E3BBE" w:rsidR="00B87342" w:rsidRPr="00D82419" w:rsidRDefault="006A74E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Средната стойност</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на годишна основа</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на условния процент на предсрочно погасяване се отчита в годишно изражение по съответнаите категории, определени в част III, </w:t>
            </w:r>
            <w:r>
              <w:rPr>
                <w:noProof/>
              </w:rPr>
              <w:t>раздел 2 от настоящото приложение</w:t>
            </w:r>
            <w:r>
              <w:rPr>
                <w:rStyle w:val="FormatvorlageInstructionsTabelleText"/>
                <w:rFonts w:ascii="Times New Roman" w:hAnsi="Times New Roman"/>
                <w:noProof/>
                <w:sz w:val="24"/>
              </w:rPr>
              <w:t>, като среднопретегления годишен лихвен процент на предсрочно погасяване от непогасената сума за всеки годишен период до погасяването на портфейла за портфейли със „заеми и аванси“ с фиксиран лихвен процент и „дългови ценни книжа“ с фиксиран лихвен процент, които са изложени на риск от предсрочно погасяване.</w:t>
            </w:r>
          </w:p>
        </w:tc>
      </w:tr>
      <w:tr w:rsidR="00B87342" w:rsidRPr="00D82419" w14:paraId="57163FCB" w14:textId="77777777" w:rsidTr="63452C95">
        <w:tc>
          <w:tcPr>
            <w:tcW w:w="1129" w:type="dxa"/>
          </w:tcPr>
          <w:p w14:paraId="3A1656C2" w14:textId="3B773E31"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Фиксиран лихвен процент — Риск от предсрочно изтегляне — Среден срок до датите на преоценка преди и след моделиране</w:t>
            </w:r>
          </w:p>
          <w:p w14:paraId="1E1D4FB4" w14:textId="14661E2D" w:rsidR="002901F9" w:rsidRPr="00D82419" w:rsidRDefault="002901F9"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Средният срок до датите на преоценка</w:t>
            </w:r>
            <w:r w:rsidR="00223C21">
              <w:rPr>
                <w:rStyle w:val="FormatvorlageInstructionsTabelleText"/>
                <w:rFonts w:ascii="Times New Roman" w:hAnsi="Times New Roman"/>
                <w:noProof/>
                <w:sz w:val="24"/>
              </w:rPr>
              <w:t>, измерван в години,</w:t>
            </w:r>
            <w:r>
              <w:rPr>
                <w:rStyle w:val="FormatvorlageInstructionsTabelleText"/>
                <w:rFonts w:ascii="Times New Roman" w:hAnsi="Times New Roman"/>
                <w:noProof/>
                <w:sz w:val="24"/>
              </w:rPr>
              <w:t xml:space="preserve"> се изчислява по съответните категории по част III, </w:t>
            </w:r>
            <w:r>
              <w:rPr>
                <w:noProof/>
              </w:rPr>
              <w:t>раздел 2 от настоящото приложение,</w:t>
            </w:r>
            <w:r>
              <w:rPr>
                <w:rStyle w:val="FormatvorlageInstructionsTabelleText"/>
                <w:rFonts w:ascii="Times New Roman" w:hAnsi="Times New Roman"/>
                <w:noProof/>
                <w:sz w:val="24"/>
              </w:rPr>
              <w:t xml:space="preserve"> за „срочните депозити“ с фиксиран лихвен процент, изложени на риск от предсрочно изтегляне.</w:t>
            </w:r>
          </w:p>
          <w:p w14:paraId="6587669C" w14:textId="6CE97E7A" w:rsidR="002901F9" w:rsidRPr="00D82419" w:rsidRDefault="002901F9"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Средният срок до датите на преоценка се изчислява като среднопретегления от „датите на преоценка“ и определеното тегло въз основа на „условните парични потоци, подлежащи на преоценка“, за съвкупните позиции във всяка съответна категория/всяко съответно разпределение (определениията за „условни парични потоци, подлежащи на преоценка“ и „дата на преоценка“ са установени в член 1, точки 1 и 2 от </w:t>
            </w:r>
            <w:r>
              <w:rPr>
                <w:noProof/>
              </w:rPr>
              <w:t>Делегиран регламент (ЕС) .../... (Служба за публикации: моля, добавете препратка към РТС относно СП)</w:t>
            </w:r>
            <w:r>
              <w:rPr>
                <w:rStyle w:val="FormatvorlageInstructionsTabelleText"/>
                <w:rFonts w:ascii="Times New Roman" w:hAnsi="Times New Roman"/>
                <w:noProof/>
                <w:sz w:val="24"/>
              </w:rPr>
              <w:t>).</w:t>
            </w:r>
          </w:p>
          <w:p w14:paraId="7AA2EACA" w14:textId="10F458EC" w:rsidR="00B87342" w:rsidRPr="00D82419" w:rsidRDefault="002901F9"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Институциите отчитат като позиции, изложени на риск от предсрочно изтегляне, само онези позиции, за които клиентът не поема пълните икономически разходи от предсрочното изтегляне. Позиции, за които клиентът поема пълния икономически разход на предсрочното изтегляне, не се считат за изложени на риск от предсрочно изтегляне за целите на изчислението.</w:t>
            </w:r>
          </w:p>
        </w:tc>
      </w:tr>
      <w:tr w:rsidR="00B87342" w:rsidRPr="00D82419" w14:paraId="481018BD" w14:textId="77777777" w:rsidTr="63452C95">
        <w:tc>
          <w:tcPr>
            <w:tcW w:w="1129" w:type="dxa"/>
          </w:tcPr>
          <w:p w14:paraId="0B9A24B1" w14:textId="6B6EE886"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Фиксиран лихвен процент — Риск от предсрочно изтегляне — Проценти на предсрочно изтегляне (съвкупна средна стойност)</w:t>
            </w:r>
          </w:p>
          <w:p w14:paraId="34980BF9" w14:textId="2C0D7DC4" w:rsidR="00B87342" w:rsidRPr="00D82419" w:rsidRDefault="00950563"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Съвкупният</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среден условен процент на предсрочно изтегляне се отчита за съответната категория, определена в част III, </w:t>
            </w:r>
            <w:r>
              <w:rPr>
                <w:noProof/>
              </w:rPr>
              <w:t>раздел 2 от настоящото приложение</w:t>
            </w:r>
            <w:r>
              <w:rPr>
                <w:rStyle w:val="FormatvorlageInstructionsTabelleText"/>
                <w:rFonts w:ascii="Times New Roman" w:hAnsi="Times New Roman"/>
                <w:noProof/>
                <w:sz w:val="24"/>
              </w:rPr>
              <w:t>, като отношението между предсрочно изтеглената сума по позициите на „срочните депозити“ с фиксиран лихвен процент, изложени на риск от предсрочно изтегляне (по съответните категории), разделен на общата непогасена сума на „срочните депозити“ с фиксиран лихвен процент, изложени на риск от предсрочно изтегляне (по съответните категории).</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Колони</w:t>
            </w:r>
          </w:p>
        </w:tc>
        <w:tc>
          <w:tcPr>
            <w:tcW w:w="7620" w:type="dxa"/>
            <w:shd w:val="clear" w:color="auto" w:fill="D9D9D9" w:themeFill="background1" w:themeFillShade="D9"/>
          </w:tcPr>
          <w:p w14:paraId="353000F0" w14:textId="77777777" w:rsidR="005B10B8" w:rsidRPr="00D82419" w:rsidRDefault="005B10B8"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F47983" w:rsidRPr="00D82419" w:rsidDel="00F47983" w14:paraId="4C4CB1B5" w14:textId="77777777" w:rsidTr="63452C95">
        <w:tc>
          <w:tcPr>
            <w:tcW w:w="1129" w:type="dxa"/>
          </w:tcPr>
          <w:p w14:paraId="62C284D6" w14:textId="7940C70E" w:rsidR="00F47983" w:rsidRPr="00D82419" w:rsidDel="00F47983" w:rsidRDefault="00F4798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Условна стойност</w:t>
            </w:r>
          </w:p>
          <w:p w14:paraId="5B6EFF80" w14:textId="5E9934E5" w:rsidR="00F47983" w:rsidRPr="00D82419" w:rsidDel="00F47983" w:rsidRDefault="004F47D0"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05.00; c0010}.</w:t>
            </w:r>
          </w:p>
        </w:tc>
      </w:tr>
      <w:tr w:rsidR="005B10B8" w:rsidRPr="00D82419" w14:paraId="102216EE" w14:textId="77777777" w:rsidTr="63452C95">
        <w:tc>
          <w:tcPr>
            <w:tcW w:w="1129" w:type="dxa"/>
          </w:tcPr>
          <w:p w14:paraId="5DE0749C" w14:textId="01F50747" w:rsidR="005B10B8" w:rsidRPr="00D82419" w:rsidRDefault="005B10B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Подлежащи на поведенческо моделиране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2F0B4B">
            <w:pPr>
              <w:pStyle w:val="InstructionsText"/>
              <w:rPr>
                <w:rStyle w:val="InstructionsTabelleberschrift"/>
                <w:rFonts w:ascii="Times New Roman" w:hAnsi="Times New Roman"/>
                <w:b w:val="0"/>
                <w:noProof/>
                <w:sz w:val="24"/>
                <w:u w:val="none"/>
              </w:rPr>
            </w:pPr>
            <w:r>
              <w:rPr>
                <w:noProof/>
              </w:rPr>
              <w:t>Институциите следват същите указания като посочените в {J 05.00; c0040}.</w:t>
            </w:r>
          </w:p>
        </w:tc>
      </w:tr>
      <w:tr w:rsidR="005B10B8" w:rsidRPr="00D82419" w14:paraId="42F754E3" w14:textId="77777777" w:rsidTr="63452C95">
        <w:tc>
          <w:tcPr>
            <w:tcW w:w="1129" w:type="dxa"/>
          </w:tcPr>
          <w:p w14:paraId="70F3C500" w14:textId="1658EE49" w:rsidR="005B10B8" w:rsidRPr="00D82419" w:rsidRDefault="005B10B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Базов сценарий (договорен)</w:t>
            </w:r>
          </w:p>
          <w:p w14:paraId="3844FF21" w14:textId="29835F5D" w:rsidR="003D25AF" w:rsidRPr="00D82419" w:rsidRDefault="003D25A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Институциите предоставят относимите параметри (т.е. среден срок до датите на преоценка) съгласно договорните условия на базисните инструменти</w:t>
            </w:r>
            <w:r>
              <w:rPr>
                <w:rStyle w:val="InstructionsTabelleberschrift"/>
                <w:rFonts w:ascii="Times New Roman" w:hAnsi="Times New Roman"/>
                <w:b w:val="0"/>
                <w:noProof/>
                <w:sz w:val="24"/>
                <w:u w:val="none"/>
              </w:rPr>
              <w:t xml:space="preserve"> за експозициите, подлежащи на договорни условия и характеристики съгласно базовия сценарий за лихвените проценти </w:t>
            </w:r>
            <w:r>
              <w:rPr>
                <w:rStyle w:val="FormatvorlageInstructionsTabelleText"/>
                <w:rFonts w:ascii="Times New Roman" w:hAnsi="Times New Roman"/>
                <w:noProof/>
                <w:sz w:val="24"/>
              </w:rPr>
              <w:t xml:space="preserve">. </w:t>
            </w:r>
          </w:p>
          <w:p w14:paraId="49FC7605" w14:textId="5C296D41" w:rsidR="003D25AF" w:rsidRPr="00D82419" w:rsidRDefault="003D25AF" w:rsidP="002F0B4B">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Институциите отчитат данните въз основа на спецификациите, определени в член 98, параграф 5, буква а) от </w:t>
            </w:r>
            <w:r>
              <w:rPr>
                <w:noProof/>
              </w:rPr>
              <w:t>Директива 2013/36/ЕС</w:t>
            </w:r>
            <w:r>
              <w:rPr>
                <w:rStyle w:val="InstructionsTabelleberschrift"/>
                <w:rFonts w:ascii="Times New Roman" w:hAnsi="Times New Roman"/>
                <w:b w:val="0"/>
                <w:noProof/>
                <w:sz w:val="24"/>
                <w:u w:val="none"/>
              </w:rPr>
              <w:t xml:space="preserve"> и в член 3 от Делегиран регламент (ЕС) …/… (Служба за публикации: моля, добавете препратка към РТС относно </w:t>
            </w:r>
            <w:r>
              <w:rPr>
                <w:rStyle w:val="FormatvorlageInstructionsTabelleText"/>
                <w:rFonts w:ascii="Times New Roman" w:hAnsi="Times New Roman"/>
                <w:noProof/>
                <w:sz w:val="24"/>
              </w:rPr>
              <w:t>НТГО).</w:t>
            </w:r>
          </w:p>
          <w:p w14:paraId="0039C2EB" w14:textId="764ED080" w:rsidR="00A36E5F" w:rsidRPr="00D82419" w:rsidRDefault="003D25AF" w:rsidP="002F0B4B">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Поведенческите модели или условните модели (както е посочено в член 3, параграф 2, буква в) от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РТС относно </w:t>
            </w:r>
            <w:r>
              <w:rPr>
                <w:rStyle w:val="FormatvorlageInstructionsTabelleText"/>
                <w:rFonts w:ascii="Times New Roman" w:hAnsi="Times New Roman"/>
                <w:noProof/>
                <w:sz w:val="24"/>
              </w:rPr>
              <w:t>НТГО) не се вземат предвид за целите на получаване на параметрите.</w:t>
            </w:r>
          </w:p>
        </w:tc>
      </w:tr>
      <w:tr w:rsidR="00B2164F" w:rsidRPr="00D82419" w14:paraId="667D2C44" w14:textId="77777777" w:rsidTr="63452C95">
        <w:tc>
          <w:tcPr>
            <w:tcW w:w="1129" w:type="dxa"/>
          </w:tcPr>
          <w:p w14:paraId="2580660E" w14:textId="5AD3781B"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Базов сценарий (поведенчески)</w:t>
            </w:r>
          </w:p>
          <w:p w14:paraId="0577FD0F" w14:textId="5353BCF4" w:rsidR="00B2164F" w:rsidRPr="00D82419" w:rsidRDefault="00B2164F"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Институциите предоставят относимите параметри (т.е. среден срок до датите на преоценка), използвани </w:t>
            </w:r>
            <w:r>
              <w:rPr>
                <w:rStyle w:val="InstructionsTabelleberschrift"/>
                <w:rFonts w:ascii="Times New Roman" w:hAnsi="Times New Roman"/>
                <w:b w:val="0"/>
                <w:noProof/>
                <w:sz w:val="24"/>
                <w:u w:val="none"/>
              </w:rPr>
              <w:t>за експозициите, подлежащи на поведенческо моделиране, за които разпределението във времето и размерът на паричните потоци зависят от поведението на клиентите съгласно базовия сценарий за лихвените проценти</w:t>
            </w:r>
            <w:r>
              <w:rPr>
                <w:rStyle w:val="FormatvorlageInstructionsTabelleText"/>
                <w:rFonts w:ascii="Times New Roman" w:hAnsi="Times New Roman"/>
                <w:noProof/>
                <w:sz w:val="24"/>
              </w:rPr>
              <w:t xml:space="preserve">. </w:t>
            </w:r>
          </w:p>
          <w:p w14:paraId="7A4FE7D1" w14:textId="6D70AB16" w:rsidR="00B2164F" w:rsidRPr="00D82419" w:rsidRDefault="00B2164F"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Институциите отчитат данните въз основа на спецификациите, определени в член 98, параграф 5, буква а) от </w:t>
            </w:r>
            <w:r>
              <w:rPr>
                <w:noProof/>
              </w:rPr>
              <w:t xml:space="preserve">Директива 2013/36/ЕС </w:t>
            </w:r>
            <w:r>
              <w:rPr>
                <w:rStyle w:val="InstructionsTabelleberschrift"/>
                <w:rFonts w:ascii="Times New Roman" w:hAnsi="Times New Roman"/>
                <w:b w:val="0"/>
                <w:noProof/>
                <w:sz w:val="24"/>
                <w:u w:val="none"/>
              </w:rPr>
              <w:t xml:space="preserve">и в член 3 от Делегиран регламент (ЕС) …/… (Служба за публикации: моля, добавете препратка към РТС относно </w:t>
            </w:r>
            <w:r>
              <w:rPr>
                <w:rStyle w:val="FormatvorlageInstructionsTabelleText"/>
                <w:rFonts w:ascii="Times New Roman" w:hAnsi="Times New Roman"/>
                <w:noProof/>
                <w:sz w:val="24"/>
              </w:rPr>
              <w:t>НТГО).</w:t>
            </w:r>
          </w:p>
        </w:tc>
      </w:tr>
      <w:tr w:rsidR="00B2164F" w:rsidRPr="00D82419" w14:paraId="6D8D7D20" w14:textId="77777777" w:rsidTr="63452C95">
        <w:tc>
          <w:tcPr>
            <w:tcW w:w="1129" w:type="dxa"/>
          </w:tcPr>
          <w:p w14:paraId="6B1829E8" w14:textId="30EECC5E"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14A4BDD0" w:rsidR="00B2164F" w:rsidRPr="00D82419" w:rsidRDefault="00643E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У</w:t>
            </w:r>
            <w:r w:rsidR="00B2164F">
              <w:rPr>
                <w:rStyle w:val="InstructionsTabelleberschrift"/>
                <w:rFonts w:ascii="Times New Roman" w:hAnsi="Times New Roman"/>
                <w:noProof/>
                <w:sz w:val="24"/>
              </w:rPr>
              <w:t xml:space="preserve">спореден шок нагоре </w:t>
            </w:r>
          </w:p>
          <w:p w14:paraId="300C93C3" w14:textId="0E724783" w:rsidR="00B2164F" w:rsidRPr="00D82419" w:rsidRDefault="00E32A97" w:rsidP="002F0B4B">
            <w:pPr>
              <w:pStyle w:val="InstructionsText"/>
              <w:rPr>
                <w:rStyle w:val="InstructionsTabelleberschrift"/>
                <w:rFonts w:ascii="Times New Roman" w:hAnsi="Times New Roman"/>
                <w:b w:val="0"/>
                <w:bCs w:val="0"/>
                <w:noProof/>
                <w:sz w:val="24"/>
                <w:u w:val="none"/>
              </w:rPr>
            </w:pPr>
            <w:r>
              <w:rPr>
                <w:noProof/>
              </w:rPr>
              <w:t>Институциите следват същите указания като посочените в {J 01.00; r0040}.</w:t>
            </w:r>
          </w:p>
        </w:tc>
      </w:tr>
      <w:tr w:rsidR="00B2164F" w:rsidRPr="00D82419" w14:paraId="544E890D" w14:textId="77777777" w:rsidTr="63452C95">
        <w:tc>
          <w:tcPr>
            <w:tcW w:w="1129" w:type="dxa"/>
          </w:tcPr>
          <w:p w14:paraId="53DE47F8" w14:textId="418E41D9"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763BD80" w:rsidR="00B2164F" w:rsidRPr="00D82419" w:rsidRDefault="00643E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У</w:t>
            </w:r>
            <w:r w:rsidR="00B2164F">
              <w:rPr>
                <w:rStyle w:val="InstructionsTabelleberschrift"/>
                <w:rFonts w:ascii="Times New Roman" w:hAnsi="Times New Roman"/>
                <w:noProof/>
                <w:sz w:val="24"/>
              </w:rPr>
              <w:t xml:space="preserve">спореден шок надолу </w:t>
            </w:r>
          </w:p>
          <w:p w14:paraId="117BC558" w14:textId="751EDFD3" w:rsidR="00B2164F" w:rsidRPr="00D82419" w:rsidRDefault="00E32A97"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r0050}.</w:t>
            </w:r>
          </w:p>
        </w:tc>
      </w:tr>
      <w:tr w:rsidR="00B2164F" w:rsidRPr="00D82419" w14:paraId="787D1540" w14:textId="77777777" w:rsidTr="63452C95">
        <w:tc>
          <w:tcPr>
            <w:tcW w:w="1129" w:type="dxa"/>
          </w:tcPr>
          <w:p w14:paraId="79200A12" w14:textId="78456E09"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Шок към повишаване на стръмността </w:t>
            </w:r>
          </w:p>
          <w:p w14:paraId="5D2F3E7C" w14:textId="43E6083D" w:rsidR="00B2164F" w:rsidRPr="00D82419" w:rsidRDefault="00E32A97"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r0060}.</w:t>
            </w:r>
          </w:p>
        </w:tc>
      </w:tr>
      <w:tr w:rsidR="00B2164F" w:rsidRPr="00D82419" w14:paraId="26632335" w14:textId="77777777" w:rsidTr="63452C95">
        <w:tc>
          <w:tcPr>
            <w:tcW w:w="1129" w:type="dxa"/>
          </w:tcPr>
          <w:p w14:paraId="0601D2A0" w14:textId="683FDEA6"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Изравнителен шок </w:t>
            </w:r>
          </w:p>
          <w:p w14:paraId="0EF9F61B" w14:textId="340D5599" w:rsidR="00B2164F" w:rsidRPr="00D82419" w:rsidRDefault="00E32A97"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r0070}.</w:t>
            </w:r>
          </w:p>
        </w:tc>
      </w:tr>
      <w:tr w:rsidR="00B2164F" w:rsidRPr="00D82419" w14:paraId="58F3D8B0" w14:textId="77777777" w:rsidTr="63452C95">
        <w:tc>
          <w:tcPr>
            <w:tcW w:w="1129" w:type="dxa"/>
          </w:tcPr>
          <w:p w14:paraId="1C269019" w14:textId="66D93D88"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Шок към повишаване на краткосрочните лихвени проценти </w:t>
            </w:r>
          </w:p>
          <w:p w14:paraId="7CD02A4D" w14:textId="077159AA" w:rsidR="00B2164F" w:rsidRPr="00D82419" w:rsidRDefault="002100F4"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r0080}.</w:t>
            </w:r>
          </w:p>
        </w:tc>
      </w:tr>
      <w:tr w:rsidR="00B2164F" w:rsidRPr="00D82419" w14:paraId="3C8E5AC7" w14:textId="77777777" w:rsidTr="63452C95">
        <w:tc>
          <w:tcPr>
            <w:tcW w:w="1129" w:type="dxa"/>
          </w:tcPr>
          <w:p w14:paraId="1DCCB693" w14:textId="701E1D81"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Шок към понижаване на краткосрочните лихвени проценти </w:t>
            </w:r>
          </w:p>
          <w:p w14:paraId="04293978" w14:textId="3C4DA249" w:rsidR="00B2164F" w:rsidRPr="00D82419" w:rsidRDefault="002100F4" w:rsidP="002F0B4B">
            <w:pPr>
              <w:pStyle w:val="InstructionsText"/>
              <w:rPr>
                <w:rStyle w:val="InstructionsTabelleberschrift"/>
                <w:rFonts w:ascii="Times New Roman" w:hAnsi="Times New Roman"/>
                <w:noProof/>
                <w:sz w:val="24"/>
              </w:rPr>
            </w:pPr>
            <w:r>
              <w:rPr>
                <w:noProof/>
              </w:rPr>
              <w:t>Институциите следват същите указания като посочените в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087706"/>
      <w:r>
        <w:rPr>
          <w:noProof/>
        </w:rPr>
        <w:t>ЧАСТ VI: КАЧЕСТВЕНА ИНФОРМАЦИЯ (J 10.00 и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087707"/>
      <w:r>
        <w:rPr>
          <w:b/>
          <w:noProof/>
          <w:sz w:val="24"/>
        </w:rPr>
        <w:t>1.</w:t>
      </w:r>
      <w:r>
        <w:rPr>
          <w:b/>
          <w:noProof/>
          <w:sz w:val="24"/>
        </w:rPr>
        <w:tab/>
        <w:t>Общи бележки</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Образци J 10.00 и J 11.00 съдържат качествени данни относно методиките, използвани за оценката на ЛРБП.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Институциите отчитат съответната информация въз основа на предварително определен списък с опции. Редове 0320—0360 се попълват отделно за всяка валута, за която институцията има позиции, когато счетоводната стойност на финансовите активи или пасиви, деноминирани в дадена валута, възлиза на 5 % или повече от общия размер на финансовите активи или пасиви в банковия портфейл, или на по-малко от 5 %, ако размерът на включените в изчислението финансови активи или пасиви е под 90 % от общия размер на финансовите активи (с изключение на материалните активи) или пасиви в банковия портфейл. Останалите редове (от 0010 до 0310) не зависят от валутата.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087708"/>
      <w:r>
        <w:rPr>
          <w:b/>
          <w:noProof/>
          <w:sz w:val="24"/>
        </w:rPr>
        <w:t>2.</w:t>
      </w:r>
      <w:r>
        <w:rPr>
          <w:b/>
          <w:noProof/>
          <w:sz w:val="24"/>
        </w:rPr>
        <w:tab/>
        <w:t>Указания относно определени позиции</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Ред</w:t>
            </w:r>
          </w:p>
        </w:tc>
        <w:tc>
          <w:tcPr>
            <w:tcW w:w="7620" w:type="dxa"/>
            <w:shd w:val="clear" w:color="auto" w:fill="D9D9D9" w:themeFill="background1" w:themeFillShade="D9"/>
          </w:tcPr>
          <w:p w14:paraId="54162349" w14:textId="77777777" w:rsidR="0074085C" w:rsidRPr="00D82419" w:rsidRDefault="0074085C"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Препратки към правни норми и указания</w:t>
            </w:r>
          </w:p>
        </w:tc>
      </w:tr>
      <w:tr w:rsidR="004B1A38" w:rsidRPr="00D82419" w14:paraId="5F38AE8D" w14:textId="77777777" w:rsidTr="763F32FC">
        <w:tc>
          <w:tcPr>
            <w:tcW w:w="1129" w:type="dxa"/>
          </w:tcPr>
          <w:p w14:paraId="29457CC0" w14:textId="715B783F" w:rsidR="004B1A38" w:rsidRPr="00D82419" w:rsidRDefault="00841D8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Подход, използван за целите на НТГО (НПЛ/ИССК)</w:t>
            </w:r>
          </w:p>
          <w:p w14:paraId="7216C571" w14:textId="77455230" w:rsidR="004B1A38" w:rsidRPr="00D82419" w:rsidRDefault="00217BB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Институциите посочват подхода, използван за целите на изчисляването на НТГО (НПЛ/ИССК):</w:t>
            </w:r>
          </w:p>
          <w:p w14:paraId="7B855B4F" w14:textId="557797B9" w:rsidR="00217BB3"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опростен СП;</w:t>
            </w:r>
          </w:p>
          <w:p w14:paraId="7E6C77BA" w14:textId="36428AA7" w:rsidR="00217BB3"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СП;</w:t>
            </w:r>
          </w:p>
          <w:p w14:paraId="69CFAD4F" w14:textId="2BFF009E" w:rsidR="00217BB3" w:rsidRPr="00D82419" w:rsidRDefault="00D9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ВСИ.</w:t>
            </w:r>
          </w:p>
        </w:tc>
      </w:tr>
      <w:tr w:rsidR="00157828" w:rsidRPr="00D82419" w14:paraId="64BE9BF4" w14:textId="77777777" w:rsidTr="763F32FC">
        <w:tc>
          <w:tcPr>
            <w:tcW w:w="1129" w:type="dxa"/>
          </w:tcPr>
          <w:p w14:paraId="20392DF4" w14:textId="5D20EF89" w:rsidR="00157828" w:rsidRPr="00D82419" w:rsidRDefault="0015782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Изискване на компетентния орган (НПЛ/ИССК)</w:t>
            </w:r>
          </w:p>
          <w:p w14:paraId="389D5262" w14:textId="29DEC2AA" w:rsidR="00277E76" w:rsidRPr="00D82419" w:rsidRDefault="00BE7DD8" w:rsidP="002F0B4B">
            <w:pPr>
              <w:pStyle w:val="InstructionsText"/>
              <w:rPr>
                <w:rStyle w:val="InstructionsTabelleberschrift"/>
                <w:rFonts w:ascii="Times New Roman" w:hAnsi="Times New Roman"/>
                <w:b w:val="0"/>
                <w:bCs w:val="0"/>
                <w:noProof/>
                <w:sz w:val="24"/>
                <w:u w:val="none"/>
              </w:rPr>
            </w:pPr>
            <w:r>
              <w:rPr>
                <w:noProof/>
              </w:rPr>
              <w:t>Член 84, параграфи 3 и 4 от Директива 2013/36/ЕС. Когато методът на институцията за изчисляване на ИССК/НПЛ се основава на СП, институциите отчитат дали това е било изискване на компетентния орган:</w:t>
            </w:r>
          </w:p>
          <w:p w14:paraId="066E4D86" w14:textId="61DECE1F" w:rsidR="00277E76"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5A773C0F" w14:textId="3B965759" w:rsidR="00157828"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4CA4AE46" w14:textId="11A1D43E" w:rsidR="00D92403" w:rsidRPr="00D82419" w:rsidRDefault="00D9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не се прилага.</w:t>
            </w:r>
          </w:p>
        </w:tc>
      </w:tr>
      <w:tr w:rsidR="763F32FC" w:rsidRPr="00D82419" w14:paraId="59431DE9" w14:textId="77777777" w:rsidTr="763F32FC">
        <w:tc>
          <w:tcPr>
            <w:tcW w:w="1129" w:type="dxa"/>
          </w:tcPr>
          <w:p w14:paraId="6EBAC84A" w14:textId="1DE0F1C8" w:rsidR="52C6E47D" w:rsidRPr="00D82419" w:rsidRDefault="52C6E47D"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Методика (НПЛ)</w:t>
            </w:r>
          </w:p>
          <w:p w14:paraId="66032093" w14:textId="0857F903" w:rsidR="52C6E47D" w:rsidRPr="00D82419" w:rsidRDefault="52C6E47D" w:rsidP="002F0B4B">
            <w:pPr>
              <w:pStyle w:val="InstructionsText"/>
              <w:rPr>
                <w:noProof/>
              </w:rPr>
            </w:pPr>
            <w:r>
              <w:rPr>
                <w:noProof/>
              </w:rPr>
              <w:t xml:space="preserve">Институциите посочват дали при изчисляването за НТГО по отношение на НПЛ е взет предвид подход, основан на разликата при преоценката, подход на пълна преоценка или смесен подход: </w:t>
            </w:r>
          </w:p>
          <w:p w14:paraId="452346E8" w14:textId="29667BFF" w:rsidR="52C6E47D" w:rsidRPr="00D82419" w:rsidRDefault="00C5351C" w:rsidP="002F0B4B">
            <w:pPr>
              <w:pStyle w:val="InstructionsText"/>
              <w:rPr>
                <w:noProof/>
              </w:rPr>
            </w:pPr>
            <w:r>
              <w:rPr>
                <w:noProof/>
              </w:rPr>
              <w:t>— разлика при преоценката;</w:t>
            </w:r>
          </w:p>
          <w:p w14:paraId="194FA0B0" w14:textId="5BAFAD44" w:rsidR="52C6E47D" w:rsidRPr="00D82419" w:rsidRDefault="00D92403" w:rsidP="002F0B4B">
            <w:pPr>
              <w:pStyle w:val="InstructionsText"/>
              <w:rPr>
                <w:noProof/>
              </w:rPr>
            </w:pPr>
            <w:r>
              <w:rPr>
                <w:noProof/>
              </w:rPr>
              <w:t>— пълна преоценка;</w:t>
            </w:r>
          </w:p>
          <w:p w14:paraId="76F39DDB" w14:textId="245E723C" w:rsidR="52C6E47D" w:rsidRPr="00D82419" w:rsidRDefault="00D92403" w:rsidP="002F0B4B">
            <w:pPr>
              <w:pStyle w:val="InstructionsText"/>
              <w:rPr>
                <w:noProof/>
              </w:rPr>
            </w:pPr>
            <w:r>
              <w:rPr>
                <w:noProof/>
              </w:rPr>
              <w:t>— смесен подход;</w:t>
            </w:r>
          </w:p>
          <w:p w14:paraId="583AB55E" w14:textId="565127DC" w:rsidR="52C6E47D" w:rsidRPr="00D82419" w:rsidRDefault="00D92403" w:rsidP="002F0B4B">
            <w:pPr>
              <w:pStyle w:val="InstructionsText"/>
              <w:rPr>
                <w:noProof/>
              </w:rPr>
            </w:pPr>
            <w:r>
              <w:rPr>
                <w:noProof/>
              </w:rPr>
              <w:t>— други.</w:t>
            </w:r>
          </w:p>
        </w:tc>
      </w:tr>
      <w:tr w:rsidR="763F32FC" w:rsidRPr="00D82419" w14:paraId="12B42F11" w14:textId="77777777" w:rsidTr="763F32FC">
        <w:tc>
          <w:tcPr>
            <w:tcW w:w="1129" w:type="dxa"/>
          </w:tcPr>
          <w:p w14:paraId="7E0CC1E5" w14:textId="53925547"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Условни парични потоци (НПЛ)</w:t>
            </w:r>
          </w:p>
          <w:p w14:paraId="58A3E268" w14:textId="02730861" w:rsidR="0C990F80" w:rsidRPr="00D82419" w:rsidRDefault="0C990F80" w:rsidP="002F0B4B">
            <w:pPr>
              <w:pStyle w:val="InstructionsText"/>
              <w:rPr>
                <w:noProof/>
              </w:rPr>
            </w:pPr>
            <w:r>
              <w:rPr>
                <w:noProof/>
              </w:rPr>
              <w:t xml:space="preserve">Институциите посочват дали при изчисляването за НТГО по отношение на НПЛ са взети предвид условните парични потоци: </w:t>
            </w:r>
          </w:p>
          <w:p w14:paraId="45813F3E" w14:textId="4FD81609" w:rsidR="0C990F80" w:rsidRPr="00D82419" w:rsidRDefault="00C5351C" w:rsidP="002F0B4B">
            <w:pPr>
              <w:pStyle w:val="InstructionsText"/>
              <w:rPr>
                <w:noProof/>
              </w:rPr>
            </w:pPr>
            <w:r>
              <w:rPr>
                <w:noProof/>
              </w:rPr>
              <w:t xml:space="preserve">— всички съществени отчетни обекти; </w:t>
            </w:r>
          </w:p>
          <w:p w14:paraId="7EBCAFEA" w14:textId="2C9BFD64" w:rsidR="0C990F80" w:rsidRPr="00D82419" w:rsidRDefault="00C5351C" w:rsidP="002F0B4B">
            <w:pPr>
              <w:pStyle w:val="InstructionsText"/>
              <w:rPr>
                <w:noProof/>
              </w:rPr>
            </w:pPr>
            <w:r>
              <w:rPr>
                <w:noProof/>
              </w:rPr>
              <w:t xml:space="preserve">— някои съществени отчетни обекти; </w:t>
            </w:r>
          </w:p>
          <w:p w14:paraId="544BB1F4" w14:textId="7754A876" w:rsidR="763F32FC" w:rsidRPr="00D82419" w:rsidRDefault="00C5351C" w:rsidP="002F0B4B">
            <w:pPr>
              <w:pStyle w:val="InstructionsText"/>
              <w:rPr>
                <w:noProof/>
              </w:rPr>
            </w:pPr>
            <w:r>
              <w:rPr>
                <w:noProof/>
              </w:rPr>
              <w:t>— не са взети предвид.</w:t>
            </w:r>
          </w:p>
        </w:tc>
      </w:tr>
      <w:tr w:rsidR="763F32FC" w:rsidRPr="00D82419" w14:paraId="3F42A7DA" w14:textId="77777777" w:rsidTr="763F32FC">
        <w:tc>
          <w:tcPr>
            <w:tcW w:w="1129" w:type="dxa"/>
          </w:tcPr>
          <w:p w14:paraId="0F383914" w14:textId="4C29E384"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Опционен риск (НПЛ)</w:t>
            </w:r>
          </w:p>
          <w:p w14:paraId="560A53E7" w14:textId="05CFAD7C" w:rsidR="3FE6FD8F" w:rsidRPr="00D82419" w:rsidRDefault="3FE6FD8F" w:rsidP="002F0B4B">
            <w:pPr>
              <w:pStyle w:val="InstructionsText"/>
              <w:rPr>
                <w:noProof/>
              </w:rPr>
            </w:pPr>
            <w:r>
              <w:rPr>
                <w:noProof/>
              </w:rPr>
              <w:t xml:space="preserve">Институциите посочват дали при изчисляването за НТГО по отношение на НПЛ е взет предвид опционният риск: </w:t>
            </w:r>
          </w:p>
          <w:p w14:paraId="08F6654E" w14:textId="0B3F0FD8" w:rsidR="3FE6FD8F" w:rsidRPr="00D82419" w:rsidRDefault="00C5351C" w:rsidP="002F0B4B">
            <w:pPr>
              <w:pStyle w:val="InstructionsText"/>
              <w:rPr>
                <w:noProof/>
              </w:rPr>
            </w:pPr>
            <w:r>
              <w:rPr>
                <w:noProof/>
              </w:rPr>
              <w:t xml:space="preserve">— взет е предвид; </w:t>
            </w:r>
          </w:p>
          <w:p w14:paraId="095F51A9" w14:textId="0D4F81E0" w:rsidR="3FE6FD8F" w:rsidRPr="00D82419" w:rsidRDefault="00C5351C" w:rsidP="002F0B4B">
            <w:pPr>
              <w:pStyle w:val="InstructionsText"/>
              <w:rPr>
                <w:noProof/>
              </w:rPr>
            </w:pPr>
            <w:r>
              <w:rPr>
                <w:noProof/>
              </w:rPr>
              <w:t>— не е взет предвид.</w:t>
            </w:r>
          </w:p>
        </w:tc>
      </w:tr>
      <w:tr w:rsidR="763F32FC" w:rsidRPr="00D82419" w14:paraId="2570BF8E" w14:textId="77777777" w:rsidTr="763F32FC">
        <w:tc>
          <w:tcPr>
            <w:tcW w:w="1129" w:type="dxa"/>
          </w:tcPr>
          <w:p w14:paraId="0BA99032" w14:textId="64B391ED"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Базисен риск (НПЛ)</w:t>
            </w:r>
          </w:p>
          <w:p w14:paraId="17E07B43" w14:textId="3E362EE4" w:rsidR="070D7E34" w:rsidRPr="00D82419" w:rsidRDefault="070D7E34" w:rsidP="002F0B4B">
            <w:pPr>
              <w:pStyle w:val="InstructionsText"/>
              <w:rPr>
                <w:noProof/>
              </w:rPr>
            </w:pPr>
            <w:r>
              <w:rPr>
                <w:noProof/>
              </w:rPr>
              <w:t xml:space="preserve">Институциите посочват дали при изчисляването за НТГО по отношение на НПЛ е взет предвид базисният риск: </w:t>
            </w:r>
          </w:p>
          <w:p w14:paraId="3EE4DDE1" w14:textId="3FB1A35D" w:rsidR="070D7E34" w:rsidRPr="00D82419" w:rsidRDefault="00C5351C" w:rsidP="002F0B4B">
            <w:pPr>
              <w:pStyle w:val="InstructionsText"/>
              <w:rPr>
                <w:noProof/>
              </w:rPr>
            </w:pPr>
            <w:r>
              <w:rPr>
                <w:noProof/>
              </w:rPr>
              <w:t xml:space="preserve">— взет е предвид; </w:t>
            </w:r>
          </w:p>
          <w:p w14:paraId="649CCC92" w14:textId="1CD50C04" w:rsidR="070D7E34" w:rsidRPr="00D82419" w:rsidRDefault="00C5351C" w:rsidP="002F0B4B">
            <w:pPr>
              <w:pStyle w:val="InstructionsText"/>
              <w:rPr>
                <w:noProof/>
              </w:rPr>
            </w:pPr>
            <w:r>
              <w:rPr>
                <w:noProof/>
              </w:rPr>
              <w:t>— не е взет предвид.</w:t>
            </w:r>
          </w:p>
        </w:tc>
      </w:tr>
      <w:tr w:rsidR="763F32FC" w:rsidRPr="00D82419" w14:paraId="6486DBA5" w14:textId="77777777" w:rsidTr="763F32FC">
        <w:tc>
          <w:tcPr>
            <w:tcW w:w="1129" w:type="dxa"/>
          </w:tcPr>
          <w:p w14:paraId="741CBF91" w14:textId="7C1EA4E8"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Методика (ИССК)</w:t>
            </w:r>
          </w:p>
          <w:p w14:paraId="1BABA0D4" w14:textId="343AB824" w:rsidR="763F32FC" w:rsidRPr="00D82419" w:rsidRDefault="763F32FC" w:rsidP="002F0B4B">
            <w:pPr>
              <w:pStyle w:val="InstructionsText"/>
              <w:rPr>
                <w:noProof/>
              </w:rPr>
            </w:pPr>
            <w:r>
              <w:rPr>
                <w:noProof/>
              </w:rPr>
              <w:t xml:space="preserve">Институциите посочват дали при изчисляването за НТГО по отношение на ИССК е взет предвид подход, основан на разлика в среднопретеглената срочност, или подход на пълна преоценка: </w:t>
            </w:r>
          </w:p>
          <w:p w14:paraId="20A04372" w14:textId="4802DD8C" w:rsidR="64A51879" w:rsidRPr="00D82419" w:rsidRDefault="008A192D" w:rsidP="002F0B4B">
            <w:pPr>
              <w:pStyle w:val="InstructionsText"/>
              <w:rPr>
                <w:noProof/>
              </w:rPr>
            </w:pPr>
            <w:r>
              <w:rPr>
                <w:noProof/>
              </w:rPr>
              <w:t xml:space="preserve">— разлика в среднопретеглената срочност; </w:t>
            </w:r>
          </w:p>
          <w:p w14:paraId="4C457BB6" w14:textId="047AC2EA" w:rsidR="763F32FC" w:rsidRPr="00D82419" w:rsidRDefault="008A192D" w:rsidP="002F0B4B">
            <w:pPr>
              <w:pStyle w:val="InstructionsText"/>
              <w:rPr>
                <w:noProof/>
              </w:rPr>
            </w:pPr>
            <w:r>
              <w:rPr>
                <w:noProof/>
              </w:rPr>
              <w:t>— пълна преоценка;</w:t>
            </w:r>
          </w:p>
          <w:p w14:paraId="4C151CBC" w14:textId="74942F58" w:rsidR="763F32FC" w:rsidRPr="00D82419" w:rsidRDefault="008A192D" w:rsidP="002F0B4B">
            <w:pPr>
              <w:pStyle w:val="InstructionsText"/>
              <w:rPr>
                <w:noProof/>
              </w:rPr>
            </w:pPr>
            <w:r>
              <w:rPr>
                <w:noProof/>
              </w:rPr>
              <w:t xml:space="preserve">— смесен подход; </w:t>
            </w:r>
          </w:p>
          <w:p w14:paraId="50BEB398" w14:textId="73E946D7" w:rsidR="763F32FC" w:rsidRPr="00D82419" w:rsidRDefault="00C5351C" w:rsidP="002F0B4B">
            <w:pPr>
              <w:pStyle w:val="InstructionsText"/>
              <w:rPr>
                <w:noProof/>
              </w:rPr>
            </w:pPr>
            <w:r>
              <w:rPr>
                <w:noProof/>
              </w:rPr>
              <w:t>— други.</w:t>
            </w:r>
          </w:p>
        </w:tc>
      </w:tr>
      <w:tr w:rsidR="763F32FC" w:rsidRPr="00D82419" w14:paraId="00BE1C3A" w14:textId="77777777" w:rsidTr="763F32FC">
        <w:tc>
          <w:tcPr>
            <w:tcW w:w="1129" w:type="dxa"/>
          </w:tcPr>
          <w:p w14:paraId="574576BF" w14:textId="7B1007FE"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Условни парични потоци (ИССК)</w:t>
            </w:r>
          </w:p>
          <w:p w14:paraId="5A1AF2A1" w14:textId="574F9A51" w:rsidR="763F32FC" w:rsidRPr="00D82419" w:rsidRDefault="763F32FC" w:rsidP="002F0B4B">
            <w:pPr>
              <w:pStyle w:val="InstructionsText"/>
              <w:rPr>
                <w:noProof/>
              </w:rPr>
            </w:pPr>
            <w:r>
              <w:rPr>
                <w:noProof/>
              </w:rPr>
              <w:t xml:space="preserve">Институциите посочват дали при изчисляването за НТГО по отношение на ИССК са взети предвид условните парични потоци: </w:t>
            </w:r>
          </w:p>
          <w:p w14:paraId="78F8AD0B" w14:textId="65182544" w:rsidR="763F32FC" w:rsidRPr="00D82419" w:rsidRDefault="008A192D" w:rsidP="002F0B4B">
            <w:pPr>
              <w:pStyle w:val="InstructionsText"/>
              <w:rPr>
                <w:noProof/>
              </w:rPr>
            </w:pPr>
            <w:r>
              <w:rPr>
                <w:noProof/>
              </w:rPr>
              <w:t xml:space="preserve">— всички съществени отчетни обекти; </w:t>
            </w:r>
          </w:p>
          <w:p w14:paraId="0B4611A5" w14:textId="2C6A935C" w:rsidR="763F32FC" w:rsidRPr="00D82419" w:rsidRDefault="008A192D" w:rsidP="002F0B4B">
            <w:pPr>
              <w:pStyle w:val="InstructionsText"/>
              <w:rPr>
                <w:noProof/>
              </w:rPr>
            </w:pPr>
            <w:r>
              <w:rPr>
                <w:noProof/>
              </w:rPr>
              <w:t xml:space="preserve">— някои съществени отчетни обекти; </w:t>
            </w:r>
          </w:p>
          <w:p w14:paraId="71069CE3" w14:textId="0FA3F67C" w:rsidR="763F32FC" w:rsidRPr="00D82419" w:rsidRDefault="008A192D" w:rsidP="002F0B4B">
            <w:pPr>
              <w:pStyle w:val="InstructionsText"/>
              <w:rPr>
                <w:noProof/>
              </w:rPr>
            </w:pPr>
            <w:r>
              <w:rPr>
                <w:noProof/>
              </w:rPr>
              <w:t>— не са взети предвид.</w:t>
            </w:r>
          </w:p>
        </w:tc>
      </w:tr>
      <w:tr w:rsidR="763F32FC" w:rsidRPr="00D82419" w14:paraId="369003CD" w14:textId="77777777" w:rsidTr="763F32FC">
        <w:tc>
          <w:tcPr>
            <w:tcW w:w="1129" w:type="dxa"/>
          </w:tcPr>
          <w:p w14:paraId="606284D4" w14:textId="766B3122"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Опционен риск (ИССК)</w:t>
            </w:r>
          </w:p>
          <w:p w14:paraId="2937ACD4" w14:textId="67DF171C" w:rsidR="763F32FC" w:rsidRPr="00D82419" w:rsidRDefault="763F32FC" w:rsidP="002F0B4B">
            <w:pPr>
              <w:pStyle w:val="InstructionsText"/>
              <w:rPr>
                <w:noProof/>
              </w:rPr>
            </w:pPr>
            <w:r>
              <w:rPr>
                <w:noProof/>
              </w:rPr>
              <w:t xml:space="preserve">Институциите посочват дали при изчисляването за НТГО по отношение на ИССК е взет предвид опционният риск: </w:t>
            </w:r>
          </w:p>
          <w:p w14:paraId="548B2643" w14:textId="2033A028" w:rsidR="763F32FC" w:rsidRPr="00D82419" w:rsidRDefault="008A192D" w:rsidP="002F0B4B">
            <w:pPr>
              <w:pStyle w:val="InstructionsText"/>
              <w:rPr>
                <w:noProof/>
              </w:rPr>
            </w:pPr>
            <w:r>
              <w:rPr>
                <w:noProof/>
              </w:rPr>
              <w:t xml:space="preserve">— взет е предвид; </w:t>
            </w:r>
          </w:p>
          <w:p w14:paraId="587E9328" w14:textId="7793DF57" w:rsidR="763F32FC" w:rsidRPr="00D82419" w:rsidRDefault="008A192D" w:rsidP="002F0B4B">
            <w:pPr>
              <w:pStyle w:val="InstructionsText"/>
              <w:rPr>
                <w:noProof/>
              </w:rPr>
            </w:pPr>
            <w:r>
              <w:rPr>
                <w:noProof/>
              </w:rPr>
              <w:t>— не е взет предвид.</w:t>
            </w:r>
          </w:p>
        </w:tc>
      </w:tr>
      <w:tr w:rsidR="763F32FC" w:rsidRPr="00D82419" w14:paraId="2AFEFF08" w14:textId="77777777" w:rsidTr="763F32FC">
        <w:tc>
          <w:tcPr>
            <w:tcW w:w="1129" w:type="dxa"/>
          </w:tcPr>
          <w:p w14:paraId="72EDD5E2" w14:textId="74868C79"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Базисен риск (ИССК)</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Институциите посочват дали при изчисляването за НТГО по отношение на ИССК е взет предвид базисният риск: </w:t>
            </w:r>
          </w:p>
          <w:p w14:paraId="424B47DA" w14:textId="41638AFC" w:rsidR="763F32FC" w:rsidRPr="00D82419" w:rsidRDefault="008A192D" w:rsidP="002F0B4B">
            <w:pPr>
              <w:pStyle w:val="InstructionsText"/>
              <w:rPr>
                <w:noProof/>
              </w:rPr>
            </w:pPr>
            <w:r>
              <w:rPr>
                <w:noProof/>
              </w:rPr>
              <w:t xml:space="preserve">— взет е предвид; </w:t>
            </w:r>
          </w:p>
          <w:p w14:paraId="232998CD" w14:textId="22D7A9CF" w:rsidR="763F32FC" w:rsidRPr="00D82419" w:rsidRDefault="008A192D" w:rsidP="002F0B4B">
            <w:pPr>
              <w:pStyle w:val="InstructionsText"/>
              <w:rPr>
                <w:noProof/>
              </w:rPr>
            </w:pPr>
            <w:r>
              <w:rPr>
                <w:noProof/>
              </w:rPr>
              <w:t>— не е взет предвид.</w:t>
            </w:r>
          </w:p>
        </w:tc>
      </w:tr>
      <w:tr w:rsidR="00C12CCF" w:rsidRPr="00D82419" w14:paraId="2C78FC42" w14:textId="77777777" w:rsidTr="763F32FC">
        <w:tc>
          <w:tcPr>
            <w:tcW w:w="1129" w:type="dxa"/>
          </w:tcPr>
          <w:p w14:paraId="1930DDCD" w14:textId="4E12156D"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Търговски надценки/други компоненти на спреда (ИССК)</w:t>
            </w:r>
          </w:p>
          <w:p w14:paraId="0F471F3B" w14:textId="2B60EF94" w:rsidR="0041268F" w:rsidRPr="00D82419" w:rsidRDefault="0041268F" w:rsidP="002F0B4B">
            <w:pPr>
              <w:pStyle w:val="InstructionsText"/>
              <w:rPr>
                <w:rStyle w:val="InstructionsTabelleberschrift"/>
                <w:rFonts w:ascii="Times New Roman" w:hAnsi="Times New Roman"/>
                <w:b w:val="0"/>
                <w:bCs w:val="0"/>
                <w:noProof/>
                <w:sz w:val="24"/>
                <w:u w:val="none"/>
              </w:rPr>
            </w:pPr>
            <w:r>
              <w:rPr>
                <w:noProof/>
              </w:rPr>
              <w:t>Институциите посочват дали при изчисляването на мярката за риска при НТГО по отношение на ИССК са включени търговските надценки (норми на печалба) и други компоненти на спреда:</w:t>
            </w:r>
          </w:p>
          <w:p w14:paraId="5D3C585E" w14:textId="469A2FE2"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включени;</w:t>
            </w:r>
          </w:p>
          <w:p w14:paraId="02B9C9A2" w14:textId="242BC818"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изключени.</w:t>
            </w:r>
          </w:p>
        </w:tc>
      </w:tr>
      <w:tr w:rsidR="00C12CCF" w:rsidRPr="00D82419" w14:paraId="1A79783A" w14:textId="77777777" w:rsidTr="763F32FC">
        <w:tc>
          <w:tcPr>
            <w:tcW w:w="1129" w:type="dxa"/>
          </w:tcPr>
          <w:p w14:paraId="3872307E" w14:textId="1AFD8382"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Наказателни такси от плащания за предсрочно погасяване (погасяване) на заеми</w:t>
            </w:r>
          </w:p>
          <w:p w14:paraId="7BD499BC" w14:textId="2D316A30"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Институциите посочват дали като част от НТГО по отношение на ИССК/НПЛ са включени наказателните такси от плащания за предсрочно погасяване на заеми:</w:t>
            </w:r>
          </w:p>
          <w:p w14:paraId="3739DD8A" w14:textId="3EA81623"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включени;</w:t>
            </w:r>
          </w:p>
          <w:p w14:paraId="0FBB2B51" w14:textId="51661940"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изключени.</w:t>
            </w:r>
          </w:p>
        </w:tc>
      </w:tr>
      <w:tr w:rsidR="00C12CCF" w:rsidRPr="00D82419" w14:paraId="264BB766" w14:textId="77777777" w:rsidTr="763F32FC">
        <w:tc>
          <w:tcPr>
            <w:tcW w:w="1129" w:type="dxa"/>
          </w:tcPr>
          <w:p w14:paraId="41060C95" w14:textId="56216889"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Пенсионни задължения/активи по пенсионни планове</w:t>
            </w:r>
          </w:p>
          <w:p w14:paraId="32BE6413" w14:textId="75B316BE"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Институциите посочват дали при изчисляването за НТГО по отношение на ИССК/НПЛ са включени пенсионните задължения и активите по пенсионните планове:</w:t>
            </w:r>
          </w:p>
          <w:p w14:paraId="09F4D480" w14:textId="54E3929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включени;</w:t>
            </w:r>
          </w:p>
          <w:p w14:paraId="201D7CDC" w14:textId="397BFC6E"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изключени.</w:t>
            </w:r>
          </w:p>
        </w:tc>
      </w:tr>
      <w:tr w:rsidR="00C12CCF" w:rsidRPr="00D82419" w14:paraId="6F804664" w14:textId="77777777" w:rsidTr="763F32FC">
        <w:tc>
          <w:tcPr>
            <w:tcW w:w="1129" w:type="dxa"/>
          </w:tcPr>
          <w:p w14:paraId="32EBC373" w14:textId="4B5706BC"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Необслужвани експозиции </w:t>
            </w:r>
          </w:p>
          <w:p w14:paraId="34535DAF" w14:textId="675EC6A3" w:rsidR="00E138D5" w:rsidRPr="00D82419" w:rsidRDefault="00E138D5" w:rsidP="002F0B4B">
            <w:pPr>
              <w:pStyle w:val="InstructionsText"/>
              <w:rPr>
                <w:rStyle w:val="InstructionsTabelleberschrift"/>
                <w:rFonts w:ascii="Times New Roman" w:hAnsi="Times New Roman"/>
                <w:b w:val="0"/>
                <w:noProof/>
                <w:sz w:val="24"/>
                <w:u w:val="none"/>
              </w:rPr>
            </w:pPr>
            <w:r>
              <w:rPr>
                <w:noProof/>
              </w:rPr>
              <w:t>Институциите посочват дали в НТГО по отношение на ИССК/НПЛ са включени необслужваните експозиции:</w:t>
            </w:r>
          </w:p>
          <w:p w14:paraId="2AE7E06F" w14:textId="648FE3AC"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включени;</w:t>
            </w:r>
          </w:p>
          <w:p w14:paraId="19B5D385" w14:textId="7F1E23E8"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изключени.</w:t>
            </w:r>
          </w:p>
        </w:tc>
      </w:tr>
      <w:tr w:rsidR="00C12CCF" w:rsidRPr="00D82419" w14:paraId="5659F8D1" w14:textId="77777777" w:rsidTr="763F32FC">
        <w:tc>
          <w:tcPr>
            <w:tcW w:w="1129" w:type="dxa"/>
          </w:tcPr>
          <w:p w14:paraId="2719698F" w14:textId="6F4EA384"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Заемни ангажименти с фиксиран лихвен процент </w:t>
            </w:r>
          </w:p>
          <w:p w14:paraId="1EC6CE29" w14:textId="727C7BB8" w:rsidR="00E138D5" w:rsidRPr="00D82419" w:rsidRDefault="00E138D5" w:rsidP="002F0B4B">
            <w:pPr>
              <w:pStyle w:val="InstructionsText"/>
              <w:rPr>
                <w:rStyle w:val="InstructionsTabelleberschrift"/>
                <w:rFonts w:ascii="Times New Roman" w:hAnsi="Times New Roman"/>
                <w:b w:val="0"/>
                <w:noProof/>
                <w:sz w:val="24"/>
                <w:u w:val="none"/>
              </w:rPr>
            </w:pPr>
            <w:r>
              <w:rPr>
                <w:noProof/>
              </w:rPr>
              <w:t>Институциите посочват дали в НТГО по отношение на ИССК/НПЛ са включени заемни ангажименти с фиксиран лихвен процент:</w:t>
            </w:r>
          </w:p>
          <w:p w14:paraId="786511A5" w14:textId="42548719"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включени;</w:t>
            </w:r>
          </w:p>
          <w:p w14:paraId="14F356EA" w14:textId="3FCFA1D3"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изключени.</w:t>
            </w:r>
          </w:p>
        </w:tc>
      </w:tr>
      <w:tr w:rsidR="00C12CCF" w:rsidRPr="00D82419" w14:paraId="5199326E" w14:textId="77777777" w:rsidTr="763F32FC">
        <w:tc>
          <w:tcPr>
            <w:tcW w:w="1129" w:type="dxa"/>
          </w:tcPr>
          <w:p w14:paraId="2D43B355" w14:textId="2E114DE7"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Риск от предсрочно погасяване </w:t>
            </w:r>
          </w:p>
          <w:p w14:paraId="42D03395" w14:textId="2CA3360F"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Институциите посочват дали в изчисленията за НТГО по отношение на ИССК/НПЛ е включен рискът от предсрочно погасяване:</w:t>
            </w:r>
          </w:p>
          <w:p w14:paraId="049C644C" w14:textId="1B7FEA08"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w:t>
            </w:r>
          </w:p>
          <w:p w14:paraId="19439AE0" w14:textId="1541E83C"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w:t>
            </w:r>
          </w:p>
        </w:tc>
      </w:tr>
      <w:tr w:rsidR="00C12CCF" w:rsidRPr="00D82419" w14:paraId="4C1D220B" w14:textId="77777777" w:rsidTr="763F32FC">
        <w:tc>
          <w:tcPr>
            <w:tcW w:w="1129" w:type="dxa"/>
          </w:tcPr>
          <w:p w14:paraId="7D30827E" w14:textId="2E38F1CA"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Риск от предсрочно изтегляне </w:t>
            </w:r>
          </w:p>
          <w:p w14:paraId="67868C1F" w14:textId="0C5DACCD" w:rsidR="008478F8" w:rsidRPr="00D82419" w:rsidRDefault="008478F8" w:rsidP="002F0B4B">
            <w:pPr>
              <w:pStyle w:val="InstructionsText"/>
              <w:rPr>
                <w:noProof/>
              </w:rPr>
            </w:pPr>
            <w:r>
              <w:rPr>
                <w:noProof/>
              </w:rPr>
              <w:t>Институциите посочват дали в изчисленията за НТГО по отношение на ИССК/НПЛ е включен рискът от предсрочно изтегляне:</w:t>
            </w:r>
          </w:p>
          <w:p w14:paraId="17E090F3" w14:textId="1C770989"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включен;</w:t>
            </w:r>
          </w:p>
          <w:p w14:paraId="490B287D" w14:textId="1DB5880A"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изключен.</w:t>
            </w:r>
          </w:p>
        </w:tc>
      </w:tr>
      <w:tr w:rsidR="00343C28" w:rsidRPr="00D82419" w14:paraId="0AD7CFF7" w14:textId="77777777" w:rsidTr="763F32FC">
        <w:tc>
          <w:tcPr>
            <w:tcW w:w="1129" w:type="dxa"/>
          </w:tcPr>
          <w:p w14:paraId="51E55F8D" w14:textId="284EAFCF" w:rsidR="00343C28" w:rsidRPr="00D82419" w:rsidRDefault="00343C2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Общ подход за моделиране на БД</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метода, използван за определяне на момента за преоценка съгласно поведенческия профил за БД: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модел на динамичните редове (подход „Базел“/подход на ЕБО: стабилен/нестабилен /подход, основан на ПП);</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съответстващ портфейл;</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икономически модели (моделиране на разпределението на финансовото богатство към БД или алтернативни инвестиции според различни пазарни сценарии/икономически фактори);</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експертна преценка;</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други.</w:t>
            </w:r>
          </w:p>
        </w:tc>
      </w:tr>
      <w:tr w:rsidR="00B3451B" w:rsidRPr="00D82419" w14:paraId="46309D17" w14:textId="77777777" w:rsidTr="763F32FC">
        <w:tc>
          <w:tcPr>
            <w:tcW w:w="1129" w:type="dxa"/>
          </w:tcPr>
          <w:p w14:paraId="178C8037" w14:textId="03375BE6"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Установяване на салдата на основните компоненти на БД</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Институциите посочват дали са изправени пред предизвикателства при определянето на основните салда на БД, независещи от сценария за ЛП:</w:t>
            </w:r>
          </w:p>
          <w:p w14:paraId="405B5D9F" w14:textId="0145639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0C236ED0" w14:textId="5E09EF0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B3451B" w:rsidRPr="00D82419" w14:paraId="0AC7A101" w14:textId="77777777" w:rsidTr="763F32FC">
        <w:tc>
          <w:tcPr>
            <w:tcW w:w="1129" w:type="dxa"/>
          </w:tcPr>
          <w:p w14:paraId="52074635" w14:textId="572A5CB1"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Относими фактори за салдата на БД</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Институциите посочват наименованието или наименованията на относимите фактори, използвани за определяне на основните салда. </w:t>
            </w:r>
          </w:p>
        </w:tc>
      </w:tr>
      <w:tr w:rsidR="00B3451B" w:rsidRPr="00D82419" w14:paraId="7E64C4CA" w14:textId="77777777" w:rsidTr="763F32FC">
        <w:tc>
          <w:tcPr>
            <w:tcW w:w="1129" w:type="dxa"/>
          </w:tcPr>
          <w:p w14:paraId="48F8F1A7" w14:textId="27235DE7"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Салда на основните компоненти на БД (разграничаване на салдата на основните компоненти)</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Институциите посочват как отнасят основните салда на БД:</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всички основни салда са разпределени само в един период на преоценка;</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основните салда са разпределени в различни периоди на преоценка;</w:t>
            </w:r>
          </w:p>
        </w:tc>
      </w:tr>
      <w:tr w:rsidR="00B3451B" w:rsidRPr="00D82419" w14:paraId="793FE408" w14:textId="77777777" w:rsidTr="763F32FC">
        <w:tc>
          <w:tcPr>
            <w:tcW w:w="1129" w:type="dxa"/>
          </w:tcPr>
          <w:p w14:paraId="09DC633C" w14:textId="6BD27C76"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5-годишно ограничение за преоценката на БД за управление на риска на ЛРБП</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Институциите посочват дали се наблюдава някакво нежелано въздействие по отношение на стратегиите за управление на риска и хеджиране на ЛРБП поради 5-годишното ограничение за преоценката във ВСИ на ЛРБП:</w:t>
            </w:r>
          </w:p>
          <w:p w14:paraId="6B092AAE" w14:textId="5178F0EE"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59B74C58" w14:textId="27BFB67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B3451B" w:rsidRPr="00D82419" w14:paraId="000798D2" w14:textId="77777777" w:rsidTr="763F32FC">
        <w:tc>
          <w:tcPr>
            <w:tcW w:w="1129" w:type="dxa"/>
          </w:tcPr>
          <w:p w14:paraId="231BFCC5" w14:textId="1A03F6AA"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Изключения от 5-годишното ограничение за преоценката на БД</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Институциите посочват дали използват изключенията от 5-годишното ограничение за преоценката за някои от своите продукти, изложени на ЛРБП:</w:t>
            </w:r>
          </w:p>
          <w:p w14:paraId="1A4C2114" w14:textId="17E2F52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759DBDD3" w14:textId="78E3FEFB"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B3451B" w:rsidRPr="00D82419" w14:paraId="640FEDD7" w14:textId="77777777" w:rsidTr="763F32FC">
        <w:tc>
          <w:tcPr>
            <w:tcW w:w="1129" w:type="dxa"/>
          </w:tcPr>
          <w:p w14:paraId="3E7E6D0E" w14:textId="5FCC1AC1"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Моделиране на оперативни БД от финансови клиенти</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Институциите посочват дали БД от финансови клиенти, класифицирани като оперативни депозити, за които се прилага член 27, параграф 1, буква а) от Делегиран регламент (ЕС) 2015/61, подлежат на поведенческо моделиране:</w:t>
            </w:r>
          </w:p>
          <w:p w14:paraId="66706F43" w14:textId="1D16C3C3"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026950A9" w14:textId="0D60CF7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B3451B" w:rsidRPr="00D82419" w14:paraId="73931E62" w14:textId="77777777" w:rsidTr="763F32FC">
        <w:tc>
          <w:tcPr>
            <w:tcW w:w="1129" w:type="dxa"/>
          </w:tcPr>
          <w:p w14:paraId="0BA17B70" w14:textId="732BF3CF"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Промени в структурата на счетоводния баланс поради лихвени проценти</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промените, извършени в структурата на счетоводния им баланс след последното отчитане на ЛРБП: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намаляване на разликата в среднопретеглената срочност между актив/пасиви чрез намаляване на среднопретеглената срочност на актива;</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намаляване на разликата в среднопретеглената срочност между актив/пасиви чрез увеличаване на среднопретеглената срочност на пасивите;</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намаляване на разликата в среднопретеглената срочност между актив/пасиви чрез намаляване на среднопретеглената срочност на актива и увеличаване на среднопретеглената срочност на пасивите;</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увеличаване на разликата в среднопретеглената срочност чрез увеличаване на среднопретеглената срочност на активите;</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увеличаване на разликата в среднопретеглената срочност чрез намаляване на среднопретеглената срочност на пасивите;</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увеличаване на разликата в среднопретеглената срочност чрез увеличаване на среднопретеглената срочност на активите и намаляване на среднопретеглената срочност на пасивите.</w:t>
            </w:r>
          </w:p>
        </w:tc>
      </w:tr>
      <w:tr w:rsidR="00B3451B" w:rsidRPr="00D82419" w14:paraId="218435CB" w14:textId="77777777" w:rsidTr="763F32FC">
        <w:tc>
          <w:tcPr>
            <w:tcW w:w="1129" w:type="dxa"/>
          </w:tcPr>
          <w:p w14:paraId="6E0196ED" w14:textId="6D16DEF7"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Стратегии за намаляване и хеджиране на ЛРБП (ИССК)</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дали очакват да се появят промени в стратегиите им за намаляване и хеджиране на ЛР в някой от сценариите, предвидени в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w:t>
            </w:r>
            <w:r>
              <w:rPr>
                <w:rFonts w:ascii="Times New Roman" w:hAnsi="Times New Roman"/>
                <w:noProof/>
                <w:sz w:val="24"/>
              </w:rPr>
              <w:t>РТС относно НТГО), за ИССК:</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успореден шок нагоре:</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успореден шок надолу;</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шок към повишаване на стръмността;</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изравнителен шок;</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шок към повишаване на краткосрочните лихвени проценти;</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шок към понижаване на краткосрочните лихвени проценти.</w:t>
            </w:r>
          </w:p>
        </w:tc>
      </w:tr>
      <w:tr w:rsidR="00F466A7" w:rsidRPr="00D82419" w14:paraId="532A6946" w14:textId="77777777" w:rsidTr="763F32FC">
        <w:tc>
          <w:tcPr>
            <w:tcW w:w="1129" w:type="dxa"/>
          </w:tcPr>
          <w:p w14:paraId="3EAC5854" w14:textId="247A16AB" w:rsidR="00F466A7" w:rsidRPr="00D82419" w:rsidRDefault="00F466A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Стратегии за намаляване и хеджиране на ЛРБП (НПЛ)</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дали очакват да се появят промени в стратегиите им за намаляване и хеджиране на ЛР в някой от сценариите, предвидени в </w:t>
            </w:r>
            <w:r>
              <w:rPr>
                <w:rStyle w:val="InstructionsTabelleberschrift"/>
                <w:rFonts w:ascii="Times New Roman" w:hAnsi="Times New Roman"/>
                <w:b w:val="0"/>
                <w:noProof/>
                <w:sz w:val="24"/>
                <w:u w:val="none"/>
              </w:rPr>
              <w:t xml:space="preserve">Делегиран регламент (ЕС) .../... (Служба за публикации: моля, добавете препратка към </w:t>
            </w:r>
            <w:r>
              <w:rPr>
                <w:rFonts w:ascii="Times New Roman" w:hAnsi="Times New Roman"/>
                <w:noProof/>
                <w:sz w:val="24"/>
              </w:rPr>
              <w:t>РТС относно НТГО), за НПЛ:</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успореден шок нагоре;</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успореден шок надолу.</w:t>
            </w:r>
          </w:p>
        </w:tc>
      </w:tr>
      <w:tr w:rsidR="00831F72" w:rsidRPr="00D82419" w14:paraId="0AE292E1" w14:textId="77777777" w:rsidTr="763F32FC">
        <w:tc>
          <w:tcPr>
            <w:tcW w:w="1129" w:type="dxa"/>
          </w:tcPr>
          <w:p w14:paraId="37E0D940" w14:textId="089C8BDE"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НТГО относно мярката за риска за ПП съгласно подхода с ВСИ — ПП за срочните депозити на дребно</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дали прехвърлят 100 % от промените на пазарните лихвени проценти към преоценката на срочните депозити на дребно след техния падеж съгласно сценария за успоредно увеличение на ЛП с 200 б.п.: </w:t>
            </w:r>
          </w:p>
          <w:p w14:paraId="59547F70" w14:textId="27131A63"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19A9CCCC" w14:textId="22E811D9"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не се прилага.</w:t>
            </w:r>
          </w:p>
        </w:tc>
      </w:tr>
      <w:tr w:rsidR="00831F72" w:rsidRPr="00D82419" w14:paraId="0CE0F7C9" w14:textId="77777777" w:rsidTr="763F32FC">
        <w:tc>
          <w:tcPr>
            <w:tcW w:w="1129" w:type="dxa"/>
          </w:tcPr>
          <w:p w14:paraId="6B5FECF5" w14:textId="6F8280B6"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НТГО относно мярката за риска за ПП съгласно подхода с ВСИ — ПП за заемите на дребно с фиксиран лихвен процент</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дали прехвърлят 100 % от промените на пазарните лихвени проценти към преоценката на заемите с фиксиран лихвен процент на дребно след техния падеж съгласно сценария за успоредно увеличение на ЛП с 200 б.п.: </w:t>
            </w:r>
          </w:p>
          <w:p w14:paraId="71DBAFC7" w14:textId="1D2812E8"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13F351DE" w14:textId="256A1970"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D23E14" w:rsidRPr="00D82419" w14:paraId="3B602049" w14:textId="77777777" w:rsidTr="763F32FC">
        <w:tc>
          <w:tcPr>
            <w:tcW w:w="1129" w:type="dxa"/>
          </w:tcPr>
          <w:p w14:paraId="7B5D50F2" w14:textId="748605D2" w:rsidR="00D23E14" w:rsidRPr="00D82419" w:rsidRDefault="00D23E1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Базисен риск</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Институциите посочват дали считат базисния риск за съществен: </w:t>
            </w:r>
          </w:p>
          <w:p w14:paraId="1D01F903" w14:textId="3204DDA5"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6FBAAE4C" w14:textId="7FB7D489"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D23E14" w:rsidRPr="00D82419" w14:paraId="5E0618BC" w14:textId="77777777" w:rsidTr="763F32FC">
        <w:tc>
          <w:tcPr>
            <w:tcW w:w="1129" w:type="dxa"/>
          </w:tcPr>
          <w:p w14:paraId="6D05D7E7" w14:textId="143F0C8F" w:rsidR="00D23E14" w:rsidRPr="00D82419" w:rsidRDefault="00D23E1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Риск от кредитния спред в банковия портфейл (РКСБП)</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Институциите посочват дали са разгледали различен периметър от инструменти, предмет на РКСБП, както е посочено в член 84, параграф 2 от Директива 2013/36/ЕС, за измерителите за ИССК и НПЛ:</w:t>
            </w:r>
          </w:p>
          <w:p w14:paraId="50023EB7" w14:textId="43277B64"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012CE02E" w14:textId="5CB57A73"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не се прилага.</w:t>
            </w:r>
          </w:p>
        </w:tc>
      </w:tr>
      <w:tr w:rsidR="00831F72" w:rsidRPr="00D82419" w14:paraId="1BDCDE63" w14:textId="77777777" w:rsidTr="763F32FC">
        <w:tc>
          <w:tcPr>
            <w:tcW w:w="1129" w:type="dxa"/>
          </w:tcPr>
          <w:p w14:paraId="6C3568C5" w14:textId="15541633"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Безрискова крива на доходността (дисконтиране при НТГО по отношение на ИССК) </w:t>
            </w:r>
          </w:p>
          <w:p w14:paraId="438A61E7" w14:textId="6492A071" w:rsidR="00831F72" w:rsidRPr="00D82419" w:rsidRDefault="00831F72" w:rsidP="002F0B4B">
            <w:pPr>
              <w:pStyle w:val="InstructionsText"/>
              <w:rPr>
                <w:noProof/>
              </w:rPr>
            </w:pPr>
            <w:r>
              <w:rPr>
                <w:noProof/>
              </w:rPr>
              <w:t xml:space="preserve">Институциите отчитат безрисковата крива на доходността, която са използвали за дисконтиране в съответствие с член 3, параграф 10 от </w:t>
            </w:r>
            <w:r>
              <w:rPr>
                <w:rStyle w:val="InstructionsTabelleberschrift"/>
                <w:rFonts w:ascii="Times New Roman" w:hAnsi="Times New Roman"/>
                <w:b w:val="0"/>
                <w:noProof/>
                <w:sz w:val="24"/>
                <w:u w:val="none"/>
              </w:rPr>
              <w:t>Делегиран регламент (ЕС) .../... (Служба за публикации: моля, добавете препратка към РТС относно НТГО)</w:t>
            </w:r>
            <w:r>
              <w:rPr>
                <w:noProof/>
              </w:rPr>
              <w:t>:</w:t>
            </w:r>
          </w:p>
          <w:p w14:paraId="1C07B050" w14:textId="7C4E7230"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обезпечена;</w:t>
            </w:r>
          </w:p>
          <w:p w14:paraId="452A2398" w14:textId="03AAC715"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необезпечен овърнайт;</w:t>
            </w:r>
          </w:p>
          <w:p w14:paraId="7CC5BD45" w14:textId="3AB07E78"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необезпечен срок;</w:t>
            </w:r>
          </w:p>
          <w:p w14:paraId="46113D77" w14:textId="6DAA15EF"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крива на държавните ценни книжа;</w:t>
            </w:r>
          </w:p>
          <w:p w14:paraId="01B618A9" w14:textId="0CE7A167"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специфична за продуктите крива;</w:t>
            </w:r>
          </w:p>
          <w:p w14:paraId="5E68E7CE" w14:textId="62989819" w:rsidR="00F41077"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специфична за субектите крива;</w:t>
            </w:r>
          </w:p>
          <w:p w14:paraId="3CE0EC7A" w14:textId="130FD618"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други.</w:t>
            </w:r>
          </w:p>
        </w:tc>
      </w:tr>
      <w:tr w:rsidR="00831F72" w:rsidRPr="00D82419" w14:paraId="0D032E3B" w14:textId="77777777" w:rsidTr="763F32FC">
        <w:tc>
          <w:tcPr>
            <w:tcW w:w="1129" w:type="dxa"/>
          </w:tcPr>
          <w:p w14:paraId="1D5E6175" w14:textId="55E46B5B"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Безрискова крива на доходността (вътрешни мерки за риска за ИССК)</w:t>
            </w:r>
          </w:p>
          <w:p w14:paraId="17F84D95" w14:textId="01917E40" w:rsidR="00831F72" w:rsidRPr="00D82419" w:rsidRDefault="00831F72" w:rsidP="002F0B4B">
            <w:pPr>
              <w:pStyle w:val="InstructionsText"/>
              <w:rPr>
                <w:noProof/>
              </w:rPr>
            </w:pPr>
            <w:r>
              <w:rPr>
                <w:noProof/>
              </w:rPr>
              <w:t>Институциите отчитат безрисковата крива на доходността, която са използвали за целите на дисконтиране на вътрешната мярка за риска за ИССК:</w:t>
            </w:r>
          </w:p>
          <w:p w14:paraId="2BC51B81" w14:textId="2F8C5CA1"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обезпечена;</w:t>
            </w:r>
          </w:p>
          <w:p w14:paraId="43BCFD8D" w14:textId="0A26DFD6"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необезпечен овърнайт;</w:t>
            </w:r>
          </w:p>
          <w:p w14:paraId="4457F452" w14:textId="2951F9F4"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междубанково необезпечен срок;</w:t>
            </w:r>
          </w:p>
          <w:p w14:paraId="7D44CF6B" w14:textId="0A5A38E6"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крива на държавните ценни книжа;</w:t>
            </w:r>
          </w:p>
          <w:p w14:paraId="53D62FB6" w14:textId="0266FD10"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специфична за продуктите крива;</w:t>
            </w:r>
          </w:p>
          <w:p w14:paraId="5AF12C10" w14:textId="59D8FA9C"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специфична за субектите крива;</w:t>
            </w:r>
          </w:p>
          <w:p w14:paraId="48CD74B5" w14:textId="74132250"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други.</w:t>
            </w:r>
          </w:p>
        </w:tc>
      </w:tr>
      <w:tr w:rsidR="00831F72" w:rsidRPr="00D82419" w14:paraId="6BE31A4F" w14:textId="77777777" w:rsidTr="763F32FC">
        <w:tc>
          <w:tcPr>
            <w:tcW w:w="1129" w:type="dxa"/>
          </w:tcPr>
          <w:p w14:paraId="6879B5FB" w14:textId="36F7712E" w:rsidR="00831F72" w:rsidRPr="00D82419" w:rsidDel="00DD0AD0"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Промяна на съществени допускания (ИССК)</w:t>
            </w:r>
          </w:p>
          <w:p w14:paraId="68EE4B49" w14:textId="6B95A076" w:rsidR="00831F72" w:rsidRPr="00D82419" w:rsidRDefault="00831F72" w:rsidP="002F0B4B">
            <w:pPr>
              <w:pStyle w:val="InstructionsText"/>
              <w:rPr>
                <w:rStyle w:val="InstructionsTabelleberschrift"/>
                <w:rFonts w:ascii="Times New Roman" w:hAnsi="Times New Roman"/>
                <w:b w:val="0"/>
                <w:bCs w:val="0"/>
                <w:noProof/>
                <w:sz w:val="24"/>
                <w:u w:val="none"/>
              </w:rPr>
            </w:pPr>
            <w:r>
              <w:rPr>
                <w:noProof/>
              </w:rPr>
              <w:t>Институциите посочват дали след последното отчитане е настъпила промяна в някакви съществени допускания, залегнали в основата на изчисляването на надзорния стандартен шок в измерителите за ИССК при НТГО:</w:t>
            </w:r>
          </w:p>
          <w:p w14:paraId="08DC01FF" w14:textId="1D1849A1"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7B454EAD" w14:textId="47CD74FD"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2047570C" w14:textId="300DDD09"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не се прилага.</w:t>
            </w:r>
          </w:p>
        </w:tc>
      </w:tr>
      <w:tr w:rsidR="00831F72" w:rsidRPr="00D82419" w14:paraId="0E990BEC" w14:textId="77777777" w:rsidTr="763F32FC">
        <w:tc>
          <w:tcPr>
            <w:tcW w:w="1129" w:type="dxa"/>
          </w:tcPr>
          <w:p w14:paraId="63FEF734" w14:textId="4DBDB37F" w:rsidR="00831F72" w:rsidRPr="00D82419" w:rsidDel="00DD0AD0"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Промяна на съществени допускания (НПЛ)</w:t>
            </w:r>
          </w:p>
          <w:p w14:paraId="6679202D" w14:textId="4DB0B200" w:rsidR="00831F72" w:rsidRPr="00D82419" w:rsidRDefault="00831F72" w:rsidP="002F0B4B">
            <w:pPr>
              <w:pStyle w:val="InstructionsText"/>
              <w:rPr>
                <w:noProof/>
              </w:rPr>
            </w:pPr>
            <w:r>
              <w:rPr>
                <w:noProof/>
              </w:rPr>
              <w:t>Институциите посочват дали след последното отчитане е настъпила промяна в някакви съществени допускания, залегнали в основата на изчисляването на надзорния стандартен шок в измерителите за на НПЛ при НТГО:</w:t>
            </w:r>
            <w:r>
              <w:rPr>
                <w:noProof/>
                <w:color w:val="333333"/>
                <w:sz w:val="18"/>
              </w:rPr>
              <w:t xml:space="preserve"> </w:t>
            </w:r>
          </w:p>
          <w:p w14:paraId="7DAFE939" w14:textId="1EE574EB"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60932CE9" w14:textId="63C31C42"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475E7AC7" w14:textId="4F1FF55B"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не се прилага.</w:t>
            </w:r>
          </w:p>
        </w:tc>
      </w:tr>
      <w:tr w:rsidR="00831F72" w:rsidRPr="00D82419" w14:paraId="77B4BB6E" w14:textId="77777777" w:rsidTr="763F32FC">
        <w:tc>
          <w:tcPr>
            <w:tcW w:w="1129" w:type="dxa"/>
          </w:tcPr>
          <w:p w14:paraId="3103DAA3" w14:textId="019BFB6A"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Долна граница на лихвения процент след шока (НПЛ/ИССК)</w:t>
            </w:r>
          </w:p>
          <w:p w14:paraId="48577CD6" w14:textId="63FB4571" w:rsidR="00831F72" w:rsidRPr="00D82419" w:rsidRDefault="00126BE8" w:rsidP="002F0B4B">
            <w:pPr>
              <w:pStyle w:val="InstructionsText"/>
              <w:rPr>
                <w:rStyle w:val="InstructionsTabelleberschrift"/>
                <w:rFonts w:ascii="Times New Roman" w:hAnsi="Times New Roman"/>
                <w:b w:val="0"/>
                <w:bCs w:val="0"/>
                <w:noProof/>
                <w:sz w:val="24"/>
                <w:u w:val="none"/>
              </w:rPr>
            </w:pPr>
            <w:r>
              <w:rPr>
                <w:noProof/>
              </w:rPr>
              <w:t xml:space="preserve">В съответствие с член 3, параграф 7 от </w:t>
            </w:r>
            <w:r>
              <w:rPr>
                <w:rStyle w:val="InstructionsTabelleberschrift"/>
                <w:rFonts w:ascii="Times New Roman" w:hAnsi="Times New Roman"/>
                <w:b w:val="0"/>
                <w:noProof/>
                <w:sz w:val="24"/>
                <w:u w:val="none"/>
              </w:rPr>
              <w:t>Делегиран регламент (ЕС) .../... (Служба за публикации: моля, добавете препратка към РТС относно НТГО)</w:t>
            </w:r>
            <w:r>
              <w:rPr>
                <w:noProof/>
              </w:rPr>
              <w:t xml:space="preserve"> институциите посочват дали зависещата от падежа долна граница на лихвения процент след шока е обвързваща за някоя от отчетените конкретни валути:</w:t>
            </w:r>
          </w:p>
          <w:p w14:paraId="15C5A4DA" w14:textId="39A3E0B6"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да;</w:t>
            </w:r>
          </w:p>
          <w:p w14:paraId="608E34DA" w14:textId="5EF065BB"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не;</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не се прилага.</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D59E5" w14:textId="4A8FD1D7" w:rsidR="00733FB1" w:rsidRPr="00733FB1" w:rsidRDefault="00733FB1" w:rsidP="00733FB1">
    <w:pPr>
      <w:pStyle w:val="FooterCoverPage"/>
      <w:rPr>
        <w:rFonts w:ascii="Arial" w:hAnsi="Arial" w:cs="Arial"/>
        <w:b/>
        <w:sz w:val="48"/>
      </w:rPr>
    </w:pPr>
    <w:r w:rsidRPr="00733FB1">
      <w:rPr>
        <w:rFonts w:ascii="Arial" w:hAnsi="Arial" w:cs="Arial"/>
        <w:b/>
        <w:sz w:val="48"/>
      </w:rPr>
      <w:t>BG</w:t>
    </w:r>
    <w:r w:rsidRPr="00733FB1">
      <w:rPr>
        <w:rFonts w:ascii="Arial" w:hAnsi="Arial" w:cs="Arial"/>
        <w:b/>
        <w:sz w:val="48"/>
      </w:rPr>
      <w:tab/>
    </w:r>
    <w:r w:rsidRPr="00733FB1">
      <w:rPr>
        <w:rFonts w:ascii="Arial" w:hAnsi="Arial" w:cs="Arial"/>
        <w:b/>
        <w:sz w:val="48"/>
      </w:rPr>
      <w:tab/>
    </w:r>
    <w:r w:rsidRPr="00733FB1">
      <w:tab/>
    </w:r>
    <w:r w:rsidRPr="00733FB1">
      <w:rPr>
        <w:rFonts w:ascii="Arial" w:hAnsi="Arial" w:cs="Arial"/>
        <w:b/>
        <w:sz w:val="48"/>
      </w:rPr>
      <w:t>BG</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E8CBF" w14:textId="4843B880" w:rsidR="00733FB1" w:rsidRPr="00733FB1" w:rsidRDefault="00733FB1" w:rsidP="00733FB1">
    <w:pPr>
      <w:pStyle w:val="FooterCoverPage"/>
      <w:rPr>
        <w:rFonts w:ascii="Arial" w:hAnsi="Arial" w:cs="Arial"/>
        <w:b/>
        <w:sz w:val="48"/>
      </w:rPr>
    </w:pPr>
    <w:r w:rsidRPr="00733FB1">
      <w:rPr>
        <w:rFonts w:ascii="Arial" w:hAnsi="Arial" w:cs="Arial"/>
        <w:b/>
        <w:sz w:val="48"/>
      </w:rPr>
      <w:t>BG</w:t>
    </w:r>
    <w:r w:rsidRPr="00733FB1">
      <w:rPr>
        <w:rFonts w:ascii="Arial" w:hAnsi="Arial" w:cs="Arial"/>
        <w:b/>
        <w:sz w:val="48"/>
      </w:rPr>
      <w:tab/>
    </w:r>
    <w:r w:rsidRPr="00733FB1">
      <w:rPr>
        <w:rFonts w:ascii="Arial" w:hAnsi="Arial" w:cs="Arial"/>
        <w:b/>
        <w:sz w:val="48"/>
      </w:rPr>
      <w:tab/>
    </w:r>
    <w:r w:rsidRPr="00733FB1">
      <w:tab/>
    </w:r>
    <w:r w:rsidRPr="00733FB1">
      <w:rPr>
        <w:rFonts w:ascii="Arial" w:hAnsi="Arial" w:cs="Arial"/>
        <w:b/>
        <w:sz w:val="48"/>
      </w:rPr>
      <w:t>BG</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8869E" w14:textId="77777777" w:rsidR="00733FB1" w:rsidRPr="00733FB1" w:rsidRDefault="00733FB1" w:rsidP="00733FB1">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7E67E74D"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733FB1">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A38260E"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733FB1">
      <w:rPr>
        <w:rFonts w:ascii="Times New Roman" w:hAnsi="Times New Roman"/>
        <w:noProof/>
        <w:sz w:val="20"/>
      </w:rPr>
      <w:t>9</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Делегиран регламент (ЕС) .../... на Комисията от XXX година за допълнение на Директива 2013/36/ЕС на Европейския парламент и на Съвета по отношение на регулаторните технически стандарти за определяне на стандартизирана методика и опростена стандартизирана методика за оценка на рисковете, произтичащи от потенциални промени в лихвените проценти, които засягат както икономическата стойност на собствения капитал, така и нетния доход от лихви от дейностите на институцията извън търговския портфейл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Регламент (ЕС) № 600/2014 на Европейския парламент и на Съвета от 15 май 2014 г. относно пазарите на финансови инструменти и за изменение на Регламент (ЕС) № 648/2012 (ОВ L 173, 12.6.2014 г., стр. 84, ELI: https://eur-lex.europa.eu/eli/reg/2014/600/oj?locale=bg).</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tab/>
      </w:r>
      <w:r>
        <w:rPr>
          <w:rFonts w:ascii="Times New Roman" w:hAnsi="Times New Roman"/>
          <w:sz w:val="20"/>
        </w:rPr>
        <w:t>Делегиран регламент (ЕС) 2015/61 на Комисията от 10 октомври 2014 г. за допълнение на Регламент (ЕС) № 575/2013 на Европейския парламент и на Съвета по отношение на изискването за ликвидно покритие за кредитните институции (ОВ L 11, 17.1.2015 г., стр. 1, https://eur-lex.europa.eu/eli/reg_del/2015/61/oj?locale=bg).</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Регламент (ЕО) № 1606/2002 на Европейския парламент и на Съвета от 19 юли 2002 г. за прилагането на международните счетоводни стандарти (ОВ L 243, 11.9.2002 г., стр. 1, ELI: https://eur-lex.europa.eu/eli/reg/2002/1606/oj?locale=bg).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F0BEC" w14:textId="77777777" w:rsidR="00733FB1" w:rsidRPr="00733FB1" w:rsidRDefault="00733FB1" w:rsidP="00733FB1">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3D23C" w14:textId="77777777" w:rsidR="00733FB1" w:rsidRPr="00733FB1" w:rsidRDefault="00733FB1" w:rsidP="00733FB1">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D2A9C" w14:textId="77777777" w:rsidR="00733FB1" w:rsidRPr="00733FB1" w:rsidRDefault="00733FB1" w:rsidP="00733FB1">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За редовно използване от ЕБО">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За 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За редовно използване от ЕБО"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За редовно използване от ЕБО</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За редовно използване от ЕБО">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За редовно използване от ЕБО</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За редовно използване от ЕБО"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За редовно използване от ЕБО</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u1082?\u1098?\u1084?"/>
    <w:docVar w:name="LW_ANNEX_NBR_FIRST" w:val="2"/>
    <w:docVar w:name="LW_ANNEX_NBR_LAST" w:val="2"/>
    <w:docVar w:name="LW_ANNEX_UNIQUE" w:val="0"/>
    <w:docVar w:name="LW_CORRIGENDUM" w:val="&lt;UNUSED&gt;"/>
    <w:docVar w:name="LW_COVERPAGE_EXISTS" w:val="True"/>
    <w:docVar w:name="LW_COVERPAGE_GUID" w:val="3521BA89-4C04-4755-9AAA-5076E28B62CD"/>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u1041?\u1088?\u1102?\u1082?\u1089?\u1077?\u1083?, "/>
    <w:docVar w:name="LW_EMISSION_SUFFIX" w:val=" \u1075?."/>
    <w:docVar w:name="LW_ID_DOCTYPE_NONLW" w:val="CP-038"/>
    <w:docVar w:name="LW_LANGUE" w:val="BG"/>
    <w:docVar w:name="LW_LEVEL_OF_SENSITIVITY" w:val="Standard treatment"/>
    <w:docVar w:name="LW_NOM.INST" w:val="\u1045?\u1042?\u1056?\u1054?\u1055?\u1045?\u1049?\u1057?\u1050?\u1040? \u1050?\u1054?\u1052?\u1048?\u1057?\u1048?\u1071?"/>
    <w:docVar w:name="LW_NOM.INST_JOINTDOC" w:val="&lt;EMPTY&gt;"/>
    <w:docVar w:name="LW_OBJETACTEPRINCIPAL.CP" w:val="\u1079?\u1072? \u1080?\u1079?\u1084?\u1077?\u1085?\u1077?\u1085?\u1080?\u1077? \u1085?\u1072? \u1090?\u1077?\u1093?\u1085?\u1080?\u1095?\u1077?\u1089?\u1082?\u1080?\u1090?\u1077? \u1089?\u1090?\u1072?\u1085?\u1076?\u1072?\u1088?\u1090?\u1080? \u1079?\u1072? \u1080?\u1079?\u1087?\u1098?\u1083?\u1085?\u1077?\u1085?\u1080?\u1077?, \u1086?\u1087?\u1088?\u1077?\u1076?\u1077?\u1083?\u1077?\u1085?\u1080? \u1074? \u1056?\u1077?\u1075?\u1083?\u1072?\u1084?\u1077?\u1085?\u1090? \u1079?\u1072? \u1080?\u1079?\u1087?\u1098?\u1083?\u1085?\u1077?\u1085?\u1080?\u1077? (\u1045?\u1057?) 2021/451, \u1087?\u1086? \u1086?\u1090?\u1085?\u1086?\u1096?\u1077?\u1085?\u1080?\u1077? \u1085?\u1072? \u1087?\u1088?\u1072?\u1074?\u1080?\u1083?\u1072?\u1090?\u1072? \u1086?\u1090?\u1085?\u1086?\u1089?\u1085?\u1086? \u1086?\u1090?\u1095?\u1080?\u1090?\u1072?\u1085?\u1077?\u1090?\u1086? \u1079?\u1072? \u1085?\u1072?\u1076?\u1079?\u1086?\u1088?\u1085?\u1080? \u1094?\u1077?\u1083?\u1080? \u1085?\u1072? \u1083?\u1080?\u1093?\u1074?\u1077?\u1085?\u1080?\u1103? \u1088?\u1080?\u1089?\u1082? \u1074? \u1073?\u1072?\u1085?\u1082?\u1086?\u1074?\u1080?\u1103? \u1087?\u1086?\u1088?\u1090?\u1092?\u1077?\u1081?\u1083?"/>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1055?\u1056?\u1048?\u1051?\u1054?\u1046?\u1045?\u1053?\u1048?\u1045?_x000b_"/>
    <w:docVar w:name="LW_TYPEACTEPRINCIPAL.CP" w:val="\u1056?\u1077?\u1075?\u1083?\u1072?\u1084?\u1077?\u1085?\u1090?\u1072? \u1079?\u1072? \u1080?\u1079?\u1087?\u1098?\u1083?\u1085?\u1077?\u1085?\u1080?\u1077? \u1085?\u1072? \u1050?\u1086?\u1084?\u1080?\u1089?\u1080?\u1103?\u1090?\u1072?"/>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CD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3C21"/>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6C0"/>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DDC"/>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3EF6"/>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3FB1"/>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2D"/>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459"/>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bg-BG"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bg-BG"/>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bg-BG"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bg-BG"/>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bg-BG"/>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bg-BG"/>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0B4B"/>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bg-BG"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0B4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bg-BG"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bg-BG"/>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bg-BG"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bg-BG"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bg-BG"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bg-BG"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bg-BG"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84F3E7F2-F859-4369-B626-DDAF9F320FF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38</Pages>
  <Words>11253</Words>
  <Characters>64143</Characters>
  <Application>Microsoft Office Word</Application>
  <DocSecurity>0</DocSecurity>
  <Lines>534</Lines>
  <Paragraphs>150</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75246</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12</cp:revision>
  <dcterms:created xsi:type="dcterms:W3CDTF">2024-02-27T11:21:00Z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