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1D016507" w:rsidR="00D82419" w:rsidRPr="003E2C48" w:rsidRDefault="00D77ECC" w:rsidP="00D77ECC">
      <w:pPr>
        <w:pStyle w:val="Pagedecouverture"/>
        <w:rPr>
          <w:noProof/>
        </w:rPr>
      </w:pPr>
      <w:bookmarkStart w:id="0" w:name="_Toc262568021"/>
      <w:bookmarkStart w:id="1" w:name="_Toc295829847"/>
      <w:bookmarkStart w:id="2" w:name="LW_BM_COVERPAGE"/>
      <w:r>
        <w:rPr>
          <w:noProof/>
        </w:rPr>
        <w:pict w14:anchorId="3E3E35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D0F16703-13E7-4374-8ECD-50DFEDEE76F9" style="width:455.15pt;height:396.7pt">
            <v:imagedata r:id="rId11" o:title=""/>
          </v:shape>
        </w:pict>
      </w:r>
    </w:p>
    <w:bookmarkEnd w:id="2"/>
    <w:p w14:paraId="387E4651" w14:textId="77777777" w:rsidR="00D82419" w:rsidRPr="003E2C48" w:rsidRDefault="00D82419" w:rsidP="00430DF0">
      <w:pPr>
        <w:suppressAutoHyphens/>
        <w:rPr>
          <w:rFonts w:ascii="Times New Roman" w:hAnsi="Times New Roman"/>
          <w:noProof/>
        </w:rPr>
        <w:sectPr w:rsidR="00D82419" w:rsidRPr="003E2C48" w:rsidSect="00D77ECC">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3E2C48" w:rsidRDefault="00480D67" w:rsidP="00430DF0">
      <w:pPr>
        <w:pStyle w:val="Heading9"/>
        <w:suppressAutoHyphens/>
        <w:jc w:val="center"/>
        <w:rPr>
          <w:rFonts w:ascii="Times New Roman" w:hAnsi="Times New Roman"/>
          <w:noProof/>
          <w:sz w:val="24"/>
          <w:szCs w:val="24"/>
        </w:rPr>
      </w:pPr>
      <w:bookmarkStart w:id="3" w:name="_GoBack"/>
      <w:bookmarkEnd w:id="3"/>
      <w:r w:rsidRPr="003E2C48">
        <w:rPr>
          <w:rFonts w:ascii="Times New Roman" w:hAnsi="Times New Roman"/>
          <w:noProof/>
          <w:sz w:val="24"/>
        </w:rPr>
        <w:lastRenderedPageBreak/>
        <w:t>Prilog II.</w:t>
      </w:r>
    </w:p>
    <w:p w14:paraId="52460C1D" w14:textId="0A648DA0" w:rsidR="002648B0" w:rsidRPr="003E2C48" w:rsidRDefault="00480D67" w:rsidP="00430DF0">
      <w:pPr>
        <w:pStyle w:val="Heading9"/>
        <w:suppressAutoHyphens/>
        <w:jc w:val="center"/>
        <w:rPr>
          <w:rFonts w:ascii="Times New Roman" w:hAnsi="Times New Roman"/>
          <w:noProof/>
          <w:sz w:val="24"/>
          <w:szCs w:val="24"/>
        </w:rPr>
      </w:pPr>
      <w:r w:rsidRPr="003E2C48">
        <w:rPr>
          <w:rFonts w:ascii="Times New Roman" w:hAnsi="Times New Roman"/>
          <w:noProof/>
          <w:sz w:val="24"/>
        </w:rPr>
        <w:t>„PRILOG XXIX.</w:t>
      </w:r>
    </w:p>
    <w:p w14:paraId="644BA8AC" w14:textId="79FEC599" w:rsidR="002648B0" w:rsidRPr="003E2C48" w:rsidRDefault="002648B0" w:rsidP="00430DF0">
      <w:pPr>
        <w:suppressAutoHyphens/>
        <w:jc w:val="center"/>
        <w:rPr>
          <w:rFonts w:ascii="Times New Roman" w:hAnsi="Times New Roman"/>
          <w:b/>
          <w:noProof/>
          <w:sz w:val="24"/>
        </w:rPr>
      </w:pPr>
      <w:r w:rsidRPr="003E2C48">
        <w:rPr>
          <w:rFonts w:ascii="Times New Roman" w:hAnsi="Times New Roman"/>
          <w:b/>
          <w:noProof/>
          <w:sz w:val="24"/>
        </w:rPr>
        <w:t xml:space="preserve">UPUTE ZA IZVJEŠĆIVANJE U SVRHU OCJENJIVANJA KAMATNOG RIZIKA U KNJIZI POZICIJA KOJIMA SE NE TRGUJE </w:t>
      </w:r>
    </w:p>
    <w:p w14:paraId="4592BD27" w14:textId="77777777" w:rsidR="00436204" w:rsidRPr="003E2C48" w:rsidRDefault="00436204" w:rsidP="00430DF0">
      <w:pPr>
        <w:suppressAutoHyphens/>
        <w:jc w:val="center"/>
        <w:rPr>
          <w:rFonts w:ascii="Times New Roman" w:hAnsi="Times New Roman"/>
          <w:b/>
          <w:noProof/>
          <w:sz w:val="24"/>
          <w:lang w:eastAsia="de-DE"/>
        </w:rPr>
      </w:pPr>
    </w:p>
    <w:p w14:paraId="296F65E0" w14:textId="77777777" w:rsidR="00783881" w:rsidRPr="003E2C48" w:rsidRDefault="002648B0" w:rsidP="003C575D">
      <w:pPr>
        <w:pStyle w:val="InstructionsText"/>
        <w:rPr>
          <w:noProof/>
        </w:rPr>
      </w:pPr>
      <w:r w:rsidRPr="003E2C48">
        <w:rPr>
          <w:noProof/>
        </w:rPr>
        <w:t>Sadržaj</w:t>
      </w:r>
    </w:p>
    <w:p w14:paraId="38F5BBBE" w14:textId="1F72996E" w:rsidR="00EB1EF2" w:rsidRPr="003E2C48" w:rsidRDefault="00745369">
      <w:pPr>
        <w:pStyle w:val="TOC2"/>
        <w:rPr>
          <w:rFonts w:asciiTheme="minorHAnsi" w:eastAsiaTheme="minorEastAsia" w:hAnsiTheme="minorHAnsi" w:cstheme="minorBidi"/>
          <w:b w:val="0"/>
          <w:smallCaps w:val="0"/>
          <w:kern w:val="2"/>
          <w:sz w:val="22"/>
          <w:lang w:eastAsia="en-IE"/>
          <w14:ligatures w14:val="standardContextual"/>
        </w:rPr>
      </w:pPr>
      <w:r w:rsidRPr="003E2C48">
        <w:rPr>
          <w:rFonts w:ascii="Times New Roman" w:hAnsi="Times New Roman"/>
          <w:color w:val="2B579A"/>
          <w:sz w:val="24"/>
          <w:shd w:val="clear" w:color="auto" w:fill="E6E6E6"/>
        </w:rPr>
        <w:fldChar w:fldCharType="begin"/>
      </w:r>
      <w:r w:rsidR="002648B0" w:rsidRPr="003E2C48">
        <w:rPr>
          <w:rFonts w:ascii="Times New Roman" w:hAnsi="Times New Roman"/>
          <w:sz w:val="24"/>
        </w:rPr>
        <w:instrText xml:space="preserve"> TOC \o "1-3" \h \z \u </w:instrText>
      </w:r>
      <w:r w:rsidRPr="003E2C48">
        <w:rPr>
          <w:rFonts w:ascii="Times New Roman" w:hAnsi="Times New Roman"/>
          <w:color w:val="2B579A"/>
          <w:sz w:val="24"/>
          <w:shd w:val="clear" w:color="auto" w:fill="E6E6E6"/>
        </w:rPr>
        <w:fldChar w:fldCharType="separate"/>
      </w:r>
      <w:hyperlink w:anchor="_Toc160197919" w:history="1">
        <w:r w:rsidR="00EB1EF2" w:rsidRPr="003E2C48">
          <w:rPr>
            <w:rStyle w:val="Hyperlink"/>
          </w:rPr>
          <w:t>DIO I.: OPĆE UPUTE</w:t>
        </w:r>
        <w:r w:rsidR="00EB1EF2" w:rsidRPr="003E2C48">
          <w:rPr>
            <w:webHidden/>
          </w:rPr>
          <w:tab/>
        </w:r>
        <w:r w:rsidR="00EB1EF2" w:rsidRPr="003E2C48">
          <w:rPr>
            <w:webHidden/>
          </w:rPr>
          <w:fldChar w:fldCharType="begin"/>
        </w:r>
        <w:r w:rsidR="00EB1EF2" w:rsidRPr="003E2C48">
          <w:rPr>
            <w:webHidden/>
          </w:rPr>
          <w:instrText xml:space="preserve"> PAGEREF _Toc160197919 \h </w:instrText>
        </w:r>
        <w:r w:rsidR="00EB1EF2" w:rsidRPr="003E2C48">
          <w:rPr>
            <w:webHidden/>
          </w:rPr>
        </w:r>
        <w:r w:rsidR="00EB1EF2" w:rsidRPr="003E2C48">
          <w:rPr>
            <w:webHidden/>
          </w:rPr>
          <w:fldChar w:fldCharType="separate"/>
        </w:r>
        <w:r w:rsidR="00EB1EF2" w:rsidRPr="003E2C48">
          <w:rPr>
            <w:webHidden/>
          </w:rPr>
          <w:t>2</w:t>
        </w:r>
        <w:r w:rsidR="00EB1EF2" w:rsidRPr="003E2C48">
          <w:rPr>
            <w:webHidden/>
          </w:rPr>
          <w:fldChar w:fldCharType="end"/>
        </w:r>
      </w:hyperlink>
    </w:p>
    <w:p w14:paraId="46304B27" w14:textId="686CFC4B"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20" w:history="1">
        <w:r w:rsidR="00EB1EF2" w:rsidRPr="003E2C48">
          <w:rPr>
            <w:rStyle w:val="Hyperlink"/>
            <w:bCs/>
          </w:rPr>
          <w:t>1.</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Struktura</w:t>
        </w:r>
        <w:r w:rsidR="00EB1EF2" w:rsidRPr="003E2C48">
          <w:rPr>
            <w:webHidden/>
          </w:rPr>
          <w:tab/>
        </w:r>
        <w:r w:rsidR="00EB1EF2" w:rsidRPr="003E2C48">
          <w:rPr>
            <w:webHidden/>
          </w:rPr>
          <w:fldChar w:fldCharType="begin"/>
        </w:r>
        <w:r w:rsidR="00EB1EF2" w:rsidRPr="003E2C48">
          <w:rPr>
            <w:webHidden/>
          </w:rPr>
          <w:instrText xml:space="preserve"> PAGEREF _Toc160197920 \h </w:instrText>
        </w:r>
        <w:r w:rsidR="00EB1EF2" w:rsidRPr="003E2C48">
          <w:rPr>
            <w:webHidden/>
          </w:rPr>
        </w:r>
        <w:r w:rsidR="00EB1EF2" w:rsidRPr="003E2C48">
          <w:rPr>
            <w:webHidden/>
          </w:rPr>
          <w:fldChar w:fldCharType="separate"/>
        </w:r>
        <w:r w:rsidR="00EB1EF2" w:rsidRPr="003E2C48">
          <w:rPr>
            <w:webHidden/>
          </w:rPr>
          <w:t>2</w:t>
        </w:r>
        <w:r w:rsidR="00EB1EF2" w:rsidRPr="003E2C48">
          <w:rPr>
            <w:webHidden/>
          </w:rPr>
          <w:fldChar w:fldCharType="end"/>
        </w:r>
      </w:hyperlink>
    </w:p>
    <w:p w14:paraId="45BFFCEC" w14:textId="4108138A"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21" w:history="1">
        <w:r w:rsidR="00EB1EF2" w:rsidRPr="003E2C48">
          <w:rPr>
            <w:rStyle w:val="Hyperlink"/>
            <w:bCs/>
          </w:rPr>
          <w:t>2.</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Opseg izvještavanja</w:t>
        </w:r>
        <w:r w:rsidR="00EB1EF2" w:rsidRPr="003E2C48">
          <w:rPr>
            <w:webHidden/>
          </w:rPr>
          <w:tab/>
        </w:r>
        <w:r w:rsidR="00EB1EF2" w:rsidRPr="003E2C48">
          <w:rPr>
            <w:webHidden/>
          </w:rPr>
          <w:fldChar w:fldCharType="begin"/>
        </w:r>
        <w:r w:rsidR="00EB1EF2" w:rsidRPr="003E2C48">
          <w:rPr>
            <w:webHidden/>
          </w:rPr>
          <w:instrText xml:space="preserve"> PAGEREF _Toc160197921 \h </w:instrText>
        </w:r>
        <w:r w:rsidR="00EB1EF2" w:rsidRPr="003E2C48">
          <w:rPr>
            <w:webHidden/>
          </w:rPr>
        </w:r>
        <w:r w:rsidR="00EB1EF2" w:rsidRPr="003E2C48">
          <w:rPr>
            <w:webHidden/>
          </w:rPr>
          <w:fldChar w:fldCharType="separate"/>
        </w:r>
        <w:r w:rsidR="00EB1EF2" w:rsidRPr="003E2C48">
          <w:rPr>
            <w:webHidden/>
          </w:rPr>
          <w:t>2</w:t>
        </w:r>
        <w:r w:rsidR="00EB1EF2" w:rsidRPr="003E2C48">
          <w:rPr>
            <w:webHidden/>
          </w:rPr>
          <w:fldChar w:fldCharType="end"/>
        </w:r>
      </w:hyperlink>
    </w:p>
    <w:p w14:paraId="7156B6D5" w14:textId="15F3ECA9"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22" w:history="1">
        <w:r w:rsidR="00EB1EF2" w:rsidRPr="003E2C48">
          <w:rPr>
            <w:rStyle w:val="Hyperlink"/>
            <w:bCs/>
          </w:rPr>
          <w:t>3.</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Tretman instrumenata s fiksnom/promjenjivom kamatnom stopom</w:t>
        </w:r>
        <w:r w:rsidR="00EB1EF2" w:rsidRPr="003E2C48">
          <w:rPr>
            <w:webHidden/>
          </w:rPr>
          <w:tab/>
        </w:r>
        <w:r w:rsidR="00EB1EF2" w:rsidRPr="003E2C48">
          <w:rPr>
            <w:webHidden/>
          </w:rPr>
          <w:fldChar w:fldCharType="begin"/>
        </w:r>
        <w:r w:rsidR="00EB1EF2" w:rsidRPr="003E2C48">
          <w:rPr>
            <w:webHidden/>
          </w:rPr>
          <w:instrText xml:space="preserve"> PAGEREF _Toc160197922 \h </w:instrText>
        </w:r>
        <w:r w:rsidR="00EB1EF2" w:rsidRPr="003E2C48">
          <w:rPr>
            <w:webHidden/>
          </w:rPr>
        </w:r>
        <w:r w:rsidR="00EB1EF2" w:rsidRPr="003E2C48">
          <w:rPr>
            <w:webHidden/>
          </w:rPr>
          <w:fldChar w:fldCharType="separate"/>
        </w:r>
        <w:r w:rsidR="00EB1EF2" w:rsidRPr="003E2C48">
          <w:rPr>
            <w:webHidden/>
          </w:rPr>
          <w:t>2</w:t>
        </w:r>
        <w:r w:rsidR="00EB1EF2" w:rsidRPr="003E2C48">
          <w:rPr>
            <w:webHidden/>
          </w:rPr>
          <w:fldChar w:fldCharType="end"/>
        </w:r>
      </w:hyperlink>
    </w:p>
    <w:p w14:paraId="26B10610" w14:textId="67EB7C85"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23" w:history="1">
        <w:r w:rsidR="00EB1EF2" w:rsidRPr="003E2C48">
          <w:rPr>
            <w:rStyle w:val="Hyperlink"/>
            <w:bCs/>
          </w:rPr>
          <w:t>4.</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Tretman opcija</w:t>
        </w:r>
        <w:r w:rsidR="00EB1EF2" w:rsidRPr="003E2C48">
          <w:rPr>
            <w:webHidden/>
          </w:rPr>
          <w:tab/>
        </w:r>
        <w:r w:rsidR="00EB1EF2" w:rsidRPr="003E2C48">
          <w:rPr>
            <w:webHidden/>
          </w:rPr>
          <w:fldChar w:fldCharType="begin"/>
        </w:r>
        <w:r w:rsidR="00EB1EF2" w:rsidRPr="003E2C48">
          <w:rPr>
            <w:webHidden/>
          </w:rPr>
          <w:instrText xml:space="preserve"> PAGEREF _Toc160197923 \h </w:instrText>
        </w:r>
        <w:r w:rsidR="00EB1EF2" w:rsidRPr="003E2C48">
          <w:rPr>
            <w:webHidden/>
          </w:rPr>
        </w:r>
        <w:r w:rsidR="00EB1EF2" w:rsidRPr="003E2C48">
          <w:rPr>
            <w:webHidden/>
          </w:rPr>
          <w:fldChar w:fldCharType="separate"/>
        </w:r>
        <w:r w:rsidR="00EB1EF2" w:rsidRPr="003E2C48">
          <w:rPr>
            <w:webHidden/>
          </w:rPr>
          <w:t>3</w:t>
        </w:r>
        <w:r w:rsidR="00EB1EF2" w:rsidRPr="003E2C48">
          <w:rPr>
            <w:webHidden/>
          </w:rPr>
          <w:fldChar w:fldCharType="end"/>
        </w:r>
      </w:hyperlink>
    </w:p>
    <w:p w14:paraId="704250E0" w14:textId="3D9474FC"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24" w:history="1">
        <w:r w:rsidR="00EB1EF2" w:rsidRPr="003E2C48">
          <w:rPr>
            <w:rStyle w:val="Hyperlink"/>
            <w:bCs/>
          </w:rPr>
          <w:t>5.</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Pravilo o predznaku</w:t>
        </w:r>
        <w:r w:rsidR="00EB1EF2" w:rsidRPr="003E2C48">
          <w:rPr>
            <w:webHidden/>
          </w:rPr>
          <w:tab/>
        </w:r>
        <w:r w:rsidR="00EB1EF2" w:rsidRPr="003E2C48">
          <w:rPr>
            <w:webHidden/>
          </w:rPr>
          <w:fldChar w:fldCharType="begin"/>
        </w:r>
        <w:r w:rsidR="00EB1EF2" w:rsidRPr="003E2C48">
          <w:rPr>
            <w:webHidden/>
          </w:rPr>
          <w:instrText xml:space="preserve"> PAGEREF _Toc160197924 \h </w:instrText>
        </w:r>
        <w:r w:rsidR="00EB1EF2" w:rsidRPr="003E2C48">
          <w:rPr>
            <w:webHidden/>
          </w:rPr>
        </w:r>
        <w:r w:rsidR="00EB1EF2" w:rsidRPr="003E2C48">
          <w:rPr>
            <w:webHidden/>
          </w:rPr>
          <w:fldChar w:fldCharType="separate"/>
        </w:r>
        <w:r w:rsidR="00EB1EF2" w:rsidRPr="003E2C48">
          <w:rPr>
            <w:webHidden/>
          </w:rPr>
          <w:t>3</w:t>
        </w:r>
        <w:r w:rsidR="00EB1EF2" w:rsidRPr="003E2C48">
          <w:rPr>
            <w:webHidden/>
          </w:rPr>
          <w:fldChar w:fldCharType="end"/>
        </w:r>
      </w:hyperlink>
    </w:p>
    <w:p w14:paraId="3B25A300" w14:textId="25D13CFD"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25" w:history="1">
        <w:r w:rsidR="00EB1EF2" w:rsidRPr="003E2C48">
          <w:rPr>
            <w:rStyle w:val="Hyperlink"/>
            <w:bCs/>
          </w:rPr>
          <w:t>6.</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Pokrate</w:t>
        </w:r>
        <w:r w:rsidR="00EB1EF2" w:rsidRPr="003E2C48">
          <w:rPr>
            <w:webHidden/>
          </w:rPr>
          <w:tab/>
        </w:r>
        <w:r w:rsidR="00EB1EF2" w:rsidRPr="003E2C48">
          <w:rPr>
            <w:webHidden/>
          </w:rPr>
          <w:fldChar w:fldCharType="begin"/>
        </w:r>
        <w:r w:rsidR="00EB1EF2" w:rsidRPr="003E2C48">
          <w:rPr>
            <w:webHidden/>
          </w:rPr>
          <w:instrText xml:space="preserve"> PAGEREF _Toc160197925 \h </w:instrText>
        </w:r>
        <w:r w:rsidR="00EB1EF2" w:rsidRPr="003E2C48">
          <w:rPr>
            <w:webHidden/>
          </w:rPr>
        </w:r>
        <w:r w:rsidR="00EB1EF2" w:rsidRPr="003E2C48">
          <w:rPr>
            <w:webHidden/>
          </w:rPr>
          <w:fldChar w:fldCharType="separate"/>
        </w:r>
        <w:r w:rsidR="00EB1EF2" w:rsidRPr="003E2C48">
          <w:rPr>
            <w:webHidden/>
          </w:rPr>
          <w:t>4</w:t>
        </w:r>
        <w:r w:rsidR="00EB1EF2" w:rsidRPr="003E2C48">
          <w:rPr>
            <w:webHidden/>
          </w:rPr>
          <w:fldChar w:fldCharType="end"/>
        </w:r>
      </w:hyperlink>
    </w:p>
    <w:p w14:paraId="2DEB1A22" w14:textId="044E3D4E"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26" w:history="1">
        <w:r w:rsidR="00EB1EF2" w:rsidRPr="003E2C48">
          <w:rPr>
            <w:rStyle w:val="Hyperlink"/>
          </w:rPr>
          <w:t>7.</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Druga pravila</w:t>
        </w:r>
        <w:r w:rsidR="00EB1EF2" w:rsidRPr="003E2C48">
          <w:rPr>
            <w:webHidden/>
          </w:rPr>
          <w:tab/>
        </w:r>
        <w:r w:rsidR="00EB1EF2" w:rsidRPr="003E2C48">
          <w:rPr>
            <w:webHidden/>
          </w:rPr>
          <w:fldChar w:fldCharType="begin"/>
        </w:r>
        <w:r w:rsidR="00EB1EF2" w:rsidRPr="003E2C48">
          <w:rPr>
            <w:webHidden/>
          </w:rPr>
          <w:instrText xml:space="preserve"> PAGEREF _Toc160197926 \h </w:instrText>
        </w:r>
        <w:r w:rsidR="00EB1EF2" w:rsidRPr="003E2C48">
          <w:rPr>
            <w:webHidden/>
          </w:rPr>
        </w:r>
        <w:r w:rsidR="00EB1EF2" w:rsidRPr="003E2C48">
          <w:rPr>
            <w:webHidden/>
          </w:rPr>
          <w:fldChar w:fldCharType="separate"/>
        </w:r>
        <w:r w:rsidR="00EB1EF2" w:rsidRPr="003E2C48">
          <w:rPr>
            <w:webHidden/>
          </w:rPr>
          <w:t>4</w:t>
        </w:r>
        <w:r w:rsidR="00EB1EF2" w:rsidRPr="003E2C48">
          <w:rPr>
            <w:webHidden/>
          </w:rPr>
          <w:fldChar w:fldCharType="end"/>
        </w:r>
      </w:hyperlink>
    </w:p>
    <w:p w14:paraId="2F5649BE" w14:textId="6A99AE79"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27" w:history="1">
        <w:r w:rsidR="00EB1EF2" w:rsidRPr="003E2C48">
          <w:rPr>
            <w:rStyle w:val="Hyperlink"/>
          </w:rPr>
          <w:t>DIO II.: PROCJENA IRRBB-A: SOT za EVE/NII i PROMJENE MV-a (J 01.00)</w:t>
        </w:r>
        <w:r w:rsidR="00EB1EF2" w:rsidRPr="003E2C48">
          <w:rPr>
            <w:webHidden/>
          </w:rPr>
          <w:tab/>
        </w:r>
        <w:r w:rsidR="00EB1EF2" w:rsidRPr="003E2C48">
          <w:rPr>
            <w:webHidden/>
          </w:rPr>
          <w:fldChar w:fldCharType="begin"/>
        </w:r>
        <w:r w:rsidR="00EB1EF2" w:rsidRPr="003E2C48">
          <w:rPr>
            <w:webHidden/>
          </w:rPr>
          <w:instrText xml:space="preserve"> PAGEREF _Toc160197927 \h </w:instrText>
        </w:r>
        <w:r w:rsidR="00EB1EF2" w:rsidRPr="003E2C48">
          <w:rPr>
            <w:webHidden/>
          </w:rPr>
        </w:r>
        <w:r w:rsidR="00EB1EF2" w:rsidRPr="003E2C48">
          <w:rPr>
            <w:webHidden/>
          </w:rPr>
          <w:fldChar w:fldCharType="separate"/>
        </w:r>
        <w:r w:rsidR="00EB1EF2" w:rsidRPr="003E2C48">
          <w:rPr>
            <w:webHidden/>
          </w:rPr>
          <w:t>5</w:t>
        </w:r>
        <w:r w:rsidR="00EB1EF2" w:rsidRPr="003E2C48">
          <w:rPr>
            <w:webHidden/>
          </w:rPr>
          <w:fldChar w:fldCharType="end"/>
        </w:r>
      </w:hyperlink>
    </w:p>
    <w:p w14:paraId="1C57CB21" w14:textId="0287686A"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28" w:history="1">
        <w:r w:rsidR="00EB1EF2" w:rsidRPr="003E2C48">
          <w:rPr>
            <w:rStyle w:val="Hyperlink"/>
          </w:rPr>
          <w:t>1.</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Opće napomene</w:t>
        </w:r>
        <w:r w:rsidR="00EB1EF2" w:rsidRPr="003E2C48">
          <w:rPr>
            <w:webHidden/>
          </w:rPr>
          <w:tab/>
        </w:r>
        <w:r w:rsidR="00EB1EF2" w:rsidRPr="003E2C48">
          <w:rPr>
            <w:webHidden/>
          </w:rPr>
          <w:fldChar w:fldCharType="begin"/>
        </w:r>
        <w:r w:rsidR="00EB1EF2" w:rsidRPr="003E2C48">
          <w:rPr>
            <w:webHidden/>
          </w:rPr>
          <w:instrText xml:space="preserve"> PAGEREF _Toc160197928 \h </w:instrText>
        </w:r>
        <w:r w:rsidR="00EB1EF2" w:rsidRPr="003E2C48">
          <w:rPr>
            <w:webHidden/>
          </w:rPr>
        </w:r>
        <w:r w:rsidR="00EB1EF2" w:rsidRPr="003E2C48">
          <w:rPr>
            <w:webHidden/>
          </w:rPr>
          <w:fldChar w:fldCharType="separate"/>
        </w:r>
        <w:r w:rsidR="00EB1EF2" w:rsidRPr="003E2C48">
          <w:rPr>
            <w:webHidden/>
          </w:rPr>
          <w:t>5</w:t>
        </w:r>
        <w:r w:rsidR="00EB1EF2" w:rsidRPr="003E2C48">
          <w:rPr>
            <w:webHidden/>
          </w:rPr>
          <w:fldChar w:fldCharType="end"/>
        </w:r>
      </w:hyperlink>
    </w:p>
    <w:p w14:paraId="6F1860F1" w14:textId="481E557D"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29" w:history="1">
        <w:r w:rsidR="00EB1EF2" w:rsidRPr="003E2C48">
          <w:rPr>
            <w:rStyle w:val="Hyperlink"/>
          </w:rPr>
          <w:t>2.</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Upute za specifične pozicije</w:t>
        </w:r>
        <w:r w:rsidR="00EB1EF2" w:rsidRPr="003E2C48">
          <w:rPr>
            <w:webHidden/>
          </w:rPr>
          <w:tab/>
        </w:r>
        <w:r w:rsidR="00EB1EF2" w:rsidRPr="003E2C48">
          <w:rPr>
            <w:webHidden/>
          </w:rPr>
          <w:fldChar w:fldCharType="begin"/>
        </w:r>
        <w:r w:rsidR="00EB1EF2" w:rsidRPr="003E2C48">
          <w:rPr>
            <w:webHidden/>
          </w:rPr>
          <w:instrText xml:space="preserve"> PAGEREF _Toc160197929 \h </w:instrText>
        </w:r>
        <w:r w:rsidR="00EB1EF2" w:rsidRPr="003E2C48">
          <w:rPr>
            <w:webHidden/>
          </w:rPr>
        </w:r>
        <w:r w:rsidR="00EB1EF2" w:rsidRPr="003E2C48">
          <w:rPr>
            <w:webHidden/>
          </w:rPr>
          <w:fldChar w:fldCharType="separate"/>
        </w:r>
        <w:r w:rsidR="00EB1EF2" w:rsidRPr="003E2C48">
          <w:rPr>
            <w:webHidden/>
          </w:rPr>
          <w:t>5</w:t>
        </w:r>
        <w:r w:rsidR="00EB1EF2" w:rsidRPr="003E2C48">
          <w:rPr>
            <w:webHidden/>
          </w:rPr>
          <w:fldChar w:fldCharType="end"/>
        </w:r>
      </w:hyperlink>
    </w:p>
    <w:p w14:paraId="154BE0FC" w14:textId="35A9C110"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30" w:history="1">
        <w:r w:rsidR="00EB1EF2" w:rsidRPr="003E2C48">
          <w:rPr>
            <w:rStyle w:val="Hyperlink"/>
          </w:rPr>
          <w:t>DIO III.: RAŠČLAMBA PROCJENA OSJETLJIVOSTI (J 02.00, J 03.00 i J 04.00)</w:t>
        </w:r>
        <w:r w:rsidR="00EB1EF2" w:rsidRPr="003E2C48">
          <w:rPr>
            <w:webHidden/>
          </w:rPr>
          <w:tab/>
        </w:r>
        <w:r w:rsidR="00EB1EF2" w:rsidRPr="003E2C48">
          <w:rPr>
            <w:webHidden/>
          </w:rPr>
          <w:fldChar w:fldCharType="begin"/>
        </w:r>
        <w:r w:rsidR="00EB1EF2" w:rsidRPr="003E2C48">
          <w:rPr>
            <w:webHidden/>
          </w:rPr>
          <w:instrText xml:space="preserve"> PAGEREF _Toc160197930 \h </w:instrText>
        </w:r>
        <w:r w:rsidR="00EB1EF2" w:rsidRPr="003E2C48">
          <w:rPr>
            <w:webHidden/>
          </w:rPr>
        </w:r>
        <w:r w:rsidR="00EB1EF2" w:rsidRPr="003E2C48">
          <w:rPr>
            <w:webHidden/>
          </w:rPr>
          <w:fldChar w:fldCharType="separate"/>
        </w:r>
        <w:r w:rsidR="00EB1EF2" w:rsidRPr="003E2C48">
          <w:rPr>
            <w:webHidden/>
          </w:rPr>
          <w:t>10</w:t>
        </w:r>
        <w:r w:rsidR="00EB1EF2" w:rsidRPr="003E2C48">
          <w:rPr>
            <w:webHidden/>
          </w:rPr>
          <w:fldChar w:fldCharType="end"/>
        </w:r>
      </w:hyperlink>
    </w:p>
    <w:p w14:paraId="1B02D886" w14:textId="075905A0"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31" w:history="1">
        <w:r w:rsidR="00EB1EF2" w:rsidRPr="003E2C48">
          <w:rPr>
            <w:rStyle w:val="Hyperlink"/>
          </w:rPr>
          <w:t>1.</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Opće napomene</w:t>
        </w:r>
        <w:r w:rsidR="00EB1EF2" w:rsidRPr="003E2C48">
          <w:rPr>
            <w:webHidden/>
          </w:rPr>
          <w:tab/>
        </w:r>
        <w:r w:rsidR="00EB1EF2" w:rsidRPr="003E2C48">
          <w:rPr>
            <w:webHidden/>
          </w:rPr>
          <w:fldChar w:fldCharType="begin"/>
        </w:r>
        <w:r w:rsidR="00EB1EF2" w:rsidRPr="003E2C48">
          <w:rPr>
            <w:webHidden/>
          </w:rPr>
          <w:instrText xml:space="preserve"> PAGEREF _Toc160197931 \h </w:instrText>
        </w:r>
        <w:r w:rsidR="00EB1EF2" w:rsidRPr="003E2C48">
          <w:rPr>
            <w:webHidden/>
          </w:rPr>
        </w:r>
        <w:r w:rsidR="00EB1EF2" w:rsidRPr="003E2C48">
          <w:rPr>
            <w:webHidden/>
          </w:rPr>
          <w:fldChar w:fldCharType="separate"/>
        </w:r>
        <w:r w:rsidR="00EB1EF2" w:rsidRPr="003E2C48">
          <w:rPr>
            <w:webHidden/>
          </w:rPr>
          <w:t>10</w:t>
        </w:r>
        <w:r w:rsidR="00EB1EF2" w:rsidRPr="003E2C48">
          <w:rPr>
            <w:webHidden/>
          </w:rPr>
          <w:fldChar w:fldCharType="end"/>
        </w:r>
      </w:hyperlink>
    </w:p>
    <w:p w14:paraId="57395044" w14:textId="794CD1F3"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32" w:history="1">
        <w:r w:rsidR="00EB1EF2" w:rsidRPr="003E2C48">
          <w:rPr>
            <w:rStyle w:val="Hyperlink"/>
          </w:rPr>
          <w:t>2.</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Upute za specifične pozicije</w:t>
        </w:r>
        <w:r w:rsidR="00EB1EF2" w:rsidRPr="003E2C48">
          <w:rPr>
            <w:webHidden/>
          </w:rPr>
          <w:tab/>
        </w:r>
        <w:r w:rsidR="00EB1EF2" w:rsidRPr="003E2C48">
          <w:rPr>
            <w:webHidden/>
          </w:rPr>
          <w:fldChar w:fldCharType="begin"/>
        </w:r>
        <w:r w:rsidR="00EB1EF2" w:rsidRPr="003E2C48">
          <w:rPr>
            <w:webHidden/>
          </w:rPr>
          <w:instrText xml:space="preserve"> PAGEREF _Toc160197932 \h </w:instrText>
        </w:r>
        <w:r w:rsidR="00EB1EF2" w:rsidRPr="003E2C48">
          <w:rPr>
            <w:webHidden/>
          </w:rPr>
        </w:r>
        <w:r w:rsidR="00EB1EF2" w:rsidRPr="003E2C48">
          <w:rPr>
            <w:webHidden/>
          </w:rPr>
          <w:fldChar w:fldCharType="separate"/>
        </w:r>
        <w:r w:rsidR="00EB1EF2" w:rsidRPr="003E2C48">
          <w:rPr>
            <w:webHidden/>
          </w:rPr>
          <w:t>10</w:t>
        </w:r>
        <w:r w:rsidR="00EB1EF2" w:rsidRPr="003E2C48">
          <w:rPr>
            <w:webHidden/>
          </w:rPr>
          <w:fldChar w:fldCharType="end"/>
        </w:r>
      </w:hyperlink>
    </w:p>
    <w:p w14:paraId="4CC91466" w14:textId="5255FAEB"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33" w:history="1">
        <w:r w:rsidR="00EB1EF2" w:rsidRPr="003E2C48">
          <w:rPr>
            <w:rStyle w:val="Hyperlink"/>
          </w:rPr>
          <w:t>DIO IV.: NOVČANI TOKOVI KOJI SE PONOVNO VREDNUJU (J 05.00, J 06.00 i J 07.00)</w:t>
        </w:r>
        <w:r w:rsidR="00EB1EF2" w:rsidRPr="003E2C48">
          <w:rPr>
            <w:webHidden/>
          </w:rPr>
          <w:tab/>
        </w:r>
        <w:r w:rsidR="00EB1EF2" w:rsidRPr="003E2C48">
          <w:rPr>
            <w:webHidden/>
          </w:rPr>
          <w:fldChar w:fldCharType="begin"/>
        </w:r>
        <w:r w:rsidR="00EB1EF2" w:rsidRPr="003E2C48">
          <w:rPr>
            <w:webHidden/>
          </w:rPr>
          <w:instrText xml:space="preserve"> PAGEREF _Toc160197933 \h </w:instrText>
        </w:r>
        <w:r w:rsidR="00EB1EF2" w:rsidRPr="003E2C48">
          <w:rPr>
            <w:webHidden/>
          </w:rPr>
        </w:r>
        <w:r w:rsidR="00EB1EF2" w:rsidRPr="003E2C48">
          <w:rPr>
            <w:webHidden/>
          </w:rPr>
          <w:fldChar w:fldCharType="separate"/>
        </w:r>
        <w:r w:rsidR="00EB1EF2" w:rsidRPr="003E2C48">
          <w:rPr>
            <w:webHidden/>
          </w:rPr>
          <w:t>20</w:t>
        </w:r>
        <w:r w:rsidR="00EB1EF2" w:rsidRPr="003E2C48">
          <w:rPr>
            <w:webHidden/>
          </w:rPr>
          <w:fldChar w:fldCharType="end"/>
        </w:r>
      </w:hyperlink>
    </w:p>
    <w:p w14:paraId="592062C5" w14:textId="27ECB1F1"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34" w:history="1">
        <w:r w:rsidR="00EB1EF2" w:rsidRPr="003E2C48">
          <w:rPr>
            <w:rStyle w:val="Hyperlink"/>
          </w:rPr>
          <w:t>1.</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Opće napomene</w:t>
        </w:r>
        <w:r w:rsidR="00EB1EF2" w:rsidRPr="003E2C48">
          <w:rPr>
            <w:webHidden/>
          </w:rPr>
          <w:tab/>
        </w:r>
        <w:r w:rsidR="00EB1EF2" w:rsidRPr="003E2C48">
          <w:rPr>
            <w:webHidden/>
          </w:rPr>
          <w:fldChar w:fldCharType="begin"/>
        </w:r>
        <w:r w:rsidR="00EB1EF2" w:rsidRPr="003E2C48">
          <w:rPr>
            <w:webHidden/>
          </w:rPr>
          <w:instrText xml:space="preserve"> PAGEREF _Toc160197934 \h </w:instrText>
        </w:r>
        <w:r w:rsidR="00EB1EF2" w:rsidRPr="003E2C48">
          <w:rPr>
            <w:webHidden/>
          </w:rPr>
        </w:r>
        <w:r w:rsidR="00EB1EF2" w:rsidRPr="003E2C48">
          <w:rPr>
            <w:webHidden/>
          </w:rPr>
          <w:fldChar w:fldCharType="separate"/>
        </w:r>
        <w:r w:rsidR="00EB1EF2" w:rsidRPr="003E2C48">
          <w:rPr>
            <w:webHidden/>
          </w:rPr>
          <w:t>20</w:t>
        </w:r>
        <w:r w:rsidR="00EB1EF2" w:rsidRPr="003E2C48">
          <w:rPr>
            <w:webHidden/>
          </w:rPr>
          <w:fldChar w:fldCharType="end"/>
        </w:r>
      </w:hyperlink>
    </w:p>
    <w:p w14:paraId="4A7A17FA" w14:textId="5327069E"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35" w:history="1">
        <w:r w:rsidR="00EB1EF2" w:rsidRPr="003E2C48">
          <w:rPr>
            <w:rStyle w:val="Hyperlink"/>
          </w:rPr>
          <w:t>2.</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Upute za specifične pozicije:</w:t>
        </w:r>
        <w:r w:rsidR="00EB1EF2" w:rsidRPr="003E2C48">
          <w:rPr>
            <w:webHidden/>
          </w:rPr>
          <w:tab/>
        </w:r>
        <w:r w:rsidR="00EB1EF2" w:rsidRPr="003E2C48">
          <w:rPr>
            <w:webHidden/>
          </w:rPr>
          <w:fldChar w:fldCharType="begin"/>
        </w:r>
        <w:r w:rsidR="00EB1EF2" w:rsidRPr="003E2C48">
          <w:rPr>
            <w:webHidden/>
          </w:rPr>
          <w:instrText xml:space="preserve"> PAGEREF _Toc160197935 \h </w:instrText>
        </w:r>
        <w:r w:rsidR="00EB1EF2" w:rsidRPr="003E2C48">
          <w:rPr>
            <w:webHidden/>
          </w:rPr>
        </w:r>
        <w:r w:rsidR="00EB1EF2" w:rsidRPr="003E2C48">
          <w:rPr>
            <w:webHidden/>
          </w:rPr>
          <w:fldChar w:fldCharType="separate"/>
        </w:r>
        <w:r w:rsidR="00EB1EF2" w:rsidRPr="003E2C48">
          <w:rPr>
            <w:webHidden/>
          </w:rPr>
          <w:t>22</w:t>
        </w:r>
        <w:r w:rsidR="00EB1EF2" w:rsidRPr="003E2C48">
          <w:rPr>
            <w:webHidden/>
          </w:rPr>
          <w:fldChar w:fldCharType="end"/>
        </w:r>
      </w:hyperlink>
    </w:p>
    <w:p w14:paraId="48F6A7B0" w14:textId="7BEE15E6"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36" w:history="1">
        <w:r w:rsidR="00EB1EF2" w:rsidRPr="003E2C48">
          <w:rPr>
            <w:rStyle w:val="Hyperlink"/>
          </w:rPr>
          <w:t>DIO V.: RELEVANTNI PARAMETRI (J 08.00 i J 09.00)</w:t>
        </w:r>
        <w:r w:rsidR="00EB1EF2" w:rsidRPr="003E2C48">
          <w:rPr>
            <w:webHidden/>
          </w:rPr>
          <w:tab/>
        </w:r>
        <w:r w:rsidR="00EB1EF2" w:rsidRPr="003E2C48">
          <w:rPr>
            <w:webHidden/>
          </w:rPr>
          <w:fldChar w:fldCharType="begin"/>
        </w:r>
        <w:r w:rsidR="00EB1EF2" w:rsidRPr="003E2C48">
          <w:rPr>
            <w:webHidden/>
          </w:rPr>
          <w:instrText xml:space="preserve"> PAGEREF _Toc160197936 \h </w:instrText>
        </w:r>
        <w:r w:rsidR="00EB1EF2" w:rsidRPr="003E2C48">
          <w:rPr>
            <w:webHidden/>
          </w:rPr>
        </w:r>
        <w:r w:rsidR="00EB1EF2" w:rsidRPr="003E2C48">
          <w:rPr>
            <w:webHidden/>
          </w:rPr>
          <w:fldChar w:fldCharType="separate"/>
        </w:r>
        <w:r w:rsidR="00EB1EF2" w:rsidRPr="003E2C48">
          <w:rPr>
            <w:webHidden/>
          </w:rPr>
          <w:t>25</w:t>
        </w:r>
        <w:r w:rsidR="00EB1EF2" w:rsidRPr="003E2C48">
          <w:rPr>
            <w:webHidden/>
          </w:rPr>
          <w:fldChar w:fldCharType="end"/>
        </w:r>
      </w:hyperlink>
    </w:p>
    <w:p w14:paraId="398BEAEC" w14:textId="4361D39D"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37" w:history="1">
        <w:r w:rsidR="00EB1EF2" w:rsidRPr="003E2C48">
          <w:rPr>
            <w:rStyle w:val="Hyperlink"/>
          </w:rPr>
          <w:t>1.</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Opće napomene</w:t>
        </w:r>
        <w:r w:rsidR="00EB1EF2" w:rsidRPr="003E2C48">
          <w:rPr>
            <w:webHidden/>
          </w:rPr>
          <w:tab/>
        </w:r>
        <w:r w:rsidR="00EB1EF2" w:rsidRPr="003E2C48">
          <w:rPr>
            <w:webHidden/>
          </w:rPr>
          <w:fldChar w:fldCharType="begin"/>
        </w:r>
        <w:r w:rsidR="00EB1EF2" w:rsidRPr="003E2C48">
          <w:rPr>
            <w:webHidden/>
          </w:rPr>
          <w:instrText xml:space="preserve"> PAGEREF _Toc160197937 \h </w:instrText>
        </w:r>
        <w:r w:rsidR="00EB1EF2" w:rsidRPr="003E2C48">
          <w:rPr>
            <w:webHidden/>
          </w:rPr>
        </w:r>
        <w:r w:rsidR="00EB1EF2" w:rsidRPr="003E2C48">
          <w:rPr>
            <w:webHidden/>
          </w:rPr>
          <w:fldChar w:fldCharType="separate"/>
        </w:r>
        <w:r w:rsidR="00EB1EF2" w:rsidRPr="003E2C48">
          <w:rPr>
            <w:webHidden/>
          </w:rPr>
          <w:t>25</w:t>
        </w:r>
        <w:r w:rsidR="00EB1EF2" w:rsidRPr="003E2C48">
          <w:rPr>
            <w:webHidden/>
          </w:rPr>
          <w:fldChar w:fldCharType="end"/>
        </w:r>
      </w:hyperlink>
    </w:p>
    <w:p w14:paraId="47C02D5C" w14:textId="33129CE5"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38" w:history="1">
        <w:r w:rsidR="00EB1EF2" w:rsidRPr="003E2C48">
          <w:rPr>
            <w:rStyle w:val="Hyperlink"/>
          </w:rPr>
          <w:t>2.</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Upute za specifične pozicije</w:t>
        </w:r>
        <w:r w:rsidR="00EB1EF2" w:rsidRPr="003E2C48">
          <w:rPr>
            <w:webHidden/>
          </w:rPr>
          <w:tab/>
        </w:r>
        <w:r w:rsidR="00EB1EF2" w:rsidRPr="003E2C48">
          <w:rPr>
            <w:webHidden/>
          </w:rPr>
          <w:fldChar w:fldCharType="begin"/>
        </w:r>
        <w:r w:rsidR="00EB1EF2" w:rsidRPr="003E2C48">
          <w:rPr>
            <w:webHidden/>
          </w:rPr>
          <w:instrText xml:space="preserve"> PAGEREF _Toc160197938 \h </w:instrText>
        </w:r>
        <w:r w:rsidR="00EB1EF2" w:rsidRPr="003E2C48">
          <w:rPr>
            <w:webHidden/>
          </w:rPr>
        </w:r>
        <w:r w:rsidR="00EB1EF2" w:rsidRPr="003E2C48">
          <w:rPr>
            <w:webHidden/>
          </w:rPr>
          <w:fldChar w:fldCharType="separate"/>
        </w:r>
        <w:r w:rsidR="00EB1EF2" w:rsidRPr="003E2C48">
          <w:rPr>
            <w:webHidden/>
          </w:rPr>
          <w:t>25</w:t>
        </w:r>
        <w:r w:rsidR="00EB1EF2" w:rsidRPr="003E2C48">
          <w:rPr>
            <w:webHidden/>
          </w:rPr>
          <w:fldChar w:fldCharType="end"/>
        </w:r>
      </w:hyperlink>
    </w:p>
    <w:p w14:paraId="32990328" w14:textId="6153BEBB"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39" w:history="1">
        <w:r w:rsidR="00EB1EF2" w:rsidRPr="003E2C48">
          <w:rPr>
            <w:rStyle w:val="Hyperlink"/>
          </w:rPr>
          <w:t>DIO VI.: KVALITATIVNE INFORMACIJE (J 10.00 i J 11.00)</w:t>
        </w:r>
        <w:r w:rsidR="00EB1EF2" w:rsidRPr="003E2C48">
          <w:rPr>
            <w:webHidden/>
          </w:rPr>
          <w:tab/>
        </w:r>
        <w:r w:rsidR="00EB1EF2" w:rsidRPr="003E2C48">
          <w:rPr>
            <w:webHidden/>
          </w:rPr>
          <w:fldChar w:fldCharType="begin"/>
        </w:r>
        <w:r w:rsidR="00EB1EF2" w:rsidRPr="003E2C48">
          <w:rPr>
            <w:webHidden/>
          </w:rPr>
          <w:instrText xml:space="preserve"> PAGEREF _Toc160197939 \h </w:instrText>
        </w:r>
        <w:r w:rsidR="00EB1EF2" w:rsidRPr="003E2C48">
          <w:rPr>
            <w:webHidden/>
          </w:rPr>
        </w:r>
        <w:r w:rsidR="00EB1EF2" w:rsidRPr="003E2C48">
          <w:rPr>
            <w:webHidden/>
          </w:rPr>
          <w:fldChar w:fldCharType="separate"/>
        </w:r>
        <w:r w:rsidR="00EB1EF2" w:rsidRPr="003E2C48">
          <w:rPr>
            <w:webHidden/>
          </w:rPr>
          <w:t>29</w:t>
        </w:r>
        <w:r w:rsidR="00EB1EF2" w:rsidRPr="003E2C48">
          <w:rPr>
            <w:webHidden/>
          </w:rPr>
          <w:fldChar w:fldCharType="end"/>
        </w:r>
      </w:hyperlink>
    </w:p>
    <w:p w14:paraId="331ADC1D" w14:textId="195E9425"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40" w:history="1">
        <w:r w:rsidR="00EB1EF2" w:rsidRPr="003E2C48">
          <w:rPr>
            <w:rStyle w:val="Hyperlink"/>
          </w:rPr>
          <w:t>1.</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Opće napomene</w:t>
        </w:r>
        <w:r w:rsidR="00EB1EF2" w:rsidRPr="003E2C48">
          <w:rPr>
            <w:webHidden/>
          </w:rPr>
          <w:tab/>
        </w:r>
        <w:r w:rsidR="00EB1EF2" w:rsidRPr="003E2C48">
          <w:rPr>
            <w:webHidden/>
          </w:rPr>
          <w:fldChar w:fldCharType="begin"/>
        </w:r>
        <w:r w:rsidR="00EB1EF2" w:rsidRPr="003E2C48">
          <w:rPr>
            <w:webHidden/>
          </w:rPr>
          <w:instrText xml:space="preserve"> PAGEREF _Toc160197940 \h </w:instrText>
        </w:r>
        <w:r w:rsidR="00EB1EF2" w:rsidRPr="003E2C48">
          <w:rPr>
            <w:webHidden/>
          </w:rPr>
        </w:r>
        <w:r w:rsidR="00EB1EF2" w:rsidRPr="003E2C48">
          <w:rPr>
            <w:webHidden/>
          </w:rPr>
          <w:fldChar w:fldCharType="separate"/>
        </w:r>
        <w:r w:rsidR="00EB1EF2" w:rsidRPr="003E2C48">
          <w:rPr>
            <w:webHidden/>
          </w:rPr>
          <w:t>29</w:t>
        </w:r>
        <w:r w:rsidR="00EB1EF2" w:rsidRPr="003E2C48">
          <w:rPr>
            <w:webHidden/>
          </w:rPr>
          <w:fldChar w:fldCharType="end"/>
        </w:r>
      </w:hyperlink>
    </w:p>
    <w:p w14:paraId="287B226C" w14:textId="2951DD55" w:rsidR="00EB1EF2" w:rsidRPr="003E2C48" w:rsidRDefault="00D77ECC">
      <w:pPr>
        <w:pStyle w:val="TOC2"/>
        <w:rPr>
          <w:rFonts w:asciiTheme="minorHAnsi" w:eastAsiaTheme="minorEastAsia" w:hAnsiTheme="minorHAnsi" w:cstheme="minorBidi"/>
          <w:b w:val="0"/>
          <w:smallCaps w:val="0"/>
          <w:kern w:val="2"/>
          <w:sz w:val="22"/>
          <w:lang w:eastAsia="en-IE"/>
          <w14:ligatures w14:val="standardContextual"/>
        </w:rPr>
      </w:pPr>
      <w:hyperlink w:anchor="_Toc160197941" w:history="1">
        <w:r w:rsidR="00EB1EF2" w:rsidRPr="003E2C48">
          <w:rPr>
            <w:rStyle w:val="Hyperlink"/>
          </w:rPr>
          <w:t>2.</w:t>
        </w:r>
        <w:r w:rsidR="00EB1EF2" w:rsidRPr="003E2C48">
          <w:rPr>
            <w:rFonts w:asciiTheme="minorHAnsi" w:eastAsiaTheme="minorEastAsia" w:hAnsiTheme="minorHAnsi" w:cstheme="minorBidi"/>
            <w:b w:val="0"/>
            <w:smallCaps w:val="0"/>
            <w:kern w:val="2"/>
            <w:sz w:val="22"/>
            <w:lang w:eastAsia="en-IE"/>
            <w14:ligatures w14:val="standardContextual"/>
          </w:rPr>
          <w:tab/>
        </w:r>
        <w:r w:rsidR="00EB1EF2" w:rsidRPr="003E2C48">
          <w:rPr>
            <w:rStyle w:val="Hyperlink"/>
          </w:rPr>
          <w:t>Upute za specifične pozicije</w:t>
        </w:r>
        <w:r w:rsidR="00EB1EF2" w:rsidRPr="003E2C48">
          <w:rPr>
            <w:webHidden/>
          </w:rPr>
          <w:tab/>
        </w:r>
        <w:r w:rsidR="00EB1EF2" w:rsidRPr="003E2C48">
          <w:rPr>
            <w:webHidden/>
          </w:rPr>
          <w:fldChar w:fldCharType="begin"/>
        </w:r>
        <w:r w:rsidR="00EB1EF2" w:rsidRPr="003E2C48">
          <w:rPr>
            <w:webHidden/>
          </w:rPr>
          <w:instrText xml:space="preserve"> PAGEREF _Toc160197941 \h </w:instrText>
        </w:r>
        <w:r w:rsidR="00EB1EF2" w:rsidRPr="003E2C48">
          <w:rPr>
            <w:webHidden/>
          </w:rPr>
        </w:r>
        <w:r w:rsidR="00EB1EF2" w:rsidRPr="003E2C48">
          <w:rPr>
            <w:webHidden/>
          </w:rPr>
          <w:fldChar w:fldCharType="separate"/>
        </w:r>
        <w:r w:rsidR="00EB1EF2" w:rsidRPr="003E2C48">
          <w:rPr>
            <w:webHidden/>
          </w:rPr>
          <w:t>29</w:t>
        </w:r>
        <w:r w:rsidR="00EB1EF2" w:rsidRPr="003E2C48">
          <w:rPr>
            <w:webHidden/>
          </w:rPr>
          <w:fldChar w:fldCharType="end"/>
        </w:r>
      </w:hyperlink>
    </w:p>
    <w:p w14:paraId="7AC7042C" w14:textId="16E45391" w:rsidR="002648B0" w:rsidRPr="003E2C48" w:rsidRDefault="00745369" w:rsidP="00430DF0">
      <w:pPr>
        <w:suppressAutoHyphens/>
        <w:rPr>
          <w:rFonts w:ascii="Times New Roman" w:hAnsi="Times New Roman"/>
          <w:noProof/>
          <w:sz w:val="24"/>
        </w:rPr>
        <w:sectPr w:rsidR="002648B0" w:rsidRPr="003E2C48"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3E2C48">
        <w:rPr>
          <w:rFonts w:ascii="Times New Roman" w:hAnsi="Times New Roman"/>
          <w:noProof/>
          <w:color w:val="2B579A"/>
          <w:sz w:val="24"/>
          <w:shd w:val="clear" w:color="auto" w:fill="E6E6E6"/>
        </w:rPr>
        <w:fldChar w:fldCharType="end"/>
      </w:r>
    </w:p>
    <w:p w14:paraId="2820F465" w14:textId="77777777" w:rsidR="002648B0" w:rsidRPr="003E2C48" w:rsidRDefault="002648B0" w:rsidP="00430DF0">
      <w:pPr>
        <w:pStyle w:val="Heading2"/>
        <w:suppressAutoHyphens/>
        <w:rPr>
          <w:noProof/>
        </w:rPr>
      </w:pPr>
      <w:bookmarkStart w:id="4" w:name="_Toc264038394"/>
      <w:bookmarkStart w:id="5" w:name="_Toc360188317"/>
      <w:bookmarkStart w:id="6" w:name="_Toc473560865"/>
      <w:bookmarkStart w:id="7" w:name="_Toc160197919"/>
      <w:r w:rsidRPr="003E2C48">
        <w:rPr>
          <w:noProof/>
        </w:rPr>
        <w:t>DIO I.:</w:t>
      </w:r>
      <w:bookmarkEnd w:id="4"/>
      <w:r w:rsidRPr="003E2C48">
        <w:rPr>
          <w:noProof/>
        </w:rPr>
        <w:t xml:space="preserve"> OPĆE UPUTE</w:t>
      </w:r>
      <w:bookmarkEnd w:id="5"/>
      <w:bookmarkEnd w:id="6"/>
      <w:bookmarkEnd w:id="7"/>
    </w:p>
    <w:p w14:paraId="7C7E012C" w14:textId="553E4C56" w:rsidR="002648B0" w:rsidRPr="003E2C48"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97920"/>
      <w:r w:rsidRPr="003E2C48">
        <w:rPr>
          <w:b/>
          <w:noProof/>
          <w:sz w:val="24"/>
        </w:rPr>
        <w:t>Struktura</w:t>
      </w:r>
      <w:bookmarkEnd w:id="8"/>
      <w:bookmarkEnd w:id="9"/>
      <w:bookmarkEnd w:id="10"/>
    </w:p>
    <w:p w14:paraId="6C67B776" w14:textId="4974D22A" w:rsidR="005643EA" w:rsidRPr="003E2C48" w:rsidRDefault="00F50ECC" w:rsidP="00430DF0">
      <w:pPr>
        <w:tabs>
          <w:tab w:val="left" w:pos="567"/>
        </w:tabs>
        <w:suppressAutoHyphens/>
        <w:rPr>
          <w:rFonts w:ascii="Times New Roman" w:hAnsi="Times New Roman"/>
          <w:noProof/>
          <w:sz w:val="24"/>
        </w:rPr>
      </w:pPr>
      <w:r w:rsidRPr="003E2C48">
        <w:rPr>
          <w:rFonts w:ascii="Times New Roman" w:hAnsi="Times New Roman"/>
          <w:noProof/>
          <w:sz w:val="24"/>
        </w:rPr>
        <w:t>1.1.</w:t>
      </w:r>
      <w:r w:rsidRPr="003E2C48">
        <w:rPr>
          <w:rFonts w:ascii="Times New Roman" w:hAnsi="Times New Roman"/>
          <w:noProof/>
          <w:sz w:val="24"/>
        </w:rPr>
        <w:tab/>
        <w:t>U ovom Prilogu navedene su upute za obrasce za izvješćivanje o kamatnom riziku u knjizi pozicija kojima se ne trguje (IRRBB).</w:t>
      </w:r>
    </w:p>
    <w:p w14:paraId="18B4338F" w14:textId="7CA4DACA" w:rsidR="00EE1EB4" w:rsidRPr="003E2C48" w:rsidRDefault="00722E66" w:rsidP="00430DF0">
      <w:pPr>
        <w:tabs>
          <w:tab w:val="left" w:pos="567"/>
        </w:tabs>
        <w:suppressAutoHyphens/>
        <w:rPr>
          <w:rFonts w:ascii="Times New Roman" w:hAnsi="Times New Roman"/>
          <w:noProof/>
          <w:sz w:val="24"/>
        </w:rPr>
      </w:pPr>
      <w:r w:rsidRPr="003E2C48">
        <w:rPr>
          <w:rFonts w:ascii="Times New Roman" w:hAnsi="Times New Roman"/>
          <w:noProof/>
          <w:sz w:val="24"/>
        </w:rPr>
        <w:t>1.2.</w:t>
      </w:r>
      <w:r w:rsidRPr="003E2C48">
        <w:rPr>
          <w:rFonts w:ascii="Times New Roman" w:hAnsi="Times New Roman"/>
          <w:noProof/>
          <w:sz w:val="24"/>
        </w:rPr>
        <w:tab/>
        <w:t>Ovaj se Prilog sastoji od pet različitih skupova obrazaca:</w:t>
      </w:r>
    </w:p>
    <w:p w14:paraId="40EF6142" w14:textId="5B6A7A0E" w:rsidR="00B25EC5" w:rsidRPr="003E2C48" w:rsidRDefault="006154D7" w:rsidP="00430DF0">
      <w:pPr>
        <w:suppressAutoHyphens/>
        <w:ind w:left="567" w:hanging="567"/>
        <w:rPr>
          <w:rFonts w:ascii="Times New Roman" w:hAnsi="Times New Roman"/>
          <w:noProof/>
          <w:sz w:val="24"/>
        </w:rPr>
      </w:pPr>
      <w:r w:rsidRPr="003E2C48">
        <w:rPr>
          <w:rFonts w:ascii="Times New Roman" w:hAnsi="Times New Roman"/>
          <w:noProof/>
          <w:sz w:val="24"/>
        </w:rPr>
        <w:t>(a)</w:t>
      </w:r>
      <w:r w:rsidRPr="003E2C48">
        <w:rPr>
          <w:rFonts w:ascii="Times New Roman" w:hAnsi="Times New Roman"/>
          <w:noProof/>
          <w:sz w:val="24"/>
        </w:rPr>
        <w:tab/>
        <w:t>procjena IRRBB-a: ekonomska vrijednost vlasničkog kapitala (EVE) i neto kamatni prihod (NII), nadzorna ispitivanja netipičnih vrijednosti (SOT) i promjene tržišne vrijednosti (MV) (J 01.00);</w:t>
      </w:r>
    </w:p>
    <w:p w14:paraId="14B9FEC9" w14:textId="1ED962E6" w:rsidR="00C24D70" w:rsidRPr="003E2C48" w:rsidRDefault="006154D7" w:rsidP="00430DF0">
      <w:pPr>
        <w:suppressAutoHyphens/>
        <w:ind w:left="567" w:hanging="567"/>
        <w:rPr>
          <w:rFonts w:ascii="Times New Roman" w:hAnsi="Times New Roman"/>
          <w:noProof/>
          <w:sz w:val="24"/>
        </w:rPr>
      </w:pPr>
      <w:r w:rsidRPr="003E2C48">
        <w:rPr>
          <w:rFonts w:ascii="Times New Roman" w:hAnsi="Times New Roman"/>
          <w:noProof/>
          <w:sz w:val="24"/>
        </w:rPr>
        <w:t>(b)</w:t>
      </w:r>
      <w:r w:rsidRPr="003E2C48">
        <w:rPr>
          <w:rFonts w:ascii="Times New Roman" w:hAnsi="Times New Roman"/>
          <w:noProof/>
          <w:sz w:val="24"/>
        </w:rPr>
        <w:tab/>
        <w:t>raščlamba procjena osjetljivosti IRRBB-a (J 02.00, J 03.00 i J 04.00);</w:t>
      </w:r>
    </w:p>
    <w:p w14:paraId="1CE26B54" w14:textId="5501A5DA" w:rsidR="007C50A3" w:rsidRPr="003E2C48" w:rsidRDefault="006154D7" w:rsidP="00430DF0">
      <w:pPr>
        <w:suppressAutoHyphens/>
        <w:ind w:left="567" w:hanging="567"/>
        <w:rPr>
          <w:rFonts w:ascii="Times New Roman" w:hAnsi="Times New Roman"/>
          <w:noProof/>
          <w:sz w:val="24"/>
        </w:rPr>
      </w:pPr>
      <w:r w:rsidRPr="003E2C48">
        <w:rPr>
          <w:rFonts w:ascii="Times New Roman" w:hAnsi="Times New Roman"/>
          <w:noProof/>
          <w:sz w:val="24"/>
        </w:rPr>
        <w:t>(c)</w:t>
      </w:r>
      <w:r w:rsidRPr="003E2C48">
        <w:rPr>
          <w:rFonts w:ascii="Times New Roman" w:hAnsi="Times New Roman"/>
          <w:noProof/>
          <w:sz w:val="24"/>
        </w:rPr>
        <w:tab/>
        <w:t>novčani tokovi IRRBB-a koji se ponovno vrednuju (J 05.00, J 06.00 i J 07.00);</w:t>
      </w:r>
    </w:p>
    <w:p w14:paraId="0C48DAD9" w14:textId="14B3D60B" w:rsidR="007C50A3" w:rsidRPr="003E2C48" w:rsidRDefault="006154D7" w:rsidP="00430DF0">
      <w:pPr>
        <w:suppressAutoHyphens/>
        <w:ind w:left="567" w:hanging="567"/>
        <w:rPr>
          <w:rFonts w:ascii="Times New Roman" w:hAnsi="Times New Roman"/>
          <w:noProof/>
          <w:sz w:val="24"/>
        </w:rPr>
      </w:pPr>
      <w:r w:rsidRPr="003E2C48">
        <w:rPr>
          <w:rFonts w:ascii="Times New Roman" w:hAnsi="Times New Roman"/>
          <w:noProof/>
          <w:sz w:val="24"/>
        </w:rPr>
        <w:t>(d)</w:t>
      </w:r>
      <w:r w:rsidRPr="003E2C48">
        <w:rPr>
          <w:rFonts w:ascii="Times New Roman" w:hAnsi="Times New Roman"/>
          <w:noProof/>
          <w:sz w:val="24"/>
        </w:rPr>
        <w:tab/>
        <w:t xml:space="preserve">relevantni parametri bihevioralnog modeliranja (J 08.00 i J 09.00); </w:t>
      </w:r>
    </w:p>
    <w:p w14:paraId="6D80FE95" w14:textId="52271838" w:rsidR="00C90FE0" w:rsidRPr="003E2C48" w:rsidRDefault="006154D7" w:rsidP="00430DF0">
      <w:pPr>
        <w:suppressAutoHyphens/>
        <w:ind w:left="567" w:hanging="567"/>
        <w:rPr>
          <w:rFonts w:ascii="Times New Roman" w:hAnsi="Times New Roman"/>
          <w:noProof/>
          <w:sz w:val="24"/>
        </w:rPr>
      </w:pPr>
      <w:r w:rsidRPr="003E2C48">
        <w:rPr>
          <w:rFonts w:ascii="Times New Roman" w:hAnsi="Times New Roman"/>
          <w:noProof/>
          <w:sz w:val="24"/>
        </w:rPr>
        <w:t>(e)</w:t>
      </w:r>
      <w:r w:rsidRPr="003E2C48">
        <w:rPr>
          <w:rFonts w:ascii="Times New Roman" w:hAnsi="Times New Roman"/>
          <w:noProof/>
          <w:sz w:val="24"/>
        </w:rPr>
        <w:tab/>
        <w:t>kvalitativne informacije (J 10.00 i J 11.00).</w:t>
      </w:r>
    </w:p>
    <w:p w14:paraId="0AFC5B98" w14:textId="160403C2" w:rsidR="00EB220B" w:rsidRPr="003E2C48" w:rsidRDefault="00A6051C" w:rsidP="00430DF0">
      <w:pPr>
        <w:tabs>
          <w:tab w:val="left" w:pos="567"/>
        </w:tabs>
        <w:suppressAutoHyphens/>
        <w:rPr>
          <w:rFonts w:ascii="Times New Roman" w:hAnsi="Times New Roman"/>
          <w:noProof/>
          <w:sz w:val="24"/>
        </w:rPr>
      </w:pPr>
      <w:bookmarkStart w:id="11" w:name="_Toc360188320"/>
      <w:bookmarkStart w:id="12" w:name="_Toc473560868"/>
      <w:r w:rsidRPr="003E2C48">
        <w:rPr>
          <w:rFonts w:ascii="Times New Roman" w:hAnsi="Times New Roman"/>
          <w:noProof/>
          <w:sz w:val="24"/>
        </w:rPr>
        <w:t>1.3.</w:t>
      </w:r>
      <w:r w:rsidRPr="003E2C48">
        <w:rPr>
          <w:rFonts w:ascii="Times New Roman" w:hAnsi="Times New Roman"/>
          <w:noProof/>
          <w:sz w:val="24"/>
        </w:rPr>
        <w:tab/>
        <w:t>Za svaki je obrazac navedena pravna osnova. Ovaj Prilog sadržava dodatne detaljne informacije o općenitijim aspektima ispunjavanja svake skupine obrazaca i upute o specifičnim pozicijama.</w:t>
      </w:r>
    </w:p>
    <w:p w14:paraId="26820BED" w14:textId="7A969893" w:rsidR="006D3733" w:rsidRPr="003E2C48" w:rsidRDefault="00A6051C" w:rsidP="00430DF0">
      <w:pPr>
        <w:tabs>
          <w:tab w:val="left" w:pos="567"/>
        </w:tabs>
        <w:suppressAutoHyphens/>
        <w:rPr>
          <w:rFonts w:ascii="Times New Roman" w:hAnsi="Times New Roman"/>
          <w:noProof/>
          <w:sz w:val="24"/>
        </w:rPr>
      </w:pPr>
      <w:r w:rsidRPr="003E2C48">
        <w:rPr>
          <w:rFonts w:ascii="Times New Roman" w:hAnsi="Times New Roman"/>
          <w:noProof/>
          <w:sz w:val="24"/>
        </w:rPr>
        <w:t>1.4.</w:t>
      </w:r>
      <w:r w:rsidRPr="003E2C48">
        <w:rPr>
          <w:rFonts w:ascii="Times New Roman" w:hAnsi="Times New Roman"/>
          <w:noProof/>
          <w:sz w:val="24"/>
        </w:rPr>
        <w:tab/>
        <w:t>Institucije dostavljaju obrasce u izvještajnoj valuti neovisno o stvarnoj nominaciji imovine, obveza i izvanbilančnih stavki. Valute koje nisu izvještajna valuta preračunavaju se u izvještajnu valutu prema referentnom deviznom tečaju ESB-a na referentni datum. Institucije zasebno dostavljaju obrasce raščlanjene prema odgovarajućim valutama u skladu s Delegiranom uredbom Komisije (EU) …/… (Ured za publikacije: unijeti upućivanje na regulatorni tehnički standard o SOT-u).</w:t>
      </w:r>
      <w:bookmarkStart w:id="13" w:name="_@_8F13D57BB9CD4FF0A0FE7B37689B022CZ"/>
      <w:bookmarkEnd w:id="13"/>
    </w:p>
    <w:p w14:paraId="0DEADD70" w14:textId="1077D645" w:rsidR="002E61DB" w:rsidRPr="003E2C48" w:rsidRDefault="00A6051C" w:rsidP="00430DF0">
      <w:pPr>
        <w:tabs>
          <w:tab w:val="left" w:pos="567"/>
        </w:tabs>
        <w:suppressAutoHyphens/>
        <w:rPr>
          <w:rFonts w:ascii="Times New Roman" w:hAnsi="Times New Roman"/>
          <w:noProof/>
          <w:sz w:val="24"/>
        </w:rPr>
      </w:pPr>
      <w:r w:rsidRPr="003E2C48">
        <w:rPr>
          <w:rFonts w:ascii="Times New Roman" w:hAnsi="Times New Roman"/>
          <w:noProof/>
          <w:sz w:val="24"/>
        </w:rPr>
        <w:t>1.5</w:t>
      </w:r>
      <w:r w:rsidRPr="003E2C48">
        <w:rPr>
          <w:rFonts w:ascii="Times New Roman" w:hAnsi="Times New Roman"/>
          <w:noProof/>
          <w:sz w:val="24"/>
        </w:rPr>
        <w:tab/>
        <w:t>U skladu s člankom 3. stavkom 2. točkom (c) Delegirane uredbe (EU) …/… (Ured za publikacije: unijeti upućivanje na regulatorni tehnički standard o SOT-u) institucije u svojim izračunima prema potrebi prikazuju automatske opcije i bihevioralne opcije, osim ako je drukčije navedeno.</w:t>
      </w:r>
    </w:p>
    <w:p w14:paraId="53A7CDF1" w14:textId="261546A6" w:rsidR="001B1D17" w:rsidRPr="003E2C48" w:rsidRDefault="001B1D17" w:rsidP="00430DF0">
      <w:pPr>
        <w:pStyle w:val="Instructionsberschrift2"/>
        <w:tabs>
          <w:tab w:val="left" w:pos="567"/>
        </w:tabs>
        <w:suppressAutoHyphens/>
        <w:ind w:left="0" w:firstLine="0"/>
        <w:rPr>
          <w:rFonts w:cs="Times New Roman"/>
          <w:b/>
          <w:bCs/>
          <w:noProof/>
          <w:sz w:val="24"/>
        </w:rPr>
      </w:pPr>
      <w:bookmarkStart w:id="14" w:name="_Toc160197921"/>
      <w:r w:rsidRPr="003E2C48">
        <w:rPr>
          <w:b/>
          <w:noProof/>
          <w:sz w:val="24"/>
        </w:rPr>
        <w:t>Opseg izvještavanja</w:t>
      </w:r>
      <w:bookmarkEnd w:id="14"/>
    </w:p>
    <w:p w14:paraId="67947B67" w14:textId="4993448A" w:rsidR="001B1D17" w:rsidRPr="003E2C48" w:rsidRDefault="002D7CBD" w:rsidP="00430DF0">
      <w:pPr>
        <w:suppressAutoHyphens/>
        <w:rPr>
          <w:rFonts w:ascii="Times New Roman" w:hAnsi="Times New Roman"/>
          <w:noProof/>
          <w:sz w:val="24"/>
        </w:rPr>
      </w:pPr>
      <w:r w:rsidRPr="003E2C48">
        <w:rPr>
          <w:rFonts w:ascii="Times New Roman" w:hAnsi="Times New Roman"/>
          <w:noProof/>
          <w:sz w:val="24"/>
        </w:rPr>
        <w:t>Institucije prikazuju svoje procjene IRRBB-a i navode informacije o svojim izloženostima riziku kamatne stope koje proizlaze iz pozicija osjetljivih na kamatne stope u knjizi pozicija kojima se ne trguje, pri provedbi SOT-a (članci 3. i 4. Delegirane uredbe (EU) …/… (Ured za publikacije: unijeti upućivanje na regulatorni tehnički standard o SOT-u). Institucije posebno razmatraju sve instrumente u skladu s člankom 3. stavkom 2. točkama od (a) do (f) i člankom 3. stavcima 3., 4. i 5. Delegirane uredbe (EU) …/… (Ured za publikacije: unijeti upućivanje na regulatorni tehnički standard o SOT-u).</w:t>
      </w:r>
    </w:p>
    <w:p w14:paraId="258198B8" w14:textId="0DE6B55B" w:rsidR="001B1D17" w:rsidRPr="003E2C48"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97922"/>
      <w:r w:rsidRPr="003E2C48">
        <w:rPr>
          <w:b/>
          <w:noProof/>
          <w:sz w:val="24"/>
        </w:rPr>
        <w:t>Tretman instrumenata s fiksnom/promjenjivom kamatnom stopom</w:t>
      </w:r>
      <w:bookmarkEnd w:id="15"/>
      <w:bookmarkEnd w:id="16"/>
      <w:bookmarkEnd w:id="17"/>
    </w:p>
    <w:p w14:paraId="77CC8D4D" w14:textId="46BB6ACB" w:rsidR="001B1D17" w:rsidRPr="003E2C48" w:rsidRDefault="0039511B" w:rsidP="00430DF0">
      <w:pPr>
        <w:suppressAutoHyphens/>
        <w:rPr>
          <w:rFonts w:ascii="Times New Roman" w:hAnsi="Times New Roman"/>
          <w:noProof/>
          <w:sz w:val="24"/>
        </w:rPr>
      </w:pPr>
      <w:r w:rsidRPr="003E2C48">
        <w:rPr>
          <w:rFonts w:ascii="Times New Roman" w:hAnsi="Times New Roman"/>
          <w:noProof/>
          <w:sz w:val="24"/>
        </w:rPr>
        <w:t xml:space="preserve">Ako su propisani zahtjevi za zasebne podatke za instrumente s fiksnom odnosno promjenjivom kamatnom stopom, primjenjuju se sljedeće definicije: </w:t>
      </w:r>
    </w:p>
    <w:p w14:paraId="4A89838D" w14:textId="7E0FE4E5" w:rsidR="00922BF8" w:rsidRPr="003E2C48" w:rsidRDefault="00845F8D" w:rsidP="00430DF0">
      <w:pPr>
        <w:suppressAutoHyphens/>
        <w:ind w:left="567" w:hanging="567"/>
        <w:rPr>
          <w:rFonts w:ascii="Times New Roman" w:hAnsi="Times New Roman"/>
          <w:noProof/>
          <w:sz w:val="24"/>
        </w:rPr>
      </w:pPr>
      <w:r w:rsidRPr="003E2C48">
        <w:rPr>
          <w:rFonts w:ascii="Times New Roman" w:hAnsi="Times New Roman"/>
          <w:noProof/>
          <w:sz w:val="24"/>
        </w:rPr>
        <w:t>(a)</w:t>
      </w:r>
      <w:r w:rsidRPr="003E2C48">
        <w:rPr>
          <w:rFonts w:ascii="Times New Roman" w:hAnsi="Times New Roman"/>
          <w:noProof/>
          <w:sz w:val="24"/>
        </w:rPr>
        <w:tab/>
        <w:t>„instrument s fiksnom kamatnom stopom” znači „instrument s fiksnom stopom” kako je definiran u članku 1. točki 4. Delegirane uredbe Komisije (EU) …/… (Ured za publikacije: unijeti upućivanje na „regulatorne tehničke standarde o SA-u”)</w:t>
      </w:r>
      <w:r w:rsidR="00212817" w:rsidRPr="003E2C48">
        <w:rPr>
          <w:rFonts w:ascii="Times New Roman" w:eastAsia="Arial" w:hAnsi="Times New Roman"/>
          <w:noProof/>
          <w:sz w:val="24"/>
          <w:vertAlign w:val="superscript"/>
        </w:rPr>
        <w:footnoteReference w:id="2"/>
      </w:r>
      <w:r w:rsidRPr="003E2C48">
        <w:rPr>
          <w:rFonts w:ascii="Times New Roman" w:hAnsi="Times New Roman"/>
          <w:noProof/>
          <w:sz w:val="24"/>
        </w:rPr>
        <w:t>. Konkretno:</w:t>
      </w:r>
    </w:p>
    <w:p w14:paraId="5ED6FF8A" w14:textId="158917D4" w:rsidR="001B1D17" w:rsidRPr="003E2C48" w:rsidRDefault="0039511B" w:rsidP="00430DF0">
      <w:pPr>
        <w:suppressAutoHyphens/>
        <w:ind w:left="1134" w:hanging="567"/>
        <w:rPr>
          <w:rFonts w:ascii="Times New Roman" w:hAnsi="Times New Roman"/>
          <w:noProof/>
          <w:sz w:val="24"/>
        </w:rPr>
      </w:pPr>
      <w:r w:rsidRPr="003E2C48">
        <w:rPr>
          <w:rFonts w:ascii="Times New Roman" w:hAnsi="Times New Roman"/>
          <w:noProof/>
          <w:sz w:val="24"/>
        </w:rPr>
        <w:t>i.</w:t>
      </w:r>
      <w:r w:rsidRPr="003E2C48">
        <w:rPr>
          <w:rFonts w:ascii="Times New Roman" w:hAnsi="Times New Roman"/>
          <w:noProof/>
          <w:sz w:val="24"/>
        </w:rPr>
        <w:tab/>
        <w:t>instrumenti bez određenog ugovornog dospijeća (tj. proizvodi bez dospijeća), čiji novčani tokovi plaćanja kamata nisu ugovorno ili zakonski povezani s kretanjima vanjske referentne vrijednosti ili indeksa kojim interno upravlja institucija, nego su podložni diskrecijskoj odluci institucije ili državne agencije;</w:t>
      </w:r>
    </w:p>
    <w:p w14:paraId="54833A4C" w14:textId="5EDD161A" w:rsidR="008454E7" w:rsidRPr="003E2C48" w:rsidRDefault="0039511B" w:rsidP="00430DF0">
      <w:pPr>
        <w:suppressAutoHyphens/>
        <w:ind w:left="1134" w:hanging="567"/>
        <w:rPr>
          <w:rFonts w:ascii="Times New Roman" w:hAnsi="Times New Roman"/>
          <w:noProof/>
          <w:sz w:val="24"/>
        </w:rPr>
      </w:pPr>
      <w:r w:rsidRPr="003E2C48">
        <w:rPr>
          <w:rFonts w:ascii="Times New Roman" w:hAnsi="Times New Roman"/>
          <w:noProof/>
          <w:sz w:val="24"/>
        </w:rPr>
        <w:t>ii.</w:t>
      </w:r>
      <w:r w:rsidRPr="003E2C48">
        <w:rPr>
          <w:rFonts w:ascii="Times New Roman" w:hAnsi="Times New Roman"/>
          <w:noProof/>
          <w:sz w:val="24"/>
        </w:rPr>
        <w:tab/>
        <w:t>instrumenti s određenim ugovornim dospijećem, čiji su novčani tokovi plaćanja kamata fiksni od početka do dospijeća instrumenta ili kod kojih je ponovno ugovorno vrednovanje dulje od godine dana; ili ako su promjene u njegovim naknadama u bilo kojem trenutku za trajanja ugovora diskrecijske odluke institucije ili državne agencije;</w:t>
      </w:r>
    </w:p>
    <w:p w14:paraId="270FB2E9" w14:textId="34E79F8D" w:rsidR="00922BF8" w:rsidRPr="003E2C48" w:rsidRDefault="00D3158C" w:rsidP="00430DF0">
      <w:pPr>
        <w:suppressAutoHyphens/>
        <w:ind w:left="567" w:hanging="567"/>
        <w:rPr>
          <w:rFonts w:ascii="Times New Roman" w:hAnsi="Times New Roman"/>
          <w:noProof/>
          <w:sz w:val="24"/>
        </w:rPr>
      </w:pPr>
      <w:r w:rsidRPr="003E2C48">
        <w:rPr>
          <w:rFonts w:ascii="Times New Roman" w:hAnsi="Times New Roman"/>
          <w:noProof/>
          <w:sz w:val="24"/>
        </w:rPr>
        <w:t>(b)</w:t>
      </w:r>
      <w:r w:rsidRPr="003E2C48">
        <w:rPr>
          <w:rFonts w:ascii="Times New Roman" w:hAnsi="Times New Roman"/>
          <w:noProof/>
          <w:sz w:val="24"/>
        </w:rPr>
        <w:tab/>
        <w:t>„instrument s promjenjivom kamatnom stopom” znači „instrument s promjenjivom kamatnom stopom” kako je definiran u članku 1. točki 5. Delegirane uredbe (EU) …/… (Ured za publikacije: unijeti upućivanje na „regulatorni tehnički standard o SA-u”). Konkretno:</w:t>
      </w:r>
    </w:p>
    <w:p w14:paraId="1784E8D4" w14:textId="734AD79B" w:rsidR="00AB1BC3" w:rsidRPr="003E2C48" w:rsidRDefault="000F633F" w:rsidP="00430DF0">
      <w:pPr>
        <w:suppressAutoHyphens/>
        <w:ind w:left="1134" w:hanging="567"/>
        <w:rPr>
          <w:rFonts w:ascii="Times New Roman" w:hAnsi="Times New Roman"/>
          <w:noProof/>
          <w:sz w:val="24"/>
        </w:rPr>
      </w:pPr>
      <w:r w:rsidRPr="003E2C48">
        <w:rPr>
          <w:rFonts w:ascii="Times New Roman" w:hAnsi="Times New Roman"/>
          <w:noProof/>
          <w:sz w:val="24"/>
        </w:rPr>
        <w:t>i.</w:t>
      </w:r>
      <w:r w:rsidRPr="003E2C48">
        <w:rPr>
          <w:rFonts w:ascii="Times New Roman" w:hAnsi="Times New Roman"/>
          <w:noProof/>
          <w:sz w:val="24"/>
        </w:rPr>
        <w:tab/>
        <w:t>instrumenti bez određenog ugovornog dospijeća (tj. proizvodi bez dospijeća), čiji novčani tokovi plaćanja kamata nisu podložni diskrecijskoj odluci institucije ili državne agencije, nego su ugovorno ili zakonski povezani s kretanjima vanjske referentne vrijednosti ili indeksa kojim interno upravlja institucija;</w:t>
      </w:r>
    </w:p>
    <w:p w14:paraId="2BEB21B8" w14:textId="04E2511B" w:rsidR="001B1D17" w:rsidRPr="003E2C48" w:rsidRDefault="000F633F" w:rsidP="00430DF0">
      <w:pPr>
        <w:suppressAutoHyphens/>
        <w:ind w:left="1134" w:hanging="567"/>
        <w:rPr>
          <w:rFonts w:ascii="Times New Roman" w:hAnsi="Times New Roman"/>
          <w:noProof/>
          <w:sz w:val="24"/>
        </w:rPr>
      </w:pPr>
      <w:r w:rsidRPr="003E2C48">
        <w:rPr>
          <w:rFonts w:ascii="Times New Roman" w:hAnsi="Times New Roman"/>
          <w:noProof/>
          <w:sz w:val="24"/>
        </w:rPr>
        <w:t>ii.</w:t>
      </w:r>
      <w:r w:rsidRPr="003E2C48">
        <w:rPr>
          <w:rFonts w:ascii="Times New Roman" w:hAnsi="Times New Roman"/>
          <w:noProof/>
          <w:sz w:val="24"/>
        </w:rPr>
        <w:tab/>
        <w:t>instrumenti s određenim ugovornim dospijećem, čiji novčani tokovi plaćanja kamata nisu fiksni od početka do dospijeća instrumenta ili kod kojih je ponovno ugovorno vrednovanje jednako ili kraće od godine dana i ako promjene u njegovim naknadama za trajanja ugovora nisu diskrecijske odluke institucije ili državne agencije.</w:t>
      </w:r>
    </w:p>
    <w:p w14:paraId="18A5F9AF" w14:textId="2B3B0753" w:rsidR="001B1D17" w:rsidRPr="003E2C48" w:rsidRDefault="00AB232D" w:rsidP="00430DF0">
      <w:pPr>
        <w:pStyle w:val="Instructionsberschrift2"/>
        <w:suppressAutoHyphens/>
        <w:ind w:left="0" w:firstLine="0"/>
        <w:rPr>
          <w:rFonts w:cs="Times New Roman"/>
          <w:b/>
          <w:bCs/>
          <w:noProof/>
          <w:sz w:val="24"/>
        </w:rPr>
      </w:pPr>
      <w:bookmarkStart w:id="18" w:name="_Toc160197923"/>
      <w:r w:rsidRPr="003E2C48">
        <w:rPr>
          <w:b/>
          <w:noProof/>
          <w:sz w:val="24"/>
        </w:rPr>
        <w:t>Tretman opcija</w:t>
      </w:r>
      <w:bookmarkEnd w:id="18"/>
    </w:p>
    <w:p w14:paraId="32686ECA" w14:textId="05954C82" w:rsidR="001B1D17" w:rsidRPr="003E2C48" w:rsidRDefault="001A2857" w:rsidP="00430DF0">
      <w:pPr>
        <w:suppressAutoHyphens/>
        <w:rPr>
          <w:rFonts w:ascii="Times New Roman" w:hAnsi="Times New Roman"/>
          <w:noProof/>
          <w:sz w:val="24"/>
        </w:rPr>
      </w:pPr>
      <w:r w:rsidRPr="003E2C48">
        <w:rPr>
          <w:rFonts w:ascii="Times New Roman" w:hAnsi="Times New Roman"/>
          <w:noProof/>
          <w:sz w:val="24"/>
        </w:rPr>
        <w:t>Ako se traže zasebne informacije o opcijama, institucije izvješćuju na sljedeći način:</w:t>
      </w:r>
    </w:p>
    <w:p w14:paraId="6B6F0868" w14:textId="6DA1CF74" w:rsidR="001B1D17" w:rsidRPr="003E2C48" w:rsidRDefault="008917A8" w:rsidP="00041556">
      <w:pPr>
        <w:suppressAutoHyphens/>
        <w:ind w:left="567" w:hanging="567"/>
        <w:rPr>
          <w:rFonts w:ascii="Times New Roman" w:hAnsi="Times New Roman"/>
          <w:noProof/>
          <w:sz w:val="24"/>
        </w:rPr>
      </w:pPr>
      <w:r w:rsidRPr="003E2C48">
        <w:rPr>
          <w:rFonts w:ascii="Times New Roman" w:hAnsi="Times New Roman"/>
          <w:noProof/>
          <w:sz w:val="24"/>
        </w:rPr>
        <w:t>(a)</w:t>
      </w:r>
      <w:r w:rsidRPr="003E2C48">
        <w:rPr>
          <w:rFonts w:ascii="Times New Roman" w:hAnsi="Times New Roman"/>
          <w:noProof/>
          <w:sz w:val="24"/>
        </w:rPr>
        <w:tab/>
        <w:t>ugrađene opcije zajedno s njihovim relevantnim osnovnim instrumentom;</w:t>
      </w:r>
    </w:p>
    <w:p w14:paraId="1DA2737F" w14:textId="75A2B726" w:rsidR="001B1D17" w:rsidRPr="003E2C48" w:rsidRDefault="008917A8" w:rsidP="00041556">
      <w:pPr>
        <w:suppressAutoHyphens/>
        <w:ind w:left="567" w:hanging="567"/>
        <w:rPr>
          <w:rFonts w:ascii="Times New Roman" w:hAnsi="Times New Roman"/>
          <w:noProof/>
          <w:sz w:val="24"/>
        </w:rPr>
      </w:pPr>
      <w:r w:rsidRPr="003E2C48">
        <w:rPr>
          <w:rFonts w:ascii="Times New Roman" w:hAnsi="Times New Roman"/>
          <w:noProof/>
          <w:sz w:val="24"/>
        </w:rPr>
        <w:t>(b)</w:t>
      </w:r>
      <w:r w:rsidRPr="003E2C48">
        <w:rPr>
          <w:rFonts w:ascii="Times New Roman" w:hAnsi="Times New Roman"/>
          <w:noProof/>
          <w:sz w:val="24"/>
        </w:rPr>
        <w:tab/>
        <w:t>izričite/samostalne opcije odvojeno od bilo koje druge vrste bilančnih stavki kao izvedenih instrumenata (tj. o tim će opcijama izvijestiti zajedno sa zaštićenom stavkom).</w:t>
      </w:r>
    </w:p>
    <w:p w14:paraId="273A8B8C" w14:textId="0B66CE74" w:rsidR="002648B0" w:rsidRPr="003E2C4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97924"/>
      <w:bookmarkEnd w:id="11"/>
      <w:bookmarkEnd w:id="12"/>
      <w:r w:rsidRPr="003E2C48">
        <w:rPr>
          <w:b/>
          <w:noProof/>
          <w:sz w:val="24"/>
        </w:rPr>
        <w:t>Pravilo o predznaku</w:t>
      </w:r>
      <w:bookmarkEnd w:id="19"/>
      <w:bookmarkEnd w:id="20"/>
      <w:bookmarkEnd w:id="21"/>
      <w:bookmarkEnd w:id="22"/>
      <w:bookmarkEnd w:id="23"/>
    </w:p>
    <w:p w14:paraId="6633F0CF" w14:textId="63689B05" w:rsidR="001E63FC" w:rsidRPr="003E2C48" w:rsidRDefault="008917A8" w:rsidP="00430DF0">
      <w:pPr>
        <w:tabs>
          <w:tab w:val="left" w:pos="567"/>
        </w:tabs>
        <w:suppressAutoHyphens/>
        <w:rPr>
          <w:rFonts w:ascii="Times New Roman" w:hAnsi="Times New Roman"/>
          <w:noProof/>
          <w:sz w:val="24"/>
        </w:rPr>
      </w:pPr>
      <w:bookmarkStart w:id="24" w:name="_Hlk140593002"/>
      <w:r w:rsidRPr="003E2C48">
        <w:rPr>
          <w:rFonts w:ascii="Times New Roman" w:hAnsi="Times New Roman"/>
          <w:noProof/>
          <w:sz w:val="24"/>
        </w:rPr>
        <w:t>5.1.</w:t>
      </w:r>
      <w:r w:rsidRPr="003E2C48">
        <w:rPr>
          <w:rFonts w:ascii="Times New Roman" w:hAnsi="Times New Roman"/>
          <w:noProof/>
          <w:sz w:val="24"/>
        </w:rPr>
        <w:tab/>
        <w:t xml:space="preserve">Općenito, institucije u svim obrascima iskazuju pozitivne vrijednosti. Brojke izražene u novčanim jedinicama koje se odnose na vrijednosti EVE, NII i MV općenito se iskazuju kao pozitivne brojke, neovisno o tome odnose li se na imovinu ili obvezu, iako se moraju uzeti u obzir iznimke: to je slučaj kad je vrijednost NII negativna ako su kamatni rashodi veći od kamatnih prihoda u osnovnom scenariju ili u slučaju izvedenica kod kojih je potrebno izvijestiti o netiranim vrijednostima strane izvedenica. </w:t>
      </w:r>
    </w:p>
    <w:bookmarkEnd w:id="24"/>
    <w:p w14:paraId="71AA1747" w14:textId="4D01E42B" w:rsidR="001E63FC" w:rsidRPr="003E2C48" w:rsidRDefault="008917A8" w:rsidP="00430DF0">
      <w:pPr>
        <w:tabs>
          <w:tab w:val="left" w:pos="567"/>
        </w:tabs>
        <w:suppressAutoHyphens/>
        <w:rPr>
          <w:rFonts w:ascii="Times New Roman" w:hAnsi="Times New Roman"/>
          <w:noProof/>
          <w:sz w:val="24"/>
        </w:rPr>
      </w:pPr>
      <w:r w:rsidRPr="003E2C48">
        <w:rPr>
          <w:rFonts w:ascii="Times New Roman" w:hAnsi="Times New Roman"/>
          <w:noProof/>
          <w:sz w:val="24"/>
        </w:rPr>
        <w:t>5.2.</w:t>
      </w:r>
      <w:r w:rsidRPr="003E2C48">
        <w:rPr>
          <w:rFonts w:ascii="Times New Roman" w:hAnsi="Times New Roman"/>
          <w:noProof/>
          <w:sz w:val="24"/>
        </w:rPr>
        <w:tab/>
        <w:t>Institucije promjene vrijednosti (Δ) EVE, NII i MV iskazuju kao pozitivne ili negativne vrijednosti, ovisno o varijaciji. Institucije računaju Δ kao razliku između vrijednosti EVE/NII/MV prema scenarijima šoka umanjenima za osnovni scenarij. Osjetljivosti vrijednosti EVE (i MV) određene imovine ili obveze iskazuju se kao pozitivne ako se vrijednost EVE (i MV) te imovine ili obveze poveća u određenom scenariju kamatnih stopa. Slično tome, osjetljivosti vrijednosti NII za određenu imovinu ili obvezu iskazuju se kao pozitivne ako se kamatni prihod te imovine ili kamatni rashod te obveze poveća u konkretnom scenariju kamatnih stopa.</w:t>
      </w:r>
    </w:p>
    <w:p w14:paraId="254BF615" w14:textId="5C9B2108" w:rsidR="001E63FC" w:rsidRPr="003E2C48" w:rsidRDefault="008270ED" w:rsidP="00430DF0">
      <w:pPr>
        <w:tabs>
          <w:tab w:val="left" w:pos="567"/>
        </w:tabs>
        <w:suppressAutoHyphens/>
        <w:rPr>
          <w:rFonts w:ascii="Times New Roman" w:hAnsi="Times New Roman"/>
          <w:noProof/>
          <w:sz w:val="24"/>
        </w:rPr>
      </w:pPr>
      <w:r w:rsidRPr="003E2C48">
        <w:rPr>
          <w:rFonts w:ascii="Times New Roman" w:hAnsi="Times New Roman"/>
          <w:noProof/>
          <w:sz w:val="24"/>
        </w:rPr>
        <w:t>5.3.</w:t>
      </w:r>
      <w:r w:rsidRPr="003E2C48">
        <w:rPr>
          <w:rFonts w:ascii="Times New Roman" w:hAnsi="Times New Roman"/>
          <w:noProof/>
          <w:sz w:val="24"/>
        </w:rPr>
        <w:tab/>
        <w:t>U podacima koji se odnose na zamišljene izloženosti ili knjigovodstvene vrijednosti primjenjuje se isto pravilo, odnosno institucije iskazuju pozitivne vrijednosti za imovinu i obveze.</w:t>
      </w:r>
    </w:p>
    <w:p w14:paraId="6E2C3DB2" w14:textId="1AA85B79" w:rsidR="001E63FC" w:rsidRPr="003E2C48" w:rsidRDefault="008270ED" w:rsidP="00430DF0">
      <w:pPr>
        <w:tabs>
          <w:tab w:val="left" w:pos="567"/>
        </w:tabs>
        <w:suppressAutoHyphens/>
        <w:rPr>
          <w:rFonts w:ascii="Times New Roman" w:hAnsi="Times New Roman"/>
          <w:noProof/>
          <w:sz w:val="24"/>
        </w:rPr>
      </w:pPr>
      <w:r w:rsidRPr="003E2C48">
        <w:rPr>
          <w:rFonts w:ascii="Times New Roman" w:hAnsi="Times New Roman"/>
          <w:noProof/>
          <w:sz w:val="24"/>
        </w:rPr>
        <w:t>5.4.</w:t>
      </w:r>
      <w:r w:rsidRPr="003E2C48">
        <w:rPr>
          <w:rFonts w:ascii="Times New Roman" w:hAnsi="Times New Roman"/>
          <w:noProof/>
          <w:sz w:val="24"/>
        </w:rPr>
        <w:tab/>
        <w:t xml:space="preserve">Institucije priopćuju parametre s pozitivnim vrijednostima neovisno o tome odnose li se ti parametri na imovinu ili obvezu i neovisno o tome povećavaju li ti parametri ili smanjuju vrijednost mjernih parametara IRRBB-a. Mogu postojati iznimni slučajevi u kojima institucije o parametrima izvješćuju s negativnim brojkama, uključujući prosječan prinos imovine/obveza ako se zadnje utvrđivanje kamatne stope temeljilo na okruženju negativnih tržišnih kamatnih stopa. </w:t>
      </w:r>
    </w:p>
    <w:p w14:paraId="318F1B9B" w14:textId="5EF3812F" w:rsidR="00304CA5" w:rsidRPr="003E2C48" w:rsidRDefault="6B10FFE8" w:rsidP="00430DF0">
      <w:pPr>
        <w:pStyle w:val="Instructionsberschrift2"/>
        <w:tabs>
          <w:tab w:val="left" w:pos="567"/>
        </w:tabs>
        <w:suppressAutoHyphens/>
        <w:ind w:left="0" w:firstLine="0"/>
        <w:rPr>
          <w:rFonts w:cs="Times New Roman"/>
          <w:b/>
          <w:bCs/>
          <w:noProof/>
          <w:sz w:val="24"/>
        </w:rPr>
      </w:pPr>
      <w:bookmarkStart w:id="25" w:name="_Toc160197925"/>
      <w:r w:rsidRPr="003E2C48">
        <w:rPr>
          <w:b/>
          <w:noProof/>
          <w:sz w:val="24"/>
        </w:rPr>
        <w:t>Pokrate</w:t>
      </w:r>
      <w:bookmarkEnd w:id="25"/>
    </w:p>
    <w:p w14:paraId="78A799F6" w14:textId="45220F93" w:rsidR="0089002A" w:rsidRPr="003E2C48" w:rsidRDefault="0089002A" w:rsidP="00430DF0">
      <w:pPr>
        <w:tabs>
          <w:tab w:val="left" w:pos="567"/>
        </w:tabs>
        <w:suppressAutoHyphens/>
        <w:rPr>
          <w:rFonts w:ascii="Times New Roman" w:hAnsi="Times New Roman"/>
          <w:noProof/>
          <w:sz w:val="24"/>
        </w:rPr>
      </w:pPr>
      <w:r w:rsidRPr="003E2C48">
        <w:rPr>
          <w:rFonts w:ascii="Times New Roman" w:hAnsi="Times New Roman"/>
          <w:noProof/>
          <w:sz w:val="24"/>
        </w:rPr>
        <w:t>Ekonomska vrijednost vlasničkog kapitala označuje se pokratom „EVE”, neto kamatni prihod pokratom „NII”, tržišna vrijednost pokratom „MV”, nadzorno ispitivanje netipičnih vrijednosti pokratom „SOT”, depoziti bez dospijeća pokratom „NMD-i”, interni sustav mjerenja pokratom „IMS”, a standardizirani pristup pokratom „SA”.</w:t>
      </w:r>
    </w:p>
    <w:p w14:paraId="7DD577D3" w14:textId="443C35E6" w:rsidR="009A03CD" w:rsidRPr="003E2C48" w:rsidRDefault="008270ED" w:rsidP="00430DF0">
      <w:pPr>
        <w:pStyle w:val="Instructionsberschrift2"/>
        <w:numPr>
          <w:ilvl w:val="0"/>
          <w:numId w:val="0"/>
        </w:numPr>
        <w:tabs>
          <w:tab w:val="left" w:pos="567"/>
        </w:tabs>
        <w:suppressAutoHyphens/>
        <w:rPr>
          <w:rFonts w:cs="Times New Roman"/>
          <w:b/>
          <w:bCs/>
          <w:noProof/>
          <w:sz w:val="24"/>
        </w:rPr>
      </w:pPr>
      <w:bookmarkStart w:id="26" w:name="_Toc160197926"/>
      <w:r w:rsidRPr="003E2C48">
        <w:rPr>
          <w:b/>
          <w:noProof/>
          <w:sz w:val="24"/>
        </w:rPr>
        <w:t>7.</w:t>
      </w:r>
      <w:r w:rsidRPr="003E2C48">
        <w:rPr>
          <w:b/>
          <w:noProof/>
          <w:sz w:val="24"/>
        </w:rPr>
        <w:tab/>
        <w:t>Druga pravila</w:t>
      </w:r>
      <w:bookmarkEnd w:id="26"/>
    </w:p>
    <w:p w14:paraId="345BE7C5" w14:textId="2AFD3B9C" w:rsidR="009A03CD" w:rsidRPr="003E2C48" w:rsidRDefault="008270ED" w:rsidP="00430DF0">
      <w:pPr>
        <w:tabs>
          <w:tab w:val="left" w:pos="567"/>
        </w:tabs>
        <w:suppressAutoHyphens/>
        <w:rPr>
          <w:rFonts w:ascii="Times New Roman" w:hAnsi="Times New Roman"/>
          <w:noProof/>
          <w:sz w:val="24"/>
        </w:rPr>
      </w:pPr>
      <w:r w:rsidRPr="003E2C48">
        <w:rPr>
          <w:rFonts w:ascii="Times New Roman" w:hAnsi="Times New Roman"/>
          <w:noProof/>
          <w:sz w:val="24"/>
        </w:rPr>
        <w:t>7.1.</w:t>
      </w:r>
      <w:r w:rsidRPr="003E2C48">
        <w:rPr>
          <w:rFonts w:ascii="Times New Roman" w:hAnsi="Times New Roman"/>
          <w:noProof/>
          <w:sz w:val="24"/>
        </w:rPr>
        <w:tab/>
        <w:t>U cijelom Prilogu upućuje se na Delegiranu uredbu (EU) …/… (Ured za publikacije: unijeti upućivanje na regulatorni tehnički standard o SOT-u) ili „regulatorni tehnički standard o SOT-u” i Delegiranu uredbu (EU) …/… (Ured za publikacije: unijeti upućivanje na regulatorni tehnički standard o SA-u) ili „regulatorni tehnički standard o SA-u”. Ako se tekst odnosi na definicije utvrđene u Delegiranoj uredbi (EU) …/… (Ured za publikacije: unijeti upućivanje na regulatorni tehnički standard o SA-u), te se definicije primjenjuju na sve institucije koje izvješćuju (a ne samo na one koje primjenjuju SA).</w:t>
      </w:r>
    </w:p>
    <w:p w14:paraId="6E98BFAD" w14:textId="6539675D" w:rsidR="000F5488" w:rsidRPr="003E2C48" w:rsidRDefault="008270ED" w:rsidP="00430DF0">
      <w:pPr>
        <w:suppressAutoHyphens/>
        <w:rPr>
          <w:rFonts w:ascii="Times New Roman" w:hAnsi="Times New Roman"/>
          <w:noProof/>
          <w:sz w:val="24"/>
        </w:rPr>
      </w:pPr>
      <w:r w:rsidRPr="003E2C48">
        <w:rPr>
          <w:rFonts w:ascii="Times New Roman" w:hAnsi="Times New Roman"/>
          <w:noProof/>
          <w:sz w:val="24"/>
        </w:rPr>
        <w:t>7.2.</w:t>
      </w:r>
      <w:r w:rsidRPr="003E2C48">
        <w:rPr>
          <w:rFonts w:ascii="Times New Roman" w:hAnsi="Times New Roman"/>
          <w:noProof/>
          <w:sz w:val="24"/>
        </w:rPr>
        <w:tab/>
        <w:t>Definicije iz članka 1. Delegirane uredbe (EU) …/… (Ured za publikacije: unijeti upućivanje na regulatorni tehnički standard o SA-u) primjenjuju se na ovaj Prilog.</w:t>
      </w:r>
    </w:p>
    <w:p w14:paraId="3E52DFA5" w14:textId="77777777" w:rsidR="00194120" w:rsidRPr="003E2C48"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sidRPr="003E2C48">
        <w:rPr>
          <w:noProof/>
        </w:rPr>
        <w:br w:type="page"/>
      </w:r>
    </w:p>
    <w:p w14:paraId="039B9D1F" w14:textId="6E355974" w:rsidR="002648B0" w:rsidRPr="003E2C48" w:rsidRDefault="002648B0" w:rsidP="00430DF0">
      <w:pPr>
        <w:pStyle w:val="Heading2"/>
        <w:suppressAutoHyphens/>
        <w:rPr>
          <w:noProof/>
        </w:rPr>
      </w:pPr>
      <w:bookmarkStart w:id="29" w:name="_Toc160197927"/>
      <w:r w:rsidRPr="003E2C48">
        <w:rPr>
          <w:noProof/>
        </w:rPr>
        <w:t>DIO II.: PROCJENA IRRBB-A: SOT za EVE/NII i PROMJENE MV-a</w:t>
      </w:r>
      <w:bookmarkEnd w:id="27"/>
      <w:bookmarkEnd w:id="28"/>
      <w:r w:rsidRPr="003E2C48">
        <w:rPr>
          <w:noProof/>
        </w:rPr>
        <w:t xml:space="preserve"> (J 01.00)</w:t>
      </w:r>
      <w:bookmarkEnd w:id="29"/>
    </w:p>
    <w:p w14:paraId="5E8C221B" w14:textId="1A9ECE3A" w:rsidR="002648B0" w:rsidRPr="003E2C48"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97928"/>
      <w:r w:rsidRPr="003E2C48">
        <w:rPr>
          <w:b/>
          <w:noProof/>
          <w:sz w:val="24"/>
        </w:rPr>
        <w:t>1.</w:t>
      </w:r>
      <w:r w:rsidRPr="003E2C48">
        <w:rPr>
          <w:b/>
          <w:noProof/>
          <w:sz w:val="24"/>
        </w:rPr>
        <w:tab/>
        <w:t>Opće napomene</w:t>
      </w:r>
      <w:bookmarkEnd w:id="30"/>
      <w:bookmarkEnd w:id="31"/>
      <w:bookmarkEnd w:id="32"/>
      <w:bookmarkEnd w:id="33"/>
    </w:p>
    <w:p w14:paraId="058939E3" w14:textId="4759F0EB" w:rsidR="009E536A" w:rsidRPr="003E2C48" w:rsidRDefault="008270ED" w:rsidP="00430DF0">
      <w:pPr>
        <w:tabs>
          <w:tab w:val="left" w:pos="567"/>
        </w:tabs>
        <w:suppressAutoHyphens/>
        <w:rPr>
          <w:rFonts w:ascii="Times New Roman" w:hAnsi="Times New Roman"/>
          <w:noProof/>
          <w:sz w:val="24"/>
        </w:rPr>
      </w:pPr>
      <w:r w:rsidRPr="003E2C48">
        <w:rPr>
          <w:rFonts w:ascii="Times New Roman" w:hAnsi="Times New Roman"/>
          <w:noProof/>
          <w:sz w:val="24"/>
        </w:rPr>
        <w:t>1.1.</w:t>
      </w:r>
      <w:r w:rsidRPr="003E2C48">
        <w:rPr>
          <w:rFonts w:ascii="Times New Roman" w:hAnsi="Times New Roman"/>
          <w:noProof/>
          <w:sz w:val="24"/>
        </w:rPr>
        <w:tab/>
        <w:t xml:space="preserve">Obrazac J 01.00 sadržava razine i promjene vrijednosti EVE (ΔEVE) te razine i promjene vrijednosti NII (ΔNII), izračunane kako je utvrđeno u </w:t>
      </w:r>
      <w:bookmarkStart w:id="34" w:name="_Hlk148976351"/>
      <w:r w:rsidRPr="003E2C48">
        <w:rPr>
          <w:rFonts w:ascii="Times New Roman" w:hAnsi="Times New Roman"/>
          <w:noProof/>
          <w:sz w:val="24"/>
        </w:rPr>
        <w:t xml:space="preserve">Delegiranoj uredbi (EU) …/… (Ured za publikacije: unijeti upućivanje na </w:t>
      </w:r>
      <w:bookmarkEnd w:id="34"/>
      <w:r w:rsidRPr="003E2C48">
        <w:rPr>
          <w:rFonts w:ascii="Times New Roman" w:hAnsi="Times New Roman"/>
          <w:noProof/>
          <w:sz w:val="24"/>
        </w:rPr>
        <w:t xml:space="preserve">regulatorni tehnički standard o SOT-u) te razinu i promjene vrijednosti MV, izračunane prema internim kriterijima upravljanja rizikom, uzimajući u obzir jednogodišnje razdoblje i pretpostavku konstantne bilance. Među ostalim sadržava određenu veličinu šokova kamatnih stopa za valute koje se ne navode u dijelu A Priloga Delegiranoj uredbi (EU) …/… (Ured za publikacije: unijeti upućivanje na regulatorni tehnički standard o SOT-u) i omjere ΔEVE i ΔNII u odnosu na osnovni kapital u skladu s člankom 25. Uredbe (EU) br. 575/2013, ΔEVE i ΔNII prema najgorim scenarijima i razini EVE i NII prema osnovnom scenariju te ΔEVE, ΔNII i ΔMV prema određenim scenarijima šoka regulatornih kamatnih stopa. </w:t>
      </w:r>
    </w:p>
    <w:p w14:paraId="6EACD58F" w14:textId="5AB9AC60" w:rsidR="003F1439" w:rsidRPr="003E2C48" w:rsidRDefault="008270ED" w:rsidP="00430DF0">
      <w:pPr>
        <w:tabs>
          <w:tab w:val="left" w:pos="567"/>
        </w:tabs>
        <w:suppressAutoHyphens/>
        <w:rPr>
          <w:rFonts w:ascii="Times New Roman" w:hAnsi="Times New Roman"/>
          <w:noProof/>
          <w:sz w:val="24"/>
        </w:rPr>
      </w:pPr>
      <w:r w:rsidRPr="003E2C48">
        <w:rPr>
          <w:rFonts w:ascii="Times New Roman" w:hAnsi="Times New Roman"/>
          <w:noProof/>
          <w:sz w:val="24"/>
        </w:rPr>
        <w:t>1.2.</w:t>
      </w:r>
      <w:r w:rsidRPr="003E2C48">
        <w:rPr>
          <w:rFonts w:ascii="Times New Roman" w:hAnsi="Times New Roman"/>
          <w:noProof/>
          <w:sz w:val="24"/>
        </w:rPr>
        <w:tab/>
        <w:t xml:space="preserve">Taj se obrazac dostavlja zasebno za svaku valutu uključenu u izračun SOT-a u skladu s člankom 1. stavcima 3. i 4. Delegirane uredbe (EU) …/… (Ured za publikacije: unijeti upućivanje na regulatorni tehnički standard o SOT-u) te za zbroj svih valuta na koje se primjenjuje članak 1. stavak 4. te delegirane uredbe. Pri izračunu ukupnih promjena (za sve valute) za svaki scenarij šoka kamatnih stopa primjenjuje se članak 3. stavak 8. Delegirane uredbe (EU) …/… (Ured za publikacije: unijeti upućivanje na regulatorni tehnički standard o SOT-u). </w:t>
      </w:r>
    </w:p>
    <w:p w14:paraId="1640AAF5" w14:textId="0B192E8A" w:rsidR="002648B0" w:rsidRPr="003E2C48"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97929"/>
      <w:bookmarkEnd w:id="35"/>
      <w:bookmarkEnd w:id="36"/>
      <w:bookmarkEnd w:id="37"/>
      <w:bookmarkEnd w:id="38"/>
      <w:bookmarkEnd w:id="39"/>
      <w:bookmarkEnd w:id="40"/>
      <w:bookmarkEnd w:id="41"/>
      <w:bookmarkEnd w:id="42"/>
      <w:r w:rsidRPr="003E2C48">
        <w:rPr>
          <w:b/>
          <w:noProof/>
          <w:sz w:val="24"/>
        </w:rPr>
        <w:t>2.</w:t>
      </w:r>
      <w:r w:rsidRPr="003E2C48">
        <w:rPr>
          <w:b/>
          <w:noProof/>
          <w:sz w:val="24"/>
        </w:rPr>
        <w:tab/>
        <w:t xml:space="preserve">Upute za specifične </w:t>
      </w:r>
      <w:bookmarkEnd w:id="43"/>
      <w:bookmarkEnd w:id="44"/>
      <w:r w:rsidRPr="003E2C48">
        <w:rPr>
          <w:b/>
          <w:noProof/>
          <w:sz w:val="24"/>
        </w:rPr>
        <w:t>pozicije</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3E2C48" w14:paraId="0146FE7A" w14:textId="77777777" w:rsidTr="63452C95">
        <w:tc>
          <w:tcPr>
            <w:tcW w:w="1129" w:type="dxa"/>
            <w:shd w:val="clear" w:color="auto" w:fill="D9D9D9" w:themeFill="background1" w:themeFillShade="D9"/>
          </w:tcPr>
          <w:bookmarkEnd w:id="0"/>
          <w:bookmarkEnd w:id="1"/>
          <w:p w14:paraId="285A3474" w14:textId="77777777" w:rsidR="009F50A3" w:rsidRPr="003E2C48" w:rsidRDefault="009F50A3" w:rsidP="003C575D">
            <w:pPr>
              <w:pStyle w:val="InstructionsText"/>
              <w:rPr>
                <w:rStyle w:val="InstructionsTabelleText"/>
                <w:rFonts w:ascii="Times New Roman" w:eastAsia="Arial" w:hAnsi="Times New Roman"/>
                <w:noProof/>
                <w:sz w:val="24"/>
              </w:rPr>
            </w:pPr>
            <w:r w:rsidRPr="003E2C48">
              <w:rPr>
                <w:rStyle w:val="InstructionsTabelleText"/>
                <w:rFonts w:ascii="Times New Roman" w:hAnsi="Times New Roman"/>
                <w:noProof/>
                <w:sz w:val="24"/>
              </w:rPr>
              <w:t>Redak</w:t>
            </w:r>
          </w:p>
        </w:tc>
        <w:tc>
          <w:tcPr>
            <w:tcW w:w="7620" w:type="dxa"/>
            <w:shd w:val="clear" w:color="auto" w:fill="D9D9D9" w:themeFill="background1" w:themeFillShade="D9"/>
          </w:tcPr>
          <w:p w14:paraId="279B0622" w14:textId="438CF73E" w:rsidR="009F50A3" w:rsidRPr="003E2C48" w:rsidRDefault="009F50A3" w:rsidP="003C575D">
            <w:pPr>
              <w:pStyle w:val="InstructionsText"/>
              <w:rPr>
                <w:rStyle w:val="InstructionsTabelleText"/>
                <w:rFonts w:ascii="Times New Roman" w:hAnsi="Times New Roman"/>
                <w:bCs/>
                <w:noProof/>
                <w:sz w:val="24"/>
              </w:rPr>
            </w:pPr>
            <w:r w:rsidRPr="003E2C48">
              <w:rPr>
                <w:rStyle w:val="InstructionsTabelleText"/>
                <w:rFonts w:ascii="Times New Roman" w:hAnsi="Times New Roman"/>
                <w:noProof/>
                <w:sz w:val="24"/>
              </w:rPr>
              <w:t>Pravna osnova i upute</w:t>
            </w:r>
          </w:p>
        </w:tc>
      </w:tr>
      <w:tr w:rsidR="009F50A3" w:rsidRPr="003E2C48" w14:paraId="7FD2A05C" w14:textId="77777777" w:rsidTr="63452C95">
        <w:tc>
          <w:tcPr>
            <w:tcW w:w="1129" w:type="dxa"/>
          </w:tcPr>
          <w:p w14:paraId="007928D7" w14:textId="440B3C20" w:rsidR="009F50A3" w:rsidRPr="003E2C48" w:rsidRDefault="6AA5F513"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0010 do 0090</w:t>
            </w:r>
          </w:p>
        </w:tc>
        <w:tc>
          <w:tcPr>
            <w:tcW w:w="7620" w:type="dxa"/>
          </w:tcPr>
          <w:p w14:paraId="25526098" w14:textId="3A2A11C6" w:rsidR="00D75F04" w:rsidRPr="003E2C48" w:rsidRDefault="00D75F04"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Ekonomska vrijednost vlasničkog kapitala</w:t>
            </w:r>
          </w:p>
          <w:p w14:paraId="4C6CAA6B" w14:textId="1494972D" w:rsidR="009F50A3" w:rsidRPr="003E2C48" w:rsidRDefault="700069C0" w:rsidP="003C575D">
            <w:pPr>
              <w:pStyle w:val="InstructionsText"/>
              <w:rPr>
                <w:rStyle w:val="FormatvorlageInstructionsTabelleText"/>
                <w:rFonts w:ascii="Times New Roman" w:hAnsi="Times New Roman"/>
                <w:noProof/>
                <w:sz w:val="24"/>
              </w:rPr>
            </w:pPr>
            <w:r w:rsidRPr="003E2C48">
              <w:rPr>
                <w:rStyle w:val="InstructionsTabelleberschrift"/>
                <w:rFonts w:ascii="Times New Roman" w:hAnsi="Times New Roman"/>
                <w:b w:val="0"/>
                <w:noProof/>
                <w:sz w:val="24"/>
                <w:u w:val="none"/>
              </w:rPr>
              <w:t xml:space="preserve">Procjene vrijednosti EVE izračunane u skladu s </w:t>
            </w:r>
            <w:r w:rsidRPr="003E2C48">
              <w:rPr>
                <w:noProof/>
              </w:rPr>
              <w:t xml:space="preserve">člankom 98. stavkom 5. točkom (a) Direktive 2013/36/EU i člancima od 1. do 3. Delegirane uredbe (EU) …/… (Ured za publikacije: unijeti upućivanje na </w:t>
            </w:r>
            <w:r w:rsidRPr="003E2C48">
              <w:rPr>
                <w:rStyle w:val="FormatvorlageInstructionsTabelleText"/>
                <w:rFonts w:ascii="Times New Roman" w:hAnsi="Times New Roman"/>
                <w:noProof/>
                <w:sz w:val="24"/>
              </w:rPr>
              <w:t>regulatorni tehnički standard o SOT-u)</w:t>
            </w:r>
            <w:r w:rsidRPr="003E2C48">
              <w:rPr>
                <w:noProof/>
              </w:rPr>
              <w:t>.</w:t>
            </w:r>
            <w:r w:rsidRPr="003E2C48">
              <w:rPr>
                <w:rStyle w:val="InstructionsTabelleberschrift"/>
                <w:rFonts w:ascii="Times New Roman" w:hAnsi="Times New Roman"/>
                <w:b w:val="0"/>
                <w:noProof/>
                <w:sz w:val="24"/>
                <w:u w:val="none"/>
              </w:rPr>
              <w:t xml:space="preserve"> Kad je riječ o pretpostavkama modela i parametara koje nisu navedene u članku 3. te delegirane uredbe, institucije te pretpostavke, tj. interne metode mjerenja, standardizirani pristup ili pojednostavnjeni standardizirani pristup, prema potrebi primjenjuju u mjerenju i upravljanju IRRBB-om. </w:t>
            </w:r>
          </w:p>
        </w:tc>
      </w:tr>
      <w:tr w:rsidR="009F50A3" w:rsidRPr="003E2C48" w14:paraId="051654EF" w14:textId="77777777" w:rsidTr="63452C95">
        <w:tc>
          <w:tcPr>
            <w:tcW w:w="1129" w:type="dxa"/>
          </w:tcPr>
          <w:p w14:paraId="4E5EF34A" w14:textId="2237A75A" w:rsidR="009F50A3" w:rsidRPr="003E2C48" w:rsidRDefault="009F50A3"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0010</w:t>
            </w:r>
          </w:p>
        </w:tc>
        <w:tc>
          <w:tcPr>
            <w:tcW w:w="7620" w:type="dxa"/>
          </w:tcPr>
          <w:p w14:paraId="029A2F02" w14:textId="382C8285" w:rsidR="00AB2DDE" w:rsidRPr="003E2C48" w:rsidRDefault="00AB2DD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EVE prema najgorem scenariju</w:t>
            </w:r>
          </w:p>
          <w:p w14:paraId="26DCF100" w14:textId="0D0C662A" w:rsidR="009F50A3" w:rsidRPr="003E2C48" w:rsidRDefault="7E74698B"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xml:space="preserve">Promjena vrijednosti EVE prema nadzornim scenarijima šoka iz </w:t>
            </w:r>
            <w:r w:rsidRPr="003E2C48">
              <w:rPr>
                <w:rStyle w:val="FormatvorlageInstructionsTabelleText"/>
                <w:rFonts w:ascii="Times New Roman" w:hAnsi="Times New Roman"/>
                <w:noProof/>
                <w:sz w:val="24"/>
              </w:rPr>
              <w:t>članka 1. stavka 1. Delegirane uredbe (EU) …/… (Ured za publikacije: unijeti upućivanje na regulatorni tehnički standard o SOT-u) koja uzrokuje najveći pad vrijednosti EVE. Najgori ishod među vrijednostima u redcima od 0040 do 0090 prijavljuje se u ovom retku.</w:t>
            </w:r>
          </w:p>
        </w:tc>
      </w:tr>
      <w:tr w:rsidR="00961B7D" w:rsidRPr="003E2C48" w14:paraId="5CD63A5C" w14:textId="77777777" w:rsidTr="63452C95">
        <w:tc>
          <w:tcPr>
            <w:tcW w:w="1129" w:type="dxa"/>
          </w:tcPr>
          <w:p w14:paraId="282662CB" w14:textId="7D4DB793" w:rsidR="00961B7D" w:rsidRPr="003E2C48" w:rsidRDefault="00961B7D"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0020</w:t>
            </w:r>
          </w:p>
        </w:tc>
        <w:tc>
          <w:tcPr>
            <w:tcW w:w="7620" w:type="dxa"/>
          </w:tcPr>
          <w:p w14:paraId="11DB2FA3" w14:textId="5E027A81" w:rsidR="00DA2DEA" w:rsidRPr="003E2C48" w:rsidRDefault="00DA2DEA"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Omjer ∆ EVE prema najgorem scenariju</w:t>
            </w:r>
          </w:p>
          <w:p w14:paraId="63A8C68F" w14:textId="43D2EE33" w:rsidR="00961B7D" w:rsidRPr="003E2C48" w:rsidRDefault="00502F70"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xml:space="preserve">Omjer vrijednosti iskazane u retku 0010 u odnosu na osnovni kapital utvrđen u skladu s člankom 25. </w:t>
            </w:r>
            <w:r w:rsidRPr="003E2C48">
              <w:rPr>
                <w:noProof/>
              </w:rPr>
              <w:t>Uredbe (EU) br. 575/2013</w:t>
            </w:r>
            <w:r w:rsidRPr="003E2C48">
              <w:rPr>
                <w:rStyle w:val="FormatvorlageInstructionsTabelleText"/>
                <w:rFonts w:ascii="Times New Roman" w:hAnsi="Times New Roman"/>
                <w:noProof/>
                <w:sz w:val="24"/>
              </w:rPr>
              <w:t xml:space="preserve">. </w:t>
            </w:r>
          </w:p>
        </w:tc>
      </w:tr>
      <w:tr w:rsidR="009F50A3" w:rsidRPr="003E2C48" w14:paraId="0935B40A" w14:textId="77777777" w:rsidTr="63452C95">
        <w:tc>
          <w:tcPr>
            <w:tcW w:w="1129" w:type="dxa"/>
          </w:tcPr>
          <w:p w14:paraId="44C516B0" w14:textId="2CF73B70" w:rsidR="009F50A3" w:rsidRPr="003E2C48" w:rsidRDefault="009F50A3"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0030 do 0090</w:t>
            </w:r>
          </w:p>
        </w:tc>
        <w:tc>
          <w:tcPr>
            <w:tcW w:w="7620" w:type="dxa"/>
          </w:tcPr>
          <w:p w14:paraId="4BF02F51" w14:textId="4BEE7C65" w:rsidR="00A737A0" w:rsidRPr="003E2C48" w:rsidRDefault="00915179"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EVE prema osnovnom i nadzornom scenariju šoka</w:t>
            </w:r>
          </w:p>
          <w:p w14:paraId="32EB5557" w14:textId="0E08FC89" w:rsidR="00F0435A" w:rsidRPr="003E2C48" w:rsidRDefault="004F1099" w:rsidP="003C575D">
            <w:pPr>
              <w:pStyle w:val="InstructionsText"/>
              <w:rPr>
                <w:rStyle w:val="FormatvorlageInstructionsTabelleText"/>
                <w:rFonts w:ascii="Times New Roman" w:hAnsi="Times New Roman"/>
                <w:noProof/>
                <w:sz w:val="24"/>
              </w:rPr>
            </w:pPr>
            <w:r w:rsidRPr="003E2C48">
              <w:rPr>
                <w:rStyle w:val="InstructionsTabelleberschrift"/>
                <w:rFonts w:ascii="Times New Roman" w:hAnsi="Times New Roman"/>
                <w:b w:val="0"/>
                <w:noProof/>
                <w:sz w:val="24"/>
                <w:u w:val="none"/>
              </w:rPr>
              <w:t xml:space="preserve">Razina vrijednosti EVE prema osnovnom scenariju i promjene EVE (tj. Δ EVE) prema nadzornim scenarijima šoka iz </w:t>
            </w:r>
            <w:r w:rsidRPr="003E2C48">
              <w:rPr>
                <w:rStyle w:val="FormatvorlageInstructionsTabelleText"/>
                <w:rFonts w:ascii="Times New Roman" w:hAnsi="Times New Roman"/>
                <w:noProof/>
                <w:sz w:val="24"/>
              </w:rPr>
              <w:t xml:space="preserve">članka 1. stavka 1. </w:t>
            </w:r>
            <w:r w:rsidRPr="003E2C48">
              <w:rPr>
                <w:noProof/>
              </w:rPr>
              <w:t xml:space="preserve">Delegirane uredbe (EU) …/… (Ured za publikacije: unijeti upućivanje na </w:t>
            </w:r>
            <w:r w:rsidRPr="003E2C48">
              <w:rPr>
                <w:rStyle w:val="FormatvorlageInstructionsTabelleText"/>
                <w:rFonts w:ascii="Times New Roman" w:hAnsi="Times New Roman"/>
                <w:noProof/>
                <w:sz w:val="24"/>
              </w:rPr>
              <w:t xml:space="preserve">regulatorni tehnički standard o SOT-u). </w:t>
            </w:r>
          </w:p>
        </w:tc>
      </w:tr>
      <w:tr w:rsidR="00B0203E" w:rsidRPr="003E2C48" w14:paraId="4655EFD3" w14:textId="77777777" w:rsidTr="63452C95">
        <w:tc>
          <w:tcPr>
            <w:tcW w:w="1129" w:type="dxa"/>
          </w:tcPr>
          <w:p w14:paraId="7B647AD7" w14:textId="3E7A916A" w:rsidR="00B0203E" w:rsidRPr="003E2C48" w:rsidRDefault="00B0203E"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0030</w:t>
            </w:r>
          </w:p>
        </w:tc>
        <w:tc>
          <w:tcPr>
            <w:tcW w:w="7620" w:type="dxa"/>
          </w:tcPr>
          <w:p w14:paraId="3EE65F05" w14:textId="004B6C51" w:rsidR="00B0203E" w:rsidRPr="003E2C48" w:rsidRDefault="00915179"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Razina EVE prema osnovnom scenariju</w:t>
            </w:r>
          </w:p>
          <w:p w14:paraId="58C9873C" w14:textId="4D13F981" w:rsidR="00B0203E" w:rsidRPr="003E2C48" w:rsidDel="00D1769D" w:rsidRDefault="00B0203E"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Razina vrijednosti EVE prema osnovnim scenarijima kamatnih stopa na referentni datum.</w:t>
            </w:r>
          </w:p>
        </w:tc>
      </w:tr>
      <w:tr w:rsidR="00B0203E" w:rsidRPr="003E2C48" w14:paraId="12F10FB4" w14:textId="77777777" w:rsidTr="63452C95">
        <w:tc>
          <w:tcPr>
            <w:tcW w:w="1129" w:type="dxa"/>
          </w:tcPr>
          <w:p w14:paraId="6C489768" w14:textId="52CDBC80" w:rsidR="00B0203E" w:rsidRPr="003E2C48" w:rsidRDefault="00B0203E"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0040</w:t>
            </w:r>
          </w:p>
        </w:tc>
        <w:tc>
          <w:tcPr>
            <w:tcW w:w="7620" w:type="dxa"/>
          </w:tcPr>
          <w:p w14:paraId="0C32C6C1" w14:textId="688719F1" w:rsidR="00B0203E" w:rsidRPr="003E2C48" w:rsidRDefault="00B0203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EVE prema paralelnom šoku rasta</w:t>
            </w:r>
          </w:p>
          <w:p w14:paraId="75608591" w14:textId="2378525F" w:rsidR="00B0203E" w:rsidRPr="003E2C48" w:rsidRDefault="00B0203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xml:space="preserve">Promjena vrijednosti EVE prema scenariju „paralelnog šoka rasta” iz članka 1. stavka 1. točke (a) i članka 2. Delegirane uredbe (EU) …/… (Ured za publikacije: unijeti upućivanje na </w:t>
            </w:r>
            <w:r w:rsidRPr="003E2C48">
              <w:rPr>
                <w:rStyle w:val="FormatvorlageInstructionsTabelleText"/>
                <w:rFonts w:ascii="Times New Roman" w:hAnsi="Times New Roman"/>
                <w:noProof/>
                <w:sz w:val="24"/>
              </w:rPr>
              <w:t>regulatorni tehnički standard o SOT-u)</w:t>
            </w:r>
            <w:r w:rsidRPr="003E2C48">
              <w:rPr>
                <w:rStyle w:val="InstructionsTabelleberschrift"/>
                <w:rFonts w:ascii="Times New Roman" w:hAnsi="Times New Roman"/>
                <w:b w:val="0"/>
                <w:noProof/>
                <w:sz w:val="24"/>
                <w:u w:val="none"/>
              </w:rPr>
              <w:t>.</w:t>
            </w:r>
          </w:p>
        </w:tc>
      </w:tr>
      <w:tr w:rsidR="00B0203E" w:rsidRPr="003E2C48" w14:paraId="702A109C" w14:textId="77777777" w:rsidTr="63452C95">
        <w:tc>
          <w:tcPr>
            <w:tcW w:w="1129" w:type="dxa"/>
          </w:tcPr>
          <w:p w14:paraId="44F421F7" w14:textId="0277BBF5" w:rsidR="00B0203E" w:rsidRPr="003E2C48" w:rsidRDefault="00B0203E"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0050</w:t>
            </w:r>
          </w:p>
        </w:tc>
        <w:tc>
          <w:tcPr>
            <w:tcW w:w="7620" w:type="dxa"/>
          </w:tcPr>
          <w:p w14:paraId="50EC282B" w14:textId="08276C58" w:rsidR="00B0203E" w:rsidRPr="003E2C48" w:rsidRDefault="00B0203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EVE prema paralelnom šoku pada</w:t>
            </w:r>
          </w:p>
          <w:p w14:paraId="615E0D1E" w14:textId="270239A5" w:rsidR="00B0203E" w:rsidRPr="003E2C48" w:rsidRDefault="00B0203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xml:space="preserve">Promjena vrijednosti EVE prema scenariju „paralelnog šoka pada” iz članka 1. stavka 1. točke (b) i članka 2. </w:t>
            </w:r>
            <w:r w:rsidRPr="003E2C48">
              <w:rPr>
                <w:noProof/>
              </w:rPr>
              <w:t xml:space="preserve"> </w:t>
            </w:r>
            <w:r w:rsidRPr="003E2C48">
              <w:rPr>
                <w:rStyle w:val="InstructionsTabelleberschrift"/>
                <w:rFonts w:ascii="Times New Roman" w:hAnsi="Times New Roman"/>
                <w:b w:val="0"/>
                <w:noProof/>
                <w:sz w:val="24"/>
                <w:u w:val="none"/>
              </w:rPr>
              <w:t>Delegirane uredbe (EU) …/… (Ured za publikacije: unijeti upućivanje na</w:t>
            </w:r>
            <w:r w:rsidR="003E2C48">
              <w:rPr>
                <w:rStyle w:val="InstructionsTabelleberschrift"/>
                <w:rFonts w:ascii="Times New Roman" w:hAnsi="Times New Roman"/>
                <w:b w:val="0"/>
                <w:noProof/>
                <w:sz w:val="24"/>
                <w:u w:val="none"/>
              </w:rPr>
              <w:t xml:space="preserve"> </w:t>
            </w:r>
            <w:r w:rsidRPr="003E2C48">
              <w:rPr>
                <w:rStyle w:val="FormatvorlageInstructionsTabelleText"/>
                <w:rFonts w:ascii="Times New Roman" w:hAnsi="Times New Roman"/>
                <w:noProof/>
                <w:sz w:val="24"/>
              </w:rPr>
              <w:t>regulatorni tehnički standard o SOT-u)</w:t>
            </w:r>
            <w:r w:rsidRPr="003E2C48">
              <w:rPr>
                <w:rStyle w:val="InstructionsTabelleberschrift"/>
                <w:rFonts w:ascii="Times New Roman" w:hAnsi="Times New Roman"/>
                <w:b w:val="0"/>
                <w:noProof/>
                <w:sz w:val="24"/>
                <w:u w:val="none"/>
              </w:rPr>
              <w:t>.</w:t>
            </w:r>
          </w:p>
        </w:tc>
      </w:tr>
      <w:tr w:rsidR="00B0203E" w:rsidRPr="003E2C48" w14:paraId="78C9A080" w14:textId="77777777" w:rsidTr="63452C95">
        <w:tc>
          <w:tcPr>
            <w:tcW w:w="1129" w:type="dxa"/>
          </w:tcPr>
          <w:p w14:paraId="18CC3346" w14:textId="76476D8B" w:rsidR="00B0203E" w:rsidRPr="003E2C48" w:rsidRDefault="00B0203E"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0060</w:t>
            </w:r>
          </w:p>
        </w:tc>
        <w:tc>
          <w:tcPr>
            <w:tcW w:w="7620" w:type="dxa"/>
          </w:tcPr>
          <w:p w14:paraId="1C40E806" w14:textId="3E9C0900" w:rsidR="00B0203E" w:rsidRPr="003E2C48" w:rsidRDefault="00B0203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EVE prema šoku nakošenja</w:t>
            </w:r>
          </w:p>
          <w:p w14:paraId="2E2C691F" w14:textId="06179B82" w:rsidR="00B0203E" w:rsidRPr="003E2C48" w:rsidRDefault="00B0203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xml:space="preserve">Promjena vrijednosti EVE prema scenariju „šoka nakošenja” iz članka 1. stavka 1. točke (c) i članka 2. Delegirane uredbe (EU) …/… (Ured za publikacije: </w:t>
            </w:r>
            <w:r w:rsidRPr="003E2C48">
              <w:rPr>
                <w:rStyle w:val="FormatvorlageInstructionsTabelleText"/>
                <w:rFonts w:ascii="Times New Roman" w:hAnsi="Times New Roman"/>
                <w:noProof/>
                <w:sz w:val="24"/>
              </w:rPr>
              <w:t>regulatorni tehnički standard o SOT-u)</w:t>
            </w:r>
            <w:r w:rsidRPr="003E2C48">
              <w:rPr>
                <w:rStyle w:val="InstructionsTabelleberschrift"/>
                <w:rFonts w:ascii="Times New Roman" w:hAnsi="Times New Roman"/>
                <w:b w:val="0"/>
                <w:noProof/>
                <w:sz w:val="24"/>
                <w:u w:val="none"/>
              </w:rPr>
              <w:t>.</w:t>
            </w:r>
          </w:p>
        </w:tc>
      </w:tr>
      <w:tr w:rsidR="00B0203E" w:rsidRPr="003E2C48" w14:paraId="7C9E2FFE" w14:textId="77777777" w:rsidTr="63452C95">
        <w:tc>
          <w:tcPr>
            <w:tcW w:w="1129" w:type="dxa"/>
          </w:tcPr>
          <w:p w14:paraId="6A1F5153" w14:textId="1A480960" w:rsidR="00B0203E" w:rsidRPr="003E2C48" w:rsidRDefault="00B0203E"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0070</w:t>
            </w:r>
          </w:p>
        </w:tc>
        <w:tc>
          <w:tcPr>
            <w:tcW w:w="7620" w:type="dxa"/>
          </w:tcPr>
          <w:p w14:paraId="6EB8CC03" w14:textId="5C10E606" w:rsidR="00B0203E" w:rsidRPr="003E2C48" w:rsidRDefault="00B0203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EVE prema šoku izravnanja</w:t>
            </w:r>
          </w:p>
          <w:p w14:paraId="1576761F" w14:textId="18F1A510" w:rsidR="00B0203E" w:rsidRPr="003E2C48" w:rsidRDefault="00B0203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xml:space="preserve">Promjena vrijednosti EVE prema scenariju „šoka izravnanja” iz članka 1. stavka 1. točke (d) i članka 2. Delegirane uredbe (EU) …/… (Ured za publikacije: unijeti upućivanje na </w:t>
            </w:r>
            <w:r w:rsidRPr="003E2C48">
              <w:rPr>
                <w:rStyle w:val="FormatvorlageInstructionsTabelleText"/>
                <w:rFonts w:ascii="Times New Roman" w:hAnsi="Times New Roman"/>
                <w:noProof/>
                <w:sz w:val="24"/>
              </w:rPr>
              <w:t>regulatorni tehnički standard o SOT-u)</w:t>
            </w:r>
            <w:r w:rsidRPr="003E2C48">
              <w:rPr>
                <w:rStyle w:val="InstructionsTabelleberschrift"/>
                <w:rFonts w:ascii="Times New Roman" w:hAnsi="Times New Roman"/>
                <w:b w:val="0"/>
                <w:noProof/>
                <w:sz w:val="24"/>
                <w:u w:val="none"/>
              </w:rPr>
              <w:t>.</w:t>
            </w:r>
          </w:p>
        </w:tc>
      </w:tr>
      <w:tr w:rsidR="00B0203E" w:rsidRPr="003E2C48" w14:paraId="1F1952CB" w14:textId="77777777" w:rsidTr="63452C95">
        <w:tc>
          <w:tcPr>
            <w:tcW w:w="1129" w:type="dxa"/>
          </w:tcPr>
          <w:p w14:paraId="5BA40DF8" w14:textId="55480F05" w:rsidR="00B0203E" w:rsidRPr="003E2C48" w:rsidRDefault="00B0203E"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0080</w:t>
            </w:r>
          </w:p>
        </w:tc>
        <w:tc>
          <w:tcPr>
            <w:tcW w:w="7620" w:type="dxa"/>
          </w:tcPr>
          <w:p w14:paraId="1F89F092" w14:textId="5753FF57" w:rsidR="00B0203E" w:rsidRPr="003E2C48" w:rsidRDefault="00B0203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EVE prema šoku rasta kratkoročnih kamatnih stopa</w:t>
            </w:r>
          </w:p>
          <w:p w14:paraId="30FAC30B" w14:textId="1D74F175" w:rsidR="00B0203E" w:rsidRPr="003E2C48" w:rsidRDefault="00B0203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xml:space="preserve">Promjena vrijednosti EVE prema scenariju „šoka rasta kratkoročnih kamatnih stopa” iz članka 1. stavka 1. točke (e) i članka 2. Delegirane uredbe (EU) …/… (Ured za publikacije: unijeti upućivanje na </w:t>
            </w:r>
            <w:r w:rsidRPr="003E2C48">
              <w:rPr>
                <w:rStyle w:val="FormatvorlageInstructionsTabelleText"/>
                <w:rFonts w:ascii="Times New Roman" w:hAnsi="Times New Roman"/>
                <w:noProof/>
                <w:sz w:val="24"/>
              </w:rPr>
              <w:t>regulatorni tehnički standard o SOT-u)</w:t>
            </w:r>
            <w:r w:rsidRPr="003E2C48">
              <w:rPr>
                <w:rStyle w:val="InstructionsTabelleberschrift"/>
                <w:rFonts w:ascii="Times New Roman" w:hAnsi="Times New Roman"/>
                <w:b w:val="0"/>
                <w:noProof/>
                <w:sz w:val="24"/>
                <w:u w:val="none"/>
              </w:rPr>
              <w:t>.</w:t>
            </w:r>
          </w:p>
        </w:tc>
      </w:tr>
      <w:tr w:rsidR="00B0203E" w:rsidRPr="003E2C48" w14:paraId="25C6DF7C" w14:textId="77777777" w:rsidTr="63452C95">
        <w:tc>
          <w:tcPr>
            <w:tcW w:w="1129" w:type="dxa"/>
          </w:tcPr>
          <w:p w14:paraId="2989E866" w14:textId="5909BE30" w:rsidR="00B0203E" w:rsidRPr="003E2C48" w:rsidRDefault="00B0203E"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0090</w:t>
            </w:r>
          </w:p>
        </w:tc>
        <w:tc>
          <w:tcPr>
            <w:tcW w:w="7620" w:type="dxa"/>
          </w:tcPr>
          <w:p w14:paraId="0350345A" w14:textId="21B26679" w:rsidR="00B0203E" w:rsidRPr="003E2C48" w:rsidRDefault="00B0203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EVE – šok pada kratkoročnih kamatnih stopa</w:t>
            </w:r>
          </w:p>
          <w:p w14:paraId="25CC32D5" w14:textId="55B86440" w:rsidR="00B0203E" w:rsidRPr="003E2C48" w:rsidRDefault="00B0203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xml:space="preserve">Promjena vrijednosti EVE prema scenariju „šoka pada kratkoročnih kamatnih stopa” iz članka 1. stavka 1. točke (f) i članka 2. Delegirane uredbe (EU) …/… (Ured za publikacije: unijeti upućivanje na </w:t>
            </w:r>
            <w:r w:rsidRPr="003E2C48">
              <w:rPr>
                <w:rStyle w:val="FormatvorlageInstructionsTabelleText"/>
                <w:rFonts w:ascii="Times New Roman" w:hAnsi="Times New Roman"/>
                <w:noProof/>
                <w:sz w:val="24"/>
              </w:rPr>
              <w:t>regulatorni tehnički standard o SOT-u)</w:t>
            </w:r>
            <w:r w:rsidRPr="003E2C48">
              <w:rPr>
                <w:rStyle w:val="InstructionsTabelleberschrift"/>
                <w:rFonts w:ascii="Times New Roman" w:hAnsi="Times New Roman"/>
                <w:b w:val="0"/>
                <w:noProof/>
                <w:sz w:val="24"/>
                <w:u w:val="none"/>
              </w:rPr>
              <w:t>.</w:t>
            </w:r>
          </w:p>
        </w:tc>
      </w:tr>
      <w:tr w:rsidR="00B0203E" w:rsidRPr="003E2C48" w14:paraId="550C7814" w14:textId="77777777" w:rsidTr="63452C95">
        <w:tc>
          <w:tcPr>
            <w:tcW w:w="1129" w:type="dxa"/>
          </w:tcPr>
          <w:p w14:paraId="5978642C" w14:textId="7A907FB3" w:rsidR="00B0203E" w:rsidRPr="003E2C48" w:rsidRDefault="00B0203E"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0100 do 0140</w:t>
            </w:r>
          </w:p>
        </w:tc>
        <w:tc>
          <w:tcPr>
            <w:tcW w:w="7620" w:type="dxa"/>
          </w:tcPr>
          <w:p w14:paraId="4C372E56" w14:textId="1B90BE75" w:rsidR="00B0203E" w:rsidRPr="003E2C48" w:rsidRDefault="00B0203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Neto kamatni prihod</w:t>
            </w:r>
          </w:p>
          <w:p w14:paraId="5A9A4DA0" w14:textId="702C71B5" w:rsidR="00B0203E" w:rsidRPr="003E2C48" w:rsidRDefault="00B0203E"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xml:space="preserve">NII iz </w:t>
            </w:r>
            <w:r w:rsidRPr="003E2C48">
              <w:rPr>
                <w:noProof/>
              </w:rPr>
              <w:t xml:space="preserve">članka 98. stavka 5. točke (b) Direktive 2013/36/EU i članka 4. Delegirane uredbe (EU) …/… (Ured za publikacije: unijeti upućivanje na </w:t>
            </w:r>
            <w:r w:rsidRPr="003E2C48">
              <w:rPr>
                <w:rStyle w:val="FormatvorlageInstructionsTabelleText"/>
                <w:rFonts w:ascii="Times New Roman" w:hAnsi="Times New Roman"/>
                <w:noProof/>
                <w:sz w:val="24"/>
              </w:rPr>
              <w:t>regulatorni tehnički standard o SOT-u)</w:t>
            </w:r>
            <w:r w:rsidRPr="003E2C48">
              <w:rPr>
                <w:noProof/>
              </w:rPr>
              <w:t>.</w:t>
            </w:r>
            <w:r w:rsidRPr="003E2C48">
              <w:rPr>
                <w:rStyle w:val="InstructionsTabelleberschrift"/>
                <w:rFonts w:ascii="Times New Roman" w:hAnsi="Times New Roman"/>
                <w:b w:val="0"/>
                <w:noProof/>
                <w:sz w:val="24"/>
                <w:u w:val="none"/>
              </w:rPr>
              <w:t xml:space="preserve"> Kad je riječ o pretpostavkama modela i parametara koje nisu navedene u članku 4. te delegirane uredbe, institucije te pretpostavke, tj. interne metode mjerenja, standardizirani pristup ili pojednostavnjeni standardizirani pristup, prema potrebi primjenjuju u mjerenju i upravljanju IRRBB-om.</w:t>
            </w:r>
          </w:p>
          <w:p w14:paraId="1481DD1E" w14:textId="0736C1D5" w:rsidR="00A11939" w:rsidRPr="003E2C48" w:rsidRDefault="0008615C" w:rsidP="003C575D">
            <w:pPr>
              <w:pStyle w:val="InstructionsText"/>
              <w:rPr>
                <w:rStyle w:val="InstructionsTabelleberschrift"/>
                <w:rFonts w:ascii="Times New Roman" w:hAnsi="Times New Roman"/>
                <w:b w:val="0"/>
                <w:bCs w:val="0"/>
                <w:noProof/>
                <w:sz w:val="24"/>
                <w:u w:val="none"/>
              </w:rPr>
            </w:pPr>
            <w:r w:rsidRPr="003E2C48">
              <w:rPr>
                <w:rStyle w:val="FormatvorlageInstructionsTabelleText"/>
                <w:rFonts w:ascii="Times New Roman" w:hAnsi="Times New Roman"/>
                <w:noProof/>
                <w:sz w:val="24"/>
              </w:rPr>
              <w:t xml:space="preserve">Institucije razmatraju računovodstveni tretman zaštite (tj. računovodstvo zaštite) i ne uključuju učinke stavki iz članka 33. stavka 1. točke (a) </w:t>
            </w:r>
            <w:r w:rsidRPr="003E2C48">
              <w:rPr>
                <w:noProof/>
              </w:rPr>
              <w:t>Uredbe (EU) br. 575/2013</w:t>
            </w:r>
            <w:r w:rsidRPr="003E2C48">
              <w:rPr>
                <w:rStyle w:val="FormatvorlageInstructionsTabelleText"/>
                <w:rFonts w:ascii="Times New Roman" w:hAnsi="Times New Roman"/>
                <w:noProof/>
                <w:sz w:val="24"/>
              </w:rPr>
              <w:t>.</w:t>
            </w:r>
          </w:p>
        </w:tc>
      </w:tr>
      <w:tr w:rsidR="00B0203E" w:rsidRPr="003E2C48" w14:paraId="0F980DD4" w14:textId="77777777" w:rsidTr="63452C95">
        <w:tc>
          <w:tcPr>
            <w:tcW w:w="1129" w:type="dxa"/>
          </w:tcPr>
          <w:p w14:paraId="5A67693C" w14:textId="0253A2BF" w:rsidR="00B0203E" w:rsidRPr="003E2C48" w:rsidRDefault="00B0203E"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0100</w:t>
            </w:r>
          </w:p>
        </w:tc>
        <w:tc>
          <w:tcPr>
            <w:tcW w:w="7620" w:type="dxa"/>
          </w:tcPr>
          <w:p w14:paraId="1C6833A3" w14:textId="0DF22290" w:rsidR="00B0203E" w:rsidRPr="003E2C48" w:rsidRDefault="00B0203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NII prema najgorem scenariju</w:t>
            </w:r>
          </w:p>
          <w:p w14:paraId="0E312D00" w14:textId="5AB6AC0B" w:rsidR="00B0203E" w:rsidRPr="003E2C48" w:rsidRDefault="00B0203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xml:space="preserve">Promjena jednogodišnjeg NII-ja prema nadzornim scenarijima šoka iz </w:t>
            </w:r>
            <w:r w:rsidRPr="003E2C48">
              <w:rPr>
                <w:rStyle w:val="FormatvorlageInstructionsTabelleText"/>
                <w:rFonts w:ascii="Times New Roman" w:hAnsi="Times New Roman"/>
                <w:noProof/>
                <w:sz w:val="24"/>
              </w:rPr>
              <w:t>članka 1. stavka 2. Delegirane uredbe (EU) …/… (Ured za publikacije: unijeti upućivanje na regulatorni tehnički standard o SOT-u) koja uzrokuje najveći pad vrijednosti NII.</w:t>
            </w:r>
            <w:r w:rsidRPr="003E2C48">
              <w:rPr>
                <w:rStyle w:val="FormatvorlageInstructionsTabelleText"/>
                <w:rFonts w:ascii="Times New Roman" w:hAnsi="Times New Roman"/>
                <w:noProof/>
              </w:rPr>
              <w:t xml:space="preserve"> </w:t>
            </w:r>
            <w:r w:rsidRPr="003E2C48">
              <w:rPr>
                <w:rStyle w:val="FormatvorlageInstructionsTabelleText"/>
                <w:rFonts w:ascii="Times New Roman" w:hAnsi="Times New Roman"/>
                <w:noProof/>
                <w:sz w:val="24"/>
              </w:rPr>
              <w:t xml:space="preserve">Najgori ishod među vrijednostima u redcima od </w:t>
            </w:r>
            <w:r w:rsidRPr="003E2C48">
              <w:rPr>
                <w:rStyle w:val="InstructionsTabelleberschrift"/>
                <w:rFonts w:ascii="Times New Roman" w:hAnsi="Times New Roman"/>
                <w:b w:val="0"/>
                <w:noProof/>
                <w:sz w:val="24"/>
                <w:u w:val="none"/>
              </w:rPr>
              <w:t xml:space="preserve">0130 do 0140 </w:t>
            </w:r>
            <w:r w:rsidRPr="003E2C48">
              <w:rPr>
                <w:rStyle w:val="FormatvorlageInstructionsTabelleText"/>
                <w:rFonts w:ascii="Times New Roman" w:hAnsi="Times New Roman"/>
                <w:noProof/>
                <w:sz w:val="24"/>
              </w:rPr>
              <w:t>prijavljuje se u ovom retku.</w:t>
            </w:r>
            <w:r w:rsidRPr="003E2C48">
              <w:rPr>
                <w:rStyle w:val="InstructionsTabelleberschrift"/>
                <w:rFonts w:ascii="Times New Roman" w:hAnsi="Times New Roman"/>
                <w:b w:val="0"/>
                <w:noProof/>
                <w:sz w:val="24"/>
                <w:u w:val="none"/>
              </w:rPr>
              <w:t xml:space="preserve"> </w:t>
            </w:r>
          </w:p>
        </w:tc>
      </w:tr>
      <w:tr w:rsidR="009E5DE6" w:rsidRPr="003E2C48" w14:paraId="3F6F82BB" w14:textId="77777777" w:rsidTr="63452C95">
        <w:tc>
          <w:tcPr>
            <w:tcW w:w="1129" w:type="dxa"/>
          </w:tcPr>
          <w:p w14:paraId="3D3E8435" w14:textId="6C475191" w:rsidR="009E5DE6" w:rsidRPr="003E2C48" w:rsidRDefault="009E5DE6"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0110</w:t>
            </w:r>
          </w:p>
        </w:tc>
        <w:tc>
          <w:tcPr>
            <w:tcW w:w="7620" w:type="dxa"/>
          </w:tcPr>
          <w:p w14:paraId="7CED9633" w14:textId="512F2026" w:rsidR="00227983" w:rsidRPr="003E2C48" w:rsidRDefault="00F64CCF"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Omjer ∆ NII prema najgorem scenariju</w:t>
            </w:r>
          </w:p>
          <w:p w14:paraId="2262B2BB" w14:textId="035A73E6" w:rsidR="009E5DE6" w:rsidRPr="003E2C48" w:rsidRDefault="009E5DE6"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Omjer vrijednosti iskazane u retku 0100</w:t>
            </w:r>
            <w:r w:rsidRPr="003E2C48">
              <w:rPr>
                <w:noProof/>
              </w:rPr>
              <w:t xml:space="preserve"> u odnosu na osnovni kapital utvrđen u skladu s člankom 25. Uredbe (EU) br. 575/2013</w:t>
            </w:r>
            <w:r w:rsidRPr="003E2C48">
              <w:rPr>
                <w:rStyle w:val="InstructionsTabelleberschrift"/>
                <w:rFonts w:ascii="Times New Roman" w:hAnsi="Times New Roman"/>
                <w:b w:val="0"/>
                <w:noProof/>
                <w:sz w:val="24"/>
                <w:u w:val="none"/>
              </w:rPr>
              <w:t>.</w:t>
            </w:r>
          </w:p>
        </w:tc>
      </w:tr>
      <w:tr w:rsidR="009F50A3" w:rsidRPr="003E2C48" w14:paraId="3C0AB8F1" w14:textId="77777777" w:rsidTr="63452C95">
        <w:tc>
          <w:tcPr>
            <w:tcW w:w="1129" w:type="dxa"/>
          </w:tcPr>
          <w:p w14:paraId="575733AA" w14:textId="200097E1" w:rsidR="009F50A3" w:rsidRPr="003E2C48" w:rsidRDefault="009F50A3"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0120 do 0140</w:t>
            </w:r>
          </w:p>
        </w:tc>
        <w:tc>
          <w:tcPr>
            <w:tcW w:w="7620" w:type="dxa"/>
          </w:tcPr>
          <w:p w14:paraId="674E2DEC" w14:textId="79C7A2D5" w:rsidR="00F26924" w:rsidRPr="003E2C48" w:rsidRDefault="0085527D"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NII prema osnovnom i nadzornom scenariju šoka</w:t>
            </w:r>
          </w:p>
          <w:p w14:paraId="29D06DA2" w14:textId="401CE418" w:rsidR="001768A4" w:rsidRPr="003E2C48" w:rsidRDefault="00E115F2" w:rsidP="003C575D">
            <w:pPr>
              <w:pStyle w:val="InstructionsText"/>
              <w:rPr>
                <w:rStyle w:val="FormatvorlageInstructionsTabelleText"/>
                <w:rFonts w:ascii="Times New Roman" w:hAnsi="Times New Roman"/>
                <w:noProof/>
                <w:sz w:val="24"/>
              </w:rPr>
            </w:pPr>
            <w:r w:rsidRPr="003E2C48">
              <w:rPr>
                <w:rStyle w:val="InstructionsTabelleberschrift"/>
                <w:rFonts w:ascii="Times New Roman" w:hAnsi="Times New Roman"/>
                <w:b w:val="0"/>
                <w:noProof/>
                <w:sz w:val="24"/>
                <w:u w:val="none"/>
              </w:rPr>
              <w:t xml:space="preserve">Razina vrijednosti NII prema osnovnom scenariju Δ NII prema nadzornim scenarijima šoka iz </w:t>
            </w:r>
            <w:r w:rsidRPr="003E2C48">
              <w:rPr>
                <w:rStyle w:val="FormatvorlageInstructionsTabelleText"/>
                <w:rFonts w:ascii="Times New Roman" w:hAnsi="Times New Roman"/>
                <w:noProof/>
                <w:sz w:val="24"/>
              </w:rPr>
              <w:t>članka 1. stavka 2. Delegirane uredbe (EU) …/… (Ured za publikacije: unijeti upućivanje na regulatorni tehnički standard o SOT-u).</w:t>
            </w:r>
          </w:p>
        </w:tc>
      </w:tr>
      <w:tr w:rsidR="00B1769B" w:rsidRPr="003E2C48" w14:paraId="74B9F5A4" w14:textId="77777777" w:rsidTr="63452C95">
        <w:tc>
          <w:tcPr>
            <w:tcW w:w="1129" w:type="dxa"/>
          </w:tcPr>
          <w:p w14:paraId="6ACD054A" w14:textId="3334CDA1" w:rsidR="00B1769B" w:rsidRPr="003E2C48" w:rsidRDefault="00B1769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0120</w:t>
            </w:r>
          </w:p>
        </w:tc>
        <w:tc>
          <w:tcPr>
            <w:tcW w:w="7620" w:type="dxa"/>
          </w:tcPr>
          <w:p w14:paraId="5BBF8A3D" w14:textId="56061FD0" w:rsidR="00B1769B" w:rsidRPr="003E2C48" w:rsidRDefault="0085527D"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xml:space="preserve">Razina NII prema osnovnom scenariju </w:t>
            </w:r>
          </w:p>
          <w:p w14:paraId="5650CC49" w14:textId="440C8528" w:rsidR="00B1769B" w:rsidRPr="003E2C48" w:rsidDel="008C1F5D" w:rsidRDefault="00B1769B"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Razine vrijednosti NII prema osnovnom scenariju kamatnih stopa na referentni datum.</w:t>
            </w:r>
          </w:p>
        </w:tc>
      </w:tr>
      <w:tr w:rsidR="00B1769B" w:rsidRPr="003E2C48" w14:paraId="5A23CC83" w14:textId="77777777" w:rsidTr="63452C95">
        <w:tc>
          <w:tcPr>
            <w:tcW w:w="1129" w:type="dxa"/>
          </w:tcPr>
          <w:p w14:paraId="0265CE45" w14:textId="2A0AC21C" w:rsidR="00B1769B" w:rsidRPr="003E2C48" w:rsidRDefault="00B1769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0130</w:t>
            </w:r>
          </w:p>
        </w:tc>
        <w:tc>
          <w:tcPr>
            <w:tcW w:w="7620" w:type="dxa"/>
          </w:tcPr>
          <w:p w14:paraId="7CB62F0F" w14:textId="33A0680E" w:rsidR="00B1769B" w:rsidRPr="003E2C48" w:rsidRDefault="00B1769B"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NII prema paralelnom šoku rasta</w:t>
            </w:r>
          </w:p>
          <w:p w14:paraId="1B5D0209" w14:textId="280D8D7E" w:rsidR="00B1769B" w:rsidRPr="003E2C48" w:rsidRDefault="00B1769B" w:rsidP="003C575D">
            <w:pPr>
              <w:pStyle w:val="InstructionsText"/>
              <w:rPr>
                <w:rStyle w:val="InstructionsTabelleberschrift"/>
                <w:rFonts w:ascii="Times New Roman" w:hAnsi="Times New Roman"/>
                <w:b w:val="0"/>
                <w:noProof/>
                <w:sz w:val="24"/>
                <w:u w:val="none"/>
              </w:rPr>
            </w:pPr>
            <w:r w:rsidRPr="003E2C48">
              <w:rPr>
                <w:rStyle w:val="InstructionsTabelleberschrift"/>
                <w:rFonts w:ascii="Times New Roman" w:hAnsi="Times New Roman"/>
                <w:b w:val="0"/>
                <w:noProof/>
                <w:sz w:val="24"/>
                <w:u w:val="none"/>
              </w:rPr>
              <w:t xml:space="preserve">Promjena vrijednosti NII prema scenariju „paralelnog šoka rasta” iz članka 1. stavka 2. točke (a) i članka 2. Delegirane uredbe (EU) …/… (Ured za publikacije: unijeti upućivanje na </w:t>
            </w:r>
            <w:r w:rsidRPr="003E2C48">
              <w:rPr>
                <w:rStyle w:val="FormatvorlageInstructionsTabelleText"/>
                <w:rFonts w:ascii="Times New Roman" w:hAnsi="Times New Roman"/>
                <w:noProof/>
                <w:sz w:val="24"/>
              </w:rPr>
              <w:t>regulatorni tehnički standard o SOT-u)</w:t>
            </w:r>
            <w:r w:rsidRPr="003E2C48">
              <w:rPr>
                <w:rStyle w:val="InstructionsTabelleberschrift"/>
                <w:rFonts w:ascii="Times New Roman" w:hAnsi="Times New Roman"/>
                <w:b w:val="0"/>
                <w:noProof/>
                <w:sz w:val="24"/>
                <w:u w:val="none"/>
              </w:rPr>
              <w:t>.</w:t>
            </w:r>
          </w:p>
        </w:tc>
      </w:tr>
      <w:tr w:rsidR="00B1769B" w:rsidRPr="003E2C48" w14:paraId="3A41310B" w14:textId="77777777" w:rsidTr="63452C95">
        <w:tc>
          <w:tcPr>
            <w:tcW w:w="1129" w:type="dxa"/>
          </w:tcPr>
          <w:p w14:paraId="2A69B51A" w14:textId="0BBDEA22" w:rsidR="00B1769B" w:rsidRPr="003E2C48" w:rsidRDefault="00B1769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0140</w:t>
            </w:r>
          </w:p>
        </w:tc>
        <w:tc>
          <w:tcPr>
            <w:tcW w:w="7620" w:type="dxa"/>
          </w:tcPr>
          <w:p w14:paraId="0B1B3FB9" w14:textId="774696BD" w:rsidR="00B1769B" w:rsidRPr="003E2C48" w:rsidRDefault="00B1769B"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NII prema paralelnom šoku pada</w:t>
            </w:r>
          </w:p>
          <w:p w14:paraId="4D8674F1" w14:textId="517AA498" w:rsidR="00B1769B" w:rsidRPr="003E2C48" w:rsidRDefault="00B1769B"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xml:space="preserve">Promjena vrijednosti NII prema scenariju „paralelnog šoka pada” iz članka 1. stavka 2. točke (b) i članka 2. Delegirane uredbe (EU) …/… (Ured za publikacije: unijeti upućivanje na </w:t>
            </w:r>
            <w:r w:rsidRPr="003E2C48">
              <w:rPr>
                <w:rStyle w:val="FormatvorlageInstructionsTabelleText"/>
                <w:rFonts w:ascii="Times New Roman" w:hAnsi="Times New Roman"/>
                <w:noProof/>
                <w:sz w:val="24"/>
              </w:rPr>
              <w:t>regulatorni tehnički standard o SOT-u)</w:t>
            </w:r>
            <w:r w:rsidRPr="003E2C48">
              <w:rPr>
                <w:noProof/>
              </w:rPr>
              <w:t>.</w:t>
            </w:r>
          </w:p>
        </w:tc>
      </w:tr>
      <w:tr w:rsidR="00923153" w:rsidRPr="003E2C48" w14:paraId="5B99C8B8" w14:textId="77777777" w:rsidTr="63452C95">
        <w:tc>
          <w:tcPr>
            <w:tcW w:w="1129" w:type="dxa"/>
          </w:tcPr>
          <w:p w14:paraId="7203579F" w14:textId="7494CBB8" w:rsidR="00923153" w:rsidRPr="003E2C48" w:rsidRDefault="00923153"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0150 do 0170</w:t>
            </w:r>
          </w:p>
        </w:tc>
        <w:tc>
          <w:tcPr>
            <w:tcW w:w="7620" w:type="dxa"/>
          </w:tcPr>
          <w:p w14:paraId="094CEC13" w14:textId="51CFDCB3" w:rsidR="00923153" w:rsidRPr="003E2C48" w:rsidRDefault="001A01BB"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Promjene tržišne vrijednosti prema internom sustavu mjerenja</w:t>
            </w:r>
          </w:p>
          <w:p w14:paraId="2E5292E0" w14:textId="7A67CD3C" w:rsidR="007229C5" w:rsidRPr="003E2C48" w:rsidRDefault="007229C5"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MV prema osnovnom i nadzornom scenariju šoka</w:t>
            </w:r>
          </w:p>
          <w:p w14:paraId="67095171" w14:textId="39679898" w:rsidR="00923153" w:rsidRPr="003E2C48" w:rsidRDefault="00923153"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Predviđanja promjena knjigovodstvene vrijednosti MV (</w:t>
            </w:r>
            <w:r w:rsidRPr="003E2C48">
              <w:rPr>
                <w:rStyle w:val="FormatvorlageInstructionsTabelleText"/>
                <w:rFonts w:ascii="Times New Roman" w:hAnsi="Times New Roman"/>
                <w:b/>
                <w:noProof/>
                <w:sz w:val="24"/>
              </w:rPr>
              <w:t>∆</w:t>
            </w:r>
            <w:r w:rsidRPr="003E2C48">
              <w:rPr>
                <w:rStyle w:val="FormatvorlageInstructionsTabelleText"/>
                <w:rFonts w:ascii="Times New Roman" w:hAnsi="Times New Roman"/>
                <w:noProof/>
                <w:sz w:val="24"/>
              </w:rPr>
              <w:t>MV)</w:t>
            </w:r>
            <w:r w:rsidRPr="003E2C48">
              <w:rPr>
                <w:rStyle w:val="FormatvorlageInstructionsTabelleText"/>
                <w:rFonts w:ascii="Times New Roman" w:hAnsi="Times New Roman"/>
                <w:b/>
                <w:noProof/>
                <w:sz w:val="24"/>
              </w:rPr>
              <w:t xml:space="preserve"> </w:t>
            </w:r>
            <w:r w:rsidRPr="003E2C48">
              <w:rPr>
                <w:rStyle w:val="FormatvorlageInstructionsTabelleText"/>
                <w:rFonts w:ascii="Times New Roman" w:hAnsi="Times New Roman"/>
                <w:noProof/>
                <w:sz w:val="24"/>
              </w:rPr>
              <w:t xml:space="preserve">tijekom jednogodišnjeg razdoblja prema osnovnom i nadzornom scenariju šoka prikazuje se ili u računu dobiti i gubitka ili izravno u kapitalu (na primjer putem ostale sveobuhvatne dobiti). Institucije prijavljuju </w:t>
            </w:r>
            <w:r w:rsidRPr="003E2C48">
              <w:rPr>
                <w:rStyle w:val="InstructionsTabelleberschrift"/>
                <w:rFonts w:ascii="Times New Roman" w:hAnsi="Times New Roman"/>
                <w:noProof/>
                <w:sz w:val="24"/>
                <w:u w:val="none"/>
              </w:rPr>
              <w:t>∆</w:t>
            </w:r>
            <w:r w:rsidRPr="003E2C48">
              <w:rPr>
                <w:rStyle w:val="FormatvorlageInstructionsTabelleText"/>
                <w:rFonts w:ascii="Times New Roman" w:hAnsi="Times New Roman"/>
                <w:noProof/>
                <w:sz w:val="24"/>
              </w:rPr>
              <w:t xml:space="preserve">MV iz kojeg je isključen učinak računovodstvene zaštite (tj. računovodstvo zaštite) i ne uzimaju u obzir učinke stavki iz članka 33. stavka 1. točke (a) </w:t>
            </w:r>
            <w:r w:rsidRPr="003E2C48">
              <w:rPr>
                <w:noProof/>
              </w:rPr>
              <w:t>Uredbe (EU) br. 575/2013</w:t>
            </w:r>
            <w:r w:rsidRPr="003E2C48">
              <w:rPr>
                <w:rStyle w:val="FormatvorlageInstructionsTabelleText"/>
                <w:rFonts w:ascii="Times New Roman" w:hAnsi="Times New Roman"/>
                <w:noProof/>
                <w:sz w:val="24"/>
              </w:rPr>
              <w:t xml:space="preserve"> (efektivna komponenta izvedenica računovodstva zaštite novčanog toka kojima se štite stavke amortiziranog troška).</w:t>
            </w:r>
          </w:p>
          <w:p w14:paraId="6B865342" w14:textId="109448BB" w:rsidR="00923153" w:rsidRPr="003E2C48" w:rsidRDefault="00923153"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xml:space="preserve">Institucije primjenjuju predviđanja za ∆MV prema internom sustavu mjerenja IRRBB-a institucija ili, ako je primjenjivo, članak 22. Delegirane uredbe (EU) …/… (Ured za publikacije: unijeti upućivanje na regulatorni tehnički standard o SA-u) za nadzorne scenarije šoka iz </w:t>
            </w:r>
            <w:r w:rsidRPr="003E2C48">
              <w:rPr>
                <w:rStyle w:val="FormatvorlageInstructionsTabelleText"/>
                <w:rFonts w:ascii="Times New Roman" w:hAnsi="Times New Roman"/>
                <w:noProof/>
                <w:sz w:val="24"/>
              </w:rPr>
              <w:t xml:space="preserve">članka 1. stavka 2. Delegirane uredbe (EU) …/… (Ured za publikacije: unijeti upućivanje o regulatornom tehničkom standardu o SOT-u). </w:t>
            </w:r>
          </w:p>
          <w:p w14:paraId="24C4DC3D" w14:textId="23B6E2D6" w:rsidR="00923153" w:rsidRPr="003E2C48" w:rsidRDefault="00923153"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 xml:space="preserve">Ukupna veličina i sastav iznosa čija je vrijednost osjetljiva na </w:t>
            </w:r>
            <w:r w:rsidRPr="003E2C48">
              <w:rPr>
                <w:rStyle w:val="InstructionsTabelleberschrift"/>
                <w:rFonts w:ascii="Times New Roman" w:hAnsi="Times New Roman"/>
                <w:b w:val="0"/>
                <w:noProof/>
                <w:sz w:val="24"/>
                <w:u w:val="none"/>
              </w:rPr>
              <w:t>∆</w:t>
            </w:r>
            <w:r w:rsidRPr="003E2C48">
              <w:rPr>
                <w:rStyle w:val="FormatvorlageInstructionsTabelleText"/>
                <w:rFonts w:ascii="Times New Roman" w:hAnsi="Times New Roman"/>
                <w:noProof/>
                <w:sz w:val="24"/>
              </w:rPr>
              <w:t>MV održava se zamjenom instrumenata koji dospijevaju novim instrumentima s usporedivim značajkama (uključujući valutu i nominalni iznos instrumenata).</w:t>
            </w:r>
          </w:p>
          <w:p w14:paraId="536B6F4D" w14:textId="5656A60C" w:rsidR="00AF5A06" w:rsidRPr="003E2C48" w:rsidRDefault="00AF5A06"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 xml:space="preserve">Procjene rizika iz kojih se izvode relevantni parametri istovjetne su onima koje se koriste za izračun SOT-a, uključujući, ako je primjenjivo, bihevioralno modeliranje i </w:t>
            </w:r>
            <w:r w:rsidRPr="003E2C48">
              <w:rPr>
                <w:noProof/>
              </w:rPr>
              <w:t>automatsku opcionalnost.</w:t>
            </w:r>
          </w:p>
        </w:tc>
      </w:tr>
      <w:tr w:rsidR="00B42594" w:rsidRPr="003E2C48" w:rsidDel="008E0D48" w14:paraId="7AC6FA75" w14:textId="77777777" w:rsidTr="63452C95">
        <w:tc>
          <w:tcPr>
            <w:tcW w:w="1129" w:type="dxa"/>
          </w:tcPr>
          <w:p w14:paraId="4F73B923" w14:textId="33FB00F8" w:rsidR="00B42594" w:rsidRPr="003E2C48" w:rsidRDefault="00B4259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0150</w:t>
            </w:r>
          </w:p>
        </w:tc>
        <w:tc>
          <w:tcPr>
            <w:tcW w:w="7620" w:type="dxa"/>
          </w:tcPr>
          <w:p w14:paraId="60E299BE" w14:textId="771F73A5" w:rsidR="00B42594" w:rsidRPr="003E2C48" w:rsidRDefault="005D07DF"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xml:space="preserve">Razina vrijednosti MV prema osnovnom scenariju </w:t>
            </w:r>
          </w:p>
          <w:p w14:paraId="25925B58" w14:textId="0CA46700" w:rsidR="00B42594" w:rsidRPr="003E2C48" w:rsidDel="008C1F5D" w:rsidRDefault="00B42594"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Razina vrijednosti MV prema osnovnom scenariju kamatnih stopa na referentni datum.</w:t>
            </w:r>
          </w:p>
        </w:tc>
      </w:tr>
      <w:tr w:rsidR="00B42594" w:rsidRPr="003E2C48" w14:paraId="3900C6EB" w14:textId="77777777" w:rsidTr="63452C95">
        <w:tc>
          <w:tcPr>
            <w:tcW w:w="1129" w:type="dxa"/>
          </w:tcPr>
          <w:p w14:paraId="35C36A35" w14:textId="61A8A73B" w:rsidR="00B42594" w:rsidRPr="003E2C48" w:rsidRDefault="00B4259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0160</w:t>
            </w:r>
          </w:p>
        </w:tc>
        <w:tc>
          <w:tcPr>
            <w:tcW w:w="7620" w:type="dxa"/>
          </w:tcPr>
          <w:p w14:paraId="76BA99CE" w14:textId="0566EC69" w:rsidR="00B42594" w:rsidRPr="003E2C48" w:rsidRDefault="005D07DF"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MV prema paralelnom šoku rasta</w:t>
            </w:r>
          </w:p>
          <w:p w14:paraId="1898CD18" w14:textId="4E66E93D" w:rsidR="00B42594" w:rsidRPr="003E2C48" w:rsidRDefault="00B42594"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xml:space="preserve">Promjena vrijednosti MV prema scenariju „paralelnog šoka rasta” iz članka 1. stavka 2. točke (a) i članka 2. Delegirane uredbe (EU) …/… (Ured za publikacije: unijeti upućivanje na </w:t>
            </w:r>
            <w:r w:rsidRPr="003E2C48">
              <w:rPr>
                <w:rStyle w:val="FormatvorlageInstructionsTabelleText"/>
                <w:rFonts w:ascii="Times New Roman" w:hAnsi="Times New Roman"/>
                <w:noProof/>
                <w:sz w:val="24"/>
              </w:rPr>
              <w:t>regulatorni tehnički standard o SOT-u)</w:t>
            </w:r>
            <w:r w:rsidRPr="003E2C48">
              <w:rPr>
                <w:rStyle w:val="InstructionsTabelleberschrift"/>
                <w:rFonts w:ascii="Times New Roman" w:hAnsi="Times New Roman"/>
                <w:b w:val="0"/>
                <w:noProof/>
                <w:sz w:val="24"/>
                <w:u w:val="none"/>
              </w:rPr>
              <w:t>.</w:t>
            </w:r>
          </w:p>
        </w:tc>
      </w:tr>
      <w:tr w:rsidR="00B42594" w:rsidRPr="003E2C48" w14:paraId="00FFC402" w14:textId="77777777" w:rsidTr="63452C95">
        <w:tc>
          <w:tcPr>
            <w:tcW w:w="1129" w:type="dxa"/>
          </w:tcPr>
          <w:p w14:paraId="6DDBFDDC" w14:textId="51876AB6" w:rsidR="00B42594" w:rsidRPr="003E2C48" w:rsidRDefault="00B42594" w:rsidP="003C575D">
            <w:pPr>
              <w:pStyle w:val="InstructionsText"/>
              <w:rPr>
                <w:rStyle w:val="FormatvorlageInstructionsTabelleText"/>
                <w:rFonts w:ascii="Times New Roman" w:hAnsi="Times New Roman"/>
                <w:noProof/>
                <w:sz w:val="24"/>
                <w:highlight w:val="yellow"/>
              </w:rPr>
            </w:pPr>
            <w:r w:rsidRPr="003E2C48">
              <w:rPr>
                <w:rStyle w:val="FormatvorlageInstructionsTabelleText"/>
                <w:rFonts w:ascii="Times New Roman" w:hAnsi="Times New Roman"/>
                <w:noProof/>
                <w:sz w:val="24"/>
              </w:rPr>
              <w:t>0170</w:t>
            </w:r>
          </w:p>
        </w:tc>
        <w:tc>
          <w:tcPr>
            <w:tcW w:w="7620" w:type="dxa"/>
          </w:tcPr>
          <w:p w14:paraId="2EEA207C" w14:textId="17CB8D0F" w:rsidR="00B42594" w:rsidRPr="003E2C48" w:rsidRDefault="00B42594"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MV prema paralelnom šoku pada</w:t>
            </w:r>
          </w:p>
          <w:p w14:paraId="39515A3E" w14:textId="14E3906F" w:rsidR="00B42594" w:rsidRPr="003E2C48" w:rsidRDefault="00B42594" w:rsidP="003C575D">
            <w:pPr>
              <w:pStyle w:val="InstructionsText"/>
              <w:rPr>
                <w:rStyle w:val="InstructionsTabelleberschrift"/>
                <w:rFonts w:ascii="Times New Roman" w:hAnsi="Times New Roman"/>
                <w:noProof/>
                <w:sz w:val="24"/>
                <w:highlight w:val="yellow"/>
              </w:rPr>
            </w:pPr>
            <w:r w:rsidRPr="003E2C48">
              <w:rPr>
                <w:rStyle w:val="InstructionsTabelleberschrift"/>
                <w:rFonts w:ascii="Times New Roman" w:hAnsi="Times New Roman"/>
                <w:b w:val="0"/>
                <w:noProof/>
                <w:sz w:val="24"/>
                <w:u w:val="none"/>
              </w:rPr>
              <w:t xml:space="preserve">Promjena vrijednosti MV prema scenariju „paralelnog šoka pada” iz članka 1. stavka 2. točke (b) i članka 2. Delegirane uredbe (EU) …/… (Ured za publikacije: unijeti upućivanje na </w:t>
            </w:r>
            <w:r w:rsidRPr="003E2C48">
              <w:rPr>
                <w:rStyle w:val="FormatvorlageInstructionsTabelleText"/>
                <w:rFonts w:ascii="Times New Roman" w:hAnsi="Times New Roman"/>
                <w:noProof/>
                <w:sz w:val="24"/>
              </w:rPr>
              <w:t>regulatorni tehnički standard o SOT-u)</w:t>
            </w:r>
            <w:r w:rsidRPr="003E2C48">
              <w:rPr>
                <w:rStyle w:val="InstructionsTabelleberschrift"/>
                <w:rFonts w:ascii="Times New Roman" w:hAnsi="Times New Roman"/>
                <w:b w:val="0"/>
                <w:noProof/>
                <w:sz w:val="24"/>
                <w:u w:val="none"/>
              </w:rPr>
              <w:t>.</w:t>
            </w:r>
          </w:p>
        </w:tc>
      </w:tr>
      <w:tr w:rsidR="00BC1B09" w:rsidRPr="003E2C48"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3E2C48" w:rsidRDefault="00BC1B09"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0180 do 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3E2C48" w:rsidRDefault="00CF7339"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Ostale valute: veličina kamatnih šokova</w:t>
            </w:r>
          </w:p>
          <w:p w14:paraId="62EEE84C" w14:textId="7928B66E" w:rsidR="00BC1B09" w:rsidRPr="003E2C48" w:rsidRDefault="00677FBE" w:rsidP="003C575D">
            <w:pPr>
              <w:pStyle w:val="InstructionsText"/>
              <w:rPr>
                <w:rStyle w:val="FormatvorlageInstructionsTabelleText"/>
                <w:rFonts w:ascii="Times New Roman" w:hAnsi="Times New Roman"/>
                <w:bCs w:val="0"/>
                <w:noProof/>
                <w:sz w:val="24"/>
              </w:rPr>
            </w:pPr>
            <w:r w:rsidRPr="003E2C48">
              <w:rPr>
                <w:rStyle w:val="FormatvorlageInstructionsTabelleText"/>
                <w:rFonts w:ascii="Times New Roman" w:hAnsi="Times New Roman"/>
                <w:noProof/>
                <w:sz w:val="24"/>
              </w:rPr>
              <w:t>Dio B Priloga Delegiranoj uredbi (EU) …/… (Ured za publikacije: unijeti upućivanje na regulatorni tehnički standard o SOT-u).</w:t>
            </w:r>
          </w:p>
          <w:p w14:paraId="0252908B" w14:textId="68C40504" w:rsidR="00BC1B09" w:rsidRPr="003E2C48" w:rsidRDefault="00BC1B09"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Šokovi kamatnih stopa za valute kalibrirane u skladu s dijelom B Priloga Delegiranoj uredbi (EU) …/… (Ured za publikacije: unijeti upućivanje na regulatorni tehnički standard o SOT-u) i člankom 2. te delegirane uredbe. O veličini šokova kamatnih stopa izvješćuje se u baznim bodovima i u apsolutnoj vrijednosti. Veličina šoka predstavlja razliku (ΔR) u odnosu na nerizičnu kamatnu stopu.</w:t>
            </w:r>
          </w:p>
          <w:p w14:paraId="0D8BD90C" w14:textId="2887FF27" w:rsidR="00BC1B09" w:rsidRPr="003E2C48" w:rsidRDefault="00BC1B09" w:rsidP="003C575D">
            <w:pPr>
              <w:pStyle w:val="InstructionsText"/>
              <w:rPr>
                <w:rStyle w:val="FormatvorlageInstructionsTabelleText"/>
                <w:rFonts w:ascii="Times New Roman" w:hAnsi="Times New Roman"/>
                <w:b/>
                <w:noProof/>
                <w:sz w:val="24"/>
                <w:highlight w:val="yellow"/>
                <w:u w:val="single"/>
              </w:rPr>
            </w:pPr>
            <w:r w:rsidRPr="003E2C48">
              <w:rPr>
                <w:rStyle w:val="InstructionsTabelleberschrift"/>
                <w:rFonts w:ascii="Times New Roman" w:hAnsi="Times New Roman"/>
                <w:b w:val="0"/>
                <w:noProof/>
                <w:sz w:val="24"/>
                <w:u w:val="none"/>
              </w:rPr>
              <w:t xml:space="preserve">Ti se redci ne ispunjavaju za valute iz dijela A Priloga Delegiranoj uredbi (EU) …/… (Ured za publikacije: unijeti upućivanje na </w:t>
            </w:r>
            <w:r w:rsidRPr="003E2C48">
              <w:rPr>
                <w:rStyle w:val="FormatvorlageInstructionsTabelleText"/>
                <w:rFonts w:ascii="Times New Roman" w:hAnsi="Times New Roman"/>
                <w:noProof/>
                <w:sz w:val="24"/>
              </w:rPr>
              <w:t xml:space="preserve">regulatorni tehnički standard o SOT-u). Ispunjavaju se samo za valute obuhvaćene SOT-om, </w:t>
            </w:r>
            <w:r w:rsidRPr="003E2C48">
              <w:rPr>
                <w:noProof/>
              </w:rPr>
              <w:t>u skladu s člankom 1. stavkom 4. te delegirane uredbe</w:t>
            </w:r>
            <w:r w:rsidRPr="003E2C48">
              <w:rPr>
                <w:rStyle w:val="FormatvorlageInstructionsTabelleText"/>
                <w:rFonts w:ascii="Times New Roman" w:hAnsi="Times New Roman"/>
                <w:noProof/>
                <w:sz w:val="24"/>
              </w:rPr>
              <w:t>.</w:t>
            </w:r>
          </w:p>
        </w:tc>
      </w:tr>
      <w:tr w:rsidR="00C043E8" w:rsidRPr="003E2C48"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3E2C48" w:rsidRDefault="00C043E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3E2C48" w:rsidRDefault="00C043E8"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xml:space="preserve">Paralelni šok </w:t>
            </w:r>
          </w:p>
          <w:p w14:paraId="120B2401" w14:textId="7AFA3569" w:rsidR="00C043E8" w:rsidRPr="003E2C48" w:rsidRDefault="00C043E8" w:rsidP="003C575D">
            <w:pPr>
              <w:pStyle w:val="InstructionsText"/>
              <w:rPr>
                <w:rStyle w:val="InstructionsTabelleberschrift"/>
                <w:rFonts w:ascii="Times New Roman" w:hAnsi="Times New Roman"/>
                <w:noProof/>
                <w:sz w:val="24"/>
              </w:rPr>
            </w:pPr>
            <w:r w:rsidRPr="003E2C48">
              <w:rPr>
                <w:rStyle w:val="FormatvorlageInstructionsTabelleText"/>
                <w:rFonts w:ascii="Times New Roman" w:hAnsi="Times New Roman"/>
                <w:noProof/>
                <w:sz w:val="24"/>
              </w:rPr>
              <w:t xml:space="preserve">Veličina paralelnih šokova kamatnih stopa u baznim bodovima kalibriranima u skladu s dijelom B Priloga Delegiranoj uredbi (EU) …/… (Ured za publikacije: unijeti upućivanje na </w:t>
            </w:r>
            <w:r w:rsidRPr="003E2C48">
              <w:rPr>
                <w:noProof/>
              </w:rPr>
              <w:t>regulatorni tehnički standard o SOT-u)</w:t>
            </w:r>
            <w:r w:rsidRPr="003E2C48">
              <w:rPr>
                <w:rStyle w:val="FormatvorlageInstructionsTabelleText"/>
                <w:rFonts w:ascii="Times New Roman" w:hAnsi="Times New Roman"/>
                <w:noProof/>
                <w:sz w:val="24"/>
              </w:rPr>
              <w:t xml:space="preserve"> i člankom 2. stavkom 1. te delegirane uredbe. </w:t>
            </w:r>
          </w:p>
        </w:tc>
      </w:tr>
      <w:tr w:rsidR="00C043E8" w:rsidRPr="003E2C48"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3E2C48" w:rsidRDefault="00C043E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3E2C48" w:rsidRDefault="00C043E8"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Šok kratkoročnih kamatnih stopa</w:t>
            </w:r>
          </w:p>
          <w:p w14:paraId="268536D0" w14:textId="54B23D99" w:rsidR="00C043E8" w:rsidRPr="003E2C48" w:rsidRDefault="00C043E8" w:rsidP="003C575D">
            <w:pPr>
              <w:pStyle w:val="InstructionsText"/>
              <w:rPr>
                <w:rStyle w:val="InstructionsTabelleberschrift"/>
                <w:rFonts w:ascii="Times New Roman" w:hAnsi="Times New Roman"/>
                <w:noProof/>
                <w:sz w:val="24"/>
              </w:rPr>
            </w:pPr>
            <w:r w:rsidRPr="003E2C48">
              <w:rPr>
                <w:rStyle w:val="FormatvorlageInstructionsTabelleText"/>
                <w:rFonts w:ascii="Times New Roman" w:hAnsi="Times New Roman"/>
                <w:noProof/>
                <w:sz w:val="24"/>
              </w:rPr>
              <w:t>Veličina šoka kratkoročnih kamatnih stopa u baznim bodovima kalibriranog u skladu s kratkoročnim šokom iz</w:t>
            </w:r>
            <w:r w:rsidRPr="003E2C48">
              <w:rPr>
                <w:noProof/>
                <w:sz w:val="23"/>
              </w:rPr>
              <w:t xml:space="preserve"> </w:t>
            </w:r>
            <w:r w:rsidRPr="003E2C48">
              <w:rPr>
                <w:rStyle w:val="FormatvorlageInstructionsTabelleText"/>
                <w:rFonts w:ascii="Times New Roman" w:hAnsi="Times New Roman"/>
                <w:noProof/>
                <w:sz w:val="24"/>
              </w:rPr>
              <w:t xml:space="preserve">dijela B Priloga Delegiranoj uredbi (EU) …/… (Ured za publikacije: unijeti upućivanje na </w:t>
            </w:r>
            <w:r w:rsidRPr="003E2C48">
              <w:rPr>
                <w:noProof/>
              </w:rPr>
              <w:t>regulatorni tehnički standard o SOT-u)</w:t>
            </w:r>
            <w:r w:rsidRPr="003E2C48">
              <w:rPr>
                <w:rStyle w:val="FormatvorlageInstructionsTabelleText"/>
                <w:rFonts w:ascii="Times New Roman" w:hAnsi="Times New Roman"/>
                <w:noProof/>
                <w:sz w:val="24"/>
              </w:rPr>
              <w:t xml:space="preserve"> i članka 2. stavka 2. te delegirane uredbe.</w:t>
            </w:r>
          </w:p>
        </w:tc>
      </w:tr>
      <w:tr w:rsidR="00C043E8" w:rsidRPr="003E2C48"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3E2C48" w:rsidRDefault="00C043E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3E2C48" w:rsidRDefault="00C043E8"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Šok dugoročnih kamatnih stopa</w:t>
            </w:r>
          </w:p>
          <w:p w14:paraId="0C2901AA" w14:textId="300F2D03" w:rsidR="00C043E8" w:rsidRPr="003E2C48" w:rsidRDefault="00C043E8" w:rsidP="003C575D">
            <w:pPr>
              <w:pStyle w:val="InstructionsText"/>
              <w:rPr>
                <w:rStyle w:val="InstructionsTabelleberschrift"/>
                <w:rFonts w:ascii="Times New Roman" w:hAnsi="Times New Roman"/>
                <w:noProof/>
                <w:sz w:val="24"/>
              </w:rPr>
            </w:pPr>
            <w:r w:rsidRPr="003E2C48">
              <w:rPr>
                <w:rStyle w:val="FormatvorlageInstructionsTabelleText"/>
                <w:rFonts w:ascii="Times New Roman" w:hAnsi="Times New Roman"/>
                <w:noProof/>
                <w:sz w:val="24"/>
              </w:rPr>
              <w:t>Veličina šoka dugoročnih kamatnih stopa u baznim bodovima kalibriranog u skladu s dugoročnim šokom iz</w:t>
            </w:r>
            <w:r w:rsidRPr="003E2C48">
              <w:rPr>
                <w:rStyle w:val="FormatvorlageInstructionsTabelleText"/>
                <w:rFonts w:ascii="Times New Roman" w:hAnsi="Times New Roman"/>
                <w:noProof/>
                <w:sz w:val="23"/>
              </w:rPr>
              <w:t xml:space="preserve"> </w:t>
            </w:r>
            <w:r w:rsidRPr="003E2C48">
              <w:rPr>
                <w:noProof/>
              </w:rPr>
              <w:t>dijela B Priloga Delegiranoj uredbi (EU) …/… (Ured za publikacije: unijeti upućivanje na regulatorni tehnički standard o SOT-u) i članka 2. stavka 3. te delegirane uredbe.</w:t>
            </w:r>
          </w:p>
        </w:tc>
      </w:tr>
    </w:tbl>
    <w:p w14:paraId="61DBD972" w14:textId="2B4115DD" w:rsidR="009E536A" w:rsidRPr="003E2C48" w:rsidRDefault="009E536A" w:rsidP="00430DF0">
      <w:pPr>
        <w:suppressAutoHyphens/>
        <w:spacing w:after="0"/>
        <w:rPr>
          <w:rStyle w:val="InstructionsTabelleText"/>
          <w:rFonts w:ascii="Times New Roman" w:hAnsi="Times New Roman"/>
          <w:noProof/>
          <w:sz w:val="24"/>
        </w:rPr>
      </w:pPr>
    </w:p>
    <w:p w14:paraId="144E410A" w14:textId="7E7BFF82" w:rsidR="00AD0050" w:rsidRPr="003E2C48"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3E2C48" w14:paraId="2EABC7FA" w14:textId="77777777" w:rsidTr="00466F09">
        <w:trPr>
          <w:trHeight w:val="638"/>
        </w:trPr>
        <w:tc>
          <w:tcPr>
            <w:tcW w:w="1129" w:type="dxa"/>
            <w:shd w:val="clear" w:color="auto" w:fill="D9D9D9" w:themeFill="background1" w:themeFillShade="D9"/>
          </w:tcPr>
          <w:p w14:paraId="1921E000" w14:textId="77777777" w:rsidR="00AD0050" w:rsidRPr="003E2C48" w:rsidRDefault="00AD0050" w:rsidP="003C575D">
            <w:pPr>
              <w:pStyle w:val="InstructionsText"/>
              <w:rPr>
                <w:rStyle w:val="InstructionsTabelleText"/>
                <w:rFonts w:ascii="Times New Roman" w:hAnsi="Times New Roman"/>
                <w:bCs/>
                <w:noProof/>
                <w:sz w:val="24"/>
              </w:rPr>
            </w:pPr>
            <w:r w:rsidRPr="003E2C48">
              <w:rPr>
                <w:rStyle w:val="InstructionsTabelleText"/>
                <w:rFonts w:ascii="Times New Roman" w:hAnsi="Times New Roman"/>
                <w:noProof/>
                <w:sz w:val="24"/>
              </w:rPr>
              <w:t>Stupci</w:t>
            </w:r>
          </w:p>
        </w:tc>
        <w:tc>
          <w:tcPr>
            <w:tcW w:w="7620" w:type="dxa"/>
            <w:shd w:val="clear" w:color="auto" w:fill="D9D9D9" w:themeFill="background1" w:themeFillShade="D9"/>
          </w:tcPr>
          <w:p w14:paraId="439B0F6E" w14:textId="77777777" w:rsidR="00AD0050" w:rsidRPr="003E2C48" w:rsidRDefault="00AD0050" w:rsidP="003C575D">
            <w:pPr>
              <w:pStyle w:val="InstructionsText"/>
              <w:rPr>
                <w:rStyle w:val="InstructionsTabelleText"/>
                <w:rFonts w:ascii="Times New Roman" w:hAnsi="Times New Roman"/>
                <w:bCs/>
                <w:noProof/>
                <w:sz w:val="24"/>
              </w:rPr>
            </w:pPr>
            <w:r w:rsidRPr="003E2C48">
              <w:rPr>
                <w:rStyle w:val="InstructionsTabelleText"/>
                <w:rFonts w:ascii="Times New Roman" w:hAnsi="Times New Roman"/>
                <w:noProof/>
                <w:sz w:val="24"/>
              </w:rPr>
              <w:t>Pravna osnova i upute</w:t>
            </w:r>
          </w:p>
        </w:tc>
      </w:tr>
      <w:tr w:rsidR="00AD0050" w:rsidRPr="003E2C48" w14:paraId="47947801" w14:textId="77777777" w:rsidTr="63452C95">
        <w:tc>
          <w:tcPr>
            <w:tcW w:w="1129" w:type="dxa"/>
          </w:tcPr>
          <w:p w14:paraId="0F239392" w14:textId="77777777" w:rsidR="00AD0050" w:rsidRPr="003E2C48" w:rsidRDefault="00AD0050"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0010</w:t>
            </w:r>
          </w:p>
        </w:tc>
        <w:tc>
          <w:tcPr>
            <w:tcW w:w="7620" w:type="dxa"/>
          </w:tcPr>
          <w:p w14:paraId="62E10208" w14:textId="0AA82A12" w:rsidR="00AD0050" w:rsidRPr="003E2C48" w:rsidRDefault="10290D55"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Iznos</w:t>
            </w:r>
          </w:p>
          <w:p w14:paraId="6D17DD5F" w14:textId="7B468155" w:rsidR="00AD0050" w:rsidRPr="003E2C48" w:rsidRDefault="3F6CE5E4" w:rsidP="003C575D">
            <w:pPr>
              <w:pStyle w:val="InstructionsText"/>
              <w:rPr>
                <w:noProof/>
              </w:rPr>
            </w:pPr>
            <w:r w:rsidRPr="003E2C48">
              <w:rPr>
                <w:noProof/>
              </w:rPr>
              <w:t xml:space="preserve">Navedena veličina kamatnih šokova iskazuje se u baznim bodovima, a </w:t>
            </w:r>
            <w:r w:rsidRPr="003E2C48">
              <w:rPr>
                <w:rStyle w:val="InstructionsTabelleberschrift"/>
                <w:rFonts w:ascii="Times New Roman" w:hAnsi="Times New Roman"/>
                <w:noProof/>
                <w:sz w:val="24"/>
                <w:u w:val="none"/>
              </w:rPr>
              <w:t>∆</w:t>
            </w:r>
            <w:r w:rsidRPr="003E2C48">
              <w:rPr>
                <w:noProof/>
              </w:rPr>
              <w:t xml:space="preserve">EVE i </w:t>
            </w:r>
            <w:r w:rsidRPr="003E2C48">
              <w:rPr>
                <w:rStyle w:val="InstructionsTabelleberschrift"/>
                <w:rFonts w:ascii="Times New Roman" w:hAnsi="Times New Roman"/>
                <w:noProof/>
                <w:sz w:val="24"/>
                <w:u w:val="none"/>
              </w:rPr>
              <w:t>∆</w:t>
            </w:r>
            <w:r w:rsidRPr="003E2C48">
              <w:rPr>
                <w:noProof/>
              </w:rPr>
              <w:t>NII iskazuju se i kao omjeri i kao iznosi (kako je navedeno u uputama o redcima). Iznosi se iskazuju u izvještajnoj valuti.</w:t>
            </w:r>
          </w:p>
        </w:tc>
      </w:tr>
    </w:tbl>
    <w:p w14:paraId="7AF07B4D" w14:textId="02370883" w:rsidR="009E536A" w:rsidRPr="003E2C48"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3E2C48"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3E2C48" w:rsidRDefault="00B15E5A" w:rsidP="00430DF0">
      <w:pPr>
        <w:suppressAutoHyphens/>
        <w:spacing w:before="0" w:after="0"/>
        <w:jc w:val="left"/>
        <w:rPr>
          <w:rFonts w:ascii="Times New Roman" w:eastAsia="Arial" w:hAnsi="Times New Roman"/>
          <w:b/>
          <w:noProof/>
          <w:sz w:val="24"/>
        </w:rPr>
      </w:pPr>
      <w:r w:rsidRPr="003E2C48">
        <w:rPr>
          <w:noProof/>
        </w:rPr>
        <w:br w:type="page"/>
      </w:r>
    </w:p>
    <w:p w14:paraId="493C8899" w14:textId="1257BA2F" w:rsidR="009E536A" w:rsidRPr="003E2C48" w:rsidRDefault="009E536A" w:rsidP="00430DF0">
      <w:pPr>
        <w:pStyle w:val="Heading2"/>
        <w:suppressAutoHyphens/>
        <w:rPr>
          <w:noProof/>
        </w:rPr>
      </w:pPr>
      <w:bookmarkStart w:id="48" w:name="_Toc160197930"/>
      <w:r w:rsidRPr="003E2C48">
        <w:rPr>
          <w:noProof/>
        </w:rPr>
        <w:t>DIO III.: RAŠČLAMBA PROCJENA OSJETLJIVOSTI (J 02.00, J 03.00 i J 04.00)</w:t>
      </w:r>
      <w:bookmarkEnd w:id="48"/>
    </w:p>
    <w:p w14:paraId="32513CE9" w14:textId="1A066483" w:rsidR="009E536A" w:rsidRPr="003E2C48" w:rsidRDefault="008270ED" w:rsidP="00430DF0">
      <w:pPr>
        <w:pStyle w:val="Instructionsberschrift2"/>
        <w:numPr>
          <w:ilvl w:val="0"/>
          <w:numId w:val="0"/>
        </w:numPr>
        <w:tabs>
          <w:tab w:val="left" w:pos="567"/>
        </w:tabs>
        <w:suppressAutoHyphens/>
        <w:rPr>
          <w:rFonts w:cs="Times New Roman"/>
          <w:b/>
          <w:bCs/>
          <w:noProof/>
          <w:sz w:val="24"/>
        </w:rPr>
      </w:pPr>
      <w:bookmarkStart w:id="49" w:name="_Toc160197931"/>
      <w:r w:rsidRPr="003E2C48">
        <w:rPr>
          <w:b/>
          <w:noProof/>
          <w:sz w:val="24"/>
        </w:rPr>
        <w:t>1.</w:t>
      </w:r>
      <w:r w:rsidRPr="003E2C48">
        <w:rPr>
          <w:b/>
          <w:noProof/>
          <w:sz w:val="24"/>
        </w:rPr>
        <w:tab/>
        <w:t>Opće napomene</w:t>
      </w:r>
      <w:bookmarkEnd w:id="49"/>
    </w:p>
    <w:p w14:paraId="166F23E4" w14:textId="65159E23" w:rsidR="007F62B7" w:rsidRPr="003E2C48" w:rsidRDefault="008270ED" w:rsidP="00430DF0">
      <w:pPr>
        <w:tabs>
          <w:tab w:val="left" w:pos="567"/>
        </w:tabs>
        <w:suppressAutoHyphens/>
        <w:rPr>
          <w:rFonts w:ascii="Times New Roman" w:hAnsi="Times New Roman"/>
          <w:noProof/>
          <w:sz w:val="24"/>
        </w:rPr>
      </w:pPr>
      <w:r w:rsidRPr="003E2C48">
        <w:rPr>
          <w:rFonts w:ascii="Times New Roman" w:hAnsi="Times New Roman"/>
          <w:noProof/>
          <w:sz w:val="24"/>
        </w:rPr>
        <w:t>1.1.</w:t>
      </w:r>
      <w:r w:rsidRPr="003E2C48">
        <w:rPr>
          <w:rFonts w:ascii="Times New Roman" w:hAnsi="Times New Roman"/>
          <w:noProof/>
          <w:sz w:val="24"/>
        </w:rPr>
        <w:tab/>
        <w:t xml:space="preserve">U obrascima J 02.00, J 03.00 i J 04.00 navedene su daljnje raščlambe procjena osjetljivosti SOT-a IRRBB-a institucije (Delegirana uredba (EU) …/… (Ured za publikacije: unijeti upućivanje na regulatorni tehnički standard o SOT-u)) i promjene vrijednosti MV (Interno upravljanje rizikom u jednogodišnjem razdoblju i pretpostavka konstantne bilance), uključujući bihevioralne/uvjetne i automatske opcionalnosti za određenu raščlambu bilančnih stavki. </w:t>
      </w:r>
    </w:p>
    <w:p w14:paraId="0B9B6E14" w14:textId="4E265B10" w:rsidR="00911248" w:rsidRPr="003E2C48" w:rsidRDefault="008270ED" w:rsidP="00430DF0">
      <w:pPr>
        <w:tabs>
          <w:tab w:val="left" w:pos="567"/>
        </w:tabs>
        <w:suppressAutoHyphens/>
        <w:rPr>
          <w:rFonts w:ascii="Times New Roman" w:hAnsi="Times New Roman"/>
          <w:noProof/>
          <w:sz w:val="24"/>
        </w:rPr>
      </w:pPr>
      <w:r w:rsidRPr="003E2C48">
        <w:rPr>
          <w:rFonts w:ascii="Times New Roman" w:hAnsi="Times New Roman"/>
          <w:noProof/>
          <w:sz w:val="24"/>
        </w:rPr>
        <w:t>1.2.</w:t>
      </w:r>
      <w:r w:rsidRPr="003E2C48">
        <w:rPr>
          <w:rFonts w:ascii="Times New Roman" w:hAnsi="Times New Roman"/>
          <w:noProof/>
          <w:sz w:val="24"/>
        </w:rPr>
        <w:tab/>
        <w:t xml:space="preserve">Institucije izvješćuju o sadržaju tih obrazaca zasebno za svaku valutu za koju institucija ima pozicije u kojima računovodstvena vrijednost financijske imovine ili obveza iskazanih u valuti iznosi 5 % ili više ukupne financijske imovine ili obveza iz knjige pozicija kojima se ne trguje ili manje od 5 % ako je zbroj financijske imovine ili obveza uključenih u izračun manji od 90 % ukupne financijske imovine (isključujući materijalnu imovinu) ili obveza iz knjige pozicija kojima se ne trguje. </w:t>
      </w:r>
    </w:p>
    <w:p w14:paraId="367BED49" w14:textId="37D34C2F" w:rsidR="009E536A" w:rsidRPr="003E2C48"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97932"/>
      <w:r w:rsidRPr="003E2C48">
        <w:rPr>
          <w:b/>
          <w:noProof/>
          <w:sz w:val="24"/>
        </w:rPr>
        <w:t>2.</w:t>
      </w:r>
      <w:r w:rsidRPr="003E2C48">
        <w:rPr>
          <w:b/>
          <w:noProof/>
          <w:sz w:val="24"/>
        </w:rPr>
        <w:tab/>
        <w:t>Upute za specifične pozicije</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3E2C48"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3E2C48" w:rsidRDefault="00741F94" w:rsidP="003C575D">
            <w:pPr>
              <w:pStyle w:val="InstructionsText"/>
              <w:rPr>
                <w:rStyle w:val="InstructionsTabelleText"/>
                <w:rFonts w:ascii="Times New Roman" w:eastAsia="Arial" w:hAnsi="Times New Roman"/>
                <w:noProof/>
                <w:sz w:val="24"/>
              </w:rPr>
            </w:pPr>
            <w:r w:rsidRPr="003E2C48">
              <w:rPr>
                <w:rStyle w:val="InstructionsTabelleText"/>
                <w:rFonts w:ascii="Times New Roman" w:hAnsi="Times New Roman"/>
                <w:noProof/>
                <w:sz w:val="24"/>
              </w:rPr>
              <w:t>Redak</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3E2C48" w:rsidRDefault="00741F94" w:rsidP="003C575D">
            <w:pPr>
              <w:pStyle w:val="InstructionsText"/>
              <w:rPr>
                <w:rStyle w:val="InstructionsTabelleText"/>
                <w:rFonts w:ascii="Times New Roman" w:hAnsi="Times New Roman"/>
                <w:bCs/>
                <w:noProof/>
                <w:sz w:val="24"/>
              </w:rPr>
            </w:pPr>
            <w:r w:rsidRPr="003E2C48">
              <w:rPr>
                <w:rStyle w:val="InstructionsTabelleText"/>
                <w:rFonts w:ascii="Times New Roman" w:hAnsi="Times New Roman"/>
                <w:noProof/>
                <w:sz w:val="24"/>
              </w:rPr>
              <w:t>Pravna osnova i upute</w:t>
            </w:r>
          </w:p>
        </w:tc>
      </w:tr>
      <w:tr w:rsidR="00741F94" w:rsidRPr="003E2C48"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3E2C48" w:rsidRDefault="00741F9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3E2C48" w:rsidRDefault="00741F94"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Ukupna imovina</w:t>
            </w:r>
          </w:p>
          <w:p w14:paraId="7107F5D8" w14:textId="44611D25" w:rsidR="007F62B7" w:rsidRPr="003E2C48" w:rsidRDefault="007F62B7" w:rsidP="003C575D">
            <w:pPr>
              <w:pStyle w:val="InstructionsText"/>
              <w:rPr>
                <w:rStyle w:val="FormatvorlageInstructionsTabelleText"/>
                <w:rFonts w:ascii="Times New Roman" w:hAnsi="Times New Roman"/>
                <w:bCs w:val="0"/>
                <w:noProof/>
                <w:sz w:val="24"/>
              </w:rPr>
            </w:pPr>
            <w:r w:rsidRPr="003E2C48">
              <w:rPr>
                <w:rStyle w:val="FormatvorlageInstructionsTabelleText"/>
                <w:rFonts w:ascii="Times New Roman" w:hAnsi="Times New Roman"/>
                <w:noProof/>
                <w:sz w:val="24"/>
              </w:rPr>
              <w:t>Ukupna imovina osjetljiva na kamatne stope</w:t>
            </w:r>
            <w:r w:rsidRPr="003E2C48">
              <w:rPr>
                <w:noProof/>
              </w:rPr>
              <w:t xml:space="preserve"> obuhvaćena područjem primjene Delegirane uredbe (EU) …/… (Ured za publikacije: unijeti upućivanje na regulatorni tehnički standard o SOT-u), </w:t>
            </w:r>
            <w:r w:rsidRPr="003E2C48">
              <w:rPr>
                <w:rStyle w:val="FormatvorlageInstructionsTabelleText"/>
                <w:rFonts w:ascii="Times New Roman" w:hAnsi="Times New Roman"/>
                <w:noProof/>
                <w:sz w:val="24"/>
              </w:rPr>
              <w:t xml:space="preserve">neovisno o njezinu računovodstvenom tretmanu. Ovaj redak uključuje: </w:t>
            </w:r>
          </w:p>
          <w:p w14:paraId="5F3B0345" w14:textId="5954E224" w:rsidR="00D1720D" w:rsidRPr="003E2C48" w:rsidRDefault="00E21745"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 imovinu u odnosu na središnje banke,</w:t>
            </w:r>
          </w:p>
          <w:p w14:paraId="2F726373" w14:textId="2FE063AD" w:rsidR="006E4174" w:rsidRPr="003E2C48" w:rsidRDefault="00E21745"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 međubankovnu imovinu,</w:t>
            </w:r>
          </w:p>
          <w:p w14:paraId="04EFCDE1" w14:textId="4E5CB67E" w:rsidR="00741F94" w:rsidRPr="003E2C48" w:rsidRDefault="00E21745" w:rsidP="003C575D">
            <w:pPr>
              <w:pStyle w:val="InstructionsText"/>
              <w:rPr>
                <w:rStyle w:val="InstructionsTabelleberschrift"/>
                <w:rFonts w:ascii="Times New Roman" w:hAnsi="Times New Roman"/>
                <w:noProof/>
                <w:sz w:val="24"/>
                <w:u w:val="none"/>
              </w:rPr>
            </w:pPr>
            <w:r w:rsidRPr="003E2C48">
              <w:rPr>
                <w:rStyle w:val="InstructionsTabelleberschrift"/>
                <w:rFonts w:ascii="Times New Roman" w:hAnsi="Times New Roman"/>
                <w:b w:val="0"/>
                <w:noProof/>
                <w:sz w:val="24"/>
                <w:u w:val="none"/>
              </w:rPr>
              <w:t>— kredite i predujmove,</w:t>
            </w:r>
          </w:p>
          <w:p w14:paraId="7EB9F6CB" w14:textId="55D1E706" w:rsidR="00741F94" w:rsidRPr="003E2C48" w:rsidRDefault="00E21745"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dužničke vrijednosne papire,</w:t>
            </w:r>
          </w:p>
          <w:p w14:paraId="3F3DC394" w14:textId="7098B68E" w:rsidR="00741F94" w:rsidRPr="003E2C48" w:rsidRDefault="00E21745"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izvedenice kojima se štiti imovina,</w:t>
            </w:r>
          </w:p>
          <w:p w14:paraId="3F84EC18" w14:textId="2DA05C93" w:rsidR="00741F94" w:rsidRPr="003E2C48" w:rsidRDefault="00E21745"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ostalo.</w:t>
            </w:r>
          </w:p>
          <w:p w14:paraId="69621AB3" w14:textId="68D06F22" w:rsidR="00741F94" w:rsidRPr="003E2C48" w:rsidRDefault="00F13E6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xml:space="preserve">Institucije izvješćuju o izloženostima IRRBB-u imovine koja nije odbijena od redovnog osnovnog (CET1) kapitala utvrđenog u skladu s dijelom II. glavom I. poglavljem 2. </w:t>
            </w:r>
            <w:r w:rsidRPr="003E2C48">
              <w:rPr>
                <w:noProof/>
              </w:rPr>
              <w:t>Uredbe (EU) br. 575/2013</w:t>
            </w:r>
            <w:r w:rsidRPr="003E2C48">
              <w:rPr>
                <w:rStyle w:val="InstructionsTabelleberschrift"/>
                <w:rFonts w:ascii="Times New Roman" w:hAnsi="Times New Roman"/>
                <w:b w:val="0"/>
                <w:noProof/>
                <w:sz w:val="24"/>
                <w:u w:val="none"/>
              </w:rPr>
              <w:t xml:space="preserve"> i isključujući materijalnu imovinu kao što su nekretnine te o izloženostima na osnovi vlasničkih ulaganja u knjizi pozicija kojima se ne trguje kako je navedeno u članku 133. i članku 147. stavku 2. točki (e) </w:t>
            </w:r>
            <w:r w:rsidRPr="003E2C48">
              <w:rPr>
                <w:noProof/>
              </w:rPr>
              <w:t>Uredbe (EU) br. 575/2013</w:t>
            </w:r>
            <w:r w:rsidRPr="003E2C48">
              <w:rPr>
                <w:rStyle w:val="InstructionsTabelleberschrift"/>
                <w:rFonts w:ascii="Times New Roman" w:hAnsi="Times New Roman"/>
                <w:b w:val="0"/>
                <w:noProof/>
                <w:sz w:val="24"/>
                <w:u w:val="none"/>
              </w:rPr>
              <w:t>. Te izloženosti dodjeljuju se sektorima druge ugovorne strane u skladu s vrstom neposredne druge ugovorne strane.</w:t>
            </w:r>
          </w:p>
        </w:tc>
      </w:tr>
      <w:tr w:rsidR="00A827A8" w:rsidRPr="003E2C48"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3E2C48" w:rsidRDefault="00A827A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3E2C48" w:rsidRDefault="001D67C3"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od čega: zbog automatske opcionalnosti</w:t>
            </w:r>
          </w:p>
          <w:p w14:paraId="7FE49A82" w14:textId="1DF342DD" w:rsidR="00364443" w:rsidRPr="003E2C48" w:rsidRDefault="001D67C3" w:rsidP="003C575D">
            <w:pPr>
              <w:pStyle w:val="InstructionsText"/>
              <w:rPr>
                <w:noProof/>
              </w:rPr>
            </w:pPr>
            <w:r w:rsidRPr="003E2C48">
              <w:rPr>
                <w:noProof/>
              </w:rPr>
              <w:t>Doprinos ugrađene i izričite automatske opcionalnosti ukupnoj imovini osjetljivoj na kamatne stope obuhvaćenoj područjem primjene Delegirane uredbe (EU) …/… (Ured za publikacije: unijeti upućivanje na regulatorni tehnički standard o SOT-u), neovisno o njezinu računovodstvenom tretmanu.</w:t>
            </w:r>
          </w:p>
        </w:tc>
      </w:tr>
      <w:tr w:rsidR="00741F94" w:rsidRPr="003E2C48"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3E2C48" w:rsidRDefault="00741F9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3E2C48" w:rsidRDefault="00741F94"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Središnja banka</w:t>
            </w:r>
          </w:p>
          <w:p w14:paraId="4F18E9BC" w14:textId="7D9B69C5" w:rsidR="00741F94" w:rsidRPr="003E2C48" w:rsidRDefault="000503D6" w:rsidP="003C575D">
            <w:pPr>
              <w:pStyle w:val="InstructionsText"/>
              <w:rPr>
                <w:rStyle w:val="InstructionsTabelleberschrift"/>
                <w:rFonts w:ascii="Times New Roman" w:hAnsi="Times New Roman"/>
                <w:b w:val="0"/>
                <w:bCs w:val="0"/>
                <w:noProof/>
                <w:sz w:val="24"/>
                <w:u w:val="none"/>
              </w:rPr>
            </w:pPr>
            <w:r w:rsidRPr="003E2C48">
              <w:rPr>
                <w:noProof/>
              </w:rPr>
              <w:t>Imovina u odnosu na središnje banke, uključujući gotovinska salda i depozite po viđenju, kako je navedeno u dijelu 1. točki 42. podtočki (a) Priloga V. ovoj Uredbi.</w:t>
            </w:r>
          </w:p>
        </w:tc>
      </w:tr>
      <w:tr w:rsidR="00544C58" w:rsidRPr="003E2C48"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3E2C48" w:rsidRDefault="002E720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3E2C48" w:rsidRDefault="00E92235"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Međubankovna</w:t>
            </w:r>
          </w:p>
          <w:p w14:paraId="6C7EA869" w14:textId="37B60FF4" w:rsidR="00544C58" w:rsidRPr="003E2C48" w:rsidRDefault="00CB3FA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Sva imovina čija je druga ugovorna stana kreditna institucija iz dijela 1. točke 42. podtočke (c) Priloga V. ovoj</w:t>
            </w:r>
            <w:r w:rsidRPr="003E2C48">
              <w:rPr>
                <w:noProof/>
              </w:rPr>
              <w:t xml:space="preserve"> Uredbi, isključujući vrijednosne papire i izloženosti po izvedenicama</w:t>
            </w:r>
            <w:r w:rsidRPr="003E2C48">
              <w:rPr>
                <w:rStyle w:val="InstructionsTabelleberschrift"/>
                <w:rFonts w:ascii="Times New Roman" w:hAnsi="Times New Roman"/>
                <w:b w:val="0"/>
                <w:noProof/>
                <w:sz w:val="24"/>
                <w:u w:val="none"/>
              </w:rPr>
              <w:t xml:space="preserve">. </w:t>
            </w:r>
          </w:p>
        </w:tc>
      </w:tr>
      <w:tr w:rsidR="00741F94" w:rsidRPr="003E2C48"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3E2C48" w:rsidRDefault="002E720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3E2C48" w:rsidRDefault="00741F94"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Krediti i predujmovi</w:t>
            </w:r>
          </w:p>
          <w:p w14:paraId="64597ADD" w14:textId="23559F2E" w:rsidR="00741F94" w:rsidRPr="003E2C48" w:rsidRDefault="00CE0544"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xml:space="preserve">Dužnički instrumenti koje drže institucije, a koji nisu vrijednosni papiri, </w:t>
            </w:r>
            <w:r w:rsidRPr="003E2C48">
              <w:rPr>
                <w:noProof/>
              </w:rPr>
              <w:t>kako je navedeno u dijelu 1. točki 32. Priloga V. ovoj Uredbi</w:t>
            </w:r>
            <w:r w:rsidRPr="003E2C48">
              <w:rPr>
                <w:rStyle w:val="InstructionsTabelleberschrift"/>
                <w:rFonts w:ascii="Times New Roman" w:hAnsi="Times New Roman"/>
                <w:b w:val="0"/>
                <w:noProof/>
                <w:sz w:val="24"/>
                <w:u w:val="none"/>
              </w:rPr>
              <w:t>. Ovaj redak ne uključuje izloženosti iz redaka 0030 i 0040.</w:t>
            </w:r>
          </w:p>
        </w:tc>
      </w:tr>
      <w:tr w:rsidR="00D82538" w:rsidRPr="003E2C48"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3E2C48" w:rsidDel="002E7204" w:rsidRDefault="00D8253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3E2C48" w:rsidRDefault="003E575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od čega: s fiksnom kamatnom stopom</w:t>
            </w:r>
          </w:p>
          <w:p w14:paraId="0C01CA13" w14:textId="2A2D1336" w:rsidR="003E575E" w:rsidRPr="003E2C48" w:rsidRDefault="003E575E" w:rsidP="003C575D">
            <w:pPr>
              <w:pStyle w:val="InstructionsText"/>
              <w:rPr>
                <w:rStyle w:val="InstructionsTabelleberschrift"/>
                <w:rFonts w:ascii="Times New Roman" w:hAnsi="Times New Roman"/>
                <w:noProof/>
                <w:sz w:val="24"/>
              </w:rPr>
            </w:pPr>
            <w:r w:rsidRPr="003E2C48">
              <w:rPr>
                <w:noProof/>
              </w:rPr>
              <w:t>Institucije iskazuju brojke koje se odnose na instrumente s fiksnom kamatnom stopom, u skladu s pravilom iz dijela I. odjeljka </w:t>
            </w:r>
            <w:r w:rsidRPr="003E2C48">
              <w:rPr>
                <w:noProof/>
              </w:rPr>
              <w:fldChar w:fldCharType="begin"/>
            </w:r>
            <w:r w:rsidRPr="003E2C48">
              <w:rPr>
                <w:noProof/>
              </w:rPr>
              <w:instrText xml:space="preserve"> REF _Ref125115357 \r \h  \* MERGEFORMAT </w:instrText>
            </w:r>
            <w:r w:rsidRPr="003E2C48">
              <w:rPr>
                <w:noProof/>
              </w:rPr>
            </w:r>
            <w:r w:rsidRPr="003E2C48">
              <w:rPr>
                <w:noProof/>
              </w:rPr>
              <w:fldChar w:fldCharType="separate"/>
            </w:r>
            <w:r w:rsidR="003520A1" w:rsidRPr="003E2C48">
              <w:rPr>
                <w:noProof/>
              </w:rPr>
              <w:t>3</w:t>
            </w:r>
            <w:r w:rsidRPr="003E2C48">
              <w:rPr>
                <w:noProof/>
              </w:rPr>
              <w:fldChar w:fldCharType="end"/>
            </w:r>
            <w:r w:rsidRPr="003E2C48">
              <w:rPr>
                <w:noProof/>
              </w:rPr>
              <w:t>. ovog Priloga.</w:t>
            </w:r>
          </w:p>
        </w:tc>
      </w:tr>
      <w:tr w:rsidR="00741F94" w:rsidRPr="003E2C48"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3E2C48" w:rsidRDefault="002E7204" w:rsidP="003C575D">
            <w:pPr>
              <w:pStyle w:val="InstructionsText"/>
              <w:rPr>
                <w:rStyle w:val="FormatvorlageInstructionsTabelleText"/>
                <w:rFonts w:ascii="Times New Roman" w:hAnsi="Times New Roman"/>
                <w:noProof/>
                <w:sz w:val="24"/>
                <w:highlight w:val="yellow"/>
              </w:rPr>
            </w:pPr>
            <w:r w:rsidRPr="003E2C48">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3E2C48" w:rsidRDefault="00E620F8"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od čega: neprihodonosni</w:t>
            </w:r>
          </w:p>
          <w:p w14:paraId="65A1D079" w14:textId="06E8A2CC" w:rsidR="00741F94" w:rsidRPr="003E2C48" w:rsidRDefault="007F62B7"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xml:space="preserve">Neprihodonosni krediti i predujmovi iz članka 3. stavka 4. Delegirane uredbe (EU) …/… (Ured za publikacije: unijeti upućivanje na </w:t>
            </w:r>
            <w:r w:rsidRPr="003E2C48">
              <w:rPr>
                <w:noProof/>
              </w:rPr>
              <w:t>regulatorni tehnički standard o SOT-u)</w:t>
            </w:r>
            <w:r w:rsidRPr="003E2C48">
              <w:rPr>
                <w:rStyle w:val="InstructionsTabelleberschrift"/>
                <w:rFonts w:ascii="Times New Roman" w:hAnsi="Times New Roman"/>
                <w:b w:val="0"/>
                <w:noProof/>
                <w:sz w:val="24"/>
                <w:u w:val="none"/>
              </w:rPr>
              <w:t xml:space="preserve"> i članka 47.a stavka 3. </w:t>
            </w:r>
            <w:r w:rsidRPr="003E2C48">
              <w:rPr>
                <w:noProof/>
              </w:rPr>
              <w:t>Uredbe (EU) br. 575/2013</w:t>
            </w:r>
            <w:r w:rsidRPr="003E2C48">
              <w:rPr>
                <w:rStyle w:val="InstructionsTabelleberschrift"/>
                <w:rFonts w:ascii="Times New Roman" w:hAnsi="Times New Roman"/>
                <w:b w:val="0"/>
                <w:noProof/>
                <w:sz w:val="24"/>
                <w:u w:val="none"/>
              </w:rPr>
              <w:t xml:space="preserve">. </w:t>
            </w:r>
          </w:p>
        </w:tc>
      </w:tr>
      <w:tr w:rsidR="00741F94" w:rsidRPr="003E2C48"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3E2C48" w:rsidRDefault="002E7204" w:rsidP="003C575D">
            <w:pPr>
              <w:pStyle w:val="InstructionsText"/>
              <w:rPr>
                <w:rStyle w:val="FormatvorlageInstructionsTabelleText"/>
                <w:rFonts w:ascii="Times New Roman" w:hAnsi="Times New Roman"/>
                <w:noProof/>
                <w:sz w:val="24"/>
                <w:highlight w:val="yellow"/>
              </w:rPr>
            </w:pPr>
            <w:r w:rsidRPr="003E2C48">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3E2C48" w:rsidRDefault="00741F94"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Stanovništvo</w:t>
            </w:r>
          </w:p>
          <w:p w14:paraId="6F9561E9" w14:textId="0D5F796D" w:rsidR="00BB1FA5" w:rsidRPr="003E2C48" w:rsidRDefault="007F62B7" w:rsidP="003C575D">
            <w:pPr>
              <w:pStyle w:val="InstructionsText"/>
              <w:rPr>
                <w:noProof/>
              </w:rPr>
            </w:pPr>
            <w:r w:rsidRPr="003E2C48">
              <w:rPr>
                <w:noProof/>
              </w:rPr>
              <w:t xml:space="preserve">Krediti i predujmovi fizičkim osobama ili MSP-ovima, pri čemu se izloženosti prema </w:t>
            </w:r>
            <w:r w:rsidRPr="003E2C48">
              <w:rPr>
                <w:rStyle w:val="cf01"/>
                <w:rFonts w:ascii="Times New Roman" w:hAnsi="Times New Roman"/>
                <w:noProof/>
                <w:sz w:val="24"/>
              </w:rPr>
              <w:t>malim i srednjim poduzećima</w:t>
            </w:r>
            <w:r w:rsidRPr="003E2C48">
              <w:rPr>
                <w:noProof/>
              </w:rPr>
              <w:t xml:space="preserve"> („MSP”) treba dodijeliti razred izloženosti prema stanovništvu u okviru standardiziranog pristupa ili pristupa zasnovanog na internim rejting-sustavima („IRB”) za kreditni rizik kako je navedeno u dijelu prvom glavi II. poglavljima 2. i 3. Uredbe (EU) br. 575/2013, ili prema poduzeću koje ispunjava uvjete za tretman iz članka 153. stavka 4. Uredbe (EU) br. 575/2013. i ako ukupni depoziti tog MSP-a ili poduzeća na skupnoj osnovi ne prelaze 1 milijun EUR.</w:t>
            </w:r>
          </w:p>
          <w:p w14:paraId="2F00E30F" w14:textId="05247D51" w:rsidR="00741F94" w:rsidRPr="003E2C48" w:rsidRDefault="00741F94" w:rsidP="003C575D">
            <w:pPr>
              <w:pStyle w:val="InstructionsText"/>
              <w:rPr>
                <w:rStyle w:val="InstructionsTabelleberschrift"/>
                <w:rFonts w:ascii="Times New Roman" w:hAnsi="Times New Roman"/>
                <w:b w:val="0"/>
                <w:bCs w:val="0"/>
                <w:noProof/>
                <w:sz w:val="24"/>
                <w:u w:val="none"/>
              </w:rPr>
            </w:pPr>
            <w:r w:rsidRPr="003E2C48">
              <w:rPr>
                <w:noProof/>
              </w:rPr>
              <w:t>U ovom se retku iskazuju i prihodonosni i neprihodonosni krediti i predujmovi stanovništvu.</w:t>
            </w:r>
          </w:p>
        </w:tc>
      </w:tr>
      <w:tr w:rsidR="00741F94" w:rsidRPr="003E2C48"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3E2C48" w:rsidRDefault="002E720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3E2C48" w:rsidRDefault="00E620F8"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od čega: osigurano stambenom nekretninom</w:t>
            </w:r>
          </w:p>
          <w:p w14:paraId="23AF36E9" w14:textId="26C85DBC" w:rsidR="00741F94" w:rsidRPr="003E2C48" w:rsidRDefault="006E4174" w:rsidP="00430DF0">
            <w:pPr>
              <w:suppressAutoHyphens/>
              <w:rPr>
                <w:rStyle w:val="InstructionsTabelleberschrift"/>
                <w:rFonts w:ascii="Times New Roman" w:hAnsi="Times New Roman"/>
                <w:b w:val="0"/>
                <w:bCs w:val="0"/>
                <w:noProof/>
                <w:sz w:val="24"/>
              </w:rPr>
            </w:pPr>
            <w:r w:rsidRPr="003E2C48">
              <w:rPr>
                <w:rStyle w:val="InstructionsTabelleberschrift"/>
                <w:rFonts w:ascii="Times New Roman" w:hAnsi="Times New Roman"/>
                <w:b w:val="0"/>
                <w:noProof/>
                <w:sz w:val="24"/>
                <w:u w:val="none"/>
              </w:rPr>
              <w:t>K</w:t>
            </w:r>
            <w:r w:rsidRPr="003E2C48">
              <w:rPr>
                <w:rFonts w:ascii="Times New Roman" w:hAnsi="Times New Roman"/>
                <w:noProof/>
                <w:sz w:val="24"/>
              </w:rPr>
              <w:t>rediti stanovništvu formalno osigurani stambenom nekretninom kao kolateralom, neovisno o njihovu omjeru kredita/kolaterala („omjer vrijednosti kredita i založene nekretnine”) i pravnom obliku kolaterala.</w:t>
            </w:r>
          </w:p>
        </w:tc>
      </w:tr>
      <w:tr w:rsidR="00741F94" w:rsidRPr="003E2C48"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3E2C48" w:rsidRDefault="0041056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3E2C48" w:rsidRDefault="00741F94"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Veliki nefinancijski klijenti</w:t>
            </w:r>
          </w:p>
          <w:p w14:paraId="44A9638B" w14:textId="224BD641" w:rsidR="00741F94" w:rsidRPr="003E2C48" w:rsidRDefault="002612D5" w:rsidP="003C575D">
            <w:pPr>
              <w:pStyle w:val="InstructionsText"/>
              <w:rPr>
                <w:rStyle w:val="InstructionsTabelleberschrift"/>
                <w:rFonts w:ascii="Times New Roman" w:hAnsi="Times New Roman"/>
                <w:b w:val="0"/>
                <w:bCs w:val="0"/>
                <w:noProof/>
                <w:sz w:val="24"/>
                <w:u w:val="none"/>
              </w:rPr>
            </w:pPr>
            <w:r w:rsidRPr="003E2C48">
              <w:rPr>
                <w:noProof/>
              </w:rPr>
              <w:t>Krediti i predujmovi općoj državi i nefinancijskim društvima kako je navedeno u dijelu 1. točki 42. podtočkama (b) i (e) Priloga V. ovoj Uredbi. Ovaj redak ne uključuje izloženosti iz retka 0080.</w:t>
            </w:r>
          </w:p>
        </w:tc>
      </w:tr>
      <w:tr w:rsidR="00741F94" w:rsidRPr="003E2C48"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3E2C48" w:rsidRDefault="0041056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3E2C48" w:rsidRDefault="00741F94" w:rsidP="003C575D">
            <w:pPr>
              <w:pStyle w:val="InstructionsText"/>
              <w:rPr>
                <w:rStyle w:val="FormatvorlageInstructionsTabelleText"/>
                <w:rFonts w:ascii="Times New Roman" w:hAnsi="Times New Roman"/>
                <w:b/>
                <w:bCs w:val="0"/>
                <w:noProof/>
                <w:sz w:val="24"/>
                <w:u w:val="single"/>
              </w:rPr>
            </w:pPr>
            <w:r w:rsidRPr="003E2C48">
              <w:rPr>
                <w:rStyle w:val="FormatvorlageInstructionsTabelleText"/>
                <w:rFonts w:ascii="Times New Roman" w:hAnsi="Times New Roman"/>
                <w:b/>
                <w:noProof/>
                <w:sz w:val="24"/>
                <w:u w:val="single"/>
              </w:rPr>
              <w:t>Veliki financijski klijenti</w:t>
            </w:r>
          </w:p>
          <w:p w14:paraId="4D684432" w14:textId="57EDA359" w:rsidR="00741F94" w:rsidRPr="003E2C48" w:rsidRDefault="00741F9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Krediti i predujmovi drugim financijskim društvima iz dijela 1. točke 42. podtočke (d) Priloga V. ovoj</w:t>
            </w:r>
            <w:r w:rsidRPr="003E2C48">
              <w:rPr>
                <w:noProof/>
              </w:rPr>
              <w:t xml:space="preserve"> </w:t>
            </w:r>
            <w:r w:rsidRPr="003E2C48">
              <w:rPr>
                <w:rStyle w:val="FormatvorlageInstructionsTabelleText"/>
                <w:rFonts w:ascii="Times New Roman" w:hAnsi="Times New Roman"/>
                <w:noProof/>
                <w:sz w:val="24"/>
              </w:rPr>
              <w:t xml:space="preserve">Uredbi. </w:t>
            </w:r>
          </w:p>
        </w:tc>
      </w:tr>
      <w:tr w:rsidR="00741F94" w:rsidRPr="003E2C48"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3E2C48" w:rsidRDefault="0041056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3E2C48" w:rsidRDefault="00741F94"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Dužnički vrijednosni papiri</w:t>
            </w:r>
          </w:p>
          <w:p w14:paraId="4F3589E5" w14:textId="297A6910" w:rsidR="00741F94" w:rsidRPr="003E2C48" w:rsidRDefault="006E4174"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xml:space="preserve">Dužnički instrumenti koje drže institucije, izdani kao vrijednosni papiri koji nisu krediti, </w:t>
            </w:r>
            <w:r w:rsidRPr="003E2C48">
              <w:rPr>
                <w:noProof/>
              </w:rPr>
              <w:t>kako je navedeno u dijelu 1. točki 31. Priloga V. ovoj Uredbi</w:t>
            </w:r>
            <w:r w:rsidRPr="003E2C48">
              <w:rPr>
                <w:rStyle w:val="InstructionsTabelleberschrift"/>
                <w:rFonts w:ascii="Times New Roman" w:hAnsi="Times New Roman"/>
                <w:b w:val="0"/>
                <w:noProof/>
                <w:sz w:val="24"/>
                <w:u w:val="none"/>
              </w:rPr>
              <w:t>,</w:t>
            </w:r>
            <w:r w:rsidRPr="003E2C48">
              <w:rPr>
                <w:noProof/>
              </w:rPr>
              <w:t xml:space="preserve"> uključujući pokrivene obveznice i sekuritizirane izloženosti.</w:t>
            </w:r>
          </w:p>
        </w:tc>
      </w:tr>
      <w:tr w:rsidR="00551014" w:rsidRPr="003E2C48"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3E2C48" w:rsidDel="00551014" w:rsidRDefault="0041056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3E2C48" w:rsidRDefault="003F1BF2"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Izvedenice kojima se štiti imovina</w:t>
            </w:r>
          </w:p>
          <w:p w14:paraId="052D8F4E" w14:textId="7AAB2C56" w:rsidR="001E5979" w:rsidRPr="003E2C48" w:rsidDel="00551014" w:rsidRDefault="00E04F77" w:rsidP="003C575D">
            <w:pPr>
              <w:pStyle w:val="InstructionsText"/>
              <w:rPr>
                <w:rStyle w:val="InstructionsTabelleberschrift"/>
                <w:rFonts w:ascii="Times New Roman" w:hAnsi="Times New Roman"/>
                <w:b w:val="0"/>
                <w:noProof/>
                <w:sz w:val="24"/>
                <w:u w:val="none"/>
              </w:rPr>
            </w:pPr>
            <w:r w:rsidRPr="003E2C48">
              <w:rPr>
                <w:rStyle w:val="InstructionsTabelleberschrift"/>
                <w:rFonts w:ascii="Times New Roman" w:hAnsi="Times New Roman"/>
                <w:b w:val="0"/>
                <w:noProof/>
                <w:sz w:val="24"/>
                <w:u w:val="none"/>
              </w:rPr>
              <w:t>Izvedenice kako su definirane u članku 2. stavku 1. točki 29. Uredbe (EU) br. 600/2014 Europskog parlamenta i Vijeća</w:t>
            </w:r>
            <w:r w:rsidR="00D3693A" w:rsidRPr="003E2C48">
              <w:rPr>
                <w:rStyle w:val="FootnoteReference"/>
                <w:noProof/>
              </w:rPr>
              <w:footnoteReference w:id="3"/>
            </w:r>
            <w:r w:rsidRPr="003E2C48">
              <w:rPr>
                <w:rStyle w:val="InstructionsTabelleberschrift"/>
                <w:rFonts w:ascii="Times New Roman" w:hAnsi="Times New Roman"/>
                <w:b w:val="0"/>
                <w:noProof/>
                <w:sz w:val="24"/>
                <w:u w:val="none"/>
              </w:rPr>
              <w:t>.</w:t>
            </w:r>
            <w:r w:rsidRPr="003E2C48">
              <w:rPr>
                <w:rStyle w:val="InstructionsTabelleberschrift"/>
                <w:rFonts w:ascii="Times New Roman" w:hAnsi="Times New Roman"/>
                <w:noProof/>
                <w:sz w:val="24"/>
                <w:u w:val="none"/>
              </w:rPr>
              <w:t xml:space="preserve"> </w:t>
            </w:r>
            <w:r w:rsidRPr="003E2C48">
              <w:rPr>
                <w:rStyle w:val="InstructionsTabelleberschrift"/>
                <w:rFonts w:ascii="Times New Roman" w:hAnsi="Times New Roman"/>
                <w:b w:val="0"/>
                <w:noProof/>
                <w:sz w:val="24"/>
                <w:u w:val="none"/>
              </w:rPr>
              <w:t xml:space="preserve">Institucije </w:t>
            </w:r>
            <w:r w:rsidRPr="003E2C48">
              <w:rPr>
                <w:noProof/>
              </w:rPr>
              <w:t xml:space="preserve">izvješćuju o izvedenicama koje drže prema režimu računovodstva zaštite, u okviru primjenjivog računovodstvenog okvira jer je zaštićena stavka imovina osjetljiva na kamatne stope. </w:t>
            </w:r>
          </w:p>
        </w:tc>
      </w:tr>
      <w:tr w:rsidR="00B60371" w:rsidRPr="003E2C48"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3E2C48" w:rsidRDefault="0041056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3E2C48" w:rsidRDefault="007D1A3B"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Zaštita dužničkih vrijednosnih papira</w:t>
            </w:r>
          </w:p>
          <w:p w14:paraId="6CE16F3F" w14:textId="57795022" w:rsidR="00B60371" w:rsidRPr="003E2C48" w:rsidRDefault="00CC25CA" w:rsidP="003C575D">
            <w:pPr>
              <w:pStyle w:val="InstructionsText"/>
              <w:rPr>
                <w:rStyle w:val="InstructionsTabelleberschrift"/>
                <w:rFonts w:ascii="Times New Roman" w:hAnsi="Times New Roman"/>
                <w:b w:val="0"/>
                <w:noProof/>
                <w:sz w:val="24"/>
                <w:u w:val="none"/>
              </w:rPr>
            </w:pPr>
            <w:r w:rsidRPr="003E2C48">
              <w:rPr>
                <w:noProof/>
              </w:rPr>
              <w:t xml:space="preserve">Izvedenice računovodstva zaštite </w:t>
            </w:r>
            <w:r w:rsidRPr="003E2C48">
              <w:rPr>
                <w:rStyle w:val="InstructionsTabelleberschrift"/>
                <w:rFonts w:ascii="Times New Roman" w:hAnsi="Times New Roman"/>
                <w:b w:val="0"/>
                <w:noProof/>
                <w:sz w:val="24"/>
                <w:u w:val="none"/>
              </w:rPr>
              <w:t xml:space="preserve">kojima se štiti imovina koje su dužnički vrijednosni papiri. </w:t>
            </w:r>
          </w:p>
        </w:tc>
      </w:tr>
      <w:tr w:rsidR="00B60371" w:rsidRPr="003E2C48"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3E2C48" w:rsidRDefault="0041056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3E2C48" w:rsidRDefault="007D1A3B"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Zaštita druge imovine</w:t>
            </w:r>
          </w:p>
          <w:p w14:paraId="455AF042" w14:textId="0B1C6939" w:rsidR="00B60371" w:rsidRPr="003E2C48" w:rsidRDefault="00881542" w:rsidP="003C575D">
            <w:pPr>
              <w:pStyle w:val="InstructionsText"/>
              <w:rPr>
                <w:rStyle w:val="InstructionsTabelleberschrift"/>
                <w:rFonts w:ascii="Times New Roman" w:hAnsi="Times New Roman"/>
                <w:noProof/>
                <w:sz w:val="24"/>
              </w:rPr>
            </w:pPr>
            <w:r w:rsidRPr="003E2C48">
              <w:rPr>
                <w:noProof/>
              </w:rPr>
              <w:t xml:space="preserve">Izvedenice računovodstva zaštite </w:t>
            </w:r>
            <w:r w:rsidRPr="003E2C48">
              <w:rPr>
                <w:rStyle w:val="InstructionsTabelleberschrift"/>
                <w:rFonts w:ascii="Times New Roman" w:hAnsi="Times New Roman"/>
                <w:b w:val="0"/>
                <w:noProof/>
                <w:sz w:val="24"/>
                <w:u w:val="none"/>
              </w:rPr>
              <w:t>kojima se štiti imovina koje nisu dužnički vrijednosni papiri.</w:t>
            </w:r>
          </w:p>
        </w:tc>
      </w:tr>
      <w:tr w:rsidR="007F62B7" w:rsidRPr="003E2C48"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3E2C48" w:rsidRDefault="0041056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3E2C48" w:rsidRDefault="007F62B7"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Ostalo</w:t>
            </w:r>
          </w:p>
          <w:p w14:paraId="483AE853" w14:textId="32773246" w:rsidR="007F62B7" w:rsidRPr="003E2C48" w:rsidRDefault="007F62B7"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xml:space="preserve">Ostala bilančna imovina osjetljiva na kamatne stope koja </w:t>
            </w:r>
            <w:r w:rsidRPr="003E2C48">
              <w:rPr>
                <w:noProof/>
              </w:rPr>
              <w:t>ne spada u prethodne retke iskazuje se u ovom retku.</w:t>
            </w:r>
          </w:p>
        </w:tc>
      </w:tr>
      <w:tr w:rsidR="00741F94" w:rsidRPr="003E2C48"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3E2C48" w:rsidRDefault="0041056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3E2C48" w:rsidRDefault="00741F94" w:rsidP="003C575D">
            <w:pPr>
              <w:pStyle w:val="InstructionsText"/>
              <w:rPr>
                <w:rStyle w:val="InstructionsTabelleberschrift"/>
                <w:rFonts w:ascii="Times New Roman" w:hAnsi="Times New Roman"/>
                <w:bCs w:val="0"/>
                <w:noProof/>
                <w:sz w:val="24"/>
              </w:rPr>
            </w:pPr>
            <w:bookmarkStart w:id="52" w:name="_Hlk120269837"/>
            <w:r w:rsidRPr="003E2C48">
              <w:rPr>
                <w:rStyle w:val="InstructionsTabelleberschrift"/>
                <w:rFonts w:ascii="Times New Roman" w:hAnsi="Times New Roman"/>
                <w:noProof/>
                <w:sz w:val="24"/>
              </w:rPr>
              <w:t>Izvanbilančna imovina: nepredviđena imovina</w:t>
            </w:r>
          </w:p>
          <w:bookmarkEnd w:id="52"/>
          <w:p w14:paraId="6EED4CE2" w14:textId="13D0DEFF" w:rsidR="007F62B7" w:rsidRPr="003E2C48" w:rsidRDefault="005F0A8B"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xml:space="preserve">Izvanbilančna imovina iz Priloga I. </w:t>
            </w:r>
            <w:r w:rsidRPr="003E2C48">
              <w:rPr>
                <w:noProof/>
              </w:rPr>
              <w:t>Uredbi (EU) br. 575/2013</w:t>
            </w:r>
            <w:r w:rsidRPr="003E2C48">
              <w:rPr>
                <w:rStyle w:val="InstructionsTabelleberschrift"/>
                <w:rFonts w:ascii="Times New Roman" w:hAnsi="Times New Roman"/>
                <w:b w:val="0"/>
                <w:noProof/>
                <w:sz w:val="24"/>
                <w:u w:val="none"/>
              </w:rPr>
              <w:t xml:space="preserve"> koja je osjetljiva na kamatne stope i koja je obuhvaćena područjem primjene Delegirane uredbe (EU) …/… (Ured za publikacije: unijeti upućivanje na </w:t>
            </w:r>
            <w:r w:rsidRPr="003E2C48">
              <w:rPr>
                <w:noProof/>
              </w:rPr>
              <w:t>regulatorni tehnički standard o SOT-u)</w:t>
            </w:r>
            <w:r w:rsidRPr="003E2C48">
              <w:rPr>
                <w:rStyle w:val="InstructionsTabelleberschrift"/>
                <w:rFonts w:ascii="Times New Roman" w:hAnsi="Times New Roman"/>
                <w:b w:val="0"/>
                <w:noProof/>
                <w:sz w:val="24"/>
                <w:u w:val="none"/>
              </w:rPr>
              <w:t xml:space="preserve">. </w:t>
            </w:r>
          </w:p>
          <w:p w14:paraId="25844732" w14:textId="45453180" w:rsidR="00741F94" w:rsidRPr="003E2C48" w:rsidRDefault="00741F94" w:rsidP="003C575D">
            <w:pPr>
              <w:pStyle w:val="InstructionsText"/>
              <w:rPr>
                <w:rStyle w:val="InstructionsTabelleberschrift"/>
                <w:rFonts w:ascii="Times New Roman" w:hAnsi="Times New Roman"/>
                <w:b w:val="0"/>
                <w:noProof/>
                <w:sz w:val="24"/>
                <w:u w:val="none"/>
              </w:rPr>
            </w:pPr>
            <w:r w:rsidRPr="003E2C48">
              <w:rPr>
                <w:rStyle w:val="InstructionsTabelleberschrift"/>
                <w:rFonts w:ascii="Times New Roman" w:hAnsi="Times New Roman"/>
                <w:b w:val="0"/>
                <w:noProof/>
                <w:sz w:val="24"/>
                <w:u w:val="none"/>
              </w:rPr>
              <w:t>U ovaj se redak upisuju i obveze po kreditima s fiksnom kamatnom stopom s potencijalnim zajmoprimcima.</w:t>
            </w:r>
          </w:p>
          <w:p w14:paraId="5EAC10F2" w14:textId="3AA5FBCB" w:rsidR="00741F94" w:rsidRPr="003E2C48" w:rsidRDefault="00741F94"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Obveza po kreditu iskazuje se kao kombinacija kratke i duge pozicije. U slučaju obveze po kreditima s fiksnom kamatnom stopom institucija ima dugu poziciju u kreditu na početku obveze, a kratku poziciju u trenutku kad bi se kredit trebao iskoristiti. Institucije iskazuju duge pozicije kao imovinu, a kratke kao obveze. U ovaj redak upisuju samo nepredviđene instrumente koji se smatraju imovinom.</w:t>
            </w:r>
          </w:p>
        </w:tc>
      </w:tr>
      <w:tr w:rsidR="00741F94" w:rsidRPr="003E2C48"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3E2C48" w:rsidDel="001D16D7" w:rsidRDefault="0041056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3E2C48" w:rsidRDefault="00741F94"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Ukupne obveze</w:t>
            </w:r>
          </w:p>
          <w:p w14:paraId="7C38ACF0" w14:textId="41477556" w:rsidR="007F62B7" w:rsidRPr="003E2C48" w:rsidRDefault="007F62B7" w:rsidP="003C575D">
            <w:pPr>
              <w:pStyle w:val="InstructionsText"/>
              <w:rPr>
                <w:rStyle w:val="FormatvorlageInstructionsTabelleText"/>
                <w:rFonts w:ascii="Times New Roman" w:hAnsi="Times New Roman"/>
                <w:bCs w:val="0"/>
                <w:noProof/>
                <w:sz w:val="24"/>
              </w:rPr>
            </w:pPr>
            <w:r w:rsidRPr="003E2C48">
              <w:rPr>
                <w:rStyle w:val="FormatvorlageInstructionsTabelleText"/>
                <w:rFonts w:ascii="Times New Roman" w:hAnsi="Times New Roman"/>
                <w:noProof/>
                <w:sz w:val="24"/>
              </w:rPr>
              <w:t>Ukupne obveze osjetljive na kamatne stope</w:t>
            </w:r>
            <w:r w:rsidRPr="003E2C48">
              <w:rPr>
                <w:noProof/>
              </w:rPr>
              <w:t xml:space="preserve"> obuhvaćene područjem primjene Delegirane uredbe (EU) …/… (Ured za publikacije: unijeti upućivanje na regulatorni tehnički standard o SOT-u), </w:t>
            </w:r>
            <w:r w:rsidRPr="003E2C48">
              <w:rPr>
                <w:rStyle w:val="FormatvorlageInstructionsTabelleText"/>
                <w:rFonts w:ascii="Times New Roman" w:hAnsi="Times New Roman"/>
                <w:noProof/>
                <w:sz w:val="24"/>
              </w:rPr>
              <w:t xml:space="preserve">neovisno o njezinu računovodstvenom tretmanu. Ovaj redak uključuje: </w:t>
            </w:r>
          </w:p>
          <w:p w14:paraId="440E6249" w14:textId="6D6D4905" w:rsidR="000D6402" w:rsidRPr="003E2C48" w:rsidRDefault="00E21745"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 obveze u odnosu na središnje banke,</w:t>
            </w:r>
          </w:p>
          <w:p w14:paraId="58C223B7" w14:textId="14972A6C" w:rsidR="005F0A8B" w:rsidRPr="003E2C48" w:rsidRDefault="00E21745" w:rsidP="003C575D">
            <w:pPr>
              <w:pStyle w:val="InstructionsText"/>
              <w:rPr>
                <w:rStyle w:val="FormatvorlageInstructionsTabelleText"/>
                <w:rFonts w:ascii="Times New Roman" w:hAnsi="Times New Roman"/>
                <w:b/>
                <w:noProof/>
                <w:sz w:val="24"/>
                <w:u w:val="single"/>
              </w:rPr>
            </w:pPr>
            <w:r w:rsidRPr="003E2C48">
              <w:rPr>
                <w:rStyle w:val="FormatvorlageInstructionsTabelleText"/>
                <w:rFonts w:ascii="Times New Roman" w:hAnsi="Times New Roman"/>
                <w:noProof/>
                <w:sz w:val="24"/>
              </w:rPr>
              <w:t>— međubankovne obveze,</w:t>
            </w:r>
          </w:p>
          <w:p w14:paraId="28D57E3D" w14:textId="06433067" w:rsidR="000D6402" w:rsidRPr="003E2C48" w:rsidRDefault="00E21745"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izdane dužničke vrijednosne papire,</w:t>
            </w:r>
          </w:p>
          <w:p w14:paraId="084236A4" w14:textId="5AA4979D" w:rsidR="000D6402" w:rsidRPr="003E2C48" w:rsidRDefault="00E21745"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depozite bez dospijeća,</w:t>
            </w:r>
          </w:p>
          <w:p w14:paraId="253174FC" w14:textId="775944B6" w:rsidR="00531B36" w:rsidRPr="003E2C48" w:rsidRDefault="00E21745"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oročene depozite,</w:t>
            </w:r>
          </w:p>
          <w:p w14:paraId="2158A787" w14:textId="36AE02CA" w:rsidR="000D6402" w:rsidRPr="003E2C48" w:rsidRDefault="00E21745"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izvedenice kojima se štite obveze,</w:t>
            </w:r>
          </w:p>
          <w:p w14:paraId="4FD61CA1" w14:textId="4CADBED9" w:rsidR="00741F94" w:rsidRPr="003E2C48" w:rsidRDefault="00E21745" w:rsidP="003C575D">
            <w:pPr>
              <w:pStyle w:val="InstructionsText"/>
              <w:rPr>
                <w:rStyle w:val="InstructionsTabelleberschrift"/>
                <w:rFonts w:ascii="Times New Roman" w:hAnsi="Times New Roman"/>
                <w:b w:val="0"/>
                <w:noProof/>
                <w:sz w:val="24"/>
                <w:u w:val="none"/>
              </w:rPr>
            </w:pPr>
            <w:r w:rsidRPr="003E2C48">
              <w:rPr>
                <w:rStyle w:val="InstructionsTabelleberschrift"/>
                <w:rFonts w:ascii="Times New Roman" w:hAnsi="Times New Roman"/>
                <w:b w:val="0"/>
                <w:noProof/>
                <w:sz w:val="24"/>
                <w:u w:val="none"/>
              </w:rPr>
              <w:t>— ostalo.</w:t>
            </w:r>
          </w:p>
        </w:tc>
      </w:tr>
      <w:tr w:rsidR="00033F40" w:rsidRPr="003E2C48"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3E2C48" w:rsidRDefault="004F67A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3E2C48" w:rsidRDefault="004F67A8"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 xml:space="preserve">od čega: zbog automatske opcionalnosti </w:t>
            </w:r>
          </w:p>
          <w:p w14:paraId="6F491059" w14:textId="407F5EE7" w:rsidR="00033F40" w:rsidRPr="003E2C48" w:rsidRDefault="004F67A8" w:rsidP="003C575D">
            <w:pPr>
              <w:pStyle w:val="InstructionsText"/>
              <w:rPr>
                <w:rStyle w:val="InstructionsTabelleberschrift"/>
                <w:rFonts w:ascii="Times New Roman" w:hAnsi="Times New Roman"/>
                <w:noProof/>
                <w:sz w:val="24"/>
              </w:rPr>
            </w:pPr>
            <w:r w:rsidRPr="003E2C48">
              <w:rPr>
                <w:noProof/>
              </w:rPr>
              <w:t>Doprinos ugrađene i izričite automatske opcionalnosti ukupnim obvezama osjetljivima na kamatne stope obuhvaćenima područjem primjene Delegirane uredbe (EU) …/… (Ured za publikacije: unijeti upućivanje na regulatorni tehnički standard o SOT-u), neovisno o njezinu računovodstvenom tretmanu.</w:t>
            </w:r>
          </w:p>
        </w:tc>
      </w:tr>
      <w:tr w:rsidR="00741F94" w:rsidRPr="003E2C48"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3E2C48" w:rsidRDefault="00103272"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3E2C48" w:rsidRDefault="00741F94"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 xml:space="preserve">Središnja banka </w:t>
            </w:r>
          </w:p>
          <w:p w14:paraId="63153454" w14:textId="72460C63" w:rsidR="00741F94" w:rsidRPr="003E2C48" w:rsidRDefault="00741F94" w:rsidP="003C575D">
            <w:pPr>
              <w:pStyle w:val="InstructionsText"/>
              <w:rPr>
                <w:rStyle w:val="InstructionsTabelleberschrift"/>
                <w:rFonts w:ascii="Times New Roman" w:hAnsi="Times New Roman"/>
                <w:b w:val="0"/>
                <w:noProof/>
                <w:sz w:val="24"/>
                <w:u w:val="none"/>
              </w:rPr>
            </w:pPr>
            <w:r w:rsidRPr="003E2C48">
              <w:rPr>
                <w:rStyle w:val="InstructionsTabelleberschrift"/>
                <w:rFonts w:ascii="Times New Roman" w:hAnsi="Times New Roman"/>
                <w:b w:val="0"/>
                <w:noProof/>
                <w:sz w:val="24"/>
                <w:u w:val="none"/>
              </w:rPr>
              <w:t xml:space="preserve">Obveze </w:t>
            </w:r>
            <w:r w:rsidRPr="003E2C48">
              <w:rPr>
                <w:noProof/>
              </w:rPr>
              <w:t>prema središnjim bankama kako je navedeno u dijelu 1. točki 42. podtočki (a) Priloga V. ovoj Uredbi.</w:t>
            </w:r>
          </w:p>
        </w:tc>
      </w:tr>
      <w:tr w:rsidR="008B01DA" w:rsidRPr="003E2C48"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3E2C48" w:rsidDel="00103272" w:rsidRDefault="0098615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3E2C48" w:rsidRDefault="00AC072A"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Međubankovna</w:t>
            </w:r>
          </w:p>
          <w:p w14:paraId="140AD124" w14:textId="10351551" w:rsidR="008B01DA" w:rsidRPr="003E2C48" w:rsidRDefault="00B80373"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Sve obveze čija je druga ugovorna strana kreditna institucija kako je navedeno u dijelu 1. točki 42. podtočki (c) Priloga V. ovoj</w:t>
            </w:r>
            <w:r w:rsidRPr="003E2C48">
              <w:rPr>
                <w:noProof/>
              </w:rPr>
              <w:t xml:space="preserve"> Uredbi, isključujući vrijednosne papire i izloženosti po izvedenicama.</w:t>
            </w:r>
          </w:p>
        </w:tc>
      </w:tr>
      <w:tr w:rsidR="00741F94" w:rsidRPr="003E2C48"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3E2C48" w:rsidRDefault="00BC6EC7"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3E2C48" w:rsidRDefault="00741F94"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 xml:space="preserve">Izdani dužnički vrijednosni papiri </w:t>
            </w:r>
          </w:p>
          <w:p w14:paraId="5FCAA9F8" w14:textId="393B88FD" w:rsidR="00741F94" w:rsidRPr="003E2C48"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sidRPr="003E2C48">
              <w:rPr>
                <w:noProof/>
              </w:rPr>
              <w:t>Dužnički instrumenti koje je izdala institucija kao vrijednosne papire, a koji nisu depoziti, kako je navedeno u dijelu 1. članku 37. Priloga V. ovoj Uredbi</w:t>
            </w:r>
            <w:r w:rsidRPr="003E2C48">
              <w:rPr>
                <w:rStyle w:val="InstructionsTabelleberschrift"/>
                <w:rFonts w:ascii="Times New Roman" w:hAnsi="Times New Roman"/>
                <w:b w:val="0"/>
                <w:noProof/>
                <w:sz w:val="24"/>
                <w:u w:val="none"/>
              </w:rPr>
              <w:t>.</w:t>
            </w:r>
          </w:p>
        </w:tc>
      </w:tr>
      <w:tr w:rsidR="00741F94" w:rsidRPr="003E2C48"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3E2C48" w:rsidRDefault="00BC6EC7"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3E2C48" w:rsidRDefault="00E620F8"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od čega: AT1 ili T2</w:t>
            </w:r>
          </w:p>
          <w:p w14:paraId="725742BC" w14:textId="610E3248" w:rsidR="00741F94" w:rsidRPr="003E2C48" w:rsidRDefault="00741F94" w:rsidP="003C575D">
            <w:pPr>
              <w:pStyle w:val="InstructionsText"/>
              <w:rPr>
                <w:noProof/>
              </w:rPr>
            </w:pPr>
            <w:r w:rsidRPr="003E2C48">
              <w:rPr>
                <w:rStyle w:val="InstructionsTabelleberschrift"/>
                <w:rFonts w:ascii="Times New Roman" w:hAnsi="Times New Roman"/>
                <w:b w:val="0"/>
                <w:noProof/>
                <w:sz w:val="24"/>
                <w:u w:val="none"/>
              </w:rPr>
              <w:t xml:space="preserve">Dužnički vrijednosni papiri izdani u skladu s </w:t>
            </w:r>
            <w:r w:rsidRPr="003E2C48">
              <w:rPr>
                <w:rStyle w:val="FormatvorlageInstructionsTabelleText"/>
                <w:rFonts w:ascii="Times New Roman" w:hAnsi="Times New Roman"/>
                <w:noProof/>
                <w:sz w:val="24"/>
              </w:rPr>
              <w:t xml:space="preserve">člancima 61. ili 71. </w:t>
            </w:r>
            <w:r w:rsidRPr="003E2C48">
              <w:rPr>
                <w:noProof/>
              </w:rPr>
              <w:t>Uredbe (EU) br. 575/2013, isključujući regulatorni kapital bez dospijeća i bez datuma izvršenja opcija kupnje (članak 3. Delegirane uredbe (EU) …/… (Ured za publikacije: unijeti upućivanje na regulatorni tehnički standard o SOT-u)).</w:t>
            </w:r>
          </w:p>
        </w:tc>
      </w:tr>
      <w:tr w:rsidR="00741F94" w:rsidRPr="003E2C48"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3E2C48" w:rsidRDefault="00BC6EC7"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3E2C48" w:rsidRDefault="00CF0D44"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Depoziti bez dospijeća: transakcijski depoziti stanovništva</w:t>
            </w:r>
          </w:p>
          <w:p w14:paraId="0E15693D" w14:textId="0F15BCF8" w:rsidR="007F62B7" w:rsidRPr="003E2C48" w:rsidRDefault="00FD0B8B" w:rsidP="003C575D">
            <w:pPr>
              <w:pStyle w:val="InstructionsText"/>
              <w:rPr>
                <w:rStyle w:val="InstructionsTabelleberschrift"/>
                <w:rFonts w:ascii="Times New Roman" w:hAnsi="Times New Roman"/>
                <w:b w:val="0"/>
                <w:bCs w:val="0"/>
                <w:noProof/>
                <w:sz w:val="24"/>
                <w:u w:val="none"/>
              </w:rPr>
            </w:pPr>
            <w:r w:rsidRPr="003E2C48">
              <w:rPr>
                <w:noProof/>
              </w:rPr>
              <w:t>Depoziti stanovništva bez dospijeća pohranjeni na transakcijskom računu kako je definirano u članku 1. točki 10. Delegirane uredbe (EU) …/… (Ured za publikacije: unijeti upućivanje na regulatorne tehničke standarde o SA-u). Transakcijski depoziti bez dospijeća stanovništva uključuju beskamatne i druge račune stanovništva čija komponenta naknade nije relevantna u odluci klijenta da drži novac na računu.</w:t>
            </w:r>
          </w:p>
        </w:tc>
      </w:tr>
      <w:tr w:rsidR="00741F94" w:rsidRPr="003E2C48"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3E2C48" w:rsidRDefault="00BC6EC7"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3E2C48" w:rsidRDefault="00E620F8"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od čega: osnovna komponenta</w:t>
            </w:r>
          </w:p>
          <w:p w14:paraId="7212A9D8" w14:textId="5997E649" w:rsidR="00FD0B8B" w:rsidRPr="003E2C48" w:rsidRDefault="009D614B" w:rsidP="003C575D">
            <w:pPr>
              <w:pStyle w:val="InstructionsText"/>
              <w:rPr>
                <w:noProof/>
              </w:rPr>
            </w:pPr>
            <w:r w:rsidRPr="003E2C48">
              <w:rPr>
                <w:noProof/>
              </w:rPr>
              <w:t>Osnovna komponenta depozita bez dospijeća kako je definirana u članku 1. točki 15. Delegirane uredbe (EU) …/… (Ured za publikacije: unijeti upućivanje na regulatorni tehnički standard o SA-u).</w:t>
            </w:r>
          </w:p>
          <w:p w14:paraId="32F8B509" w14:textId="5D9C51E8" w:rsidR="00741F94" w:rsidRPr="003E2C48" w:rsidRDefault="008F26F7" w:rsidP="003C575D">
            <w:pPr>
              <w:pStyle w:val="InstructionsText"/>
              <w:rPr>
                <w:rStyle w:val="InstructionsTabelleberschrift"/>
                <w:rFonts w:ascii="Times New Roman" w:hAnsi="Times New Roman"/>
                <w:noProof/>
                <w:sz w:val="24"/>
              </w:rPr>
            </w:pPr>
            <w:r w:rsidRPr="003E2C48">
              <w:rPr>
                <w:noProof/>
              </w:rPr>
              <w:t>Depoziti bez dospijeća koji su stabilni i za čiju je cijenu malo vjerojatno da će se promijeniti čak i uz znatne promjene u okruženju kamatnih stopa ili drugi depoziti čiju će ograničenu elastičnost na promjene kamatnih stopa oblikovati institucije.</w:t>
            </w:r>
          </w:p>
        </w:tc>
      </w:tr>
      <w:tr w:rsidR="00741F94" w:rsidRPr="003E2C48"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3E2C48" w:rsidRDefault="00B87C4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3E2C48" w:rsidRDefault="00E620F8"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 xml:space="preserve">od čega: izuzeto od gornje granice od 5 godina </w:t>
            </w:r>
          </w:p>
          <w:p w14:paraId="0D57FEDC" w14:textId="2D768F7A" w:rsidR="00741F94" w:rsidRPr="003E2C48" w:rsidRDefault="00741F94"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xml:space="preserve">Izloženosti regulirane štednje kako je navedeno u članku 428.f stavku 2. točki (a) </w:t>
            </w:r>
            <w:r w:rsidRPr="003E2C48">
              <w:rPr>
                <w:noProof/>
              </w:rPr>
              <w:t>Uredbe (EU) br. 575/2013</w:t>
            </w:r>
            <w:r w:rsidRPr="003E2C48">
              <w:rPr>
                <w:rStyle w:val="InstructionsTabelleberschrift"/>
                <w:rFonts w:ascii="Times New Roman" w:hAnsi="Times New Roman"/>
                <w:b w:val="0"/>
                <w:noProof/>
                <w:sz w:val="24"/>
                <w:u w:val="none"/>
              </w:rPr>
              <w:t>, ali bez ograničenja na centralizirani dio, ili one s bitnim ekonomskim ili fiskalnim ograničenjima u slučaju povlačenja, za koje institucija ne ograničuje maksimalni ponderirani prosječni datum ponovnog vrednovanja na pet godina.</w:t>
            </w:r>
          </w:p>
        </w:tc>
      </w:tr>
      <w:tr w:rsidR="00741F94" w:rsidRPr="003E2C48"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3E2C48" w:rsidRDefault="00B87C4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3E2C48" w:rsidRDefault="00CF0D44"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Depoziti bez dospijeća: netransakcijski depoziti stanovništva</w:t>
            </w:r>
          </w:p>
          <w:p w14:paraId="67DA1BF0" w14:textId="0DA9F77A" w:rsidR="00FD0B8B" w:rsidRPr="003E2C48" w:rsidRDefault="00FD0B8B" w:rsidP="003C575D">
            <w:pPr>
              <w:pStyle w:val="InstructionsText"/>
              <w:rPr>
                <w:noProof/>
              </w:rPr>
            </w:pPr>
            <w:r w:rsidRPr="003E2C48">
              <w:rPr>
                <w:noProof/>
              </w:rPr>
              <w:t>Depoziti stanovništva bez dospijeća pohranjeni na netransakcijskom računu kako je definirano u članku 1. točki 11. Delegirane uredbe (EU) …/… (Ured za publikacije: unijeti upućivanje na regulatorni tehnički standard o SA-u).</w:t>
            </w:r>
          </w:p>
          <w:p w14:paraId="2CCF1716" w14:textId="014E0882" w:rsidR="007F62B7" w:rsidRPr="003E2C48" w:rsidRDefault="007F62B7" w:rsidP="003C575D">
            <w:pPr>
              <w:pStyle w:val="InstructionsText"/>
              <w:rPr>
                <w:noProof/>
              </w:rPr>
            </w:pPr>
            <w:r w:rsidRPr="003E2C48">
              <w:rPr>
                <w:noProof/>
              </w:rPr>
              <w:t xml:space="preserve">Za ostale depozite stanovništva koji se ne smatraju „depozitima bez dospijeća: transakcije stanovništva” smatra se da se drže na netransakcijskom računu. </w:t>
            </w:r>
          </w:p>
          <w:p w14:paraId="684A5676" w14:textId="536F0AD6" w:rsidR="00741F94" w:rsidRPr="003E2C48" w:rsidRDefault="007F62B7" w:rsidP="003C575D">
            <w:pPr>
              <w:pStyle w:val="InstructionsText"/>
              <w:rPr>
                <w:rStyle w:val="InstructionsTabelleberschrift"/>
                <w:rFonts w:ascii="Times New Roman" w:hAnsi="Times New Roman"/>
                <w:noProof/>
                <w:sz w:val="24"/>
              </w:rPr>
            </w:pPr>
            <w:r w:rsidRPr="003E2C48">
              <w:rPr>
                <w:noProof/>
              </w:rPr>
              <w:t>Konkretno, netransakcijski depoziti stanovništva uključuju račune stanovništva (uključujući regulirane) čija komponenta naknade nije relevantna u odluci klijenta da drži novac na računu.</w:t>
            </w:r>
          </w:p>
        </w:tc>
      </w:tr>
      <w:tr w:rsidR="00741F94" w:rsidRPr="003E2C48"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3E2C48" w:rsidRDefault="00B87C4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3E2C48" w:rsidRDefault="00CF0D44"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Depoziti bez dospijeća: veliki nefinancijski klijenti</w:t>
            </w:r>
          </w:p>
          <w:p w14:paraId="623AA74F" w14:textId="28B35872" w:rsidR="00741F94" w:rsidRPr="003E2C48" w:rsidRDefault="008C6415"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xml:space="preserve">Depoziti velikih klijenata </w:t>
            </w:r>
            <w:r w:rsidRPr="003E2C48">
              <w:rPr>
                <w:noProof/>
              </w:rPr>
              <w:t xml:space="preserve">kako su definirani u članku 1. točki 12. Delegirane uredbe (EU) …/… (Ured za publikacije: unijeti upućivanje na regulatorni tehnički standard o SA-u) koji su depoziti bez dospijeća opće države i nefinancijskih društava (NFC) kako je navedeno u dijelu 1. </w:t>
            </w:r>
            <w:r w:rsidRPr="003E2C48">
              <w:rPr>
                <w:rStyle w:val="InstructionsTabelleberschrift"/>
                <w:rFonts w:ascii="Times New Roman" w:hAnsi="Times New Roman"/>
                <w:b w:val="0"/>
                <w:noProof/>
                <w:sz w:val="24"/>
                <w:u w:val="none"/>
              </w:rPr>
              <w:t xml:space="preserve">točki 42. podtočkama (b) i (e) Priloga V. </w:t>
            </w:r>
            <w:r w:rsidRPr="003E2C48">
              <w:rPr>
                <w:noProof/>
              </w:rPr>
              <w:t>ovoj Uredbi</w:t>
            </w:r>
            <w:r w:rsidRPr="003E2C48">
              <w:rPr>
                <w:rStyle w:val="InstructionsTabelleberschrift"/>
                <w:rFonts w:ascii="Times New Roman" w:hAnsi="Times New Roman"/>
                <w:b w:val="0"/>
                <w:noProof/>
                <w:sz w:val="24"/>
                <w:u w:val="none"/>
              </w:rPr>
              <w:t xml:space="preserve">. </w:t>
            </w:r>
          </w:p>
        </w:tc>
      </w:tr>
      <w:tr w:rsidR="00741F94" w:rsidRPr="003E2C48"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3E2C48" w:rsidRDefault="00B87C4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3E2C48" w:rsidRDefault="00CF0D44"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Depoziti bez dospijeća: veliki financijski klijenti</w:t>
            </w:r>
          </w:p>
          <w:p w14:paraId="290B416D" w14:textId="23917E82" w:rsidR="00741F94" w:rsidRPr="003E2C48" w:rsidRDefault="008C6415" w:rsidP="00B123AB">
            <w:pPr>
              <w:suppressAutoHyphens/>
              <w:spacing w:after="139"/>
              <w:ind w:right="66"/>
              <w:rPr>
                <w:rStyle w:val="InstructionsTabelleberschrift"/>
                <w:rFonts w:ascii="Times New Roman" w:hAnsi="Times New Roman"/>
                <w:b w:val="0"/>
                <w:bCs w:val="0"/>
                <w:noProof/>
                <w:u w:val="none"/>
              </w:rPr>
            </w:pPr>
            <w:r w:rsidRPr="003E2C48">
              <w:rPr>
                <w:rStyle w:val="InstructionsTabelleberschrift"/>
                <w:rFonts w:ascii="Times New Roman" w:hAnsi="Times New Roman"/>
                <w:b w:val="0"/>
                <w:noProof/>
                <w:sz w:val="24"/>
                <w:u w:val="none"/>
              </w:rPr>
              <w:t xml:space="preserve">Depoziti velikih klijenata </w:t>
            </w:r>
            <w:r w:rsidRPr="003E2C48">
              <w:rPr>
                <w:rFonts w:ascii="Times New Roman" w:hAnsi="Times New Roman"/>
                <w:noProof/>
                <w:sz w:val="24"/>
              </w:rPr>
              <w:t xml:space="preserve">kako su definirani u članku 1. točki 12. Delegirane uredbe (EU) …/… (Ured za publikacije: unijeti upućivanje na regulatorni tehnički standard o SA-u) koji su depoziti bez dospijeća drugih ugovornih strana u skladu s dijelom 1. </w:t>
            </w:r>
            <w:r w:rsidRPr="003E2C48">
              <w:rPr>
                <w:rStyle w:val="InstructionsTabelleberschrift"/>
                <w:rFonts w:ascii="Times New Roman" w:hAnsi="Times New Roman"/>
                <w:b w:val="0"/>
                <w:noProof/>
                <w:sz w:val="24"/>
                <w:u w:val="none"/>
              </w:rPr>
              <w:t xml:space="preserve">točkom 42. podtočkom (d) Priloga V. </w:t>
            </w:r>
            <w:r w:rsidRPr="003E2C48">
              <w:rPr>
                <w:rFonts w:ascii="Times New Roman" w:hAnsi="Times New Roman"/>
                <w:noProof/>
                <w:sz w:val="24"/>
              </w:rPr>
              <w:t>ovoj Uredbi.</w:t>
            </w:r>
            <w:r w:rsidRPr="003E2C48">
              <w:rPr>
                <w:rStyle w:val="InstructionsTabelleberschrift"/>
                <w:rFonts w:ascii="Times New Roman" w:hAnsi="Times New Roman"/>
                <w:b w:val="0"/>
                <w:noProof/>
                <w:sz w:val="24"/>
                <w:u w:val="none"/>
              </w:rPr>
              <w:t xml:space="preserve"> </w:t>
            </w:r>
          </w:p>
        </w:tc>
      </w:tr>
      <w:tr w:rsidR="00741F94" w:rsidRPr="003E2C48"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3E2C48" w:rsidRDefault="00B87C4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3E2C48" w:rsidRDefault="00166525"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od čega: operativni depoziti</w:t>
            </w:r>
          </w:p>
          <w:p w14:paraId="147EE0A6" w14:textId="72D4164C" w:rsidR="00741F94" w:rsidRPr="003E2C48" w:rsidRDefault="00A852A4" w:rsidP="003C575D">
            <w:pPr>
              <w:pStyle w:val="InstructionsText"/>
              <w:rPr>
                <w:rStyle w:val="InstructionsTabelleberschrift"/>
                <w:rFonts w:ascii="Times New Roman" w:hAnsi="Times New Roman"/>
                <w:noProof/>
                <w:sz w:val="24"/>
              </w:rPr>
            </w:pPr>
            <w:r w:rsidRPr="003E2C48">
              <w:rPr>
                <w:noProof/>
              </w:rPr>
              <w:t>Depoziti bez dospijeća klasificirani kao operativni depoziti u skladu s člankom 27. stavkom 1. točkom (a) Delegirane uredbe Komisije (EU) 2015/61</w:t>
            </w:r>
            <w:r w:rsidR="00491D20" w:rsidRPr="003E2C48">
              <w:rPr>
                <w:rStyle w:val="FootnoteReference"/>
                <w:rFonts w:ascii="Times New Roman" w:hAnsi="Times New Roman"/>
                <w:noProof/>
                <w:sz w:val="24"/>
                <w:szCs w:val="24"/>
                <w:vertAlign w:val="superscript"/>
              </w:rPr>
              <w:footnoteReference w:id="4"/>
            </w:r>
            <w:r w:rsidRPr="003E2C48">
              <w:rPr>
                <w:noProof/>
              </w:rPr>
              <w:t>.</w:t>
            </w:r>
          </w:p>
        </w:tc>
      </w:tr>
      <w:tr w:rsidR="00741F94" w:rsidRPr="003E2C48"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3E2C48" w:rsidRDefault="00ED570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3E2C48" w:rsidRDefault="00741F94"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Oročeni depoziti</w:t>
            </w:r>
          </w:p>
          <w:p w14:paraId="23926A1D" w14:textId="49652B3C" w:rsidR="00741F94" w:rsidRPr="003E2C48" w:rsidRDefault="00741F94" w:rsidP="00430DF0">
            <w:pPr>
              <w:suppressAutoHyphens/>
              <w:spacing w:after="139"/>
              <w:ind w:right="66"/>
              <w:rPr>
                <w:rStyle w:val="InstructionsTabelleberschrift"/>
                <w:rFonts w:ascii="Times New Roman" w:hAnsi="Times New Roman"/>
                <w:b w:val="0"/>
                <w:bCs w:val="0"/>
                <w:noProof/>
                <w:sz w:val="24"/>
                <w:u w:val="none"/>
              </w:rPr>
            </w:pPr>
            <w:r w:rsidRPr="003E2C48">
              <w:rPr>
                <w:rFonts w:ascii="Times New Roman" w:hAnsi="Times New Roman"/>
                <w:noProof/>
                <w:sz w:val="24"/>
              </w:rPr>
              <w:t>Neprenosivi depoziti koje deponent ne smije povući prije ugovorenog dospijeća ili koji se mogu prijevremeno povući pod uvjetom da se deponentu naplate troškovi i naknade prijevremenog povlačenja (prijevremene otplate). Ta stavka uključuje administrativno regulirane štedne depozite kod kojih kriterij dospijeća nije relevantan. Iako za depozite s ugovorenim rokom dospijeća može postojati mogućnost prijevremenog povlačenja uz prethodnu obavijest ili povlačenja na zahtjev uz plaćanje određenih kazni, ta obilježja ne koriste se za potrebe klasifikacije. Ovaj redak ne uključuje izloženosti iz redaka 0220 i 0230.</w:t>
            </w:r>
          </w:p>
        </w:tc>
      </w:tr>
      <w:tr w:rsidR="00741F94" w:rsidRPr="003E2C48"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3E2C48" w:rsidRDefault="00ED570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3E2C48" w:rsidRDefault="00741F94"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Stanovništvo</w:t>
            </w:r>
          </w:p>
          <w:p w14:paraId="0C1BD336" w14:textId="6F50C206" w:rsidR="00741F94" w:rsidRPr="003E2C48" w:rsidRDefault="00741F94"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Ovaj redak uključuje oročene depozite fizičkih osoba i srednjih poduzetnika</w:t>
            </w:r>
            <w:r w:rsidRPr="003E2C48">
              <w:rPr>
                <w:b/>
                <w:noProof/>
              </w:rPr>
              <w:t xml:space="preserve">. </w:t>
            </w:r>
          </w:p>
        </w:tc>
      </w:tr>
      <w:tr w:rsidR="00741F94" w:rsidRPr="003E2C48"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3E2C48" w:rsidRDefault="00ED570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3E2C48" w:rsidRDefault="00741F94"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Veliki nefinancijski klijenti</w:t>
            </w:r>
          </w:p>
          <w:p w14:paraId="0429A193" w14:textId="2BE1783B" w:rsidR="00AB4CE3" w:rsidRPr="003E2C48" w:rsidRDefault="00AB4CE3" w:rsidP="003C575D">
            <w:pPr>
              <w:pStyle w:val="InstructionsText"/>
              <w:rPr>
                <w:noProof/>
              </w:rPr>
            </w:pPr>
            <w:r w:rsidRPr="003E2C48">
              <w:rPr>
                <w:noProof/>
              </w:rPr>
              <w:t>Oročeni depoziti velikih nefinancijskih klijenata.</w:t>
            </w:r>
          </w:p>
          <w:p w14:paraId="05C6DCF8" w14:textId="3E2A1ABB" w:rsidR="00741F94" w:rsidRPr="003E2C48" w:rsidRDefault="00894CF8"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xml:space="preserve">Depoziti velikih klijenata </w:t>
            </w:r>
            <w:r w:rsidRPr="003E2C48">
              <w:rPr>
                <w:noProof/>
              </w:rPr>
              <w:t xml:space="preserve">kako su definirani u članku 1. točki 12. Delegirane uredbe (EU) …/… (Ured za publikacije: unijeti upućivanje na regulatorni tehnički standard o SA-u) koji su depoziti, osim depozita bez dospijeća opće države i NFC-a kako je navedeno u dijelu 1. </w:t>
            </w:r>
            <w:r w:rsidRPr="003E2C48">
              <w:rPr>
                <w:rStyle w:val="InstructionsTabelleberschrift"/>
                <w:rFonts w:ascii="Times New Roman" w:hAnsi="Times New Roman"/>
                <w:b w:val="0"/>
                <w:noProof/>
                <w:sz w:val="24"/>
                <w:u w:val="none"/>
              </w:rPr>
              <w:t xml:space="preserve">točki 42. podtočkama (b) i (e) Priloga V. </w:t>
            </w:r>
            <w:r w:rsidRPr="003E2C48">
              <w:rPr>
                <w:noProof/>
              </w:rPr>
              <w:t>ovoj Uredbi</w:t>
            </w:r>
            <w:r w:rsidRPr="003E2C48">
              <w:rPr>
                <w:rStyle w:val="InstructionsTabelleberschrift"/>
                <w:rFonts w:ascii="Times New Roman" w:hAnsi="Times New Roman"/>
                <w:b w:val="0"/>
                <w:noProof/>
                <w:sz w:val="24"/>
                <w:u w:val="none"/>
              </w:rPr>
              <w:t xml:space="preserve">. </w:t>
            </w:r>
          </w:p>
        </w:tc>
      </w:tr>
      <w:tr w:rsidR="00741F94" w:rsidRPr="003E2C48"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3E2C48" w:rsidRDefault="00ED570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3E2C48" w:rsidRDefault="00741F94" w:rsidP="003C575D">
            <w:pPr>
              <w:pStyle w:val="InstructionsText"/>
              <w:rPr>
                <w:rStyle w:val="InstructionsTabelleberschrift"/>
                <w:rFonts w:ascii="Times New Roman" w:hAnsi="Times New Roman"/>
                <w:bCs w:val="0"/>
                <w:noProof/>
                <w:sz w:val="24"/>
              </w:rPr>
            </w:pPr>
            <w:r w:rsidRPr="003E2C48">
              <w:rPr>
                <w:rStyle w:val="InstructionsTabelleberschrift"/>
                <w:rFonts w:ascii="Times New Roman" w:hAnsi="Times New Roman"/>
                <w:noProof/>
                <w:sz w:val="24"/>
              </w:rPr>
              <w:t>Veliki financijski klijenti</w:t>
            </w:r>
          </w:p>
          <w:p w14:paraId="0EAB8936" w14:textId="77777777" w:rsidR="00741F94" w:rsidRPr="003E2C48" w:rsidRDefault="00741F94" w:rsidP="003C575D">
            <w:pPr>
              <w:pStyle w:val="InstructionsText"/>
              <w:rPr>
                <w:noProof/>
              </w:rPr>
            </w:pPr>
            <w:r w:rsidRPr="003E2C48">
              <w:rPr>
                <w:noProof/>
              </w:rPr>
              <w:t>Oročeni depoziti velikih financijskih klijenata.</w:t>
            </w:r>
          </w:p>
          <w:p w14:paraId="43BE6736" w14:textId="5D9CED62" w:rsidR="00894CF8" w:rsidRPr="003E2C48" w:rsidRDefault="00894CF8" w:rsidP="00430DF0">
            <w:pPr>
              <w:suppressAutoHyphens/>
              <w:spacing w:after="139"/>
              <w:ind w:right="66"/>
              <w:rPr>
                <w:rStyle w:val="InstructionsTabelleberschrift"/>
                <w:rFonts w:ascii="Times New Roman" w:hAnsi="Times New Roman"/>
                <w:b w:val="0"/>
                <w:noProof/>
                <w:sz w:val="24"/>
                <w:u w:val="none"/>
              </w:rPr>
            </w:pPr>
            <w:r w:rsidRPr="003E2C48">
              <w:rPr>
                <w:rStyle w:val="InstructionsTabelleberschrift"/>
                <w:rFonts w:ascii="Times New Roman" w:hAnsi="Times New Roman"/>
                <w:b w:val="0"/>
                <w:noProof/>
                <w:sz w:val="24"/>
                <w:u w:val="none"/>
              </w:rPr>
              <w:t xml:space="preserve">Depoziti velikih klijenata </w:t>
            </w:r>
            <w:r w:rsidRPr="003E2C48">
              <w:rPr>
                <w:rFonts w:ascii="Times New Roman" w:hAnsi="Times New Roman"/>
                <w:noProof/>
                <w:sz w:val="24"/>
              </w:rPr>
              <w:t>kako su definirani u članku 1. točki 12. Delegirane uredbe (EU) …/… (Ured za publikacije: unijeti upućivanje na regulatorni tehnički standard o SA-u) koji su</w:t>
            </w:r>
            <w:r w:rsidRPr="003E2C48">
              <w:rPr>
                <w:rFonts w:ascii="Times New Roman" w:hAnsi="Times New Roman"/>
                <w:noProof/>
              </w:rPr>
              <w:t xml:space="preserve"> </w:t>
            </w:r>
            <w:r w:rsidRPr="003E2C48">
              <w:rPr>
                <w:rFonts w:ascii="Times New Roman" w:hAnsi="Times New Roman"/>
                <w:noProof/>
                <w:sz w:val="24"/>
              </w:rPr>
              <w:t xml:space="preserve">depoziti, osim depozita bez dospijeća drugih ugovornih strana iz dijela 1. </w:t>
            </w:r>
            <w:r w:rsidRPr="003E2C48">
              <w:rPr>
                <w:rStyle w:val="InstructionsTabelleberschrift"/>
                <w:rFonts w:ascii="Times New Roman" w:hAnsi="Times New Roman"/>
                <w:b w:val="0"/>
                <w:noProof/>
                <w:sz w:val="24"/>
                <w:u w:val="none"/>
              </w:rPr>
              <w:t xml:space="preserve">točke 42. podtočke (d) Priloga V. </w:t>
            </w:r>
            <w:r w:rsidRPr="003E2C48">
              <w:rPr>
                <w:rFonts w:ascii="Times New Roman" w:hAnsi="Times New Roman"/>
                <w:noProof/>
                <w:sz w:val="24"/>
              </w:rPr>
              <w:t>ovoj Uredbi.</w:t>
            </w:r>
            <w:r w:rsidRPr="003E2C48">
              <w:rPr>
                <w:rStyle w:val="InstructionsTabelleberschrift"/>
                <w:rFonts w:ascii="Times New Roman" w:hAnsi="Times New Roman"/>
                <w:b w:val="0"/>
                <w:noProof/>
                <w:sz w:val="24"/>
                <w:u w:val="none"/>
              </w:rPr>
              <w:t xml:space="preserve"> </w:t>
            </w:r>
          </w:p>
        </w:tc>
      </w:tr>
      <w:tr w:rsidR="00A4472C" w:rsidRPr="003E2C48"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3E2C48" w:rsidDel="00576E55" w:rsidRDefault="00ED570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3E2C48" w:rsidRDefault="00217CA0"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Izvedenice kojima se štite obveze</w:t>
            </w:r>
          </w:p>
          <w:p w14:paraId="2EE47E8C" w14:textId="3B81836A" w:rsidR="00A4472C" w:rsidRPr="003E2C48" w:rsidDel="00576E55" w:rsidRDefault="0032170D"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Izvedenice kako su definirane u članku 2. stavku 1. točki 29. Uredbe (EU) br. 600/2014.</w:t>
            </w:r>
            <w:r w:rsidRPr="003E2C48">
              <w:rPr>
                <w:rStyle w:val="InstructionsTabelleberschrift"/>
                <w:rFonts w:ascii="Times New Roman" w:hAnsi="Times New Roman"/>
                <w:noProof/>
                <w:sz w:val="24"/>
                <w:u w:val="none"/>
              </w:rPr>
              <w:t xml:space="preserve"> </w:t>
            </w:r>
            <w:r w:rsidRPr="003E2C48">
              <w:rPr>
                <w:rStyle w:val="InstructionsTabelleberschrift"/>
                <w:rFonts w:ascii="Times New Roman" w:hAnsi="Times New Roman"/>
                <w:b w:val="0"/>
                <w:noProof/>
                <w:sz w:val="24"/>
                <w:u w:val="none"/>
              </w:rPr>
              <w:t xml:space="preserve">Institucije </w:t>
            </w:r>
            <w:r w:rsidRPr="003E2C48">
              <w:rPr>
                <w:noProof/>
              </w:rPr>
              <w:t>izvješćuju o izvedenicama koje drže prema režimu računovodstva zaštite u okviru primjenjivog računovodstvenog okvira jer je zaštićena stavka obveza osjetljiva na kamatne stope.</w:t>
            </w:r>
          </w:p>
        </w:tc>
      </w:tr>
      <w:tr w:rsidR="00912ADD" w:rsidRPr="003E2C48"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3E2C48" w:rsidRDefault="00ED570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3E2C48" w:rsidRDefault="0043093C"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Zaštita dužničkih vrijednosnih papira</w:t>
            </w:r>
          </w:p>
          <w:p w14:paraId="4CC38832" w14:textId="220A5504" w:rsidR="00912ADD" w:rsidRPr="003E2C48" w:rsidRDefault="00AA0E8C" w:rsidP="003C575D">
            <w:pPr>
              <w:pStyle w:val="InstructionsText"/>
              <w:rPr>
                <w:rStyle w:val="InstructionsTabelleberschrift"/>
                <w:rFonts w:ascii="Times New Roman" w:hAnsi="Times New Roman"/>
                <w:noProof/>
                <w:sz w:val="24"/>
              </w:rPr>
            </w:pPr>
            <w:r w:rsidRPr="003E2C48">
              <w:rPr>
                <w:noProof/>
              </w:rPr>
              <w:t xml:space="preserve">Izvedenice računovodstva zaštite </w:t>
            </w:r>
            <w:r w:rsidRPr="003E2C48">
              <w:rPr>
                <w:rStyle w:val="InstructionsTabelleberschrift"/>
                <w:rFonts w:ascii="Times New Roman" w:hAnsi="Times New Roman"/>
                <w:b w:val="0"/>
                <w:noProof/>
                <w:sz w:val="24"/>
                <w:u w:val="none"/>
              </w:rPr>
              <w:t xml:space="preserve">kojima se štite obveze koje su dužnički vrijednosni papiri. </w:t>
            </w:r>
          </w:p>
        </w:tc>
      </w:tr>
      <w:tr w:rsidR="00693056" w:rsidRPr="003E2C48"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3E2C48" w:rsidRDefault="00ED570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3E2C48" w:rsidRDefault="003C7D80"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Zaštita ostalih obveza</w:t>
            </w:r>
          </w:p>
          <w:p w14:paraId="4488459D" w14:textId="79A2A28C" w:rsidR="00693056" w:rsidRPr="003E2C48" w:rsidRDefault="00AA0E8C" w:rsidP="003C575D">
            <w:pPr>
              <w:pStyle w:val="InstructionsText"/>
              <w:rPr>
                <w:rStyle w:val="InstructionsTabelleberschrift"/>
                <w:rFonts w:ascii="Times New Roman" w:hAnsi="Times New Roman"/>
                <w:noProof/>
                <w:sz w:val="24"/>
              </w:rPr>
            </w:pPr>
            <w:r w:rsidRPr="003E2C48">
              <w:rPr>
                <w:noProof/>
              </w:rPr>
              <w:t xml:space="preserve">Izvedenice računovodstva zaštite </w:t>
            </w:r>
            <w:r w:rsidRPr="003E2C48">
              <w:rPr>
                <w:rStyle w:val="InstructionsTabelleberschrift"/>
                <w:rFonts w:ascii="Times New Roman" w:hAnsi="Times New Roman"/>
                <w:b w:val="0"/>
                <w:noProof/>
                <w:sz w:val="24"/>
                <w:u w:val="none"/>
              </w:rPr>
              <w:t>kojima se štite obveze koje nisu dužnički vrijednosni papiri.</w:t>
            </w:r>
          </w:p>
        </w:tc>
      </w:tr>
      <w:tr w:rsidR="00E96058" w:rsidRPr="003E2C48"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3E2C48" w:rsidRDefault="00ED570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3E2C48" w:rsidRDefault="00E96058"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Ostalo</w:t>
            </w:r>
          </w:p>
          <w:p w14:paraId="65D0639C" w14:textId="76B42BA3" w:rsidR="00E96058" w:rsidRPr="003E2C48" w:rsidRDefault="00E96058"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xml:space="preserve">Ostale bilančne obveze osjetljive na kamatne stope koje </w:t>
            </w:r>
            <w:r w:rsidRPr="003E2C48">
              <w:rPr>
                <w:noProof/>
              </w:rPr>
              <w:t>nisu razvrstane u prethodne retke iskazuju se u ovom retku.</w:t>
            </w:r>
          </w:p>
        </w:tc>
      </w:tr>
      <w:tr w:rsidR="00741F94" w:rsidRPr="003E2C48"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3E2C48" w:rsidRDefault="00ED570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3E2C48" w:rsidRDefault="00741F94"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xml:space="preserve">Izvanbilančne obveze: </w:t>
            </w:r>
            <w:bookmarkStart w:id="53" w:name="_Hlk116393169"/>
            <w:r w:rsidRPr="003E2C48">
              <w:rPr>
                <w:rStyle w:val="InstructionsTabelleberschrift"/>
                <w:rFonts w:ascii="Times New Roman" w:hAnsi="Times New Roman"/>
                <w:noProof/>
                <w:sz w:val="24"/>
              </w:rPr>
              <w:t>nepredviđene obveze</w:t>
            </w:r>
            <w:bookmarkEnd w:id="53"/>
          </w:p>
          <w:p w14:paraId="75027371" w14:textId="350951E4" w:rsidR="00741F94" w:rsidRPr="003E2C48" w:rsidRDefault="00741F94"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Izvanbilančne stavke uključuju proizvode kao što su obveze po kreditima osjetljive na kamatne stope.</w:t>
            </w:r>
          </w:p>
          <w:p w14:paraId="7A13B80C" w14:textId="0020F409" w:rsidR="00741F94" w:rsidRPr="003E2C48" w:rsidRDefault="00741F94" w:rsidP="003C575D">
            <w:pPr>
              <w:pStyle w:val="InstructionsText"/>
              <w:rPr>
                <w:rStyle w:val="InstructionsTabelleberschrift"/>
                <w:rFonts w:ascii="Times New Roman" w:hAnsi="Times New Roman"/>
                <w:b w:val="0"/>
                <w:noProof/>
                <w:sz w:val="24"/>
                <w:u w:val="none"/>
              </w:rPr>
            </w:pPr>
            <w:r w:rsidRPr="003E2C48">
              <w:rPr>
                <w:rStyle w:val="InstructionsTabelleberschrift"/>
                <w:rFonts w:ascii="Times New Roman" w:hAnsi="Times New Roman"/>
                <w:b w:val="0"/>
                <w:noProof/>
                <w:sz w:val="24"/>
                <w:u w:val="none"/>
              </w:rPr>
              <w:t xml:space="preserve">Nepredviđene obveze iskazuju se kao kombinacija kratke i duge pozicije. Ako institucija ima kreditnu liniju s drugim institucijama, institucija će imati dugu poziciju kad se kredit treba povući, a kratku poziciju na dan otvaranja kreditne linije. </w:t>
            </w:r>
          </w:p>
          <w:p w14:paraId="52F8703B" w14:textId="72FEC13F" w:rsidR="00741F94" w:rsidRPr="003E2C48" w:rsidRDefault="00741F94" w:rsidP="003C575D">
            <w:pPr>
              <w:pStyle w:val="InstructionsText"/>
              <w:rPr>
                <w:rStyle w:val="InstructionsTabelleberschrift"/>
                <w:rFonts w:ascii="Times New Roman" w:hAnsi="Times New Roman"/>
                <w:b w:val="0"/>
                <w:bCs w:val="0"/>
                <w:noProof/>
                <w:sz w:val="24"/>
                <w:highlight w:val="yellow"/>
                <w:u w:val="none"/>
              </w:rPr>
            </w:pPr>
            <w:r w:rsidRPr="003E2C48">
              <w:rPr>
                <w:rStyle w:val="InstructionsTabelleberschrift"/>
                <w:rFonts w:ascii="Times New Roman" w:hAnsi="Times New Roman"/>
                <w:b w:val="0"/>
                <w:noProof/>
                <w:sz w:val="24"/>
                <w:u w:val="none"/>
              </w:rPr>
              <w:t>Duge pozicije iskazuju se kao imovina, a kratke kao obveza. U ovom se retku iskazuju samo nepredviđeni instrumenti koji se kvalificiraju kao obveze.</w:t>
            </w:r>
          </w:p>
        </w:tc>
      </w:tr>
      <w:tr w:rsidR="005F6854" w:rsidRPr="003E2C48"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3E2C48" w:rsidRDefault="00ED570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3E2C48" w:rsidRDefault="00D33590"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Ostale izvedenice (neto imovina/obveze)</w:t>
            </w:r>
          </w:p>
          <w:p w14:paraId="445A1B2E" w14:textId="52EF1626" w:rsidR="008A50EB" w:rsidRPr="003E2C48" w:rsidRDefault="00AA6996"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Kamatne izvedenice koje nisu osmišljene kao računovodstvene zaštite, kao što su ekonomske zaštite kamatnih stopa, koje su namijenjene zaštiti od kamatnog rizika u knjizi pozicija kojima se ne trguje, ali nisu pod režimom računovodstvene zaštite.</w:t>
            </w:r>
          </w:p>
        </w:tc>
      </w:tr>
      <w:tr w:rsidR="00741F94" w:rsidRPr="003E2C48"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3E2C48" w:rsidDel="001D16D7" w:rsidRDefault="00ED570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0540 do 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3E2C48" w:rsidRDefault="00741F94"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Bilješke</w:t>
            </w:r>
          </w:p>
        </w:tc>
      </w:tr>
      <w:tr w:rsidR="009C1A96" w:rsidRPr="003E2C48"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3E2C48" w:rsidDel="00C13246" w:rsidRDefault="0021647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3E2C48" w:rsidRDefault="008F3EC2"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Neto izvedenice</w:t>
            </w:r>
          </w:p>
          <w:p w14:paraId="1072B82F" w14:textId="0B3EBFA9" w:rsidR="00AA6996" w:rsidRPr="003E2C48" w:rsidRDefault="00CD037F"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Neto doprinos svih kamatnih izvedenica u knjizi pozicija kojima se ne trguje, uzimajući u obzir izvedenice kamatnih stopa kojima se štite imovina (redak 0140) ili obveze (redak 0470) u skladu s računovodstvenim režimom zaštite u knjizi pozicija kojima se ne trguje i ekonomske zaštite kamatnih stopa (redak 0530) ostalih kamatnih izvedenica u knjizi pozicija kojima se ne trguje čija namjena nije računovodstvena zaštita.</w:t>
            </w:r>
          </w:p>
        </w:tc>
      </w:tr>
      <w:tr w:rsidR="0009034B" w:rsidRPr="003E2C48"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3E2C48" w:rsidDel="00C13246" w:rsidRDefault="0021647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3E2C48" w:rsidRDefault="00736664"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Neto kamatna pozicija bez izvedenica</w:t>
            </w:r>
          </w:p>
          <w:p w14:paraId="575BB1CF" w14:textId="016C3B32" w:rsidR="0009034B" w:rsidRPr="003E2C48" w:rsidRDefault="0009034B"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Sve izloženosti riziku kamatne stope u knjizi pozicija kojima se ne trguje</w:t>
            </w:r>
            <w:r w:rsidRPr="003E2C48">
              <w:rPr>
                <w:noProof/>
              </w:rPr>
              <w:t>, uključujući izloženosti izvanbilančnih stavki i</w:t>
            </w:r>
            <w:r w:rsidRPr="003E2C48">
              <w:rPr>
                <w:rStyle w:val="InstructionsTabelleberschrift"/>
                <w:rFonts w:ascii="Times New Roman" w:hAnsi="Times New Roman"/>
                <w:b w:val="0"/>
                <w:noProof/>
                <w:sz w:val="24"/>
                <w:u w:val="none"/>
              </w:rPr>
              <w:t xml:space="preserve"> isključujući kamatne izvedenice. Konkretno, sva imovina i obveze isključujući učinak izvedenica.</w:t>
            </w:r>
          </w:p>
        </w:tc>
      </w:tr>
      <w:tr w:rsidR="0009034B" w:rsidRPr="003E2C48"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3E2C48" w:rsidDel="00C13246" w:rsidRDefault="0021647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3E2C48" w:rsidRDefault="00736664"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noProof/>
                <w:sz w:val="24"/>
              </w:rPr>
              <w:t>Neto kamatna pozicija s izvedenicama</w:t>
            </w:r>
          </w:p>
          <w:p w14:paraId="4E5947AA" w14:textId="53D59421" w:rsidR="0009034B" w:rsidRPr="003E2C48" w:rsidRDefault="003A3138"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xml:space="preserve">Sva imovina i obveze, uključujući </w:t>
            </w:r>
            <w:r w:rsidRPr="003E2C48">
              <w:rPr>
                <w:noProof/>
              </w:rPr>
              <w:t xml:space="preserve">izloženost izvanbilančnih stavki i </w:t>
            </w:r>
            <w:r w:rsidRPr="003E2C48">
              <w:rPr>
                <w:rStyle w:val="InstructionsTabelleberschrift"/>
                <w:rFonts w:ascii="Times New Roman" w:hAnsi="Times New Roman"/>
                <w:b w:val="0"/>
                <w:noProof/>
                <w:sz w:val="24"/>
                <w:u w:val="none"/>
              </w:rPr>
              <w:t>kamatne izvedenice.</w:t>
            </w:r>
          </w:p>
        </w:tc>
      </w:tr>
      <w:tr w:rsidR="00741F94" w:rsidRPr="003E2C48"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3E2C48" w:rsidDel="001D16D7" w:rsidRDefault="0021647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3E2C48" w:rsidRDefault="001D2293"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Ukupna imovina uzimajući u obzir promjenu tržišne vrijednosti</w:t>
            </w:r>
          </w:p>
          <w:p w14:paraId="3C8D6849" w14:textId="684BBA7E" w:rsidR="00741F94" w:rsidRPr="003E2C48" w:rsidRDefault="0033679B" w:rsidP="003C575D">
            <w:pPr>
              <w:pStyle w:val="InstructionsText"/>
              <w:rPr>
                <w:rStyle w:val="InstructionsTabelleberschrift"/>
                <w:rFonts w:ascii="Times New Roman" w:hAnsi="Times New Roman"/>
                <w:b w:val="0"/>
                <w:bCs w:val="0"/>
                <w:noProof/>
                <w:sz w:val="24"/>
                <w:u w:val="none"/>
              </w:rPr>
            </w:pPr>
            <w:r w:rsidRPr="003E2C48">
              <w:rPr>
                <w:noProof/>
              </w:rPr>
              <w:t>Ukupna imovina kod koje su promjene vrijednosti MV relevantne za dobit ili gubitak ili kapital, isključujući izvedenice neračunovodstvene zaštite iskazane u retku 0530. Za institucije koje primjenjuju međunarodne standarde financijskog izvještavanja u skladu s Uredbom (EZ) br. 1606/2002 Europskog parlamenta i Vijeća</w:t>
            </w:r>
            <w:r w:rsidR="00D3693A" w:rsidRPr="003E2C48">
              <w:rPr>
                <w:rStyle w:val="FootnoteReference"/>
                <w:noProof/>
              </w:rPr>
              <w:footnoteReference w:id="5"/>
            </w:r>
            <w:r w:rsidRPr="003E2C48">
              <w:rPr>
                <w:noProof/>
              </w:rPr>
              <w:t xml:space="preserve"> imovina iz knjige pozicija kojima se ne trguje koja se iskazuje po fer vrijednosti u skladu s primjenjivim računovodstvenim okvirom (kroz dobit ili gubitak ili drugu sveobuhvatnu dobit), zajedno s dužničkim vrijednosnim papirima i drugim instrumentima koji se iskazuju po amortiziranom trošku podložno računovodstvu zaštite fer vrijednosti. Izvedenice kojima se štiti imovina u knjizi pozicija kojima se ne trguje u okviru režima računovodstva zaštite upisuju se u ovaj odjeljak, osim za efektivnu komponentu računovodstvenih izvedenica novčanog toka kojima se štiti amortizirani trošak iz članka 33. stavka 1. točke (a) Uredbe (EU) br. 575/2013.</w:t>
            </w:r>
          </w:p>
        </w:tc>
      </w:tr>
      <w:tr w:rsidR="002867FC" w:rsidRPr="003E2C48"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3E2C48" w:rsidRDefault="0021647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3E2C48" w:rsidRDefault="002867FC"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Dužnički vrijednosni papiri</w:t>
            </w:r>
          </w:p>
          <w:p w14:paraId="2EF51544" w14:textId="630CA150" w:rsidR="006D2D2D" w:rsidRPr="003E2C48" w:rsidRDefault="00855A8F" w:rsidP="003C575D">
            <w:pPr>
              <w:pStyle w:val="InstructionsText"/>
              <w:rPr>
                <w:rStyle w:val="InstructionsTabelleberschrift"/>
                <w:rFonts w:ascii="Times New Roman" w:hAnsi="Times New Roman"/>
                <w:b w:val="0"/>
                <w:noProof/>
                <w:sz w:val="24"/>
                <w:u w:val="none"/>
              </w:rPr>
            </w:pPr>
            <w:r w:rsidRPr="003E2C48">
              <w:rPr>
                <w:noProof/>
              </w:rPr>
              <w:t>Dužnički vrijednosni papiri kod kojih su promjene MV-a relevantne za dobit ili gubitak ili kapital. Uključuju dužničke vrijednosne papire određene po fer vrijednosti zajedno s dužničkim vrijednosnim papirima iskazanima po amortiziranom trošku na koje se primjenjuje računovodstvo zaštite fer vrijednosti.</w:t>
            </w:r>
          </w:p>
        </w:tc>
      </w:tr>
      <w:tr w:rsidR="002867FC" w:rsidRPr="003E2C48"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3E2C48" w:rsidRDefault="0021647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3E2C48" w:rsidRDefault="002867FC"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Izvedenice</w:t>
            </w:r>
          </w:p>
          <w:p w14:paraId="00FE0B0D" w14:textId="5AF9E87E" w:rsidR="000A3491" w:rsidRPr="003E2C48" w:rsidRDefault="000A3491"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Izvedenice kako su definirane u članku 2. stavku 1. točki 29. Uredbe (EU) br. 600/2014.</w:t>
            </w:r>
            <w:r w:rsidRPr="003E2C48">
              <w:rPr>
                <w:rStyle w:val="InstructionsTabelleberschrift"/>
                <w:rFonts w:ascii="Times New Roman" w:hAnsi="Times New Roman"/>
                <w:noProof/>
                <w:sz w:val="24"/>
                <w:u w:val="none"/>
              </w:rPr>
              <w:t xml:space="preserve"> </w:t>
            </w:r>
          </w:p>
          <w:p w14:paraId="200AA535" w14:textId="40590E67" w:rsidR="002867FC" w:rsidRPr="003E2C48" w:rsidRDefault="00D71CFD" w:rsidP="003C575D">
            <w:pPr>
              <w:pStyle w:val="InstructionsText"/>
              <w:rPr>
                <w:rStyle w:val="InstructionsTabelleberschrift"/>
                <w:rFonts w:ascii="Times New Roman" w:hAnsi="Times New Roman"/>
                <w:noProof/>
                <w:sz w:val="24"/>
                <w:u w:val="none"/>
              </w:rPr>
            </w:pPr>
            <w:r w:rsidRPr="003E2C48">
              <w:rPr>
                <w:noProof/>
              </w:rPr>
              <w:t>Izvedenice kojima se štiti imovina u okviru režima računovodstva zaštite upisuju se u ovaj redak, osim izvedenica određenih kao stavke zaštite novčanog toka od amortiziranog troška.</w:t>
            </w:r>
          </w:p>
        </w:tc>
      </w:tr>
      <w:tr w:rsidR="002867FC" w:rsidRPr="003E2C48"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3E2C48" w:rsidRDefault="0021647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3E2C48" w:rsidRDefault="002867FC"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Ostalo</w:t>
            </w:r>
          </w:p>
          <w:p w14:paraId="1BFC1FE3" w14:textId="338A5D16" w:rsidR="002867FC" w:rsidRPr="003E2C48" w:rsidRDefault="002867FC" w:rsidP="003C575D">
            <w:pPr>
              <w:pStyle w:val="InstructionsText"/>
              <w:rPr>
                <w:rStyle w:val="InstructionsTabelleberschrift"/>
                <w:rFonts w:ascii="Times New Roman" w:hAnsi="Times New Roman"/>
                <w:b w:val="0"/>
                <w:bCs w:val="0"/>
                <w:noProof/>
                <w:sz w:val="24"/>
                <w:u w:val="none"/>
              </w:rPr>
            </w:pPr>
            <w:r w:rsidRPr="003E2C48">
              <w:rPr>
                <w:noProof/>
              </w:rPr>
              <w:t>Ostala imovina određena po fer vrijednosti, zajedno s ostalom imovinom iskazanom po amortiziranom trošku na koju se primjenjuje računovodstvo zaštite fer vrijednosti.</w:t>
            </w:r>
          </w:p>
        </w:tc>
      </w:tr>
      <w:tr w:rsidR="002867FC" w:rsidRPr="003E2C48"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3E2C48" w:rsidRDefault="0021647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3E2C48" w:rsidRDefault="002867FC"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Ukupne obveze uzimajući u obzir promjenu tržišne vrijednosti</w:t>
            </w:r>
          </w:p>
          <w:p w14:paraId="1AB95EED" w14:textId="77777777" w:rsidR="00D71CFD" w:rsidRPr="003E2C48" w:rsidRDefault="00D71CFD" w:rsidP="00430DF0">
            <w:pPr>
              <w:suppressAutoHyphens/>
              <w:spacing w:line="238" w:lineRule="auto"/>
              <w:ind w:left="1" w:right="60"/>
              <w:rPr>
                <w:rFonts w:ascii="Times New Roman" w:hAnsi="Times New Roman"/>
                <w:noProof/>
                <w:sz w:val="24"/>
              </w:rPr>
            </w:pPr>
            <w:r w:rsidRPr="003E2C48">
              <w:rPr>
                <w:rFonts w:ascii="Times New Roman" w:hAnsi="Times New Roman"/>
                <w:noProof/>
                <w:sz w:val="24"/>
              </w:rPr>
              <w:t>Ukupne obveze kod kojih su promjene MV-a relevantne za dobit ili gubitak ili kapital, isključujući izvedenice neračunovodstvene zaštite iskazane u retku 0530.</w:t>
            </w:r>
          </w:p>
          <w:p w14:paraId="7E6E8ABF" w14:textId="2E0D9203" w:rsidR="002867FC" w:rsidRPr="003E2C48" w:rsidRDefault="00D71CFD" w:rsidP="003C575D">
            <w:pPr>
              <w:pStyle w:val="InstructionsText"/>
              <w:rPr>
                <w:rStyle w:val="InstructionsTabelleberschrift"/>
                <w:rFonts w:ascii="Times New Roman" w:hAnsi="Times New Roman"/>
                <w:noProof/>
                <w:sz w:val="24"/>
              </w:rPr>
            </w:pPr>
            <w:r w:rsidRPr="003E2C48">
              <w:rPr>
                <w:noProof/>
              </w:rPr>
              <w:t>Obveze iskazane po fer vrijednosti u skladu s primjenjivim računovodstvenim okvirom (kroz dobit ili gubitak ili drugu sveobuhvatnu dobit), zajedno s dužničkim vrijednosnim papirima i drugim obvezama koje se iskazuju po amortiziranom trošku na koje se primjenjuje računovodstvo zaštite fer vrijednosti. Izvedenice kojima se štite obveze u okviru režima računovodstva zaštite također se upisuju u ovaj odjeljak za efektivnu komponentu računovodstvenih izvedenica novčanog toka kojima se štiti amortizirani trošak u skladu s člankom 33. stavkom 1. točkom (a) Uredbe (EU) br. 575/2013.</w:t>
            </w:r>
          </w:p>
        </w:tc>
      </w:tr>
      <w:tr w:rsidR="002867FC" w:rsidRPr="003E2C48"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3E2C48" w:rsidRDefault="0021647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3E2C48" w:rsidRDefault="002867FC"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Izdani dužnički vrijednosni papiri</w:t>
            </w:r>
          </w:p>
          <w:p w14:paraId="4BAC31C0" w14:textId="62EC4A5E" w:rsidR="00C856CF" w:rsidRPr="003E2C48" w:rsidRDefault="002867FC" w:rsidP="003C575D">
            <w:pPr>
              <w:pStyle w:val="InstructionsText"/>
              <w:rPr>
                <w:rStyle w:val="InstructionsTabelleberschrift"/>
                <w:rFonts w:ascii="Times New Roman" w:hAnsi="Times New Roman"/>
                <w:b w:val="0"/>
                <w:noProof/>
                <w:sz w:val="24"/>
                <w:u w:val="none"/>
              </w:rPr>
            </w:pPr>
            <w:r w:rsidRPr="003E2C48">
              <w:rPr>
                <w:noProof/>
              </w:rPr>
              <w:t>Dužnički vrijednosni papiri k</w:t>
            </w:r>
            <w:r w:rsidRPr="003E2C48">
              <w:rPr>
                <w:rStyle w:val="InstructionsTabelleberschrift"/>
                <w:rFonts w:ascii="Times New Roman" w:hAnsi="Times New Roman"/>
                <w:b w:val="0"/>
                <w:noProof/>
                <w:sz w:val="24"/>
                <w:u w:val="none"/>
              </w:rPr>
              <w:t>oje je institucija izdala kao vrijednosne papire koji nisu depoziti, kako je definirano u dijelu 1. točki 37.</w:t>
            </w:r>
            <w:r w:rsidRPr="003E2C48">
              <w:rPr>
                <w:noProof/>
              </w:rPr>
              <w:t xml:space="preserve"> Priloga V. ovoj Uredbe, </w:t>
            </w:r>
            <w:r w:rsidRPr="003E2C48">
              <w:rPr>
                <w:rStyle w:val="InstructionsTabelleberschrift"/>
                <w:rFonts w:ascii="Times New Roman" w:hAnsi="Times New Roman"/>
                <w:b w:val="0"/>
                <w:noProof/>
                <w:sz w:val="24"/>
                <w:u w:val="none"/>
              </w:rPr>
              <w:t>koji se</w:t>
            </w:r>
            <w:r w:rsidRPr="003E2C48">
              <w:rPr>
                <w:noProof/>
              </w:rPr>
              <w:t xml:space="preserve"> knjiže ako su promjene vrijednosti MV relevantne za dobit ili gubitak ili kapital.</w:t>
            </w:r>
          </w:p>
        </w:tc>
      </w:tr>
      <w:tr w:rsidR="002867FC" w:rsidRPr="003E2C48"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3E2C48" w:rsidRDefault="002867F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3E2C48" w:rsidRDefault="002867FC"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Izvedenice</w:t>
            </w:r>
          </w:p>
          <w:p w14:paraId="50E7B932" w14:textId="2CADDE44" w:rsidR="00217697" w:rsidRPr="003E2C48" w:rsidRDefault="00217697" w:rsidP="003C575D">
            <w:pPr>
              <w:pStyle w:val="InstructionsText"/>
              <w:rPr>
                <w:rStyle w:val="InstructionsTabelleberschrift"/>
                <w:rFonts w:ascii="Times New Roman" w:hAnsi="Times New Roman"/>
                <w:noProof/>
                <w:sz w:val="24"/>
                <w:u w:val="none"/>
              </w:rPr>
            </w:pPr>
            <w:r w:rsidRPr="003E2C48">
              <w:rPr>
                <w:rStyle w:val="InstructionsTabelleberschrift"/>
                <w:rFonts w:ascii="Times New Roman" w:hAnsi="Times New Roman"/>
                <w:b w:val="0"/>
                <w:noProof/>
                <w:sz w:val="24"/>
                <w:u w:val="none"/>
              </w:rPr>
              <w:t>Izvedenice kako su definirane u članku 2. stavku 1. točki 29. Uredbe (EU) br. 600/2014.</w:t>
            </w:r>
            <w:r w:rsidRPr="003E2C48">
              <w:rPr>
                <w:rStyle w:val="InstructionsTabelleberschrift"/>
                <w:rFonts w:ascii="Times New Roman" w:hAnsi="Times New Roman"/>
                <w:noProof/>
                <w:sz w:val="24"/>
                <w:u w:val="none"/>
              </w:rPr>
              <w:t xml:space="preserve"> </w:t>
            </w:r>
          </w:p>
          <w:p w14:paraId="4721BBE0" w14:textId="2534AD8C" w:rsidR="00217697" w:rsidRPr="003E2C48" w:rsidRDefault="00D71CFD" w:rsidP="003C575D">
            <w:pPr>
              <w:pStyle w:val="InstructionsText"/>
              <w:rPr>
                <w:noProof/>
              </w:rPr>
            </w:pPr>
            <w:r w:rsidRPr="003E2C48">
              <w:rPr>
                <w:noProof/>
              </w:rPr>
              <w:t>Institucije će u ovom odjeljku izvješćivati o izvedenicama kojima se štite obveze u okviru režima računovodstva zaštite, isključujući izvedenice koje su osmišljene kao zaštita novčanog toka od stavki amortiziranog troška.</w:t>
            </w:r>
          </w:p>
        </w:tc>
      </w:tr>
      <w:tr w:rsidR="002867FC" w:rsidRPr="003E2C48"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3E2C48" w:rsidRDefault="002867F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3E2C48" w:rsidRDefault="00684CE6"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Ostalo</w:t>
            </w:r>
          </w:p>
          <w:p w14:paraId="4D8DC141" w14:textId="70F29B57" w:rsidR="002867FC" w:rsidRPr="003E2C48" w:rsidRDefault="002867FC" w:rsidP="003C575D">
            <w:pPr>
              <w:pStyle w:val="InstructionsText"/>
              <w:rPr>
                <w:rStyle w:val="InstructionsTabelleberschrift"/>
                <w:rFonts w:ascii="Times New Roman" w:hAnsi="Times New Roman"/>
                <w:b w:val="0"/>
                <w:bCs w:val="0"/>
                <w:noProof/>
                <w:sz w:val="24"/>
                <w:u w:val="none"/>
              </w:rPr>
            </w:pPr>
            <w:r w:rsidRPr="003E2C48">
              <w:rPr>
                <w:noProof/>
              </w:rPr>
              <w:t>Ostale obveze određene po fer vrijednosti, zajedno s ostalim obvezama iskazanima po amortiziranom trošku na koje se primjenjuje računovodstvo zaštite fer vrijednosti.</w:t>
            </w:r>
          </w:p>
        </w:tc>
      </w:tr>
    </w:tbl>
    <w:p w14:paraId="25EBEDF0" w14:textId="1A54DBA0" w:rsidR="00F02616" w:rsidRPr="003E2C48" w:rsidRDefault="00F02616" w:rsidP="00430DF0">
      <w:pPr>
        <w:suppressAutoHyphens/>
        <w:spacing w:after="0"/>
        <w:rPr>
          <w:rFonts w:ascii="Times New Roman" w:hAnsi="Times New Roman"/>
          <w:noProof/>
          <w:sz w:val="24"/>
        </w:rPr>
      </w:pPr>
    </w:p>
    <w:p w14:paraId="7791B105" w14:textId="4EF32722" w:rsidR="00DD00B4" w:rsidRPr="003E2C48"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3E2C48" w14:paraId="74EEFDB7" w14:textId="77777777" w:rsidTr="00466F09">
        <w:tc>
          <w:tcPr>
            <w:tcW w:w="1701" w:type="dxa"/>
            <w:shd w:val="clear" w:color="auto" w:fill="D9D9D9" w:themeFill="background1" w:themeFillShade="D9"/>
          </w:tcPr>
          <w:p w14:paraId="3C4B2978" w14:textId="77777777" w:rsidR="00DE4D5E" w:rsidRPr="003E2C48" w:rsidRDefault="00DE4D5E" w:rsidP="003C575D">
            <w:pPr>
              <w:pStyle w:val="InstructionsText"/>
              <w:rPr>
                <w:rStyle w:val="InstructionsTabelleText"/>
                <w:rFonts w:ascii="Times New Roman" w:hAnsi="Times New Roman"/>
                <w:noProof/>
                <w:sz w:val="24"/>
              </w:rPr>
            </w:pPr>
            <w:r w:rsidRPr="003E2C48">
              <w:rPr>
                <w:rStyle w:val="InstructionsTabelleText"/>
                <w:rFonts w:ascii="Times New Roman" w:hAnsi="Times New Roman"/>
                <w:noProof/>
                <w:sz w:val="24"/>
              </w:rPr>
              <w:t>Stupci</w:t>
            </w:r>
          </w:p>
        </w:tc>
        <w:tc>
          <w:tcPr>
            <w:tcW w:w="7308" w:type="dxa"/>
            <w:shd w:val="clear" w:color="auto" w:fill="D9D9D9" w:themeFill="background1" w:themeFillShade="D9"/>
          </w:tcPr>
          <w:p w14:paraId="2A82BF3B" w14:textId="77777777" w:rsidR="00DE4D5E" w:rsidRPr="003E2C48" w:rsidRDefault="00DE4D5E" w:rsidP="003C575D">
            <w:pPr>
              <w:pStyle w:val="InstructionsText"/>
              <w:rPr>
                <w:rStyle w:val="InstructionsTabelleText"/>
                <w:rFonts w:ascii="Times New Roman" w:hAnsi="Times New Roman"/>
                <w:noProof/>
                <w:sz w:val="24"/>
              </w:rPr>
            </w:pPr>
            <w:r w:rsidRPr="003E2C48">
              <w:rPr>
                <w:rStyle w:val="InstructionsTabelleText"/>
                <w:rFonts w:ascii="Times New Roman" w:hAnsi="Times New Roman"/>
                <w:noProof/>
                <w:sz w:val="24"/>
              </w:rPr>
              <w:t>Pravna osnova i upute</w:t>
            </w:r>
          </w:p>
        </w:tc>
      </w:tr>
      <w:tr w:rsidR="0020221E" w:rsidRPr="003E2C48" w14:paraId="6332F4DC" w14:textId="77777777" w:rsidTr="00466F09">
        <w:tc>
          <w:tcPr>
            <w:tcW w:w="1701" w:type="dxa"/>
            <w:shd w:val="clear" w:color="auto" w:fill="auto"/>
          </w:tcPr>
          <w:p w14:paraId="51E6FC62" w14:textId="3666E55F" w:rsidR="0020221E" w:rsidRPr="003E2C48" w:rsidRDefault="0020221E"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3E2C48" w:rsidRDefault="002D30D8"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Knjigovodstvena vrijednost</w:t>
            </w:r>
          </w:p>
          <w:p w14:paraId="256D0A5A" w14:textId="61AE7FD8" w:rsidR="0020221E" w:rsidRPr="003E2C48" w:rsidRDefault="00766444" w:rsidP="003C575D">
            <w:pPr>
              <w:pStyle w:val="InstructionsText"/>
              <w:rPr>
                <w:rStyle w:val="FormatvorlageInstructionsTabelleText"/>
                <w:rFonts w:ascii="Times New Roman" w:hAnsi="Times New Roman"/>
                <w:b/>
                <w:bCs w:val="0"/>
                <w:noProof/>
                <w:sz w:val="24"/>
                <w:u w:val="single"/>
              </w:rPr>
            </w:pPr>
            <w:r w:rsidRPr="003E2C48">
              <w:rPr>
                <w:rStyle w:val="InstructionsTabelleberschrift"/>
                <w:rFonts w:ascii="Times New Roman" w:hAnsi="Times New Roman"/>
                <w:b w:val="0"/>
                <w:noProof/>
                <w:sz w:val="24"/>
                <w:u w:val="none"/>
              </w:rPr>
              <w:t xml:space="preserve">Dio 1. točka 27. Priloga V. ovoj </w:t>
            </w:r>
            <w:r w:rsidRPr="003E2C48">
              <w:rPr>
                <w:noProof/>
              </w:rPr>
              <w:t>Uredbi</w:t>
            </w:r>
            <w:r w:rsidRPr="003E2C48">
              <w:rPr>
                <w:rStyle w:val="InstructionsTabelleberschrift"/>
                <w:rFonts w:ascii="Times New Roman" w:hAnsi="Times New Roman"/>
                <w:b w:val="0"/>
                <w:noProof/>
                <w:sz w:val="24"/>
                <w:u w:val="none"/>
              </w:rPr>
              <w:t>.</w:t>
            </w:r>
          </w:p>
        </w:tc>
      </w:tr>
      <w:tr w:rsidR="0020221E" w:rsidRPr="003E2C48" w14:paraId="5F1440C3" w14:textId="77777777" w:rsidTr="00466F09">
        <w:tc>
          <w:tcPr>
            <w:tcW w:w="1701" w:type="dxa"/>
            <w:shd w:val="clear" w:color="auto" w:fill="auto"/>
          </w:tcPr>
          <w:p w14:paraId="55FE2AE0" w14:textId="79BE3587" w:rsidR="0020221E" w:rsidRPr="003E2C48" w:rsidRDefault="0020221E"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3E2C48" w:rsidRDefault="00845A45" w:rsidP="003C575D">
            <w:pPr>
              <w:pStyle w:val="InstructionsText"/>
              <w:rPr>
                <w:rStyle w:val="FormatvorlageInstructionsTabelleText"/>
                <w:rFonts w:ascii="Times New Roman" w:hAnsi="Times New Roman"/>
                <w:b/>
                <w:bCs w:val="0"/>
                <w:noProof/>
                <w:sz w:val="24"/>
                <w:u w:val="single"/>
              </w:rPr>
            </w:pPr>
            <w:r w:rsidRPr="003E2C48">
              <w:rPr>
                <w:rStyle w:val="FormatvorlageInstructionsTabelleText"/>
                <w:rFonts w:ascii="Times New Roman" w:hAnsi="Times New Roman"/>
                <w:b/>
                <w:noProof/>
                <w:sz w:val="24"/>
                <w:u w:val="single"/>
              </w:rPr>
              <w:t>Trajanje</w:t>
            </w:r>
          </w:p>
          <w:p w14:paraId="0B50AF85" w14:textId="3C438F63" w:rsidR="0033679B" w:rsidRPr="003E2C48" w:rsidRDefault="0005330F" w:rsidP="00430DF0">
            <w:pPr>
              <w:suppressAutoHyphens/>
              <w:spacing w:after="0" w:line="259" w:lineRule="auto"/>
              <w:ind w:left="2"/>
              <w:jc w:val="left"/>
              <w:rPr>
                <w:rFonts w:ascii="Times New Roman" w:hAnsi="Times New Roman"/>
                <w:noProof/>
                <w:sz w:val="24"/>
              </w:rPr>
            </w:pPr>
            <w:r w:rsidRPr="003E2C48">
              <w:rPr>
                <w:rFonts w:ascii="Times New Roman" w:hAnsi="Times New Roman"/>
                <w:noProof/>
                <w:sz w:val="24"/>
              </w:rPr>
              <w:t xml:space="preserve">Promijenjeno trajanje („Dmod”; izvješćuje se u godinama), uključujući automatsku opcionalnost, pri čemu: Dmod = –EV01 / (ekonomska vrijednost * 0,0001) </w:t>
            </w:r>
          </w:p>
          <w:p w14:paraId="12BFB1CA" w14:textId="316A4427" w:rsidR="00FC06C4" w:rsidRPr="003E2C48" w:rsidRDefault="0033679B" w:rsidP="003C575D">
            <w:pPr>
              <w:pStyle w:val="InstructionsText"/>
              <w:rPr>
                <w:rStyle w:val="FormatvorlageInstructionsTabelleText"/>
                <w:rFonts w:ascii="Times New Roman" w:hAnsi="Times New Roman"/>
                <w:noProof/>
                <w:sz w:val="24"/>
              </w:rPr>
            </w:pPr>
            <w:r w:rsidRPr="003E2C48">
              <w:rPr>
                <w:noProof/>
              </w:rPr>
              <w:t>EV01 jednak je +1 baznih bodova osjetljivosti (paralelni šok) ekonomske vrijednosti.</w:t>
            </w:r>
          </w:p>
        </w:tc>
      </w:tr>
      <w:tr w:rsidR="00DE4D5E" w:rsidRPr="003E2C48" w14:paraId="659E0F8D" w14:textId="77777777" w:rsidTr="00466F09">
        <w:tc>
          <w:tcPr>
            <w:tcW w:w="1701" w:type="dxa"/>
          </w:tcPr>
          <w:p w14:paraId="6D0DD35B" w14:textId="2A77B439" w:rsidR="00DE4D5E" w:rsidRPr="003E2C48" w:rsidRDefault="006A580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0030 do 0090</w:t>
            </w:r>
          </w:p>
        </w:tc>
        <w:tc>
          <w:tcPr>
            <w:tcW w:w="7308" w:type="dxa"/>
          </w:tcPr>
          <w:p w14:paraId="4672288B" w14:textId="1CF64418" w:rsidR="00DE4D5E" w:rsidRPr="003E2C48" w:rsidRDefault="00DE4D5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Ekonomska vrijednost vlasničkog kapitala</w:t>
            </w:r>
          </w:p>
          <w:p w14:paraId="248A3849" w14:textId="21777469" w:rsidR="00DE4D5E" w:rsidRPr="003E2C48" w:rsidRDefault="0061536B" w:rsidP="003C575D">
            <w:pPr>
              <w:pStyle w:val="InstructionsText"/>
              <w:rPr>
                <w:rStyle w:val="InstructionsTabelleberschrift"/>
                <w:rFonts w:ascii="Times New Roman" w:hAnsi="Times New Roman"/>
                <w:b w:val="0"/>
                <w:noProof/>
                <w:sz w:val="24"/>
                <w:u w:val="none"/>
              </w:rPr>
            </w:pPr>
            <w:r w:rsidRPr="003E2C48">
              <w:rPr>
                <w:noProof/>
              </w:rPr>
              <w:t>Institucije slijede iste upute kako je opisano u {J 01.00; redci od 0010 do 0090}.</w:t>
            </w:r>
          </w:p>
        </w:tc>
      </w:tr>
      <w:tr w:rsidR="00DE4D5E" w:rsidRPr="003E2C48" w14:paraId="5013F5EE" w14:textId="77777777" w:rsidTr="00466F09">
        <w:tc>
          <w:tcPr>
            <w:tcW w:w="1701" w:type="dxa"/>
          </w:tcPr>
          <w:p w14:paraId="7BC7758D" w14:textId="4D49B9A3" w:rsidR="00DE4D5E" w:rsidRPr="003E2C48" w:rsidRDefault="006A580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0030</w:t>
            </w:r>
          </w:p>
        </w:tc>
        <w:tc>
          <w:tcPr>
            <w:tcW w:w="7308" w:type="dxa"/>
          </w:tcPr>
          <w:p w14:paraId="2DF5A08E" w14:textId="621509C5" w:rsidR="00DE4D5E" w:rsidRPr="003E2C48" w:rsidRDefault="001930C5"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Razina vrijednosti EVE – osnovni scenarij</w:t>
            </w:r>
          </w:p>
          <w:p w14:paraId="431D24A7" w14:textId="17FCE104" w:rsidR="00DE4D5E" w:rsidRPr="003E2C48" w:rsidRDefault="00057D6D"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0030}.</w:t>
            </w:r>
          </w:p>
        </w:tc>
      </w:tr>
      <w:tr w:rsidR="00DE4D5E" w:rsidRPr="003E2C48" w14:paraId="072F36D8" w14:textId="77777777" w:rsidTr="00466F09">
        <w:tc>
          <w:tcPr>
            <w:tcW w:w="1701" w:type="dxa"/>
          </w:tcPr>
          <w:p w14:paraId="28CE8E71" w14:textId="20636E45" w:rsidR="00DE4D5E" w:rsidRPr="003E2C48" w:rsidRDefault="006A580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0040</w:t>
            </w:r>
          </w:p>
        </w:tc>
        <w:tc>
          <w:tcPr>
            <w:tcW w:w="7308" w:type="dxa"/>
          </w:tcPr>
          <w:p w14:paraId="482FFA49" w14:textId="55E14F1D" w:rsidR="00F22C91" w:rsidRPr="003E2C48" w:rsidRDefault="0045709F"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EVE – paralelni šok rasta</w:t>
            </w:r>
          </w:p>
          <w:p w14:paraId="5B6685FE" w14:textId="68AFB2ED" w:rsidR="00DE4D5E" w:rsidRPr="003E2C48" w:rsidRDefault="008963CC" w:rsidP="003C575D">
            <w:pPr>
              <w:pStyle w:val="InstructionsText"/>
              <w:rPr>
                <w:rStyle w:val="InstructionsTabelleberschrift"/>
                <w:rFonts w:ascii="Times New Roman" w:hAnsi="Times New Roman"/>
                <w:b w:val="0"/>
                <w:noProof/>
                <w:sz w:val="24"/>
                <w:u w:val="none"/>
              </w:rPr>
            </w:pPr>
            <w:r w:rsidRPr="003E2C48">
              <w:rPr>
                <w:noProof/>
              </w:rPr>
              <w:t>Institucije slijede iste upute kako je opisano u {J 01.00; redak 0040}.</w:t>
            </w:r>
          </w:p>
        </w:tc>
      </w:tr>
      <w:tr w:rsidR="00DE4D5E" w:rsidRPr="003E2C48" w14:paraId="2EFC486B" w14:textId="77777777" w:rsidTr="00466F09">
        <w:tc>
          <w:tcPr>
            <w:tcW w:w="1701" w:type="dxa"/>
          </w:tcPr>
          <w:p w14:paraId="3957C094" w14:textId="218A0E8E" w:rsidR="00DE4D5E" w:rsidRPr="003E2C48" w:rsidRDefault="006A580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0050</w:t>
            </w:r>
          </w:p>
        </w:tc>
        <w:tc>
          <w:tcPr>
            <w:tcW w:w="7308" w:type="dxa"/>
          </w:tcPr>
          <w:p w14:paraId="4E28478C" w14:textId="6522AFE1" w:rsidR="00F22C91" w:rsidRPr="003E2C48" w:rsidRDefault="0045709F"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EVE – paralelni šok pada</w:t>
            </w:r>
          </w:p>
          <w:p w14:paraId="39312F9C" w14:textId="6C869EDF" w:rsidR="00DE4D5E" w:rsidRPr="003E2C48" w:rsidRDefault="0045709F"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0050}.</w:t>
            </w:r>
          </w:p>
        </w:tc>
      </w:tr>
      <w:tr w:rsidR="007A4538" w:rsidRPr="003E2C48" w14:paraId="668FC06E" w14:textId="77777777" w:rsidTr="00466F09">
        <w:tc>
          <w:tcPr>
            <w:tcW w:w="1701" w:type="dxa"/>
          </w:tcPr>
          <w:p w14:paraId="4D34A16E" w14:textId="485D2DFC" w:rsidR="007A4538" w:rsidRPr="003E2C48" w:rsidRDefault="007A453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0060</w:t>
            </w:r>
          </w:p>
        </w:tc>
        <w:tc>
          <w:tcPr>
            <w:tcW w:w="7308" w:type="dxa"/>
          </w:tcPr>
          <w:p w14:paraId="59627DC9" w14:textId="78EA9252" w:rsidR="00F22C91" w:rsidRPr="003E2C48" w:rsidRDefault="0056083C"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EVE – šok nakošenja</w:t>
            </w:r>
          </w:p>
          <w:p w14:paraId="7721CBAE" w14:textId="75811AF2" w:rsidR="007A4538" w:rsidRPr="003E2C48" w:rsidRDefault="0045709F"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0060}.</w:t>
            </w:r>
          </w:p>
        </w:tc>
      </w:tr>
      <w:tr w:rsidR="007A4538" w:rsidRPr="003E2C48" w14:paraId="0B64F039" w14:textId="77777777" w:rsidTr="00466F09">
        <w:tc>
          <w:tcPr>
            <w:tcW w:w="1701" w:type="dxa"/>
          </w:tcPr>
          <w:p w14:paraId="1D8ACFB7" w14:textId="39B9F291" w:rsidR="007A4538" w:rsidRPr="003E2C48" w:rsidRDefault="007A453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0070</w:t>
            </w:r>
          </w:p>
        </w:tc>
        <w:tc>
          <w:tcPr>
            <w:tcW w:w="7308" w:type="dxa"/>
          </w:tcPr>
          <w:p w14:paraId="5DDEE894" w14:textId="090F0007" w:rsidR="00F22C91" w:rsidRPr="003E2C48" w:rsidRDefault="0056083C"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EVE – šok izravnanja</w:t>
            </w:r>
          </w:p>
          <w:p w14:paraId="714F5461" w14:textId="6FFD472B" w:rsidR="007A4538" w:rsidRPr="003E2C48" w:rsidRDefault="0056083C"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0070}.</w:t>
            </w:r>
          </w:p>
        </w:tc>
      </w:tr>
      <w:tr w:rsidR="007A4538" w:rsidRPr="003E2C48" w14:paraId="0F88D558" w14:textId="77777777" w:rsidTr="00466F09">
        <w:tc>
          <w:tcPr>
            <w:tcW w:w="1701" w:type="dxa"/>
          </w:tcPr>
          <w:p w14:paraId="5CBC25A5" w14:textId="2D9B6C3C" w:rsidR="007A4538" w:rsidRPr="003E2C48" w:rsidRDefault="007A453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0080</w:t>
            </w:r>
          </w:p>
        </w:tc>
        <w:tc>
          <w:tcPr>
            <w:tcW w:w="7308" w:type="dxa"/>
          </w:tcPr>
          <w:p w14:paraId="742D48FB" w14:textId="76C2A4DD" w:rsidR="00F22C91" w:rsidRPr="003E2C48" w:rsidRDefault="00B42A65"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EVE – šok rasta kratkoročnih kamatnih stopa</w:t>
            </w:r>
          </w:p>
          <w:p w14:paraId="5CE9C71F" w14:textId="32920038" w:rsidR="007A4538" w:rsidRPr="003E2C48" w:rsidRDefault="0056083C"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0080}.</w:t>
            </w:r>
          </w:p>
        </w:tc>
      </w:tr>
      <w:tr w:rsidR="007A4538" w:rsidRPr="003E2C48" w14:paraId="7ACFF56C" w14:textId="77777777" w:rsidTr="00466F09">
        <w:tc>
          <w:tcPr>
            <w:tcW w:w="1701" w:type="dxa"/>
          </w:tcPr>
          <w:p w14:paraId="0F6D45B9" w14:textId="4EB16931" w:rsidR="007A4538" w:rsidRPr="003E2C48" w:rsidRDefault="007A453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0090</w:t>
            </w:r>
          </w:p>
        </w:tc>
        <w:tc>
          <w:tcPr>
            <w:tcW w:w="7308" w:type="dxa"/>
          </w:tcPr>
          <w:p w14:paraId="32EE74B7" w14:textId="73FF2821" w:rsidR="00F22C91" w:rsidRPr="003E2C48" w:rsidRDefault="00B42A65"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EVE – šok pada kratkoročnih kamatnih stopa</w:t>
            </w:r>
          </w:p>
          <w:p w14:paraId="3BE27C86" w14:textId="7C34A314" w:rsidR="007A4538" w:rsidRPr="003E2C48" w:rsidRDefault="00B42A65"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0090}.</w:t>
            </w:r>
          </w:p>
        </w:tc>
      </w:tr>
      <w:tr w:rsidR="007A4538" w:rsidRPr="003E2C48" w14:paraId="56F10020" w14:textId="77777777" w:rsidTr="00466F09">
        <w:tc>
          <w:tcPr>
            <w:tcW w:w="1701" w:type="dxa"/>
          </w:tcPr>
          <w:p w14:paraId="22B568E7" w14:textId="47794009" w:rsidR="007A4538" w:rsidRPr="003E2C48" w:rsidRDefault="004D2DD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0100 do 0120</w:t>
            </w:r>
          </w:p>
        </w:tc>
        <w:tc>
          <w:tcPr>
            <w:tcW w:w="7308" w:type="dxa"/>
          </w:tcPr>
          <w:p w14:paraId="66F2CB32" w14:textId="57EDD3D8" w:rsidR="00F22C91" w:rsidRPr="003E2C48" w:rsidRDefault="00B61D5C"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Neto kamatni prihod</w:t>
            </w:r>
          </w:p>
          <w:p w14:paraId="4B715C5C" w14:textId="2BC80B39" w:rsidR="007A4538" w:rsidRPr="003E2C48" w:rsidRDefault="00B61D5C" w:rsidP="003C575D">
            <w:pPr>
              <w:pStyle w:val="InstructionsText"/>
              <w:rPr>
                <w:rStyle w:val="InstructionsTabelleberschrift"/>
                <w:rFonts w:ascii="Times New Roman" w:hAnsi="Times New Roman"/>
                <w:b w:val="0"/>
                <w:noProof/>
                <w:sz w:val="24"/>
                <w:u w:val="none"/>
              </w:rPr>
            </w:pPr>
            <w:r w:rsidRPr="003E2C48">
              <w:rPr>
                <w:noProof/>
              </w:rPr>
              <w:t>Institucije slijede iste upute kako je opisano u {J 01.00; redci od 0100 do 0140}.</w:t>
            </w:r>
          </w:p>
        </w:tc>
      </w:tr>
      <w:tr w:rsidR="007A4538" w:rsidRPr="003E2C48" w14:paraId="2F3EA8BB" w14:textId="77777777" w:rsidTr="00466F09">
        <w:tc>
          <w:tcPr>
            <w:tcW w:w="1701" w:type="dxa"/>
          </w:tcPr>
          <w:p w14:paraId="769EA922" w14:textId="0EEDAEC6" w:rsidR="007A4538" w:rsidRPr="003E2C48" w:rsidRDefault="00721EE0"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0100</w:t>
            </w:r>
          </w:p>
        </w:tc>
        <w:tc>
          <w:tcPr>
            <w:tcW w:w="7308" w:type="dxa"/>
          </w:tcPr>
          <w:p w14:paraId="1A909637" w14:textId="6DC1F025" w:rsidR="00F22C91" w:rsidRPr="003E2C48" w:rsidRDefault="001930C5"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Razina vrijednosti NII – osnovni scenarij</w:t>
            </w:r>
          </w:p>
          <w:p w14:paraId="7AD09706" w14:textId="69D23F80" w:rsidR="007A4538" w:rsidRPr="003E2C48" w:rsidRDefault="00492E67" w:rsidP="003C575D">
            <w:pPr>
              <w:pStyle w:val="InstructionsText"/>
              <w:rPr>
                <w:rStyle w:val="InstructionsTabelleberschrift"/>
                <w:rFonts w:ascii="Times New Roman" w:hAnsi="Times New Roman"/>
                <w:b w:val="0"/>
                <w:noProof/>
                <w:sz w:val="24"/>
                <w:u w:val="none"/>
              </w:rPr>
            </w:pPr>
            <w:r w:rsidRPr="003E2C48">
              <w:rPr>
                <w:noProof/>
              </w:rPr>
              <w:t>Institucije slijede iste upute kako je opisano u {J 01.00; redak 0120}.</w:t>
            </w:r>
          </w:p>
        </w:tc>
      </w:tr>
      <w:tr w:rsidR="007A4538" w:rsidRPr="003E2C48" w14:paraId="018275B7" w14:textId="77777777" w:rsidTr="00466F09">
        <w:tc>
          <w:tcPr>
            <w:tcW w:w="1701" w:type="dxa"/>
          </w:tcPr>
          <w:p w14:paraId="11DBE8FA" w14:textId="47F38559" w:rsidR="007A4538" w:rsidRPr="003E2C48" w:rsidRDefault="004D2DD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0110</w:t>
            </w:r>
          </w:p>
        </w:tc>
        <w:tc>
          <w:tcPr>
            <w:tcW w:w="7308" w:type="dxa"/>
          </w:tcPr>
          <w:p w14:paraId="370EDFF1" w14:textId="14E13989" w:rsidR="00F22C91" w:rsidRPr="003E2C48" w:rsidRDefault="00303FC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NII – paralelni šok rasta</w:t>
            </w:r>
          </w:p>
          <w:p w14:paraId="64BB5395" w14:textId="18B94676" w:rsidR="004041EF" w:rsidRPr="003E2C48" w:rsidRDefault="00492E67"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0130}.</w:t>
            </w:r>
          </w:p>
        </w:tc>
      </w:tr>
      <w:tr w:rsidR="007A4538" w:rsidRPr="003E2C48" w14:paraId="79342798" w14:textId="77777777" w:rsidTr="00466F09">
        <w:trPr>
          <w:trHeight w:val="50"/>
        </w:trPr>
        <w:tc>
          <w:tcPr>
            <w:tcW w:w="1701" w:type="dxa"/>
          </w:tcPr>
          <w:p w14:paraId="04EAA741" w14:textId="5B76EB7F" w:rsidR="007A4538" w:rsidRPr="003E2C48" w:rsidRDefault="004D2DD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0120</w:t>
            </w:r>
          </w:p>
        </w:tc>
        <w:tc>
          <w:tcPr>
            <w:tcW w:w="7308" w:type="dxa"/>
          </w:tcPr>
          <w:p w14:paraId="4C276325" w14:textId="756BA6DE" w:rsidR="00F22C91" w:rsidRPr="003E2C48" w:rsidRDefault="00303FC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NII – paralelni šok pada</w:t>
            </w:r>
          </w:p>
          <w:p w14:paraId="79C7988C" w14:textId="156E5C31" w:rsidR="004041EF" w:rsidRPr="003E2C48" w:rsidRDefault="00492E67"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0140}.</w:t>
            </w:r>
          </w:p>
        </w:tc>
      </w:tr>
      <w:tr w:rsidR="007A4538" w:rsidRPr="003E2C48" w14:paraId="787EFD12" w14:textId="77777777" w:rsidTr="00466F09">
        <w:tc>
          <w:tcPr>
            <w:tcW w:w="1701" w:type="dxa"/>
          </w:tcPr>
          <w:p w14:paraId="60DFF26B" w14:textId="2482EC0B" w:rsidR="007A4538" w:rsidRPr="003E2C48" w:rsidRDefault="004D2DD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0130 do 0150</w:t>
            </w:r>
          </w:p>
        </w:tc>
        <w:tc>
          <w:tcPr>
            <w:tcW w:w="7308" w:type="dxa"/>
          </w:tcPr>
          <w:p w14:paraId="41D72025" w14:textId="6B83FFCF" w:rsidR="00EA079E" w:rsidRPr="003E2C48" w:rsidRDefault="00303FC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Tržišna vrijednost</w:t>
            </w:r>
          </w:p>
          <w:p w14:paraId="7D3BC199" w14:textId="00971876" w:rsidR="007A4538" w:rsidRPr="003E2C48" w:rsidRDefault="00303FCE" w:rsidP="003C575D">
            <w:pPr>
              <w:pStyle w:val="InstructionsText"/>
              <w:rPr>
                <w:rStyle w:val="InstructionsTabelleberschrift"/>
                <w:rFonts w:ascii="Times New Roman" w:hAnsi="Times New Roman"/>
                <w:b w:val="0"/>
                <w:noProof/>
                <w:sz w:val="24"/>
                <w:u w:val="none"/>
              </w:rPr>
            </w:pPr>
            <w:r w:rsidRPr="003E2C48">
              <w:rPr>
                <w:noProof/>
              </w:rPr>
              <w:t>Institucije slijede iste upute kako je opisano u {J 01.00; redci 0150 – 0170}.</w:t>
            </w:r>
          </w:p>
        </w:tc>
      </w:tr>
      <w:tr w:rsidR="007A4538" w:rsidRPr="003E2C48" w14:paraId="644F7128" w14:textId="77777777" w:rsidTr="00466F09">
        <w:trPr>
          <w:trHeight w:val="507"/>
        </w:trPr>
        <w:tc>
          <w:tcPr>
            <w:tcW w:w="1701" w:type="dxa"/>
          </w:tcPr>
          <w:p w14:paraId="3ABF8A5C" w14:textId="4DA62342" w:rsidR="007A4538" w:rsidRPr="003E2C48" w:rsidRDefault="004D2DD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0130</w:t>
            </w:r>
          </w:p>
        </w:tc>
        <w:tc>
          <w:tcPr>
            <w:tcW w:w="7308" w:type="dxa"/>
          </w:tcPr>
          <w:p w14:paraId="681520C2" w14:textId="3286ACAD" w:rsidR="00EA079E" w:rsidRPr="003E2C48" w:rsidRDefault="001930C5"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Razina vrijednosti MV – osnovni scenarij</w:t>
            </w:r>
          </w:p>
          <w:p w14:paraId="6536044A" w14:textId="0D1A40C4" w:rsidR="007A4538" w:rsidRPr="003E2C48" w:rsidRDefault="006D1EB6"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0150}.</w:t>
            </w:r>
          </w:p>
        </w:tc>
      </w:tr>
      <w:tr w:rsidR="007A4538" w:rsidRPr="003E2C48" w14:paraId="0E97A024" w14:textId="77777777" w:rsidTr="00466F09">
        <w:tc>
          <w:tcPr>
            <w:tcW w:w="1701" w:type="dxa"/>
          </w:tcPr>
          <w:p w14:paraId="56B50969" w14:textId="79A37CD4" w:rsidR="007A4538" w:rsidRPr="003E2C48" w:rsidRDefault="004D2DD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0140</w:t>
            </w:r>
          </w:p>
        </w:tc>
        <w:tc>
          <w:tcPr>
            <w:tcW w:w="7308" w:type="dxa"/>
          </w:tcPr>
          <w:p w14:paraId="13CE4294" w14:textId="345F1927" w:rsidR="00EA079E" w:rsidRPr="003E2C48" w:rsidRDefault="0070008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MV – paralelni šok rasta</w:t>
            </w:r>
          </w:p>
          <w:p w14:paraId="2661BCE0" w14:textId="14594E55" w:rsidR="004041EF" w:rsidRPr="003E2C48" w:rsidRDefault="006D1EB6"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0160}.</w:t>
            </w:r>
          </w:p>
        </w:tc>
      </w:tr>
      <w:tr w:rsidR="007A4538" w:rsidRPr="003E2C48" w14:paraId="45C4E5F3" w14:textId="77777777" w:rsidTr="00466F09">
        <w:tc>
          <w:tcPr>
            <w:tcW w:w="1701" w:type="dxa"/>
          </w:tcPr>
          <w:p w14:paraId="69E7327C" w14:textId="0FF8D9C3" w:rsidR="007A4538" w:rsidRPr="003E2C48" w:rsidRDefault="004D2DD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0150</w:t>
            </w:r>
          </w:p>
        </w:tc>
        <w:tc>
          <w:tcPr>
            <w:tcW w:w="7308" w:type="dxa"/>
          </w:tcPr>
          <w:p w14:paraId="49D8F6F5" w14:textId="76992071" w:rsidR="00EA079E" w:rsidRPr="003E2C48" w:rsidRDefault="0070008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MV – paralelni šok pada</w:t>
            </w:r>
          </w:p>
          <w:p w14:paraId="44CB4939" w14:textId="482E3B3A" w:rsidR="004041EF" w:rsidRPr="003E2C48" w:rsidRDefault="006D1EB6"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0170}.</w:t>
            </w:r>
          </w:p>
        </w:tc>
      </w:tr>
    </w:tbl>
    <w:p w14:paraId="651ED856" w14:textId="77777777" w:rsidR="009E536A" w:rsidRPr="003E2C48" w:rsidRDefault="009E536A" w:rsidP="00430DF0">
      <w:pPr>
        <w:suppressAutoHyphens/>
        <w:spacing w:before="0" w:after="0"/>
        <w:jc w:val="left"/>
        <w:rPr>
          <w:rStyle w:val="InstructionsTabelleText"/>
          <w:rFonts w:ascii="Times New Roman" w:hAnsi="Times New Roman"/>
          <w:noProof/>
          <w:sz w:val="24"/>
        </w:rPr>
      </w:pPr>
      <w:r w:rsidRPr="003E2C48">
        <w:rPr>
          <w:noProof/>
        </w:rPr>
        <w:br w:type="page"/>
      </w:r>
    </w:p>
    <w:p w14:paraId="6B5E5AFE" w14:textId="63F1E14E" w:rsidR="009E536A" w:rsidRPr="003E2C48" w:rsidRDefault="009E536A" w:rsidP="00430DF0">
      <w:pPr>
        <w:pStyle w:val="Heading2"/>
        <w:suppressAutoHyphens/>
        <w:rPr>
          <w:noProof/>
        </w:rPr>
      </w:pPr>
      <w:bookmarkStart w:id="54" w:name="_Toc160197933"/>
      <w:r w:rsidRPr="003E2C48">
        <w:rPr>
          <w:noProof/>
        </w:rPr>
        <w:t>DIO IV.: NOVČANI TOKOVI KOJI SE PONOVNO VREDNUJU (J 05.00, J 06.00 i J 07.00)</w:t>
      </w:r>
      <w:bookmarkEnd w:id="54"/>
    </w:p>
    <w:p w14:paraId="1DD5B6DD" w14:textId="0A06B7E4" w:rsidR="009E536A" w:rsidRPr="003E2C48" w:rsidRDefault="00A75ED8" w:rsidP="00430DF0">
      <w:pPr>
        <w:pStyle w:val="Instructionsberschrift2"/>
        <w:numPr>
          <w:ilvl w:val="0"/>
          <w:numId w:val="0"/>
        </w:numPr>
        <w:tabs>
          <w:tab w:val="left" w:pos="567"/>
        </w:tabs>
        <w:suppressAutoHyphens/>
        <w:rPr>
          <w:rFonts w:cs="Times New Roman"/>
          <w:b/>
          <w:bCs/>
          <w:noProof/>
          <w:sz w:val="24"/>
        </w:rPr>
      </w:pPr>
      <w:bookmarkStart w:id="55" w:name="_Toc160197934"/>
      <w:r w:rsidRPr="003E2C48">
        <w:rPr>
          <w:b/>
          <w:noProof/>
          <w:sz w:val="24"/>
        </w:rPr>
        <w:t>1.</w:t>
      </w:r>
      <w:r w:rsidRPr="003E2C48">
        <w:rPr>
          <w:b/>
          <w:noProof/>
          <w:sz w:val="24"/>
        </w:rPr>
        <w:tab/>
        <w:t>Opće napomene</w:t>
      </w:r>
      <w:bookmarkEnd w:id="55"/>
    </w:p>
    <w:p w14:paraId="2C9ABE9B" w14:textId="1549DB17" w:rsidR="00903207" w:rsidRPr="003E2C48" w:rsidRDefault="00A75ED8" w:rsidP="00430DF0">
      <w:pPr>
        <w:tabs>
          <w:tab w:val="left" w:pos="567"/>
        </w:tabs>
        <w:suppressAutoHyphens/>
        <w:rPr>
          <w:rFonts w:ascii="Times New Roman" w:hAnsi="Times New Roman"/>
          <w:noProof/>
          <w:sz w:val="24"/>
        </w:rPr>
      </w:pPr>
      <w:r w:rsidRPr="003E2C48">
        <w:rPr>
          <w:rFonts w:ascii="Times New Roman" w:hAnsi="Times New Roman"/>
          <w:noProof/>
          <w:sz w:val="24"/>
        </w:rPr>
        <w:t>1.1.</w:t>
      </w:r>
      <w:r w:rsidRPr="003E2C48">
        <w:rPr>
          <w:rFonts w:ascii="Times New Roman" w:hAnsi="Times New Roman"/>
          <w:noProof/>
          <w:sz w:val="24"/>
        </w:rPr>
        <w:tab/>
        <w:t>Obrasci J 05.00, J 06.00 i J 07.00 sadržavaju detaljne informacije o novčanim tokovima koji se ponovno vrednuju za bilančne stavke iskazane u obrascima J 02.00, J 03.00 i J 04.00. Institucije te podatke iskazuju u skladu s prognozom za vrijednost EVE, uzimajući u obzir zahtjeve i pretpostavke modela utvrđene u članku 3. Delegirane uredbe (EU) …/… (Ured za publikacije: unijeti upućivanje na regulatorni tehnički standard o SOT-u) i ugovorne informacije i bihevioralne informacije, pri čemu se u oba slučaja ne uzima u obzir automatska opcionalnost. Upute za retke iste su kako je opisano u dijelu IV. odjeljku 2. ovog Priloga. Nadalje, institucije propisno razmatraju pravila o izvješćivanju iz dijela I., posebno ona koje se odnose na definiciju instrumenata s fiksnom/promjenjivom kamatnom stopom i tretman opcija.</w:t>
      </w:r>
    </w:p>
    <w:p w14:paraId="476D1915" w14:textId="3E68B675" w:rsidR="0076500E" w:rsidRPr="003E2C48" w:rsidRDefault="00A75ED8" w:rsidP="00430DF0">
      <w:pPr>
        <w:tabs>
          <w:tab w:val="left" w:pos="567"/>
        </w:tabs>
        <w:suppressAutoHyphens/>
        <w:rPr>
          <w:rFonts w:ascii="Times New Roman" w:hAnsi="Times New Roman"/>
          <w:noProof/>
          <w:sz w:val="24"/>
        </w:rPr>
      </w:pPr>
      <w:r w:rsidRPr="003E2C48">
        <w:rPr>
          <w:rFonts w:ascii="Times New Roman" w:hAnsi="Times New Roman"/>
          <w:noProof/>
          <w:sz w:val="24"/>
        </w:rPr>
        <w:t>1.2.</w:t>
      </w:r>
      <w:r w:rsidRPr="003E2C48">
        <w:rPr>
          <w:rFonts w:ascii="Times New Roman" w:hAnsi="Times New Roman"/>
          <w:noProof/>
          <w:sz w:val="24"/>
        </w:rPr>
        <w:tab/>
        <w:t xml:space="preserve">Institucije izvješćuju o sadržaju tih obrazaca zasebno za svaku valutu u kojoj institucija ima pozicije u kojima računovodstvena vrijednost financijske imovine ili obveza iskazanih u valuti iznosi 5 % ili više ukupne financijske imovine ili obveza iz knjige pozicija kojima se ne trguje ili manje od 5 % ako je zbroj financijske imovine ili obveza uključenih u izračun manji od 90 % ukupne financijske imovine (isključujući materijalnu imovinu) ili obveza iz knjige pozicija kojima se ne trguje. </w:t>
      </w:r>
    </w:p>
    <w:p w14:paraId="7C0A7F4F" w14:textId="3B1416C7" w:rsidR="002E2229" w:rsidRPr="003E2C48" w:rsidRDefault="00A75ED8" w:rsidP="00430DF0">
      <w:pPr>
        <w:tabs>
          <w:tab w:val="left" w:pos="567"/>
        </w:tabs>
        <w:suppressAutoHyphens/>
        <w:rPr>
          <w:rFonts w:ascii="Times New Roman" w:hAnsi="Times New Roman"/>
          <w:noProof/>
          <w:sz w:val="24"/>
        </w:rPr>
      </w:pPr>
      <w:r w:rsidRPr="003E2C48">
        <w:rPr>
          <w:rFonts w:ascii="Times New Roman" w:hAnsi="Times New Roman"/>
          <w:noProof/>
          <w:sz w:val="24"/>
        </w:rPr>
        <w:t>1.3.</w:t>
      </w:r>
      <w:r w:rsidRPr="003E2C48">
        <w:rPr>
          <w:rFonts w:ascii="Times New Roman" w:hAnsi="Times New Roman"/>
          <w:noProof/>
          <w:sz w:val="24"/>
        </w:rPr>
        <w:tab/>
        <w:t>Institucije zasebno izvješćuju o sadržaju tih predložaka u skladu s ugovornim i bihevioralnim uvjetima (modeli: ugovorni ili bihevioralni):</w:t>
      </w:r>
    </w:p>
    <w:p w14:paraId="4AF04087" w14:textId="0CBAB467" w:rsidR="0076500E" w:rsidRPr="003E2C48" w:rsidRDefault="00A75ED8" w:rsidP="00430DF0">
      <w:pPr>
        <w:suppressAutoHyphens/>
        <w:ind w:left="567" w:hanging="567"/>
        <w:rPr>
          <w:rFonts w:ascii="Times New Roman" w:hAnsi="Times New Roman"/>
          <w:noProof/>
          <w:sz w:val="24"/>
        </w:rPr>
      </w:pPr>
      <w:r w:rsidRPr="003E2C48">
        <w:rPr>
          <w:rFonts w:ascii="Times New Roman" w:hAnsi="Times New Roman"/>
          <w:noProof/>
          <w:sz w:val="24"/>
        </w:rPr>
        <w:t>(a)</w:t>
      </w:r>
      <w:r w:rsidRPr="003E2C48">
        <w:rPr>
          <w:rFonts w:ascii="Times New Roman" w:hAnsi="Times New Roman"/>
          <w:noProof/>
          <w:sz w:val="24"/>
        </w:rPr>
        <w:tab/>
        <w:t>ugovorni: u skladu s ugovornim datumom ponovnog vrednovanja kako je definiran u članku 1. točki 2. Delegirane uredbe (EU) …/… (Ured za publikacije: unijeti upućivanje na regulatorni tehnički standard o SA-u), bez uzimanja u obzir bihevioralnih pretpostavki. Uzimaju se u obzir samo ugovorne i pravne značajke (neovisno o automatskim opcijama i propisanim gornjim i donjim granicama). Profili novčanog toka proizvoda bez dospijeća (uključujući depozite bez dospijeća) tretiraju se kao kratkoročne varijabilne pozicije (najkraće vremensko razdoblje). Ne primjenjuju se bihevioralni prijevremeni raskid i prijevremena otplata, istovjetni stopama od 0 % za uvjetnu prijevremenu otplatu i prijevremeno povlačenje;</w:t>
      </w:r>
    </w:p>
    <w:p w14:paraId="5697020E" w14:textId="0EDDD937" w:rsidR="0076500E" w:rsidRPr="003E2C48" w:rsidRDefault="00A75ED8" w:rsidP="00430DF0">
      <w:pPr>
        <w:suppressAutoHyphens/>
        <w:ind w:left="567" w:hanging="567"/>
        <w:rPr>
          <w:rFonts w:ascii="Times New Roman" w:hAnsi="Times New Roman"/>
          <w:noProof/>
          <w:sz w:val="24"/>
        </w:rPr>
      </w:pPr>
      <w:r w:rsidRPr="003E2C48">
        <w:rPr>
          <w:rFonts w:ascii="Times New Roman" w:hAnsi="Times New Roman"/>
          <w:noProof/>
          <w:sz w:val="24"/>
        </w:rPr>
        <w:t>(b)</w:t>
      </w:r>
      <w:r w:rsidRPr="003E2C48">
        <w:rPr>
          <w:rFonts w:ascii="Times New Roman" w:hAnsi="Times New Roman"/>
          <w:noProof/>
          <w:sz w:val="24"/>
        </w:rPr>
        <w:tab/>
        <w:t>bihevioralni model u osnovnom scenariju: u skladu s modeliranim novčanim tokovima ponovnog vrednovanja koji uzimaju u obzir, prema potrebi, bihevioralne pretpostavke u skladu s osnovnim scenarijem.</w:t>
      </w:r>
    </w:p>
    <w:p w14:paraId="63E1F799" w14:textId="04590283" w:rsidR="00786D30" w:rsidRPr="003E2C48" w:rsidRDefault="00A75ED8" w:rsidP="00430DF0">
      <w:pPr>
        <w:tabs>
          <w:tab w:val="left" w:pos="567"/>
        </w:tabs>
        <w:suppressAutoHyphens/>
        <w:rPr>
          <w:rFonts w:ascii="Times New Roman" w:hAnsi="Times New Roman"/>
          <w:noProof/>
          <w:sz w:val="24"/>
        </w:rPr>
      </w:pPr>
      <w:bookmarkStart w:id="56" w:name="_Ref140654581"/>
      <w:r w:rsidRPr="003E2C48">
        <w:rPr>
          <w:rFonts w:ascii="Times New Roman" w:hAnsi="Times New Roman"/>
          <w:noProof/>
          <w:sz w:val="24"/>
        </w:rPr>
        <w:t>1.4.</w:t>
      </w:r>
      <w:r w:rsidRPr="003E2C48">
        <w:rPr>
          <w:rFonts w:ascii="Times New Roman" w:hAnsi="Times New Roman"/>
          <w:noProof/>
          <w:sz w:val="24"/>
        </w:rPr>
        <w:tab/>
        <w:t>U slučaju izvedenica institucije izvješćuju o neto iznosima novčanih tokova koji se ponovno vrednuju (tj. koji nisu raščlanjeni po stranama primatelja/platitelja). Za izvedenice kojima se štiti imovina dugoročna operacija (primatelj/imovina) izvedenice iskazuje se s pozitivnim predznakom, a kratkoročna operacija (platitelj/obveza) s negativnim predznakom pri izračunavanju neto iznosa po vremenskom razredu. Iznimke od tog pravila vrijede ako je kupon primatelja fiksiran u okruženju negativne kamatne stope, za koji se smatra da ima negativni predznak čak i ako se za dio dugoročne operacije (primatelj/imovina) smatra da ima pozitivan predznak. Suprotno vrijedi za izvedenice kojima se štite obveze: dugoročna operacija (primatelj/imovina) iskazuje se s negativnim predznakom, a smatra se da kratkoročna operacija (platitelj/obveza) pri izračunu neto novčanih tokova koji se ponovno vrednuju ima pozitivni predznak.</w:t>
      </w:r>
      <w:bookmarkEnd w:id="56"/>
      <w:r w:rsidRPr="003E2C48">
        <w:rPr>
          <w:rFonts w:ascii="Times New Roman" w:hAnsi="Times New Roman"/>
          <w:noProof/>
          <w:sz w:val="24"/>
        </w:rPr>
        <w:t xml:space="preserve"> </w:t>
      </w:r>
    </w:p>
    <w:p w14:paraId="0A355842" w14:textId="3B32B977" w:rsidR="00A75ED8" w:rsidRPr="003E2C48" w:rsidRDefault="00A75ED8" w:rsidP="00430DF0">
      <w:pPr>
        <w:tabs>
          <w:tab w:val="left" w:pos="567"/>
        </w:tabs>
        <w:suppressAutoHyphens/>
        <w:rPr>
          <w:rFonts w:ascii="Times New Roman" w:hAnsi="Times New Roman"/>
          <w:noProof/>
          <w:sz w:val="24"/>
        </w:rPr>
      </w:pPr>
      <w:r w:rsidRPr="003E2C48">
        <w:rPr>
          <w:rFonts w:ascii="Times New Roman" w:hAnsi="Times New Roman"/>
          <w:noProof/>
          <w:sz w:val="24"/>
        </w:rPr>
        <w:t>1.5.</w:t>
      </w:r>
      <w:r w:rsidRPr="003E2C48">
        <w:rPr>
          <w:rFonts w:ascii="Times New Roman" w:hAnsi="Times New Roman"/>
          <w:noProof/>
          <w:sz w:val="24"/>
        </w:rPr>
        <w:tab/>
        <w:t>Institucije ne ispunjavaju stupce koji se odnose na zamišljeni iznos, informacije o automatskim opcijama i bihevioralnom modeliranju, prosječni prinos i ugovorno dospijeće u listovima za ugovorne uvjete.</w:t>
      </w:r>
    </w:p>
    <w:p w14:paraId="2401EC9D" w14:textId="77777777" w:rsidR="00A75ED8" w:rsidRPr="003E2C48" w:rsidRDefault="00A75ED8" w:rsidP="00CB270D">
      <w:pPr>
        <w:suppressAutoHyphens/>
        <w:rPr>
          <w:rFonts w:ascii="Times New Roman" w:hAnsi="Times New Roman"/>
          <w:noProof/>
          <w:sz w:val="24"/>
        </w:rPr>
      </w:pPr>
      <w:r w:rsidRPr="003E2C48">
        <w:rPr>
          <w:noProof/>
        </w:rPr>
        <w:br w:type="page"/>
      </w:r>
    </w:p>
    <w:p w14:paraId="34D3A582" w14:textId="4F06788E" w:rsidR="003F3D6D" w:rsidRPr="003E2C48" w:rsidRDefault="00A75ED8" w:rsidP="00430DF0">
      <w:pPr>
        <w:pStyle w:val="Instructionsberschrift2"/>
        <w:numPr>
          <w:ilvl w:val="0"/>
          <w:numId w:val="0"/>
        </w:numPr>
        <w:suppressAutoHyphens/>
        <w:rPr>
          <w:rFonts w:cs="Times New Roman"/>
          <w:b/>
          <w:bCs/>
          <w:noProof/>
          <w:sz w:val="24"/>
        </w:rPr>
      </w:pPr>
      <w:bookmarkStart w:id="57" w:name="_Toc160197935"/>
      <w:r w:rsidRPr="003E2C48">
        <w:rPr>
          <w:b/>
          <w:noProof/>
          <w:sz w:val="24"/>
        </w:rPr>
        <w:t>2.</w:t>
      </w:r>
      <w:r w:rsidRPr="003E2C48">
        <w:rPr>
          <w:b/>
          <w:noProof/>
          <w:sz w:val="24"/>
        </w:rPr>
        <w:tab/>
        <w:t>Upute za specifične pozicije:</w:t>
      </w:r>
      <w:bookmarkEnd w:id="57"/>
    </w:p>
    <w:p w14:paraId="5615CEA5" w14:textId="77777777" w:rsidR="009E536A" w:rsidRPr="003E2C48"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3E2C48" w14:paraId="1AAC0987" w14:textId="77777777" w:rsidTr="63452C95">
        <w:tc>
          <w:tcPr>
            <w:tcW w:w="1129" w:type="dxa"/>
            <w:shd w:val="clear" w:color="auto" w:fill="D9D9D9" w:themeFill="background1" w:themeFillShade="D9"/>
          </w:tcPr>
          <w:p w14:paraId="58577E93" w14:textId="77777777" w:rsidR="00E334BE" w:rsidRPr="003E2C48" w:rsidRDefault="00E334BE" w:rsidP="003C575D">
            <w:pPr>
              <w:pStyle w:val="InstructionsText"/>
              <w:rPr>
                <w:rStyle w:val="InstructionsTabelleText"/>
                <w:rFonts w:ascii="Times New Roman" w:hAnsi="Times New Roman"/>
                <w:bCs/>
                <w:noProof/>
                <w:sz w:val="24"/>
              </w:rPr>
            </w:pPr>
            <w:r w:rsidRPr="003E2C48">
              <w:rPr>
                <w:rStyle w:val="InstructionsTabelleText"/>
                <w:rFonts w:ascii="Times New Roman" w:hAnsi="Times New Roman"/>
                <w:noProof/>
                <w:sz w:val="24"/>
              </w:rPr>
              <w:t>Stupci</w:t>
            </w:r>
          </w:p>
        </w:tc>
        <w:tc>
          <w:tcPr>
            <w:tcW w:w="7620" w:type="dxa"/>
            <w:shd w:val="clear" w:color="auto" w:fill="D9D9D9" w:themeFill="background1" w:themeFillShade="D9"/>
          </w:tcPr>
          <w:p w14:paraId="2F9FA5E5" w14:textId="77777777" w:rsidR="00E334BE" w:rsidRPr="003E2C48" w:rsidRDefault="00E334BE" w:rsidP="003C575D">
            <w:pPr>
              <w:pStyle w:val="InstructionsText"/>
              <w:rPr>
                <w:rStyle w:val="InstructionsTabelleText"/>
                <w:rFonts w:ascii="Times New Roman" w:hAnsi="Times New Roman"/>
                <w:bCs/>
                <w:noProof/>
                <w:sz w:val="24"/>
              </w:rPr>
            </w:pPr>
            <w:r w:rsidRPr="003E2C48">
              <w:rPr>
                <w:rStyle w:val="InstructionsTabelleText"/>
                <w:rFonts w:ascii="Times New Roman" w:hAnsi="Times New Roman"/>
                <w:noProof/>
                <w:sz w:val="24"/>
              </w:rPr>
              <w:t>Pravna osnova i upute</w:t>
            </w:r>
          </w:p>
        </w:tc>
      </w:tr>
      <w:tr w:rsidR="00A65377" w:rsidRPr="003E2C48" w:rsidDel="00910670" w14:paraId="4BFF452C" w14:textId="77777777" w:rsidTr="63452C95">
        <w:tc>
          <w:tcPr>
            <w:tcW w:w="1129" w:type="dxa"/>
          </w:tcPr>
          <w:p w14:paraId="424DCEEA" w14:textId="2047D5C3" w:rsidR="00A65377" w:rsidRPr="003E2C48" w:rsidDel="00910670" w:rsidRDefault="00ED0A05"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0010 do 0250</w:t>
            </w:r>
          </w:p>
        </w:tc>
        <w:tc>
          <w:tcPr>
            <w:tcW w:w="7620" w:type="dxa"/>
          </w:tcPr>
          <w:p w14:paraId="53EA9135" w14:textId="66FFB9DA" w:rsidR="00A65377" w:rsidRPr="003E2C48" w:rsidRDefault="00FE6D25"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Fiksna kamatna stopa</w:t>
            </w:r>
          </w:p>
          <w:p w14:paraId="3E07CAE3" w14:textId="552D9907" w:rsidR="00EF76AB" w:rsidRPr="003E2C48" w:rsidDel="00910670" w:rsidRDefault="00EF76AB" w:rsidP="003C575D">
            <w:pPr>
              <w:pStyle w:val="InstructionsText"/>
              <w:rPr>
                <w:rStyle w:val="InstructionsTabelleberschrift"/>
                <w:rFonts w:ascii="Times New Roman" w:hAnsi="Times New Roman"/>
                <w:noProof/>
                <w:sz w:val="24"/>
              </w:rPr>
            </w:pPr>
            <w:r w:rsidRPr="003E2C48">
              <w:rPr>
                <w:noProof/>
              </w:rPr>
              <w:t>Institucije izvješćuju o procjenama koje se odnose na instrumente s fiksnom kamatnom stopom, u skladu s pravilom iz dijela I. odjeljka </w:t>
            </w:r>
            <w:r w:rsidRPr="003E2C48">
              <w:rPr>
                <w:noProof/>
              </w:rPr>
              <w:fldChar w:fldCharType="begin"/>
            </w:r>
            <w:r w:rsidRPr="003E2C48">
              <w:rPr>
                <w:noProof/>
              </w:rPr>
              <w:instrText xml:space="preserve"> REF _Ref125115357 \r \h </w:instrText>
            </w:r>
            <w:r w:rsidR="00B3089D" w:rsidRPr="003E2C48">
              <w:rPr>
                <w:noProof/>
              </w:rPr>
              <w:instrText xml:space="preserve"> \* MERGEFORMAT </w:instrText>
            </w:r>
            <w:r w:rsidRPr="003E2C48">
              <w:rPr>
                <w:noProof/>
              </w:rPr>
            </w:r>
            <w:r w:rsidRPr="003E2C48">
              <w:rPr>
                <w:noProof/>
              </w:rPr>
              <w:fldChar w:fldCharType="separate"/>
            </w:r>
            <w:r w:rsidR="004049B3" w:rsidRPr="003E2C48">
              <w:rPr>
                <w:noProof/>
              </w:rPr>
              <w:t>3</w:t>
            </w:r>
            <w:r w:rsidRPr="003E2C48">
              <w:rPr>
                <w:noProof/>
              </w:rPr>
              <w:fldChar w:fldCharType="end"/>
            </w:r>
            <w:r w:rsidRPr="003E2C48">
              <w:rPr>
                <w:noProof/>
              </w:rPr>
              <w:t>. ovog Priloga.</w:t>
            </w:r>
          </w:p>
        </w:tc>
      </w:tr>
      <w:tr w:rsidR="00A65377" w:rsidRPr="003E2C48" w:rsidDel="00910670" w14:paraId="57B0CF75" w14:textId="77777777" w:rsidTr="63452C95">
        <w:tc>
          <w:tcPr>
            <w:tcW w:w="1129" w:type="dxa"/>
          </w:tcPr>
          <w:p w14:paraId="6E3BC7AB" w14:textId="2B703315" w:rsidR="00A65377" w:rsidRPr="003E2C48" w:rsidDel="00910670" w:rsidRDefault="00543AB9"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0260 do 0390</w:t>
            </w:r>
          </w:p>
        </w:tc>
        <w:tc>
          <w:tcPr>
            <w:tcW w:w="7620" w:type="dxa"/>
          </w:tcPr>
          <w:p w14:paraId="7B9BFD7B" w14:textId="7B89C8CB" w:rsidR="00A65377" w:rsidRPr="003E2C48" w:rsidRDefault="00FE6D25"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Promjenjiva kamatna stopa</w:t>
            </w:r>
          </w:p>
          <w:p w14:paraId="0667D05A" w14:textId="1C1E5E1A" w:rsidR="00EF76AB" w:rsidRPr="003E2C48" w:rsidDel="00910670" w:rsidRDefault="00EF76AB" w:rsidP="003C575D">
            <w:pPr>
              <w:pStyle w:val="InstructionsText"/>
              <w:rPr>
                <w:rStyle w:val="InstructionsTabelleberschrift"/>
                <w:rFonts w:ascii="Times New Roman" w:hAnsi="Times New Roman"/>
                <w:noProof/>
                <w:sz w:val="24"/>
              </w:rPr>
            </w:pPr>
            <w:r w:rsidRPr="003E2C48">
              <w:rPr>
                <w:noProof/>
              </w:rPr>
              <w:t xml:space="preserve">Institucije izvješćuju o procjenama koje se odnose na instrumente s </w:t>
            </w:r>
            <w:r w:rsidRPr="003E2C48">
              <w:rPr>
                <w:rStyle w:val="InstructionsTabelleberschrift"/>
                <w:rFonts w:ascii="Times New Roman" w:hAnsi="Times New Roman"/>
                <w:b w:val="0"/>
                <w:noProof/>
                <w:sz w:val="24"/>
                <w:u w:val="none"/>
              </w:rPr>
              <w:t>promjenjivom</w:t>
            </w:r>
            <w:r w:rsidRPr="003E2C48">
              <w:rPr>
                <w:noProof/>
              </w:rPr>
              <w:t xml:space="preserve"> kamatnom stopom, u skladu s pravilom iz dijela I. odjeljka </w:t>
            </w:r>
            <w:r w:rsidRPr="003E2C48">
              <w:rPr>
                <w:noProof/>
              </w:rPr>
              <w:fldChar w:fldCharType="begin"/>
            </w:r>
            <w:r w:rsidRPr="003E2C48">
              <w:rPr>
                <w:noProof/>
              </w:rPr>
              <w:instrText xml:space="preserve"> REF _Ref125115357 \r \h </w:instrText>
            </w:r>
            <w:r w:rsidR="00B3089D" w:rsidRPr="003E2C48">
              <w:rPr>
                <w:noProof/>
              </w:rPr>
              <w:instrText xml:space="preserve"> \* MERGEFORMAT </w:instrText>
            </w:r>
            <w:r w:rsidRPr="003E2C48">
              <w:rPr>
                <w:noProof/>
              </w:rPr>
            </w:r>
            <w:r w:rsidRPr="003E2C48">
              <w:rPr>
                <w:noProof/>
              </w:rPr>
              <w:fldChar w:fldCharType="separate"/>
            </w:r>
            <w:r w:rsidR="004049B3" w:rsidRPr="003E2C48">
              <w:rPr>
                <w:noProof/>
              </w:rPr>
              <w:t>3</w:t>
            </w:r>
            <w:r w:rsidRPr="003E2C48">
              <w:rPr>
                <w:noProof/>
              </w:rPr>
              <w:fldChar w:fldCharType="end"/>
            </w:r>
            <w:r w:rsidRPr="003E2C48">
              <w:rPr>
                <w:noProof/>
              </w:rPr>
              <w:t>. ovog Priloga.</w:t>
            </w:r>
          </w:p>
        </w:tc>
      </w:tr>
      <w:tr w:rsidR="00910670" w:rsidRPr="003E2C48" w:rsidDel="00910670" w14:paraId="501C377B" w14:textId="77777777" w:rsidTr="63452C95">
        <w:tc>
          <w:tcPr>
            <w:tcW w:w="1129" w:type="dxa"/>
          </w:tcPr>
          <w:p w14:paraId="440DBE1C" w14:textId="5EB8B8CF" w:rsidR="00910670" w:rsidRPr="003E2C48" w:rsidDel="00910670" w:rsidRDefault="00910670"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0010</w:t>
            </w:r>
          </w:p>
        </w:tc>
        <w:tc>
          <w:tcPr>
            <w:tcW w:w="7620" w:type="dxa"/>
          </w:tcPr>
          <w:p w14:paraId="75A0ED55" w14:textId="29E23F25" w:rsidR="00910670" w:rsidRPr="003E2C48" w:rsidRDefault="00910670"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Zamišljeni iznos</w:t>
            </w:r>
          </w:p>
          <w:p w14:paraId="46766D8B" w14:textId="222F990D" w:rsidR="00CB0263" w:rsidRPr="003E2C48" w:rsidRDefault="00CB0263"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Institucije izvješćuju o nepodmirenom iznosu glavnice instrumenata.</w:t>
            </w:r>
          </w:p>
          <w:p w14:paraId="5E431F7F" w14:textId="07283D72" w:rsidR="00910670" w:rsidRPr="003E2C48" w:rsidDel="00910670" w:rsidRDefault="00C57102" w:rsidP="003C575D">
            <w:pPr>
              <w:pStyle w:val="InstructionsText"/>
              <w:rPr>
                <w:rStyle w:val="InstructionsTabelleberschrift"/>
                <w:rFonts w:ascii="Times New Roman" w:hAnsi="Times New Roman"/>
                <w:b w:val="0"/>
                <w:noProof/>
                <w:sz w:val="24"/>
                <w:u w:val="none"/>
              </w:rPr>
            </w:pPr>
            <w:r w:rsidRPr="003E2C48">
              <w:rPr>
                <w:noProof/>
              </w:rPr>
              <w:t>U slučaju izvedenica iskazuje se nepodmireni iznos glavnice na strani imovine (primatelj) (tj. bez netiranih iznosa strana primatelja/platitelja).</w:t>
            </w:r>
          </w:p>
        </w:tc>
      </w:tr>
      <w:tr w:rsidR="008A13DA" w:rsidRPr="003E2C48" w14:paraId="2FB0A7BA" w14:textId="77777777" w:rsidTr="63452C95">
        <w:tc>
          <w:tcPr>
            <w:tcW w:w="1129" w:type="dxa"/>
          </w:tcPr>
          <w:p w14:paraId="3AFC7C48" w14:textId="1AE50117" w:rsidR="008A13DA" w:rsidRPr="003E2C48" w:rsidRDefault="008A13D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0020 i 0270</w:t>
            </w:r>
          </w:p>
        </w:tc>
        <w:tc>
          <w:tcPr>
            <w:tcW w:w="7620" w:type="dxa"/>
          </w:tcPr>
          <w:p w14:paraId="1D1717F1" w14:textId="693BF044" w:rsidR="008A13DA" w:rsidRPr="003E2C48" w:rsidRDefault="008A13DA"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s ugrađenom ili izričitom automatskom opcionalnošću – kupljeno</w:t>
            </w:r>
          </w:p>
          <w:p w14:paraId="19FE4847" w14:textId="216BDE82" w:rsidR="008A13DA" w:rsidRPr="003E2C48" w:rsidRDefault="008A13DA"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xml:space="preserve">Postotak zamišljenog iznosa iskazanog u stupcima 0010 i 0260 podložan kupljenim automatskim opcijama kamatne stope. Opcionalnost može proizaći iz samostalnih instrumenata koje je institucija kupila (uključujući </w:t>
            </w:r>
            <w:r w:rsidRPr="003E2C48">
              <w:rPr>
                <w:rStyle w:val="InstructionsTabelleberschrift"/>
                <w:rFonts w:ascii="Times New Roman" w:hAnsi="Times New Roman"/>
                <w:b w:val="0"/>
                <w:i/>
                <w:noProof/>
                <w:sz w:val="24"/>
                <w:u w:val="none"/>
              </w:rPr>
              <w:t>donje granice, gornje granice</w:t>
            </w:r>
            <w:r w:rsidRPr="003E2C48">
              <w:rPr>
                <w:rStyle w:val="InstructionsTabelleberschrift"/>
                <w:rFonts w:ascii="Times New Roman" w:hAnsi="Times New Roman"/>
                <w:b w:val="0"/>
                <w:noProof/>
                <w:sz w:val="24"/>
                <w:u w:val="none"/>
              </w:rPr>
              <w:t xml:space="preserve"> i </w:t>
            </w:r>
            <w:r w:rsidRPr="003E2C48">
              <w:rPr>
                <w:rStyle w:val="InstructionsTabelleberschrift"/>
                <w:rFonts w:ascii="Times New Roman" w:hAnsi="Times New Roman"/>
                <w:b w:val="0"/>
                <w:i/>
                <w:noProof/>
                <w:sz w:val="24"/>
                <w:u w:val="none"/>
              </w:rPr>
              <w:t>razmjene</w:t>
            </w:r>
            <w:r w:rsidRPr="003E2C48">
              <w:rPr>
                <w:rStyle w:val="InstructionsTabelleberschrift"/>
                <w:rFonts w:ascii="Times New Roman" w:hAnsi="Times New Roman"/>
                <w:b w:val="0"/>
                <w:noProof/>
                <w:sz w:val="24"/>
                <w:u w:val="none"/>
              </w:rPr>
              <w:t>) ili biti „ugrađena” u ugovorne uvjete drugih standardnih bankovnih proizvoda.</w:t>
            </w:r>
          </w:p>
          <w:p w14:paraId="03C11696" w14:textId="540CCE6E" w:rsidR="00A83E73" w:rsidRPr="003E2C48" w:rsidRDefault="00A83E73" w:rsidP="003C575D">
            <w:pPr>
              <w:pStyle w:val="InstructionsText"/>
              <w:rPr>
                <w:rStyle w:val="InstructionsTabelleberschrift"/>
                <w:rFonts w:ascii="Times New Roman" w:hAnsi="Times New Roman"/>
                <w:b w:val="0"/>
                <w:bCs w:val="0"/>
                <w:noProof/>
                <w:sz w:val="24"/>
                <w:u w:val="none"/>
              </w:rPr>
            </w:pPr>
            <w:r w:rsidRPr="003E2C48">
              <w:rPr>
                <w:noProof/>
              </w:rPr>
              <w:t>Ugrađene automatske kamatne opcije iskazuju se zajedno s relevantnim osnovnim instrumentom (imovina ili obveza). Izričite automatske kamatne opcije iskazuju se kao izvedeni instrumenti.</w:t>
            </w:r>
          </w:p>
          <w:p w14:paraId="1515B951" w14:textId="0815A965" w:rsidR="000452C6" w:rsidRPr="003E2C48" w:rsidRDefault="008A13DA"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xml:space="preserve">Ugrađene kupljene automatske opcije uključuju, u slučaju pozicija s promjenjivom stopom: i. kupljene donje granice u odnosu na imovinu s promjenjivom kamatnom stopom (krediti ili dužnički vrijednosti papiri); ii. kupljene gornje granice u odnosu na izdane dužničke vrijednosne papire s promjenjivom kamatnom stopom itd. </w:t>
            </w:r>
          </w:p>
          <w:p w14:paraId="4B278975" w14:textId="2CD15610" w:rsidR="008A13DA" w:rsidRPr="003E2C48" w:rsidRDefault="00844999"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Ugrađene kupljene automatske opcije uključuju, u slučaju pozicija s fiksnom stopom: i. dužničku vrijednosnu imovinu s fiksnom kamatnom stopom s opcijom prijevremene otplate za instituciju (platitelj ugrađene kupljene opcije razmjene); ii. obveze izdanih dužničkih vrijednosnih papira s fiksnom kamatnom stopom s opcijom prijevremene otplate za instituciju (primatelj ugrađene kupljene opcije razmjene).</w:t>
            </w:r>
          </w:p>
          <w:p w14:paraId="0EC5C984" w14:textId="06780A02" w:rsidR="004736B2" w:rsidRPr="003E2C48" w:rsidRDefault="004736B2"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Izričite kupljene automatske opcije su izvedenice koje uključuju: i. izričite kupljene donje granice; ii. izričite kupljene opcije razmjene platitelja (institucija ima pravo zaključiti kamatni ugovor o razmjeni pri čemu plaća fiksnu i prima promjenjivu kamatnu stopu); iii. izričite kupljene gornje granice; iv. izričite kupljene opcije razmjene primatelja (institucija ima pravo zaključiti kamatni ugovor o razmjeni pri čemu prima fiksnu i naplaćuje promjenjivu kamatnu stopu).</w:t>
            </w:r>
          </w:p>
          <w:p w14:paraId="0338A8CE" w14:textId="46249BD5" w:rsidR="008A13DA" w:rsidRPr="003E2C48" w:rsidRDefault="004736B2" w:rsidP="003C575D">
            <w:pPr>
              <w:pStyle w:val="InstructionsText"/>
              <w:rPr>
                <w:rStyle w:val="InstructionsTabelleberschrift"/>
                <w:rFonts w:ascii="Times New Roman" w:hAnsi="Times New Roman"/>
                <w:noProof/>
                <w:sz w:val="24"/>
              </w:rPr>
            </w:pPr>
            <w:r w:rsidRPr="003E2C48">
              <w:rPr>
                <w:noProof/>
              </w:rPr>
              <w:t>Pri izračunavanju postotka izloženosti institucije propisno razmatraju pravila iz dijela I. odjeljka </w:t>
            </w:r>
            <w:r w:rsidRPr="003E2C48">
              <w:rPr>
                <w:noProof/>
              </w:rPr>
              <w:fldChar w:fldCharType="begin"/>
            </w:r>
            <w:r w:rsidRPr="003E2C48">
              <w:rPr>
                <w:noProof/>
              </w:rPr>
              <w:instrText xml:space="preserve"> REF _Ref122265153 \r \h </w:instrText>
            </w:r>
            <w:r w:rsidR="00A6215F" w:rsidRPr="003E2C48">
              <w:rPr>
                <w:noProof/>
              </w:rPr>
              <w:instrText xml:space="preserve"> \* MERGEFORMAT </w:instrText>
            </w:r>
            <w:r w:rsidRPr="003E2C48">
              <w:rPr>
                <w:noProof/>
              </w:rPr>
            </w:r>
            <w:r w:rsidRPr="003E2C48">
              <w:rPr>
                <w:noProof/>
              </w:rPr>
              <w:fldChar w:fldCharType="separate"/>
            </w:r>
            <w:r w:rsidR="004049B3" w:rsidRPr="003E2C48">
              <w:rPr>
                <w:noProof/>
              </w:rPr>
              <w:t>3</w:t>
            </w:r>
            <w:r w:rsidRPr="003E2C48">
              <w:rPr>
                <w:noProof/>
              </w:rPr>
              <w:fldChar w:fldCharType="end"/>
            </w:r>
            <w:r w:rsidRPr="003E2C48">
              <w:rPr>
                <w:noProof/>
              </w:rPr>
              <w:t>. u odnosu na opcije.</w:t>
            </w:r>
          </w:p>
        </w:tc>
      </w:tr>
      <w:tr w:rsidR="008A13DA" w:rsidRPr="003E2C48" w14:paraId="148EA992" w14:textId="77777777" w:rsidTr="63452C95">
        <w:tc>
          <w:tcPr>
            <w:tcW w:w="1129" w:type="dxa"/>
          </w:tcPr>
          <w:p w14:paraId="0C9C2184" w14:textId="481FBD27" w:rsidR="008A13DA" w:rsidRPr="003E2C48" w:rsidRDefault="008A13D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0030 i 0280</w:t>
            </w:r>
          </w:p>
        </w:tc>
        <w:tc>
          <w:tcPr>
            <w:tcW w:w="7620" w:type="dxa"/>
          </w:tcPr>
          <w:p w14:paraId="685A6336" w14:textId="5A91B1B4" w:rsidR="008A13DA" w:rsidRPr="003E2C48" w:rsidRDefault="008A13DA"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s ugrađenom ili izričitom automatskom opcionalnošću – prodano</w:t>
            </w:r>
          </w:p>
          <w:p w14:paraId="6E9CFF28" w14:textId="4243EF27" w:rsidR="008A13DA" w:rsidRPr="003E2C48" w:rsidRDefault="008A13DA"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xml:space="preserve">Postotak zamišljenog iznosa iskazanog u stupcima 0010 i 0260 podložan prodanim automatskim opcijama kamatne stope. Opcionalnost može proizaći iz samostalnih instrumenata koje je institucija prodala (uključujući </w:t>
            </w:r>
            <w:r w:rsidRPr="003E2C48">
              <w:rPr>
                <w:rStyle w:val="InstructionsTabelleberschrift"/>
                <w:rFonts w:ascii="Times New Roman" w:hAnsi="Times New Roman"/>
                <w:b w:val="0"/>
                <w:i/>
                <w:noProof/>
                <w:sz w:val="24"/>
                <w:u w:val="none"/>
              </w:rPr>
              <w:t>donje granice, gornje granice</w:t>
            </w:r>
            <w:r w:rsidRPr="003E2C48">
              <w:rPr>
                <w:rStyle w:val="InstructionsTabelleberschrift"/>
                <w:rFonts w:ascii="Times New Roman" w:hAnsi="Times New Roman"/>
                <w:b w:val="0"/>
                <w:noProof/>
                <w:sz w:val="24"/>
                <w:u w:val="none"/>
              </w:rPr>
              <w:t xml:space="preserve"> i </w:t>
            </w:r>
            <w:r w:rsidRPr="003E2C48">
              <w:rPr>
                <w:rStyle w:val="InstructionsTabelleberschrift"/>
                <w:rFonts w:ascii="Times New Roman" w:hAnsi="Times New Roman"/>
                <w:b w:val="0"/>
                <w:i/>
                <w:noProof/>
                <w:sz w:val="24"/>
                <w:u w:val="none"/>
              </w:rPr>
              <w:t>razmjene</w:t>
            </w:r>
            <w:r w:rsidRPr="003E2C48">
              <w:rPr>
                <w:rStyle w:val="InstructionsTabelleberschrift"/>
                <w:rFonts w:ascii="Times New Roman" w:hAnsi="Times New Roman"/>
                <w:b w:val="0"/>
                <w:noProof/>
                <w:sz w:val="24"/>
                <w:u w:val="none"/>
              </w:rPr>
              <w:t>) ili biti „ugrađena” u ugovorne uvjete drugih standardnih bankovnih proizvoda.</w:t>
            </w:r>
          </w:p>
          <w:p w14:paraId="4F3EEBA7" w14:textId="5FC322FE" w:rsidR="00332BAD" w:rsidRPr="003E2C48"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sidRPr="003E2C48">
              <w:rPr>
                <w:rFonts w:ascii="Times New Roman" w:hAnsi="Times New Roman"/>
                <w:noProof/>
                <w:sz w:val="24"/>
              </w:rPr>
              <w:t>Ugrađene opcije automatske kamatne stope iskazuju se zajedno s njihovim relevantnim osnovnim instrumentom (imovina ili obveza). Izričite automatske kamatne opcije iskazuju se kao izvedeni instrumenti.</w:t>
            </w:r>
          </w:p>
          <w:p w14:paraId="5E648301" w14:textId="67D908B7" w:rsidR="000978F0" w:rsidRPr="003E2C48" w:rsidRDefault="008A13DA" w:rsidP="003C575D">
            <w:pPr>
              <w:pStyle w:val="InstructionsText"/>
              <w:rPr>
                <w:noProof/>
              </w:rPr>
            </w:pPr>
            <w:r w:rsidRPr="003E2C48">
              <w:rPr>
                <w:noProof/>
              </w:rPr>
              <w:t xml:space="preserve">Ugrađene prodane automatske kamatne opcije uključuju, u slučaju pozicija s promjenjivom stopom: i. prodane gornje granice u odnosu na imovinu s promjenjivom kamatnom stopom (krediti i dužnički vrijednosti papiri); ii. prodane donje granice u odnosu na izdane dužničke vrijednosne papire s promjenjivom kamatnom stopom itd. </w:t>
            </w:r>
          </w:p>
          <w:p w14:paraId="17F59AFE" w14:textId="1DC8181A" w:rsidR="008A13DA" w:rsidRPr="003E2C48" w:rsidRDefault="008A13DA" w:rsidP="003C575D">
            <w:pPr>
              <w:pStyle w:val="InstructionsText"/>
              <w:rPr>
                <w:noProof/>
              </w:rPr>
            </w:pPr>
            <w:r w:rsidRPr="003E2C48">
              <w:rPr>
                <w:noProof/>
              </w:rPr>
              <w:t>Za pozicije s fiksnom kamatnom stopom, ugrađene prodane automatske kamatne opcije uključuju: i. dužničke vrijednosne papire s fiksnom kamatnom stopom s opcijom prijevremene otplate za izdavatelja (primatelj ugrađene kupljene opcije razmjene); ii. prodane donje granice za depozite bez dospijeća i oročene depozite uključujući propisane i implicirane donje granice i iii. izdane dužničke vrijednosne papire s fiksnom kamatnom stopom s opcijom prijevremene otplate za ulagatelja (platitelj ugrađene kupljene opcije razmjene).</w:t>
            </w:r>
          </w:p>
          <w:p w14:paraId="4039C229" w14:textId="6ACB1D35" w:rsidR="00F73C99" w:rsidRPr="003E2C48" w:rsidRDefault="00F73C99"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Izričite prodane automatske opcije izvedenice su koje uključuju i. izričite prodane gornje granice; ii. izričite prodane opcije razmjene primatelja (institucija ima obvezu zaključiti kamatni ugovor o razmjeni pri čemu plaća fiksnu i prima promjenjivu kamatnu stopu); iii. izričite prodane donje granice; iv. izričite prodane opcije razmjene platitelja (institucija ima obvezu zaključiti kamatni ugovor o razmjeni pri čemu prima fiksnu i plaća promjenjivu kamatnu stopu).</w:t>
            </w:r>
          </w:p>
          <w:p w14:paraId="5CBE88B0" w14:textId="0D2C5A51" w:rsidR="008A13DA" w:rsidRPr="003E2C48" w:rsidRDefault="00F73C99" w:rsidP="003C575D">
            <w:pPr>
              <w:pStyle w:val="InstructionsText"/>
              <w:rPr>
                <w:rStyle w:val="InstructionsTabelleberschrift"/>
                <w:rFonts w:ascii="Times New Roman" w:hAnsi="Times New Roman"/>
                <w:noProof/>
                <w:sz w:val="24"/>
              </w:rPr>
            </w:pPr>
            <w:r w:rsidRPr="003E2C48">
              <w:rPr>
                <w:noProof/>
              </w:rPr>
              <w:t>Pri izračunavanju iznosa postotka institucije propisno razmatraju pravila iz dijela I. odjeljka </w:t>
            </w:r>
            <w:r w:rsidRPr="003E2C48">
              <w:rPr>
                <w:noProof/>
              </w:rPr>
              <w:fldChar w:fldCharType="begin"/>
            </w:r>
            <w:r w:rsidRPr="003E2C48">
              <w:rPr>
                <w:noProof/>
              </w:rPr>
              <w:instrText xml:space="preserve"> REF _Ref122265153 \r \h </w:instrText>
            </w:r>
            <w:r w:rsidR="00D82419" w:rsidRPr="003E2C48">
              <w:rPr>
                <w:noProof/>
              </w:rPr>
              <w:instrText xml:space="preserve"> \* MERGEFORMAT </w:instrText>
            </w:r>
            <w:r w:rsidRPr="003E2C48">
              <w:rPr>
                <w:noProof/>
              </w:rPr>
            </w:r>
            <w:r w:rsidRPr="003E2C48">
              <w:rPr>
                <w:noProof/>
              </w:rPr>
              <w:fldChar w:fldCharType="separate"/>
            </w:r>
            <w:r w:rsidR="004049B3" w:rsidRPr="003E2C48">
              <w:rPr>
                <w:noProof/>
              </w:rPr>
              <w:t>3</w:t>
            </w:r>
            <w:r w:rsidRPr="003E2C48">
              <w:rPr>
                <w:noProof/>
              </w:rPr>
              <w:fldChar w:fldCharType="end"/>
            </w:r>
            <w:r w:rsidRPr="003E2C48">
              <w:rPr>
                <w:noProof/>
              </w:rPr>
              <w:t>. u odnosu na opcije.</w:t>
            </w:r>
          </w:p>
        </w:tc>
      </w:tr>
      <w:tr w:rsidR="005A510E" w:rsidRPr="003E2C48" w14:paraId="2D5F7193" w14:textId="77777777" w:rsidTr="63452C95">
        <w:tc>
          <w:tcPr>
            <w:tcW w:w="1129" w:type="dxa"/>
          </w:tcPr>
          <w:p w14:paraId="400C1384" w14:textId="08885C17" w:rsidR="005A510E" w:rsidRPr="003E2C48" w:rsidRDefault="005A510E"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0040 i 0290</w:t>
            </w:r>
          </w:p>
        </w:tc>
        <w:tc>
          <w:tcPr>
            <w:tcW w:w="7620" w:type="dxa"/>
          </w:tcPr>
          <w:p w14:paraId="0B5BDF1F" w14:textId="77777777" w:rsidR="001D2293" w:rsidRPr="003E2C48" w:rsidRDefault="001D2293"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na koji se primjenjuje bihevioralno modeliranje</w:t>
            </w:r>
          </w:p>
          <w:p w14:paraId="2A5581C0" w14:textId="2E607039" w:rsidR="005A510E" w:rsidRPr="003E2C48" w:rsidRDefault="001D2293"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Postotak zamišljenog iznosa iskazanog u stupcima 0010 i 0260, koji je predmet bihevioralnog modeliranja, za koji vrijeme ili iznos novčanih tokova ovisi o ponašanju klijenata.</w:t>
            </w:r>
          </w:p>
        </w:tc>
      </w:tr>
      <w:tr w:rsidR="005A510E" w:rsidRPr="003E2C48" w14:paraId="320394BE" w14:textId="77777777" w:rsidTr="63452C95">
        <w:tc>
          <w:tcPr>
            <w:tcW w:w="1129" w:type="dxa"/>
          </w:tcPr>
          <w:p w14:paraId="4194F18A" w14:textId="66BE13F3" w:rsidR="005A510E" w:rsidRPr="003E2C48" w:rsidRDefault="005A510E"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0050 i 0300</w:t>
            </w:r>
          </w:p>
        </w:tc>
        <w:tc>
          <w:tcPr>
            <w:tcW w:w="7620" w:type="dxa"/>
          </w:tcPr>
          <w:p w14:paraId="1F589AA0" w14:textId="6E6F27F9" w:rsidR="005A510E" w:rsidRPr="003E2C48" w:rsidRDefault="005A510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Ponderirani prosječni prinos</w:t>
            </w:r>
          </w:p>
          <w:p w14:paraId="0A030C82" w14:textId="148A1E1F" w:rsidR="005A510E" w:rsidRPr="003E2C48" w:rsidRDefault="000B09F9"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Prosječni prinos na godišnjoj razini ponderiran zamišljenim iznosom.</w:t>
            </w:r>
          </w:p>
        </w:tc>
      </w:tr>
      <w:tr w:rsidR="005A510E" w:rsidRPr="003E2C48" w14:paraId="241B7FD2" w14:textId="77777777" w:rsidTr="63452C95">
        <w:tc>
          <w:tcPr>
            <w:tcW w:w="1129" w:type="dxa"/>
          </w:tcPr>
          <w:p w14:paraId="05DB9DDC" w14:textId="75231452" w:rsidR="005A510E" w:rsidRPr="003E2C48" w:rsidRDefault="005A510E"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0060 i 0310</w:t>
            </w:r>
          </w:p>
        </w:tc>
        <w:tc>
          <w:tcPr>
            <w:tcW w:w="7620" w:type="dxa"/>
          </w:tcPr>
          <w:p w14:paraId="61B75614" w14:textId="476C6EAF" w:rsidR="005A510E" w:rsidRPr="003E2C48" w:rsidRDefault="005A510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Ponderirano prosječno dospijeće (ugovorno)</w:t>
            </w:r>
          </w:p>
          <w:p w14:paraId="5543C64E" w14:textId="5DCF7F02" w:rsidR="005A510E" w:rsidRPr="003E2C48" w:rsidRDefault="00E054D3"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Prosječno ugovorno dospijeće mjereno u godinama ponderirano zamišljenim iznosom.</w:t>
            </w:r>
          </w:p>
        </w:tc>
      </w:tr>
      <w:tr w:rsidR="00E334BE" w:rsidRPr="003E2C48" w14:paraId="1C045037" w14:textId="77777777" w:rsidTr="63452C95">
        <w:tc>
          <w:tcPr>
            <w:tcW w:w="1129" w:type="dxa"/>
          </w:tcPr>
          <w:p w14:paraId="77861FE1" w14:textId="066DD219" w:rsidR="00E334BE" w:rsidRPr="003E2C48" w:rsidRDefault="00B45B2A"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0070 – 0250 i 0320 – 0390</w:t>
            </w:r>
          </w:p>
        </w:tc>
        <w:tc>
          <w:tcPr>
            <w:tcW w:w="7620" w:type="dxa"/>
          </w:tcPr>
          <w:p w14:paraId="244DABE7" w14:textId="77777777" w:rsidR="00A37710" w:rsidRPr="003E2C48" w:rsidRDefault="00E334BE"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Plan za ponovno vrednovanje svih zamišljenih novčanih tokova koji se ponovno vrednuju</w:t>
            </w:r>
          </w:p>
          <w:p w14:paraId="27AC5034" w14:textId="495DB905" w:rsidR="00F93C6A" w:rsidRPr="003E2C48" w:rsidRDefault="00F93C6A" w:rsidP="003C575D">
            <w:pPr>
              <w:pStyle w:val="InstructionsText"/>
              <w:rPr>
                <w:noProof/>
              </w:rPr>
            </w:pPr>
            <w:r w:rsidRPr="003E2C48">
              <w:rPr>
                <w:noProof/>
              </w:rPr>
              <w:t xml:space="preserve">Institucije iskazuju sve buduće zamišljene novčane tokove koji se ponovno vrednuju, a koji proizlaze iz pozicija osjetljivih na kamatne stope u okviru </w:t>
            </w:r>
            <w:r w:rsidRPr="003E2C48">
              <w:rPr>
                <w:rStyle w:val="InstructionsTabelleberschrift"/>
                <w:rFonts w:ascii="Times New Roman" w:hAnsi="Times New Roman"/>
                <w:b w:val="0"/>
                <w:noProof/>
                <w:sz w:val="24"/>
                <w:u w:val="none"/>
              </w:rPr>
              <w:t>Delegirane uredbe (EU) …/… (Ured za publikacije: unijeti upućivanje na regulatorni tehnički standard o SOT-u</w:t>
            </w:r>
            <w:r w:rsidRPr="003E2C48">
              <w:rPr>
                <w:noProof/>
              </w:rPr>
              <w:t xml:space="preserve">) u unaprijed definiranim vremenskim razredima (u koje spadaju prema njihovim datumima ponovnog vrednovanja). </w:t>
            </w:r>
            <w:r w:rsidRPr="003E2C48">
              <w:rPr>
                <w:rStyle w:val="FormatvorlageInstructionsTabelleText"/>
                <w:rFonts w:ascii="Times New Roman" w:hAnsi="Times New Roman"/>
                <w:noProof/>
                <w:sz w:val="24"/>
              </w:rPr>
              <w:t>(definicija „zamišljenih novčanih tokova koji se ponovno vrednuju” i „datuma ponovnog vrednovanja” iz članka 1. točaka 1. i 2.</w:t>
            </w:r>
            <w:r w:rsidRPr="003E2C48">
              <w:rPr>
                <w:noProof/>
              </w:rPr>
              <w:t xml:space="preserve"> Delegirane uredbe (EU) …/… (Ured za publikacije: unijeti upućivanje na regulatorni tehnički standard o SA-u)</w:t>
            </w:r>
            <w:r w:rsidRPr="003E2C48">
              <w:rPr>
                <w:rStyle w:val="FormatvorlageInstructionsTabelleText"/>
                <w:rFonts w:ascii="Times New Roman" w:hAnsi="Times New Roman"/>
                <w:noProof/>
                <w:sz w:val="24"/>
              </w:rPr>
              <w:t>.</w:t>
            </w:r>
          </w:p>
          <w:p w14:paraId="07BE21EC" w14:textId="406647A0" w:rsidR="00E334BE" w:rsidRPr="003E2C48" w:rsidRDefault="00F93C6A" w:rsidP="003C575D">
            <w:pPr>
              <w:pStyle w:val="InstructionsText"/>
              <w:rPr>
                <w:noProof/>
              </w:rPr>
            </w:pPr>
            <w:r w:rsidRPr="003E2C48">
              <w:rPr>
                <w:noProof/>
              </w:rPr>
              <w:t>Automatske kamatne opcije, izričite ili ugrađene, uklanjaju se iz njihovih osnovnih ugovora i ne uzimaju u obzir pri razvrstavanju ponovnog vrednovanja zamišljenog novčanog toka.</w:t>
            </w:r>
          </w:p>
          <w:p w14:paraId="126FAB26" w14:textId="3C5ADDB7" w:rsidR="00DE2BDF" w:rsidRPr="003E2C48" w:rsidRDefault="00DE2BDF" w:rsidP="003C575D">
            <w:pPr>
              <w:pStyle w:val="InstructionsText"/>
              <w:rPr>
                <w:noProof/>
              </w:rPr>
            </w:pPr>
            <w:r w:rsidRPr="003E2C48">
              <w:rPr>
                <w:noProof/>
              </w:rPr>
              <w:t xml:space="preserve">Izvedenice koje nisu automatske kamatne opcije pretvaraju se u pozicije u relevantnom odnosnom instrumentu i dijele na pozicije plaćanja i naplate (kratke i duge pozicije) u relevantnom instrumentu. Predmetni iznosi predstavljaju glavnicu odnosnog instrumenta ili zamišljenog odnosnog instrumenta. Terminski ugovori i nestandardizirani terminski ugovori, uključujući terminske ugovore o kamatnoj stopi, smatraju se kombinacijom kratkih i dugih pozicija. </w:t>
            </w:r>
          </w:p>
          <w:p w14:paraId="4256EE64" w14:textId="3862EF6A" w:rsidR="00DE2BDF" w:rsidRPr="003E2C48" w:rsidRDefault="00DE2BDF" w:rsidP="003C575D">
            <w:pPr>
              <w:pStyle w:val="InstructionsText"/>
              <w:rPr>
                <w:rStyle w:val="InstructionsTabelleberschrift"/>
                <w:rFonts w:ascii="Times New Roman" w:hAnsi="Times New Roman"/>
                <w:b w:val="0"/>
                <w:noProof/>
                <w:u w:val="none"/>
              </w:rPr>
            </w:pPr>
            <w:r w:rsidRPr="003E2C48">
              <w:rPr>
                <w:noProof/>
              </w:rPr>
              <w:t>Pri izvještavanju o novčanim tokovima koji se ponovno vrednuju izvedenica koje nisu automatske kamatne opcije institucije propisno razmatraju pravila iz dijela IV. odjeljka 1. stavka </w:t>
            </w:r>
            <w:r w:rsidR="00D401D8" w:rsidRPr="003E2C48">
              <w:rPr>
                <w:noProof/>
              </w:rPr>
              <w:fldChar w:fldCharType="begin"/>
            </w:r>
            <w:r w:rsidR="00D401D8" w:rsidRPr="003E2C48">
              <w:rPr>
                <w:noProof/>
              </w:rPr>
              <w:instrText xml:space="preserve"> REF _Ref140654581 \r \h </w:instrText>
            </w:r>
            <w:r w:rsidR="00A6215F" w:rsidRPr="003E2C48">
              <w:rPr>
                <w:noProof/>
              </w:rPr>
              <w:instrText xml:space="preserve"> \* MERGEFORMAT </w:instrText>
            </w:r>
            <w:r w:rsidR="00D401D8" w:rsidRPr="003E2C48">
              <w:rPr>
                <w:noProof/>
              </w:rPr>
            </w:r>
            <w:r w:rsidR="00D401D8" w:rsidRPr="003E2C48">
              <w:rPr>
                <w:noProof/>
              </w:rPr>
              <w:fldChar w:fldCharType="separate"/>
            </w:r>
            <w:r w:rsidR="0099267D" w:rsidRPr="003E2C48">
              <w:rPr>
                <w:noProof/>
              </w:rPr>
              <w:t>1.</w:t>
            </w:r>
            <w:r w:rsidR="004049B3" w:rsidRPr="003E2C48">
              <w:rPr>
                <w:noProof/>
              </w:rPr>
              <w:t>4</w:t>
            </w:r>
            <w:r w:rsidR="00D401D8" w:rsidRPr="003E2C48">
              <w:rPr>
                <w:noProof/>
              </w:rPr>
              <w:fldChar w:fldCharType="end"/>
            </w:r>
            <w:r w:rsidRPr="003E2C48">
              <w:rPr>
                <w:noProof/>
              </w:rPr>
              <w:t>. koja se odnose na izvedenice.</w:t>
            </w:r>
          </w:p>
        </w:tc>
      </w:tr>
    </w:tbl>
    <w:p w14:paraId="14B6B511" w14:textId="02E578E4" w:rsidR="0074085C" w:rsidRPr="003E2C48" w:rsidRDefault="0074085C" w:rsidP="00430DF0">
      <w:pPr>
        <w:suppressAutoHyphens/>
        <w:spacing w:after="0"/>
        <w:rPr>
          <w:rStyle w:val="InstructionsTabelleText"/>
          <w:rFonts w:ascii="Times New Roman" w:hAnsi="Times New Roman"/>
          <w:noProof/>
          <w:sz w:val="24"/>
        </w:rPr>
      </w:pPr>
    </w:p>
    <w:p w14:paraId="385B6273" w14:textId="114D160B" w:rsidR="0074085C" w:rsidRPr="003E2C48"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3E2C48" w:rsidRDefault="00935CE7" w:rsidP="00430DF0">
      <w:pPr>
        <w:suppressAutoHyphens/>
        <w:spacing w:before="0" w:after="0"/>
        <w:jc w:val="left"/>
        <w:rPr>
          <w:rFonts w:ascii="Times New Roman" w:eastAsia="Arial" w:hAnsi="Times New Roman"/>
          <w:b/>
          <w:noProof/>
          <w:sz w:val="24"/>
        </w:rPr>
      </w:pPr>
      <w:r w:rsidRPr="003E2C48">
        <w:rPr>
          <w:noProof/>
        </w:rPr>
        <w:br w:type="page"/>
      </w:r>
    </w:p>
    <w:p w14:paraId="24DCA249" w14:textId="06E369EE" w:rsidR="0074085C" w:rsidRPr="003E2C48" w:rsidRDefault="0074085C" w:rsidP="00430DF0">
      <w:pPr>
        <w:pStyle w:val="Heading2"/>
        <w:suppressAutoHyphens/>
        <w:rPr>
          <w:noProof/>
        </w:rPr>
      </w:pPr>
      <w:bookmarkStart w:id="58" w:name="_Toc160197936"/>
      <w:r w:rsidRPr="003E2C48">
        <w:rPr>
          <w:noProof/>
        </w:rPr>
        <w:t>DIO V.: RELEVANTNI PARAMETRI (J 08.00 i J 09.00)</w:t>
      </w:r>
      <w:bookmarkEnd w:id="58"/>
    </w:p>
    <w:p w14:paraId="3F4A8018" w14:textId="12422CAB" w:rsidR="0074085C" w:rsidRPr="003E2C48" w:rsidRDefault="00A75ED8" w:rsidP="00430DF0">
      <w:pPr>
        <w:pStyle w:val="Instructionsberschrift2"/>
        <w:numPr>
          <w:ilvl w:val="0"/>
          <w:numId w:val="0"/>
        </w:numPr>
        <w:tabs>
          <w:tab w:val="left" w:pos="567"/>
        </w:tabs>
        <w:suppressAutoHyphens/>
        <w:rPr>
          <w:rFonts w:cs="Times New Roman"/>
          <w:b/>
          <w:bCs/>
          <w:noProof/>
          <w:sz w:val="24"/>
        </w:rPr>
      </w:pPr>
      <w:bookmarkStart w:id="59" w:name="_Toc160197937"/>
      <w:r w:rsidRPr="003E2C48">
        <w:rPr>
          <w:b/>
          <w:noProof/>
          <w:sz w:val="24"/>
        </w:rPr>
        <w:t>1.</w:t>
      </w:r>
      <w:r w:rsidRPr="003E2C48">
        <w:rPr>
          <w:b/>
          <w:noProof/>
          <w:sz w:val="24"/>
        </w:rPr>
        <w:tab/>
        <w:t>Opće napomene</w:t>
      </w:r>
      <w:bookmarkEnd w:id="59"/>
    </w:p>
    <w:p w14:paraId="6DBD998C" w14:textId="462008A4" w:rsidR="00615CD6" w:rsidRPr="003E2C48" w:rsidRDefault="00A75ED8" w:rsidP="00430DF0">
      <w:pPr>
        <w:tabs>
          <w:tab w:val="left" w:pos="567"/>
        </w:tabs>
        <w:suppressAutoHyphens/>
        <w:rPr>
          <w:rFonts w:ascii="Times New Roman" w:hAnsi="Times New Roman"/>
          <w:noProof/>
          <w:sz w:val="24"/>
        </w:rPr>
      </w:pPr>
      <w:r w:rsidRPr="003E2C48">
        <w:rPr>
          <w:rFonts w:ascii="Times New Roman" w:hAnsi="Times New Roman"/>
          <w:noProof/>
          <w:sz w:val="24"/>
        </w:rPr>
        <w:t>1.1.</w:t>
      </w:r>
      <w:r w:rsidRPr="003E2C48">
        <w:rPr>
          <w:rFonts w:ascii="Times New Roman" w:hAnsi="Times New Roman"/>
          <w:noProof/>
          <w:sz w:val="24"/>
        </w:rPr>
        <w:tab/>
        <w:t>Obrasci J 08.00 i J 09.00 sadržavaju informacije o relevantnim parametrima za praćenje modeliranja IRRBB-a. Većina informacija u ovom obrascu mora se izvesti iz informacija iskazanih u obrascima od J 02.00 do J 07.00. Informacije se iskazuju uzimajući u obzir prognozu za vrijednost EVE, uključujući zahtjeve i pretpostavke modela utvrđene u članku 3. Delegirane uredbe (EU) …/… (Ured za publikacije: unijeti upućivanje na regulatorni tehnički standard o SOT-u) i zanemarujući automatsku opcionalnost, osim u redcima od 0120 do 0150.</w:t>
      </w:r>
    </w:p>
    <w:p w14:paraId="392AF82E" w14:textId="63D81CC8" w:rsidR="00583FE1" w:rsidRPr="003E2C48" w:rsidRDefault="00A75ED8" w:rsidP="00430DF0">
      <w:pPr>
        <w:tabs>
          <w:tab w:val="left" w:pos="567"/>
        </w:tabs>
        <w:suppressAutoHyphens/>
        <w:rPr>
          <w:rFonts w:ascii="Times New Roman" w:hAnsi="Times New Roman"/>
          <w:noProof/>
          <w:sz w:val="24"/>
        </w:rPr>
      </w:pPr>
      <w:r w:rsidRPr="003E2C48">
        <w:rPr>
          <w:rFonts w:ascii="Times New Roman" w:hAnsi="Times New Roman"/>
          <w:noProof/>
          <w:sz w:val="24"/>
        </w:rPr>
        <w:t>1.2.</w:t>
      </w:r>
      <w:r w:rsidRPr="003E2C48">
        <w:rPr>
          <w:rFonts w:ascii="Times New Roman" w:hAnsi="Times New Roman"/>
          <w:noProof/>
          <w:sz w:val="24"/>
        </w:rPr>
        <w:tab/>
        <w:t>Ti se obrasci ispunjavaju zasebno za svaku valutu za koju institucija ima pozicije u kojima računovodstvena vrijednost financijske imovine ili obveza iskazanih u valuti iznosi 5 % ili više ukupne financijske imovine ili obveza iz knjige pozicija kojima se ne trguje ili manje od 5 % ako je zbroj financijske imovine ili obveza uključenih u izračun manji od 90 % ukupne financijske imovine (isključujući materijalnu imovinu) ili obveza iz knjige pozicija kojima se ne trguje.</w:t>
      </w:r>
    </w:p>
    <w:p w14:paraId="6E96AF41" w14:textId="32BDCC1B" w:rsidR="0074085C" w:rsidRPr="003E2C48" w:rsidRDefault="00A75ED8" w:rsidP="00430DF0">
      <w:pPr>
        <w:pStyle w:val="Instructionsberschrift2"/>
        <w:numPr>
          <w:ilvl w:val="0"/>
          <w:numId w:val="0"/>
        </w:numPr>
        <w:tabs>
          <w:tab w:val="left" w:pos="567"/>
        </w:tabs>
        <w:suppressAutoHyphens/>
        <w:rPr>
          <w:rFonts w:cs="Times New Roman"/>
          <w:b/>
          <w:bCs/>
          <w:noProof/>
          <w:sz w:val="24"/>
        </w:rPr>
      </w:pPr>
      <w:bookmarkStart w:id="60" w:name="_Toc160197938"/>
      <w:r w:rsidRPr="003E2C48">
        <w:rPr>
          <w:b/>
          <w:noProof/>
          <w:sz w:val="24"/>
        </w:rPr>
        <w:t>2.</w:t>
      </w:r>
      <w:r w:rsidRPr="003E2C48">
        <w:rPr>
          <w:b/>
          <w:noProof/>
          <w:sz w:val="24"/>
        </w:rPr>
        <w:tab/>
        <w:t>Upute za specifične pozicije</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3E2C48" w14:paraId="1C34855D" w14:textId="77777777" w:rsidTr="63452C95">
        <w:tc>
          <w:tcPr>
            <w:tcW w:w="1129" w:type="dxa"/>
            <w:shd w:val="clear" w:color="auto" w:fill="D9D9D9" w:themeFill="background1" w:themeFillShade="D9"/>
          </w:tcPr>
          <w:p w14:paraId="409F2F99" w14:textId="77777777" w:rsidR="00B87342" w:rsidRPr="003E2C48" w:rsidRDefault="00B87342" w:rsidP="003C575D">
            <w:pPr>
              <w:pStyle w:val="InstructionsText"/>
              <w:rPr>
                <w:rStyle w:val="InstructionsTabelleText"/>
                <w:rFonts w:ascii="Times New Roman" w:eastAsia="Arial" w:hAnsi="Times New Roman"/>
                <w:noProof/>
                <w:sz w:val="24"/>
              </w:rPr>
            </w:pPr>
            <w:r w:rsidRPr="003E2C48">
              <w:rPr>
                <w:rStyle w:val="InstructionsTabelleText"/>
                <w:rFonts w:ascii="Times New Roman" w:hAnsi="Times New Roman"/>
                <w:noProof/>
                <w:sz w:val="24"/>
              </w:rPr>
              <w:t>Redak</w:t>
            </w:r>
          </w:p>
        </w:tc>
        <w:tc>
          <w:tcPr>
            <w:tcW w:w="7620" w:type="dxa"/>
            <w:shd w:val="clear" w:color="auto" w:fill="D9D9D9" w:themeFill="background1" w:themeFillShade="D9"/>
          </w:tcPr>
          <w:p w14:paraId="35F1E6EB" w14:textId="77777777" w:rsidR="00B87342" w:rsidRPr="003E2C48" w:rsidRDefault="00B87342" w:rsidP="003C575D">
            <w:pPr>
              <w:pStyle w:val="InstructionsText"/>
              <w:rPr>
                <w:rStyle w:val="InstructionsTabelleText"/>
                <w:rFonts w:ascii="Times New Roman" w:hAnsi="Times New Roman"/>
                <w:bCs/>
                <w:noProof/>
                <w:sz w:val="24"/>
              </w:rPr>
            </w:pPr>
            <w:r w:rsidRPr="003E2C48">
              <w:rPr>
                <w:rStyle w:val="InstructionsTabelleText"/>
                <w:rFonts w:ascii="Times New Roman" w:hAnsi="Times New Roman"/>
                <w:noProof/>
                <w:sz w:val="24"/>
              </w:rPr>
              <w:t>Pravna osnova i upute</w:t>
            </w:r>
          </w:p>
        </w:tc>
      </w:tr>
      <w:tr w:rsidR="00B87342" w:rsidRPr="003E2C48" w14:paraId="0045BC51" w14:textId="77777777" w:rsidTr="63452C95">
        <w:tc>
          <w:tcPr>
            <w:tcW w:w="1129" w:type="dxa"/>
          </w:tcPr>
          <w:p w14:paraId="25ECF8E9" w14:textId="7BC0B77B" w:rsidR="00B87342" w:rsidRPr="003E2C48" w:rsidRDefault="00B87342"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0010 do 0110</w:t>
            </w:r>
          </w:p>
        </w:tc>
        <w:tc>
          <w:tcPr>
            <w:tcW w:w="7620" w:type="dxa"/>
          </w:tcPr>
          <w:p w14:paraId="4F4071B3" w14:textId="3F3376DD" w:rsidR="00B87342" w:rsidRPr="003E2C48" w:rsidRDefault="00B87342"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Depoziti bez dospijeća – Bihevioralno modeliranje – Prosječni datumi ponovnog vrednovanja prije i nakon modeliranja</w:t>
            </w:r>
          </w:p>
          <w:p w14:paraId="7656C57A" w14:textId="5C4468AF" w:rsidR="00B87342" w:rsidRPr="003E2C48" w:rsidRDefault="00B87342"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 xml:space="preserve">Prosječni datumi ponovnog vrednovanja, mjereni u godinama, izračunavaju se po kategoriji depozita bez dospijeća u skladu s raščlambom utvrđenom u dijelu III. </w:t>
            </w:r>
            <w:r w:rsidRPr="003E2C48">
              <w:rPr>
                <w:noProof/>
              </w:rPr>
              <w:t>odjeljku 2. ovog Priloga</w:t>
            </w:r>
            <w:r w:rsidRPr="003E2C48">
              <w:rPr>
                <w:rStyle w:val="FormatvorlageInstructionsTabelleText"/>
                <w:rFonts w:ascii="Times New Roman" w:hAnsi="Times New Roman"/>
                <w:noProof/>
                <w:sz w:val="24"/>
              </w:rPr>
              <w:t xml:space="preserve">, uz daljnju raščlambu: (a) dijela koji se smatra „osnovnim” opsegom (za depozite bez dospijeća koji nisu depoziti velikih financijskih klijenata i u skladu s definicijom „osnovnog” iz članka 1. točke 15. </w:t>
            </w:r>
            <w:r w:rsidRPr="003E2C48">
              <w:rPr>
                <w:noProof/>
              </w:rPr>
              <w:t>Delegirane uredbe (EU) …/… (Ured za publikacije: unijeti upućivanje na regulatorni tehnički standard o SA-u)</w:t>
            </w:r>
            <w:r w:rsidRPr="003E2C48">
              <w:rPr>
                <w:rStyle w:val="FormatvorlageInstructionsTabelleText"/>
                <w:rFonts w:ascii="Times New Roman" w:hAnsi="Times New Roman"/>
                <w:noProof/>
                <w:sz w:val="24"/>
              </w:rPr>
              <w:t xml:space="preserve">, (b) opsega regulirane štednje iz članka 428.f stavka 2. točke (a) </w:t>
            </w:r>
            <w:r w:rsidRPr="003E2C48">
              <w:rPr>
                <w:noProof/>
              </w:rPr>
              <w:t>Uredbe (EU) br. 575/2013</w:t>
            </w:r>
            <w:r w:rsidRPr="003E2C48">
              <w:rPr>
                <w:rStyle w:val="FormatvorlageInstructionsTabelleText"/>
                <w:rFonts w:ascii="Times New Roman" w:hAnsi="Times New Roman"/>
                <w:noProof/>
                <w:sz w:val="24"/>
              </w:rPr>
              <w:t xml:space="preserve"> bez ograničenja na središnji dio, ili bilo koji drugi sa značajnim ekonomskim ili fiskalnim ograničenjima u slučaju povlačenja, na koje institucija ne primjenjuje ograničenje razdoblja do ponovnog vrednovanja kamatnih stopa (kao što je ograničenje od pet godina), u svojem internom upravljanju rizikom IRRBB-a i (c) opsega operativnih depozita kako je definirano u članku 27. stavku 1. točki (a) </w:t>
            </w:r>
            <w:r w:rsidRPr="003E2C48">
              <w:rPr>
                <w:noProof/>
              </w:rPr>
              <w:t>Delegirane uredbe (EU) 2015/61</w:t>
            </w:r>
            <w:r w:rsidRPr="003E2C48">
              <w:rPr>
                <w:rStyle w:val="FormatvorlageInstructionsTabelleText"/>
                <w:rFonts w:ascii="Times New Roman" w:hAnsi="Times New Roman"/>
                <w:noProof/>
                <w:sz w:val="24"/>
              </w:rPr>
              <w:t>.</w:t>
            </w:r>
          </w:p>
          <w:p w14:paraId="0E697F4F" w14:textId="0B347860" w:rsidR="00B87342" w:rsidRPr="003E2C48" w:rsidRDefault="00B87342" w:rsidP="003C575D">
            <w:pPr>
              <w:pStyle w:val="InstructionsText"/>
              <w:rPr>
                <w:rStyle w:val="InstructionsTabelleberschrift"/>
                <w:rFonts w:ascii="Times New Roman" w:hAnsi="Times New Roman"/>
                <w:b w:val="0"/>
                <w:bCs w:val="0"/>
                <w:noProof/>
                <w:sz w:val="24"/>
                <w:u w:val="none"/>
              </w:rPr>
            </w:pPr>
            <w:r w:rsidRPr="003E2C48">
              <w:rPr>
                <w:rStyle w:val="FormatvorlageInstructionsTabelleText"/>
                <w:rFonts w:ascii="Times New Roman" w:hAnsi="Times New Roman"/>
                <w:noProof/>
                <w:sz w:val="24"/>
              </w:rPr>
              <w:t xml:space="preserve">Prosječni datumi ponovnog vrednovanja izračunavaju se kao ponderirani prosjek „datuma ponovnog vrednovanja” i dodijeljenog pondera koji se temelji na „zamišljenim novčanim tokovima koji se ponovno vrednuju” pozicija u svakoj relevantnoj kategoriji/raščlambi depozita bez dospijeća (definicija „zamišljenih novčanih tokova koji se ponovno vrednuju” i „datuma ponovnog vrednovanja” kako je utvrđeno u članku 1. točkama 1. i 2. </w:t>
            </w:r>
            <w:r w:rsidRPr="003E2C48">
              <w:rPr>
                <w:noProof/>
              </w:rPr>
              <w:t>Delegirane uredbe (EU) …/… (Ured za publikacije: unijeti upućivanje na regulatorni tehnički standard o SA-u)</w:t>
            </w:r>
            <w:r w:rsidRPr="003E2C48">
              <w:rPr>
                <w:rStyle w:val="FormatvorlageInstructionsTabelleText"/>
                <w:rFonts w:ascii="Times New Roman" w:hAnsi="Times New Roman"/>
                <w:noProof/>
                <w:sz w:val="24"/>
              </w:rPr>
              <w:t>).</w:t>
            </w:r>
          </w:p>
        </w:tc>
      </w:tr>
      <w:tr w:rsidR="00B87342" w:rsidRPr="003E2C48" w14:paraId="1314EB2E" w14:textId="77777777" w:rsidTr="63452C95">
        <w:tc>
          <w:tcPr>
            <w:tcW w:w="1129" w:type="dxa"/>
          </w:tcPr>
          <w:p w14:paraId="0E560EE6" w14:textId="1917CD8F" w:rsidR="00B87342" w:rsidRPr="003E2C48" w:rsidRDefault="00B87342"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0120 do 0150</w:t>
            </w:r>
          </w:p>
        </w:tc>
        <w:tc>
          <w:tcPr>
            <w:tcW w:w="7620" w:type="dxa"/>
          </w:tcPr>
          <w:p w14:paraId="16864C20" w14:textId="4D758673" w:rsidR="00B87342" w:rsidRPr="003E2C48" w:rsidRDefault="00B87342"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Depoziti bez dospijeća – Bihevioralno modeliranje – stopa prijenosa kamatnih stopa tijekom jednogodišnjeg razdoblja</w:t>
            </w:r>
          </w:p>
          <w:p w14:paraId="7BE8129E" w14:textId="53FD4EE3" w:rsidR="00B87342" w:rsidRPr="003E2C48" w:rsidRDefault="3DB3CFB4" w:rsidP="003C575D">
            <w:pPr>
              <w:pStyle w:val="InstructionsText"/>
              <w:rPr>
                <w:rStyle w:val="InstructionsTabelleberschrift"/>
                <w:rFonts w:ascii="Times New Roman" w:hAnsi="Times New Roman"/>
                <w:b w:val="0"/>
                <w:bCs w:val="0"/>
                <w:noProof/>
                <w:sz w:val="24"/>
                <w:u w:val="none"/>
              </w:rPr>
            </w:pPr>
            <w:r w:rsidRPr="003E2C48">
              <w:rPr>
                <w:rStyle w:val="FormatvorlageInstructionsTabelleText"/>
                <w:rFonts w:ascii="Times New Roman" w:hAnsi="Times New Roman"/>
                <w:noProof/>
                <w:sz w:val="24"/>
              </w:rPr>
              <w:t xml:space="preserve">Stopa prijenosa kamatnih stopa (PTR) kako je definirana u članku 1. točki 14. </w:t>
            </w:r>
            <w:r w:rsidRPr="003E2C48">
              <w:rPr>
                <w:noProof/>
              </w:rPr>
              <w:t xml:space="preserve">Delegirane uredbe (EU) …/… (Ured za publikacije: unijeti upućivanje na regulatorni tehnički standard o SA-u) </w:t>
            </w:r>
            <w:r w:rsidRPr="003E2C48">
              <w:rPr>
                <w:rStyle w:val="FormatvorlageInstructionsTabelleText"/>
                <w:rFonts w:ascii="Times New Roman" w:hAnsi="Times New Roman"/>
                <w:noProof/>
                <w:sz w:val="24"/>
              </w:rPr>
              <w:t xml:space="preserve">iskazuje se po kategoriji depozita bez dospijeća u skladu s raščlambom iz </w:t>
            </w:r>
            <w:r w:rsidRPr="003E2C48">
              <w:rPr>
                <w:noProof/>
              </w:rPr>
              <w:t>dijela III. odjeljka 2. ovog Priloga</w:t>
            </w:r>
            <w:r w:rsidRPr="003E2C48">
              <w:rPr>
                <w:rStyle w:val="FormatvorlageInstructionsTabelleText"/>
                <w:rFonts w:ascii="Times New Roman" w:hAnsi="Times New Roman"/>
                <w:noProof/>
                <w:sz w:val="24"/>
              </w:rPr>
              <w:t xml:space="preserve"> i tijekom jednogodišnjeg razdoblja.</w:t>
            </w:r>
          </w:p>
          <w:p w14:paraId="39231CCE" w14:textId="5897B846" w:rsidR="00B87342" w:rsidRPr="003E2C48" w:rsidRDefault="7EB25965" w:rsidP="003C575D">
            <w:pPr>
              <w:pStyle w:val="InstructionsText"/>
              <w:rPr>
                <w:rFonts w:eastAsia="Calibri"/>
                <w:noProof/>
              </w:rPr>
            </w:pPr>
            <w:r w:rsidRPr="003E2C48">
              <w:rPr>
                <w:noProof/>
              </w:rPr>
              <w:t xml:space="preserve">Institucije kao PTR iskazuju ponderirani prosječni postotak kamatnog šoka za koji se pretpostavlja da će biti prenesen na njihove depozite bez dospijeća, prema regulatornim scenarijima kamatnih stopa i mjernim parametrima NII-ja navedenima u </w:t>
            </w:r>
            <w:r w:rsidRPr="003E2C48">
              <w:rPr>
                <w:rStyle w:val="InstructionsTabelleberschrift"/>
                <w:rFonts w:ascii="Times New Roman" w:hAnsi="Times New Roman"/>
                <w:b w:val="0"/>
                <w:noProof/>
                <w:sz w:val="24"/>
                <w:u w:val="none"/>
              </w:rPr>
              <w:t xml:space="preserve">Delegiranoj uredbi (EU) …/… (Ured za publikacije: unijeti upućivanje na regulatorni tehnički standard o </w:t>
            </w:r>
            <w:r w:rsidRPr="003E2C48">
              <w:rPr>
                <w:rStyle w:val="FormatvorlageInstructionsTabelleText"/>
                <w:rFonts w:ascii="Times New Roman" w:hAnsi="Times New Roman"/>
                <w:noProof/>
                <w:sz w:val="24"/>
              </w:rPr>
              <w:t>SOT-u)</w:t>
            </w:r>
            <w:r w:rsidRPr="003E2C48">
              <w:rPr>
                <w:noProof/>
              </w:rPr>
              <w:t>.</w:t>
            </w:r>
          </w:p>
        </w:tc>
      </w:tr>
      <w:tr w:rsidR="00B87342" w:rsidRPr="003E2C48" w14:paraId="44881724" w14:textId="77777777" w:rsidTr="63452C95">
        <w:tc>
          <w:tcPr>
            <w:tcW w:w="1129" w:type="dxa"/>
          </w:tcPr>
          <w:p w14:paraId="248EEF52" w14:textId="6ED74CE6" w:rsidR="00B87342" w:rsidRPr="003E2C48" w:rsidRDefault="00B87342"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0160 do 0220</w:t>
            </w:r>
          </w:p>
        </w:tc>
        <w:tc>
          <w:tcPr>
            <w:tcW w:w="7620" w:type="dxa"/>
          </w:tcPr>
          <w:p w14:paraId="1A7FEBB1" w14:textId="77777777" w:rsidR="00B87342" w:rsidRPr="003E2C48" w:rsidRDefault="00B87342"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Fiksna kamatna stopa – Rizik prijevremene otplate – Prosječni datumi ponovnog vrednovanja prije i nakon modeliranja</w:t>
            </w:r>
          </w:p>
          <w:p w14:paraId="3E76D491" w14:textId="0A6DCF17" w:rsidR="0011705A" w:rsidRPr="003E2C48" w:rsidRDefault="0011705A" w:rsidP="003C575D">
            <w:pPr>
              <w:pStyle w:val="InstructionsText"/>
              <w:rPr>
                <w:rStyle w:val="FormatvorlageInstructionsTabelleText"/>
                <w:rFonts w:ascii="Times New Roman" w:hAnsi="Times New Roman"/>
                <w:bCs w:val="0"/>
                <w:noProof/>
                <w:sz w:val="24"/>
              </w:rPr>
            </w:pPr>
            <w:r w:rsidRPr="003E2C48">
              <w:rPr>
                <w:rStyle w:val="FormatvorlageInstructionsTabelleText"/>
                <w:rFonts w:ascii="Times New Roman" w:hAnsi="Times New Roman"/>
                <w:noProof/>
                <w:sz w:val="24"/>
              </w:rPr>
              <w:t xml:space="preserve">Prosječni datumi ponovnog vrednovanja, mjereni u godinama, izračunavaju se prema relevantnoj kategoriji kako je navedeno u dijelu III. </w:t>
            </w:r>
            <w:r w:rsidRPr="003E2C48">
              <w:rPr>
                <w:noProof/>
              </w:rPr>
              <w:t>odjeljku 2. ovog Priloga</w:t>
            </w:r>
            <w:r w:rsidRPr="003E2C48">
              <w:rPr>
                <w:rStyle w:val="FormatvorlageInstructionsTabelleText"/>
                <w:rFonts w:ascii="Times New Roman" w:hAnsi="Times New Roman"/>
                <w:noProof/>
                <w:sz w:val="24"/>
              </w:rPr>
              <w:t xml:space="preserve"> za „zajmove i predujmove” s fiksnom stopom i „dužničke vrijednosne papire” s fiksnom stopom koji podliježu riziku prijevremene otplate.</w:t>
            </w:r>
          </w:p>
          <w:p w14:paraId="6058AA3F" w14:textId="67C5AABC" w:rsidR="00B87342" w:rsidRPr="003E2C48" w:rsidRDefault="0011705A" w:rsidP="003C575D">
            <w:pPr>
              <w:pStyle w:val="InstructionsText"/>
              <w:rPr>
                <w:rStyle w:val="InstructionsTabelleberschrift"/>
                <w:rFonts w:ascii="Times New Roman" w:hAnsi="Times New Roman"/>
                <w:b w:val="0"/>
                <w:bCs w:val="0"/>
                <w:noProof/>
                <w:sz w:val="24"/>
                <w:u w:val="none"/>
              </w:rPr>
            </w:pPr>
            <w:r w:rsidRPr="003E2C48">
              <w:rPr>
                <w:rStyle w:val="FormatvorlageInstructionsTabelleText"/>
                <w:rFonts w:ascii="Times New Roman" w:hAnsi="Times New Roman"/>
                <w:noProof/>
                <w:sz w:val="24"/>
              </w:rPr>
              <w:t xml:space="preserve">Institucije pozicijama koje podliježu riziku prijevremene otplate smatraju samo one pozicije za koje klijent ne snosi ukupan ekonomski trošak prijevremene otplate. Za pozicije za koje klijent snosi ukupan ekonomski trošak prijevremene otplate ne smatra se da podliježu riziku prijevremene otplate za potrebe izračuna. Prosječni datumi ponovnog vrednovanja izračunavaju se kao ponderirani prosjek „datuma ponovnog vrednovanja” i dodijeljenog pondera koji se temelji na „zamišljenim novčanim tokovima koji se ponovno vrednuju” pozicija u svakoj relevantnoj kategoriji/raščlambi „kredita i predujmova” s fiksnom kamatnom stopom i „dužničkih vrijednosnih papira” s fiksnom kamatnom stopom (definicija „zamišljenih novčanih tokova koji se ponovno vrednuju” i „datum ponovnog vrednovanja” kako je utvrđeno u članku 1. točkama 1. i 2. </w:t>
            </w:r>
            <w:r w:rsidRPr="003E2C48">
              <w:rPr>
                <w:noProof/>
              </w:rPr>
              <w:t>Delegirane uredbe (EU) …/… (Ured za publikacije: unijeti upućivanje na regulatorni tehnički standard o SA-u)</w:t>
            </w:r>
            <w:r w:rsidRPr="003E2C48">
              <w:rPr>
                <w:rStyle w:val="FormatvorlageInstructionsTabelleText"/>
                <w:rFonts w:ascii="Times New Roman" w:hAnsi="Times New Roman"/>
                <w:noProof/>
                <w:sz w:val="24"/>
              </w:rPr>
              <w:t>).</w:t>
            </w:r>
          </w:p>
        </w:tc>
      </w:tr>
      <w:tr w:rsidR="00B87342" w:rsidRPr="003E2C48" w14:paraId="105F7BA0" w14:textId="77777777" w:rsidTr="63452C95">
        <w:tc>
          <w:tcPr>
            <w:tcW w:w="1129" w:type="dxa"/>
          </w:tcPr>
          <w:p w14:paraId="33EC9B44" w14:textId="29F9C451" w:rsidR="00B87342" w:rsidRPr="003E2C48" w:rsidRDefault="00B87342"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0230 do 0290</w:t>
            </w:r>
          </w:p>
        </w:tc>
        <w:tc>
          <w:tcPr>
            <w:tcW w:w="7620" w:type="dxa"/>
          </w:tcPr>
          <w:p w14:paraId="170D5BB8" w14:textId="74C86AF3" w:rsidR="00B87342" w:rsidRPr="003E2C48" w:rsidRDefault="00B87342" w:rsidP="003C575D">
            <w:pPr>
              <w:pStyle w:val="InstructionsText"/>
              <w:rPr>
                <w:rStyle w:val="FormatvorlageInstructionsTabelleText"/>
                <w:rFonts w:ascii="Times New Roman" w:hAnsi="Times New Roman"/>
                <w:b/>
                <w:noProof/>
                <w:sz w:val="24"/>
                <w:u w:val="single"/>
              </w:rPr>
            </w:pPr>
            <w:r w:rsidRPr="003E2C48">
              <w:rPr>
                <w:rStyle w:val="FormatvorlageInstructionsTabelleText"/>
                <w:rFonts w:ascii="Times New Roman" w:hAnsi="Times New Roman"/>
                <w:b/>
                <w:noProof/>
                <w:sz w:val="24"/>
                <w:u w:val="single"/>
              </w:rPr>
              <w:t>Fiksna stopa – Rizik prijevremene otplate – Uvjetne stope prijevremene otplate (godišnji prosjek)</w:t>
            </w:r>
          </w:p>
          <w:p w14:paraId="689AA958" w14:textId="083E3BBE" w:rsidR="00B87342" w:rsidRPr="003E2C48" w:rsidRDefault="006A74E7" w:rsidP="003C575D">
            <w:pPr>
              <w:pStyle w:val="InstructionsText"/>
              <w:rPr>
                <w:rStyle w:val="FormatvorlageInstructionsTabelleText"/>
                <w:rFonts w:ascii="Times New Roman" w:hAnsi="Times New Roman"/>
                <w:bCs w:val="0"/>
                <w:noProof/>
                <w:sz w:val="24"/>
              </w:rPr>
            </w:pPr>
            <w:r w:rsidRPr="003E2C48">
              <w:rPr>
                <w:rStyle w:val="FormatvorlageInstructionsTabelleText"/>
                <w:rFonts w:ascii="Times New Roman" w:hAnsi="Times New Roman"/>
                <w:noProof/>
                <w:sz w:val="24"/>
              </w:rPr>
              <w:t>Prosječna stopa uvjetne prijevremene otplate iskazana na godišnjoj razini iskazuje se u godišnjim iznosima, prema relevantnoj kategoriji kako je navedeno u dijelu III.</w:t>
            </w:r>
            <w:r w:rsidRPr="003E2C48">
              <w:rPr>
                <w:noProof/>
              </w:rPr>
              <w:t xml:space="preserve"> odjeljku 2. ovog Priloga</w:t>
            </w:r>
            <w:r w:rsidRPr="003E2C48">
              <w:rPr>
                <w:rStyle w:val="FormatvorlageInstructionsTabelleText"/>
                <w:rFonts w:ascii="Times New Roman" w:hAnsi="Times New Roman"/>
                <w:noProof/>
                <w:sz w:val="24"/>
              </w:rPr>
              <w:t>, kao ponderirana godišnja prosječna stopa prijevremene otplate, prema nepodmirenom iznosu u svakom godišnjem razdoblju, do smanjenja portfelja, „zajmova i predujmova” s fiksnom stopom i „dužničkih vrijednosnih papira” s fiksnom stopom koji podliježu riziku prijevremene otplate.</w:t>
            </w:r>
          </w:p>
        </w:tc>
      </w:tr>
      <w:tr w:rsidR="00B87342" w:rsidRPr="003E2C48" w14:paraId="57163FCB" w14:textId="77777777" w:rsidTr="63452C95">
        <w:tc>
          <w:tcPr>
            <w:tcW w:w="1129" w:type="dxa"/>
          </w:tcPr>
          <w:p w14:paraId="3A1656C2" w14:textId="3B773E31" w:rsidR="00B87342" w:rsidRPr="003E2C48" w:rsidRDefault="00B87342"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0300 do 0330</w:t>
            </w:r>
          </w:p>
        </w:tc>
        <w:tc>
          <w:tcPr>
            <w:tcW w:w="7620" w:type="dxa"/>
          </w:tcPr>
          <w:p w14:paraId="060B1BB5" w14:textId="56BF7C42" w:rsidR="00B87342" w:rsidRPr="003E2C48" w:rsidRDefault="00B87342"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Fiksna kamatna stopa – Rizik prijevremenog povlačenja – Prosječni datumi ponovnog vrednovanja prije i nakon modeliranja</w:t>
            </w:r>
          </w:p>
          <w:p w14:paraId="1E1D4FB4" w14:textId="52E85BA2" w:rsidR="002901F9" w:rsidRPr="003E2C48" w:rsidRDefault="002901F9" w:rsidP="003C575D">
            <w:pPr>
              <w:pStyle w:val="InstructionsText"/>
              <w:rPr>
                <w:rStyle w:val="FormatvorlageInstructionsTabelleText"/>
                <w:rFonts w:ascii="Times New Roman" w:hAnsi="Times New Roman"/>
                <w:bCs w:val="0"/>
                <w:noProof/>
                <w:sz w:val="24"/>
              </w:rPr>
            </w:pPr>
            <w:r w:rsidRPr="003E2C48">
              <w:rPr>
                <w:rStyle w:val="FormatvorlageInstructionsTabelleText"/>
                <w:rFonts w:ascii="Times New Roman" w:hAnsi="Times New Roman"/>
                <w:noProof/>
                <w:sz w:val="24"/>
              </w:rPr>
              <w:t xml:space="preserve">Prosječni datumi ponovnog vrednovanja, mjereni u godinama, izračunavaju se prema relevantnoj kategoriji kako je navedeno u dijelu III. </w:t>
            </w:r>
            <w:r w:rsidRPr="003E2C48">
              <w:rPr>
                <w:noProof/>
              </w:rPr>
              <w:t>odjeljku 2. ovog Priloga</w:t>
            </w:r>
            <w:r w:rsidRPr="003E2C48">
              <w:rPr>
                <w:rStyle w:val="FormatvorlageInstructionsTabelleText"/>
                <w:rFonts w:ascii="Times New Roman" w:hAnsi="Times New Roman"/>
                <w:noProof/>
                <w:sz w:val="24"/>
              </w:rPr>
              <w:t xml:space="preserve"> za „oročene depozite” s fiksnom stopom koji podliježu riziku prijevremenog povlačenja.</w:t>
            </w:r>
          </w:p>
          <w:p w14:paraId="6587669C" w14:textId="6CE97E7A" w:rsidR="002901F9" w:rsidRPr="003E2C48" w:rsidRDefault="002901F9" w:rsidP="003C575D">
            <w:pPr>
              <w:pStyle w:val="InstructionsText"/>
              <w:rPr>
                <w:rStyle w:val="FormatvorlageInstructionsTabelleText"/>
                <w:rFonts w:ascii="Times New Roman" w:hAnsi="Times New Roman"/>
                <w:bCs w:val="0"/>
                <w:noProof/>
                <w:sz w:val="24"/>
              </w:rPr>
            </w:pPr>
            <w:r w:rsidRPr="003E2C48">
              <w:rPr>
                <w:rStyle w:val="FormatvorlageInstructionsTabelleText"/>
                <w:rFonts w:ascii="Times New Roman" w:hAnsi="Times New Roman"/>
                <w:noProof/>
                <w:sz w:val="24"/>
              </w:rPr>
              <w:t xml:space="preserve">Prosječni datumi ponovnog vrednovanja izračunavaju se kao ponderirani prosjek „datuma ponovnog vrednovanja” i dodijeljenog pondera koji se temelji na „zamišljenim novčanim tokovima koji se ponovno vrednuju” agregiranih pozicija u svakoj relevantnoj kategoriji/raščlambi (definicija „zamišljenih novčanih tokova koji se ponovno vrednuju” i „datuma ponovnog vrednovanja” kako je utvrđeno u članku 1. točkama 1. i 2. </w:t>
            </w:r>
            <w:r w:rsidRPr="003E2C48">
              <w:rPr>
                <w:noProof/>
              </w:rPr>
              <w:t>Delegirane uredbe (EU) …/… (Ured za publikacije: unijeti upućivanje na regulatorni tehnički standard o SA-u)</w:t>
            </w:r>
            <w:r w:rsidRPr="003E2C48">
              <w:rPr>
                <w:rStyle w:val="FormatvorlageInstructionsTabelleText"/>
                <w:rFonts w:ascii="Times New Roman" w:hAnsi="Times New Roman"/>
                <w:noProof/>
                <w:sz w:val="24"/>
              </w:rPr>
              <w:t>).</w:t>
            </w:r>
          </w:p>
          <w:p w14:paraId="7AA2EACA" w14:textId="10F458EC" w:rsidR="00B87342" w:rsidRPr="003E2C48" w:rsidRDefault="002901F9" w:rsidP="003C575D">
            <w:pPr>
              <w:pStyle w:val="InstructionsText"/>
              <w:rPr>
                <w:rStyle w:val="InstructionsTabelleberschrift"/>
                <w:rFonts w:ascii="Times New Roman" w:hAnsi="Times New Roman"/>
                <w:b w:val="0"/>
                <w:bCs w:val="0"/>
                <w:noProof/>
                <w:sz w:val="24"/>
                <w:u w:val="none"/>
              </w:rPr>
            </w:pPr>
            <w:r w:rsidRPr="003E2C48">
              <w:rPr>
                <w:rStyle w:val="FormatvorlageInstructionsTabelleText"/>
                <w:rFonts w:ascii="Times New Roman" w:hAnsi="Times New Roman"/>
                <w:noProof/>
                <w:sz w:val="24"/>
              </w:rPr>
              <w:t>Institucije smatraju pozicijama koje podliježu riziku prijevremenog povlačenja samo one pozicije za koje klijent ne snosi ukupan ekonomski trošak prijevremenog povlačenja. Za pozicije za koje klijent snosi ukupan ekonomski trošak prijevremenog povlačenja ne smatra se da podliježu riziku prijevremenog povlačenja za potrebe izračuna.</w:t>
            </w:r>
          </w:p>
        </w:tc>
      </w:tr>
      <w:tr w:rsidR="00B87342" w:rsidRPr="003E2C48" w14:paraId="481018BD" w14:textId="77777777" w:rsidTr="63452C95">
        <w:tc>
          <w:tcPr>
            <w:tcW w:w="1129" w:type="dxa"/>
          </w:tcPr>
          <w:p w14:paraId="0B9A24B1" w14:textId="6B6EE886" w:rsidR="00B87342" w:rsidRPr="003E2C48" w:rsidRDefault="00B87342"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od 0340 do 0370</w:t>
            </w:r>
          </w:p>
        </w:tc>
        <w:tc>
          <w:tcPr>
            <w:tcW w:w="7620" w:type="dxa"/>
          </w:tcPr>
          <w:p w14:paraId="337E5AE4" w14:textId="084B5BDD" w:rsidR="00B87342" w:rsidRPr="003E2C48" w:rsidRDefault="00B87342"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Fiksna stopa – Rizik od prijevremenog povlačenja – Stope prijevremenog povlačenja (kumulativni prosjek)</w:t>
            </w:r>
          </w:p>
          <w:p w14:paraId="34980BF9" w14:textId="2C0D7DC4" w:rsidR="00B87342" w:rsidRPr="003E2C48" w:rsidRDefault="00950563" w:rsidP="003C575D">
            <w:pPr>
              <w:pStyle w:val="InstructionsText"/>
              <w:rPr>
                <w:rStyle w:val="InstructionsTabelleberschrift"/>
                <w:rFonts w:ascii="Times New Roman" w:hAnsi="Times New Roman"/>
                <w:b w:val="0"/>
                <w:bCs w:val="0"/>
                <w:noProof/>
                <w:sz w:val="24"/>
                <w:u w:val="none"/>
              </w:rPr>
            </w:pPr>
            <w:r w:rsidRPr="003E2C48">
              <w:rPr>
                <w:rStyle w:val="FormatvorlageInstructionsTabelleText"/>
                <w:rFonts w:ascii="Times New Roman" w:hAnsi="Times New Roman"/>
                <w:noProof/>
                <w:sz w:val="24"/>
              </w:rPr>
              <w:t>Kumulativna prosječna stopa uvjetnog prijevremenog povlačenja iskazuje se prema relevantnoj kategoriji, kako je navedeno u dijelu III.</w:t>
            </w:r>
            <w:r w:rsidRPr="003E2C48">
              <w:rPr>
                <w:noProof/>
              </w:rPr>
              <w:t xml:space="preserve"> odjeljku 2. ovog Priloga</w:t>
            </w:r>
            <w:r w:rsidRPr="003E2C48">
              <w:rPr>
                <w:rStyle w:val="FormatvorlageInstructionsTabelleText"/>
                <w:rFonts w:ascii="Times New Roman" w:hAnsi="Times New Roman"/>
                <w:noProof/>
                <w:sz w:val="24"/>
              </w:rPr>
              <w:t>, kao omjer između prijevremeno povučenog iznosa pozicija „oročenog depozita” s fiksnom stopom podložnih riziku prijevremenog povlačenja (prema relevantnoj kategoriji), podijeljeno ukupnim nepodmirenim iznosom „oročenih depozita” s fiksnom stopom koji podliježu riziku prijevremenog povlačenja (prema relevantnoj kategoriji).</w:t>
            </w:r>
          </w:p>
        </w:tc>
      </w:tr>
    </w:tbl>
    <w:p w14:paraId="477588BE" w14:textId="77777777" w:rsidR="0074085C" w:rsidRPr="003E2C48" w:rsidRDefault="0074085C" w:rsidP="00430DF0">
      <w:pPr>
        <w:suppressAutoHyphens/>
        <w:spacing w:after="0"/>
        <w:rPr>
          <w:rStyle w:val="InstructionsTabelleText"/>
          <w:rFonts w:ascii="Times New Roman" w:hAnsi="Times New Roman"/>
          <w:noProof/>
          <w:sz w:val="24"/>
        </w:rPr>
      </w:pPr>
    </w:p>
    <w:p w14:paraId="3D10AEE0" w14:textId="77777777" w:rsidR="0074085C" w:rsidRPr="003E2C48"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3E2C48" w14:paraId="0DA0B8E7" w14:textId="77777777" w:rsidTr="63452C95">
        <w:tc>
          <w:tcPr>
            <w:tcW w:w="1129" w:type="dxa"/>
            <w:shd w:val="clear" w:color="auto" w:fill="D9D9D9" w:themeFill="background1" w:themeFillShade="D9"/>
          </w:tcPr>
          <w:p w14:paraId="12788917" w14:textId="77777777" w:rsidR="005B10B8" w:rsidRPr="003E2C48" w:rsidRDefault="005B10B8" w:rsidP="003C575D">
            <w:pPr>
              <w:pStyle w:val="InstructionsText"/>
              <w:rPr>
                <w:rStyle w:val="InstructionsTabelleText"/>
                <w:rFonts w:ascii="Times New Roman" w:hAnsi="Times New Roman"/>
                <w:bCs/>
                <w:noProof/>
                <w:sz w:val="24"/>
              </w:rPr>
            </w:pPr>
            <w:r w:rsidRPr="003E2C48">
              <w:rPr>
                <w:rStyle w:val="InstructionsTabelleText"/>
                <w:rFonts w:ascii="Times New Roman" w:hAnsi="Times New Roman"/>
                <w:noProof/>
                <w:sz w:val="24"/>
              </w:rPr>
              <w:t>Stupci</w:t>
            </w:r>
          </w:p>
        </w:tc>
        <w:tc>
          <w:tcPr>
            <w:tcW w:w="7620" w:type="dxa"/>
            <w:shd w:val="clear" w:color="auto" w:fill="D9D9D9" w:themeFill="background1" w:themeFillShade="D9"/>
          </w:tcPr>
          <w:p w14:paraId="353000F0" w14:textId="77777777" w:rsidR="005B10B8" w:rsidRPr="003E2C48" w:rsidRDefault="005B10B8" w:rsidP="003C575D">
            <w:pPr>
              <w:pStyle w:val="InstructionsText"/>
              <w:rPr>
                <w:rStyle w:val="InstructionsTabelleText"/>
                <w:rFonts w:ascii="Times New Roman" w:hAnsi="Times New Roman"/>
                <w:bCs/>
                <w:noProof/>
                <w:sz w:val="24"/>
              </w:rPr>
            </w:pPr>
            <w:r w:rsidRPr="003E2C48">
              <w:rPr>
                <w:rStyle w:val="InstructionsTabelleText"/>
                <w:rFonts w:ascii="Times New Roman" w:hAnsi="Times New Roman"/>
                <w:noProof/>
                <w:sz w:val="24"/>
              </w:rPr>
              <w:t>Pravna osnova i upute</w:t>
            </w:r>
          </w:p>
        </w:tc>
      </w:tr>
      <w:tr w:rsidR="00F47983" w:rsidRPr="003E2C48" w:rsidDel="00F47983" w14:paraId="4C4CB1B5" w14:textId="77777777" w:rsidTr="63452C95">
        <w:tc>
          <w:tcPr>
            <w:tcW w:w="1129" w:type="dxa"/>
          </w:tcPr>
          <w:p w14:paraId="62C284D6" w14:textId="7940C70E" w:rsidR="00F47983" w:rsidRPr="003E2C48" w:rsidDel="00F47983" w:rsidRDefault="00F47983"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0010</w:t>
            </w:r>
          </w:p>
        </w:tc>
        <w:tc>
          <w:tcPr>
            <w:tcW w:w="7620" w:type="dxa"/>
          </w:tcPr>
          <w:p w14:paraId="2118B900" w14:textId="77777777" w:rsidR="00F47983" w:rsidRPr="003E2C48" w:rsidRDefault="00F47983"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Zamišljeni iznos</w:t>
            </w:r>
          </w:p>
          <w:p w14:paraId="5B6EFF80" w14:textId="5E9934E5" w:rsidR="00F47983" w:rsidRPr="003E2C48" w:rsidDel="00F47983" w:rsidRDefault="004F47D0" w:rsidP="003C575D">
            <w:pPr>
              <w:pStyle w:val="InstructionsText"/>
              <w:rPr>
                <w:rStyle w:val="InstructionsTabelleberschrift"/>
                <w:rFonts w:ascii="Times New Roman" w:hAnsi="Times New Roman"/>
                <w:noProof/>
                <w:sz w:val="24"/>
              </w:rPr>
            </w:pPr>
            <w:r w:rsidRPr="003E2C48">
              <w:rPr>
                <w:noProof/>
              </w:rPr>
              <w:t>Institucije slijede iste upute kako je opisano u {J 05.00; c0010}.</w:t>
            </w:r>
          </w:p>
        </w:tc>
      </w:tr>
      <w:tr w:rsidR="005B10B8" w:rsidRPr="003E2C48" w14:paraId="102216EE" w14:textId="77777777" w:rsidTr="63452C95">
        <w:tc>
          <w:tcPr>
            <w:tcW w:w="1129" w:type="dxa"/>
          </w:tcPr>
          <w:p w14:paraId="5DE0749C" w14:textId="01F50747" w:rsidR="005B10B8" w:rsidRPr="003E2C48" w:rsidRDefault="005B10B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0020</w:t>
            </w:r>
          </w:p>
        </w:tc>
        <w:tc>
          <w:tcPr>
            <w:tcW w:w="7620" w:type="dxa"/>
          </w:tcPr>
          <w:p w14:paraId="46BCBBB4" w14:textId="77777777" w:rsidR="00E62089" w:rsidRPr="003E2C48" w:rsidRDefault="005B10B8"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noProof/>
                <w:sz w:val="24"/>
              </w:rPr>
              <w:t>Podložno bihevioralnom modeliranju (%)</w:t>
            </w:r>
            <w:r w:rsidRPr="003E2C48">
              <w:rPr>
                <w:rStyle w:val="InstructionsTabelleberschrift"/>
                <w:rFonts w:ascii="Times New Roman" w:hAnsi="Times New Roman"/>
                <w:b w:val="0"/>
                <w:noProof/>
                <w:sz w:val="24"/>
                <w:u w:val="none"/>
              </w:rPr>
              <w:t xml:space="preserve"> </w:t>
            </w:r>
          </w:p>
          <w:p w14:paraId="516AFABD" w14:textId="368F2955" w:rsidR="005B10B8" w:rsidRPr="003E2C48" w:rsidRDefault="0083437E" w:rsidP="003C575D">
            <w:pPr>
              <w:pStyle w:val="InstructionsText"/>
              <w:rPr>
                <w:rStyle w:val="InstructionsTabelleberschrift"/>
                <w:rFonts w:ascii="Times New Roman" w:hAnsi="Times New Roman"/>
                <w:b w:val="0"/>
                <w:noProof/>
                <w:sz w:val="24"/>
                <w:u w:val="none"/>
              </w:rPr>
            </w:pPr>
            <w:r w:rsidRPr="003E2C48">
              <w:rPr>
                <w:noProof/>
              </w:rPr>
              <w:t>Institucije slijede iste upute kako je opisano u {J 05.00; c0040}.</w:t>
            </w:r>
          </w:p>
        </w:tc>
      </w:tr>
      <w:tr w:rsidR="005B10B8" w:rsidRPr="003E2C48" w14:paraId="42F754E3" w14:textId="77777777" w:rsidTr="63452C95">
        <w:tc>
          <w:tcPr>
            <w:tcW w:w="1129" w:type="dxa"/>
          </w:tcPr>
          <w:p w14:paraId="70F3C500" w14:textId="1658EE49" w:rsidR="005B10B8" w:rsidRPr="003E2C48" w:rsidRDefault="005B10B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0030</w:t>
            </w:r>
          </w:p>
        </w:tc>
        <w:tc>
          <w:tcPr>
            <w:tcW w:w="7620" w:type="dxa"/>
          </w:tcPr>
          <w:p w14:paraId="52D99519" w14:textId="6F2418B4" w:rsidR="005B10B8" w:rsidRPr="003E2C48" w:rsidRDefault="005B10B8"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Osnovni scenarij (ugovorni)</w:t>
            </w:r>
          </w:p>
          <w:p w14:paraId="3844FF21" w14:textId="29835F5D" w:rsidR="003D25AF" w:rsidRPr="003E2C48" w:rsidRDefault="003D25AF"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Institucije dostavljaju relevantne parametre (tj. prosječne datume ponovnog vrednovanja) u skladu s ugovornim uvjetima odnosnih instrumenata</w:t>
            </w:r>
            <w:r w:rsidRPr="003E2C48">
              <w:rPr>
                <w:rStyle w:val="InstructionsTabelleberschrift"/>
                <w:rFonts w:ascii="Times New Roman" w:hAnsi="Times New Roman"/>
                <w:b w:val="0"/>
                <w:noProof/>
                <w:sz w:val="24"/>
                <w:u w:val="none"/>
              </w:rPr>
              <w:t xml:space="preserve"> za izloženosti koje podliježu ugovornim uvjetima i značajkama prema osnovnom scenariju kamatne stope</w:t>
            </w:r>
            <w:r w:rsidRPr="003E2C48">
              <w:rPr>
                <w:rStyle w:val="FormatvorlageInstructionsTabelleText"/>
                <w:rFonts w:ascii="Times New Roman" w:hAnsi="Times New Roman"/>
                <w:noProof/>
                <w:sz w:val="24"/>
              </w:rPr>
              <w:t xml:space="preserve">. </w:t>
            </w:r>
          </w:p>
          <w:p w14:paraId="49FC7605" w14:textId="5C296D41" w:rsidR="003D25AF" w:rsidRPr="003E2C48" w:rsidRDefault="003D25AF" w:rsidP="003C575D">
            <w:pPr>
              <w:pStyle w:val="InstructionsText"/>
              <w:rPr>
                <w:rStyle w:val="FormatvorlageInstructionsTabelleText"/>
                <w:rFonts w:ascii="Times New Roman" w:hAnsi="Times New Roman"/>
                <w:bCs w:val="0"/>
                <w:noProof/>
                <w:sz w:val="24"/>
              </w:rPr>
            </w:pPr>
            <w:r w:rsidRPr="003E2C48">
              <w:rPr>
                <w:rStyle w:val="InstructionsTabelleberschrift"/>
                <w:rFonts w:ascii="Times New Roman" w:hAnsi="Times New Roman"/>
                <w:b w:val="0"/>
                <w:noProof/>
                <w:sz w:val="24"/>
                <w:u w:val="none"/>
              </w:rPr>
              <w:t xml:space="preserve">Institucije iskazuju podatke na temelju specifikacija iz članka 98. stavka 5. točke (a) Direktive </w:t>
            </w:r>
            <w:r w:rsidRPr="003E2C48">
              <w:rPr>
                <w:noProof/>
              </w:rPr>
              <w:t xml:space="preserve">2013/36/EU </w:t>
            </w:r>
            <w:r w:rsidRPr="003E2C48">
              <w:rPr>
                <w:rStyle w:val="InstructionsTabelleberschrift"/>
                <w:rFonts w:ascii="Times New Roman" w:hAnsi="Times New Roman"/>
                <w:b w:val="0"/>
                <w:noProof/>
                <w:sz w:val="24"/>
                <w:u w:val="none"/>
              </w:rPr>
              <w:t xml:space="preserve">i utvrđene u članku 3. Delegirane uredbe (EU) …/… (Ured za publikacije: unijeti upućivanje na regulatorni tehnički standard o </w:t>
            </w:r>
            <w:r w:rsidRPr="003E2C48">
              <w:rPr>
                <w:rStyle w:val="FormatvorlageInstructionsTabelleText"/>
                <w:rFonts w:ascii="Times New Roman" w:hAnsi="Times New Roman"/>
                <w:noProof/>
                <w:sz w:val="24"/>
              </w:rPr>
              <w:t>SOT-u).</w:t>
            </w:r>
          </w:p>
          <w:p w14:paraId="0039C2EB" w14:textId="764ED080" w:rsidR="00A36E5F" w:rsidRPr="003E2C48" w:rsidRDefault="003D25AF" w:rsidP="003C575D">
            <w:pPr>
              <w:pStyle w:val="InstructionsText"/>
              <w:rPr>
                <w:rStyle w:val="InstructionsTabelleberschrift"/>
                <w:rFonts w:ascii="Times New Roman" w:hAnsi="Times New Roman"/>
                <w:b w:val="0"/>
                <w:noProof/>
                <w:sz w:val="24"/>
                <w:u w:val="none"/>
              </w:rPr>
            </w:pPr>
            <w:r w:rsidRPr="003E2C48">
              <w:rPr>
                <w:rStyle w:val="FormatvorlageInstructionsTabelleText"/>
                <w:rFonts w:ascii="Times New Roman" w:hAnsi="Times New Roman"/>
                <w:noProof/>
                <w:sz w:val="24"/>
              </w:rPr>
              <w:t xml:space="preserve">Bihevioralni modeli ili uvjetni modeli (kako je navedeno u članku 3. stavku 2. točki (c) Delegirane </w:t>
            </w:r>
            <w:r w:rsidRPr="003E2C48">
              <w:rPr>
                <w:rStyle w:val="InstructionsTabelleberschrift"/>
                <w:rFonts w:ascii="Times New Roman" w:hAnsi="Times New Roman"/>
                <w:b w:val="0"/>
                <w:noProof/>
                <w:sz w:val="24"/>
                <w:u w:val="none"/>
              </w:rPr>
              <w:t xml:space="preserve">uredbe (EU) …/… (Ured za publikacije: unijeti upućivanje na regulatorni tehnički standard o </w:t>
            </w:r>
            <w:r w:rsidRPr="003E2C48">
              <w:rPr>
                <w:rStyle w:val="FormatvorlageInstructionsTabelleText"/>
                <w:rFonts w:ascii="Times New Roman" w:hAnsi="Times New Roman"/>
                <w:noProof/>
                <w:sz w:val="24"/>
              </w:rPr>
              <w:t>SOT-u) ne razmatraju se u svrhu izvođenja parametara.</w:t>
            </w:r>
          </w:p>
        </w:tc>
      </w:tr>
      <w:tr w:rsidR="00B2164F" w:rsidRPr="003E2C48" w14:paraId="667D2C44" w14:textId="77777777" w:rsidTr="63452C95">
        <w:tc>
          <w:tcPr>
            <w:tcW w:w="1129" w:type="dxa"/>
          </w:tcPr>
          <w:p w14:paraId="2580660E" w14:textId="5AD3781B" w:rsidR="00B2164F" w:rsidRPr="003E2C48" w:rsidRDefault="00B2164F"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0040</w:t>
            </w:r>
          </w:p>
        </w:tc>
        <w:tc>
          <w:tcPr>
            <w:tcW w:w="7620" w:type="dxa"/>
          </w:tcPr>
          <w:p w14:paraId="000FABC9" w14:textId="2AF06EDD" w:rsidR="00B2164F" w:rsidRPr="003E2C48" w:rsidRDefault="00B2164F"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Osnovni scenarij (bihevioralni)</w:t>
            </w:r>
          </w:p>
          <w:p w14:paraId="0577FD0F" w14:textId="5353BCF4" w:rsidR="00B2164F" w:rsidRPr="003E2C48" w:rsidRDefault="00B2164F" w:rsidP="003C575D">
            <w:pPr>
              <w:pStyle w:val="InstructionsText"/>
              <w:rPr>
                <w:rStyle w:val="FormatvorlageInstructionsTabelleText"/>
                <w:rFonts w:ascii="Times New Roman" w:hAnsi="Times New Roman"/>
                <w:bCs w:val="0"/>
                <w:noProof/>
                <w:sz w:val="24"/>
              </w:rPr>
            </w:pPr>
            <w:r w:rsidRPr="003E2C48">
              <w:rPr>
                <w:rStyle w:val="FormatvorlageInstructionsTabelleText"/>
                <w:rFonts w:ascii="Times New Roman" w:hAnsi="Times New Roman"/>
                <w:noProof/>
                <w:sz w:val="24"/>
              </w:rPr>
              <w:t xml:space="preserve">Institucije dostavljaju relevantne parametre (tj. prosječne datume ponovnog vrednovanja) koji se koriste </w:t>
            </w:r>
            <w:r w:rsidRPr="003E2C48">
              <w:rPr>
                <w:rStyle w:val="InstructionsTabelleberschrift"/>
                <w:rFonts w:ascii="Times New Roman" w:hAnsi="Times New Roman"/>
                <w:b w:val="0"/>
                <w:noProof/>
                <w:sz w:val="24"/>
                <w:u w:val="none"/>
              </w:rPr>
              <w:t>za izloženosti na koje se primjenjuje bihevioralno modeliranje, za koje vrijeme i iznos novčanih tokova ovise o ponašanju klijenata prema osnovnom scenariju kamatnih stopa</w:t>
            </w:r>
            <w:r w:rsidRPr="003E2C48">
              <w:rPr>
                <w:rStyle w:val="FormatvorlageInstructionsTabelleText"/>
                <w:rFonts w:ascii="Times New Roman" w:hAnsi="Times New Roman"/>
                <w:noProof/>
                <w:sz w:val="24"/>
              </w:rPr>
              <w:t xml:space="preserve">. </w:t>
            </w:r>
          </w:p>
          <w:p w14:paraId="7A4FE7D1" w14:textId="6D70AB16" w:rsidR="00B2164F" w:rsidRPr="003E2C48" w:rsidRDefault="00B2164F"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xml:space="preserve">Institucije iskazuju podatke na temelju specifikacija iz članka 98. stavka 5. točke (a) Direktive </w:t>
            </w:r>
            <w:r w:rsidRPr="003E2C48">
              <w:rPr>
                <w:noProof/>
              </w:rPr>
              <w:t xml:space="preserve">2013/36/EU </w:t>
            </w:r>
            <w:r w:rsidRPr="003E2C48">
              <w:rPr>
                <w:rStyle w:val="InstructionsTabelleberschrift"/>
                <w:rFonts w:ascii="Times New Roman" w:hAnsi="Times New Roman"/>
                <w:b w:val="0"/>
                <w:noProof/>
                <w:sz w:val="24"/>
                <w:u w:val="none"/>
              </w:rPr>
              <w:t xml:space="preserve">i utvrđene u članku 3. Delegirane uredbe (EU) …/… (Ured za publikacije: unijeti upućivanje na regulatorni tehnički standard o </w:t>
            </w:r>
            <w:r w:rsidRPr="003E2C48">
              <w:rPr>
                <w:rStyle w:val="FormatvorlageInstructionsTabelleText"/>
                <w:rFonts w:ascii="Times New Roman" w:hAnsi="Times New Roman"/>
                <w:noProof/>
                <w:sz w:val="24"/>
              </w:rPr>
              <w:t>SOT-u).</w:t>
            </w:r>
          </w:p>
        </w:tc>
      </w:tr>
      <w:tr w:rsidR="00B2164F" w:rsidRPr="003E2C48" w14:paraId="6D8D7D20" w14:textId="77777777" w:rsidTr="63452C95">
        <w:tc>
          <w:tcPr>
            <w:tcW w:w="1129" w:type="dxa"/>
          </w:tcPr>
          <w:p w14:paraId="6B1829E8" w14:textId="30EECC5E" w:rsidR="00B2164F" w:rsidRPr="003E2C48" w:rsidRDefault="00B2164F"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0050</w:t>
            </w:r>
          </w:p>
        </w:tc>
        <w:tc>
          <w:tcPr>
            <w:tcW w:w="7620" w:type="dxa"/>
          </w:tcPr>
          <w:p w14:paraId="6DB8ED08" w14:textId="7099B5A1" w:rsidR="00B2164F" w:rsidRPr="003E2C48" w:rsidRDefault="00B2164F"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xml:space="preserve">Paralelni šok rasta </w:t>
            </w:r>
          </w:p>
          <w:p w14:paraId="300C93C3" w14:textId="0E724783" w:rsidR="00B2164F" w:rsidRPr="003E2C48" w:rsidRDefault="00E32A97" w:rsidP="003C575D">
            <w:pPr>
              <w:pStyle w:val="InstructionsText"/>
              <w:rPr>
                <w:rStyle w:val="InstructionsTabelleberschrift"/>
                <w:rFonts w:ascii="Times New Roman" w:hAnsi="Times New Roman"/>
                <w:b w:val="0"/>
                <w:bCs w:val="0"/>
                <w:noProof/>
                <w:sz w:val="24"/>
                <w:u w:val="none"/>
              </w:rPr>
            </w:pPr>
            <w:r w:rsidRPr="003E2C48">
              <w:rPr>
                <w:noProof/>
              </w:rPr>
              <w:t>Institucije slijede iste upute kako je opisano u {J 01.00; redak 0040}.</w:t>
            </w:r>
          </w:p>
        </w:tc>
      </w:tr>
      <w:tr w:rsidR="00B2164F" w:rsidRPr="003E2C48" w14:paraId="544E890D" w14:textId="77777777" w:rsidTr="63452C95">
        <w:tc>
          <w:tcPr>
            <w:tcW w:w="1129" w:type="dxa"/>
          </w:tcPr>
          <w:p w14:paraId="53DE47F8" w14:textId="418E41D9" w:rsidR="00B2164F" w:rsidRPr="003E2C48" w:rsidRDefault="00B2164F"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0060</w:t>
            </w:r>
          </w:p>
        </w:tc>
        <w:tc>
          <w:tcPr>
            <w:tcW w:w="7620" w:type="dxa"/>
          </w:tcPr>
          <w:p w14:paraId="79AB7DEB" w14:textId="53D9DB8C" w:rsidR="00B2164F" w:rsidRPr="003E2C48" w:rsidRDefault="00B2164F"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xml:space="preserve">Paralelni šok pada </w:t>
            </w:r>
          </w:p>
          <w:p w14:paraId="117BC558" w14:textId="751EDFD3" w:rsidR="00B2164F" w:rsidRPr="003E2C48" w:rsidRDefault="00E32A97"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0050}.</w:t>
            </w:r>
          </w:p>
        </w:tc>
      </w:tr>
      <w:tr w:rsidR="00B2164F" w:rsidRPr="003E2C48" w14:paraId="787D1540" w14:textId="77777777" w:rsidTr="63452C95">
        <w:tc>
          <w:tcPr>
            <w:tcW w:w="1129" w:type="dxa"/>
          </w:tcPr>
          <w:p w14:paraId="79200A12" w14:textId="78456E09" w:rsidR="00B2164F" w:rsidRPr="003E2C48" w:rsidRDefault="00B2164F"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0070</w:t>
            </w:r>
          </w:p>
        </w:tc>
        <w:tc>
          <w:tcPr>
            <w:tcW w:w="7620" w:type="dxa"/>
          </w:tcPr>
          <w:p w14:paraId="660534BE" w14:textId="67C85FA6" w:rsidR="00B2164F" w:rsidRPr="003E2C48" w:rsidRDefault="00B2164F"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xml:space="preserve">Šok nakošenja </w:t>
            </w:r>
          </w:p>
          <w:p w14:paraId="5D2F3E7C" w14:textId="43E6083D" w:rsidR="00B2164F" w:rsidRPr="003E2C48" w:rsidRDefault="00E32A97"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0060}.</w:t>
            </w:r>
          </w:p>
        </w:tc>
      </w:tr>
      <w:tr w:rsidR="00B2164F" w:rsidRPr="003E2C48" w14:paraId="26632335" w14:textId="77777777" w:rsidTr="63452C95">
        <w:tc>
          <w:tcPr>
            <w:tcW w:w="1129" w:type="dxa"/>
          </w:tcPr>
          <w:p w14:paraId="0601D2A0" w14:textId="683FDEA6" w:rsidR="00B2164F" w:rsidRPr="003E2C48" w:rsidRDefault="00B2164F"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0080</w:t>
            </w:r>
          </w:p>
        </w:tc>
        <w:tc>
          <w:tcPr>
            <w:tcW w:w="7620" w:type="dxa"/>
          </w:tcPr>
          <w:p w14:paraId="1A9F3B03" w14:textId="0D0A62B0" w:rsidR="00B2164F" w:rsidRPr="003E2C48" w:rsidRDefault="00B2164F"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xml:space="preserve">Šok izravnanja </w:t>
            </w:r>
          </w:p>
          <w:p w14:paraId="0EF9F61B" w14:textId="340D5599" w:rsidR="00B2164F" w:rsidRPr="003E2C48" w:rsidRDefault="00E32A97"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0070}.</w:t>
            </w:r>
          </w:p>
        </w:tc>
      </w:tr>
      <w:tr w:rsidR="00B2164F" w:rsidRPr="003E2C48" w14:paraId="58F3D8B0" w14:textId="77777777" w:rsidTr="63452C95">
        <w:tc>
          <w:tcPr>
            <w:tcW w:w="1129" w:type="dxa"/>
          </w:tcPr>
          <w:p w14:paraId="1C269019" w14:textId="66D93D88" w:rsidR="00B2164F" w:rsidRPr="003E2C48" w:rsidRDefault="00B2164F"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0090</w:t>
            </w:r>
          </w:p>
        </w:tc>
        <w:tc>
          <w:tcPr>
            <w:tcW w:w="7620" w:type="dxa"/>
          </w:tcPr>
          <w:p w14:paraId="0E72BFB7" w14:textId="6278A552" w:rsidR="00B2164F" w:rsidRPr="003E2C48" w:rsidRDefault="00B2164F"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xml:space="preserve">Šok rasta kratkoročnih kamatnih stopa </w:t>
            </w:r>
          </w:p>
          <w:p w14:paraId="7CD02A4D" w14:textId="077159AA" w:rsidR="00B2164F" w:rsidRPr="003E2C48" w:rsidRDefault="002100F4"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0080}.</w:t>
            </w:r>
          </w:p>
        </w:tc>
      </w:tr>
      <w:tr w:rsidR="00B2164F" w:rsidRPr="003E2C48" w14:paraId="3C8E5AC7" w14:textId="77777777" w:rsidTr="63452C95">
        <w:tc>
          <w:tcPr>
            <w:tcW w:w="1129" w:type="dxa"/>
          </w:tcPr>
          <w:p w14:paraId="1DCCB693" w14:textId="701E1D81" w:rsidR="00B2164F" w:rsidRPr="003E2C48" w:rsidRDefault="00B2164F"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0100</w:t>
            </w:r>
          </w:p>
        </w:tc>
        <w:tc>
          <w:tcPr>
            <w:tcW w:w="7620" w:type="dxa"/>
          </w:tcPr>
          <w:p w14:paraId="27C110D6" w14:textId="496B1B26" w:rsidR="00B2164F" w:rsidRPr="003E2C48" w:rsidRDefault="00B2164F"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xml:space="preserve">Šok pada kratkoročnih kamatnih stopa </w:t>
            </w:r>
          </w:p>
          <w:p w14:paraId="04293978" w14:textId="3C4DA249" w:rsidR="00B2164F" w:rsidRPr="003E2C48" w:rsidRDefault="002100F4" w:rsidP="003C575D">
            <w:pPr>
              <w:pStyle w:val="InstructionsText"/>
              <w:rPr>
                <w:rStyle w:val="InstructionsTabelleberschrift"/>
                <w:rFonts w:ascii="Times New Roman" w:hAnsi="Times New Roman"/>
                <w:noProof/>
                <w:sz w:val="24"/>
              </w:rPr>
            </w:pPr>
            <w:r w:rsidRPr="003E2C48">
              <w:rPr>
                <w:noProof/>
              </w:rPr>
              <w:t>Institucije slijede iste upute kako je opisano u {J 01.00; redak 0090}.</w:t>
            </w:r>
          </w:p>
        </w:tc>
      </w:tr>
    </w:tbl>
    <w:p w14:paraId="239AC0DC" w14:textId="3397F6EF" w:rsidR="009E536A" w:rsidRPr="003E2C48" w:rsidRDefault="009E536A" w:rsidP="00430DF0">
      <w:pPr>
        <w:suppressAutoHyphens/>
        <w:spacing w:after="0"/>
        <w:rPr>
          <w:rStyle w:val="InstructionsTabelleText"/>
          <w:rFonts w:ascii="Times New Roman" w:hAnsi="Times New Roman"/>
          <w:noProof/>
          <w:sz w:val="24"/>
        </w:rPr>
      </w:pPr>
    </w:p>
    <w:p w14:paraId="67E90C55" w14:textId="728B0D17" w:rsidR="0074085C" w:rsidRPr="003E2C48" w:rsidRDefault="0074085C" w:rsidP="00430DF0">
      <w:pPr>
        <w:suppressAutoHyphens/>
        <w:spacing w:before="0" w:after="0"/>
        <w:jc w:val="left"/>
        <w:rPr>
          <w:rStyle w:val="InstructionsTabelleText"/>
          <w:rFonts w:ascii="Times New Roman" w:hAnsi="Times New Roman"/>
          <w:noProof/>
          <w:sz w:val="24"/>
        </w:rPr>
      </w:pPr>
      <w:r w:rsidRPr="003E2C48">
        <w:rPr>
          <w:noProof/>
        </w:rPr>
        <w:br w:type="page"/>
      </w:r>
    </w:p>
    <w:p w14:paraId="2A389102" w14:textId="231412D1" w:rsidR="0074085C" w:rsidRPr="003E2C48" w:rsidRDefault="0074085C" w:rsidP="00430DF0">
      <w:pPr>
        <w:pStyle w:val="Heading2"/>
        <w:suppressAutoHyphens/>
        <w:rPr>
          <w:noProof/>
        </w:rPr>
      </w:pPr>
      <w:bookmarkStart w:id="61" w:name="_Toc160197939"/>
      <w:r w:rsidRPr="003E2C48">
        <w:rPr>
          <w:noProof/>
        </w:rPr>
        <w:t>DIO VI.: KVALITATIVNE INFORMACIJE (J 10.00 i J 11.00)</w:t>
      </w:r>
      <w:bookmarkEnd w:id="61"/>
    </w:p>
    <w:p w14:paraId="571FC04F" w14:textId="09F6DCA3" w:rsidR="0074085C" w:rsidRPr="003E2C48" w:rsidRDefault="00D10176" w:rsidP="00430DF0">
      <w:pPr>
        <w:pStyle w:val="Instructionsberschrift2"/>
        <w:numPr>
          <w:ilvl w:val="0"/>
          <w:numId w:val="0"/>
        </w:numPr>
        <w:tabs>
          <w:tab w:val="left" w:pos="567"/>
        </w:tabs>
        <w:suppressAutoHyphens/>
        <w:rPr>
          <w:rFonts w:cs="Times New Roman"/>
          <w:b/>
          <w:bCs/>
          <w:noProof/>
          <w:sz w:val="24"/>
        </w:rPr>
      </w:pPr>
      <w:bookmarkStart w:id="62" w:name="_Toc160197940"/>
      <w:r w:rsidRPr="003E2C48">
        <w:rPr>
          <w:b/>
          <w:noProof/>
          <w:sz w:val="24"/>
        </w:rPr>
        <w:t>1.</w:t>
      </w:r>
      <w:r w:rsidRPr="003E2C48">
        <w:rPr>
          <w:b/>
          <w:noProof/>
          <w:sz w:val="24"/>
        </w:rPr>
        <w:tab/>
        <w:t>Opće napomene</w:t>
      </w:r>
      <w:bookmarkEnd w:id="62"/>
    </w:p>
    <w:p w14:paraId="74AAE8C3" w14:textId="0484956A" w:rsidR="0074085C" w:rsidRPr="003E2C48" w:rsidRDefault="00D10176" w:rsidP="00430DF0">
      <w:pPr>
        <w:tabs>
          <w:tab w:val="left" w:pos="567"/>
        </w:tabs>
        <w:suppressAutoHyphens/>
        <w:rPr>
          <w:rFonts w:ascii="Times New Roman" w:hAnsi="Times New Roman"/>
          <w:noProof/>
          <w:sz w:val="24"/>
        </w:rPr>
      </w:pPr>
      <w:r w:rsidRPr="003E2C48">
        <w:rPr>
          <w:noProof/>
        </w:rPr>
        <w:t>1.1.</w:t>
      </w:r>
      <w:r w:rsidRPr="003E2C48">
        <w:rPr>
          <w:noProof/>
        </w:rPr>
        <w:tab/>
      </w:r>
      <w:r w:rsidRPr="003E2C48">
        <w:rPr>
          <w:rFonts w:ascii="Times New Roman" w:hAnsi="Times New Roman"/>
          <w:noProof/>
          <w:sz w:val="24"/>
        </w:rPr>
        <w:t xml:space="preserve">Obrasci J 10.00 i J 11.00 sadržavaju kvalitativne podatke o metodologijama za procjenu IRRBB-a. </w:t>
      </w:r>
    </w:p>
    <w:p w14:paraId="5B806750" w14:textId="40BB27F9" w:rsidR="003C1853" w:rsidRPr="003E2C48" w:rsidRDefault="00D10176" w:rsidP="00430DF0">
      <w:pPr>
        <w:tabs>
          <w:tab w:val="left" w:pos="567"/>
        </w:tabs>
        <w:suppressAutoHyphens/>
        <w:rPr>
          <w:rFonts w:ascii="Times New Roman" w:hAnsi="Times New Roman"/>
          <w:noProof/>
          <w:sz w:val="24"/>
        </w:rPr>
      </w:pPr>
      <w:r w:rsidRPr="003E2C48">
        <w:rPr>
          <w:rFonts w:ascii="Times New Roman" w:hAnsi="Times New Roman"/>
          <w:noProof/>
          <w:sz w:val="24"/>
        </w:rPr>
        <w:t>1.2.</w:t>
      </w:r>
      <w:r w:rsidRPr="003E2C48">
        <w:rPr>
          <w:rFonts w:ascii="Times New Roman" w:hAnsi="Times New Roman"/>
          <w:noProof/>
          <w:sz w:val="24"/>
        </w:rPr>
        <w:tab/>
        <w:t xml:space="preserve">Institucije iskazuju relevantne informacije na temelju unaprijed utvrđenog popisa opcija. Redci od 0320 do 0360 ispunjavaju se zasebno za svaku valutu za koju institucija ima pozicije u kojima računovodstvena vrijednost financijske imovine ili obveza iskazanih u valuti iznosi 5 % ili više ukupne financijske imovine ili obveza iz knjige pozicija kojima se ne trguje ili manje od 5 % ako je zbroj financijske imovine ili obveza uključenih u izračun manji od 90 % ukupne financijske imovine (isključujući materijalnu imovinu) ili obveza iz knjige pozicija kojima se ne trguje. Ostali redci (od 0010 do 0310) ne ovise o valuti. </w:t>
      </w:r>
    </w:p>
    <w:p w14:paraId="43FC2152" w14:textId="65D36F93" w:rsidR="0074085C" w:rsidRPr="003E2C48" w:rsidRDefault="00D10176" w:rsidP="00430DF0">
      <w:pPr>
        <w:pStyle w:val="Instructionsberschrift2"/>
        <w:numPr>
          <w:ilvl w:val="0"/>
          <w:numId w:val="0"/>
        </w:numPr>
        <w:tabs>
          <w:tab w:val="left" w:pos="567"/>
        </w:tabs>
        <w:suppressAutoHyphens/>
        <w:rPr>
          <w:rFonts w:cs="Times New Roman"/>
          <w:b/>
          <w:bCs/>
          <w:noProof/>
          <w:sz w:val="24"/>
        </w:rPr>
      </w:pPr>
      <w:bookmarkStart w:id="63" w:name="_Toc160197941"/>
      <w:r w:rsidRPr="003E2C48">
        <w:rPr>
          <w:b/>
          <w:noProof/>
          <w:sz w:val="24"/>
        </w:rPr>
        <w:t>2.</w:t>
      </w:r>
      <w:r w:rsidRPr="003E2C48">
        <w:rPr>
          <w:b/>
          <w:noProof/>
          <w:sz w:val="24"/>
        </w:rPr>
        <w:tab/>
        <w:t>Upute za specifične pozicije</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3E2C48" w14:paraId="705499B5" w14:textId="77777777" w:rsidTr="763F32FC">
        <w:tc>
          <w:tcPr>
            <w:tcW w:w="1129" w:type="dxa"/>
            <w:shd w:val="clear" w:color="auto" w:fill="D9D9D9" w:themeFill="background1" w:themeFillShade="D9"/>
          </w:tcPr>
          <w:p w14:paraId="3A97293F" w14:textId="77777777" w:rsidR="0074085C" w:rsidRPr="003E2C48" w:rsidRDefault="0074085C" w:rsidP="003C575D">
            <w:pPr>
              <w:pStyle w:val="InstructionsText"/>
              <w:rPr>
                <w:rStyle w:val="InstructionsTabelleText"/>
                <w:rFonts w:ascii="Times New Roman" w:eastAsia="Arial" w:hAnsi="Times New Roman"/>
                <w:noProof/>
                <w:sz w:val="24"/>
              </w:rPr>
            </w:pPr>
            <w:r w:rsidRPr="003E2C48">
              <w:rPr>
                <w:rStyle w:val="InstructionsTabelleText"/>
                <w:rFonts w:ascii="Times New Roman" w:hAnsi="Times New Roman"/>
                <w:noProof/>
                <w:sz w:val="24"/>
              </w:rPr>
              <w:t>Redak</w:t>
            </w:r>
          </w:p>
        </w:tc>
        <w:tc>
          <w:tcPr>
            <w:tcW w:w="7620" w:type="dxa"/>
            <w:shd w:val="clear" w:color="auto" w:fill="D9D9D9" w:themeFill="background1" w:themeFillShade="D9"/>
          </w:tcPr>
          <w:p w14:paraId="54162349" w14:textId="77777777" w:rsidR="0074085C" w:rsidRPr="003E2C48" w:rsidRDefault="0074085C" w:rsidP="003C575D">
            <w:pPr>
              <w:pStyle w:val="InstructionsText"/>
              <w:rPr>
                <w:rStyle w:val="InstructionsTabelleText"/>
                <w:rFonts w:ascii="Times New Roman" w:hAnsi="Times New Roman"/>
                <w:bCs/>
                <w:noProof/>
                <w:sz w:val="24"/>
              </w:rPr>
            </w:pPr>
            <w:r w:rsidRPr="003E2C48">
              <w:rPr>
                <w:rStyle w:val="InstructionsTabelleText"/>
                <w:rFonts w:ascii="Times New Roman" w:hAnsi="Times New Roman"/>
                <w:noProof/>
                <w:sz w:val="24"/>
              </w:rPr>
              <w:t>Pravna osnova i upute</w:t>
            </w:r>
          </w:p>
        </w:tc>
      </w:tr>
      <w:tr w:rsidR="004B1A38" w:rsidRPr="003E2C48" w14:paraId="5F38AE8D" w14:textId="77777777" w:rsidTr="763F32FC">
        <w:tc>
          <w:tcPr>
            <w:tcW w:w="1129" w:type="dxa"/>
          </w:tcPr>
          <w:p w14:paraId="29457CC0" w14:textId="715B783F" w:rsidR="004B1A38" w:rsidRPr="003E2C48" w:rsidRDefault="00841D8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0010</w:t>
            </w:r>
          </w:p>
        </w:tc>
        <w:tc>
          <w:tcPr>
            <w:tcW w:w="7620" w:type="dxa"/>
          </w:tcPr>
          <w:p w14:paraId="54292758" w14:textId="4685B5BB" w:rsidR="002236E8" w:rsidRPr="003E2C48" w:rsidRDefault="00217BB3"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Pristup koji se koristi za potrebe SOT-a (NII/EVE)</w:t>
            </w:r>
          </w:p>
          <w:p w14:paraId="7216C571" w14:textId="77455230" w:rsidR="004B1A38" w:rsidRPr="003E2C48" w:rsidRDefault="00217BB3"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Institucije navode pristup koji se koristi za potrebe izračuna SOT-a (NII/EVE):</w:t>
            </w:r>
          </w:p>
          <w:p w14:paraId="7B855B4F" w14:textId="557797B9" w:rsidR="00217BB3" w:rsidRPr="003E2C48" w:rsidRDefault="00D92403"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pojednostavnjeni SA,</w:t>
            </w:r>
          </w:p>
          <w:p w14:paraId="7E6C77BA" w14:textId="36428AA7" w:rsidR="00217BB3" w:rsidRPr="003E2C48" w:rsidRDefault="00D92403"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SA,</w:t>
            </w:r>
          </w:p>
          <w:p w14:paraId="69CFAD4F" w14:textId="2BFF009E" w:rsidR="00217BB3" w:rsidRPr="003E2C48" w:rsidRDefault="00D92403"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interni sustav mjerenja.</w:t>
            </w:r>
          </w:p>
        </w:tc>
      </w:tr>
      <w:tr w:rsidR="00157828" w:rsidRPr="003E2C48" w14:paraId="64BE9BF4" w14:textId="77777777" w:rsidTr="763F32FC">
        <w:tc>
          <w:tcPr>
            <w:tcW w:w="1129" w:type="dxa"/>
          </w:tcPr>
          <w:p w14:paraId="20392DF4" w14:textId="5D20EF89" w:rsidR="00157828" w:rsidRPr="003E2C48" w:rsidRDefault="0015782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0020</w:t>
            </w:r>
          </w:p>
        </w:tc>
        <w:tc>
          <w:tcPr>
            <w:tcW w:w="7620" w:type="dxa"/>
          </w:tcPr>
          <w:p w14:paraId="5F35D420" w14:textId="3A4EC9E8" w:rsidR="00157828" w:rsidRPr="003E2C48" w:rsidRDefault="00DA2403"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Zahtjev nadležnog tijela (NII/EVE)</w:t>
            </w:r>
          </w:p>
          <w:p w14:paraId="389D5262" w14:textId="29DEC2AA" w:rsidR="00277E76" w:rsidRPr="003E2C48" w:rsidRDefault="00BE7DD8" w:rsidP="003C575D">
            <w:pPr>
              <w:pStyle w:val="InstructionsText"/>
              <w:rPr>
                <w:rStyle w:val="InstructionsTabelleberschrift"/>
                <w:rFonts w:ascii="Times New Roman" w:hAnsi="Times New Roman"/>
                <w:b w:val="0"/>
                <w:bCs w:val="0"/>
                <w:noProof/>
                <w:sz w:val="24"/>
                <w:u w:val="none"/>
              </w:rPr>
            </w:pPr>
            <w:r w:rsidRPr="003E2C48">
              <w:rPr>
                <w:noProof/>
              </w:rPr>
              <w:t>Članak 84. stavci 3. i 4. Direktive 2013/36/EU. Ako se metoda institucije za izračun vrijednosti EVE/NII temelji na SA-u, institucije navode je li to bio zahtjev nadležnog tijela:</w:t>
            </w:r>
          </w:p>
          <w:p w14:paraId="066E4D86" w14:textId="61DECE1F" w:rsidR="00277E76" w:rsidRPr="003E2C48" w:rsidRDefault="00D92403"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da,</w:t>
            </w:r>
          </w:p>
          <w:p w14:paraId="5A773C0F" w14:textId="3B965759" w:rsidR="00157828" w:rsidRPr="003E2C48" w:rsidRDefault="00D92403"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ne,</w:t>
            </w:r>
          </w:p>
          <w:p w14:paraId="4CA4AE46" w14:textId="11A1D43E" w:rsidR="00D92403" w:rsidRPr="003E2C48" w:rsidRDefault="00D92403"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nije primjenjivo.</w:t>
            </w:r>
          </w:p>
        </w:tc>
      </w:tr>
      <w:tr w:rsidR="763F32FC" w:rsidRPr="003E2C48" w14:paraId="59431DE9" w14:textId="77777777" w:rsidTr="763F32FC">
        <w:tc>
          <w:tcPr>
            <w:tcW w:w="1129" w:type="dxa"/>
          </w:tcPr>
          <w:p w14:paraId="6EBAC84A" w14:textId="1DE0F1C8" w:rsidR="52C6E47D" w:rsidRPr="003E2C48" w:rsidRDefault="52C6E47D"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0030</w:t>
            </w:r>
          </w:p>
        </w:tc>
        <w:tc>
          <w:tcPr>
            <w:tcW w:w="7620" w:type="dxa"/>
          </w:tcPr>
          <w:p w14:paraId="234AE587" w14:textId="56E42126" w:rsidR="00B20B37" w:rsidRPr="003E2C48" w:rsidRDefault="00B20B37"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Metodologija (NII)</w:t>
            </w:r>
          </w:p>
          <w:p w14:paraId="66032093" w14:textId="0857F903" w:rsidR="52C6E47D" w:rsidRPr="003E2C48" w:rsidRDefault="52C6E47D" w:rsidP="003C575D">
            <w:pPr>
              <w:pStyle w:val="InstructionsText"/>
              <w:rPr>
                <w:noProof/>
              </w:rPr>
            </w:pPr>
            <w:r w:rsidRPr="003E2C48">
              <w:rPr>
                <w:noProof/>
              </w:rPr>
              <w:t xml:space="preserve">Institucije navode uzima li se u obzir za izračun vrijednosti NII SOT-a razlika ponovnog vrednovanja, potpuna revalorizacija ili mješoviti pristup: </w:t>
            </w:r>
          </w:p>
          <w:p w14:paraId="452346E8" w14:textId="29667BFF" w:rsidR="52C6E47D" w:rsidRPr="003E2C48" w:rsidRDefault="00C5351C" w:rsidP="003C575D">
            <w:pPr>
              <w:pStyle w:val="InstructionsText"/>
              <w:rPr>
                <w:noProof/>
              </w:rPr>
            </w:pPr>
            <w:r w:rsidRPr="003E2C48">
              <w:rPr>
                <w:noProof/>
              </w:rPr>
              <w:t>— razlika ponovnog vrednovanja,</w:t>
            </w:r>
          </w:p>
          <w:p w14:paraId="194FA0B0" w14:textId="5BAFAD44" w:rsidR="52C6E47D" w:rsidRPr="003E2C48" w:rsidRDefault="00D92403" w:rsidP="003C575D">
            <w:pPr>
              <w:pStyle w:val="InstructionsText"/>
              <w:rPr>
                <w:noProof/>
              </w:rPr>
            </w:pPr>
            <w:r w:rsidRPr="003E2C48">
              <w:rPr>
                <w:noProof/>
              </w:rPr>
              <w:t>— potpuna revalorizacija,</w:t>
            </w:r>
          </w:p>
          <w:p w14:paraId="76F39DDB" w14:textId="245E723C" w:rsidR="52C6E47D" w:rsidRPr="003E2C48" w:rsidRDefault="00D92403" w:rsidP="003C575D">
            <w:pPr>
              <w:pStyle w:val="InstructionsText"/>
              <w:rPr>
                <w:noProof/>
              </w:rPr>
            </w:pPr>
            <w:r w:rsidRPr="003E2C48">
              <w:rPr>
                <w:noProof/>
              </w:rPr>
              <w:t>— mješoviti pristup,</w:t>
            </w:r>
          </w:p>
          <w:p w14:paraId="583AB55E" w14:textId="565127DC" w:rsidR="52C6E47D" w:rsidRPr="003E2C48" w:rsidRDefault="00D92403" w:rsidP="003C575D">
            <w:pPr>
              <w:pStyle w:val="InstructionsText"/>
              <w:rPr>
                <w:noProof/>
              </w:rPr>
            </w:pPr>
            <w:r w:rsidRPr="003E2C48">
              <w:rPr>
                <w:noProof/>
              </w:rPr>
              <w:t>— ostalo.</w:t>
            </w:r>
          </w:p>
        </w:tc>
      </w:tr>
      <w:tr w:rsidR="763F32FC" w:rsidRPr="003E2C48" w14:paraId="12B42F11" w14:textId="77777777" w:rsidTr="763F32FC">
        <w:tc>
          <w:tcPr>
            <w:tcW w:w="1129" w:type="dxa"/>
          </w:tcPr>
          <w:p w14:paraId="7E0CC1E5" w14:textId="53925547" w:rsidR="763F32FC" w:rsidRPr="003E2C48" w:rsidRDefault="763F32F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0040</w:t>
            </w:r>
          </w:p>
        </w:tc>
        <w:tc>
          <w:tcPr>
            <w:tcW w:w="7620" w:type="dxa"/>
          </w:tcPr>
          <w:p w14:paraId="24E44913" w14:textId="77777777" w:rsidR="00B30873" w:rsidRPr="003E2C48" w:rsidRDefault="4FB20FC0" w:rsidP="00430DF0">
            <w:pPr>
              <w:suppressAutoHyphens/>
              <w:rPr>
                <w:rStyle w:val="InstructionsTabelleberschrift"/>
                <w:rFonts w:ascii="Times New Roman" w:hAnsi="Times New Roman"/>
                <w:noProof/>
                <w:sz w:val="24"/>
              </w:rPr>
            </w:pPr>
            <w:r w:rsidRPr="003E2C48">
              <w:rPr>
                <w:rStyle w:val="InstructionsTabelleberschrift"/>
                <w:rFonts w:ascii="Times New Roman" w:hAnsi="Times New Roman"/>
                <w:noProof/>
                <w:sz w:val="24"/>
              </w:rPr>
              <w:t>Uvjetni novčani tokovi (NII)</w:t>
            </w:r>
          </w:p>
          <w:p w14:paraId="58A3E268" w14:textId="02730861" w:rsidR="0C990F80" w:rsidRPr="003E2C48" w:rsidRDefault="0C990F80" w:rsidP="003C575D">
            <w:pPr>
              <w:pStyle w:val="InstructionsText"/>
              <w:rPr>
                <w:noProof/>
              </w:rPr>
            </w:pPr>
            <w:r w:rsidRPr="003E2C48">
              <w:rPr>
                <w:noProof/>
              </w:rPr>
              <w:t xml:space="preserve">Institucije navode uzimaju li se u obzir uvjetni novčani tokovi za izračun vrijednosti NII SOT-a: </w:t>
            </w:r>
          </w:p>
          <w:p w14:paraId="45813F3E" w14:textId="4FD81609" w:rsidR="0C990F80" w:rsidRPr="003E2C48" w:rsidRDefault="00C5351C" w:rsidP="003C575D">
            <w:pPr>
              <w:pStyle w:val="InstructionsText"/>
              <w:rPr>
                <w:noProof/>
              </w:rPr>
            </w:pPr>
            <w:r w:rsidRPr="003E2C48">
              <w:rPr>
                <w:noProof/>
              </w:rPr>
              <w:t xml:space="preserve">— sve značajne stavke, </w:t>
            </w:r>
          </w:p>
          <w:p w14:paraId="7EBCAFEA" w14:textId="2C9BFD64" w:rsidR="0C990F80" w:rsidRPr="003E2C48" w:rsidRDefault="00C5351C" w:rsidP="003C575D">
            <w:pPr>
              <w:pStyle w:val="InstructionsText"/>
              <w:rPr>
                <w:noProof/>
              </w:rPr>
            </w:pPr>
            <w:r w:rsidRPr="003E2C48">
              <w:rPr>
                <w:noProof/>
              </w:rPr>
              <w:t xml:space="preserve">— neke značajne stavke, </w:t>
            </w:r>
          </w:p>
          <w:p w14:paraId="544BB1F4" w14:textId="7754A876" w:rsidR="763F32FC" w:rsidRPr="003E2C48" w:rsidRDefault="00C5351C" w:rsidP="003C575D">
            <w:pPr>
              <w:pStyle w:val="InstructionsText"/>
              <w:rPr>
                <w:noProof/>
              </w:rPr>
            </w:pPr>
            <w:r w:rsidRPr="003E2C48">
              <w:rPr>
                <w:noProof/>
              </w:rPr>
              <w:t>— ne uzimaju se u obzir.</w:t>
            </w:r>
          </w:p>
        </w:tc>
      </w:tr>
      <w:tr w:rsidR="763F32FC" w:rsidRPr="003E2C48" w14:paraId="3F42A7DA" w14:textId="77777777" w:rsidTr="763F32FC">
        <w:tc>
          <w:tcPr>
            <w:tcW w:w="1129" w:type="dxa"/>
          </w:tcPr>
          <w:p w14:paraId="0F383914" w14:textId="4C29E384" w:rsidR="763F32FC" w:rsidRPr="003E2C48" w:rsidRDefault="763F32F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0050</w:t>
            </w:r>
          </w:p>
        </w:tc>
        <w:tc>
          <w:tcPr>
            <w:tcW w:w="7620" w:type="dxa"/>
          </w:tcPr>
          <w:p w14:paraId="09470A6C" w14:textId="33E9121B" w:rsidR="763F32FC" w:rsidRPr="003E2C48" w:rsidRDefault="6B674FF6"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Opcijski rizik (NII)</w:t>
            </w:r>
          </w:p>
          <w:p w14:paraId="560A53E7" w14:textId="05CFAD7C" w:rsidR="3FE6FD8F" w:rsidRPr="003E2C48" w:rsidRDefault="3FE6FD8F" w:rsidP="003C575D">
            <w:pPr>
              <w:pStyle w:val="InstructionsText"/>
              <w:rPr>
                <w:noProof/>
              </w:rPr>
            </w:pPr>
            <w:r w:rsidRPr="003E2C48">
              <w:rPr>
                <w:noProof/>
              </w:rPr>
              <w:t xml:space="preserve">Institucije navode uzima li se u obzir opcijski rizik za izračun vrijednosti NII SOT-a: </w:t>
            </w:r>
          </w:p>
          <w:p w14:paraId="08F6654E" w14:textId="0B3F0FD8" w:rsidR="3FE6FD8F" w:rsidRPr="003E2C48" w:rsidRDefault="00C5351C" w:rsidP="003C575D">
            <w:pPr>
              <w:pStyle w:val="InstructionsText"/>
              <w:rPr>
                <w:noProof/>
              </w:rPr>
            </w:pPr>
            <w:r w:rsidRPr="003E2C48">
              <w:rPr>
                <w:noProof/>
              </w:rPr>
              <w:t xml:space="preserve">— uzima se u obzir, </w:t>
            </w:r>
          </w:p>
          <w:p w14:paraId="095F51A9" w14:textId="0D4F81E0" w:rsidR="3FE6FD8F" w:rsidRPr="003E2C48" w:rsidRDefault="00C5351C" w:rsidP="003C575D">
            <w:pPr>
              <w:pStyle w:val="InstructionsText"/>
              <w:rPr>
                <w:noProof/>
              </w:rPr>
            </w:pPr>
            <w:r w:rsidRPr="003E2C48">
              <w:rPr>
                <w:noProof/>
              </w:rPr>
              <w:t>— ne uzima se u obzir.</w:t>
            </w:r>
          </w:p>
        </w:tc>
      </w:tr>
      <w:tr w:rsidR="763F32FC" w:rsidRPr="003E2C48" w14:paraId="2570BF8E" w14:textId="77777777" w:rsidTr="763F32FC">
        <w:tc>
          <w:tcPr>
            <w:tcW w:w="1129" w:type="dxa"/>
          </w:tcPr>
          <w:p w14:paraId="0BA99032" w14:textId="64B391ED" w:rsidR="763F32FC" w:rsidRPr="003E2C48" w:rsidRDefault="763F32F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0060</w:t>
            </w:r>
          </w:p>
        </w:tc>
        <w:tc>
          <w:tcPr>
            <w:tcW w:w="7620" w:type="dxa"/>
          </w:tcPr>
          <w:p w14:paraId="330E5BA9" w14:textId="4DE8DEE2" w:rsidR="763F32FC" w:rsidRPr="003E2C48" w:rsidRDefault="0207BC45"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Osnovni rizik (NII)</w:t>
            </w:r>
          </w:p>
          <w:p w14:paraId="17E07B43" w14:textId="3E362EE4" w:rsidR="070D7E34" w:rsidRPr="003E2C48" w:rsidRDefault="070D7E34" w:rsidP="003C575D">
            <w:pPr>
              <w:pStyle w:val="InstructionsText"/>
              <w:rPr>
                <w:noProof/>
              </w:rPr>
            </w:pPr>
            <w:r w:rsidRPr="003E2C48">
              <w:rPr>
                <w:noProof/>
              </w:rPr>
              <w:t xml:space="preserve">Institucije navode uzima li se u obzir osnovni rizik za izračun vrijednosti NII SOT-a: </w:t>
            </w:r>
          </w:p>
          <w:p w14:paraId="3EE4DDE1" w14:textId="3FB1A35D" w:rsidR="070D7E34" w:rsidRPr="003E2C48" w:rsidRDefault="00C5351C" w:rsidP="003C575D">
            <w:pPr>
              <w:pStyle w:val="InstructionsText"/>
              <w:rPr>
                <w:noProof/>
              </w:rPr>
            </w:pPr>
            <w:r w:rsidRPr="003E2C48">
              <w:rPr>
                <w:noProof/>
              </w:rPr>
              <w:t xml:space="preserve">— uzima se u obzir, </w:t>
            </w:r>
          </w:p>
          <w:p w14:paraId="649CCC92" w14:textId="1CD50C04" w:rsidR="070D7E34" w:rsidRPr="003E2C48" w:rsidRDefault="00C5351C" w:rsidP="003C575D">
            <w:pPr>
              <w:pStyle w:val="InstructionsText"/>
              <w:rPr>
                <w:noProof/>
              </w:rPr>
            </w:pPr>
            <w:r w:rsidRPr="003E2C48">
              <w:rPr>
                <w:noProof/>
              </w:rPr>
              <w:t>— ne uzima se u obzir.</w:t>
            </w:r>
          </w:p>
        </w:tc>
      </w:tr>
      <w:tr w:rsidR="763F32FC" w:rsidRPr="003E2C48" w14:paraId="6486DBA5" w14:textId="77777777" w:rsidTr="763F32FC">
        <w:tc>
          <w:tcPr>
            <w:tcW w:w="1129" w:type="dxa"/>
          </w:tcPr>
          <w:p w14:paraId="741CBF91" w14:textId="7C1EA4E8" w:rsidR="763F32FC" w:rsidRPr="003E2C48" w:rsidRDefault="763F32F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0070</w:t>
            </w:r>
          </w:p>
        </w:tc>
        <w:tc>
          <w:tcPr>
            <w:tcW w:w="7620" w:type="dxa"/>
          </w:tcPr>
          <w:p w14:paraId="181923B9" w14:textId="08D89323" w:rsidR="003C5B8C" w:rsidRPr="003E2C48" w:rsidRDefault="003C5B8C"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Metodologija (EVE)</w:t>
            </w:r>
          </w:p>
          <w:p w14:paraId="1BABA0D4" w14:textId="343AB824" w:rsidR="763F32FC" w:rsidRPr="003E2C48" w:rsidRDefault="763F32FC" w:rsidP="003C575D">
            <w:pPr>
              <w:pStyle w:val="InstructionsText"/>
              <w:rPr>
                <w:noProof/>
              </w:rPr>
            </w:pPr>
            <w:r w:rsidRPr="003E2C48">
              <w:rPr>
                <w:noProof/>
              </w:rPr>
              <w:t xml:space="preserve">Institucije navode uzima li se u obzir za izračun vrijednosti EVE SOT-a razlika u trajanju ili pristup potpune revalorizacije: </w:t>
            </w:r>
          </w:p>
          <w:p w14:paraId="20A04372" w14:textId="4802DD8C" w:rsidR="64A51879" w:rsidRPr="003E2C48" w:rsidRDefault="008A192D" w:rsidP="003C575D">
            <w:pPr>
              <w:pStyle w:val="InstructionsText"/>
              <w:rPr>
                <w:noProof/>
              </w:rPr>
            </w:pPr>
            <w:r w:rsidRPr="003E2C48">
              <w:rPr>
                <w:noProof/>
              </w:rPr>
              <w:t xml:space="preserve">— razlika u trajanju, </w:t>
            </w:r>
          </w:p>
          <w:p w14:paraId="4C457BB6" w14:textId="047AC2EA" w:rsidR="763F32FC" w:rsidRPr="003E2C48" w:rsidRDefault="008A192D" w:rsidP="003C575D">
            <w:pPr>
              <w:pStyle w:val="InstructionsText"/>
              <w:rPr>
                <w:noProof/>
              </w:rPr>
            </w:pPr>
            <w:r w:rsidRPr="003E2C48">
              <w:rPr>
                <w:noProof/>
              </w:rPr>
              <w:t>— potpuna revalorizacija,</w:t>
            </w:r>
          </w:p>
          <w:p w14:paraId="4C151CBC" w14:textId="74942F58" w:rsidR="763F32FC" w:rsidRPr="003E2C48" w:rsidRDefault="008A192D" w:rsidP="003C575D">
            <w:pPr>
              <w:pStyle w:val="InstructionsText"/>
              <w:rPr>
                <w:noProof/>
              </w:rPr>
            </w:pPr>
            <w:r w:rsidRPr="003E2C48">
              <w:rPr>
                <w:noProof/>
              </w:rPr>
              <w:t xml:space="preserve">— mješoviti pristup, </w:t>
            </w:r>
          </w:p>
          <w:p w14:paraId="50BEB398" w14:textId="73E946D7" w:rsidR="763F32FC" w:rsidRPr="003E2C48" w:rsidRDefault="00C5351C" w:rsidP="003C575D">
            <w:pPr>
              <w:pStyle w:val="InstructionsText"/>
              <w:rPr>
                <w:noProof/>
              </w:rPr>
            </w:pPr>
            <w:r w:rsidRPr="003E2C48">
              <w:rPr>
                <w:noProof/>
              </w:rPr>
              <w:t>— ostalo.</w:t>
            </w:r>
          </w:p>
        </w:tc>
      </w:tr>
      <w:tr w:rsidR="763F32FC" w:rsidRPr="003E2C48" w14:paraId="00BE1C3A" w14:textId="77777777" w:rsidTr="763F32FC">
        <w:tc>
          <w:tcPr>
            <w:tcW w:w="1129" w:type="dxa"/>
          </w:tcPr>
          <w:p w14:paraId="574576BF" w14:textId="7B1007FE" w:rsidR="763F32FC" w:rsidRPr="003E2C48" w:rsidRDefault="763F32F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0080</w:t>
            </w:r>
          </w:p>
        </w:tc>
        <w:tc>
          <w:tcPr>
            <w:tcW w:w="7620" w:type="dxa"/>
          </w:tcPr>
          <w:p w14:paraId="560D6E2E" w14:textId="4C948B63" w:rsidR="763F32FC" w:rsidRPr="003E2C48" w:rsidRDefault="763F32FC"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Uvjetni novčani tokovi (EVE)</w:t>
            </w:r>
          </w:p>
          <w:p w14:paraId="5A1AF2A1" w14:textId="574F9A51" w:rsidR="763F32FC" w:rsidRPr="003E2C48" w:rsidRDefault="763F32FC" w:rsidP="003C575D">
            <w:pPr>
              <w:pStyle w:val="InstructionsText"/>
              <w:rPr>
                <w:noProof/>
              </w:rPr>
            </w:pPr>
            <w:r w:rsidRPr="003E2C48">
              <w:rPr>
                <w:noProof/>
              </w:rPr>
              <w:t xml:space="preserve">Institucije navode uzimaju li se u obzir uvjetni novčani tokovi za izračun vrijednosti EVE SOT-a: </w:t>
            </w:r>
          </w:p>
          <w:p w14:paraId="78F8AD0B" w14:textId="65182544" w:rsidR="763F32FC" w:rsidRPr="003E2C48" w:rsidRDefault="008A192D" w:rsidP="003C575D">
            <w:pPr>
              <w:pStyle w:val="InstructionsText"/>
              <w:rPr>
                <w:noProof/>
              </w:rPr>
            </w:pPr>
            <w:r w:rsidRPr="003E2C48">
              <w:rPr>
                <w:noProof/>
              </w:rPr>
              <w:t xml:space="preserve">— sve značajne stavke, </w:t>
            </w:r>
          </w:p>
          <w:p w14:paraId="0B4611A5" w14:textId="2C6A935C" w:rsidR="763F32FC" w:rsidRPr="003E2C48" w:rsidRDefault="008A192D" w:rsidP="003C575D">
            <w:pPr>
              <w:pStyle w:val="InstructionsText"/>
              <w:rPr>
                <w:noProof/>
              </w:rPr>
            </w:pPr>
            <w:r w:rsidRPr="003E2C48">
              <w:rPr>
                <w:noProof/>
              </w:rPr>
              <w:t xml:space="preserve">— neke značajne stavke, </w:t>
            </w:r>
          </w:p>
          <w:p w14:paraId="71069CE3" w14:textId="0FA3F67C" w:rsidR="763F32FC" w:rsidRPr="003E2C48" w:rsidRDefault="008A192D" w:rsidP="003C575D">
            <w:pPr>
              <w:pStyle w:val="InstructionsText"/>
              <w:rPr>
                <w:noProof/>
              </w:rPr>
            </w:pPr>
            <w:r w:rsidRPr="003E2C48">
              <w:rPr>
                <w:noProof/>
              </w:rPr>
              <w:t>— ne uzimaju se u obzir.</w:t>
            </w:r>
          </w:p>
        </w:tc>
      </w:tr>
      <w:tr w:rsidR="763F32FC" w:rsidRPr="003E2C48" w14:paraId="369003CD" w14:textId="77777777" w:rsidTr="763F32FC">
        <w:tc>
          <w:tcPr>
            <w:tcW w:w="1129" w:type="dxa"/>
          </w:tcPr>
          <w:p w14:paraId="606284D4" w14:textId="766B3122" w:rsidR="763F32FC" w:rsidRPr="003E2C48" w:rsidRDefault="763F32F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0090</w:t>
            </w:r>
          </w:p>
        </w:tc>
        <w:tc>
          <w:tcPr>
            <w:tcW w:w="7620" w:type="dxa"/>
          </w:tcPr>
          <w:p w14:paraId="12CC20AA" w14:textId="79B4262F" w:rsidR="763F32FC" w:rsidRPr="003E2C48" w:rsidRDefault="763F32FC"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Opcijski rizik (EVE)</w:t>
            </w:r>
          </w:p>
          <w:p w14:paraId="2937ACD4" w14:textId="67DF171C" w:rsidR="763F32FC" w:rsidRPr="003E2C48" w:rsidRDefault="763F32FC" w:rsidP="003C575D">
            <w:pPr>
              <w:pStyle w:val="InstructionsText"/>
              <w:rPr>
                <w:noProof/>
              </w:rPr>
            </w:pPr>
            <w:r w:rsidRPr="003E2C48">
              <w:rPr>
                <w:noProof/>
              </w:rPr>
              <w:t xml:space="preserve">Institucije navode uzima li se u obzir opcijski rizik za izračun vrijednosti EVE SOT-a: </w:t>
            </w:r>
          </w:p>
          <w:p w14:paraId="548B2643" w14:textId="2033A028" w:rsidR="763F32FC" w:rsidRPr="003E2C48" w:rsidRDefault="008A192D" w:rsidP="003C575D">
            <w:pPr>
              <w:pStyle w:val="InstructionsText"/>
              <w:rPr>
                <w:noProof/>
              </w:rPr>
            </w:pPr>
            <w:r w:rsidRPr="003E2C48">
              <w:rPr>
                <w:noProof/>
              </w:rPr>
              <w:t xml:space="preserve">— uzima se u obzir, </w:t>
            </w:r>
          </w:p>
          <w:p w14:paraId="587E9328" w14:textId="7793DF57" w:rsidR="763F32FC" w:rsidRPr="003E2C48" w:rsidRDefault="008A192D" w:rsidP="003C575D">
            <w:pPr>
              <w:pStyle w:val="InstructionsText"/>
              <w:rPr>
                <w:noProof/>
              </w:rPr>
            </w:pPr>
            <w:r w:rsidRPr="003E2C48">
              <w:rPr>
                <w:noProof/>
              </w:rPr>
              <w:t>— ne uzima se u obzir.</w:t>
            </w:r>
          </w:p>
        </w:tc>
      </w:tr>
      <w:tr w:rsidR="763F32FC" w:rsidRPr="003E2C48" w14:paraId="2AFEFF08" w14:textId="77777777" w:rsidTr="763F32FC">
        <w:tc>
          <w:tcPr>
            <w:tcW w:w="1129" w:type="dxa"/>
          </w:tcPr>
          <w:p w14:paraId="72EDD5E2" w14:textId="74868C79" w:rsidR="763F32FC" w:rsidRPr="003E2C48" w:rsidRDefault="763F32FC"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0100</w:t>
            </w:r>
          </w:p>
        </w:tc>
        <w:tc>
          <w:tcPr>
            <w:tcW w:w="7620" w:type="dxa"/>
          </w:tcPr>
          <w:p w14:paraId="7382AF45" w14:textId="0F29D562" w:rsidR="763F32FC" w:rsidRPr="003E2C48" w:rsidRDefault="763F32FC"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Osnovni rizik (EVE)</w:t>
            </w:r>
          </w:p>
          <w:p w14:paraId="3B23B83A" w14:textId="7EEC1160" w:rsidR="763F32FC" w:rsidRPr="003E2C48" w:rsidRDefault="763F32FC" w:rsidP="00430DF0">
            <w:pPr>
              <w:suppressAutoHyphens/>
              <w:rPr>
                <w:rFonts w:ascii="Times New Roman" w:hAnsi="Times New Roman"/>
                <w:noProof/>
                <w:sz w:val="24"/>
              </w:rPr>
            </w:pPr>
            <w:r w:rsidRPr="003E2C48">
              <w:rPr>
                <w:rFonts w:ascii="Times New Roman" w:hAnsi="Times New Roman"/>
                <w:noProof/>
                <w:sz w:val="24"/>
              </w:rPr>
              <w:t xml:space="preserve">Institucije navode uzima li se u obzir osnovni rizik za izračun vrijednosti EVE SOT-a: </w:t>
            </w:r>
          </w:p>
          <w:p w14:paraId="424B47DA" w14:textId="41638AFC" w:rsidR="763F32FC" w:rsidRPr="003E2C48" w:rsidRDefault="008A192D" w:rsidP="003C575D">
            <w:pPr>
              <w:pStyle w:val="InstructionsText"/>
              <w:rPr>
                <w:noProof/>
              </w:rPr>
            </w:pPr>
            <w:r w:rsidRPr="003E2C48">
              <w:rPr>
                <w:noProof/>
              </w:rPr>
              <w:t xml:space="preserve">— uzima se u obzir, </w:t>
            </w:r>
          </w:p>
          <w:p w14:paraId="232998CD" w14:textId="22D7A9CF" w:rsidR="763F32FC" w:rsidRPr="003E2C48" w:rsidRDefault="008A192D" w:rsidP="003C575D">
            <w:pPr>
              <w:pStyle w:val="InstructionsText"/>
              <w:rPr>
                <w:noProof/>
              </w:rPr>
            </w:pPr>
            <w:r w:rsidRPr="003E2C48">
              <w:rPr>
                <w:noProof/>
              </w:rPr>
              <w:t>— ne uzima se u obzir.</w:t>
            </w:r>
          </w:p>
        </w:tc>
      </w:tr>
      <w:tr w:rsidR="00C12CCF" w:rsidRPr="003E2C48" w14:paraId="2C78FC42" w14:textId="77777777" w:rsidTr="763F32FC">
        <w:tc>
          <w:tcPr>
            <w:tcW w:w="1129" w:type="dxa"/>
          </w:tcPr>
          <w:p w14:paraId="1930DDCD" w14:textId="4E12156D" w:rsidR="00C12CCF" w:rsidRPr="003E2C48" w:rsidRDefault="00C12CCF"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0110</w:t>
            </w:r>
          </w:p>
        </w:tc>
        <w:tc>
          <w:tcPr>
            <w:tcW w:w="7620" w:type="dxa"/>
          </w:tcPr>
          <w:p w14:paraId="6C36D5EE" w14:textId="2DE64B9A" w:rsidR="00E626D0" w:rsidRPr="003E2C48" w:rsidRDefault="00E626D0"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Komercijalne marže/druge sastavnice marže (EVE)</w:t>
            </w:r>
          </w:p>
          <w:p w14:paraId="0F471F3B" w14:textId="2B60EF94" w:rsidR="0041268F" w:rsidRPr="003E2C48" w:rsidRDefault="0041268F" w:rsidP="003C575D">
            <w:pPr>
              <w:pStyle w:val="InstructionsText"/>
              <w:rPr>
                <w:rStyle w:val="InstructionsTabelleberschrift"/>
                <w:rFonts w:ascii="Times New Roman" w:hAnsi="Times New Roman"/>
                <w:b w:val="0"/>
                <w:bCs w:val="0"/>
                <w:noProof/>
                <w:sz w:val="24"/>
                <w:u w:val="none"/>
              </w:rPr>
            </w:pPr>
            <w:r w:rsidRPr="003E2C48">
              <w:rPr>
                <w:noProof/>
              </w:rPr>
              <w:t>Institucije navode jesu li komercijalne marže i druge sastavnice marže uključene u izračun mjere rizika SOT za EVE:</w:t>
            </w:r>
          </w:p>
          <w:p w14:paraId="5D3C585E" w14:textId="469A2FE2" w:rsidR="008A192D"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uključene,</w:t>
            </w:r>
          </w:p>
          <w:p w14:paraId="02B9C9A2" w14:textId="242BC818" w:rsidR="00C12CCF"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isključene.</w:t>
            </w:r>
          </w:p>
        </w:tc>
      </w:tr>
      <w:tr w:rsidR="00C12CCF" w:rsidRPr="003E2C48" w14:paraId="1A79783A" w14:textId="77777777" w:rsidTr="763F32FC">
        <w:tc>
          <w:tcPr>
            <w:tcW w:w="1129" w:type="dxa"/>
          </w:tcPr>
          <w:p w14:paraId="3872307E" w14:textId="1AFD8382" w:rsidR="00C12CCF" w:rsidRPr="003E2C48" w:rsidRDefault="00C12CCF"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0120</w:t>
            </w:r>
          </w:p>
        </w:tc>
        <w:tc>
          <w:tcPr>
            <w:tcW w:w="7620" w:type="dxa"/>
          </w:tcPr>
          <w:p w14:paraId="4C3231D0" w14:textId="78D6A9F2" w:rsidR="0003330C" w:rsidRPr="003E2C48" w:rsidRDefault="0003330C" w:rsidP="00430DF0">
            <w:pPr>
              <w:suppressAutoHyphens/>
              <w:spacing w:before="0"/>
              <w:rPr>
                <w:rStyle w:val="InstructionsTabelleberschrift"/>
                <w:rFonts w:ascii="Times New Roman" w:hAnsi="Times New Roman"/>
                <w:noProof/>
                <w:sz w:val="24"/>
              </w:rPr>
            </w:pPr>
            <w:r w:rsidRPr="003E2C48">
              <w:rPr>
                <w:rStyle w:val="InstructionsTabelleberschrift"/>
                <w:rFonts w:ascii="Times New Roman" w:hAnsi="Times New Roman"/>
                <w:noProof/>
                <w:sz w:val="24"/>
              </w:rPr>
              <w:t>Novčane naknade za prijevremenu otplatu kredita</w:t>
            </w:r>
          </w:p>
          <w:p w14:paraId="7BD499BC" w14:textId="2D316A30" w:rsidR="00E138D5" w:rsidRPr="003E2C48" w:rsidRDefault="00E138D5" w:rsidP="003C575D">
            <w:pPr>
              <w:pStyle w:val="InstructionsText"/>
              <w:rPr>
                <w:rStyle w:val="InstructionsTabelleberschrift"/>
                <w:rFonts w:ascii="Times New Roman" w:hAnsi="Times New Roman"/>
                <w:b w:val="0"/>
                <w:bCs w:val="0"/>
                <w:noProof/>
                <w:sz w:val="24"/>
                <w:u w:val="none"/>
              </w:rPr>
            </w:pPr>
            <w:r w:rsidRPr="003E2C48">
              <w:rPr>
                <w:noProof/>
              </w:rPr>
              <w:t>Institucije navode jesu li novčane naknade za prijevremenu otplatu kredita uključene u SOT za EVE/NII:</w:t>
            </w:r>
          </w:p>
          <w:p w14:paraId="3739DD8A" w14:textId="3EA81623" w:rsidR="008A192D"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uključene,</w:t>
            </w:r>
          </w:p>
          <w:p w14:paraId="0FBB2B51" w14:textId="51661940" w:rsidR="00C12CCF"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isključene.</w:t>
            </w:r>
          </w:p>
        </w:tc>
      </w:tr>
      <w:tr w:rsidR="00C12CCF" w:rsidRPr="003E2C48" w14:paraId="264BB766" w14:textId="77777777" w:rsidTr="763F32FC">
        <w:tc>
          <w:tcPr>
            <w:tcW w:w="1129" w:type="dxa"/>
          </w:tcPr>
          <w:p w14:paraId="41060C95" w14:textId="56216889" w:rsidR="00C12CCF" w:rsidRPr="003E2C48" w:rsidRDefault="00C12CCF"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0130</w:t>
            </w:r>
          </w:p>
        </w:tc>
        <w:tc>
          <w:tcPr>
            <w:tcW w:w="7620" w:type="dxa"/>
          </w:tcPr>
          <w:p w14:paraId="466E2A73" w14:textId="199EAD3A" w:rsidR="00772D0F" w:rsidRPr="003E2C48" w:rsidRDefault="00772D0F"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Mirovinske obveze / sredstva mirovinskih sustava</w:t>
            </w:r>
          </w:p>
          <w:p w14:paraId="32BE6413" w14:textId="75B316BE" w:rsidR="00E138D5" w:rsidRPr="003E2C48" w:rsidRDefault="00E138D5" w:rsidP="003C575D">
            <w:pPr>
              <w:pStyle w:val="InstructionsText"/>
              <w:rPr>
                <w:rStyle w:val="InstructionsTabelleberschrift"/>
                <w:rFonts w:ascii="Times New Roman" w:hAnsi="Times New Roman"/>
                <w:b w:val="0"/>
                <w:bCs w:val="0"/>
                <w:noProof/>
                <w:sz w:val="24"/>
                <w:u w:val="none"/>
              </w:rPr>
            </w:pPr>
            <w:r w:rsidRPr="003E2C48">
              <w:rPr>
                <w:noProof/>
              </w:rPr>
              <w:t>Institucije navode jesu li mirovinske obveze i sredstva mirovinskih sustava uključeni u izračun SOT-a za EVE/NII:</w:t>
            </w:r>
          </w:p>
          <w:p w14:paraId="09F4D480" w14:textId="54E3929A" w:rsidR="008A192D"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uključeni,</w:t>
            </w:r>
          </w:p>
          <w:p w14:paraId="201D7CDC" w14:textId="397BFC6E" w:rsidR="00C12CCF"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isključeni.</w:t>
            </w:r>
          </w:p>
        </w:tc>
      </w:tr>
      <w:tr w:rsidR="00C12CCF" w:rsidRPr="003E2C48" w14:paraId="6F804664" w14:textId="77777777" w:rsidTr="763F32FC">
        <w:tc>
          <w:tcPr>
            <w:tcW w:w="1129" w:type="dxa"/>
          </w:tcPr>
          <w:p w14:paraId="32EBC373" w14:textId="4B5706BC" w:rsidR="00C12CCF" w:rsidRPr="003E2C48" w:rsidRDefault="00C12CCF"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0140</w:t>
            </w:r>
          </w:p>
        </w:tc>
        <w:tc>
          <w:tcPr>
            <w:tcW w:w="7620" w:type="dxa"/>
          </w:tcPr>
          <w:p w14:paraId="0CFDFC69" w14:textId="77777777" w:rsidR="00841CA8" w:rsidRPr="003E2C48" w:rsidRDefault="00841CA8"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 xml:space="preserve">Neprihodonosne izloženosti </w:t>
            </w:r>
          </w:p>
          <w:p w14:paraId="34535DAF" w14:textId="675EC6A3" w:rsidR="00E138D5" w:rsidRPr="003E2C48" w:rsidRDefault="00E138D5" w:rsidP="003C575D">
            <w:pPr>
              <w:pStyle w:val="InstructionsText"/>
              <w:rPr>
                <w:rStyle w:val="InstructionsTabelleberschrift"/>
                <w:rFonts w:ascii="Times New Roman" w:hAnsi="Times New Roman"/>
                <w:b w:val="0"/>
                <w:noProof/>
                <w:sz w:val="24"/>
                <w:u w:val="none"/>
              </w:rPr>
            </w:pPr>
            <w:r w:rsidRPr="003E2C48">
              <w:rPr>
                <w:noProof/>
              </w:rPr>
              <w:t>Institucije navode jesu li neprihodonosne izloženosti uključene u SOT za EVE/NII:</w:t>
            </w:r>
          </w:p>
          <w:p w14:paraId="2AE7E06F" w14:textId="648FE3AC" w:rsidR="008A192D"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uključene,</w:t>
            </w:r>
          </w:p>
          <w:p w14:paraId="19B5D385" w14:textId="7F1E23E8" w:rsidR="00C12CCF"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isključene.</w:t>
            </w:r>
          </w:p>
        </w:tc>
      </w:tr>
      <w:tr w:rsidR="00C12CCF" w:rsidRPr="003E2C48" w14:paraId="5659F8D1" w14:textId="77777777" w:rsidTr="763F32FC">
        <w:tc>
          <w:tcPr>
            <w:tcW w:w="1129" w:type="dxa"/>
          </w:tcPr>
          <w:p w14:paraId="2719698F" w14:textId="6F4EA384" w:rsidR="00C12CCF" w:rsidRPr="003E2C48" w:rsidRDefault="00C12CCF"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0150</w:t>
            </w:r>
          </w:p>
        </w:tc>
        <w:tc>
          <w:tcPr>
            <w:tcW w:w="7620" w:type="dxa"/>
          </w:tcPr>
          <w:p w14:paraId="7E20A73B" w14:textId="36E3EE26" w:rsidR="00C53E68" w:rsidRPr="003E2C48" w:rsidRDefault="00C53E68"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 xml:space="preserve">Obveze po kreditima s fiksnom kamatnom stopom </w:t>
            </w:r>
          </w:p>
          <w:p w14:paraId="1EC6CE29" w14:textId="727C7BB8" w:rsidR="00E138D5" w:rsidRPr="003E2C48" w:rsidRDefault="00E138D5" w:rsidP="003C575D">
            <w:pPr>
              <w:pStyle w:val="InstructionsText"/>
              <w:rPr>
                <w:rStyle w:val="InstructionsTabelleberschrift"/>
                <w:rFonts w:ascii="Times New Roman" w:hAnsi="Times New Roman"/>
                <w:b w:val="0"/>
                <w:noProof/>
                <w:sz w:val="24"/>
                <w:u w:val="none"/>
              </w:rPr>
            </w:pPr>
            <w:r w:rsidRPr="003E2C48">
              <w:rPr>
                <w:noProof/>
              </w:rPr>
              <w:t>Institucije navode jesu li obveze po kreditima s fiksnom kamatnom stopom uključene u SOT za EVE/NII:</w:t>
            </w:r>
          </w:p>
          <w:p w14:paraId="786511A5" w14:textId="42548719" w:rsidR="008A192D"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uključene,</w:t>
            </w:r>
          </w:p>
          <w:p w14:paraId="14F356EA" w14:textId="3FCFA1D3" w:rsidR="00C12CCF"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isključene.</w:t>
            </w:r>
          </w:p>
        </w:tc>
      </w:tr>
      <w:tr w:rsidR="00C12CCF" w:rsidRPr="003E2C48" w14:paraId="5199326E" w14:textId="77777777" w:rsidTr="763F32FC">
        <w:tc>
          <w:tcPr>
            <w:tcW w:w="1129" w:type="dxa"/>
          </w:tcPr>
          <w:p w14:paraId="2D43B355" w14:textId="2E114DE7" w:rsidR="00C12CCF" w:rsidRPr="003E2C48" w:rsidRDefault="00C12CCF"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0160</w:t>
            </w:r>
          </w:p>
        </w:tc>
        <w:tc>
          <w:tcPr>
            <w:tcW w:w="7620" w:type="dxa"/>
          </w:tcPr>
          <w:p w14:paraId="5110BF04" w14:textId="2067FB8B" w:rsidR="004567EB" w:rsidRPr="003E2C48" w:rsidRDefault="004567EB"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 xml:space="preserve">Rizik od prijevremene otplate </w:t>
            </w:r>
          </w:p>
          <w:p w14:paraId="42D03395" w14:textId="2CA3360F" w:rsidR="00E138D5" w:rsidRPr="003E2C48" w:rsidRDefault="00E138D5" w:rsidP="003C575D">
            <w:pPr>
              <w:pStyle w:val="InstructionsText"/>
              <w:rPr>
                <w:rStyle w:val="InstructionsTabelleberschrift"/>
                <w:rFonts w:ascii="Times New Roman" w:hAnsi="Times New Roman"/>
                <w:b w:val="0"/>
                <w:bCs w:val="0"/>
                <w:noProof/>
                <w:sz w:val="24"/>
                <w:u w:val="none"/>
              </w:rPr>
            </w:pPr>
            <w:r w:rsidRPr="003E2C48">
              <w:rPr>
                <w:noProof/>
              </w:rPr>
              <w:t>Institucije navode je li rizik od prijevremene otplate za kategoriju stanovništvo uključen u izračun SOT-a za EVE/NII:</w:t>
            </w:r>
          </w:p>
          <w:p w14:paraId="049C644C" w14:textId="1B7FEA08" w:rsidR="008A192D"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uključen,</w:t>
            </w:r>
          </w:p>
          <w:p w14:paraId="19439AE0" w14:textId="1541E83C" w:rsidR="00C12CCF"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isključen.</w:t>
            </w:r>
          </w:p>
        </w:tc>
      </w:tr>
      <w:tr w:rsidR="00C12CCF" w:rsidRPr="003E2C48" w14:paraId="4C1D220B" w14:textId="77777777" w:rsidTr="763F32FC">
        <w:tc>
          <w:tcPr>
            <w:tcW w:w="1129" w:type="dxa"/>
          </w:tcPr>
          <w:p w14:paraId="7D30827E" w14:textId="2E38F1CA" w:rsidR="00C12CCF" w:rsidRPr="003E2C48" w:rsidRDefault="00C12CCF"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0170</w:t>
            </w:r>
          </w:p>
        </w:tc>
        <w:tc>
          <w:tcPr>
            <w:tcW w:w="7620" w:type="dxa"/>
          </w:tcPr>
          <w:p w14:paraId="24FB3F5E" w14:textId="7E7EDF0D" w:rsidR="006043A5" w:rsidRPr="003E2C48" w:rsidRDefault="006043A5"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 xml:space="preserve">Rizik od prijevremenog povlačenja </w:t>
            </w:r>
          </w:p>
          <w:p w14:paraId="67868C1F" w14:textId="0C5DACCD" w:rsidR="008478F8" w:rsidRPr="003E2C48" w:rsidRDefault="008478F8" w:rsidP="003C575D">
            <w:pPr>
              <w:pStyle w:val="InstructionsText"/>
              <w:rPr>
                <w:noProof/>
              </w:rPr>
            </w:pPr>
            <w:r w:rsidRPr="003E2C48">
              <w:rPr>
                <w:noProof/>
              </w:rPr>
              <w:t>Institucije navode je li rizik od prijevremenog povlačenja za kategoriju stanovništvo uključen u izračun SOT-a za EVE/NII:</w:t>
            </w:r>
          </w:p>
          <w:p w14:paraId="17E090F3" w14:textId="1C770989" w:rsidR="00C12CCF"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uključen,</w:t>
            </w:r>
          </w:p>
          <w:p w14:paraId="490B287D" w14:textId="1DB5880A" w:rsidR="00C12CCF"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isključen.</w:t>
            </w:r>
          </w:p>
        </w:tc>
      </w:tr>
      <w:tr w:rsidR="00343C28" w:rsidRPr="003E2C48" w14:paraId="0AD7CFF7" w14:textId="77777777" w:rsidTr="763F32FC">
        <w:tc>
          <w:tcPr>
            <w:tcW w:w="1129" w:type="dxa"/>
          </w:tcPr>
          <w:p w14:paraId="51E55F8D" w14:textId="284EAFCF" w:rsidR="00343C28" w:rsidRPr="003E2C48" w:rsidRDefault="00343C28"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0180</w:t>
            </w:r>
          </w:p>
        </w:tc>
        <w:tc>
          <w:tcPr>
            <w:tcW w:w="7620" w:type="dxa"/>
          </w:tcPr>
          <w:p w14:paraId="0ED1DA2C" w14:textId="26163666" w:rsidR="00343C28" w:rsidRPr="003E2C48" w:rsidRDefault="007A5DA9"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Opći pristup modeliranju depozita bez dospijeća</w:t>
            </w:r>
          </w:p>
          <w:p w14:paraId="77B7CA20" w14:textId="633B5127" w:rsidR="008857EC" w:rsidRPr="003E2C48" w:rsidRDefault="007A5DA9" w:rsidP="00430DF0">
            <w:pPr>
              <w:suppressAutoHyphens/>
              <w:spacing w:before="0"/>
              <w:rPr>
                <w:rFonts w:ascii="Times New Roman" w:hAnsi="Times New Roman"/>
                <w:noProof/>
                <w:sz w:val="24"/>
              </w:rPr>
            </w:pPr>
            <w:r w:rsidRPr="003E2C48">
              <w:rPr>
                <w:rFonts w:ascii="Times New Roman" w:hAnsi="Times New Roman"/>
                <w:noProof/>
                <w:sz w:val="24"/>
              </w:rPr>
              <w:t xml:space="preserve">Institucije navode metodu korištenu za određivanje rokova ponovnog bihevioralnog određivanja vrijednosti depozita bez dospijeća: </w:t>
            </w:r>
          </w:p>
          <w:p w14:paraId="63BED8EC" w14:textId="5830B51C" w:rsidR="008857EC" w:rsidRPr="003E2C48" w:rsidRDefault="008A192D" w:rsidP="00430DF0">
            <w:pPr>
              <w:suppressAutoHyphens/>
              <w:spacing w:before="0"/>
              <w:rPr>
                <w:rFonts w:ascii="Times New Roman" w:hAnsi="Times New Roman"/>
                <w:noProof/>
                <w:sz w:val="24"/>
              </w:rPr>
            </w:pPr>
            <w:r w:rsidRPr="003E2C48">
              <w:rPr>
                <w:rFonts w:ascii="Times New Roman" w:hAnsi="Times New Roman"/>
                <w:noProof/>
                <w:sz w:val="24"/>
              </w:rPr>
              <w:t>— model vremenskih serija (Basel/EBA stabilni/nestabilni/pristup PTR),</w:t>
            </w:r>
          </w:p>
          <w:p w14:paraId="332AB750" w14:textId="5FA0C5F7" w:rsidR="008857EC" w:rsidRPr="003E2C48" w:rsidRDefault="008A192D" w:rsidP="00430DF0">
            <w:pPr>
              <w:suppressAutoHyphens/>
              <w:spacing w:before="0"/>
              <w:rPr>
                <w:rFonts w:ascii="Times New Roman" w:hAnsi="Times New Roman"/>
                <w:noProof/>
                <w:sz w:val="24"/>
              </w:rPr>
            </w:pPr>
            <w:r w:rsidRPr="003E2C48">
              <w:rPr>
                <w:rFonts w:ascii="Times New Roman" w:hAnsi="Times New Roman"/>
                <w:noProof/>
                <w:sz w:val="24"/>
              </w:rPr>
              <w:t>— replikacija portfelja,</w:t>
            </w:r>
          </w:p>
          <w:p w14:paraId="76311097" w14:textId="28D2D982" w:rsidR="008857EC" w:rsidRPr="003E2C48" w:rsidRDefault="008A192D" w:rsidP="00430DF0">
            <w:pPr>
              <w:suppressAutoHyphens/>
              <w:spacing w:before="0"/>
              <w:rPr>
                <w:rFonts w:ascii="Times New Roman" w:hAnsi="Times New Roman"/>
                <w:noProof/>
                <w:sz w:val="24"/>
              </w:rPr>
            </w:pPr>
            <w:r w:rsidRPr="003E2C48">
              <w:rPr>
                <w:rFonts w:ascii="Times New Roman" w:hAnsi="Times New Roman"/>
                <w:noProof/>
                <w:sz w:val="24"/>
              </w:rPr>
              <w:t>— ekonomski modeli (modeliranje raspodjele financijskog bogatstva na depozite bez dospijeća ili alternativna ulaganja prema različitim tržišnim scenarijima/ekonomskim čimbenicima),</w:t>
            </w:r>
          </w:p>
          <w:p w14:paraId="080A6466" w14:textId="3BEF2199" w:rsidR="008857EC" w:rsidRPr="003E2C48" w:rsidRDefault="008A192D" w:rsidP="00430DF0">
            <w:pPr>
              <w:suppressAutoHyphens/>
              <w:spacing w:before="0"/>
              <w:rPr>
                <w:rFonts w:ascii="Times New Roman" w:hAnsi="Times New Roman"/>
                <w:noProof/>
                <w:sz w:val="24"/>
              </w:rPr>
            </w:pPr>
            <w:r w:rsidRPr="003E2C48">
              <w:rPr>
                <w:rFonts w:ascii="Times New Roman" w:hAnsi="Times New Roman"/>
                <w:noProof/>
                <w:sz w:val="24"/>
              </w:rPr>
              <w:t>— stručna prosudba,</w:t>
            </w:r>
          </w:p>
          <w:p w14:paraId="678F986F" w14:textId="5FE8CE76" w:rsidR="007A5DA9" w:rsidRPr="003E2C48" w:rsidRDefault="008A192D" w:rsidP="00430DF0">
            <w:pPr>
              <w:suppressAutoHyphens/>
              <w:spacing w:before="0"/>
              <w:rPr>
                <w:rFonts w:ascii="Times New Roman" w:hAnsi="Times New Roman"/>
                <w:noProof/>
                <w:sz w:val="24"/>
              </w:rPr>
            </w:pPr>
            <w:r w:rsidRPr="003E2C48">
              <w:rPr>
                <w:rFonts w:ascii="Times New Roman" w:hAnsi="Times New Roman"/>
                <w:noProof/>
                <w:sz w:val="24"/>
              </w:rPr>
              <w:t>— ostalo.</w:t>
            </w:r>
          </w:p>
        </w:tc>
      </w:tr>
      <w:tr w:rsidR="00B3451B" w:rsidRPr="003E2C48" w14:paraId="46309D17" w14:textId="77777777" w:rsidTr="763F32FC">
        <w:tc>
          <w:tcPr>
            <w:tcW w:w="1129" w:type="dxa"/>
          </w:tcPr>
          <w:p w14:paraId="178C8037" w14:textId="03375BE6" w:rsidR="00B3451B" w:rsidRPr="003E2C48" w:rsidRDefault="00B3451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0190</w:t>
            </w:r>
          </w:p>
        </w:tc>
        <w:tc>
          <w:tcPr>
            <w:tcW w:w="7620" w:type="dxa"/>
          </w:tcPr>
          <w:p w14:paraId="11B9CE0D" w14:textId="543F5F75" w:rsidR="00B3451B" w:rsidRPr="003E2C48" w:rsidRDefault="00B3451B" w:rsidP="00430DF0">
            <w:pPr>
              <w:suppressAutoHyphens/>
              <w:spacing w:before="0"/>
              <w:rPr>
                <w:rFonts w:ascii="Times New Roman" w:hAnsi="Times New Roman"/>
                <w:noProof/>
                <w:sz w:val="24"/>
                <w:u w:val="single"/>
              </w:rPr>
            </w:pPr>
            <w:r w:rsidRPr="003E2C48">
              <w:rPr>
                <w:rFonts w:ascii="Times New Roman" w:hAnsi="Times New Roman"/>
                <w:b/>
                <w:noProof/>
                <w:sz w:val="24"/>
                <w:u w:val="single"/>
              </w:rPr>
              <w:t>Utvrđivanje salda osnovnih komponenata depozita bez dospijeća</w:t>
            </w:r>
            <w:r w:rsidRPr="003E2C48">
              <w:rPr>
                <w:rFonts w:ascii="Times New Roman" w:hAnsi="Times New Roman"/>
                <w:noProof/>
                <w:sz w:val="24"/>
                <w:u w:val="single"/>
              </w:rPr>
              <w:t xml:space="preserve"> </w:t>
            </w:r>
          </w:p>
          <w:p w14:paraId="7B68425D" w14:textId="08EBCB9E" w:rsidR="00EE6F88" w:rsidRPr="003E2C48" w:rsidRDefault="00EE6F88" w:rsidP="00430DF0">
            <w:pPr>
              <w:suppressAutoHyphens/>
              <w:spacing w:before="0"/>
              <w:rPr>
                <w:rFonts w:ascii="Times New Roman" w:hAnsi="Times New Roman"/>
                <w:noProof/>
                <w:sz w:val="24"/>
              </w:rPr>
            </w:pPr>
            <w:r w:rsidRPr="003E2C48">
              <w:rPr>
                <w:rFonts w:ascii="Times New Roman" w:hAnsi="Times New Roman"/>
                <w:noProof/>
                <w:sz w:val="24"/>
              </w:rPr>
              <w:t>Institucije navode suočavaju li se s problemima u identificiranju osnovnih salda depozita bez dospijeća koja nisu uvjetovana scenarijem kamatnih stopa:</w:t>
            </w:r>
          </w:p>
          <w:p w14:paraId="405B5D9F" w14:textId="01456395" w:rsidR="008A192D"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da,</w:t>
            </w:r>
          </w:p>
          <w:p w14:paraId="0C236ED0" w14:textId="5E09EF05" w:rsidR="008A192D"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ne,</w:t>
            </w:r>
          </w:p>
          <w:p w14:paraId="041F774E" w14:textId="3E236CE2" w:rsidR="0096266F" w:rsidRPr="003E2C48" w:rsidRDefault="008A192D" w:rsidP="00430DF0">
            <w:pPr>
              <w:suppressAutoHyphens/>
              <w:spacing w:before="0"/>
              <w:rPr>
                <w:rFonts w:ascii="Times New Roman" w:hAnsi="Times New Roman"/>
                <w:noProof/>
              </w:rPr>
            </w:pPr>
            <w:r w:rsidRPr="003E2C48">
              <w:rPr>
                <w:rStyle w:val="InstructionsTabelleberschrift"/>
                <w:rFonts w:ascii="Times New Roman" w:hAnsi="Times New Roman"/>
                <w:b w:val="0"/>
                <w:noProof/>
                <w:sz w:val="24"/>
                <w:u w:val="none"/>
              </w:rPr>
              <w:t>— nije primjenjivo.</w:t>
            </w:r>
          </w:p>
        </w:tc>
      </w:tr>
      <w:tr w:rsidR="00B3451B" w:rsidRPr="003E2C48" w14:paraId="0AC7A101" w14:textId="77777777" w:rsidTr="763F32FC">
        <w:tc>
          <w:tcPr>
            <w:tcW w:w="1129" w:type="dxa"/>
          </w:tcPr>
          <w:p w14:paraId="52074635" w14:textId="572A5CB1" w:rsidR="00B3451B" w:rsidRPr="003E2C48" w:rsidRDefault="00B3451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0200</w:t>
            </w:r>
          </w:p>
        </w:tc>
        <w:tc>
          <w:tcPr>
            <w:tcW w:w="7620" w:type="dxa"/>
          </w:tcPr>
          <w:p w14:paraId="0444DE63" w14:textId="743A7A9C" w:rsidR="00B3451B" w:rsidRPr="003E2C48" w:rsidRDefault="00EE6F88"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Relevantni čimbenici salda depozita bez dospijeća</w:t>
            </w:r>
          </w:p>
          <w:p w14:paraId="7C1D4AB3" w14:textId="027E9701" w:rsidR="00B3451B" w:rsidRPr="003E2C48" w:rsidRDefault="00EE6F88" w:rsidP="00430DF0">
            <w:pPr>
              <w:suppressAutoHyphens/>
              <w:spacing w:before="0"/>
              <w:rPr>
                <w:rFonts w:ascii="Times New Roman" w:hAnsi="Times New Roman"/>
                <w:b/>
                <w:bCs/>
                <w:noProof/>
                <w:sz w:val="24"/>
                <w:u w:val="single"/>
              </w:rPr>
            </w:pPr>
            <w:r w:rsidRPr="003E2C48">
              <w:rPr>
                <w:rFonts w:ascii="Times New Roman" w:hAnsi="Times New Roman"/>
                <w:noProof/>
                <w:sz w:val="24"/>
              </w:rPr>
              <w:t xml:space="preserve">Institucije navode nazive relevantnih pokretača za utvrđivanje osnovnih salda. </w:t>
            </w:r>
          </w:p>
        </w:tc>
      </w:tr>
      <w:tr w:rsidR="00B3451B" w:rsidRPr="003E2C48" w14:paraId="7E64C4CA" w14:textId="77777777" w:rsidTr="763F32FC">
        <w:tc>
          <w:tcPr>
            <w:tcW w:w="1129" w:type="dxa"/>
          </w:tcPr>
          <w:p w14:paraId="48F8F1A7" w14:textId="27235DE7" w:rsidR="00B3451B" w:rsidRPr="003E2C48" w:rsidRDefault="00B3451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0210</w:t>
            </w:r>
          </w:p>
        </w:tc>
        <w:tc>
          <w:tcPr>
            <w:tcW w:w="7620" w:type="dxa"/>
          </w:tcPr>
          <w:p w14:paraId="1E9D3972" w14:textId="5F50B09E" w:rsidR="00B3451B" w:rsidRPr="003E2C48" w:rsidRDefault="00B3451B"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Salda osnovnih komponenata depozita bez dospijeća (razvrstavanje bilanci osnovnih komponenata)</w:t>
            </w:r>
          </w:p>
          <w:p w14:paraId="26774FB2" w14:textId="0373CBFE" w:rsidR="00EE6F88" w:rsidRPr="003E2C48" w:rsidRDefault="00EE6F88" w:rsidP="00430DF0">
            <w:pPr>
              <w:suppressAutoHyphens/>
              <w:spacing w:before="0"/>
              <w:rPr>
                <w:rFonts w:ascii="Times New Roman" w:hAnsi="Times New Roman"/>
                <w:noProof/>
                <w:sz w:val="24"/>
              </w:rPr>
            </w:pPr>
            <w:r w:rsidRPr="003E2C48">
              <w:rPr>
                <w:rFonts w:ascii="Times New Roman" w:hAnsi="Times New Roman"/>
                <w:noProof/>
                <w:sz w:val="24"/>
              </w:rPr>
              <w:t>Institucije navode kako raspoređuju osnovna stanja depozita bez dospijeća:</w:t>
            </w:r>
          </w:p>
          <w:p w14:paraId="5AED92C8" w14:textId="6CBFEEAA" w:rsidR="00EE6F88" w:rsidRPr="003E2C48" w:rsidRDefault="008A192D" w:rsidP="00430DF0">
            <w:pPr>
              <w:suppressAutoHyphens/>
              <w:spacing w:before="0"/>
              <w:rPr>
                <w:rFonts w:ascii="Times New Roman" w:hAnsi="Times New Roman"/>
                <w:b/>
                <w:bCs/>
                <w:noProof/>
                <w:sz w:val="24"/>
                <w:u w:val="single"/>
              </w:rPr>
            </w:pPr>
            <w:r w:rsidRPr="003E2C48">
              <w:rPr>
                <w:rFonts w:ascii="Times New Roman" w:hAnsi="Times New Roman"/>
                <w:noProof/>
                <w:sz w:val="24"/>
              </w:rPr>
              <w:t>— sva osnovna salda raspoređena su u samo jedno razdoblje ponovnog vrednovanja,</w:t>
            </w:r>
          </w:p>
          <w:p w14:paraId="115B80B1" w14:textId="1A33D4D7" w:rsidR="00B3451B" w:rsidRPr="003E2C48" w:rsidRDefault="008A192D" w:rsidP="00430DF0">
            <w:pPr>
              <w:suppressAutoHyphens/>
              <w:spacing w:before="0"/>
              <w:rPr>
                <w:rFonts w:ascii="Times New Roman" w:hAnsi="Times New Roman"/>
                <w:b/>
                <w:noProof/>
                <w:u w:val="single"/>
              </w:rPr>
            </w:pPr>
            <w:r w:rsidRPr="003E2C48">
              <w:rPr>
                <w:rFonts w:ascii="Times New Roman" w:hAnsi="Times New Roman"/>
                <w:noProof/>
                <w:sz w:val="24"/>
              </w:rPr>
              <w:t>— osnovna salda raspoređena su u različita razdoblja ponovnog vrednovanja.</w:t>
            </w:r>
          </w:p>
        </w:tc>
      </w:tr>
      <w:tr w:rsidR="00B3451B" w:rsidRPr="003E2C48" w14:paraId="793FE408" w14:textId="77777777" w:rsidTr="763F32FC">
        <w:tc>
          <w:tcPr>
            <w:tcW w:w="1129" w:type="dxa"/>
          </w:tcPr>
          <w:p w14:paraId="09DC633C" w14:textId="6BD27C76" w:rsidR="00B3451B" w:rsidRPr="003E2C48" w:rsidRDefault="00B3451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0220</w:t>
            </w:r>
          </w:p>
        </w:tc>
        <w:tc>
          <w:tcPr>
            <w:tcW w:w="7620" w:type="dxa"/>
          </w:tcPr>
          <w:p w14:paraId="1BD693EB" w14:textId="14614877" w:rsidR="00B3451B" w:rsidRPr="003E2C48" w:rsidRDefault="00B3451B"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Petogodišnja gornja granica za ponovno određivanje vrijednosti depozita bez dospijeća pri upravljanju rizikom IRRBB-a</w:t>
            </w:r>
          </w:p>
          <w:p w14:paraId="188A8A54" w14:textId="00BAF5AA" w:rsidR="00B3451B" w:rsidRPr="003E2C48" w:rsidRDefault="00EE6F88" w:rsidP="00430DF0">
            <w:pPr>
              <w:suppressAutoHyphens/>
              <w:spacing w:before="0"/>
              <w:rPr>
                <w:rFonts w:ascii="Times New Roman" w:hAnsi="Times New Roman"/>
                <w:noProof/>
                <w:sz w:val="24"/>
              </w:rPr>
            </w:pPr>
            <w:r w:rsidRPr="003E2C48">
              <w:rPr>
                <w:rFonts w:ascii="Times New Roman" w:hAnsi="Times New Roman"/>
                <w:noProof/>
                <w:sz w:val="24"/>
              </w:rPr>
              <w:t>Institucije navode je li primijećen neželjeni učinak u smislu upravljanja rizikom IRRBB-a i strategija zaštite od rizika, zbog petogodišnje gornje granice za ponovno određivanje vrijednosti u internom sustavu mjerenja IRRBB-a:</w:t>
            </w:r>
          </w:p>
          <w:p w14:paraId="6B092AAE" w14:textId="5178F0EE" w:rsidR="008A192D"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da,</w:t>
            </w:r>
          </w:p>
          <w:p w14:paraId="59B74C58" w14:textId="27BFB67A" w:rsidR="008A192D"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ne,</w:t>
            </w:r>
          </w:p>
          <w:p w14:paraId="66D7A0C7" w14:textId="00C81BE6" w:rsidR="00CD2D7A" w:rsidRPr="003E2C48" w:rsidRDefault="008A192D" w:rsidP="00430DF0">
            <w:pPr>
              <w:suppressAutoHyphens/>
              <w:spacing w:before="0"/>
              <w:rPr>
                <w:rFonts w:ascii="Times New Roman" w:hAnsi="Times New Roman"/>
                <w:noProof/>
              </w:rPr>
            </w:pPr>
            <w:r w:rsidRPr="003E2C48">
              <w:rPr>
                <w:rStyle w:val="InstructionsTabelleberschrift"/>
                <w:rFonts w:ascii="Times New Roman" w:hAnsi="Times New Roman"/>
                <w:b w:val="0"/>
                <w:noProof/>
                <w:sz w:val="24"/>
                <w:u w:val="none"/>
              </w:rPr>
              <w:t>— nije primjenjivo.</w:t>
            </w:r>
          </w:p>
        </w:tc>
      </w:tr>
      <w:tr w:rsidR="00B3451B" w:rsidRPr="003E2C48" w14:paraId="000798D2" w14:textId="77777777" w:rsidTr="763F32FC">
        <w:tc>
          <w:tcPr>
            <w:tcW w:w="1129" w:type="dxa"/>
          </w:tcPr>
          <w:p w14:paraId="231BFCC5" w14:textId="1A03F6AA" w:rsidR="00B3451B" w:rsidRPr="003E2C48" w:rsidRDefault="00B3451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0230</w:t>
            </w:r>
          </w:p>
        </w:tc>
        <w:tc>
          <w:tcPr>
            <w:tcW w:w="7620" w:type="dxa"/>
          </w:tcPr>
          <w:p w14:paraId="7C54CEED" w14:textId="77777777" w:rsidR="00B3451B" w:rsidRPr="003E2C48" w:rsidRDefault="00B3451B"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Izuzeća od petogodišnje gornje granice za ponovno određivanje vrijednosti depozita bez dospijeća</w:t>
            </w:r>
          </w:p>
          <w:p w14:paraId="2B9A88F2" w14:textId="75C94D59" w:rsidR="00B3451B" w:rsidRPr="003E2C48" w:rsidRDefault="00CD2D7A" w:rsidP="00430DF0">
            <w:pPr>
              <w:suppressAutoHyphens/>
              <w:spacing w:before="0"/>
              <w:rPr>
                <w:rFonts w:ascii="Times New Roman" w:hAnsi="Times New Roman"/>
                <w:noProof/>
                <w:sz w:val="24"/>
              </w:rPr>
            </w:pPr>
            <w:r w:rsidRPr="003E2C48">
              <w:rPr>
                <w:rFonts w:ascii="Times New Roman" w:hAnsi="Times New Roman"/>
                <w:noProof/>
                <w:sz w:val="24"/>
              </w:rPr>
              <w:t>Institucije navode primjenjuju li izuzeća od petogodišnje gornje granice određivanja vrijednosti za bilo koji od svojih proizvoda u okviru IRRBB-a:</w:t>
            </w:r>
          </w:p>
          <w:p w14:paraId="1A4C2114" w14:textId="17E2F52A" w:rsidR="008A192D"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da,</w:t>
            </w:r>
          </w:p>
          <w:p w14:paraId="759DBDD3" w14:textId="78E3FEFB" w:rsidR="008A192D"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ne,</w:t>
            </w:r>
          </w:p>
          <w:p w14:paraId="03BCE0C5" w14:textId="40E33CC3" w:rsidR="00CD2D7A" w:rsidRPr="003E2C48" w:rsidRDefault="008A192D" w:rsidP="00430DF0">
            <w:pPr>
              <w:suppressAutoHyphens/>
              <w:spacing w:before="0"/>
              <w:rPr>
                <w:rFonts w:ascii="Times New Roman" w:hAnsi="Times New Roman"/>
                <w:noProof/>
              </w:rPr>
            </w:pPr>
            <w:r w:rsidRPr="003E2C48">
              <w:rPr>
                <w:rStyle w:val="InstructionsTabelleberschrift"/>
                <w:rFonts w:ascii="Times New Roman" w:hAnsi="Times New Roman"/>
                <w:b w:val="0"/>
                <w:noProof/>
                <w:sz w:val="24"/>
                <w:u w:val="none"/>
              </w:rPr>
              <w:t>— nije primjenjivo.</w:t>
            </w:r>
          </w:p>
        </w:tc>
      </w:tr>
      <w:tr w:rsidR="00B3451B" w:rsidRPr="003E2C48" w14:paraId="640FEDD7" w14:textId="77777777" w:rsidTr="763F32FC">
        <w:tc>
          <w:tcPr>
            <w:tcW w:w="1129" w:type="dxa"/>
          </w:tcPr>
          <w:p w14:paraId="3E7E6D0E" w14:textId="5FCC1AC1" w:rsidR="00B3451B" w:rsidRPr="003E2C48" w:rsidRDefault="00B3451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0240</w:t>
            </w:r>
          </w:p>
        </w:tc>
        <w:tc>
          <w:tcPr>
            <w:tcW w:w="7620" w:type="dxa"/>
          </w:tcPr>
          <w:p w14:paraId="7177E094" w14:textId="1488F142" w:rsidR="00B3451B" w:rsidRPr="003E2C48" w:rsidRDefault="00B3451B"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Modeliranje operativnih depozita bez dospijeća financijskih klijenata</w:t>
            </w:r>
          </w:p>
          <w:p w14:paraId="016808F6" w14:textId="045DC9E3" w:rsidR="00CD2D7A" w:rsidRPr="003E2C48" w:rsidRDefault="00CD2D7A" w:rsidP="00430DF0">
            <w:pPr>
              <w:suppressAutoHyphens/>
              <w:spacing w:before="0"/>
              <w:rPr>
                <w:rFonts w:ascii="Times New Roman" w:hAnsi="Times New Roman"/>
                <w:noProof/>
                <w:sz w:val="24"/>
              </w:rPr>
            </w:pPr>
            <w:r w:rsidRPr="003E2C48">
              <w:rPr>
                <w:rFonts w:ascii="Times New Roman" w:hAnsi="Times New Roman"/>
                <w:noProof/>
                <w:sz w:val="24"/>
              </w:rPr>
              <w:t>Institucije navode podliježu li depoziti bez dospijeća financijskih klijenata klasificirani kao operativni depoziti, na koje se primjenjuje članak 27. stavak 1. točka (a) Delegirane uredbe (EU) 2015/61, bihevioralnom modeliranju:</w:t>
            </w:r>
          </w:p>
          <w:p w14:paraId="66706F43" w14:textId="1D16C3C3" w:rsidR="008A192D"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da,</w:t>
            </w:r>
          </w:p>
          <w:p w14:paraId="026950A9" w14:textId="0D60CF75" w:rsidR="008A192D" w:rsidRPr="003E2C48" w:rsidRDefault="008A192D"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ne,</w:t>
            </w:r>
          </w:p>
          <w:p w14:paraId="132A97D8" w14:textId="56037725" w:rsidR="00B3451B" w:rsidRPr="003E2C48" w:rsidRDefault="008A192D" w:rsidP="00430DF0">
            <w:pPr>
              <w:suppressAutoHyphens/>
              <w:spacing w:before="0"/>
              <w:rPr>
                <w:rFonts w:ascii="Times New Roman" w:hAnsi="Times New Roman"/>
                <w:noProof/>
              </w:rPr>
            </w:pPr>
            <w:r w:rsidRPr="003E2C48">
              <w:rPr>
                <w:rStyle w:val="InstructionsTabelleberschrift"/>
                <w:rFonts w:ascii="Times New Roman" w:hAnsi="Times New Roman"/>
                <w:b w:val="0"/>
                <w:noProof/>
                <w:sz w:val="24"/>
                <w:u w:val="none"/>
              </w:rPr>
              <w:t>— nije primjenjivo.</w:t>
            </w:r>
          </w:p>
        </w:tc>
      </w:tr>
      <w:tr w:rsidR="00B3451B" w:rsidRPr="003E2C48" w14:paraId="73931E62" w14:textId="77777777" w:rsidTr="763F32FC">
        <w:tc>
          <w:tcPr>
            <w:tcW w:w="1129" w:type="dxa"/>
          </w:tcPr>
          <w:p w14:paraId="0BA17B70" w14:textId="732BF3CF" w:rsidR="00B3451B" w:rsidRPr="003E2C48" w:rsidRDefault="00B3451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0250</w:t>
            </w:r>
          </w:p>
        </w:tc>
        <w:tc>
          <w:tcPr>
            <w:tcW w:w="7620" w:type="dxa"/>
          </w:tcPr>
          <w:p w14:paraId="16F3972E" w14:textId="68C6CD62" w:rsidR="00EE6F88" w:rsidRPr="003E2C48" w:rsidRDefault="00EE6F88"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Promjene strukture bilance zbog kamatnih stopa</w:t>
            </w:r>
          </w:p>
          <w:p w14:paraId="1B01EB73" w14:textId="45302EF2" w:rsidR="008B3953" w:rsidRPr="003E2C48" w:rsidRDefault="00B3451B" w:rsidP="00430DF0">
            <w:pPr>
              <w:suppressAutoHyphens/>
              <w:spacing w:before="0"/>
              <w:rPr>
                <w:rFonts w:ascii="Times New Roman" w:hAnsi="Times New Roman"/>
                <w:noProof/>
                <w:sz w:val="24"/>
              </w:rPr>
            </w:pPr>
            <w:r w:rsidRPr="003E2C48">
              <w:rPr>
                <w:rFonts w:ascii="Times New Roman" w:hAnsi="Times New Roman"/>
                <w:noProof/>
                <w:sz w:val="24"/>
              </w:rPr>
              <w:t xml:space="preserve">Institucije navode promjene u strukturi bilance od posljednjeg izvješćivanja o IRRBB-u: </w:t>
            </w:r>
          </w:p>
          <w:p w14:paraId="55D34979" w14:textId="0FB61509" w:rsidR="008B3953" w:rsidRPr="003E2C48" w:rsidRDefault="00694CA0" w:rsidP="00430DF0">
            <w:pPr>
              <w:suppressAutoHyphens/>
              <w:spacing w:before="0"/>
              <w:rPr>
                <w:rFonts w:ascii="Times New Roman" w:hAnsi="Times New Roman"/>
                <w:noProof/>
                <w:sz w:val="24"/>
              </w:rPr>
            </w:pPr>
            <w:r w:rsidRPr="003E2C48">
              <w:rPr>
                <w:rFonts w:ascii="Times New Roman" w:hAnsi="Times New Roman"/>
                <w:noProof/>
                <w:sz w:val="24"/>
              </w:rPr>
              <w:t>— smanjenje razlike u trajanju između imovine/obveza smanjenjem trajanja imovine,</w:t>
            </w:r>
          </w:p>
          <w:p w14:paraId="694D4FF0" w14:textId="722499D5" w:rsidR="008B3953" w:rsidRPr="003E2C48" w:rsidRDefault="00694CA0" w:rsidP="00430DF0">
            <w:pPr>
              <w:suppressAutoHyphens/>
              <w:spacing w:before="0"/>
              <w:rPr>
                <w:rFonts w:ascii="Times New Roman" w:hAnsi="Times New Roman"/>
                <w:noProof/>
                <w:sz w:val="24"/>
              </w:rPr>
            </w:pPr>
            <w:r w:rsidRPr="003E2C48">
              <w:rPr>
                <w:rFonts w:ascii="Times New Roman" w:hAnsi="Times New Roman"/>
                <w:noProof/>
                <w:sz w:val="24"/>
              </w:rPr>
              <w:t>— smanjenje razlike u trajanju između imovine/obveza povećanjem trajanja obveza,</w:t>
            </w:r>
          </w:p>
          <w:p w14:paraId="374D8D69" w14:textId="70919FAA" w:rsidR="008B3953" w:rsidRPr="003E2C48" w:rsidRDefault="00694CA0" w:rsidP="00430DF0">
            <w:pPr>
              <w:suppressAutoHyphens/>
              <w:spacing w:before="0"/>
              <w:rPr>
                <w:rFonts w:ascii="Times New Roman" w:hAnsi="Times New Roman"/>
                <w:noProof/>
                <w:sz w:val="24"/>
              </w:rPr>
            </w:pPr>
            <w:r w:rsidRPr="003E2C48">
              <w:rPr>
                <w:rFonts w:ascii="Times New Roman" w:hAnsi="Times New Roman"/>
                <w:noProof/>
                <w:sz w:val="24"/>
              </w:rPr>
              <w:t>— smanjenje razlike u trajanju između imovine/obveza smanjenjem trajanja imovine i povećanjem trajanja obveza,</w:t>
            </w:r>
          </w:p>
          <w:p w14:paraId="57D61254" w14:textId="33EEA5AC" w:rsidR="00B3451B" w:rsidRPr="003E2C48" w:rsidRDefault="00694CA0" w:rsidP="00430DF0">
            <w:pPr>
              <w:suppressAutoHyphens/>
              <w:spacing w:before="0"/>
              <w:rPr>
                <w:rFonts w:ascii="Times New Roman" w:hAnsi="Times New Roman"/>
                <w:noProof/>
                <w:sz w:val="24"/>
              </w:rPr>
            </w:pPr>
            <w:r w:rsidRPr="003E2C48">
              <w:rPr>
                <w:rFonts w:ascii="Times New Roman" w:hAnsi="Times New Roman"/>
                <w:noProof/>
                <w:sz w:val="24"/>
              </w:rPr>
              <w:t>— povećanje razlike u trajanju povećanjem trajanja imovine;</w:t>
            </w:r>
          </w:p>
          <w:p w14:paraId="6BEBC9EB" w14:textId="65569957" w:rsidR="008B3953" w:rsidRPr="003E2C48" w:rsidRDefault="00694CA0" w:rsidP="00430DF0">
            <w:pPr>
              <w:suppressAutoHyphens/>
              <w:spacing w:before="0"/>
              <w:rPr>
                <w:rFonts w:ascii="Times New Roman" w:hAnsi="Times New Roman"/>
                <w:noProof/>
                <w:sz w:val="24"/>
              </w:rPr>
            </w:pPr>
            <w:r w:rsidRPr="003E2C48">
              <w:rPr>
                <w:rFonts w:ascii="Times New Roman" w:hAnsi="Times New Roman"/>
                <w:noProof/>
                <w:sz w:val="24"/>
              </w:rPr>
              <w:t>— povećanje razlike u trajanju smanjenjem trajanja obveza,</w:t>
            </w:r>
          </w:p>
          <w:p w14:paraId="4D0929BD" w14:textId="464580FC" w:rsidR="008B3953" w:rsidRPr="003E2C48" w:rsidRDefault="00694CA0" w:rsidP="00430DF0">
            <w:pPr>
              <w:suppressAutoHyphens/>
              <w:spacing w:before="0"/>
              <w:rPr>
                <w:rFonts w:ascii="Times New Roman" w:hAnsi="Times New Roman"/>
                <w:b/>
                <w:bCs/>
                <w:noProof/>
                <w:sz w:val="24"/>
                <w:u w:val="single"/>
              </w:rPr>
            </w:pPr>
            <w:r w:rsidRPr="003E2C48">
              <w:rPr>
                <w:rFonts w:ascii="Times New Roman" w:hAnsi="Times New Roman"/>
                <w:noProof/>
                <w:sz w:val="24"/>
              </w:rPr>
              <w:t>— povećanje razlike u trajanju povećanjem trajanja imovine i smanjenjem trajanja obveza.</w:t>
            </w:r>
          </w:p>
        </w:tc>
      </w:tr>
      <w:tr w:rsidR="00B3451B" w:rsidRPr="003E2C48" w14:paraId="218435CB" w14:textId="77777777" w:rsidTr="763F32FC">
        <w:tc>
          <w:tcPr>
            <w:tcW w:w="1129" w:type="dxa"/>
          </w:tcPr>
          <w:p w14:paraId="6E0196ED" w14:textId="6D16DEF7" w:rsidR="00B3451B" w:rsidRPr="003E2C48" w:rsidRDefault="00B3451B"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0260</w:t>
            </w:r>
          </w:p>
        </w:tc>
        <w:tc>
          <w:tcPr>
            <w:tcW w:w="7620" w:type="dxa"/>
          </w:tcPr>
          <w:p w14:paraId="4FFDB841" w14:textId="71F7EA4E" w:rsidR="00EE6F88" w:rsidRPr="003E2C48" w:rsidRDefault="00EE6F88"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Strategije ublažavanja IRRBB-a i zaštite od rizika (EVE)</w:t>
            </w:r>
          </w:p>
          <w:p w14:paraId="6516422C" w14:textId="3150FCEC" w:rsidR="008B3953" w:rsidRPr="003E2C48" w:rsidRDefault="00B3451B" w:rsidP="00430DF0">
            <w:pPr>
              <w:suppressAutoHyphens/>
              <w:spacing w:before="0"/>
              <w:rPr>
                <w:rFonts w:ascii="Times New Roman" w:hAnsi="Times New Roman"/>
                <w:noProof/>
                <w:sz w:val="24"/>
              </w:rPr>
            </w:pPr>
            <w:r w:rsidRPr="003E2C48">
              <w:rPr>
                <w:rFonts w:ascii="Times New Roman" w:hAnsi="Times New Roman"/>
                <w:noProof/>
                <w:sz w:val="24"/>
              </w:rPr>
              <w:t xml:space="preserve">Institucije navode očekuju li promjene u svojim strategijama ublažavanja IRR-a i zaštite od rizika u bilo kojem od scenarija predviđenih u </w:t>
            </w:r>
            <w:r w:rsidRPr="003E2C48">
              <w:rPr>
                <w:rStyle w:val="InstructionsTabelleberschrift"/>
                <w:rFonts w:ascii="Times New Roman" w:hAnsi="Times New Roman"/>
                <w:b w:val="0"/>
                <w:noProof/>
                <w:sz w:val="24"/>
                <w:u w:val="none"/>
              </w:rPr>
              <w:t>Delegiranoj uredbi (EU) …/… (Ured za publikacije: unijeti upućivanje na regulatorni tehnički standard</w:t>
            </w:r>
            <w:r w:rsidRPr="003E2C48">
              <w:rPr>
                <w:rFonts w:ascii="Times New Roman" w:hAnsi="Times New Roman"/>
                <w:noProof/>
                <w:sz w:val="24"/>
              </w:rPr>
              <w:t xml:space="preserve"> o SOT-u) za EVE:</w:t>
            </w:r>
          </w:p>
          <w:p w14:paraId="0F1BB673" w14:textId="5D6449C7" w:rsidR="00F466A7" w:rsidRPr="003E2C48" w:rsidRDefault="00694CA0" w:rsidP="00430DF0">
            <w:pPr>
              <w:suppressAutoHyphens/>
              <w:spacing w:before="0"/>
              <w:rPr>
                <w:rFonts w:ascii="Times New Roman" w:hAnsi="Times New Roman"/>
                <w:noProof/>
                <w:sz w:val="24"/>
              </w:rPr>
            </w:pPr>
            <w:r w:rsidRPr="003E2C48">
              <w:rPr>
                <w:rFonts w:ascii="Times New Roman" w:hAnsi="Times New Roman"/>
                <w:noProof/>
                <w:sz w:val="24"/>
              </w:rPr>
              <w:t>— paralelni šok rasta,</w:t>
            </w:r>
          </w:p>
          <w:p w14:paraId="353314E6" w14:textId="2682B715" w:rsidR="00F466A7" w:rsidRPr="003E2C48" w:rsidRDefault="00694CA0" w:rsidP="00430DF0">
            <w:pPr>
              <w:suppressAutoHyphens/>
              <w:spacing w:before="0"/>
              <w:rPr>
                <w:rFonts w:ascii="Times New Roman" w:hAnsi="Times New Roman"/>
                <w:noProof/>
                <w:sz w:val="24"/>
              </w:rPr>
            </w:pPr>
            <w:r w:rsidRPr="003E2C48">
              <w:rPr>
                <w:rFonts w:ascii="Times New Roman" w:hAnsi="Times New Roman"/>
                <w:noProof/>
                <w:sz w:val="24"/>
              </w:rPr>
              <w:t>— paralelni šok pada,</w:t>
            </w:r>
          </w:p>
          <w:p w14:paraId="03B57B19" w14:textId="13660339" w:rsidR="00F466A7" w:rsidRPr="003E2C48" w:rsidRDefault="00694CA0" w:rsidP="00430DF0">
            <w:pPr>
              <w:suppressAutoHyphens/>
              <w:spacing w:before="0"/>
              <w:rPr>
                <w:rFonts w:ascii="Times New Roman" w:hAnsi="Times New Roman"/>
                <w:noProof/>
                <w:sz w:val="24"/>
              </w:rPr>
            </w:pPr>
            <w:r w:rsidRPr="003E2C48">
              <w:rPr>
                <w:rFonts w:ascii="Times New Roman" w:hAnsi="Times New Roman"/>
                <w:noProof/>
                <w:sz w:val="24"/>
              </w:rPr>
              <w:t>— šok nakošenja,</w:t>
            </w:r>
          </w:p>
          <w:p w14:paraId="644022C1" w14:textId="60744793" w:rsidR="00F466A7" w:rsidRPr="003E2C48" w:rsidRDefault="00694CA0" w:rsidP="00430DF0">
            <w:pPr>
              <w:suppressAutoHyphens/>
              <w:spacing w:before="0"/>
              <w:rPr>
                <w:rFonts w:ascii="Times New Roman" w:hAnsi="Times New Roman"/>
                <w:noProof/>
                <w:sz w:val="24"/>
              </w:rPr>
            </w:pPr>
            <w:r w:rsidRPr="003E2C48">
              <w:rPr>
                <w:rFonts w:ascii="Times New Roman" w:hAnsi="Times New Roman"/>
                <w:noProof/>
                <w:sz w:val="24"/>
              </w:rPr>
              <w:t>— šok izravnanja,</w:t>
            </w:r>
          </w:p>
          <w:p w14:paraId="0B823A8E" w14:textId="31BECE1C" w:rsidR="00F466A7" w:rsidRPr="003E2C48" w:rsidRDefault="00694CA0" w:rsidP="00430DF0">
            <w:pPr>
              <w:suppressAutoHyphens/>
              <w:spacing w:before="0"/>
              <w:rPr>
                <w:rFonts w:ascii="Times New Roman" w:hAnsi="Times New Roman"/>
                <w:noProof/>
                <w:sz w:val="24"/>
              </w:rPr>
            </w:pPr>
            <w:r w:rsidRPr="003E2C48">
              <w:rPr>
                <w:rFonts w:ascii="Times New Roman" w:hAnsi="Times New Roman"/>
                <w:noProof/>
                <w:sz w:val="24"/>
              </w:rPr>
              <w:t>— šok rasta kratkoročnih kamatnih stopa,</w:t>
            </w:r>
          </w:p>
          <w:p w14:paraId="4E07EFB8" w14:textId="7FF5D306" w:rsidR="00F466A7" w:rsidRPr="003E2C48" w:rsidRDefault="00694CA0" w:rsidP="00430DF0">
            <w:pPr>
              <w:suppressAutoHyphens/>
              <w:spacing w:before="0"/>
              <w:rPr>
                <w:rFonts w:ascii="Times New Roman" w:hAnsi="Times New Roman"/>
                <w:b/>
                <w:bCs/>
                <w:noProof/>
                <w:sz w:val="24"/>
                <w:u w:val="single"/>
              </w:rPr>
            </w:pPr>
            <w:r w:rsidRPr="003E2C48">
              <w:rPr>
                <w:rFonts w:ascii="Times New Roman" w:hAnsi="Times New Roman"/>
                <w:noProof/>
                <w:sz w:val="24"/>
              </w:rPr>
              <w:t>— šok pada kratkoročnih kamatnih stopa.</w:t>
            </w:r>
          </w:p>
        </w:tc>
      </w:tr>
      <w:tr w:rsidR="00F466A7" w:rsidRPr="003E2C48" w14:paraId="532A6946" w14:textId="77777777" w:rsidTr="763F32FC">
        <w:tc>
          <w:tcPr>
            <w:tcW w:w="1129" w:type="dxa"/>
          </w:tcPr>
          <w:p w14:paraId="3EAC5854" w14:textId="247A16AB" w:rsidR="00F466A7" w:rsidRPr="003E2C48" w:rsidRDefault="00F466A7"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0270</w:t>
            </w:r>
          </w:p>
        </w:tc>
        <w:tc>
          <w:tcPr>
            <w:tcW w:w="7620" w:type="dxa"/>
          </w:tcPr>
          <w:p w14:paraId="423E008D" w14:textId="4EE4B888" w:rsidR="00F466A7" w:rsidRPr="003E2C48" w:rsidRDefault="00F466A7"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Strategije ublažavanja IRRBB-a i zaštite od rizika (NII)</w:t>
            </w:r>
          </w:p>
          <w:p w14:paraId="5FA7EE52" w14:textId="73479DF8" w:rsidR="00F466A7" w:rsidRPr="003E2C48" w:rsidRDefault="00F466A7" w:rsidP="00430DF0">
            <w:pPr>
              <w:suppressAutoHyphens/>
              <w:spacing w:before="0"/>
              <w:rPr>
                <w:rFonts w:ascii="Times New Roman" w:hAnsi="Times New Roman"/>
                <w:noProof/>
                <w:sz w:val="24"/>
              </w:rPr>
            </w:pPr>
            <w:r w:rsidRPr="003E2C48">
              <w:rPr>
                <w:rFonts w:ascii="Times New Roman" w:hAnsi="Times New Roman"/>
                <w:noProof/>
                <w:sz w:val="24"/>
              </w:rPr>
              <w:t xml:space="preserve">Institucije navode očekuju li promjene u svojim strategijama ublažavanja IRR-a i zaštite od rizika u bilo kojem od scenarija predviđenih u </w:t>
            </w:r>
            <w:r w:rsidRPr="003E2C48">
              <w:rPr>
                <w:rStyle w:val="InstructionsTabelleberschrift"/>
                <w:rFonts w:ascii="Times New Roman" w:hAnsi="Times New Roman"/>
                <w:b w:val="0"/>
                <w:noProof/>
                <w:sz w:val="24"/>
                <w:u w:val="none"/>
              </w:rPr>
              <w:t>Delegiranoj uredbi (EU) …/… (Ured za publikacije: unijeti upućivanje na regulatorni tehnički standard</w:t>
            </w:r>
            <w:r w:rsidRPr="003E2C48">
              <w:rPr>
                <w:rFonts w:ascii="Times New Roman" w:hAnsi="Times New Roman"/>
                <w:noProof/>
                <w:sz w:val="24"/>
              </w:rPr>
              <w:t xml:space="preserve"> o SOT-u) za NII:</w:t>
            </w:r>
          </w:p>
          <w:p w14:paraId="2683288C" w14:textId="3EC59A21" w:rsidR="00F466A7" w:rsidRPr="003E2C48" w:rsidRDefault="00694CA0" w:rsidP="00430DF0">
            <w:pPr>
              <w:suppressAutoHyphens/>
              <w:spacing w:before="0"/>
              <w:rPr>
                <w:rFonts w:ascii="Times New Roman" w:hAnsi="Times New Roman"/>
                <w:noProof/>
                <w:sz w:val="24"/>
              </w:rPr>
            </w:pPr>
            <w:r w:rsidRPr="003E2C48">
              <w:rPr>
                <w:rFonts w:ascii="Times New Roman" w:hAnsi="Times New Roman"/>
                <w:noProof/>
                <w:sz w:val="24"/>
              </w:rPr>
              <w:t>— paralelni šok rasta,</w:t>
            </w:r>
          </w:p>
          <w:p w14:paraId="74C56115" w14:textId="3DB6C0E6" w:rsidR="00F466A7" w:rsidRPr="003E2C48" w:rsidRDefault="00694CA0" w:rsidP="00430DF0">
            <w:pPr>
              <w:suppressAutoHyphens/>
              <w:spacing w:before="0"/>
              <w:rPr>
                <w:rFonts w:ascii="Times New Roman" w:hAnsi="Times New Roman"/>
                <w:noProof/>
                <w:sz w:val="24"/>
              </w:rPr>
            </w:pPr>
            <w:r w:rsidRPr="003E2C48">
              <w:rPr>
                <w:rFonts w:ascii="Times New Roman" w:hAnsi="Times New Roman"/>
                <w:noProof/>
                <w:sz w:val="24"/>
              </w:rPr>
              <w:t>— paralelni šok pada.</w:t>
            </w:r>
          </w:p>
        </w:tc>
      </w:tr>
      <w:tr w:rsidR="00831F72" w:rsidRPr="003E2C48" w14:paraId="0AE292E1" w14:textId="77777777" w:rsidTr="763F32FC">
        <w:tc>
          <w:tcPr>
            <w:tcW w:w="1129" w:type="dxa"/>
          </w:tcPr>
          <w:p w14:paraId="37E0D940" w14:textId="089C8BDE" w:rsidR="00831F72" w:rsidRPr="003E2C48" w:rsidRDefault="00831F72"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0280</w:t>
            </w:r>
          </w:p>
        </w:tc>
        <w:tc>
          <w:tcPr>
            <w:tcW w:w="7620" w:type="dxa"/>
          </w:tcPr>
          <w:p w14:paraId="78AE75FF" w14:textId="22A0F2CD" w:rsidR="00831F72" w:rsidRPr="003E2C48" w:rsidRDefault="00831F72"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SOT za mjerenje rizika vrijednosti NII u skladu s pristupom internog sustava mjerenja – PTR za depozite stanovništva</w:t>
            </w:r>
          </w:p>
          <w:p w14:paraId="41C954DD" w14:textId="41834E99" w:rsidR="00831F72" w:rsidRPr="003E2C48" w:rsidRDefault="00831F72" w:rsidP="00430DF0">
            <w:pPr>
              <w:suppressAutoHyphens/>
              <w:spacing w:before="0"/>
              <w:rPr>
                <w:rFonts w:ascii="Times New Roman" w:hAnsi="Times New Roman"/>
                <w:noProof/>
                <w:sz w:val="24"/>
              </w:rPr>
            </w:pPr>
            <w:r w:rsidRPr="003E2C48">
              <w:rPr>
                <w:rFonts w:ascii="Times New Roman" w:hAnsi="Times New Roman"/>
                <w:noProof/>
                <w:sz w:val="24"/>
              </w:rPr>
              <w:t xml:space="preserve">Institucije navode prenose li 100 % promjena tržišnih kamatnih stopa na ponovno vrednovanje oročenih depozita stanovništva nakon njihova dospijeća prema paralelnom scenariju kamatnih stopa +200: </w:t>
            </w:r>
          </w:p>
          <w:p w14:paraId="59547F70" w14:textId="27131A63" w:rsidR="00694CA0"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da,</w:t>
            </w:r>
          </w:p>
          <w:p w14:paraId="19A9CCCC" w14:textId="22E811D9" w:rsidR="00694CA0"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ne,</w:t>
            </w:r>
          </w:p>
          <w:p w14:paraId="47FB330F" w14:textId="3C01690E" w:rsidR="00831F72" w:rsidRPr="003E2C48" w:rsidRDefault="00694CA0" w:rsidP="00430DF0">
            <w:pPr>
              <w:suppressAutoHyphens/>
              <w:spacing w:before="0"/>
              <w:rPr>
                <w:rFonts w:ascii="Times New Roman" w:hAnsi="Times New Roman"/>
                <w:b/>
                <w:bCs/>
                <w:noProof/>
                <w:u w:val="single"/>
              </w:rPr>
            </w:pPr>
            <w:r w:rsidRPr="003E2C48">
              <w:rPr>
                <w:rStyle w:val="InstructionsTabelleberschrift"/>
                <w:rFonts w:ascii="Times New Roman" w:hAnsi="Times New Roman"/>
                <w:b w:val="0"/>
                <w:noProof/>
                <w:sz w:val="24"/>
                <w:u w:val="none"/>
              </w:rPr>
              <w:t>— nije primjenjivo.</w:t>
            </w:r>
          </w:p>
        </w:tc>
      </w:tr>
      <w:tr w:rsidR="00831F72" w:rsidRPr="003E2C48" w14:paraId="0CE0F7C9" w14:textId="77777777" w:rsidTr="763F32FC">
        <w:tc>
          <w:tcPr>
            <w:tcW w:w="1129" w:type="dxa"/>
          </w:tcPr>
          <w:p w14:paraId="6B5FECF5" w14:textId="6F8280B6" w:rsidR="00831F72" w:rsidRPr="003E2C48" w:rsidRDefault="00831F72"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0290</w:t>
            </w:r>
          </w:p>
        </w:tc>
        <w:tc>
          <w:tcPr>
            <w:tcW w:w="7620" w:type="dxa"/>
          </w:tcPr>
          <w:p w14:paraId="7C90BC0D" w14:textId="6C766439" w:rsidR="00831F72" w:rsidRPr="003E2C48" w:rsidRDefault="00831F72"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SOT za mjerenje rizika vrijednosti NII u skladu s pristupom internog sustava mjerenja – PTR za kredite stanovništvu s fiksnom stopom</w:t>
            </w:r>
          </w:p>
          <w:p w14:paraId="2EAF0973" w14:textId="36777687" w:rsidR="002A07FE" w:rsidRPr="003E2C48" w:rsidRDefault="002A07FE" w:rsidP="00430DF0">
            <w:pPr>
              <w:suppressAutoHyphens/>
              <w:spacing w:before="0"/>
              <w:rPr>
                <w:rFonts w:ascii="Times New Roman" w:hAnsi="Times New Roman"/>
                <w:noProof/>
                <w:sz w:val="24"/>
              </w:rPr>
            </w:pPr>
            <w:r w:rsidRPr="003E2C48">
              <w:rPr>
                <w:rFonts w:ascii="Times New Roman" w:hAnsi="Times New Roman"/>
                <w:noProof/>
                <w:sz w:val="24"/>
              </w:rPr>
              <w:t xml:space="preserve">Institucije navode prenose li 100 % promjena tržišnih kamatnih stopa na ponovno vrednovanje kredita stanovništva s fiksnom stopom nakon njihova dospijeća prema paralelnom scenariju kamatnih stopa +200: </w:t>
            </w:r>
          </w:p>
          <w:p w14:paraId="71DBAFC7" w14:textId="1D2812E8" w:rsidR="00694CA0"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da,</w:t>
            </w:r>
          </w:p>
          <w:p w14:paraId="13F351DE" w14:textId="256A1970" w:rsidR="00694CA0"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ne,</w:t>
            </w:r>
          </w:p>
          <w:p w14:paraId="5A1258AE" w14:textId="725E9847" w:rsidR="00831F72" w:rsidRPr="003E2C48" w:rsidRDefault="00694CA0" w:rsidP="00430DF0">
            <w:pPr>
              <w:suppressAutoHyphens/>
              <w:spacing w:before="0"/>
              <w:rPr>
                <w:rFonts w:ascii="Times New Roman" w:hAnsi="Times New Roman"/>
                <w:noProof/>
              </w:rPr>
            </w:pPr>
            <w:r w:rsidRPr="003E2C48">
              <w:rPr>
                <w:rStyle w:val="InstructionsTabelleberschrift"/>
                <w:rFonts w:ascii="Times New Roman" w:hAnsi="Times New Roman"/>
                <w:b w:val="0"/>
                <w:noProof/>
                <w:sz w:val="24"/>
                <w:u w:val="none"/>
              </w:rPr>
              <w:t>— nije primjenjivo.</w:t>
            </w:r>
          </w:p>
        </w:tc>
      </w:tr>
      <w:tr w:rsidR="00D23E14" w:rsidRPr="003E2C48" w14:paraId="3B602049" w14:textId="77777777" w:rsidTr="763F32FC">
        <w:tc>
          <w:tcPr>
            <w:tcW w:w="1129" w:type="dxa"/>
          </w:tcPr>
          <w:p w14:paraId="7B5D50F2" w14:textId="748605D2" w:rsidR="00D23E14" w:rsidRPr="003E2C48" w:rsidRDefault="00D23E1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0300</w:t>
            </w:r>
          </w:p>
        </w:tc>
        <w:tc>
          <w:tcPr>
            <w:tcW w:w="7620" w:type="dxa"/>
          </w:tcPr>
          <w:p w14:paraId="7FF4CAFC" w14:textId="77777777" w:rsidR="00D23E14" w:rsidRPr="003E2C48" w:rsidRDefault="00DE58BB"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Osnovni rizik</w:t>
            </w:r>
          </w:p>
          <w:p w14:paraId="6E9C9674" w14:textId="28AF3529" w:rsidR="00DE58BB" w:rsidRPr="003E2C48" w:rsidRDefault="00DE58BB" w:rsidP="00430DF0">
            <w:pPr>
              <w:suppressAutoHyphens/>
              <w:spacing w:before="0"/>
              <w:rPr>
                <w:rFonts w:ascii="Times New Roman" w:hAnsi="Times New Roman"/>
                <w:noProof/>
                <w:sz w:val="24"/>
              </w:rPr>
            </w:pPr>
            <w:r w:rsidRPr="003E2C48">
              <w:rPr>
                <w:rFonts w:ascii="Times New Roman" w:hAnsi="Times New Roman"/>
                <w:noProof/>
                <w:sz w:val="24"/>
              </w:rPr>
              <w:t xml:space="preserve">Institucije navode smatraju li osnovni rizik značajnim: </w:t>
            </w:r>
          </w:p>
          <w:p w14:paraId="1D01F903" w14:textId="3204DDA5" w:rsidR="00694CA0"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da,</w:t>
            </w:r>
          </w:p>
          <w:p w14:paraId="6FBAAE4C" w14:textId="7FB7D489" w:rsidR="00694CA0"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ne,</w:t>
            </w:r>
          </w:p>
          <w:p w14:paraId="45F74D5F" w14:textId="4A61848E" w:rsidR="00DE58BB" w:rsidRPr="003E2C48" w:rsidRDefault="00694CA0" w:rsidP="00430DF0">
            <w:pPr>
              <w:suppressAutoHyphens/>
              <w:spacing w:before="0"/>
              <w:rPr>
                <w:rFonts w:ascii="Times New Roman" w:hAnsi="Times New Roman"/>
                <w:noProof/>
              </w:rPr>
            </w:pPr>
            <w:r w:rsidRPr="003E2C48">
              <w:rPr>
                <w:rStyle w:val="InstructionsTabelleberschrift"/>
                <w:rFonts w:ascii="Times New Roman" w:hAnsi="Times New Roman"/>
                <w:b w:val="0"/>
                <w:noProof/>
                <w:sz w:val="24"/>
                <w:u w:val="none"/>
              </w:rPr>
              <w:t>— nije primjenjivo.</w:t>
            </w:r>
          </w:p>
        </w:tc>
      </w:tr>
      <w:tr w:rsidR="00D23E14" w:rsidRPr="003E2C48" w14:paraId="5E0618BC" w14:textId="77777777" w:rsidTr="763F32FC">
        <w:tc>
          <w:tcPr>
            <w:tcW w:w="1129" w:type="dxa"/>
          </w:tcPr>
          <w:p w14:paraId="6D05D7E7" w14:textId="143F0C8F" w:rsidR="00D23E14" w:rsidRPr="003E2C48" w:rsidRDefault="00D23E14"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0310</w:t>
            </w:r>
          </w:p>
        </w:tc>
        <w:tc>
          <w:tcPr>
            <w:tcW w:w="7620" w:type="dxa"/>
          </w:tcPr>
          <w:p w14:paraId="7065C1C7" w14:textId="65786C0A" w:rsidR="00213C4A" w:rsidRPr="003E2C48" w:rsidRDefault="00213C4A" w:rsidP="00430DF0">
            <w:pPr>
              <w:suppressAutoHyphens/>
              <w:spacing w:before="0"/>
              <w:rPr>
                <w:rFonts w:ascii="Times New Roman" w:hAnsi="Times New Roman"/>
                <w:b/>
                <w:bCs/>
                <w:noProof/>
                <w:sz w:val="24"/>
                <w:u w:val="single"/>
              </w:rPr>
            </w:pPr>
            <w:r w:rsidRPr="003E2C48">
              <w:rPr>
                <w:rFonts w:ascii="Times New Roman" w:hAnsi="Times New Roman"/>
                <w:b/>
                <w:noProof/>
                <w:sz w:val="24"/>
                <w:u w:val="single"/>
              </w:rPr>
              <w:t>Rizik kreditne marže u knjizi pozicija kojima se ne trguje (CSRBB)</w:t>
            </w:r>
          </w:p>
          <w:p w14:paraId="2E5544DE" w14:textId="674E5533" w:rsidR="0000410C" w:rsidRPr="003E2C48" w:rsidRDefault="0000410C" w:rsidP="00430DF0">
            <w:pPr>
              <w:suppressAutoHyphens/>
              <w:spacing w:before="0"/>
              <w:rPr>
                <w:rFonts w:ascii="Times New Roman" w:hAnsi="Times New Roman"/>
                <w:noProof/>
                <w:sz w:val="24"/>
              </w:rPr>
            </w:pPr>
            <w:r w:rsidRPr="003E2C48">
              <w:rPr>
                <w:rFonts w:ascii="Times New Roman" w:hAnsi="Times New Roman"/>
                <w:noProof/>
                <w:sz w:val="24"/>
              </w:rPr>
              <w:t>Institucije navode jesu li uzele u obzir drukčiji opseg instrumenata koji podliježu CSRBB-u, kako je navedeno u članku 84. stavku 2. Direktive 2013/36/EU, za mjerne parametre za NII i EVE:</w:t>
            </w:r>
          </w:p>
          <w:p w14:paraId="50023EB7" w14:textId="43277B64" w:rsidR="00694CA0"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da,</w:t>
            </w:r>
          </w:p>
          <w:p w14:paraId="012CE02E" w14:textId="5CB57A73" w:rsidR="00694CA0"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ne,</w:t>
            </w:r>
          </w:p>
          <w:p w14:paraId="1438B1B5" w14:textId="392786CA" w:rsidR="0000410C" w:rsidRPr="003E2C48" w:rsidRDefault="00694CA0" w:rsidP="00430DF0">
            <w:pPr>
              <w:suppressAutoHyphens/>
              <w:spacing w:before="0"/>
              <w:rPr>
                <w:rFonts w:ascii="Times New Roman" w:hAnsi="Times New Roman"/>
                <w:noProof/>
              </w:rPr>
            </w:pPr>
            <w:r w:rsidRPr="003E2C48">
              <w:rPr>
                <w:rStyle w:val="InstructionsTabelleberschrift"/>
                <w:rFonts w:ascii="Times New Roman" w:hAnsi="Times New Roman"/>
                <w:b w:val="0"/>
                <w:noProof/>
                <w:sz w:val="24"/>
                <w:u w:val="none"/>
              </w:rPr>
              <w:t>— nije primjenjivo.</w:t>
            </w:r>
          </w:p>
        </w:tc>
      </w:tr>
      <w:tr w:rsidR="00831F72" w:rsidRPr="003E2C48" w14:paraId="1BDCDE63" w14:textId="77777777" w:rsidTr="763F32FC">
        <w:tc>
          <w:tcPr>
            <w:tcW w:w="1129" w:type="dxa"/>
          </w:tcPr>
          <w:p w14:paraId="6C3568C5" w14:textId="15541633" w:rsidR="00831F72" w:rsidRPr="003E2C48" w:rsidRDefault="00831F72"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0320</w:t>
            </w:r>
          </w:p>
        </w:tc>
        <w:tc>
          <w:tcPr>
            <w:tcW w:w="7620" w:type="dxa"/>
          </w:tcPr>
          <w:p w14:paraId="58014394" w14:textId="4E31E255" w:rsidR="00831F72" w:rsidRPr="003E2C48" w:rsidRDefault="00831F72"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 xml:space="preserve">Nerizična krivulja prinosa (diskontiranje prema SOT-u za EVE) </w:t>
            </w:r>
          </w:p>
          <w:p w14:paraId="438A61E7" w14:textId="6492A071" w:rsidR="00831F72" w:rsidRPr="003E2C48" w:rsidRDefault="00831F72" w:rsidP="003C575D">
            <w:pPr>
              <w:pStyle w:val="InstructionsText"/>
              <w:rPr>
                <w:noProof/>
              </w:rPr>
            </w:pPr>
            <w:r w:rsidRPr="003E2C48">
              <w:rPr>
                <w:noProof/>
              </w:rPr>
              <w:t xml:space="preserve">Institucije iskazuju nerizičnu krivulju prinosa korištenu za diskontiranje u skladu s člankom 3. stavkom 10. </w:t>
            </w:r>
            <w:r w:rsidRPr="003E2C48">
              <w:rPr>
                <w:rStyle w:val="InstructionsTabelleberschrift"/>
                <w:rFonts w:ascii="Times New Roman" w:hAnsi="Times New Roman"/>
                <w:b w:val="0"/>
                <w:noProof/>
                <w:sz w:val="24"/>
                <w:u w:val="none"/>
              </w:rPr>
              <w:t>Delegirane uredbe (EU) …/… (Ured za publikacije: unijeti upućivanje na regulatorni tehnički standard o SOT-u)</w:t>
            </w:r>
            <w:r w:rsidRPr="003E2C48">
              <w:rPr>
                <w:noProof/>
              </w:rPr>
              <w:t>:</w:t>
            </w:r>
          </w:p>
          <w:p w14:paraId="1C07B050" w14:textId="7C4E7230" w:rsidR="00831F72"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međubankovna osigurana,</w:t>
            </w:r>
          </w:p>
          <w:p w14:paraId="452A2398" w14:textId="03AAC715" w:rsidR="00831F72"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međubankovna neosigurana prekonoćna,</w:t>
            </w:r>
          </w:p>
          <w:p w14:paraId="7CC5BD45" w14:textId="3AB07E78" w:rsidR="00831F72"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međubankovna neosigurana oročena,</w:t>
            </w:r>
          </w:p>
          <w:p w14:paraId="46113D77" w14:textId="6DAA15EF" w:rsidR="00831F72"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krivulja državnih instrumenata,</w:t>
            </w:r>
          </w:p>
          <w:p w14:paraId="01B618A9" w14:textId="0CE7A167" w:rsidR="00831F72"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krivulja specifična za proizvod,</w:t>
            </w:r>
          </w:p>
          <w:p w14:paraId="5E68E7CE" w14:textId="62989819" w:rsidR="00F41077"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krivulja specifična za subjekt,</w:t>
            </w:r>
          </w:p>
          <w:p w14:paraId="3CE0EC7A" w14:textId="130FD618" w:rsidR="00831F72"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ostalo.</w:t>
            </w:r>
          </w:p>
        </w:tc>
      </w:tr>
      <w:tr w:rsidR="00831F72" w:rsidRPr="003E2C48" w14:paraId="0D032E3B" w14:textId="77777777" w:rsidTr="763F32FC">
        <w:tc>
          <w:tcPr>
            <w:tcW w:w="1129" w:type="dxa"/>
          </w:tcPr>
          <w:p w14:paraId="1D5E6175" w14:textId="55E46B5B" w:rsidR="00831F72" w:rsidRPr="003E2C48" w:rsidRDefault="00831F72"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0330</w:t>
            </w:r>
          </w:p>
        </w:tc>
        <w:tc>
          <w:tcPr>
            <w:tcW w:w="7620" w:type="dxa"/>
          </w:tcPr>
          <w:p w14:paraId="39EBEB8B" w14:textId="06081CF4" w:rsidR="00831F72" w:rsidRPr="003E2C48" w:rsidRDefault="00831F72"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Nerizična krivulja prinosa (interne mjere rizika za EVE)</w:t>
            </w:r>
          </w:p>
          <w:p w14:paraId="17F84D95" w14:textId="01917E40" w:rsidR="00831F72" w:rsidRPr="003E2C48" w:rsidRDefault="00831F72" w:rsidP="003C575D">
            <w:pPr>
              <w:pStyle w:val="InstructionsText"/>
              <w:rPr>
                <w:noProof/>
              </w:rPr>
            </w:pPr>
            <w:r w:rsidRPr="003E2C48">
              <w:rPr>
                <w:noProof/>
              </w:rPr>
              <w:t>Institucije iskazuju nerizičnu krivulju prinosa korištenu u interne svrhe za diskontiranje interne mjere rizika EVE-a:</w:t>
            </w:r>
          </w:p>
          <w:p w14:paraId="2BC51B81" w14:textId="2F8C5CA1" w:rsidR="00831F72"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međubankovna osigurana,</w:t>
            </w:r>
          </w:p>
          <w:p w14:paraId="43BCFD8D" w14:textId="0A26DFD6" w:rsidR="00831F72"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međubankovna neosigurana prekonoćna,</w:t>
            </w:r>
          </w:p>
          <w:p w14:paraId="4457F452" w14:textId="2951F9F4" w:rsidR="00831F72"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međubankovna neosigurana oročena,</w:t>
            </w:r>
          </w:p>
          <w:p w14:paraId="7D44CF6B" w14:textId="0A5A38E6" w:rsidR="00831F72"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krivulja državnih instrumenata,</w:t>
            </w:r>
          </w:p>
          <w:p w14:paraId="53D62FB6" w14:textId="0266FD10" w:rsidR="00831F72"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krivulja specifična za proizvod,</w:t>
            </w:r>
          </w:p>
          <w:p w14:paraId="5AF12C10" w14:textId="59D8FA9C" w:rsidR="00831F72"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krivulja specifična za subjekt,</w:t>
            </w:r>
          </w:p>
          <w:p w14:paraId="48CD74B5" w14:textId="74132250" w:rsidR="00831F72" w:rsidRPr="003E2C48" w:rsidRDefault="00694CA0"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ostalo.</w:t>
            </w:r>
          </w:p>
        </w:tc>
      </w:tr>
      <w:tr w:rsidR="00831F72" w:rsidRPr="003E2C48" w14:paraId="6BE31A4F" w14:textId="77777777" w:rsidTr="763F32FC">
        <w:tc>
          <w:tcPr>
            <w:tcW w:w="1129" w:type="dxa"/>
          </w:tcPr>
          <w:p w14:paraId="6879B5FB" w14:textId="36F7712E" w:rsidR="00831F72" w:rsidRPr="003E2C48" w:rsidDel="00DD0AD0" w:rsidRDefault="00831F72"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0340</w:t>
            </w:r>
          </w:p>
        </w:tc>
        <w:tc>
          <w:tcPr>
            <w:tcW w:w="7620" w:type="dxa"/>
          </w:tcPr>
          <w:p w14:paraId="1E8B815B" w14:textId="51D83114" w:rsidR="00831F72" w:rsidRPr="003E2C48" w:rsidRDefault="00831F72" w:rsidP="00430DF0">
            <w:pPr>
              <w:suppressAutoHyphens/>
              <w:spacing w:before="0"/>
              <w:rPr>
                <w:rStyle w:val="InstructionsTabelleberschrift"/>
                <w:rFonts w:ascii="Times New Roman" w:hAnsi="Times New Roman"/>
                <w:noProof/>
                <w:sz w:val="24"/>
              </w:rPr>
            </w:pPr>
            <w:r w:rsidRPr="003E2C48">
              <w:rPr>
                <w:rStyle w:val="InstructionsTabelleberschrift"/>
                <w:rFonts w:ascii="Times New Roman" w:hAnsi="Times New Roman"/>
                <w:noProof/>
                <w:sz w:val="24"/>
              </w:rPr>
              <w:t>Promjena bitnih pretpostavki (EVE)</w:t>
            </w:r>
          </w:p>
          <w:p w14:paraId="68EE4B49" w14:textId="6B95A076" w:rsidR="00831F72" w:rsidRPr="003E2C48" w:rsidRDefault="00831F72" w:rsidP="003C575D">
            <w:pPr>
              <w:pStyle w:val="InstructionsText"/>
              <w:rPr>
                <w:rStyle w:val="InstructionsTabelleberschrift"/>
                <w:rFonts w:ascii="Times New Roman" w:hAnsi="Times New Roman"/>
                <w:b w:val="0"/>
                <w:bCs w:val="0"/>
                <w:noProof/>
                <w:sz w:val="24"/>
                <w:u w:val="none"/>
              </w:rPr>
            </w:pPr>
            <w:r w:rsidRPr="003E2C48">
              <w:rPr>
                <w:noProof/>
              </w:rPr>
              <w:t>Institucije navode jesu li se neke bitne pretpostavke na kojima se temelji izračun standardnog nadzornog šoka u mjernim parametrima EVE-a za SOT promijenile od posljednjeg izvješćivanja:</w:t>
            </w:r>
          </w:p>
          <w:p w14:paraId="08DC01FF" w14:textId="1D1849A1" w:rsidR="00694CA0"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da,</w:t>
            </w:r>
          </w:p>
          <w:p w14:paraId="7B454EAD" w14:textId="47CD74FD" w:rsidR="00694CA0"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ne,</w:t>
            </w:r>
          </w:p>
          <w:p w14:paraId="2047570C" w14:textId="300DDD09" w:rsidR="00831F72" w:rsidRPr="003E2C48" w:rsidRDefault="00694CA0"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nije primjenjivo.</w:t>
            </w:r>
          </w:p>
        </w:tc>
      </w:tr>
      <w:tr w:rsidR="00831F72" w:rsidRPr="003E2C48" w14:paraId="0E990BEC" w14:textId="77777777" w:rsidTr="763F32FC">
        <w:tc>
          <w:tcPr>
            <w:tcW w:w="1129" w:type="dxa"/>
          </w:tcPr>
          <w:p w14:paraId="63FEF734" w14:textId="4DBDB37F" w:rsidR="00831F72" w:rsidRPr="003E2C48" w:rsidDel="00DD0AD0" w:rsidRDefault="00831F72"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0350</w:t>
            </w:r>
          </w:p>
        </w:tc>
        <w:tc>
          <w:tcPr>
            <w:tcW w:w="7620" w:type="dxa"/>
          </w:tcPr>
          <w:p w14:paraId="64533084" w14:textId="39B1B770" w:rsidR="00831F72" w:rsidRPr="003E2C48" w:rsidRDefault="00831F72" w:rsidP="00430DF0">
            <w:pPr>
              <w:suppressAutoHyphens/>
              <w:spacing w:before="0"/>
              <w:rPr>
                <w:rStyle w:val="InstructionsTabelleberschrift"/>
                <w:rFonts w:ascii="Times New Roman" w:hAnsi="Times New Roman"/>
                <w:noProof/>
                <w:sz w:val="24"/>
              </w:rPr>
            </w:pPr>
            <w:r w:rsidRPr="003E2C48">
              <w:rPr>
                <w:rStyle w:val="InstructionsTabelleberschrift"/>
                <w:rFonts w:ascii="Times New Roman" w:hAnsi="Times New Roman"/>
                <w:noProof/>
                <w:sz w:val="24"/>
              </w:rPr>
              <w:t>Promjena bitnih pretpostavki (NII)</w:t>
            </w:r>
          </w:p>
          <w:p w14:paraId="6679202D" w14:textId="4DB0B200" w:rsidR="00831F72" w:rsidRPr="003E2C48" w:rsidRDefault="00831F72" w:rsidP="003C575D">
            <w:pPr>
              <w:pStyle w:val="InstructionsText"/>
              <w:rPr>
                <w:noProof/>
              </w:rPr>
            </w:pPr>
            <w:r w:rsidRPr="003E2C48">
              <w:rPr>
                <w:noProof/>
              </w:rPr>
              <w:t>Institucije navode jesu li se neke bitne pretpostavke na kojima se temelji izračun standardnog nadzornog šoka u mjernim parametrima vrijednosti NII za SOT promijenile od posljednjeg izvješćivanja:</w:t>
            </w:r>
            <w:r w:rsidRPr="003E2C48">
              <w:rPr>
                <w:noProof/>
                <w:color w:val="333333"/>
                <w:sz w:val="18"/>
              </w:rPr>
              <w:t xml:space="preserve"> </w:t>
            </w:r>
          </w:p>
          <w:p w14:paraId="7DAFE939" w14:textId="1EE574EB" w:rsidR="00694CA0"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da,</w:t>
            </w:r>
          </w:p>
          <w:p w14:paraId="60932CE9" w14:textId="63C31C42" w:rsidR="00694CA0"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ne,</w:t>
            </w:r>
          </w:p>
          <w:p w14:paraId="475E7AC7" w14:textId="4F1FF55B" w:rsidR="00831F72" w:rsidRPr="003E2C48" w:rsidRDefault="00694CA0"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b w:val="0"/>
                <w:noProof/>
                <w:sz w:val="24"/>
                <w:u w:val="none"/>
              </w:rPr>
              <w:t>— nije primjenjivo.</w:t>
            </w:r>
          </w:p>
        </w:tc>
      </w:tr>
      <w:tr w:rsidR="00831F72" w:rsidRPr="003E2C48" w14:paraId="77B4BB6E" w14:textId="77777777" w:rsidTr="763F32FC">
        <w:tc>
          <w:tcPr>
            <w:tcW w:w="1129" w:type="dxa"/>
          </w:tcPr>
          <w:p w14:paraId="3103DAA3" w14:textId="019BFB6A" w:rsidR="00831F72" w:rsidRPr="003E2C48" w:rsidRDefault="00831F72" w:rsidP="003C575D">
            <w:pPr>
              <w:pStyle w:val="InstructionsText"/>
              <w:rPr>
                <w:rStyle w:val="FormatvorlageInstructionsTabelleText"/>
                <w:rFonts w:ascii="Times New Roman" w:hAnsi="Times New Roman"/>
                <w:noProof/>
                <w:sz w:val="24"/>
              </w:rPr>
            </w:pPr>
            <w:r w:rsidRPr="003E2C48">
              <w:rPr>
                <w:rStyle w:val="FormatvorlageInstructionsTabelleText"/>
                <w:rFonts w:ascii="Times New Roman" w:hAnsi="Times New Roman"/>
                <w:noProof/>
                <w:sz w:val="24"/>
              </w:rPr>
              <w:t>0360</w:t>
            </w:r>
          </w:p>
        </w:tc>
        <w:tc>
          <w:tcPr>
            <w:tcW w:w="7620" w:type="dxa"/>
          </w:tcPr>
          <w:p w14:paraId="5248A7BA" w14:textId="71D70433" w:rsidR="00831F72" w:rsidRPr="003E2C48" w:rsidRDefault="00831F72" w:rsidP="003C575D">
            <w:pPr>
              <w:pStyle w:val="InstructionsText"/>
              <w:rPr>
                <w:rStyle w:val="InstructionsTabelleberschrift"/>
                <w:rFonts w:ascii="Times New Roman" w:hAnsi="Times New Roman"/>
                <w:noProof/>
                <w:sz w:val="24"/>
              </w:rPr>
            </w:pPr>
            <w:r w:rsidRPr="003E2C48">
              <w:rPr>
                <w:rStyle w:val="InstructionsTabelleberschrift"/>
                <w:rFonts w:ascii="Times New Roman" w:hAnsi="Times New Roman"/>
                <w:noProof/>
                <w:sz w:val="24"/>
              </w:rPr>
              <w:t>Donja granica kamatne stope nakon šoka (NII/EVE)</w:t>
            </w:r>
          </w:p>
          <w:p w14:paraId="48577CD6" w14:textId="63FB4571" w:rsidR="00831F72" w:rsidRPr="003E2C48" w:rsidRDefault="00126BE8" w:rsidP="003C575D">
            <w:pPr>
              <w:pStyle w:val="InstructionsText"/>
              <w:rPr>
                <w:rStyle w:val="InstructionsTabelleberschrift"/>
                <w:rFonts w:ascii="Times New Roman" w:hAnsi="Times New Roman"/>
                <w:b w:val="0"/>
                <w:bCs w:val="0"/>
                <w:noProof/>
                <w:sz w:val="24"/>
                <w:u w:val="none"/>
              </w:rPr>
            </w:pPr>
            <w:r w:rsidRPr="003E2C48">
              <w:rPr>
                <w:noProof/>
              </w:rPr>
              <w:t xml:space="preserve">U skladu s člankom 3. stavkom 7. </w:t>
            </w:r>
            <w:r w:rsidRPr="003E2C48">
              <w:rPr>
                <w:rStyle w:val="InstructionsTabelleberschrift"/>
                <w:rFonts w:ascii="Times New Roman" w:hAnsi="Times New Roman"/>
                <w:b w:val="0"/>
                <w:noProof/>
                <w:sz w:val="24"/>
                <w:u w:val="none"/>
              </w:rPr>
              <w:t>Delegirane uredbe (EU) …/… (Ured za publikacije: unijeti upućivanje na SOT)</w:t>
            </w:r>
            <w:r w:rsidRPr="003E2C48">
              <w:rPr>
                <w:noProof/>
              </w:rPr>
              <w:t xml:space="preserve"> institucije navode je li donja granica kamatne stope nakon šoka koja ovisi o dospijeću obvezujuća za svaku od iskazanih specifičnih valuta:</w:t>
            </w:r>
          </w:p>
          <w:p w14:paraId="15C5A4DA" w14:textId="39A3E0B6" w:rsidR="00694CA0"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da,</w:t>
            </w:r>
          </w:p>
          <w:p w14:paraId="608E34DA" w14:textId="5EF065BB" w:rsidR="00831F72" w:rsidRPr="003E2C48" w:rsidRDefault="00694CA0" w:rsidP="003C575D">
            <w:pPr>
              <w:pStyle w:val="InstructionsText"/>
              <w:rPr>
                <w:rStyle w:val="InstructionsTabelleberschrift"/>
                <w:rFonts w:ascii="Times New Roman" w:hAnsi="Times New Roman"/>
                <w:b w:val="0"/>
                <w:bCs w:val="0"/>
                <w:noProof/>
                <w:sz w:val="24"/>
                <w:u w:val="none"/>
              </w:rPr>
            </w:pPr>
            <w:r w:rsidRPr="003E2C48">
              <w:rPr>
                <w:rStyle w:val="InstructionsTabelleberschrift"/>
                <w:rFonts w:ascii="Times New Roman" w:hAnsi="Times New Roman"/>
                <w:b w:val="0"/>
                <w:noProof/>
                <w:sz w:val="24"/>
                <w:u w:val="none"/>
              </w:rPr>
              <w:t>— ne,</w:t>
            </w:r>
          </w:p>
          <w:p w14:paraId="7BE76904" w14:textId="477B98F1" w:rsidR="00694CA0" w:rsidRPr="003E2C48" w:rsidRDefault="00694CA0" w:rsidP="00430DF0">
            <w:pPr>
              <w:suppressAutoHyphens/>
              <w:spacing w:before="0"/>
              <w:rPr>
                <w:rFonts w:ascii="Times New Roman" w:hAnsi="Times New Roman"/>
                <w:b/>
                <w:bCs/>
                <w:noProof/>
                <w:u w:val="single"/>
              </w:rPr>
            </w:pPr>
            <w:r w:rsidRPr="003E2C48">
              <w:rPr>
                <w:rStyle w:val="InstructionsTabelleberschrift"/>
                <w:rFonts w:ascii="Times New Roman" w:hAnsi="Times New Roman"/>
                <w:b w:val="0"/>
                <w:noProof/>
                <w:sz w:val="24"/>
                <w:u w:val="none"/>
              </w:rPr>
              <w:t>— nije primjenjivo.</w:t>
            </w:r>
          </w:p>
        </w:tc>
      </w:tr>
    </w:tbl>
    <w:p w14:paraId="789CC7EA" w14:textId="77777777" w:rsidR="0074085C" w:rsidRPr="003E2C48" w:rsidRDefault="0074085C" w:rsidP="00430DF0">
      <w:pPr>
        <w:suppressAutoHyphens/>
        <w:spacing w:after="0"/>
        <w:rPr>
          <w:rStyle w:val="InstructionsTabelleText"/>
          <w:rFonts w:ascii="Times New Roman" w:hAnsi="Times New Roman"/>
          <w:noProof/>
          <w:sz w:val="24"/>
        </w:rPr>
      </w:pPr>
    </w:p>
    <w:p w14:paraId="1A268D09" w14:textId="510344B9" w:rsidR="0071714D" w:rsidRPr="003E2C48" w:rsidRDefault="0071714D" w:rsidP="00D3693A">
      <w:pPr>
        <w:suppressAutoHyphens/>
        <w:spacing w:after="0"/>
        <w:ind w:left="705" w:hanging="345"/>
        <w:rPr>
          <w:rStyle w:val="InstructionsTabelleText"/>
          <w:rFonts w:ascii="Times New Roman" w:hAnsi="Times New Roman"/>
          <w:noProof/>
          <w:szCs w:val="20"/>
        </w:rPr>
      </w:pPr>
    </w:p>
    <w:sectPr w:rsidR="0071714D" w:rsidRPr="003E2C48"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787EC" w14:textId="15882C9F" w:rsidR="00D77ECC" w:rsidRPr="00D77ECC" w:rsidRDefault="00D77ECC" w:rsidP="00D77ECC">
    <w:pPr>
      <w:pStyle w:val="FooterCoverPage"/>
      <w:rPr>
        <w:rFonts w:ascii="Arial" w:hAnsi="Arial" w:cs="Arial"/>
        <w:b/>
        <w:sz w:val="48"/>
      </w:rPr>
    </w:pPr>
    <w:r w:rsidRPr="00D77ECC">
      <w:rPr>
        <w:rFonts w:ascii="Arial" w:hAnsi="Arial" w:cs="Arial"/>
        <w:b/>
        <w:sz w:val="48"/>
      </w:rPr>
      <w:t>HR</w:t>
    </w:r>
    <w:r w:rsidRPr="00D77ECC">
      <w:rPr>
        <w:rFonts w:ascii="Arial" w:hAnsi="Arial" w:cs="Arial"/>
        <w:b/>
        <w:sz w:val="48"/>
      </w:rPr>
      <w:tab/>
    </w:r>
    <w:r w:rsidRPr="00D77ECC">
      <w:rPr>
        <w:rFonts w:ascii="Arial" w:hAnsi="Arial" w:cs="Arial"/>
        <w:b/>
        <w:sz w:val="48"/>
      </w:rPr>
      <w:tab/>
    </w:r>
    <w:r w:rsidRPr="00D77ECC">
      <w:tab/>
    </w:r>
    <w:r w:rsidRPr="00D77ECC">
      <w:rPr>
        <w:rFonts w:ascii="Arial" w:hAnsi="Arial" w:cs="Arial"/>
        <w:b/>
        <w:sz w:val="48"/>
      </w:rPr>
      <w:t>HR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FD62D" w14:textId="4ACE2D2F" w:rsidR="00D77ECC" w:rsidRPr="00D77ECC" w:rsidRDefault="00D77ECC" w:rsidP="00D77ECC">
    <w:pPr>
      <w:pStyle w:val="FooterCoverPage"/>
      <w:rPr>
        <w:rFonts w:ascii="Arial" w:hAnsi="Arial" w:cs="Arial"/>
        <w:b/>
        <w:sz w:val="48"/>
      </w:rPr>
    </w:pPr>
    <w:r w:rsidRPr="00D77ECC">
      <w:rPr>
        <w:rFonts w:ascii="Arial" w:hAnsi="Arial" w:cs="Arial"/>
        <w:b/>
        <w:sz w:val="48"/>
      </w:rPr>
      <w:t>HR</w:t>
    </w:r>
    <w:r w:rsidRPr="00D77ECC">
      <w:rPr>
        <w:rFonts w:ascii="Arial" w:hAnsi="Arial" w:cs="Arial"/>
        <w:b/>
        <w:sz w:val="48"/>
      </w:rPr>
      <w:tab/>
    </w:r>
    <w:r w:rsidRPr="00D77ECC">
      <w:rPr>
        <w:rFonts w:ascii="Arial" w:hAnsi="Arial" w:cs="Arial"/>
        <w:b/>
        <w:sz w:val="48"/>
      </w:rPr>
      <w:tab/>
    </w:r>
    <w:r w:rsidRPr="00D77ECC">
      <w:tab/>
    </w:r>
    <w:r w:rsidRPr="00D77ECC">
      <w:rPr>
        <w:rFonts w:ascii="Arial" w:hAnsi="Arial" w:cs="Arial"/>
        <w:b/>
        <w:sz w:val="48"/>
      </w:rPr>
      <w:t>HR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F4557" w14:textId="77777777" w:rsidR="00D77ECC" w:rsidRPr="00D77ECC" w:rsidRDefault="00D77ECC" w:rsidP="00D77ECC">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1AE9F31F"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D77ECC">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758E5CD9"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D77ECC">
      <w:rPr>
        <w:rFonts w:ascii="Times New Roman" w:hAnsi="Times New Roman"/>
        <w:noProof/>
        <w:sz w:val="20"/>
      </w:rPr>
      <w:t>5</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Delegirana uredba Komisije (EU) .../… od XXX o dopuni Direktive 2013/36/EU Europskog parlamenta i Vijeća u pogledu regulatornih tehničkih standarda kojima se utvrđuje standardizirana metodologija i pojednostavnjena standardizirana metodologija za procjenu rizika koji proizlaze iz mogućih promjena kamatnih stopa koje utječu na ekonomsku vrijednost vlasničkih instrumenata i neto kamatni prihod od poslova institucija koji se vode u knjizi pozicija kojima se ne trguje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Uredba (EU) br. 600/2014 Europskog parlamenta i Vijeća od 15. svibnja 2014. o tržištima financijskih instrumenata i izmjeni Uredbe (EU) br. 648/2012 (SL L 173, 12.6.2014., str. 84.,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ab/>
        <w:t>Delegirana uredba Komisije (EU) 2015/61 оd 10. listopada 2014. o dopuni Uredbe (EU) br. 575/2013 Europskog parlamenta i Vijeća u pogledu zahtjeva za likvidnosnu pokrivenost kreditnih institucija (SL L 11, 17.1.2015., str. 1., 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Uredba (EZ) br. 1606/2002 Europskog Parlamenta i Vijeća od 19. srpnja 2002. o primjeni međunarodnih računovodstvenih standarda (SL L 243, 11.9.2002., str.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484A0" w14:textId="77777777" w:rsidR="00D77ECC" w:rsidRPr="00D77ECC" w:rsidRDefault="00D77ECC" w:rsidP="00D77ECC">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A0141" w14:textId="77777777" w:rsidR="00D77ECC" w:rsidRPr="00D77ECC" w:rsidRDefault="00D77ECC" w:rsidP="00D77ECC">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0DB9B" w14:textId="77777777" w:rsidR="00D77ECC" w:rsidRPr="00D77ECC" w:rsidRDefault="00D77ECC" w:rsidP="00D77ECC">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dovita upotreba">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Redovita upotreba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Redovita upotreba"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Redovita upotreba</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dovita upotreba">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Redovita upotreba</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Redovita upotreba"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Redovita upotreba</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 "/>
    <w:docVar w:name="LW_ANNEX_NBR_FIRST" w:val="2"/>
    <w:docVar w:name="LW_ANNEX_NBR_LAST" w:val="2"/>
    <w:docVar w:name="LW_ANNEX_UNIQUE" w:val="0"/>
    <w:docVar w:name="LW_CORRIGENDUM" w:val="&lt;UNUSED&gt;"/>
    <w:docVar w:name="LW_COVERPAGE_EXISTS" w:val="True"/>
    <w:docVar w:name="LW_COVERPAGE_GUID" w:val="D0F16703-13E7-4374-8ECD-50DFEDEE76F9"/>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uxelles, "/>
    <w:docVar w:name="LW_EMISSION_SUFFIX" w:val="&lt;EMPTY&gt;"/>
    <w:docVar w:name="LW_ID_DOCTYPE_NONLW" w:val="CP-038"/>
    <w:docVar w:name="LW_LANGUE" w:val="HR"/>
    <w:docVar w:name="LW_LEVEL_OF_SENSITIVITY" w:val="Standard treatment"/>
    <w:docVar w:name="LW_NOM.INST" w:val="EUROPSKA KOMISIJA"/>
    <w:docVar w:name="LW_NOM.INST_JOINTDOC" w:val="&lt;EMPTY&gt;"/>
    <w:docVar w:name="LW_OBJETACTEPRINCIPAL.CP" w:val="o izmjeni provedbenih tehni\u269?kih standarda utvr\u273?enih u Provedbenoj uredbi (EU) 2021/451 u pogledu pravila o nadzornom izvje\u353?\u263?ivanju o kamatnom riziku u knjizi pozicija kojima se ne trguje"/>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PRILOG_x000b_"/>
    <w:docVar w:name="LW_TYPEACTEPRINCIPAL.CP" w:val="Provedbenoj uredbi Komisije"/>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CA5"/>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099"/>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48"/>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77ECC"/>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1EF2"/>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hr-H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hr-HR"/>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hr-H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hr-H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hr-H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hr-H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hr-H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hr-H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hr-H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hr-HR"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hr-H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hr-H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hr-HR"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hr-HR"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2.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4.xml><?xml version="1.0" encoding="utf-8"?>
<ds:datastoreItem xmlns:ds="http://schemas.openxmlformats.org/officeDocument/2006/customXml" ds:itemID="{03F9F4DB-A72A-41A1-82DE-D5A1452EB245}">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13</TotalTime>
  <Pages>36</Pages>
  <Words>10872</Words>
  <Characters>61977</Characters>
  <Application>Microsoft Office Word</Application>
  <DocSecurity>0</DocSecurity>
  <Lines>516</Lines>
  <Paragraphs>145</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72704</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9</cp:revision>
  <dcterms:created xsi:type="dcterms:W3CDTF">2024-02-28T13:41:00Z</dcterms:created>
  <dcterms:modified xsi:type="dcterms:W3CDTF">2024-03-08T08:32:00Z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