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2941D1" w:rsidRDefault="0016303F" w:rsidP="0016303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4FDB686A-7596-41A8-8677-E3A10F3EF633" style="width:455.25pt;height:441pt">
            <v:imagedata r:id="rId7" o:title=""/>
          </v:shape>
        </w:pict>
      </w:r>
    </w:p>
    <w:p w:rsidR="001D506C" w:rsidRPr="002941D1" w:rsidRDefault="001D506C">
      <w:pPr>
        <w:rPr>
          <w:noProof/>
        </w:rPr>
        <w:sectPr w:rsidR="001D506C" w:rsidRPr="002941D1" w:rsidSect="0016303F">
          <w:footerReference w:type="even" r:id="rId8"/>
          <w:footerReference w:type="default" r:id="rId9"/>
          <w:pgSz w:w="11907" w:h="16839"/>
          <w:pgMar w:top="1134" w:right="1417" w:bottom="1134" w:left="1417" w:header="709" w:footer="709" w:gutter="0"/>
          <w:pgNumType w:start="0"/>
          <w:cols w:space="720"/>
          <w:docGrid w:linePitch="360"/>
        </w:sectPr>
      </w:pPr>
    </w:p>
    <w:p w:rsidR="001D506C" w:rsidRPr="002941D1" w:rsidRDefault="002941D1" w:rsidP="002941D1">
      <w:pPr>
        <w:pStyle w:val="Typedudocument"/>
        <w:rPr>
          <w:noProof/>
        </w:rPr>
      </w:pPr>
      <w:bookmarkStart w:id="0" w:name="_GoBack"/>
      <w:bookmarkEnd w:id="0"/>
      <w:r w:rsidRPr="002941D1">
        <w:rPr>
          <w:noProof/>
        </w:rPr>
        <w:lastRenderedPageBreak/>
        <w:t>KOMISIJAS ĪSTENOŠANAS REGULA (ES) …/..</w:t>
      </w:r>
    </w:p>
    <w:p w:rsidR="001D506C" w:rsidRPr="002941D1" w:rsidRDefault="00375955" w:rsidP="002941D1">
      <w:pPr>
        <w:pStyle w:val="Datedadoption"/>
        <w:rPr>
          <w:noProof/>
        </w:rPr>
      </w:pPr>
      <w:r>
        <w:rPr>
          <w:noProof/>
        </w:rPr>
        <w:t>(6.6.2024)</w:t>
      </w:r>
    </w:p>
    <w:p w:rsidR="001D506C" w:rsidRPr="002941D1" w:rsidRDefault="002941D1" w:rsidP="002941D1">
      <w:pPr>
        <w:pStyle w:val="Titreobjet"/>
        <w:rPr>
          <w:noProof/>
        </w:rPr>
      </w:pPr>
      <w:r w:rsidRPr="002941D1">
        <w:rPr>
          <w:noProof/>
        </w:rPr>
        <w:t xml:space="preserve">ar kuru groza Komisijas Īstenošanas regulu (ES) 2021/763, ar ko nosaka īstenošanas tehniskos standartus Eiropas Parlamenta un Padomes Regulas (ES) Nr. 575/2013 un Eiropas Parlamenta un Padomes Direktīvas 2014/59/ES piemērošanai attiecībā uz uzraudzības pārskatu sniegšanu un informācijas publiskošanu par minimuma prasību pašu kapitālam un atbilstīgajām saistībām </w:t>
      </w:r>
      <w:r w:rsidRPr="002941D1">
        <w:rPr>
          <w:noProof/>
        </w:rPr>
        <w:br/>
      </w:r>
    </w:p>
    <w:p w:rsidR="001D506C" w:rsidRPr="002941D1" w:rsidRDefault="002941D1" w:rsidP="002941D1">
      <w:pPr>
        <w:pStyle w:val="IntrtEEE"/>
        <w:rPr>
          <w:noProof/>
        </w:rPr>
      </w:pPr>
      <w:r w:rsidRPr="002941D1">
        <w:rPr>
          <w:noProof/>
        </w:rPr>
        <w:t>(Dokuments attiecas uz EEZ)</w:t>
      </w:r>
    </w:p>
    <w:p w:rsidR="001D506C" w:rsidRPr="002941D1" w:rsidRDefault="001D506C" w:rsidP="004E1EF9">
      <w:pPr>
        <w:pStyle w:val="Institutionquiagit"/>
        <w:rPr>
          <w:noProof/>
        </w:rPr>
      </w:pPr>
      <w:r w:rsidRPr="002941D1">
        <w:rPr>
          <w:noProof/>
        </w:rPr>
        <w:t>EIROPAS KOMISIJA,</w:t>
      </w:r>
    </w:p>
    <w:p w:rsidR="001D506C" w:rsidRPr="002941D1" w:rsidRDefault="001D506C" w:rsidP="004E1EF9">
      <w:pPr>
        <w:rPr>
          <w:noProof/>
        </w:rPr>
      </w:pPr>
      <w:r w:rsidRPr="002941D1">
        <w:rPr>
          <w:noProof/>
        </w:rPr>
        <w:t>ņemot vērā Līgumu par Eiropas Savienības darbību,</w:t>
      </w:r>
    </w:p>
    <w:p w:rsidR="000E6FD2" w:rsidRPr="002941D1" w:rsidRDefault="000E6FD2" w:rsidP="000E6FD2">
      <w:pPr>
        <w:rPr>
          <w:noProof/>
        </w:rPr>
      </w:pPr>
      <w:r w:rsidRPr="002941D1">
        <w:rPr>
          <w:noProof/>
        </w:rPr>
        <w:t>ņemot vērā Eiropas Parlamenta un Padomes 2013. gada 26. jūnija Regulu (ES) Nr. 575/2013 par prudenciālajām prasībām attiecībā uz kredītiestādēm un ar ko groza Regulu (ES) Nr. 648/2012</w:t>
      </w:r>
      <w:r w:rsidRPr="002941D1">
        <w:rPr>
          <w:rStyle w:val="FootnoteReference"/>
          <w:noProof/>
        </w:rPr>
        <w:footnoteReference w:id="1"/>
      </w:r>
      <w:r w:rsidRPr="002941D1">
        <w:rPr>
          <w:noProof/>
        </w:rPr>
        <w:t>, un jo īpaši tās 430. panta 7. punkta piekto daļu un 434.a. panta piekto daļu,</w:t>
      </w:r>
    </w:p>
    <w:p w:rsidR="000E6FD2" w:rsidRPr="002941D1" w:rsidRDefault="000E6FD2" w:rsidP="000E6FD2">
      <w:pPr>
        <w:rPr>
          <w:noProof/>
        </w:rPr>
      </w:pPr>
      <w:r w:rsidRPr="002941D1">
        <w:rPr>
          <w:noProof/>
        </w:rPr>
        <w:t>ņemot vērā Eiropas Parlamenta un Padomes Direktīvu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w:t>
      </w:r>
      <w:r w:rsidRPr="002941D1">
        <w:rPr>
          <w:rStyle w:val="FootnoteReference"/>
          <w:noProof/>
        </w:rPr>
        <w:footnoteReference w:id="2"/>
      </w:r>
      <w:r w:rsidRPr="002941D1">
        <w:rPr>
          <w:noProof/>
        </w:rPr>
        <w:t>, un jo īpaši tās 45.i panta 5. punkta piekto daļu un 45.i panta 6. punkta piekto daļu,</w:t>
      </w:r>
    </w:p>
    <w:p w:rsidR="001D506C" w:rsidRPr="002941D1" w:rsidRDefault="001D506C" w:rsidP="004E1EF9">
      <w:pPr>
        <w:rPr>
          <w:noProof/>
        </w:rPr>
      </w:pPr>
      <w:r w:rsidRPr="002941D1">
        <w:rPr>
          <w:noProof/>
        </w:rPr>
        <w:t>tā kā:</w:t>
      </w:r>
    </w:p>
    <w:p w:rsidR="00F83DBF" w:rsidRPr="002941D1" w:rsidRDefault="00F83DBF" w:rsidP="0052704B">
      <w:pPr>
        <w:pStyle w:val="ManualConsidrant"/>
        <w:rPr>
          <w:noProof/>
        </w:rPr>
      </w:pPr>
      <w:r>
        <w:rPr>
          <w:noProof/>
        </w:rPr>
        <w:t>(1)</w:t>
      </w:r>
      <w:r>
        <w:rPr>
          <w:noProof/>
        </w:rPr>
        <w:tab/>
      </w:r>
      <w:r w:rsidRPr="002941D1">
        <w:rPr>
          <w:noProof/>
        </w:rPr>
        <w:t xml:space="preserve">Ar </w:t>
      </w:r>
      <w:bookmarkStart w:id="1" w:name="_Hlk159320995"/>
      <w:r w:rsidRPr="002941D1">
        <w:rPr>
          <w:noProof/>
        </w:rPr>
        <w:t>Eiropas Parlamenta un Padomes Regulu (ES) 2022/2036</w:t>
      </w:r>
      <w:r w:rsidRPr="002941D1">
        <w:rPr>
          <w:rStyle w:val="FootnoteReference"/>
          <w:noProof/>
        </w:rPr>
        <w:footnoteReference w:id="3"/>
      </w:r>
      <w:bookmarkEnd w:id="1"/>
      <w:r w:rsidRPr="002941D1">
        <w:rPr>
          <w:noProof/>
        </w:rPr>
        <w:t xml:space="preserve"> Regulā (ES) Nr. 575/2013 tika ieviesta prasība, ka starpnieksabiedrībām noregulējuma grupā no atbilstīgo saistību posteņiem ir jāatskaita to līdzdalība pašu kapitāla instrumentos un atbilstīgo saistību instrumentos, ko izmanto, lai izpildītu Regulas (ES) Nr. 575/2013 92.b pantā noteikto prasību (“iekšējā kopējās zaudējumu absorbcijas spējas prasība” jeb “iekšējā </w:t>
      </w:r>
      <w:r w:rsidRPr="002941D1">
        <w:rPr>
          <w:i/>
          <w:noProof/>
        </w:rPr>
        <w:t>TLAC</w:t>
      </w:r>
      <w:r w:rsidRPr="002941D1">
        <w:rPr>
          <w:noProof/>
        </w:rPr>
        <w:t>”) vai Direktīvas 2014/59/ES</w:t>
      </w:r>
      <w:r w:rsidRPr="002941D1">
        <w:rPr>
          <w:rStyle w:val="FootnoteReference"/>
          <w:noProof/>
        </w:rPr>
        <w:footnoteReference w:id="4"/>
      </w:r>
      <w:r w:rsidRPr="002941D1">
        <w:rPr>
          <w:noProof/>
        </w:rPr>
        <w:t xml:space="preserve"> 45.f pantā noteikto prasību (“iekšējā minimuma prasība pašu kapitālam un atbilstīgajām saistībām jeb “iekšējā </w:t>
      </w:r>
      <w:r w:rsidRPr="002941D1">
        <w:rPr>
          <w:i/>
          <w:noProof/>
        </w:rPr>
        <w:t>MREL</w:t>
      </w:r>
      <w:r w:rsidRPr="002941D1">
        <w:rPr>
          <w:noProof/>
        </w:rPr>
        <w:t>”), ja minētos pašu kapitāla instrumentus un atbilstīgo saistību instrumentus ir emitējušas vienības, kas pašas nav noregulējuma vienības un pieder tai pašai noregulējuma grupai. Tāpēc šī atskaitīšanas prasība ir jāatspoguļo Komisijas Īstenošanas regulā (ES) 2021/763</w:t>
      </w:r>
      <w:r w:rsidRPr="002941D1">
        <w:rPr>
          <w:rStyle w:val="FootnoteReference"/>
          <w:bCs/>
          <w:noProof/>
        </w:rPr>
        <w:footnoteReference w:id="5"/>
      </w:r>
      <w:r w:rsidRPr="002941D1">
        <w:rPr>
          <w:noProof/>
        </w:rPr>
        <w:t xml:space="preserve"> noteiktajās veidnēs saskaņotas informācijas par iekšējo </w:t>
      </w:r>
      <w:r w:rsidRPr="002941D1">
        <w:rPr>
          <w:i/>
          <w:noProof/>
        </w:rPr>
        <w:t>MREL</w:t>
      </w:r>
      <w:r w:rsidRPr="002941D1">
        <w:rPr>
          <w:noProof/>
        </w:rPr>
        <w:t xml:space="preserve"> un iekšējo </w:t>
      </w:r>
      <w:r w:rsidRPr="002941D1">
        <w:rPr>
          <w:i/>
          <w:noProof/>
        </w:rPr>
        <w:t>TLAC</w:t>
      </w:r>
      <w:r w:rsidRPr="002941D1">
        <w:rPr>
          <w:noProof/>
        </w:rPr>
        <w:t xml:space="preserve"> atklāšanai. Šī atskaitīšanas prasība būtu jāatspoguļo arī saskaņotajā informācijā, ko sniedz kompetentajām un noregulējuma iestādēm.</w:t>
      </w:r>
    </w:p>
    <w:p w:rsidR="00686AFD" w:rsidRPr="002941D1" w:rsidRDefault="00686AFD" w:rsidP="002103AD">
      <w:pPr>
        <w:pStyle w:val="ManualConsidrant"/>
        <w:rPr>
          <w:noProof/>
        </w:rPr>
      </w:pPr>
      <w:r>
        <w:rPr>
          <w:noProof/>
        </w:rPr>
        <w:t>(2)</w:t>
      </w:r>
      <w:r>
        <w:rPr>
          <w:noProof/>
        </w:rPr>
        <w:tab/>
      </w:r>
      <w:r w:rsidRPr="002941D1">
        <w:rPr>
          <w:noProof/>
        </w:rPr>
        <w:t xml:space="preserve">Ar Eiropas Parlamenta un Padomes Direktīvu 2024/1174/ ar ko groza Direktīvu 2014/59/ES un Regulu (ES) Nr. 806/2014 attiecībā uz dažiem minimuma prasības pašu kapitālam un atbilstīgajām saistībām aspektiem </w:t>
      </w:r>
      <w:r w:rsidRPr="002941D1">
        <w:rPr>
          <w:rStyle w:val="FootnoteReference"/>
          <w:noProof/>
        </w:rPr>
        <w:footnoteReference w:id="6"/>
      </w:r>
      <w:r w:rsidRPr="002941D1">
        <w:rPr>
          <w:noProof/>
        </w:rPr>
        <w:t>, papildus grozīja Regulā (ES) Nr. 575/2013 noteikto atskaitīšanas prasību, Direktīvā 2014/59/ES un Regulā (ES) Nr. 806/2014 precizējot, ka noregulējuma grupas starpnieksabiedrībām ir tikai jāatskaita sava līdzdalība pašu kapitāla instrumentos, ko emitējušas likvidācijas vienības, kuras pieder tai pašai noregulējuma grupai un pašas nav noregulējuma vienības, ievērojot konkrētus nosacījumus, kas saistīti ar minēto līdzdalību būtiskumu. Minētie grozījumi būtu jāatspoguļo arī saskaņotajā informācijā, kas sniegta veidnēs informācijas publiskošanai un ziņošanai kompetentajām iestādēm un noregulējuma iestādēm.</w:t>
      </w:r>
    </w:p>
    <w:p w:rsidR="00F83DBF" w:rsidRPr="002941D1" w:rsidRDefault="00F83DBF" w:rsidP="00302BB5">
      <w:pPr>
        <w:pStyle w:val="ManualConsidrant"/>
        <w:rPr>
          <w:noProof/>
        </w:rPr>
      </w:pPr>
      <w:r>
        <w:rPr>
          <w:noProof/>
        </w:rPr>
        <w:t>(3)</w:t>
      </w:r>
      <w:r>
        <w:rPr>
          <w:noProof/>
        </w:rPr>
        <w:tab/>
      </w:r>
      <w:r w:rsidRPr="002941D1">
        <w:rPr>
          <w:noProof/>
        </w:rPr>
        <w:t>Vienības, uz kurām attiecas Regulas (ES) Nr. 575/2013 92.a vai 92.b pantā noteiktā prasība (“</w:t>
      </w:r>
      <w:r w:rsidRPr="002941D1">
        <w:rPr>
          <w:i/>
          <w:noProof/>
        </w:rPr>
        <w:t>TLAC</w:t>
      </w:r>
      <w:r w:rsidRPr="002941D1">
        <w:rPr>
          <w:noProof/>
        </w:rPr>
        <w:t xml:space="preserve"> prasība”) vai Direktīvas 2014/59/ES 45. pantā noteiktā prasība (“</w:t>
      </w:r>
      <w:r w:rsidRPr="002941D1">
        <w:rPr>
          <w:i/>
          <w:noProof/>
        </w:rPr>
        <w:t>MREL</w:t>
      </w:r>
      <w:r w:rsidRPr="002941D1">
        <w:rPr>
          <w:noProof/>
        </w:rPr>
        <w:t xml:space="preserve">”), ar savas noregulējuma iestādes iepriekšēju atļauju var atsaukt, dzēst, atmaksāt vai atpirkt atbilstīgo saistību instrumentus saskaņā ar Regulas (ES) Nr. 575/2013 78.a pantu. Summas, uz kurām attiecas šāda atļauja, samazina vienību spēju izpildīt </w:t>
      </w:r>
      <w:r w:rsidRPr="002941D1">
        <w:rPr>
          <w:i/>
          <w:noProof/>
        </w:rPr>
        <w:t>MREL</w:t>
      </w:r>
      <w:r w:rsidRPr="002941D1">
        <w:rPr>
          <w:noProof/>
        </w:rPr>
        <w:t xml:space="preserve"> vai </w:t>
      </w:r>
      <w:r w:rsidRPr="002941D1">
        <w:rPr>
          <w:i/>
          <w:noProof/>
        </w:rPr>
        <w:t>TLAC</w:t>
      </w:r>
      <w:r w:rsidRPr="002941D1">
        <w:rPr>
          <w:noProof/>
        </w:rPr>
        <w:t xml:space="preserve"> prasību. Tāpēc ir jāprecizē, kā šādas atļaujas ietekme būtu jāatspoguļo informācijas publiskošanā un ziņošanā kompetentajām iestādēm un noregulējuma iestādēm.</w:t>
      </w:r>
    </w:p>
    <w:p w:rsidR="00F83DBF" w:rsidRPr="002941D1" w:rsidRDefault="00F83DBF" w:rsidP="00F83DBF">
      <w:pPr>
        <w:pStyle w:val="ManualConsidrant"/>
        <w:rPr>
          <w:noProof/>
        </w:rPr>
      </w:pPr>
      <w:r>
        <w:rPr>
          <w:noProof/>
        </w:rPr>
        <w:t>(4)</w:t>
      </w:r>
      <w:r>
        <w:rPr>
          <w:noProof/>
        </w:rPr>
        <w:tab/>
      </w:r>
      <w:r w:rsidRPr="002941D1">
        <w:rPr>
          <w:noProof/>
        </w:rPr>
        <w:t>Tāpēc Īstenošanas regula (ES) 2021/763 būtu attiecīgi jāgroza.</w:t>
      </w:r>
    </w:p>
    <w:p w:rsidR="00F83DBF" w:rsidRPr="002941D1" w:rsidRDefault="00F83DBF" w:rsidP="00F83DBF">
      <w:pPr>
        <w:pStyle w:val="ManualConsidrant"/>
        <w:rPr>
          <w:noProof/>
        </w:rPr>
      </w:pPr>
      <w:r>
        <w:rPr>
          <w:noProof/>
        </w:rPr>
        <w:t>(5)</w:t>
      </w:r>
      <w:r>
        <w:rPr>
          <w:noProof/>
        </w:rPr>
        <w:tab/>
      </w:r>
      <w:r w:rsidRPr="002941D1">
        <w:rPr>
          <w:noProof/>
        </w:rPr>
        <w:t xml:space="preserve">Šīs regulas pamatā ir īstenošanas tehnisko standartu projekts, ko Komisijai iesniegusi Eiropas Banku iestāde. </w:t>
      </w:r>
    </w:p>
    <w:p w:rsidR="00F83DBF" w:rsidRPr="002941D1" w:rsidRDefault="00F83DBF" w:rsidP="00F83DBF">
      <w:pPr>
        <w:pStyle w:val="ManualConsidrant"/>
        <w:rPr>
          <w:noProof/>
        </w:rPr>
      </w:pPr>
      <w:r>
        <w:rPr>
          <w:noProof/>
        </w:rPr>
        <w:t>(6)</w:t>
      </w:r>
      <w:r>
        <w:rPr>
          <w:noProof/>
        </w:rPr>
        <w:tab/>
      </w:r>
      <w:r w:rsidRPr="002941D1">
        <w:rPr>
          <w:noProof/>
        </w:rPr>
        <w:t>Eiropas Banku iestāde ir veikusi atklātu sabiedrisko apspriešanu par regulatīvo tehnisko standartu projektu, kas ir šīs regulas pamatā, izvērtējusi potenciālās saistītās izmaksas un ieguvumus un pieprasījusi saskaņā ar Eiropas Parlamenta un Padomes Regulas (ES) Nr. 1093/2010</w:t>
      </w:r>
      <w:r w:rsidRPr="002941D1">
        <w:rPr>
          <w:rStyle w:val="FootnoteReference"/>
          <w:noProof/>
        </w:rPr>
        <w:footnoteReference w:id="7"/>
      </w:r>
      <w:r w:rsidRPr="002941D1">
        <w:rPr>
          <w:noProof/>
        </w:rPr>
        <w:t xml:space="preserve"> 37. pantu izveidotās Banku nozares ieinteresēto personu grupas konsultāciju.</w:t>
      </w:r>
    </w:p>
    <w:p w:rsidR="00DB127D" w:rsidRPr="002941D1" w:rsidRDefault="00DB127D" w:rsidP="00F83DBF">
      <w:pPr>
        <w:pStyle w:val="ManualConsidrant"/>
        <w:rPr>
          <w:noProof/>
        </w:rPr>
      </w:pPr>
      <w:r>
        <w:rPr>
          <w:noProof/>
        </w:rPr>
        <w:t>(7)</w:t>
      </w:r>
      <w:r>
        <w:rPr>
          <w:noProof/>
        </w:rPr>
        <w:tab/>
      </w:r>
      <w:r w:rsidRPr="002941D1">
        <w:rPr>
          <w:noProof/>
        </w:rPr>
        <w:t xml:space="preserve">Lai nodrošinātu vienībām, uz kurām attiecas pienākums ziņot vai atklāt informāciju saskaņā ar Regulu (ES) Nr. 575/2013 vai Direktīvu 2014/59/ES, pietiekami daudz laika pielāgoties </w:t>
      </w:r>
      <w:bookmarkStart w:id="2" w:name="_Hlk160034996"/>
      <w:bookmarkEnd w:id="2"/>
      <w:r w:rsidRPr="002941D1">
        <w:rPr>
          <w:noProof/>
        </w:rPr>
        <w:t>izmaiņām veidnēs un saskaņotai informācijai, minētās izmaiņas būtu jāsāk piemērot sešus mēnešus pēc šīs regulas stāšanās spēkā,</w:t>
      </w:r>
    </w:p>
    <w:p w:rsidR="001D506C" w:rsidRPr="002941D1" w:rsidRDefault="001D506C" w:rsidP="004E1EF9">
      <w:pPr>
        <w:pStyle w:val="Formuledadoption"/>
        <w:rPr>
          <w:noProof/>
        </w:rPr>
      </w:pPr>
      <w:r w:rsidRPr="002941D1">
        <w:rPr>
          <w:noProof/>
        </w:rPr>
        <w:t>IR PIEŅĒMUSI ŠO REGULU.</w:t>
      </w:r>
    </w:p>
    <w:p w:rsidR="001D506C" w:rsidRPr="002941D1" w:rsidRDefault="001D506C" w:rsidP="004E1EF9">
      <w:pPr>
        <w:pStyle w:val="Titrearticle"/>
        <w:rPr>
          <w:noProof/>
        </w:rPr>
      </w:pPr>
      <w:r w:rsidRPr="002941D1">
        <w:rPr>
          <w:noProof/>
        </w:rPr>
        <w:t>1. pants</w:t>
      </w:r>
    </w:p>
    <w:p w:rsidR="008D3341" w:rsidRPr="002941D1" w:rsidRDefault="008D3341" w:rsidP="00220108">
      <w:pPr>
        <w:pStyle w:val="Titrearticle"/>
        <w:rPr>
          <w:noProof/>
        </w:rPr>
      </w:pPr>
      <w:r w:rsidRPr="002941D1">
        <w:rPr>
          <w:noProof/>
        </w:rPr>
        <w:t>Grozījumi Īstenošanas regulā (ES) 2021/763</w:t>
      </w:r>
    </w:p>
    <w:p w:rsidR="00F83DBF" w:rsidRPr="002941D1" w:rsidRDefault="00F83DBF" w:rsidP="00F83DBF">
      <w:pPr>
        <w:rPr>
          <w:noProof/>
        </w:rPr>
      </w:pPr>
      <w:r w:rsidRPr="002941D1">
        <w:rPr>
          <w:noProof/>
        </w:rPr>
        <w:t>Īstenošana regulu (ES) 2021/763 groza šādi:</w:t>
      </w:r>
    </w:p>
    <w:p w:rsidR="00F83DBF" w:rsidRPr="002941D1" w:rsidRDefault="004603A2" w:rsidP="000B009E">
      <w:pPr>
        <w:pStyle w:val="Point0"/>
        <w:rPr>
          <w:noProof/>
        </w:rPr>
      </w:pPr>
      <w:r>
        <w:rPr>
          <w:noProof/>
        </w:rPr>
        <w:t>(1)</w:t>
      </w:r>
      <w:r>
        <w:rPr>
          <w:noProof/>
        </w:rPr>
        <w:tab/>
      </w:r>
      <w:r w:rsidRPr="002941D1">
        <w:rPr>
          <w:noProof/>
        </w:rPr>
        <w:t>I pielikumā noteiktās veidnes M 02.00 un M 03.00 aizstāj ar šīs regulas I pielikumā noteiktajām veidnēm M 02.00 un M 03.00.</w:t>
      </w:r>
    </w:p>
    <w:p w:rsidR="00F83DBF" w:rsidRPr="002941D1" w:rsidRDefault="00F83DBF" w:rsidP="00220108">
      <w:pPr>
        <w:pStyle w:val="Point0"/>
        <w:rPr>
          <w:noProof/>
        </w:rPr>
      </w:pPr>
      <w:r>
        <w:rPr>
          <w:noProof/>
        </w:rPr>
        <w:t>(2)</w:t>
      </w:r>
      <w:r>
        <w:rPr>
          <w:noProof/>
        </w:rPr>
        <w:tab/>
      </w:r>
      <w:r w:rsidRPr="002941D1">
        <w:rPr>
          <w:noProof/>
        </w:rPr>
        <w:t>Regulas II pielikumu aizstāj ar šīs regulas II pielikuma tekstu.</w:t>
      </w:r>
    </w:p>
    <w:p w:rsidR="00F83DBF" w:rsidRPr="002941D1" w:rsidRDefault="004603A2" w:rsidP="00220108">
      <w:pPr>
        <w:pStyle w:val="Point0"/>
        <w:rPr>
          <w:noProof/>
        </w:rPr>
      </w:pPr>
      <w:r>
        <w:rPr>
          <w:noProof/>
        </w:rPr>
        <w:t>(3)</w:t>
      </w:r>
      <w:r>
        <w:rPr>
          <w:noProof/>
        </w:rPr>
        <w:tab/>
      </w:r>
      <w:r w:rsidRPr="002941D1">
        <w:rPr>
          <w:noProof/>
        </w:rPr>
        <w:t>Veidnes “EU TLAC1” un “EU iLAC”, kas noteiktas V pielikumā, aizstāj ar veidnēm “EU TLAC1 un “EU ILAC”, kas noteiktas šīs regulas III pielikumā.</w:t>
      </w:r>
    </w:p>
    <w:p w:rsidR="00F83DBF" w:rsidRPr="002941D1" w:rsidRDefault="00F83DBF" w:rsidP="00220108">
      <w:pPr>
        <w:pStyle w:val="Point0"/>
        <w:rPr>
          <w:noProof/>
        </w:rPr>
      </w:pPr>
      <w:r>
        <w:rPr>
          <w:noProof/>
        </w:rPr>
        <w:t>(4)</w:t>
      </w:r>
      <w:r>
        <w:rPr>
          <w:noProof/>
        </w:rPr>
        <w:tab/>
      </w:r>
      <w:r w:rsidRPr="002941D1">
        <w:rPr>
          <w:noProof/>
        </w:rPr>
        <w:t>VI pielikumu aizstāj ar šīs regulas IV pielikuma tekstu.</w:t>
      </w:r>
    </w:p>
    <w:p w:rsidR="00F83DBF" w:rsidRPr="002941D1" w:rsidRDefault="00F83DBF" w:rsidP="00F83DBF">
      <w:pPr>
        <w:pStyle w:val="Titrearticle"/>
        <w:rPr>
          <w:noProof/>
        </w:rPr>
      </w:pPr>
      <w:r w:rsidRPr="002941D1">
        <w:rPr>
          <w:noProof/>
        </w:rPr>
        <w:t>2. pants</w:t>
      </w:r>
    </w:p>
    <w:p w:rsidR="00CC305D" w:rsidRPr="002941D1" w:rsidRDefault="00CC305D" w:rsidP="00583FFA">
      <w:pPr>
        <w:jc w:val="center"/>
        <w:rPr>
          <w:b/>
          <w:bCs/>
          <w:noProof/>
          <w:color w:val="000000"/>
        </w:rPr>
      </w:pPr>
      <w:r w:rsidRPr="002941D1">
        <w:rPr>
          <w:b/>
          <w:noProof/>
          <w:color w:val="000000"/>
        </w:rPr>
        <w:t>Stāšanās spēkā un piemērošana</w:t>
      </w:r>
    </w:p>
    <w:p w:rsidR="00F83DBF" w:rsidRPr="002941D1" w:rsidRDefault="00F83DBF" w:rsidP="00F83DBF">
      <w:pPr>
        <w:rPr>
          <w:noProof/>
          <w:color w:val="000000"/>
        </w:rPr>
      </w:pPr>
      <w:r w:rsidRPr="002941D1">
        <w:rPr>
          <w:noProof/>
          <w:color w:val="000000"/>
        </w:rPr>
        <w:t xml:space="preserve">Šī regula stājas spēkā divdesmitajā dienā pēc tās publicēšanas </w:t>
      </w:r>
      <w:r w:rsidRPr="002941D1">
        <w:rPr>
          <w:i/>
          <w:noProof/>
          <w:color w:val="000000"/>
        </w:rPr>
        <w:t>Eiropas Savienības Oficiālajā Vēstnesī</w:t>
      </w:r>
      <w:r w:rsidRPr="002941D1">
        <w:rPr>
          <w:noProof/>
          <w:color w:val="000000"/>
        </w:rPr>
        <w:t>.</w:t>
      </w:r>
    </w:p>
    <w:p w:rsidR="00F83DBF" w:rsidRPr="002941D1" w:rsidRDefault="00F83DBF" w:rsidP="00F83DBF">
      <w:pPr>
        <w:rPr>
          <w:noProof/>
          <w:color w:val="000000"/>
        </w:rPr>
      </w:pPr>
      <w:r w:rsidRPr="002941D1">
        <w:rPr>
          <w:noProof/>
          <w:color w:val="000000"/>
        </w:rPr>
        <w:t>To piemēro no [</w:t>
      </w:r>
      <w:r w:rsidRPr="002941D1">
        <w:rPr>
          <w:i/>
          <w:noProof/>
          <w:color w:val="000000"/>
        </w:rPr>
        <w:t>PB: lūgums ievietot datumu — seši mēneši pēc šīs grozījumu regulas spēkā stāšanās dienas</w:t>
      </w:r>
      <w:r w:rsidRPr="002941D1">
        <w:rPr>
          <w:noProof/>
          <w:color w:val="000000"/>
        </w:rPr>
        <w:t xml:space="preserve">]. </w:t>
      </w:r>
    </w:p>
    <w:p w:rsidR="001D506C" w:rsidRPr="002941D1" w:rsidRDefault="001D506C" w:rsidP="004E1EF9">
      <w:pPr>
        <w:pStyle w:val="Applicationdirecte"/>
        <w:keepNext/>
        <w:keepLines/>
        <w:rPr>
          <w:noProof/>
        </w:rPr>
      </w:pPr>
      <w:r w:rsidRPr="002941D1">
        <w:rPr>
          <w:noProof/>
        </w:rPr>
        <w:t>Šī regula uzliek saistības kopumā un ir tieši piemērojama dalībvalstīs.</w:t>
      </w:r>
    </w:p>
    <w:p w:rsidR="001D506C" w:rsidRPr="002941D1" w:rsidRDefault="00375955" w:rsidP="00BD2BE3">
      <w:pPr>
        <w:pStyle w:val="Fait"/>
        <w:rPr>
          <w:noProof/>
        </w:rPr>
      </w:pPr>
      <w:r>
        <w:rPr>
          <w:noProof/>
        </w:rPr>
        <w:t>Briselē, 6.6.2024</w:t>
      </w:r>
    </w:p>
    <w:p w:rsidR="001D506C" w:rsidRPr="002941D1" w:rsidRDefault="001D506C" w:rsidP="00BD2BE3">
      <w:pPr>
        <w:pStyle w:val="Institutionquisigne"/>
        <w:rPr>
          <w:noProof/>
        </w:rPr>
      </w:pPr>
      <w:r w:rsidRPr="002941D1">
        <w:rPr>
          <w:noProof/>
        </w:rPr>
        <w:tab/>
        <w:t>Komisijas vārdā –</w:t>
      </w:r>
    </w:p>
    <w:p w:rsidR="00F718B8" w:rsidRPr="002941D1" w:rsidRDefault="0051467C" w:rsidP="00BD2BE3">
      <w:pPr>
        <w:pStyle w:val="Personnequisigne"/>
        <w:keepNext/>
        <w:rPr>
          <w:noProof/>
        </w:rPr>
      </w:pPr>
      <w:r>
        <w:rPr>
          <w:noProof/>
        </w:rPr>
        <w:tab/>
        <w:t>priekšsēdētāja</w:t>
      </w:r>
      <w:r>
        <w:rPr>
          <w:noProof/>
        </w:rPr>
        <w:br/>
      </w:r>
      <w:r>
        <w:rPr>
          <w:noProof/>
        </w:rPr>
        <w:tab/>
        <w:t>Ursula VON DER LEYEN</w:t>
      </w:r>
    </w:p>
    <w:p w:rsidR="00C402D1" w:rsidRPr="002941D1" w:rsidRDefault="00C402D1" w:rsidP="00C402D1">
      <w:pPr>
        <w:pStyle w:val="Personnequisigne"/>
        <w:rPr>
          <w:noProof/>
        </w:rPr>
      </w:pPr>
    </w:p>
    <w:sectPr w:rsidR="00C402D1" w:rsidRPr="002941D1" w:rsidSect="0016303F">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Pr="0016303F" w:rsidRDefault="0016303F" w:rsidP="0016303F">
    <w:pPr>
      <w:pStyle w:val="Footer"/>
      <w:rPr>
        <w:rFonts w:ascii="Arial" w:hAnsi="Arial" w:cs="Arial"/>
        <w:b/>
        <w:sz w:val="48"/>
      </w:rPr>
    </w:pPr>
    <w:r w:rsidRPr="0016303F">
      <w:rPr>
        <w:rFonts w:ascii="Arial" w:hAnsi="Arial" w:cs="Arial"/>
        <w:b/>
        <w:sz w:val="48"/>
      </w:rPr>
      <w:t>LV</w:t>
    </w:r>
    <w:r w:rsidRPr="0016303F">
      <w:rPr>
        <w:rFonts w:ascii="Arial" w:hAnsi="Arial" w:cs="Arial"/>
        <w:b/>
        <w:sz w:val="48"/>
      </w:rPr>
      <w:tab/>
    </w:r>
    <w:r w:rsidRPr="0016303F">
      <w:rPr>
        <w:rFonts w:ascii="Arial" w:hAnsi="Arial" w:cs="Arial"/>
        <w:b/>
        <w:sz w:val="48"/>
      </w:rPr>
      <w:tab/>
    </w:r>
    <w:r w:rsidRPr="0016303F">
      <w:tab/>
    </w:r>
    <w:r w:rsidRPr="0016303F">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Pr="0016303F" w:rsidRDefault="0016303F" w:rsidP="0016303F">
    <w:pPr>
      <w:pStyle w:val="Footer"/>
      <w:rPr>
        <w:rFonts w:ascii="Arial" w:hAnsi="Arial" w:cs="Arial"/>
        <w:b/>
        <w:sz w:val="48"/>
      </w:rPr>
    </w:pPr>
    <w:r w:rsidRPr="0016303F">
      <w:rPr>
        <w:rFonts w:ascii="Arial" w:hAnsi="Arial" w:cs="Arial"/>
        <w:b/>
        <w:sz w:val="48"/>
      </w:rPr>
      <w:t>LV</w:t>
    </w:r>
    <w:r w:rsidRPr="0016303F">
      <w:rPr>
        <w:rFonts w:ascii="Arial" w:hAnsi="Arial" w:cs="Arial"/>
        <w:b/>
        <w:sz w:val="48"/>
      </w:rPr>
      <w:tab/>
    </w:r>
    <w:r w:rsidRPr="0016303F">
      <w:rPr>
        <w:rFonts w:ascii="Arial" w:hAnsi="Arial" w:cs="Arial"/>
        <w:b/>
        <w:sz w:val="48"/>
      </w:rPr>
      <w:tab/>
    </w:r>
    <w:r w:rsidRPr="0016303F">
      <w:tab/>
    </w:r>
    <w:r w:rsidRPr="0016303F">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Default="001630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Pr="0016303F" w:rsidRDefault="0016303F" w:rsidP="0016303F">
    <w:pPr>
      <w:pStyle w:val="Footer"/>
      <w:rPr>
        <w:rFonts w:ascii="Arial" w:hAnsi="Arial" w:cs="Arial"/>
        <w:b/>
        <w:sz w:val="48"/>
      </w:rPr>
    </w:pPr>
    <w:r w:rsidRPr="0016303F">
      <w:rPr>
        <w:rFonts w:ascii="Arial" w:hAnsi="Arial" w:cs="Arial"/>
        <w:b/>
        <w:sz w:val="48"/>
      </w:rPr>
      <w:t>LV</w:t>
    </w:r>
    <w:r w:rsidRPr="0016303F">
      <w:rPr>
        <w:rFonts w:ascii="Arial" w:hAnsi="Arial" w:cs="Arial"/>
        <w:b/>
        <w:sz w:val="48"/>
      </w:rPr>
      <w:tab/>
    </w:r>
    <w:r>
      <w:fldChar w:fldCharType="begin"/>
    </w:r>
    <w:r>
      <w:instrText xml:space="preserve"> PAGE  \* MERGEFORMAT </w:instrText>
    </w:r>
    <w:r>
      <w:fldChar w:fldCharType="separate"/>
    </w:r>
    <w:r w:rsidR="00BD2BE3">
      <w:rPr>
        <w:noProof/>
      </w:rPr>
      <w:t>3</w:t>
    </w:r>
    <w:r>
      <w:fldChar w:fldCharType="end"/>
    </w:r>
    <w:r>
      <w:tab/>
    </w:r>
    <w:r w:rsidRPr="0016303F">
      <w:tab/>
    </w:r>
    <w:r w:rsidRPr="0016303F">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Default="0016303F" w:rsidP="00163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38A7" w:rsidRDefault="000E6FD2" w:rsidP="000E6FD2">
      <w:pPr>
        <w:pStyle w:val="FootnoteText"/>
      </w:pPr>
      <w:r>
        <w:rPr>
          <w:rStyle w:val="FootnoteReference"/>
        </w:rPr>
        <w:footnoteRef/>
      </w:r>
      <w:r>
        <w:tab/>
        <w:t xml:space="preserve">OV L 176, 27.6.2013., 1. lpp., ELI: http://data.europa.eu/eli/reg/2013/575/oj. </w:t>
      </w:r>
    </w:p>
  </w:footnote>
  <w:footnote w:id="2">
    <w:p w:rsidR="000E6FD2" w:rsidRPr="00DA38A7" w:rsidRDefault="000E6FD2" w:rsidP="000E6FD2">
      <w:pPr>
        <w:pStyle w:val="FootnoteText"/>
      </w:pPr>
      <w:r>
        <w:rPr>
          <w:rStyle w:val="FootnoteReference"/>
        </w:rPr>
        <w:footnoteRef/>
      </w:r>
      <w:r>
        <w:tab/>
        <w:t xml:space="preserve">OV L 173, 12.6.2014., 190. lpp., ELI: http://data.europa.eu/eli/dir/2014/59/oj. </w:t>
      </w:r>
    </w:p>
  </w:footnote>
  <w:footnote w:id="3">
    <w:p w:rsidR="00F83DBF" w:rsidRPr="001734AB" w:rsidRDefault="00F83DBF" w:rsidP="00F83DBF">
      <w:pPr>
        <w:pStyle w:val="FootnoteText"/>
      </w:pPr>
      <w:r>
        <w:rPr>
          <w:rStyle w:val="FootnoteReference"/>
        </w:rPr>
        <w:footnoteRef/>
      </w:r>
      <w:r>
        <w:tab/>
        <w:t>Eiropas Parlamenta un Padomes Regula (ES) 2022/2036 (2022. gada 19. oktobris), ar ko groza Regulu (ES) Nr. 575/2013 un Direktīvu 2014/59/ES attiecībā uz prudenciālo režīmu globālām sistēmiski nozīmīgām iestādēm ar noregulējuma stratēģiju ar vairākām noregulējuma iestādēm un metodēm attiecībā uz netiešu parakstīšanos uz instrumentiem, kas ir atbilstīgi, lai izpildītu minimuma prasību pašu kapitālam un atbilstīgajām saistībām (OV L 275, 25.10.2022., 1. lpp.,ELI: http://data.europa.eu/eli/reg/2022/2036/oj)</w:t>
      </w:r>
    </w:p>
  </w:footnote>
  <w:footnote w:id="4">
    <w:p w:rsidR="00F83DBF" w:rsidRPr="002B6E0A" w:rsidRDefault="00F83DBF" w:rsidP="00F83DBF">
      <w:pPr>
        <w:pStyle w:val="FootnoteText"/>
      </w:pPr>
      <w:r>
        <w:rPr>
          <w:rStyle w:val="FootnoteReference"/>
        </w:rPr>
        <w:footnoteRef/>
      </w:r>
      <w:r>
        <w:tab/>
        <w:t>Eiropas Parlamenta un Padomes Direktīva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 (OV L 173, 12.6.2014., 190.-348. lpp.).</w:t>
      </w:r>
    </w:p>
  </w:footnote>
  <w:footnote w:id="5">
    <w:p w:rsidR="00F83DBF" w:rsidRPr="00BA3525" w:rsidRDefault="00F83DBF" w:rsidP="00F83DBF">
      <w:pPr>
        <w:pStyle w:val="FootnoteText"/>
      </w:pPr>
      <w:r>
        <w:rPr>
          <w:rStyle w:val="FootnoteReference"/>
        </w:rPr>
        <w:footnoteRef/>
      </w:r>
      <w:r>
        <w:tab/>
        <w:t>Komisijas Īstenošanas regula (ES) 2021/763 (2021. gada 23. aprīlis), ar ko nosaka īstenošanas tehniskos standartus Eiropas Parlamenta un Padomes Regulas (ES) Nr. 575/2013 un Eiropas Parlamenta un Padomes Direktīvas 2014/59/ES piemērošanai attiecībā uz uzraudzības pārskatu sniegšanu un informācijas publiskošanu par minimuma prasību pašu kapitālam un atbilstīgajām saistībām (OV L 168, 12.5.2021., 1. lpp.).</w:t>
      </w:r>
    </w:p>
  </w:footnote>
  <w:footnote w:id="6">
    <w:p w:rsidR="00686AFD" w:rsidRPr="00686AFD" w:rsidRDefault="00686AFD" w:rsidP="00686AFD">
      <w:pPr>
        <w:pStyle w:val="FootnoteText"/>
      </w:pPr>
      <w:r w:rsidRPr="000D4D45">
        <w:rPr>
          <w:rStyle w:val="FootnoteReference"/>
        </w:rPr>
        <w:footnoteRef/>
      </w:r>
      <w:r w:rsidR="000D4D45">
        <w:tab/>
      </w:r>
      <w:r>
        <w:rPr>
          <w:i/>
          <w:iCs/>
        </w:rPr>
        <w:t>Oficiālo Vēstnesi</w:t>
      </w:r>
      <w:r>
        <w:t xml:space="preserve"> Eiropas Parlamenta un Padomes Direktīva (ES) 2024/1174 </w:t>
      </w:r>
      <w:r w:rsidR="00F66D83">
        <w:t>(</w:t>
      </w:r>
      <w:r>
        <w:t xml:space="preserve">2024. gada 11. </w:t>
      </w:r>
      <w:r w:rsidR="00F66D83">
        <w:t>A</w:t>
      </w:r>
      <w:r>
        <w:t>prīlis</w:t>
      </w:r>
      <w:r w:rsidR="00F66D83">
        <w:t>)</w:t>
      </w:r>
      <w:r>
        <w:t>, ar ko groza Direktīvu 2014/59/ES un Regulu (ES) Nr. 806/2014 attiecībā uz dažiem minimuma prasības pašu kapitālam un atbilstīgajām saistībām aspektiem, (OV L, 2024/1174, 22.4.2024.).</w:t>
      </w:r>
    </w:p>
  </w:footnote>
  <w:footnote w:id="7">
    <w:p w:rsidR="00F83DBF" w:rsidRPr="00B64E68" w:rsidRDefault="00F83DBF" w:rsidP="00F83DBF">
      <w:pPr>
        <w:pStyle w:val="FootnoteText"/>
      </w:pPr>
      <w:r>
        <w:rPr>
          <w:rStyle w:val="FootnoteReference"/>
        </w:rPr>
        <w:footnoteRef/>
      </w:r>
      <w:r>
        <w:tab/>
        <w:t>Eiropas Parlamenta un Padomes Regula (ES) Nr.1093/2010 (2010. gada 24. novembris), ar ko izveido Eiropas Uzraudzības iestādi (Eiropas Banku iestādi), groza Lēmumu Nr. 716/2009/EK un atceļ Komisijas Lēmumu 2009/78/EK (OV L 331, 15.12.2010., 12. lpp.,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Default="00163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03F" w:rsidRDefault="00163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1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FDB686A-7596-41A8-8677-E3A10F3EF633"/>
    <w:docVar w:name="LW_COVERPAGE_TYPE" w:val="1"/>
    <w:docVar w:name="LW_CROSSREFERENCE" w:val="&lt;UNUSED&gt;"/>
    <w:docVar w:name="LW_DATE.ADOPT.CP" w:val="(6.6.2024)"/>
    <w:docVar w:name="LW_DATE.ADOPT.CP_DATEFORMAT" w:val="(%DATE%)"/>
    <w:docVar w:name="LW_DATE.ADOPT.CP_ISODATE" w:val="2024-06-06"/>
    <w:docVar w:name="LW_DocType" w:val="COM"/>
    <w:docVar w:name="LW_EMISSION" w:val="6.6.2024"/>
    <w:docVar w:name="LW_EMISSION_ISODATE" w:val="2024-06-06"/>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uru groza Komisijas \u298?steno\u353?anas regulu (ES) 2021/763, ar ko nosaka \u299?steno\u353?anas tehniskos standartus Eiropas Parlamenta un Padomes Regulas (ES) Nr. 575/2013 un Eiropas Parlamenta un Padomes Direkt\u299?vas 2014/59/ES piem\u275?ro\u353?anai attiec\u299?b\u257? uz uzraudz\u299?bas p\u257?rskatu snieg\u353?anu un inform\u257?cijas publisko\u353?anu par minimuma pras\u299?bu pa\u353?u kapit\u257?lam un atbilst\u299?gaj\u257?m saist\u299?b\u257?m _x000b_"/>
    <w:docVar w:name="LW_TYPE.DOC.CP" w:val="KOMISIJAS \u298?STENO\u352?ANAS REGULA (ES) \u8230?/.."/>
    <w:docVar w:name="LwApiVersions" w:val="LW4CoDe 1.24.5.0; LW 9.0, Build 20240221"/>
  </w:docVars>
  <w:rsids>
    <w:rsidRoot w:val="001D506C"/>
    <w:rsid w:val="00002D66"/>
    <w:rsid w:val="000779C1"/>
    <w:rsid w:val="00093B4B"/>
    <w:rsid w:val="000955EB"/>
    <w:rsid w:val="000B009E"/>
    <w:rsid w:val="000B7A7D"/>
    <w:rsid w:val="000D4D45"/>
    <w:rsid w:val="000E6B56"/>
    <w:rsid w:val="000E6FD2"/>
    <w:rsid w:val="000F4859"/>
    <w:rsid w:val="0013442E"/>
    <w:rsid w:val="00152894"/>
    <w:rsid w:val="0016303F"/>
    <w:rsid w:val="00185DB3"/>
    <w:rsid w:val="001B397F"/>
    <w:rsid w:val="001B6C2F"/>
    <w:rsid w:val="001C3332"/>
    <w:rsid w:val="001D506C"/>
    <w:rsid w:val="0021680F"/>
    <w:rsid w:val="00220108"/>
    <w:rsid w:val="0022339B"/>
    <w:rsid w:val="00292AC6"/>
    <w:rsid w:val="002941D1"/>
    <w:rsid w:val="002B65CA"/>
    <w:rsid w:val="002C09C1"/>
    <w:rsid w:val="002F0DF7"/>
    <w:rsid w:val="002F1E29"/>
    <w:rsid w:val="00302BB5"/>
    <w:rsid w:val="0031489C"/>
    <w:rsid w:val="00314C67"/>
    <w:rsid w:val="00334016"/>
    <w:rsid w:val="003376F8"/>
    <w:rsid w:val="00363DC5"/>
    <w:rsid w:val="00370470"/>
    <w:rsid w:val="00375955"/>
    <w:rsid w:val="00380338"/>
    <w:rsid w:val="003819BF"/>
    <w:rsid w:val="00384219"/>
    <w:rsid w:val="0038725C"/>
    <w:rsid w:val="00391381"/>
    <w:rsid w:val="00396ACD"/>
    <w:rsid w:val="003C0C4B"/>
    <w:rsid w:val="00437AA5"/>
    <w:rsid w:val="0044282B"/>
    <w:rsid w:val="004603A2"/>
    <w:rsid w:val="00492396"/>
    <w:rsid w:val="004B3865"/>
    <w:rsid w:val="004C38F7"/>
    <w:rsid w:val="004E19F9"/>
    <w:rsid w:val="0051467C"/>
    <w:rsid w:val="00517205"/>
    <w:rsid w:val="005258AB"/>
    <w:rsid w:val="0052704B"/>
    <w:rsid w:val="005279D9"/>
    <w:rsid w:val="00542487"/>
    <w:rsid w:val="00580629"/>
    <w:rsid w:val="00582810"/>
    <w:rsid w:val="00583FFA"/>
    <w:rsid w:val="00595540"/>
    <w:rsid w:val="005B5FA6"/>
    <w:rsid w:val="005E1E85"/>
    <w:rsid w:val="005F222A"/>
    <w:rsid w:val="005F33FF"/>
    <w:rsid w:val="00647818"/>
    <w:rsid w:val="006654AB"/>
    <w:rsid w:val="006813A6"/>
    <w:rsid w:val="00686AFD"/>
    <w:rsid w:val="006A2A68"/>
    <w:rsid w:val="006C6A99"/>
    <w:rsid w:val="006F7EFE"/>
    <w:rsid w:val="00703C0B"/>
    <w:rsid w:val="0075467B"/>
    <w:rsid w:val="007D0861"/>
    <w:rsid w:val="007D1225"/>
    <w:rsid w:val="007E010B"/>
    <w:rsid w:val="00802FC2"/>
    <w:rsid w:val="0081293E"/>
    <w:rsid w:val="0084238A"/>
    <w:rsid w:val="00852DE8"/>
    <w:rsid w:val="008C58B7"/>
    <w:rsid w:val="008C62AF"/>
    <w:rsid w:val="008C63FE"/>
    <w:rsid w:val="008D0E5E"/>
    <w:rsid w:val="008D3341"/>
    <w:rsid w:val="008E2694"/>
    <w:rsid w:val="00940731"/>
    <w:rsid w:val="009476D9"/>
    <w:rsid w:val="009702E0"/>
    <w:rsid w:val="009712C1"/>
    <w:rsid w:val="009719B6"/>
    <w:rsid w:val="009731D1"/>
    <w:rsid w:val="00985A34"/>
    <w:rsid w:val="009957C5"/>
    <w:rsid w:val="009A1A98"/>
    <w:rsid w:val="00A10BBD"/>
    <w:rsid w:val="00A2735C"/>
    <w:rsid w:val="00A37647"/>
    <w:rsid w:val="00A565C7"/>
    <w:rsid w:val="00A61FE3"/>
    <w:rsid w:val="00A63976"/>
    <w:rsid w:val="00B0742B"/>
    <w:rsid w:val="00B247D1"/>
    <w:rsid w:val="00B50A87"/>
    <w:rsid w:val="00B74403"/>
    <w:rsid w:val="00B84713"/>
    <w:rsid w:val="00B851FA"/>
    <w:rsid w:val="00BB5522"/>
    <w:rsid w:val="00BB67B2"/>
    <w:rsid w:val="00BD2BE3"/>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A38A7"/>
    <w:rsid w:val="00DB127D"/>
    <w:rsid w:val="00DB4B20"/>
    <w:rsid w:val="00E07235"/>
    <w:rsid w:val="00E130C5"/>
    <w:rsid w:val="00E247EB"/>
    <w:rsid w:val="00E33C9F"/>
    <w:rsid w:val="00E83C6F"/>
    <w:rsid w:val="00E9509D"/>
    <w:rsid w:val="00E979AB"/>
    <w:rsid w:val="00EC39BC"/>
    <w:rsid w:val="00ED7712"/>
    <w:rsid w:val="00EE140B"/>
    <w:rsid w:val="00F02755"/>
    <w:rsid w:val="00F41B40"/>
    <w:rsid w:val="00F66D83"/>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lv-LV"/>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16303F"/>
    <w:rPr>
      <w:rFonts w:ascii="Times New Roman" w:hAnsi="Times New Roman" w:cs="Times New Roman"/>
      <w:sz w:val="24"/>
      <w:lang w:val="lv-LV"/>
    </w:rPr>
  </w:style>
  <w:style w:type="character" w:customStyle="1" w:styleId="FooterChar">
    <w:name w:val="Footer Char"/>
    <w:basedOn w:val="DefaultParagraphFont"/>
    <w:link w:val="Footer"/>
    <w:uiPriority w:val="99"/>
    <w:rsid w:val="0016303F"/>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v-LV"/>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v-LV"/>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v-LV"/>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v-LV"/>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v-LV"/>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v-LV"/>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v-LV"/>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6303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6303F"/>
    <w:pPr>
      <w:spacing w:before="0"/>
      <w:jc w:val="right"/>
    </w:pPr>
    <w:rPr>
      <w:sz w:val="28"/>
    </w:rPr>
  </w:style>
  <w:style w:type="paragraph" w:customStyle="1" w:styleId="FooterSensitivity">
    <w:name w:val="Footer Sensitivity"/>
    <w:basedOn w:val="Normal"/>
    <w:rsid w:val="0016303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6303F"/>
    <w:pPr>
      <w:tabs>
        <w:tab w:val="center" w:pos="4535"/>
        <w:tab w:val="right" w:pos="9071"/>
      </w:tabs>
      <w:spacing w:before="0"/>
    </w:pPr>
  </w:style>
  <w:style w:type="paragraph" w:customStyle="1" w:styleId="HeaderLandscape">
    <w:name w:val="HeaderLandscape"/>
    <w:basedOn w:val="Normal"/>
    <w:rsid w:val="0016303F"/>
    <w:pPr>
      <w:tabs>
        <w:tab w:val="center" w:pos="7285"/>
        <w:tab w:val="right" w:pos="14003"/>
      </w:tabs>
      <w:spacing w:before="0"/>
    </w:pPr>
  </w:style>
  <w:style w:type="paragraph" w:styleId="Footer">
    <w:name w:val="footer"/>
    <w:basedOn w:val="Normal"/>
    <w:link w:val="FooterChar"/>
    <w:uiPriority w:val="99"/>
    <w:unhideWhenUsed/>
    <w:rsid w:val="0016303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6303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