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993F3A" w:rsidRDefault="00C7253C" w:rsidP="00C7253C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1C900ED9-3F62-4CAF-ACCB-E3E42B244D6B" style="width:455.25pt;height:441pt">
            <v:imagedata r:id="rId7" o:title=""/>
          </v:shape>
        </w:pict>
      </w:r>
    </w:p>
    <w:p w:rsidR="001D506C" w:rsidRPr="00993F3A" w:rsidRDefault="001D506C">
      <w:pPr>
        <w:rPr>
          <w:noProof/>
        </w:rPr>
        <w:sectPr w:rsidR="001D506C" w:rsidRPr="00993F3A" w:rsidSect="00C7253C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993F3A" w:rsidRDefault="00993F3A" w:rsidP="00993F3A">
      <w:pPr>
        <w:pStyle w:val="Typedudocument"/>
        <w:rPr>
          <w:noProof/>
        </w:rPr>
      </w:pPr>
      <w:bookmarkStart w:id="0" w:name="_GoBack"/>
      <w:bookmarkEnd w:id="0"/>
      <w:r w:rsidRPr="00993F3A">
        <w:rPr>
          <w:noProof/>
        </w:rPr>
        <w:lastRenderedPageBreak/>
        <w:t>RIALACHÁN CUR CHUN FEIDHME (AE) .../... ÓN gCOIMISIÚN</w:t>
      </w:r>
    </w:p>
    <w:p w:rsidR="001D506C" w:rsidRPr="00993F3A" w:rsidRDefault="00CE6F10" w:rsidP="00993F3A">
      <w:pPr>
        <w:pStyle w:val="Datedadoption"/>
        <w:rPr>
          <w:noProof/>
        </w:rPr>
      </w:pPr>
      <w:r>
        <w:rPr>
          <w:noProof/>
        </w:rPr>
        <w:t>an 6.6.2024</w:t>
      </w:r>
    </w:p>
    <w:p w:rsidR="001D506C" w:rsidRPr="00993F3A" w:rsidRDefault="00993F3A" w:rsidP="00993F3A">
      <w:pPr>
        <w:pStyle w:val="Titreobjet"/>
        <w:rPr>
          <w:noProof/>
        </w:rPr>
      </w:pPr>
      <w:r w:rsidRPr="00993F3A">
        <w:rPr>
          <w:noProof/>
        </w:rPr>
        <w:t xml:space="preserve">lena leasaítear Rialachán Cur Chun Feidhme (AE) 2021/763 lena leagtar síos caighdeáin theicniúla cur chun feidhme maidir le cur chun feidhme Rialachán (AE) Uimh. 575/2013 ó Pharlaimint na hEorpa agus ón gComhairle agus Treoir 2014/59/AE ó Pharlaimint na hEorpa agus ón gComhairle a mhéid a bhaineann le tuairisciú maoirseachta agus nochtadh poiblí an íoscheanglais le haghaidh cistí dílse agus dliteanais incháilithe </w:t>
      </w:r>
      <w:r w:rsidRPr="00993F3A">
        <w:rPr>
          <w:noProof/>
        </w:rPr>
        <w:br/>
      </w:r>
    </w:p>
    <w:p w:rsidR="001D506C" w:rsidRPr="00993F3A" w:rsidRDefault="00993F3A" w:rsidP="00993F3A">
      <w:pPr>
        <w:pStyle w:val="IntrtEEE"/>
        <w:rPr>
          <w:noProof/>
        </w:rPr>
      </w:pPr>
      <w:r w:rsidRPr="00993F3A">
        <w:rPr>
          <w:noProof/>
        </w:rPr>
        <w:t>(Téacs atá ábhartha maidir le LEE)</w:t>
      </w:r>
    </w:p>
    <w:p w:rsidR="001D506C" w:rsidRPr="00993F3A" w:rsidRDefault="001D506C" w:rsidP="004E1EF9">
      <w:pPr>
        <w:pStyle w:val="Institutionquiagit"/>
        <w:rPr>
          <w:noProof/>
        </w:rPr>
      </w:pPr>
      <w:r w:rsidRPr="00993F3A">
        <w:rPr>
          <w:noProof/>
        </w:rPr>
        <w:t>TÁ AN COIMISIÚN EORPACH,</w:t>
      </w:r>
    </w:p>
    <w:p w:rsidR="001D506C" w:rsidRPr="00993F3A" w:rsidRDefault="001D506C" w:rsidP="004E1EF9">
      <w:pPr>
        <w:rPr>
          <w:noProof/>
        </w:rPr>
      </w:pPr>
      <w:r w:rsidRPr="00993F3A">
        <w:rPr>
          <w:noProof/>
          <w:color w:val="000000"/>
        </w:rPr>
        <w:t>Ag féachaint don Chonradh ar Fheidhmiú an Aontais Eorpaigh,</w:t>
      </w:r>
    </w:p>
    <w:p w:rsidR="000E6FD2" w:rsidRPr="00993F3A" w:rsidRDefault="000E6FD2" w:rsidP="000E6FD2">
      <w:pPr>
        <w:rPr>
          <w:noProof/>
        </w:rPr>
      </w:pPr>
      <w:r w:rsidRPr="00993F3A">
        <w:rPr>
          <w:noProof/>
        </w:rPr>
        <w:t>Ag féachaint do Rialachán (AE) Uimh. 575/2013 ó Pharlaimint na hEorpa agus ón gComhairle an 26 Meitheamh 2013 maidir le ceanglais stuamachta i gcomhair institiúidí creidmheasa agus lena leasaítear Rialachán (AE) Uimh. 648/2012</w:t>
      </w:r>
      <w:r w:rsidRPr="00993F3A">
        <w:rPr>
          <w:rStyle w:val="FootnoteReference"/>
          <w:noProof/>
        </w:rPr>
        <w:footnoteReference w:id="1"/>
      </w:r>
      <w:r w:rsidRPr="00993F3A">
        <w:rPr>
          <w:noProof/>
        </w:rPr>
        <w:t>, agus go háirithe Airteagal 430(7), an cúigiú fomhír, agus Airteagal 434a, an cúigiú fomhír, de,</w:t>
      </w:r>
    </w:p>
    <w:p w:rsidR="000E6FD2" w:rsidRPr="00993F3A" w:rsidRDefault="000E6FD2" w:rsidP="000E6FD2">
      <w:pPr>
        <w:rPr>
          <w:noProof/>
        </w:rPr>
      </w:pPr>
      <w:r w:rsidRPr="00993F3A">
        <w:rPr>
          <w:noProof/>
        </w:rPr>
        <w:t>Ag féachaint do Threoir 2014/59/AE ó Pharlaimint na hEorpa agus ón gComhairle an 15 Bealtaine 2014 lena mbunaítear creat do théarnamh agus réiteach institiúidí creidmheasa agus gnólachtaí infheistíochta agus lena leasaítear Treoir 82/891/CEE ón gComhairle, agus Treoracha 2001/24/CE, 2002/47/CE, 2004/25/CE, 2005/56/CE, 2007/36/CE, 2011/35/AE, 2012/30/AE agus 2013/36/AE, agus Rialacháin (AE) Uimh. 1093/2010 agus (AE) Uimh. 648/2012 ó Pharlaimint na hEorpa agus ón gComhairle</w:t>
      </w:r>
      <w:r w:rsidRPr="00993F3A">
        <w:rPr>
          <w:rStyle w:val="FootnoteReference"/>
          <w:noProof/>
        </w:rPr>
        <w:footnoteReference w:id="2"/>
      </w:r>
      <w:r w:rsidRPr="00993F3A">
        <w:rPr>
          <w:noProof/>
        </w:rPr>
        <w:t>, agus go háirithe Airteagal 45i(5), an cúigiú fomhír, agus Airteagal 45i(6), an cúigiú fomhír, di,</w:t>
      </w:r>
    </w:p>
    <w:p w:rsidR="001D506C" w:rsidRPr="00993F3A" w:rsidRDefault="001D506C" w:rsidP="004E1EF9">
      <w:pPr>
        <w:rPr>
          <w:noProof/>
        </w:rPr>
      </w:pPr>
      <w:r w:rsidRPr="00993F3A">
        <w:rPr>
          <w:noProof/>
        </w:rPr>
        <w:t>De bharr an mhéid seo a leanas:</w:t>
      </w:r>
    </w:p>
    <w:p w:rsidR="00F83DBF" w:rsidRPr="00993F3A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993F3A">
        <w:rPr>
          <w:noProof/>
        </w:rPr>
        <w:t xml:space="preserve">Le Rialachán (AE) 2022/2036 ó </w:t>
      </w:r>
      <w:bookmarkStart w:id="1" w:name="_Hlk159320995"/>
      <w:r w:rsidRPr="00993F3A">
        <w:rPr>
          <w:noProof/>
        </w:rPr>
        <w:t>Pharlaimint na hEorpa agus ón gComhairle</w:t>
      </w:r>
      <w:r w:rsidRPr="00993F3A">
        <w:rPr>
          <w:rStyle w:val="FootnoteReference"/>
          <w:noProof/>
        </w:rPr>
        <w:footnoteReference w:id="3"/>
      </w:r>
      <w:bookmarkEnd w:id="1"/>
      <w:r w:rsidRPr="00993F3A">
        <w:rPr>
          <w:noProof/>
        </w:rPr>
        <w:t xml:space="preserve"> tugadh isteach i Rialachán (AE) Uimh. 575/2013 an ceanglas nach mór d’eintitis idirmheánacha i ngrúpa réitigh a sealúchais ionstraimí cistí dílse agus ionstraimí dliteanas incháilithe a asbhaint as ítimí dliteanas incháilithe a úsáidtear chun an ceanglas a leagtar amach in Airteagal 92b de Rialachán (AE) Uimh. 575/2013 a chomhlíonadh (‘ceanglas maidir le Cumas Iomlán Ionsúcháin Caillteanais inmheánach’ nó ‘TLAC inmheánach’) nó an ceanglas a leagtar amach in Airteagal 45f de Threoir 2014/59/AE</w:t>
      </w:r>
      <w:r w:rsidRPr="00993F3A">
        <w:rPr>
          <w:rStyle w:val="FootnoteReference"/>
          <w:noProof/>
        </w:rPr>
        <w:footnoteReference w:id="4"/>
      </w:r>
      <w:r w:rsidRPr="00993F3A">
        <w:rPr>
          <w:noProof/>
        </w:rPr>
        <w:t xml:space="preserve"> (‘íoscheanglas inmheánach le haghaidh cistí dílse agus dliteanais incháilithe nó ‘ICDI inmheánach’) i gcás inar eintitis nach eintitis réitigh iad féin agus a bhaineann leis an ngrúpa réitigh céanna a d’eisigh na hionstraimí cistí dílse agus na hionstraimí dliteanas incháilithe sin. Dá bhrí sin, is gá an ceanglas asbhainte sin a chur san áireamh sna teimpléid chun nochtadh poiblí a dhéanamh ar fhaisnéis chomhchuibhithe maidir le ICDI inmheánach agus TLAC inmheánach a leagtar amach i Rialachán Cur Chun Feidhme (AE) 2021/763 ón gCoimisiún</w:t>
      </w:r>
      <w:r w:rsidRPr="00993F3A">
        <w:rPr>
          <w:rStyle w:val="FootnoteReference"/>
          <w:bCs/>
          <w:noProof/>
        </w:rPr>
        <w:footnoteReference w:id="5"/>
      </w:r>
      <w:r w:rsidRPr="00993F3A">
        <w:rPr>
          <w:noProof/>
        </w:rPr>
        <w:t>. Ba cheart an ceanglas asbhainte sin a chur san áireamh freisin san fhaisnéis chomhchuibhithe a chuirtear ar fáil d’údaráis inniúla agus d’údaráis réitigh.</w:t>
      </w:r>
    </w:p>
    <w:p w:rsidR="00686AFD" w:rsidRPr="00993F3A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993F3A">
        <w:rPr>
          <w:noProof/>
        </w:rPr>
        <w:t>Treoir (AE) 2024/1174 ó Pharlaimint na hEorpa agus ón gComhairle lena leasaítear Treoir 2014/59/AE agus Rialachán (AE) Uimh. 806/2014 a mhéid a bhaineann le gnéithe áirithe den íoscheanglas le haghaidh cistí dílse agus dliteanais incháilithe</w:t>
      </w:r>
      <w:r w:rsidRPr="00993F3A">
        <w:rPr>
          <w:rStyle w:val="FootnoteReference"/>
          <w:noProof/>
        </w:rPr>
        <w:footnoteReference w:id="6"/>
      </w:r>
      <w:r w:rsidRPr="00993F3A">
        <w:rPr>
          <w:noProof/>
        </w:rPr>
        <w:t xml:space="preserve">, a leasaigh a thuilleadh an ceanglas asbhainte a leagtar síos i Rialachán (AE) Uimh. 575/2013 trína shonrú i dTreoir 2014/59/AE agus i Rialachán (AE) Uimh. 806/2014 nach bhfuil eintitis idirmheánacha i ngrúpa réitigh le hasbhaint a dhéanamh ar a sealúchais ionstraimí cistí dílse arna </w:t>
      </w:r>
      <w:r w:rsidR="00A01E98">
        <w:rPr>
          <w:noProof/>
        </w:rPr>
        <w:t>n</w:t>
      </w:r>
      <w:r w:rsidR="00A01E98">
        <w:rPr>
          <w:noProof/>
        </w:rPr>
        <w:noBreakHyphen/>
      </w:r>
      <w:r w:rsidRPr="00993F3A">
        <w:rPr>
          <w:noProof/>
        </w:rPr>
        <w:t>eisiúint ag eintitis leachtaithe a bhaineann leis an ngrúpa réitigh céanna agus nach eintitis réitigh iad féin ach amháin faoi réir coinníollacha áirithe a bhaineann le hábharthacht na sealúchas sin. Ba cheart na leasuithe sin a chur san áireamh freisin san fhaisnéis chomhchuibhithe a sholáthraítear i dteimpléid maidir le nochtadh poiblí agus tuairisciú do na húdaráis inniúla agus do na húdaráis réitigh.</w:t>
      </w:r>
    </w:p>
    <w:p w:rsidR="00F83DBF" w:rsidRPr="00993F3A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993F3A">
        <w:rPr>
          <w:noProof/>
        </w:rPr>
        <w:t xml:space="preserve">Eintitis atá faoi réir na gceanglas a leagtar amach in Airteagal 92a nó Airteagal 92b de Rialachán (AE) Uimh. 575/2013 (‘ceanglas TLAC’) nó faoi réir an cheanglais a leagtar amach in Airteagal 45 de Threoir 2014/59/AE (‘ICDI’), féadfaidh siad, ach réamhchead a fháil óna </w:t>
      </w:r>
      <w:r w:rsidR="00A01E98">
        <w:rPr>
          <w:noProof/>
        </w:rPr>
        <w:t>n</w:t>
      </w:r>
      <w:r w:rsidR="00A01E98">
        <w:rPr>
          <w:noProof/>
        </w:rPr>
        <w:noBreakHyphen/>
      </w:r>
      <w:r w:rsidRPr="00993F3A">
        <w:rPr>
          <w:noProof/>
        </w:rPr>
        <w:t xml:space="preserve">údarás réitigh, ionstraimí dliteanas incháilithe a cheannach, a fhuascailt, a aisíoc nó a athcheannach i gcomhréir le hAirteagal 78a de Rialachán (AE) Uimh. 575/2013. Leis na méideanna a chumhdaítear leis an gcead sin, laghdaítear cumas na </w:t>
      </w:r>
      <w:r w:rsidR="00A01E98">
        <w:rPr>
          <w:noProof/>
        </w:rPr>
        <w:t>n</w:t>
      </w:r>
      <w:r w:rsidR="00A01E98">
        <w:rPr>
          <w:noProof/>
        </w:rPr>
        <w:noBreakHyphen/>
      </w:r>
      <w:r w:rsidRPr="00993F3A">
        <w:rPr>
          <w:noProof/>
        </w:rPr>
        <w:t>eintiteas ICDI nó ceanglas TLAC a chomhlíonadh. Dá bhrí sin, is gá a shonrú conas ba cheart tionchar an cheada sin a chur san áireamh i nochtaí poiblí agus i dtuairisciú d’údaráis inniúla agus d’údaráis réitigh.</w:t>
      </w:r>
    </w:p>
    <w:p w:rsidR="00F83DBF" w:rsidRPr="00993F3A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993F3A">
        <w:rPr>
          <w:noProof/>
        </w:rPr>
        <w:t>Dá bhrí sin, ba cheart Rialachán Cur Chun Feidhme (AE) 2021/763 a leasú dá réir sin.</w:t>
      </w:r>
    </w:p>
    <w:p w:rsidR="00F83DBF" w:rsidRPr="00993F3A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993F3A">
        <w:rPr>
          <w:noProof/>
        </w:rPr>
        <w:t xml:space="preserve">Tá an Rialachán seo bunaithe ar na dréachtchaighdeáin theicniúla cur chun feidhme a chuir an tÚdarás Baincéireachta Eorpach faoi bhráid an Choimisiúin. </w:t>
      </w:r>
    </w:p>
    <w:p w:rsidR="00F83DBF" w:rsidRPr="00993F3A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993F3A">
        <w:rPr>
          <w:noProof/>
        </w:rPr>
        <w:t>Rinne an tÚdarás Baincéireachta Eorpach comhairliúcháin phoiblí oscailte a reáchtáil maidir leis na dréachtchaighdeáin theicniúla cur chun feidhme ar a bhfuil an Rialachán seo bunaithe, rinne sé anailís ar na costais agus ar na tairbhí a d’fhéadfadh a bheith ag baint leo agus d’iarr sé comhairle ar an nGrúpa Geallsealbhóirí Baincéireachta arna bhunú i gcomhréir le hAirteagal 37 de Rialachán (AE) Uimh. 1093/2010 ó Pharlaimint na hEorpa agus ón gComhairle</w:t>
      </w:r>
      <w:r w:rsidRPr="00993F3A">
        <w:rPr>
          <w:rStyle w:val="FootnoteReference"/>
          <w:noProof/>
        </w:rPr>
        <w:footnoteReference w:id="7"/>
      </w:r>
      <w:r w:rsidRPr="00993F3A">
        <w:rPr>
          <w:noProof/>
        </w:rPr>
        <w:t>.</w:t>
      </w:r>
    </w:p>
    <w:p w:rsidR="00DB127D" w:rsidRPr="00993F3A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993F3A">
        <w:rPr>
          <w:noProof/>
        </w:rPr>
        <w:t xml:space="preserve">Chun a ndóthain ama a thabhairt d’eintitis atá faoi réir na hoibleagáide faisnéis a thuairisciú nó a nochtadh i gcomhréir le Rialachán (AE) Uimh. 575/2013 nó Treoir 2014/59/AE chun oiriúnú </w:t>
      </w:r>
      <w:bookmarkStart w:id="2" w:name="_Hlk160034996"/>
      <w:r w:rsidRPr="00993F3A">
        <w:rPr>
          <w:noProof/>
        </w:rPr>
        <w:t>do na hathruithe ar theimpléid agus ar fhaisnéis chomhchuibhithe</w:t>
      </w:r>
      <w:bookmarkEnd w:id="2"/>
      <w:r w:rsidRPr="00993F3A">
        <w:rPr>
          <w:noProof/>
        </w:rPr>
        <w:t>, ba cheart feidhm a bheith ag na hathruithe 6 mhí tar éis dháta a theacht i bhfeidhm.</w:t>
      </w:r>
    </w:p>
    <w:p w:rsidR="001D506C" w:rsidRPr="00993F3A" w:rsidRDefault="001D506C" w:rsidP="004E1EF9">
      <w:pPr>
        <w:pStyle w:val="Formuledadoption"/>
        <w:rPr>
          <w:noProof/>
        </w:rPr>
      </w:pPr>
      <w:r w:rsidRPr="00993F3A">
        <w:rPr>
          <w:noProof/>
        </w:rPr>
        <w:t>TAR ÉIS AN RIALACHÁN SEO A GHLACADH:</w:t>
      </w:r>
    </w:p>
    <w:p w:rsidR="001D506C" w:rsidRPr="00993F3A" w:rsidRDefault="001D506C" w:rsidP="004E1EF9">
      <w:pPr>
        <w:pStyle w:val="Titrearticle"/>
        <w:rPr>
          <w:noProof/>
        </w:rPr>
      </w:pPr>
      <w:r w:rsidRPr="00993F3A">
        <w:rPr>
          <w:noProof/>
        </w:rPr>
        <w:t>Airteagal 1</w:t>
      </w:r>
    </w:p>
    <w:p w:rsidR="008D3341" w:rsidRPr="00993F3A" w:rsidRDefault="008D3341" w:rsidP="00220108">
      <w:pPr>
        <w:pStyle w:val="Titrearticle"/>
        <w:rPr>
          <w:noProof/>
        </w:rPr>
      </w:pPr>
      <w:r w:rsidRPr="00993F3A">
        <w:rPr>
          <w:noProof/>
        </w:rPr>
        <w:t>Leasuithe ar Rialachán Cur Chun Feidhme (AE) 2021/763</w:t>
      </w:r>
    </w:p>
    <w:p w:rsidR="00F83DBF" w:rsidRPr="00993F3A" w:rsidRDefault="00F83DBF" w:rsidP="00F83DBF">
      <w:pPr>
        <w:rPr>
          <w:noProof/>
        </w:rPr>
      </w:pPr>
      <w:r w:rsidRPr="00993F3A">
        <w:rPr>
          <w:noProof/>
        </w:rPr>
        <w:t>Leasaítear Rialachán Cur Chun Feidhme (AE) 2021/763 mar a leanas:</w:t>
      </w:r>
    </w:p>
    <w:p w:rsidR="00F83DBF" w:rsidRPr="00993F3A" w:rsidRDefault="004603A2" w:rsidP="000B009E">
      <w:pPr>
        <w:pStyle w:val="Point0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993F3A">
        <w:rPr>
          <w:noProof/>
        </w:rPr>
        <w:t>cuirtear teimpléid M 02.00 agus M 03.00 a leagtar amach in Iarscríbhinn I a ghabhann leis an Rialachán seo in ionad theimpléid M 02.00 agus M 03.00 a leagtar amach in Iarscríbhinn I.</w:t>
      </w:r>
    </w:p>
    <w:p w:rsidR="00F83DBF" w:rsidRPr="00993F3A" w:rsidRDefault="00F83DBF" w:rsidP="00220108">
      <w:pPr>
        <w:pStyle w:val="Point0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993F3A">
        <w:rPr>
          <w:noProof/>
        </w:rPr>
        <w:t>cuirtear an téacs in Iarscríbhinn II a ghabhann leis an Rialachán seo in ionad Iarscríbhinn II.</w:t>
      </w:r>
    </w:p>
    <w:p w:rsidR="00F83DBF" w:rsidRPr="00993F3A" w:rsidRDefault="004603A2" w:rsidP="00220108">
      <w:pPr>
        <w:pStyle w:val="Point0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993F3A">
        <w:rPr>
          <w:noProof/>
        </w:rPr>
        <w:t>cuirtear teimpléid EU TLAC1 agus EU ILAC a leagtar amach in Iarscríbhinn III a ghabhann leis an Rialachán seo in ionad theimpléid EU TLAC1 agus EU ILAC a leagtar amach in Iarscríbhinn V.</w:t>
      </w:r>
    </w:p>
    <w:p w:rsidR="00F83DBF" w:rsidRPr="00993F3A" w:rsidRDefault="00F83DBF" w:rsidP="00220108">
      <w:pPr>
        <w:pStyle w:val="Point0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993F3A">
        <w:rPr>
          <w:noProof/>
        </w:rPr>
        <w:t>cuirtear an téacs in Iarscríbhinn IV a ghabhann leis an Rialachán seo in ionad Iarscríbhinn VI.</w:t>
      </w:r>
    </w:p>
    <w:p w:rsidR="00F83DBF" w:rsidRPr="00993F3A" w:rsidRDefault="00F83DBF" w:rsidP="00F83DBF">
      <w:pPr>
        <w:pStyle w:val="Titrearticle"/>
        <w:rPr>
          <w:noProof/>
        </w:rPr>
      </w:pPr>
      <w:r w:rsidRPr="00993F3A">
        <w:rPr>
          <w:noProof/>
        </w:rPr>
        <w:t>Airteagal 2</w:t>
      </w:r>
    </w:p>
    <w:p w:rsidR="00CC305D" w:rsidRPr="00993F3A" w:rsidRDefault="00CC305D" w:rsidP="00583FFA">
      <w:pPr>
        <w:jc w:val="center"/>
        <w:rPr>
          <w:b/>
          <w:bCs/>
          <w:noProof/>
          <w:color w:val="000000"/>
        </w:rPr>
      </w:pPr>
      <w:r w:rsidRPr="00993F3A">
        <w:rPr>
          <w:b/>
          <w:noProof/>
          <w:color w:val="000000"/>
        </w:rPr>
        <w:t>Teacht i bhfeidhm agus cur i bhfeidhm</w:t>
      </w:r>
    </w:p>
    <w:p w:rsidR="00F83DBF" w:rsidRPr="00993F3A" w:rsidRDefault="00F83DBF" w:rsidP="00F83DBF">
      <w:pPr>
        <w:rPr>
          <w:noProof/>
          <w:color w:val="000000"/>
        </w:rPr>
      </w:pPr>
      <w:r w:rsidRPr="00993F3A">
        <w:rPr>
          <w:noProof/>
          <w:color w:val="000000"/>
        </w:rPr>
        <w:t xml:space="preserve">Tiocfaidh an Rialachán seo i bhfeidhm an fichiú lá tar éis lá a fhoilsithe in </w:t>
      </w:r>
      <w:r w:rsidRPr="00993F3A">
        <w:rPr>
          <w:i/>
          <w:noProof/>
          <w:color w:val="000000"/>
        </w:rPr>
        <w:t>Iris Oifigiúil an Aontais Eorpaigh</w:t>
      </w:r>
      <w:r w:rsidRPr="00993F3A">
        <w:rPr>
          <w:noProof/>
          <w:color w:val="000000"/>
        </w:rPr>
        <w:t>.</w:t>
      </w:r>
    </w:p>
    <w:p w:rsidR="00F83DBF" w:rsidRPr="00993F3A" w:rsidRDefault="00F83DBF" w:rsidP="00F83DBF">
      <w:pPr>
        <w:rPr>
          <w:noProof/>
          <w:color w:val="000000"/>
        </w:rPr>
      </w:pPr>
      <w:r w:rsidRPr="00993F3A">
        <w:rPr>
          <w:noProof/>
          <w:color w:val="000000"/>
        </w:rPr>
        <w:t xml:space="preserve">Beidh feidhm aige ón </w:t>
      </w:r>
      <w:r w:rsidRPr="00993F3A">
        <w:rPr>
          <w:i/>
          <w:noProof/>
          <w:color w:val="000000"/>
        </w:rPr>
        <w:t>[Oifig na bhFoilseachán cuir isteach an dáta 6 mhí tar éis dháta theacht i bhfeidhm an Rialacháin leasaithigh seo]</w:t>
      </w:r>
      <w:r w:rsidRPr="00993F3A">
        <w:rPr>
          <w:noProof/>
          <w:color w:val="000000"/>
        </w:rPr>
        <w:t xml:space="preserve">. </w:t>
      </w:r>
    </w:p>
    <w:p w:rsidR="001D506C" w:rsidRPr="00993F3A" w:rsidRDefault="001D506C" w:rsidP="004E1EF9">
      <w:pPr>
        <w:pStyle w:val="Applicationdirecte"/>
        <w:keepNext/>
        <w:keepLines/>
        <w:rPr>
          <w:noProof/>
        </w:rPr>
      </w:pPr>
      <w:r w:rsidRPr="00993F3A">
        <w:rPr>
          <w:noProof/>
        </w:rPr>
        <w:t>Beidh an Rialachán seo ina cheangal go huile agus go hiomlán agus beidh sé infheidhme go díreach sna Ballstáit.</w:t>
      </w:r>
    </w:p>
    <w:p w:rsidR="001D506C" w:rsidRPr="00993F3A" w:rsidRDefault="00CE6F10" w:rsidP="00CB360F">
      <w:pPr>
        <w:pStyle w:val="Fait"/>
        <w:rPr>
          <w:noProof/>
        </w:rPr>
      </w:pPr>
      <w:r>
        <w:rPr>
          <w:noProof/>
        </w:rPr>
        <w:t>Arna dhéanamh sa Bhruiséil, 6.6.2024</w:t>
      </w:r>
    </w:p>
    <w:p w:rsidR="001D506C" w:rsidRPr="00993F3A" w:rsidRDefault="001D506C" w:rsidP="00CB360F">
      <w:pPr>
        <w:pStyle w:val="Institutionquisigne"/>
        <w:rPr>
          <w:noProof/>
        </w:rPr>
      </w:pPr>
      <w:r w:rsidRPr="00993F3A">
        <w:rPr>
          <w:noProof/>
        </w:rPr>
        <w:tab/>
        <w:t>Thar ceann an Choimisiúin</w:t>
      </w:r>
    </w:p>
    <w:p w:rsidR="00F718B8" w:rsidRPr="00993F3A" w:rsidRDefault="000E4C5D" w:rsidP="00CB360F">
      <w:pPr>
        <w:pStyle w:val="Personnequisigne"/>
        <w:keepNext/>
        <w:rPr>
          <w:noProof/>
        </w:rPr>
      </w:pPr>
      <w:r>
        <w:rPr>
          <w:noProof/>
        </w:rPr>
        <w:tab/>
        <w:t>An tUachtarán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993F3A" w:rsidRDefault="00C402D1" w:rsidP="00C402D1">
      <w:pPr>
        <w:pStyle w:val="Personnequisigne"/>
        <w:rPr>
          <w:noProof/>
        </w:rPr>
      </w:pPr>
    </w:p>
    <w:sectPr w:rsidR="00C402D1" w:rsidRPr="00993F3A" w:rsidSect="00C7253C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Pr="00C7253C" w:rsidRDefault="00C7253C" w:rsidP="00C7253C">
    <w:pPr>
      <w:pStyle w:val="Footer"/>
      <w:rPr>
        <w:rFonts w:ascii="Arial" w:hAnsi="Arial" w:cs="Arial"/>
        <w:b/>
        <w:sz w:val="48"/>
      </w:rPr>
    </w:pPr>
    <w:r w:rsidRPr="00C7253C">
      <w:rPr>
        <w:rFonts w:ascii="Arial" w:hAnsi="Arial" w:cs="Arial"/>
        <w:b/>
        <w:sz w:val="48"/>
      </w:rPr>
      <w:t>GA</w:t>
    </w:r>
    <w:r w:rsidRPr="00C7253C">
      <w:rPr>
        <w:rFonts w:ascii="Arial" w:hAnsi="Arial" w:cs="Arial"/>
        <w:b/>
        <w:sz w:val="48"/>
      </w:rPr>
      <w:tab/>
    </w:r>
    <w:r w:rsidRPr="00C7253C">
      <w:rPr>
        <w:rFonts w:ascii="Arial" w:hAnsi="Arial" w:cs="Arial"/>
        <w:b/>
        <w:sz w:val="48"/>
      </w:rPr>
      <w:tab/>
    </w:r>
    <w:r w:rsidRPr="00C7253C">
      <w:tab/>
    </w:r>
    <w:r w:rsidRPr="00C7253C">
      <w:rPr>
        <w:rFonts w:ascii="Arial" w:hAnsi="Arial" w:cs="Arial"/>
        <w:b/>
        <w:sz w:val="48"/>
      </w:rPr>
      <w:t>GA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Pr="00C7253C" w:rsidRDefault="00C7253C" w:rsidP="00C7253C">
    <w:pPr>
      <w:pStyle w:val="Footer"/>
      <w:rPr>
        <w:rFonts w:ascii="Arial" w:hAnsi="Arial" w:cs="Arial"/>
        <w:b/>
        <w:sz w:val="48"/>
      </w:rPr>
    </w:pPr>
    <w:r w:rsidRPr="00C7253C">
      <w:rPr>
        <w:rFonts w:ascii="Arial" w:hAnsi="Arial" w:cs="Arial"/>
        <w:b/>
        <w:sz w:val="48"/>
      </w:rPr>
      <w:t>GA</w:t>
    </w:r>
    <w:r w:rsidRPr="00C7253C">
      <w:rPr>
        <w:rFonts w:ascii="Arial" w:hAnsi="Arial" w:cs="Arial"/>
        <w:b/>
        <w:sz w:val="48"/>
      </w:rPr>
      <w:tab/>
    </w:r>
    <w:r w:rsidRPr="00C7253C">
      <w:rPr>
        <w:rFonts w:ascii="Arial" w:hAnsi="Arial" w:cs="Arial"/>
        <w:b/>
        <w:sz w:val="48"/>
      </w:rPr>
      <w:tab/>
    </w:r>
    <w:r w:rsidRPr="00C7253C">
      <w:tab/>
    </w:r>
    <w:r w:rsidRPr="00C7253C">
      <w:rPr>
        <w:rFonts w:ascii="Arial" w:hAnsi="Arial" w:cs="Arial"/>
        <w:b/>
        <w:sz w:val="48"/>
      </w:rPr>
      <w:t>GA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Default="00C725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Pr="00C7253C" w:rsidRDefault="00C7253C" w:rsidP="00C7253C">
    <w:pPr>
      <w:pStyle w:val="Footer"/>
      <w:rPr>
        <w:rFonts w:ascii="Arial" w:hAnsi="Arial" w:cs="Arial"/>
        <w:b/>
        <w:sz w:val="48"/>
      </w:rPr>
    </w:pPr>
    <w:r w:rsidRPr="00C7253C">
      <w:rPr>
        <w:rFonts w:ascii="Arial" w:hAnsi="Arial" w:cs="Arial"/>
        <w:b/>
        <w:sz w:val="48"/>
      </w:rPr>
      <w:t>GA</w:t>
    </w:r>
    <w:r w:rsidRPr="00C7253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CB360F">
      <w:rPr>
        <w:noProof/>
      </w:rPr>
      <w:t>4</w:t>
    </w:r>
    <w:r>
      <w:fldChar w:fldCharType="end"/>
    </w:r>
    <w:r>
      <w:tab/>
    </w:r>
    <w:r w:rsidRPr="00C7253C">
      <w:tab/>
    </w:r>
    <w:r w:rsidRPr="00C7253C">
      <w:rPr>
        <w:rFonts w:ascii="Arial" w:hAnsi="Arial" w:cs="Arial"/>
        <w:b/>
        <w:sz w:val="48"/>
      </w:rPr>
      <w:t>GA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Default="00C7253C" w:rsidP="00C72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993F3A" w:rsidRDefault="000E6FD2" w:rsidP="000E6FD2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 xml:space="preserve">IO L 176, 27.6.2013, lch. 1, ELI: http://data.europa.eu/eli/reg/2013/575/oj. </w:t>
      </w:r>
    </w:p>
  </w:footnote>
  <w:footnote w:id="2">
    <w:p w:rsidR="000E6FD2" w:rsidRPr="00993F3A" w:rsidRDefault="000E6FD2" w:rsidP="000E6FD2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 xml:space="preserve">IO L 173, 12.6.2014, lch. 190, ELI: http://data.europa.eu/eli/dir/2014/59/oj. </w:t>
      </w:r>
    </w:p>
  </w:footnote>
  <w:footnote w:id="3">
    <w:p w:rsidR="00F83DBF" w:rsidRPr="00993F3A" w:rsidRDefault="00F83DBF" w:rsidP="00F83DBF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 xml:space="preserve">Rialachán (AE) 2022/2036 ó Pharlaimint na hEorpa agus ón gComhairle an 19 Deireadh Fómhair 2022 lena leasaítear Rialachán (AE) Uimh. 575/2013 agus Treoir 2014/59/AE a mhéid a bhaineann le láimhseáil stuamachta institiúidí a bhfuil tábhacht shistéamach dhomhanda leo agus a bhfuil straitéis réitigh ilphointí iontrála acu mar aon le modhanna le haghaidh ionstraimí a shuibscríobh go hindíreach atá incháilithe chun an </w:t>
      </w:r>
      <w:r w:rsidR="00A01E98">
        <w:rPr>
          <w:lang w:val="pl-PL"/>
        </w:rPr>
        <w:t>t</w:t>
      </w:r>
      <w:r w:rsidR="00A01E98">
        <w:rPr>
          <w:lang w:val="pl-PL"/>
        </w:rPr>
        <w:noBreakHyphen/>
      </w:r>
      <w:r w:rsidRPr="00993F3A">
        <w:rPr>
          <w:lang w:val="pl-PL"/>
        </w:rPr>
        <w:t>íoscheanglas maidir le cistí dílse agus dliteanais incháilithe a chomhlíonadh (IO L 275, 25.10.2022, lch. 1, ELI: http://data.europa.eu/eli/reg/2022/2036/oj)</w:t>
      </w:r>
    </w:p>
  </w:footnote>
  <w:footnote w:id="4">
    <w:p w:rsidR="00F83DBF" w:rsidRPr="00993F3A" w:rsidRDefault="00F83DBF" w:rsidP="00F83DBF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>Treoir 2014/59/AE ó Pharlaimint na hEorpa agus ón gComhairle an 15 Bealtaine 2014 lena mbunaítear creat do théarnamh agus réiteach institiúidí creidmheasa agus gnólachtaí infheistíochta agus lena leasaítear Treoir 82/891/CEE ón gComhairle, agus Treoracha 2001/24/CE, 2002/47/CE, 2004/25/CE, 2005/56/CE, 2007/36/CE, 2011/35/AE, 2012/30/AE agus 2013/36/AE, agus Rialacháin (AE) Uimh. 1093/2010 agus (AE) Uimh. 648/2012, ó Pharlaimint na hEorpa agus ón gComhairle (IO L 173, 12.06.2014, lgh. 190-348)</w:t>
      </w:r>
    </w:p>
  </w:footnote>
  <w:footnote w:id="5">
    <w:p w:rsidR="00F83DBF" w:rsidRPr="00993F3A" w:rsidRDefault="00F83DBF" w:rsidP="00F83DBF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>Rialachán Cur Chun Feidhme (AE) 2021/763 ón gCoimisiún an 23 Aibreán 2021 lena leagtar síos caighdeáin theicniúla cur chun feidhme maidir le cur chun feidhme Rialachán (AE) Uimh. 575/2013 ó Pharlaimint na hEorpa agus ón gComhairle agus Treoir 2014/59/AE ó Pharlaimint na hEorpa agus ón gComhairle a mhéid a bhaineann le tuairisciú maoirseachta agus nochtadh poiblí an íoscheanglais le haghaidh cistí dílse agus dliteanais incháilithe (IO L 168, 12.5.2021, lch. 1)</w:t>
      </w:r>
    </w:p>
  </w:footnote>
  <w:footnote w:id="6">
    <w:p w:rsidR="00686AFD" w:rsidRPr="00993F3A" w:rsidRDefault="00686AFD" w:rsidP="00686AFD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>Treoir (AE) 2024/1174 ó Pharlaimint na hEorpa agus ón gComhairle an 11 Aibreán 2024 lena leasaítear Treoir 2014/59/AE agus Rialachán (AE) Uimh. 806/2014 a mhéid a bhaineann le gnéithe áirithe den íoscheanglas le haghaidh cistí dílse agus dliteanais incháilithe,(IO L 2024/1174, 22.4.2024).</w:t>
      </w:r>
    </w:p>
  </w:footnote>
  <w:footnote w:id="7">
    <w:p w:rsidR="00F83DBF" w:rsidRPr="00993F3A" w:rsidRDefault="00F83DBF" w:rsidP="00F83DBF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993F3A">
        <w:rPr>
          <w:lang w:val="pl-PL"/>
        </w:rPr>
        <w:tab/>
        <w:t xml:space="preserve">Rialachán (AE) Uimh. 1093/2010 ó Pharlaimint na hEorpa agus ón gComhairle an 24 Samhain 2010 lena mbunaítear Údarás Maoirseachta Eorpach (An tÚdarás Baincéireachta Eorpach), lena leasaítear Cinneadh Uimh. 716/2009/CE agus lena </w:t>
      </w:r>
      <w:r w:rsidR="00A01E98">
        <w:rPr>
          <w:lang w:val="pl-PL"/>
        </w:rPr>
        <w:t>n</w:t>
      </w:r>
      <w:r w:rsidR="00A01E98">
        <w:rPr>
          <w:lang w:val="pl-PL"/>
        </w:rPr>
        <w:noBreakHyphen/>
      </w:r>
      <w:r w:rsidRPr="00993F3A">
        <w:rPr>
          <w:lang w:val="pl-PL"/>
        </w:rPr>
        <w:t>aisghairtear Cinneadh 2009/78/CE ón gCoimisiún (IO L 331, 15.12.2010, lch.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Default="00C72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3C" w:rsidRDefault="00C72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 w:numId="27">
    <w:abstractNumId w:val="19"/>
  </w:num>
  <w:num w:numId="28">
    <w:abstractNumId w:val="12"/>
  </w:num>
  <w:num w:numId="29">
    <w:abstractNumId w:val="21"/>
  </w:num>
  <w:num w:numId="30">
    <w:abstractNumId w:val="11"/>
  </w:num>
  <w:num w:numId="31">
    <w:abstractNumId w:val="13"/>
  </w:num>
  <w:num w:numId="32">
    <w:abstractNumId w:val="14"/>
  </w:num>
  <w:num w:numId="33">
    <w:abstractNumId w:val="9"/>
  </w:num>
  <w:num w:numId="34">
    <w:abstractNumId w:val="20"/>
  </w:num>
  <w:num w:numId="35">
    <w:abstractNumId w:val="8"/>
  </w:num>
  <w:num w:numId="36">
    <w:abstractNumId w:val="15"/>
  </w:num>
  <w:num w:numId="37">
    <w:abstractNumId w:val="17"/>
  </w:num>
  <w:num w:numId="38">
    <w:abstractNumId w:val="18"/>
  </w:num>
  <w:num w:numId="39">
    <w:abstractNumId w:val="10"/>
  </w:num>
  <w:num w:numId="40">
    <w:abstractNumId w:val="16"/>
  </w:num>
  <w:num w:numId="41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4:36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1C900ED9-3F62-4CAF-ACCB-E3E42B244D6B"/>
    <w:docVar w:name="LW_COVERPAGE_TYPE" w:val="1"/>
    <w:docVar w:name="LW_CROSSREFERENCE" w:val="&lt;UNUSED&gt;"/>
    <w:docVar w:name="LW_DATE.ADOPT.CP" w:val="an 6.6.2024"/>
    <w:docVar w:name="LW_DATE.ADOPT.CP_DATEFORMAT" w:val="an %DATE%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An Bhruiséil,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éacs atá ábhartha maidir le LEE)"/>
    <w:docVar w:name="LW_LANGUE" w:val="GA"/>
    <w:docVar w:name="LW_LANGUESFAISANTFOI.CP" w:val="&lt;UNUSED&gt;"/>
    <w:docVar w:name="LW_LEVEL_OF_SENSITIVITY" w:val="Standard treatment"/>
    <w:docVar w:name="LW_NOM.INST" w:val="AN COIMISIÚN EORPACH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ena leasaítear Rialachán Cur Chun Feidhme (AE) 2021/763 lena leagtar síos caighdeáin theicniúla cur chun feidhme maidir le cur chun feidhme Rialachán (AE) Uimh. 575/2013 ó Pharlaimint na hEorpa agus ón gComhairle agus Treoir 2014/59/AE ó Pharlaimint na hEorpa agus ón gComhairle a mhéid a bhaineann le tuairisciú maoirseachta agus nochtadh poiblí an íoscheanglais le haghaidh cistí dílse agus dliteanais incháilithe _x000b_"/>
    <w:docVar w:name="LW_TYPE.DOC.CP" w:val="RIALACHÁN CUR CHUN FEIDHME (AE) .../... ÓN gCOIMISIÚN"/>
    <w:docVar w:name="LwApiVersions" w:val="LW4CoDe 1.24.5.0; LW 9.0, Build 20240221"/>
  </w:docVars>
  <w:rsids>
    <w:rsidRoot w:val="001D506C"/>
    <w:rsid w:val="00093B4B"/>
    <w:rsid w:val="000955EB"/>
    <w:rsid w:val="000B009E"/>
    <w:rsid w:val="000B7A7D"/>
    <w:rsid w:val="000E4C5D"/>
    <w:rsid w:val="000E6B56"/>
    <w:rsid w:val="000E6FD2"/>
    <w:rsid w:val="0013442E"/>
    <w:rsid w:val="00152894"/>
    <w:rsid w:val="001763D4"/>
    <w:rsid w:val="00185DB3"/>
    <w:rsid w:val="001B397F"/>
    <w:rsid w:val="001B6C2F"/>
    <w:rsid w:val="001D506C"/>
    <w:rsid w:val="00220108"/>
    <w:rsid w:val="0022339B"/>
    <w:rsid w:val="00267985"/>
    <w:rsid w:val="00292AC6"/>
    <w:rsid w:val="002A3CF5"/>
    <w:rsid w:val="002B65CA"/>
    <w:rsid w:val="002C09C1"/>
    <w:rsid w:val="002F0DF7"/>
    <w:rsid w:val="002F1E29"/>
    <w:rsid w:val="00302BB5"/>
    <w:rsid w:val="0031489C"/>
    <w:rsid w:val="00314C67"/>
    <w:rsid w:val="00363DC5"/>
    <w:rsid w:val="00370470"/>
    <w:rsid w:val="00380338"/>
    <w:rsid w:val="003819BF"/>
    <w:rsid w:val="0038725C"/>
    <w:rsid w:val="00391381"/>
    <w:rsid w:val="00396ACD"/>
    <w:rsid w:val="003C0C4B"/>
    <w:rsid w:val="00437AA5"/>
    <w:rsid w:val="0044282B"/>
    <w:rsid w:val="004603A2"/>
    <w:rsid w:val="00492396"/>
    <w:rsid w:val="004B3865"/>
    <w:rsid w:val="004C38F7"/>
    <w:rsid w:val="004E19F9"/>
    <w:rsid w:val="00517205"/>
    <w:rsid w:val="0052704B"/>
    <w:rsid w:val="005279D9"/>
    <w:rsid w:val="00542487"/>
    <w:rsid w:val="00545555"/>
    <w:rsid w:val="00580629"/>
    <w:rsid w:val="00582810"/>
    <w:rsid w:val="00583FFA"/>
    <w:rsid w:val="00595540"/>
    <w:rsid w:val="005B5FA6"/>
    <w:rsid w:val="005E1E85"/>
    <w:rsid w:val="005F222A"/>
    <w:rsid w:val="005F33FF"/>
    <w:rsid w:val="005F5897"/>
    <w:rsid w:val="006654AB"/>
    <w:rsid w:val="006813A6"/>
    <w:rsid w:val="00686AFD"/>
    <w:rsid w:val="006A2A68"/>
    <w:rsid w:val="006F4B85"/>
    <w:rsid w:val="006F7EFE"/>
    <w:rsid w:val="00703C0B"/>
    <w:rsid w:val="0075467B"/>
    <w:rsid w:val="007D0861"/>
    <w:rsid w:val="007D1225"/>
    <w:rsid w:val="007E010B"/>
    <w:rsid w:val="00802FC2"/>
    <w:rsid w:val="0081293E"/>
    <w:rsid w:val="0084238A"/>
    <w:rsid w:val="00852DE8"/>
    <w:rsid w:val="008C58B7"/>
    <w:rsid w:val="008C62AF"/>
    <w:rsid w:val="008C63FE"/>
    <w:rsid w:val="008D0E5E"/>
    <w:rsid w:val="008D3341"/>
    <w:rsid w:val="008E2694"/>
    <w:rsid w:val="00940731"/>
    <w:rsid w:val="009476D9"/>
    <w:rsid w:val="009702E0"/>
    <w:rsid w:val="009712C1"/>
    <w:rsid w:val="009719B6"/>
    <w:rsid w:val="009731D1"/>
    <w:rsid w:val="00985A34"/>
    <w:rsid w:val="00993F3A"/>
    <w:rsid w:val="009957C5"/>
    <w:rsid w:val="009A1A98"/>
    <w:rsid w:val="009B00BB"/>
    <w:rsid w:val="009D2851"/>
    <w:rsid w:val="00A01E98"/>
    <w:rsid w:val="00A10BBD"/>
    <w:rsid w:val="00A24A68"/>
    <w:rsid w:val="00A2735C"/>
    <w:rsid w:val="00A565C7"/>
    <w:rsid w:val="00A61FE3"/>
    <w:rsid w:val="00A63976"/>
    <w:rsid w:val="00AB5BC0"/>
    <w:rsid w:val="00B0742B"/>
    <w:rsid w:val="00B247D1"/>
    <w:rsid w:val="00B50A87"/>
    <w:rsid w:val="00B74403"/>
    <w:rsid w:val="00B84713"/>
    <w:rsid w:val="00B851FA"/>
    <w:rsid w:val="00BE38E4"/>
    <w:rsid w:val="00C3731F"/>
    <w:rsid w:val="00C402D1"/>
    <w:rsid w:val="00C62ABE"/>
    <w:rsid w:val="00C7253C"/>
    <w:rsid w:val="00C72F66"/>
    <w:rsid w:val="00C9371C"/>
    <w:rsid w:val="00CB360F"/>
    <w:rsid w:val="00CB4B4C"/>
    <w:rsid w:val="00CC305D"/>
    <w:rsid w:val="00CE02BF"/>
    <w:rsid w:val="00CE6F10"/>
    <w:rsid w:val="00D15425"/>
    <w:rsid w:val="00D15677"/>
    <w:rsid w:val="00D37A87"/>
    <w:rsid w:val="00D455A5"/>
    <w:rsid w:val="00D60353"/>
    <w:rsid w:val="00D6075E"/>
    <w:rsid w:val="00D73411"/>
    <w:rsid w:val="00D903E3"/>
    <w:rsid w:val="00D917AD"/>
    <w:rsid w:val="00DA38A7"/>
    <w:rsid w:val="00DB127D"/>
    <w:rsid w:val="00DB4B20"/>
    <w:rsid w:val="00E07235"/>
    <w:rsid w:val="00E247EB"/>
    <w:rsid w:val="00E33C9F"/>
    <w:rsid w:val="00E83C6F"/>
    <w:rsid w:val="00E9509D"/>
    <w:rsid w:val="00E979AB"/>
    <w:rsid w:val="00EC39BC"/>
    <w:rsid w:val="00EE140B"/>
    <w:rsid w:val="00F02755"/>
    <w:rsid w:val="00F41B40"/>
    <w:rsid w:val="00F718B8"/>
    <w:rsid w:val="00F733AF"/>
    <w:rsid w:val="00F767D0"/>
    <w:rsid w:val="00F83DBF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ga-IE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4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4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ga-IE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7253C"/>
    <w:rPr>
      <w:rFonts w:ascii="Times New Roman" w:hAnsi="Times New Roman" w:cs="Times New Roman"/>
      <w:sz w:val="24"/>
      <w:lang w:val="ga-IE"/>
    </w:rPr>
  </w:style>
  <w:style w:type="character" w:customStyle="1" w:styleId="FooterChar">
    <w:name w:val="Footer Char"/>
    <w:basedOn w:val="DefaultParagraphFont"/>
    <w:link w:val="Footer"/>
    <w:uiPriority w:val="99"/>
    <w:rsid w:val="00C7253C"/>
    <w:rPr>
      <w:rFonts w:ascii="Times New Roman" w:hAnsi="Times New Roman" w:cs="Times New Roman"/>
      <w:sz w:val="24"/>
      <w:lang w:val="ga-I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C725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C7253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C725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7"/>
      </w:numPr>
    </w:pPr>
  </w:style>
  <w:style w:type="paragraph" w:customStyle="1" w:styleId="Tiret1">
    <w:name w:val="Tiret 1"/>
    <w:basedOn w:val="Point1"/>
    <w:pPr>
      <w:numPr>
        <w:numId w:val="28"/>
      </w:numPr>
    </w:pPr>
  </w:style>
  <w:style w:type="paragraph" w:customStyle="1" w:styleId="Tiret2">
    <w:name w:val="Tiret 2"/>
    <w:basedOn w:val="Point2"/>
    <w:pPr>
      <w:numPr>
        <w:numId w:val="29"/>
      </w:numPr>
    </w:pPr>
  </w:style>
  <w:style w:type="paragraph" w:customStyle="1" w:styleId="Tiret3">
    <w:name w:val="Tiret 3"/>
    <w:basedOn w:val="Point3"/>
    <w:pPr>
      <w:numPr>
        <w:numId w:val="30"/>
      </w:numPr>
    </w:pPr>
  </w:style>
  <w:style w:type="paragraph" w:customStyle="1" w:styleId="Tiret4">
    <w:name w:val="Tiret 4"/>
    <w:basedOn w:val="Point4"/>
    <w:pPr>
      <w:numPr>
        <w:numId w:val="31"/>
      </w:numPr>
    </w:pPr>
  </w:style>
  <w:style w:type="paragraph" w:customStyle="1" w:styleId="Tiret5">
    <w:name w:val="Tiret 5"/>
    <w:basedOn w:val="Point5"/>
    <w:pPr>
      <w:numPr>
        <w:numId w:val="32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3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3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3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3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3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5"/>
      </w:numPr>
    </w:pPr>
  </w:style>
  <w:style w:type="paragraph" w:customStyle="1" w:styleId="Point1number">
    <w:name w:val="Point 1 (number)"/>
    <w:basedOn w:val="Normal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pPr>
      <w:numPr>
        <w:ilvl w:val="8"/>
        <w:numId w:val="35"/>
      </w:numPr>
    </w:pPr>
  </w:style>
  <w:style w:type="paragraph" w:customStyle="1" w:styleId="Bullet0">
    <w:name w:val="Bullet 0"/>
    <w:basedOn w:val="Normal"/>
    <w:pPr>
      <w:numPr>
        <w:numId w:val="36"/>
      </w:numPr>
    </w:pPr>
  </w:style>
  <w:style w:type="paragraph" w:customStyle="1" w:styleId="Bullet1">
    <w:name w:val="Bullet 1"/>
    <w:basedOn w:val="Normal"/>
    <w:pPr>
      <w:numPr>
        <w:numId w:val="37"/>
      </w:numPr>
    </w:pPr>
  </w:style>
  <w:style w:type="paragraph" w:customStyle="1" w:styleId="Bullet2">
    <w:name w:val="Bullet 2"/>
    <w:basedOn w:val="Normal"/>
    <w:pPr>
      <w:numPr>
        <w:numId w:val="38"/>
      </w:numPr>
    </w:pPr>
  </w:style>
  <w:style w:type="paragraph" w:customStyle="1" w:styleId="Bullet3">
    <w:name w:val="Bullet 3"/>
    <w:basedOn w:val="Normal"/>
    <w:pPr>
      <w:numPr>
        <w:numId w:val="39"/>
      </w:numPr>
    </w:pPr>
  </w:style>
  <w:style w:type="paragraph" w:customStyle="1" w:styleId="Bullet4">
    <w:name w:val="Bullet 4"/>
    <w:basedOn w:val="Normal"/>
    <w:pPr>
      <w:numPr>
        <w:numId w:val="40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C7253C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C7253C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C7253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C7253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5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2024-05-29T10:07:00Z</dcterms:created>
  <dcterms:modified xsi:type="dcterms:W3CDTF">2024-05-30T09:44:00Z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