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C12BA2" w:rsidRDefault="007A2E99" w:rsidP="007A2E99">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461619D-41EA-4D85-B73A-B2EE1B2E8CD2" style="width:455.25pt;height:441pt">
            <v:imagedata r:id="rId7" o:title=""/>
          </v:shape>
        </w:pict>
      </w:r>
    </w:p>
    <w:p w:rsidR="001D506C" w:rsidRPr="00C12BA2" w:rsidRDefault="001D506C">
      <w:pPr>
        <w:rPr>
          <w:noProof/>
        </w:rPr>
        <w:sectPr w:rsidR="001D506C" w:rsidRPr="00C12BA2" w:rsidSect="007A2E99">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C12BA2" w:rsidRDefault="00C12BA2" w:rsidP="00C12BA2">
      <w:pPr>
        <w:pStyle w:val="Typedudocument"/>
        <w:rPr>
          <w:noProof/>
        </w:rPr>
      </w:pPr>
      <w:bookmarkStart w:id="0" w:name="_GoBack"/>
      <w:bookmarkEnd w:id="0"/>
      <w:r w:rsidRPr="00C12BA2">
        <w:rPr>
          <w:noProof/>
        </w:rPr>
        <w:lastRenderedPageBreak/>
        <w:t>KOMISIJOS ĮGYVENDINIMO REGLAMENTAS (ES) …/...</w:t>
      </w:r>
    </w:p>
    <w:p w:rsidR="001D506C" w:rsidRPr="00C12BA2" w:rsidRDefault="00BE6688" w:rsidP="00C12BA2">
      <w:pPr>
        <w:pStyle w:val="Datedadoption"/>
        <w:rPr>
          <w:noProof/>
        </w:rPr>
      </w:pPr>
      <w:r>
        <w:rPr>
          <w:noProof/>
        </w:rPr>
        <w:t>2024 06 06</w:t>
      </w:r>
    </w:p>
    <w:p w:rsidR="001D506C" w:rsidRPr="00C12BA2" w:rsidRDefault="00C12BA2" w:rsidP="00C12BA2">
      <w:pPr>
        <w:pStyle w:val="Titreobjet"/>
        <w:rPr>
          <w:noProof/>
        </w:rPr>
      </w:pPr>
      <w:r w:rsidRPr="00C12BA2">
        <w:rPr>
          <w:noProof/>
        </w:rPr>
        <w:t xml:space="preserve">kuriuo iš dalies keičiamas Įgyvendinimo reglamentas (ES) 2021/763, kuriuo nustatomi Europos Parlamento ir Tarybos reglamento (ES) Nr. 575/2013 ir Europos Parlamento ir Tarybos direktyvos 2014/59/ES taikymo techniniai įgyvendinimo standartai, susiję su priežiūros ataskaitų teikimu ir viešu informacijos apie minimalų nuosavų lėšų ir tinkamų įsipareigojimų reikalavimą atskleidimu </w:t>
      </w:r>
      <w:r w:rsidRPr="00C12BA2">
        <w:rPr>
          <w:noProof/>
        </w:rPr>
        <w:br/>
      </w:r>
    </w:p>
    <w:p w:rsidR="001D506C" w:rsidRPr="00C12BA2" w:rsidRDefault="00C12BA2" w:rsidP="00C12BA2">
      <w:pPr>
        <w:pStyle w:val="IntrtEEE"/>
        <w:rPr>
          <w:noProof/>
        </w:rPr>
      </w:pPr>
      <w:r w:rsidRPr="00C12BA2">
        <w:rPr>
          <w:noProof/>
        </w:rPr>
        <w:t>(Tekstas svarbus EEE)</w:t>
      </w:r>
    </w:p>
    <w:p w:rsidR="001D506C" w:rsidRPr="00C12BA2" w:rsidRDefault="001D506C" w:rsidP="004E1EF9">
      <w:pPr>
        <w:pStyle w:val="Institutionquiagit"/>
        <w:rPr>
          <w:noProof/>
        </w:rPr>
      </w:pPr>
      <w:r w:rsidRPr="00C12BA2">
        <w:rPr>
          <w:noProof/>
        </w:rPr>
        <w:t>EUROPOS KOMISIJA,</w:t>
      </w:r>
    </w:p>
    <w:p w:rsidR="001D506C" w:rsidRPr="00C12BA2" w:rsidRDefault="001D506C" w:rsidP="004E1EF9">
      <w:pPr>
        <w:rPr>
          <w:noProof/>
        </w:rPr>
      </w:pPr>
      <w:r w:rsidRPr="00C12BA2">
        <w:rPr>
          <w:noProof/>
          <w:color w:val="000000"/>
        </w:rPr>
        <w:t>atsižvelgdama į Sutartį dėl Europos Sąjungos veikimo</w:t>
      </w:r>
      <w:r w:rsidRPr="00C12BA2">
        <w:rPr>
          <w:noProof/>
        </w:rPr>
        <w:t>,</w:t>
      </w:r>
    </w:p>
    <w:p w:rsidR="000E6FD2" w:rsidRPr="00C12BA2" w:rsidRDefault="000E6FD2" w:rsidP="000E6FD2">
      <w:pPr>
        <w:rPr>
          <w:noProof/>
        </w:rPr>
      </w:pPr>
      <w:r w:rsidRPr="00C12BA2">
        <w:rPr>
          <w:noProof/>
        </w:rPr>
        <w:t>atsižvelgdama į 2013 m. birželio 26 d. Europos Parlamento ir Tarybos reglamentą (ES) Nr. 575/2013 dėl riziką ribojančių reikalavimų kredito įstaigoms, kuriuo iš dalies keičiamas Reglamentas (ES) Nr. 648/2012</w:t>
      </w:r>
      <w:r w:rsidRPr="00C12BA2">
        <w:rPr>
          <w:rStyle w:val="FootnoteReference"/>
          <w:noProof/>
        </w:rPr>
        <w:footnoteReference w:id="1"/>
      </w:r>
      <w:r w:rsidRPr="00C12BA2">
        <w:rPr>
          <w:noProof/>
        </w:rPr>
        <w:t>, ypač į jo 430 straipsnio 7 dalies penktą pastraipą ir 434a straipsnio penktą pastraipą,</w:t>
      </w:r>
    </w:p>
    <w:p w:rsidR="000E6FD2" w:rsidRPr="00C12BA2" w:rsidRDefault="000E6FD2" w:rsidP="000E6FD2">
      <w:pPr>
        <w:rPr>
          <w:noProof/>
        </w:rPr>
      </w:pPr>
      <w:r w:rsidRPr="00C12BA2">
        <w:rPr>
          <w:noProof/>
        </w:rPr>
        <w:t>atsižvelgdama į 2014 m. gegužės 15 d. Europos Parlamento ir Tarybos direktyvą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w:t>
      </w:r>
      <w:r w:rsidRPr="00C12BA2">
        <w:rPr>
          <w:rStyle w:val="FootnoteReference"/>
          <w:noProof/>
        </w:rPr>
        <w:footnoteReference w:id="2"/>
      </w:r>
      <w:r w:rsidRPr="00C12BA2">
        <w:rPr>
          <w:noProof/>
        </w:rPr>
        <w:t>, ypač į jos 45i straipsnio 5 dalies penktą pastraipą ir 6 dalies penktą pastraipą,</w:t>
      </w:r>
    </w:p>
    <w:p w:rsidR="001D506C" w:rsidRPr="00C12BA2" w:rsidRDefault="001D506C" w:rsidP="004E1EF9">
      <w:pPr>
        <w:rPr>
          <w:noProof/>
        </w:rPr>
      </w:pPr>
      <w:r w:rsidRPr="00C12BA2">
        <w:rPr>
          <w:noProof/>
        </w:rPr>
        <w:t>kadangi:</w:t>
      </w:r>
    </w:p>
    <w:p w:rsidR="00F83DBF" w:rsidRPr="00C12BA2" w:rsidRDefault="00F83DBF" w:rsidP="0052704B">
      <w:pPr>
        <w:pStyle w:val="ManualConsidrant"/>
        <w:rPr>
          <w:noProof/>
        </w:rPr>
      </w:pPr>
      <w:r>
        <w:rPr>
          <w:noProof/>
        </w:rPr>
        <w:t>(1)</w:t>
      </w:r>
      <w:r>
        <w:rPr>
          <w:noProof/>
        </w:rPr>
        <w:tab/>
      </w:r>
      <w:bookmarkStart w:id="1" w:name="_Hlk159320995"/>
      <w:r w:rsidRPr="00C12BA2">
        <w:rPr>
          <w:noProof/>
        </w:rPr>
        <w:t>Europos Parlamento ir Tarybos reglamentu (ES) 2022/2036</w:t>
      </w:r>
      <w:r w:rsidRPr="00C12BA2">
        <w:rPr>
          <w:rStyle w:val="FootnoteReference"/>
          <w:noProof/>
        </w:rPr>
        <w:footnoteReference w:id="3"/>
      </w:r>
      <w:bookmarkEnd w:id="1"/>
      <w:r w:rsidRPr="00C12BA2">
        <w:rPr>
          <w:noProof/>
        </w:rPr>
        <w:t xml:space="preserve"> į Reglamentą (ES) Nr. 575/2013 įtrauktas reikalavimas, kad pertvarkytinos grupės tarpiniai subjektai iš tinkamų įsipareigojimų straipsnių atskaitytų turimas nuosavų lėšų priemones ir tinkamų įsipareigojimų priemones, naudojamas siekiant laikytis Reglamento (ES) Nr. 575/2013 92b straipsnyje nustatyto reikalavimo (toliau – vidinis bendro nuostolių padengimo pajėgumo reikalavimas, arba vidinis TLAC) arba Direktyvos 2014/59/ES</w:t>
      </w:r>
      <w:r w:rsidRPr="00C12BA2">
        <w:rPr>
          <w:rStyle w:val="FootnoteReference"/>
          <w:noProof/>
        </w:rPr>
        <w:footnoteReference w:id="4"/>
      </w:r>
      <w:r w:rsidRPr="00C12BA2">
        <w:rPr>
          <w:noProof/>
        </w:rPr>
        <w:t xml:space="preserve"> 45f straipsnyje nustatyto reikalavimo (toliau – vidinis minimalus nuosavų lėšų ir tinkamų įsipareigojimų reikalavimas, arba vidinis MREL), kai tas nuosavų lėšų priemones ir tinkamų įsipareigojimų priemones išleido subjektai, kurie patys nėra pertvarkytini subjektai ir priklauso tai pačiai pertvarkytinai grupei. Todėl šį atskaitymo reikalavimą būtina įtraukti į Komisijos įgyvendinimo reglamente (ES) 2021/763</w:t>
      </w:r>
      <w:r w:rsidRPr="00C12BA2">
        <w:rPr>
          <w:rStyle w:val="FootnoteReference"/>
          <w:bCs/>
          <w:noProof/>
        </w:rPr>
        <w:footnoteReference w:id="5"/>
      </w:r>
      <w:r w:rsidRPr="00C12BA2">
        <w:rPr>
          <w:noProof/>
        </w:rPr>
        <w:t xml:space="preserve"> nustatytas suderintos informacijos apie vidinį MREL ir vidinį TLAC viešo atskleidimo formas. Šis atskaitymo reikalavimas taip pat turėtų atsispindėti suderintoje informacijoje, kuri teikiama kompetentingoms ir pertvarkymo institucijoms;</w:t>
      </w:r>
    </w:p>
    <w:p w:rsidR="00686AFD" w:rsidRPr="00C12BA2" w:rsidRDefault="00686AFD" w:rsidP="002103AD">
      <w:pPr>
        <w:pStyle w:val="ManualConsidrant"/>
        <w:rPr>
          <w:noProof/>
        </w:rPr>
      </w:pPr>
      <w:r>
        <w:rPr>
          <w:noProof/>
        </w:rPr>
        <w:t>(2)</w:t>
      </w:r>
      <w:r>
        <w:rPr>
          <w:noProof/>
        </w:rPr>
        <w:tab/>
      </w:r>
      <w:r w:rsidRPr="00C12BA2">
        <w:rPr>
          <w:noProof/>
        </w:rPr>
        <w:t>Europos Parlamento ir Tarybos direktyva (ES) 2024/1174, kuria iš dalies keičiama Direktyva 2014/59/ES ir Reglamentas (ES) Nr. 806/2014, kiek tai susiję su tam tikrais minimalaus nuosavų lėšų ir tinkamų įsipareigojimų reikalavimo aspektais</w:t>
      </w:r>
      <w:r w:rsidRPr="00C12BA2">
        <w:rPr>
          <w:rStyle w:val="FootnoteReference"/>
          <w:noProof/>
        </w:rPr>
        <w:footnoteReference w:id="6"/>
      </w:r>
      <w:r w:rsidRPr="00C12BA2">
        <w:rPr>
          <w:noProof/>
        </w:rPr>
        <w:t>, dar kartą iš dalies pakeistas Reglamente (ES) Nr. 575/2013 nustatytas atskaitymo reikalavimas ir Direktyvoje 2014/59/ES bei Reglamente (ES) Nr. 806/2014 nurodyta, kad pertvarkytinos grupės tarpiniai subjektai turi atskaityti tik tas turimas nuosavų lėšų priemones, kurias išleido likviduojami subjektai, kurie priklauso tai pačiai pertvarkytinai grupei ir patys nėra pertvarkytini subjektai, ir tai padaryti laikydamiesi tam tikrų sąlygų, susijusių su tų turimų priemonių reikšmingumu. Tie daliniai pakeitimai taip pat turėtų atsispindėti suderintoje informacijoje, pateikiamoje viešo informacijos atskleidimo ir ataskaitų teikimo kompetentingoms institucijoms ir pertvarkymo institucijoms formose;</w:t>
      </w:r>
    </w:p>
    <w:p w:rsidR="00F83DBF" w:rsidRPr="00C12BA2" w:rsidRDefault="00F83DBF" w:rsidP="00302BB5">
      <w:pPr>
        <w:pStyle w:val="ManualConsidrant"/>
        <w:rPr>
          <w:noProof/>
        </w:rPr>
      </w:pPr>
      <w:r>
        <w:rPr>
          <w:noProof/>
        </w:rPr>
        <w:t>(3)</w:t>
      </w:r>
      <w:r>
        <w:rPr>
          <w:noProof/>
        </w:rPr>
        <w:tab/>
      </w:r>
      <w:r w:rsidRPr="00C12BA2">
        <w:rPr>
          <w:noProof/>
        </w:rPr>
        <w:t>subjektai, kuriems taikomi Reglamento (ES) Nr. 575/2013 92a arba 92b straipsnyje nustatyti reikalavimai (toliau – TLAC reikalavimas) arba Direktyvos 2014/59/ES 45 straipsnyje nustatytas reikalavimas (toliau – MREL), gavę išankstinį savo pertvarkymo institucijos leidimą, gali pareikalauti tinkamų įsipareigojimų priemonių, jas išpirkti, padengti ar atpirkti pagal Reglamento (ES) Nr. 575/2013 78a straipsnį. Dėl sumų, kurioms taikomas toks leidimas, sumažėja subjektų pajėgumas įvykdyti MREL arba TLAC reikalavimą. Todėl būtina nurodyti, kaip tokio leidimo poveikis turėtų būti atspindėtas viešai atskleidžiant informaciją ir teikiant ataskaitas kompetentingoms institucijoms ir pertvarkymo institucijoms;</w:t>
      </w:r>
    </w:p>
    <w:p w:rsidR="00F83DBF" w:rsidRPr="00C12BA2" w:rsidRDefault="00F83DBF" w:rsidP="00F83DBF">
      <w:pPr>
        <w:pStyle w:val="ManualConsidrant"/>
        <w:rPr>
          <w:noProof/>
        </w:rPr>
      </w:pPr>
      <w:r>
        <w:rPr>
          <w:noProof/>
        </w:rPr>
        <w:t>(4)</w:t>
      </w:r>
      <w:r>
        <w:rPr>
          <w:noProof/>
        </w:rPr>
        <w:tab/>
      </w:r>
      <w:r w:rsidRPr="00C12BA2">
        <w:rPr>
          <w:noProof/>
        </w:rPr>
        <w:t>todėl Įgyvendinimo reglamentas (ES) 2021/763 turėtų būti atitinkamai iš dalies pakeistas;</w:t>
      </w:r>
    </w:p>
    <w:p w:rsidR="00F83DBF" w:rsidRPr="00C12BA2" w:rsidRDefault="00F83DBF" w:rsidP="00F83DBF">
      <w:pPr>
        <w:pStyle w:val="ManualConsidrant"/>
        <w:rPr>
          <w:noProof/>
        </w:rPr>
      </w:pPr>
      <w:r>
        <w:rPr>
          <w:noProof/>
        </w:rPr>
        <w:t>(5)</w:t>
      </w:r>
      <w:r>
        <w:rPr>
          <w:noProof/>
        </w:rPr>
        <w:tab/>
      </w:r>
      <w:r w:rsidRPr="00C12BA2">
        <w:rPr>
          <w:noProof/>
        </w:rPr>
        <w:t xml:space="preserve">šis reglamentas grindžiamas techninių įgyvendinimo standartų projektais, kuriuos Komisijai pateikė Europos bankininkystės institucija; </w:t>
      </w:r>
    </w:p>
    <w:p w:rsidR="00F83DBF" w:rsidRPr="00C12BA2" w:rsidRDefault="00F83DBF" w:rsidP="00F83DBF">
      <w:pPr>
        <w:pStyle w:val="ManualConsidrant"/>
        <w:rPr>
          <w:noProof/>
        </w:rPr>
      </w:pPr>
      <w:r>
        <w:rPr>
          <w:noProof/>
        </w:rPr>
        <w:t>(6)</w:t>
      </w:r>
      <w:r>
        <w:rPr>
          <w:noProof/>
        </w:rPr>
        <w:tab/>
      </w:r>
      <w:r w:rsidRPr="00C12BA2">
        <w:rPr>
          <w:noProof/>
        </w:rPr>
        <w:t>Europos bankininkystės institucija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Pr="00C12BA2">
        <w:rPr>
          <w:rStyle w:val="FootnoteReference"/>
          <w:noProof/>
        </w:rPr>
        <w:footnoteReference w:id="7"/>
      </w:r>
      <w:r w:rsidRPr="00C12BA2">
        <w:rPr>
          <w:noProof/>
        </w:rPr>
        <w:t xml:space="preserve"> 37 straipsnį, pateikti rekomendacijų;</w:t>
      </w:r>
    </w:p>
    <w:p w:rsidR="00DB127D" w:rsidRPr="00C12BA2" w:rsidRDefault="00DB127D" w:rsidP="00F83DBF">
      <w:pPr>
        <w:pStyle w:val="ManualConsidrant"/>
        <w:rPr>
          <w:noProof/>
        </w:rPr>
      </w:pPr>
      <w:r>
        <w:rPr>
          <w:noProof/>
        </w:rPr>
        <w:t>(7)</w:t>
      </w:r>
      <w:r>
        <w:rPr>
          <w:noProof/>
        </w:rPr>
        <w:tab/>
      </w:r>
      <w:r w:rsidRPr="00C12BA2">
        <w:rPr>
          <w:noProof/>
        </w:rPr>
        <w:t xml:space="preserve">siekiant suteikti subjektams, kuriems taikoma pareiga teikti ataskaitas arba atskleisti informaciją pagal Reglamentą (ES) Nr. 575/2013 arba Direktyvą 2014/59/ES, pakankamai laiko prisitaikyti prie </w:t>
      </w:r>
      <w:bookmarkStart w:id="2" w:name="_Hlk160034996"/>
      <w:r w:rsidRPr="00C12BA2">
        <w:rPr>
          <w:noProof/>
        </w:rPr>
        <w:t>formų ir suderintos informacijos pokyčių</w:t>
      </w:r>
      <w:bookmarkEnd w:id="2"/>
      <w:r w:rsidRPr="00C12BA2">
        <w:rPr>
          <w:noProof/>
        </w:rPr>
        <w:t>, tie pokyčiai turėtų būti pradėti taikyti praėjus šešiems mėnesiams nuo jų įsigaliojimo dienos,</w:t>
      </w:r>
    </w:p>
    <w:p w:rsidR="001D506C" w:rsidRPr="00C12BA2" w:rsidRDefault="001D506C" w:rsidP="004E1EF9">
      <w:pPr>
        <w:pStyle w:val="Formuledadoption"/>
        <w:rPr>
          <w:noProof/>
        </w:rPr>
      </w:pPr>
      <w:r w:rsidRPr="00C12BA2">
        <w:rPr>
          <w:noProof/>
        </w:rPr>
        <w:t>PRIĖMĖ ŠĮ REGLAMENTĄ:</w:t>
      </w:r>
    </w:p>
    <w:p w:rsidR="001D506C" w:rsidRPr="00C12BA2" w:rsidRDefault="001D506C" w:rsidP="004E1EF9">
      <w:pPr>
        <w:pStyle w:val="Titrearticle"/>
        <w:rPr>
          <w:noProof/>
        </w:rPr>
      </w:pPr>
      <w:r w:rsidRPr="00C12BA2">
        <w:rPr>
          <w:noProof/>
        </w:rPr>
        <w:t>1 straipsnis</w:t>
      </w:r>
    </w:p>
    <w:p w:rsidR="008D3341" w:rsidRPr="00C12BA2" w:rsidRDefault="008D3341" w:rsidP="00220108">
      <w:pPr>
        <w:pStyle w:val="Titrearticle"/>
        <w:rPr>
          <w:noProof/>
        </w:rPr>
      </w:pPr>
      <w:r w:rsidRPr="00C12BA2">
        <w:rPr>
          <w:noProof/>
        </w:rPr>
        <w:t>Įgyvendinimo reglamento (ES) 2021/763 pakeitimai</w:t>
      </w:r>
    </w:p>
    <w:p w:rsidR="00F83DBF" w:rsidRPr="00C12BA2" w:rsidRDefault="00F83DBF" w:rsidP="00F83DBF">
      <w:pPr>
        <w:rPr>
          <w:noProof/>
        </w:rPr>
      </w:pPr>
      <w:r w:rsidRPr="00C12BA2">
        <w:rPr>
          <w:noProof/>
        </w:rPr>
        <w:t>Įgyvendinimo reglamentas (ES) 2021/763 iš dalies keičiamas taip:</w:t>
      </w:r>
    </w:p>
    <w:p w:rsidR="00F83DBF" w:rsidRPr="00C12BA2" w:rsidRDefault="004603A2" w:rsidP="000B009E">
      <w:pPr>
        <w:pStyle w:val="Point0"/>
        <w:rPr>
          <w:noProof/>
        </w:rPr>
      </w:pPr>
      <w:r>
        <w:rPr>
          <w:noProof/>
        </w:rPr>
        <w:t>(1)</w:t>
      </w:r>
      <w:r>
        <w:rPr>
          <w:noProof/>
        </w:rPr>
        <w:tab/>
      </w:r>
      <w:r w:rsidRPr="00C12BA2">
        <w:rPr>
          <w:noProof/>
        </w:rPr>
        <w:t>I priede pateiktos M 02.00 ir M 03.00 formos pakeičiamos šio reglamento I priede pateiktomis M 02.00 ir M 03.00 formomis;</w:t>
      </w:r>
    </w:p>
    <w:p w:rsidR="00F83DBF" w:rsidRPr="00C12BA2" w:rsidRDefault="00F83DBF" w:rsidP="00220108">
      <w:pPr>
        <w:pStyle w:val="Point0"/>
        <w:rPr>
          <w:noProof/>
        </w:rPr>
      </w:pPr>
      <w:r>
        <w:rPr>
          <w:noProof/>
        </w:rPr>
        <w:t>(2)</w:t>
      </w:r>
      <w:r>
        <w:rPr>
          <w:noProof/>
        </w:rPr>
        <w:tab/>
      </w:r>
      <w:r w:rsidRPr="00C12BA2">
        <w:rPr>
          <w:noProof/>
        </w:rPr>
        <w:t>II priedas pakeičiamas šio reglamento II priedo tekstu;</w:t>
      </w:r>
    </w:p>
    <w:p w:rsidR="00F83DBF" w:rsidRPr="00C12BA2" w:rsidRDefault="004603A2" w:rsidP="00220108">
      <w:pPr>
        <w:pStyle w:val="Point0"/>
        <w:rPr>
          <w:noProof/>
        </w:rPr>
      </w:pPr>
      <w:r>
        <w:rPr>
          <w:noProof/>
        </w:rPr>
        <w:t>(3)</w:t>
      </w:r>
      <w:r>
        <w:rPr>
          <w:noProof/>
        </w:rPr>
        <w:tab/>
      </w:r>
      <w:r w:rsidRPr="00C12BA2">
        <w:rPr>
          <w:noProof/>
        </w:rPr>
        <w:t>V priede pateiktos EU TLAC1 ir EU ILAC formos pakeičiamos šio reglamento III priede pateiktomis EU TLAC1 ir EU ILAC formomis;</w:t>
      </w:r>
    </w:p>
    <w:p w:rsidR="00F83DBF" w:rsidRPr="00C12BA2" w:rsidRDefault="00F83DBF" w:rsidP="00220108">
      <w:pPr>
        <w:pStyle w:val="Point0"/>
        <w:rPr>
          <w:noProof/>
        </w:rPr>
      </w:pPr>
      <w:r>
        <w:rPr>
          <w:noProof/>
        </w:rPr>
        <w:t>(4)</w:t>
      </w:r>
      <w:r>
        <w:rPr>
          <w:noProof/>
        </w:rPr>
        <w:tab/>
      </w:r>
      <w:r w:rsidRPr="00C12BA2">
        <w:rPr>
          <w:noProof/>
        </w:rPr>
        <w:t>VI priedas pakeičiamas šio reglamento IV priedo tekstu.</w:t>
      </w:r>
    </w:p>
    <w:p w:rsidR="00F83DBF" w:rsidRPr="00C12BA2" w:rsidRDefault="00F83DBF" w:rsidP="00F83DBF">
      <w:pPr>
        <w:pStyle w:val="Titrearticle"/>
        <w:rPr>
          <w:noProof/>
        </w:rPr>
      </w:pPr>
      <w:r w:rsidRPr="00C12BA2">
        <w:rPr>
          <w:noProof/>
        </w:rPr>
        <w:t>2 straipsnis</w:t>
      </w:r>
    </w:p>
    <w:p w:rsidR="00CC305D" w:rsidRPr="00C12BA2" w:rsidRDefault="00CC305D" w:rsidP="00583FFA">
      <w:pPr>
        <w:jc w:val="center"/>
        <w:rPr>
          <w:b/>
          <w:bCs/>
          <w:noProof/>
          <w:color w:val="000000"/>
        </w:rPr>
      </w:pPr>
      <w:r w:rsidRPr="00C12BA2">
        <w:rPr>
          <w:b/>
          <w:noProof/>
          <w:color w:val="000000"/>
        </w:rPr>
        <w:t>Įsigaliojimas ir taikymas</w:t>
      </w:r>
    </w:p>
    <w:p w:rsidR="00F83DBF" w:rsidRPr="00C12BA2" w:rsidRDefault="00F83DBF" w:rsidP="00F83DBF">
      <w:pPr>
        <w:rPr>
          <w:noProof/>
          <w:color w:val="000000"/>
        </w:rPr>
      </w:pPr>
      <w:r w:rsidRPr="00C12BA2">
        <w:rPr>
          <w:noProof/>
          <w:color w:val="000000"/>
        </w:rPr>
        <w:t xml:space="preserve">Šis reglamentas įsigalioja dvidešimtą dieną po jo paskelbimo </w:t>
      </w:r>
      <w:r w:rsidRPr="00C12BA2">
        <w:rPr>
          <w:i/>
          <w:noProof/>
          <w:color w:val="000000"/>
        </w:rPr>
        <w:t>Europos Sąjungos oficialiajame leidinyje</w:t>
      </w:r>
      <w:r w:rsidRPr="00C12BA2">
        <w:rPr>
          <w:noProof/>
          <w:color w:val="000000"/>
        </w:rPr>
        <w:t>.</w:t>
      </w:r>
    </w:p>
    <w:p w:rsidR="00F83DBF" w:rsidRPr="00C12BA2" w:rsidRDefault="00F83DBF" w:rsidP="00F83DBF">
      <w:pPr>
        <w:rPr>
          <w:noProof/>
          <w:color w:val="000000"/>
        </w:rPr>
      </w:pPr>
      <w:r w:rsidRPr="00C12BA2">
        <w:rPr>
          <w:noProof/>
          <w:color w:val="000000"/>
        </w:rPr>
        <w:t xml:space="preserve">Jis taikomas nuo </w:t>
      </w:r>
      <w:r w:rsidRPr="00C12BA2">
        <w:rPr>
          <w:i/>
          <w:noProof/>
          <w:color w:val="000000"/>
        </w:rPr>
        <w:t>[OL įrašyti datą – šeši mėnesiai po šio dalinio pakeitimo reglamento įsigaliojimo dienos]</w:t>
      </w:r>
      <w:r w:rsidRPr="00C12BA2">
        <w:rPr>
          <w:noProof/>
          <w:color w:val="000000"/>
        </w:rPr>
        <w:t xml:space="preserve">. </w:t>
      </w:r>
    </w:p>
    <w:p w:rsidR="001D506C" w:rsidRPr="00C12BA2" w:rsidRDefault="001D506C" w:rsidP="004E1EF9">
      <w:pPr>
        <w:pStyle w:val="Applicationdirecte"/>
        <w:keepNext/>
        <w:keepLines/>
        <w:rPr>
          <w:noProof/>
        </w:rPr>
      </w:pPr>
      <w:r w:rsidRPr="00C12BA2">
        <w:rPr>
          <w:noProof/>
        </w:rPr>
        <w:t>Šis reglamentas privalomas visas ir tiesiogiai taikomas valstybėse narėse.</w:t>
      </w:r>
    </w:p>
    <w:p w:rsidR="001D506C" w:rsidRPr="00C12BA2" w:rsidRDefault="00BE6688" w:rsidP="005F5B01">
      <w:pPr>
        <w:pStyle w:val="Fait"/>
        <w:rPr>
          <w:noProof/>
        </w:rPr>
      </w:pPr>
      <w:r>
        <w:rPr>
          <w:noProof/>
        </w:rPr>
        <w:t>Priimta Briuselyje 2024 06 06</w:t>
      </w:r>
    </w:p>
    <w:p w:rsidR="001D506C" w:rsidRPr="00C12BA2" w:rsidRDefault="001D506C" w:rsidP="005F5B01">
      <w:pPr>
        <w:pStyle w:val="Institutionquisigne"/>
        <w:rPr>
          <w:noProof/>
        </w:rPr>
      </w:pPr>
      <w:r w:rsidRPr="00C12BA2">
        <w:rPr>
          <w:noProof/>
        </w:rPr>
        <w:tab/>
        <w:t>Komisijos vardu</w:t>
      </w:r>
    </w:p>
    <w:p w:rsidR="00F718B8" w:rsidRPr="00C12BA2" w:rsidRDefault="00A24D0F" w:rsidP="005F5B01">
      <w:pPr>
        <w:pStyle w:val="Personnequisigne"/>
        <w:keepNext/>
        <w:rPr>
          <w:noProof/>
        </w:rPr>
      </w:pPr>
      <w:r>
        <w:rPr>
          <w:noProof/>
        </w:rPr>
        <w:tab/>
        <w:t>Pirmininkė</w:t>
      </w:r>
      <w:r>
        <w:rPr>
          <w:noProof/>
        </w:rPr>
        <w:br/>
      </w:r>
      <w:r>
        <w:rPr>
          <w:noProof/>
        </w:rPr>
        <w:tab/>
        <w:t>Ursula VON DER LEYEN</w:t>
      </w:r>
    </w:p>
    <w:p w:rsidR="00C402D1" w:rsidRPr="00C12BA2" w:rsidRDefault="00C402D1" w:rsidP="00C402D1">
      <w:pPr>
        <w:pStyle w:val="Personnequisigne"/>
        <w:rPr>
          <w:noProof/>
        </w:rPr>
      </w:pPr>
    </w:p>
    <w:sectPr w:rsidR="00C402D1" w:rsidRPr="00C12BA2" w:rsidSect="007A2E99">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Footer"/>
      <w:rPr>
        <w:rFonts w:ascii="Arial" w:hAnsi="Arial" w:cs="Arial"/>
        <w:b/>
        <w:sz w:val="48"/>
      </w:rPr>
    </w:pPr>
    <w:r w:rsidRPr="007A2E99">
      <w:rPr>
        <w:rFonts w:ascii="Arial" w:hAnsi="Arial" w:cs="Arial"/>
        <w:b/>
        <w:sz w:val="48"/>
      </w:rPr>
      <w:t>LT</w:t>
    </w:r>
    <w:r w:rsidRPr="007A2E99">
      <w:rPr>
        <w:rFonts w:ascii="Arial" w:hAnsi="Arial" w:cs="Arial"/>
        <w:b/>
        <w:sz w:val="48"/>
      </w:rPr>
      <w:tab/>
    </w:r>
    <w:r w:rsidRPr="007A2E99">
      <w:rPr>
        <w:rFonts w:ascii="Arial" w:hAnsi="Arial" w:cs="Arial"/>
        <w:b/>
        <w:sz w:val="48"/>
      </w:rPr>
      <w:tab/>
    </w:r>
    <w:r w:rsidRPr="007A2E99">
      <w:tab/>
    </w:r>
    <w:r w:rsidRPr="007A2E99">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Footer"/>
      <w:rPr>
        <w:rFonts w:ascii="Arial" w:hAnsi="Arial" w:cs="Arial"/>
        <w:b/>
        <w:sz w:val="48"/>
      </w:rPr>
    </w:pPr>
    <w:r w:rsidRPr="007A2E99">
      <w:rPr>
        <w:rFonts w:ascii="Arial" w:hAnsi="Arial" w:cs="Arial"/>
        <w:b/>
        <w:sz w:val="48"/>
      </w:rPr>
      <w:t>LT</w:t>
    </w:r>
    <w:r w:rsidRPr="007A2E99">
      <w:rPr>
        <w:rFonts w:ascii="Arial" w:hAnsi="Arial" w:cs="Arial"/>
        <w:b/>
        <w:sz w:val="48"/>
      </w:rPr>
      <w:tab/>
    </w:r>
    <w:r w:rsidRPr="007A2E99">
      <w:rPr>
        <w:rFonts w:ascii="Arial" w:hAnsi="Arial" w:cs="Arial"/>
        <w:b/>
        <w:sz w:val="48"/>
      </w:rPr>
      <w:tab/>
    </w:r>
    <w:r w:rsidRPr="007A2E99">
      <w:tab/>
    </w:r>
    <w:r w:rsidRPr="007A2E99">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Default="007A2E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Footer"/>
      <w:rPr>
        <w:rFonts w:ascii="Arial" w:hAnsi="Arial" w:cs="Arial"/>
        <w:b/>
        <w:sz w:val="48"/>
      </w:rPr>
    </w:pPr>
    <w:r w:rsidRPr="007A2E99">
      <w:rPr>
        <w:rFonts w:ascii="Arial" w:hAnsi="Arial" w:cs="Arial"/>
        <w:b/>
        <w:sz w:val="48"/>
      </w:rPr>
      <w:t>LT</w:t>
    </w:r>
    <w:r w:rsidRPr="007A2E99">
      <w:rPr>
        <w:rFonts w:ascii="Arial" w:hAnsi="Arial" w:cs="Arial"/>
        <w:b/>
        <w:sz w:val="48"/>
      </w:rPr>
      <w:tab/>
    </w:r>
    <w:r>
      <w:fldChar w:fldCharType="begin"/>
    </w:r>
    <w:r>
      <w:instrText xml:space="preserve"> PAGE  \* MERGEFORMAT </w:instrText>
    </w:r>
    <w:r>
      <w:fldChar w:fldCharType="separate"/>
    </w:r>
    <w:r w:rsidR="005F5B01">
      <w:rPr>
        <w:noProof/>
      </w:rPr>
      <w:t>3</w:t>
    </w:r>
    <w:r>
      <w:fldChar w:fldCharType="end"/>
    </w:r>
    <w:r>
      <w:tab/>
    </w:r>
    <w:r w:rsidRPr="007A2E99">
      <w:tab/>
    </w:r>
    <w:r w:rsidRPr="007A2E99">
      <w:rPr>
        <w:rFonts w:ascii="Arial" w:hAnsi="Arial" w:cs="Arial"/>
        <w:b/>
        <w:sz w:val="48"/>
      </w:rPr>
      <w:t>LT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Default="007A2E99" w:rsidP="007A2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38A7" w:rsidRDefault="000E6FD2" w:rsidP="000E6FD2">
      <w:pPr>
        <w:pStyle w:val="FootnoteText"/>
      </w:pPr>
      <w:r>
        <w:rPr>
          <w:rStyle w:val="FootnoteReference"/>
        </w:rPr>
        <w:footnoteRef/>
      </w:r>
      <w:r>
        <w:tab/>
        <w:t xml:space="preserve"> OL L 176, 2013 6 27, p. 1, ELI: http://data.europa.eu/eli/reg/2013/575/oj. </w:t>
      </w:r>
    </w:p>
  </w:footnote>
  <w:footnote w:id="2">
    <w:p w:rsidR="000E6FD2" w:rsidRPr="00DA38A7" w:rsidRDefault="000E6FD2" w:rsidP="000E6FD2">
      <w:pPr>
        <w:pStyle w:val="FootnoteText"/>
      </w:pPr>
      <w:r>
        <w:rPr>
          <w:rStyle w:val="FootnoteReference"/>
        </w:rPr>
        <w:footnoteRef/>
      </w:r>
      <w:r>
        <w:tab/>
        <w:t xml:space="preserve"> OL L 173, 2014 6 12, p. 190, ELI: http://data.europa.eu/eli/dir/2014/59/oj. </w:t>
      </w:r>
    </w:p>
  </w:footnote>
  <w:footnote w:id="3">
    <w:p w:rsidR="00F83DBF" w:rsidRPr="001734AB" w:rsidRDefault="00F83DBF" w:rsidP="00F83DBF">
      <w:pPr>
        <w:pStyle w:val="FootnoteText"/>
      </w:pPr>
      <w:r>
        <w:rPr>
          <w:rStyle w:val="FootnoteReference"/>
        </w:rPr>
        <w:footnoteRef/>
      </w:r>
      <w:r>
        <w:tab/>
        <w:t>2022 m. spalio 19 d. Europos Parlamento ir Tarybos reglamentas (ES) 2022/2036, kuriuo iš dalies keičiamas Reglamentas (ES) Nr. 575/2013 ir Direktyva 2014/59/ES, kiek tai susiję su prudencine tvarka, taikoma pasaulinės sisteminės svarbos įstaigoms, kurios laikosi vienalaikio grupės dalies pertvarkymo strategijos, ir minimaliam nuosavų lėšų ir tinkamų įsipareigojimų reikalavimui vykdyti tinkamų priemonių netiesioginio pasirašymo metodų (OL L 275, 2022 10 25, p. 1, ELI: http://data.europa.eu/eli/reg/2022/2036/oj).</w:t>
      </w:r>
    </w:p>
  </w:footnote>
  <w:footnote w:id="4">
    <w:p w:rsidR="00F83DBF" w:rsidRPr="002B6E0A" w:rsidRDefault="00F83DBF" w:rsidP="00F83DBF">
      <w:pPr>
        <w:pStyle w:val="FootnoteText"/>
      </w:pPr>
      <w:r>
        <w:rPr>
          <w:rStyle w:val="FootnoteReference"/>
        </w:rPr>
        <w:footnoteRef/>
      </w:r>
      <w:r>
        <w:tab/>
        <w:t>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190–348).</w:t>
      </w:r>
    </w:p>
  </w:footnote>
  <w:footnote w:id="5">
    <w:p w:rsidR="00F83DBF" w:rsidRPr="00BA3525" w:rsidRDefault="00F83DBF" w:rsidP="00F83DBF">
      <w:pPr>
        <w:pStyle w:val="FootnoteText"/>
      </w:pPr>
      <w:r>
        <w:rPr>
          <w:rStyle w:val="FootnoteReference"/>
        </w:rPr>
        <w:footnoteRef/>
      </w:r>
      <w:r>
        <w:tab/>
        <w:t>2021 m. balandžio 23 d. Komisijos įgyvendinimo reglamentas (ES) 2021/763, kuriuo nustatomi Europos Parlamento ir Tarybos reglamento (ES) Nr. 575/2013 ir Europos Parlamento ir Tarybos direktyvos 2014/59/ES taikymo techniniai įgyvendinimo standartai, susiję su priežiūros ataskaitų teikimu ir viešu informacijos apie minimalų nuosavų lėšų ir tinkamų įsipareigojimų reikalavimą atskleidimu (OL L 168, 2021 5 12, p. 1).</w:t>
      </w:r>
    </w:p>
  </w:footnote>
  <w:footnote w:id="6">
    <w:p w:rsidR="00686AFD" w:rsidRPr="00686AFD" w:rsidRDefault="00686AFD" w:rsidP="00686AFD">
      <w:pPr>
        <w:pStyle w:val="FootnoteText"/>
      </w:pPr>
      <w:r>
        <w:rPr>
          <w:rStyle w:val="FootnoteReference"/>
        </w:rPr>
        <w:footnoteRef/>
      </w:r>
      <w:r>
        <w:tab/>
        <w:t>2024 m. balandžio 11 d. Europos Parlamento ir Tarybos direktyva (ES) 2024/1174, kuria iš dalies keičiama Direktyva 2014/59/ES ir Reglamentas (ES) Nr. 806/2014, kiek tai susiję su tam tikrais minimalaus nuosavų lėšų ir tinkamų įsipareigojimų reikalavimo aspektais (OL L, 2024/1174, 2024 4 22).</w:t>
      </w:r>
    </w:p>
  </w:footnote>
  <w:footnote w:id="7">
    <w:p w:rsidR="00F83DBF" w:rsidRPr="00B64E68" w:rsidRDefault="00F83DBF" w:rsidP="00F83DBF">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Pr="007A2E99" w:rsidRDefault="007A2E99" w:rsidP="007A2E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Default="007A2E9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E99" w:rsidRDefault="007A2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3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461619D-41EA-4D85-B73A-B2EE1B2E8CD2"/>
    <w:docVar w:name="LW_COVERPAGE_TYPE" w:val="1"/>
    <w:docVar w:name="LW_CROSSREFERENCE" w:val="&lt;UNUSED&gt;"/>
    <w:docVar w:name="LW_DATE.ADOPT.CP" w:val="2024 06 06"/>
    <w:docVar w:name="LW_DATE.ADOPT.CP_DATEFORMAT" w:val="%DATE%"/>
    <w:docVar w:name="LW_DATE.ADOPT.CP_ISODATE" w:val="2024-06-06"/>
    <w:docVar w:name="LW_DocType" w:val="COM"/>
    <w:docVar w:name="LW_EMISSION" w:val="2024 06 06"/>
    <w:docVar w:name="LW_EMISSION_ISODATE" w:val="2024-06-06"/>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i\u353? dalies kei\u269?iamas \u302?gyvendinimo reglamentas (ES) 2021/763, kuriuo nustatomi Europos Parlamento ir Tarybos reglamento (ES) Nr. 575/2013 ir Europos Parlamento ir Tarybos direktyvos 2014/59/ES taikymo techniniai \u303?gyvendinimo standartai, susij\u281? su prie\u382?i\u363?ros ataskait\u371? teikimu ir vie\u353?u informacijos apie minimal\u371? nuosav\u371? l\u279?\u353?\u371? ir tinkam\u371? \u303?sipareigojim\u371? reikalavim\u261? atskleidimu _x000b_"/>
    <w:docVar w:name="LW_TYPE.DOC.CP" w:val="KOMISIJOS \u302?GYVENDINIMO REGLAMENTAS (ES) \u8230?/..."/>
    <w:docVar w:name="LwApiVersions" w:val="LW4CoDe 1.24.5.0; LW 9.0, Build 20240221"/>
  </w:docVars>
  <w:rsids>
    <w:rsidRoot w:val="001D506C"/>
    <w:rsid w:val="00093B4B"/>
    <w:rsid w:val="000955EB"/>
    <w:rsid w:val="000B009E"/>
    <w:rsid w:val="000B7A7D"/>
    <w:rsid w:val="000C2305"/>
    <w:rsid w:val="000E53C8"/>
    <w:rsid w:val="000E6B56"/>
    <w:rsid w:val="000E6FD2"/>
    <w:rsid w:val="00113811"/>
    <w:rsid w:val="0013442E"/>
    <w:rsid w:val="00152894"/>
    <w:rsid w:val="00185DB3"/>
    <w:rsid w:val="001B397F"/>
    <w:rsid w:val="001B6C2F"/>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603A2"/>
    <w:rsid w:val="00492396"/>
    <w:rsid w:val="004B3865"/>
    <w:rsid w:val="004C38F7"/>
    <w:rsid w:val="004E19F9"/>
    <w:rsid w:val="00517205"/>
    <w:rsid w:val="0052704B"/>
    <w:rsid w:val="005279D9"/>
    <w:rsid w:val="00542487"/>
    <w:rsid w:val="00580629"/>
    <w:rsid w:val="00582810"/>
    <w:rsid w:val="00583FFA"/>
    <w:rsid w:val="00595540"/>
    <w:rsid w:val="005A399F"/>
    <w:rsid w:val="005B5FA6"/>
    <w:rsid w:val="005E1E85"/>
    <w:rsid w:val="005F222A"/>
    <w:rsid w:val="005F33FF"/>
    <w:rsid w:val="005F5B01"/>
    <w:rsid w:val="006654AB"/>
    <w:rsid w:val="006813A6"/>
    <w:rsid w:val="00686AFD"/>
    <w:rsid w:val="006A2A68"/>
    <w:rsid w:val="006F7EFE"/>
    <w:rsid w:val="00703C0B"/>
    <w:rsid w:val="0075467B"/>
    <w:rsid w:val="007A2E99"/>
    <w:rsid w:val="007D0861"/>
    <w:rsid w:val="007D1225"/>
    <w:rsid w:val="007E010B"/>
    <w:rsid w:val="00802FC2"/>
    <w:rsid w:val="0081293E"/>
    <w:rsid w:val="0084238A"/>
    <w:rsid w:val="00852DE8"/>
    <w:rsid w:val="00866F8B"/>
    <w:rsid w:val="00873830"/>
    <w:rsid w:val="008C58B7"/>
    <w:rsid w:val="008C62AF"/>
    <w:rsid w:val="008C63FE"/>
    <w:rsid w:val="008D0E5E"/>
    <w:rsid w:val="008D3341"/>
    <w:rsid w:val="008E2694"/>
    <w:rsid w:val="00940731"/>
    <w:rsid w:val="009476D9"/>
    <w:rsid w:val="009702E0"/>
    <w:rsid w:val="009712C1"/>
    <w:rsid w:val="009719B6"/>
    <w:rsid w:val="009731D1"/>
    <w:rsid w:val="00985A34"/>
    <w:rsid w:val="00995362"/>
    <w:rsid w:val="009957C5"/>
    <w:rsid w:val="009A1A98"/>
    <w:rsid w:val="00A10BBD"/>
    <w:rsid w:val="00A24D0F"/>
    <w:rsid w:val="00A2735C"/>
    <w:rsid w:val="00A565C7"/>
    <w:rsid w:val="00A61FE3"/>
    <w:rsid w:val="00A63976"/>
    <w:rsid w:val="00B0742B"/>
    <w:rsid w:val="00B247D1"/>
    <w:rsid w:val="00B50A87"/>
    <w:rsid w:val="00B74403"/>
    <w:rsid w:val="00B84713"/>
    <w:rsid w:val="00B851FA"/>
    <w:rsid w:val="00BE38E4"/>
    <w:rsid w:val="00BE6688"/>
    <w:rsid w:val="00C12BA2"/>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A38A7"/>
    <w:rsid w:val="00DB127D"/>
    <w:rsid w:val="00DB4B20"/>
    <w:rsid w:val="00E07235"/>
    <w:rsid w:val="00E247EB"/>
    <w:rsid w:val="00E33C9F"/>
    <w:rsid w:val="00E83C6F"/>
    <w:rsid w:val="00E9509D"/>
    <w:rsid w:val="00E979AB"/>
    <w:rsid w:val="00EC39BC"/>
    <w:rsid w:val="00EE140B"/>
    <w:rsid w:val="00F02755"/>
    <w:rsid w:val="00F04BCB"/>
    <w:rsid w:val="00F41B40"/>
    <w:rsid w:val="00F718B8"/>
    <w:rsid w:val="00F733AF"/>
    <w:rsid w:val="00F767D0"/>
    <w:rsid w:val="00F83DBF"/>
    <w:rsid w:val="00FB7989"/>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lt-LT"/>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7A2E99"/>
    <w:rPr>
      <w:rFonts w:ascii="Times New Roman" w:hAnsi="Times New Roman" w:cs="Times New Roman"/>
      <w:sz w:val="24"/>
      <w:lang w:val="lt-LT"/>
    </w:rPr>
  </w:style>
  <w:style w:type="character" w:customStyle="1" w:styleId="FooterChar">
    <w:name w:val="Footer Char"/>
    <w:basedOn w:val="DefaultParagraphFont"/>
    <w:link w:val="Footer"/>
    <w:uiPriority w:val="99"/>
    <w:rsid w:val="007A2E99"/>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t-L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t-L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t-L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t-L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t-L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t-L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t-L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A2E9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A2E99"/>
    <w:pPr>
      <w:spacing w:before="0"/>
      <w:jc w:val="right"/>
    </w:pPr>
    <w:rPr>
      <w:sz w:val="28"/>
    </w:rPr>
  </w:style>
  <w:style w:type="paragraph" w:customStyle="1" w:styleId="FooterSensitivity">
    <w:name w:val="Footer Sensitivity"/>
    <w:basedOn w:val="Normal"/>
    <w:rsid w:val="007A2E9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7A2E99"/>
    <w:pPr>
      <w:tabs>
        <w:tab w:val="center" w:pos="4535"/>
        <w:tab w:val="right" w:pos="9071"/>
      </w:tabs>
      <w:spacing w:before="0"/>
    </w:pPr>
  </w:style>
  <w:style w:type="paragraph" w:customStyle="1" w:styleId="HeaderLandscape">
    <w:name w:val="HeaderLandscape"/>
    <w:basedOn w:val="Normal"/>
    <w:rsid w:val="007A2E99"/>
    <w:pPr>
      <w:tabs>
        <w:tab w:val="center" w:pos="7285"/>
        <w:tab w:val="right" w:pos="14003"/>
      </w:tabs>
      <w:spacing w:before="0"/>
    </w:pPr>
  </w:style>
  <w:style w:type="paragraph" w:styleId="Footer">
    <w:name w:val="footer"/>
    <w:basedOn w:val="Normal"/>
    <w:link w:val="FooterChar"/>
    <w:uiPriority w:val="99"/>
    <w:unhideWhenUsed/>
    <w:rsid w:val="007A2E99"/>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A2E99"/>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