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894" w:rsidRPr="00491ED7" w:rsidRDefault="000573AC" w:rsidP="000573AC">
      <w:pPr>
        <w:pStyle w:val="Pagedecouverture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50F773E0-7545-4B47-95D4-F461E3C162C9" style="width:455.25pt;height:441pt">
            <v:imagedata r:id="rId7" o:title=""/>
          </v:shape>
        </w:pict>
      </w:r>
    </w:p>
    <w:p w:rsidR="001D506C" w:rsidRPr="00491ED7" w:rsidRDefault="001D506C">
      <w:pPr>
        <w:rPr>
          <w:noProof/>
        </w:rPr>
        <w:sectPr w:rsidR="001D506C" w:rsidRPr="00491ED7" w:rsidSect="000573A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1D506C" w:rsidRPr="00491ED7" w:rsidRDefault="00491ED7" w:rsidP="00491ED7">
      <w:pPr>
        <w:pStyle w:val="Typedudocument"/>
        <w:rPr>
          <w:noProof/>
        </w:rPr>
      </w:pPr>
      <w:bookmarkStart w:id="0" w:name="_GoBack"/>
      <w:bookmarkEnd w:id="0"/>
      <w:r w:rsidRPr="00491ED7">
        <w:rPr>
          <w:noProof/>
        </w:rPr>
        <w:lastRenderedPageBreak/>
        <w:t>IZVEDBENA UREDBA KOMISIJE (EU) …/…</w:t>
      </w:r>
    </w:p>
    <w:p w:rsidR="001D506C" w:rsidRPr="00491ED7" w:rsidRDefault="007D1A7C" w:rsidP="00491ED7">
      <w:pPr>
        <w:pStyle w:val="Datedadoption"/>
        <w:rPr>
          <w:noProof/>
        </w:rPr>
      </w:pPr>
      <w:r>
        <w:rPr>
          <w:noProof/>
        </w:rPr>
        <w:t>z dne 6.6.2024</w:t>
      </w:r>
    </w:p>
    <w:p w:rsidR="001D506C" w:rsidRPr="00491ED7" w:rsidRDefault="00491ED7" w:rsidP="00491ED7">
      <w:pPr>
        <w:pStyle w:val="Titreobjet"/>
        <w:rPr>
          <w:noProof/>
        </w:rPr>
      </w:pPr>
      <w:r w:rsidRPr="00491ED7">
        <w:rPr>
          <w:noProof/>
        </w:rPr>
        <w:t xml:space="preserve">o spremembi Izvedbene uredbe (EU) 2021/763 o določitvi izvedbenih tehničnih standardov za uporabo Uredbe (EU) št. 575/2013 Evropskega parlamenta in Sveta ter Direktive 2014/59/EU Evropskega parlamenta in Sveta v zvezi z nadzorniškim poročanjem ter javnim razkritjem minimalne zahteve glede kapitala in kvalificiranih obveznosti  </w:t>
      </w:r>
      <w:r w:rsidRPr="00491ED7">
        <w:rPr>
          <w:noProof/>
        </w:rPr>
        <w:br/>
      </w:r>
    </w:p>
    <w:p w:rsidR="001D506C" w:rsidRPr="00491ED7" w:rsidRDefault="00491ED7" w:rsidP="00491ED7">
      <w:pPr>
        <w:pStyle w:val="IntrtEEE"/>
        <w:rPr>
          <w:noProof/>
        </w:rPr>
      </w:pPr>
      <w:r w:rsidRPr="00491ED7">
        <w:rPr>
          <w:noProof/>
        </w:rPr>
        <w:t>(Besedilo velja za EGP)</w:t>
      </w:r>
    </w:p>
    <w:p w:rsidR="001D506C" w:rsidRPr="00491ED7" w:rsidRDefault="001D506C" w:rsidP="004E1EF9">
      <w:pPr>
        <w:pStyle w:val="Institutionquiagit"/>
        <w:rPr>
          <w:noProof/>
        </w:rPr>
      </w:pPr>
      <w:r w:rsidRPr="00491ED7">
        <w:rPr>
          <w:noProof/>
        </w:rPr>
        <w:t>EVROPSKA KOMISIJA JE –</w:t>
      </w:r>
    </w:p>
    <w:p w:rsidR="001D506C" w:rsidRPr="00491ED7" w:rsidRDefault="001D506C" w:rsidP="004E1EF9">
      <w:pPr>
        <w:rPr>
          <w:noProof/>
        </w:rPr>
      </w:pPr>
      <w:r w:rsidRPr="00491ED7">
        <w:rPr>
          <w:noProof/>
          <w:color w:val="000000"/>
        </w:rPr>
        <w:t>ob upoštevanju Pogodbe o delovanju Evropske unije</w:t>
      </w:r>
      <w:r w:rsidRPr="00491ED7">
        <w:rPr>
          <w:noProof/>
        </w:rPr>
        <w:t>,</w:t>
      </w:r>
    </w:p>
    <w:p w:rsidR="000E6FD2" w:rsidRPr="00491ED7" w:rsidRDefault="000E6FD2" w:rsidP="000E6FD2">
      <w:pPr>
        <w:rPr>
          <w:noProof/>
        </w:rPr>
      </w:pPr>
      <w:r w:rsidRPr="00491ED7">
        <w:rPr>
          <w:noProof/>
        </w:rPr>
        <w:t>ob upoštevanju Uredbe (EU) št. 575/2013 Evropskega parlamenta in Sveta z dne 26. junija 2013 o bonitetnih zahtevah za kreditne institucije ter o spremembi Uredbe (EU) št. 648/2012</w:t>
      </w:r>
      <w:r w:rsidRPr="00491ED7">
        <w:rPr>
          <w:rStyle w:val="FootnoteReference"/>
          <w:noProof/>
        </w:rPr>
        <w:footnoteReference w:id="1"/>
      </w:r>
      <w:r w:rsidRPr="00491ED7">
        <w:rPr>
          <w:noProof/>
        </w:rPr>
        <w:t xml:space="preserve"> in zlasti člena 430(7), peti pododstavek, ter člena 434a, peti pododstavek, Uredbe,</w:t>
      </w:r>
    </w:p>
    <w:p w:rsidR="000E6FD2" w:rsidRPr="00491ED7" w:rsidRDefault="000E6FD2" w:rsidP="000E6FD2">
      <w:pPr>
        <w:rPr>
          <w:noProof/>
        </w:rPr>
      </w:pPr>
      <w:r w:rsidRPr="00491ED7">
        <w:rPr>
          <w:noProof/>
        </w:rPr>
        <w:t>ob upoštevanju Direktive 2014/59/EU Evropskega parlamenta in Sveta z dne 15. maja 2014 o vzpostavitvi okvira za sanacijo ter reševanje kreditnih institucij in investicijskih podjetij ter o spremembi Šeste direktive Sveta 82/891/EGS ter direktiv 2001/24/ES, 2002/47/ES, 2004/25/ES, 2005/56/ES, 2007/36/ES, 2011/35/EU, 2012/30/EU in 2013/36/EU in uredb (EU) št. 1093/2010 ter (EU) št. 648/2012 Evropskega parlamenta in Sveta</w:t>
      </w:r>
      <w:r w:rsidRPr="00491ED7">
        <w:rPr>
          <w:rStyle w:val="FootnoteReference"/>
          <w:noProof/>
        </w:rPr>
        <w:footnoteReference w:id="2"/>
      </w:r>
      <w:r w:rsidRPr="00491ED7">
        <w:rPr>
          <w:noProof/>
        </w:rPr>
        <w:t xml:space="preserve"> ter zlasti člena 45i(5), peti pododstavek, in člena 45i(6), peti pododstavek Direktive,</w:t>
      </w:r>
    </w:p>
    <w:p w:rsidR="001D506C" w:rsidRPr="00491ED7" w:rsidRDefault="001D506C" w:rsidP="004E1EF9">
      <w:pPr>
        <w:rPr>
          <w:noProof/>
        </w:rPr>
      </w:pPr>
      <w:r w:rsidRPr="00491ED7">
        <w:rPr>
          <w:noProof/>
        </w:rPr>
        <w:t>ob upoštevanju naslednjega:</w:t>
      </w:r>
    </w:p>
    <w:p w:rsidR="00F83DBF" w:rsidRPr="00491ED7" w:rsidRDefault="00F83DBF" w:rsidP="0052704B">
      <w:pPr>
        <w:pStyle w:val="ManualConsidrant"/>
        <w:rPr>
          <w:noProof/>
        </w:rPr>
      </w:pPr>
      <w:r>
        <w:rPr>
          <w:noProof/>
        </w:rPr>
        <w:t>(1)</w:t>
      </w:r>
      <w:r>
        <w:rPr>
          <w:noProof/>
        </w:rPr>
        <w:tab/>
      </w:r>
      <w:r w:rsidRPr="00491ED7">
        <w:rPr>
          <w:noProof/>
        </w:rPr>
        <w:t xml:space="preserve">Z Uredbo (EU) 2022/2036 </w:t>
      </w:r>
      <w:bookmarkStart w:id="1" w:name="_Hlk159320995"/>
      <w:r w:rsidRPr="00491ED7">
        <w:rPr>
          <w:noProof/>
        </w:rPr>
        <w:t>Evropskega parlamenta in Sveta</w:t>
      </w:r>
      <w:r w:rsidRPr="00491ED7">
        <w:rPr>
          <w:rStyle w:val="FootnoteReference"/>
          <w:noProof/>
        </w:rPr>
        <w:footnoteReference w:id="3"/>
      </w:r>
      <w:bookmarkEnd w:id="1"/>
      <w:r w:rsidRPr="00491ED7">
        <w:rPr>
          <w:noProof/>
        </w:rPr>
        <w:t xml:space="preserve"> je bila v Uredbo (EU) št. 575/2013 uvedena zahteva, da morajo vmesni subjekti v skupini v postopku reševanja od postavk kvalificiranih obveznosti odbiti svoje deleže v kapitalskih instrumentih in instrumentih kvalificiranih obveznosti, ki se uporabljajo za izpolnjevanje zahteve iz člena 92b Uredbe (EU) št. 575/2013 (v nadaljnjem besedilu: zahteva glede notranje skupne sposobnosti pokrivanja izgub ali notranja TLAC), ali zahteve iz člena 45f Direktive 2014/59/EU</w:t>
      </w:r>
      <w:r w:rsidRPr="00491ED7">
        <w:rPr>
          <w:rStyle w:val="FootnoteReference"/>
          <w:noProof/>
        </w:rPr>
        <w:footnoteReference w:id="4"/>
      </w:r>
      <w:r w:rsidRPr="00491ED7">
        <w:rPr>
          <w:noProof/>
        </w:rPr>
        <w:t xml:space="preserve"> (v nadaljnjem besedilu: notranja minimalna zahteva glede kapitala in kvalificiranih obveznosti ali notranja MREL), kadar so te kapitalske instrumente in instrumente kvalificiranih obveznosti izdali subjekti, ki sami niso subjekti v postopku reševanja in pripadajo isti skupini v postopku reševanja. Zato je treba to zahtevo po odbitku upoštevati v predlogah za javno razkritje usklajenih informacij o notranji MREL in notranji TLAC iz Izvedbene uredbe Komisije (EU) 2021/763</w:t>
      </w:r>
      <w:r w:rsidRPr="00491ED7">
        <w:rPr>
          <w:rStyle w:val="FootnoteReference"/>
          <w:bCs/>
          <w:noProof/>
        </w:rPr>
        <w:footnoteReference w:id="5"/>
      </w:r>
      <w:r w:rsidRPr="00491ED7">
        <w:rPr>
          <w:noProof/>
        </w:rPr>
        <w:t>. Ta zahteva po odbitku bi se morala odražati tudi v usklajenih informacijah, predloženih pristojnim organom in organom za reševanje.</w:t>
      </w:r>
    </w:p>
    <w:p w:rsidR="00686AFD" w:rsidRPr="00491ED7" w:rsidRDefault="00686AFD" w:rsidP="002103AD">
      <w:pPr>
        <w:pStyle w:val="ManualConsidrant"/>
        <w:rPr>
          <w:noProof/>
        </w:rPr>
      </w:pPr>
      <w:r>
        <w:rPr>
          <w:noProof/>
        </w:rPr>
        <w:t>(2)</w:t>
      </w:r>
      <w:r>
        <w:rPr>
          <w:noProof/>
        </w:rPr>
        <w:tab/>
      </w:r>
      <w:r w:rsidRPr="00491ED7">
        <w:rPr>
          <w:noProof/>
        </w:rPr>
        <w:t>Z Direktivo (EU) 2024/1174 Evropskega parlamenta in Sveta o spremembi Direktive 2014/59/EU in Uredbe (EU) št. 806/2014 glede določenih vidikov minimalne zahteve glede kapitala in kvalificiranih obveznosti</w:t>
      </w:r>
      <w:r w:rsidRPr="00491ED7">
        <w:rPr>
          <w:rStyle w:val="FootnoteReference"/>
          <w:noProof/>
        </w:rPr>
        <w:footnoteReference w:id="6"/>
      </w:r>
      <w:r w:rsidRPr="00491ED7">
        <w:rPr>
          <w:noProof/>
        </w:rPr>
        <w:t xml:space="preserve"> je bila dodatno spremenjena zahteva po odbitku iz Uredbe (EU) št. 575/2013, tako da je v Direktivi 2014/59/EU in Uredbi (EU) št. 806/2014 določeno, da morajo vmesni subjekti v skupini v postopku reševanja odbiti samo tiste deleže v kapitalskih instrumentih, ki jih izdajo subjekti za likvidacijo, ki pripadajo isti skupini v postopku reševanja in sami niso subjekti v postopku reševanja, ob upoštevanju nekaterih pogojev, povezanih s pomembnostjo teh deležev. Te spremembe bi se morale odražati tudi v usklajenih informacijah, zagotovljenih v predlogah za javno razkritje in poročanje pristojnim organom in organom za reševanje.</w:t>
      </w:r>
    </w:p>
    <w:p w:rsidR="00F83DBF" w:rsidRPr="00491ED7" w:rsidRDefault="00F83DBF" w:rsidP="00302BB5">
      <w:pPr>
        <w:pStyle w:val="ManualConsidrant"/>
        <w:rPr>
          <w:noProof/>
        </w:rPr>
      </w:pPr>
      <w:r>
        <w:rPr>
          <w:noProof/>
        </w:rPr>
        <w:t>(3)</w:t>
      </w:r>
      <w:r>
        <w:rPr>
          <w:noProof/>
        </w:rPr>
        <w:tab/>
      </w:r>
      <w:r w:rsidRPr="00491ED7">
        <w:rPr>
          <w:noProof/>
        </w:rPr>
        <w:t>Subjekti, za katere veljajo zahteve iz člena 92a ali člena 92b Uredbe (EU) št. 575/2013 (v nadaljnjem besedilu: zahteva glede TLAC) ali zahteva iz člena 45 Direktive 2014/59/EU (v nadaljnjem besedilu: MREL), lahko s predhodnim dovoljenjem svojega organa za reševanje instrumente kvalificiranih obveznosti odpokličejo, odkupijo, odplačajo ali izplačajo v skladu s členom 78a Uredbe (EU) št. 575/2013. Zneski, ki jih zajema tako dovoljenje, zmanjšujejo sposobnost subjektov za izpolnjevanje MREL ali zahteve glede TLAC. Zato je treba določiti, kako bi se moral učinek takega dovoljenja odražati v javnih razkritjih ter poročanju pristojnim organom in organom za reševanje.</w:t>
      </w:r>
    </w:p>
    <w:p w:rsidR="00F83DBF" w:rsidRPr="00491ED7" w:rsidRDefault="00F83DBF" w:rsidP="00F83DBF">
      <w:pPr>
        <w:pStyle w:val="ManualConsidrant"/>
        <w:rPr>
          <w:noProof/>
        </w:rPr>
      </w:pPr>
      <w:r>
        <w:rPr>
          <w:noProof/>
        </w:rPr>
        <w:t>(4)</w:t>
      </w:r>
      <w:r>
        <w:rPr>
          <w:noProof/>
        </w:rPr>
        <w:tab/>
      </w:r>
      <w:r w:rsidRPr="00491ED7">
        <w:rPr>
          <w:noProof/>
        </w:rPr>
        <w:t>Izvedbeno uredbo (EU) 2021/763 bi bilo zato treba ustrezno spremeniti.</w:t>
      </w:r>
    </w:p>
    <w:p w:rsidR="00F83DBF" w:rsidRPr="00491ED7" w:rsidRDefault="00F83DBF" w:rsidP="00F83DBF">
      <w:pPr>
        <w:pStyle w:val="ManualConsidrant"/>
        <w:rPr>
          <w:noProof/>
        </w:rPr>
      </w:pPr>
      <w:r>
        <w:rPr>
          <w:noProof/>
        </w:rPr>
        <w:t>(5)</w:t>
      </w:r>
      <w:r>
        <w:rPr>
          <w:noProof/>
        </w:rPr>
        <w:tab/>
      </w:r>
      <w:r w:rsidRPr="00491ED7">
        <w:rPr>
          <w:noProof/>
        </w:rPr>
        <w:t xml:space="preserve">Ta uredba temelji na osnutku izvedbenih tehničnih standardov, ki ga je Komisiji predložil Evropski bančni organ. </w:t>
      </w:r>
    </w:p>
    <w:p w:rsidR="00F83DBF" w:rsidRPr="00491ED7" w:rsidRDefault="00F83DBF" w:rsidP="00F83DBF">
      <w:pPr>
        <w:pStyle w:val="ManualConsidrant"/>
        <w:rPr>
          <w:noProof/>
        </w:rPr>
      </w:pPr>
      <w:r>
        <w:rPr>
          <w:noProof/>
        </w:rPr>
        <w:t>(6)</w:t>
      </w:r>
      <w:r>
        <w:rPr>
          <w:noProof/>
        </w:rPr>
        <w:tab/>
      </w:r>
      <w:r w:rsidRPr="00491ED7">
        <w:rPr>
          <w:noProof/>
        </w:rPr>
        <w:t>Evropski bančni organ je o osnutku izvedbenih tehničnih standardov, na katerem temelji ta uredba, izvedel odprta javna posvetovanja, analiziral morebitne povezane stroške in koristi ter zaprosil za nasvet interesno skupino za bančništvo, ustanovljeno v skladu s členom 37 Uredbe (EU) št. 1093/2010 Evropskega parlamenta in Sveta</w:t>
      </w:r>
      <w:r w:rsidRPr="00491ED7">
        <w:rPr>
          <w:rStyle w:val="FootnoteReference"/>
          <w:noProof/>
        </w:rPr>
        <w:footnoteReference w:id="7"/>
      </w:r>
      <w:r w:rsidRPr="00491ED7">
        <w:rPr>
          <w:noProof/>
        </w:rPr>
        <w:t>.</w:t>
      </w:r>
    </w:p>
    <w:p w:rsidR="00DB127D" w:rsidRPr="00491ED7" w:rsidRDefault="00DB127D" w:rsidP="00F83DBF">
      <w:pPr>
        <w:pStyle w:val="ManualConsidrant"/>
        <w:rPr>
          <w:noProof/>
        </w:rPr>
      </w:pPr>
      <w:r>
        <w:rPr>
          <w:noProof/>
        </w:rPr>
        <w:t>(7)</w:t>
      </w:r>
      <w:r>
        <w:rPr>
          <w:noProof/>
        </w:rPr>
        <w:tab/>
      </w:r>
      <w:r w:rsidRPr="00491ED7">
        <w:rPr>
          <w:noProof/>
        </w:rPr>
        <w:t xml:space="preserve">Da se subjektom, za katere velja obveznost poročanja ali razkritja informacij v skladu z Uredbo (EU) št. 575/2013 ali Direktivo 2014/59/EU, zagotovi dovolj časa za </w:t>
      </w:r>
      <w:bookmarkStart w:id="2" w:name="_Hlk160034996"/>
      <w:r w:rsidRPr="00491ED7">
        <w:rPr>
          <w:noProof/>
        </w:rPr>
        <w:t>prilagoditev spremembam predlog in usklajenih informacij, bi se morale spremembe iz te uredbe začeti uporabljati šest mesecev po datumu začetka njene veljavnosti</w:t>
      </w:r>
      <w:r w:rsidR="00491ED7">
        <w:rPr>
          <w:noProof/>
        </w:rPr>
        <w:t> </w:t>
      </w:r>
      <w:r w:rsidRPr="00491ED7">
        <w:rPr>
          <w:noProof/>
        </w:rPr>
        <w:t>–</w:t>
      </w:r>
      <w:bookmarkEnd w:id="2"/>
    </w:p>
    <w:p w:rsidR="001D506C" w:rsidRPr="00491ED7" w:rsidRDefault="001D506C" w:rsidP="004E1EF9">
      <w:pPr>
        <w:pStyle w:val="Formuledadoption"/>
        <w:rPr>
          <w:noProof/>
        </w:rPr>
      </w:pPr>
      <w:r w:rsidRPr="00491ED7">
        <w:rPr>
          <w:noProof/>
        </w:rPr>
        <w:t>SPREJELA NASLEDNJO UREDBO:</w:t>
      </w:r>
    </w:p>
    <w:p w:rsidR="001D506C" w:rsidRPr="00491ED7" w:rsidRDefault="001D506C" w:rsidP="004E1EF9">
      <w:pPr>
        <w:pStyle w:val="Titrearticle"/>
        <w:rPr>
          <w:noProof/>
        </w:rPr>
      </w:pPr>
      <w:r w:rsidRPr="00491ED7">
        <w:rPr>
          <w:noProof/>
        </w:rPr>
        <w:t>Člen 1</w:t>
      </w:r>
    </w:p>
    <w:p w:rsidR="008D3341" w:rsidRPr="00491ED7" w:rsidRDefault="008D3341" w:rsidP="00220108">
      <w:pPr>
        <w:pStyle w:val="Titrearticle"/>
        <w:rPr>
          <w:noProof/>
        </w:rPr>
      </w:pPr>
      <w:r w:rsidRPr="00491ED7">
        <w:rPr>
          <w:noProof/>
        </w:rPr>
        <w:t>Spremembe Izvedbene uredbe (EU) 2021/763</w:t>
      </w:r>
    </w:p>
    <w:p w:rsidR="00F83DBF" w:rsidRPr="00491ED7" w:rsidRDefault="00F83DBF" w:rsidP="00F83DBF">
      <w:pPr>
        <w:rPr>
          <w:noProof/>
        </w:rPr>
      </w:pPr>
      <w:r w:rsidRPr="00491ED7">
        <w:rPr>
          <w:noProof/>
        </w:rPr>
        <w:t>Izvedbena uredba (EU) 2021/763 se spremeni:</w:t>
      </w:r>
    </w:p>
    <w:p w:rsidR="00F83DBF" w:rsidRPr="00491ED7" w:rsidRDefault="004603A2" w:rsidP="000B009E">
      <w:pPr>
        <w:pStyle w:val="Point0"/>
        <w:rPr>
          <w:noProof/>
        </w:rPr>
      </w:pPr>
      <w:r>
        <w:rPr>
          <w:noProof/>
        </w:rPr>
        <w:t>(1)</w:t>
      </w:r>
      <w:r>
        <w:rPr>
          <w:noProof/>
        </w:rPr>
        <w:tab/>
      </w:r>
      <w:r w:rsidRPr="00491ED7">
        <w:rPr>
          <w:noProof/>
        </w:rPr>
        <w:t>predlogi M 02.00 in M 03.00 iz Priloge I se nadomestita s predlogama M 02.00 in M 03.00 iz Priloge I k tej uredbi;</w:t>
      </w:r>
    </w:p>
    <w:p w:rsidR="00F83DBF" w:rsidRPr="00491ED7" w:rsidRDefault="00F83DBF" w:rsidP="00220108">
      <w:pPr>
        <w:pStyle w:val="Point0"/>
        <w:rPr>
          <w:noProof/>
        </w:rPr>
      </w:pPr>
      <w:r>
        <w:rPr>
          <w:noProof/>
        </w:rPr>
        <w:t>(2)</w:t>
      </w:r>
      <w:r>
        <w:rPr>
          <w:noProof/>
        </w:rPr>
        <w:tab/>
      </w:r>
      <w:r w:rsidRPr="00491ED7">
        <w:rPr>
          <w:noProof/>
        </w:rPr>
        <w:t>Priloga II se nadomesti z besedilom iz Priloge II k tej uredbi;</w:t>
      </w:r>
    </w:p>
    <w:p w:rsidR="00F83DBF" w:rsidRPr="00491ED7" w:rsidRDefault="004603A2" w:rsidP="00220108">
      <w:pPr>
        <w:pStyle w:val="Point0"/>
        <w:rPr>
          <w:noProof/>
        </w:rPr>
      </w:pPr>
      <w:r>
        <w:rPr>
          <w:noProof/>
        </w:rPr>
        <w:t>(3)</w:t>
      </w:r>
      <w:r>
        <w:rPr>
          <w:noProof/>
        </w:rPr>
        <w:tab/>
      </w:r>
      <w:r w:rsidRPr="00491ED7">
        <w:rPr>
          <w:noProof/>
        </w:rPr>
        <w:t>predlogi EU TLAC1 in EU ILAC iz Priloge V se nadomestita s predlogama EU TLAC1 in EU ILAC iz Priloge III k tej uredbi;</w:t>
      </w:r>
    </w:p>
    <w:p w:rsidR="00F83DBF" w:rsidRPr="00491ED7" w:rsidRDefault="00F83DBF" w:rsidP="00220108">
      <w:pPr>
        <w:pStyle w:val="Point0"/>
        <w:rPr>
          <w:noProof/>
        </w:rPr>
      </w:pPr>
      <w:r>
        <w:rPr>
          <w:noProof/>
        </w:rPr>
        <w:t>(4)</w:t>
      </w:r>
      <w:r>
        <w:rPr>
          <w:noProof/>
        </w:rPr>
        <w:tab/>
      </w:r>
      <w:r w:rsidRPr="00491ED7">
        <w:rPr>
          <w:noProof/>
        </w:rPr>
        <w:t>Priloga VI se nadomesti z besedilom iz Priloge IV k tej uredbi.</w:t>
      </w:r>
    </w:p>
    <w:p w:rsidR="00F83DBF" w:rsidRPr="00491ED7" w:rsidRDefault="00F83DBF" w:rsidP="00F83DBF">
      <w:pPr>
        <w:pStyle w:val="Titrearticle"/>
        <w:rPr>
          <w:noProof/>
        </w:rPr>
      </w:pPr>
      <w:r w:rsidRPr="00491ED7">
        <w:rPr>
          <w:noProof/>
        </w:rPr>
        <w:t>Člen 2</w:t>
      </w:r>
    </w:p>
    <w:p w:rsidR="00CC305D" w:rsidRPr="00491ED7" w:rsidRDefault="00CC305D" w:rsidP="00583FFA">
      <w:pPr>
        <w:jc w:val="center"/>
        <w:rPr>
          <w:b/>
          <w:bCs/>
          <w:noProof/>
          <w:color w:val="000000"/>
        </w:rPr>
      </w:pPr>
      <w:r w:rsidRPr="00491ED7">
        <w:rPr>
          <w:b/>
          <w:noProof/>
          <w:color w:val="000000"/>
        </w:rPr>
        <w:t>Začetek veljavnosti in uporaba</w:t>
      </w:r>
    </w:p>
    <w:p w:rsidR="00F83DBF" w:rsidRPr="00491ED7" w:rsidRDefault="00F83DBF" w:rsidP="00F83DBF">
      <w:pPr>
        <w:rPr>
          <w:noProof/>
          <w:color w:val="000000"/>
        </w:rPr>
      </w:pPr>
      <w:r w:rsidRPr="00491ED7">
        <w:rPr>
          <w:noProof/>
          <w:color w:val="000000"/>
        </w:rPr>
        <w:t xml:space="preserve">Ta uredba začne veljati dvajseti dan po objavi v </w:t>
      </w:r>
      <w:r w:rsidRPr="00491ED7">
        <w:rPr>
          <w:i/>
          <w:noProof/>
          <w:color w:val="000000"/>
        </w:rPr>
        <w:t>Uradnem listu Evropske unije</w:t>
      </w:r>
      <w:r w:rsidRPr="00491ED7">
        <w:rPr>
          <w:noProof/>
          <w:color w:val="000000"/>
        </w:rPr>
        <w:t>.</w:t>
      </w:r>
    </w:p>
    <w:p w:rsidR="00F83DBF" w:rsidRPr="00491ED7" w:rsidRDefault="00F83DBF" w:rsidP="00F83DBF">
      <w:pPr>
        <w:rPr>
          <w:noProof/>
          <w:color w:val="000000"/>
        </w:rPr>
      </w:pPr>
      <w:r w:rsidRPr="00491ED7">
        <w:rPr>
          <w:noProof/>
          <w:color w:val="000000"/>
        </w:rPr>
        <w:t xml:space="preserve">Uporablja se od </w:t>
      </w:r>
      <w:r w:rsidRPr="00491ED7">
        <w:rPr>
          <w:i/>
          <w:noProof/>
          <w:color w:val="000000"/>
        </w:rPr>
        <w:t>[Urad za publikacije, vstaviti datum, ki je šest mesecev po začetku veljavnosti te uredbe o spremembi].</w:t>
      </w:r>
      <w:r w:rsidRPr="00491ED7">
        <w:rPr>
          <w:noProof/>
          <w:color w:val="000000"/>
        </w:rPr>
        <w:t xml:space="preserve"> </w:t>
      </w:r>
    </w:p>
    <w:p w:rsidR="001D506C" w:rsidRPr="00491ED7" w:rsidRDefault="001D506C" w:rsidP="004E1EF9">
      <w:pPr>
        <w:pStyle w:val="Applicationdirecte"/>
        <w:keepNext/>
        <w:keepLines/>
        <w:rPr>
          <w:noProof/>
        </w:rPr>
      </w:pPr>
      <w:r w:rsidRPr="00491ED7">
        <w:rPr>
          <w:noProof/>
        </w:rPr>
        <w:t>Ta uredba je v celoti zavezujoča in se neposredno uporablja v vseh državah članicah.</w:t>
      </w:r>
    </w:p>
    <w:p w:rsidR="001D506C" w:rsidRPr="00491ED7" w:rsidRDefault="007D1A7C" w:rsidP="0022000C">
      <w:pPr>
        <w:pStyle w:val="Fait"/>
        <w:rPr>
          <w:noProof/>
        </w:rPr>
      </w:pPr>
      <w:r>
        <w:rPr>
          <w:noProof/>
        </w:rPr>
        <w:t>V Bruslju, 6.6.2024</w:t>
      </w:r>
    </w:p>
    <w:p w:rsidR="001D506C" w:rsidRPr="00491ED7" w:rsidRDefault="001D506C" w:rsidP="0022000C">
      <w:pPr>
        <w:pStyle w:val="Institutionquisigne"/>
        <w:rPr>
          <w:noProof/>
        </w:rPr>
      </w:pPr>
      <w:r w:rsidRPr="00491ED7">
        <w:rPr>
          <w:noProof/>
        </w:rPr>
        <w:tab/>
        <w:t>Za Komisijo</w:t>
      </w:r>
    </w:p>
    <w:p w:rsidR="00F718B8" w:rsidRPr="00491ED7" w:rsidRDefault="00BC3AD2" w:rsidP="0022000C">
      <w:pPr>
        <w:pStyle w:val="Personnequisigne"/>
        <w:keepNext/>
        <w:rPr>
          <w:noProof/>
        </w:rPr>
      </w:pPr>
      <w:r>
        <w:rPr>
          <w:noProof/>
        </w:rPr>
        <w:tab/>
        <w:t>Predsednica</w:t>
      </w:r>
      <w:r>
        <w:rPr>
          <w:noProof/>
        </w:rPr>
        <w:br/>
      </w:r>
      <w:r>
        <w:rPr>
          <w:noProof/>
        </w:rPr>
        <w:tab/>
        <w:t>Ursula VON DER LEYEN</w:t>
      </w:r>
    </w:p>
    <w:p w:rsidR="00C402D1" w:rsidRPr="00491ED7" w:rsidRDefault="00C402D1" w:rsidP="00C402D1">
      <w:pPr>
        <w:pStyle w:val="Personnequisigne"/>
        <w:rPr>
          <w:noProof/>
        </w:rPr>
      </w:pPr>
    </w:p>
    <w:sectPr w:rsidR="00C402D1" w:rsidRPr="00491ED7" w:rsidSect="000573AC">
      <w:headerReference w:type="even" r:id="rId14"/>
      <w:footerReference w:type="even" r:id="rId15"/>
      <w:footerReference w:type="default" r:id="rId16"/>
      <w:headerReference w:type="first" r:id="rId17"/>
      <w:footerReference w:type="first" r:id="rId18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DE8" w:rsidRDefault="00852DE8" w:rsidP="001D506C">
      <w:pPr>
        <w:spacing w:before="0" w:after="0"/>
      </w:pPr>
      <w:r>
        <w:separator/>
      </w:r>
    </w:p>
  </w:endnote>
  <w:endnote w:type="continuationSeparator" w:id="0">
    <w:p w:rsidR="00852DE8" w:rsidRDefault="00852DE8" w:rsidP="001D506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3AC" w:rsidRPr="000573AC" w:rsidRDefault="000573AC" w:rsidP="000573AC">
    <w:pPr>
      <w:pStyle w:val="Footer"/>
      <w:rPr>
        <w:rFonts w:ascii="Arial" w:hAnsi="Arial" w:cs="Arial"/>
        <w:b/>
        <w:sz w:val="48"/>
      </w:rPr>
    </w:pPr>
    <w:r w:rsidRPr="000573AC">
      <w:rPr>
        <w:rFonts w:ascii="Arial" w:hAnsi="Arial" w:cs="Arial"/>
        <w:b/>
        <w:sz w:val="48"/>
      </w:rPr>
      <w:t>SL</w:t>
    </w:r>
    <w:r w:rsidRPr="000573AC">
      <w:rPr>
        <w:rFonts w:ascii="Arial" w:hAnsi="Arial" w:cs="Arial"/>
        <w:b/>
        <w:sz w:val="48"/>
      </w:rPr>
      <w:tab/>
    </w:r>
    <w:r w:rsidRPr="000573AC">
      <w:rPr>
        <w:rFonts w:ascii="Arial" w:hAnsi="Arial" w:cs="Arial"/>
        <w:b/>
        <w:sz w:val="48"/>
      </w:rPr>
      <w:tab/>
    </w:r>
    <w:r w:rsidRPr="000573AC">
      <w:tab/>
    </w:r>
    <w:r w:rsidRPr="000573AC">
      <w:rPr>
        <w:rFonts w:ascii="Arial" w:hAnsi="Arial" w:cs="Arial"/>
        <w:b/>
        <w:sz w:val="48"/>
      </w:rPr>
      <w:t>SL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3AC" w:rsidRPr="000573AC" w:rsidRDefault="000573AC" w:rsidP="000573AC">
    <w:pPr>
      <w:pStyle w:val="Footer"/>
      <w:rPr>
        <w:rFonts w:ascii="Arial" w:hAnsi="Arial" w:cs="Arial"/>
        <w:b/>
        <w:sz w:val="48"/>
      </w:rPr>
    </w:pPr>
    <w:r w:rsidRPr="000573AC">
      <w:rPr>
        <w:rFonts w:ascii="Arial" w:hAnsi="Arial" w:cs="Arial"/>
        <w:b/>
        <w:sz w:val="48"/>
      </w:rPr>
      <w:t>SL</w:t>
    </w:r>
    <w:r w:rsidRPr="000573AC">
      <w:rPr>
        <w:rFonts w:ascii="Arial" w:hAnsi="Arial" w:cs="Arial"/>
        <w:b/>
        <w:sz w:val="48"/>
      </w:rPr>
      <w:tab/>
    </w:r>
    <w:r w:rsidRPr="000573AC">
      <w:rPr>
        <w:rFonts w:ascii="Arial" w:hAnsi="Arial" w:cs="Arial"/>
        <w:b/>
        <w:sz w:val="48"/>
      </w:rPr>
      <w:tab/>
    </w:r>
    <w:r w:rsidRPr="000573AC">
      <w:tab/>
    </w:r>
    <w:r w:rsidRPr="000573AC">
      <w:rPr>
        <w:rFonts w:ascii="Arial" w:hAnsi="Arial" w:cs="Arial"/>
        <w:b/>
        <w:sz w:val="48"/>
      </w:rPr>
      <w:t>SL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3AC" w:rsidRPr="000573AC" w:rsidRDefault="000573AC" w:rsidP="000573A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3AC" w:rsidRDefault="000573AC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3AC" w:rsidRPr="000573AC" w:rsidRDefault="000573AC" w:rsidP="000573AC">
    <w:pPr>
      <w:pStyle w:val="Footer"/>
      <w:rPr>
        <w:rFonts w:ascii="Arial" w:hAnsi="Arial" w:cs="Arial"/>
        <w:b/>
        <w:sz w:val="48"/>
      </w:rPr>
    </w:pPr>
    <w:r w:rsidRPr="000573AC">
      <w:rPr>
        <w:rFonts w:ascii="Arial" w:hAnsi="Arial" w:cs="Arial"/>
        <w:b/>
        <w:sz w:val="48"/>
      </w:rPr>
      <w:t>SL</w:t>
    </w:r>
    <w:r w:rsidRPr="000573AC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22000C">
      <w:rPr>
        <w:noProof/>
      </w:rPr>
      <w:t>3</w:t>
    </w:r>
    <w:r>
      <w:fldChar w:fldCharType="end"/>
    </w:r>
    <w:r>
      <w:tab/>
    </w:r>
    <w:r w:rsidRPr="000573AC">
      <w:tab/>
    </w:r>
    <w:r w:rsidRPr="000573AC">
      <w:rPr>
        <w:rFonts w:ascii="Arial" w:hAnsi="Arial" w:cs="Arial"/>
        <w:b/>
        <w:sz w:val="48"/>
      </w:rPr>
      <w:t>SL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3AC" w:rsidRDefault="000573AC" w:rsidP="000573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DE8" w:rsidRDefault="00852DE8" w:rsidP="001D506C">
      <w:pPr>
        <w:spacing w:before="0" w:after="0"/>
      </w:pPr>
      <w:r>
        <w:separator/>
      </w:r>
    </w:p>
  </w:footnote>
  <w:footnote w:type="continuationSeparator" w:id="0">
    <w:p w:rsidR="00852DE8" w:rsidRDefault="00852DE8" w:rsidP="001D506C">
      <w:pPr>
        <w:spacing w:before="0" w:after="0"/>
      </w:pPr>
      <w:r>
        <w:continuationSeparator/>
      </w:r>
    </w:p>
  </w:footnote>
  <w:footnote w:id="1">
    <w:p w:rsidR="000E6FD2" w:rsidRPr="00DA38A7" w:rsidRDefault="000E6FD2" w:rsidP="000E6FD2">
      <w:pPr>
        <w:pStyle w:val="FootnoteText"/>
      </w:pPr>
      <w:r>
        <w:rPr>
          <w:rStyle w:val="FootnoteReference"/>
        </w:rPr>
        <w:footnoteRef/>
      </w:r>
      <w:r>
        <w:tab/>
        <w:t xml:space="preserve">UL L 176, 27.6.2013, str. 1, ELI: http://data.europa.eu/eli/reg/2013/575/oj. </w:t>
      </w:r>
    </w:p>
  </w:footnote>
  <w:footnote w:id="2">
    <w:p w:rsidR="000E6FD2" w:rsidRPr="00DA38A7" w:rsidRDefault="000E6FD2" w:rsidP="000E6FD2">
      <w:pPr>
        <w:pStyle w:val="FootnoteText"/>
      </w:pPr>
      <w:r>
        <w:rPr>
          <w:rStyle w:val="FootnoteReference"/>
        </w:rPr>
        <w:footnoteRef/>
      </w:r>
      <w:r>
        <w:tab/>
        <w:t xml:space="preserve">UL L 173, 12.6.2014, str. 190, ELI: http://data.europa.eu/eli/dir/2014/59/oj. </w:t>
      </w:r>
    </w:p>
  </w:footnote>
  <w:footnote w:id="3">
    <w:p w:rsidR="00F83DBF" w:rsidRPr="001734AB" w:rsidRDefault="00F83DBF" w:rsidP="00F83DBF">
      <w:pPr>
        <w:pStyle w:val="FootnoteText"/>
      </w:pPr>
      <w:r>
        <w:rPr>
          <w:rStyle w:val="FootnoteReference"/>
        </w:rPr>
        <w:footnoteRef/>
      </w:r>
      <w:r>
        <w:tab/>
        <w:t>Uredba (EU) 2022/2036 Evropskega parlamenta in Sveta z dne 19. oktobra 2022 o spremembi Uredbe (EU) št. 575/2013 in Direktive 2014/59/EU v zvezi z bonitetno obravnavo globalnih sistemsko pomembnih institucij s strategijo reševanja z več vstopnimi točkami in metodami za posredni vpis instrumentov, primernih za izpolnjevanje minimalne zahteve glede kapitala in kvalificiranih obveznosti (UL L 275, 25.10.2022, str. 1, ELI: http://data.europa.eu/eli/reg/2022/2036/oj).</w:t>
      </w:r>
    </w:p>
  </w:footnote>
  <w:footnote w:id="4">
    <w:p w:rsidR="00F83DBF" w:rsidRPr="002B6E0A" w:rsidRDefault="00F83DBF" w:rsidP="00F83DBF">
      <w:pPr>
        <w:pStyle w:val="FootnoteText"/>
      </w:pPr>
      <w:r>
        <w:rPr>
          <w:rStyle w:val="FootnoteReference"/>
        </w:rPr>
        <w:footnoteRef/>
      </w:r>
      <w:r>
        <w:tab/>
        <w:t>Direktiva 2014/59/EU Evropskega parlamenta in Sveta z dne 15. maja 2014 o vzpostavitvi okvira za sanacijo ter reševanje kreditnih institucij in investicijskih podjetij ter o spremembi Šeste direktive Sveta 82/891/EGS ter direktiv 2001/24/ES, 2002/47/ES, 2004/25/ES, 2005/56/ES, 2007/36/ES, 2011/35/EU, 2012/30/EU in 2013/36/EU in uredb (EU) št. 1093/2010 ter (EU) št. 648/2012 Evropskega parlamenta in Sveta (UL L 173, 12.6.2014, str. 190).</w:t>
      </w:r>
    </w:p>
  </w:footnote>
  <w:footnote w:id="5">
    <w:p w:rsidR="00F83DBF" w:rsidRPr="00BA3525" w:rsidRDefault="00F83DBF" w:rsidP="00F83DBF">
      <w:pPr>
        <w:pStyle w:val="FootnoteText"/>
      </w:pPr>
      <w:r>
        <w:rPr>
          <w:rStyle w:val="FootnoteReference"/>
        </w:rPr>
        <w:footnoteRef/>
      </w:r>
      <w:r>
        <w:tab/>
        <w:t>Izvedbena uredba Komisije (EU) 2021/763 z dne 23. aprila 2021 o določitvi izvedbenih tehničnih standardov za uporabo Uredbe (EU) št. 575/2013 Evropskega parlamenta in Sveta ter Direktive 2014/59/EU Evropskega parlamenta in Sveta v zvezi z nadzorniškim poročanjem ter javnim razkritjem minimalne zahteve glede kapitala in kvalificiranih obveznosti (UL L 168, 12.5.2021, str. 1).</w:t>
      </w:r>
    </w:p>
  </w:footnote>
  <w:footnote w:id="6">
    <w:p w:rsidR="00686AFD" w:rsidRPr="00686AFD" w:rsidRDefault="00686AFD" w:rsidP="00686AFD">
      <w:pPr>
        <w:pStyle w:val="FootnoteText"/>
      </w:pPr>
      <w:r>
        <w:rPr>
          <w:rStyle w:val="FootnoteReference"/>
        </w:rPr>
        <w:footnoteRef/>
      </w:r>
      <w:r>
        <w:tab/>
        <w:t>Direktiva (EU) 2024/1174 Evropskega parlamenta in Sveta z dne 11. aprila 2024 o spremembi Direktive 2014/59/EU in Uredbe (EU) št. 806/2014 glede določenih vidikov minimalne zahteve glede kapitala in kvalificiranih obveznosti (UL L, 2024/1174, 22.4.2024).</w:t>
      </w:r>
    </w:p>
  </w:footnote>
  <w:footnote w:id="7">
    <w:p w:rsidR="00F83DBF" w:rsidRPr="00B64E68" w:rsidRDefault="00F83DBF" w:rsidP="00F83DBF">
      <w:pPr>
        <w:pStyle w:val="FootnoteText"/>
      </w:pPr>
      <w:r>
        <w:rPr>
          <w:rStyle w:val="FootnoteReference"/>
        </w:rPr>
        <w:footnoteRef/>
      </w:r>
      <w:r>
        <w:tab/>
        <w:t>Uredba (EU) št. 1093/2010 Evropskega parlamenta in Sveta z dne 24. novembra 2010 o ustanovitvi Evropskega nadzornega organa (Evropski bančni organ) in o spremembi Sklepa št. 716/2009/ES ter razveljavitvi Sklepa Komisije 2009/78/ES (UL L 331, 15.12.2010, str. 12, ELI: http://data.europa.eu/eli/reg/2010/1093/oj).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3AC" w:rsidRPr="000573AC" w:rsidRDefault="000573AC" w:rsidP="000573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3AC" w:rsidRPr="000573AC" w:rsidRDefault="000573AC" w:rsidP="000573A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3AC" w:rsidRPr="000573AC" w:rsidRDefault="000573AC" w:rsidP="000573A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3AC" w:rsidRDefault="000573AC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3AC" w:rsidRDefault="000573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102CECA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4CD87DA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B54038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BABC3B8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A1AE141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AF26C86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9DB25E9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7B7A921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3" w15:restartNumberingAfterBreak="0">
    <w:nsid w:val="7E042D9D"/>
    <w:multiLevelType w:val="multilevel"/>
    <w:tmpl w:val="47BAFBF6"/>
    <w:styleLink w:val="LFO29"/>
    <w:lvl w:ilvl="0">
      <w:start w:val="1"/>
      <w:numFmt w:val="decimal"/>
      <w:lvlText w:val="(%1)"/>
      <w:lvlJc w:val="left"/>
      <w:pPr>
        <w:ind w:left="709" w:hanging="709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7"/>
  </w:num>
  <w:num w:numId="2">
    <w:abstractNumId w:val="23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1"/>
  </w:num>
  <w:num w:numId="9">
    <w:abstractNumId w:val="0"/>
  </w:num>
  <w:num w:numId="10">
    <w:abstractNumId w:val="22"/>
    <w:lvlOverride w:ilvl="0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2"/>
  </w:num>
  <w:num w:numId="14">
    <w:abstractNumId w:val="21"/>
  </w:num>
  <w:num w:numId="15">
    <w:abstractNumId w:val="11"/>
  </w:num>
  <w:num w:numId="16">
    <w:abstractNumId w:val="13"/>
  </w:num>
  <w:num w:numId="17">
    <w:abstractNumId w:val="14"/>
  </w:num>
  <w:num w:numId="18">
    <w:abstractNumId w:val="9"/>
  </w:num>
  <w:num w:numId="19">
    <w:abstractNumId w:val="20"/>
  </w:num>
  <w:num w:numId="20">
    <w:abstractNumId w:val="8"/>
  </w:num>
  <w:num w:numId="21">
    <w:abstractNumId w:val="15"/>
  </w:num>
  <w:num w:numId="22">
    <w:abstractNumId w:val="17"/>
  </w:num>
  <w:num w:numId="23">
    <w:abstractNumId w:val="18"/>
  </w:num>
  <w:num w:numId="24">
    <w:abstractNumId w:val="10"/>
  </w:num>
  <w:num w:numId="25">
    <w:abstractNumId w:val="16"/>
  </w:num>
  <w:num w:numId="26">
    <w:abstractNumId w:val="2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hideSpellingErrors/>
  <w:hideGrammaticalErrors/>
  <w:attachedTemplate r:id="rId1"/>
  <w:revisionView w:markup="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QCDateTime" w:val="2024-05-30 11:45:23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Green"/>
    <w:docVar w:name="DQCVersion" w:val="3"/>
    <w:docVar w:name="DQCWithWarnings" w:val="0"/>
    <w:docVar w:name="LW_CORRIGENDUM" w:val="&lt;UNUSED&gt;"/>
    <w:docVar w:name="LW_COVERPAGE_EXISTS" w:val="True"/>
    <w:docVar w:name="LW_COVERPAGE_GUID" w:val="50F773E0-7545-4B47-95D4-F461E3C162C9"/>
    <w:docVar w:name="LW_COVERPAGE_TYPE" w:val="1"/>
    <w:docVar w:name="LW_CROSSREFERENCE" w:val="&lt;UNUSED&gt;"/>
    <w:docVar w:name="LW_DATE.ADOPT.CP" w:val="z dne 6.6.2024"/>
    <w:docVar w:name="LW_DATE.ADOPT.CP_DATEFORMAT" w:val="z dne %DATE%"/>
    <w:docVar w:name="LW_DATE.ADOPT.CP_ISODATE" w:val="2024-06-06"/>
    <w:docVar w:name="LW_DocType" w:val="COM"/>
    <w:docVar w:name="LW_EMISSION" w:val="6.6.2024"/>
    <w:docVar w:name="LW_EMISSION_ISODATE" w:val="2024-06-06"/>
    <w:docVar w:name="LW_EMISSION_LOCATION" w:val="BRX"/>
    <w:docVar w:name="LW_EMISSION_PREFIX" w:val="Bruselj, "/>
    <w:docVar w:name="LW_EMISSION_SUFFIX" w:val=" "/>
    <w:docVar w:name="LW_ID_DOCMODEL" w:val="SJ-004"/>
    <w:docVar w:name="LW_ID_DOCSIGNATURE" w:val="SJ-004"/>
    <w:docVar w:name="LW_ID_DOCSTRUCTURE" w:val="COM/AA"/>
    <w:docVar w:name="LW_ID_DOCTYPE" w:val="SJ-004"/>
    <w:docVar w:name="LW_INTERETEEE.CP" w:val="(Besedilo velja za EGP)"/>
    <w:docVar w:name="LW_LANGUE" w:val="SL"/>
    <w:docVar w:name="LW_LANGUESFAISANTFOI.CP" w:val="&lt;UNUSED&gt;"/>
    <w:docVar w:name="LW_LEVEL_OF_SENSITIVITY" w:val="Standard treatment"/>
    <w:docVar w:name="LW_NOM.INST" w:val="EVROPSKA KOMISIJA"/>
    <w:docVar w:name="LW_NOM.INST_JOINTDOC" w:val="&lt;EMPTY&gt;"/>
    <w:docVar w:name="LW_PART_NBR" w:val="1"/>
    <w:docVar w:name="LW_PART_NBR_TOTAL" w:val="1"/>
    <w:docVar w:name="LW_REF.INST.NEW" w:val="C"/>
    <w:docVar w:name="LW_REF.INST.NEW_ADOPTED" w:val="final"/>
    <w:docVar w:name="LW_REF.INST.NEW_TEXT" w:val="(2024) 3624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o spremembi Izvedbene uredbe (EU) 2021/763 o dolo\u269?itvi izvedbenih tehni\u269?nih standardov za uporabo Uredbe (EU) \u353?t. 575/2013 Evropskega parlamenta in Sveta ter Direktive 2014/59/EU Evropskega parlamenta in Sveta v zvezi z nadzorni\u353?kim poro\u269?anjem ter javnim razkritjem minimalne zahteve glede kapitala in kvalificiranih obveznosti  _x000b_"/>
    <w:docVar w:name="LW_TYPE.DOC.CP" w:val="IZVEDBENA UREDBA KOMISIJE (EU) \u8230?/\u8230?"/>
    <w:docVar w:name="LwApiVersions" w:val="LW4CoDe 1.24.5.0; LW 9.0, Build 20240221"/>
  </w:docVars>
  <w:rsids>
    <w:rsidRoot w:val="001D506C"/>
    <w:rsid w:val="000573AC"/>
    <w:rsid w:val="00093B4B"/>
    <w:rsid w:val="000955EB"/>
    <w:rsid w:val="000B009E"/>
    <w:rsid w:val="000B7A7D"/>
    <w:rsid w:val="000E4087"/>
    <w:rsid w:val="000E6B56"/>
    <w:rsid w:val="000E6FD2"/>
    <w:rsid w:val="0013442E"/>
    <w:rsid w:val="00152894"/>
    <w:rsid w:val="00185DB3"/>
    <w:rsid w:val="001B397F"/>
    <w:rsid w:val="001B6C2F"/>
    <w:rsid w:val="001D506C"/>
    <w:rsid w:val="0022000C"/>
    <w:rsid w:val="00220108"/>
    <w:rsid w:val="0022339B"/>
    <w:rsid w:val="00292AC6"/>
    <w:rsid w:val="002B65CA"/>
    <w:rsid w:val="002C09C1"/>
    <w:rsid w:val="002F0DF7"/>
    <w:rsid w:val="002F1E29"/>
    <w:rsid w:val="00302BB5"/>
    <w:rsid w:val="0031489C"/>
    <w:rsid w:val="00314C67"/>
    <w:rsid w:val="00363DC5"/>
    <w:rsid w:val="00370470"/>
    <w:rsid w:val="003717CD"/>
    <w:rsid w:val="00380338"/>
    <w:rsid w:val="003819BF"/>
    <w:rsid w:val="0038725C"/>
    <w:rsid w:val="00391381"/>
    <w:rsid w:val="00396ACD"/>
    <w:rsid w:val="003A5969"/>
    <w:rsid w:val="003C0C4B"/>
    <w:rsid w:val="00437AA5"/>
    <w:rsid w:val="0044282B"/>
    <w:rsid w:val="004603A2"/>
    <w:rsid w:val="00491ED7"/>
    <w:rsid w:val="00492396"/>
    <w:rsid w:val="004B3865"/>
    <w:rsid w:val="004C38F7"/>
    <w:rsid w:val="004D297E"/>
    <w:rsid w:val="004E19F9"/>
    <w:rsid w:val="00517205"/>
    <w:rsid w:val="0052704B"/>
    <w:rsid w:val="005279D9"/>
    <w:rsid w:val="00542487"/>
    <w:rsid w:val="00580629"/>
    <w:rsid w:val="00582810"/>
    <w:rsid w:val="00583FFA"/>
    <w:rsid w:val="00595540"/>
    <w:rsid w:val="005B5FA6"/>
    <w:rsid w:val="005E1E85"/>
    <w:rsid w:val="005F222A"/>
    <w:rsid w:val="005F33FF"/>
    <w:rsid w:val="006654AB"/>
    <w:rsid w:val="006813A6"/>
    <w:rsid w:val="00686AFD"/>
    <w:rsid w:val="006A2A68"/>
    <w:rsid w:val="006F7EFE"/>
    <w:rsid w:val="00703C0B"/>
    <w:rsid w:val="0075467B"/>
    <w:rsid w:val="007D0861"/>
    <w:rsid w:val="007D1225"/>
    <w:rsid w:val="007D1A7C"/>
    <w:rsid w:val="007E010B"/>
    <w:rsid w:val="00802FC2"/>
    <w:rsid w:val="0081293E"/>
    <w:rsid w:val="0084238A"/>
    <w:rsid w:val="00852DE8"/>
    <w:rsid w:val="008C58B7"/>
    <w:rsid w:val="008C62AF"/>
    <w:rsid w:val="008C63FE"/>
    <w:rsid w:val="008D0E5E"/>
    <w:rsid w:val="008D3341"/>
    <w:rsid w:val="008E2694"/>
    <w:rsid w:val="00940731"/>
    <w:rsid w:val="009476D9"/>
    <w:rsid w:val="009702E0"/>
    <w:rsid w:val="009712C1"/>
    <w:rsid w:val="009719B6"/>
    <w:rsid w:val="009731D1"/>
    <w:rsid w:val="00985A34"/>
    <w:rsid w:val="009957C5"/>
    <w:rsid w:val="009A1A98"/>
    <w:rsid w:val="00A10BBD"/>
    <w:rsid w:val="00A2735C"/>
    <w:rsid w:val="00A565C7"/>
    <w:rsid w:val="00A61FE3"/>
    <w:rsid w:val="00A63976"/>
    <w:rsid w:val="00AC42D2"/>
    <w:rsid w:val="00B0742B"/>
    <w:rsid w:val="00B247D1"/>
    <w:rsid w:val="00B50A87"/>
    <w:rsid w:val="00B74403"/>
    <w:rsid w:val="00B84713"/>
    <w:rsid w:val="00B851FA"/>
    <w:rsid w:val="00BC3AD2"/>
    <w:rsid w:val="00BE38E4"/>
    <w:rsid w:val="00C10E4B"/>
    <w:rsid w:val="00C3731F"/>
    <w:rsid w:val="00C402D1"/>
    <w:rsid w:val="00C62ABE"/>
    <w:rsid w:val="00C72F66"/>
    <w:rsid w:val="00C9371C"/>
    <w:rsid w:val="00CB4B4C"/>
    <w:rsid w:val="00CC305D"/>
    <w:rsid w:val="00CE02BF"/>
    <w:rsid w:val="00D15425"/>
    <w:rsid w:val="00D15677"/>
    <w:rsid w:val="00D37A87"/>
    <w:rsid w:val="00D455A5"/>
    <w:rsid w:val="00D60353"/>
    <w:rsid w:val="00D73411"/>
    <w:rsid w:val="00D917AD"/>
    <w:rsid w:val="00DA38A7"/>
    <w:rsid w:val="00DB127D"/>
    <w:rsid w:val="00DB4B20"/>
    <w:rsid w:val="00E07235"/>
    <w:rsid w:val="00E247EB"/>
    <w:rsid w:val="00E33C9F"/>
    <w:rsid w:val="00E83C6F"/>
    <w:rsid w:val="00E9509D"/>
    <w:rsid w:val="00E979AB"/>
    <w:rsid w:val="00EC39BC"/>
    <w:rsid w:val="00EE140B"/>
    <w:rsid w:val="00F0143C"/>
    <w:rsid w:val="00F02755"/>
    <w:rsid w:val="00F110BB"/>
    <w:rsid w:val="00F41B40"/>
    <w:rsid w:val="00F717BF"/>
    <w:rsid w:val="00F718B8"/>
    <w:rsid w:val="00F733AF"/>
    <w:rsid w:val="00F767D0"/>
    <w:rsid w:val="00F83DBF"/>
    <w:rsid w:val="00FC2396"/>
    <w:rsid w:val="00FE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sl-SI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19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19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19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19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19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19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19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rsid w:val="001D506C"/>
    <w:pPr>
      <w:numPr>
        <w:numId w:val="1"/>
      </w:numPr>
    </w:pPr>
    <w:rPr>
      <w:rFonts w:eastAsia="Times New Roman"/>
      <w:lang w:eastAsia="en-GB"/>
    </w:rPr>
  </w:style>
  <w:style w:type="numbering" w:customStyle="1" w:styleId="LFO29">
    <w:name w:val="LFO29"/>
    <w:basedOn w:val="NoList"/>
    <w:rsid w:val="00F83DBF"/>
    <w:pPr>
      <w:numPr>
        <w:numId w:val="2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093B4B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093B4B"/>
    <w:pPr>
      <w:spacing w:after="0"/>
    </w:pPr>
  </w:style>
  <w:style w:type="paragraph" w:styleId="ListBullet2">
    <w:name w:val="List Bullet 2"/>
    <w:basedOn w:val="Normal"/>
    <w:uiPriority w:val="99"/>
    <w:semiHidden/>
    <w:unhideWhenUsed/>
    <w:rsid w:val="00093B4B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093B4B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093B4B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093B4B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093B4B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093B4B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093B4B"/>
    <w:pPr>
      <w:numPr>
        <w:numId w:val="9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85D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85D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85DB3"/>
    <w:rPr>
      <w:rFonts w:ascii="Times New Roman" w:hAnsi="Times New Roman" w:cs="Times New Roman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5D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5DB3"/>
    <w:rPr>
      <w:rFonts w:ascii="Times New Roman" w:hAnsi="Times New Roman" w:cs="Times New Roman"/>
      <w:b/>
      <w:bCs/>
      <w:sz w:val="20"/>
      <w:szCs w:val="20"/>
      <w:lang w:val="sl-SI"/>
    </w:rPr>
  </w:style>
  <w:style w:type="character" w:styleId="Hyperlink">
    <w:name w:val="Hyperlink"/>
    <w:basedOn w:val="DefaultParagraphFont"/>
    <w:uiPriority w:val="99"/>
    <w:unhideWhenUsed/>
    <w:rsid w:val="00185DB3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85DB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E6FD2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686AFD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0573AC"/>
    <w:rPr>
      <w:rFonts w:ascii="Times New Roman" w:hAnsi="Times New Roman" w:cs="Times New Roman"/>
      <w:sz w:val="24"/>
      <w:lang w:val="sl-SI"/>
    </w:rPr>
  </w:style>
  <w:style w:type="character" w:customStyle="1" w:styleId="FooterChar">
    <w:name w:val="Footer Char"/>
    <w:basedOn w:val="DefaultParagraphFont"/>
    <w:link w:val="Footer"/>
    <w:uiPriority w:val="99"/>
    <w:rsid w:val="000573AC"/>
    <w:rPr>
      <w:rFonts w:ascii="Times New Roman" w:hAnsi="Times New Roman" w:cs="Times New Roman"/>
      <w:sz w:val="24"/>
      <w:lang w:val="sl-SI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lang w:val="sl-SI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lang w:val="sl-SI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lang w:val="sl-SI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lang w:val="sl-SI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lang w:val="sl-SI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lang w:val="sl-SI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lang w:val="sl-SI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0573A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0573AC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0573A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"/>
    <w:pPr>
      <w:numPr>
        <w:numId w:val="12"/>
      </w:numPr>
    </w:pPr>
  </w:style>
  <w:style w:type="paragraph" w:customStyle="1" w:styleId="Tiret1">
    <w:name w:val="Tiret 1"/>
    <w:basedOn w:val="Point1"/>
    <w:pPr>
      <w:numPr>
        <w:numId w:val="13"/>
      </w:numPr>
    </w:pPr>
  </w:style>
  <w:style w:type="paragraph" w:customStyle="1" w:styleId="Tiret2">
    <w:name w:val="Tiret 2"/>
    <w:basedOn w:val="Point2"/>
    <w:pPr>
      <w:numPr>
        <w:numId w:val="14"/>
      </w:numPr>
    </w:pPr>
  </w:style>
  <w:style w:type="paragraph" w:customStyle="1" w:styleId="Tiret3">
    <w:name w:val="Tiret 3"/>
    <w:basedOn w:val="Point3"/>
    <w:pPr>
      <w:numPr>
        <w:numId w:val="15"/>
      </w:numPr>
    </w:pPr>
  </w:style>
  <w:style w:type="paragraph" w:customStyle="1" w:styleId="Tiret4">
    <w:name w:val="Tiret 4"/>
    <w:basedOn w:val="Point4"/>
    <w:pPr>
      <w:numPr>
        <w:numId w:val="16"/>
      </w:numPr>
    </w:pPr>
  </w:style>
  <w:style w:type="paragraph" w:customStyle="1" w:styleId="Tiret5">
    <w:name w:val="Tiret 5"/>
    <w:basedOn w:val="Point5"/>
    <w:pPr>
      <w:numPr>
        <w:numId w:val="17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18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18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18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18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18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18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18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20"/>
      </w:numPr>
    </w:pPr>
  </w:style>
  <w:style w:type="paragraph" w:customStyle="1" w:styleId="Point1number">
    <w:name w:val="Point 1 (number)"/>
    <w:basedOn w:val="Normal"/>
    <w:pPr>
      <w:numPr>
        <w:ilvl w:val="2"/>
        <w:numId w:val="20"/>
      </w:numPr>
    </w:pPr>
  </w:style>
  <w:style w:type="paragraph" w:customStyle="1" w:styleId="Point2number">
    <w:name w:val="Point 2 (number)"/>
    <w:basedOn w:val="Normal"/>
    <w:pPr>
      <w:numPr>
        <w:ilvl w:val="4"/>
        <w:numId w:val="20"/>
      </w:numPr>
    </w:pPr>
  </w:style>
  <w:style w:type="paragraph" w:customStyle="1" w:styleId="Point3number">
    <w:name w:val="Point 3 (number)"/>
    <w:basedOn w:val="Normal"/>
    <w:pPr>
      <w:numPr>
        <w:ilvl w:val="6"/>
        <w:numId w:val="20"/>
      </w:numPr>
    </w:pPr>
  </w:style>
  <w:style w:type="paragraph" w:customStyle="1" w:styleId="Point0letter">
    <w:name w:val="Point 0 (letter)"/>
    <w:basedOn w:val="Normal"/>
    <w:pPr>
      <w:numPr>
        <w:ilvl w:val="1"/>
        <w:numId w:val="20"/>
      </w:numPr>
    </w:pPr>
  </w:style>
  <w:style w:type="paragraph" w:customStyle="1" w:styleId="Point1letter">
    <w:name w:val="Point 1 (letter)"/>
    <w:basedOn w:val="Normal"/>
    <w:pPr>
      <w:numPr>
        <w:ilvl w:val="3"/>
        <w:numId w:val="20"/>
      </w:numPr>
    </w:pPr>
  </w:style>
  <w:style w:type="paragraph" w:customStyle="1" w:styleId="Point2letter">
    <w:name w:val="Point 2 (letter)"/>
    <w:basedOn w:val="Normal"/>
    <w:pPr>
      <w:numPr>
        <w:ilvl w:val="5"/>
        <w:numId w:val="20"/>
      </w:numPr>
    </w:pPr>
  </w:style>
  <w:style w:type="paragraph" w:customStyle="1" w:styleId="Point3letter">
    <w:name w:val="Point 3 (letter)"/>
    <w:basedOn w:val="Normal"/>
    <w:pPr>
      <w:numPr>
        <w:ilvl w:val="7"/>
        <w:numId w:val="20"/>
      </w:numPr>
    </w:pPr>
  </w:style>
  <w:style w:type="paragraph" w:customStyle="1" w:styleId="Point4letter">
    <w:name w:val="Point 4 (letter)"/>
    <w:basedOn w:val="Normal"/>
    <w:pPr>
      <w:numPr>
        <w:ilvl w:val="8"/>
        <w:numId w:val="20"/>
      </w:numPr>
    </w:pPr>
  </w:style>
  <w:style w:type="paragraph" w:customStyle="1" w:styleId="Bullet0">
    <w:name w:val="Bullet 0"/>
    <w:basedOn w:val="Normal"/>
    <w:pPr>
      <w:numPr>
        <w:numId w:val="21"/>
      </w:numPr>
    </w:pPr>
  </w:style>
  <w:style w:type="paragraph" w:customStyle="1" w:styleId="Bullet1">
    <w:name w:val="Bullet 1"/>
    <w:basedOn w:val="Normal"/>
    <w:pPr>
      <w:numPr>
        <w:numId w:val="22"/>
      </w:numPr>
    </w:pPr>
  </w:style>
  <w:style w:type="paragraph" w:customStyle="1" w:styleId="Bullet2">
    <w:name w:val="Bullet 2"/>
    <w:basedOn w:val="Normal"/>
    <w:pPr>
      <w:numPr>
        <w:numId w:val="23"/>
      </w:numPr>
    </w:pPr>
  </w:style>
  <w:style w:type="paragraph" w:customStyle="1" w:styleId="Bullet3">
    <w:name w:val="Bullet 3"/>
    <w:basedOn w:val="Normal"/>
    <w:pPr>
      <w:numPr>
        <w:numId w:val="24"/>
      </w:numPr>
    </w:pPr>
  </w:style>
  <w:style w:type="paragraph" w:customStyle="1" w:styleId="Bullet4">
    <w:name w:val="Bullet 4"/>
    <w:basedOn w:val="Normal"/>
    <w:pPr>
      <w:numPr>
        <w:numId w:val="25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26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itreobjetPagedecouverture">
    <w:name w:val="Titre objet (Page de couverture)"/>
    <w:basedOn w:val="Titreobjet"/>
    <w:next w:val="IntrtEEEPagedecouverture"/>
  </w:style>
  <w:style w:type="paragraph" w:customStyle="1" w:styleId="TypedudocumentPagedecouverture">
    <w:name w:val="Type du document (Page de couverture)"/>
    <w:basedOn w:val="Typedudocument"/>
    <w:next w:val="Titreobje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  <w:style w:type="paragraph" w:styleId="Header">
    <w:name w:val="header"/>
    <w:basedOn w:val="Normal"/>
    <w:link w:val="HeaderChar"/>
    <w:uiPriority w:val="99"/>
    <w:unhideWhenUsed/>
    <w:rsid w:val="000573AC"/>
    <w:pPr>
      <w:tabs>
        <w:tab w:val="center" w:pos="4535"/>
        <w:tab w:val="right" w:pos="9071"/>
      </w:tabs>
      <w:spacing w:before="0"/>
    </w:pPr>
  </w:style>
  <w:style w:type="paragraph" w:customStyle="1" w:styleId="HeaderLandscape">
    <w:name w:val="HeaderLandscape"/>
    <w:basedOn w:val="Normal"/>
    <w:rsid w:val="000573AC"/>
    <w:pPr>
      <w:tabs>
        <w:tab w:val="center" w:pos="7285"/>
        <w:tab w:val="right" w:pos="14003"/>
      </w:tabs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0573AC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customStyle="1" w:styleId="FooterLandscape">
    <w:name w:val="FooterLandscape"/>
    <w:basedOn w:val="Normal"/>
    <w:rsid w:val="000573AC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3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0</TotalTime>
  <Pages>4</Pages>
  <Words>848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2024-05-28T14:34:00Z</dcterms:created>
  <dcterms:modified xsi:type="dcterms:W3CDTF">2024-05-30T09:45:00Z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2024-03-04T17:51:00Z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31943418-602c-49b3-ab6d-07ca073faced</vt:lpwstr>
  </property>
  <property fmtid="{D5CDD505-2E9C-101B-9397-08002B2CF9AE}" pid="8" name="MSIP_Label_6bd9ddd1-4d20-43f6-abfa-fc3c07406f94_ContentBits">
    <vt:lpwstr>0</vt:lpwstr>
  </property>
  <property fmtid="{D5CDD505-2E9C-101B-9397-08002B2CF9AE}" pid="9" name="Level of sensitivity">
    <vt:lpwstr>Standard treatment</vt:lpwstr>
  </property>
  <property fmtid="{D5CDD505-2E9C-101B-9397-08002B2CF9AE}" pid="10" name="Category">
    <vt:lpwstr>COM/AA</vt:lpwstr>
  </property>
  <property fmtid="{D5CDD505-2E9C-101B-9397-08002B2CF9AE}" pid="11" name="Last edited using">
    <vt:lpwstr>LW 9.0, Build 20230317</vt:lpwstr>
  </property>
  <property fmtid="{D5CDD505-2E9C-101B-9397-08002B2CF9AE}" pid="12" name="Part">
    <vt:lpwstr>1</vt:lpwstr>
  </property>
  <property fmtid="{D5CDD505-2E9C-101B-9397-08002B2CF9AE}" pid="13" name="Total parts">
    <vt:lpwstr>1</vt:lpwstr>
  </property>
  <property fmtid="{D5CDD505-2E9C-101B-9397-08002B2CF9AE}" pid="14" name="LWTemplateID">
    <vt:lpwstr>SJ-004</vt:lpwstr>
  </property>
  <property fmtid="{D5CDD505-2E9C-101B-9397-08002B2CF9AE}" pid="15" name="DQCStatus">
    <vt:lpwstr>Green (DQC version 03)</vt:lpwstr>
  </property>
</Properties>
</file>