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6C6985" w:rsidRDefault="001C4C68" w:rsidP="001C4C68">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C65AA805-8AD2-43A8-AB67-3FA70D80132E" style="width:455.25pt;height:454.5pt">
            <v:imagedata r:id="rId7" o:title=""/>
          </v:shape>
        </w:pict>
      </w:r>
    </w:p>
    <w:p w:rsidR="001D506C" w:rsidRPr="006C6985" w:rsidRDefault="001D506C">
      <w:pPr>
        <w:rPr>
          <w:noProof/>
        </w:rPr>
        <w:sectPr w:rsidR="001D506C" w:rsidRPr="006C6985" w:rsidSect="001C4C68">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1D506C" w:rsidRPr="006C6985" w:rsidRDefault="006C6985" w:rsidP="006C6985">
      <w:pPr>
        <w:pStyle w:val="Typedudocument"/>
        <w:rPr>
          <w:noProof/>
        </w:rPr>
      </w:pPr>
      <w:bookmarkStart w:id="0" w:name="_GoBack"/>
      <w:bookmarkEnd w:id="0"/>
      <w:r w:rsidRPr="006C6985">
        <w:rPr>
          <w:noProof/>
        </w:rPr>
        <w:lastRenderedPageBreak/>
        <w:t>UITVOERINGSVERORDENING (EU) …/... VAN DE COMMISSIE</w:t>
      </w:r>
    </w:p>
    <w:p w:rsidR="001D506C" w:rsidRPr="006C6985" w:rsidRDefault="00E46A12" w:rsidP="006C6985">
      <w:pPr>
        <w:pStyle w:val="Datedadoption"/>
        <w:rPr>
          <w:noProof/>
        </w:rPr>
      </w:pPr>
      <w:r>
        <w:rPr>
          <w:noProof/>
        </w:rPr>
        <w:t>van 6.6.2024</w:t>
      </w:r>
    </w:p>
    <w:p w:rsidR="001D506C" w:rsidRPr="006C6985" w:rsidRDefault="006C6985" w:rsidP="006C6985">
      <w:pPr>
        <w:pStyle w:val="Titreobjet"/>
        <w:rPr>
          <w:noProof/>
        </w:rPr>
      </w:pPr>
      <w:r w:rsidRPr="006C6985">
        <w:rPr>
          <w:noProof/>
        </w:rPr>
        <w:t xml:space="preserve">tot wijziging van Uitvoeringsverordening (EU) 2021/763 van de Commissie tot vaststelling van technische uitvoeringsnormen voor de toepassing van Verordening (EU) nr. 575/2013 van het Europees Parlement en de Raad en van Richtlijn 2014/59/EU van het Europees Parlement en de Raad ten aanzien van de toezichtrapportage en openbaarmaking van het minimumvereiste voor eigen vermogen en in aanmerking komende passiva  </w:t>
      </w:r>
      <w:r w:rsidRPr="006C6985">
        <w:rPr>
          <w:noProof/>
        </w:rPr>
        <w:br/>
      </w:r>
    </w:p>
    <w:p w:rsidR="001D506C" w:rsidRPr="006C6985" w:rsidRDefault="006C6985" w:rsidP="006C6985">
      <w:pPr>
        <w:pStyle w:val="IntrtEEE"/>
        <w:rPr>
          <w:noProof/>
        </w:rPr>
      </w:pPr>
      <w:r w:rsidRPr="006C6985">
        <w:rPr>
          <w:noProof/>
        </w:rPr>
        <w:t>(Voor de EER relevante tekst)</w:t>
      </w:r>
    </w:p>
    <w:p w:rsidR="001D506C" w:rsidRPr="006C6985" w:rsidRDefault="001D506C" w:rsidP="004E1EF9">
      <w:pPr>
        <w:pStyle w:val="Institutionquiagit"/>
        <w:rPr>
          <w:noProof/>
        </w:rPr>
      </w:pPr>
      <w:r w:rsidRPr="006C6985">
        <w:rPr>
          <w:noProof/>
        </w:rPr>
        <w:t>DE EUROPESE COMMISSIE,</w:t>
      </w:r>
    </w:p>
    <w:p w:rsidR="001D506C" w:rsidRPr="006C6985" w:rsidRDefault="001D506C" w:rsidP="004E1EF9">
      <w:pPr>
        <w:rPr>
          <w:noProof/>
        </w:rPr>
      </w:pPr>
      <w:r w:rsidRPr="006C6985">
        <w:rPr>
          <w:noProof/>
        </w:rPr>
        <w:t>Gezien het Verdrag betreffende de werking van de Europese Unie,</w:t>
      </w:r>
    </w:p>
    <w:p w:rsidR="000E6FD2" w:rsidRPr="006C6985" w:rsidRDefault="000E6FD2" w:rsidP="000E6FD2">
      <w:pPr>
        <w:rPr>
          <w:noProof/>
        </w:rPr>
      </w:pPr>
      <w:r w:rsidRPr="006C6985">
        <w:rPr>
          <w:noProof/>
        </w:rPr>
        <w:t>Gezien Verordening (EU) nr. 575/2013 van het Europees Parlement en de Raad van 26 juni 2013 betreffende prudentiële vereisten voor kredietinstellingen en tot wijziging van Verordening (EU) nr. 648/2012</w:t>
      </w:r>
      <w:r w:rsidRPr="006C6985">
        <w:rPr>
          <w:rStyle w:val="FootnoteReference"/>
          <w:noProof/>
        </w:rPr>
        <w:footnoteReference w:id="1"/>
      </w:r>
      <w:r w:rsidRPr="006C6985">
        <w:rPr>
          <w:noProof/>
        </w:rPr>
        <w:t>, en met name artikel 430, lid 7, vijfde alinea, en artikel 434 bis, vijfde alinea,</w:t>
      </w:r>
    </w:p>
    <w:p w:rsidR="000E6FD2" w:rsidRPr="006C6985" w:rsidRDefault="000E6FD2" w:rsidP="000E6FD2">
      <w:pPr>
        <w:rPr>
          <w:noProof/>
        </w:rPr>
      </w:pPr>
      <w:r w:rsidRPr="006C6985">
        <w:rPr>
          <w:noProof/>
        </w:rPr>
        <w:t>Gezien Richtlijn 2014/59/EU van het Europees Parlement en de Raad van 15 mei 2014 betreffende de totstandbrenging van een kader voor het herstel en de afwikkeling van kredietinstellingen en beleggingsondernemingen en tot wijziging van Richtlijn 82/891/EEG van de Raad en de Richtlijnen 2001/24/EG, 2002/47/EG, 2004/25/EG, 2005/56/EG, 2007/36/EG, 2011/35/EU, 2012/30/EU en 2013/36/EU en de Verordeningen (EU) nr. 1093/2010 en (EU) nr. 648/2012, van het Europees Parlement en de Raad</w:t>
      </w:r>
      <w:r w:rsidRPr="006C6985">
        <w:rPr>
          <w:rStyle w:val="FootnoteReference"/>
          <w:noProof/>
        </w:rPr>
        <w:footnoteReference w:id="2"/>
      </w:r>
      <w:r w:rsidRPr="006C6985">
        <w:rPr>
          <w:noProof/>
        </w:rPr>
        <w:t>, en met name artikel 45 decies, lid 5, vijfde alinea, en artikel 45 decies, lid 6, vijfde alinea,</w:t>
      </w:r>
    </w:p>
    <w:p w:rsidR="001D506C" w:rsidRPr="006C6985" w:rsidRDefault="001D506C" w:rsidP="004E1EF9">
      <w:pPr>
        <w:rPr>
          <w:noProof/>
        </w:rPr>
      </w:pPr>
      <w:r w:rsidRPr="006C6985">
        <w:rPr>
          <w:noProof/>
        </w:rPr>
        <w:t>Overwegende hetgeen volgt:</w:t>
      </w:r>
    </w:p>
    <w:p w:rsidR="00F83DBF" w:rsidRPr="006C6985" w:rsidRDefault="00F83DBF" w:rsidP="0052704B">
      <w:pPr>
        <w:pStyle w:val="ManualConsidrant"/>
        <w:rPr>
          <w:noProof/>
        </w:rPr>
      </w:pPr>
      <w:r>
        <w:rPr>
          <w:noProof/>
        </w:rPr>
        <w:t>(1)</w:t>
      </w:r>
      <w:r>
        <w:rPr>
          <w:noProof/>
        </w:rPr>
        <w:tab/>
      </w:r>
      <w:r w:rsidRPr="006C6985">
        <w:rPr>
          <w:noProof/>
        </w:rPr>
        <w:t xml:space="preserve">Met Verordening (EU) 2022/2036 van het </w:t>
      </w:r>
      <w:bookmarkStart w:id="1" w:name="_Hlk159320995"/>
      <w:r w:rsidRPr="006C6985">
        <w:rPr>
          <w:noProof/>
        </w:rPr>
        <w:t>Europees Parlement en de Raad</w:t>
      </w:r>
      <w:bookmarkEnd w:id="1"/>
      <w:r w:rsidRPr="006C6985">
        <w:rPr>
          <w:rStyle w:val="FootnoteReference"/>
          <w:noProof/>
        </w:rPr>
        <w:footnoteReference w:id="3"/>
      </w:r>
      <w:r w:rsidRPr="006C6985">
        <w:rPr>
          <w:noProof/>
        </w:rPr>
        <w:t xml:space="preserve"> werd in Verordening (EU) nr. 575/2013 het vereiste opgenomen dat intermediaire entiteiten binnen een af te wikkelen groep hun bezit aan eigenvermogensinstrumenten en in aanmerking komende passiva-instrumenten die worden gebruikt om te voldoen aan het vereiste van artikel 92 ter van Verordening (EU) nr. 575/2013, van hun in aanmerking komende passivabestanddelen (intern “vereiste voor het totale verliesabsorberende vermogen” of “intern TLAC”) of het vereiste van artikel 45 septies van Richtlijn 2014/59/EU</w:t>
      </w:r>
      <w:r w:rsidRPr="006C6985">
        <w:rPr>
          <w:rStyle w:val="FootnoteReference"/>
          <w:noProof/>
        </w:rPr>
        <w:footnoteReference w:id="4"/>
      </w:r>
      <w:r w:rsidRPr="006C6985">
        <w:rPr>
          <w:noProof/>
        </w:rPr>
        <w:t xml:space="preserve"> (intern “minimumvereiste voor eigen middelen en in aanmerking komende passiva” of “intern MREL”) moeten aftrekken wanneer hun eigenvermogensinstrumenten en in aanmerking komende passiva-instrumenten zijn uitgegeven door entiteiten die zelf geen af te wikkelen entiteiten zijn en die tot dezelfde af te wikkelen groep behoren. Daarom moet dit aftrekkingsvereiste tot uiting worden gebracht in de templates voor de openbaarmaking van geharmoniseerde informatie over het interne MREL en het interne TLAC zoals uiteengezet in Uitvoeringsverordening (EU) 2021/763 van de Commissie</w:t>
      </w:r>
      <w:r w:rsidRPr="006C6985">
        <w:rPr>
          <w:rStyle w:val="FootnoteReference"/>
          <w:bCs/>
          <w:noProof/>
        </w:rPr>
        <w:footnoteReference w:id="5"/>
      </w:r>
      <w:r w:rsidRPr="006C6985">
        <w:rPr>
          <w:noProof/>
        </w:rPr>
        <w:t>. Dit aftrekkingsvereiste moet eveneens tot uiting worden gebracht in de geharmoniseerde informatie die aan bevoegde autoriteiten en afwikkelingsautoriteiten wordt verschaft.</w:t>
      </w:r>
    </w:p>
    <w:p w:rsidR="00686AFD" w:rsidRPr="006C6985" w:rsidRDefault="00686AFD" w:rsidP="002103AD">
      <w:pPr>
        <w:pStyle w:val="ManualConsidrant"/>
        <w:rPr>
          <w:noProof/>
        </w:rPr>
      </w:pPr>
      <w:r>
        <w:rPr>
          <w:noProof/>
        </w:rPr>
        <w:t>(2)</w:t>
      </w:r>
      <w:r>
        <w:rPr>
          <w:noProof/>
        </w:rPr>
        <w:tab/>
      </w:r>
      <w:r w:rsidRPr="006C6985">
        <w:rPr>
          <w:noProof/>
        </w:rPr>
        <w:t>Richtlijn (EU) 2024/1174 van het Europees Parlement en de Raad tot wijziging van Richtlijn 2014/59/EU en Verordening (EU) nr. 806/2014 met betrekking tot bepaalde aspecten van het minimumvereiste voor eigen vermogen en in aanmerking komende passiva</w:t>
      </w:r>
      <w:r w:rsidRPr="006C6985">
        <w:rPr>
          <w:rStyle w:val="FootnoteReference"/>
          <w:noProof/>
        </w:rPr>
        <w:footnoteReference w:id="6"/>
      </w:r>
      <w:r w:rsidRPr="006C6985">
        <w:rPr>
          <w:noProof/>
        </w:rPr>
        <w:t xml:space="preserve"> heeft het aftrekkingsvereiste van Verordening (EU) nr. 575/2013 verder gewijzigd door in Richtlijn 2014/59/EU en Verordening (EU) nr. 806/2014 te bepalen dat intermediaire entiteiten binnen een af te wikkelen groep hun bezit aan eigenvermogensinstrumenten die zijn uitgegeven door te liquideren entiteiten die tot dezelfde af te wikkelen groep behoren en zelf geen af te wikkelen entiteiten zijn, alleen hoeven af te trekken mits bepaalde voorwaarden wat betreft de materialiteit van dat bezit zijn vervuld. Die wijzigingen moeten ook tot uiting worden gebracht in de geharmoniseerde informatie die wordt verschaft in templates voor openbaarmaking en voor rapportage aan bevoegde autoriteiten en afwikkelingsautoriteiten.</w:t>
      </w:r>
    </w:p>
    <w:p w:rsidR="00F83DBF" w:rsidRPr="006C6985" w:rsidRDefault="00F83DBF" w:rsidP="00302BB5">
      <w:pPr>
        <w:pStyle w:val="ManualConsidrant"/>
        <w:rPr>
          <w:noProof/>
        </w:rPr>
      </w:pPr>
      <w:r>
        <w:rPr>
          <w:noProof/>
        </w:rPr>
        <w:t>(3)</w:t>
      </w:r>
      <w:r>
        <w:rPr>
          <w:noProof/>
        </w:rPr>
        <w:tab/>
      </w:r>
      <w:r w:rsidRPr="006C6985">
        <w:rPr>
          <w:noProof/>
        </w:rPr>
        <w:t>Entiteiten die vallen onder de vereisten van artikel 92 bis of artikel 92 ter van Verordening (EU) nr. 575/2013 (“TLAC-vereiste”) of het vereiste van artikel 45 van Richtlijn 2014/59/EU (“MREL”), kunnen, met de voorafgaande toestemming van hun afwikkelingsautoriteit, in aanmerking komende passiva-instrumenten opvragen, aflossen, terugbetalen of wederinkopen overeenkomstig artikel 78 bis van Verordening (EU) nr. 575/2013. Door bedragen waarop die toestemming ziet, verminderen de mogelijkheden van entiteiten om aan het MREL of het TLAC-vereiste te voldoen. Daarom moet nader worden bepaald hoe de impact van die toestemming tot uiting moet komen in de openbaarmaking en in de rapportage aan bevoegde autoriteiten en afwikkelingsautoriteiten.</w:t>
      </w:r>
    </w:p>
    <w:p w:rsidR="00F83DBF" w:rsidRPr="006C6985" w:rsidRDefault="00F83DBF" w:rsidP="00F83DBF">
      <w:pPr>
        <w:pStyle w:val="ManualConsidrant"/>
        <w:rPr>
          <w:noProof/>
        </w:rPr>
      </w:pPr>
      <w:r>
        <w:rPr>
          <w:noProof/>
        </w:rPr>
        <w:t>(4)</w:t>
      </w:r>
      <w:r>
        <w:rPr>
          <w:noProof/>
        </w:rPr>
        <w:tab/>
      </w:r>
      <w:r w:rsidRPr="006C6985">
        <w:rPr>
          <w:noProof/>
        </w:rPr>
        <w:t>Uitvoeringsverordening (EU) 2021/763 moet daarom dienovereenkomstig worden gewijzigd.</w:t>
      </w:r>
    </w:p>
    <w:p w:rsidR="00F83DBF" w:rsidRPr="006C6985" w:rsidRDefault="00F83DBF" w:rsidP="00F83DBF">
      <w:pPr>
        <w:pStyle w:val="ManualConsidrant"/>
        <w:rPr>
          <w:noProof/>
        </w:rPr>
      </w:pPr>
      <w:r>
        <w:rPr>
          <w:noProof/>
        </w:rPr>
        <w:t>(5)</w:t>
      </w:r>
      <w:r>
        <w:rPr>
          <w:noProof/>
        </w:rPr>
        <w:tab/>
      </w:r>
      <w:r w:rsidRPr="006C6985">
        <w:rPr>
          <w:noProof/>
        </w:rPr>
        <w:t xml:space="preserve">Deze verordening is gebaseerd op de ontwerpen van technische uitvoeringsnormen die de Europese Bankautoriteit (“EBA”) bij de Commissie heeft ingediend. </w:t>
      </w:r>
    </w:p>
    <w:p w:rsidR="00F83DBF" w:rsidRPr="006C6985" w:rsidRDefault="00F83DBF" w:rsidP="00F83DBF">
      <w:pPr>
        <w:pStyle w:val="ManualConsidrant"/>
        <w:rPr>
          <w:noProof/>
        </w:rPr>
      </w:pPr>
      <w:r>
        <w:rPr>
          <w:noProof/>
        </w:rPr>
        <w:t>(6)</w:t>
      </w:r>
      <w:r>
        <w:rPr>
          <w:noProof/>
        </w:rPr>
        <w:tab/>
      </w:r>
      <w:r w:rsidRPr="006C6985">
        <w:rPr>
          <w:noProof/>
        </w:rPr>
        <w:t>De EBA heeft open publieke consultaties gehouden over het ontwerp van technische uitvoeringsnormen waarop deze verordening is gebaseerd, de mogelijke kosten en baten ervan geanalyseerd en het advies van de overeenkomstig artikel 37 van Verordening (EU) nr. 1093/2010 van het Europees Parlement en de Raad</w:t>
      </w:r>
      <w:r w:rsidRPr="006C6985">
        <w:rPr>
          <w:rStyle w:val="FootnoteReference"/>
          <w:noProof/>
        </w:rPr>
        <w:footnoteReference w:id="7"/>
      </w:r>
      <w:r w:rsidRPr="006C6985">
        <w:rPr>
          <w:noProof/>
        </w:rPr>
        <w:t xml:space="preserve"> opgerichte Stakeholdergroep bankwezen ingewonnen.</w:t>
      </w:r>
    </w:p>
    <w:p w:rsidR="00DB127D" w:rsidRPr="006C6985" w:rsidRDefault="00DB127D" w:rsidP="00F83DBF">
      <w:pPr>
        <w:pStyle w:val="ManualConsidrant"/>
        <w:rPr>
          <w:noProof/>
        </w:rPr>
      </w:pPr>
      <w:r>
        <w:rPr>
          <w:noProof/>
        </w:rPr>
        <w:t>(7)</w:t>
      </w:r>
      <w:r>
        <w:rPr>
          <w:noProof/>
        </w:rPr>
        <w:tab/>
      </w:r>
      <w:r w:rsidRPr="006C6985">
        <w:rPr>
          <w:noProof/>
        </w:rPr>
        <w:t xml:space="preserve">Om entiteiten die verplicht zijn overeenkomstig Verordening (EU) nr. 575/2013 of Richtlijn 2014/59/EU informatie te rapporteren of openbaar te maken, voldoende tijd te geven om zich </w:t>
      </w:r>
      <w:bookmarkStart w:id="2" w:name="_Hlk160034996"/>
      <w:r w:rsidRPr="006C6985">
        <w:rPr>
          <w:noProof/>
        </w:rPr>
        <w:t>aan de wijzigingen in templates en geharmoniseerde informatie</w:t>
      </w:r>
      <w:bookmarkEnd w:id="2"/>
      <w:r w:rsidRPr="006C6985">
        <w:rPr>
          <w:noProof/>
        </w:rPr>
        <w:t xml:space="preserve"> aan te passen, moeten de wijzigingen pas zes maanden na de datum van inwerkingtreding van toepassing worden,</w:t>
      </w:r>
    </w:p>
    <w:p w:rsidR="001D506C" w:rsidRPr="006C6985" w:rsidRDefault="001D506C" w:rsidP="004E1EF9">
      <w:pPr>
        <w:pStyle w:val="Formuledadoption"/>
        <w:rPr>
          <w:noProof/>
        </w:rPr>
      </w:pPr>
      <w:r w:rsidRPr="006C6985">
        <w:rPr>
          <w:noProof/>
        </w:rPr>
        <w:t>HEEFT DE VOLGENDE VERORDENING VASTGESTELD:</w:t>
      </w:r>
    </w:p>
    <w:p w:rsidR="001D506C" w:rsidRPr="006C6985" w:rsidRDefault="001D506C" w:rsidP="004E1EF9">
      <w:pPr>
        <w:pStyle w:val="Titrearticle"/>
        <w:rPr>
          <w:noProof/>
        </w:rPr>
      </w:pPr>
      <w:r w:rsidRPr="006C6985">
        <w:rPr>
          <w:noProof/>
        </w:rPr>
        <w:t>Artikel 1</w:t>
      </w:r>
    </w:p>
    <w:p w:rsidR="008D3341" w:rsidRPr="006C6985" w:rsidRDefault="008D3341" w:rsidP="00220108">
      <w:pPr>
        <w:pStyle w:val="Titrearticle"/>
        <w:rPr>
          <w:noProof/>
        </w:rPr>
      </w:pPr>
      <w:r w:rsidRPr="006C6985">
        <w:rPr>
          <w:noProof/>
        </w:rPr>
        <w:t>Wijzigingen van Uitvoeringsverordening (EU) 2021/763</w:t>
      </w:r>
    </w:p>
    <w:p w:rsidR="00F83DBF" w:rsidRPr="006C6985" w:rsidRDefault="00F83DBF" w:rsidP="00F83DBF">
      <w:pPr>
        <w:rPr>
          <w:noProof/>
        </w:rPr>
      </w:pPr>
      <w:r w:rsidRPr="006C6985">
        <w:rPr>
          <w:noProof/>
        </w:rPr>
        <w:t>Uitvoeringsverordening (EU) 2021/763 wordt als volgt gewijzigd:</w:t>
      </w:r>
    </w:p>
    <w:p w:rsidR="00F83DBF" w:rsidRPr="006C6985" w:rsidRDefault="004603A2" w:rsidP="000B009E">
      <w:pPr>
        <w:pStyle w:val="Point0"/>
        <w:rPr>
          <w:noProof/>
        </w:rPr>
      </w:pPr>
      <w:r>
        <w:rPr>
          <w:noProof/>
        </w:rPr>
        <w:t>(1)</w:t>
      </w:r>
      <w:r>
        <w:rPr>
          <w:noProof/>
        </w:rPr>
        <w:tab/>
      </w:r>
      <w:r w:rsidRPr="006C6985">
        <w:rPr>
          <w:noProof/>
        </w:rPr>
        <w:t>de templates M 02.00 en M 03.00 in bijlage I worden vervangen door de templates M 02.00 en M 03.00 in bijlage I bij deze verordening;</w:t>
      </w:r>
    </w:p>
    <w:p w:rsidR="00F83DBF" w:rsidRPr="006C6985" w:rsidRDefault="00F83DBF" w:rsidP="00220108">
      <w:pPr>
        <w:pStyle w:val="Point0"/>
        <w:rPr>
          <w:noProof/>
        </w:rPr>
      </w:pPr>
      <w:r>
        <w:rPr>
          <w:noProof/>
        </w:rPr>
        <w:t>(2)</w:t>
      </w:r>
      <w:r>
        <w:rPr>
          <w:noProof/>
        </w:rPr>
        <w:tab/>
      </w:r>
      <w:r w:rsidRPr="006C6985">
        <w:rPr>
          <w:noProof/>
        </w:rPr>
        <w:t>bijlage II wordt vervangen door de tekst die is opgenomen in bijlage II bij deze verordening;</w:t>
      </w:r>
    </w:p>
    <w:p w:rsidR="00F83DBF" w:rsidRPr="006C6985" w:rsidRDefault="004603A2" w:rsidP="00220108">
      <w:pPr>
        <w:pStyle w:val="Point0"/>
        <w:rPr>
          <w:noProof/>
        </w:rPr>
      </w:pPr>
      <w:r>
        <w:rPr>
          <w:noProof/>
        </w:rPr>
        <w:t>(3)</w:t>
      </w:r>
      <w:r>
        <w:rPr>
          <w:noProof/>
        </w:rPr>
        <w:tab/>
      </w:r>
      <w:r w:rsidRPr="006C6985">
        <w:rPr>
          <w:noProof/>
        </w:rPr>
        <w:t>de templates EU TLAC1 en EU ILAC in bijlage V worden vervangen door de templates EU TLAC1 en EU ILAC in bijlage III bij deze verordening;</w:t>
      </w:r>
    </w:p>
    <w:p w:rsidR="00F83DBF" w:rsidRPr="006C6985" w:rsidRDefault="00F83DBF" w:rsidP="00220108">
      <w:pPr>
        <w:pStyle w:val="Point0"/>
        <w:rPr>
          <w:noProof/>
        </w:rPr>
      </w:pPr>
      <w:r>
        <w:rPr>
          <w:noProof/>
        </w:rPr>
        <w:t>(4)</w:t>
      </w:r>
      <w:r>
        <w:rPr>
          <w:noProof/>
        </w:rPr>
        <w:tab/>
      </w:r>
      <w:r w:rsidRPr="006C6985">
        <w:rPr>
          <w:noProof/>
        </w:rPr>
        <w:t>bijlage VI wordt vervangen door de tekst die is opgenomen in bijlage IV bij deze verordening.</w:t>
      </w:r>
    </w:p>
    <w:p w:rsidR="00F83DBF" w:rsidRPr="006C6985" w:rsidRDefault="00F83DBF" w:rsidP="00F83DBF">
      <w:pPr>
        <w:pStyle w:val="Titrearticle"/>
        <w:rPr>
          <w:noProof/>
        </w:rPr>
      </w:pPr>
      <w:r w:rsidRPr="006C6985">
        <w:rPr>
          <w:noProof/>
        </w:rPr>
        <w:t>Artikel 2</w:t>
      </w:r>
    </w:p>
    <w:p w:rsidR="00CC305D" w:rsidRPr="006C6985" w:rsidRDefault="00CC305D" w:rsidP="00583FFA">
      <w:pPr>
        <w:jc w:val="center"/>
        <w:rPr>
          <w:b/>
          <w:bCs/>
          <w:noProof/>
          <w:color w:val="000000"/>
        </w:rPr>
      </w:pPr>
      <w:r w:rsidRPr="006C6985">
        <w:rPr>
          <w:b/>
          <w:noProof/>
          <w:color w:val="000000"/>
        </w:rPr>
        <w:t>Inwerkingtreding en toepassing</w:t>
      </w:r>
    </w:p>
    <w:p w:rsidR="00F83DBF" w:rsidRPr="006C6985" w:rsidRDefault="00F83DBF" w:rsidP="00F83DBF">
      <w:pPr>
        <w:rPr>
          <w:noProof/>
          <w:color w:val="000000"/>
        </w:rPr>
      </w:pPr>
      <w:r w:rsidRPr="006C6985">
        <w:rPr>
          <w:noProof/>
          <w:color w:val="000000"/>
        </w:rPr>
        <w:t xml:space="preserve">Deze verordening treedt in werking op de twintigste dag na die van de bekendmaking ervan in het </w:t>
      </w:r>
      <w:r w:rsidRPr="006C6985">
        <w:rPr>
          <w:i/>
          <w:noProof/>
          <w:color w:val="000000"/>
        </w:rPr>
        <w:t>Publicatieblad van de Europese Unie</w:t>
      </w:r>
      <w:r w:rsidRPr="006C6985">
        <w:rPr>
          <w:noProof/>
          <w:color w:val="000000"/>
        </w:rPr>
        <w:t>.</w:t>
      </w:r>
    </w:p>
    <w:p w:rsidR="00F83DBF" w:rsidRPr="006C6985" w:rsidRDefault="00F83DBF" w:rsidP="00F83DBF">
      <w:pPr>
        <w:rPr>
          <w:noProof/>
          <w:color w:val="000000"/>
        </w:rPr>
      </w:pPr>
      <w:r w:rsidRPr="006C6985">
        <w:rPr>
          <w:noProof/>
          <w:color w:val="000000"/>
        </w:rPr>
        <w:t xml:space="preserve">Zij is van toepassing met ingang van </w:t>
      </w:r>
      <w:r w:rsidRPr="006C6985">
        <w:rPr>
          <w:i/>
          <w:noProof/>
          <w:color w:val="000000"/>
        </w:rPr>
        <w:t>[OP: Please insert the date six months after the date of entry into force of this amending Regulation]</w:t>
      </w:r>
      <w:r w:rsidRPr="006C6985">
        <w:rPr>
          <w:noProof/>
          <w:color w:val="000000"/>
        </w:rPr>
        <w:t xml:space="preserve">. </w:t>
      </w:r>
    </w:p>
    <w:p w:rsidR="001D506C" w:rsidRPr="006C6985" w:rsidRDefault="001D506C" w:rsidP="004E1EF9">
      <w:pPr>
        <w:pStyle w:val="Applicationdirecte"/>
        <w:keepNext/>
        <w:keepLines/>
        <w:rPr>
          <w:noProof/>
        </w:rPr>
      </w:pPr>
      <w:r w:rsidRPr="006C6985">
        <w:rPr>
          <w:noProof/>
        </w:rPr>
        <w:t>Deze verordening is verbindend in al haar onderdelen en is rechtstreeks toepasselijk in de lidstaten.</w:t>
      </w:r>
    </w:p>
    <w:p w:rsidR="001D506C" w:rsidRPr="006C6985" w:rsidRDefault="00E46A12" w:rsidP="000708AB">
      <w:pPr>
        <w:pStyle w:val="Fait"/>
        <w:rPr>
          <w:noProof/>
        </w:rPr>
      </w:pPr>
      <w:r>
        <w:rPr>
          <w:noProof/>
        </w:rPr>
        <w:t>Gedaan te Brussel, 6.6.2024</w:t>
      </w:r>
    </w:p>
    <w:p w:rsidR="001D506C" w:rsidRPr="006C6985" w:rsidRDefault="001D506C" w:rsidP="000708AB">
      <w:pPr>
        <w:pStyle w:val="Institutionquisigne"/>
        <w:rPr>
          <w:noProof/>
        </w:rPr>
      </w:pPr>
      <w:r w:rsidRPr="006C6985">
        <w:rPr>
          <w:noProof/>
        </w:rPr>
        <w:tab/>
        <w:t>Voor de Commissie</w:t>
      </w:r>
    </w:p>
    <w:p w:rsidR="00F718B8" w:rsidRPr="006C6985" w:rsidRDefault="00F11860" w:rsidP="000708AB">
      <w:pPr>
        <w:pStyle w:val="Personnequisigne"/>
        <w:keepNext/>
        <w:rPr>
          <w:noProof/>
        </w:rPr>
      </w:pPr>
      <w:r>
        <w:rPr>
          <w:noProof/>
        </w:rPr>
        <w:tab/>
        <w:t>De voorzitter</w:t>
      </w:r>
      <w:r>
        <w:rPr>
          <w:noProof/>
        </w:rPr>
        <w:br/>
      </w:r>
      <w:r>
        <w:rPr>
          <w:noProof/>
        </w:rPr>
        <w:tab/>
        <w:t>Ursula VON DER LEYEN</w:t>
      </w:r>
    </w:p>
    <w:p w:rsidR="00C402D1" w:rsidRPr="006C6985" w:rsidRDefault="00C402D1" w:rsidP="00C402D1">
      <w:pPr>
        <w:pStyle w:val="Personnequisigne"/>
        <w:rPr>
          <w:noProof/>
        </w:rPr>
      </w:pPr>
    </w:p>
    <w:sectPr w:rsidR="00C402D1" w:rsidRPr="006C6985" w:rsidSect="001C4C68">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C68" w:rsidRPr="001C4C68" w:rsidRDefault="001C4C68" w:rsidP="001C4C68">
    <w:pPr>
      <w:pStyle w:val="Footer"/>
      <w:rPr>
        <w:rFonts w:ascii="Arial" w:hAnsi="Arial" w:cs="Arial"/>
        <w:b/>
        <w:sz w:val="48"/>
      </w:rPr>
    </w:pPr>
    <w:r w:rsidRPr="001C4C68">
      <w:rPr>
        <w:rFonts w:ascii="Arial" w:hAnsi="Arial" w:cs="Arial"/>
        <w:b/>
        <w:sz w:val="48"/>
      </w:rPr>
      <w:t>NL</w:t>
    </w:r>
    <w:r w:rsidRPr="001C4C68">
      <w:rPr>
        <w:rFonts w:ascii="Arial" w:hAnsi="Arial" w:cs="Arial"/>
        <w:b/>
        <w:sz w:val="48"/>
      </w:rPr>
      <w:tab/>
    </w:r>
    <w:r w:rsidRPr="001C4C68">
      <w:rPr>
        <w:rFonts w:ascii="Arial" w:hAnsi="Arial" w:cs="Arial"/>
        <w:b/>
        <w:sz w:val="48"/>
      </w:rPr>
      <w:tab/>
    </w:r>
    <w:r w:rsidRPr="001C4C68">
      <w:tab/>
    </w:r>
    <w:r w:rsidRPr="001C4C68">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C68" w:rsidRPr="001C4C68" w:rsidRDefault="001C4C68" w:rsidP="001C4C68">
    <w:pPr>
      <w:pStyle w:val="Footer"/>
      <w:rPr>
        <w:rFonts w:ascii="Arial" w:hAnsi="Arial" w:cs="Arial"/>
        <w:b/>
        <w:sz w:val="48"/>
      </w:rPr>
    </w:pPr>
    <w:r w:rsidRPr="001C4C68">
      <w:rPr>
        <w:rFonts w:ascii="Arial" w:hAnsi="Arial" w:cs="Arial"/>
        <w:b/>
        <w:sz w:val="48"/>
      </w:rPr>
      <w:t>NL</w:t>
    </w:r>
    <w:r w:rsidRPr="001C4C68">
      <w:rPr>
        <w:rFonts w:ascii="Arial" w:hAnsi="Arial" w:cs="Arial"/>
        <w:b/>
        <w:sz w:val="48"/>
      </w:rPr>
      <w:tab/>
    </w:r>
    <w:r w:rsidRPr="001C4C68">
      <w:rPr>
        <w:rFonts w:ascii="Arial" w:hAnsi="Arial" w:cs="Arial"/>
        <w:b/>
        <w:sz w:val="48"/>
      </w:rPr>
      <w:tab/>
    </w:r>
    <w:r w:rsidRPr="001C4C68">
      <w:tab/>
    </w:r>
    <w:r w:rsidRPr="001C4C68">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C68" w:rsidRPr="001C4C68" w:rsidRDefault="001C4C68" w:rsidP="001C4C6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C68" w:rsidRDefault="001C4C6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C68" w:rsidRPr="001C4C68" w:rsidRDefault="001C4C68" w:rsidP="001C4C68">
    <w:pPr>
      <w:pStyle w:val="Footer"/>
      <w:rPr>
        <w:rFonts w:ascii="Arial" w:hAnsi="Arial" w:cs="Arial"/>
        <w:b/>
        <w:sz w:val="48"/>
      </w:rPr>
    </w:pPr>
    <w:r w:rsidRPr="001C4C68">
      <w:rPr>
        <w:rFonts w:ascii="Arial" w:hAnsi="Arial" w:cs="Arial"/>
        <w:b/>
        <w:sz w:val="48"/>
      </w:rPr>
      <w:t>NL</w:t>
    </w:r>
    <w:r w:rsidRPr="001C4C68">
      <w:rPr>
        <w:rFonts w:ascii="Arial" w:hAnsi="Arial" w:cs="Arial"/>
        <w:b/>
        <w:sz w:val="48"/>
      </w:rPr>
      <w:tab/>
    </w:r>
    <w:r>
      <w:fldChar w:fldCharType="begin"/>
    </w:r>
    <w:r>
      <w:instrText xml:space="preserve"> PAGE  \* MERGEFORMAT </w:instrText>
    </w:r>
    <w:r>
      <w:fldChar w:fldCharType="separate"/>
    </w:r>
    <w:r w:rsidR="00F43617">
      <w:rPr>
        <w:noProof/>
      </w:rPr>
      <w:t>1</w:t>
    </w:r>
    <w:r>
      <w:fldChar w:fldCharType="end"/>
    </w:r>
    <w:r>
      <w:tab/>
    </w:r>
    <w:r w:rsidRPr="001C4C68">
      <w:tab/>
    </w:r>
    <w:r w:rsidRPr="001C4C68">
      <w:rPr>
        <w:rFonts w:ascii="Arial" w:hAnsi="Arial" w:cs="Arial"/>
        <w:b/>
        <w:sz w:val="48"/>
      </w:rPr>
      <w:t>NL</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C68" w:rsidRDefault="001C4C68" w:rsidP="001C4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6C6985" w:rsidRDefault="000E6FD2" w:rsidP="000E6FD2">
      <w:pPr>
        <w:pStyle w:val="FootnoteText"/>
      </w:pPr>
      <w:r>
        <w:rPr>
          <w:rStyle w:val="FootnoteReference"/>
        </w:rPr>
        <w:footnoteRef/>
      </w:r>
      <w:r w:rsidRPr="006C6985">
        <w:tab/>
        <w:t xml:space="preserve">PB L 176 van 27.6.2013, blz. 1, ELI: http://data.europa.eu/eli/reg/2013/575/oj. </w:t>
      </w:r>
    </w:p>
  </w:footnote>
  <w:footnote w:id="2">
    <w:p w:rsidR="000E6FD2" w:rsidRPr="006C6985" w:rsidRDefault="000E6FD2" w:rsidP="000E6FD2">
      <w:pPr>
        <w:pStyle w:val="FootnoteText"/>
      </w:pPr>
      <w:r>
        <w:rPr>
          <w:rStyle w:val="FootnoteReference"/>
        </w:rPr>
        <w:footnoteRef/>
      </w:r>
      <w:r w:rsidRPr="006C6985">
        <w:tab/>
        <w:t xml:space="preserve">PB L 173 van 12.6.2014, blz. 190, ELI: http://data.europa.eu/eli/dir/2014/59/oj. </w:t>
      </w:r>
    </w:p>
  </w:footnote>
  <w:footnote w:id="3">
    <w:p w:rsidR="00F83DBF" w:rsidRPr="006C6985" w:rsidRDefault="00F83DBF" w:rsidP="00F83DBF">
      <w:pPr>
        <w:pStyle w:val="FootnoteText"/>
      </w:pPr>
      <w:r>
        <w:rPr>
          <w:rStyle w:val="FootnoteReference"/>
        </w:rPr>
        <w:footnoteRef/>
      </w:r>
      <w:r w:rsidRPr="006C6985">
        <w:tab/>
        <w:t>Verordening (EU) 2022/2036 van het Europees Parlement en de Raad van 19 oktober 2022 tot wijziging van Verordening (EU) nr. 575/2013 en Richtlijn 2014/59/EU wat betreft de prudentiële behandeling van mondiaal systeemrelevante instellingen met een multiple-point-of-entry-afwikkelingsstrategie en methoden voor de indirecte plaatsing van instrumenten die in aanmerking komen voor de naleving van het minimumvereiste voor eigen vermogen en in aanmerking komende passiva (PB L 275 van 25.10.2022, blz. 1, ELI: http://data.europa.eu/eli/reg/2022/2036/oj).</w:t>
      </w:r>
    </w:p>
  </w:footnote>
  <w:footnote w:id="4">
    <w:p w:rsidR="00F83DBF" w:rsidRPr="006C6985" w:rsidRDefault="00F83DBF" w:rsidP="00F83DBF">
      <w:pPr>
        <w:pStyle w:val="FootnoteText"/>
      </w:pPr>
      <w:r>
        <w:rPr>
          <w:rStyle w:val="FootnoteReference"/>
        </w:rPr>
        <w:footnoteRef/>
      </w:r>
      <w:r w:rsidRPr="006C6985">
        <w:tab/>
        <w:t>Richtlijn 2014/59/EU van het Europees Parlement en de Raad van 15 mei 2014 betreffende de totstandbrenging van een kader voor het herstel en de afwikkeling van kredietinstellingen en beleggingsondernemingen en tot wijziging van Richtlijn 82/891/EEG van de Raad en de Richtlijnen 2001/24/EG, 2002/47/EG, 2004/25/EG, 2005/56/EG, 2007/36/EG, 2011/35/EU, 2012/30/EU en 2013/36/EU en de Verordeningen (EU) nr. 1093/2010 en (EU) nr. 648/2012 van het Europees Parlement en de Raad (PB L 173 van 12.6.2014, blz. 190).</w:t>
      </w:r>
    </w:p>
  </w:footnote>
  <w:footnote w:id="5">
    <w:p w:rsidR="00F83DBF" w:rsidRPr="006C6985" w:rsidRDefault="00F83DBF" w:rsidP="00F83DBF">
      <w:pPr>
        <w:pStyle w:val="FootnoteText"/>
      </w:pPr>
      <w:r>
        <w:rPr>
          <w:rStyle w:val="FootnoteReference"/>
        </w:rPr>
        <w:footnoteRef/>
      </w:r>
      <w:r w:rsidRPr="006C6985">
        <w:tab/>
        <w:t>Uitvoeringsverordening (EU) 2021/763 van de Commissie van 23 april 2021 tot vaststelling van technische uitvoeringsnormen voor de toepassing van Verordening (EU) nr. 575/2013 van het Europees Parlement en de Raad en van Richtlijn 2014/59/EU van het Europees Parlement en de Raad ten aanzien van de toezichtrapportage en openbaarmaking van het minimumvereiste voor eigen vermogen en in aanmerking komende passiva (PB L 168 van 12.5.2021, blz. 1).</w:t>
      </w:r>
    </w:p>
  </w:footnote>
  <w:footnote w:id="6">
    <w:p w:rsidR="00686AFD" w:rsidRPr="006C6985" w:rsidRDefault="00686AFD" w:rsidP="00686AFD">
      <w:pPr>
        <w:pStyle w:val="FootnoteText"/>
      </w:pPr>
      <w:r>
        <w:rPr>
          <w:rStyle w:val="FootnoteReference"/>
        </w:rPr>
        <w:footnoteRef/>
      </w:r>
      <w:r w:rsidRPr="006C6985">
        <w:tab/>
        <w:t>Richtlijn (EU) 2024/1174 van het Europees Parlement en de Raad van 11 april 2024 tot wijziging van Richtlijn 2014/59/EU en Verordening (EU) nr. 806/2014 met betrekking tot bepaalde aspecten van het minimumvereiste voor eigen vermogen en in aanmerking komende passiva (PB L, 2024/1174, 22.4.2024).</w:t>
      </w:r>
    </w:p>
  </w:footnote>
  <w:footnote w:id="7">
    <w:p w:rsidR="00F83DBF" w:rsidRPr="006C6985" w:rsidRDefault="00F83DBF" w:rsidP="00F83DBF">
      <w:pPr>
        <w:pStyle w:val="FootnoteText"/>
      </w:pPr>
      <w:r>
        <w:rPr>
          <w:rStyle w:val="FootnoteReference"/>
        </w:rPr>
        <w:footnoteRef/>
      </w:r>
      <w:r w:rsidRPr="006C6985">
        <w:tab/>
        <w:t>Verordening (EU) nr. 1093/2010 van het Europees Parlement en de Raad van 24 november 2010 tot oprichting van een Europese toezichthoudende autoriteit (Europese Bankautoriteit), tot wijziging van Besluit nr. 716/2009/EG en tot intrekking van Besluit 2009/78/EG van de Commissie (PB L 331 van 15.12.2010, blz.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C68" w:rsidRPr="001C4C68" w:rsidRDefault="001C4C68" w:rsidP="001C4C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C68" w:rsidRPr="001C4C68" w:rsidRDefault="001C4C68" w:rsidP="001C4C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C68" w:rsidRPr="001C4C68" w:rsidRDefault="001C4C68" w:rsidP="001C4C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C68" w:rsidRDefault="001C4C6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C68" w:rsidRDefault="001C4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14"/>
  </w:num>
  <w:num w:numId="18">
    <w:abstractNumId w:val="9"/>
  </w:num>
  <w:num w:numId="19">
    <w:abstractNumId w:val="20"/>
  </w:num>
  <w:num w:numId="20">
    <w:abstractNumId w:val="8"/>
  </w:num>
  <w:num w:numId="21">
    <w:abstractNumId w:val="15"/>
  </w:num>
  <w:num w:numId="22">
    <w:abstractNumId w:val="17"/>
  </w:num>
  <w:num w:numId="23">
    <w:abstractNumId w:val="18"/>
  </w:num>
  <w:num w:numId="24">
    <w:abstractNumId w:val="10"/>
  </w:num>
  <w:num w:numId="25">
    <w:abstractNumId w:val="16"/>
  </w:num>
  <w:num w:numId="2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4:3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C65AA805-8AD2-43A8-AB67-3FA70D80132E"/>
    <w:docVar w:name="LW_COVERPAGE_TYPE" w:val="1"/>
    <w:docVar w:name="LW_CROSSREFERENCE" w:val="&lt;UNUSED&gt;"/>
    <w:docVar w:name="LW_DATE.ADOPT.CP" w:val="van 6.6.2024"/>
    <w:docVar w:name="LW_DATE.ADOPT.CP_DATEFORMAT" w:val="van %DATE%"/>
    <w:docVar w:name="LW_DATE.ADOPT.CP_ISODATE" w:val="2024-06-06"/>
    <w:docVar w:name="LW_DocType" w:val="COM"/>
    <w:docVar w:name="LW_EMISSION" w:val="6.6.2024"/>
    <w:docVar w:name="LW_EMISSION_ISODATE" w:val="2024-06-06"/>
    <w:docVar w:name="LW_EMISSION_LOCATION" w:val="BRX"/>
    <w:docVar w:name="LW_EMISSION_PREFIX" w:val="Brussel, "/>
    <w:docVar w:name="LW_EMISSION_SUFFIX" w:val=" "/>
    <w:docVar w:name="LW_ID_DOCMODEL" w:val="SJ-004"/>
    <w:docVar w:name="LW_ID_DOCSIGNATURE" w:val="SJ-004"/>
    <w:docVar w:name="LW_ID_DOCSTRUCTURE" w:val="COM/AA"/>
    <w:docVar w:name="LW_ID_DOCTYPE" w:val="SJ-004"/>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ot wijziging van Uitvoeringsverordening (EU) 2021/763 van de Commissie tot vaststelling van technische uitvoeringsnormen voor de toepassing van Verordening (EU) nr. 575/2013 van het Europees Parlement en de Raad en van Richtlijn 2014/59/EU van het Europees Parlement en de Raad ten aanzien van de toezichtrapportage en openbaarmaking van het minimumvereiste voor eigen vermogen en in aanmerking komende passiva  _x000b_"/>
    <w:docVar w:name="LW_TYPE.DOC.CP" w:val="UITVOERINGSVERORDENING (EU) \u8230?/... VAN DE COMMISSIE"/>
    <w:docVar w:name="LwApiVersions" w:val="LW4CoDe 1.24.5.0; LW 9.0, Build 20240221"/>
  </w:docVars>
  <w:rsids>
    <w:rsidRoot w:val="001D506C"/>
    <w:rsid w:val="000708AB"/>
    <w:rsid w:val="00093B4B"/>
    <w:rsid w:val="000955EB"/>
    <w:rsid w:val="000B009E"/>
    <w:rsid w:val="000B7A7D"/>
    <w:rsid w:val="000E6B56"/>
    <w:rsid w:val="000E6FD2"/>
    <w:rsid w:val="0013442E"/>
    <w:rsid w:val="00152894"/>
    <w:rsid w:val="00185DB3"/>
    <w:rsid w:val="001B397F"/>
    <w:rsid w:val="001B6C2F"/>
    <w:rsid w:val="001C4C68"/>
    <w:rsid w:val="001D506C"/>
    <w:rsid w:val="00220108"/>
    <w:rsid w:val="0022339B"/>
    <w:rsid w:val="00292AC6"/>
    <w:rsid w:val="002B65CA"/>
    <w:rsid w:val="002C09C1"/>
    <w:rsid w:val="002F0DF7"/>
    <w:rsid w:val="002F1E29"/>
    <w:rsid w:val="00302BB5"/>
    <w:rsid w:val="0031489C"/>
    <w:rsid w:val="00314C67"/>
    <w:rsid w:val="00363DC5"/>
    <w:rsid w:val="00370470"/>
    <w:rsid w:val="00380338"/>
    <w:rsid w:val="0038177F"/>
    <w:rsid w:val="003819BF"/>
    <w:rsid w:val="0038725C"/>
    <w:rsid w:val="00391381"/>
    <w:rsid w:val="00396ACD"/>
    <w:rsid w:val="003C0C4B"/>
    <w:rsid w:val="00437AA5"/>
    <w:rsid w:val="0044282B"/>
    <w:rsid w:val="004526E7"/>
    <w:rsid w:val="004603A2"/>
    <w:rsid w:val="00492396"/>
    <w:rsid w:val="004B3865"/>
    <w:rsid w:val="004C38F7"/>
    <w:rsid w:val="004D19DF"/>
    <w:rsid w:val="004E19F9"/>
    <w:rsid w:val="00517205"/>
    <w:rsid w:val="0052704B"/>
    <w:rsid w:val="005279D9"/>
    <w:rsid w:val="00542487"/>
    <w:rsid w:val="00580629"/>
    <w:rsid w:val="00582810"/>
    <w:rsid w:val="00583FFA"/>
    <w:rsid w:val="00595540"/>
    <w:rsid w:val="005B5FA6"/>
    <w:rsid w:val="005E1E85"/>
    <w:rsid w:val="005F222A"/>
    <w:rsid w:val="005F33FF"/>
    <w:rsid w:val="006654AB"/>
    <w:rsid w:val="006813A6"/>
    <w:rsid w:val="00686AFD"/>
    <w:rsid w:val="006A2A68"/>
    <w:rsid w:val="006C6985"/>
    <w:rsid w:val="006F7EFE"/>
    <w:rsid w:val="00703C0B"/>
    <w:rsid w:val="0075467B"/>
    <w:rsid w:val="007B77CA"/>
    <w:rsid w:val="007D0861"/>
    <w:rsid w:val="007D1225"/>
    <w:rsid w:val="007E010B"/>
    <w:rsid w:val="00802FC2"/>
    <w:rsid w:val="0081293E"/>
    <w:rsid w:val="0084238A"/>
    <w:rsid w:val="00852DE8"/>
    <w:rsid w:val="008C58B7"/>
    <w:rsid w:val="008C62AF"/>
    <w:rsid w:val="008C63FE"/>
    <w:rsid w:val="008D0E5E"/>
    <w:rsid w:val="008D3341"/>
    <w:rsid w:val="008E2694"/>
    <w:rsid w:val="00940731"/>
    <w:rsid w:val="009476D9"/>
    <w:rsid w:val="009702E0"/>
    <w:rsid w:val="009712C1"/>
    <w:rsid w:val="009719B6"/>
    <w:rsid w:val="009731D1"/>
    <w:rsid w:val="00985A34"/>
    <w:rsid w:val="009957C5"/>
    <w:rsid w:val="009A1A98"/>
    <w:rsid w:val="00A10BBD"/>
    <w:rsid w:val="00A2735C"/>
    <w:rsid w:val="00A565C7"/>
    <w:rsid w:val="00A61FE3"/>
    <w:rsid w:val="00A63976"/>
    <w:rsid w:val="00B0742B"/>
    <w:rsid w:val="00B247D1"/>
    <w:rsid w:val="00B50A87"/>
    <w:rsid w:val="00B50D22"/>
    <w:rsid w:val="00B74403"/>
    <w:rsid w:val="00B84713"/>
    <w:rsid w:val="00B851FA"/>
    <w:rsid w:val="00BE38E4"/>
    <w:rsid w:val="00C1447B"/>
    <w:rsid w:val="00C3731F"/>
    <w:rsid w:val="00C402D1"/>
    <w:rsid w:val="00C62ABE"/>
    <w:rsid w:val="00C72F66"/>
    <w:rsid w:val="00C9371C"/>
    <w:rsid w:val="00CB4B4C"/>
    <w:rsid w:val="00CC1C7F"/>
    <w:rsid w:val="00CC305D"/>
    <w:rsid w:val="00CE02BF"/>
    <w:rsid w:val="00D15425"/>
    <w:rsid w:val="00D15677"/>
    <w:rsid w:val="00D37A87"/>
    <w:rsid w:val="00D455A5"/>
    <w:rsid w:val="00D60353"/>
    <w:rsid w:val="00D72B5B"/>
    <w:rsid w:val="00D73411"/>
    <w:rsid w:val="00D917AD"/>
    <w:rsid w:val="00DA38A7"/>
    <w:rsid w:val="00DB127D"/>
    <w:rsid w:val="00DB4B20"/>
    <w:rsid w:val="00E07235"/>
    <w:rsid w:val="00E247EB"/>
    <w:rsid w:val="00E33C9F"/>
    <w:rsid w:val="00E36C0E"/>
    <w:rsid w:val="00E46A12"/>
    <w:rsid w:val="00E83C6F"/>
    <w:rsid w:val="00E9509D"/>
    <w:rsid w:val="00E979AB"/>
    <w:rsid w:val="00EC39BC"/>
    <w:rsid w:val="00EE140B"/>
    <w:rsid w:val="00F02755"/>
    <w:rsid w:val="00F11860"/>
    <w:rsid w:val="00F41B40"/>
    <w:rsid w:val="00F43617"/>
    <w:rsid w:val="00F718B8"/>
    <w:rsid w:val="00F733AF"/>
    <w:rsid w:val="00F767D0"/>
    <w:rsid w:val="00F83DBF"/>
    <w:rsid w:val="00FC2396"/>
    <w:rsid w:val="00FE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nl-NL"/>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1C4C68"/>
    <w:rPr>
      <w:rFonts w:ascii="Times New Roman" w:hAnsi="Times New Roman" w:cs="Times New Roman"/>
      <w:sz w:val="24"/>
      <w:lang w:val="nl-NL"/>
    </w:rPr>
  </w:style>
  <w:style w:type="character" w:customStyle="1" w:styleId="FooterChar">
    <w:name w:val="Footer Char"/>
    <w:basedOn w:val="DefaultParagraphFont"/>
    <w:link w:val="Footer"/>
    <w:uiPriority w:val="99"/>
    <w:rsid w:val="001C4C68"/>
    <w:rPr>
      <w:rFonts w:ascii="Times New Roman" w:hAnsi="Times New Roman" w:cs="Times New Roman"/>
      <w:sz w:val="24"/>
      <w:lang w:val="nl-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nl-NL"/>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nl-NL"/>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nl-NL"/>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nl-NL"/>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nl-NL"/>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nl-NL"/>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nl-NL"/>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C4C6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C4C68"/>
    <w:pPr>
      <w:spacing w:before="0"/>
      <w:jc w:val="right"/>
    </w:pPr>
    <w:rPr>
      <w:sz w:val="28"/>
    </w:rPr>
  </w:style>
  <w:style w:type="paragraph" w:customStyle="1" w:styleId="FooterSensitivity">
    <w:name w:val="Footer Sensitivity"/>
    <w:basedOn w:val="Normal"/>
    <w:rsid w:val="001C4C6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2"/>
      </w:numPr>
    </w:pPr>
  </w:style>
  <w:style w:type="paragraph" w:customStyle="1" w:styleId="Tiret1">
    <w:name w:val="Tiret 1"/>
    <w:basedOn w:val="Point1"/>
    <w:pPr>
      <w:numPr>
        <w:numId w:val="13"/>
      </w:numPr>
    </w:pPr>
  </w:style>
  <w:style w:type="paragraph" w:customStyle="1" w:styleId="Tiret2">
    <w:name w:val="Tiret 2"/>
    <w:basedOn w:val="Point2"/>
    <w:pPr>
      <w:numPr>
        <w:numId w:val="14"/>
      </w:numPr>
    </w:pPr>
  </w:style>
  <w:style w:type="paragraph" w:customStyle="1" w:styleId="Tiret3">
    <w:name w:val="Tiret 3"/>
    <w:basedOn w:val="Point3"/>
    <w:pPr>
      <w:numPr>
        <w:numId w:val="15"/>
      </w:numPr>
    </w:pPr>
  </w:style>
  <w:style w:type="paragraph" w:customStyle="1" w:styleId="Tiret4">
    <w:name w:val="Tiret 4"/>
    <w:basedOn w:val="Point4"/>
    <w:pPr>
      <w:numPr>
        <w:numId w:val="16"/>
      </w:numPr>
    </w:pPr>
  </w:style>
  <w:style w:type="paragraph" w:customStyle="1" w:styleId="Tiret5">
    <w:name w:val="Tiret 5"/>
    <w:basedOn w:val="Point5"/>
    <w:pPr>
      <w:numPr>
        <w:numId w:val="1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8"/>
      </w:numPr>
    </w:pPr>
  </w:style>
  <w:style w:type="paragraph" w:customStyle="1" w:styleId="NumPar2">
    <w:name w:val="NumPar 2"/>
    <w:basedOn w:val="Normal"/>
    <w:next w:val="Text1"/>
    <w:pPr>
      <w:numPr>
        <w:ilvl w:val="1"/>
        <w:numId w:val="18"/>
      </w:numPr>
    </w:pPr>
  </w:style>
  <w:style w:type="paragraph" w:customStyle="1" w:styleId="NumPar3">
    <w:name w:val="NumPar 3"/>
    <w:basedOn w:val="Normal"/>
    <w:next w:val="Text1"/>
    <w:pPr>
      <w:numPr>
        <w:ilvl w:val="2"/>
        <w:numId w:val="18"/>
      </w:numPr>
    </w:pPr>
  </w:style>
  <w:style w:type="paragraph" w:customStyle="1" w:styleId="NumPar4">
    <w:name w:val="NumPar 4"/>
    <w:basedOn w:val="Normal"/>
    <w:next w:val="Text1"/>
    <w:pPr>
      <w:numPr>
        <w:ilvl w:val="3"/>
        <w:numId w:val="18"/>
      </w:numPr>
    </w:pPr>
  </w:style>
  <w:style w:type="paragraph" w:customStyle="1" w:styleId="NumPar5">
    <w:name w:val="NumPar 5"/>
    <w:basedOn w:val="Normal"/>
    <w:next w:val="Text2"/>
    <w:pPr>
      <w:numPr>
        <w:ilvl w:val="4"/>
        <w:numId w:val="18"/>
      </w:numPr>
    </w:pPr>
  </w:style>
  <w:style w:type="paragraph" w:customStyle="1" w:styleId="NumPar6">
    <w:name w:val="NumPar 6"/>
    <w:basedOn w:val="Normal"/>
    <w:next w:val="Text2"/>
    <w:pPr>
      <w:numPr>
        <w:ilvl w:val="5"/>
        <w:numId w:val="18"/>
      </w:numPr>
    </w:pPr>
  </w:style>
  <w:style w:type="paragraph" w:customStyle="1" w:styleId="NumPar7">
    <w:name w:val="NumPar 7"/>
    <w:basedOn w:val="Normal"/>
    <w:next w:val="Text2"/>
    <w:pPr>
      <w:numPr>
        <w:ilvl w:val="6"/>
        <w:numId w:val="1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0"/>
      </w:numPr>
    </w:pPr>
  </w:style>
  <w:style w:type="paragraph" w:customStyle="1" w:styleId="Point1number">
    <w:name w:val="Point 1 (number)"/>
    <w:basedOn w:val="Normal"/>
    <w:pPr>
      <w:numPr>
        <w:ilvl w:val="2"/>
        <w:numId w:val="20"/>
      </w:numPr>
    </w:pPr>
  </w:style>
  <w:style w:type="paragraph" w:customStyle="1" w:styleId="Point2number">
    <w:name w:val="Point 2 (number)"/>
    <w:basedOn w:val="Normal"/>
    <w:pPr>
      <w:numPr>
        <w:ilvl w:val="4"/>
        <w:numId w:val="20"/>
      </w:numPr>
    </w:pPr>
  </w:style>
  <w:style w:type="paragraph" w:customStyle="1" w:styleId="Point3number">
    <w:name w:val="Point 3 (number)"/>
    <w:basedOn w:val="Normal"/>
    <w:pPr>
      <w:numPr>
        <w:ilvl w:val="6"/>
        <w:numId w:val="20"/>
      </w:numPr>
    </w:pPr>
  </w:style>
  <w:style w:type="paragraph" w:customStyle="1" w:styleId="Point0letter">
    <w:name w:val="Point 0 (letter)"/>
    <w:basedOn w:val="Normal"/>
    <w:pPr>
      <w:numPr>
        <w:ilvl w:val="1"/>
        <w:numId w:val="20"/>
      </w:numPr>
    </w:pPr>
  </w:style>
  <w:style w:type="paragraph" w:customStyle="1" w:styleId="Point1letter">
    <w:name w:val="Point 1 (letter)"/>
    <w:basedOn w:val="Normal"/>
    <w:pPr>
      <w:numPr>
        <w:ilvl w:val="3"/>
        <w:numId w:val="20"/>
      </w:numPr>
    </w:pPr>
  </w:style>
  <w:style w:type="paragraph" w:customStyle="1" w:styleId="Point2letter">
    <w:name w:val="Point 2 (letter)"/>
    <w:basedOn w:val="Normal"/>
    <w:pPr>
      <w:numPr>
        <w:ilvl w:val="5"/>
        <w:numId w:val="20"/>
      </w:numPr>
    </w:pPr>
  </w:style>
  <w:style w:type="paragraph" w:customStyle="1" w:styleId="Point3letter">
    <w:name w:val="Point 3 (letter)"/>
    <w:basedOn w:val="Normal"/>
    <w:pPr>
      <w:numPr>
        <w:ilvl w:val="7"/>
        <w:numId w:val="20"/>
      </w:numPr>
    </w:pPr>
  </w:style>
  <w:style w:type="paragraph" w:customStyle="1" w:styleId="Point4letter">
    <w:name w:val="Point 4 (letter)"/>
    <w:basedOn w:val="Normal"/>
    <w:pPr>
      <w:numPr>
        <w:ilvl w:val="8"/>
        <w:numId w:val="20"/>
      </w:numPr>
    </w:pPr>
  </w:style>
  <w:style w:type="paragraph" w:customStyle="1" w:styleId="Bullet0">
    <w:name w:val="Bullet 0"/>
    <w:basedOn w:val="Normal"/>
    <w:pPr>
      <w:numPr>
        <w:numId w:val="21"/>
      </w:numPr>
    </w:pPr>
  </w:style>
  <w:style w:type="paragraph" w:customStyle="1" w:styleId="Bullet1">
    <w:name w:val="Bullet 1"/>
    <w:basedOn w:val="Normal"/>
    <w:pPr>
      <w:numPr>
        <w:numId w:val="22"/>
      </w:numPr>
    </w:pPr>
  </w:style>
  <w:style w:type="paragraph" w:customStyle="1" w:styleId="Bullet2">
    <w:name w:val="Bullet 2"/>
    <w:basedOn w:val="Normal"/>
    <w:pPr>
      <w:numPr>
        <w:numId w:val="23"/>
      </w:numPr>
    </w:pPr>
  </w:style>
  <w:style w:type="paragraph" w:customStyle="1" w:styleId="Bullet3">
    <w:name w:val="Bullet 3"/>
    <w:basedOn w:val="Normal"/>
    <w:pPr>
      <w:numPr>
        <w:numId w:val="24"/>
      </w:numPr>
    </w:pPr>
  </w:style>
  <w:style w:type="paragraph" w:customStyle="1" w:styleId="Bullet4">
    <w:name w:val="Bullet 4"/>
    <w:basedOn w:val="Normal"/>
    <w:pPr>
      <w:numPr>
        <w:numId w:val="2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1C4C68"/>
    <w:pPr>
      <w:tabs>
        <w:tab w:val="center" w:pos="4535"/>
        <w:tab w:val="right" w:pos="9071"/>
      </w:tabs>
      <w:spacing w:before="0"/>
    </w:pPr>
  </w:style>
  <w:style w:type="paragraph" w:customStyle="1" w:styleId="HeaderLandscape">
    <w:name w:val="HeaderLandscape"/>
    <w:basedOn w:val="Normal"/>
    <w:rsid w:val="001C4C68"/>
    <w:pPr>
      <w:tabs>
        <w:tab w:val="center" w:pos="7285"/>
        <w:tab w:val="right" w:pos="14003"/>
      </w:tabs>
      <w:spacing w:before="0"/>
    </w:pPr>
  </w:style>
  <w:style w:type="paragraph" w:styleId="Footer">
    <w:name w:val="footer"/>
    <w:basedOn w:val="Normal"/>
    <w:link w:val="FooterChar"/>
    <w:uiPriority w:val="99"/>
    <w:unhideWhenUsed/>
    <w:rsid w:val="001C4C68"/>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1C4C68"/>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4</Pages>
  <Words>995</Words>
  <Characters>5673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