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D31486" w:rsidRDefault="008A5680" w:rsidP="008A5680">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95DDFC88-7BF5-4C1D-886F-589E46EA6CFA" style="width:455.25pt;height:441pt">
            <v:imagedata r:id="rId7" o:title=""/>
          </v:shape>
        </w:pict>
      </w:r>
    </w:p>
    <w:p w:rsidR="001D506C" w:rsidRPr="00D31486" w:rsidRDefault="001D506C">
      <w:pPr>
        <w:rPr>
          <w:noProof/>
        </w:rPr>
        <w:sectPr w:rsidR="001D506C" w:rsidRPr="00D31486" w:rsidSect="008A5680">
          <w:footerReference w:type="even" r:id="rId8"/>
          <w:footerReference w:type="default" r:id="rId9"/>
          <w:pgSz w:w="11907" w:h="16839"/>
          <w:pgMar w:top="1134" w:right="1417" w:bottom="1134" w:left="1417" w:header="709" w:footer="709" w:gutter="0"/>
          <w:pgNumType w:start="0"/>
          <w:cols w:space="720"/>
          <w:docGrid w:linePitch="360"/>
        </w:sectPr>
      </w:pPr>
    </w:p>
    <w:p w:rsidR="001D506C" w:rsidRPr="00D31486" w:rsidRDefault="00D31486" w:rsidP="00D31486">
      <w:pPr>
        <w:pStyle w:val="Typedudocument"/>
        <w:rPr>
          <w:noProof/>
        </w:rPr>
      </w:pPr>
      <w:bookmarkStart w:id="0" w:name="_GoBack"/>
      <w:bookmarkEnd w:id="0"/>
      <w:r w:rsidRPr="00D31486">
        <w:rPr>
          <w:noProof/>
        </w:rPr>
        <w:lastRenderedPageBreak/>
        <w:t>KOMISSION TÄYTÄNTÖÖNPANOASETUS (EU) …/…,</w:t>
      </w:r>
    </w:p>
    <w:p w:rsidR="001D506C" w:rsidRPr="00D31486" w:rsidRDefault="00922E51" w:rsidP="00D31486">
      <w:pPr>
        <w:pStyle w:val="Datedadoption"/>
        <w:rPr>
          <w:noProof/>
        </w:rPr>
      </w:pPr>
      <w:r>
        <w:rPr>
          <w:noProof/>
        </w:rPr>
        <w:t>annettu 6.6.2024,</w:t>
      </w:r>
    </w:p>
    <w:p w:rsidR="001D506C" w:rsidRPr="00D31486" w:rsidRDefault="00D31486" w:rsidP="00D31486">
      <w:pPr>
        <w:pStyle w:val="Titreobjet"/>
        <w:rPr>
          <w:noProof/>
        </w:rPr>
      </w:pPr>
      <w:r w:rsidRPr="00D31486">
        <w:rPr>
          <w:noProof/>
        </w:rPr>
        <w:t xml:space="preserve">Euroopan parlamentin ja neuvoston asetuksen (EU) N:o 575/2013 ja Euroopan parlamentin ja neuvoston direktiivin 2014/59/EU soveltamista koskevista teknisistä täytäntöönpanostandardeista valvontaan liittyvän raportoinnin ja omia varoja ja hyväksyttäviä velkoja koskevan vähimmäisvaatimuksen julkistamisen osalta annetun täytäntöönpanoasetuksen (EU) 2021/763 muuttamisesta </w:t>
      </w:r>
      <w:r w:rsidRPr="00D31486">
        <w:rPr>
          <w:noProof/>
        </w:rPr>
        <w:br/>
      </w:r>
    </w:p>
    <w:p w:rsidR="001D506C" w:rsidRPr="00D31486" w:rsidRDefault="00D31486" w:rsidP="00D31486">
      <w:pPr>
        <w:pStyle w:val="IntrtEEE"/>
        <w:rPr>
          <w:noProof/>
        </w:rPr>
      </w:pPr>
      <w:r w:rsidRPr="00D31486">
        <w:rPr>
          <w:noProof/>
        </w:rPr>
        <w:t>(ETA:n kannalta merkityksellinen teksti)</w:t>
      </w:r>
    </w:p>
    <w:p w:rsidR="001D506C" w:rsidRPr="00D31486" w:rsidRDefault="001D506C" w:rsidP="004E1EF9">
      <w:pPr>
        <w:pStyle w:val="Institutionquiagit"/>
        <w:rPr>
          <w:noProof/>
        </w:rPr>
      </w:pPr>
      <w:r w:rsidRPr="00D31486">
        <w:rPr>
          <w:noProof/>
        </w:rPr>
        <w:t>EUROOPAN KOMISSIO, joka</w:t>
      </w:r>
    </w:p>
    <w:p w:rsidR="001D506C" w:rsidRPr="00D31486" w:rsidRDefault="001D506C" w:rsidP="004E1EF9">
      <w:pPr>
        <w:rPr>
          <w:noProof/>
        </w:rPr>
      </w:pPr>
      <w:r w:rsidRPr="00D31486">
        <w:rPr>
          <w:noProof/>
          <w:color w:val="000000"/>
        </w:rPr>
        <w:t>ottaa huomioon Euroopan unionin toiminnasta tehdyn sopimuksen</w:t>
      </w:r>
      <w:r w:rsidRPr="00D31486">
        <w:rPr>
          <w:noProof/>
        </w:rPr>
        <w:t>,</w:t>
      </w:r>
    </w:p>
    <w:p w:rsidR="000E6FD2" w:rsidRPr="00D31486" w:rsidRDefault="000E6FD2" w:rsidP="000E6FD2">
      <w:pPr>
        <w:rPr>
          <w:noProof/>
        </w:rPr>
      </w:pPr>
      <w:r w:rsidRPr="00D31486">
        <w:rPr>
          <w:noProof/>
        </w:rPr>
        <w:t>ottaa huomioon luottolaitosten vakavaraisuusvaatimuksista ja asetuksen (EU) N:o 648/2012 muuttamisesta 26 päivänä kesäkuuta 2013 annetun Euroopan parlamentin ja neuvoston asetuksen (EU) N:o 575/2013</w:t>
      </w:r>
      <w:r w:rsidRPr="00D31486">
        <w:rPr>
          <w:rStyle w:val="FootnoteReference"/>
          <w:noProof/>
        </w:rPr>
        <w:footnoteReference w:id="1"/>
      </w:r>
      <w:r w:rsidRPr="00D31486">
        <w:rPr>
          <w:noProof/>
        </w:rPr>
        <w:t xml:space="preserve"> ja erityisesti sen 430 artiklan 7 kohdan viidennen alakohdan ja 434 a artiklan viidennen alakohdan,</w:t>
      </w:r>
    </w:p>
    <w:p w:rsidR="000E6FD2" w:rsidRPr="00D31486" w:rsidRDefault="000E6FD2" w:rsidP="000E6FD2">
      <w:pPr>
        <w:rPr>
          <w:noProof/>
        </w:rPr>
      </w:pPr>
      <w:r w:rsidRPr="00D31486">
        <w:rPr>
          <w:noProof/>
        </w:rPr>
        <w:t>ottaa huomioon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15 päivänä toukokuuta 2014 annetun Euroopan parlamentin ja neuvoston direktiivin 2014/59/EU</w:t>
      </w:r>
      <w:r w:rsidRPr="00D31486">
        <w:rPr>
          <w:rStyle w:val="FootnoteReference"/>
          <w:noProof/>
        </w:rPr>
        <w:footnoteReference w:id="2"/>
      </w:r>
      <w:r w:rsidRPr="00D31486">
        <w:rPr>
          <w:noProof/>
        </w:rPr>
        <w:t xml:space="preserve"> ja erityisesti sen 45 i artiklan 5 kohdan viidennen alakohdan ja 6 kohdan,</w:t>
      </w:r>
    </w:p>
    <w:p w:rsidR="001D506C" w:rsidRPr="00D31486" w:rsidRDefault="001D506C" w:rsidP="004E1EF9">
      <w:pPr>
        <w:rPr>
          <w:noProof/>
        </w:rPr>
      </w:pPr>
      <w:r w:rsidRPr="00D31486">
        <w:rPr>
          <w:noProof/>
        </w:rPr>
        <w:t>sekä katsoo seuraavaa:</w:t>
      </w:r>
    </w:p>
    <w:p w:rsidR="00F83DBF" w:rsidRPr="00D31486" w:rsidRDefault="00F83DBF" w:rsidP="0052704B">
      <w:pPr>
        <w:pStyle w:val="ManualConsidrant"/>
        <w:rPr>
          <w:noProof/>
        </w:rPr>
      </w:pPr>
      <w:r>
        <w:rPr>
          <w:noProof/>
        </w:rPr>
        <w:t>(1)</w:t>
      </w:r>
      <w:r>
        <w:rPr>
          <w:noProof/>
        </w:rPr>
        <w:tab/>
      </w:r>
      <w:bookmarkStart w:id="1" w:name="_Hlk159320995"/>
      <w:r w:rsidRPr="00D31486">
        <w:rPr>
          <w:noProof/>
        </w:rPr>
        <w:t>Euroopan parlamentin ja neuvoston</w:t>
      </w:r>
      <w:bookmarkEnd w:id="1"/>
      <w:r w:rsidRPr="00D31486">
        <w:rPr>
          <w:noProof/>
        </w:rPr>
        <w:t xml:space="preserve"> asetuksella (EU) 2022/2036</w:t>
      </w:r>
      <w:r w:rsidRPr="00D31486">
        <w:rPr>
          <w:rStyle w:val="FootnoteReference"/>
          <w:noProof/>
        </w:rPr>
        <w:footnoteReference w:id="3"/>
      </w:r>
      <w:r w:rsidRPr="00D31486">
        <w:rPr>
          <w:noProof/>
        </w:rPr>
        <w:t xml:space="preserve"> lisättiin asetukseen (EU) N:o 575/2013 vaatimus, jonka mukaan kriisinratkaisun kohteena olevan konsernin väliyhtiönä toimivien yhteisöjen on vähennettävä hyväksyttävien velkojen eristä omistusosuutensa sellaisista omien varojen instrumenteista ja hyväksyttävien velkojen instrumenteista, joita käytetään asetuksen (EU) N:o 575/2013 92 b artiklassa säädetyn vaatimuksen, jäljempänä ’sisäinen kokonaistappionkattamiskykyä koskeva vaatimus’ tai ’sisäinen TLAC-vaatimus’, tai direktiivin 2014/59/EU</w:t>
      </w:r>
      <w:r w:rsidRPr="00D31486">
        <w:rPr>
          <w:rStyle w:val="FootnoteReference"/>
          <w:noProof/>
        </w:rPr>
        <w:footnoteReference w:id="4"/>
      </w:r>
      <w:r w:rsidRPr="00D31486">
        <w:rPr>
          <w:noProof/>
        </w:rPr>
        <w:t xml:space="preserve"> 45 f artiklassa säädetyn vaatimuksen, jäljempänä ’omia varoja ja hyväksyttäviä velkoja koskeva sisäinen vähimmäisvaatimus’ tai ’sisäinen MREL-vähimmäisvaatimus’, </w:t>
      </w:r>
      <w:r w:rsidRPr="00D31486">
        <w:rPr>
          <w:noProof/>
        </w:rPr>
        <w:lastRenderedPageBreak/>
        <w:t>noudattamiseksi, kun kyseiset omien varojen instrumentit ja hyväksyttävien velkojen instrumentit ovat sellaisten samaan kriisinratkaisun kohteena olevaan konserniin kuuluvien yhteisöjen liikkeeseen laskemia, jotka eivät itse ole kriisinratkaisun kohteena olevia yhteisöjä. Kyseinen vähennysvaatimus on sen vuoksi tarpeen ottaa huomioon komission täytäntöönpanoasetuksessa (EU) 2021/763</w:t>
      </w:r>
      <w:r w:rsidRPr="00D31486">
        <w:rPr>
          <w:rStyle w:val="FootnoteReference"/>
          <w:bCs/>
          <w:noProof/>
        </w:rPr>
        <w:footnoteReference w:id="5"/>
      </w:r>
      <w:r w:rsidRPr="00D31486">
        <w:rPr>
          <w:noProof/>
        </w:rPr>
        <w:t xml:space="preserve"> esitetyissä lomakkeissa, jotka koskevat sisäistä MREL-vähimmäisvaatimusta ja sisäistä TLAC-vaatimusta koskevien yhdenmukaistettujen tietojen julkistamista. Tämä vähennysvaatimus olisi otettava huomioon myös toimivaltaisille viranomaisille ja kriisinratkaisuviranomaisille annettavissa yhdenmukaistetuissa tiedoissa.</w:t>
      </w:r>
    </w:p>
    <w:p w:rsidR="00686AFD" w:rsidRPr="00D31486" w:rsidRDefault="00686AFD" w:rsidP="002103AD">
      <w:pPr>
        <w:pStyle w:val="ManualConsidrant"/>
        <w:rPr>
          <w:noProof/>
        </w:rPr>
      </w:pPr>
      <w:r>
        <w:rPr>
          <w:noProof/>
        </w:rPr>
        <w:t>(2)</w:t>
      </w:r>
      <w:r>
        <w:rPr>
          <w:noProof/>
        </w:rPr>
        <w:tab/>
      </w:r>
      <w:r w:rsidRPr="00D31486">
        <w:rPr>
          <w:noProof/>
        </w:rPr>
        <w:t>Direktiivin 2014/59/EU ja asetuksen (EU) N:o 806/2014 muuttamisesta omia varoja ja hyväksyttäviä velkoja koskevan vähimmäisvaatimuksen tiettyjen näkökohtien osalta annetulla Euroopan parlamentin ja neuvoston direktiivillä (EU) 2024/1174</w:t>
      </w:r>
      <w:r w:rsidRPr="00D31486">
        <w:rPr>
          <w:rStyle w:val="FootnoteReference"/>
          <w:noProof/>
        </w:rPr>
        <w:footnoteReference w:id="6"/>
      </w:r>
      <w:r w:rsidRPr="00D31486">
        <w:rPr>
          <w:noProof/>
        </w:rPr>
        <w:t xml:space="preserve"> muutettiin edelleen asetuksessa (EU) N:o 575/2013 säädettyä vähennysvaatimusta täsmentämällä direktiivissä 2014/59/EU ja asetuksessa (EU) N:o 806/2014, että kriisinratkaisun kohteena olevan konsernin väliyhtiönä toimivien yhteisöjen on vähennettävä ainoastaan omistusosuutensa sellaisten likvidoitavien yhteisöjen liikkeeseen laskemista omien varojen instrumenteista, jotka kuuluvat samaan kriisinratkaisun kohteena olevaan konserniin eivätkä itse ole kriisinratkaisun kohteena olevia yhteisöjä, edellyttäen, että kyseisten omistusosuuksien olennaisuuteen liittyvät tietyt edellytykset täyttyvät. Nämä muutokset olisi otettava huomioon myös yhdenmukaistetuissa tiedoissa, jotka annetaan tietojen julkistamiseksi ja raportoimiseksi toimivaltaisille viranomaisille ja kriisinratkaisuviranomaisille tarkoitetuissa lomakkeissa.</w:t>
      </w:r>
    </w:p>
    <w:p w:rsidR="00F83DBF" w:rsidRPr="00D31486" w:rsidRDefault="00F83DBF" w:rsidP="00302BB5">
      <w:pPr>
        <w:pStyle w:val="ManualConsidrant"/>
        <w:rPr>
          <w:noProof/>
        </w:rPr>
      </w:pPr>
      <w:r>
        <w:rPr>
          <w:noProof/>
        </w:rPr>
        <w:t>(3)</w:t>
      </w:r>
      <w:r>
        <w:rPr>
          <w:noProof/>
        </w:rPr>
        <w:tab/>
      </w:r>
      <w:r w:rsidRPr="00D31486">
        <w:rPr>
          <w:noProof/>
        </w:rPr>
        <w:t>Yhteisöt, joihin sovelletaan asetuksen (EU) N:o 575/2013 92 a tai 92 b artiklassa säädettyjä vaatimuksia, jäljempänä ’TLAC-vaatimus’, tai direktiivin 2014/59/EU 45 artiklassa säädettyä vaatimusta, jäljempänä ’MREL-vähimmäisvaatimus’, voivat kriisinratkaisuviranomaisensa etukäteisellä luvalla toteuttaa hyväksyttävien velkojen instrumenttien osto-optioita, lunastuksia, takaisinmaksuja tai takaisinostoja asetuksen (EU) N:o 575/2013 78 a artiklan mukaisesti. Tällaisen luvan kattamat määrät vähentävät yhteisöjen MREL-vähimmäisvaatimuksen tai TLAC-vaatimuksen edellyttämää kapasiteettia. Sen vuoksi on tarpeen täsmentää, miten tällaisen luvan vaikutus olisi otettava huomioon tietojen julkistamisessa ja raportoinnissa toimivaltaisille viranomaisille ja kriisinratkaisuviranomaisille.</w:t>
      </w:r>
    </w:p>
    <w:p w:rsidR="00F83DBF" w:rsidRPr="00D31486" w:rsidRDefault="00F83DBF" w:rsidP="00F83DBF">
      <w:pPr>
        <w:pStyle w:val="ManualConsidrant"/>
        <w:rPr>
          <w:noProof/>
        </w:rPr>
      </w:pPr>
      <w:r>
        <w:rPr>
          <w:noProof/>
        </w:rPr>
        <w:t>(4)</w:t>
      </w:r>
      <w:r>
        <w:rPr>
          <w:noProof/>
        </w:rPr>
        <w:tab/>
      </w:r>
      <w:r w:rsidRPr="00D31486">
        <w:rPr>
          <w:noProof/>
        </w:rPr>
        <w:t>Sen vuoksi täytäntöönpanoasetusta (EU) 2021/763 olisi muutettava.</w:t>
      </w:r>
    </w:p>
    <w:p w:rsidR="00F83DBF" w:rsidRPr="00D31486" w:rsidRDefault="00F83DBF" w:rsidP="00F83DBF">
      <w:pPr>
        <w:pStyle w:val="ManualConsidrant"/>
        <w:rPr>
          <w:noProof/>
        </w:rPr>
      </w:pPr>
      <w:r>
        <w:rPr>
          <w:noProof/>
        </w:rPr>
        <w:t>(5)</w:t>
      </w:r>
      <w:r>
        <w:rPr>
          <w:noProof/>
        </w:rPr>
        <w:tab/>
      </w:r>
      <w:r w:rsidRPr="00D31486">
        <w:rPr>
          <w:noProof/>
        </w:rPr>
        <w:t xml:space="preserve">Tämä asetus perustuu teknisten täytäntöönpanostandardien luonnoksiin, jotka Euroopan pankkiviranomainen on toimittanut komissiolle. </w:t>
      </w:r>
    </w:p>
    <w:p w:rsidR="00F83DBF" w:rsidRPr="00D31486" w:rsidRDefault="00F83DBF" w:rsidP="00F83DBF">
      <w:pPr>
        <w:pStyle w:val="ManualConsidrant"/>
        <w:rPr>
          <w:noProof/>
        </w:rPr>
      </w:pPr>
      <w:r>
        <w:rPr>
          <w:noProof/>
        </w:rPr>
        <w:t>(6)</w:t>
      </w:r>
      <w:r>
        <w:rPr>
          <w:noProof/>
        </w:rPr>
        <w:tab/>
      </w:r>
      <w:r w:rsidRPr="00D31486">
        <w:rPr>
          <w:noProof/>
        </w:rPr>
        <w:t>Euroopan pankkiviranomainen on järjestänyt avoimet julkiset kuulemiset tämän asetuksen perustana olevista teknisten täytäntöönpanostandardien luonnoksista, analysoinut niihin mahdollisesti liittyviä kustannuksia ja hyötyjä sekä pyytänyt neuvoa Euroopan parlamentin ja neuvoston asetuksen (EU) N:o 1093/2010</w:t>
      </w:r>
      <w:r w:rsidRPr="00D31486">
        <w:rPr>
          <w:rStyle w:val="FootnoteReference"/>
          <w:noProof/>
        </w:rPr>
        <w:footnoteReference w:id="7"/>
      </w:r>
      <w:r w:rsidRPr="00D31486">
        <w:rPr>
          <w:noProof/>
        </w:rPr>
        <w:t xml:space="preserve"> 37 artiklan mukaisesti perustetulta pankkialan osallisryhmältä.</w:t>
      </w:r>
    </w:p>
    <w:p w:rsidR="00DB127D" w:rsidRPr="00D31486" w:rsidRDefault="00DB127D" w:rsidP="00F83DBF">
      <w:pPr>
        <w:pStyle w:val="ManualConsidrant"/>
        <w:rPr>
          <w:noProof/>
        </w:rPr>
      </w:pPr>
      <w:r>
        <w:rPr>
          <w:noProof/>
        </w:rPr>
        <w:t>(7)</w:t>
      </w:r>
      <w:r>
        <w:rPr>
          <w:noProof/>
        </w:rPr>
        <w:tab/>
      </w:r>
      <w:r w:rsidRPr="00D31486">
        <w:rPr>
          <w:noProof/>
        </w:rPr>
        <w:t xml:space="preserve">Jotta asetuksen (EU) N:o 575/2013 tai direktiivin 2014/59/EU mukaisen raportointi- tai julkistamisvelvollisuuden piiriin kuuluvilla yhteisöillä olisi riittävästi aikaa mukautua </w:t>
      </w:r>
      <w:bookmarkStart w:id="2" w:name="_Hlk160034996"/>
      <w:r w:rsidRPr="00D31486">
        <w:rPr>
          <w:noProof/>
        </w:rPr>
        <w:t>muutoksiin lomakkeissa ja yhdenmukaistetuissa tiedoissa,</w:t>
      </w:r>
      <w:bookmarkEnd w:id="2"/>
      <w:r w:rsidRPr="00D31486">
        <w:rPr>
          <w:noProof/>
        </w:rPr>
        <w:t xml:space="preserve"> muutoksia olisi alettava soveltaa kuuden kuukauden kuluttua tämän asetuksen voimaantulosta,</w:t>
      </w:r>
    </w:p>
    <w:p w:rsidR="001D506C" w:rsidRPr="00D31486" w:rsidRDefault="001D506C" w:rsidP="004E1EF9">
      <w:pPr>
        <w:pStyle w:val="Formuledadoption"/>
        <w:rPr>
          <w:noProof/>
        </w:rPr>
      </w:pPr>
      <w:r w:rsidRPr="00D31486">
        <w:rPr>
          <w:noProof/>
        </w:rPr>
        <w:t>ON HYVÄKSYNYT TÄMÄN ASETUKSEN:</w:t>
      </w:r>
    </w:p>
    <w:p w:rsidR="001D506C" w:rsidRPr="00D31486" w:rsidRDefault="001D506C" w:rsidP="004E1EF9">
      <w:pPr>
        <w:pStyle w:val="Titrearticle"/>
        <w:rPr>
          <w:noProof/>
        </w:rPr>
      </w:pPr>
      <w:r w:rsidRPr="00D31486">
        <w:rPr>
          <w:noProof/>
        </w:rPr>
        <w:t>1 artikla</w:t>
      </w:r>
    </w:p>
    <w:p w:rsidR="008D3341" w:rsidRPr="00D31486" w:rsidRDefault="008D3341" w:rsidP="00220108">
      <w:pPr>
        <w:pStyle w:val="Titrearticle"/>
        <w:rPr>
          <w:noProof/>
        </w:rPr>
      </w:pPr>
      <w:r w:rsidRPr="00D31486">
        <w:rPr>
          <w:noProof/>
        </w:rPr>
        <w:t>Täytäntöönpanoasetuksen (EU) 2021/763 muuttaminen</w:t>
      </w:r>
    </w:p>
    <w:p w:rsidR="00F83DBF" w:rsidRPr="00D31486" w:rsidRDefault="00F83DBF" w:rsidP="00F83DBF">
      <w:pPr>
        <w:rPr>
          <w:noProof/>
        </w:rPr>
      </w:pPr>
      <w:r w:rsidRPr="00D31486">
        <w:rPr>
          <w:noProof/>
        </w:rPr>
        <w:t>Muutetaan täytäntöönpanoasetus (EU) 2021/763 seuraavasti:</w:t>
      </w:r>
    </w:p>
    <w:p w:rsidR="00F83DBF" w:rsidRPr="00D31486" w:rsidRDefault="00A01149" w:rsidP="00A01149">
      <w:pPr>
        <w:pStyle w:val="Point0"/>
        <w:rPr>
          <w:noProof/>
        </w:rPr>
      </w:pPr>
      <w:r>
        <w:rPr>
          <w:noProof/>
        </w:rPr>
        <w:t>1)</w:t>
      </w:r>
      <w:r>
        <w:rPr>
          <w:noProof/>
        </w:rPr>
        <w:tab/>
      </w:r>
      <w:r w:rsidR="004603A2" w:rsidRPr="00D31486">
        <w:rPr>
          <w:noProof/>
        </w:rPr>
        <w:t>Korvataan liitteessä I olevat lomakkeet M 02.00 ja M 03.00 tämän asetuksen liitteessä I olevilla lomakkeilla M 02.00 ja M 03.00.</w:t>
      </w:r>
    </w:p>
    <w:p w:rsidR="00F83DBF" w:rsidRPr="00D31486" w:rsidRDefault="00A01149" w:rsidP="00A01149">
      <w:pPr>
        <w:pStyle w:val="Point0"/>
        <w:rPr>
          <w:noProof/>
        </w:rPr>
      </w:pPr>
      <w:r>
        <w:rPr>
          <w:noProof/>
        </w:rPr>
        <w:t>2)</w:t>
      </w:r>
      <w:r>
        <w:rPr>
          <w:noProof/>
        </w:rPr>
        <w:tab/>
      </w:r>
      <w:r w:rsidR="00F83DBF" w:rsidRPr="00D31486">
        <w:rPr>
          <w:noProof/>
        </w:rPr>
        <w:t>Korvataan liite II tämän asetuksen liitteellä II.</w:t>
      </w:r>
    </w:p>
    <w:p w:rsidR="00F83DBF" w:rsidRPr="00D31486" w:rsidRDefault="00A01149" w:rsidP="00A01149">
      <w:pPr>
        <w:pStyle w:val="Point0"/>
        <w:rPr>
          <w:noProof/>
        </w:rPr>
      </w:pPr>
      <w:r>
        <w:rPr>
          <w:noProof/>
        </w:rPr>
        <w:t>3)</w:t>
      </w:r>
      <w:r>
        <w:rPr>
          <w:noProof/>
        </w:rPr>
        <w:tab/>
      </w:r>
      <w:r w:rsidR="004603A2" w:rsidRPr="00D31486">
        <w:rPr>
          <w:noProof/>
        </w:rPr>
        <w:t>Korvataan liitteessä V olevat lomakkeet EU TLAC1 ja EU ILAC tämän asetuksen liitteessä III olevilla lomakkeilla EU TLAC1 ja EU ILAC.</w:t>
      </w:r>
    </w:p>
    <w:p w:rsidR="00F83DBF" w:rsidRPr="00D31486" w:rsidRDefault="00A01149" w:rsidP="00A01149">
      <w:pPr>
        <w:pStyle w:val="Point0"/>
        <w:rPr>
          <w:noProof/>
        </w:rPr>
      </w:pPr>
      <w:r>
        <w:rPr>
          <w:noProof/>
        </w:rPr>
        <w:t>4)</w:t>
      </w:r>
      <w:r>
        <w:rPr>
          <w:noProof/>
        </w:rPr>
        <w:tab/>
      </w:r>
      <w:r w:rsidR="00F83DBF" w:rsidRPr="00D31486">
        <w:rPr>
          <w:noProof/>
        </w:rPr>
        <w:t>Korvataan liite VI tämän asetuksen liitteessä IV olevalla tekstillä.</w:t>
      </w:r>
    </w:p>
    <w:p w:rsidR="00F83DBF" w:rsidRPr="00D31486" w:rsidRDefault="00F83DBF" w:rsidP="00F83DBF">
      <w:pPr>
        <w:pStyle w:val="Titrearticle"/>
        <w:rPr>
          <w:noProof/>
        </w:rPr>
      </w:pPr>
      <w:r w:rsidRPr="00D31486">
        <w:rPr>
          <w:noProof/>
        </w:rPr>
        <w:t>2 artikla</w:t>
      </w:r>
    </w:p>
    <w:p w:rsidR="00CC305D" w:rsidRPr="00D31486" w:rsidRDefault="00CC305D" w:rsidP="00583FFA">
      <w:pPr>
        <w:jc w:val="center"/>
        <w:rPr>
          <w:b/>
          <w:bCs/>
          <w:noProof/>
          <w:color w:val="000000"/>
        </w:rPr>
      </w:pPr>
      <w:r w:rsidRPr="00D31486">
        <w:rPr>
          <w:b/>
          <w:noProof/>
          <w:color w:val="000000"/>
        </w:rPr>
        <w:t>Voimaantulo ja soveltaminen</w:t>
      </w:r>
    </w:p>
    <w:p w:rsidR="00F83DBF" w:rsidRPr="00D31486" w:rsidRDefault="00F83DBF" w:rsidP="00F83DBF">
      <w:pPr>
        <w:rPr>
          <w:noProof/>
          <w:color w:val="000000"/>
        </w:rPr>
      </w:pPr>
      <w:r w:rsidRPr="00D31486">
        <w:rPr>
          <w:noProof/>
          <w:color w:val="000000"/>
        </w:rPr>
        <w:t xml:space="preserve">Tämä asetus tulee voimaan kahdentenakymmenentenä päivänä sen jälkeen, kun se on julkaistu </w:t>
      </w:r>
      <w:r w:rsidRPr="00D31486">
        <w:rPr>
          <w:i/>
          <w:noProof/>
          <w:color w:val="000000"/>
        </w:rPr>
        <w:t>Euroopan unionin virallisessa lehdessä</w:t>
      </w:r>
      <w:r w:rsidRPr="00D31486">
        <w:rPr>
          <w:noProof/>
          <w:color w:val="000000"/>
        </w:rPr>
        <w:t>.</w:t>
      </w:r>
    </w:p>
    <w:p w:rsidR="00F83DBF" w:rsidRPr="00D31486" w:rsidRDefault="00F83DBF" w:rsidP="00F83DBF">
      <w:pPr>
        <w:rPr>
          <w:noProof/>
          <w:color w:val="000000"/>
        </w:rPr>
      </w:pPr>
      <w:r w:rsidRPr="00D31486">
        <w:rPr>
          <w:noProof/>
          <w:color w:val="000000"/>
        </w:rPr>
        <w:t xml:space="preserve">Sitä sovelletaan </w:t>
      </w:r>
      <w:r w:rsidRPr="00D31486">
        <w:rPr>
          <w:i/>
          <w:noProof/>
          <w:color w:val="000000"/>
        </w:rPr>
        <w:t>[Julkaisutoimisto: lisätään päivämäärä, joka on kuusi kuukautta tämän muutosasetuksen voimaantulopäivästä].</w:t>
      </w:r>
      <w:r w:rsidRPr="00D31486">
        <w:rPr>
          <w:noProof/>
          <w:color w:val="000000"/>
        </w:rPr>
        <w:t xml:space="preserve"> </w:t>
      </w:r>
    </w:p>
    <w:p w:rsidR="001D506C" w:rsidRPr="00D31486" w:rsidRDefault="001D506C" w:rsidP="004E1EF9">
      <w:pPr>
        <w:pStyle w:val="Applicationdirecte"/>
        <w:keepNext/>
        <w:keepLines/>
        <w:rPr>
          <w:noProof/>
        </w:rPr>
      </w:pPr>
      <w:r w:rsidRPr="00D31486">
        <w:rPr>
          <w:noProof/>
        </w:rPr>
        <w:t>Tämä asetus on kaikilta osiltaan velvoittava, ja sitä sovelletaan sellaisenaan jäsenvaltioissa.</w:t>
      </w:r>
    </w:p>
    <w:p w:rsidR="001D506C" w:rsidRPr="00D31486" w:rsidRDefault="00922E51" w:rsidP="00E90E19">
      <w:pPr>
        <w:pStyle w:val="Fait"/>
        <w:rPr>
          <w:noProof/>
        </w:rPr>
      </w:pPr>
      <w:r>
        <w:rPr>
          <w:noProof/>
        </w:rPr>
        <w:t>Tehty Brysselissä 6.6.2024</w:t>
      </w:r>
    </w:p>
    <w:p w:rsidR="001D506C" w:rsidRPr="00D31486" w:rsidRDefault="001D506C" w:rsidP="00E90E19">
      <w:pPr>
        <w:pStyle w:val="Institutionquisigne"/>
        <w:rPr>
          <w:noProof/>
        </w:rPr>
      </w:pPr>
      <w:r w:rsidRPr="00D31486">
        <w:rPr>
          <w:noProof/>
        </w:rPr>
        <w:tab/>
        <w:t>Komission puolesta</w:t>
      </w:r>
    </w:p>
    <w:p w:rsidR="00F718B8" w:rsidRPr="00D31486" w:rsidRDefault="00AF2669" w:rsidP="00E90E19">
      <w:pPr>
        <w:pStyle w:val="Personnequisigne"/>
        <w:keepNext/>
        <w:rPr>
          <w:noProof/>
        </w:rPr>
      </w:pPr>
      <w:r>
        <w:rPr>
          <w:noProof/>
        </w:rPr>
        <w:tab/>
        <w:t>Puheenjohtaja</w:t>
      </w:r>
      <w:r>
        <w:rPr>
          <w:noProof/>
        </w:rPr>
        <w:br/>
      </w:r>
      <w:r>
        <w:rPr>
          <w:noProof/>
        </w:rPr>
        <w:tab/>
        <w:t>Ursula VON DER LEYEN</w:t>
      </w:r>
    </w:p>
    <w:p w:rsidR="00C402D1" w:rsidRPr="00D31486" w:rsidRDefault="00C402D1" w:rsidP="00C402D1">
      <w:pPr>
        <w:pStyle w:val="Personnequisigne"/>
        <w:rPr>
          <w:noProof/>
        </w:rPr>
      </w:pPr>
    </w:p>
    <w:sectPr w:rsidR="00C402D1" w:rsidRPr="00D31486" w:rsidSect="008A5680">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680" w:rsidRPr="008A5680" w:rsidRDefault="008A5680" w:rsidP="008A5680">
    <w:pPr>
      <w:pStyle w:val="Footer"/>
      <w:rPr>
        <w:rFonts w:ascii="Arial" w:hAnsi="Arial" w:cs="Arial"/>
        <w:b/>
        <w:sz w:val="48"/>
      </w:rPr>
    </w:pPr>
    <w:r w:rsidRPr="008A5680">
      <w:rPr>
        <w:rFonts w:ascii="Arial" w:hAnsi="Arial" w:cs="Arial"/>
        <w:b/>
        <w:sz w:val="48"/>
      </w:rPr>
      <w:t>FI</w:t>
    </w:r>
    <w:r w:rsidRPr="008A5680">
      <w:rPr>
        <w:rFonts w:ascii="Arial" w:hAnsi="Arial" w:cs="Arial"/>
        <w:b/>
        <w:sz w:val="48"/>
      </w:rPr>
      <w:tab/>
    </w:r>
    <w:r w:rsidRPr="008A5680">
      <w:rPr>
        <w:rFonts w:ascii="Arial" w:hAnsi="Arial" w:cs="Arial"/>
        <w:b/>
        <w:sz w:val="48"/>
      </w:rPr>
      <w:tab/>
    </w:r>
    <w:r w:rsidRPr="008A5680">
      <w:tab/>
    </w:r>
    <w:r w:rsidRPr="008A5680">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680" w:rsidRPr="008A5680" w:rsidRDefault="008A5680" w:rsidP="008A5680">
    <w:pPr>
      <w:pStyle w:val="Footer"/>
      <w:rPr>
        <w:rFonts w:ascii="Arial" w:hAnsi="Arial" w:cs="Arial"/>
        <w:b/>
        <w:sz w:val="48"/>
      </w:rPr>
    </w:pPr>
    <w:r w:rsidRPr="008A5680">
      <w:rPr>
        <w:rFonts w:ascii="Arial" w:hAnsi="Arial" w:cs="Arial"/>
        <w:b/>
        <w:sz w:val="48"/>
      </w:rPr>
      <w:t>FI</w:t>
    </w:r>
    <w:r w:rsidRPr="008A5680">
      <w:rPr>
        <w:rFonts w:ascii="Arial" w:hAnsi="Arial" w:cs="Arial"/>
        <w:b/>
        <w:sz w:val="48"/>
      </w:rPr>
      <w:tab/>
    </w:r>
    <w:r w:rsidRPr="008A5680">
      <w:rPr>
        <w:rFonts w:ascii="Arial" w:hAnsi="Arial" w:cs="Arial"/>
        <w:b/>
        <w:sz w:val="48"/>
      </w:rPr>
      <w:tab/>
    </w:r>
    <w:r w:rsidRPr="008A5680">
      <w:tab/>
    </w:r>
    <w:r w:rsidRPr="008A5680">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680" w:rsidRDefault="008A56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680" w:rsidRPr="008A5680" w:rsidRDefault="008A5680" w:rsidP="008A5680">
    <w:pPr>
      <w:pStyle w:val="Footer"/>
      <w:rPr>
        <w:rFonts w:ascii="Arial" w:hAnsi="Arial" w:cs="Arial"/>
        <w:b/>
        <w:sz w:val="48"/>
      </w:rPr>
    </w:pPr>
    <w:r w:rsidRPr="008A5680">
      <w:rPr>
        <w:rFonts w:ascii="Arial" w:hAnsi="Arial" w:cs="Arial"/>
        <w:b/>
        <w:sz w:val="48"/>
      </w:rPr>
      <w:t>FI</w:t>
    </w:r>
    <w:r w:rsidRPr="008A5680">
      <w:rPr>
        <w:rFonts w:ascii="Arial" w:hAnsi="Arial" w:cs="Arial"/>
        <w:b/>
        <w:sz w:val="48"/>
      </w:rPr>
      <w:tab/>
    </w:r>
    <w:r>
      <w:fldChar w:fldCharType="begin"/>
    </w:r>
    <w:r>
      <w:instrText xml:space="preserve"> PAGE  \* MERGEFORMAT </w:instrText>
    </w:r>
    <w:r>
      <w:fldChar w:fldCharType="separate"/>
    </w:r>
    <w:r w:rsidR="00E90E19">
      <w:rPr>
        <w:noProof/>
      </w:rPr>
      <w:t>3</w:t>
    </w:r>
    <w:r>
      <w:fldChar w:fldCharType="end"/>
    </w:r>
    <w:r>
      <w:tab/>
    </w:r>
    <w:r w:rsidRPr="008A5680">
      <w:tab/>
    </w:r>
    <w:r w:rsidRPr="008A5680">
      <w:rPr>
        <w:rFonts w:ascii="Arial" w:hAnsi="Arial" w:cs="Arial"/>
        <w:b/>
        <w:sz w:val="48"/>
      </w:rPr>
      <w:t>FI</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680" w:rsidRDefault="008A5680" w:rsidP="008A5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D31486" w:rsidRDefault="000E6FD2" w:rsidP="000E6FD2">
      <w:pPr>
        <w:pStyle w:val="FootnoteText"/>
      </w:pPr>
      <w:r>
        <w:rPr>
          <w:rStyle w:val="FootnoteReference"/>
        </w:rPr>
        <w:footnoteRef/>
      </w:r>
      <w:r w:rsidRPr="00D31486">
        <w:tab/>
        <w:t xml:space="preserve">EUVL L 176, 27.6.2013, s. 1, ELI: http://data.europa.eu/eli/reg/2013/575/oj. </w:t>
      </w:r>
    </w:p>
  </w:footnote>
  <w:footnote w:id="2">
    <w:p w:rsidR="000E6FD2" w:rsidRPr="00D31486" w:rsidRDefault="000E6FD2" w:rsidP="000E6FD2">
      <w:pPr>
        <w:pStyle w:val="FootnoteText"/>
      </w:pPr>
      <w:r>
        <w:rPr>
          <w:rStyle w:val="FootnoteReference"/>
        </w:rPr>
        <w:footnoteRef/>
      </w:r>
      <w:r w:rsidRPr="00D31486">
        <w:tab/>
        <w:t xml:space="preserve">EUVL L 173, 12.6.2014, s. 190, ELI: http://data.europa.eu/eli/dir/2014/59/oj. </w:t>
      </w:r>
    </w:p>
  </w:footnote>
  <w:footnote w:id="3">
    <w:p w:rsidR="00F83DBF" w:rsidRPr="00D31486" w:rsidRDefault="00F83DBF" w:rsidP="00F83DBF">
      <w:pPr>
        <w:pStyle w:val="FootnoteText"/>
      </w:pPr>
      <w:r>
        <w:rPr>
          <w:rStyle w:val="FootnoteReference"/>
        </w:rPr>
        <w:footnoteRef/>
      </w:r>
      <w:r w:rsidRPr="00D31486">
        <w:tab/>
        <w:t>Euroopan parlamentin ja neuvoston asetus (EU) 2022/2036, annettu 19 päivänä lokakuuta 2022, asetuksen (EU) N:o 575/2013 ja direktiivin 2014/59/EU muuttamisesta siltä osin kuin on kyse usean kriisinratkaisuviranomaisen malliin perustuvan kriisinratkaisustrategian piiriin kuuluvien maailmanlaajuisten järjestelmän kannalta merkittävien laitosten vakavaraisuuskohtelusta ja omia varoja ja hyväksyttäviä velkoja koskevan vähimmäisvaatimuksen kattamiseen hyväksyttävien instrumenttien välilliseen merkitsemiseen käytettävistä menetelmistä (EUVL L 275, 25.10.2022, s. 1, ELI: http://data.europa.eu/eli/reg/2022/2036/oj)</w:t>
      </w:r>
    </w:p>
  </w:footnote>
  <w:footnote w:id="4">
    <w:p w:rsidR="00F83DBF" w:rsidRPr="00D31486" w:rsidRDefault="00F83DBF" w:rsidP="00F83DBF">
      <w:pPr>
        <w:pStyle w:val="FootnoteText"/>
      </w:pPr>
      <w:r>
        <w:rPr>
          <w:rStyle w:val="FootnoteReference"/>
        </w:rPr>
        <w:footnoteRef/>
      </w:r>
      <w:r w:rsidRPr="00D31486">
        <w:tab/>
        <w:t>Euroopan parlamentin ja neuvoston direktiivi 2014/59/EU, annettu 15 päivänä toukokuuta 2014,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(EUVL L 173, 12.6.2014, s. 190–348).</w:t>
      </w:r>
    </w:p>
  </w:footnote>
  <w:footnote w:id="5">
    <w:p w:rsidR="00F83DBF" w:rsidRPr="00D31486" w:rsidRDefault="00F83DBF" w:rsidP="00F83DBF">
      <w:pPr>
        <w:pStyle w:val="FootnoteText"/>
      </w:pPr>
      <w:r>
        <w:rPr>
          <w:rStyle w:val="FootnoteReference"/>
        </w:rPr>
        <w:footnoteRef/>
      </w:r>
      <w:r w:rsidRPr="00D31486">
        <w:tab/>
        <w:t>Komission täytäntöönpanoasetus (EU) 2021/763, annettu 23 päivänä huhtikuuta 2021, Euroopan parlamentin ja neuvoston asetuksen (EU) N:o 575/2013 ja Euroopan parlamentin ja neuvoston direktiivin 2014/59/EU soveltamista koskevista teknisistä täytäntöönpanostandardeista valvontaan liittyvän raportoinnin ja omia varoja ja hyväksyttäviä velkoja koskevan vähimmäisvaatimuksen julkistamisen osalta (EUVL L 168, 12.5.2021, s. 1).</w:t>
      </w:r>
    </w:p>
  </w:footnote>
  <w:footnote w:id="6">
    <w:p w:rsidR="00686AFD" w:rsidRPr="00D31486" w:rsidRDefault="00686AFD" w:rsidP="00686AFD">
      <w:pPr>
        <w:pStyle w:val="FootnoteText"/>
      </w:pPr>
      <w:r>
        <w:rPr>
          <w:rStyle w:val="FootnoteReference"/>
        </w:rPr>
        <w:footnoteRef/>
      </w:r>
      <w:r w:rsidRPr="00D31486">
        <w:tab/>
        <w:t>Euroopan parlamentin ja neuvoston direktiivi (EU) 2024/1174, annettu 11 päivänä huhtikuuta 2024, direktiivin 2014/59/EU ja asetuksen (EU) N:o 806/2014 muuttamisesta omia varoja ja hyväksyttäviä velkoja koskevan vähimmäisvaatimuksen tiettyjen näkökohtien osalta (EUVL L, 2024/1174, 22.4.2024).</w:t>
      </w:r>
    </w:p>
  </w:footnote>
  <w:footnote w:id="7">
    <w:p w:rsidR="00F83DBF" w:rsidRPr="00D31486" w:rsidRDefault="00F83DBF" w:rsidP="00F83DBF">
      <w:pPr>
        <w:pStyle w:val="FootnoteText"/>
      </w:pPr>
      <w:r>
        <w:rPr>
          <w:rStyle w:val="FootnoteReference"/>
        </w:rPr>
        <w:footnoteRef/>
      </w:r>
      <w:r w:rsidRPr="00D31486">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680" w:rsidRDefault="008A5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680" w:rsidRDefault="008A56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0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95DDFC88-7BF5-4C1D-886F-589E46EA6CFA"/>
    <w:docVar w:name="LW_COVERPAGE_TYPE" w:val="1"/>
    <w:docVar w:name="LW_CROSSREFERENCE" w:val="&lt;UNUSED&gt;"/>
    <w:docVar w:name="LW_DATE.ADOPT.CP" w:val="annettu 6.6.2024,"/>
    <w:docVar w:name="LW_DATE.ADOPT.CP_DATEFORMAT" w:val="annettu %DATE%,"/>
    <w:docVar w:name="LW_DATE.ADOPT.CP_ISODATE" w:val="2024-06-06"/>
    <w:docVar w:name="LW_DocType" w:val="COM"/>
    <w:docVar w:name="LW_EMISSION" w:val="6.6.2024"/>
    <w:docVar w:name="LW_EMISSION_ISODATE" w:val="2024-06-06"/>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Euroopan parlamentin ja neuvoston asetuksen (EU) N:o 575/2013 ja Euroopan parlamentin ja neuvoston direktiivin 2014/59/EU soveltamista koskevista teknisistä täytäntöönpanostandardeista valvontaan liittyvän raportoinnin ja omia varoja ja hyväksyttäviä velkoja koskevan vähimmäisvaatimuksen julkistamisen osalta annetun täytäntöönpanoasetuksen (EU) 2021/763 muuttamisesta _x000b_"/>
    <w:docVar w:name="LW_TYPE.DOC.CP" w:val="KOMISSION TÄYTÄNTÖÖNPANOASETUS (EU) \u8230?/\u8230?,"/>
    <w:docVar w:name="LwApiVersions" w:val="LW4CoDe 1.24.5.0; LW 9.0, Build 20240221"/>
  </w:docVars>
  <w:rsids>
    <w:rsidRoot w:val="001D506C"/>
    <w:rsid w:val="000334DA"/>
    <w:rsid w:val="00093B4B"/>
    <w:rsid w:val="000955EB"/>
    <w:rsid w:val="000B009E"/>
    <w:rsid w:val="000B7A7D"/>
    <w:rsid w:val="000E6B56"/>
    <w:rsid w:val="000E6FD2"/>
    <w:rsid w:val="0013442E"/>
    <w:rsid w:val="00152894"/>
    <w:rsid w:val="00185DB3"/>
    <w:rsid w:val="001B397F"/>
    <w:rsid w:val="001B6C2F"/>
    <w:rsid w:val="001D506C"/>
    <w:rsid w:val="00220108"/>
    <w:rsid w:val="0022339B"/>
    <w:rsid w:val="00257F4F"/>
    <w:rsid w:val="00292AC6"/>
    <w:rsid w:val="002B65CA"/>
    <w:rsid w:val="002C09C1"/>
    <w:rsid w:val="002F0DF7"/>
    <w:rsid w:val="002F1E29"/>
    <w:rsid w:val="00302BB5"/>
    <w:rsid w:val="0031489C"/>
    <w:rsid w:val="00314C67"/>
    <w:rsid w:val="003528FC"/>
    <w:rsid w:val="00363DC5"/>
    <w:rsid w:val="00370470"/>
    <w:rsid w:val="00380338"/>
    <w:rsid w:val="003819BF"/>
    <w:rsid w:val="0038725C"/>
    <w:rsid w:val="00391381"/>
    <w:rsid w:val="00396ACD"/>
    <w:rsid w:val="003C0C4B"/>
    <w:rsid w:val="00437AA5"/>
    <w:rsid w:val="0044282B"/>
    <w:rsid w:val="00457C9F"/>
    <w:rsid w:val="004603A2"/>
    <w:rsid w:val="00480C0A"/>
    <w:rsid w:val="00492396"/>
    <w:rsid w:val="004B3865"/>
    <w:rsid w:val="004C38F7"/>
    <w:rsid w:val="004E19F9"/>
    <w:rsid w:val="00517205"/>
    <w:rsid w:val="0052704B"/>
    <w:rsid w:val="005279D9"/>
    <w:rsid w:val="00542487"/>
    <w:rsid w:val="00580629"/>
    <w:rsid w:val="00582810"/>
    <w:rsid w:val="00583FFA"/>
    <w:rsid w:val="00595540"/>
    <w:rsid w:val="005B5FA6"/>
    <w:rsid w:val="005E1E85"/>
    <w:rsid w:val="005F222A"/>
    <w:rsid w:val="005F33FF"/>
    <w:rsid w:val="006654AB"/>
    <w:rsid w:val="006779B5"/>
    <w:rsid w:val="006813A6"/>
    <w:rsid w:val="00686AFD"/>
    <w:rsid w:val="006A2A68"/>
    <w:rsid w:val="006F7EFE"/>
    <w:rsid w:val="00703C0B"/>
    <w:rsid w:val="0075467B"/>
    <w:rsid w:val="007C6179"/>
    <w:rsid w:val="007D0861"/>
    <w:rsid w:val="007D1225"/>
    <w:rsid w:val="007E010B"/>
    <w:rsid w:val="00802FC2"/>
    <w:rsid w:val="0081293E"/>
    <w:rsid w:val="0084238A"/>
    <w:rsid w:val="00852DE8"/>
    <w:rsid w:val="008A5680"/>
    <w:rsid w:val="008C58B7"/>
    <w:rsid w:val="008C62AF"/>
    <w:rsid w:val="008C63FE"/>
    <w:rsid w:val="008D024D"/>
    <w:rsid w:val="008D0E5E"/>
    <w:rsid w:val="008D3341"/>
    <w:rsid w:val="008E2694"/>
    <w:rsid w:val="00922E51"/>
    <w:rsid w:val="00940731"/>
    <w:rsid w:val="009476D9"/>
    <w:rsid w:val="009702E0"/>
    <w:rsid w:val="009712C1"/>
    <w:rsid w:val="009719B6"/>
    <w:rsid w:val="009731D1"/>
    <w:rsid w:val="00985A34"/>
    <w:rsid w:val="009957C5"/>
    <w:rsid w:val="009A1A98"/>
    <w:rsid w:val="00A01149"/>
    <w:rsid w:val="00A10BBD"/>
    <w:rsid w:val="00A2735C"/>
    <w:rsid w:val="00A565C7"/>
    <w:rsid w:val="00A61FE3"/>
    <w:rsid w:val="00A63976"/>
    <w:rsid w:val="00AC620C"/>
    <w:rsid w:val="00AF2669"/>
    <w:rsid w:val="00B0742B"/>
    <w:rsid w:val="00B247D1"/>
    <w:rsid w:val="00B50A87"/>
    <w:rsid w:val="00B74403"/>
    <w:rsid w:val="00B84713"/>
    <w:rsid w:val="00B851FA"/>
    <w:rsid w:val="00BE38E4"/>
    <w:rsid w:val="00C3731F"/>
    <w:rsid w:val="00C402D1"/>
    <w:rsid w:val="00C62ABE"/>
    <w:rsid w:val="00C72F66"/>
    <w:rsid w:val="00C9371C"/>
    <w:rsid w:val="00CB4B4C"/>
    <w:rsid w:val="00CC305D"/>
    <w:rsid w:val="00CE02BF"/>
    <w:rsid w:val="00CF7111"/>
    <w:rsid w:val="00D15425"/>
    <w:rsid w:val="00D15677"/>
    <w:rsid w:val="00D31486"/>
    <w:rsid w:val="00D37A87"/>
    <w:rsid w:val="00D455A5"/>
    <w:rsid w:val="00D60353"/>
    <w:rsid w:val="00D73411"/>
    <w:rsid w:val="00D917AD"/>
    <w:rsid w:val="00DA38A7"/>
    <w:rsid w:val="00DB127D"/>
    <w:rsid w:val="00DB4B20"/>
    <w:rsid w:val="00DC7850"/>
    <w:rsid w:val="00E07235"/>
    <w:rsid w:val="00E247EB"/>
    <w:rsid w:val="00E33C9F"/>
    <w:rsid w:val="00E83C6F"/>
    <w:rsid w:val="00E90E19"/>
    <w:rsid w:val="00E9509D"/>
    <w:rsid w:val="00E979AB"/>
    <w:rsid w:val="00EC39BC"/>
    <w:rsid w:val="00EE140B"/>
    <w:rsid w:val="00F02755"/>
    <w:rsid w:val="00F05B10"/>
    <w:rsid w:val="00F41B40"/>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fi-FI"/>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8A5680"/>
    <w:rPr>
      <w:rFonts w:ascii="Times New Roman" w:hAnsi="Times New Roman" w:cs="Times New Roman"/>
      <w:sz w:val="24"/>
      <w:lang w:val="fi-FI"/>
    </w:rPr>
  </w:style>
  <w:style w:type="character" w:customStyle="1" w:styleId="FooterChar">
    <w:name w:val="Footer Char"/>
    <w:basedOn w:val="DefaultParagraphFont"/>
    <w:link w:val="Footer"/>
    <w:uiPriority w:val="99"/>
    <w:rsid w:val="008A5680"/>
    <w:rPr>
      <w:rFonts w:ascii="Times New Roman" w:hAnsi="Times New Roman" w:cs="Times New Roman"/>
      <w:sz w:val="24"/>
      <w:lang w:val="fi-F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A568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A5680"/>
    <w:pPr>
      <w:spacing w:before="0"/>
      <w:jc w:val="right"/>
    </w:pPr>
    <w:rPr>
      <w:sz w:val="28"/>
    </w:rPr>
  </w:style>
  <w:style w:type="paragraph" w:customStyle="1" w:styleId="FooterSensitivity">
    <w:name w:val="Footer Sensitivity"/>
    <w:basedOn w:val="Normal"/>
    <w:rsid w:val="008A568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8A5680"/>
    <w:pPr>
      <w:tabs>
        <w:tab w:val="center" w:pos="4535"/>
        <w:tab w:val="right" w:pos="9071"/>
      </w:tabs>
      <w:spacing w:before="0"/>
    </w:pPr>
  </w:style>
  <w:style w:type="paragraph" w:customStyle="1" w:styleId="HeaderLandscape">
    <w:name w:val="HeaderLandscape"/>
    <w:basedOn w:val="Normal"/>
    <w:rsid w:val="008A5680"/>
    <w:pPr>
      <w:tabs>
        <w:tab w:val="center" w:pos="7285"/>
        <w:tab w:val="right" w:pos="14003"/>
      </w:tabs>
      <w:spacing w:before="0"/>
    </w:pPr>
  </w:style>
  <w:style w:type="paragraph" w:styleId="Footer">
    <w:name w:val="footer"/>
    <w:basedOn w:val="Normal"/>
    <w:link w:val="FooterChar"/>
    <w:uiPriority w:val="99"/>
    <w:unhideWhenUsed/>
    <w:rsid w:val="008A5680"/>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8A5680"/>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986</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