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066B74" w:rsidRDefault="001C44F2" w:rsidP="001C44F2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66FCD926-631F-4800-A197-29466C650F8B" style="width:455.25pt;height:454.5pt">
            <v:imagedata r:id="rId7" o:title=""/>
          </v:shape>
        </w:pict>
      </w:r>
    </w:p>
    <w:p w:rsidR="001D506C" w:rsidRPr="00066B74" w:rsidRDefault="001D506C">
      <w:pPr>
        <w:rPr>
          <w:noProof/>
        </w:rPr>
        <w:sectPr w:rsidR="001D506C" w:rsidRPr="00066B74" w:rsidSect="001C44F2">
          <w:footerReference w:type="even" r:id="rId8"/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1D506C" w:rsidRPr="00066B74" w:rsidRDefault="0007072C" w:rsidP="0007072C">
      <w:pPr>
        <w:pStyle w:val="Typedudocument"/>
        <w:rPr>
          <w:noProof/>
        </w:rPr>
      </w:pPr>
      <w:bookmarkStart w:id="0" w:name="_GoBack"/>
      <w:bookmarkEnd w:id="0"/>
      <w:r w:rsidRPr="0007072C">
        <w:rPr>
          <w:noProof/>
        </w:rPr>
        <w:lastRenderedPageBreak/>
        <w:t>ROZPORZĄDZENIE WYKONAWCZE KOMISJI (UE) …/…</w:t>
      </w:r>
    </w:p>
    <w:p w:rsidR="001D506C" w:rsidRPr="00066B74" w:rsidRDefault="00D0365E" w:rsidP="0007072C">
      <w:pPr>
        <w:pStyle w:val="Datedadoption"/>
        <w:rPr>
          <w:noProof/>
        </w:rPr>
      </w:pPr>
      <w:r>
        <w:rPr>
          <w:noProof/>
        </w:rPr>
        <w:t>z dnia 6.6.2024 r.</w:t>
      </w:r>
    </w:p>
    <w:p w:rsidR="001D506C" w:rsidRPr="00066B74" w:rsidRDefault="0007072C" w:rsidP="0007072C">
      <w:pPr>
        <w:pStyle w:val="Titreobjet"/>
        <w:rPr>
          <w:noProof/>
        </w:rPr>
      </w:pPr>
      <w:r w:rsidRPr="0007072C">
        <w:rPr>
          <w:noProof/>
        </w:rPr>
        <w:t xml:space="preserve">zmieniające rozporządzenie wykonawcze (UE) 2021/763 ustanawiające wykonawcze standardy techniczne do celów stosowania rozporządzenia Parlamentu Europejskiego i Rady (UE) nr 575/2013 i dyrektywy Parlamentu Europejskiego i Rady 2014/59/UE w odniesieniu do sprawozdawczości nadzorczej w obszarze minimalnego wymogu w zakresie funduszy własnych i zobowiązań kwalifikowalnych oraz podawania tego wymogu do wiadomości publicznej </w:t>
      </w:r>
      <w:r w:rsidRPr="0007072C">
        <w:rPr>
          <w:noProof/>
        </w:rPr>
        <w:br/>
      </w:r>
    </w:p>
    <w:p w:rsidR="001D506C" w:rsidRPr="00066B74" w:rsidRDefault="0007072C" w:rsidP="0007072C">
      <w:pPr>
        <w:pStyle w:val="IntrtEEE"/>
        <w:rPr>
          <w:noProof/>
        </w:rPr>
      </w:pPr>
      <w:r w:rsidRPr="0007072C">
        <w:rPr>
          <w:noProof/>
        </w:rPr>
        <w:t>(Tekst mający znaczenie dla EOG)</w:t>
      </w:r>
    </w:p>
    <w:p w:rsidR="001D506C" w:rsidRPr="00066B74" w:rsidRDefault="001D506C" w:rsidP="004E1EF9">
      <w:pPr>
        <w:pStyle w:val="Institutionquiagit"/>
        <w:rPr>
          <w:noProof/>
        </w:rPr>
      </w:pPr>
      <w:r w:rsidRPr="00066B74">
        <w:rPr>
          <w:noProof/>
        </w:rPr>
        <w:t>KOMISJA EUROPEJSKA,</w:t>
      </w:r>
    </w:p>
    <w:p w:rsidR="001D506C" w:rsidRPr="00066B74" w:rsidRDefault="001D506C" w:rsidP="004E1EF9">
      <w:pPr>
        <w:rPr>
          <w:noProof/>
        </w:rPr>
      </w:pPr>
      <w:r w:rsidRPr="00066B74">
        <w:rPr>
          <w:noProof/>
        </w:rPr>
        <w:t>uwzględniając Traktat</w:t>
      </w:r>
      <w:r w:rsidR="00EE3BBC" w:rsidRPr="00066B74">
        <w:rPr>
          <w:noProof/>
        </w:rPr>
        <w:t xml:space="preserve"> o</w:t>
      </w:r>
      <w:r w:rsidR="00EE3BBC">
        <w:rPr>
          <w:noProof/>
        </w:rPr>
        <w:t> </w:t>
      </w:r>
      <w:r w:rsidR="00EE3BBC" w:rsidRPr="00066B74">
        <w:rPr>
          <w:noProof/>
        </w:rPr>
        <w:t>fun</w:t>
      </w:r>
      <w:r w:rsidRPr="00066B74">
        <w:rPr>
          <w:noProof/>
        </w:rPr>
        <w:t>kcjonowaniu Unii Europejskiej,</w:t>
      </w:r>
    </w:p>
    <w:p w:rsidR="000E6FD2" w:rsidRPr="00066B74" w:rsidRDefault="000E6FD2" w:rsidP="000E6FD2">
      <w:pPr>
        <w:rPr>
          <w:noProof/>
        </w:rPr>
      </w:pPr>
      <w:r w:rsidRPr="00066B74">
        <w:rPr>
          <w:noProof/>
        </w:rPr>
        <w:t>uwzględniając rozporządzenie Parlamentu Europejskiego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Rad</w:t>
      </w:r>
      <w:r w:rsidRPr="00066B74">
        <w:rPr>
          <w:noProof/>
        </w:rPr>
        <w:t xml:space="preserve">y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5</w:t>
      </w:r>
      <w:r w:rsidRPr="00066B74">
        <w:rPr>
          <w:noProof/>
        </w:rPr>
        <w:t>75/2013</w:t>
      </w:r>
      <w:r w:rsidR="00EE3BBC" w:rsidRPr="00066B74">
        <w:rPr>
          <w:noProof/>
        </w:rPr>
        <w:t xml:space="preserve"> z</w:t>
      </w:r>
      <w:r w:rsidR="00EE3BBC">
        <w:rPr>
          <w:noProof/>
        </w:rPr>
        <w:t> </w:t>
      </w:r>
      <w:r w:rsidR="00EE3BBC" w:rsidRPr="00066B74">
        <w:rPr>
          <w:noProof/>
        </w:rPr>
        <w:t>dni</w:t>
      </w:r>
      <w:r w:rsidRPr="00066B74">
        <w:rPr>
          <w:noProof/>
        </w:rPr>
        <w:t>a 26 czerwca 20</w:t>
      </w:r>
      <w:r w:rsidRPr="00EE3BBC">
        <w:rPr>
          <w:noProof/>
        </w:rPr>
        <w:t>13</w:t>
      </w:r>
      <w:r w:rsidR="00EE3BBC" w:rsidRPr="00EE3BBC">
        <w:rPr>
          <w:noProof/>
        </w:rPr>
        <w:t> </w:t>
      </w:r>
      <w:r w:rsidRPr="00EE3BBC">
        <w:rPr>
          <w:noProof/>
        </w:rPr>
        <w:t>r.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spr</w:t>
      </w:r>
      <w:r w:rsidRPr="00066B74">
        <w:rPr>
          <w:noProof/>
        </w:rPr>
        <w:t xml:space="preserve">awie wymogów ostrożnościowych dla instytucji kredytowych oraz zmieniające rozporządzenie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6</w:t>
      </w:r>
      <w:r w:rsidRPr="00066B74">
        <w:rPr>
          <w:noProof/>
        </w:rPr>
        <w:t>48/2012</w:t>
      </w:r>
      <w:r w:rsidRPr="00066B74">
        <w:rPr>
          <w:rStyle w:val="FootnoteReference"/>
          <w:noProof/>
        </w:rPr>
        <w:footnoteReference w:id="1"/>
      </w:r>
      <w:r w:rsidRPr="00066B74">
        <w:rPr>
          <w:noProof/>
        </w:rPr>
        <w:t>,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szc</w:t>
      </w:r>
      <w:r w:rsidRPr="00066B74">
        <w:rPr>
          <w:noProof/>
        </w:rPr>
        <w:t xml:space="preserve">zególności jego </w:t>
      </w:r>
      <w:r w:rsidRPr="00EE3BBC">
        <w:rPr>
          <w:noProof/>
        </w:rPr>
        <w:t>art.</w:t>
      </w:r>
      <w:r w:rsidR="00EE3BBC" w:rsidRPr="00EE3BBC">
        <w:rPr>
          <w:noProof/>
        </w:rPr>
        <w:t> </w:t>
      </w:r>
      <w:r w:rsidRPr="00EE3BBC">
        <w:rPr>
          <w:noProof/>
        </w:rPr>
        <w:t>4</w:t>
      </w:r>
      <w:r w:rsidRPr="00066B74">
        <w:rPr>
          <w:noProof/>
        </w:rPr>
        <w:t xml:space="preserve">30 </w:t>
      </w:r>
      <w:r w:rsidRPr="00EE3BBC">
        <w:rPr>
          <w:noProof/>
        </w:rPr>
        <w:t>ust.</w:t>
      </w:r>
      <w:r w:rsidR="00EE3BBC" w:rsidRPr="00EE3BBC">
        <w:rPr>
          <w:noProof/>
        </w:rPr>
        <w:t> </w:t>
      </w:r>
      <w:r w:rsidRPr="00EE3BBC">
        <w:rPr>
          <w:noProof/>
        </w:rPr>
        <w:t>7</w:t>
      </w:r>
      <w:r w:rsidRPr="00066B74">
        <w:rPr>
          <w:noProof/>
        </w:rPr>
        <w:t xml:space="preserve"> akapit piąty oraz </w:t>
      </w:r>
      <w:r w:rsidRPr="00EE3BBC">
        <w:rPr>
          <w:noProof/>
        </w:rPr>
        <w:t>art.</w:t>
      </w:r>
      <w:r w:rsidR="00EE3BBC" w:rsidRPr="00EE3BBC">
        <w:rPr>
          <w:noProof/>
        </w:rPr>
        <w:t> </w:t>
      </w:r>
      <w:r w:rsidRPr="00EE3BBC">
        <w:rPr>
          <w:noProof/>
        </w:rPr>
        <w:t>4</w:t>
      </w:r>
      <w:r w:rsidRPr="00066B74">
        <w:rPr>
          <w:noProof/>
        </w:rPr>
        <w:t>34a akapit piąty,</w:t>
      </w:r>
    </w:p>
    <w:p w:rsidR="000E6FD2" w:rsidRPr="00066B74" w:rsidRDefault="000E6FD2" w:rsidP="000E6FD2">
      <w:pPr>
        <w:rPr>
          <w:noProof/>
        </w:rPr>
      </w:pPr>
      <w:r w:rsidRPr="00066B74">
        <w:rPr>
          <w:noProof/>
        </w:rPr>
        <w:t>uwzględniając dyrektywę Parlamentu Europejskiego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Rad</w:t>
      </w:r>
      <w:r w:rsidRPr="00066B74">
        <w:rPr>
          <w:noProof/>
        </w:rPr>
        <w:t>y 2014/59/UE</w:t>
      </w:r>
      <w:r w:rsidR="00EE3BBC" w:rsidRPr="00066B74">
        <w:rPr>
          <w:noProof/>
        </w:rPr>
        <w:t xml:space="preserve"> z</w:t>
      </w:r>
      <w:r w:rsidR="00EE3BBC">
        <w:rPr>
          <w:noProof/>
        </w:rPr>
        <w:t> </w:t>
      </w:r>
      <w:r w:rsidR="00EE3BBC" w:rsidRPr="00066B74">
        <w:rPr>
          <w:noProof/>
        </w:rPr>
        <w:t>dni</w:t>
      </w:r>
      <w:r w:rsidRPr="00066B74">
        <w:rPr>
          <w:noProof/>
        </w:rPr>
        <w:t>a 15 maja 2014 r. ustanawiającą ramy na potrzeby prowadzenia działań naprawczych oraz restrukturyzacji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upo</w:t>
      </w:r>
      <w:r w:rsidRPr="00066B74">
        <w:rPr>
          <w:noProof/>
        </w:rPr>
        <w:t>rządkowanej likwidacji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odn</w:t>
      </w:r>
      <w:r w:rsidRPr="00066B74">
        <w:rPr>
          <w:noProof/>
        </w:rPr>
        <w:t>iesieniu do instytucji kredytowych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fir</w:t>
      </w:r>
      <w:r w:rsidRPr="00066B74">
        <w:rPr>
          <w:noProof/>
        </w:rPr>
        <w:t>m inwestycyjnych oraz zmieniającą dyrektywę Rady 82/891/EWG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dyr</w:t>
      </w:r>
      <w:r w:rsidRPr="00066B74">
        <w:rPr>
          <w:noProof/>
        </w:rPr>
        <w:t>ektywy Parlamentu Europejskiego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Rad</w:t>
      </w:r>
      <w:r w:rsidRPr="00066B74">
        <w:rPr>
          <w:noProof/>
        </w:rPr>
        <w:t>y 2001/24/WE, 2002/47/WE, 2004/25/WE, 2005/56/WE, 2007/36/WE, 2011/35/UE, 2012/30/UE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2</w:t>
      </w:r>
      <w:r w:rsidRPr="00066B74">
        <w:rPr>
          <w:noProof/>
        </w:rPr>
        <w:t>013/36/UE oraz rozporządzenia Parlamentu Europejskiego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Rad</w:t>
      </w:r>
      <w:r w:rsidRPr="00066B74">
        <w:rPr>
          <w:noProof/>
        </w:rPr>
        <w:t xml:space="preserve">y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1</w:t>
      </w:r>
      <w:r w:rsidRPr="00066B74">
        <w:rPr>
          <w:noProof/>
        </w:rPr>
        <w:t xml:space="preserve">093/2010 i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6</w:t>
      </w:r>
      <w:r w:rsidRPr="00066B74">
        <w:rPr>
          <w:noProof/>
        </w:rPr>
        <w:t>48/2012</w:t>
      </w:r>
      <w:r w:rsidRPr="00066B74">
        <w:rPr>
          <w:rStyle w:val="FootnoteReference"/>
          <w:noProof/>
        </w:rPr>
        <w:footnoteReference w:id="2"/>
      </w:r>
      <w:r w:rsidRPr="00066B74">
        <w:rPr>
          <w:noProof/>
        </w:rPr>
        <w:t>,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szc</w:t>
      </w:r>
      <w:r w:rsidRPr="00066B74">
        <w:rPr>
          <w:noProof/>
        </w:rPr>
        <w:t>zególności jej art. 45i ust. 5 akapit piąty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art</w:t>
      </w:r>
      <w:r w:rsidRPr="00066B74">
        <w:rPr>
          <w:noProof/>
        </w:rPr>
        <w:t>. 45i ust. 6 akapit piąty,</w:t>
      </w:r>
    </w:p>
    <w:p w:rsidR="001D506C" w:rsidRPr="00066B74" w:rsidRDefault="001D506C" w:rsidP="004E1EF9">
      <w:pPr>
        <w:rPr>
          <w:noProof/>
        </w:rPr>
      </w:pPr>
      <w:r w:rsidRPr="00066B74">
        <w:rPr>
          <w:noProof/>
        </w:rPr>
        <w:t>a także mając na uwadze, co następuje:</w:t>
      </w:r>
    </w:p>
    <w:p w:rsidR="00F83DBF" w:rsidRPr="00066B74" w:rsidRDefault="00F83DBF" w:rsidP="0052704B">
      <w:pPr>
        <w:pStyle w:val="ManualConsidrant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066B74">
        <w:rPr>
          <w:noProof/>
        </w:rPr>
        <w:t xml:space="preserve">Rozporządzeniem </w:t>
      </w:r>
      <w:bookmarkStart w:id="1" w:name="_Hlk159320995"/>
      <w:r w:rsidRPr="00066B74">
        <w:rPr>
          <w:noProof/>
        </w:rPr>
        <w:t>Parlamentu Europejskiego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Rad</w:t>
      </w:r>
      <w:r w:rsidRPr="00066B74">
        <w:rPr>
          <w:noProof/>
        </w:rPr>
        <w:t>y</w:t>
      </w:r>
      <w:bookmarkEnd w:id="1"/>
      <w:r w:rsidRPr="00066B74">
        <w:rPr>
          <w:noProof/>
        </w:rPr>
        <w:t xml:space="preserve"> (UE) 2022/2036</w:t>
      </w:r>
      <w:r w:rsidRPr="00066B74">
        <w:rPr>
          <w:rStyle w:val="FootnoteReference"/>
          <w:noProof/>
        </w:rPr>
        <w:footnoteReference w:id="3"/>
      </w:r>
      <w:r w:rsidRPr="00066B74">
        <w:rPr>
          <w:noProof/>
        </w:rPr>
        <w:t xml:space="preserve"> wprowadzono do rozporządzenia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5</w:t>
      </w:r>
      <w:r w:rsidRPr="00066B74">
        <w:rPr>
          <w:noProof/>
        </w:rPr>
        <w:t>75/2013 wymóg, zgodnie</w:t>
      </w:r>
      <w:r w:rsidR="00EE3BBC" w:rsidRPr="00066B74">
        <w:rPr>
          <w:noProof/>
        </w:rPr>
        <w:t xml:space="preserve"> z</w:t>
      </w:r>
      <w:r w:rsidR="00EE3BBC">
        <w:rPr>
          <w:noProof/>
        </w:rPr>
        <w:t> </w:t>
      </w:r>
      <w:r w:rsidR="00EE3BBC" w:rsidRPr="00066B74">
        <w:rPr>
          <w:noProof/>
        </w:rPr>
        <w:t>któ</w:t>
      </w:r>
      <w:r w:rsidRPr="00066B74">
        <w:rPr>
          <w:noProof/>
        </w:rPr>
        <w:t>rym jednostki pośredniczące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gru</w:t>
      </w:r>
      <w:r w:rsidRPr="00066B74">
        <w:rPr>
          <w:noProof/>
        </w:rPr>
        <w:t>pie restrukturyzacji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upo</w:t>
      </w:r>
      <w:r w:rsidRPr="00066B74">
        <w:rPr>
          <w:noProof/>
        </w:rPr>
        <w:t>rządkowanej likwidacji odliczają od pozycji zobowiązań kwalifikowalnych posiadane przez siebie instrumenty funduszy własnych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ins</w:t>
      </w:r>
      <w:r w:rsidRPr="00066B74">
        <w:rPr>
          <w:noProof/>
        </w:rPr>
        <w:t>trumenty zobowiązań kwalifikowalnych wykorzystywane do celów spełnienia wymogu określonego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EE3BBC">
        <w:rPr>
          <w:noProof/>
        </w:rPr>
        <w:t>art</w:t>
      </w:r>
      <w:r w:rsidRPr="00EE3BBC">
        <w:rPr>
          <w:noProof/>
        </w:rPr>
        <w:t>.</w:t>
      </w:r>
      <w:r w:rsidR="00EE3BBC" w:rsidRPr="00EE3BBC">
        <w:rPr>
          <w:noProof/>
        </w:rPr>
        <w:t> </w:t>
      </w:r>
      <w:r w:rsidRPr="00EE3BBC">
        <w:rPr>
          <w:noProof/>
        </w:rPr>
        <w:t>9</w:t>
      </w:r>
      <w:r w:rsidRPr="00066B74">
        <w:rPr>
          <w:noProof/>
        </w:rPr>
        <w:t xml:space="preserve">2b rozporządzenia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5</w:t>
      </w:r>
      <w:r w:rsidRPr="00066B74">
        <w:rPr>
          <w:noProof/>
        </w:rPr>
        <w:t>75/2013 („wymóg dotyczący wewnętrznej całkowitej zdolności do pokrycia strat” lub „wewnętrzna TLAC”) lub wymogu określonego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EE3BBC">
        <w:rPr>
          <w:noProof/>
        </w:rPr>
        <w:t>art</w:t>
      </w:r>
      <w:r w:rsidRPr="00EE3BBC">
        <w:rPr>
          <w:noProof/>
        </w:rPr>
        <w:t>.</w:t>
      </w:r>
      <w:r w:rsidR="00EE3BBC" w:rsidRPr="00EE3BBC">
        <w:rPr>
          <w:noProof/>
        </w:rPr>
        <w:t> </w:t>
      </w:r>
      <w:r w:rsidRPr="00EE3BBC">
        <w:rPr>
          <w:noProof/>
        </w:rPr>
        <w:t>4</w:t>
      </w:r>
      <w:r w:rsidRPr="00066B74">
        <w:rPr>
          <w:noProof/>
        </w:rPr>
        <w:t>5f dyrektywy 2014/59/UE</w:t>
      </w:r>
      <w:r w:rsidRPr="00066B74">
        <w:rPr>
          <w:rStyle w:val="FootnoteReference"/>
          <w:noProof/>
        </w:rPr>
        <w:footnoteReference w:id="4"/>
      </w:r>
      <w:r w:rsidRPr="00066B74">
        <w:rPr>
          <w:noProof/>
        </w:rPr>
        <w:t xml:space="preserve"> („minimalny wewnętrzny wymóg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zak</w:t>
      </w:r>
      <w:r w:rsidRPr="00066B74">
        <w:rPr>
          <w:noProof/>
        </w:rPr>
        <w:t>resie funduszy własnych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zob</w:t>
      </w:r>
      <w:r w:rsidRPr="00066B74">
        <w:rPr>
          <w:noProof/>
        </w:rPr>
        <w:t>owiązań kwalifikowalnych” lub „wewnętrzny MREL”),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prz</w:t>
      </w:r>
      <w:r w:rsidRPr="00066B74">
        <w:rPr>
          <w:noProof/>
        </w:rPr>
        <w:t>ypadku gdy te instrumenty funduszy własnych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ins</w:t>
      </w:r>
      <w:r w:rsidRPr="00066B74">
        <w:rPr>
          <w:noProof/>
        </w:rPr>
        <w:t>trumenty zobowiązań kwalifikowalnych zostały wyemitowane przez podmioty, które same nie są podmiotami restrukturyzacji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upo</w:t>
      </w:r>
      <w:r w:rsidRPr="00066B74">
        <w:rPr>
          <w:noProof/>
        </w:rPr>
        <w:t>rządkowanej likwidacji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któ</w:t>
      </w:r>
      <w:r w:rsidRPr="00066B74">
        <w:rPr>
          <w:noProof/>
        </w:rPr>
        <w:t>re należą do tej samej grupy restrukturyzacji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upo</w:t>
      </w:r>
      <w:r w:rsidRPr="00066B74">
        <w:rPr>
          <w:noProof/>
        </w:rPr>
        <w:t>rządkowanej likwidacji</w:t>
      </w:r>
      <w:r w:rsidR="00EE3BBC" w:rsidRPr="00066B74">
        <w:rPr>
          <w:noProof/>
        </w:rPr>
        <w:t>. W</w:t>
      </w:r>
      <w:r w:rsidR="00EE3BBC">
        <w:rPr>
          <w:noProof/>
        </w:rPr>
        <w:t> </w:t>
      </w:r>
      <w:r w:rsidR="00EE3BBC" w:rsidRPr="00066B74">
        <w:rPr>
          <w:noProof/>
        </w:rPr>
        <w:t>zwi</w:t>
      </w:r>
      <w:r w:rsidRPr="00066B74">
        <w:rPr>
          <w:noProof/>
        </w:rPr>
        <w:t>ązku</w:t>
      </w:r>
      <w:r w:rsidR="00EE3BBC" w:rsidRPr="00066B74">
        <w:rPr>
          <w:noProof/>
        </w:rPr>
        <w:t xml:space="preserve"> z</w:t>
      </w:r>
      <w:r w:rsidR="00EE3BBC">
        <w:rPr>
          <w:noProof/>
        </w:rPr>
        <w:t> </w:t>
      </w:r>
      <w:r w:rsidR="00EE3BBC" w:rsidRPr="00066B74">
        <w:rPr>
          <w:noProof/>
        </w:rPr>
        <w:t>tym</w:t>
      </w:r>
      <w:r w:rsidRPr="00066B74">
        <w:rPr>
          <w:noProof/>
        </w:rPr>
        <w:t xml:space="preserve"> ten wymóg dotyczący odliczania należy uwzględnić we wzorach służących do podawania do wiadomości publicznej zharmonizowanych informacji na temat wewnętrznego MREL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wew</w:t>
      </w:r>
      <w:r w:rsidRPr="00066B74">
        <w:rPr>
          <w:noProof/>
        </w:rPr>
        <w:t>nętrznej TLAC, określonych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roz</w:t>
      </w:r>
      <w:r w:rsidRPr="00066B74">
        <w:rPr>
          <w:noProof/>
        </w:rPr>
        <w:t>porządzeniu wykonawczym Komisji (UE) 2021/763</w:t>
      </w:r>
      <w:r w:rsidRPr="00066B74">
        <w:rPr>
          <w:rStyle w:val="FootnoteReference"/>
          <w:bCs/>
          <w:noProof/>
        </w:rPr>
        <w:footnoteReference w:id="5"/>
      </w:r>
      <w:r w:rsidRPr="00066B74">
        <w:rPr>
          <w:noProof/>
        </w:rPr>
        <w:t>. Ten wymóg dotyczący odliczania powinien również znaleźć odzwierciedlenie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zha</w:t>
      </w:r>
      <w:r w:rsidRPr="00066B74">
        <w:rPr>
          <w:noProof/>
        </w:rPr>
        <w:t>rmonizowanych informacjach przekazywanych właściwym organom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org</w:t>
      </w:r>
      <w:r w:rsidRPr="00066B74">
        <w:rPr>
          <w:noProof/>
        </w:rPr>
        <w:t>anom ds. restrukturyzacji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upo</w:t>
      </w:r>
      <w:r w:rsidRPr="00066B74">
        <w:rPr>
          <w:noProof/>
        </w:rPr>
        <w:t>rządkowanej likwidacji.</w:t>
      </w:r>
    </w:p>
    <w:p w:rsidR="00686AFD" w:rsidRPr="00066B74" w:rsidRDefault="00686AFD" w:rsidP="002103AD">
      <w:pPr>
        <w:pStyle w:val="ManualConsidrant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066B74">
        <w:rPr>
          <w:noProof/>
        </w:rPr>
        <w:t>Dyrektywą Parlamentu Europejskiego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Rad</w:t>
      </w:r>
      <w:r w:rsidRPr="00066B74">
        <w:rPr>
          <w:noProof/>
        </w:rPr>
        <w:t>y (UE) 2024/1174</w:t>
      </w:r>
      <w:r w:rsidRPr="00066B74">
        <w:rPr>
          <w:rStyle w:val="FootnoteReference"/>
          <w:noProof/>
        </w:rPr>
        <w:footnoteReference w:id="6"/>
      </w:r>
      <w:r w:rsidRPr="00066B74">
        <w:rPr>
          <w:noProof/>
        </w:rPr>
        <w:t xml:space="preserve"> zmieniającą dyrektywę 2014/59/UE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roz</w:t>
      </w:r>
      <w:r w:rsidRPr="00066B74">
        <w:rPr>
          <w:noProof/>
        </w:rPr>
        <w:t xml:space="preserve">porządzenie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8</w:t>
      </w:r>
      <w:r w:rsidRPr="00066B74">
        <w:rPr>
          <w:noProof/>
        </w:rPr>
        <w:t>06/2014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odn</w:t>
      </w:r>
      <w:r w:rsidRPr="00066B74">
        <w:rPr>
          <w:noProof/>
        </w:rPr>
        <w:t>iesieniu do niektórych aspektów minimalnego wymogu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zak</w:t>
      </w:r>
      <w:r w:rsidRPr="00066B74">
        <w:rPr>
          <w:noProof/>
        </w:rPr>
        <w:t>resie funduszy własnych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zob</w:t>
      </w:r>
      <w:r w:rsidRPr="00066B74">
        <w:rPr>
          <w:noProof/>
        </w:rPr>
        <w:t>owiązań kwalifikowalnych zmieniono wymóg dotyczący odliczania ustanowiony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roz</w:t>
      </w:r>
      <w:r w:rsidRPr="00066B74">
        <w:rPr>
          <w:noProof/>
        </w:rPr>
        <w:t xml:space="preserve">porządzeniu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5</w:t>
      </w:r>
      <w:r w:rsidRPr="00066B74">
        <w:rPr>
          <w:noProof/>
        </w:rPr>
        <w:t>75/2013 poprzez określenie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dyr</w:t>
      </w:r>
      <w:r w:rsidRPr="00066B74">
        <w:rPr>
          <w:noProof/>
        </w:rPr>
        <w:t>ektywie 2014/59/UE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roz</w:t>
      </w:r>
      <w:r w:rsidRPr="00066B74">
        <w:rPr>
          <w:noProof/>
        </w:rPr>
        <w:t xml:space="preserve">porządzeniu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8</w:t>
      </w:r>
      <w:r w:rsidRPr="00066B74">
        <w:rPr>
          <w:noProof/>
        </w:rPr>
        <w:t>06/2014, że jednostki pośredniczące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gru</w:t>
      </w:r>
      <w:r w:rsidRPr="00066B74">
        <w:rPr>
          <w:noProof/>
        </w:rPr>
        <w:t>pie restrukturyzacji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upo</w:t>
      </w:r>
      <w:r w:rsidRPr="00066B74">
        <w:rPr>
          <w:noProof/>
        </w:rPr>
        <w:t>rządkowanej likwidacji odliczają wyłącznie posiadane przez siebie instrumenty funduszy własnych wyemitowane przez podmioty poddawane likwidacji, które należą do tej samej grupy restrukturyzacji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upo</w:t>
      </w:r>
      <w:r w:rsidRPr="00066B74">
        <w:rPr>
          <w:noProof/>
        </w:rPr>
        <w:t>rządkowanej likwidacji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któ</w:t>
      </w:r>
      <w:r w:rsidRPr="00066B74">
        <w:rPr>
          <w:noProof/>
        </w:rPr>
        <w:t>re same nie są podmiotami restrukturyzacji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upo</w:t>
      </w:r>
      <w:r w:rsidRPr="00066B74">
        <w:rPr>
          <w:noProof/>
        </w:rPr>
        <w:t>rządkowanej likwidacji,</w:t>
      </w:r>
      <w:r w:rsidR="00EE3BBC" w:rsidRPr="00066B74">
        <w:rPr>
          <w:noProof/>
        </w:rPr>
        <w:t xml:space="preserve"> z</w:t>
      </w:r>
      <w:r w:rsidR="00EE3BBC">
        <w:rPr>
          <w:noProof/>
        </w:rPr>
        <w:t> </w:t>
      </w:r>
      <w:r w:rsidR="00EE3BBC" w:rsidRPr="00066B74">
        <w:rPr>
          <w:noProof/>
        </w:rPr>
        <w:t>zas</w:t>
      </w:r>
      <w:r w:rsidRPr="00066B74">
        <w:rPr>
          <w:noProof/>
        </w:rPr>
        <w:t>trzeżeniem określonych warunków związanych</w:t>
      </w:r>
      <w:r w:rsidR="00EE3BBC" w:rsidRPr="00066B74">
        <w:rPr>
          <w:noProof/>
        </w:rPr>
        <w:t xml:space="preserve"> z</w:t>
      </w:r>
      <w:r w:rsidR="00EE3BBC">
        <w:rPr>
          <w:noProof/>
        </w:rPr>
        <w:t> </w:t>
      </w:r>
      <w:r w:rsidR="00EE3BBC" w:rsidRPr="00066B74">
        <w:rPr>
          <w:noProof/>
        </w:rPr>
        <w:t>ist</w:t>
      </w:r>
      <w:r w:rsidRPr="00066B74">
        <w:rPr>
          <w:noProof/>
        </w:rPr>
        <w:t>otnością tych posiadanych instrumentów. Te zmiany również powinny znaleźć odzwierciedlenie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zha</w:t>
      </w:r>
      <w:r w:rsidRPr="00066B74">
        <w:rPr>
          <w:noProof/>
        </w:rPr>
        <w:t>rmonizowanych informacjach zawartych we wzorach stosowanych na potrzeby podawania informacji do wiadomości publicznej oraz na potrzeby sprawozdawczości dla właściwych organów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org</w:t>
      </w:r>
      <w:r w:rsidRPr="00066B74">
        <w:rPr>
          <w:noProof/>
        </w:rPr>
        <w:t>anów ds. restrukturyzacji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upo</w:t>
      </w:r>
      <w:r w:rsidRPr="00066B74">
        <w:rPr>
          <w:noProof/>
        </w:rPr>
        <w:t>rządkowanej likwidacji.</w:t>
      </w:r>
    </w:p>
    <w:p w:rsidR="00F83DBF" w:rsidRPr="00066B74" w:rsidRDefault="00F83DBF" w:rsidP="00302BB5">
      <w:pPr>
        <w:pStyle w:val="ManualConsidrant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066B74">
        <w:rPr>
          <w:noProof/>
        </w:rPr>
        <w:t>Podmioty podlegające wymogom określonym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EE3BBC">
        <w:rPr>
          <w:noProof/>
        </w:rPr>
        <w:t>art</w:t>
      </w:r>
      <w:r w:rsidRPr="00EE3BBC">
        <w:rPr>
          <w:noProof/>
        </w:rPr>
        <w:t>.</w:t>
      </w:r>
      <w:r w:rsidR="00EE3BBC" w:rsidRPr="00EE3BBC">
        <w:rPr>
          <w:noProof/>
        </w:rPr>
        <w:t> </w:t>
      </w:r>
      <w:r w:rsidRPr="00EE3BBC">
        <w:rPr>
          <w:noProof/>
        </w:rPr>
        <w:t>9</w:t>
      </w:r>
      <w:r w:rsidRPr="00066B74">
        <w:rPr>
          <w:noProof/>
        </w:rPr>
        <w:t xml:space="preserve">2a lub </w:t>
      </w:r>
      <w:r w:rsidRPr="00EE3BBC">
        <w:rPr>
          <w:noProof/>
        </w:rPr>
        <w:t>art.</w:t>
      </w:r>
      <w:r w:rsidR="00EE3BBC" w:rsidRPr="00EE3BBC">
        <w:rPr>
          <w:noProof/>
        </w:rPr>
        <w:t> </w:t>
      </w:r>
      <w:r w:rsidRPr="00EE3BBC">
        <w:rPr>
          <w:noProof/>
        </w:rPr>
        <w:t>9</w:t>
      </w:r>
      <w:r w:rsidRPr="00066B74">
        <w:rPr>
          <w:noProof/>
        </w:rPr>
        <w:t xml:space="preserve">2b rozporządzenia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5</w:t>
      </w:r>
      <w:r w:rsidRPr="00066B74">
        <w:rPr>
          <w:noProof/>
        </w:rPr>
        <w:t>75/2013 („wymóg dotyczący TLAC”) lub wymogowi określonemu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EE3BBC">
        <w:rPr>
          <w:noProof/>
        </w:rPr>
        <w:t>art</w:t>
      </w:r>
      <w:r w:rsidRPr="00EE3BBC">
        <w:rPr>
          <w:noProof/>
        </w:rPr>
        <w:t>.</w:t>
      </w:r>
      <w:r w:rsidR="00EE3BBC" w:rsidRPr="00EE3BBC">
        <w:rPr>
          <w:noProof/>
        </w:rPr>
        <w:t> </w:t>
      </w:r>
      <w:r w:rsidRPr="00EE3BBC">
        <w:rPr>
          <w:noProof/>
        </w:rPr>
        <w:t>4</w:t>
      </w:r>
      <w:r w:rsidRPr="00066B74">
        <w:rPr>
          <w:noProof/>
        </w:rPr>
        <w:t>5 dyrektywy 2014/59/UE („wymóg dotyczący MREL”) mogą, po uzyskaniu uprzedniego zezwolenia od właściwego dla nich organu ds. restrukturyzacji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upo</w:t>
      </w:r>
      <w:r w:rsidRPr="00066B74">
        <w:rPr>
          <w:noProof/>
        </w:rPr>
        <w:t>rządkowanej likwidacji, wezwać do sprzedaży instrumentów zobowiązań kwalifikowalnych bądź wykupić, spłacić lub odkupić instrumenty zobowiązań kwalifikowalnych zgodnie</w:t>
      </w:r>
      <w:r w:rsidR="00EE3BBC" w:rsidRPr="00066B74">
        <w:rPr>
          <w:noProof/>
        </w:rPr>
        <w:t xml:space="preserve"> z</w:t>
      </w:r>
      <w:r w:rsidR="00EE3BBC">
        <w:rPr>
          <w:noProof/>
        </w:rPr>
        <w:t> </w:t>
      </w:r>
      <w:r w:rsidR="00EE3BBC" w:rsidRPr="00EE3BBC">
        <w:rPr>
          <w:noProof/>
        </w:rPr>
        <w:t>art</w:t>
      </w:r>
      <w:r w:rsidRPr="00EE3BBC">
        <w:rPr>
          <w:noProof/>
        </w:rPr>
        <w:t>.</w:t>
      </w:r>
      <w:r w:rsidR="00EE3BBC" w:rsidRPr="00EE3BBC">
        <w:rPr>
          <w:noProof/>
        </w:rPr>
        <w:t> </w:t>
      </w:r>
      <w:r w:rsidRPr="00EE3BBC">
        <w:rPr>
          <w:noProof/>
        </w:rPr>
        <w:t>7</w:t>
      </w:r>
      <w:r w:rsidRPr="00066B74">
        <w:rPr>
          <w:noProof/>
        </w:rPr>
        <w:t xml:space="preserve">8a rozporządzenia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5</w:t>
      </w:r>
      <w:r w:rsidRPr="00066B74">
        <w:rPr>
          <w:noProof/>
        </w:rPr>
        <w:t>75/2013. Kwoty objęte takim zezwoleniem zmniejszają zdolność podmiotu do spełnienia wymogu dotyczącego MREL lub wymogu dotyczącego TLAC</w:t>
      </w:r>
      <w:r w:rsidR="00EE3BBC" w:rsidRPr="00066B74">
        <w:rPr>
          <w:noProof/>
        </w:rPr>
        <w:t>. W</w:t>
      </w:r>
      <w:r w:rsidR="00EE3BBC">
        <w:rPr>
          <w:noProof/>
        </w:rPr>
        <w:t> </w:t>
      </w:r>
      <w:r w:rsidR="00EE3BBC" w:rsidRPr="00066B74">
        <w:rPr>
          <w:noProof/>
        </w:rPr>
        <w:t>zwi</w:t>
      </w:r>
      <w:r w:rsidRPr="00066B74">
        <w:rPr>
          <w:noProof/>
        </w:rPr>
        <w:t>ązku</w:t>
      </w:r>
      <w:r w:rsidR="00EE3BBC" w:rsidRPr="00066B74">
        <w:rPr>
          <w:noProof/>
        </w:rPr>
        <w:t xml:space="preserve"> z</w:t>
      </w:r>
      <w:r w:rsidR="00EE3BBC">
        <w:rPr>
          <w:noProof/>
        </w:rPr>
        <w:t> </w:t>
      </w:r>
      <w:r w:rsidR="00EE3BBC" w:rsidRPr="00066B74">
        <w:rPr>
          <w:noProof/>
        </w:rPr>
        <w:t>tym</w:t>
      </w:r>
      <w:r w:rsidRPr="00066B74">
        <w:rPr>
          <w:noProof/>
        </w:rPr>
        <w:t xml:space="preserve"> konieczne jest określenie,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jak</w:t>
      </w:r>
      <w:r w:rsidRPr="00066B74">
        <w:rPr>
          <w:noProof/>
        </w:rPr>
        <w:t>i sposób wpływ takiego zezwolenia powinien zostać odzwierciedlony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inf</w:t>
      </w:r>
      <w:r w:rsidRPr="00066B74">
        <w:rPr>
          <w:noProof/>
        </w:rPr>
        <w:t>ormacjach podawanych do wiadomości publicznej oraz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spr</w:t>
      </w:r>
      <w:r w:rsidRPr="00066B74">
        <w:rPr>
          <w:noProof/>
        </w:rPr>
        <w:t>awozdawczości dla właściwych organów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org</w:t>
      </w:r>
      <w:r w:rsidRPr="00066B74">
        <w:rPr>
          <w:noProof/>
        </w:rPr>
        <w:t>anów ds. restrukturyzacji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upo</w:t>
      </w:r>
      <w:r w:rsidRPr="00066B74">
        <w:rPr>
          <w:noProof/>
        </w:rPr>
        <w:t>rządkowanej likwidacji.</w:t>
      </w:r>
    </w:p>
    <w:p w:rsidR="00F83DBF" w:rsidRPr="00066B74" w:rsidRDefault="00F83DBF" w:rsidP="00F83DBF">
      <w:pPr>
        <w:pStyle w:val="ManualConsidrant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066B74">
        <w:rPr>
          <w:noProof/>
        </w:rPr>
        <w:t>Należy zatem odpowiednio zmienić rozporządzenie wykonawcze (UE) 2021/763.</w:t>
      </w:r>
    </w:p>
    <w:p w:rsidR="00F83DBF" w:rsidRPr="00066B74" w:rsidRDefault="00F83DBF" w:rsidP="00F83DBF">
      <w:pPr>
        <w:pStyle w:val="ManualConsidrant"/>
        <w:rPr>
          <w:noProof/>
        </w:rPr>
      </w:pPr>
      <w:r>
        <w:rPr>
          <w:noProof/>
        </w:rPr>
        <w:t>(5)</w:t>
      </w:r>
      <w:r>
        <w:rPr>
          <w:noProof/>
        </w:rPr>
        <w:tab/>
      </w:r>
      <w:r w:rsidRPr="00066B74">
        <w:rPr>
          <w:noProof/>
        </w:rPr>
        <w:t xml:space="preserve">Podstawę niniejszego rozporządzenia stanowi projekt wykonawczych standardów technicznych przedłożony Komisji przez Europejski Urząd Nadzoru Bankowego. </w:t>
      </w:r>
    </w:p>
    <w:p w:rsidR="00F83DBF" w:rsidRPr="00066B74" w:rsidRDefault="00F83DBF" w:rsidP="00F83DBF">
      <w:pPr>
        <w:pStyle w:val="ManualConsidrant"/>
        <w:rPr>
          <w:noProof/>
        </w:rPr>
      </w:pPr>
      <w:r>
        <w:rPr>
          <w:noProof/>
        </w:rPr>
        <w:t>(6)</w:t>
      </w:r>
      <w:r>
        <w:rPr>
          <w:noProof/>
        </w:rPr>
        <w:tab/>
      </w:r>
      <w:r w:rsidRPr="00066B74">
        <w:rPr>
          <w:noProof/>
        </w:rPr>
        <w:t>Europejski Urząd Nadzoru Bankowego przeprowadził otwarte konsultacje publiczne na temat projektu wykonawczych standardów technicznych, który stanowi podstawę niniejszego rozporządzenia, dokonał analizy potencjalnych powiązanych kosztów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kor</w:t>
      </w:r>
      <w:r w:rsidRPr="00066B74">
        <w:rPr>
          <w:noProof/>
        </w:rPr>
        <w:t>zyści oraz zwrócił się</w:t>
      </w:r>
      <w:r w:rsidR="00EE3BBC" w:rsidRPr="00066B74">
        <w:rPr>
          <w:noProof/>
        </w:rPr>
        <w:t xml:space="preserve"> o</w:t>
      </w:r>
      <w:r w:rsidR="00EE3BBC">
        <w:rPr>
          <w:noProof/>
        </w:rPr>
        <w:t> </w:t>
      </w:r>
      <w:r w:rsidR="00EE3BBC" w:rsidRPr="00066B74">
        <w:rPr>
          <w:noProof/>
        </w:rPr>
        <w:t>opi</w:t>
      </w:r>
      <w:r w:rsidRPr="00066B74">
        <w:rPr>
          <w:noProof/>
        </w:rPr>
        <w:t>nię do Bankowej Grupy Interesariuszy powołanej zgodnie</w:t>
      </w:r>
      <w:r w:rsidR="00EE3BBC" w:rsidRPr="00066B74">
        <w:rPr>
          <w:noProof/>
        </w:rPr>
        <w:t xml:space="preserve"> z</w:t>
      </w:r>
      <w:r w:rsidR="00EE3BBC">
        <w:rPr>
          <w:noProof/>
        </w:rPr>
        <w:t> </w:t>
      </w:r>
      <w:r w:rsidR="00EE3BBC" w:rsidRPr="00EE3BBC">
        <w:rPr>
          <w:noProof/>
        </w:rPr>
        <w:t>art</w:t>
      </w:r>
      <w:r w:rsidRPr="00EE3BBC">
        <w:rPr>
          <w:noProof/>
        </w:rPr>
        <w:t>.</w:t>
      </w:r>
      <w:r w:rsidR="00EE3BBC" w:rsidRPr="00EE3BBC">
        <w:rPr>
          <w:noProof/>
        </w:rPr>
        <w:t> </w:t>
      </w:r>
      <w:r w:rsidRPr="00EE3BBC">
        <w:rPr>
          <w:noProof/>
        </w:rPr>
        <w:t>3</w:t>
      </w:r>
      <w:r w:rsidRPr="00066B74">
        <w:rPr>
          <w:noProof/>
        </w:rPr>
        <w:t>7 rozporządzenia Parlamentu Europejskiego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Rad</w:t>
      </w:r>
      <w:r w:rsidRPr="00066B74">
        <w:rPr>
          <w:noProof/>
        </w:rPr>
        <w:t xml:space="preserve">y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1</w:t>
      </w:r>
      <w:r w:rsidRPr="00066B74">
        <w:rPr>
          <w:noProof/>
        </w:rPr>
        <w:t>093/2010</w:t>
      </w:r>
      <w:r w:rsidRPr="00066B74">
        <w:rPr>
          <w:rStyle w:val="FootnoteReference"/>
          <w:noProof/>
        </w:rPr>
        <w:footnoteReference w:id="7"/>
      </w:r>
      <w:r w:rsidRPr="00066B74">
        <w:rPr>
          <w:noProof/>
        </w:rPr>
        <w:t>.</w:t>
      </w:r>
    </w:p>
    <w:p w:rsidR="00DB127D" w:rsidRPr="00066B74" w:rsidRDefault="00DB127D" w:rsidP="00F83DBF">
      <w:pPr>
        <w:pStyle w:val="ManualConsidrant"/>
        <w:rPr>
          <w:noProof/>
        </w:rPr>
      </w:pPr>
      <w:r>
        <w:rPr>
          <w:noProof/>
        </w:rPr>
        <w:t>(7)</w:t>
      </w:r>
      <w:r>
        <w:rPr>
          <w:noProof/>
        </w:rPr>
        <w:tab/>
      </w:r>
      <w:r w:rsidRPr="00066B74">
        <w:rPr>
          <w:noProof/>
        </w:rPr>
        <w:t>Aby zapewnić podmiotom, które podlegają obowiązkowi zgłaszania lub ujawniania informacji zgodnie</w:t>
      </w:r>
      <w:r w:rsidR="00EE3BBC" w:rsidRPr="00066B74">
        <w:rPr>
          <w:noProof/>
        </w:rPr>
        <w:t xml:space="preserve"> z</w:t>
      </w:r>
      <w:r w:rsidR="00EE3BBC">
        <w:rPr>
          <w:noProof/>
        </w:rPr>
        <w:t> </w:t>
      </w:r>
      <w:r w:rsidR="00EE3BBC" w:rsidRPr="00066B74">
        <w:rPr>
          <w:noProof/>
        </w:rPr>
        <w:t>roz</w:t>
      </w:r>
      <w:r w:rsidRPr="00066B74">
        <w:rPr>
          <w:noProof/>
        </w:rPr>
        <w:t xml:space="preserve">porządzeniem (UE) </w:t>
      </w:r>
      <w:r w:rsidRPr="00EE3BBC">
        <w:rPr>
          <w:noProof/>
        </w:rPr>
        <w:t>nr</w:t>
      </w:r>
      <w:r w:rsidR="00EE3BBC" w:rsidRPr="00EE3BBC">
        <w:rPr>
          <w:noProof/>
        </w:rPr>
        <w:t> </w:t>
      </w:r>
      <w:r w:rsidRPr="00EE3BBC">
        <w:rPr>
          <w:noProof/>
        </w:rPr>
        <w:t>5</w:t>
      </w:r>
      <w:r w:rsidRPr="00066B74">
        <w:rPr>
          <w:noProof/>
        </w:rPr>
        <w:t xml:space="preserve">75/2013 lub dyrektywą 2014/59/UE, wystarczająco dużo czasu na dostosowanie się </w:t>
      </w:r>
      <w:bookmarkStart w:id="2" w:name="_Hlk160034996"/>
      <w:r w:rsidRPr="00066B74">
        <w:rPr>
          <w:noProof/>
        </w:rPr>
        <w:t>do zmian we wzorach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w</w:t>
      </w:r>
      <w:r w:rsidR="00EE3BBC">
        <w:rPr>
          <w:noProof/>
        </w:rPr>
        <w:t> </w:t>
      </w:r>
      <w:r w:rsidR="00EE3BBC" w:rsidRPr="00066B74">
        <w:rPr>
          <w:noProof/>
        </w:rPr>
        <w:t>zha</w:t>
      </w:r>
      <w:r w:rsidRPr="00066B74">
        <w:rPr>
          <w:noProof/>
        </w:rPr>
        <w:t>rmonizowanych informacjach, zmiany te powinny</w:t>
      </w:r>
      <w:bookmarkEnd w:id="2"/>
      <w:r w:rsidRPr="00066B74">
        <w:rPr>
          <w:noProof/>
        </w:rPr>
        <w:t xml:space="preserve"> zacząć obowiązywać sześć miesięcy po wejściu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życ</w:t>
      </w:r>
      <w:r w:rsidRPr="00066B74">
        <w:rPr>
          <w:noProof/>
        </w:rPr>
        <w:t>ie niniejszego rozporządzenia,</w:t>
      </w:r>
    </w:p>
    <w:p w:rsidR="001D506C" w:rsidRPr="00066B74" w:rsidRDefault="001D506C" w:rsidP="004E1EF9">
      <w:pPr>
        <w:pStyle w:val="Formuledadoption"/>
        <w:rPr>
          <w:noProof/>
        </w:rPr>
      </w:pPr>
      <w:r w:rsidRPr="00066B74">
        <w:rPr>
          <w:noProof/>
        </w:rPr>
        <w:t>PRZYJMUJE NINIEJSZE ROZPORZĄDZENIE:</w:t>
      </w:r>
    </w:p>
    <w:p w:rsidR="001D506C" w:rsidRPr="00066B74" w:rsidRDefault="001D506C" w:rsidP="004E1EF9">
      <w:pPr>
        <w:pStyle w:val="Titrearticle"/>
        <w:rPr>
          <w:noProof/>
        </w:rPr>
      </w:pPr>
      <w:r w:rsidRPr="00066B74">
        <w:rPr>
          <w:noProof/>
        </w:rPr>
        <w:t>Artykuł 1</w:t>
      </w:r>
    </w:p>
    <w:p w:rsidR="008D3341" w:rsidRPr="00066B74" w:rsidRDefault="008D3341" w:rsidP="00220108">
      <w:pPr>
        <w:pStyle w:val="Titrearticle"/>
        <w:rPr>
          <w:noProof/>
        </w:rPr>
      </w:pPr>
      <w:r w:rsidRPr="00066B74">
        <w:rPr>
          <w:noProof/>
        </w:rPr>
        <w:t>Zmiany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roz</w:t>
      </w:r>
      <w:r w:rsidRPr="00066B74">
        <w:rPr>
          <w:noProof/>
        </w:rPr>
        <w:t>porządzeniu wykonawczym (UE) 2021/763</w:t>
      </w:r>
    </w:p>
    <w:p w:rsidR="00F83DBF" w:rsidRPr="00066B74" w:rsidRDefault="00F83DBF" w:rsidP="00F83DBF">
      <w:pPr>
        <w:rPr>
          <w:noProof/>
        </w:rPr>
      </w:pPr>
      <w:r w:rsidRPr="00066B74">
        <w:rPr>
          <w:noProof/>
        </w:rPr>
        <w:t>W rozporządzeniu wykonawczym (UE) 2021/763 wprowadza się następujące zmiany:</w:t>
      </w:r>
    </w:p>
    <w:p w:rsidR="00F83DBF" w:rsidRPr="00066B74" w:rsidRDefault="00066B74" w:rsidP="00066B74">
      <w:pPr>
        <w:pStyle w:val="Point0"/>
        <w:rPr>
          <w:noProof/>
        </w:rPr>
      </w:pPr>
      <w:r w:rsidRPr="00066B74">
        <w:rPr>
          <w:noProof/>
        </w:rPr>
        <w:t>1)</w:t>
      </w:r>
      <w:r w:rsidRPr="00066B74">
        <w:rPr>
          <w:noProof/>
        </w:rPr>
        <w:tab/>
      </w:r>
      <w:r w:rsidR="004603A2" w:rsidRPr="00066B74">
        <w:rPr>
          <w:noProof/>
        </w:rPr>
        <w:t>wzory M 02.00 i M 03.00 określone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zał</w:t>
      </w:r>
      <w:r w:rsidR="004603A2" w:rsidRPr="00066B74">
        <w:rPr>
          <w:noProof/>
        </w:rPr>
        <w:t>ączniku I zastępuje się wzorami M 02.00 i M 03.00 określonymi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zał</w:t>
      </w:r>
      <w:r w:rsidR="004603A2" w:rsidRPr="00066B74">
        <w:rPr>
          <w:noProof/>
        </w:rPr>
        <w:t>ączniku I do niniejszego rozporządzenia;</w:t>
      </w:r>
    </w:p>
    <w:p w:rsidR="00F83DBF" w:rsidRPr="00066B74" w:rsidRDefault="00066B74" w:rsidP="00066B74">
      <w:pPr>
        <w:pStyle w:val="Point0"/>
        <w:rPr>
          <w:noProof/>
        </w:rPr>
      </w:pPr>
      <w:r w:rsidRPr="00066B74">
        <w:rPr>
          <w:noProof/>
        </w:rPr>
        <w:t>2)</w:t>
      </w:r>
      <w:r w:rsidRPr="00066B74">
        <w:rPr>
          <w:noProof/>
        </w:rPr>
        <w:tab/>
      </w:r>
      <w:r w:rsidR="00F83DBF" w:rsidRPr="00066B74">
        <w:rPr>
          <w:noProof/>
        </w:rPr>
        <w:t>załącznik II zastępuje się tekstem znajdującym się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zał</w:t>
      </w:r>
      <w:r w:rsidR="00F83DBF" w:rsidRPr="00066B74">
        <w:rPr>
          <w:noProof/>
        </w:rPr>
        <w:t>ączniku II do niniejszego rozporządzenia;</w:t>
      </w:r>
    </w:p>
    <w:p w:rsidR="00F83DBF" w:rsidRPr="00066B74" w:rsidRDefault="00066B74" w:rsidP="00066B74">
      <w:pPr>
        <w:pStyle w:val="Point0"/>
        <w:rPr>
          <w:noProof/>
        </w:rPr>
      </w:pPr>
      <w:r>
        <w:rPr>
          <w:noProof/>
        </w:rPr>
        <w:t>3</w:t>
      </w:r>
      <w:r w:rsidRPr="00066B74">
        <w:rPr>
          <w:noProof/>
        </w:rPr>
        <w:t>)</w:t>
      </w:r>
      <w:r w:rsidRPr="00066B74">
        <w:rPr>
          <w:noProof/>
        </w:rPr>
        <w:tab/>
      </w:r>
      <w:r w:rsidR="004603A2" w:rsidRPr="00066B74">
        <w:rPr>
          <w:noProof/>
        </w:rPr>
        <w:t>wzory EU TLAC1 i EU ILAC określone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zał</w:t>
      </w:r>
      <w:r w:rsidR="004603A2" w:rsidRPr="00066B74">
        <w:rPr>
          <w:noProof/>
        </w:rPr>
        <w:t>ączniku V zastępuje się wzorami EU TLAC1 i EU ILAC określonymi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zał</w:t>
      </w:r>
      <w:r w:rsidR="004603A2" w:rsidRPr="00066B74">
        <w:rPr>
          <w:noProof/>
        </w:rPr>
        <w:t>ączniku III do niniejszego rozporządzenia;</w:t>
      </w:r>
    </w:p>
    <w:p w:rsidR="00F83DBF" w:rsidRPr="00066B74" w:rsidRDefault="00066B74" w:rsidP="00066B74">
      <w:pPr>
        <w:pStyle w:val="Point0"/>
        <w:rPr>
          <w:noProof/>
        </w:rPr>
      </w:pPr>
      <w:r w:rsidRPr="00066B74">
        <w:rPr>
          <w:noProof/>
        </w:rPr>
        <w:t>4)</w:t>
      </w:r>
      <w:r w:rsidRPr="00066B74">
        <w:rPr>
          <w:noProof/>
        </w:rPr>
        <w:tab/>
      </w:r>
      <w:r w:rsidR="00F83DBF" w:rsidRPr="00066B74">
        <w:rPr>
          <w:noProof/>
        </w:rPr>
        <w:t>załącznik VI zastępuje się tekstem znajdującym się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zał</w:t>
      </w:r>
      <w:r w:rsidR="00F83DBF" w:rsidRPr="00066B74">
        <w:rPr>
          <w:noProof/>
        </w:rPr>
        <w:t>ączniku IV do niniejszego rozporządzenia.</w:t>
      </w:r>
    </w:p>
    <w:p w:rsidR="00F83DBF" w:rsidRPr="00066B74" w:rsidRDefault="00F83DBF" w:rsidP="00F83DBF">
      <w:pPr>
        <w:pStyle w:val="Titrearticle"/>
        <w:rPr>
          <w:noProof/>
        </w:rPr>
      </w:pPr>
      <w:r w:rsidRPr="00066B74">
        <w:rPr>
          <w:noProof/>
        </w:rPr>
        <w:t>Artykuł 2</w:t>
      </w:r>
    </w:p>
    <w:p w:rsidR="00CC305D" w:rsidRPr="00066B74" w:rsidRDefault="00CC305D" w:rsidP="00583FFA">
      <w:pPr>
        <w:jc w:val="center"/>
        <w:rPr>
          <w:b/>
          <w:bCs/>
          <w:noProof/>
          <w:color w:val="000000"/>
        </w:rPr>
      </w:pPr>
      <w:r w:rsidRPr="00066B74">
        <w:rPr>
          <w:b/>
          <w:noProof/>
          <w:color w:val="000000"/>
        </w:rPr>
        <w:t>Wejście</w:t>
      </w:r>
      <w:r w:rsidR="00EE3BBC" w:rsidRPr="00066B74">
        <w:rPr>
          <w:b/>
          <w:noProof/>
          <w:color w:val="000000"/>
        </w:rPr>
        <w:t xml:space="preserve"> w</w:t>
      </w:r>
      <w:r w:rsidR="00EE3BBC">
        <w:rPr>
          <w:b/>
          <w:noProof/>
          <w:color w:val="000000"/>
        </w:rPr>
        <w:t> </w:t>
      </w:r>
      <w:r w:rsidR="00EE3BBC" w:rsidRPr="00066B74">
        <w:rPr>
          <w:b/>
          <w:noProof/>
          <w:color w:val="000000"/>
        </w:rPr>
        <w:t>życ</w:t>
      </w:r>
      <w:r w:rsidRPr="00066B74">
        <w:rPr>
          <w:b/>
          <w:noProof/>
          <w:color w:val="000000"/>
        </w:rPr>
        <w:t>ie</w:t>
      </w:r>
      <w:r w:rsidR="00EE3BBC" w:rsidRPr="00066B74">
        <w:rPr>
          <w:b/>
          <w:noProof/>
          <w:color w:val="000000"/>
        </w:rPr>
        <w:t xml:space="preserve"> i</w:t>
      </w:r>
      <w:r w:rsidR="00EE3BBC">
        <w:rPr>
          <w:b/>
          <w:noProof/>
          <w:color w:val="000000"/>
        </w:rPr>
        <w:t> </w:t>
      </w:r>
      <w:r w:rsidR="00EE3BBC" w:rsidRPr="00066B74">
        <w:rPr>
          <w:b/>
          <w:noProof/>
          <w:color w:val="000000"/>
        </w:rPr>
        <w:t>roz</w:t>
      </w:r>
      <w:r w:rsidRPr="00066B74">
        <w:rPr>
          <w:b/>
          <w:noProof/>
          <w:color w:val="000000"/>
        </w:rPr>
        <w:t>poczęcie stosowania</w:t>
      </w:r>
    </w:p>
    <w:p w:rsidR="00F83DBF" w:rsidRPr="00066B74" w:rsidRDefault="00F83DBF" w:rsidP="00F83DBF">
      <w:pPr>
        <w:rPr>
          <w:noProof/>
          <w:color w:val="000000"/>
        </w:rPr>
      </w:pPr>
      <w:r w:rsidRPr="00066B74">
        <w:rPr>
          <w:noProof/>
          <w:color w:val="000000"/>
        </w:rPr>
        <w:t>Niniejsze rozporządzenie wchodzi</w:t>
      </w:r>
      <w:r w:rsidR="00EE3BBC" w:rsidRPr="00066B74">
        <w:rPr>
          <w:noProof/>
          <w:color w:val="000000"/>
        </w:rPr>
        <w:t xml:space="preserve"> w</w:t>
      </w:r>
      <w:r w:rsidR="00EE3BBC">
        <w:rPr>
          <w:noProof/>
          <w:color w:val="000000"/>
        </w:rPr>
        <w:t> </w:t>
      </w:r>
      <w:r w:rsidR="00EE3BBC" w:rsidRPr="00066B74">
        <w:rPr>
          <w:noProof/>
          <w:color w:val="000000"/>
        </w:rPr>
        <w:t>życ</w:t>
      </w:r>
      <w:r w:rsidRPr="00066B74">
        <w:rPr>
          <w:noProof/>
          <w:color w:val="000000"/>
        </w:rPr>
        <w:t>ie dwudziestego dnia po jego opublikowaniu</w:t>
      </w:r>
      <w:r w:rsidR="00EE3BBC" w:rsidRPr="00066B74">
        <w:rPr>
          <w:noProof/>
          <w:color w:val="000000"/>
        </w:rPr>
        <w:t xml:space="preserve"> w</w:t>
      </w:r>
      <w:r w:rsidR="00EE3BBC">
        <w:rPr>
          <w:noProof/>
          <w:color w:val="000000"/>
        </w:rPr>
        <w:t> </w:t>
      </w:r>
      <w:r w:rsidR="00EE3BBC" w:rsidRPr="00066B74">
        <w:rPr>
          <w:i/>
          <w:noProof/>
          <w:color w:val="000000"/>
        </w:rPr>
        <w:t>Dzi</w:t>
      </w:r>
      <w:r w:rsidRPr="00066B74">
        <w:rPr>
          <w:i/>
          <w:noProof/>
          <w:color w:val="000000"/>
        </w:rPr>
        <w:t>enniku Urzędowym Unii Europejskiej</w:t>
      </w:r>
      <w:r w:rsidRPr="00066B74">
        <w:rPr>
          <w:noProof/>
          <w:color w:val="000000"/>
        </w:rPr>
        <w:t>.</w:t>
      </w:r>
    </w:p>
    <w:p w:rsidR="00F83DBF" w:rsidRPr="00066B74" w:rsidRDefault="00F83DBF" w:rsidP="00F83DBF">
      <w:pPr>
        <w:rPr>
          <w:noProof/>
          <w:color w:val="000000"/>
        </w:rPr>
      </w:pPr>
      <w:r w:rsidRPr="00066B74">
        <w:rPr>
          <w:noProof/>
          <w:color w:val="000000"/>
        </w:rPr>
        <w:t xml:space="preserve">Niniejsze rozporządzenie stosuje się od dnia … </w:t>
      </w:r>
      <w:r w:rsidRPr="00066B74">
        <w:rPr>
          <w:i/>
          <w:noProof/>
          <w:color w:val="000000"/>
        </w:rPr>
        <w:t>[Urząd Publikacji: proszę wstawić datę przypadającą sześć miesięcy od daty wejścia</w:t>
      </w:r>
      <w:r w:rsidR="00EE3BBC" w:rsidRPr="00066B74">
        <w:rPr>
          <w:i/>
          <w:noProof/>
          <w:color w:val="000000"/>
        </w:rPr>
        <w:t xml:space="preserve"> w</w:t>
      </w:r>
      <w:r w:rsidR="00EE3BBC">
        <w:rPr>
          <w:i/>
          <w:noProof/>
          <w:color w:val="000000"/>
        </w:rPr>
        <w:t> </w:t>
      </w:r>
      <w:r w:rsidR="00EE3BBC" w:rsidRPr="00066B74">
        <w:rPr>
          <w:i/>
          <w:noProof/>
          <w:color w:val="000000"/>
        </w:rPr>
        <w:t>życ</w:t>
      </w:r>
      <w:r w:rsidRPr="00066B74">
        <w:rPr>
          <w:i/>
          <w:noProof/>
          <w:color w:val="000000"/>
        </w:rPr>
        <w:t>ie niniejszego rozporządzenia zmieniającego]</w:t>
      </w:r>
      <w:r w:rsidRPr="00066B74">
        <w:rPr>
          <w:noProof/>
          <w:color w:val="000000"/>
        </w:rPr>
        <w:t xml:space="preserve"> r. </w:t>
      </w:r>
    </w:p>
    <w:p w:rsidR="001D506C" w:rsidRPr="00066B74" w:rsidRDefault="001D506C" w:rsidP="004E1EF9">
      <w:pPr>
        <w:pStyle w:val="Applicationdirecte"/>
        <w:keepNext/>
        <w:keepLines/>
        <w:rPr>
          <w:noProof/>
        </w:rPr>
      </w:pPr>
      <w:r w:rsidRPr="00066B74">
        <w:rPr>
          <w:noProof/>
        </w:rPr>
        <w:t>Niniejsze rozporządzenie wiąże</w:t>
      </w:r>
      <w:r w:rsidR="00EE3BBC" w:rsidRPr="00066B74">
        <w:rPr>
          <w:noProof/>
        </w:rPr>
        <w:t xml:space="preserve"> w</w:t>
      </w:r>
      <w:r w:rsidR="00EE3BBC">
        <w:rPr>
          <w:noProof/>
        </w:rPr>
        <w:t> </w:t>
      </w:r>
      <w:r w:rsidR="00EE3BBC" w:rsidRPr="00066B74">
        <w:rPr>
          <w:noProof/>
        </w:rPr>
        <w:t>cał</w:t>
      </w:r>
      <w:r w:rsidRPr="00066B74">
        <w:rPr>
          <w:noProof/>
        </w:rPr>
        <w:t>ości</w:t>
      </w:r>
      <w:r w:rsidR="00EE3BBC" w:rsidRPr="00066B74">
        <w:rPr>
          <w:noProof/>
        </w:rPr>
        <w:t xml:space="preserve"> i</w:t>
      </w:r>
      <w:r w:rsidR="00EE3BBC">
        <w:rPr>
          <w:noProof/>
        </w:rPr>
        <w:t> </w:t>
      </w:r>
      <w:r w:rsidR="00EE3BBC" w:rsidRPr="00066B74">
        <w:rPr>
          <w:noProof/>
        </w:rPr>
        <w:t>jes</w:t>
      </w:r>
      <w:r w:rsidRPr="00066B74">
        <w:rPr>
          <w:noProof/>
        </w:rPr>
        <w:t>t bezpośrednio stosowane we wszystkich państwach członkowskich.</w:t>
      </w:r>
    </w:p>
    <w:p w:rsidR="001D506C" w:rsidRPr="00066B74" w:rsidRDefault="00D0365E" w:rsidP="001A21D1">
      <w:pPr>
        <w:pStyle w:val="Fait"/>
        <w:rPr>
          <w:noProof/>
        </w:rPr>
      </w:pPr>
      <w:r>
        <w:rPr>
          <w:noProof/>
        </w:rPr>
        <w:t>Sporządzono w Brukseli dnia 6.6.2024 r.</w:t>
      </w:r>
    </w:p>
    <w:p w:rsidR="001D506C" w:rsidRPr="00066B74" w:rsidRDefault="001D506C" w:rsidP="001A21D1">
      <w:pPr>
        <w:pStyle w:val="Institutionquisigne"/>
        <w:rPr>
          <w:noProof/>
        </w:rPr>
      </w:pPr>
      <w:r w:rsidRPr="00066B74">
        <w:rPr>
          <w:noProof/>
        </w:rPr>
        <w:tab/>
        <w:t>W imieniu Komisji</w:t>
      </w:r>
    </w:p>
    <w:p w:rsidR="00F718B8" w:rsidRPr="00066B74" w:rsidRDefault="0048754F" w:rsidP="001A21D1">
      <w:pPr>
        <w:pStyle w:val="Personnequisigne"/>
        <w:keepNext/>
        <w:rPr>
          <w:noProof/>
        </w:rPr>
      </w:pPr>
      <w:r>
        <w:rPr>
          <w:noProof/>
        </w:rPr>
        <w:tab/>
        <w:t>Przewodnicząca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C402D1" w:rsidRPr="00066B74" w:rsidRDefault="00C402D1" w:rsidP="00C402D1">
      <w:pPr>
        <w:pStyle w:val="Personnequisigne"/>
        <w:rPr>
          <w:noProof/>
        </w:rPr>
      </w:pPr>
    </w:p>
    <w:sectPr w:rsidR="00C402D1" w:rsidRPr="00066B74" w:rsidSect="001C44F2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E8" w:rsidRDefault="00852DE8" w:rsidP="001D506C">
      <w:pPr>
        <w:spacing w:before="0" w:after="0"/>
      </w:pPr>
      <w:r>
        <w:separator/>
      </w:r>
    </w:p>
  </w:endnote>
  <w:endnote w:type="continuationSeparator" w:id="0">
    <w:p w:rsidR="00852DE8" w:rsidRDefault="00852DE8" w:rsidP="001D50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F2" w:rsidRPr="001C44F2" w:rsidRDefault="001C44F2" w:rsidP="001C44F2">
    <w:pPr>
      <w:pStyle w:val="Footer"/>
      <w:rPr>
        <w:rFonts w:ascii="Arial" w:hAnsi="Arial" w:cs="Arial"/>
        <w:b/>
        <w:sz w:val="48"/>
      </w:rPr>
    </w:pPr>
    <w:r w:rsidRPr="001C44F2">
      <w:rPr>
        <w:rFonts w:ascii="Arial" w:hAnsi="Arial" w:cs="Arial"/>
        <w:b/>
        <w:sz w:val="48"/>
      </w:rPr>
      <w:t>PL</w:t>
    </w:r>
    <w:r w:rsidRPr="001C44F2">
      <w:rPr>
        <w:rFonts w:ascii="Arial" w:hAnsi="Arial" w:cs="Arial"/>
        <w:b/>
        <w:sz w:val="48"/>
      </w:rPr>
      <w:tab/>
    </w:r>
    <w:r w:rsidRPr="001C44F2">
      <w:rPr>
        <w:rFonts w:ascii="Arial" w:hAnsi="Arial" w:cs="Arial"/>
        <w:b/>
        <w:sz w:val="48"/>
      </w:rPr>
      <w:tab/>
    </w:r>
    <w:r w:rsidRPr="001C44F2">
      <w:tab/>
    </w:r>
    <w:r w:rsidRPr="001C44F2">
      <w:rPr>
        <w:rFonts w:ascii="Arial" w:hAnsi="Arial" w:cs="Arial"/>
        <w:b/>
        <w:sz w:val="48"/>
      </w:rPr>
      <w:t>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F2" w:rsidRPr="001C44F2" w:rsidRDefault="001C44F2" w:rsidP="001C44F2">
    <w:pPr>
      <w:pStyle w:val="Footer"/>
      <w:rPr>
        <w:rFonts w:ascii="Arial" w:hAnsi="Arial" w:cs="Arial"/>
        <w:b/>
        <w:sz w:val="48"/>
      </w:rPr>
    </w:pPr>
    <w:r w:rsidRPr="001C44F2">
      <w:rPr>
        <w:rFonts w:ascii="Arial" w:hAnsi="Arial" w:cs="Arial"/>
        <w:b/>
        <w:sz w:val="48"/>
      </w:rPr>
      <w:t>PL</w:t>
    </w:r>
    <w:r w:rsidRPr="001C44F2">
      <w:rPr>
        <w:rFonts w:ascii="Arial" w:hAnsi="Arial" w:cs="Arial"/>
        <w:b/>
        <w:sz w:val="48"/>
      </w:rPr>
      <w:tab/>
    </w:r>
    <w:r w:rsidRPr="001C44F2">
      <w:rPr>
        <w:rFonts w:ascii="Arial" w:hAnsi="Arial" w:cs="Arial"/>
        <w:b/>
        <w:sz w:val="48"/>
      </w:rPr>
      <w:tab/>
    </w:r>
    <w:r w:rsidRPr="001C44F2">
      <w:tab/>
    </w:r>
    <w:r w:rsidRPr="001C44F2">
      <w:rPr>
        <w:rFonts w:ascii="Arial" w:hAnsi="Arial" w:cs="Arial"/>
        <w:b/>
        <w:sz w:val="48"/>
      </w:rPr>
      <w:t>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F2" w:rsidRDefault="001C44F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F2" w:rsidRPr="001C44F2" w:rsidRDefault="001C44F2" w:rsidP="001C44F2">
    <w:pPr>
      <w:pStyle w:val="Footer"/>
      <w:rPr>
        <w:rFonts w:ascii="Arial" w:hAnsi="Arial" w:cs="Arial"/>
        <w:b/>
        <w:sz w:val="48"/>
      </w:rPr>
    </w:pPr>
    <w:r w:rsidRPr="001C44F2">
      <w:rPr>
        <w:rFonts w:ascii="Arial" w:hAnsi="Arial" w:cs="Arial"/>
        <w:b/>
        <w:sz w:val="48"/>
      </w:rPr>
      <w:t>PL</w:t>
    </w:r>
    <w:r w:rsidRPr="001C44F2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1A21D1">
      <w:rPr>
        <w:noProof/>
      </w:rPr>
      <w:t>4</w:t>
    </w:r>
    <w:r>
      <w:fldChar w:fldCharType="end"/>
    </w:r>
    <w:r>
      <w:tab/>
    </w:r>
    <w:r w:rsidRPr="001C44F2">
      <w:tab/>
    </w:r>
    <w:r w:rsidRPr="001C44F2">
      <w:rPr>
        <w:rFonts w:ascii="Arial" w:hAnsi="Arial" w:cs="Arial"/>
        <w:b/>
        <w:sz w:val="48"/>
      </w:rPr>
      <w:t>PL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F2" w:rsidRDefault="001C44F2" w:rsidP="001C4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E8" w:rsidRDefault="00852DE8" w:rsidP="001D506C">
      <w:pPr>
        <w:spacing w:before="0" w:after="0"/>
      </w:pPr>
      <w:r>
        <w:separator/>
      </w:r>
    </w:p>
  </w:footnote>
  <w:footnote w:type="continuationSeparator" w:id="0">
    <w:p w:rsidR="00852DE8" w:rsidRDefault="00852DE8" w:rsidP="001D506C">
      <w:pPr>
        <w:spacing w:before="0" w:after="0"/>
      </w:pPr>
      <w:r>
        <w:continuationSeparator/>
      </w:r>
    </w:p>
  </w:footnote>
  <w:footnote w:id="1">
    <w:p w:rsidR="000E6FD2" w:rsidRPr="00066B74" w:rsidRDefault="000E6FD2" w:rsidP="000E6FD2">
      <w:pPr>
        <w:pStyle w:val="FootnoteText"/>
      </w:pPr>
      <w:r>
        <w:rPr>
          <w:rStyle w:val="FootnoteReference"/>
        </w:rPr>
        <w:footnoteRef/>
      </w:r>
      <w:r w:rsidRPr="00066B74">
        <w:tab/>
        <w:t>Dz.U. L 176</w:t>
      </w:r>
      <w:r w:rsidR="00EE3BBC" w:rsidRPr="00066B74">
        <w:t xml:space="preserve"> z</w:t>
      </w:r>
      <w:r w:rsidR="00EE3BBC">
        <w:t> </w:t>
      </w:r>
      <w:r w:rsidR="00EE3BBC" w:rsidRPr="00066B74">
        <w:t>2</w:t>
      </w:r>
      <w:r w:rsidRPr="00066B74">
        <w:t xml:space="preserve">7.6.2013, s. 1, ELI: http://data.europa.eu/eli/reg/2013/575/oj. </w:t>
      </w:r>
    </w:p>
  </w:footnote>
  <w:footnote w:id="2">
    <w:p w:rsidR="000E6FD2" w:rsidRPr="00066B74" w:rsidRDefault="000E6FD2" w:rsidP="000E6FD2">
      <w:pPr>
        <w:pStyle w:val="FootnoteText"/>
      </w:pPr>
      <w:r>
        <w:rPr>
          <w:rStyle w:val="FootnoteReference"/>
        </w:rPr>
        <w:footnoteRef/>
      </w:r>
      <w:r w:rsidRPr="00066B74">
        <w:tab/>
        <w:t>Dz.U. L 173</w:t>
      </w:r>
      <w:r w:rsidR="00EE3BBC" w:rsidRPr="00066B74">
        <w:t xml:space="preserve"> z</w:t>
      </w:r>
      <w:r w:rsidR="00EE3BBC">
        <w:t> </w:t>
      </w:r>
      <w:r w:rsidR="00EE3BBC" w:rsidRPr="00066B74">
        <w:t>1</w:t>
      </w:r>
      <w:r w:rsidRPr="00066B74">
        <w:t xml:space="preserve">2.6.2014, s. 190, ELI: http://data.europa.eu/eli/dir/2014/59/oj. </w:t>
      </w:r>
    </w:p>
  </w:footnote>
  <w:footnote w:id="3">
    <w:p w:rsidR="00F83DBF" w:rsidRPr="00066B74" w:rsidRDefault="00F83DBF" w:rsidP="00F83DBF">
      <w:pPr>
        <w:pStyle w:val="FootnoteText"/>
      </w:pPr>
      <w:r>
        <w:rPr>
          <w:rStyle w:val="FootnoteReference"/>
        </w:rPr>
        <w:footnoteRef/>
      </w:r>
      <w:r w:rsidRPr="00066B74">
        <w:tab/>
        <w:t>Rozporządzenie Parlamentu Europejskiego</w:t>
      </w:r>
      <w:r w:rsidR="00EE3BBC" w:rsidRPr="00066B74">
        <w:t xml:space="preserve"> i</w:t>
      </w:r>
      <w:r w:rsidR="00EE3BBC">
        <w:t> </w:t>
      </w:r>
      <w:r w:rsidR="00EE3BBC" w:rsidRPr="00066B74">
        <w:t>Rad</w:t>
      </w:r>
      <w:r w:rsidRPr="00066B74">
        <w:t>y (UE) 2022/2036</w:t>
      </w:r>
      <w:r w:rsidR="00EE3BBC" w:rsidRPr="00066B74">
        <w:t xml:space="preserve"> z</w:t>
      </w:r>
      <w:r w:rsidR="00EE3BBC">
        <w:t> </w:t>
      </w:r>
      <w:r w:rsidR="00EE3BBC" w:rsidRPr="00066B74">
        <w:t>dni</w:t>
      </w:r>
      <w:r w:rsidRPr="00066B74">
        <w:t>a 19 października 20</w:t>
      </w:r>
      <w:r w:rsidRPr="00EE3BBC">
        <w:t>22</w:t>
      </w:r>
      <w:r w:rsidR="00EE3BBC" w:rsidRPr="00EE3BBC">
        <w:t> </w:t>
      </w:r>
      <w:r w:rsidRPr="00EE3BBC">
        <w:t>r.</w:t>
      </w:r>
      <w:r w:rsidR="00EE3BBC" w:rsidRPr="00066B74">
        <w:t xml:space="preserve"> w</w:t>
      </w:r>
      <w:r w:rsidR="00EE3BBC">
        <w:t> </w:t>
      </w:r>
      <w:r w:rsidR="00EE3BBC" w:rsidRPr="00066B74">
        <w:t>spr</w:t>
      </w:r>
      <w:r w:rsidRPr="00066B74">
        <w:t xml:space="preserve">awie zmiany rozporządzenia (UE) </w:t>
      </w:r>
      <w:r w:rsidRPr="00EE3BBC">
        <w:t>nr</w:t>
      </w:r>
      <w:r w:rsidR="00EE3BBC" w:rsidRPr="00EE3BBC">
        <w:t> </w:t>
      </w:r>
      <w:r w:rsidRPr="00EE3BBC">
        <w:t>5</w:t>
      </w:r>
      <w:r w:rsidRPr="00066B74">
        <w:t>75/2013</w:t>
      </w:r>
      <w:r w:rsidR="00EE3BBC" w:rsidRPr="00066B74">
        <w:t xml:space="preserve"> i</w:t>
      </w:r>
      <w:r w:rsidR="00EE3BBC">
        <w:t> </w:t>
      </w:r>
      <w:r w:rsidR="00EE3BBC" w:rsidRPr="00066B74">
        <w:t>dyr</w:t>
      </w:r>
      <w:r w:rsidRPr="00066B74">
        <w:t>ektywy 2014/59/UE</w:t>
      </w:r>
      <w:r w:rsidR="00EE3BBC" w:rsidRPr="00066B74">
        <w:t xml:space="preserve"> w</w:t>
      </w:r>
      <w:r w:rsidR="00EE3BBC">
        <w:t> </w:t>
      </w:r>
      <w:r w:rsidR="00EE3BBC" w:rsidRPr="00066B74">
        <w:t>odn</w:t>
      </w:r>
      <w:r w:rsidRPr="00066B74">
        <w:t>iesieniu do traktowania ostrożnościowego instytucji globalnych</w:t>
      </w:r>
      <w:r w:rsidR="00EE3BBC" w:rsidRPr="00066B74">
        <w:t xml:space="preserve"> o</w:t>
      </w:r>
      <w:r w:rsidR="00EE3BBC">
        <w:t> </w:t>
      </w:r>
      <w:r w:rsidR="00EE3BBC" w:rsidRPr="00066B74">
        <w:t>zna</w:t>
      </w:r>
      <w:r w:rsidRPr="00066B74">
        <w:t>czeniu systemowym, które realizują strategię restrukturyzacji</w:t>
      </w:r>
      <w:r w:rsidR="00EE3BBC" w:rsidRPr="00066B74">
        <w:t xml:space="preserve"> i</w:t>
      </w:r>
      <w:r w:rsidR="00EE3BBC">
        <w:t> </w:t>
      </w:r>
      <w:r w:rsidR="00EE3BBC" w:rsidRPr="00066B74">
        <w:t>upo</w:t>
      </w:r>
      <w:r w:rsidRPr="00066B74">
        <w:t>rządkowanej likwidacji wielu punktów kontaktowych oraz</w:t>
      </w:r>
      <w:r w:rsidR="00EE3BBC" w:rsidRPr="00066B74">
        <w:t xml:space="preserve"> w</w:t>
      </w:r>
      <w:r w:rsidR="00EE3BBC">
        <w:t> </w:t>
      </w:r>
      <w:r w:rsidR="00EE3BBC" w:rsidRPr="00066B74">
        <w:t>odn</w:t>
      </w:r>
      <w:r w:rsidRPr="00066B74">
        <w:t>iesieniu do metod pośredniej subskrypcji instrumentów kwalifikujących się do spełnienia minimalnego wymogu</w:t>
      </w:r>
      <w:r w:rsidR="00EE3BBC" w:rsidRPr="00066B74">
        <w:t xml:space="preserve"> w</w:t>
      </w:r>
      <w:r w:rsidR="00EE3BBC">
        <w:t> </w:t>
      </w:r>
      <w:r w:rsidR="00EE3BBC" w:rsidRPr="00066B74">
        <w:t>zak</w:t>
      </w:r>
      <w:r w:rsidRPr="00066B74">
        <w:t>resie funduszy własnych</w:t>
      </w:r>
      <w:r w:rsidR="00EE3BBC" w:rsidRPr="00066B74">
        <w:t xml:space="preserve"> i</w:t>
      </w:r>
      <w:r w:rsidR="00EE3BBC">
        <w:t> </w:t>
      </w:r>
      <w:r w:rsidR="00EE3BBC" w:rsidRPr="00066B74">
        <w:t>zob</w:t>
      </w:r>
      <w:r w:rsidRPr="00066B74">
        <w:t>owiązań kwalifikowalnych (Dz.U. L 275</w:t>
      </w:r>
      <w:r w:rsidR="00EE3BBC" w:rsidRPr="00066B74">
        <w:t xml:space="preserve"> z</w:t>
      </w:r>
      <w:r w:rsidR="00EE3BBC">
        <w:t> </w:t>
      </w:r>
      <w:r w:rsidR="00EE3BBC" w:rsidRPr="00066B74">
        <w:t>2</w:t>
      </w:r>
      <w:r w:rsidRPr="00066B74">
        <w:t>5.10.2022, s. 1, ELI: http://data.europa.eu/eli/reg/2022/2036/oj).</w:t>
      </w:r>
    </w:p>
  </w:footnote>
  <w:footnote w:id="4">
    <w:p w:rsidR="00F83DBF" w:rsidRPr="00066B74" w:rsidRDefault="00F83DBF" w:rsidP="00F83DBF">
      <w:pPr>
        <w:pStyle w:val="FootnoteText"/>
      </w:pPr>
      <w:r>
        <w:rPr>
          <w:rStyle w:val="FootnoteReference"/>
        </w:rPr>
        <w:footnoteRef/>
      </w:r>
      <w:r w:rsidRPr="00066B74">
        <w:tab/>
        <w:t>Dyrektywa Parlamentu Europejskiego</w:t>
      </w:r>
      <w:r w:rsidR="00EE3BBC" w:rsidRPr="00066B74">
        <w:t xml:space="preserve"> i</w:t>
      </w:r>
      <w:r w:rsidR="00EE3BBC">
        <w:t> </w:t>
      </w:r>
      <w:r w:rsidR="00EE3BBC" w:rsidRPr="00066B74">
        <w:t>Rad</w:t>
      </w:r>
      <w:r w:rsidRPr="00066B74">
        <w:t>y 2014/59/UE</w:t>
      </w:r>
      <w:r w:rsidR="00EE3BBC" w:rsidRPr="00066B74">
        <w:t xml:space="preserve"> z</w:t>
      </w:r>
      <w:r w:rsidR="00EE3BBC">
        <w:t> </w:t>
      </w:r>
      <w:r w:rsidR="00EE3BBC" w:rsidRPr="00066B74">
        <w:t>dni</w:t>
      </w:r>
      <w:r w:rsidRPr="00066B74">
        <w:t>a 15 maja 20</w:t>
      </w:r>
      <w:r w:rsidRPr="00EE3BBC">
        <w:t>14</w:t>
      </w:r>
      <w:r w:rsidR="00EE3BBC" w:rsidRPr="00EE3BBC">
        <w:t> </w:t>
      </w:r>
      <w:r w:rsidRPr="00EE3BBC">
        <w:t>r.</w:t>
      </w:r>
      <w:r w:rsidRPr="00066B74">
        <w:t xml:space="preserve"> ustanawiająca ramy na potrzeby prowadzenia działań naprawczych oraz restrukturyzacji</w:t>
      </w:r>
      <w:r w:rsidR="00EE3BBC" w:rsidRPr="00066B74">
        <w:t xml:space="preserve"> i</w:t>
      </w:r>
      <w:r w:rsidR="00EE3BBC">
        <w:t> </w:t>
      </w:r>
      <w:r w:rsidR="00EE3BBC" w:rsidRPr="00066B74">
        <w:t>upo</w:t>
      </w:r>
      <w:r w:rsidRPr="00066B74">
        <w:t>rządkowanej likwidacji</w:t>
      </w:r>
      <w:r w:rsidR="00EE3BBC" w:rsidRPr="00066B74">
        <w:t xml:space="preserve"> w</w:t>
      </w:r>
      <w:r w:rsidR="00EE3BBC">
        <w:t> </w:t>
      </w:r>
      <w:r w:rsidR="00EE3BBC" w:rsidRPr="00066B74">
        <w:t>odn</w:t>
      </w:r>
      <w:r w:rsidRPr="00066B74">
        <w:t>iesieniu do instytucji kredytowych</w:t>
      </w:r>
      <w:r w:rsidR="00EE3BBC" w:rsidRPr="00066B74">
        <w:t xml:space="preserve"> i</w:t>
      </w:r>
      <w:r w:rsidR="00EE3BBC">
        <w:t> </w:t>
      </w:r>
      <w:r w:rsidR="00EE3BBC" w:rsidRPr="00066B74">
        <w:t>fir</w:t>
      </w:r>
      <w:r w:rsidRPr="00066B74">
        <w:t>m inwestycyjnych oraz zmieniająca dyrektywę Rady 82/891/EWG</w:t>
      </w:r>
      <w:r w:rsidR="00EE3BBC" w:rsidRPr="00066B74">
        <w:t xml:space="preserve"> i</w:t>
      </w:r>
      <w:r w:rsidR="00EE3BBC">
        <w:t> </w:t>
      </w:r>
      <w:r w:rsidR="00EE3BBC" w:rsidRPr="00066B74">
        <w:t>dyr</w:t>
      </w:r>
      <w:r w:rsidRPr="00066B74">
        <w:t>ektywy Parlamentu Europejskiego</w:t>
      </w:r>
      <w:r w:rsidR="00EE3BBC" w:rsidRPr="00066B74">
        <w:t xml:space="preserve"> i</w:t>
      </w:r>
      <w:r w:rsidR="00EE3BBC">
        <w:t> </w:t>
      </w:r>
      <w:r w:rsidR="00EE3BBC" w:rsidRPr="00066B74">
        <w:t>Rad</w:t>
      </w:r>
      <w:r w:rsidRPr="00066B74">
        <w:t>y 2001/24/WE, 2002/47/WE, 2004/25/WE, 2005/56/WE, 2007/36/WE, 2011/35/UE, 2012/30/UE</w:t>
      </w:r>
      <w:r w:rsidR="00EE3BBC" w:rsidRPr="00066B74">
        <w:t xml:space="preserve"> i</w:t>
      </w:r>
      <w:r w:rsidR="00EE3BBC">
        <w:t> </w:t>
      </w:r>
      <w:r w:rsidR="00EE3BBC" w:rsidRPr="00066B74">
        <w:t>2</w:t>
      </w:r>
      <w:r w:rsidRPr="00066B74">
        <w:t>013/36/UE oraz rozporządzenia Parlamentu Europejskiego</w:t>
      </w:r>
      <w:r w:rsidR="00EE3BBC" w:rsidRPr="00066B74">
        <w:t xml:space="preserve"> i</w:t>
      </w:r>
      <w:r w:rsidR="00EE3BBC">
        <w:t> </w:t>
      </w:r>
      <w:r w:rsidR="00EE3BBC" w:rsidRPr="00066B74">
        <w:t>Rad</w:t>
      </w:r>
      <w:r w:rsidRPr="00066B74">
        <w:t xml:space="preserve">y (UE) </w:t>
      </w:r>
      <w:r w:rsidRPr="00EE3BBC">
        <w:t>nr</w:t>
      </w:r>
      <w:r w:rsidR="00EE3BBC" w:rsidRPr="00EE3BBC">
        <w:t> </w:t>
      </w:r>
      <w:r w:rsidRPr="00EE3BBC">
        <w:t>1</w:t>
      </w:r>
      <w:r w:rsidRPr="00066B74">
        <w:t xml:space="preserve">093/2010 i (UE) </w:t>
      </w:r>
      <w:r w:rsidRPr="00EE3BBC">
        <w:t>nr</w:t>
      </w:r>
      <w:r w:rsidR="00EE3BBC" w:rsidRPr="00EE3BBC">
        <w:t> </w:t>
      </w:r>
      <w:r w:rsidRPr="00EE3BBC">
        <w:t>6</w:t>
      </w:r>
      <w:r w:rsidRPr="00066B74">
        <w:t>48/2012 (Dz.U. L 173</w:t>
      </w:r>
      <w:r w:rsidR="00EE3BBC" w:rsidRPr="00066B74">
        <w:t xml:space="preserve"> z</w:t>
      </w:r>
      <w:r w:rsidR="00EE3BBC">
        <w:t> </w:t>
      </w:r>
      <w:r w:rsidR="00EE3BBC" w:rsidRPr="00066B74">
        <w:t>1</w:t>
      </w:r>
      <w:r w:rsidRPr="00066B74">
        <w:t>2.6.2014, s. 190).</w:t>
      </w:r>
    </w:p>
  </w:footnote>
  <w:footnote w:id="5">
    <w:p w:rsidR="00F83DBF" w:rsidRPr="00066B74" w:rsidRDefault="00F83DBF" w:rsidP="00F83DBF">
      <w:pPr>
        <w:pStyle w:val="FootnoteText"/>
      </w:pPr>
      <w:r>
        <w:rPr>
          <w:rStyle w:val="FootnoteReference"/>
        </w:rPr>
        <w:footnoteRef/>
      </w:r>
      <w:r w:rsidRPr="00066B74">
        <w:tab/>
        <w:t>Rozporządzenie wykonawcze Komisji (UE) 2021/763</w:t>
      </w:r>
      <w:r w:rsidR="00EE3BBC" w:rsidRPr="00066B74">
        <w:t xml:space="preserve"> z</w:t>
      </w:r>
      <w:r w:rsidR="00EE3BBC">
        <w:t> </w:t>
      </w:r>
      <w:r w:rsidR="00EE3BBC" w:rsidRPr="00066B74">
        <w:t>dni</w:t>
      </w:r>
      <w:r w:rsidRPr="00066B74">
        <w:t>a 23 kwietnia 2021 r. ustanawiające wykonawcze standardy techniczne do celów stosowania rozporządzenia Parlamentu Europejskiego</w:t>
      </w:r>
      <w:r w:rsidR="00EE3BBC" w:rsidRPr="00066B74">
        <w:t xml:space="preserve"> i</w:t>
      </w:r>
      <w:r w:rsidR="00EE3BBC">
        <w:t> </w:t>
      </w:r>
      <w:r w:rsidR="00EE3BBC" w:rsidRPr="00066B74">
        <w:t>Rad</w:t>
      </w:r>
      <w:r w:rsidRPr="00066B74">
        <w:t>y (UE) nr 575/2013</w:t>
      </w:r>
      <w:r w:rsidR="00EE3BBC" w:rsidRPr="00066B74">
        <w:t xml:space="preserve"> i</w:t>
      </w:r>
      <w:r w:rsidR="00EE3BBC">
        <w:t> </w:t>
      </w:r>
      <w:r w:rsidR="00EE3BBC" w:rsidRPr="00066B74">
        <w:t>dyr</w:t>
      </w:r>
      <w:r w:rsidRPr="00066B74">
        <w:t>ektywy Parlamentu Europejskiego</w:t>
      </w:r>
      <w:r w:rsidR="00EE3BBC" w:rsidRPr="00066B74">
        <w:t xml:space="preserve"> i</w:t>
      </w:r>
      <w:r w:rsidR="00EE3BBC">
        <w:t> </w:t>
      </w:r>
      <w:r w:rsidR="00EE3BBC" w:rsidRPr="00066B74">
        <w:t>Rad</w:t>
      </w:r>
      <w:r w:rsidRPr="00066B74">
        <w:t>y 2014/59/UE</w:t>
      </w:r>
      <w:r w:rsidR="00EE3BBC" w:rsidRPr="00066B74">
        <w:t xml:space="preserve"> w</w:t>
      </w:r>
      <w:r w:rsidR="00EE3BBC">
        <w:t> </w:t>
      </w:r>
      <w:r w:rsidR="00EE3BBC" w:rsidRPr="00066B74">
        <w:t>odn</w:t>
      </w:r>
      <w:r w:rsidRPr="00066B74">
        <w:t>iesieniu do sprawozdawczości nadzorczej</w:t>
      </w:r>
      <w:r w:rsidR="00EE3BBC" w:rsidRPr="00066B74">
        <w:t xml:space="preserve"> w</w:t>
      </w:r>
      <w:r w:rsidR="00EE3BBC">
        <w:t> </w:t>
      </w:r>
      <w:r w:rsidR="00EE3BBC" w:rsidRPr="00066B74">
        <w:t>obs</w:t>
      </w:r>
      <w:r w:rsidRPr="00066B74">
        <w:t>zarze minimalnego wymogu</w:t>
      </w:r>
      <w:r w:rsidR="00EE3BBC" w:rsidRPr="00066B74">
        <w:t xml:space="preserve"> w</w:t>
      </w:r>
      <w:r w:rsidR="00EE3BBC">
        <w:t> </w:t>
      </w:r>
      <w:r w:rsidR="00EE3BBC" w:rsidRPr="00066B74">
        <w:t>zak</w:t>
      </w:r>
      <w:r w:rsidRPr="00066B74">
        <w:t>resie funduszy własnych</w:t>
      </w:r>
      <w:r w:rsidR="00EE3BBC" w:rsidRPr="00066B74">
        <w:t xml:space="preserve"> i</w:t>
      </w:r>
      <w:r w:rsidR="00EE3BBC">
        <w:t> </w:t>
      </w:r>
      <w:r w:rsidR="00EE3BBC" w:rsidRPr="00066B74">
        <w:t>zob</w:t>
      </w:r>
      <w:r w:rsidRPr="00066B74">
        <w:t>owiązań kwalifikowalnych oraz podawania tego wymogu do wiadomości publicznej (Dz.U. L 168</w:t>
      </w:r>
      <w:r w:rsidR="00EE3BBC" w:rsidRPr="00066B74">
        <w:t xml:space="preserve"> z</w:t>
      </w:r>
      <w:r w:rsidR="00EE3BBC">
        <w:t> </w:t>
      </w:r>
      <w:r w:rsidR="00EE3BBC" w:rsidRPr="00066B74">
        <w:t>1</w:t>
      </w:r>
      <w:r w:rsidRPr="00066B74">
        <w:t>2.5.2021, s. 1).</w:t>
      </w:r>
    </w:p>
  </w:footnote>
  <w:footnote w:id="6">
    <w:p w:rsidR="00686AFD" w:rsidRPr="00066B74" w:rsidRDefault="00686AFD" w:rsidP="00686AFD">
      <w:pPr>
        <w:pStyle w:val="FootnoteText"/>
      </w:pPr>
      <w:r>
        <w:rPr>
          <w:rStyle w:val="FootnoteReference"/>
        </w:rPr>
        <w:footnoteRef/>
      </w:r>
      <w:r w:rsidRPr="00066B74">
        <w:tab/>
        <w:t>Dyrektywa Parlamentu Europejskiego</w:t>
      </w:r>
      <w:r w:rsidR="00EE3BBC" w:rsidRPr="00066B74">
        <w:t xml:space="preserve"> i</w:t>
      </w:r>
      <w:r w:rsidR="00EE3BBC">
        <w:t> </w:t>
      </w:r>
      <w:r w:rsidR="00EE3BBC" w:rsidRPr="00066B74">
        <w:t>Rad</w:t>
      </w:r>
      <w:r w:rsidRPr="00066B74">
        <w:t>y (UE) 2024/1174</w:t>
      </w:r>
      <w:r w:rsidR="00EE3BBC" w:rsidRPr="00066B74">
        <w:t xml:space="preserve"> z</w:t>
      </w:r>
      <w:r w:rsidR="00EE3BBC">
        <w:t> </w:t>
      </w:r>
      <w:r w:rsidR="00EE3BBC" w:rsidRPr="00066B74">
        <w:t>dni</w:t>
      </w:r>
      <w:r w:rsidRPr="00066B74">
        <w:t>a 11 kwietnia 20</w:t>
      </w:r>
      <w:r w:rsidRPr="00EE3BBC">
        <w:t>24</w:t>
      </w:r>
      <w:r w:rsidR="00EE3BBC" w:rsidRPr="00EE3BBC">
        <w:t> </w:t>
      </w:r>
      <w:r w:rsidRPr="00EE3BBC">
        <w:t>r.</w:t>
      </w:r>
      <w:r w:rsidRPr="00066B74">
        <w:t xml:space="preserve"> zmieniająca dyrektywę 2014/59/UE</w:t>
      </w:r>
      <w:r w:rsidR="00EE3BBC" w:rsidRPr="00066B74">
        <w:t xml:space="preserve"> i</w:t>
      </w:r>
      <w:r w:rsidR="00EE3BBC">
        <w:t> </w:t>
      </w:r>
      <w:r w:rsidR="00EE3BBC" w:rsidRPr="00066B74">
        <w:t>roz</w:t>
      </w:r>
      <w:r w:rsidRPr="00066B74">
        <w:t xml:space="preserve">porządzenie (UE) </w:t>
      </w:r>
      <w:r w:rsidRPr="00EE3BBC">
        <w:t>nr</w:t>
      </w:r>
      <w:r w:rsidR="00EE3BBC" w:rsidRPr="00EE3BBC">
        <w:t> </w:t>
      </w:r>
      <w:r w:rsidRPr="00EE3BBC">
        <w:t>8</w:t>
      </w:r>
      <w:r w:rsidRPr="00066B74">
        <w:t>06/2014</w:t>
      </w:r>
      <w:r w:rsidR="00EE3BBC" w:rsidRPr="00066B74">
        <w:t xml:space="preserve"> w</w:t>
      </w:r>
      <w:r w:rsidR="00EE3BBC">
        <w:t> </w:t>
      </w:r>
      <w:r w:rsidR="00EE3BBC" w:rsidRPr="00066B74">
        <w:t>odn</w:t>
      </w:r>
      <w:r w:rsidRPr="00066B74">
        <w:t>iesieniu do niektórych aspektów minimalnego wymogu</w:t>
      </w:r>
      <w:r w:rsidR="00EE3BBC" w:rsidRPr="00066B74">
        <w:t xml:space="preserve"> w</w:t>
      </w:r>
      <w:r w:rsidR="00EE3BBC">
        <w:t> </w:t>
      </w:r>
      <w:r w:rsidR="00EE3BBC" w:rsidRPr="00066B74">
        <w:t>zak</w:t>
      </w:r>
      <w:r w:rsidRPr="00066B74">
        <w:t>resie funduszy własnych</w:t>
      </w:r>
      <w:r w:rsidR="00EE3BBC" w:rsidRPr="00066B74">
        <w:t xml:space="preserve"> i</w:t>
      </w:r>
      <w:r w:rsidR="00EE3BBC">
        <w:t> </w:t>
      </w:r>
      <w:r w:rsidR="00EE3BBC" w:rsidRPr="00066B74">
        <w:t>zob</w:t>
      </w:r>
      <w:r w:rsidRPr="00066B74">
        <w:t>owiązań kwalifikowalnych (Dz.U. L, 2024/1174, 22.4.2024).</w:t>
      </w:r>
    </w:p>
  </w:footnote>
  <w:footnote w:id="7">
    <w:p w:rsidR="00F83DBF" w:rsidRPr="00066B74" w:rsidRDefault="00F83DBF" w:rsidP="00F83DBF">
      <w:pPr>
        <w:pStyle w:val="FootnoteText"/>
      </w:pPr>
      <w:r>
        <w:rPr>
          <w:rStyle w:val="FootnoteReference"/>
        </w:rPr>
        <w:footnoteRef/>
      </w:r>
      <w:r w:rsidRPr="00066B74">
        <w:tab/>
        <w:t>Rozporządzenie Parlamentu Europejskiego</w:t>
      </w:r>
      <w:r w:rsidR="00EE3BBC" w:rsidRPr="00066B74">
        <w:t xml:space="preserve"> i</w:t>
      </w:r>
      <w:r w:rsidR="00EE3BBC">
        <w:t> </w:t>
      </w:r>
      <w:r w:rsidR="00EE3BBC" w:rsidRPr="00066B74">
        <w:t>Rad</w:t>
      </w:r>
      <w:r w:rsidRPr="00066B74">
        <w:t xml:space="preserve">y (UE) </w:t>
      </w:r>
      <w:r w:rsidRPr="00EE3BBC">
        <w:t>nr</w:t>
      </w:r>
      <w:r w:rsidR="00EE3BBC" w:rsidRPr="00EE3BBC">
        <w:t> </w:t>
      </w:r>
      <w:r w:rsidRPr="00EE3BBC">
        <w:t>1</w:t>
      </w:r>
      <w:r w:rsidRPr="00066B74">
        <w:t>093/2010</w:t>
      </w:r>
      <w:r w:rsidR="00EE3BBC" w:rsidRPr="00066B74">
        <w:t xml:space="preserve"> z</w:t>
      </w:r>
      <w:r w:rsidR="00EE3BBC">
        <w:t> </w:t>
      </w:r>
      <w:r w:rsidR="00EE3BBC" w:rsidRPr="00066B74">
        <w:t>dni</w:t>
      </w:r>
      <w:r w:rsidRPr="00066B74">
        <w:t>a 24 listopada 20</w:t>
      </w:r>
      <w:r w:rsidRPr="00EE3BBC">
        <w:t>10</w:t>
      </w:r>
      <w:r w:rsidR="00EE3BBC" w:rsidRPr="00EE3BBC">
        <w:t> </w:t>
      </w:r>
      <w:r w:rsidRPr="00EE3BBC">
        <w:t>r.</w:t>
      </w:r>
      <w:r w:rsidR="00EE3BBC" w:rsidRPr="00066B74">
        <w:t xml:space="preserve"> w</w:t>
      </w:r>
      <w:r w:rsidR="00EE3BBC">
        <w:t> </w:t>
      </w:r>
      <w:r w:rsidR="00EE3BBC" w:rsidRPr="00066B74">
        <w:t>spr</w:t>
      </w:r>
      <w:r w:rsidRPr="00066B74">
        <w:t xml:space="preserve">awie ustanowienia Europejskiego Urzędu Nadzoru (Europejskiego Urzędu Nadzoru Bankowego), zmiany decyzji </w:t>
      </w:r>
      <w:r w:rsidRPr="00EE3BBC">
        <w:t>nr</w:t>
      </w:r>
      <w:r w:rsidR="00EE3BBC" w:rsidRPr="00EE3BBC">
        <w:t> </w:t>
      </w:r>
      <w:r w:rsidRPr="00EE3BBC">
        <w:t>7</w:t>
      </w:r>
      <w:r w:rsidRPr="00066B74">
        <w:t>16/2009/WE oraz uchylenia decyzji Komisji 2009/78/WE (Dz.U. L 331</w:t>
      </w:r>
      <w:r w:rsidR="00EE3BBC" w:rsidRPr="00066B74">
        <w:t xml:space="preserve"> z</w:t>
      </w:r>
      <w:r w:rsidR="00EE3BBC">
        <w:t> </w:t>
      </w:r>
      <w:r w:rsidR="00EE3BBC" w:rsidRPr="00066B74">
        <w:t>1</w:t>
      </w:r>
      <w:r w:rsidRPr="00066B74">
        <w:t>5.12.2010, s. 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F2" w:rsidRDefault="001C44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F2" w:rsidRDefault="001C44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102CEC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CD87D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5403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ABC3B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1AE14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F26C8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DB25E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3" w15:restartNumberingAfterBreak="0">
    <w:nsid w:val="7E042D9D"/>
    <w:multiLevelType w:val="multilevel"/>
    <w:tmpl w:val="47BAFBF6"/>
    <w:styleLink w:val="LFO29"/>
    <w:lvl w:ilvl="0">
      <w:start w:val="1"/>
      <w:numFmt w:val="decimal"/>
      <w:lvlText w:val="(%1)"/>
      <w:lvlJc w:val="left"/>
      <w:pPr>
        <w:ind w:left="709" w:hanging="709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2"/>
    <w:lvlOverride w:ilvl="0">
      <w:startOverride w:val="1"/>
    </w:lvlOverride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14"/>
  </w:num>
  <w:num w:numId="17">
    <w:abstractNumId w:val="9"/>
  </w:num>
  <w:num w:numId="18">
    <w:abstractNumId w:val="20"/>
  </w:num>
  <w:num w:numId="19">
    <w:abstractNumId w:val="8"/>
  </w:num>
  <w:num w:numId="20">
    <w:abstractNumId w:val="15"/>
  </w:num>
  <w:num w:numId="21">
    <w:abstractNumId w:val="17"/>
  </w:num>
  <w:num w:numId="22">
    <w:abstractNumId w:val="18"/>
  </w:num>
  <w:num w:numId="23">
    <w:abstractNumId w:val="10"/>
  </w:num>
  <w:num w:numId="24">
    <w:abstractNumId w:val="16"/>
  </w:num>
  <w:num w:numId="25">
    <w:abstractNumId w:val="22"/>
  </w:num>
  <w:num w:numId="26">
    <w:abstractNumId w:val="19"/>
  </w:num>
  <w:num w:numId="27">
    <w:abstractNumId w:val="12"/>
  </w:num>
  <w:num w:numId="28">
    <w:abstractNumId w:val="21"/>
  </w:num>
  <w:num w:numId="29">
    <w:abstractNumId w:val="11"/>
  </w:num>
  <w:num w:numId="30">
    <w:abstractNumId w:val="13"/>
  </w:num>
  <w:num w:numId="31">
    <w:abstractNumId w:val="14"/>
  </w:num>
  <w:num w:numId="32">
    <w:abstractNumId w:val="9"/>
  </w:num>
  <w:num w:numId="33">
    <w:abstractNumId w:val="20"/>
  </w:num>
  <w:num w:numId="34">
    <w:abstractNumId w:val="8"/>
  </w:num>
  <w:num w:numId="35">
    <w:abstractNumId w:val="15"/>
  </w:num>
  <w:num w:numId="36">
    <w:abstractNumId w:val="17"/>
  </w:num>
  <w:num w:numId="37">
    <w:abstractNumId w:val="18"/>
  </w:num>
  <w:num w:numId="38">
    <w:abstractNumId w:val="10"/>
  </w:num>
  <w:num w:numId="39">
    <w:abstractNumId w:val="16"/>
  </w:num>
  <w:num w:numId="40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hideSpellingErrors/>
  <w:hideGrammaticalErrors/>
  <w:attachedTemplate r:id="rId1"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05-30 11:46:22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66FCD926-631F-4800-A197-29466C650F8B"/>
    <w:docVar w:name="LW_COVERPAGE_TYPE" w:val="1"/>
    <w:docVar w:name="LW_CROSSREFERENCE" w:val="&lt;UNUSED&gt;"/>
    <w:docVar w:name="LW_DATE.ADOPT.CP" w:val="z dnia 6.6.2024 r."/>
    <w:docVar w:name="LW_DATE.ADOPT.CP_DATEFORMAT" w:val="z dnia %DATE% r."/>
    <w:docVar w:name="LW_DATE.ADOPT.CP_ISODATE" w:val="2024-06-06"/>
    <w:docVar w:name="LW_DocType" w:val="COM"/>
    <w:docVar w:name="LW_EMISSION" w:val="6.6.2024"/>
    <w:docVar w:name="LW_EMISSION_ISODATE" w:val="2024-06-06"/>
    <w:docVar w:name="LW_EMISSION_LOCATION" w:val="BRX"/>
    <w:docVar w:name="LW_EMISSION_PREFIX" w:val="Bruksela, dnia "/>
    <w:docVar w:name="LW_EMISSION_SUFFIX" w:val=" r.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kst maj\u261?cy znaczenie dla EOG)"/>
    <w:docVar w:name="LW_LANGUE" w:val="PL"/>
    <w:docVar w:name="LW_LANGUESFAISANTFOI.CP" w:val="&lt;UNUSED&gt;"/>
    <w:docVar w:name="LW_LEVEL_OF_SENSITIVITY" w:val="Standard treatment"/>
    <w:docVar w:name="LW_NOM.INST" w:val="KOMISJA EUROPEJSK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3624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zmieniaj\u261?ce rozporz\u261?dzenie wykonawcze (UE) 2021/763 ustanawiaj\u261?ce wykonawcze standardy techniczne do celów stosowania rozporz\u261?dzenia Parlamentu Europejskiego i Rady (UE) nr 575/2013 i dyrektywy Parlamentu Europejskiego i Rady 2014/59/UE w odniesieniu do sprawozdawczo\u347?ci nadzorczej w obszarze minimalnego wymogu w zakresie funduszy w\u322?asnych i zobowi\u261?za\u324? kwalifikowalnych oraz podawania tego wymogu do wiadomo\u347?ci publicznej _x000b_"/>
    <w:docVar w:name="LW_TYPE.DOC.CP" w:val="ROZPORZ\u260?DZENIE WYKONAWCZE KOMISJI (UE) \u8230?/\u8230?"/>
    <w:docVar w:name="LwApiVersions" w:val="LW4CoDe 1.24.5.0; LW 9.0, Build 20240221"/>
  </w:docVars>
  <w:rsids>
    <w:rsidRoot w:val="001D506C"/>
    <w:rsid w:val="00066B74"/>
    <w:rsid w:val="0007072C"/>
    <w:rsid w:val="00093B4B"/>
    <w:rsid w:val="000955EB"/>
    <w:rsid w:val="000A2AF8"/>
    <w:rsid w:val="000B009E"/>
    <w:rsid w:val="000B7A7D"/>
    <w:rsid w:val="000E6B56"/>
    <w:rsid w:val="000E6FD2"/>
    <w:rsid w:val="0013442E"/>
    <w:rsid w:val="00152894"/>
    <w:rsid w:val="00185DB3"/>
    <w:rsid w:val="001A21D1"/>
    <w:rsid w:val="001B30F1"/>
    <w:rsid w:val="001B397F"/>
    <w:rsid w:val="001B6C2F"/>
    <w:rsid w:val="001C44F2"/>
    <w:rsid w:val="001D506C"/>
    <w:rsid w:val="00220108"/>
    <w:rsid w:val="0022339B"/>
    <w:rsid w:val="00292AC6"/>
    <w:rsid w:val="002B65CA"/>
    <w:rsid w:val="002C09C1"/>
    <w:rsid w:val="002F0DF7"/>
    <w:rsid w:val="002F1E29"/>
    <w:rsid w:val="00302BB5"/>
    <w:rsid w:val="0031489C"/>
    <w:rsid w:val="00314C67"/>
    <w:rsid w:val="00363DC5"/>
    <w:rsid w:val="00365634"/>
    <w:rsid w:val="00370470"/>
    <w:rsid w:val="00380338"/>
    <w:rsid w:val="003819BF"/>
    <w:rsid w:val="0038725C"/>
    <w:rsid w:val="00391381"/>
    <w:rsid w:val="00396ACD"/>
    <w:rsid w:val="003C0C4B"/>
    <w:rsid w:val="00437AA5"/>
    <w:rsid w:val="0044282B"/>
    <w:rsid w:val="004603A2"/>
    <w:rsid w:val="0048754F"/>
    <w:rsid w:val="00492396"/>
    <w:rsid w:val="004B3865"/>
    <w:rsid w:val="004C38F7"/>
    <w:rsid w:val="004D7533"/>
    <w:rsid w:val="004E19F9"/>
    <w:rsid w:val="00517205"/>
    <w:rsid w:val="0052704B"/>
    <w:rsid w:val="005279D9"/>
    <w:rsid w:val="00542487"/>
    <w:rsid w:val="00542852"/>
    <w:rsid w:val="00580629"/>
    <w:rsid w:val="00582810"/>
    <w:rsid w:val="00583FFA"/>
    <w:rsid w:val="00595540"/>
    <w:rsid w:val="005B5FA6"/>
    <w:rsid w:val="005E1E85"/>
    <w:rsid w:val="005F222A"/>
    <w:rsid w:val="005F33FF"/>
    <w:rsid w:val="006654AB"/>
    <w:rsid w:val="006813A6"/>
    <w:rsid w:val="00686AFD"/>
    <w:rsid w:val="006909A5"/>
    <w:rsid w:val="006A2A68"/>
    <w:rsid w:val="006B460D"/>
    <w:rsid w:val="006F7EFE"/>
    <w:rsid w:val="00703C0B"/>
    <w:rsid w:val="0075467B"/>
    <w:rsid w:val="007D0861"/>
    <w:rsid w:val="007D1225"/>
    <w:rsid w:val="007E010B"/>
    <w:rsid w:val="00801512"/>
    <w:rsid w:val="00802FC2"/>
    <w:rsid w:val="0081293E"/>
    <w:rsid w:val="0084238A"/>
    <w:rsid w:val="00852DE8"/>
    <w:rsid w:val="008C58B7"/>
    <w:rsid w:val="008C62AF"/>
    <w:rsid w:val="008C63FE"/>
    <w:rsid w:val="008D0E5E"/>
    <w:rsid w:val="008D3341"/>
    <w:rsid w:val="008E2694"/>
    <w:rsid w:val="00940731"/>
    <w:rsid w:val="009476D9"/>
    <w:rsid w:val="009702E0"/>
    <w:rsid w:val="009712C1"/>
    <w:rsid w:val="009719B6"/>
    <w:rsid w:val="009731D1"/>
    <w:rsid w:val="00985A34"/>
    <w:rsid w:val="009957C5"/>
    <w:rsid w:val="009A1A98"/>
    <w:rsid w:val="00A10BBD"/>
    <w:rsid w:val="00A2735C"/>
    <w:rsid w:val="00A565C7"/>
    <w:rsid w:val="00A61FE3"/>
    <w:rsid w:val="00A63976"/>
    <w:rsid w:val="00B0742B"/>
    <w:rsid w:val="00B247D1"/>
    <w:rsid w:val="00B50A87"/>
    <w:rsid w:val="00B74403"/>
    <w:rsid w:val="00B84713"/>
    <w:rsid w:val="00B851FA"/>
    <w:rsid w:val="00BE38E4"/>
    <w:rsid w:val="00C3731F"/>
    <w:rsid w:val="00C402D1"/>
    <w:rsid w:val="00C62ABE"/>
    <w:rsid w:val="00C72F66"/>
    <w:rsid w:val="00C9371C"/>
    <w:rsid w:val="00CB353B"/>
    <w:rsid w:val="00CB4B4C"/>
    <w:rsid w:val="00CC305D"/>
    <w:rsid w:val="00CD5EEF"/>
    <w:rsid w:val="00CE02BF"/>
    <w:rsid w:val="00D0365E"/>
    <w:rsid w:val="00D15425"/>
    <w:rsid w:val="00D15677"/>
    <w:rsid w:val="00D37A87"/>
    <w:rsid w:val="00D455A5"/>
    <w:rsid w:val="00D60353"/>
    <w:rsid w:val="00D73411"/>
    <w:rsid w:val="00D917AD"/>
    <w:rsid w:val="00DA38A7"/>
    <w:rsid w:val="00DB127D"/>
    <w:rsid w:val="00DB4B20"/>
    <w:rsid w:val="00E07235"/>
    <w:rsid w:val="00E247EB"/>
    <w:rsid w:val="00E33C9F"/>
    <w:rsid w:val="00E839F0"/>
    <w:rsid w:val="00E83C6F"/>
    <w:rsid w:val="00E9509D"/>
    <w:rsid w:val="00E979AB"/>
    <w:rsid w:val="00EC39BC"/>
    <w:rsid w:val="00EE140B"/>
    <w:rsid w:val="00EE3BBC"/>
    <w:rsid w:val="00F02755"/>
    <w:rsid w:val="00F41B40"/>
    <w:rsid w:val="00F718B8"/>
    <w:rsid w:val="00F733AF"/>
    <w:rsid w:val="00F767D0"/>
    <w:rsid w:val="00F83DBF"/>
    <w:rsid w:val="00FC2396"/>
    <w:rsid w:val="00FE2E8A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3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3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3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D506C"/>
    <w:pPr>
      <w:numPr>
        <w:numId w:val="1"/>
      </w:numPr>
    </w:pPr>
    <w:rPr>
      <w:rFonts w:eastAsia="Times New Roman"/>
      <w:lang w:eastAsia="en-GB"/>
    </w:rPr>
  </w:style>
  <w:style w:type="numbering" w:customStyle="1" w:styleId="LFO29">
    <w:name w:val="LFO29"/>
    <w:basedOn w:val="NoList"/>
    <w:rsid w:val="00F83DBF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3B4B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93B4B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093B4B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93B4B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93B4B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93B4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93B4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93B4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93B4B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5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D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DB3"/>
    <w:rPr>
      <w:rFonts w:ascii="Times New Roman" w:hAnsi="Times New Roman" w:cs="Times New Roman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DB3"/>
    <w:rPr>
      <w:rFonts w:ascii="Times New Roman" w:hAnsi="Times New Roman" w:cs="Times New Roman"/>
      <w:b/>
      <w:bCs/>
      <w:sz w:val="20"/>
      <w:szCs w:val="20"/>
      <w:lang w:val="pl-PL"/>
    </w:rPr>
  </w:style>
  <w:style w:type="character" w:styleId="Hyperlink">
    <w:name w:val="Hyperlink"/>
    <w:basedOn w:val="DefaultParagraphFont"/>
    <w:uiPriority w:val="99"/>
    <w:unhideWhenUsed/>
    <w:rsid w:val="00185DB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5D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6FD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686AF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C44F2"/>
    <w:rPr>
      <w:rFonts w:ascii="Times New Roman" w:hAnsi="Times New Roman" w:cs="Times New Roman"/>
      <w:sz w:val="24"/>
      <w:lang w:val="pl-PL"/>
    </w:rPr>
  </w:style>
  <w:style w:type="character" w:customStyle="1" w:styleId="FooterChar">
    <w:name w:val="Footer Char"/>
    <w:basedOn w:val="DefaultParagraphFont"/>
    <w:link w:val="Footer"/>
    <w:uiPriority w:val="99"/>
    <w:rsid w:val="001C44F2"/>
    <w:rPr>
      <w:rFonts w:ascii="Times New Roman" w:hAnsi="Times New Roman" w:cs="Times New Roman"/>
      <w:sz w:val="24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1C44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1C44F2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1C44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6"/>
      </w:numPr>
    </w:pPr>
  </w:style>
  <w:style w:type="paragraph" w:customStyle="1" w:styleId="Tiret1">
    <w:name w:val="Tiret 1"/>
    <w:basedOn w:val="Point1"/>
    <w:pPr>
      <w:numPr>
        <w:numId w:val="27"/>
      </w:numPr>
    </w:pPr>
  </w:style>
  <w:style w:type="paragraph" w:customStyle="1" w:styleId="Tiret2">
    <w:name w:val="Tiret 2"/>
    <w:basedOn w:val="Point2"/>
    <w:pPr>
      <w:numPr>
        <w:numId w:val="28"/>
      </w:numPr>
    </w:pPr>
  </w:style>
  <w:style w:type="paragraph" w:customStyle="1" w:styleId="Tiret3">
    <w:name w:val="Tiret 3"/>
    <w:basedOn w:val="Point3"/>
    <w:pPr>
      <w:numPr>
        <w:numId w:val="29"/>
      </w:numPr>
    </w:pPr>
  </w:style>
  <w:style w:type="paragraph" w:customStyle="1" w:styleId="Tiret4">
    <w:name w:val="Tiret 4"/>
    <w:basedOn w:val="Point4"/>
    <w:pPr>
      <w:numPr>
        <w:numId w:val="30"/>
      </w:numPr>
    </w:pPr>
  </w:style>
  <w:style w:type="paragraph" w:customStyle="1" w:styleId="Tiret5">
    <w:name w:val="Tiret 5"/>
    <w:basedOn w:val="Point5"/>
    <w:pPr>
      <w:numPr>
        <w:numId w:val="31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2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2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2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2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2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4"/>
      </w:numPr>
    </w:pPr>
  </w:style>
  <w:style w:type="paragraph" w:customStyle="1" w:styleId="Point1number">
    <w:name w:val="Point 1 (number)"/>
    <w:basedOn w:val="Normal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pPr>
      <w:numPr>
        <w:ilvl w:val="8"/>
        <w:numId w:val="34"/>
      </w:numPr>
    </w:pPr>
  </w:style>
  <w:style w:type="paragraph" w:customStyle="1" w:styleId="Bullet0">
    <w:name w:val="Bullet 0"/>
    <w:basedOn w:val="Normal"/>
    <w:pPr>
      <w:numPr>
        <w:numId w:val="35"/>
      </w:numPr>
    </w:pPr>
  </w:style>
  <w:style w:type="paragraph" w:customStyle="1" w:styleId="Bullet1">
    <w:name w:val="Bullet 1"/>
    <w:basedOn w:val="Normal"/>
    <w:pPr>
      <w:numPr>
        <w:numId w:val="36"/>
      </w:numPr>
    </w:pPr>
  </w:style>
  <w:style w:type="paragraph" w:customStyle="1" w:styleId="Bullet2">
    <w:name w:val="Bullet 2"/>
    <w:basedOn w:val="Normal"/>
    <w:pPr>
      <w:numPr>
        <w:numId w:val="37"/>
      </w:numPr>
    </w:pPr>
  </w:style>
  <w:style w:type="paragraph" w:customStyle="1" w:styleId="Bullet3">
    <w:name w:val="Bullet 3"/>
    <w:basedOn w:val="Normal"/>
    <w:pPr>
      <w:numPr>
        <w:numId w:val="38"/>
      </w:numPr>
    </w:pPr>
  </w:style>
  <w:style w:type="paragraph" w:customStyle="1" w:styleId="Bullet4">
    <w:name w:val="Bullet 4"/>
    <w:basedOn w:val="Normal"/>
    <w:pPr>
      <w:numPr>
        <w:numId w:val="39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0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1C44F2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1C44F2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1C44F2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1C44F2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5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2024-05-28T14:34:00Z</dcterms:created>
  <dcterms:modified xsi:type="dcterms:W3CDTF">2024-05-30T09:46:00Z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2024-03-04T17:51:00Z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31943418-602c-49b3-ab6d-07ca073faced</vt:lpwstr>
  </property>
  <property fmtid="{D5CDD505-2E9C-101B-9397-08002B2CF9AE}" pid="8" name="MSIP_Label_6bd9ddd1-4d20-43f6-abfa-fc3c07406f94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Category">
    <vt:lpwstr>COM/AA</vt:lpwstr>
  </property>
  <property fmtid="{D5CDD505-2E9C-101B-9397-08002B2CF9AE}" pid="11" name="Last edited using">
    <vt:lpwstr>LW 9.0, Build 20230317</vt:lpwstr>
  </property>
  <property fmtid="{D5CDD505-2E9C-101B-9397-08002B2CF9AE}" pid="12" name="Part">
    <vt:lpwstr>1</vt:lpwstr>
  </property>
  <property fmtid="{D5CDD505-2E9C-101B-9397-08002B2CF9AE}" pid="13" name="Total parts">
    <vt:lpwstr>1</vt:lpwstr>
  </property>
  <property fmtid="{D5CDD505-2E9C-101B-9397-08002B2CF9AE}" pid="14" name="LWTemplateID">
    <vt:lpwstr>SJ-004</vt:lpwstr>
  </property>
  <property fmtid="{D5CDD505-2E9C-101B-9397-08002B2CF9AE}" pid="15" name="DQCStatus">
    <vt:lpwstr>Green (DQC version 03)</vt:lpwstr>
  </property>
</Properties>
</file>