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541CA9" w:rsidRDefault="00793214" w:rsidP="00793214">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B81DD88B-AF5B-48BC-82DC-ACBBD4C1DF7C" style="width:455.25pt;height:441pt">
            <v:imagedata r:id="rId7" o:title=""/>
          </v:shape>
        </w:pict>
      </w:r>
    </w:p>
    <w:p w:rsidR="001D506C" w:rsidRPr="00541CA9" w:rsidRDefault="001D506C">
      <w:pPr>
        <w:rPr>
          <w:noProof/>
        </w:rPr>
        <w:sectPr w:rsidR="001D506C" w:rsidRPr="00541CA9" w:rsidSect="00793214">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1D506C" w:rsidRPr="00541CA9" w:rsidRDefault="00541CA9" w:rsidP="00541CA9">
      <w:pPr>
        <w:pStyle w:val="Typedudocument"/>
        <w:rPr>
          <w:noProof/>
        </w:rPr>
      </w:pPr>
      <w:bookmarkStart w:id="0" w:name="_GoBack"/>
      <w:bookmarkEnd w:id="0"/>
      <w:r w:rsidRPr="00541CA9">
        <w:rPr>
          <w:noProof/>
        </w:rPr>
        <w:lastRenderedPageBreak/>
        <w:t>KOMISJONI RAKENDUSMÄÄRUS (EL) …/…,</w:t>
      </w:r>
    </w:p>
    <w:p w:rsidR="001D506C" w:rsidRPr="00541CA9" w:rsidRDefault="00836825" w:rsidP="00541CA9">
      <w:pPr>
        <w:pStyle w:val="Datedadoption"/>
        <w:rPr>
          <w:noProof/>
        </w:rPr>
      </w:pPr>
      <w:r>
        <w:rPr>
          <w:noProof/>
        </w:rPr>
        <w:t>6.6.2024,</w:t>
      </w:r>
    </w:p>
    <w:p w:rsidR="001D506C" w:rsidRPr="00541CA9" w:rsidRDefault="00541CA9" w:rsidP="00541CA9">
      <w:pPr>
        <w:pStyle w:val="Titreobjet"/>
        <w:rPr>
          <w:noProof/>
        </w:rPr>
      </w:pPr>
      <w:r w:rsidRPr="00541CA9">
        <w:rPr>
          <w:noProof/>
        </w:rPr>
        <w:t xml:space="preserve">millega muudetakse komisjoni rakendusmäärust (EL) 2021/763, millega kehtestatakse rakenduslikud tehnilised standardid Euroopa Parlamendi ja nõukogu määruse (EL) nr 575/2013 ning Euroopa Parlamendi ja nõukogu direktiivi 2014/59/EL kohaldamiseks seoses omavahendite ja kõlblike kohustuste miinimumnõude täitmise järelevalvelise aruandluse ja avalikustamisega  </w:t>
      </w:r>
      <w:r w:rsidRPr="00541CA9">
        <w:rPr>
          <w:noProof/>
        </w:rPr>
        <w:br/>
      </w:r>
    </w:p>
    <w:p w:rsidR="001D506C" w:rsidRPr="00541CA9" w:rsidRDefault="00541CA9" w:rsidP="00541CA9">
      <w:pPr>
        <w:pStyle w:val="IntrtEEE"/>
        <w:rPr>
          <w:noProof/>
        </w:rPr>
      </w:pPr>
      <w:r w:rsidRPr="00541CA9">
        <w:rPr>
          <w:noProof/>
        </w:rPr>
        <w:t>(EMPs kohaldatav tekst)</w:t>
      </w:r>
    </w:p>
    <w:p w:rsidR="001D506C" w:rsidRPr="00541CA9" w:rsidRDefault="001D506C" w:rsidP="004E1EF9">
      <w:pPr>
        <w:pStyle w:val="Institutionquiagit"/>
        <w:rPr>
          <w:noProof/>
        </w:rPr>
      </w:pPr>
      <w:r w:rsidRPr="00541CA9">
        <w:rPr>
          <w:noProof/>
        </w:rPr>
        <w:t>EUROOPA KOMISJON,</w:t>
      </w:r>
    </w:p>
    <w:p w:rsidR="001D506C" w:rsidRPr="00541CA9" w:rsidRDefault="001D506C" w:rsidP="004E1EF9">
      <w:pPr>
        <w:rPr>
          <w:noProof/>
        </w:rPr>
      </w:pPr>
      <w:r w:rsidRPr="00541CA9">
        <w:rPr>
          <w:noProof/>
          <w:color w:val="000000"/>
        </w:rPr>
        <w:t>võttes arvesse Euroopa Liidu toimimise lepingut,</w:t>
      </w:r>
    </w:p>
    <w:p w:rsidR="000E6FD2" w:rsidRPr="00541CA9" w:rsidRDefault="000E6FD2" w:rsidP="000E6FD2">
      <w:pPr>
        <w:rPr>
          <w:noProof/>
        </w:rPr>
      </w:pPr>
      <w:r w:rsidRPr="00541CA9">
        <w:rPr>
          <w:noProof/>
        </w:rPr>
        <w:t>võttes arvesse Euroopa Parlamendi ja nõukogu 26. juuni 2013. aasta määrust (EL) nr 575/2013, mis käsitleb krediidiasutuste suhtes kohaldatavaid usaldatavusnõudeid ja millega muudetakse määrust (EL) nr 648/2012,</w:t>
      </w:r>
      <w:r w:rsidRPr="00541CA9">
        <w:rPr>
          <w:rStyle w:val="FootnoteReference"/>
          <w:noProof/>
        </w:rPr>
        <w:footnoteReference w:id="1"/>
      </w:r>
      <w:r w:rsidRPr="00541CA9">
        <w:rPr>
          <w:noProof/>
        </w:rPr>
        <w:t xml:space="preserve"> eriti selle artikli 430 lõike 7 viiendat lõiku ja artikli 434a viiendat lõiku,</w:t>
      </w:r>
    </w:p>
    <w:p w:rsidR="000E6FD2" w:rsidRPr="00541CA9" w:rsidRDefault="000E6FD2" w:rsidP="000E6FD2">
      <w:pPr>
        <w:rPr>
          <w:noProof/>
        </w:rPr>
      </w:pPr>
      <w:r w:rsidRPr="00541CA9">
        <w:rPr>
          <w:noProof/>
        </w:rPr>
        <w:t>võttes arvesse Euroopa Parlamendi ja nõukogu 15. mai 2014. aasta direktiivi 2014/59/EL, millega luuakse krediidiasutuste ja investeerimisühingute finantsseisundi taastamise ja kriisilahenduse õigusraamistik ning muudetakse nõukogu direktiivi 82/891/EMÜ ning Euroopa Parlamendi ja nõukogu direktiive 2001/24/EÜ, 2002/47/EÜ, 2004/25/EÜ, 2005/56/EÜ, 2007/36/EÜ, 2011/35/EL, 2012/30/EL ja 2013/36/EL ning määruseid (EL) nr 1093/2010 ja (EL) nr 648/2012,</w:t>
      </w:r>
      <w:r w:rsidRPr="00541CA9">
        <w:rPr>
          <w:rStyle w:val="FootnoteReference"/>
          <w:noProof/>
        </w:rPr>
        <w:footnoteReference w:id="2"/>
      </w:r>
      <w:r w:rsidRPr="00541CA9">
        <w:rPr>
          <w:noProof/>
        </w:rPr>
        <w:t xml:space="preserve"> eriti selle artikli 45i lõike 5 viiendat lõiku ja artikli 45i lõike 6 viiendat lõiku,</w:t>
      </w:r>
    </w:p>
    <w:p w:rsidR="001D506C" w:rsidRPr="00541CA9" w:rsidRDefault="001D506C" w:rsidP="004E1EF9">
      <w:pPr>
        <w:rPr>
          <w:noProof/>
        </w:rPr>
      </w:pPr>
      <w:r w:rsidRPr="00541CA9">
        <w:rPr>
          <w:noProof/>
        </w:rPr>
        <w:t>ning arvestades järgmist:</w:t>
      </w:r>
    </w:p>
    <w:p w:rsidR="00F83DBF" w:rsidRPr="00541CA9" w:rsidRDefault="00F83DBF" w:rsidP="0052704B">
      <w:pPr>
        <w:pStyle w:val="ManualConsidrant"/>
        <w:rPr>
          <w:noProof/>
        </w:rPr>
      </w:pPr>
      <w:r>
        <w:rPr>
          <w:noProof/>
        </w:rPr>
        <w:t>(1)</w:t>
      </w:r>
      <w:r>
        <w:rPr>
          <w:noProof/>
        </w:rPr>
        <w:tab/>
      </w:r>
      <w:r w:rsidRPr="00541CA9">
        <w:rPr>
          <w:noProof/>
        </w:rPr>
        <w:t xml:space="preserve">Euroopa Parlamendi ja nõukogu </w:t>
      </w:r>
      <w:bookmarkStart w:id="1" w:name="_Hlk159320995"/>
      <w:r w:rsidRPr="00541CA9">
        <w:rPr>
          <w:noProof/>
        </w:rPr>
        <w:t>määrusega</w:t>
      </w:r>
      <w:bookmarkEnd w:id="1"/>
      <w:r w:rsidRPr="00541CA9">
        <w:rPr>
          <w:noProof/>
        </w:rPr>
        <w:t xml:space="preserve"> (EL) 2022/2036</w:t>
      </w:r>
      <w:r w:rsidRPr="00541CA9">
        <w:rPr>
          <w:rStyle w:val="FootnoteReference"/>
          <w:noProof/>
        </w:rPr>
        <w:footnoteReference w:id="3"/>
      </w:r>
      <w:r w:rsidRPr="00541CA9">
        <w:rPr>
          <w:noProof/>
        </w:rPr>
        <w:t xml:space="preserve"> lisati määrusesse (EL) nr 575/2013 nõue, et kriisilahendusalusesse gruppi kuuluvad vaheüksused peavad arvama kõlblike kohustuste kirjetest maha oma osalused omavahenditesse kuuluvates ja kõlblike kohustuste instrumentides, mida kasutatakse määruse (EL) nr 575/2013 artiklis 92b sätestatud nõude („sisemine kogu kahjumikatmisvõime nõue“ või „sisemine TLAC“) või direktiivi 2014/59/EL</w:t>
      </w:r>
      <w:r w:rsidRPr="00541CA9">
        <w:rPr>
          <w:rStyle w:val="FootnoteReference"/>
          <w:noProof/>
        </w:rPr>
        <w:footnoteReference w:id="4"/>
      </w:r>
      <w:r w:rsidRPr="00541CA9">
        <w:rPr>
          <w:noProof/>
        </w:rPr>
        <w:t xml:space="preserve"> artiklis 45f sätestatud nõude („sisemine omavahendite ja kõlblike kohustuste miinimumnõue“ või „sisemine MREL“) täitmiseks, kui need omavahenditesse kuuluvad instrumendid ja kõlblike kohustuste </w:t>
      </w:r>
      <w:r w:rsidRPr="00541CA9">
        <w:rPr>
          <w:noProof/>
        </w:rPr>
        <w:lastRenderedPageBreak/>
        <w:t>instrumendid on emiteerinud üksused, kes ei ole ise kriisilahendussubjektid ja kes kuuluvad samasse kriisilahendusalusesse gruppi. Seepärast on seda mahaarvamise nõuet vaja kajastada vormides, mida kasutatakse komisjoni rakendusmääruses (EL) 2021/763</w:t>
      </w:r>
      <w:r w:rsidRPr="00541CA9">
        <w:rPr>
          <w:rStyle w:val="FootnoteReference"/>
          <w:bCs/>
          <w:noProof/>
        </w:rPr>
        <w:footnoteReference w:id="5"/>
      </w:r>
      <w:r w:rsidRPr="00541CA9">
        <w:rPr>
          <w:noProof/>
        </w:rPr>
        <w:t xml:space="preserve"> sätestatud sisemist MRELi ning sisemist TLACi käsitleva ühtse teabe avalikustamiseks. Kõnealune mahaarvamise nõue peaks samamoodi kajastuma pädevatele asutustele ja kriisilahendusasutustele esitatavas ühtses teabes.</w:t>
      </w:r>
    </w:p>
    <w:p w:rsidR="00686AFD" w:rsidRPr="00541CA9" w:rsidRDefault="00686AFD" w:rsidP="002103AD">
      <w:pPr>
        <w:pStyle w:val="ManualConsidrant"/>
        <w:rPr>
          <w:noProof/>
        </w:rPr>
      </w:pPr>
      <w:r>
        <w:rPr>
          <w:noProof/>
        </w:rPr>
        <w:t>(2)</w:t>
      </w:r>
      <w:r>
        <w:rPr>
          <w:noProof/>
        </w:rPr>
        <w:tab/>
      </w:r>
      <w:r w:rsidRPr="00541CA9">
        <w:rPr>
          <w:noProof/>
        </w:rPr>
        <w:t>Euroopa Parlamendi ja nõukogu direktiiviga (EL) 2024/1174, millega muudetakse direktiivi 2014/59/EL ja määrust (EL) nr 806/2014 seoses omavahendite ja kõlblike kohustuste miinimumnõude teatavate aspektidega</w:t>
      </w:r>
      <w:r w:rsidRPr="00541CA9">
        <w:rPr>
          <w:rStyle w:val="FootnoteReference"/>
          <w:noProof/>
        </w:rPr>
        <w:footnoteReference w:id="6"/>
      </w:r>
      <w:r w:rsidRPr="00541CA9">
        <w:rPr>
          <w:noProof/>
        </w:rPr>
        <w:t xml:space="preserve"> muudeti täiendavalt määruses (EL) nr 575/2013 sätestatud mahaarvamise nõuet ja täpsustati direktiivis 2014/59/EL ja määruses (EL) nr 806/2014, et kriisilahendusalusesse gruppi kuuluvad vaheüksused peavad maha arvama ainult oma osalused omavahenditesse kuuluvates instrumentides, mille on emiteerinud samasse kriisilahendusalusesse gruppi kuuluvad likvideerimissubjektid, kes ei ole ise kriisilahendussubjektid, tingimusel et teatavad kõnealuseid osalusi puudutavad olulisuse tingimused on täidetud. Need muudatused peaksid kajastuma ka ühtses teabes, mis esitatakse pädevatele asutustele ja kriisilahendusasutustele avalikustamise ja aruandluse vormides.</w:t>
      </w:r>
    </w:p>
    <w:p w:rsidR="00F83DBF" w:rsidRPr="00541CA9" w:rsidRDefault="00F83DBF" w:rsidP="00302BB5">
      <w:pPr>
        <w:pStyle w:val="ManualConsidrant"/>
        <w:rPr>
          <w:noProof/>
        </w:rPr>
      </w:pPr>
      <w:r>
        <w:rPr>
          <w:noProof/>
        </w:rPr>
        <w:t>(3)</w:t>
      </w:r>
      <w:r>
        <w:rPr>
          <w:noProof/>
        </w:rPr>
        <w:tab/>
      </w:r>
      <w:r w:rsidRPr="00541CA9">
        <w:rPr>
          <w:noProof/>
        </w:rPr>
        <w:t>Üksused, kelle suhtes kohaldatakse määruse (EL) nr 575/2013 artiklis 92a või 92b sätestatud nõudeid („kogu kahjumikatmisvõime nõue“) või direktiivi 2014/59/EL artiklis 45 sätestatud nõuet („omavahendite ja kõlblike kohustuste miinimumnõue“), võivad oma kriisilahendusasutuse eelneval loal kõlblike kohustuste instrumente määruse (EL) nr 575/2013 artikli 78a kohaselt tagasi kutsuda, lunastada, tagasi maksta või tagasi osta. Sellise loaga kaetud summad vähendavad üksuste suutlikkust täita omavahendite ja kõlblike kohustuste miinimumnõuet või kogu kahjumikatmisvõime nõuet. Seepärast on vaja kindlaks määrata, kuidas tuleks sellise loa mõju kajastada avalikustamisel ning pädevatele asutustele ja kriisilahendusasutustele suunatud aruandluses.</w:t>
      </w:r>
    </w:p>
    <w:p w:rsidR="00F83DBF" w:rsidRPr="00541CA9" w:rsidRDefault="00F83DBF" w:rsidP="00F83DBF">
      <w:pPr>
        <w:pStyle w:val="ManualConsidrant"/>
        <w:rPr>
          <w:noProof/>
        </w:rPr>
      </w:pPr>
      <w:r>
        <w:rPr>
          <w:noProof/>
        </w:rPr>
        <w:t>(4)</w:t>
      </w:r>
      <w:r>
        <w:rPr>
          <w:noProof/>
        </w:rPr>
        <w:tab/>
      </w:r>
      <w:r w:rsidRPr="00541CA9">
        <w:rPr>
          <w:noProof/>
        </w:rPr>
        <w:t>Seepärast tuleks rakendusmäärust (EL) 2021/763 vastavalt muuta.</w:t>
      </w:r>
    </w:p>
    <w:p w:rsidR="00F83DBF" w:rsidRPr="00541CA9" w:rsidRDefault="00F83DBF" w:rsidP="00F83DBF">
      <w:pPr>
        <w:pStyle w:val="ManualConsidrant"/>
        <w:rPr>
          <w:noProof/>
        </w:rPr>
      </w:pPr>
      <w:r>
        <w:rPr>
          <w:noProof/>
        </w:rPr>
        <w:t>(5)</w:t>
      </w:r>
      <w:r>
        <w:rPr>
          <w:noProof/>
        </w:rPr>
        <w:tab/>
      </w:r>
      <w:r w:rsidRPr="00541CA9">
        <w:rPr>
          <w:noProof/>
        </w:rPr>
        <w:t>Käesolev määrus põhineb Euroopa Pangandusjärelevalve poolt komisjonile esitatud rakenduslike tehniliste standardite eelnõul.</w:t>
      </w:r>
    </w:p>
    <w:p w:rsidR="00F83DBF" w:rsidRPr="00541CA9" w:rsidRDefault="00F83DBF" w:rsidP="00F83DBF">
      <w:pPr>
        <w:pStyle w:val="ManualConsidrant"/>
        <w:rPr>
          <w:noProof/>
        </w:rPr>
      </w:pPr>
      <w:r>
        <w:rPr>
          <w:noProof/>
        </w:rPr>
        <w:t>(6)</w:t>
      </w:r>
      <w:r>
        <w:rPr>
          <w:noProof/>
        </w:rPr>
        <w:tab/>
      </w:r>
      <w:r w:rsidRPr="00541CA9">
        <w:rPr>
          <w:noProof/>
        </w:rPr>
        <w:t>Euroopa Pangandusjärelevalve on korraldanud avalikud konsultatsioonid käesoleva määruse aluseks oleva rakenduslike tehniliste standardite eelnõu kohta, analüüsinud võimalikke seonduvaid kulusid ja kasu ning küsinud nõu Euroopa Parlamendi ja nõukogu määruse (EL) nr 1093/2010</w:t>
      </w:r>
      <w:r w:rsidRPr="00541CA9">
        <w:rPr>
          <w:rStyle w:val="FootnoteReference"/>
          <w:noProof/>
        </w:rPr>
        <w:footnoteReference w:id="7"/>
      </w:r>
      <w:r w:rsidRPr="00541CA9">
        <w:rPr>
          <w:noProof/>
        </w:rPr>
        <w:t xml:space="preserve"> artikli 37 kohaselt loodud pangandussektori sidusrühmade kogult.</w:t>
      </w:r>
    </w:p>
    <w:p w:rsidR="00DB127D" w:rsidRPr="00541CA9" w:rsidRDefault="00DB127D" w:rsidP="00F83DBF">
      <w:pPr>
        <w:pStyle w:val="ManualConsidrant"/>
        <w:rPr>
          <w:noProof/>
        </w:rPr>
      </w:pPr>
      <w:r>
        <w:rPr>
          <w:noProof/>
        </w:rPr>
        <w:t>(7)</w:t>
      </w:r>
      <w:r>
        <w:rPr>
          <w:noProof/>
        </w:rPr>
        <w:tab/>
      </w:r>
      <w:r w:rsidRPr="00541CA9">
        <w:rPr>
          <w:noProof/>
        </w:rPr>
        <w:t xml:space="preserve">Selleks et anda määruse (EL) nr 575/2013 või direktiivi 2014/59/EL kohase aruandluse või avalikustamise kohustusega üksustele piisavalt aega vormide ja ühtse teabe </w:t>
      </w:r>
      <w:bookmarkStart w:id="2" w:name="_Hlk160034996"/>
      <w:r w:rsidRPr="00541CA9">
        <w:rPr>
          <w:noProof/>
        </w:rPr>
        <w:t>muudatustega kohanemiseks</w:t>
      </w:r>
      <w:bookmarkEnd w:id="2"/>
      <w:r w:rsidRPr="00541CA9">
        <w:rPr>
          <w:noProof/>
        </w:rPr>
        <w:t>, hakatakse neid muudatusi kohaldama kuus kuud pärast käesoleva määruse jõustumise kuupäeva.</w:t>
      </w:r>
    </w:p>
    <w:p w:rsidR="001D506C" w:rsidRPr="00541CA9" w:rsidRDefault="001D506C" w:rsidP="004E1EF9">
      <w:pPr>
        <w:pStyle w:val="Formuledadoption"/>
        <w:rPr>
          <w:noProof/>
        </w:rPr>
      </w:pPr>
      <w:r w:rsidRPr="00541CA9">
        <w:rPr>
          <w:noProof/>
        </w:rPr>
        <w:t>ON VASTU VÕTNUD KÄESOLEVA MÄÄRUSE:</w:t>
      </w:r>
    </w:p>
    <w:p w:rsidR="001D506C" w:rsidRPr="00541CA9" w:rsidRDefault="001D506C" w:rsidP="004E1EF9">
      <w:pPr>
        <w:pStyle w:val="Titrearticle"/>
        <w:rPr>
          <w:noProof/>
        </w:rPr>
      </w:pPr>
      <w:r w:rsidRPr="00541CA9">
        <w:rPr>
          <w:noProof/>
        </w:rPr>
        <w:t>Artikkel 1</w:t>
      </w:r>
    </w:p>
    <w:p w:rsidR="008D3341" w:rsidRPr="00541CA9" w:rsidRDefault="008D3341" w:rsidP="00220108">
      <w:pPr>
        <w:pStyle w:val="Titrearticle"/>
        <w:rPr>
          <w:noProof/>
        </w:rPr>
      </w:pPr>
      <w:r w:rsidRPr="00541CA9">
        <w:rPr>
          <w:noProof/>
        </w:rPr>
        <w:t>Rakendusmääruse (EL) 2021/763 muutmine</w:t>
      </w:r>
    </w:p>
    <w:p w:rsidR="00F83DBF" w:rsidRPr="00541CA9" w:rsidRDefault="00F83DBF" w:rsidP="00F83DBF">
      <w:pPr>
        <w:rPr>
          <w:noProof/>
        </w:rPr>
      </w:pPr>
      <w:r w:rsidRPr="00541CA9">
        <w:rPr>
          <w:noProof/>
        </w:rPr>
        <w:t>Rakendusmäärust (EL) 2021/763 muudetakse järgmiselt:</w:t>
      </w:r>
    </w:p>
    <w:p w:rsidR="00F83DBF" w:rsidRPr="00541CA9" w:rsidRDefault="004603A2" w:rsidP="000B009E">
      <w:pPr>
        <w:pStyle w:val="Point0"/>
        <w:rPr>
          <w:noProof/>
        </w:rPr>
      </w:pPr>
      <w:r>
        <w:rPr>
          <w:noProof/>
        </w:rPr>
        <w:t>(1)</w:t>
      </w:r>
      <w:r>
        <w:rPr>
          <w:noProof/>
        </w:rPr>
        <w:tab/>
      </w:r>
      <w:r w:rsidRPr="00541CA9">
        <w:rPr>
          <w:noProof/>
        </w:rPr>
        <w:t>I lisa vormid M 02.00 ja M 03.00 asendatakse käesoleva määruse I lisas esitatud vormidega M 02.00 ja M 03.00.</w:t>
      </w:r>
    </w:p>
    <w:p w:rsidR="00F83DBF" w:rsidRPr="00541CA9" w:rsidRDefault="00F83DBF" w:rsidP="00220108">
      <w:pPr>
        <w:pStyle w:val="Point0"/>
        <w:rPr>
          <w:noProof/>
        </w:rPr>
      </w:pPr>
      <w:r>
        <w:rPr>
          <w:noProof/>
        </w:rPr>
        <w:t>(2)</w:t>
      </w:r>
      <w:r>
        <w:rPr>
          <w:noProof/>
        </w:rPr>
        <w:tab/>
      </w:r>
      <w:r w:rsidRPr="00541CA9">
        <w:rPr>
          <w:noProof/>
        </w:rPr>
        <w:t>II lisa asendatakse käesoleva määruse II lisaga.</w:t>
      </w:r>
    </w:p>
    <w:p w:rsidR="00F83DBF" w:rsidRPr="00541CA9" w:rsidRDefault="004603A2" w:rsidP="00220108">
      <w:pPr>
        <w:pStyle w:val="Point0"/>
        <w:rPr>
          <w:noProof/>
        </w:rPr>
      </w:pPr>
      <w:r>
        <w:rPr>
          <w:noProof/>
        </w:rPr>
        <w:t>(3)</w:t>
      </w:r>
      <w:r>
        <w:rPr>
          <w:noProof/>
        </w:rPr>
        <w:tab/>
      </w:r>
      <w:r w:rsidRPr="00541CA9">
        <w:rPr>
          <w:noProof/>
        </w:rPr>
        <w:t>V lisa vormid EU TLAC1 ja EU ILAC asendatakse käesoleva määruse III lisas esitatud vormidega EU TLAC1 ja EU ILAC.</w:t>
      </w:r>
    </w:p>
    <w:p w:rsidR="00F83DBF" w:rsidRPr="00541CA9" w:rsidRDefault="00F83DBF" w:rsidP="00220108">
      <w:pPr>
        <w:pStyle w:val="Point0"/>
        <w:rPr>
          <w:noProof/>
        </w:rPr>
      </w:pPr>
      <w:r>
        <w:rPr>
          <w:noProof/>
        </w:rPr>
        <w:t>(4)</w:t>
      </w:r>
      <w:r>
        <w:rPr>
          <w:noProof/>
        </w:rPr>
        <w:tab/>
      </w:r>
      <w:r w:rsidRPr="00541CA9">
        <w:rPr>
          <w:noProof/>
        </w:rPr>
        <w:t>VI lisa asendatakse käesoleva määruse IV lisa tekstiga.</w:t>
      </w:r>
    </w:p>
    <w:p w:rsidR="00F83DBF" w:rsidRPr="00541CA9" w:rsidRDefault="00F83DBF" w:rsidP="00F83DBF">
      <w:pPr>
        <w:pStyle w:val="Titrearticle"/>
        <w:rPr>
          <w:noProof/>
        </w:rPr>
      </w:pPr>
      <w:r w:rsidRPr="00541CA9">
        <w:rPr>
          <w:noProof/>
        </w:rPr>
        <w:t>Artikkel 2</w:t>
      </w:r>
    </w:p>
    <w:p w:rsidR="00CC305D" w:rsidRPr="00541CA9" w:rsidRDefault="00CC305D" w:rsidP="00583FFA">
      <w:pPr>
        <w:jc w:val="center"/>
        <w:rPr>
          <w:b/>
          <w:bCs/>
          <w:noProof/>
          <w:color w:val="000000"/>
        </w:rPr>
      </w:pPr>
      <w:r w:rsidRPr="00541CA9">
        <w:rPr>
          <w:b/>
          <w:noProof/>
          <w:color w:val="000000"/>
        </w:rPr>
        <w:t>Jõustumine ja kohaldamine</w:t>
      </w:r>
    </w:p>
    <w:p w:rsidR="00F83DBF" w:rsidRPr="00541CA9" w:rsidRDefault="00F83DBF" w:rsidP="00F83DBF">
      <w:pPr>
        <w:rPr>
          <w:noProof/>
          <w:color w:val="000000"/>
        </w:rPr>
      </w:pPr>
      <w:r w:rsidRPr="00541CA9">
        <w:rPr>
          <w:noProof/>
          <w:color w:val="000000"/>
        </w:rPr>
        <w:t xml:space="preserve">Käesolev määrus jõustub kahekümnendal päeval pärast selle avaldamist </w:t>
      </w:r>
      <w:r w:rsidRPr="00541CA9">
        <w:rPr>
          <w:i/>
          <w:noProof/>
          <w:color w:val="000000"/>
        </w:rPr>
        <w:t>Euroopa Liidu Teatajas</w:t>
      </w:r>
      <w:r w:rsidRPr="00541CA9">
        <w:rPr>
          <w:noProof/>
          <w:color w:val="000000"/>
        </w:rPr>
        <w:t>.</w:t>
      </w:r>
    </w:p>
    <w:p w:rsidR="00F83DBF" w:rsidRPr="00541CA9" w:rsidRDefault="00F83DBF" w:rsidP="00F83DBF">
      <w:pPr>
        <w:rPr>
          <w:noProof/>
          <w:color w:val="000000"/>
        </w:rPr>
      </w:pPr>
      <w:r w:rsidRPr="00541CA9">
        <w:rPr>
          <w:noProof/>
          <w:color w:val="000000"/>
        </w:rPr>
        <w:t>Seda kohaldatakse alates [</w:t>
      </w:r>
      <w:r w:rsidRPr="00541CA9">
        <w:rPr>
          <w:i/>
          <w:noProof/>
          <w:color w:val="000000"/>
        </w:rPr>
        <w:t>väljaannete talitus: palun lisada kuupäev: kuus kuud pärast käesoleva muutmismääruse jõustumise kuupäeva</w:t>
      </w:r>
      <w:r w:rsidRPr="00541CA9">
        <w:rPr>
          <w:noProof/>
          <w:color w:val="000000"/>
        </w:rPr>
        <w:t xml:space="preserve">]. </w:t>
      </w:r>
    </w:p>
    <w:p w:rsidR="001D506C" w:rsidRPr="00541CA9" w:rsidRDefault="001D506C" w:rsidP="004E1EF9">
      <w:pPr>
        <w:pStyle w:val="Applicationdirecte"/>
        <w:keepNext/>
        <w:keepLines/>
        <w:rPr>
          <w:noProof/>
        </w:rPr>
      </w:pPr>
      <w:r w:rsidRPr="00541CA9">
        <w:rPr>
          <w:noProof/>
        </w:rPr>
        <w:t>Käesolev määrus on tervikuna siduv ja vahetult kohaldatav kõikides liikmesriikides.</w:t>
      </w:r>
    </w:p>
    <w:p w:rsidR="001D506C" w:rsidRPr="00541CA9" w:rsidRDefault="00836825" w:rsidP="009E5F06">
      <w:pPr>
        <w:pStyle w:val="Fait"/>
        <w:rPr>
          <w:noProof/>
        </w:rPr>
      </w:pPr>
      <w:r>
        <w:rPr>
          <w:noProof/>
        </w:rPr>
        <w:t>Brüssel, 6.6.2024</w:t>
      </w:r>
    </w:p>
    <w:p w:rsidR="001D506C" w:rsidRPr="00541CA9" w:rsidRDefault="001D506C" w:rsidP="009E5F06">
      <w:pPr>
        <w:pStyle w:val="Institutionquisigne"/>
        <w:rPr>
          <w:noProof/>
        </w:rPr>
      </w:pPr>
      <w:r w:rsidRPr="00541CA9">
        <w:rPr>
          <w:noProof/>
        </w:rPr>
        <w:tab/>
        <w:t>komisjoni nimel</w:t>
      </w:r>
    </w:p>
    <w:p w:rsidR="00F718B8" w:rsidRPr="00541CA9" w:rsidRDefault="00354E8C" w:rsidP="009E5F06">
      <w:pPr>
        <w:pStyle w:val="Personnequisigne"/>
        <w:keepNext/>
        <w:rPr>
          <w:noProof/>
        </w:rPr>
      </w:pPr>
      <w:r>
        <w:rPr>
          <w:noProof/>
        </w:rPr>
        <w:tab/>
        <w:t>president</w:t>
      </w:r>
      <w:r>
        <w:rPr>
          <w:noProof/>
        </w:rPr>
        <w:br/>
      </w:r>
      <w:r>
        <w:rPr>
          <w:noProof/>
        </w:rPr>
        <w:tab/>
        <w:t>Ursula VON DER LEYEN</w:t>
      </w:r>
    </w:p>
    <w:p w:rsidR="00C402D1" w:rsidRPr="00541CA9" w:rsidRDefault="00C402D1" w:rsidP="00C402D1">
      <w:pPr>
        <w:pStyle w:val="Personnequisigne"/>
        <w:rPr>
          <w:noProof/>
        </w:rPr>
      </w:pPr>
    </w:p>
    <w:sectPr w:rsidR="00C402D1" w:rsidRPr="00541CA9" w:rsidSect="00793214">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214" w:rsidRPr="00793214" w:rsidRDefault="00793214" w:rsidP="00793214">
    <w:pPr>
      <w:pStyle w:val="Footer"/>
      <w:rPr>
        <w:rFonts w:ascii="Arial" w:hAnsi="Arial" w:cs="Arial"/>
        <w:b/>
        <w:sz w:val="48"/>
      </w:rPr>
    </w:pPr>
    <w:r w:rsidRPr="00793214">
      <w:rPr>
        <w:rFonts w:ascii="Arial" w:hAnsi="Arial" w:cs="Arial"/>
        <w:b/>
        <w:sz w:val="48"/>
      </w:rPr>
      <w:t>ET</w:t>
    </w:r>
    <w:r w:rsidRPr="00793214">
      <w:rPr>
        <w:rFonts w:ascii="Arial" w:hAnsi="Arial" w:cs="Arial"/>
        <w:b/>
        <w:sz w:val="48"/>
      </w:rPr>
      <w:tab/>
    </w:r>
    <w:r w:rsidRPr="00793214">
      <w:rPr>
        <w:rFonts w:ascii="Arial" w:hAnsi="Arial" w:cs="Arial"/>
        <w:b/>
        <w:sz w:val="48"/>
      </w:rPr>
      <w:tab/>
    </w:r>
    <w:r w:rsidRPr="00793214">
      <w:tab/>
    </w:r>
    <w:r w:rsidRPr="00793214">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214" w:rsidRPr="00793214" w:rsidRDefault="00793214" w:rsidP="00793214">
    <w:pPr>
      <w:pStyle w:val="Footer"/>
      <w:rPr>
        <w:rFonts w:ascii="Arial" w:hAnsi="Arial" w:cs="Arial"/>
        <w:b/>
        <w:sz w:val="48"/>
      </w:rPr>
    </w:pPr>
    <w:r w:rsidRPr="00793214">
      <w:rPr>
        <w:rFonts w:ascii="Arial" w:hAnsi="Arial" w:cs="Arial"/>
        <w:b/>
        <w:sz w:val="48"/>
      </w:rPr>
      <w:t>ET</w:t>
    </w:r>
    <w:r w:rsidRPr="00793214">
      <w:rPr>
        <w:rFonts w:ascii="Arial" w:hAnsi="Arial" w:cs="Arial"/>
        <w:b/>
        <w:sz w:val="48"/>
      </w:rPr>
      <w:tab/>
    </w:r>
    <w:r w:rsidRPr="00793214">
      <w:rPr>
        <w:rFonts w:ascii="Arial" w:hAnsi="Arial" w:cs="Arial"/>
        <w:b/>
        <w:sz w:val="48"/>
      </w:rPr>
      <w:tab/>
    </w:r>
    <w:r w:rsidRPr="00793214">
      <w:tab/>
    </w:r>
    <w:r w:rsidRPr="00793214">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214" w:rsidRPr="00793214" w:rsidRDefault="00793214" w:rsidP="007932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214" w:rsidRDefault="0079321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214" w:rsidRPr="00793214" w:rsidRDefault="00793214" w:rsidP="00793214">
    <w:pPr>
      <w:pStyle w:val="Footer"/>
      <w:rPr>
        <w:rFonts w:ascii="Arial" w:hAnsi="Arial" w:cs="Arial"/>
        <w:b/>
        <w:sz w:val="48"/>
      </w:rPr>
    </w:pPr>
    <w:r w:rsidRPr="00793214">
      <w:rPr>
        <w:rFonts w:ascii="Arial" w:hAnsi="Arial" w:cs="Arial"/>
        <w:b/>
        <w:sz w:val="48"/>
      </w:rPr>
      <w:t>ET</w:t>
    </w:r>
    <w:r w:rsidRPr="00793214">
      <w:rPr>
        <w:rFonts w:ascii="Arial" w:hAnsi="Arial" w:cs="Arial"/>
        <w:b/>
        <w:sz w:val="48"/>
      </w:rPr>
      <w:tab/>
    </w:r>
    <w:r>
      <w:fldChar w:fldCharType="begin"/>
    </w:r>
    <w:r>
      <w:instrText xml:space="preserve"> PAGE  \* MERGEFORMAT </w:instrText>
    </w:r>
    <w:r>
      <w:fldChar w:fldCharType="separate"/>
    </w:r>
    <w:r w:rsidR="009E5F06">
      <w:rPr>
        <w:noProof/>
      </w:rPr>
      <w:t>3</w:t>
    </w:r>
    <w:r>
      <w:fldChar w:fldCharType="end"/>
    </w:r>
    <w:r>
      <w:tab/>
    </w:r>
    <w:r w:rsidRPr="00793214">
      <w:tab/>
    </w:r>
    <w:r w:rsidRPr="00793214">
      <w:rPr>
        <w:rFonts w:ascii="Arial" w:hAnsi="Arial" w:cs="Arial"/>
        <w:b/>
        <w:sz w:val="48"/>
      </w:rPr>
      <w:t>ET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214" w:rsidRDefault="00793214" w:rsidP="007932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BB71D1" w:rsidRDefault="000E6FD2" w:rsidP="000E6FD2">
      <w:pPr>
        <w:pStyle w:val="FootnoteText"/>
      </w:pPr>
      <w:r w:rsidRPr="00BB71D1">
        <w:rPr>
          <w:rStyle w:val="FootnoteReference"/>
        </w:rPr>
        <w:footnoteRef/>
      </w:r>
      <w:r w:rsidRPr="00BB71D1">
        <w:tab/>
        <w:t xml:space="preserve">ELT L 176, 27.6.2013, lk 1, ELI: http://data.europa.eu/eli/reg/2013/575/oj. </w:t>
      </w:r>
    </w:p>
  </w:footnote>
  <w:footnote w:id="2">
    <w:p w:rsidR="000E6FD2" w:rsidRPr="00BB71D1" w:rsidRDefault="000E6FD2" w:rsidP="000E6FD2">
      <w:pPr>
        <w:pStyle w:val="FootnoteText"/>
      </w:pPr>
      <w:r w:rsidRPr="00BB71D1">
        <w:rPr>
          <w:rStyle w:val="FootnoteReference"/>
        </w:rPr>
        <w:footnoteRef/>
      </w:r>
      <w:r w:rsidRPr="00BB71D1">
        <w:tab/>
        <w:t xml:space="preserve">ELT L 173, 12.6.2014, lk 190, ELI: http://data.europa.eu/eli/dir/2014/59/oj. </w:t>
      </w:r>
    </w:p>
  </w:footnote>
  <w:footnote w:id="3">
    <w:p w:rsidR="00F83DBF" w:rsidRPr="00BB71D1" w:rsidRDefault="00F83DBF" w:rsidP="00F83DBF">
      <w:pPr>
        <w:pStyle w:val="FootnoteText"/>
      </w:pPr>
      <w:r w:rsidRPr="00BB71D1">
        <w:rPr>
          <w:rStyle w:val="FootnoteReference"/>
        </w:rPr>
        <w:footnoteRef/>
      </w:r>
      <w:r w:rsidRPr="00BB71D1">
        <w:tab/>
        <w:t>Euroopa Parlamendi ja nõukogu 19. oktoobri 2022. aasta määrus (EL) 2022/2036, millega muudetakse määrust (EL) nr 575/2013 ja direktiivi 2014/59/EL seoses selliste globaalsete süsteemselt oluliste ettevõtjate usaldatavusnõuetekohase käsitlusega, kelle strateegiaks on mitme isiku suhtes kriisilahenduse algatamine, ning seoses omavahendite ja kõlblike kohustuste miinimumnõude täitmiseks kõlblike instrumentide kaudse märkimise meetodiga (ELT L 275, 25.10.2022, lk 1, ELI: http://data.europa.eu/eli/reg/2022/2036/oj).</w:t>
      </w:r>
    </w:p>
  </w:footnote>
  <w:footnote w:id="4">
    <w:p w:rsidR="00F83DBF" w:rsidRPr="00BB71D1" w:rsidRDefault="00F83DBF" w:rsidP="00F83DBF">
      <w:pPr>
        <w:pStyle w:val="FootnoteText"/>
      </w:pPr>
      <w:r w:rsidRPr="00BB71D1">
        <w:rPr>
          <w:rStyle w:val="FootnoteReference"/>
        </w:rPr>
        <w:footnoteRef/>
      </w:r>
      <w:r w:rsidRPr="00BB71D1">
        <w:tab/>
        <w:t>Euroopa Parlamendi ja nõukogu 15. mai 2014. aasta direktiiv 2014/59/EL, millega luuakse krediidiasutuste ja investeerimisühingute finantsseisundi taastamise ja kriisilahenduse õigusraamistik ning muudetakse nõukogu direktiivi 82/891/EMÜ ning Euroopa Parlamendi ja nõukogu direktiive 2001/24/EÜ, 2002/47/EÜ, 2004/25/EÜ, 2005/56/EÜ, 2007/36/EÜ, 2011/35/EL, 2012/30/EL ja 2013/36/EL ning määruseid (EL) nr 1093/2010 ja (EL) nr 648/2012 (ELT L 173, 12.6.2014, lk 190–348).</w:t>
      </w:r>
    </w:p>
  </w:footnote>
  <w:footnote w:id="5">
    <w:p w:rsidR="00F83DBF" w:rsidRPr="00BB71D1" w:rsidRDefault="00F83DBF" w:rsidP="00F83DBF">
      <w:pPr>
        <w:pStyle w:val="FootnoteText"/>
      </w:pPr>
      <w:r w:rsidRPr="00BB71D1">
        <w:rPr>
          <w:rStyle w:val="FootnoteReference"/>
        </w:rPr>
        <w:footnoteRef/>
      </w:r>
      <w:r w:rsidRPr="00BB71D1">
        <w:tab/>
        <w:t>Komisjoni 23. aprilli 2021. aasta rakendusmäärus (EL) 2021/763, millega kehtestatakse rakenduslikud tehnilised standardid Euroopa Parlamendi ja nõukogu määruse (EL) nr 575/2013 ning Euroopa Parlamendi ja nõukogu direktiivi 2014/59/EL kohaldamiseks seoses omavahendite ja kõlblike kohustuste miinimumnõude täitmise järelevalvelise aruandluse ja avalikustamisega (ELT L 168, 12.5.2021, lk 1).</w:t>
      </w:r>
    </w:p>
  </w:footnote>
  <w:footnote w:id="6">
    <w:p w:rsidR="00686AFD" w:rsidRPr="00BB71D1" w:rsidRDefault="00686AFD" w:rsidP="00686AFD">
      <w:pPr>
        <w:pStyle w:val="FootnoteText"/>
      </w:pPr>
      <w:r w:rsidRPr="00BB71D1">
        <w:rPr>
          <w:rStyle w:val="FootnoteReference"/>
        </w:rPr>
        <w:footnoteRef/>
      </w:r>
      <w:r w:rsidRPr="00BB71D1">
        <w:tab/>
        <w:t>Euroopa Parlamendi ja nõukogu 11. aprilli 2024. aasta direktiiv (EL) 2024/1174, millega muudetakse direktiivi 2014/59/EL ja määrust (EL) nr 806/2014 seoses omavahendite ja kõlblike kohustuste miinimumnõude teatavate aspektidega (ELT L, 2024/1174, 22.4.2024).</w:t>
      </w:r>
    </w:p>
  </w:footnote>
  <w:footnote w:id="7">
    <w:p w:rsidR="00F83DBF" w:rsidRPr="00BB71D1" w:rsidRDefault="00F83DBF" w:rsidP="00F83DBF">
      <w:pPr>
        <w:pStyle w:val="FootnoteText"/>
      </w:pPr>
      <w:r w:rsidRPr="00BB71D1">
        <w:rPr>
          <w:rStyle w:val="FootnoteReference"/>
        </w:rPr>
        <w:footnoteRef/>
      </w:r>
      <w:r w:rsidRPr="00BB71D1">
        <w:tab/>
        <w:t>Euroopa Parlamendi ja nõukogu 24. novembri 2010. aasta määrus (EL) nr 1093/2010, millega asutatakse Euroopa Järelevalveasutus (Euroopa Pangandusjärelevalve), muudetakse otsust nr 716/2009/EÜ ning tunnistatakse kehtetuks komisjoni otsus 2009/78/EÜ (ELT L 331, 15.12.2010, lk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214" w:rsidRPr="00793214" w:rsidRDefault="00793214" w:rsidP="007932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214" w:rsidRPr="00793214" w:rsidRDefault="00793214" w:rsidP="007932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214" w:rsidRPr="00793214" w:rsidRDefault="00793214" w:rsidP="0079321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214" w:rsidRDefault="0079321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214" w:rsidRDefault="007932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14"/>
  </w:num>
  <w:num w:numId="18">
    <w:abstractNumId w:val="9"/>
  </w:num>
  <w:num w:numId="19">
    <w:abstractNumId w:val="20"/>
  </w:num>
  <w:num w:numId="20">
    <w:abstractNumId w:val="8"/>
  </w:num>
  <w:num w:numId="21">
    <w:abstractNumId w:val="15"/>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5:21"/>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B81DD88B-AF5B-48BC-82DC-ACBBD4C1DF7C"/>
    <w:docVar w:name="LW_COVERPAGE_TYPE" w:val="1"/>
    <w:docVar w:name="LW_CROSSREFERENCE" w:val="&lt;UNUSED&gt;"/>
    <w:docVar w:name="LW_DATE.ADOPT.CP" w:val="6.6.2024,"/>
    <w:docVar w:name="LW_DATE.ADOPT.CP_DATEFORMAT" w:val="%DATE%,"/>
    <w:docVar w:name="LW_DATE.ADOPT.CP_ISODATE" w:val="2024-06-06"/>
    <w:docVar w:name="LW_DocType" w:val="COM"/>
    <w:docVar w:name="LW_EMISSION" w:val="6.6.2024"/>
    <w:docVar w:name="LW_EMISSION_ISODATE" w:val="2024-06-06"/>
    <w:docVar w:name="LW_EMISSION_LOCATION" w:val="BRX"/>
    <w:docVar w:name="LW_EMISSION_PREFIX" w:val="Brüssel,"/>
    <w:docVar w:name="LW_EMISSION_SUFFIX" w:val=" "/>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illega muudetakse komisjoni rakendusmäärust (EL) 2021/763, millega kehtestatakse rakenduslikud tehnilised standardid Euroopa Parlamendi ja nõukogu määruse (EL) nr 575/2013 ning Euroopa Parlamendi ja nõukogu direktiivi 2014/59/EL kohaldamiseks seoses omavahendite ja kõlblike kohustuste miinimumnõude täitmise järelevalvelise aruandluse ja avalikustamisega  _x000b_"/>
    <w:docVar w:name="LW_TYPE.DOC.CP" w:val="KOMISJONI RAKENDUSMÄÄRUS (EL) \u8230?/\u8230?,"/>
    <w:docVar w:name="LwApiVersions" w:val="LW4CoDe 1.24.5.0; LW 9.0, Build 20240221"/>
  </w:docVars>
  <w:rsids>
    <w:rsidRoot w:val="001D506C"/>
    <w:rsid w:val="00014CCB"/>
    <w:rsid w:val="00046A64"/>
    <w:rsid w:val="00093B4B"/>
    <w:rsid w:val="000955EB"/>
    <w:rsid w:val="000B009E"/>
    <w:rsid w:val="000B7A7D"/>
    <w:rsid w:val="000E6B56"/>
    <w:rsid w:val="000E6FD2"/>
    <w:rsid w:val="00113B83"/>
    <w:rsid w:val="0013442E"/>
    <w:rsid w:val="00152894"/>
    <w:rsid w:val="00185DB3"/>
    <w:rsid w:val="001A179C"/>
    <w:rsid w:val="001B397F"/>
    <w:rsid w:val="001B6C2F"/>
    <w:rsid w:val="001D506C"/>
    <w:rsid w:val="00220108"/>
    <w:rsid w:val="0022339B"/>
    <w:rsid w:val="00292AC6"/>
    <w:rsid w:val="002B4CA7"/>
    <w:rsid w:val="002B65CA"/>
    <w:rsid w:val="002C09C1"/>
    <w:rsid w:val="002F0DF7"/>
    <w:rsid w:val="002F1E29"/>
    <w:rsid w:val="002F64FC"/>
    <w:rsid w:val="00302BB5"/>
    <w:rsid w:val="0031489C"/>
    <w:rsid w:val="00314C67"/>
    <w:rsid w:val="00354E8C"/>
    <w:rsid w:val="00363DC5"/>
    <w:rsid w:val="00370470"/>
    <w:rsid w:val="00380338"/>
    <w:rsid w:val="003819BF"/>
    <w:rsid w:val="0038725C"/>
    <w:rsid w:val="00391381"/>
    <w:rsid w:val="00396ACD"/>
    <w:rsid w:val="003C0C4B"/>
    <w:rsid w:val="00437AA5"/>
    <w:rsid w:val="0044282B"/>
    <w:rsid w:val="004603A2"/>
    <w:rsid w:val="00492396"/>
    <w:rsid w:val="004B3865"/>
    <w:rsid w:val="004C38F7"/>
    <w:rsid w:val="004E19F9"/>
    <w:rsid w:val="00517205"/>
    <w:rsid w:val="0052704B"/>
    <w:rsid w:val="005279D9"/>
    <w:rsid w:val="00541CA9"/>
    <w:rsid w:val="00542487"/>
    <w:rsid w:val="00580629"/>
    <w:rsid w:val="00582810"/>
    <w:rsid w:val="00583FFA"/>
    <w:rsid w:val="00595540"/>
    <w:rsid w:val="005B5FA6"/>
    <w:rsid w:val="005D4D0F"/>
    <w:rsid w:val="005E1E85"/>
    <w:rsid w:val="005F222A"/>
    <w:rsid w:val="005F33FF"/>
    <w:rsid w:val="006654AB"/>
    <w:rsid w:val="006813A6"/>
    <w:rsid w:val="00686AFD"/>
    <w:rsid w:val="006A2A68"/>
    <w:rsid w:val="006F7EFE"/>
    <w:rsid w:val="00703C0B"/>
    <w:rsid w:val="00741809"/>
    <w:rsid w:val="0075467B"/>
    <w:rsid w:val="00793214"/>
    <w:rsid w:val="007D0861"/>
    <w:rsid w:val="007D1225"/>
    <w:rsid w:val="007E010B"/>
    <w:rsid w:val="00802FC2"/>
    <w:rsid w:val="0081293E"/>
    <w:rsid w:val="00836825"/>
    <w:rsid w:val="0084238A"/>
    <w:rsid w:val="00852DE8"/>
    <w:rsid w:val="008C58B7"/>
    <w:rsid w:val="008C62AF"/>
    <w:rsid w:val="008C63FE"/>
    <w:rsid w:val="008D0E5E"/>
    <w:rsid w:val="008D3341"/>
    <w:rsid w:val="008E2694"/>
    <w:rsid w:val="0092339C"/>
    <w:rsid w:val="00940731"/>
    <w:rsid w:val="009476D9"/>
    <w:rsid w:val="009702E0"/>
    <w:rsid w:val="009712C1"/>
    <w:rsid w:val="009719B6"/>
    <w:rsid w:val="009731D1"/>
    <w:rsid w:val="00985A34"/>
    <w:rsid w:val="009957C5"/>
    <w:rsid w:val="00995B7E"/>
    <w:rsid w:val="009A1A98"/>
    <w:rsid w:val="009E5F06"/>
    <w:rsid w:val="00A10BBD"/>
    <w:rsid w:val="00A2735C"/>
    <w:rsid w:val="00A565C7"/>
    <w:rsid w:val="00A61FE3"/>
    <w:rsid w:val="00A63976"/>
    <w:rsid w:val="00B0742B"/>
    <w:rsid w:val="00B247D1"/>
    <w:rsid w:val="00B50A87"/>
    <w:rsid w:val="00B74403"/>
    <w:rsid w:val="00B84713"/>
    <w:rsid w:val="00B851FA"/>
    <w:rsid w:val="00BB71D1"/>
    <w:rsid w:val="00BE38E4"/>
    <w:rsid w:val="00C3731F"/>
    <w:rsid w:val="00C402D1"/>
    <w:rsid w:val="00C62ABE"/>
    <w:rsid w:val="00C72F66"/>
    <w:rsid w:val="00C9371C"/>
    <w:rsid w:val="00CB4B4C"/>
    <w:rsid w:val="00CC305D"/>
    <w:rsid w:val="00CE02BF"/>
    <w:rsid w:val="00D15425"/>
    <w:rsid w:val="00D15677"/>
    <w:rsid w:val="00D37A87"/>
    <w:rsid w:val="00D455A5"/>
    <w:rsid w:val="00D60353"/>
    <w:rsid w:val="00D73411"/>
    <w:rsid w:val="00D917AD"/>
    <w:rsid w:val="00D93CBC"/>
    <w:rsid w:val="00DA38A7"/>
    <w:rsid w:val="00DB127D"/>
    <w:rsid w:val="00DB4B20"/>
    <w:rsid w:val="00E07235"/>
    <w:rsid w:val="00E247EB"/>
    <w:rsid w:val="00E33C9F"/>
    <w:rsid w:val="00E83C6F"/>
    <w:rsid w:val="00E9509D"/>
    <w:rsid w:val="00E979AB"/>
    <w:rsid w:val="00EC39BC"/>
    <w:rsid w:val="00EE140B"/>
    <w:rsid w:val="00F02755"/>
    <w:rsid w:val="00F35B17"/>
    <w:rsid w:val="00F41B40"/>
    <w:rsid w:val="00F718B8"/>
    <w:rsid w:val="00F733AF"/>
    <w:rsid w:val="00F767D0"/>
    <w:rsid w:val="00F83DBF"/>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et-EE"/>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793214"/>
    <w:rPr>
      <w:rFonts w:ascii="Times New Roman" w:hAnsi="Times New Roman" w:cs="Times New Roman"/>
      <w:sz w:val="24"/>
      <w:lang w:val="et-EE"/>
    </w:rPr>
  </w:style>
  <w:style w:type="character" w:customStyle="1" w:styleId="FooterChar">
    <w:name w:val="Footer Char"/>
    <w:basedOn w:val="DefaultParagraphFont"/>
    <w:link w:val="Footer"/>
    <w:uiPriority w:val="99"/>
    <w:rsid w:val="00793214"/>
    <w:rPr>
      <w:rFonts w:ascii="Times New Roman" w:hAnsi="Times New Roman" w:cs="Times New Roman"/>
      <w:sz w:val="24"/>
      <w:lang w:val="et-E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79321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793214"/>
    <w:pPr>
      <w:spacing w:before="0"/>
      <w:jc w:val="right"/>
    </w:pPr>
    <w:rPr>
      <w:sz w:val="28"/>
    </w:rPr>
  </w:style>
  <w:style w:type="paragraph" w:customStyle="1" w:styleId="FooterSensitivity">
    <w:name w:val="Footer Sensitivity"/>
    <w:basedOn w:val="Normal"/>
    <w:rsid w:val="0079321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793214"/>
    <w:pPr>
      <w:tabs>
        <w:tab w:val="center" w:pos="4535"/>
        <w:tab w:val="right" w:pos="9071"/>
      </w:tabs>
      <w:spacing w:before="0"/>
    </w:pPr>
  </w:style>
  <w:style w:type="paragraph" w:customStyle="1" w:styleId="HeaderLandscape">
    <w:name w:val="HeaderLandscape"/>
    <w:basedOn w:val="Normal"/>
    <w:rsid w:val="00793214"/>
    <w:pPr>
      <w:tabs>
        <w:tab w:val="center" w:pos="7285"/>
        <w:tab w:val="right" w:pos="14003"/>
      </w:tabs>
      <w:spacing w:before="0"/>
    </w:pPr>
  </w:style>
  <w:style w:type="paragraph" w:styleId="Footer">
    <w:name w:val="footer"/>
    <w:basedOn w:val="Normal"/>
    <w:link w:val="FooterChar"/>
    <w:uiPriority w:val="99"/>
    <w:unhideWhenUsed/>
    <w:rsid w:val="00793214"/>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793214"/>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4</Pages>
  <Words>866</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