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635368" w:rsidRDefault="001A311F" w:rsidP="001A311F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09FA6930-7AAF-40B8-8DE8-F03D50451F66" style="width:455.25pt;height:454.5pt">
            <v:imagedata r:id="rId7" o:title=""/>
          </v:shape>
        </w:pict>
      </w:r>
    </w:p>
    <w:p w:rsidR="001D506C" w:rsidRPr="00635368" w:rsidRDefault="001D506C">
      <w:pPr>
        <w:rPr>
          <w:noProof/>
        </w:rPr>
        <w:sectPr w:rsidR="001D506C" w:rsidRPr="00635368" w:rsidSect="001A31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635368" w:rsidRDefault="00635368" w:rsidP="00635368">
      <w:pPr>
        <w:pStyle w:val="Typedudocument"/>
        <w:rPr>
          <w:noProof/>
        </w:rPr>
      </w:pPr>
      <w:bookmarkStart w:id="0" w:name="_GoBack"/>
      <w:bookmarkEnd w:id="0"/>
      <w:r w:rsidRPr="00635368">
        <w:rPr>
          <w:noProof/>
        </w:rPr>
        <w:lastRenderedPageBreak/>
        <w:t>РЕГЛАМЕНТ ЗА ИЗПЪЛНЕНИЕ (ЕС) .../… НА КОМИСИЯТА</w:t>
      </w:r>
    </w:p>
    <w:p w:rsidR="001D506C" w:rsidRPr="00635368" w:rsidRDefault="00502776" w:rsidP="00635368">
      <w:pPr>
        <w:pStyle w:val="Datedadoption"/>
        <w:rPr>
          <w:noProof/>
        </w:rPr>
      </w:pPr>
      <w:r>
        <w:rPr>
          <w:noProof/>
        </w:rPr>
        <w:t>от 6.6.2024 година</w:t>
      </w:r>
    </w:p>
    <w:p w:rsidR="001D506C" w:rsidRPr="00635368" w:rsidRDefault="00635368" w:rsidP="00635368">
      <w:pPr>
        <w:pStyle w:val="Titreobjet"/>
        <w:rPr>
          <w:noProof/>
        </w:rPr>
      </w:pPr>
      <w:r w:rsidRPr="00635368">
        <w:rPr>
          <w:noProof/>
        </w:rPr>
        <w:t xml:space="preserve">за изменение на Регламент за изпълнение (ЕС) 2021/763 за определяне на техническите стандарти за изпълнение за прилагането на Регламент (ЕС) № 575/2013 на Европейския парламент и на Съвета и Директива 2014/59/ЕС на Европейския парламент и на Съвета по отношение на предоставянето на информация на надзорните органи и публичното оповестяване на минималното изискване за собствени средства и приемливи задължения </w:t>
      </w:r>
      <w:r w:rsidRPr="00635368">
        <w:rPr>
          <w:noProof/>
        </w:rPr>
        <w:br/>
      </w:r>
    </w:p>
    <w:p w:rsidR="001D506C" w:rsidRPr="00635368" w:rsidRDefault="00635368" w:rsidP="00635368">
      <w:pPr>
        <w:pStyle w:val="IntrtEEE"/>
        <w:rPr>
          <w:noProof/>
        </w:rPr>
      </w:pPr>
      <w:r w:rsidRPr="00635368">
        <w:rPr>
          <w:noProof/>
        </w:rPr>
        <w:t>(текст от значение за ЕИП)</w:t>
      </w:r>
    </w:p>
    <w:p w:rsidR="001D506C" w:rsidRPr="00635368" w:rsidRDefault="001D506C" w:rsidP="004E1EF9">
      <w:pPr>
        <w:pStyle w:val="Institutionquiagit"/>
        <w:rPr>
          <w:noProof/>
        </w:rPr>
      </w:pPr>
      <w:r w:rsidRPr="00635368">
        <w:rPr>
          <w:noProof/>
        </w:rPr>
        <w:t>ЕВРОПЕЙСКАТА КОМИСИЯ,</w:t>
      </w:r>
    </w:p>
    <w:p w:rsidR="001D506C" w:rsidRPr="00635368" w:rsidRDefault="001D506C" w:rsidP="004E1EF9">
      <w:pPr>
        <w:rPr>
          <w:noProof/>
        </w:rPr>
      </w:pPr>
      <w:r w:rsidRPr="00635368">
        <w:rPr>
          <w:noProof/>
        </w:rPr>
        <w:t>като взе предвид Договора за функционирането на Европейския съюз,</w:t>
      </w:r>
    </w:p>
    <w:p w:rsidR="000E6FD2" w:rsidRPr="00635368" w:rsidRDefault="000E6FD2" w:rsidP="000E6FD2">
      <w:pPr>
        <w:rPr>
          <w:noProof/>
        </w:rPr>
      </w:pPr>
      <w:r w:rsidRPr="00635368">
        <w:rPr>
          <w:noProof/>
        </w:rPr>
        <w:t>като взе предвид Регламент (ЕС) № 575/2013 на Европейския парламент и на Съвета от 26 юни 2013 г. относно пруденциалните изисквания за кредитните институции и за изменение на Регламент (ЕС) № 648/2012</w:t>
      </w:r>
      <w:r w:rsidRPr="00635368">
        <w:rPr>
          <w:rStyle w:val="FootnoteReference"/>
          <w:noProof/>
        </w:rPr>
        <w:footnoteReference w:id="1"/>
      </w:r>
      <w:r w:rsidRPr="00635368">
        <w:rPr>
          <w:noProof/>
        </w:rPr>
        <w:t>, и по-специално член 430, параграф 7, пета алинея и член 434а, пета алинея от него,</w:t>
      </w:r>
    </w:p>
    <w:p w:rsidR="000E6FD2" w:rsidRPr="00635368" w:rsidRDefault="000E6FD2" w:rsidP="000E6FD2">
      <w:pPr>
        <w:rPr>
          <w:noProof/>
        </w:rPr>
      </w:pPr>
      <w:r w:rsidRPr="00635368">
        <w:rPr>
          <w:noProof/>
        </w:rPr>
        <w:t>като взе предвид Директива 2014/59/ЕС на Европейския парламент и на Съвета от 15 май 2014 г. за създаване на рамка за възстановяване и преструктуриране на кредитни институции и инвестиционни посредници и за изменение на Директива 82/891/ЕИО на Съвета и директиви 2001/24/ЕО, 2002/47/ЕО, 2004/25/ЕО, 2005/56/ЕО, 2007/36/ЕО, 2011/35/ЕС, 2012/30/ЕС и 2013/36/ЕС и на регламенти (ЕС) № 1093/2010 и (ЕС) № 648/2012 на Европейския парламент и на Съвета</w:t>
      </w:r>
      <w:r w:rsidRPr="00635368">
        <w:rPr>
          <w:rStyle w:val="FootnoteReference"/>
          <w:noProof/>
        </w:rPr>
        <w:footnoteReference w:id="2"/>
      </w:r>
      <w:r w:rsidRPr="00635368">
        <w:rPr>
          <w:noProof/>
        </w:rPr>
        <w:t>, и по-специално член 45и, параграф 5, пета алинея и член 45и, параграф 6, пета алинея от нея,</w:t>
      </w:r>
    </w:p>
    <w:p w:rsidR="001D506C" w:rsidRPr="00635368" w:rsidRDefault="001D506C" w:rsidP="004E1EF9">
      <w:pPr>
        <w:rPr>
          <w:noProof/>
        </w:rPr>
      </w:pPr>
      <w:r w:rsidRPr="00635368">
        <w:rPr>
          <w:noProof/>
        </w:rPr>
        <w:t>като има предвид, че:</w:t>
      </w:r>
    </w:p>
    <w:p w:rsidR="00F83DBF" w:rsidRPr="00635368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635368">
        <w:rPr>
          <w:noProof/>
        </w:rPr>
        <w:t xml:space="preserve">С Регламент (ЕС) 2022/2036 на </w:t>
      </w:r>
      <w:bookmarkStart w:id="1" w:name="_Hlk159320995"/>
      <w:r w:rsidRPr="00635368">
        <w:rPr>
          <w:noProof/>
        </w:rPr>
        <w:t>Европейския парламент и на Съвета</w:t>
      </w:r>
      <w:r w:rsidRPr="00635368">
        <w:rPr>
          <w:rStyle w:val="FootnoteReference"/>
          <w:noProof/>
        </w:rPr>
        <w:footnoteReference w:id="3"/>
      </w:r>
      <w:bookmarkEnd w:id="1"/>
      <w:r w:rsidRPr="00635368">
        <w:rPr>
          <w:noProof/>
        </w:rPr>
        <w:t xml:space="preserve"> се въвежда в Регламент (ЕС) № 575/2013 изискването към междинните субекти в група за преструктуриране да приспадат от елементите на приемливите задължения позициите си в инструменти на собствените средства и инструменти на приемливите задължения, използвани за спазване на изискването по член 92б от Регламент (ЕС) № 575/2013 („изискване за вътрешен общ капацитет за поемане на загуби“ или „вътрешен ОКПЗ“) или изискването по член 45е от Директива 2014/59/ЕС</w:t>
      </w:r>
      <w:r w:rsidRPr="00635368">
        <w:rPr>
          <w:rStyle w:val="FootnoteReference"/>
          <w:noProof/>
        </w:rPr>
        <w:footnoteReference w:id="4"/>
      </w:r>
      <w:r w:rsidRPr="00635368">
        <w:rPr>
          <w:noProof/>
        </w:rPr>
        <w:t xml:space="preserve"> („вътрешно минимално изискване за собствени средства и </w:t>
      </w:r>
      <w:r w:rsidRPr="00635368">
        <w:rPr>
          <w:noProof/>
        </w:rPr>
        <w:lastRenderedPageBreak/>
        <w:t>приемливи задължения“ или „вътрешно МИПЗ“), когато тези инструменти на собствените средства и инструменти на приемливите задължения са емитирани от субекти, които не са субекти за преструктуриране и принадлежат към същата група за преструктуриране. Следователно се налага това изискване за приспадане да бъде отразено в образците за публично оповестяване на хармонизирана информация относно вътрешното МИПЗ и вътрешния ОКПЗ, установени в Регламент за изпълнение (ЕС) 2021/763 на Комисията</w:t>
      </w:r>
      <w:r w:rsidRPr="00635368">
        <w:rPr>
          <w:rStyle w:val="FootnoteReference"/>
          <w:bCs/>
          <w:noProof/>
        </w:rPr>
        <w:footnoteReference w:id="5"/>
      </w:r>
      <w:r w:rsidRPr="00635368">
        <w:rPr>
          <w:noProof/>
        </w:rPr>
        <w:t>. Това изискване за приспадане следва също така да бъде отразено в хармонизираната информация, предоставяна на компетентните органи и на органите за преструктуриране.</w:t>
      </w:r>
    </w:p>
    <w:p w:rsidR="00686AFD" w:rsidRPr="00635368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635368">
        <w:rPr>
          <w:noProof/>
        </w:rPr>
        <w:t>С Директива (ЕС) 2024/1174 на Европейския парламент и на Съвета за изменение на Директива 2014/59/ЕС и Регламент (ЕС) № 806/2014 по отношение на някои аспекти на минималното изискване за собствен капитал и приемливи задължения</w:t>
      </w:r>
      <w:r w:rsidRPr="00635368">
        <w:rPr>
          <w:rStyle w:val="FootnoteReference"/>
          <w:noProof/>
        </w:rPr>
        <w:footnoteReference w:id="6"/>
      </w:r>
      <w:r w:rsidRPr="00635368">
        <w:rPr>
          <w:noProof/>
        </w:rPr>
        <w:t xml:space="preserve"> допълнително бе изменено предвиденото в Регламент (ЕС) № 575/2013 изискване за приспадане, като в Директива 2014/59/ЕС и Регламент (ЕС) № 806/2014 се уточнява, че междинните субекти в група за преструктуриране могат единствено да приспадат позициите си в инструменти на собствените средства, емитирани от ликвидационни субекти, които принадлежат към същата група за преструктуриране и самите не са субекти за преструктуриране, при спазване на определени условия, свързани със съществеността на тези позиции. Тези изменения следва да бъдат отразени и в хармонизираната информация, която се предоставя в образците за публично оповестяване и докладване на компетентните органи и органите за преструктуриране.</w:t>
      </w:r>
    </w:p>
    <w:p w:rsidR="00F83DBF" w:rsidRPr="00635368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635368">
        <w:rPr>
          <w:noProof/>
        </w:rPr>
        <w:t>Субектите, за които се прилагат изискванията, предвидени в член 92а или член 92б от Регламент (ЕС) № 575/2013 („изискването за ОКПЗ“), или изискването, предвидено в член 45 от Директива 2014/59/ЕС („МИПЗ“), могат с предварителното разрешение на съответния им орган за преструктуриране да закупят, изкупят, изплатят или изкупят обратно инструменти на приемливите задължения в съответствие с член 78а от Регламент (ЕС) № 575/2013. Сумите по такова разрешение намаляват капацитета на субектите да изпълняват МИПЗ или изискването за ОКПЗ. Поради това е необходимо да се уточни как следва да бъде отразено въздействието на такова разрешение при публичното оповестяване и докладването пред компетентните органи и органите за преструктуриране.</w:t>
      </w:r>
    </w:p>
    <w:p w:rsidR="00F83DBF" w:rsidRPr="00635368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635368">
        <w:rPr>
          <w:noProof/>
        </w:rPr>
        <w:t>Поради това Регламент за изпълнение (ЕС) 2021/763 следва да бъде съответно изменен.</w:t>
      </w:r>
    </w:p>
    <w:p w:rsidR="00F83DBF" w:rsidRPr="00635368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635368">
        <w:rPr>
          <w:noProof/>
        </w:rPr>
        <w:t xml:space="preserve">Настоящият регламент е изготвен въз основа на проектите на технически стандарти за изпълнение, представени на Комисията от Европейския банков орган. </w:t>
      </w:r>
    </w:p>
    <w:p w:rsidR="00F83DBF" w:rsidRPr="00635368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635368">
        <w:rPr>
          <w:noProof/>
        </w:rPr>
        <w:t>Европейският банков орган проведе открити обществени консултации по проектите на техническите стандарти за изпълнение, въз основа на които е изготвен настоящият регламент, анализира потенциалните разходи и ползи и поиска становище от Групата на участниците от банковия сектор, създадена с член 37 от Регламент (ЕС) № 1093/2010 на Европейския парламент и на Съвета</w:t>
      </w:r>
      <w:r w:rsidRPr="00635368">
        <w:rPr>
          <w:rStyle w:val="FootnoteReference"/>
          <w:noProof/>
        </w:rPr>
        <w:footnoteReference w:id="7"/>
      </w:r>
      <w:r w:rsidRPr="00635368">
        <w:rPr>
          <w:noProof/>
        </w:rPr>
        <w:t>.</w:t>
      </w:r>
    </w:p>
    <w:p w:rsidR="00DB127D" w:rsidRPr="00635368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635368">
        <w:rPr>
          <w:noProof/>
        </w:rPr>
        <w:t xml:space="preserve">За да се осигури достатъчно време на субектите, които трябва да предоставят или оповестяват информация в съответствие с Регламент (ЕС) № 575/2013 или Директива 2014/59/ЕС, за приспособяване </w:t>
      </w:r>
      <w:bookmarkStart w:id="2" w:name="_Hlk160034996"/>
      <w:r w:rsidRPr="00635368">
        <w:rPr>
          <w:noProof/>
        </w:rPr>
        <w:t>към промените в образците и хармонизираната информация, промените следва</w:t>
      </w:r>
      <w:bookmarkEnd w:id="2"/>
      <w:r w:rsidRPr="00635368">
        <w:rPr>
          <w:noProof/>
        </w:rPr>
        <w:t xml:space="preserve"> да започнат да се прилагат шест месеца след датата на влизането им в сила,</w:t>
      </w:r>
    </w:p>
    <w:p w:rsidR="001D506C" w:rsidRPr="00635368" w:rsidRDefault="001D506C" w:rsidP="004E1EF9">
      <w:pPr>
        <w:pStyle w:val="Formuledadoption"/>
        <w:rPr>
          <w:noProof/>
        </w:rPr>
      </w:pPr>
      <w:r w:rsidRPr="00635368">
        <w:rPr>
          <w:noProof/>
        </w:rPr>
        <w:t>ПРИЕ НАСТОЯЩИЯ РЕГЛАМЕНТ:</w:t>
      </w:r>
    </w:p>
    <w:p w:rsidR="001D506C" w:rsidRPr="00635368" w:rsidRDefault="001D506C" w:rsidP="004E1EF9">
      <w:pPr>
        <w:pStyle w:val="Titrearticle"/>
        <w:rPr>
          <w:noProof/>
        </w:rPr>
      </w:pPr>
      <w:r w:rsidRPr="00635368">
        <w:rPr>
          <w:noProof/>
        </w:rPr>
        <w:t>Член 1</w:t>
      </w:r>
    </w:p>
    <w:p w:rsidR="008D3341" w:rsidRPr="00635368" w:rsidRDefault="008D3341" w:rsidP="00220108">
      <w:pPr>
        <w:pStyle w:val="Titrearticle"/>
        <w:rPr>
          <w:noProof/>
        </w:rPr>
      </w:pPr>
      <w:r w:rsidRPr="00635368">
        <w:rPr>
          <w:noProof/>
        </w:rPr>
        <w:t>Изменения на Регламент за изпълнение (ЕС) 2021/763</w:t>
      </w:r>
    </w:p>
    <w:p w:rsidR="00F83DBF" w:rsidRPr="00635368" w:rsidRDefault="00F83DBF" w:rsidP="00F83DBF">
      <w:pPr>
        <w:rPr>
          <w:noProof/>
        </w:rPr>
      </w:pPr>
      <w:r w:rsidRPr="00635368">
        <w:rPr>
          <w:noProof/>
        </w:rPr>
        <w:t>Регламент за изпълнение (ЕС) 2021/763 се изменя, както следва:</w:t>
      </w:r>
    </w:p>
    <w:p w:rsidR="00F83DBF" w:rsidRPr="00635368" w:rsidRDefault="004603A2" w:rsidP="000B009E">
      <w:pPr>
        <w:pStyle w:val="Point0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635368">
        <w:rPr>
          <w:noProof/>
        </w:rPr>
        <w:t>Образци M 02.00 и M 03.00 от приложение I се заменят с образци M 02.00 и M 03.00 от приложение I към настоящия регламент.</w:t>
      </w:r>
    </w:p>
    <w:p w:rsidR="00F83DBF" w:rsidRPr="00635368" w:rsidRDefault="00F83DBF" w:rsidP="00220108">
      <w:pPr>
        <w:pStyle w:val="Point0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635368">
        <w:rPr>
          <w:noProof/>
        </w:rPr>
        <w:t>Приложение II се заменя с текста в приложение II към настоящия регламент.</w:t>
      </w:r>
    </w:p>
    <w:p w:rsidR="00F83DBF" w:rsidRPr="00635368" w:rsidRDefault="004603A2" w:rsidP="00220108">
      <w:pPr>
        <w:pStyle w:val="Point0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635368">
        <w:rPr>
          <w:noProof/>
        </w:rPr>
        <w:t>Образци EU TLAC1 и EU ILAC в приложение V се заменят с образци EU TLAC1 и EU ILAC в приложение III към настоящия регламент.</w:t>
      </w:r>
    </w:p>
    <w:p w:rsidR="00F83DBF" w:rsidRPr="00635368" w:rsidRDefault="00F83DBF" w:rsidP="00220108">
      <w:pPr>
        <w:pStyle w:val="Point0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635368">
        <w:rPr>
          <w:noProof/>
        </w:rPr>
        <w:t>Приложение VI се заменя с текста в приложение IV към настоящия регламент.</w:t>
      </w:r>
    </w:p>
    <w:p w:rsidR="00F83DBF" w:rsidRPr="00635368" w:rsidRDefault="00F83DBF" w:rsidP="00F83DBF">
      <w:pPr>
        <w:pStyle w:val="Titrearticle"/>
        <w:rPr>
          <w:noProof/>
        </w:rPr>
      </w:pPr>
      <w:r w:rsidRPr="00635368">
        <w:rPr>
          <w:noProof/>
        </w:rPr>
        <w:t>Член 2</w:t>
      </w:r>
    </w:p>
    <w:p w:rsidR="00CC305D" w:rsidRPr="00635368" w:rsidRDefault="00CC305D" w:rsidP="00583FFA">
      <w:pPr>
        <w:jc w:val="center"/>
        <w:rPr>
          <w:b/>
          <w:bCs/>
          <w:noProof/>
          <w:color w:val="000000"/>
        </w:rPr>
      </w:pPr>
      <w:r w:rsidRPr="00635368">
        <w:rPr>
          <w:b/>
          <w:noProof/>
          <w:color w:val="000000"/>
        </w:rPr>
        <w:t>Влизане в сила и прилагане</w:t>
      </w:r>
    </w:p>
    <w:p w:rsidR="00F83DBF" w:rsidRPr="00635368" w:rsidRDefault="00F83DBF" w:rsidP="00F83DBF">
      <w:pPr>
        <w:rPr>
          <w:noProof/>
          <w:color w:val="000000"/>
        </w:rPr>
      </w:pPr>
      <w:r w:rsidRPr="00635368">
        <w:rPr>
          <w:noProof/>
          <w:color w:val="000000"/>
        </w:rPr>
        <w:t xml:space="preserve">Настоящият регламент влиза в сила на двадесетия ден след деня на публикуването му в </w:t>
      </w:r>
      <w:r w:rsidRPr="00635368">
        <w:rPr>
          <w:i/>
          <w:noProof/>
          <w:color w:val="000000"/>
        </w:rPr>
        <w:t>Официален вестник на Европейския съюз</w:t>
      </w:r>
      <w:r w:rsidRPr="00635368">
        <w:rPr>
          <w:noProof/>
          <w:color w:val="000000"/>
        </w:rPr>
        <w:t>.</w:t>
      </w:r>
    </w:p>
    <w:p w:rsidR="00F83DBF" w:rsidRPr="00635368" w:rsidRDefault="00F83DBF" w:rsidP="00F83DBF">
      <w:pPr>
        <w:rPr>
          <w:noProof/>
          <w:color w:val="000000"/>
        </w:rPr>
      </w:pPr>
      <w:r w:rsidRPr="00635368">
        <w:rPr>
          <w:noProof/>
          <w:color w:val="000000"/>
        </w:rPr>
        <w:t>Той се прилага от [</w:t>
      </w:r>
      <w:r w:rsidRPr="00635368">
        <w:rPr>
          <w:i/>
          <w:noProof/>
          <w:color w:val="000000"/>
        </w:rPr>
        <w:t>ОВ: моля, въведете датата = шест месеца след датата на влизане в сила на настоящия регламент за изменение</w:t>
      </w:r>
      <w:r w:rsidRPr="00635368">
        <w:rPr>
          <w:noProof/>
          <w:color w:val="000000"/>
        </w:rPr>
        <w:t xml:space="preserve">]. </w:t>
      </w:r>
    </w:p>
    <w:p w:rsidR="001D506C" w:rsidRPr="00635368" w:rsidRDefault="001D506C" w:rsidP="004E1EF9">
      <w:pPr>
        <w:pStyle w:val="Applicationdirecte"/>
        <w:keepNext/>
        <w:keepLines/>
        <w:rPr>
          <w:noProof/>
        </w:rPr>
      </w:pPr>
      <w:r w:rsidRPr="00635368">
        <w:rPr>
          <w:noProof/>
        </w:rPr>
        <w:t>Настоящият регламент е задължителен в своята цялост и се прилага пряко във всички държави членки.</w:t>
      </w:r>
    </w:p>
    <w:p w:rsidR="001D506C" w:rsidRPr="00635368" w:rsidRDefault="00502776" w:rsidP="00C746FF">
      <w:pPr>
        <w:pStyle w:val="Fait"/>
        <w:rPr>
          <w:noProof/>
        </w:rPr>
      </w:pPr>
      <w:r>
        <w:rPr>
          <w:noProof/>
        </w:rPr>
        <w:t>Съставено в Брюксел на 6.6.2024 година.</w:t>
      </w:r>
    </w:p>
    <w:p w:rsidR="001D506C" w:rsidRPr="00635368" w:rsidRDefault="001D506C" w:rsidP="00C746FF">
      <w:pPr>
        <w:pStyle w:val="Institutionquisigne"/>
        <w:rPr>
          <w:noProof/>
        </w:rPr>
      </w:pPr>
      <w:r w:rsidRPr="00635368">
        <w:rPr>
          <w:noProof/>
        </w:rPr>
        <w:tab/>
        <w:t>За Комисията</w:t>
      </w:r>
    </w:p>
    <w:p w:rsidR="00F718B8" w:rsidRPr="00635368" w:rsidRDefault="007720C1" w:rsidP="00C746FF">
      <w:pPr>
        <w:pStyle w:val="Personnequisigne"/>
        <w:keepNext/>
        <w:rPr>
          <w:noProof/>
        </w:rPr>
      </w:pPr>
      <w:r>
        <w:rPr>
          <w:noProof/>
        </w:rPr>
        <w:tab/>
        <w:t>Председател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635368" w:rsidRDefault="00C402D1" w:rsidP="00C402D1">
      <w:pPr>
        <w:pStyle w:val="Personnequisigne"/>
        <w:rPr>
          <w:noProof/>
        </w:rPr>
      </w:pPr>
    </w:p>
    <w:sectPr w:rsidR="00C402D1" w:rsidRPr="00635368" w:rsidSect="001A311F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E8" w:rsidRDefault="00852DE8" w:rsidP="001D506C">
      <w:pPr>
        <w:spacing w:before="0" w:after="0"/>
      </w:pPr>
      <w:r>
        <w:separator/>
      </w:r>
    </w:p>
  </w:endnote>
  <w:endnote w:type="continuationSeparator" w:id="0">
    <w:p w:rsidR="00852DE8" w:rsidRDefault="00852DE8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Pr="001A311F" w:rsidRDefault="001A311F" w:rsidP="001A311F">
    <w:pPr>
      <w:pStyle w:val="Footer"/>
      <w:rPr>
        <w:rFonts w:ascii="Arial" w:hAnsi="Arial" w:cs="Arial"/>
        <w:b/>
        <w:sz w:val="48"/>
      </w:rPr>
    </w:pPr>
    <w:r w:rsidRPr="001A311F">
      <w:rPr>
        <w:rFonts w:ascii="Arial" w:hAnsi="Arial" w:cs="Arial"/>
        <w:b/>
        <w:sz w:val="48"/>
      </w:rPr>
      <w:t>BG</w:t>
    </w:r>
    <w:r w:rsidRPr="001A311F">
      <w:rPr>
        <w:rFonts w:ascii="Arial" w:hAnsi="Arial" w:cs="Arial"/>
        <w:b/>
        <w:sz w:val="48"/>
      </w:rPr>
      <w:tab/>
    </w:r>
    <w:r w:rsidRPr="001A311F">
      <w:rPr>
        <w:rFonts w:ascii="Arial" w:hAnsi="Arial" w:cs="Arial"/>
        <w:b/>
        <w:sz w:val="48"/>
      </w:rPr>
      <w:tab/>
    </w:r>
    <w:r w:rsidRPr="001A311F">
      <w:tab/>
    </w:r>
    <w:r w:rsidRPr="001A311F">
      <w:rPr>
        <w:rFonts w:ascii="Arial" w:hAnsi="Arial" w:cs="Arial"/>
        <w:b/>
        <w:sz w:val="48"/>
      </w:rPr>
      <w:t>BG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Pr="001A311F" w:rsidRDefault="001A311F" w:rsidP="001A311F">
    <w:pPr>
      <w:pStyle w:val="Footer"/>
      <w:rPr>
        <w:rFonts w:ascii="Arial" w:hAnsi="Arial" w:cs="Arial"/>
        <w:b/>
        <w:sz w:val="48"/>
      </w:rPr>
    </w:pPr>
    <w:r w:rsidRPr="001A311F">
      <w:rPr>
        <w:rFonts w:ascii="Arial" w:hAnsi="Arial" w:cs="Arial"/>
        <w:b/>
        <w:sz w:val="48"/>
      </w:rPr>
      <w:t>BG</w:t>
    </w:r>
    <w:r w:rsidRPr="001A311F">
      <w:rPr>
        <w:rFonts w:ascii="Arial" w:hAnsi="Arial" w:cs="Arial"/>
        <w:b/>
        <w:sz w:val="48"/>
      </w:rPr>
      <w:tab/>
    </w:r>
    <w:r w:rsidRPr="001A311F">
      <w:rPr>
        <w:rFonts w:ascii="Arial" w:hAnsi="Arial" w:cs="Arial"/>
        <w:b/>
        <w:sz w:val="48"/>
      </w:rPr>
      <w:tab/>
    </w:r>
    <w:r w:rsidRPr="001A311F">
      <w:tab/>
    </w:r>
    <w:r w:rsidRPr="001A311F">
      <w:rPr>
        <w:rFonts w:ascii="Arial" w:hAnsi="Arial" w:cs="Arial"/>
        <w:b/>
        <w:sz w:val="48"/>
      </w:rPr>
      <w:t>BG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Pr="001A311F" w:rsidRDefault="001A311F" w:rsidP="001A311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Default="001A311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Pr="001A311F" w:rsidRDefault="001A311F" w:rsidP="001A311F">
    <w:pPr>
      <w:pStyle w:val="Footer"/>
      <w:rPr>
        <w:rFonts w:ascii="Arial" w:hAnsi="Arial" w:cs="Arial"/>
        <w:b/>
        <w:sz w:val="48"/>
      </w:rPr>
    </w:pPr>
    <w:r w:rsidRPr="001A311F">
      <w:rPr>
        <w:rFonts w:ascii="Arial" w:hAnsi="Arial" w:cs="Arial"/>
        <w:b/>
        <w:sz w:val="48"/>
      </w:rPr>
      <w:t>BG</w:t>
    </w:r>
    <w:r w:rsidRPr="001A311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C746FF">
      <w:rPr>
        <w:noProof/>
      </w:rPr>
      <w:t>4</w:t>
    </w:r>
    <w:r>
      <w:fldChar w:fldCharType="end"/>
    </w:r>
    <w:r>
      <w:tab/>
    </w:r>
    <w:r w:rsidRPr="001A311F">
      <w:tab/>
    </w:r>
    <w:r w:rsidRPr="001A311F">
      <w:rPr>
        <w:rFonts w:ascii="Arial" w:hAnsi="Arial" w:cs="Arial"/>
        <w:b/>
        <w:sz w:val="48"/>
      </w:rPr>
      <w:t>BG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Default="001A311F" w:rsidP="001A31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E8" w:rsidRDefault="00852DE8" w:rsidP="001D506C">
      <w:pPr>
        <w:spacing w:before="0" w:after="0"/>
      </w:pPr>
      <w:r>
        <w:separator/>
      </w:r>
    </w:p>
  </w:footnote>
  <w:footnote w:type="continuationSeparator" w:id="0">
    <w:p w:rsidR="00852DE8" w:rsidRDefault="00852DE8" w:rsidP="001D506C">
      <w:pPr>
        <w:spacing w:before="0" w:after="0"/>
      </w:pPr>
      <w:r>
        <w:continuationSeparator/>
      </w:r>
    </w:p>
  </w:footnote>
  <w:footnote w:id="1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ОВ L 176, 27.6.2013 г., стр. 1., ELI: http://data.europa.eu/eli/reg/2013/575/oj. </w:t>
      </w:r>
    </w:p>
  </w:footnote>
  <w:footnote w:id="2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ОВ L 173, 12.6.2014 г., стр. 190., ELI: http://data.europa.eu/eli/dir/2014/59/oj. </w:t>
      </w:r>
    </w:p>
  </w:footnote>
  <w:footnote w:id="3">
    <w:p w:rsidR="00F83DBF" w:rsidRPr="001734AB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Регламент (ЕС) 2022/2036 на Европейския парламент и на Съвета от 19 октомври 2022 г. за изменение на Регламент (ЕС) № 575/2013 и Директива 2014/59/ЕС по отношение на пруденциалното третиране на глобални системно значими институции, които са обект на стратегия за преструктуриране с множество входни точки, и методи за непряко записване на инструменти, приемливи за покриване на минималното изискване за собствен капитал и приемливи задължения (ОВ L 275, 25.10.2022 г., стр. 1, ELI:  http://data.europa.eu/eli/reg/2022/2036/oj)</w:t>
      </w:r>
    </w:p>
  </w:footnote>
  <w:footnote w:id="4">
    <w:p w:rsidR="00F83DBF" w:rsidRPr="002B6E0A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Директива 2014/59/ЕС на Европейския парламент и на Съвета от 15 май 2014 г. за създаване на рамка за възстановяване и преструктуриране на кредитни институции и инвестиционни посредници и за изменение на Директива 82/891/ЕИО на Съвета и директиви 2001/24/ЕО, 2002/47/ЕО, 2004/25/ЕО, 2005/56/ЕО, 2007/36/ЕО, 2011/35/ЕС, 2012/30/ЕС и 2013/36/ЕС и на регламенти (ЕС) № 1093/2010 и (ЕС) № 648/2012 на Европейския парламент и на Съвета (ОВ L 173, 12.6.2014 г., стр. 190—348).</w:t>
      </w:r>
    </w:p>
  </w:footnote>
  <w:footnote w:id="5">
    <w:p w:rsidR="00F83DBF" w:rsidRPr="00BA3525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Регламент за изпълнение (ЕС) 2021/763 на Комисията от 23 април 2021 г. за определяне на техническите стандарти за изпълнение за прилагането на Регламент (ЕС) № 575/2013 на Европейския парламент и на Съвета и Директива 2014/59/ЕС на Европейския парламент и на Съвета по отношение на предоставянето на информация на надзорните органи и публичното оповестяване на минималното изискване за собствени средства и приемливи задължения (ОВ L 168, 12.5.2021 г., стр. 1).</w:t>
      </w:r>
    </w:p>
  </w:footnote>
  <w:footnote w:id="6">
    <w:p w:rsidR="00686AFD" w:rsidRPr="00686AFD" w:rsidRDefault="00686AFD" w:rsidP="00686AFD">
      <w:pPr>
        <w:pStyle w:val="FootnoteText"/>
      </w:pPr>
      <w:r>
        <w:rPr>
          <w:rStyle w:val="FootnoteReference"/>
        </w:rPr>
        <w:footnoteRef/>
      </w:r>
      <w:r>
        <w:tab/>
        <w:t>Директива (ЕС) 2024/1174 на Европейския парламент и на Съвета от 11 април 2024 година за изменение на Директива 2014/59/ЕС и Регламент (ЕС) № 806/2014 по отношение на някои аспекти на минималното изискване за собствен капитал и приемливи задължения (ОВ L, 2024/1174, 22.4.2024 г.).</w:t>
      </w:r>
    </w:p>
  </w:footnote>
  <w:footnote w:id="7">
    <w:p w:rsidR="00F83DBF" w:rsidRPr="00B64E68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Регламент (ЕС) № 1093/2010 на Европейския парламент и на Съвета от 24 ноември 2010 г. за създаване на Европейски надзорен орган (Европейски банков орган), за изменение на Решение № 716/2009/ЕО и за отмяна на Решение 2009/78/ЕО на Комисията (OВ L 331, 15.12.2010 г., стр.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Pr="001A311F" w:rsidRDefault="001A311F" w:rsidP="001A31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Pr="001A311F" w:rsidRDefault="001A311F" w:rsidP="001A31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Pr="001A311F" w:rsidRDefault="001A311F" w:rsidP="001A311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Default="001A311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11F" w:rsidRDefault="001A31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  <w:num w:numId="19">
    <w:abstractNumId w:val="20"/>
  </w:num>
  <w:num w:numId="20">
    <w:abstractNumId w:val="8"/>
  </w:num>
  <w:num w:numId="21">
    <w:abstractNumId w:val="15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5:2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09FA6930-7AAF-40B8-8DE8-F03D50451F66"/>
    <w:docVar w:name="LW_COVERPAGE_TYPE" w:val="1"/>
    <w:docVar w:name="LW_CROSSREFERENCE" w:val="&lt;UNUSED&gt;"/>
    <w:docVar w:name="LW_DATE.ADOPT.CP" w:val="\u1086?\u1090? 6.6.2024 \u1075?\u1086?\u1076?\u1080?\u1085?\u1072?"/>
    <w:docVar w:name="LW_DATE.ADOPT.CP_DATEFORMAT" w:val="\u1086?\u1090? %DATE% \u1075?\u1086?\u1076?\u1080?\u1085?\u1072?"/>
    <w:docVar w:name="LW_DATE.ADOPT.CP_ISODATE" w:val="2024-06-06"/>
    <w:docVar w:name="LW_DocType" w:val="COM"/>
    <w:docVar w:name="LW_EMISSION" w:val="6.6.2024"/>
    <w:docVar w:name="LW_EMISSION_ISODATE" w:val="2024-06-06"/>
    <w:docVar w:name="LW_EMISSION_LOCATION" w:val="BRX"/>
    <w:docVar w:name="LW_EMISSION_PREFIX" w:val="\u1041?\u1088?\u1102?\u1082?\u1089?\u1077?\u1083?, "/>
    <w:docVar w:name="LW_EMISSION_SUFFIX" w:val=" \u1075?."/>
    <w:docVar w:name="LW_ID_DOCMODEL" w:val="SJ-004"/>
    <w:docVar w:name="LW_ID_DOCSIGNATURE" w:val="SJ-004"/>
    <w:docVar w:name="LW_ID_DOCSTRUCTURE" w:val="COM/AA"/>
    <w:docVar w:name="LW_ID_DOCTYPE" w:val="SJ-004"/>
    <w:docVar w:name="LW_INTERETEEE.CP" w:val="(\u1090?\u1077?\u1082?\u1089?\u1090? \u1086?\u1090? \u1079?\u1085?\u1072?\u1095?\u1077?\u1085?\u1080?\u1077? \u1079?\u1072? \u1045?\u1048?\u1055?)"/>
    <w:docVar w:name="LW_LANGUE" w:val="BG"/>
    <w:docVar w:name="LW_LANGUESFAISANTFOI.CP" w:val="&lt;UNUSED&gt;"/>
    <w:docVar w:name="LW_LEVEL_OF_SENSITIVITY" w:val="Standard treatment"/>
    <w:docVar w:name="LW_NOM.INST" w:val="\u1045?\u1042?\u1056?\u1054?\u1055?\u1045?\u1049?\u1057?\u1050?\u1040? \u1050?\u1054?\u1052?\u1048?\u1057?\u1048?\u1071?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\u1079?\u1072? \u1080?\u1079?\u1084?\u1077?\u1085?\u1077?\u1085?\u1080?\u1077? \u1085?\u1072? \u1056?\u1077?\u1075?\u1083?\u1072?\u1084?\u1077?\u1085?\u1090? \u1079?\u1072? \u1080?\u1079?\u1087?\u1098?\u1083?\u1085?\u1077?\u1085?\u1080?\u1077? (\u1045?\u1057?) 2021/763 \u1079?\u1072? \u1086?\u1087?\u1088?\u1077?\u1076?\u1077?\u1083?\u1103?\u1085?\u1077? \u1085?\u1072? \u1090?\u1077?\u1093?\u1085?\u1080?\u1095?\u1077?\u1089?\u1082?\u1080?\u1090?\u1077? \u1089?\u1090?\u1072?\u1085?\u1076?\u1072?\u1088?\u1090?\u1080? \u1079?\u1072? \u1080?\u1079?\u1087?\u1098?\u1083?\u1085?\u1077?\u1085?\u1080?\u1077? \u1079?\u1072? \u1087?\u1088?\u1080?\u1083?\u1072?\u1075?\u1072?\u1085?\u1077?\u1090?\u1086? \u1085?\u1072? \u1056?\u1077?\u1075?\u1083?\u1072?\u1084?\u1077?\u1085?\u1090? (\u1045?\u1057?) \u8470? 575/2013 \u1085?\u1072? \u1045?\u1074?\u1088?\u1086?\u1087?\u1077?\u1081?\u1089?\u1082?\u1080?\u1103? \u1087?\u1072?\u1088?\u1083?\u1072?\u1084?\u1077?\u1085?\u1090? \u1080? \u1085?\u1072? \u1057?\u1098?\u1074?\u1077?\u1090?\u1072? \u1080? \u1044?\u1080?\u1088?\u1077?\u1082?\u1090?\u1080?\u1074?\u1072? 2014/59/\u1045?\u1057? \u1085?\u1072? \u1045?\u1074?\u1088?\u1086?\u1087?\u1077?\u1081?\u1089?\u1082?\u1080?\u1103? \u1087?\u1072?\u1088?\u1083?\u1072?\u1084?\u1077?\u1085?\u1090? \u1080? \u1085?\u1072? \u1057?\u1098?\u1074?\u1077?\u1090?\u1072? \u1087?\u1086? \u1086?\u1090?\u1085?\u1086?\u1096?\u1077?\u1085?\u1080?\u1077? \u1085?\u1072? \u1087?\u1088?\u1077?\u1076?\u1086?\u1089?\u1090?\u1072?\u1074?\u1103?\u1085?\u1077?\u1090?\u1086? \u1085?\u1072? \u1080?\u1085?\u1092?\u1086?\u1088?\u1084?\u1072?\u1094?\u1080?\u1103? \u1085?\u1072? \u1085?\u1072?\u1076?\u1079?\u1086?\u1088?\u1085?\u1080?\u1090?\u1077? \u1086?\u1088?\u1075?\u1072?\u1085?\u1080? \u1080? \u1087?\u1091?\u1073?\u1083?\u1080?\u1095?\u1085?\u1086?\u1090?\u1086? \u1086?\u1087?\u1086?\u1074?\u1077?\u1089?\u1090?\u1103?\u1074?\u1072?\u1085?\u1077? \u1085?\u1072? \u1084?\u1080?\u1085?\u1080?\u1084?\u1072?\u1083?\u1085?\u1086?\u1090?\u1086? \u1080?\u1079?\u1080?\u1089?\u1082?\u1074?\u1072?\u1085?\u1077? \u1079?\u1072? \u1089?\u1086?\u1073?\u1089?\u1090?\u1074?\u1077?\u1085?\u1080? \u1089?\u1088?\u1077?\u1076?\u1089?\u1090?\u1074?\u1072? \u1080? \u1087?\u1088?\u1080?\u1077?\u1084?\u1083?\u1080?\u1074?\u1080? \u1079?\u1072?\u1076?\u1098?\u1083?\u1078?\u1077?\u1085?\u1080?\u1103? _x000b_"/>
    <w:docVar w:name="LW_TYPE.DOC.CP" w:val="\u1056?\u1045?\u1043?\u1051?\u1040?\u1052?\u1045?\u1053?\u1058? \u1047?\u1040? \u1048?\u1047?\u1055?\u1066?\u1051?\u1053?\u1045?\u1053?\u1048?\u1045? (\u1045?\u1057?) .../\u8230? \u1053?\u1040? \u1050?\u1054?\u1052?\u1048?\u1057?\u1048?\u1071?\u1058?\u1040?"/>
    <w:docVar w:name="LwApiVersions" w:val="LW4CoDe 1.24.5.0; LW 9.0, Build 20240221"/>
  </w:docVars>
  <w:rsids>
    <w:rsidRoot w:val="001D506C"/>
    <w:rsid w:val="00012184"/>
    <w:rsid w:val="00093B4B"/>
    <w:rsid w:val="000955EB"/>
    <w:rsid w:val="000B009E"/>
    <w:rsid w:val="000B7A7D"/>
    <w:rsid w:val="000E6B56"/>
    <w:rsid w:val="000E6FD2"/>
    <w:rsid w:val="0013442E"/>
    <w:rsid w:val="00152894"/>
    <w:rsid w:val="00155E40"/>
    <w:rsid w:val="00185DB3"/>
    <w:rsid w:val="001A311F"/>
    <w:rsid w:val="001B397F"/>
    <w:rsid w:val="001B6C2F"/>
    <w:rsid w:val="001D506C"/>
    <w:rsid w:val="00220108"/>
    <w:rsid w:val="0022339B"/>
    <w:rsid w:val="00292AC6"/>
    <w:rsid w:val="002B65CA"/>
    <w:rsid w:val="002C09C1"/>
    <w:rsid w:val="002F0DF7"/>
    <w:rsid w:val="002F1E29"/>
    <w:rsid w:val="00302BB5"/>
    <w:rsid w:val="0031489C"/>
    <w:rsid w:val="00314C67"/>
    <w:rsid w:val="00363DC5"/>
    <w:rsid w:val="00370470"/>
    <w:rsid w:val="00380338"/>
    <w:rsid w:val="003819BF"/>
    <w:rsid w:val="0038725C"/>
    <w:rsid w:val="00391381"/>
    <w:rsid w:val="00396ACD"/>
    <w:rsid w:val="003C0C4B"/>
    <w:rsid w:val="00437AA5"/>
    <w:rsid w:val="0044282B"/>
    <w:rsid w:val="004603A2"/>
    <w:rsid w:val="00492396"/>
    <w:rsid w:val="004B3865"/>
    <w:rsid w:val="004C38F7"/>
    <w:rsid w:val="004E19F9"/>
    <w:rsid w:val="00502776"/>
    <w:rsid w:val="00517205"/>
    <w:rsid w:val="0052704B"/>
    <w:rsid w:val="005279D9"/>
    <w:rsid w:val="00542487"/>
    <w:rsid w:val="00580629"/>
    <w:rsid w:val="00582810"/>
    <w:rsid w:val="00583FFA"/>
    <w:rsid w:val="00595540"/>
    <w:rsid w:val="005B5FA6"/>
    <w:rsid w:val="005E1E85"/>
    <w:rsid w:val="005F222A"/>
    <w:rsid w:val="005F33FF"/>
    <w:rsid w:val="00635368"/>
    <w:rsid w:val="006654AB"/>
    <w:rsid w:val="006813A6"/>
    <w:rsid w:val="00686AFD"/>
    <w:rsid w:val="006A2A68"/>
    <w:rsid w:val="006F7EFE"/>
    <w:rsid w:val="00703C0B"/>
    <w:rsid w:val="00710A89"/>
    <w:rsid w:val="0075467B"/>
    <w:rsid w:val="007720C1"/>
    <w:rsid w:val="007D0861"/>
    <w:rsid w:val="007D1225"/>
    <w:rsid w:val="007E010B"/>
    <w:rsid w:val="00802FC2"/>
    <w:rsid w:val="0081293E"/>
    <w:rsid w:val="0084238A"/>
    <w:rsid w:val="00852DE8"/>
    <w:rsid w:val="008C58B7"/>
    <w:rsid w:val="008C62AF"/>
    <w:rsid w:val="008C63FE"/>
    <w:rsid w:val="008D0E5E"/>
    <w:rsid w:val="008D3341"/>
    <w:rsid w:val="008E2694"/>
    <w:rsid w:val="00907E4B"/>
    <w:rsid w:val="00940731"/>
    <w:rsid w:val="009476D9"/>
    <w:rsid w:val="009702E0"/>
    <w:rsid w:val="009712C1"/>
    <w:rsid w:val="009719B6"/>
    <w:rsid w:val="009731D1"/>
    <w:rsid w:val="00985A34"/>
    <w:rsid w:val="009957C5"/>
    <w:rsid w:val="009A1A98"/>
    <w:rsid w:val="009D3BD9"/>
    <w:rsid w:val="00A10BBD"/>
    <w:rsid w:val="00A2735C"/>
    <w:rsid w:val="00A565C7"/>
    <w:rsid w:val="00A61FE3"/>
    <w:rsid w:val="00A63976"/>
    <w:rsid w:val="00AD7A2D"/>
    <w:rsid w:val="00B0742B"/>
    <w:rsid w:val="00B247D1"/>
    <w:rsid w:val="00B50A87"/>
    <w:rsid w:val="00B74403"/>
    <w:rsid w:val="00B84713"/>
    <w:rsid w:val="00B851FA"/>
    <w:rsid w:val="00BE38E4"/>
    <w:rsid w:val="00C3731F"/>
    <w:rsid w:val="00C402D1"/>
    <w:rsid w:val="00C62ABE"/>
    <w:rsid w:val="00C72F66"/>
    <w:rsid w:val="00C746FF"/>
    <w:rsid w:val="00C9371C"/>
    <w:rsid w:val="00CB4B4C"/>
    <w:rsid w:val="00CC305D"/>
    <w:rsid w:val="00CE02BF"/>
    <w:rsid w:val="00D15425"/>
    <w:rsid w:val="00D15677"/>
    <w:rsid w:val="00D37A87"/>
    <w:rsid w:val="00D455A5"/>
    <w:rsid w:val="00D60353"/>
    <w:rsid w:val="00D73411"/>
    <w:rsid w:val="00D917AD"/>
    <w:rsid w:val="00DA38A7"/>
    <w:rsid w:val="00DB127D"/>
    <w:rsid w:val="00DB4B20"/>
    <w:rsid w:val="00DB6645"/>
    <w:rsid w:val="00E07235"/>
    <w:rsid w:val="00E247EB"/>
    <w:rsid w:val="00E33C9F"/>
    <w:rsid w:val="00E83C6F"/>
    <w:rsid w:val="00E9509D"/>
    <w:rsid w:val="00E979AB"/>
    <w:rsid w:val="00EC39BC"/>
    <w:rsid w:val="00EE140B"/>
    <w:rsid w:val="00F02755"/>
    <w:rsid w:val="00F41B40"/>
    <w:rsid w:val="00F60599"/>
    <w:rsid w:val="00F718B8"/>
    <w:rsid w:val="00F733AF"/>
    <w:rsid w:val="00F767D0"/>
    <w:rsid w:val="00F83DBF"/>
    <w:rsid w:val="00FA16E2"/>
    <w:rsid w:val="00FC2396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bg-BG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A311F"/>
    <w:rPr>
      <w:rFonts w:ascii="Times New Roman" w:hAnsi="Times New Roman" w:cs="Times New Roman"/>
      <w:sz w:val="24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1A311F"/>
    <w:rPr>
      <w:rFonts w:ascii="Times New Roman" w:hAnsi="Times New Roman" w:cs="Times New Roman"/>
      <w:sz w:val="24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bg-BG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1A31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1A311F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1A31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2"/>
      </w:numPr>
    </w:pPr>
  </w:style>
  <w:style w:type="paragraph" w:customStyle="1" w:styleId="Tiret1">
    <w:name w:val="Tiret 1"/>
    <w:basedOn w:val="Point1"/>
    <w:pPr>
      <w:numPr>
        <w:numId w:val="13"/>
      </w:numPr>
    </w:pPr>
  </w:style>
  <w:style w:type="paragraph" w:customStyle="1" w:styleId="Tiret2">
    <w:name w:val="Tiret 2"/>
    <w:basedOn w:val="Point2"/>
    <w:pPr>
      <w:numPr>
        <w:numId w:val="14"/>
      </w:numPr>
    </w:pPr>
  </w:style>
  <w:style w:type="paragraph" w:customStyle="1" w:styleId="Tiret3">
    <w:name w:val="Tiret 3"/>
    <w:basedOn w:val="Point3"/>
    <w:pPr>
      <w:numPr>
        <w:numId w:val="15"/>
      </w:numPr>
    </w:pPr>
  </w:style>
  <w:style w:type="paragraph" w:customStyle="1" w:styleId="Tiret4">
    <w:name w:val="Tiret 4"/>
    <w:basedOn w:val="Point4"/>
    <w:pPr>
      <w:numPr>
        <w:numId w:val="16"/>
      </w:numPr>
    </w:pPr>
  </w:style>
  <w:style w:type="paragraph" w:customStyle="1" w:styleId="Tiret5">
    <w:name w:val="Tiret 5"/>
    <w:basedOn w:val="Point5"/>
    <w:pPr>
      <w:numPr>
        <w:numId w:val="1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0"/>
      </w:numPr>
    </w:pPr>
  </w:style>
  <w:style w:type="paragraph" w:customStyle="1" w:styleId="Point1number">
    <w:name w:val="Point 1 (number)"/>
    <w:basedOn w:val="Normal"/>
    <w:pPr>
      <w:numPr>
        <w:ilvl w:val="2"/>
        <w:numId w:val="20"/>
      </w:numPr>
    </w:pPr>
  </w:style>
  <w:style w:type="paragraph" w:customStyle="1" w:styleId="Point2number">
    <w:name w:val="Point 2 (number)"/>
    <w:basedOn w:val="Normal"/>
    <w:pPr>
      <w:numPr>
        <w:ilvl w:val="4"/>
        <w:numId w:val="20"/>
      </w:numPr>
    </w:pPr>
  </w:style>
  <w:style w:type="paragraph" w:customStyle="1" w:styleId="Point3number">
    <w:name w:val="Point 3 (number)"/>
    <w:basedOn w:val="Normal"/>
    <w:pPr>
      <w:numPr>
        <w:ilvl w:val="6"/>
        <w:numId w:val="20"/>
      </w:numPr>
    </w:pPr>
  </w:style>
  <w:style w:type="paragraph" w:customStyle="1" w:styleId="Point0letter">
    <w:name w:val="Point 0 (letter)"/>
    <w:basedOn w:val="Normal"/>
    <w:pPr>
      <w:numPr>
        <w:ilvl w:val="1"/>
        <w:numId w:val="20"/>
      </w:numPr>
    </w:pPr>
  </w:style>
  <w:style w:type="paragraph" w:customStyle="1" w:styleId="Point1letter">
    <w:name w:val="Point 1 (letter)"/>
    <w:basedOn w:val="Normal"/>
    <w:pPr>
      <w:numPr>
        <w:ilvl w:val="3"/>
        <w:numId w:val="20"/>
      </w:numPr>
    </w:pPr>
  </w:style>
  <w:style w:type="paragraph" w:customStyle="1" w:styleId="Point2letter">
    <w:name w:val="Point 2 (letter)"/>
    <w:basedOn w:val="Normal"/>
    <w:pPr>
      <w:numPr>
        <w:ilvl w:val="5"/>
        <w:numId w:val="20"/>
      </w:numPr>
    </w:pPr>
  </w:style>
  <w:style w:type="paragraph" w:customStyle="1" w:styleId="Point3letter">
    <w:name w:val="Point 3 (letter)"/>
    <w:basedOn w:val="Normal"/>
    <w:pPr>
      <w:numPr>
        <w:ilvl w:val="7"/>
        <w:numId w:val="20"/>
      </w:numPr>
    </w:pPr>
  </w:style>
  <w:style w:type="paragraph" w:customStyle="1" w:styleId="Point4letter">
    <w:name w:val="Point 4 (letter)"/>
    <w:basedOn w:val="Normal"/>
    <w:pPr>
      <w:numPr>
        <w:ilvl w:val="8"/>
        <w:numId w:val="20"/>
      </w:numPr>
    </w:pPr>
  </w:style>
  <w:style w:type="paragraph" w:customStyle="1" w:styleId="Bullet0">
    <w:name w:val="Bullet 0"/>
    <w:basedOn w:val="Normal"/>
    <w:pPr>
      <w:numPr>
        <w:numId w:val="21"/>
      </w:numPr>
    </w:pPr>
  </w:style>
  <w:style w:type="paragraph" w:customStyle="1" w:styleId="Bullet1">
    <w:name w:val="Bullet 1"/>
    <w:basedOn w:val="Normal"/>
    <w:pPr>
      <w:numPr>
        <w:numId w:val="22"/>
      </w:numPr>
    </w:pPr>
  </w:style>
  <w:style w:type="paragraph" w:customStyle="1" w:styleId="Bullet2">
    <w:name w:val="Bullet 2"/>
    <w:basedOn w:val="Normal"/>
    <w:pPr>
      <w:numPr>
        <w:numId w:val="23"/>
      </w:numPr>
    </w:pPr>
  </w:style>
  <w:style w:type="paragraph" w:customStyle="1" w:styleId="Bullet3">
    <w:name w:val="Bullet 3"/>
    <w:basedOn w:val="Normal"/>
    <w:pPr>
      <w:numPr>
        <w:numId w:val="24"/>
      </w:numPr>
    </w:pPr>
  </w:style>
  <w:style w:type="paragraph" w:customStyle="1" w:styleId="Bullet4">
    <w:name w:val="Bullet 4"/>
    <w:basedOn w:val="Normal"/>
    <w:pPr>
      <w:numPr>
        <w:numId w:val="2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A311F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1A311F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1A311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1A311F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5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2024-05-28T14:34:00Z</dcterms:created>
  <dcterms:modified xsi:type="dcterms:W3CDTF">2024-05-30T09:45:00Z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