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CE3" w:rsidRPr="00E140EE" w:rsidRDefault="0088603C" w:rsidP="00E13CE3">
      <w:pPr>
        <w:pStyle w:val="ListParagraph"/>
        <w:jc w:val="center"/>
        <w:rPr>
          <w:rFonts w:ascii="Times New Roman" w:hAnsi="Times New Roman"/>
          <w:b/>
          <w:color w:val="000000" w:themeColor="text1"/>
          <w:sz w:val="20"/>
          <w:szCs w:val="20"/>
        </w:rPr>
      </w:pPr>
      <w:r w:rsidRPr="00E140EE">
        <w:rPr>
          <w:rFonts w:ascii="Times New Roman" w:hAnsi="Times New Roman"/>
          <w:b/>
          <w:color w:val="000000" w:themeColor="text1"/>
          <w:sz w:val="20"/>
        </w:rPr>
        <w:t>Príloha II: Pokyny</w:t>
      </w:r>
      <w:bookmarkStart w:id="0" w:name="_GoBack"/>
      <w:bookmarkEnd w:id="0"/>
    </w:p>
    <w:p w:rsidR="001E5EDF" w:rsidRPr="00E140EE" w:rsidRDefault="001E5EDF" w:rsidP="001E5EDF">
      <w:pPr>
        <w:rPr>
          <w:rFonts w:ascii="Times New Roman" w:hAnsi="Times New Roman" w:cs="Times New Roman"/>
          <w:b/>
          <w:color w:val="000000" w:themeColor="text1"/>
          <w:sz w:val="20"/>
          <w:szCs w:val="20"/>
        </w:rPr>
      </w:pPr>
    </w:p>
    <w:p w:rsidR="001E5EDF" w:rsidRPr="00E140EE" w:rsidRDefault="001E5EDF" w:rsidP="00385C06">
      <w:pPr>
        <w:rPr>
          <w:rFonts w:ascii="Times New Roman" w:hAnsi="Times New Roman" w:cs="Times New Roman"/>
          <w:b/>
          <w:color w:val="000000" w:themeColor="text1"/>
          <w:sz w:val="20"/>
          <w:szCs w:val="20"/>
        </w:rPr>
      </w:pPr>
    </w:p>
    <w:p w:rsidR="006B669F" w:rsidRPr="006B669F" w:rsidRDefault="001D258F">
      <w:pPr>
        <w:pStyle w:val="TOC2"/>
        <w:rPr>
          <w:lang w:eastAsia="en-GB" w:bidi="ar-SA"/>
        </w:rPr>
      </w:pPr>
      <w:r w:rsidRPr="006B669F">
        <w:rPr>
          <w:rFonts w:ascii="Times New Roman" w:hAnsi="Times New Roman" w:cs="Times New Roman"/>
          <w:bCs/>
          <w:noProof w:val="0"/>
          <w:color w:val="000000" w:themeColor="text1"/>
          <w:sz w:val="20"/>
          <w:szCs w:val="20"/>
        </w:rPr>
        <w:fldChar w:fldCharType="begin"/>
      </w:r>
      <w:r w:rsidRPr="006B669F">
        <w:rPr>
          <w:rFonts w:ascii="Times New Roman" w:hAnsi="Times New Roman" w:cs="Times New Roman"/>
          <w:bCs/>
          <w:noProof w:val="0"/>
          <w:color w:val="000000" w:themeColor="text1"/>
          <w:sz w:val="20"/>
          <w:szCs w:val="20"/>
        </w:rPr>
        <w:instrText xml:space="preserve"> TOC \o "1-3" \h \z \t "Numbered tile level 1,1,Numbered title level 2,2" </w:instrText>
      </w:r>
      <w:r w:rsidRPr="006B669F">
        <w:rPr>
          <w:rFonts w:ascii="Times New Roman" w:hAnsi="Times New Roman" w:cs="Times New Roman"/>
          <w:bCs/>
          <w:noProof w:val="0"/>
          <w:color w:val="000000" w:themeColor="text1"/>
          <w:sz w:val="20"/>
          <w:szCs w:val="20"/>
        </w:rPr>
        <w:fldChar w:fldCharType="separate"/>
      </w:r>
      <w:hyperlink w:anchor="_Toc525209022" w:history="1">
        <w:r w:rsidR="006B669F" w:rsidRPr="00310799">
          <w:rPr>
            <w:rStyle w:val="Hyperlink"/>
            <w:rFonts w:ascii="Times New Roman" w:hAnsi="Times New Roman" w:cs="Times New Roman"/>
          </w:rPr>
          <w:t>I.</w:t>
        </w:r>
        <w:r w:rsidR="006B669F" w:rsidRPr="006B669F">
          <w:rPr>
            <w:lang w:eastAsia="en-GB" w:bidi="ar-SA"/>
          </w:rPr>
          <w:tab/>
        </w:r>
        <w:r w:rsidR="006B669F" w:rsidRPr="00310799">
          <w:rPr>
            <w:rStyle w:val="Hyperlink"/>
            <w:rFonts w:ascii="Times New Roman" w:hAnsi="Times New Roman"/>
          </w:rPr>
          <w:t>Všeobecné pokyny</w:t>
        </w:r>
        <w:r w:rsidR="006B669F" w:rsidRPr="006B669F">
          <w:rPr>
            <w:webHidden/>
          </w:rPr>
          <w:tab/>
        </w:r>
        <w:r w:rsidR="006B669F" w:rsidRPr="006B669F">
          <w:rPr>
            <w:webHidden/>
          </w:rPr>
          <w:fldChar w:fldCharType="begin"/>
        </w:r>
        <w:r w:rsidR="006B669F" w:rsidRPr="006B669F">
          <w:rPr>
            <w:webHidden/>
          </w:rPr>
          <w:instrText xml:space="preserve"> PAGEREF _Toc525209022 \h </w:instrText>
        </w:r>
        <w:r w:rsidR="006B669F" w:rsidRPr="006B669F">
          <w:rPr>
            <w:webHidden/>
          </w:rPr>
        </w:r>
        <w:r w:rsidR="006B669F" w:rsidRPr="006B669F">
          <w:rPr>
            <w:webHidden/>
          </w:rPr>
          <w:fldChar w:fldCharType="separate"/>
        </w:r>
        <w:r w:rsidR="00310799">
          <w:rPr>
            <w:webHidden/>
          </w:rPr>
          <w:t>2</w:t>
        </w:r>
        <w:r w:rsidR="006B669F" w:rsidRPr="006B669F">
          <w:rPr>
            <w:webHidden/>
          </w:rPr>
          <w:fldChar w:fldCharType="end"/>
        </w:r>
      </w:hyperlink>
    </w:p>
    <w:p w:rsidR="006B669F" w:rsidRPr="006B669F" w:rsidRDefault="006B669F">
      <w:pPr>
        <w:pStyle w:val="TOC2"/>
        <w:rPr>
          <w:lang w:eastAsia="en-GB" w:bidi="ar-SA"/>
        </w:rPr>
      </w:pPr>
      <w:hyperlink w:anchor="_Toc525209023" w:history="1">
        <w:r w:rsidRPr="00310799">
          <w:rPr>
            <w:rStyle w:val="Hyperlink"/>
            <w:rFonts w:ascii="Times New Roman" w:hAnsi="Times New Roman" w:cs="Times New Roman"/>
          </w:rPr>
          <w:t>I.1</w:t>
        </w:r>
        <w:r w:rsidRPr="006B669F">
          <w:rPr>
            <w:lang w:eastAsia="en-GB" w:bidi="ar-SA"/>
          </w:rPr>
          <w:tab/>
        </w:r>
        <w:r w:rsidRPr="00310799">
          <w:rPr>
            <w:rStyle w:val="Hyperlink"/>
            <w:rFonts w:ascii="Times New Roman" w:hAnsi="Times New Roman"/>
          </w:rPr>
          <w:t>Štruktúra</w:t>
        </w:r>
        <w:r w:rsidRPr="006B669F">
          <w:rPr>
            <w:webHidden/>
          </w:rPr>
          <w:tab/>
        </w:r>
        <w:r w:rsidRPr="006B669F">
          <w:rPr>
            <w:webHidden/>
          </w:rPr>
          <w:fldChar w:fldCharType="begin"/>
        </w:r>
        <w:r w:rsidRPr="006B669F">
          <w:rPr>
            <w:webHidden/>
          </w:rPr>
          <w:instrText xml:space="preserve"> PAGEREF _Toc525209023 \h </w:instrText>
        </w:r>
        <w:r w:rsidRPr="006B669F">
          <w:rPr>
            <w:webHidden/>
          </w:rPr>
        </w:r>
        <w:r w:rsidRPr="006B669F">
          <w:rPr>
            <w:webHidden/>
          </w:rPr>
          <w:fldChar w:fldCharType="separate"/>
        </w:r>
        <w:r w:rsidR="00310799">
          <w:rPr>
            <w:webHidden/>
          </w:rPr>
          <w:t>2</w:t>
        </w:r>
        <w:r w:rsidRPr="006B669F">
          <w:rPr>
            <w:webHidden/>
          </w:rPr>
          <w:fldChar w:fldCharType="end"/>
        </w:r>
      </w:hyperlink>
    </w:p>
    <w:p w:rsidR="006B669F" w:rsidRPr="006B669F" w:rsidRDefault="006B669F">
      <w:pPr>
        <w:pStyle w:val="TOC2"/>
        <w:rPr>
          <w:lang w:eastAsia="en-GB" w:bidi="ar-SA"/>
        </w:rPr>
      </w:pPr>
      <w:hyperlink w:anchor="_Toc525209024" w:history="1">
        <w:r w:rsidRPr="00310799">
          <w:rPr>
            <w:rStyle w:val="Hyperlink"/>
            <w:rFonts w:ascii="Times New Roman" w:hAnsi="Times New Roman" w:cs="Times New Roman"/>
          </w:rPr>
          <w:t>I.2</w:t>
        </w:r>
        <w:r w:rsidRPr="006B669F">
          <w:rPr>
            <w:lang w:eastAsia="en-GB" w:bidi="ar-SA"/>
          </w:rPr>
          <w:tab/>
        </w:r>
        <w:r w:rsidRPr="00310799">
          <w:rPr>
            <w:rStyle w:val="Hyperlink"/>
            <w:rFonts w:ascii="Times New Roman" w:hAnsi="Times New Roman"/>
          </w:rPr>
          <w:t>Odkazy</w:t>
        </w:r>
        <w:r w:rsidRPr="006B669F">
          <w:rPr>
            <w:webHidden/>
          </w:rPr>
          <w:tab/>
        </w:r>
        <w:r w:rsidRPr="006B669F">
          <w:rPr>
            <w:webHidden/>
          </w:rPr>
          <w:fldChar w:fldCharType="begin"/>
        </w:r>
        <w:r w:rsidRPr="006B669F">
          <w:rPr>
            <w:webHidden/>
          </w:rPr>
          <w:instrText xml:space="preserve"> PAGEREF _Toc525209024 \h </w:instrText>
        </w:r>
        <w:r w:rsidRPr="006B669F">
          <w:rPr>
            <w:webHidden/>
          </w:rPr>
        </w:r>
        <w:r w:rsidRPr="006B669F">
          <w:rPr>
            <w:webHidden/>
          </w:rPr>
          <w:fldChar w:fldCharType="separate"/>
        </w:r>
        <w:r w:rsidR="00310799">
          <w:rPr>
            <w:webHidden/>
          </w:rPr>
          <w:t>2</w:t>
        </w:r>
        <w:r w:rsidRPr="006B669F">
          <w:rPr>
            <w:webHidden/>
          </w:rPr>
          <w:fldChar w:fldCharType="end"/>
        </w:r>
      </w:hyperlink>
    </w:p>
    <w:p w:rsidR="006B669F" w:rsidRPr="006B669F" w:rsidRDefault="006B669F">
      <w:pPr>
        <w:pStyle w:val="TOC2"/>
        <w:rPr>
          <w:lang w:eastAsia="en-GB" w:bidi="ar-SA"/>
        </w:rPr>
      </w:pPr>
      <w:hyperlink w:anchor="_Toc525209025" w:history="1">
        <w:r w:rsidRPr="00310799">
          <w:rPr>
            <w:rStyle w:val="Hyperlink"/>
            <w:rFonts w:ascii="Times New Roman" w:hAnsi="Times New Roman" w:cs="Times New Roman"/>
          </w:rPr>
          <w:t>I.3</w:t>
        </w:r>
        <w:r w:rsidRPr="006B669F">
          <w:rPr>
            <w:lang w:eastAsia="en-GB" w:bidi="ar-SA"/>
          </w:rPr>
          <w:tab/>
        </w:r>
        <w:r w:rsidRPr="00310799">
          <w:rPr>
            <w:rStyle w:val="Hyperlink"/>
            <w:rFonts w:ascii="Times New Roman" w:hAnsi="Times New Roman"/>
          </w:rPr>
          <w:t>Účtovné štandardy</w:t>
        </w:r>
        <w:r w:rsidRPr="006B669F">
          <w:rPr>
            <w:webHidden/>
          </w:rPr>
          <w:tab/>
        </w:r>
        <w:r w:rsidRPr="006B669F">
          <w:rPr>
            <w:webHidden/>
          </w:rPr>
          <w:fldChar w:fldCharType="begin"/>
        </w:r>
        <w:r w:rsidRPr="006B669F">
          <w:rPr>
            <w:webHidden/>
          </w:rPr>
          <w:instrText xml:space="preserve"> PAGEREF _Toc525209025 \h </w:instrText>
        </w:r>
        <w:r w:rsidRPr="006B669F">
          <w:rPr>
            <w:webHidden/>
          </w:rPr>
        </w:r>
        <w:r w:rsidRPr="006B669F">
          <w:rPr>
            <w:webHidden/>
          </w:rPr>
          <w:fldChar w:fldCharType="separate"/>
        </w:r>
        <w:r w:rsidR="00310799">
          <w:rPr>
            <w:webHidden/>
          </w:rPr>
          <w:t>3</w:t>
        </w:r>
        <w:r w:rsidRPr="006B669F">
          <w:rPr>
            <w:webHidden/>
          </w:rPr>
          <w:fldChar w:fldCharType="end"/>
        </w:r>
      </w:hyperlink>
    </w:p>
    <w:p w:rsidR="006B669F" w:rsidRPr="006B669F" w:rsidRDefault="006B669F">
      <w:pPr>
        <w:pStyle w:val="TOC2"/>
        <w:rPr>
          <w:lang w:eastAsia="en-GB" w:bidi="ar-SA"/>
        </w:rPr>
      </w:pPr>
      <w:hyperlink w:anchor="_Toc525209026" w:history="1">
        <w:r w:rsidRPr="00310799">
          <w:rPr>
            <w:rStyle w:val="Hyperlink"/>
            <w:rFonts w:ascii="Times New Roman" w:hAnsi="Times New Roman" w:cs="Times New Roman"/>
          </w:rPr>
          <w:t>I.4</w:t>
        </w:r>
        <w:r w:rsidRPr="006B669F">
          <w:rPr>
            <w:lang w:eastAsia="en-GB" w:bidi="ar-SA"/>
          </w:rPr>
          <w:tab/>
        </w:r>
        <w:r w:rsidRPr="00310799">
          <w:rPr>
            <w:rStyle w:val="Hyperlink"/>
            <w:rFonts w:ascii="Times New Roman" w:hAnsi="Times New Roman"/>
          </w:rPr>
          <w:t>Rozsah pôsobnosti konsolidácie</w:t>
        </w:r>
        <w:r w:rsidRPr="006B669F">
          <w:rPr>
            <w:webHidden/>
          </w:rPr>
          <w:tab/>
        </w:r>
        <w:r w:rsidRPr="006B669F">
          <w:rPr>
            <w:webHidden/>
          </w:rPr>
          <w:fldChar w:fldCharType="begin"/>
        </w:r>
        <w:r w:rsidRPr="006B669F">
          <w:rPr>
            <w:webHidden/>
          </w:rPr>
          <w:instrText xml:space="preserve"> PAGEREF _Toc525209026 \h </w:instrText>
        </w:r>
        <w:r w:rsidRPr="006B669F">
          <w:rPr>
            <w:webHidden/>
          </w:rPr>
        </w:r>
        <w:r w:rsidRPr="006B669F">
          <w:rPr>
            <w:webHidden/>
          </w:rPr>
          <w:fldChar w:fldCharType="separate"/>
        </w:r>
        <w:r w:rsidR="00310799">
          <w:rPr>
            <w:webHidden/>
          </w:rPr>
          <w:t>3</w:t>
        </w:r>
        <w:r w:rsidRPr="006B669F">
          <w:rPr>
            <w:webHidden/>
          </w:rPr>
          <w:fldChar w:fldCharType="end"/>
        </w:r>
      </w:hyperlink>
    </w:p>
    <w:p w:rsidR="006B669F" w:rsidRPr="006B669F" w:rsidRDefault="006B669F">
      <w:pPr>
        <w:pStyle w:val="TOC2"/>
        <w:rPr>
          <w:lang w:eastAsia="en-GB" w:bidi="ar-SA"/>
        </w:rPr>
      </w:pPr>
      <w:hyperlink w:anchor="_Toc525209027" w:history="1">
        <w:r w:rsidRPr="00310799">
          <w:rPr>
            <w:rStyle w:val="Hyperlink"/>
            <w:rFonts w:ascii="Times New Roman" w:hAnsi="Times New Roman" w:cs="Times New Roman"/>
          </w:rPr>
          <w:t>I.5</w:t>
        </w:r>
        <w:r w:rsidRPr="006B669F">
          <w:rPr>
            <w:lang w:eastAsia="en-GB" w:bidi="ar-SA"/>
          </w:rPr>
          <w:tab/>
        </w:r>
        <w:r w:rsidRPr="00310799">
          <w:rPr>
            <w:rStyle w:val="Hyperlink"/>
            <w:rFonts w:ascii="Times New Roman" w:hAnsi="Times New Roman"/>
          </w:rPr>
          <w:t>Číslovanie a iné pravidlá</w:t>
        </w:r>
        <w:r w:rsidRPr="006B669F">
          <w:rPr>
            <w:webHidden/>
          </w:rPr>
          <w:tab/>
        </w:r>
        <w:r w:rsidRPr="006B669F">
          <w:rPr>
            <w:webHidden/>
          </w:rPr>
          <w:fldChar w:fldCharType="begin"/>
        </w:r>
        <w:r w:rsidRPr="006B669F">
          <w:rPr>
            <w:webHidden/>
          </w:rPr>
          <w:instrText xml:space="preserve"> PAGEREF _Toc525209027 \h </w:instrText>
        </w:r>
        <w:r w:rsidRPr="006B669F">
          <w:rPr>
            <w:webHidden/>
          </w:rPr>
        </w:r>
        <w:r w:rsidRPr="006B669F">
          <w:rPr>
            <w:webHidden/>
          </w:rPr>
          <w:fldChar w:fldCharType="separate"/>
        </w:r>
        <w:r w:rsidR="00310799">
          <w:rPr>
            <w:webHidden/>
          </w:rPr>
          <w:t>4</w:t>
        </w:r>
        <w:r w:rsidRPr="006B669F">
          <w:rPr>
            <w:webHidden/>
          </w:rPr>
          <w:fldChar w:fldCharType="end"/>
        </w:r>
      </w:hyperlink>
    </w:p>
    <w:p w:rsidR="006B669F" w:rsidRPr="006B669F" w:rsidRDefault="006B669F">
      <w:pPr>
        <w:pStyle w:val="TOC2"/>
        <w:rPr>
          <w:lang w:eastAsia="en-GB" w:bidi="ar-SA"/>
        </w:rPr>
      </w:pPr>
      <w:hyperlink w:anchor="_Toc525209028" w:history="1">
        <w:r w:rsidRPr="00310799">
          <w:rPr>
            <w:rStyle w:val="Hyperlink"/>
            <w:rFonts w:ascii="Times New Roman" w:hAnsi="Times New Roman" w:cs="Times New Roman"/>
          </w:rPr>
          <w:t>II.</w:t>
        </w:r>
        <w:r w:rsidRPr="006B669F">
          <w:rPr>
            <w:lang w:eastAsia="en-GB" w:bidi="ar-SA"/>
          </w:rPr>
          <w:tab/>
        </w:r>
        <w:r w:rsidRPr="00310799">
          <w:rPr>
            <w:rStyle w:val="Hyperlink"/>
            <w:rFonts w:ascii="Times New Roman" w:hAnsi="Times New Roman"/>
          </w:rPr>
          <w:t>Pokyny týkajúce sa vzorov</w:t>
        </w:r>
        <w:r w:rsidRPr="006B669F">
          <w:rPr>
            <w:webHidden/>
          </w:rPr>
          <w:tab/>
        </w:r>
        <w:r w:rsidRPr="006B669F">
          <w:rPr>
            <w:webHidden/>
          </w:rPr>
          <w:fldChar w:fldCharType="begin"/>
        </w:r>
        <w:r w:rsidRPr="006B669F">
          <w:rPr>
            <w:webHidden/>
          </w:rPr>
          <w:instrText xml:space="preserve"> PAGEREF _Toc525209028 \h </w:instrText>
        </w:r>
        <w:r w:rsidRPr="006B669F">
          <w:rPr>
            <w:webHidden/>
          </w:rPr>
        </w:r>
        <w:r w:rsidRPr="006B669F">
          <w:rPr>
            <w:webHidden/>
          </w:rPr>
          <w:fldChar w:fldCharType="separate"/>
        </w:r>
        <w:r w:rsidR="00310799">
          <w:rPr>
            <w:webHidden/>
          </w:rPr>
          <w:t>4</w:t>
        </w:r>
        <w:r w:rsidRPr="006B669F">
          <w:rPr>
            <w:webHidden/>
          </w:rPr>
          <w:fldChar w:fldCharType="end"/>
        </w:r>
      </w:hyperlink>
    </w:p>
    <w:p w:rsidR="006B669F" w:rsidRPr="006B669F" w:rsidRDefault="006B669F">
      <w:pPr>
        <w:pStyle w:val="TOC2"/>
        <w:rPr>
          <w:lang w:eastAsia="en-GB" w:bidi="ar-SA"/>
        </w:rPr>
      </w:pPr>
      <w:hyperlink w:anchor="_Toc525209029" w:history="1">
        <w:r w:rsidRPr="00310799">
          <w:rPr>
            <w:rStyle w:val="Hyperlink"/>
            <w:rFonts w:ascii="Times New Roman" w:hAnsi="Times New Roman" w:cs="Times New Roman"/>
          </w:rPr>
          <w:t>II.1</w:t>
        </w:r>
        <w:r w:rsidRPr="006B669F">
          <w:rPr>
            <w:lang w:eastAsia="en-GB" w:bidi="ar-SA"/>
          </w:rPr>
          <w:tab/>
        </w:r>
        <w:r w:rsidRPr="00310799">
          <w:rPr>
            <w:rStyle w:val="Hyperlink"/>
            <w:rFonts w:ascii="Times New Roman" w:hAnsi="Times New Roman"/>
          </w:rPr>
          <w:t>Z 01.00 – Organizačná štruktúra (ORG)</w:t>
        </w:r>
        <w:r w:rsidRPr="006B669F">
          <w:rPr>
            <w:webHidden/>
          </w:rPr>
          <w:tab/>
        </w:r>
        <w:r w:rsidRPr="006B669F">
          <w:rPr>
            <w:webHidden/>
          </w:rPr>
          <w:fldChar w:fldCharType="begin"/>
        </w:r>
        <w:r w:rsidRPr="006B669F">
          <w:rPr>
            <w:webHidden/>
          </w:rPr>
          <w:instrText xml:space="preserve"> PAGEREF _Toc525209029 \h </w:instrText>
        </w:r>
        <w:r w:rsidRPr="006B669F">
          <w:rPr>
            <w:webHidden/>
          </w:rPr>
        </w:r>
        <w:r w:rsidRPr="006B669F">
          <w:rPr>
            <w:webHidden/>
          </w:rPr>
          <w:fldChar w:fldCharType="separate"/>
        </w:r>
        <w:r w:rsidR="00310799">
          <w:rPr>
            <w:webHidden/>
          </w:rPr>
          <w:t>4</w:t>
        </w:r>
        <w:r w:rsidRPr="006B669F">
          <w:rPr>
            <w:webHidden/>
          </w:rPr>
          <w:fldChar w:fldCharType="end"/>
        </w:r>
      </w:hyperlink>
    </w:p>
    <w:p w:rsidR="006B669F" w:rsidRPr="006B669F" w:rsidRDefault="006B669F">
      <w:pPr>
        <w:pStyle w:val="TOC2"/>
        <w:rPr>
          <w:lang w:eastAsia="en-GB" w:bidi="ar-SA"/>
        </w:rPr>
      </w:pPr>
      <w:hyperlink w:anchor="_Toc525209030" w:history="1">
        <w:r w:rsidRPr="00310799">
          <w:rPr>
            <w:rStyle w:val="Hyperlink"/>
            <w:rFonts w:ascii="Times New Roman" w:hAnsi="Times New Roman" w:cs="Times New Roman"/>
          </w:rPr>
          <w:t>II.2</w:t>
        </w:r>
        <w:r w:rsidRPr="006B669F">
          <w:rPr>
            <w:lang w:eastAsia="en-GB" w:bidi="ar-SA"/>
          </w:rPr>
          <w:tab/>
        </w:r>
        <w:r w:rsidRPr="00310799">
          <w:rPr>
            <w:rStyle w:val="Hyperlink"/>
            <w:rFonts w:ascii="Times New Roman" w:hAnsi="Times New Roman"/>
          </w:rPr>
          <w:t>Z 02.00 – Štruktúra záväzkov (LIAB)</w:t>
        </w:r>
        <w:r w:rsidRPr="006B669F">
          <w:rPr>
            <w:webHidden/>
          </w:rPr>
          <w:tab/>
        </w:r>
        <w:r w:rsidRPr="006B669F">
          <w:rPr>
            <w:webHidden/>
          </w:rPr>
          <w:fldChar w:fldCharType="begin"/>
        </w:r>
        <w:r w:rsidRPr="006B669F">
          <w:rPr>
            <w:webHidden/>
          </w:rPr>
          <w:instrText xml:space="preserve"> PAGEREF _Toc525209030 \h </w:instrText>
        </w:r>
        <w:r w:rsidRPr="006B669F">
          <w:rPr>
            <w:webHidden/>
          </w:rPr>
        </w:r>
        <w:r w:rsidRPr="006B669F">
          <w:rPr>
            <w:webHidden/>
          </w:rPr>
          <w:fldChar w:fldCharType="separate"/>
        </w:r>
        <w:r w:rsidR="00310799">
          <w:rPr>
            <w:webHidden/>
          </w:rPr>
          <w:t>7</w:t>
        </w:r>
        <w:r w:rsidRPr="006B669F">
          <w:rPr>
            <w:webHidden/>
          </w:rPr>
          <w:fldChar w:fldCharType="end"/>
        </w:r>
      </w:hyperlink>
    </w:p>
    <w:p w:rsidR="006B669F" w:rsidRPr="006B669F" w:rsidRDefault="006B669F">
      <w:pPr>
        <w:pStyle w:val="TOC2"/>
        <w:rPr>
          <w:lang w:eastAsia="en-GB" w:bidi="ar-SA"/>
        </w:rPr>
      </w:pPr>
      <w:hyperlink w:anchor="_Toc525209031" w:history="1">
        <w:r w:rsidRPr="00310799">
          <w:rPr>
            <w:rStyle w:val="Hyperlink"/>
            <w:rFonts w:ascii="Times New Roman" w:hAnsi="Times New Roman" w:cs="Times New Roman"/>
          </w:rPr>
          <w:t>II.3</w:t>
        </w:r>
        <w:r w:rsidRPr="006B669F">
          <w:rPr>
            <w:lang w:eastAsia="en-GB" w:bidi="ar-SA"/>
          </w:rPr>
          <w:tab/>
        </w:r>
        <w:r w:rsidRPr="00310799">
          <w:rPr>
            <w:rStyle w:val="Hyperlink"/>
            <w:rFonts w:ascii="Times New Roman" w:hAnsi="Times New Roman"/>
          </w:rPr>
          <w:t>Z 03.00 – Požiadavky na vlastné zdroje (OWN)</w:t>
        </w:r>
        <w:r w:rsidRPr="006B669F">
          <w:rPr>
            <w:webHidden/>
          </w:rPr>
          <w:tab/>
        </w:r>
        <w:r w:rsidRPr="006B669F">
          <w:rPr>
            <w:webHidden/>
          </w:rPr>
          <w:fldChar w:fldCharType="begin"/>
        </w:r>
        <w:r w:rsidRPr="006B669F">
          <w:rPr>
            <w:webHidden/>
          </w:rPr>
          <w:instrText xml:space="preserve"> PAGEREF _Toc525209031 \h </w:instrText>
        </w:r>
        <w:r w:rsidRPr="006B669F">
          <w:rPr>
            <w:webHidden/>
          </w:rPr>
        </w:r>
        <w:r w:rsidRPr="006B669F">
          <w:rPr>
            <w:webHidden/>
          </w:rPr>
          <w:fldChar w:fldCharType="separate"/>
        </w:r>
        <w:r w:rsidR="00310799">
          <w:rPr>
            <w:webHidden/>
          </w:rPr>
          <w:t>14</w:t>
        </w:r>
        <w:r w:rsidRPr="006B669F">
          <w:rPr>
            <w:webHidden/>
          </w:rPr>
          <w:fldChar w:fldCharType="end"/>
        </w:r>
      </w:hyperlink>
    </w:p>
    <w:p w:rsidR="006B669F" w:rsidRPr="006B669F" w:rsidRDefault="006B669F">
      <w:pPr>
        <w:pStyle w:val="TOC2"/>
        <w:rPr>
          <w:lang w:eastAsia="en-GB" w:bidi="ar-SA"/>
        </w:rPr>
      </w:pPr>
      <w:hyperlink w:anchor="_Toc525209032" w:history="1">
        <w:r w:rsidRPr="00310799">
          <w:rPr>
            <w:rStyle w:val="Hyperlink"/>
            <w:rFonts w:ascii="Times New Roman" w:hAnsi="Times New Roman" w:cs="Times New Roman"/>
          </w:rPr>
          <w:t>II.4</w:t>
        </w:r>
        <w:r w:rsidRPr="006B669F">
          <w:rPr>
            <w:lang w:eastAsia="en-GB" w:bidi="ar-SA"/>
          </w:rPr>
          <w:tab/>
        </w:r>
        <w:r w:rsidRPr="00310799">
          <w:rPr>
            <w:rStyle w:val="Hyperlink"/>
            <w:rFonts w:ascii="Times New Roman" w:hAnsi="Times New Roman"/>
          </w:rPr>
          <w:t>Z 04.00 – Finančné prepojenia v rámci skupiny (IFC)</w:t>
        </w:r>
        <w:r w:rsidRPr="006B669F">
          <w:rPr>
            <w:webHidden/>
          </w:rPr>
          <w:tab/>
        </w:r>
        <w:r w:rsidRPr="006B669F">
          <w:rPr>
            <w:webHidden/>
          </w:rPr>
          <w:fldChar w:fldCharType="begin"/>
        </w:r>
        <w:r w:rsidRPr="006B669F">
          <w:rPr>
            <w:webHidden/>
          </w:rPr>
          <w:instrText xml:space="preserve"> PAGEREF _Toc525209032 \h </w:instrText>
        </w:r>
        <w:r w:rsidRPr="006B669F">
          <w:rPr>
            <w:webHidden/>
          </w:rPr>
        </w:r>
        <w:r w:rsidRPr="006B669F">
          <w:rPr>
            <w:webHidden/>
          </w:rPr>
          <w:fldChar w:fldCharType="separate"/>
        </w:r>
        <w:r w:rsidR="00310799">
          <w:rPr>
            <w:webHidden/>
          </w:rPr>
          <w:t>17</w:t>
        </w:r>
        <w:r w:rsidRPr="006B669F">
          <w:rPr>
            <w:webHidden/>
          </w:rPr>
          <w:fldChar w:fldCharType="end"/>
        </w:r>
      </w:hyperlink>
    </w:p>
    <w:p w:rsidR="006B669F" w:rsidRPr="006B669F" w:rsidRDefault="006B669F">
      <w:pPr>
        <w:pStyle w:val="TOC2"/>
        <w:rPr>
          <w:lang w:eastAsia="en-GB" w:bidi="ar-SA"/>
        </w:rPr>
      </w:pPr>
      <w:hyperlink w:anchor="_Toc525209033" w:history="1">
        <w:r w:rsidRPr="00310799">
          <w:rPr>
            <w:rStyle w:val="Hyperlink"/>
            <w:rFonts w:ascii="Times New Roman" w:hAnsi="Times New Roman" w:cs="Times New Roman"/>
          </w:rPr>
          <w:t>II.5</w:t>
        </w:r>
        <w:r w:rsidRPr="006B669F">
          <w:rPr>
            <w:lang w:eastAsia="en-GB" w:bidi="ar-SA"/>
          </w:rPr>
          <w:tab/>
        </w:r>
        <w:r w:rsidRPr="00310799">
          <w:rPr>
            <w:rStyle w:val="Hyperlink"/>
            <w:rFonts w:ascii="Times New Roman" w:hAnsi="Times New Roman"/>
          </w:rPr>
          <w:t>Z 05.01 a Z 05.02 – Hlavné protistrany (MCP)</w:t>
        </w:r>
        <w:r w:rsidRPr="006B669F">
          <w:rPr>
            <w:webHidden/>
          </w:rPr>
          <w:tab/>
        </w:r>
        <w:r w:rsidRPr="006B669F">
          <w:rPr>
            <w:webHidden/>
          </w:rPr>
          <w:fldChar w:fldCharType="begin"/>
        </w:r>
        <w:r w:rsidRPr="006B669F">
          <w:rPr>
            <w:webHidden/>
          </w:rPr>
          <w:instrText xml:space="preserve"> PAGEREF _Toc525209033 \h </w:instrText>
        </w:r>
        <w:r w:rsidRPr="006B669F">
          <w:rPr>
            <w:webHidden/>
          </w:rPr>
        </w:r>
        <w:r w:rsidRPr="006B669F">
          <w:rPr>
            <w:webHidden/>
          </w:rPr>
          <w:fldChar w:fldCharType="separate"/>
        </w:r>
        <w:r w:rsidR="00310799">
          <w:rPr>
            <w:webHidden/>
          </w:rPr>
          <w:t>19</w:t>
        </w:r>
        <w:r w:rsidRPr="006B669F">
          <w:rPr>
            <w:webHidden/>
          </w:rPr>
          <w:fldChar w:fldCharType="end"/>
        </w:r>
      </w:hyperlink>
    </w:p>
    <w:p w:rsidR="006B669F" w:rsidRPr="006B669F" w:rsidRDefault="006B669F">
      <w:pPr>
        <w:pStyle w:val="TOC2"/>
        <w:rPr>
          <w:lang w:eastAsia="en-GB" w:bidi="ar-SA"/>
        </w:rPr>
      </w:pPr>
      <w:hyperlink w:anchor="_Toc525209034" w:history="1">
        <w:r w:rsidRPr="00310799">
          <w:rPr>
            <w:rStyle w:val="Hyperlink"/>
            <w:rFonts w:ascii="Times New Roman" w:hAnsi="Times New Roman" w:cs="Times New Roman"/>
          </w:rPr>
          <w:t>II.6</w:t>
        </w:r>
        <w:r w:rsidRPr="006B669F">
          <w:rPr>
            <w:lang w:eastAsia="en-GB" w:bidi="ar-SA"/>
          </w:rPr>
          <w:tab/>
        </w:r>
        <w:r w:rsidRPr="00310799">
          <w:rPr>
            <w:rStyle w:val="Hyperlink"/>
            <w:rFonts w:ascii="Times New Roman" w:hAnsi="Times New Roman"/>
          </w:rPr>
          <w:t>Z 06.00 – Poistenie vkladov (DIS)</w:t>
        </w:r>
        <w:r w:rsidRPr="006B669F">
          <w:rPr>
            <w:webHidden/>
          </w:rPr>
          <w:tab/>
        </w:r>
        <w:r w:rsidRPr="006B669F">
          <w:rPr>
            <w:webHidden/>
          </w:rPr>
          <w:fldChar w:fldCharType="begin"/>
        </w:r>
        <w:r w:rsidRPr="006B669F">
          <w:rPr>
            <w:webHidden/>
          </w:rPr>
          <w:instrText xml:space="preserve"> PAGEREF _Toc525209034 \h </w:instrText>
        </w:r>
        <w:r w:rsidRPr="006B669F">
          <w:rPr>
            <w:webHidden/>
          </w:rPr>
        </w:r>
        <w:r w:rsidRPr="006B669F">
          <w:rPr>
            <w:webHidden/>
          </w:rPr>
          <w:fldChar w:fldCharType="separate"/>
        </w:r>
        <w:r w:rsidR="00310799">
          <w:rPr>
            <w:webHidden/>
          </w:rPr>
          <w:t>22</w:t>
        </w:r>
        <w:r w:rsidRPr="006B669F">
          <w:rPr>
            <w:webHidden/>
          </w:rPr>
          <w:fldChar w:fldCharType="end"/>
        </w:r>
      </w:hyperlink>
    </w:p>
    <w:p w:rsidR="006B669F" w:rsidRPr="006B669F" w:rsidRDefault="006B669F">
      <w:pPr>
        <w:pStyle w:val="TOC2"/>
        <w:rPr>
          <w:lang w:eastAsia="en-GB" w:bidi="ar-SA"/>
        </w:rPr>
      </w:pPr>
      <w:hyperlink w:anchor="_Toc525209035" w:history="1">
        <w:r w:rsidRPr="00310799">
          <w:rPr>
            <w:rStyle w:val="Hyperlink"/>
            <w:rFonts w:ascii="Times New Roman" w:hAnsi="Times New Roman" w:cs="Times New Roman"/>
          </w:rPr>
          <w:t>II.7</w:t>
        </w:r>
        <w:r w:rsidRPr="006B669F">
          <w:rPr>
            <w:lang w:eastAsia="en-GB" w:bidi="ar-SA"/>
          </w:rPr>
          <w:tab/>
        </w:r>
        <w:r w:rsidRPr="00310799">
          <w:rPr>
            <w:rStyle w:val="Hyperlink"/>
            <w:rFonts w:ascii="Times New Roman" w:hAnsi="Times New Roman"/>
          </w:rPr>
          <w:t>Zásadné funkcie a hlavné oblasti obchodnej činnosti</w:t>
        </w:r>
        <w:r w:rsidRPr="006B669F">
          <w:rPr>
            <w:webHidden/>
          </w:rPr>
          <w:tab/>
        </w:r>
        <w:r w:rsidRPr="006B669F">
          <w:rPr>
            <w:webHidden/>
          </w:rPr>
          <w:fldChar w:fldCharType="begin"/>
        </w:r>
        <w:r w:rsidRPr="006B669F">
          <w:rPr>
            <w:webHidden/>
          </w:rPr>
          <w:instrText xml:space="preserve"> PAGEREF _Toc525209035 \h </w:instrText>
        </w:r>
        <w:r w:rsidRPr="006B669F">
          <w:rPr>
            <w:webHidden/>
          </w:rPr>
        </w:r>
        <w:r w:rsidRPr="006B669F">
          <w:rPr>
            <w:webHidden/>
          </w:rPr>
          <w:fldChar w:fldCharType="separate"/>
        </w:r>
        <w:r w:rsidR="00310799">
          <w:rPr>
            <w:webHidden/>
          </w:rPr>
          <w:t>25</w:t>
        </w:r>
        <w:r w:rsidRPr="006B669F">
          <w:rPr>
            <w:webHidden/>
          </w:rPr>
          <w:fldChar w:fldCharType="end"/>
        </w:r>
      </w:hyperlink>
    </w:p>
    <w:p w:rsidR="006B669F" w:rsidRPr="006B669F" w:rsidRDefault="006B669F">
      <w:pPr>
        <w:pStyle w:val="TOC2"/>
        <w:rPr>
          <w:lang w:eastAsia="en-GB" w:bidi="ar-SA"/>
        </w:rPr>
      </w:pPr>
      <w:hyperlink w:anchor="_Toc525209036" w:history="1">
        <w:r w:rsidRPr="00310799">
          <w:rPr>
            <w:rStyle w:val="Hyperlink"/>
            <w:rFonts w:ascii="Times New Roman" w:hAnsi="Times New Roman" w:cs="Times New Roman"/>
          </w:rPr>
          <w:t>II.8</w:t>
        </w:r>
        <w:r w:rsidRPr="006B669F">
          <w:rPr>
            <w:lang w:eastAsia="en-GB" w:bidi="ar-SA"/>
          </w:rPr>
          <w:tab/>
        </w:r>
        <w:r w:rsidRPr="00310799">
          <w:rPr>
            <w:rStyle w:val="Hyperlink"/>
            <w:rFonts w:ascii="Times New Roman" w:hAnsi="Times New Roman"/>
          </w:rPr>
          <w:t>Z 08.00 – Zásadné služby (SERV)</w:t>
        </w:r>
        <w:r w:rsidRPr="006B669F">
          <w:rPr>
            <w:webHidden/>
          </w:rPr>
          <w:tab/>
        </w:r>
        <w:r w:rsidRPr="006B669F">
          <w:rPr>
            <w:webHidden/>
          </w:rPr>
          <w:fldChar w:fldCharType="begin"/>
        </w:r>
        <w:r w:rsidRPr="006B669F">
          <w:rPr>
            <w:webHidden/>
          </w:rPr>
          <w:instrText xml:space="preserve"> PAGEREF _Toc525209036 \h </w:instrText>
        </w:r>
        <w:r w:rsidRPr="006B669F">
          <w:rPr>
            <w:webHidden/>
          </w:rPr>
        </w:r>
        <w:r w:rsidRPr="006B669F">
          <w:rPr>
            <w:webHidden/>
          </w:rPr>
          <w:fldChar w:fldCharType="separate"/>
        </w:r>
        <w:r w:rsidR="00310799">
          <w:rPr>
            <w:webHidden/>
          </w:rPr>
          <w:t>34</w:t>
        </w:r>
        <w:r w:rsidRPr="006B669F">
          <w:rPr>
            <w:webHidden/>
          </w:rPr>
          <w:fldChar w:fldCharType="end"/>
        </w:r>
      </w:hyperlink>
    </w:p>
    <w:p w:rsidR="006B669F" w:rsidRPr="006B669F" w:rsidRDefault="006B669F">
      <w:pPr>
        <w:pStyle w:val="TOC2"/>
        <w:rPr>
          <w:lang w:eastAsia="en-GB" w:bidi="ar-SA"/>
        </w:rPr>
      </w:pPr>
      <w:hyperlink w:anchor="_Toc525209037" w:history="1">
        <w:r w:rsidRPr="00310799">
          <w:rPr>
            <w:rStyle w:val="Hyperlink"/>
            <w:rFonts w:ascii="Times New Roman" w:hAnsi="Times New Roman" w:cs="Times New Roman"/>
          </w:rPr>
          <w:t>II.9</w:t>
        </w:r>
        <w:r w:rsidRPr="006B669F">
          <w:rPr>
            <w:lang w:eastAsia="en-GB" w:bidi="ar-SA"/>
          </w:rPr>
          <w:tab/>
        </w:r>
        <w:r w:rsidRPr="00310799">
          <w:rPr>
            <w:rStyle w:val="Hyperlink"/>
            <w:rFonts w:ascii="Times New Roman" w:hAnsi="Times New Roman"/>
          </w:rPr>
          <w:t>Z 09.00 – Služby infraštruktúry finančného trhu – Poskytovatelia a používatelia – Priradenie k zásadným funkciám</w:t>
        </w:r>
        <w:r w:rsidRPr="006B669F">
          <w:rPr>
            <w:webHidden/>
          </w:rPr>
          <w:tab/>
        </w:r>
        <w:r w:rsidRPr="006B669F">
          <w:rPr>
            <w:webHidden/>
          </w:rPr>
          <w:fldChar w:fldCharType="begin"/>
        </w:r>
        <w:r w:rsidRPr="006B669F">
          <w:rPr>
            <w:webHidden/>
          </w:rPr>
          <w:instrText xml:space="preserve"> PAGEREF _Toc525209037 \h </w:instrText>
        </w:r>
        <w:r w:rsidRPr="006B669F">
          <w:rPr>
            <w:webHidden/>
          </w:rPr>
        </w:r>
        <w:r w:rsidRPr="006B669F">
          <w:rPr>
            <w:webHidden/>
          </w:rPr>
          <w:fldChar w:fldCharType="separate"/>
        </w:r>
        <w:r w:rsidR="00310799">
          <w:rPr>
            <w:webHidden/>
          </w:rPr>
          <w:t>37</w:t>
        </w:r>
        <w:r w:rsidRPr="006B669F">
          <w:rPr>
            <w:webHidden/>
          </w:rPr>
          <w:fldChar w:fldCharType="end"/>
        </w:r>
      </w:hyperlink>
    </w:p>
    <w:p w:rsidR="006B669F" w:rsidRPr="006B669F" w:rsidRDefault="006B669F">
      <w:pPr>
        <w:pStyle w:val="TOC2"/>
        <w:rPr>
          <w:lang w:eastAsia="en-GB" w:bidi="ar-SA"/>
        </w:rPr>
      </w:pPr>
      <w:hyperlink w:anchor="_Toc525209038" w:history="1">
        <w:r w:rsidRPr="00310799">
          <w:rPr>
            <w:rStyle w:val="Hyperlink"/>
            <w:rFonts w:ascii="Times New Roman" w:hAnsi="Times New Roman" w:cs="Times New Roman"/>
          </w:rPr>
          <w:t>II.10</w:t>
        </w:r>
        <w:r w:rsidRPr="006B669F">
          <w:rPr>
            <w:lang w:eastAsia="en-GB" w:bidi="ar-SA"/>
          </w:rPr>
          <w:tab/>
        </w:r>
        <w:r w:rsidRPr="00310799">
          <w:rPr>
            <w:rStyle w:val="Hyperlink"/>
            <w:rFonts w:ascii="Times New Roman" w:hAnsi="Times New Roman"/>
          </w:rPr>
          <w:t>Kritické informačné systémy</w:t>
        </w:r>
        <w:r w:rsidRPr="006B669F">
          <w:rPr>
            <w:webHidden/>
          </w:rPr>
          <w:tab/>
        </w:r>
        <w:r w:rsidRPr="006B669F">
          <w:rPr>
            <w:webHidden/>
          </w:rPr>
          <w:fldChar w:fldCharType="begin"/>
        </w:r>
        <w:r w:rsidRPr="006B669F">
          <w:rPr>
            <w:webHidden/>
          </w:rPr>
          <w:instrText xml:space="preserve"> PAGEREF _Toc525209038 \h </w:instrText>
        </w:r>
        <w:r w:rsidRPr="006B669F">
          <w:rPr>
            <w:webHidden/>
          </w:rPr>
        </w:r>
        <w:r w:rsidRPr="006B669F">
          <w:rPr>
            <w:webHidden/>
          </w:rPr>
          <w:fldChar w:fldCharType="separate"/>
        </w:r>
        <w:r w:rsidR="00310799">
          <w:rPr>
            <w:webHidden/>
          </w:rPr>
          <w:t>40</w:t>
        </w:r>
        <w:r w:rsidRPr="006B669F">
          <w:rPr>
            <w:webHidden/>
          </w:rPr>
          <w:fldChar w:fldCharType="end"/>
        </w:r>
      </w:hyperlink>
    </w:p>
    <w:p w:rsidR="00421CDC" w:rsidRPr="006B669F" w:rsidRDefault="001D258F">
      <w:pPr>
        <w:pStyle w:val="TOC2"/>
        <w:rPr>
          <w:noProof w:val="0"/>
        </w:rPr>
      </w:pPr>
      <w:r w:rsidRPr="006B669F">
        <w:rPr>
          <w:rFonts w:ascii="Times New Roman" w:hAnsi="Times New Roman" w:cs="Times New Roman"/>
          <w:bCs/>
          <w:noProof w:val="0"/>
          <w:color w:val="000000" w:themeColor="text1"/>
          <w:sz w:val="20"/>
          <w:szCs w:val="20"/>
        </w:rPr>
        <w:fldChar w:fldCharType="end"/>
      </w:r>
    </w:p>
    <w:p w:rsidR="00385C06" w:rsidRPr="00E140EE" w:rsidRDefault="00385C06" w:rsidP="00385C06">
      <w:pPr>
        <w:rPr>
          <w:rFonts w:ascii="Times New Roman" w:hAnsi="Times New Roman" w:cs="Times New Roman"/>
          <w:b/>
          <w:color w:val="000000" w:themeColor="text1"/>
          <w:sz w:val="20"/>
          <w:szCs w:val="20"/>
        </w:rPr>
      </w:pPr>
    </w:p>
    <w:p w:rsidR="00E13CE3" w:rsidRPr="00E140EE" w:rsidRDefault="00E13CE3" w:rsidP="00585A96">
      <w:pPr>
        <w:pStyle w:val="ListParagraph"/>
        <w:rPr>
          <w:rFonts w:ascii="Times New Roman" w:hAnsi="Times New Roman"/>
          <w:b/>
          <w:color w:val="000000" w:themeColor="text1"/>
          <w:sz w:val="20"/>
          <w:szCs w:val="20"/>
        </w:rPr>
      </w:pPr>
    </w:p>
    <w:p w:rsidR="000D0650" w:rsidRPr="006B669F"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rsidRPr="006B669F">
        <w:br w:type="page"/>
      </w:r>
    </w:p>
    <w:p w:rsidR="00E13CE3" w:rsidRPr="00310799" w:rsidRDefault="001E5EDF" w:rsidP="004524FA">
      <w:pPr>
        <w:pStyle w:val="Instructionsberschrift2"/>
        <w:numPr>
          <w:ilvl w:val="0"/>
          <w:numId w:val="7"/>
        </w:numPr>
        <w:ind w:left="357" w:hanging="357"/>
        <w:rPr>
          <w:rFonts w:ascii="Times New Roman" w:hAnsi="Times New Roman" w:cs="Times New Roman"/>
          <w:szCs w:val="20"/>
        </w:rPr>
      </w:pPr>
      <w:bookmarkStart w:id="2" w:name="_Toc509909032"/>
      <w:bookmarkStart w:id="3" w:name="_Toc525209022"/>
      <w:r w:rsidRPr="00310799">
        <w:rPr>
          <w:rFonts w:ascii="Times New Roman" w:hAnsi="Times New Roman"/>
        </w:rPr>
        <w:lastRenderedPageBreak/>
        <w:t>Všeobecné pokyny</w:t>
      </w:r>
      <w:bookmarkEnd w:id="1"/>
      <w:bookmarkEnd w:id="2"/>
      <w:bookmarkEnd w:id="3"/>
    </w:p>
    <w:p w:rsidR="002B2A61" w:rsidRPr="00310799" w:rsidRDefault="002B2A61" w:rsidP="004524FA">
      <w:pPr>
        <w:pStyle w:val="Instructionsberschrift2"/>
        <w:numPr>
          <w:ilvl w:val="1"/>
          <w:numId w:val="7"/>
        </w:numPr>
        <w:ind w:left="357" w:hanging="357"/>
        <w:rPr>
          <w:rFonts w:ascii="Times New Roman" w:hAnsi="Times New Roman" w:cs="Times New Roman"/>
          <w:szCs w:val="20"/>
        </w:rPr>
      </w:pPr>
      <w:bookmarkStart w:id="4" w:name="_Toc509909033"/>
      <w:bookmarkStart w:id="5" w:name="_Toc525209023"/>
      <w:r w:rsidRPr="00310799">
        <w:rPr>
          <w:rFonts w:ascii="Times New Roman" w:hAnsi="Times New Roman"/>
        </w:rPr>
        <w:t>Štruktúra</w:t>
      </w:r>
      <w:bookmarkEnd w:id="4"/>
      <w:bookmarkEnd w:id="5"/>
    </w:p>
    <w:p w:rsidR="002B2A61" w:rsidRPr="006B669F" w:rsidRDefault="002B2A61" w:rsidP="004F233C">
      <w:pPr>
        <w:pStyle w:val="numberedparagraph"/>
      </w:pPr>
      <w:r w:rsidRPr="006B669F">
        <w:t>Rámec tvorí 15 vzorov usporiadaných</w:t>
      </w:r>
      <w:r w:rsidR="006B669F">
        <w:t xml:space="preserve"> v </w:t>
      </w:r>
      <w:r w:rsidRPr="006B669F">
        <w:t>3 blokoch:</w:t>
      </w:r>
    </w:p>
    <w:p w:rsidR="002B2A61" w:rsidRPr="006B669F" w:rsidRDefault="00170788" w:rsidP="00715DAB">
      <w:pPr>
        <w:pStyle w:val="body"/>
        <w:numPr>
          <w:ilvl w:val="0"/>
          <w:numId w:val="19"/>
        </w:numPr>
        <w:rPr>
          <w:rFonts w:ascii="Times New Roman" w:hAnsi="Times New Roman" w:cs="Times New Roman"/>
          <w:color w:val="000000" w:themeColor="text1"/>
          <w:sz w:val="20"/>
          <w:szCs w:val="20"/>
        </w:rPr>
      </w:pPr>
      <w:r w:rsidRPr="006B669F">
        <w:rPr>
          <w:rFonts w:ascii="Times New Roman" w:hAnsi="Times New Roman"/>
          <w:color w:val="000000" w:themeColor="text1"/>
          <w:sz w:val="20"/>
        </w:rPr>
        <w:t>„Všeobecné informácie“, ktorý poskytuje prehľad</w:t>
      </w:r>
      <w:r w:rsidR="006B669F">
        <w:rPr>
          <w:rFonts w:ascii="Times New Roman" w:hAnsi="Times New Roman"/>
          <w:color w:val="000000" w:themeColor="text1"/>
          <w:sz w:val="20"/>
        </w:rPr>
        <w:t xml:space="preserve"> o </w:t>
      </w:r>
      <w:r w:rsidRPr="006B669F">
        <w:rPr>
          <w:rFonts w:ascii="Times New Roman" w:hAnsi="Times New Roman"/>
          <w:color w:val="000000" w:themeColor="text1"/>
          <w:sz w:val="20"/>
        </w:rPr>
        <w:t>organizačnej štruktúre skupiny</w:t>
      </w:r>
      <w:r w:rsidR="006B669F">
        <w:rPr>
          <w:rFonts w:ascii="Times New Roman" w:hAnsi="Times New Roman"/>
          <w:color w:val="000000" w:themeColor="text1"/>
          <w:sz w:val="20"/>
        </w:rPr>
        <w:t xml:space="preserve"> a </w:t>
      </w:r>
      <w:r w:rsidRPr="006B669F">
        <w:rPr>
          <w:rFonts w:ascii="Times New Roman" w:hAnsi="Times New Roman"/>
          <w:color w:val="000000" w:themeColor="text1"/>
          <w:sz w:val="20"/>
        </w:rPr>
        <w:t>jej subjektov, rozdelení aktív</w:t>
      </w:r>
      <w:r w:rsidR="006B669F">
        <w:rPr>
          <w:rFonts w:ascii="Times New Roman" w:hAnsi="Times New Roman"/>
          <w:color w:val="000000" w:themeColor="text1"/>
          <w:sz w:val="20"/>
        </w:rPr>
        <w:t xml:space="preserve"> a </w:t>
      </w:r>
      <w:r w:rsidRPr="006B669F">
        <w:rPr>
          <w:rFonts w:ascii="Times New Roman" w:hAnsi="Times New Roman"/>
          <w:color w:val="000000" w:themeColor="text1"/>
          <w:sz w:val="20"/>
        </w:rPr>
        <w:t>hodnotách rizikových expozícií. Tento blok pozostáva zo vzoru „Z 01.00 – Organizačná štruktúra (ORG)“.</w:t>
      </w:r>
    </w:p>
    <w:p w:rsidR="00170788" w:rsidRPr="006B669F" w:rsidRDefault="00170788" w:rsidP="00715DAB">
      <w:pPr>
        <w:pStyle w:val="body"/>
        <w:numPr>
          <w:ilvl w:val="0"/>
          <w:numId w:val="19"/>
        </w:numPr>
        <w:rPr>
          <w:rFonts w:ascii="Times New Roman" w:hAnsi="Times New Roman" w:cs="Times New Roman"/>
          <w:color w:val="000000" w:themeColor="text1"/>
          <w:sz w:val="20"/>
          <w:szCs w:val="20"/>
        </w:rPr>
      </w:pPr>
      <w:r w:rsidRPr="006B669F">
        <w:rPr>
          <w:rFonts w:ascii="Times New Roman" w:hAnsi="Times New Roman"/>
          <w:color w:val="000000" w:themeColor="text1"/>
          <w:sz w:val="20"/>
        </w:rPr>
        <w:t>„Informácie</w:t>
      </w:r>
      <w:r w:rsidR="006B669F">
        <w:rPr>
          <w:rFonts w:ascii="Times New Roman" w:hAnsi="Times New Roman"/>
          <w:color w:val="000000" w:themeColor="text1"/>
          <w:sz w:val="20"/>
        </w:rPr>
        <w:t xml:space="preserve"> o </w:t>
      </w:r>
      <w:r w:rsidRPr="006B669F">
        <w:rPr>
          <w:rFonts w:ascii="Times New Roman" w:hAnsi="Times New Roman"/>
          <w:color w:val="000000" w:themeColor="text1"/>
          <w:sz w:val="20"/>
        </w:rPr>
        <w:t>súvahových</w:t>
      </w:r>
      <w:r w:rsidR="006B669F">
        <w:rPr>
          <w:rFonts w:ascii="Times New Roman" w:hAnsi="Times New Roman"/>
          <w:color w:val="000000" w:themeColor="text1"/>
          <w:sz w:val="20"/>
        </w:rPr>
        <w:t xml:space="preserve"> a </w:t>
      </w:r>
      <w:r w:rsidRPr="006B669F">
        <w:rPr>
          <w:rFonts w:ascii="Times New Roman" w:hAnsi="Times New Roman"/>
          <w:color w:val="000000" w:themeColor="text1"/>
          <w:sz w:val="20"/>
        </w:rPr>
        <w:t>podsúvahových položkách“, ktorý poskytuje finančné informácie</w:t>
      </w:r>
      <w:r w:rsidR="006B669F">
        <w:rPr>
          <w:rFonts w:ascii="Times New Roman" w:hAnsi="Times New Roman"/>
          <w:color w:val="000000" w:themeColor="text1"/>
          <w:sz w:val="20"/>
        </w:rPr>
        <w:t xml:space="preserve"> o </w:t>
      </w:r>
      <w:r w:rsidRPr="006B669F">
        <w:rPr>
          <w:rFonts w:ascii="Times New Roman" w:hAnsi="Times New Roman"/>
          <w:color w:val="000000" w:themeColor="text1"/>
          <w:sz w:val="20"/>
        </w:rPr>
        <w:t>záväzkoch, vlastných zdrojoch, finančných prepojeniach medzi subjektmi skupiny, záväzkoch voči hlavným protistranám,</w:t>
      </w:r>
      <w:r w:rsidR="006B669F">
        <w:rPr>
          <w:rFonts w:ascii="Times New Roman" w:hAnsi="Times New Roman"/>
          <w:color w:val="000000" w:themeColor="text1"/>
          <w:sz w:val="20"/>
        </w:rPr>
        <w:t xml:space="preserve"> o </w:t>
      </w:r>
      <w:r w:rsidRPr="006B669F">
        <w:rPr>
          <w:rFonts w:ascii="Times New Roman" w:hAnsi="Times New Roman"/>
          <w:color w:val="000000" w:themeColor="text1"/>
          <w:sz w:val="20"/>
        </w:rPr>
        <w:t>podsúvahových položkách prijatých od hlavných protistrán</w:t>
      </w:r>
      <w:r w:rsidR="006B669F">
        <w:rPr>
          <w:rFonts w:ascii="Times New Roman" w:hAnsi="Times New Roman"/>
          <w:color w:val="000000" w:themeColor="text1"/>
          <w:sz w:val="20"/>
        </w:rPr>
        <w:t xml:space="preserve"> a o </w:t>
      </w:r>
      <w:r w:rsidRPr="006B669F">
        <w:rPr>
          <w:rFonts w:ascii="Times New Roman" w:hAnsi="Times New Roman"/>
          <w:color w:val="000000" w:themeColor="text1"/>
          <w:sz w:val="20"/>
        </w:rPr>
        <w:t>poistení vkladov. Tento blok pozostáva zo 6 vzorov:</w:t>
      </w:r>
    </w:p>
    <w:p w:rsidR="00D44790" w:rsidRPr="006B669F" w:rsidRDefault="00A040CC" w:rsidP="00EB4DE6">
      <w:pPr>
        <w:pStyle w:val="body"/>
        <w:numPr>
          <w:ilvl w:val="0"/>
          <w:numId w:val="52"/>
        </w:numPr>
        <w:rPr>
          <w:rFonts w:ascii="Times New Roman" w:hAnsi="Times New Roman" w:cs="Times New Roman"/>
          <w:color w:val="000000" w:themeColor="text1"/>
          <w:sz w:val="20"/>
          <w:szCs w:val="20"/>
        </w:rPr>
      </w:pPr>
      <w:r w:rsidRPr="006B669F">
        <w:rPr>
          <w:rFonts w:ascii="Times New Roman" w:hAnsi="Times New Roman"/>
          <w:color w:val="000000" w:themeColor="text1"/>
          <w:sz w:val="20"/>
        </w:rPr>
        <w:t>„Z 02.00 – Štruktúra záväzkov (LIAB)“;</w:t>
      </w:r>
    </w:p>
    <w:p w:rsidR="00D44790" w:rsidRPr="006B669F" w:rsidRDefault="00A040CC" w:rsidP="00EB4DE6">
      <w:pPr>
        <w:pStyle w:val="body"/>
        <w:numPr>
          <w:ilvl w:val="0"/>
          <w:numId w:val="52"/>
        </w:numPr>
        <w:rPr>
          <w:rFonts w:ascii="Times New Roman" w:hAnsi="Times New Roman" w:cs="Times New Roman"/>
          <w:color w:val="000000" w:themeColor="text1"/>
          <w:sz w:val="20"/>
          <w:szCs w:val="20"/>
        </w:rPr>
      </w:pPr>
      <w:r w:rsidRPr="006B669F">
        <w:rPr>
          <w:rFonts w:ascii="Times New Roman" w:hAnsi="Times New Roman"/>
          <w:color w:val="000000" w:themeColor="text1"/>
          <w:sz w:val="20"/>
        </w:rPr>
        <w:t>„Z 03.00 – Požiadavky na vlastné zdroje (OWN)“;</w:t>
      </w:r>
    </w:p>
    <w:p w:rsidR="00D44790" w:rsidRPr="006B669F" w:rsidRDefault="00A040CC" w:rsidP="00EB4DE6">
      <w:pPr>
        <w:pStyle w:val="body"/>
        <w:numPr>
          <w:ilvl w:val="0"/>
          <w:numId w:val="52"/>
        </w:numPr>
        <w:rPr>
          <w:rFonts w:ascii="Times New Roman" w:hAnsi="Times New Roman" w:cs="Times New Roman"/>
          <w:color w:val="000000" w:themeColor="text1"/>
          <w:sz w:val="20"/>
          <w:szCs w:val="20"/>
        </w:rPr>
      </w:pPr>
      <w:r w:rsidRPr="006B669F">
        <w:rPr>
          <w:rFonts w:ascii="Times New Roman" w:hAnsi="Times New Roman"/>
          <w:color w:val="000000" w:themeColor="text1"/>
          <w:sz w:val="20"/>
        </w:rPr>
        <w:t>„Z 04.00 – Finančné prepojenia</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rámci skupiny (IFC)“;</w:t>
      </w:r>
    </w:p>
    <w:p w:rsidR="001F072D" w:rsidRPr="006B669F" w:rsidRDefault="00C87003" w:rsidP="00EB4DE6">
      <w:pPr>
        <w:pStyle w:val="body"/>
        <w:numPr>
          <w:ilvl w:val="0"/>
          <w:numId w:val="52"/>
        </w:numPr>
        <w:rPr>
          <w:rFonts w:ascii="Times New Roman" w:hAnsi="Times New Roman" w:cs="Times New Roman"/>
          <w:color w:val="000000" w:themeColor="text1"/>
          <w:sz w:val="20"/>
          <w:szCs w:val="20"/>
        </w:rPr>
      </w:pPr>
      <w:r w:rsidRPr="006B669F">
        <w:rPr>
          <w:rFonts w:ascii="Times New Roman" w:hAnsi="Times New Roman"/>
          <w:color w:val="000000" w:themeColor="text1"/>
          <w:sz w:val="20"/>
        </w:rPr>
        <w:t>Dva vzory</w:t>
      </w:r>
      <w:r w:rsidR="006B669F">
        <w:rPr>
          <w:rFonts w:ascii="Times New Roman" w:hAnsi="Times New Roman"/>
          <w:color w:val="000000" w:themeColor="text1"/>
          <w:sz w:val="20"/>
        </w:rPr>
        <w:t xml:space="preserve"> o </w:t>
      </w:r>
      <w:r w:rsidRPr="006B669F">
        <w:rPr>
          <w:rFonts w:ascii="Times New Roman" w:hAnsi="Times New Roman"/>
          <w:color w:val="000000" w:themeColor="text1"/>
          <w:sz w:val="20"/>
        </w:rPr>
        <w:t>hlavných protistranách, „Z 05.01 – Záväzky voči hlavným protistranám (Z–MCP 1)“</w:t>
      </w:r>
      <w:r w:rsidR="006B669F">
        <w:rPr>
          <w:rFonts w:ascii="Times New Roman" w:hAnsi="Times New Roman"/>
          <w:color w:val="000000" w:themeColor="text1"/>
          <w:sz w:val="20"/>
        </w:rPr>
        <w:t xml:space="preserve"> a </w:t>
      </w:r>
      <w:r w:rsidRPr="006B669F">
        <w:rPr>
          <w:rFonts w:ascii="Times New Roman" w:hAnsi="Times New Roman"/>
          <w:color w:val="000000" w:themeColor="text1"/>
          <w:sz w:val="20"/>
        </w:rPr>
        <w:t>„Z 05.02 – Podsúvahové položky hlavných protistrán (Z–MCP 2)“;</w:t>
      </w:r>
    </w:p>
    <w:p w:rsidR="00A040CC" w:rsidRPr="006B669F" w:rsidRDefault="00A040CC" w:rsidP="00EB4DE6">
      <w:pPr>
        <w:pStyle w:val="body"/>
        <w:numPr>
          <w:ilvl w:val="0"/>
          <w:numId w:val="52"/>
        </w:numPr>
        <w:rPr>
          <w:rFonts w:ascii="Times New Roman" w:hAnsi="Times New Roman" w:cs="Times New Roman"/>
          <w:color w:val="000000" w:themeColor="text1"/>
          <w:sz w:val="20"/>
          <w:szCs w:val="20"/>
        </w:rPr>
      </w:pPr>
      <w:r w:rsidRPr="006B669F">
        <w:rPr>
          <w:rFonts w:ascii="Times New Roman" w:hAnsi="Times New Roman"/>
          <w:color w:val="000000" w:themeColor="text1"/>
          <w:sz w:val="20"/>
        </w:rPr>
        <w:t>„Z 06.00 – Poistenie vkladov (Z–DIS)“;</w:t>
      </w:r>
    </w:p>
    <w:p w:rsidR="00BB5812" w:rsidRPr="006B669F" w:rsidRDefault="00BB5812" w:rsidP="00715DAB">
      <w:pPr>
        <w:pStyle w:val="body"/>
        <w:numPr>
          <w:ilvl w:val="0"/>
          <w:numId w:val="19"/>
        </w:numPr>
        <w:rPr>
          <w:rFonts w:ascii="Times New Roman" w:hAnsi="Times New Roman" w:cs="Times New Roman"/>
          <w:color w:val="000000" w:themeColor="text1"/>
          <w:sz w:val="20"/>
          <w:szCs w:val="20"/>
        </w:rPr>
      </w:pPr>
      <w:r w:rsidRPr="006B669F">
        <w:rPr>
          <w:rFonts w:ascii="Times New Roman" w:hAnsi="Times New Roman"/>
          <w:color w:val="000000" w:themeColor="text1"/>
          <w:sz w:val="20"/>
        </w:rPr>
        <w:t>„Zásadné funkcie“, ktorý poskytuje prehľad</w:t>
      </w:r>
      <w:r w:rsidR="006B669F">
        <w:rPr>
          <w:rFonts w:ascii="Times New Roman" w:hAnsi="Times New Roman"/>
          <w:color w:val="000000" w:themeColor="text1"/>
          <w:sz w:val="20"/>
        </w:rPr>
        <w:t xml:space="preserve"> o </w:t>
      </w:r>
      <w:r w:rsidRPr="006B669F">
        <w:rPr>
          <w:rFonts w:ascii="Times New Roman" w:hAnsi="Times New Roman"/>
          <w:color w:val="000000" w:themeColor="text1"/>
          <w:sz w:val="20"/>
        </w:rPr>
        <w:t>zásadných funkciách</w:t>
      </w:r>
      <w:r w:rsidR="006B669F">
        <w:rPr>
          <w:rFonts w:ascii="Times New Roman" w:hAnsi="Times New Roman"/>
          <w:color w:val="000000" w:themeColor="text1"/>
          <w:sz w:val="20"/>
        </w:rPr>
        <w:t xml:space="preserve"> a </w:t>
      </w:r>
      <w:r w:rsidRPr="006B669F">
        <w:rPr>
          <w:rFonts w:ascii="Times New Roman" w:hAnsi="Times New Roman"/>
          <w:color w:val="000000" w:themeColor="text1"/>
          <w:sz w:val="20"/>
        </w:rPr>
        <w:t>priraďujú ich</w:t>
      </w:r>
      <w:r w:rsidR="006B669F">
        <w:rPr>
          <w:rFonts w:ascii="Times New Roman" w:hAnsi="Times New Roman"/>
          <w:color w:val="000000" w:themeColor="text1"/>
          <w:sz w:val="20"/>
        </w:rPr>
        <w:t xml:space="preserve"> k </w:t>
      </w:r>
      <w:r w:rsidRPr="006B669F">
        <w:rPr>
          <w:rFonts w:ascii="Times New Roman" w:hAnsi="Times New Roman"/>
          <w:color w:val="000000" w:themeColor="text1"/>
          <w:sz w:val="20"/>
        </w:rPr>
        <w:t>právnickým osobám, hlavným oblastiam obchodnej činnosti, ku kritickým službám,</w:t>
      </w:r>
      <w:r w:rsidR="006B669F">
        <w:rPr>
          <w:rFonts w:ascii="Times New Roman" w:hAnsi="Times New Roman"/>
          <w:color w:val="000000" w:themeColor="text1"/>
          <w:sz w:val="20"/>
        </w:rPr>
        <w:t xml:space="preserve"> k </w:t>
      </w:r>
      <w:r w:rsidRPr="006B669F">
        <w:rPr>
          <w:rFonts w:ascii="Times New Roman" w:hAnsi="Times New Roman"/>
          <w:color w:val="000000" w:themeColor="text1"/>
          <w:sz w:val="20"/>
        </w:rPr>
        <w:t>infraštruktúram finančného trhu</w:t>
      </w:r>
      <w:r w:rsidR="006B669F">
        <w:rPr>
          <w:rFonts w:ascii="Times New Roman" w:hAnsi="Times New Roman"/>
          <w:color w:val="000000" w:themeColor="text1"/>
          <w:sz w:val="20"/>
        </w:rPr>
        <w:t xml:space="preserve"> a </w:t>
      </w:r>
      <w:r w:rsidRPr="006B669F">
        <w:rPr>
          <w:rFonts w:ascii="Times New Roman" w:hAnsi="Times New Roman"/>
          <w:color w:val="000000" w:themeColor="text1"/>
          <w:sz w:val="20"/>
        </w:rPr>
        <w:t>informačným systémom. Tento blok pozostáva zo 7 vzorov:</w:t>
      </w:r>
    </w:p>
    <w:p w:rsidR="002B2A61" w:rsidRPr="006B669F" w:rsidRDefault="001E6258" w:rsidP="00715DAB">
      <w:pPr>
        <w:pStyle w:val="body"/>
        <w:numPr>
          <w:ilvl w:val="0"/>
          <w:numId w:val="20"/>
        </w:numPr>
        <w:rPr>
          <w:rFonts w:ascii="Times New Roman" w:hAnsi="Times New Roman" w:cs="Times New Roman"/>
          <w:color w:val="000000" w:themeColor="text1"/>
          <w:sz w:val="20"/>
          <w:szCs w:val="20"/>
        </w:rPr>
      </w:pPr>
      <w:r w:rsidRPr="006B669F">
        <w:rPr>
          <w:rFonts w:ascii="Times New Roman" w:hAnsi="Times New Roman"/>
          <w:color w:val="000000" w:themeColor="text1"/>
          <w:sz w:val="20"/>
        </w:rPr>
        <w:t>4 vzorov na identifikovanie zásadných funkcií</w:t>
      </w:r>
      <w:r w:rsidR="006B669F">
        <w:rPr>
          <w:rFonts w:ascii="Times New Roman" w:hAnsi="Times New Roman"/>
          <w:color w:val="000000" w:themeColor="text1"/>
          <w:sz w:val="20"/>
        </w:rPr>
        <w:t xml:space="preserve"> a </w:t>
      </w:r>
      <w:r w:rsidRPr="006B669F">
        <w:rPr>
          <w:rFonts w:ascii="Times New Roman" w:hAnsi="Times New Roman"/>
          <w:color w:val="000000" w:themeColor="text1"/>
          <w:sz w:val="20"/>
        </w:rPr>
        <w:t>ich priradenie</w:t>
      </w:r>
      <w:r w:rsidR="006B669F">
        <w:rPr>
          <w:rFonts w:ascii="Times New Roman" w:hAnsi="Times New Roman"/>
          <w:color w:val="000000" w:themeColor="text1"/>
          <w:sz w:val="20"/>
        </w:rPr>
        <w:t xml:space="preserve"> k </w:t>
      </w:r>
      <w:r w:rsidRPr="006B669F">
        <w:rPr>
          <w:rFonts w:ascii="Times New Roman" w:hAnsi="Times New Roman"/>
          <w:color w:val="000000" w:themeColor="text1"/>
          <w:sz w:val="20"/>
        </w:rPr>
        <w:t>hlavným oblastiam obchodnej činnosti</w:t>
      </w:r>
      <w:r w:rsidR="006B669F">
        <w:rPr>
          <w:rFonts w:ascii="Times New Roman" w:hAnsi="Times New Roman"/>
          <w:color w:val="000000" w:themeColor="text1"/>
          <w:sz w:val="20"/>
        </w:rPr>
        <w:t xml:space="preserve"> a </w:t>
      </w:r>
      <w:r w:rsidRPr="006B669F">
        <w:rPr>
          <w:rFonts w:ascii="Times New Roman" w:hAnsi="Times New Roman"/>
          <w:color w:val="000000" w:themeColor="text1"/>
          <w:sz w:val="20"/>
        </w:rPr>
        <w:t>subjektom skupiny, „Z 07.01 – Posúdenie kritickosti hospodárskych funkcií (Z–FUNC 1)“, „Z 07.02 – Priradenie zásadných funkcií</w:t>
      </w:r>
      <w:r w:rsidR="006B669F">
        <w:rPr>
          <w:rFonts w:ascii="Times New Roman" w:hAnsi="Times New Roman"/>
          <w:color w:val="000000" w:themeColor="text1"/>
          <w:sz w:val="20"/>
        </w:rPr>
        <w:t xml:space="preserve"> k </w:t>
      </w:r>
      <w:r w:rsidRPr="006B669F">
        <w:rPr>
          <w:rFonts w:ascii="Times New Roman" w:hAnsi="Times New Roman"/>
          <w:color w:val="000000" w:themeColor="text1"/>
          <w:sz w:val="20"/>
        </w:rPr>
        <w:t>právnickým osobám (Z–FUNC 2)“, „Z 07.03 – Priradenie hlavných oblastí obchodnej činnosti</w:t>
      </w:r>
      <w:r w:rsidR="006B669F">
        <w:rPr>
          <w:rFonts w:ascii="Times New Roman" w:hAnsi="Times New Roman"/>
          <w:color w:val="000000" w:themeColor="text1"/>
          <w:sz w:val="20"/>
        </w:rPr>
        <w:t xml:space="preserve"> k </w:t>
      </w:r>
      <w:r w:rsidRPr="006B669F">
        <w:rPr>
          <w:rFonts w:ascii="Times New Roman" w:hAnsi="Times New Roman"/>
          <w:color w:val="000000" w:themeColor="text1"/>
          <w:sz w:val="20"/>
        </w:rPr>
        <w:t>právnickým osobám (Z–FUNC 3)“</w:t>
      </w:r>
      <w:r w:rsidR="006B669F">
        <w:rPr>
          <w:rFonts w:ascii="Times New Roman" w:hAnsi="Times New Roman"/>
          <w:color w:val="000000" w:themeColor="text1"/>
          <w:sz w:val="20"/>
        </w:rPr>
        <w:t xml:space="preserve"> a </w:t>
      </w:r>
      <w:r w:rsidRPr="006B669F">
        <w:rPr>
          <w:rFonts w:ascii="Times New Roman" w:hAnsi="Times New Roman"/>
          <w:color w:val="000000" w:themeColor="text1"/>
          <w:sz w:val="20"/>
        </w:rPr>
        <w:t>„Z 07.04 – Priradenie zásadných funkcií</w:t>
      </w:r>
      <w:r w:rsidR="006B669F">
        <w:rPr>
          <w:rFonts w:ascii="Times New Roman" w:hAnsi="Times New Roman"/>
          <w:color w:val="000000" w:themeColor="text1"/>
          <w:sz w:val="20"/>
        </w:rPr>
        <w:t xml:space="preserve"> k </w:t>
      </w:r>
      <w:r w:rsidRPr="006B669F">
        <w:rPr>
          <w:rFonts w:ascii="Times New Roman" w:hAnsi="Times New Roman"/>
          <w:color w:val="000000" w:themeColor="text1"/>
          <w:sz w:val="20"/>
        </w:rPr>
        <w:t>hlavným oblastiam obchodnej činnosti (Z–FUNC 4)“;</w:t>
      </w:r>
    </w:p>
    <w:p w:rsidR="001E6258" w:rsidRPr="006B669F" w:rsidRDefault="00B24A26" w:rsidP="00715DAB">
      <w:pPr>
        <w:pStyle w:val="body"/>
        <w:numPr>
          <w:ilvl w:val="0"/>
          <w:numId w:val="20"/>
        </w:numPr>
        <w:rPr>
          <w:rFonts w:ascii="Times New Roman" w:hAnsi="Times New Roman" w:cs="Times New Roman"/>
          <w:color w:val="000000" w:themeColor="text1"/>
          <w:sz w:val="20"/>
          <w:szCs w:val="20"/>
        </w:rPr>
      </w:pPr>
      <w:r w:rsidRPr="006B669F">
        <w:rPr>
          <w:rFonts w:ascii="Times New Roman" w:hAnsi="Times New Roman"/>
          <w:color w:val="000000" w:themeColor="text1"/>
          <w:sz w:val="20"/>
        </w:rPr>
        <w:t>„Z 08.00 – Kritické služby (Z-SERV)“;</w:t>
      </w:r>
    </w:p>
    <w:p w:rsidR="00B24A26" w:rsidRPr="006B669F" w:rsidRDefault="00B24A26" w:rsidP="006F50B4">
      <w:pPr>
        <w:pStyle w:val="body"/>
        <w:numPr>
          <w:ilvl w:val="0"/>
          <w:numId w:val="20"/>
        </w:numPr>
        <w:rPr>
          <w:rFonts w:ascii="Times New Roman" w:hAnsi="Times New Roman" w:cs="Times New Roman"/>
          <w:color w:val="000000" w:themeColor="text1"/>
          <w:sz w:val="20"/>
          <w:szCs w:val="20"/>
        </w:rPr>
      </w:pPr>
      <w:r w:rsidRPr="006B669F">
        <w:rPr>
          <w:rFonts w:ascii="Times New Roman" w:hAnsi="Times New Roman"/>
          <w:color w:val="000000" w:themeColor="text1"/>
          <w:sz w:val="20"/>
        </w:rPr>
        <w:t xml:space="preserve"> „Z 09.00 – Služby infraštruktúry finančného trhu (FMI)– Poskytovatelia</w:t>
      </w:r>
      <w:r w:rsidR="006B669F">
        <w:rPr>
          <w:rFonts w:ascii="Times New Roman" w:hAnsi="Times New Roman"/>
          <w:color w:val="000000" w:themeColor="text1"/>
          <w:sz w:val="20"/>
        </w:rPr>
        <w:t xml:space="preserve"> a </w:t>
      </w:r>
      <w:r w:rsidRPr="006B669F">
        <w:rPr>
          <w:rFonts w:ascii="Times New Roman" w:hAnsi="Times New Roman"/>
          <w:color w:val="000000" w:themeColor="text1"/>
          <w:sz w:val="20"/>
        </w:rPr>
        <w:t>používatelia – Priradenie zásadných funkcií (FMI)“;</w:t>
      </w:r>
    </w:p>
    <w:p w:rsidR="00D91F52" w:rsidRPr="006B669F" w:rsidRDefault="00D62530" w:rsidP="00715DAB">
      <w:pPr>
        <w:pStyle w:val="body"/>
        <w:numPr>
          <w:ilvl w:val="0"/>
          <w:numId w:val="20"/>
        </w:numPr>
        <w:rPr>
          <w:rFonts w:ascii="Times New Roman" w:hAnsi="Times New Roman" w:cs="Times New Roman"/>
          <w:color w:val="000000" w:themeColor="text1"/>
          <w:sz w:val="20"/>
          <w:szCs w:val="20"/>
        </w:rPr>
      </w:pPr>
      <w:r w:rsidRPr="006B669F">
        <w:rPr>
          <w:rFonts w:ascii="Times New Roman" w:hAnsi="Times New Roman"/>
          <w:color w:val="000000" w:themeColor="text1"/>
          <w:sz w:val="20"/>
        </w:rPr>
        <w:t>2 vzorov týkajúcich sa kritických informačných systémov, „Z 10.01 – Kritické informačné systémy (všeobecné informácie) (Z–CIS 1)“</w:t>
      </w:r>
      <w:r w:rsidR="006B669F">
        <w:rPr>
          <w:rFonts w:ascii="Times New Roman" w:hAnsi="Times New Roman"/>
          <w:color w:val="000000" w:themeColor="text1"/>
          <w:sz w:val="20"/>
        </w:rPr>
        <w:t xml:space="preserve"> a </w:t>
      </w:r>
      <w:r w:rsidRPr="006B669F">
        <w:rPr>
          <w:rFonts w:ascii="Times New Roman" w:hAnsi="Times New Roman"/>
          <w:color w:val="000000" w:themeColor="text1"/>
          <w:sz w:val="20"/>
        </w:rPr>
        <w:t>„Z 10.02 – Priradenie informačných systémov (Z–CIS 2)“.</w:t>
      </w:r>
    </w:p>
    <w:p w:rsidR="00C93D9F" w:rsidRPr="00310799" w:rsidRDefault="00C93D9F" w:rsidP="008854E4">
      <w:pPr>
        <w:pStyle w:val="Instructionsberschrift2"/>
        <w:numPr>
          <w:ilvl w:val="1"/>
          <w:numId w:val="7"/>
        </w:numPr>
        <w:ind w:left="357" w:hanging="357"/>
        <w:rPr>
          <w:rFonts w:ascii="Times New Roman" w:hAnsi="Times New Roman" w:cs="Times New Roman"/>
          <w:szCs w:val="20"/>
        </w:rPr>
      </w:pPr>
      <w:bookmarkStart w:id="6" w:name="_Toc509909034"/>
      <w:bookmarkStart w:id="7" w:name="_Toc525209024"/>
      <w:r w:rsidRPr="00310799">
        <w:rPr>
          <w:rFonts w:ascii="Times New Roman" w:hAnsi="Times New Roman"/>
        </w:rPr>
        <w:t>Odkazy</w:t>
      </w:r>
      <w:bookmarkEnd w:id="6"/>
      <w:bookmarkEnd w:id="7"/>
    </w:p>
    <w:p w:rsidR="00C93D9F" w:rsidRPr="006B669F" w:rsidRDefault="00C93D9F" w:rsidP="004F233C">
      <w:pPr>
        <w:pStyle w:val="numberedparagraph"/>
      </w:pPr>
      <w:r w:rsidRPr="006B669F">
        <w:t>Na účely tejto prílohy sa uplatňujú tieto skratky:</w:t>
      </w:r>
    </w:p>
    <w:p w:rsidR="00CF3051" w:rsidRPr="006B669F" w:rsidRDefault="00CF3051" w:rsidP="00715DAB">
      <w:pPr>
        <w:pStyle w:val="ListParagraph"/>
        <w:numPr>
          <w:ilvl w:val="0"/>
          <w:numId w:val="18"/>
        </w:numPr>
        <w:ind w:left="1074"/>
        <w:jc w:val="both"/>
        <w:rPr>
          <w:rFonts w:ascii="Times New Roman" w:hAnsi="Times New Roman"/>
          <w:color w:val="000000" w:themeColor="text1"/>
          <w:sz w:val="20"/>
          <w:szCs w:val="20"/>
        </w:rPr>
      </w:pPr>
      <w:r w:rsidRPr="006B669F">
        <w:rPr>
          <w:rFonts w:ascii="Times New Roman" w:hAnsi="Times New Roman"/>
          <w:color w:val="000000" w:themeColor="text1"/>
          <w:sz w:val="20"/>
        </w:rPr>
        <w:t>„BCBS“ je Bazilejský výbor pre bankový dohľad Banky pre medzinárodné zúčtovanie;</w:t>
      </w:r>
    </w:p>
    <w:p w:rsidR="00B466DD" w:rsidRPr="006B669F" w:rsidRDefault="00B466DD" w:rsidP="00715DAB">
      <w:pPr>
        <w:pStyle w:val="ListParagraph"/>
        <w:numPr>
          <w:ilvl w:val="0"/>
          <w:numId w:val="18"/>
        </w:numPr>
        <w:ind w:left="1074"/>
        <w:jc w:val="both"/>
        <w:rPr>
          <w:rFonts w:ascii="Times New Roman" w:hAnsi="Times New Roman"/>
          <w:color w:val="000000" w:themeColor="text1"/>
          <w:sz w:val="20"/>
          <w:szCs w:val="20"/>
        </w:rPr>
      </w:pPr>
      <w:r w:rsidRPr="006B669F">
        <w:rPr>
          <w:rFonts w:ascii="Times New Roman" w:hAnsi="Times New Roman"/>
          <w:color w:val="000000" w:themeColor="text1"/>
          <w:sz w:val="20"/>
        </w:rPr>
        <w:t>„CPMI“ je Výbor pre platobnú</w:t>
      </w:r>
      <w:r w:rsidR="006B669F">
        <w:rPr>
          <w:rFonts w:ascii="Times New Roman" w:hAnsi="Times New Roman"/>
          <w:color w:val="000000" w:themeColor="text1"/>
          <w:sz w:val="20"/>
        </w:rPr>
        <w:t xml:space="preserve"> a </w:t>
      </w:r>
      <w:r w:rsidRPr="006B669F">
        <w:rPr>
          <w:rFonts w:ascii="Times New Roman" w:hAnsi="Times New Roman"/>
          <w:color w:val="000000" w:themeColor="text1"/>
          <w:sz w:val="20"/>
        </w:rPr>
        <w:t>trhovú infraštruktúru Banky pre medzinárodné zúčtovanie;</w:t>
      </w:r>
    </w:p>
    <w:p w:rsidR="00E52C33" w:rsidRPr="006B669F" w:rsidRDefault="00E52C33" w:rsidP="007C4DBB">
      <w:pPr>
        <w:pStyle w:val="ListParagraph"/>
        <w:numPr>
          <w:ilvl w:val="0"/>
          <w:numId w:val="18"/>
        </w:numPr>
        <w:ind w:left="1074"/>
        <w:jc w:val="both"/>
        <w:rPr>
          <w:rFonts w:ascii="Times New Roman" w:hAnsi="Times New Roman"/>
          <w:color w:val="000000" w:themeColor="text1"/>
          <w:sz w:val="20"/>
          <w:szCs w:val="20"/>
        </w:rPr>
      </w:pPr>
      <w:r w:rsidRPr="006B669F">
        <w:rPr>
          <w:rFonts w:ascii="Times New Roman" w:hAnsi="Times New Roman"/>
          <w:color w:val="000000" w:themeColor="text1"/>
          <w:sz w:val="20"/>
        </w:rPr>
        <w:lastRenderedPageBreak/>
        <w:t>„FINREP“ sú vzory finančných informácií uvedené</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prílohách III</w:t>
      </w:r>
      <w:r w:rsidR="006B669F">
        <w:rPr>
          <w:rFonts w:ascii="Times New Roman" w:hAnsi="Times New Roman"/>
          <w:color w:val="000000" w:themeColor="text1"/>
          <w:sz w:val="20"/>
        </w:rPr>
        <w:t xml:space="preserve"> a </w:t>
      </w:r>
      <w:r w:rsidRPr="006B669F">
        <w:rPr>
          <w:rFonts w:ascii="Times New Roman" w:hAnsi="Times New Roman"/>
          <w:color w:val="000000" w:themeColor="text1"/>
          <w:sz w:val="20"/>
        </w:rPr>
        <w:t>IV</w:t>
      </w:r>
      <w:r w:rsidR="006B669F">
        <w:rPr>
          <w:rFonts w:ascii="Times New Roman" w:hAnsi="Times New Roman"/>
          <w:color w:val="000000" w:themeColor="text1"/>
          <w:sz w:val="20"/>
        </w:rPr>
        <w:t xml:space="preserve"> a </w:t>
      </w:r>
      <w:r w:rsidRPr="006B669F">
        <w:rPr>
          <w:rFonts w:ascii="Times New Roman" w:hAnsi="Times New Roman"/>
          <w:color w:val="000000" w:themeColor="text1"/>
          <w:sz w:val="20"/>
        </w:rPr>
        <w:t>doplňujúce pokyny uvedené</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prílohe</w:t>
      </w:r>
      <w:r w:rsidR="006B669F">
        <w:rPr>
          <w:rFonts w:ascii="Times New Roman" w:hAnsi="Times New Roman"/>
          <w:color w:val="000000" w:themeColor="text1"/>
          <w:sz w:val="20"/>
        </w:rPr>
        <w:t xml:space="preserve"> V k </w:t>
      </w:r>
      <w:r w:rsidRPr="006B669F">
        <w:rPr>
          <w:rFonts w:ascii="Times New Roman" w:hAnsi="Times New Roman"/>
          <w:color w:val="000000" w:themeColor="text1"/>
          <w:sz w:val="20"/>
        </w:rPr>
        <w:t>vykonávaciemu nariadeniu Komisie (EÚ) č. 680/2014</w:t>
      </w:r>
      <w:r w:rsidRPr="006B669F">
        <w:rPr>
          <w:rStyle w:val="FootnoteReference"/>
          <w:rFonts w:ascii="Times New Roman" w:hAnsi="Times New Roman"/>
          <w:sz w:val="20"/>
        </w:rPr>
        <w:footnoteReference w:id="1"/>
      </w:r>
      <w:r w:rsidRPr="006B669F">
        <w:rPr>
          <w:rFonts w:ascii="Times New Roman" w:hAnsi="Times New Roman"/>
          <w:color w:val="000000" w:themeColor="text1"/>
          <w:sz w:val="20"/>
        </w:rPr>
        <w:t>;</w:t>
      </w:r>
    </w:p>
    <w:p w:rsidR="00D920E5" w:rsidRPr="006B669F" w:rsidRDefault="00D920E5" w:rsidP="007C4DBB">
      <w:pPr>
        <w:pStyle w:val="ListParagraph"/>
        <w:numPr>
          <w:ilvl w:val="0"/>
          <w:numId w:val="18"/>
        </w:numPr>
        <w:ind w:left="1074"/>
        <w:jc w:val="both"/>
        <w:rPr>
          <w:rFonts w:ascii="Times New Roman" w:hAnsi="Times New Roman"/>
          <w:color w:val="000000" w:themeColor="text1"/>
          <w:sz w:val="20"/>
          <w:szCs w:val="20"/>
        </w:rPr>
      </w:pPr>
      <w:r w:rsidRPr="006B669F">
        <w:rPr>
          <w:rFonts w:ascii="Times New Roman" w:hAnsi="Times New Roman"/>
          <w:color w:val="000000" w:themeColor="text1"/>
          <w:sz w:val="20"/>
        </w:rPr>
        <w:t>„COREP (OF)“ sú prílohy I (vzory)</w:t>
      </w:r>
      <w:r w:rsidR="006B669F">
        <w:rPr>
          <w:rFonts w:ascii="Times New Roman" w:hAnsi="Times New Roman"/>
          <w:color w:val="000000" w:themeColor="text1"/>
          <w:sz w:val="20"/>
        </w:rPr>
        <w:t xml:space="preserve"> a </w:t>
      </w:r>
      <w:r w:rsidRPr="006B669F">
        <w:rPr>
          <w:rFonts w:ascii="Times New Roman" w:hAnsi="Times New Roman"/>
          <w:color w:val="000000" w:themeColor="text1"/>
          <w:sz w:val="20"/>
        </w:rPr>
        <w:t>II (pokyny)</w:t>
      </w:r>
      <w:r w:rsidR="006B669F">
        <w:rPr>
          <w:rFonts w:ascii="Times New Roman" w:hAnsi="Times New Roman"/>
          <w:color w:val="000000" w:themeColor="text1"/>
          <w:sz w:val="20"/>
        </w:rPr>
        <w:t xml:space="preserve"> k </w:t>
      </w:r>
      <w:r w:rsidRPr="006B669F">
        <w:rPr>
          <w:rFonts w:ascii="Times New Roman" w:hAnsi="Times New Roman"/>
          <w:color w:val="000000" w:themeColor="text1"/>
          <w:sz w:val="20"/>
        </w:rPr>
        <w:t>vykonávaciemu nariadeniu (EÚ) č. 680/2014;</w:t>
      </w:r>
    </w:p>
    <w:p w:rsidR="00D920E5" w:rsidRPr="006B669F" w:rsidRDefault="00D920E5" w:rsidP="007C4DBB">
      <w:pPr>
        <w:pStyle w:val="ListParagraph"/>
        <w:numPr>
          <w:ilvl w:val="0"/>
          <w:numId w:val="18"/>
        </w:numPr>
        <w:ind w:left="1074"/>
        <w:jc w:val="both"/>
        <w:rPr>
          <w:rFonts w:ascii="Times New Roman" w:hAnsi="Times New Roman"/>
          <w:color w:val="000000" w:themeColor="text1"/>
          <w:sz w:val="20"/>
          <w:szCs w:val="20"/>
        </w:rPr>
      </w:pPr>
      <w:r w:rsidRPr="006B669F">
        <w:rPr>
          <w:rFonts w:ascii="Times New Roman" w:hAnsi="Times New Roman"/>
          <w:color w:val="000000" w:themeColor="text1"/>
          <w:sz w:val="20"/>
        </w:rPr>
        <w:t>„COREP (LR)“ sú prílohy X (vzory)</w:t>
      </w:r>
      <w:r w:rsidR="006B669F">
        <w:rPr>
          <w:rFonts w:ascii="Times New Roman" w:hAnsi="Times New Roman"/>
          <w:color w:val="000000" w:themeColor="text1"/>
          <w:sz w:val="20"/>
        </w:rPr>
        <w:t xml:space="preserve"> a </w:t>
      </w:r>
      <w:r w:rsidRPr="006B669F">
        <w:rPr>
          <w:rFonts w:ascii="Times New Roman" w:hAnsi="Times New Roman"/>
          <w:color w:val="000000" w:themeColor="text1"/>
          <w:sz w:val="20"/>
        </w:rPr>
        <w:t>XI (pokyny)</w:t>
      </w:r>
      <w:r w:rsidR="006B669F">
        <w:rPr>
          <w:rFonts w:ascii="Times New Roman" w:hAnsi="Times New Roman"/>
          <w:color w:val="000000" w:themeColor="text1"/>
          <w:sz w:val="20"/>
        </w:rPr>
        <w:t xml:space="preserve"> k </w:t>
      </w:r>
      <w:r w:rsidRPr="006B669F">
        <w:rPr>
          <w:rFonts w:ascii="Times New Roman" w:hAnsi="Times New Roman"/>
          <w:color w:val="000000" w:themeColor="text1"/>
          <w:sz w:val="20"/>
        </w:rPr>
        <w:t>vykonávaciemu nariadeniu (EÚ) č.</w:t>
      </w:r>
      <w:r w:rsidR="00BB7962">
        <w:rPr>
          <w:rFonts w:ascii="Times New Roman" w:hAnsi="Times New Roman"/>
          <w:color w:val="000000" w:themeColor="text1"/>
          <w:sz w:val="20"/>
        </w:rPr>
        <w:t> </w:t>
      </w:r>
      <w:r w:rsidRPr="006B669F">
        <w:rPr>
          <w:rFonts w:ascii="Times New Roman" w:hAnsi="Times New Roman"/>
          <w:color w:val="000000" w:themeColor="text1"/>
          <w:sz w:val="20"/>
        </w:rPr>
        <w:t>680/2014;</w:t>
      </w:r>
    </w:p>
    <w:p w:rsidR="00B466DD" w:rsidRPr="006B669F" w:rsidRDefault="00B466DD" w:rsidP="00715DAB">
      <w:pPr>
        <w:pStyle w:val="ListParagraph"/>
        <w:numPr>
          <w:ilvl w:val="0"/>
          <w:numId w:val="18"/>
        </w:numPr>
        <w:ind w:left="1074"/>
        <w:jc w:val="both"/>
        <w:rPr>
          <w:rFonts w:ascii="Times New Roman" w:hAnsi="Times New Roman"/>
          <w:color w:val="000000" w:themeColor="text1"/>
          <w:sz w:val="20"/>
          <w:szCs w:val="20"/>
        </w:rPr>
      </w:pPr>
      <w:r w:rsidRPr="006B669F">
        <w:rPr>
          <w:rFonts w:ascii="Times New Roman" w:hAnsi="Times New Roman"/>
          <w:color w:val="000000" w:themeColor="text1"/>
          <w:sz w:val="20"/>
        </w:rPr>
        <w:t>„FSB“ je Rada pre finančnú stabilitu;</w:t>
      </w:r>
    </w:p>
    <w:p w:rsidR="00E52C33" w:rsidRPr="006B669F" w:rsidRDefault="00E52C33" w:rsidP="0072422B">
      <w:pPr>
        <w:pStyle w:val="ListParagraph"/>
        <w:numPr>
          <w:ilvl w:val="0"/>
          <w:numId w:val="18"/>
        </w:numPr>
        <w:ind w:left="1074"/>
        <w:jc w:val="both"/>
        <w:rPr>
          <w:rFonts w:ascii="Times New Roman" w:hAnsi="Times New Roman"/>
          <w:color w:val="000000" w:themeColor="text1"/>
          <w:sz w:val="20"/>
          <w:szCs w:val="20"/>
        </w:rPr>
      </w:pPr>
      <w:r w:rsidRPr="006B669F">
        <w:rPr>
          <w:rFonts w:ascii="Times New Roman" w:hAnsi="Times New Roman"/>
          <w:color w:val="000000" w:themeColor="text1"/>
          <w:sz w:val="20"/>
        </w:rPr>
        <w:t>„IAS“ sú medzinárodné účtovné normy podľa vymedzenia</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článku 2 nariadenia Európskeho parlamentu</w:t>
      </w:r>
      <w:r w:rsidR="006B669F">
        <w:rPr>
          <w:rFonts w:ascii="Times New Roman" w:hAnsi="Times New Roman"/>
          <w:color w:val="000000" w:themeColor="text1"/>
          <w:sz w:val="20"/>
        </w:rPr>
        <w:t xml:space="preserve"> a </w:t>
      </w:r>
      <w:r w:rsidRPr="006B669F">
        <w:rPr>
          <w:rFonts w:ascii="Times New Roman" w:hAnsi="Times New Roman"/>
          <w:color w:val="000000" w:themeColor="text1"/>
          <w:sz w:val="20"/>
        </w:rPr>
        <w:t>Rady (ES) č. 1606/2002</w:t>
      </w:r>
      <w:r w:rsidRPr="006B669F">
        <w:rPr>
          <w:vertAlign w:val="superscript"/>
        </w:rPr>
        <w:footnoteReference w:id="2"/>
      </w:r>
      <w:r w:rsidRPr="006B669F">
        <w:rPr>
          <w:rFonts w:ascii="Times New Roman" w:hAnsi="Times New Roman"/>
          <w:color w:val="000000" w:themeColor="text1"/>
          <w:sz w:val="20"/>
        </w:rPr>
        <w:t>.</w:t>
      </w:r>
    </w:p>
    <w:p w:rsidR="0036168C" w:rsidRPr="006B669F" w:rsidRDefault="0036168C" w:rsidP="00715DAB">
      <w:pPr>
        <w:pStyle w:val="ListParagraph"/>
        <w:numPr>
          <w:ilvl w:val="0"/>
          <w:numId w:val="18"/>
        </w:numPr>
        <w:ind w:left="1074"/>
        <w:jc w:val="both"/>
        <w:rPr>
          <w:rFonts w:ascii="Times New Roman" w:hAnsi="Times New Roman"/>
          <w:color w:val="000000" w:themeColor="text1"/>
          <w:sz w:val="20"/>
          <w:szCs w:val="20"/>
        </w:rPr>
      </w:pPr>
      <w:r w:rsidRPr="006B669F">
        <w:rPr>
          <w:rFonts w:ascii="Times New Roman" w:hAnsi="Times New Roman"/>
          <w:color w:val="000000" w:themeColor="text1"/>
          <w:sz w:val="20"/>
        </w:rPr>
        <w:t>„IFRS“ sú medzinárodné normy pre finančné výkazníctvo podľa vymedzenia</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článku 2 nariadenia (ES) č. 1606/2002</w:t>
      </w:r>
      <w:r w:rsidRPr="006B669F">
        <w:rPr>
          <w:rStyle w:val="FootnoteReference"/>
          <w:rFonts w:ascii="Times New Roman" w:hAnsi="Times New Roman"/>
          <w:color w:val="000000" w:themeColor="text1"/>
          <w:sz w:val="20"/>
        </w:rPr>
        <w:footnoteReference w:id="3"/>
      </w:r>
      <w:r w:rsidRPr="006B669F">
        <w:rPr>
          <w:rFonts w:ascii="Times New Roman" w:hAnsi="Times New Roman"/>
          <w:color w:val="000000" w:themeColor="text1"/>
          <w:sz w:val="20"/>
        </w:rPr>
        <w:t>;</w:t>
      </w:r>
    </w:p>
    <w:p w:rsidR="007D568C" w:rsidRPr="006B669F" w:rsidRDefault="00CC130F" w:rsidP="00715DAB">
      <w:pPr>
        <w:pStyle w:val="ListParagraph"/>
        <w:numPr>
          <w:ilvl w:val="0"/>
          <w:numId w:val="18"/>
        </w:numPr>
        <w:ind w:left="1074"/>
        <w:jc w:val="both"/>
        <w:rPr>
          <w:rFonts w:ascii="Times New Roman" w:hAnsi="Times New Roman"/>
          <w:color w:val="000000" w:themeColor="text1"/>
          <w:sz w:val="20"/>
          <w:szCs w:val="20"/>
        </w:rPr>
      </w:pPr>
      <w:r w:rsidRPr="006B669F">
        <w:rPr>
          <w:rFonts w:ascii="Times New Roman" w:hAnsi="Times New Roman"/>
          <w:color w:val="000000" w:themeColor="text1"/>
          <w:sz w:val="20"/>
        </w:rPr>
        <w:t>„Kód LEI“ je identifikačný kód právnickej osoby, ktorého cieľom je dosiahnuť jedinečnú</w:t>
      </w:r>
      <w:r w:rsidR="006B669F">
        <w:rPr>
          <w:rFonts w:ascii="Times New Roman" w:hAnsi="Times New Roman"/>
          <w:color w:val="000000" w:themeColor="text1"/>
          <w:sz w:val="20"/>
        </w:rPr>
        <w:t xml:space="preserve"> a </w:t>
      </w:r>
      <w:r w:rsidRPr="006B669F">
        <w:rPr>
          <w:rFonts w:ascii="Times New Roman" w:hAnsi="Times New Roman"/>
          <w:color w:val="000000" w:themeColor="text1"/>
          <w:sz w:val="20"/>
        </w:rPr>
        <w:t>celosvetovo platnú identifikáciu strán finančných transakcií, navrhnutý Radou pre finančnú stabilitu (FSB)</w:t>
      </w:r>
      <w:r w:rsidR="006B669F">
        <w:rPr>
          <w:rFonts w:ascii="Times New Roman" w:hAnsi="Times New Roman"/>
          <w:color w:val="000000" w:themeColor="text1"/>
          <w:sz w:val="20"/>
        </w:rPr>
        <w:t xml:space="preserve"> a </w:t>
      </w:r>
      <w:r w:rsidRPr="006B669F">
        <w:rPr>
          <w:rFonts w:ascii="Times New Roman" w:hAnsi="Times New Roman"/>
          <w:color w:val="000000" w:themeColor="text1"/>
          <w:sz w:val="20"/>
        </w:rPr>
        <w:t xml:space="preserve">schválený skupinou G20. Kým sa celosvetový systém LEI stane plne funkčným, protistranám prideľuje predbežné kódy LEI miestna operačná jednotka, ktorú schválil Výbor pre regulačný dohľad nad systémom identifikátorov právnických osôb (ROC; podrobné informácie možno nájsť na webovej lokalite: </w:t>
      </w:r>
      <w:hyperlink r:id="rId9">
        <w:r w:rsidRPr="00310799">
          <w:rPr>
            <w:rStyle w:val="Hyperlink"/>
            <w:rFonts w:ascii="Times New Roman" w:hAnsi="Times New Roman"/>
            <w:color w:val="000000" w:themeColor="text1"/>
            <w:sz w:val="20"/>
          </w:rPr>
          <w:t>www.leiroc.org</w:t>
        </w:r>
      </w:hyperlink>
      <w:r w:rsidRPr="006B669F">
        <w:rPr>
          <w:rFonts w:ascii="Times New Roman" w:hAnsi="Times New Roman"/>
          <w:color w:val="000000" w:themeColor="text1"/>
          <w:sz w:val="20"/>
        </w:rPr>
        <w:t>). Keď pre danú protistranu existuje identifikátor právnickej osoby (kód LEI), musí sa použiť na identifikáciu tejto protistrany;</w:t>
      </w:r>
    </w:p>
    <w:p w:rsidR="00B466DD" w:rsidRPr="006B669F" w:rsidRDefault="00B466DD" w:rsidP="007C4DBB">
      <w:pPr>
        <w:pStyle w:val="ListParagraph"/>
        <w:numPr>
          <w:ilvl w:val="0"/>
          <w:numId w:val="18"/>
        </w:numPr>
        <w:ind w:left="1074"/>
        <w:jc w:val="both"/>
        <w:rPr>
          <w:rFonts w:ascii="Times New Roman" w:hAnsi="Times New Roman"/>
          <w:color w:val="000000" w:themeColor="text1"/>
          <w:sz w:val="20"/>
          <w:szCs w:val="20"/>
        </w:rPr>
      </w:pPr>
      <w:r w:rsidRPr="006B669F">
        <w:rPr>
          <w:rFonts w:ascii="Times New Roman" w:hAnsi="Times New Roman"/>
          <w:color w:val="000000" w:themeColor="text1"/>
          <w:sz w:val="20"/>
        </w:rPr>
        <w:t>„Národné GAAP“ alebo „národné všeobecne prijaté účtovné zásady“ sú národné účtovné rámce vypracované podľa smernice 86/635/EHS</w:t>
      </w:r>
      <w:r w:rsidRPr="006B669F">
        <w:rPr>
          <w:rStyle w:val="FootnoteReference"/>
          <w:color w:val="000000" w:themeColor="text1"/>
        </w:rPr>
        <w:footnoteReference w:id="4"/>
      </w:r>
      <w:r w:rsidRPr="006B669F">
        <w:rPr>
          <w:rFonts w:ascii="Times New Roman" w:hAnsi="Times New Roman"/>
          <w:color w:val="000000" w:themeColor="text1"/>
          <w:sz w:val="20"/>
        </w:rPr>
        <w:t>.</w:t>
      </w:r>
    </w:p>
    <w:p w:rsidR="005E66E5" w:rsidRPr="006B669F" w:rsidRDefault="005E66E5" w:rsidP="00FA2A1A">
      <w:pPr>
        <w:pStyle w:val="ListParagraph"/>
        <w:ind w:left="1074"/>
        <w:rPr>
          <w:rFonts w:ascii="Times New Roman" w:hAnsi="Times New Roman"/>
          <w:color w:val="000000" w:themeColor="text1"/>
          <w:sz w:val="20"/>
          <w:szCs w:val="20"/>
        </w:rPr>
      </w:pPr>
    </w:p>
    <w:p w:rsidR="002B2A61" w:rsidRPr="00310799" w:rsidRDefault="002B2A61" w:rsidP="008854E4">
      <w:pPr>
        <w:pStyle w:val="Instructionsberschrift2"/>
        <w:numPr>
          <w:ilvl w:val="1"/>
          <w:numId w:val="7"/>
        </w:numPr>
        <w:ind w:left="357" w:hanging="357"/>
        <w:rPr>
          <w:rFonts w:ascii="Times New Roman" w:hAnsi="Times New Roman" w:cs="Times New Roman"/>
          <w:szCs w:val="20"/>
        </w:rPr>
      </w:pPr>
      <w:bookmarkStart w:id="8" w:name="_Toc509909035"/>
      <w:bookmarkStart w:id="9" w:name="_Toc525209025"/>
      <w:r w:rsidRPr="00310799">
        <w:rPr>
          <w:rFonts w:ascii="Times New Roman" w:hAnsi="Times New Roman"/>
        </w:rPr>
        <w:t>Účtovné štandardy</w:t>
      </w:r>
      <w:bookmarkEnd w:id="8"/>
      <w:bookmarkEnd w:id="9"/>
    </w:p>
    <w:p w:rsidR="006B669F" w:rsidRDefault="00A75967" w:rsidP="004F233C">
      <w:pPr>
        <w:pStyle w:val="numberedparagraph"/>
      </w:pPr>
      <w:r w:rsidRPr="006B669F">
        <w:t>Pokiaľ nie je</w:t>
      </w:r>
      <w:r w:rsidR="006B669F">
        <w:t xml:space="preserve"> v </w:t>
      </w:r>
      <w:r w:rsidRPr="006B669F">
        <w:t>týchto pokynoch stanovené inak, inštitúcie vykazujú všetky sumy na základe účtovného rámca, ktorý používajú na vykazovanie finančných informácií</w:t>
      </w:r>
      <w:r w:rsidR="006B669F">
        <w:t xml:space="preserve"> v </w:t>
      </w:r>
      <w:r w:rsidRPr="006B669F">
        <w:t>súlade</w:t>
      </w:r>
      <w:r w:rsidR="006B669F">
        <w:t xml:space="preserve"> s </w:t>
      </w:r>
      <w:r w:rsidRPr="006B669F">
        <w:t>článkami 9 až 11 vykonávacieho nariadenia (EÚ) č. 680/2014. Inštitúcie, ktoré nie sú povinné vykazovať finančné informácie</w:t>
      </w:r>
      <w:r w:rsidR="006B669F">
        <w:t xml:space="preserve"> v </w:t>
      </w:r>
      <w:r w:rsidRPr="006B669F">
        <w:t>súlade</w:t>
      </w:r>
      <w:r w:rsidR="006B669F">
        <w:t xml:space="preserve"> s </w:t>
      </w:r>
      <w:r w:rsidRPr="006B669F">
        <w:t>vykonávacím nariadením (EÚ) č. 680/2014, uplatňujú pravidlá svojho príslušného účtovného rámca</w:t>
      </w:r>
      <w:r w:rsidR="006B669F">
        <w:t>.</w:t>
      </w:r>
    </w:p>
    <w:p w:rsidR="002B2A61" w:rsidRPr="006B669F" w:rsidRDefault="002B2A61" w:rsidP="004F233C">
      <w:pPr>
        <w:pStyle w:val="numberedparagraph"/>
      </w:pPr>
      <w:r w:rsidRPr="006B669F">
        <w:t>Pre inštitúcie, ktoré vykazujú podľa štandardov IFRS, boli vložené odkazy na príslušné štandardy IFRS.</w:t>
      </w:r>
    </w:p>
    <w:p w:rsidR="00D2262D" w:rsidRPr="00310799" w:rsidRDefault="0015524E" w:rsidP="008854E4">
      <w:pPr>
        <w:pStyle w:val="Instructionsberschrift2"/>
        <w:numPr>
          <w:ilvl w:val="1"/>
          <w:numId w:val="7"/>
        </w:numPr>
        <w:ind w:left="357" w:hanging="357"/>
        <w:rPr>
          <w:rFonts w:ascii="Times New Roman" w:hAnsi="Times New Roman" w:cs="Times New Roman"/>
          <w:szCs w:val="20"/>
        </w:rPr>
      </w:pPr>
      <w:bookmarkStart w:id="10" w:name="_Toc509909036"/>
      <w:bookmarkStart w:id="11" w:name="_Toc525209026"/>
      <w:r w:rsidRPr="00310799">
        <w:rPr>
          <w:rFonts w:ascii="Times New Roman" w:hAnsi="Times New Roman"/>
        </w:rPr>
        <w:t>Rozsah pôsobnosti konsolidácie</w:t>
      </w:r>
      <w:bookmarkEnd w:id="10"/>
      <w:bookmarkEnd w:id="11"/>
    </w:p>
    <w:p w:rsidR="00CF3051" w:rsidRPr="006B669F" w:rsidRDefault="00883A6B" w:rsidP="004F233C">
      <w:pPr>
        <w:pStyle w:val="numberedparagraph"/>
      </w:pPr>
      <w:r w:rsidRPr="006B669F">
        <w:t>Tento rámec</w:t>
      </w:r>
      <w:r w:rsidR="006B669F">
        <w:t xml:space="preserve"> v </w:t>
      </w:r>
      <w:r w:rsidRPr="006B669F">
        <w:t>závislosti od vzoru odkazuje na:</w:t>
      </w:r>
    </w:p>
    <w:p w:rsidR="00CF3051" w:rsidRPr="006B669F" w:rsidRDefault="00883A6B" w:rsidP="004F233C">
      <w:pPr>
        <w:pStyle w:val="numberedparagraph"/>
        <w:numPr>
          <w:ilvl w:val="0"/>
          <w:numId w:val="39"/>
        </w:numPr>
      </w:pPr>
      <w:r w:rsidRPr="006B669F">
        <w:t>konsolidáciu na základe účtovnej konsolidácie (subjekty zahrnuté do konsolidovaných účtovných závierok podľa uplatniteľného účtovného rámca);</w:t>
      </w:r>
    </w:p>
    <w:p w:rsidR="006B669F" w:rsidRDefault="00883A6B" w:rsidP="004F233C">
      <w:pPr>
        <w:pStyle w:val="numberedparagraph"/>
        <w:numPr>
          <w:ilvl w:val="0"/>
          <w:numId w:val="39"/>
        </w:numPr>
      </w:pPr>
      <w:r w:rsidRPr="006B669F">
        <w:t>prudenciálnu konsolidáciu [subjekty</w:t>
      </w:r>
      <w:r w:rsidR="006B669F">
        <w:t xml:space="preserve"> v </w:t>
      </w:r>
      <w:r w:rsidRPr="006B669F">
        <w:t>rozsahu pôsobnosti konsolidácie podľa prvej časti hlavy II kapitoly 2 nariadenia Európskeho parlamentu</w:t>
      </w:r>
      <w:r w:rsidR="006B669F">
        <w:t xml:space="preserve"> a </w:t>
      </w:r>
      <w:r w:rsidRPr="006B669F">
        <w:t>Rady (EÚ) č. 575/2013</w:t>
      </w:r>
      <w:r w:rsidRPr="006B669F">
        <w:rPr>
          <w:rStyle w:val="FootnoteReference"/>
        </w:rPr>
        <w:footnoteReference w:id="5"/>
      </w:r>
      <w:r w:rsidRPr="006B669F">
        <w:t>] na úrovni materskej spoločnosti</w:t>
      </w:r>
      <w:r w:rsidR="006B669F">
        <w:t xml:space="preserve"> v </w:t>
      </w:r>
      <w:r w:rsidRPr="006B669F">
        <w:t>Únii</w:t>
      </w:r>
      <w:r w:rsidR="006B669F">
        <w:t>;</w:t>
      </w:r>
    </w:p>
    <w:p w:rsidR="00CF3051" w:rsidRPr="006B669F" w:rsidRDefault="00883A6B" w:rsidP="004F233C">
      <w:pPr>
        <w:pStyle w:val="numberedparagraph"/>
        <w:numPr>
          <w:ilvl w:val="0"/>
          <w:numId w:val="39"/>
        </w:numPr>
      </w:pPr>
      <w:r w:rsidRPr="006B669F">
        <w:t>konsolidáciu na úrovni subjektu, ktorého krízová situácia sa rieši, pre skupinu, ktorej krízová situácia sa rieši.</w:t>
      </w:r>
    </w:p>
    <w:p w:rsidR="00883A6B" w:rsidRPr="006B669F" w:rsidRDefault="009E43E8" w:rsidP="004F233C">
      <w:pPr>
        <w:pStyle w:val="numberedparagraph"/>
      </w:pPr>
      <w:r w:rsidRPr="006B669F">
        <w:lastRenderedPageBreak/>
        <w:t>Inštitúcie dodržiavajú pri každom vzore základy konsolidácie alebo základy uplatniteľné podľa článku 4 tohto nariadenia.</w:t>
      </w:r>
    </w:p>
    <w:p w:rsidR="0028403B" w:rsidRPr="00310799" w:rsidRDefault="00863EFA" w:rsidP="008854E4">
      <w:pPr>
        <w:pStyle w:val="Instructionsberschrift2"/>
        <w:numPr>
          <w:ilvl w:val="1"/>
          <w:numId w:val="7"/>
        </w:numPr>
        <w:ind w:left="357" w:hanging="357"/>
        <w:rPr>
          <w:rFonts w:ascii="Times New Roman" w:hAnsi="Times New Roman" w:cs="Times New Roman"/>
          <w:szCs w:val="20"/>
        </w:rPr>
      </w:pPr>
      <w:bookmarkStart w:id="12" w:name="_Toc509909037"/>
      <w:bookmarkStart w:id="13" w:name="_Toc525209027"/>
      <w:r w:rsidRPr="00310799">
        <w:rPr>
          <w:rFonts w:ascii="Times New Roman" w:hAnsi="Times New Roman"/>
        </w:rPr>
        <w:t>Číslovanie</w:t>
      </w:r>
      <w:r w:rsidR="006B669F" w:rsidRPr="00310799">
        <w:rPr>
          <w:rFonts w:ascii="Times New Roman" w:hAnsi="Times New Roman"/>
        </w:rPr>
        <w:t xml:space="preserve"> a </w:t>
      </w:r>
      <w:r w:rsidRPr="00310799">
        <w:rPr>
          <w:rFonts w:ascii="Times New Roman" w:hAnsi="Times New Roman"/>
        </w:rPr>
        <w:t>iné pravidlá</w:t>
      </w:r>
      <w:bookmarkEnd w:id="12"/>
      <w:bookmarkEnd w:id="13"/>
    </w:p>
    <w:p w:rsidR="00863EFA" w:rsidRPr="006B669F" w:rsidRDefault="00863EFA" w:rsidP="004F233C">
      <w:pPr>
        <w:pStyle w:val="numberedparagraph"/>
      </w:pPr>
      <w:r w:rsidRPr="006B669F">
        <w:t>Pri odkazovaní na stĺpce, riadky</w:t>
      </w:r>
      <w:r w:rsidR="006B669F">
        <w:t xml:space="preserve"> a </w:t>
      </w:r>
      <w:r w:rsidRPr="006B669F">
        <w:t>bunky vzorov sa</w:t>
      </w:r>
      <w:r w:rsidR="006B669F">
        <w:t xml:space="preserve"> v </w:t>
      </w:r>
      <w:r w:rsidRPr="006B669F">
        <w:t>týchto pokynoch dodržiava ďalej uvedené pravidlo označovania. Tieto číselné kódy sa vo veľkej miere používajú</w:t>
      </w:r>
      <w:r w:rsidR="006B669F">
        <w:t xml:space="preserve"> v </w:t>
      </w:r>
      <w:r w:rsidRPr="006B669F">
        <w:t>pravidlách validácie.</w:t>
      </w:r>
    </w:p>
    <w:p w:rsidR="00863EFA" w:rsidRPr="006B669F" w:rsidRDefault="00863EFA" w:rsidP="004F233C">
      <w:pPr>
        <w:pStyle w:val="numberedparagraph"/>
      </w:pPr>
      <w:r w:rsidRPr="006B669F">
        <w:t>V týchto pokynoch sa pri odkazovaní na stĺpce, riadky</w:t>
      </w:r>
      <w:r w:rsidR="006B669F">
        <w:t xml:space="preserve"> a </w:t>
      </w:r>
      <w:r w:rsidRPr="006B669F">
        <w:t>bunky vzoru používa tento všeobecný zápis: {vzor;riadok;stĺpec}.</w:t>
      </w:r>
    </w:p>
    <w:p w:rsidR="00863EFA" w:rsidRPr="006B669F" w:rsidRDefault="00863EFA" w:rsidP="004F233C">
      <w:pPr>
        <w:pStyle w:val="numberedparagraph"/>
      </w:pPr>
      <w:r w:rsidRPr="006B669F">
        <w:t>V prípade validácií</w:t>
      </w:r>
      <w:r w:rsidR="006B669F">
        <w:t xml:space="preserve"> v </w:t>
      </w:r>
      <w:r w:rsidRPr="006B669F">
        <w:t>rámci vzoru,</w:t>
      </w:r>
      <w:r w:rsidR="006B669F">
        <w:t xml:space="preserve"> v </w:t>
      </w:r>
      <w:r w:rsidRPr="006B669F">
        <w:t>ktorom sa používajú len údajové body daného vzoru, zápisy neodkazujú na vzor: {riadok;stĺpec}.</w:t>
      </w:r>
    </w:p>
    <w:p w:rsidR="00863EFA" w:rsidRPr="006B669F" w:rsidRDefault="00863EFA" w:rsidP="004F233C">
      <w:pPr>
        <w:pStyle w:val="numberedparagraph"/>
      </w:pPr>
      <w:r w:rsidRPr="006B669F">
        <w:t>V prípade vzorov len</w:t>
      </w:r>
      <w:r w:rsidR="006B669F">
        <w:t xml:space="preserve"> s </w:t>
      </w:r>
      <w:r w:rsidRPr="006B669F">
        <w:t>jedným stĺpcom sa odkazuje len na riadky: {vzor;riadok}.</w:t>
      </w:r>
    </w:p>
    <w:p w:rsidR="00863EFA" w:rsidRPr="006B669F" w:rsidRDefault="00863EFA" w:rsidP="004F233C">
      <w:pPr>
        <w:pStyle w:val="numberedparagraph"/>
      </w:pPr>
      <w:r w:rsidRPr="006B669F">
        <w:t>Symbol hviezdičky sa používa na vyjadrenie toho, že validácia je vykonaná pre skôr vymedzené riadky alebo stĺpce.</w:t>
      </w:r>
    </w:p>
    <w:p w:rsidR="00E857A0" w:rsidRPr="006B669F" w:rsidRDefault="00B343C7" w:rsidP="004F233C">
      <w:pPr>
        <w:pStyle w:val="numberedparagraph"/>
      </w:pPr>
      <w:r w:rsidRPr="006B669F">
        <w:t>Ak sa informačná položka nevzťahuje na subjekty, za ktoré sa predkladá správa, príslušné pole sa ponechá prázdne.</w:t>
      </w:r>
    </w:p>
    <w:p w:rsidR="00E108B3" w:rsidRPr="006B669F" w:rsidRDefault="00E108B3" w:rsidP="004F233C">
      <w:pPr>
        <w:pStyle w:val="numberedparagraph"/>
      </w:pPr>
      <w:r w:rsidRPr="006B669F">
        <w:t>Ak sa</w:t>
      </w:r>
      <w:r w:rsidR="006B669F">
        <w:t xml:space="preserve"> v </w:t>
      </w:r>
      <w:r w:rsidRPr="006B669F">
        <w:t>týchto pokynoch odkazuje na primárny kľúč, znamená to stĺpec alebo kombináciu stĺpcov určených na jedinečnú identifikáciu všetkých riadkov vzoru. Primárny kľúč obsahuje jedinečnú hodnotu pre každý riadok vzoru. Nesmie obsahovať nulovú hodnotu.</w:t>
      </w:r>
    </w:p>
    <w:p w:rsidR="001E5EDF" w:rsidRPr="00310799" w:rsidRDefault="001E5EDF" w:rsidP="008854E4">
      <w:pPr>
        <w:pStyle w:val="Instructionsberschrift2"/>
        <w:numPr>
          <w:ilvl w:val="0"/>
          <w:numId w:val="7"/>
        </w:numPr>
        <w:ind w:left="357" w:hanging="357"/>
        <w:rPr>
          <w:rFonts w:ascii="Times New Roman" w:hAnsi="Times New Roman" w:cs="Times New Roman"/>
          <w:szCs w:val="20"/>
        </w:rPr>
      </w:pPr>
      <w:bookmarkStart w:id="14" w:name="_Toc492542319"/>
      <w:bookmarkStart w:id="15" w:name="_Toc509909038"/>
      <w:bookmarkStart w:id="16" w:name="_Toc525209028"/>
      <w:r w:rsidRPr="00310799">
        <w:rPr>
          <w:rFonts w:ascii="Times New Roman" w:hAnsi="Times New Roman"/>
        </w:rPr>
        <w:t>Pokyny týkajúce sa vzorov</w:t>
      </w:r>
      <w:bookmarkEnd w:id="14"/>
      <w:bookmarkEnd w:id="15"/>
      <w:bookmarkEnd w:id="16"/>
    </w:p>
    <w:p w:rsidR="00E13CE3" w:rsidRPr="00310799" w:rsidRDefault="00F7117F" w:rsidP="008854E4">
      <w:pPr>
        <w:pStyle w:val="Instructionsberschrift2"/>
        <w:numPr>
          <w:ilvl w:val="1"/>
          <w:numId w:val="7"/>
        </w:numPr>
        <w:ind w:left="357" w:hanging="357"/>
        <w:rPr>
          <w:rFonts w:ascii="Times New Roman" w:hAnsi="Times New Roman" w:cs="Times New Roman"/>
          <w:szCs w:val="20"/>
        </w:rPr>
      </w:pPr>
      <w:bookmarkStart w:id="17" w:name="_Toc493236007"/>
      <w:bookmarkStart w:id="18" w:name="_Toc509909039"/>
      <w:bookmarkStart w:id="19" w:name="_Toc525209029"/>
      <w:bookmarkEnd w:id="17"/>
      <w:r w:rsidRPr="00310799">
        <w:rPr>
          <w:rFonts w:ascii="Times New Roman" w:hAnsi="Times New Roman"/>
        </w:rPr>
        <w:t>Z 01.00 – Organizačná štruktúra (ORG)</w:t>
      </w:r>
      <w:bookmarkEnd w:id="18"/>
      <w:bookmarkEnd w:id="19"/>
    </w:p>
    <w:p w:rsidR="00E13CE3" w:rsidRPr="00310799" w:rsidRDefault="00E13CE3" w:rsidP="00EC261B">
      <w:pPr>
        <w:pStyle w:val="Instructionsberschrift3"/>
      </w:pPr>
      <w:r w:rsidRPr="00310799">
        <w:t>Všeobecné poznámky</w:t>
      </w:r>
    </w:p>
    <w:p w:rsidR="006B669F" w:rsidRDefault="00E13CE3" w:rsidP="004F233C">
      <w:pPr>
        <w:pStyle w:val="numberedparagraph"/>
      </w:pPr>
      <w:r w:rsidRPr="006B669F">
        <w:t>Tento vzor poskytuje prehľad</w:t>
      </w:r>
      <w:r w:rsidR="006B669F">
        <w:t xml:space="preserve"> o </w:t>
      </w:r>
      <w:r w:rsidRPr="006B669F">
        <w:t>právnej</w:t>
      </w:r>
      <w:r w:rsidR="006B669F">
        <w:t xml:space="preserve"> a </w:t>
      </w:r>
      <w:r w:rsidRPr="006B669F">
        <w:t>vlastníckej štruktúre skupiny. Vo vzťahu ku všetkým subjektom skupiny, ktoré spĺňajú minimálnu prahovú hodnotu stanovenú</w:t>
      </w:r>
      <w:r w:rsidR="006B669F">
        <w:t xml:space="preserve"> v </w:t>
      </w:r>
      <w:r w:rsidRPr="006B669F">
        <w:t>článku 4 ods. 2 písm. a) tohto nariadenia, sa predkladá jeden vzor.</w:t>
      </w:r>
      <w:r w:rsidR="006B669F">
        <w:t xml:space="preserve"> V </w:t>
      </w:r>
      <w:r w:rsidRPr="006B669F">
        <w:t>tomto vzore sa identifikujú len právnické osoby</w:t>
      </w:r>
      <w:r w:rsidR="006B669F">
        <w:t>.</w:t>
      </w:r>
    </w:p>
    <w:p w:rsidR="00E13CE3" w:rsidRPr="00310799" w:rsidRDefault="00AF189E" w:rsidP="00EC261B">
      <w:pPr>
        <w:pStyle w:val="Instructionsberschrift3"/>
      </w:pPr>
      <w:r w:rsidRPr="00310799">
        <w:t>Pokyny týkajúce sa konkrétnych pozícií</w:t>
      </w:r>
    </w:p>
    <w:p w:rsidR="00E13CE3" w:rsidRPr="006B669F" w:rsidRDefault="00E13CE3" w:rsidP="00E13CE3">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694"/>
        <w:gridCol w:w="8389"/>
      </w:tblGrid>
      <w:tr w:rsidR="00D22EB0" w:rsidRPr="006B669F" w:rsidTr="0036322A">
        <w:tc>
          <w:tcPr>
            <w:tcW w:w="0" w:type="auto"/>
            <w:tcBorders>
              <w:top w:val="single" w:sz="4" w:space="0" w:color="1A171C"/>
              <w:left w:val="nil"/>
              <w:bottom w:val="single" w:sz="4" w:space="0" w:color="1A171C"/>
              <w:right w:val="single" w:sz="4" w:space="0" w:color="1A171C"/>
            </w:tcBorders>
            <w:shd w:val="clear" w:color="auto" w:fill="E4E5E5"/>
          </w:tcPr>
          <w:p w:rsidR="00E13CE3" w:rsidRPr="006B669F" w:rsidRDefault="00E13CE3" w:rsidP="008017B4">
            <w:pPr>
              <w:pStyle w:val="TableParagraph"/>
              <w:spacing w:before="66"/>
              <w:rPr>
                <w:rFonts w:ascii="Times New Roman" w:eastAsia="Cambria" w:hAnsi="Times New Roman" w:cs="Times New Roman"/>
                <w:color w:val="000000" w:themeColor="text1"/>
                <w:sz w:val="20"/>
                <w:szCs w:val="20"/>
              </w:rPr>
            </w:pPr>
            <w:r w:rsidRPr="006B669F">
              <w:rPr>
                <w:rFonts w:ascii="Times New Roman" w:hAnsi="Times New Roman"/>
                <w:color w:val="000000" w:themeColor="text1"/>
                <w:sz w:val="20"/>
              </w:rPr>
              <w:t>Stĺpce</w:t>
            </w:r>
          </w:p>
        </w:tc>
        <w:tc>
          <w:tcPr>
            <w:tcW w:w="0" w:type="auto"/>
            <w:tcBorders>
              <w:top w:val="single" w:sz="4" w:space="0" w:color="1A171C"/>
              <w:left w:val="single" w:sz="4" w:space="0" w:color="1A171C"/>
              <w:bottom w:val="single" w:sz="4" w:space="0" w:color="1A171C"/>
              <w:right w:val="nil"/>
            </w:tcBorders>
            <w:shd w:val="clear" w:color="auto" w:fill="E4E5E5"/>
          </w:tcPr>
          <w:p w:rsidR="00E13CE3" w:rsidRPr="006B669F"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sidRPr="006B669F">
              <w:rPr>
                <w:rFonts w:ascii="Times New Roman" w:hAnsi="Times New Roman"/>
                <w:color w:val="000000" w:themeColor="text1"/>
                <w:spacing w:val="-1"/>
                <w:w w:val="90"/>
                <w:sz w:val="20"/>
              </w:rPr>
              <w:t>Pokyny</w:t>
            </w:r>
          </w:p>
        </w:tc>
      </w:tr>
      <w:tr w:rsidR="00D22EB0" w:rsidRPr="006B669F" w:rsidTr="0036322A">
        <w:tc>
          <w:tcPr>
            <w:tcW w:w="0" w:type="auto"/>
            <w:tcBorders>
              <w:top w:val="single" w:sz="4" w:space="0" w:color="1A171C"/>
              <w:left w:val="nil"/>
              <w:bottom w:val="single" w:sz="4" w:space="0" w:color="1A171C"/>
              <w:right w:val="single" w:sz="4" w:space="0" w:color="1A171C"/>
            </w:tcBorders>
          </w:tcPr>
          <w:p w:rsidR="00E13CE3" w:rsidRPr="006B669F" w:rsidRDefault="00E13CE3" w:rsidP="0063623E">
            <w:pPr>
              <w:pStyle w:val="TableParagraph"/>
              <w:spacing w:before="106"/>
              <w:ind w:left="-1"/>
              <w:rPr>
                <w:rFonts w:ascii="Times New Roman" w:eastAsia="Cambria" w:hAnsi="Times New Roman" w:cs="Times New Roman"/>
                <w:b/>
                <w:color w:val="000000" w:themeColor="text1"/>
                <w:sz w:val="20"/>
                <w:szCs w:val="20"/>
              </w:rPr>
            </w:pPr>
            <w:r w:rsidRPr="00E140EE">
              <w:rPr>
                <w:rFonts w:ascii="Times New Roman" w:hAnsi="Times New Roman"/>
                <w:b/>
                <w:color w:val="000000" w:themeColor="text1"/>
                <w:spacing w:val="-2"/>
                <w:sz w:val="20"/>
              </w:rPr>
              <w:t>0010 – 0160</w:t>
            </w:r>
          </w:p>
        </w:tc>
        <w:tc>
          <w:tcPr>
            <w:tcW w:w="0" w:type="auto"/>
            <w:tcBorders>
              <w:top w:val="single" w:sz="4" w:space="0" w:color="1A171C"/>
              <w:left w:val="single" w:sz="4" w:space="0" w:color="1A171C"/>
              <w:bottom w:val="single" w:sz="4" w:space="0" w:color="1A171C"/>
              <w:right w:val="nil"/>
            </w:tcBorders>
          </w:tcPr>
          <w:p w:rsidR="007D6F7E" w:rsidRPr="00E140EE"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sidRPr="00E140EE">
              <w:rPr>
                <w:rFonts w:ascii="Times New Roman" w:hAnsi="Times New Roman"/>
                <w:b/>
                <w:color w:val="000000" w:themeColor="text1"/>
                <w:spacing w:val="-1"/>
                <w:w w:val="95"/>
                <w:sz w:val="20"/>
              </w:rPr>
              <w:t>Subjekt</w:t>
            </w:r>
          </w:p>
        </w:tc>
      </w:tr>
      <w:tr w:rsidR="00D22EB0" w:rsidRPr="006B669F" w:rsidTr="0036322A">
        <w:tc>
          <w:tcPr>
            <w:tcW w:w="0" w:type="auto"/>
            <w:tcBorders>
              <w:top w:val="single" w:sz="4" w:space="0" w:color="1A171C"/>
              <w:left w:val="nil"/>
              <w:bottom w:val="single" w:sz="4" w:space="0" w:color="1A171C"/>
              <w:right w:val="single" w:sz="4" w:space="0" w:color="1A171C"/>
            </w:tcBorders>
          </w:tcPr>
          <w:p w:rsidR="00E13CE3" w:rsidRPr="006B669F" w:rsidRDefault="00E13CE3" w:rsidP="001E5EDF">
            <w:pPr>
              <w:pStyle w:val="TableParagraph"/>
              <w:spacing w:before="106"/>
              <w:ind w:left="-1"/>
              <w:rPr>
                <w:rFonts w:ascii="Times New Roman" w:eastAsia="Cambria" w:hAnsi="Times New Roman" w:cs="Times New Roman"/>
                <w:color w:val="000000" w:themeColor="text1"/>
                <w:sz w:val="20"/>
                <w:szCs w:val="20"/>
              </w:rPr>
            </w:pPr>
            <w:r w:rsidRPr="006B669F">
              <w:rPr>
                <w:rFonts w:ascii="Times New Roman" w:hAnsi="Times New Roman"/>
                <w:color w:val="000000" w:themeColor="text1"/>
                <w:spacing w:val="-2"/>
                <w:sz w:val="20"/>
              </w:rPr>
              <w:t>0010</w:t>
            </w:r>
          </w:p>
        </w:tc>
        <w:tc>
          <w:tcPr>
            <w:tcW w:w="0" w:type="auto"/>
            <w:tcBorders>
              <w:top w:val="single" w:sz="4" w:space="0" w:color="1A171C"/>
              <w:left w:val="single" w:sz="4" w:space="0" w:color="1A171C"/>
              <w:bottom w:val="single" w:sz="4" w:space="0" w:color="1A171C"/>
              <w:right w:val="nil"/>
            </w:tcBorders>
          </w:tcPr>
          <w:p w:rsidR="00E13CE3" w:rsidRPr="00E140EE" w:rsidRDefault="00E13CE3" w:rsidP="001E5EDF">
            <w:pPr>
              <w:pStyle w:val="TableParagraph"/>
              <w:spacing w:before="108"/>
              <w:ind w:left="85"/>
              <w:rPr>
                <w:rFonts w:ascii="Times New Roman" w:hAnsi="Times New Roman" w:cs="Times New Roman"/>
                <w:b/>
                <w:color w:val="000000" w:themeColor="text1"/>
                <w:w w:val="95"/>
                <w:sz w:val="20"/>
                <w:szCs w:val="20"/>
              </w:rPr>
            </w:pPr>
            <w:r w:rsidRPr="00E140EE">
              <w:rPr>
                <w:rFonts w:ascii="Times New Roman" w:hAnsi="Times New Roman"/>
                <w:b/>
                <w:color w:val="000000" w:themeColor="text1"/>
                <w:w w:val="95"/>
                <w:sz w:val="20"/>
              </w:rPr>
              <w:t>Názov</w:t>
            </w:r>
          </w:p>
          <w:p w:rsidR="007D6F7E" w:rsidRPr="006B669F" w:rsidRDefault="00420BE2" w:rsidP="007B56D0">
            <w:pPr>
              <w:pStyle w:val="TableParagraph"/>
              <w:spacing w:before="108"/>
              <w:ind w:left="85"/>
              <w:rPr>
                <w:rFonts w:ascii="Times New Roman" w:eastAsia="Book Antiqua" w:hAnsi="Times New Roman" w:cs="Times New Roman"/>
                <w:color w:val="000000" w:themeColor="text1"/>
                <w:sz w:val="20"/>
                <w:szCs w:val="20"/>
              </w:rPr>
            </w:pPr>
            <w:r w:rsidRPr="006B669F">
              <w:rPr>
                <w:rFonts w:ascii="Times New Roman" w:hAnsi="Times New Roman"/>
                <w:color w:val="000000" w:themeColor="text1"/>
                <w:sz w:val="20"/>
              </w:rPr>
              <w:t>Názov subjektu. Oficiálny názov, ako sa uvádza</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štatutárnych aktoch, vrátane označenia právnej formy.</w:t>
            </w:r>
          </w:p>
        </w:tc>
      </w:tr>
      <w:tr w:rsidR="00D22EB0" w:rsidRPr="006B669F" w:rsidTr="0036322A">
        <w:tc>
          <w:tcPr>
            <w:tcW w:w="0" w:type="auto"/>
            <w:tcBorders>
              <w:top w:val="single" w:sz="4" w:space="0" w:color="1A171C"/>
              <w:left w:val="nil"/>
              <w:bottom w:val="single" w:sz="4" w:space="0" w:color="1A171C"/>
              <w:right w:val="single" w:sz="4" w:space="0" w:color="1A171C"/>
            </w:tcBorders>
          </w:tcPr>
          <w:p w:rsidR="00E13CE3" w:rsidRPr="006B669F" w:rsidRDefault="00E13CE3" w:rsidP="001E5EDF">
            <w:pPr>
              <w:pStyle w:val="TableParagraph"/>
              <w:spacing w:before="106"/>
              <w:ind w:left="-1"/>
              <w:rPr>
                <w:rFonts w:ascii="Times New Roman" w:hAnsi="Times New Roman" w:cs="Times New Roman"/>
                <w:color w:val="000000" w:themeColor="text1"/>
                <w:spacing w:val="-2"/>
                <w:sz w:val="20"/>
                <w:szCs w:val="20"/>
              </w:rPr>
            </w:pPr>
            <w:r w:rsidRPr="006B669F">
              <w:rPr>
                <w:rFonts w:ascii="Times New Roman" w:hAnsi="Times New Roman"/>
                <w:color w:val="000000" w:themeColor="text1"/>
                <w:spacing w:val="-2"/>
                <w:sz w:val="20"/>
              </w:rPr>
              <w:t>0020</w:t>
            </w:r>
          </w:p>
        </w:tc>
        <w:tc>
          <w:tcPr>
            <w:tcW w:w="0" w:type="auto"/>
            <w:tcBorders>
              <w:top w:val="single" w:sz="4" w:space="0" w:color="1A171C"/>
              <w:left w:val="single" w:sz="4" w:space="0" w:color="1A171C"/>
              <w:bottom w:val="single" w:sz="4" w:space="0" w:color="1A171C"/>
              <w:right w:val="nil"/>
            </w:tcBorders>
          </w:tcPr>
          <w:p w:rsidR="00E13CE3" w:rsidRPr="00E140EE" w:rsidRDefault="009651A7" w:rsidP="00AF189E">
            <w:pPr>
              <w:pStyle w:val="TableParagraph"/>
              <w:spacing w:before="108"/>
              <w:ind w:left="85"/>
              <w:rPr>
                <w:rFonts w:ascii="Times New Roman" w:hAnsi="Times New Roman" w:cs="Times New Roman"/>
                <w:b/>
                <w:color w:val="000000" w:themeColor="text1"/>
                <w:w w:val="95"/>
                <w:sz w:val="20"/>
                <w:szCs w:val="20"/>
              </w:rPr>
            </w:pPr>
            <w:r w:rsidRPr="00E140EE">
              <w:rPr>
                <w:rFonts w:ascii="Times New Roman" w:hAnsi="Times New Roman"/>
                <w:b/>
                <w:color w:val="000000" w:themeColor="text1"/>
                <w:w w:val="95"/>
                <w:sz w:val="20"/>
              </w:rPr>
              <w:t>Kód</w:t>
            </w:r>
          </w:p>
          <w:p w:rsidR="00C64A45" w:rsidRPr="006B669F" w:rsidRDefault="007B56D0" w:rsidP="008F14EB">
            <w:pPr>
              <w:pStyle w:val="TableParagraph"/>
              <w:spacing w:before="108"/>
              <w:ind w:left="85"/>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Kód subjektu.</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prípade inštitúcií je kódom 20-miestny alfanumerický kód LEI.</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prípade iných subjektov je kódom 20-miestny alfanumerický kód LEI, alebo ak nie je</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dispozícii, kód</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rámci jednotnej kodifikácie uplatniteľnej</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Únii, alebo ak ani tento kód nie je</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dispozícii, vnútroštátny kód.</w:t>
            </w:r>
          </w:p>
          <w:p w:rsidR="004C0A59" w:rsidRPr="006B669F" w:rsidRDefault="008535D5" w:rsidP="00C64A45">
            <w:pPr>
              <w:pStyle w:val="TableParagraph"/>
              <w:spacing w:before="108"/>
              <w:ind w:left="85"/>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Tento kód musí byť jedinečný</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musí sa používať konzistentne vo všetkých vzoroch. Kód musí mať vždy hodnotu.</w:t>
            </w:r>
          </w:p>
        </w:tc>
      </w:tr>
      <w:tr w:rsidR="00D22EB0" w:rsidRPr="006B669F" w:rsidTr="0036322A">
        <w:tc>
          <w:tcPr>
            <w:tcW w:w="0" w:type="auto"/>
            <w:tcBorders>
              <w:top w:val="single" w:sz="4" w:space="0" w:color="1A171C"/>
              <w:left w:val="nil"/>
              <w:bottom w:val="single" w:sz="4" w:space="0" w:color="1A171C"/>
              <w:right w:val="single" w:sz="4" w:space="0" w:color="1A171C"/>
            </w:tcBorders>
          </w:tcPr>
          <w:p w:rsidR="00E13CE3" w:rsidRPr="006B669F" w:rsidRDefault="00E13CE3" w:rsidP="001E5EDF">
            <w:pPr>
              <w:pStyle w:val="TableParagraph"/>
              <w:spacing w:before="106"/>
              <w:ind w:left="-1"/>
              <w:rPr>
                <w:rFonts w:ascii="Times New Roman" w:eastAsia="Cambria" w:hAnsi="Times New Roman" w:cs="Times New Roman"/>
                <w:color w:val="000000" w:themeColor="text1"/>
                <w:sz w:val="20"/>
                <w:szCs w:val="20"/>
              </w:rPr>
            </w:pPr>
            <w:r w:rsidRPr="006B669F">
              <w:rPr>
                <w:rFonts w:ascii="Times New Roman" w:hAnsi="Times New Roman"/>
                <w:color w:val="000000" w:themeColor="text1"/>
                <w:spacing w:val="-2"/>
                <w:sz w:val="20"/>
              </w:rPr>
              <w:t>0030</w:t>
            </w:r>
          </w:p>
        </w:tc>
        <w:tc>
          <w:tcPr>
            <w:tcW w:w="0" w:type="auto"/>
            <w:tcBorders>
              <w:top w:val="single" w:sz="4" w:space="0" w:color="1A171C"/>
              <w:left w:val="single" w:sz="4" w:space="0" w:color="1A171C"/>
              <w:bottom w:val="single" w:sz="4" w:space="0" w:color="1A171C"/>
              <w:right w:val="nil"/>
            </w:tcBorders>
          </w:tcPr>
          <w:p w:rsidR="00E13CE3" w:rsidRPr="006B669F"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sidRPr="00E140EE">
              <w:rPr>
                <w:rFonts w:ascii="Times New Roman" w:hAnsi="Times New Roman"/>
                <w:b/>
                <w:color w:val="000000" w:themeColor="text1"/>
                <w:spacing w:val="-2"/>
                <w:w w:val="95"/>
                <w:sz w:val="20"/>
              </w:rPr>
              <w:t>Kód LEI</w:t>
            </w:r>
          </w:p>
          <w:p w:rsidR="00E13CE3" w:rsidRPr="006B669F"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sidRPr="006B669F">
              <w:rPr>
                <w:rFonts w:ascii="Times New Roman" w:hAnsi="Times New Roman"/>
                <w:color w:val="000000" w:themeColor="text1"/>
                <w:spacing w:val="-2"/>
                <w:sz w:val="20"/>
              </w:rPr>
              <w:t>20-miestny alfanumerický kód LEI subjektu, ak je</w:t>
            </w:r>
            <w:r w:rsidR="006B669F">
              <w:rPr>
                <w:rFonts w:ascii="Times New Roman" w:hAnsi="Times New Roman"/>
                <w:color w:val="000000" w:themeColor="text1"/>
                <w:spacing w:val="-2"/>
                <w:sz w:val="20"/>
              </w:rPr>
              <w:t xml:space="preserve"> k </w:t>
            </w:r>
            <w:r w:rsidRPr="006B669F">
              <w:rPr>
                <w:rFonts w:ascii="Times New Roman" w:hAnsi="Times New Roman"/>
                <w:color w:val="000000" w:themeColor="text1"/>
                <w:spacing w:val="-2"/>
                <w:sz w:val="20"/>
              </w:rPr>
              <w:t>dispozícii.</w:t>
            </w:r>
          </w:p>
        </w:tc>
      </w:tr>
      <w:tr w:rsidR="00D22EB0" w:rsidRPr="006B669F" w:rsidTr="0036322A">
        <w:tc>
          <w:tcPr>
            <w:tcW w:w="0" w:type="auto"/>
            <w:tcBorders>
              <w:top w:val="single" w:sz="4" w:space="0" w:color="1A171C"/>
              <w:left w:val="nil"/>
              <w:bottom w:val="single" w:sz="4" w:space="0" w:color="1A171C"/>
              <w:right w:val="single" w:sz="4" w:space="0" w:color="1A171C"/>
            </w:tcBorders>
          </w:tcPr>
          <w:p w:rsidR="00E13CE3" w:rsidRPr="006B669F" w:rsidRDefault="00E13CE3" w:rsidP="001E5EDF">
            <w:pPr>
              <w:pStyle w:val="TableParagraph"/>
              <w:spacing w:before="106"/>
              <w:ind w:left="-1"/>
              <w:rPr>
                <w:rFonts w:ascii="Times New Roman" w:hAnsi="Times New Roman" w:cs="Times New Roman"/>
                <w:color w:val="000000" w:themeColor="text1"/>
                <w:spacing w:val="-2"/>
                <w:sz w:val="20"/>
                <w:szCs w:val="20"/>
              </w:rPr>
            </w:pPr>
            <w:r w:rsidRPr="006B669F">
              <w:rPr>
                <w:rFonts w:ascii="Times New Roman" w:hAnsi="Times New Roman"/>
                <w:color w:val="000000" w:themeColor="text1"/>
                <w:spacing w:val="-2"/>
                <w:sz w:val="20"/>
              </w:rPr>
              <w:lastRenderedPageBreak/>
              <w:t>0040</w:t>
            </w:r>
          </w:p>
        </w:tc>
        <w:tc>
          <w:tcPr>
            <w:tcW w:w="0" w:type="auto"/>
            <w:tcBorders>
              <w:top w:val="single" w:sz="4" w:space="0" w:color="1A171C"/>
              <w:left w:val="single" w:sz="4" w:space="0" w:color="1A171C"/>
              <w:bottom w:val="single" w:sz="4" w:space="0" w:color="1A171C"/>
              <w:right w:val="nil"/>
            </w:tcBorders>
          </w:tcPr>
          <w:p w:rsidR="00E13CE3" w:rsidRPr="00E140EE"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sidRPr="00E140EE">
              <w:rPr>
                <w:rFonts w:ascii="Times New Roman" w:hAnsi="Times New Roman"/>
                <w:b/>
                <w:color w:val="000000" w:themeColor="text1"/>
                <w:spacing w:val="-1"/>
                <w:w w:val="90"/>
                <w:sz w:val="20"/>
              </w:rPr>
              <w:t>Typ subjektu</w:t>
            </w:r>
          </w:p>
          <w:p w:rsidR="00E13CE3" w:rsidRPr="006B669F" w:rsidRDefault="00E13CE3" w:rsidP="001E5EDF">
            <w:pPr>
              <w:pStyle w:val="TableParagraph"/>
              <w:spacing w:before="108"/>
              <w:ind w:left="85"/>
              <w:rPr>
                <w:rFonts w:ascii="Times New Roman" w:hAnsi="Times New Roman" w:cs="Times New Roman"/>
                <w:color w:val="000000" w:themeColor="text1"/>
                <w:spacing w:val="-1"/>
                <w:w w:val="90"/>
                <w:sz w:val="20"/>
                <w:szCs w:val="20"/>
              </w:rPr>
            </w:pPr>
            <w:r w:rsidRPr="006B669F">
              <w:rPr>
                <w:rFonts w:ascii="Times New Roman" w:hAnsi="Times New Roman"/>
                <w:color w:val="000000" w:themeColor="text1"/>
                <w:spacing w:val="-1"/>
                <w:w w:val="90"/>
                <w:sz w:val="20"/>
              </w:rPr>
              <w:t>Typ subjektu podľa poradia priority je jedným</w:t>
            </w:r>
            <w:r w:rsidR="006B669F">
              <w:rPr>
                <w:rFonts w:ascii="Times New Roman" w:hAnsi="Times New Roman"/>
                <w:color w:val="000000" w:themeColor="text1"/>
                <w:spacing w:val="-1"/>
                <w:w w:val="90"/>
                <w:sz w:val="20"/>
              </w:rPr>
              <w:t xml:space="preserve"> z </w:t>
            </w:r>
            <w:r w:rsidRPr="006B669F">
              <w:rPr>
                <w:rFonts w:ascii="Times New Roman" w:hAnsi="Times New Roman"/>
                <w:color w:val="000000" w:themeColor="text1"/>
                <w:spacing w:val="-1"/>
                <w:w w:val="90"/>
                <w:sz w:val="20"/>
              </w:rPr>
              <w:t>týchto subjektov:</w:t>
            </w:r>
          </w:p>
          <w:p w:rsidR="004E4AD0" w:rsidRPr="006B669F"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6B669F">
              <w:rPr>
                <w:rFonts w:ascii="Times New Roman" w:hAnsi="Times New Roman"/>
                <w:color w:val="000000" w:themeColor="text1"/>
                <w:sz w:val="20"/>
              </w:rPr>
              <w:t>„Úverová inštitúcia“</w:t>
            </w:r>
          </w:p>
          <w:p w:rsidR="006B669F" w:rsidRDefault="004E4AD0" w:rsidP="00FB1871">
            <w:pPr>
              <w:pStyle w:val="TableParagraph"/>
              <w:spacing w:before="108"/>
              <w:ind w:left="445"/>
              <w:rPr>
                <w:rFonts w:ascii="Times New Roman" w:hAnsi="Times New Roman"/>
                <w:color w:val="000000" w:themeColor="text1"/>
                <w:sz w:val="20"/>
              </w:rPr>
            </w:pPr>
            <w:r w:rsidRPr="006B669F">
              <w:rPr>
                <w:rFonts w:ascii="Times New Roman" w:hAnsi="Times New Roman"/>
                <w:color w:val="000000" w:themeColor="text1"/>
                <w:sz w:val="20"/>
              </w:rPr>
              <w:t>Táto kategória sa vzťahuje na úverové inštitúcie podľa vymedzenia</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článku 4 ods. 1 bode 1 nariadenia (EÚ) č. 575/2013</w:t>
            </w:r>
            <w:r w:rsidR="006B669F">
              <w:rPr>
                <w:rFonts w:ascii="Times New Roman" w:hAnsi="Times New Roman"/>
                <w:color w:val="000000" w:themeColor="text1"/>
                <w:sz w:val="20"/>
              </w:rPr>
              <w:t xml:space="preserve"> s </w:t>
            </w:r>
            <w:r w:rsidRPr="006B669F">
              <w:rPr>
                <w:rFonts w:ascii="Times New Roman" w:hAnsi="Times New Roman"/>
                <w:color w:val="000000" w:themeColor="text1"/>
                <w:sz w:val="20"/>
              </w:rPr>
              <w:t>výnimkou subjektov uvedených</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článku 2 ods. 5 smernice 2013/36/EÚ</w:t>
            </w:r>
            <w:r w:rsidRPr="006B669F">
              <w:rPr>
                <w:rStyle w:val="FootnoteReference"/>
                <w:color w:val="000000" w:themeColor="text1"/>
              </w:rPr>
              <w:footnoteReference w:id="6"/>
            </w:r>
            <w:r w:rsidR="006B669F">
              <w:rPr>
                <w:rFonts w:ascii="Times New Roman" w:hAnsi="Times New Roman"/>
                <w:color w:val="000000" w:themeColor="text1"/>
                <w:sz w:val="20"/>
              </w:rPr>
              <w:t>;</w:t>
            </w:r>
          </w:p>
          <w:p w:rsidR="00761ED3" w:rsidRPr="006B669F"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6B669F">
              <w:rPr>
                <w:rFonts w:ascii="Times New Roman" w:hAnsi="Times New Roman"/>
                <w:color w:val="000000" w:themeColor="text1"/>
                <w:sz w:val="20"/>
              </w:rPr>
              <w:t>„Investičná spoločnosť, na ktorú sa vzťahuje požiadavka na počiatočný kapitál stanovená</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článku 28 ods. 2 smernice 2013/36/EÚ“</w:t>
            </w:r>
          </w:p>
          <w:p w:rsidR="00EE1625" w:rsidRPr="006B669F" w:rsidRDefault="004E4AD0" w:rsidP="00761ED3">
            <w:pPr>
              <w:pStyle w:val="TableParagraph"/>
              <w:spacing w:before="108"/>
              <w:ind w:left="445"/>
              <w:rPr>
                <w:rFonts w:ascii="Times New Roman" w:hAnsi="Times New Roman" w:cs="Times New Roman"/>
                <w:color w:val="000000" w:themeColor="text1"/>
                <w:sz w:val="20"/>
                <w:szCs w:val="20"/>
              </w:rPr>
            </w:pPr>
            <w:r w:rsidRPr="006B669F">
              <w:rPr>
                <w:rFonts w:ascii="Times New Roman" w:hAnsi="Times New Roman"/>
                <w:color w:val="000000" w:themeColor="text1"/>
                <w:sz w:val="20"/>
              </w:rPr>
              <w:t>Táto kategória sa vzťahuje na investičné spoločnosti podľa vymedzenia</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článku 4 ods. 1 bode 2 nariadenia (EÚ) č. 575/2013, na ktoré sa vzťahuje požiadavka na počiatočný kapitál stanovená</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článku 28 ods. 2 smernice 2013/36/EÚ.</w:t>
            </w:r>
          </w:p>
          <w:p w:rsidR="009B13D7" w:rsidRPr="006B669F" w:rsidRDefault="000B669C" w:rsidP="00715DAB">
            <w:pPr>
              <w:pStyle w:val="TableParagraph"/>
              <w:numPr>
                <w:ilvl w:val="0"/>
                <w:numId w:val="25"/>
              </w:numPr>
              <w:spacing w:before="108"/>
              <w:rPr>
                <w:rFonts w:ascii="Times New Roman" w:hAnsi="Times New Roman" w:cs="Times New Roman"/>
                <w:color w:val="000000" w:themeColor="text1"/>
                <w:sz w:val="20"/>
                <w:szCs w:val="20"/>
              </w:rPr>
            </w:pPr>
            <w:r w:rsidRPr="006B669F">
              <w:rPr>
                <w:rFonts w:ascii="Times New Roman" w:hAnsi="Times New Roman"/>
                <w:color w:val="000000" w:themeColor="text1"/>
                <w:sz w:val="20"/>
              </w:rPr>
              <w:t>„Investičná spoločnosť, na ktorú sa nevzťahuje požiadavka na počiatočný kapitál stanovená</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článku 28 ods. 2 smernice 2013/36/EÚ“</w:t>
            </w:r>
          </w:p>
          <w:p w:rsidR="00761ED3" w:rsidRPr="006B669F"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6B669F">
              <w:rPr>
                <w:rFonts w:ascii="Times New Roman" w:hAnsi="Times New Roman"/>
                <w:color w:val="000000" w:themeColor="text1"/>
                <w:sz w:val="20"/>
              </w:rPr>
              <w:t>„Finančná inštitúcia“</w:t>
            </w:r>
          </w:p>
          <w:p w:rsidR="002472D0" w:rsidRPr="006B669F" w:rsidRDefault="00377E0E" w:rsidP="00761ED3">
            <w:pPr>
              <w:pStyle w:val="TableParagraph"/>
              <w:spacing w:before="108"/>
              <w:ind w:left="445"/>
              <w:rPr>
                <w:rFonts w:ascii="Times New Roman" w:hAnsi="Times New Roman" w:cs="Times New Roman"/>
                <w:color w:val="000000" w:themeColor="text1"/>
                <w:sz w:val="20"/>
                <w:szCs w:val="20"/>
              </w:rPr>
            </w:pPr>
            <w:r w:rsidRPr="006B669F">
              <w:rPr>
                <w:rFonts w:ascii="Times New Roman" w:hAnsi="Times New Roman"/>
                <w:color w:val="000000" w:themeColor="text1"/>
                <w:sz w:val="20"/>
              </w:rPr>
              <w:t>Táto kategória sa vzťahuje na finančné inštitúcie podľa vymedzenia</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článku 4 ods. 1 bode 26 nariadenia (EÚ) č. 575/2013, iné ako tie, ktoré sú klasifikované ako „holdingová spoločnosť“, ako sa uvádza ďalej</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texte</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písmene e).</w:t>
            </w:r>
          </w:p>
          <w:p w:rsidR="00761ED3" w:rsidRPr="006B669F"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6B669F">
              <w:rPr>
                <w:rFonts w:ascii="Times New Roman" w:hAnsi="Times New Roman"/>
                <w:color w:val="000000" w:themeColor="text1"/>
                <w:sz w:val="20"/>
              </w:rPr>
              <w:t>„Holdingová spoločnosť“</w:t>
            </w:r>
          </w:p>
          <w:p w:rsidR="00761ED3" w:rsidRPr="006B669F" w:rsidRDefault="00761ED3" w:rsidP="00761ED3">
            <w:pPr>
              <w:pStyle w:val="TableParagraph"/>
              <w:spacing w:before="108"/>
              <w:ind w:left="445"/>
              <w:rPr>
                <w:rFonts w:ascii="Times New Roman" w:hAnsi="Times New Roman" w:cs="Times New Roman"/>
                <w:color w:val="000000" w:themeColor="text1"/>
                <w:sz w:val="20"/>
                <w:szCs w:val="20"/>
              </w:rPr>
            </w:pPr>
            <w:r w:rsidRPr="006B669F">
              <w:rPr>
                <w:rFonts w:ascii="Times New Roman" w:hAnsi="Times New Roman"/>
                <w:color w:val="000000" w:themeColor="text1"/>
                <w:sz w:val="20"/>
              </w:rPr>
              <w:t>Táto kategória sa vzťahuje na tieto subjekty:</w:t>
            </w:r>
          </w:p>
          <w:p w:rsidR="00EE1625" w:rsidRPr="006B669F"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sidRPr="006B669F">
              <w:rPr>
                <w:rFonts w:ascii="Times New Roman" w:hAnsi="Times New Roman"/>
                <w:color w:val="000000" w:themeColor="text1"/>
                <w:sz w:val="20"/>
              </w:rPr>
              <w:t>finančnú holdingovú spoločnosť podľa vymedzenia</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článku 4 ods. 1 bode 20 nariadenia (EÚ) č. 575/2013;</w:t>
            </w:r>
          </w:p>
          <w:p w:rsidR="00EE1625" w:rsidRPr="006B669F"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sidRPr="006B669F">
              <w:rPr>
                <w:rFonts w:ascii="Times New Roman" w:hAnsi="Times New Roman"/>
                <w:color w:val="000000" w:themeColor="text1"/>
                <w:sz w:val="20"/>
              </w:rPr>
              <w:t>zmiešanú finančnú holdingová spoločnosť podľa vymedzenia</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článku 4 ods. 1 bode 21 nariadenia (EÚ) č. 575/2013;</w:t>
            </w:r>
          </w:p>
          <w:p w:rsidR="00EE1625" w:rsidRPr="006B669F"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sidRPr="006B669F">
              <w:rPr>
                <w:rFonts w:ascii="Times New Roman" w:hAnsi="Times New Roman"/>
                <w:color w:val="000000" w:themeColor="text1"/>
                <w:sz w:val="20"/>
              </w:rPr>
              <w:t>holdingovú spoločnosť so zmiešanou činnosťou podľa vymedzenia</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článku 4 ods. 1 bode 22 nariadenia (EÚ) č. 575/2013;</w:t>
            </w:r>
          </w:p>
          <w:p w:rsidR="00EE1625" w:rsidRPr="006B669F"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sidRPr="006B669F">
              <w:rPr>
                <w:rFonts w:ascii="Times New Roman" w:hAnsi="Times New Roman"/>
                <w:color w:val="000000" w:themeColor="text1"/>
                <w:sz w:val="20"/>
              </w:rPr>
              <w:t>materskú finančnú holdingovú spoločnosť podľa vymedzenia</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článku 4 ods. 1 bode 30 nariadenia (EÚ) č. 575/2013;</w:t>
            </w:r>
          </w:p>
          <w:p w:rsidR="00EE1625" w:rsidRPr="006B669F"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sidRPr="006B669F">
              <w:rPr>
                <w:rFonts w:ascii="Times New Roman" w:hAnsi="Times New Roman"/>
                <w:color w:val="000000" w:themeColor="text1"/>
                <w:sz w:val="20"/>
              </w:rPr>
              <w:t>materskú zmiešanú finančnú holdingovú spoločnosť</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EÚ podľa vymedzenia</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článku 4 ods. 1 bode 31 nariadenia (EÚ) č. 575/2013;</w:t>
            </w:r>
          </w:p>
          <w:p w:rsidR="00EE1625" w:rsidRPr="006B669F"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sidRPr="006B669F">
              <w:rPr>
                <w:rFonts w:ascii="Times New Roman" w:hAnsi="Times New Roman"/>
                <w:color w:val="000000" w:themeColor="text1"/>
                <w:sz w:val="20"/>
              </w:rPr>
              <w:t>materskú zmiešanú finančnú holdingovú spoločnosť</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členskom štáte podľa vymedzenia</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článku 4 ods. 1 bode 32 nariadenia (EÚ) č. 575/2013;</w:t>
            </w:r>
          </w:p>
          <w:p w:rsidR="002472D0" w:rsidRPr="006B669F"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sidRPr="006B669F">
              <w:rPr>
                <w:rFonts w:ascii="Times New Roman" w:hAnsi="Times New Roman"/>
                <w:color w:val="000000" w:themeColor="text1"/>
                <w:sz w:val="20"/>
              </w:rPr>
              <w:t>materskú zmiešanú finančnú holdingovú spoločnosť</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EÚ podľa vymedzenia</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článku 4 ods. 1 bode 33 nariadenia (EÚ) č. 575/2013.</w:t>
            </w:r>
          </w:p>
          <w:p w:rsidR="0039173B" w:rsidRPr="006B669F"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sidRPr="006B669F">
              <w:rPr>
                <w:rFonts w:ascii="Times New Roman" w:hAnsi="Times New Roman"/>
                <w:color w:val="000000" w:themeColor="text1"/>
                <w:sz w:val="20"/>
              </w:rPr>
              <w:t>„Poisťovňa“</w:t>
            </w:r>
          </w:p>
          <w:p w:rsidR="00EE1625" w:rsidRPr="006B669F" w:rsidRDefault="0039173B" w:rsidP="0039173B">
            <w:pPr>
              <w:pStyle w:val="TableParagraph"/>
              <w:spacing w:before="108"/>
              <w:ind w:left="445"/>
              <w:rPr>
                <w:rFonts w:ascii="Times New Roman" w:hAnsi="Times New Roman" w:cs="Times New Roman"/>
                <w:color w:val="000000" w:themeColor="text1"/>
                <w:sz w:val="20"/>
                <w:szCs w:val="20"/>
              </w:rPr>
            </w:pPr>
            <w:r w:rsidRPr="006B669F">
              <w:rPr>
                <w:rFonts w:ascii="Times New Roman" w:hAnsi="Times New Roman"/>
                <w:color w:val="000000" w:themeColor="text1"/>
                <w:sz w:val="20"/>
              </w:rPr>
              <w:t>Táto kategória sa vzťahuje na poisťovne podľa vymedzenia</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článku 13</w:t>
            </w:r>
            <w:r w:rsidRPr="006B669F">
              <w:t xml:space="preserve"> </w:t>
            </w:r>
            <w:r w:rsidRPr="006B669F">
              <w:rPr>
                <w:rFonts w:ascii="Times New Roman" w:hAnsi="Times New Roman"/>
                <w:color w:val="19161B"/>
                <w:sz w:val="20"/>
              </w:rPr>
              <w:t>smernice Európskeho parlamentu</w:t>
            </w:r>
            <w:r w:rsidR="006B669F">
              <w:rPr>
                <w:rFonts w:ascii="Times New Roman" w:hAnsi="Times New Roman"/>
                <w:color w:val="19161B"/>
                <w:sz w:val="20"/>
              </w:rPr>
              <w:t xml:space="preserve"> a </w:t>
            </w:r>
            <w:r w:rsidRPr="006B669F">
              <w:rPr>
                <w:rFonts w:ascii="Times New Roman" w:hAnsi="Times New Roman"/>
                <w:color w:val="19161B"/>
                <w:sz w:val="20"/>
              </w:rPr>
              <w:t>Rady 2009/138/ES</w:t>
            </w:r>
            <w:r w:rsidRPr="006B669F">
              <w:rPr>
                <w:rStyle w:val="FootnoteReference"/>
                <w:rFonts w:ascii="Times New Roman" w:hAnsi="Times New Roman"/>
                <w:color w:val="000000" w:themeColor="text1"/>
                <w:sz w:val="20"/>
              </w:rPr>
              <w:footnoteReference w:id="7"/>
            </w:r>
            <w:r w:rsidRPr="006B669F">
              <w:t>.</w:t>
            </w:r>
          </w:p>
          <w:p w:rsidR="00EE1625" w:rsidRPr="006B669F" w:rsidRDefault="00E737DB" w:rsidP="00715DAB">
            <w:pPr>
              <w:pStyle w:val="TableParagraph"/>
              <w:numPr>
                <w:ilvl w:val="0"/>
                <w:numId w:val="25"/>
              </w:numPr>
              <w:spacing w:before="108"/>
              <w:rPr>
                <w:rFonts w:ascii="Times New Roman" w:hAnsi="Times New Roman" w:cs="Times New Roman"/>
                <w:color w:val="000000" w:themeColor="text1"/>
                <w:sz w:val="20"/>
                <w:szCs w:val="20"/>
              </w:rPr>
            </w:pPr>
            <w:r w:rsidRPr="006B669F">
              <w:rPr>
                <w:rFonts w:ascii="Times New Roman" w:hAnsi="Times New Roman"/>
                <w:color w:val="000000" w:themeColor="text1"/>
                <w:sz w:val="20"/>
              </w:rPr>
              <w:t>„Iný typ subjektu“, ak subjekt nepatrí do žiadnej</w:t>
            </w:r>
            <w:r w:rsidR="006B669F">
              <w:rPr>
                <w:rFonts w:ascii="Times New Roman" w:hAnsi="Times New Roman"/>
                <w:color w:val="000000" w:themeColor="text1"/>
                <w:sz w:val="20"/>
              </w:rPr>
              <w:t xml:space="preserve"> z </w:t>
            </w:r>
            <w:r w:rsidRPr="006B669F">
              <w:rPr>
                <w:rFonts w:ascii="Times New Roman" w:hAnsi="Times New Roman"/>
                <w:color w:val="000000" w:themeColor="text1"/>
                <w:sz w:val="20"/>
              </w:rPr>
              <w:t>uvedených kategórií.</w:t>
            </w:r>
          </w:p>
        </w:tc>
      </w:tr>
      <w:tr w:rsidR="00D22EB0" w:rsidRPr="006B669F" w:rsidTr="0036322A">
        <w:tc>
          <w:tcPr>
            <w:tcW w:w="0" w:type="auto"/>
            <w:tcBorders>
              <w:top w:val="single" w:sz="4" w:space="0" w:color="1A171C"/>
              <w:left w:val="nil"/>
              <w:bottom w:val="single" w:sz="4" w:space="0" w:color="1A171C"/>
              <w:right w:val="single" w:sz="4" w:space="0" w:color="1A171C"/>
            </w:tcBorders>
          </w:tcPr>
          <w:p w:rsidR="00027265" w:rsidRPr="006B669F" w:rsidRDefault="00B43F4E" w:rsidP="00DF47E6">
            <w:pPr>
              <w:pStyle w:val="TableParagraph"/>
              <w:spacing w:before="106"/>
              <w:ind w:left="-1"/>
              <w:rPr>
                <w:rFonts w:ascii="Times New Roman" w:hAnsi="Times New Roman" w:cs="Times New Roman"/>
                <w:color w:val="000000" w:themeColor="text1"/>
                <w:spacing w:val="-2"/>
                <w:sz w:val="20"/>
                <w:szCs w:val="20"/>
              </w:rPr>
            </w:pPr>
            <w:r w:rsidRPr="006B669F">
              <w:rPr>
                <w:rFonts w:ascii="Times New Roman" w:hAnsi="Times New Roman"/>
                <w:color w:val="000000" w:themeColor="text1"/>
                <w:spacing w:val="-2"/>
                <w:sz w:val="20"/>
              </w:rPr>
              <w:t>0050</w:t>
            </w:r>
          </w:p>
        </w:tc>
        <w:tc>
          <w:tcPr>
            <w:tcW w:w="0" w:type="auto"/>
            <w:tcBorders>
              <w:top w:val="single" w:sz="4" w:space="0" w:color="1A171C"/>
              <w:left w:val="single" w:sz="4" w:space="0" w:color="1A171C"/>
              <w:bottom w:val="single" w:sz="4" w:space="0" w:color="1A171C"/>
              <w:right w:val="nil"/>
            </w:tcBorders>
          </w:tcPr>
          <w:p w:rsidR="00027265" w:rsidRPr="00E140EE"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sidRPr="00E140EE">
              <w:rPr>
                <w:rFonts w:ascii="Times New Roman" w:hAnsi="Times New Roman"/>
                <w:b/>
                <w:color w:val="000000" w:themeColor="text1"/>
                <w:spacing w:val="-1"/>
                <w:w w:val="90"/>
                <w:sz w:val="20"/>
              </w:rPr>
              <w:t>Štát</w:t>
            </w:r>
          </w:p>
          <w:p w:rsidR="00027265" w:rsidRPr="006B669F"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Kód ISO 3166-1-alfa-2 krajiny registrácie subjektu, ktorým môže byť členský štát alebo tretia krajina.</w:t>
            </w:r>
          </w:p>
        </w:tc>
      </w:tr>
      <w:tr w:rsidR="00D22EB0" w:rsidRPr="006B669F" w:rsidTr="0036322A">
        <w:tc>
          <w:tcPr>
            <w:tcW w:w="0" w:type="auto"/>
            <w:tcBorders>
              <w:top w:val="single" w:sz="4" w:space="0" w:color="1A171C"/>
              <w:left w:val="nil"/>
              <w:bottom w:val="single" w:sz="4" w:space="0" w:color="1A171C"/>
              <w:right w:val="single" w:sz="4" w:space="0" w:color="1A171C"/>
            </w:tcBorders>
          </w:tcPr>
          <w:p w:rsidR="00E13CE3" w:rsidRPr="006B669F" w:rsidRDefault="00E13CE3" w:rsidP="001E5EDF">
            <w:pPr>
              <w:pStyle w:val="TableParagraph"/>
              <w:spacing w:before="106"/>
              <w:ind w:left="-1"/>
              <w:rPr>
                <w:rFonts w:ascii="Times New Roman" w:hAnsi="Times New Roman" w:cs="Times New Roman"/>
                <w:color w:val="000000" w:themeColor="text1"/>
                <w:spacing w:val="-2"/>
                <w:sz w:val="20"/>
                <w:szCs w:val="20"/>
              </w:rPr>
            </w:pPr>
            <w:r w:rsidRPr="006B669F">
              <w:rPr>
                <w:rFonts w:ascii="Times New Roman" w:hAnsi="Times New Roman"/>
                <w:color w:val="000000" w:themeColor="text1"/>
                <w:spacing w:val="-2"/>
                <w:sz w:val="20"/>
              </w:rPr>
              <w:t>0060</w:t>
            </w:r>
          </w:p>
        </w:tc>
        <w:tc>
          <w:tcPr>
            <w:tcW w:w="0" w:type="auto"/>
            <w:tcBorders>
              <w:top w:val="single" w:sz="4" w:space="0" w:color="1A171C"/>
              <w:left w:val="single" w:sz="4" w:space="0" w:color="1A171C"/>
              <w:bottom w:val="single" w:sz="4" w:space="0" w:color="1A171C"/>
              <w:right w:val="nil"/>
            </w:tcBorders>
          </w:tcPr>
          <w:p w:rsidR="00E13CE3" w:rsidRPr="00E140EE"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Zahrnuté do prudenciálneho obvodu</w:t>
            </w:r>
          </w:p>
          <w:p w:rsidR="00C8615D" w:rsidRPr="006B669F" w:rsidRDefault="00C8615D" w:rsidP="00C8615D">
            <w:pPr>
              <w:pStyle w:val="TableParagraph"/>
              <w:spacing w:before="108"/>
              <w:ind w:left="85"/>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Vykazujú sa tieto skratky:</w:t>
            </w:r>
          </w:p>
          <w:p w:rsidR="00C8615D" w:rsidRPr="006B669F" w:rsidRDefault="00C8615D" w:rsidP="00C8615D">
            <w:pPr>
              <w:pStyle w:val="TableParagraph"/>
              <w:spacing w:before="108"/>
              <w:ind w:left="85"/>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Á – áno;</w:t>
            </w:r>
          </w:p>
          <w:p w:rsidR="00E13CE3" w:rsidRPr="00E140EE"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sidRPr="006B669F">
              <w:rPr>
                <w:rFonts w:ascii="Times New Roman" w:hAnsi="Times New Roman"/>
                <w:color w:val="000000" w:themeColor="text1"/>
                <w:spacing w:val="-2"/>
                <w:w w:val="95"/>
                <w:sz w:val="20"/>
              </w:rPr>
              <w:t>N – nie.</w:t>
            </w:r>
          </w:p>
        </w:tc>
      </w:tr>
      <w:tr w:rsidR="00D22EB0" w:rsidRPr="006B669F" w:rsidTr="0036322A">
        <w:tc>
          <w:tcPr>
            <w:tcW w:w="0" w:type="auto"/>
            <w:tcBorders>
              <w:top w:val="single" w:sz="4" w:space="0" w:color="1A171C"/>
              <w:left w:val="nil"/>
              <w:bottom w:val="single" w:sz="4" w:space="0" w:color="1A171C"/>
              <w:right w:val="single" w:sz="4" w:space="0" w:color="1A171C"/>
            </w:tcBorders>
          </w:tcPr>
          <w:p w:rsidR="00E74F98" w:rsidRPr="006B669F" w:rsidRDefault="00CF6A09" w:rsidP="001E5EDF">
            <w:pPr>
              <w:pStyle w:val="TableParagraph"/>
              <w:spacing w:before="106"/>
              <w:ind w:left="-1"/>
              <w:rPr>
                <w:rFonts w:ascii="Times New Roman" w:hAnsi="Times New Roman" w:cs="Times New Roman"/>
                <w:color w:val="000000" w:themeColor="text1"/>
                <w:spacing w:val="-2"/>
                <w:sz w:val="20"/>
                <w:szCs w:val="20"/>
              </w:rPr>
            </w:pPr>
            <w:r w:rsidRPr="006B669F">
              <w:rPr>
                <w:rFonts w:ascii="Times New Roman" w:hAnsi="Times New Roman"/>
                <w:color w:val="000000" w:themeColor="text1"/>
                <w:spacing w:val="-2"/>
                <w:sz w:val="20"/>
              </w:rPr>
              <w:lastRenderedPageBreak/>
              <w:t>0070</w:t>
            </w:r>
          </w:p>
        </w:tc>
        <w:tc>
          <w:tcPr>
            <w:tcW w:w="0" w:type="auto"/>
            <w:tcBorders>
              <w:top w:val="single" w:sz="4" w:space="0" w:color="1A171C"/>
              <w:left w:val="single" w:sz="4" w:space="0" w:color="1A171C"/>
              <w:bottom w:val="single" w:sz="4" w:space="0" w:color="1A171C"/>
              <w:right w:val="nil"/>
            </w:tcBorders>
          </w:tcPr>
          <w:p w:rsidR="00E74F98" w:rsidRPr="00E140EE"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Článok 7 Výnimka</w:t>
            </w:r>
            <w:r w:rsidR="006B669F" w:rsidRPr="00E140EE">
              <w:rPr>
                <w:rFonts w:ascii="Times New Roman" w:hAnsi="Times New Roman"/>
                <w:b/>
                <w:color w:val="000000" w:themeColor="text1"/>
                <w:spacing w:val="-2"/>
                <w:w w:val="95"/>
                <w:sz w:val="20"/>
              </w:rPr>
              <w:t xml:space="preserve"> z </w:t>
            </w:r>
            <w:r w:rsidRPr="00E140EE">
              <w:rPr>
                <w:rFonts w:ascii="Times New Roman" w:hAnsi="Times New Roman"/>
                <w:b/>
                <w:color w:val="000000" w:themeColor="text1"/>
                <w:spacing w:val="-2"/>
                <w:w w:val="95"/>
                <w:sz w:val="20"/>
              </w:rPr>
              <w:t>nariadenia</w:t>
            </w:r>
            <w:r w:rsidR="006B669F" w:rsidRPr="00E140EE">
              <w:rPr>
                <w:rFonts w:ascii="Times New Roman" w:hAnsi="Times New Roman"/>
                <w:b/>
                <w:color w:val="000000" w:themeColor="text1"/>
                <w:spacing w:val="-2"/>
                <w:w w:val="95"/>
                <w:sz w:val="20"/>
              </w:rPr>
              <w:t xml:space="preserve"> o </w:t>
            </w:r>
            <w:r w:rsidRPr="00E140EE">
              <w:rPr>
                <w:rFonts w:ascii="Times New Roman" w:hAnsi="Times New Roman"/>
                <w:b/>
                <w:color w:val="000000" w:themeColor="text1"/>
                <w:spacing w:val="-2"/>
                <w:w w:val="95"/>
                <w:sz w:val="20"/>
              </w:rPr>
              <w:t>kapitálových požiadavkách</w:t>
            </w:r>
          </w:p>
          <w:p w:rsidR="00E74F98" w:rsidRPr="006B669F"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Vykazujú sa tieto skratky:</w:t>
            </w:r>
          </w:p>
          <w:p w:rsidR="00E74F98" w:rsidRPr="006B669F"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Á – ak príslušný orgán upustil od uplatňovania článku 6 ods. 1 nariadenia (EÚ) č. 575/2013 podľa článku 7 nariadenia (EÚ) č. 575/2013;</w:t>
            </w:r>
          </w:p>
          <w:p w:rsidR="00E74F98" w:rsidRPr="00E140EE"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sidRPr="006B669F">
              <w:rPr>
                <w:rFonts w:ascii="Times New Roman" w:hAnsi="Times New Roman"/>
                <w:color w:val="000000" w:themeColor="text1"/>
                <w:spacing w:val="-2"/>
                <w:w w:val="95"/>
                <w:sz w:val="20"/>
              </w:rPr>
              <w:t>N –</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iných prípadoch.</w:t>
            </w:r>
          </w:p>
        </w:tc>
      </w:tr>
      <w:tr w:rsidR="00D22EB0" w:rsidRPr="006B669F" w:rsidTr="004842F3">
        <w:tc>
          <w:tcPr>
            <w:tcW w:w="0" w:type="auto"/>
            <w:tcBorders>
              <w:top w:val="single" w:sz="4" w:space="0" w:color="1A171C"/>
              <w:left w:val="nil"/>
              <w:bottom w:val="single" w:sz="4" w:space="0" w:color="1A171C"/>
              <w:right w:val="single" w:sz="4" w:space="0" w:color="1A171C"/>
            </w:tcBorders>
          </w:tcPr>
          <w:p w:rsidR="00EA468E" w:rsidRPr="006B669F" w:rsidRDefault="00EA468E" w:rsidP="00EA468E">
            <w:pPr>
              <w:pStyle w:val="TableParagraph"/>
              <w:spacing w:before="106"/>
              <w:ind w:left="-1"/>
              <w:rPr>
                <w:rFonts w:ascii="Times New Roman" w:hAnsi="Times New Roman" w:cs="Times New Roman"/>
                <w:color w:val="000000" w:themeColor="text1"/>
                <w:spacing w:val="-2"/>
                <w:sz w:val="20"/>
                <w:szCs w:val="20"/>
              </w:rPr>
            </w:pPr>
            <w:r w:rsidRPr="006B669F">
              <w:rPr>
                <w:rFonts w:ascii="Times New Roman" w:hAnsi="Times New Roman"/>
                <w:color w:val="000000" w:themeColor="text1"/>
                <w:spacing w:val="-2"/>
                <w:sz w:val="20"/>
              </w:rPr>
              <w:t>0080</w:t>
            </w:r>
          </w:p>
        </w:tc>
        <w:tc>
          <w:tcPr>
            <w:tcW w:w="0" w:type="auto"/>
            <w:tcBorders>
              <w:top w:val="single" w:sz="4" w:space="0" w:color="1A171C"/>
              <w:left w:val="single" w:sz="4" w:space="0" w:color="1A171C"/>
              <w:bottom w:val="single" w:sz="4" w:space="0" w:color="1A171C"/>
              <w:right w:val="nil"/>
            </w:tcBorders>
          </w:tcPr>
          <w:p w:rsidR="00EA468E" w:rsidRPr="00E140EE"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Článok 10 Výnimka</w:t>
            </w:r>
            <w:r w:rsidR="006B669F" w:rsidRPr="00E140EE">
              <w:rPr>
                <w:rFonts w:ascii="Times New Roman" w:hAnsi="Times New Roman"/>
                <w:b/>
                <w:color w:val="000000" w:themeColor="text1"/>
                <w:spacing w:val="-2"/>
                <w:w w:val="95"/>
                <w:sz w:val="20"/>
              </w:rPr>
              <w:t xml:space="preserve"> z </w:t>
            </w:r>
            <w:r w:rsidRPr="00E140EE">
              <w:rPr>
                <w:rFonts w:ascii="Times New Roman" w:hAnsi="Times New Roman"/>
                <w:b/>
                <w:color w:val="000000" w:themeColor="text1"/>
                <w:spacing w:val="-2"/>
                <w:w w:val="95"/>
                <w:sz w:val="20"/>
              </w:rPr>
              <w:t>nariadenia</w:t>
            </w:r>
            <w:r w:rsidR="006B669F" w:rsidRPr="00E140EE">
              <w:rPr>
                <w:rFonts w:ascii="Times New Roman" w:hAnsi="Times New Roman"/>
                <w:b/>
                <w:color w:val="000000" w:themeColor="text1"/>
                <w:spacing w:val="-2"/>
                <w:w w:val="95"/>
                <w:sz w:val="20"/>
              </w:rPr>
              <w:t xml:space="preserve"> o </w:t>
            </w:r>
            <w:r w:rsidRPr="00E140EE">
              <w:rPr>
                <w:rFonts w:ascii="Times New Roman" w:hAnsi="Times New Roman"/>
                <w:b/>
                <w:color w:val="000000" w:themeColor="text1"/>
                <w:spacing w:val="-2"/>
                <w:w w:val="95"/>
                <w:sz w:val="20"/>
              </w:rPr>
              <w:t>kapitálových požiadavkách</w:t>
            </w:r>
          </w:p>
          <w:p w:rsidR="00EA468E" w:rsidRPr="006B669F"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Vykazujú sa tieto skratky:</w:t>
            </w:r>
          </w:p>
          <w:p w:rsidR="00EA468E" w:rsidRPr="006B669F"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Á – ak príslušný orgán uplatnil výnimku podľa článku 10 nariadenia (EÚ) č. 575/2013.</w:t>
            </w:r>
          </w:p>
          <w:p w:rsidR="00EA468E" w:rsidRPr="00E140EE"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sidRPr="006B669F">
              <w:rPr>
                <w:rFonts w:ascii="Times New Roman" w:hAnsi="Times New Roman"/>
                <w:color w:val="000000" w:themeColor="text1"/>
                <w:spacing w:val="-2"/>
                <w:w w:val="95"/>
                <w:sz w:val="20"/>
              </w:rPr>
              <w:t>N –</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iných prípadoch.</w:t>
            </w:r>
          </w:p>
        </w:tc>
      </w:tr>
      <w:tr w:rsidR="00D22EB0" w:rsidRPr="006B669F" w:rsidTr="0036322A">
        <w:tc>
          <w:tcPr>
            <w:tcW w:w="0" w:type="auto"/>
            <w:tcBorders>
              <w:top w:val="single" w:sz="4" w:space="0" w:color="1A171C"/>
              <w:left w:val="nil"/>
              <w:bottom w:val="single" w:sz="4" w:space="0" w:color="1A171C"/>
              <w:right w:val="single" w:sz="4" w:space="0" w:color="1A171C"/>
            </w:tcBorders>
          </w:tcPr>
          <w:p w:rsidR="00E13CE3" w:rsidRPr="006B669F" w:rsidRDefault="00064140" w:rsidP="00064140">
            <w:pPr>
              <w:pStyle w:val="TableParagraph"/>
              <w:spacing w:before="106"/>
              <w:ind w:left="-1"/>
              <w:rPr>
                <w:rFonts w:ascii="Times New Roman" w:hAnsi="Times New Roman" w:cs="Times New Roman"/>
                <w:color w:val="000000" w:themeColor="text1"/>
                <w:spacing w:val="-2"/>
                <w:sz w:val="20"/>
                <w:szCs w:val="20"/>
              </w:rPr>
            </w:pPr>
            <w:r w:rsidRPr="006B669F">
              <w:rPr>
                <w:rFonts w:ascii="Times New Roman" w:hAnsi="Times New Roman"/>
                <w:color w:val="000000" w:themeColor="text1"/>
                <w:spacing w:val="-2"/>
                <w:sz w:val="20"/>
              </w:rPr>
              <w:t>0090</w:t>
            </w:r>
          </w:p>
        </w:tc>
        <w:tc>
          <w:tcPr>
            <w:tcW w:w="0" w:type="auto"/>
            <w:tcBorders>
              <w:top w:val="single" w:sz="4" w:space="0" w:color="1A171C"/>
              <w:left w:val="single" w:sz="4" w:space="0" w:color="1A171C"/>
              <w:bottom w:val="single" w:sz="4" w:space="0" w:color="1A171C"/>
              <w:right w:val="nil"/>
            </w:tcBorders>
          </w:tcPr>
          <w:p w:rsidR="00E13CE3" w:rsidRPr="00E140EE" w:rsidRDefault="00E13CE3" w:rsidP="001E5EDF">
            <w:pPr>
              <w:pStyle w:val="TableParagraph"/>
              <w:spacing w:before="108"/>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Celkové aktíva</w:t>
            </w:r>
          </w:p>
          <w:p w:rsidR="00E13CE3" w:rsidRPr="00E140EE" w:rsidRDefault="00064140" w:rsidP="00064140">
            <w:pPr>
              <w:pStyle w:val="TableParagraph"/>
              <w:spacing w:before="108"/>
              <w:jc w:val="both"/>
              <w:rPr>
                <w:rFonts w:ascii="Times New Roman" w:hAnsi="Times New Roman" w:cs="Times New Roman"/>
                <w:b/>
                <w:color w:val="000000" w:themeColor="text1"/>
                <w:spacing w:val="-2"/>
                <w:w w:val="95"/>
                <w:sz w:val="20"/>
                <w:szCs w:val="20"/>
              </w:rPr>
            </w:pPr>
            <w:r w:rsidRPr="006B669F">
              <w:rPr>
                <w:rFonts w:ascii="Times New Roman" w:hAnsi="Times New Roman"/>
                <w:color w:val="000000" w:themeColor="text1"/>
                <w:spacing w:val="-2"/>
                <w:w w:val="95"/>
                <w:sz w:val="20"/>
              </w:rPr>
              <w:t>Celkové aktíva podľa vymedzenia na účely FINREP {F 01.01;380,010}</w:t>
            </w:r>
          </w:p>
        </w:tc>
      </w:tr>
      <w:tr w:rsidR="00D22EB0" w:rsidRPr="006B669F" w:rsidTr="0036322A">
        <w:tc>
          <w:tcPr>
            <w:tcW w:w="0" w:type="auto"/>
            <w:tcBorders>
              <w:top w:val="single" w:sz="4" w:space="0" w:color="1A171C"/>
              <w:left w:val="nil"/>
              <w:bottom w:val="single" w:sz="4" w:space="0" w:color="1A171C"/>
              <w:right w:val="single" w:sz="4" w:space="0" w:color="1A171C"/>
            </w:tcBorders>
          </w:tcPr>
          <w:p w:rsidR="00E13CE3" w:rsidRPr="006B669F" w:rsidRDefault="00B43F4E" w:rsidP="001E5EDF">
            <w:pPr>
              <w:pStyle w:val="TableParagraph"/>
              <w:spacing w:before="106"/>
              <w:ind w:left="-1"/>
              <w:rPr>
                <w:rFonts w:ascii="Times New Roman" w:hAnsi="Times New Roman" w:cs="Times New Roman"/>
                <w:color w:val="000000" w:themeColor="text1"/>
                <w:spacing w:val="-2"/>
                <w:sz w:val="20"/>
                <w:szCs w:val="20"/>
              </w:rPr>
            </w:pPr>
            <w:r w:rsidRPr="006B669F">
              <w:rPr>
                <w:rFonts w:ascii="Times New Roman" w:hAnsi="Times New Roman"/>
                <w:color w:val="000000" w:themeColor="text1"/>
                <w:spacing w:val="-2"/>
                <w:sz w:val="20"/>
              </w:rPr>
              <w:t>0100</w:t>
            </w:r>
          </w:p>
        </w:tc>
        <w:tc>
          <w:tcPr>
            <w:tcW w:w="0" w:type="auto"/>
            <w:tcBorders>
              <w:top w:val="single" w:sz="4" w:space="0" w:color="1A171C"/>
              <w:left w:val="single" w:sz="4" w:space="0" w:color="1A171C"/>
              <w:bottom w:val="single" w:sz="4" w:space="0" w:color="1A171C"/>
              <w:right w:val="nil"/>
            </w:tcBorders>
          </w:tcPr>
          <w:p w:rsidR="00E13CE3" w:rsidRPr="00E140EE" w:rsidRDefault="00213AEA" w:rsidP="00C8615D">
            <w:pPr>
              <w:pStyle w:val="TableParagraph"/>
              <w:spacing w:before="108"/>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Celková hodnota rizikovej expozície</w:t>
            </w:r>
          </w:p>
          <w:p w:rsidR="00E13CE3" w:rsidRPr="006B669F" w:rsidRDefault="00310A05" w:rsidP="00310A05">
            <w:pPr>
              <w:pStyle w:val="TableParagraph"/>
              <w:spacing w:before="108"/>
              <w:jc w:val="both"/>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Celková hodnota rizikovej expozície podľa vymedzenia na účely COREP (OF): {C 02.00;010;010}</w:t>
            </w:r>
          </w:p>
          <w:p w:rsidR="00310A05" w:rsidRPr="00E140EE" w:rsidRDefault="00310A05" w:rsidP="003B2C87">
            <w:pPr>
              <w:pStyle w:val="TableParagraph"/>
              <w:spacing w:before="108"/>
              <w:jc w:val="both"/>
              <w:rPr>
                <w:rFonts w:ascii="Times New Roman" w:hAnsi="Times New Roman" w:cs="Times New Roman"/>
                <w:b/>
                <w:color w:val="000000" w:themeColor="text1"/>
                <w:spacing w:val="-2"/>
                <w:w w:val="95"/>
                <w:sz w:val="20"/>
                <w:szCs w:val="20"/>
              </w:rPr>
            </w:pPr>
            <w:r w:rsidRPr="006B669F">
              <w:rPr>
                <w:rFonts w:ascii="Times New Roman" w:hAnsi="Times New Roman"/>
                <w:color w:val="000000" w:themeColor="text1"/>
                <w:spacing w:val="-2"/>
                <w:w w:val="95"/>
                <w:sz w:val="20"/>
              </w:rPr>
              <w:t>Táto položka sa nevykazuje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prípade subjektov, ktoré nie sú inštitúciami,</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subjektov, na ktoré sa vzťahuje výnimka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súlade</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článkom 7 alebo článkom 10 nariadenia (EÚ) č. 575/2013.</w:t>
            </w:r>
          </w:p>
        </w:tc>
      </w:tr>
      <w:tr w:rsidR="00D22EB0" w:rsidRPr="006B669F" w:rsidTr="00367C1E">
        <w:tc>
          <w:tcPr>
            <w:tcW w:w="0" w:type="auto"/>
            <w:tcBorders>
              <w:top w:val="single" w:sz="4" w:space="0" w:color="1A171C"/>
              <w:left w:val="nil"/>
              <w:bottom w:val="single" w:sz="4" w:space="0" w:color="1A171C"/>
              <w:right w:val="single" w:sz="4" w:space="0" w:color="1A171C"/>
            </w:tcBorders>
          </w:tcPr>
          <w:p w:rsidR="00CF6A09" w:rsidRPr="006B669F" w:rsidRDefault="00B43F4E" w:rsidP="00835CC3">
            <w:pPr>
              <w:pStyle w:val="TableParagraph"/>
              <w:spacing w:before="106"/>
              <w:ind w:left="-1"/>
              <w:rPr>
                <w:rFonts w:ascii="Times New Roman" w:hAnsi="Times New Roman" w:cs="Times New Roman"/>
                <w:color w:val="000000" w:themeColor="text1"/>
                <w:spacing w:val="-2"/>
                <w:sz w:val="20"/>
                <w:szCs w:val="20"/>
              </w:rPr>
            </w:pPr>
            <w:r w:rsidRPr="006B669F">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6B669F" w:rsidRPr="00E140EE" w:rsidRDefault="00CF6A09" w:rsidP="00367C1E">
            <w:pPr>
              <w:pStyle w:val="TableParagraph"/>
              <w:spacing w:before="108"/>
              <w:ind w:left="85"/>
              <w:jc w:val="both"/>
              <w:rPr>
                <w:rFonts w:ascii="Times New Roman" w:hAnsi="Times New Roman"/>
                <w:b/>
                <w:color w:val="000000" w:themeColor="text1"/>
                <w:spacing w:val="-2"/>
                <w:w w:val="95"/>
                <w:sz w:val="20"/>
              </w:rPr>
            </w:pPr>
            <w:r w:rsidRPr="00E140EE">
              <w:rPr>
                <w:rFonts w:ascii="Times New Roman" w:hAnsi="Times New Roman"/>
                <w:b/>
                <w:color w:val="000000" w:themeColor="text1"/>
                <w:spacing w:val="-2"/>
                <w:w w:val="95"/>
                <w:sz w:val="20"/>
              </w:rPr>
              <w:t>Expozícia ukazovateľa finančnej páky</w:t>
            </w:r>
          </w:p>
          <w:p w:rsidR="00CF6A09" w:rsidRPr="006B669F"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Celková expozícia ukazovateľa finančnej páky podľa vymedzenia na účely COREP (LR): {C 47.00;290;010}</w:t>
            </w:r>
          </w:p>
          <w:p w:rsidR="00DD5DC2" w:rsidRPr="006B669F"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Táto položka sa nevykazuje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prípade subjektov, ktoré nie sú inštitúciami,</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subjektov, na ktoré sa vzťahuje výnimka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súlade</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článkom 7 alebo článkom 10 nariadenia (EÚ) č. 575/2013.</w:t>
            </w:r>
          </w:p>
        </w:tc>
      </w:tr>
      <w:tr w:rsidR="00D22EB0" w:rsidRPr="006B669F" w:rsidTr="0036322A">
        <w:tc>
          <w:tcPr>
            <w:tcW w:w="0" w:type="auto"/>
            <w:tcBorders>
              <w:top w:val="single" w:sz="4" w:space="0" w:color="1A171C"/>
              <w:left w:val="nil"/>
              <w:bottom w:val="single" w:sz="4" w:space="0" w:color="1A171C"/>
              <w:right w:val="single" w:sz="4" w:space="0" w:color="1A171C"/>
            </w:tcBorders>
          </w:tcPr>
          <w:p w:rsidR="009A061B" w:rsidRPr="006B669F"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sidRPr="006B669F">
              <w:rPr>
                <w:rFonts w:ascii="Times New Roman" w:hAnsi="Times New Roman"/>
                <w:color w:val="000000" w:themeColor="text1"/>
                <w:spacing w:val="-2"/>
                <w:sz w:val="20"/>
              </w:rPr>
              <w:t>0120</w:t>
            </w:r>
          </w:p>
        </w:tc>
        <w:tc>
          <w:tcPr>
            <w:tcW w:w="0" w:type="auto"/>
            <w:tcBorders>
              <w:top w:val="single" w:sz="4" w:space="0" w:color="1A171C"/>
              <w:left w:val="single" w:sz="4" w:space="0" w:color="1A171C"/>
              <w:bottom w:val="single" w:sz="4" w:space="0" w:color="1A171C"/>
              <w:right w:val="nil"/>
            </w:tcBorders>
          </w:tcPr>
          <w:p w:rsidR="009A061B" w:rsidRPr="00E140EE" w:rsidRDefault="00B43F4E" w:rsidP="00C8615D">
            <w:pPr>
              <w:pStyle w:val="TableParagraph"/>
              <w:spacing w:before="108"/>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Účtovný štandard</w:t>
            </w:r>
          </w:p>
          <w:p w:rsidR="009A061B" w:rsidRPr="006B669F" w:rsidRDefault="009A061B" w:rsidP="00C8615D">
            <w:pPr>
              <w:pStyle w:val="TableParagraph"/>
              <w:spacing w:before="108"/>
              <w:jc w:val="both"/>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Účtovné štandardy uplatňované subjektom. Vykazujú sa tieto skratky:</w:t>
            </w:r>
          </w:p>
          <w:p w:rsidR="009A061B" w:rsidRPr="006B669F"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IFRS</w:t>
            </w:r>
          </w:p>
          <w:p w:rsidR="009A061B" w:rsidRPr="006B669F"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Národné GAAP</w:t>
            </w:r>
          </w:p>
        </w:tc>
      </w:tr>
      <w:tr w:rsidR="00D22EB0" w:rsidRPr="006B669F" w:rsidTr="0036322A">
        <w:tc>
          <w:tcPr>
            <w:tcW w:w="0" w:type="auto"/>
            <w:tcBorders>
              <w:top w:val="single" w:sz="4" w:space="0" w:color="1A171C"/>
              <w:left w:val="nil"/>
              <w:bottom w:val="single" w:sz="4" w:space="0" w:color="1A171C"/>
              <w:right w:val="single" w:sz="4" w:space="0" w:color="1A171C"/>
            </w:tcBorders>
          </w:tcPr>
          <w:p w:rsidR="00E13CE3" w:rsidRPr="006B669F" w:rsidRDefault="00245A9E" w:rsidP="00255C59">
            <w:pPr>
              <w:pStyle w:val="TableParagraph"/>
              <w:spacing w:before="106"/>
              <w:ind w:left="-1"/>
              <w:rPr>
                <w:rFonts w:ascii="Times New Roman" w:hAnsi="Times New Roman" w:cs="Times New Roman"/>
                <w:color w:val="000000" w:themeColor="text1"/>
                <w:spacing w:val="-2"/>
                <w:sz w:val="20"/>
                <w:szCs w:val="20"/>
              </w:rPr>
            </w:pPr>
            <w:r w:rsidRPr="006B669F">
              <w:rPr>
                <w:rFonts w:ascii="Times New Roman" w:hAnsi="Times New Roman"/>
                <w:color w:val="000000" w:themeColor="text1"/>
                <w:spacing w:val="-2"/>
                <w:sz w:val="20"/>
              </w:rPr>
              <w:t>0130</w:t>
            </w:r>
          </w:p>
        </w:tc>
        <w:tc>
          <w:tcPr>
            <w:tcW w:w="0" w:type="auto"/>
            <w:tcBorders>
              <w:top w:val="single" w:sz="4" w:space="0" w:color="1A171C"/>
              <w:left w:val="single" w:sz="4" w:space="0" w:color="1A171C"/>
              <w:bottom w:val="single" w:sz="4" w:space="0" w:color="1A171C"/>
              <w:right w:val="nil"/>
            </w:tcBorders>
          </w:tcPr>
          <w:p w:rsidR="00E13CE3" w:rsidRPr="00E140EE"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Príspevok</w:t>
            </w:r>
            <w:r w:rsidR="006B669F" w:rsidRPr="00E140EE">
              <w:rPr>
                <w:rFonts w:ascii="Times New Roman" w:hAnsi="Times New Roman"/>
                <w:b/>
                <w:color w:val="000000" w:themeColor="text1"/>
                <w:spacing w:val="-2"/>
                <w:w w:val="95"/>
                <w:sz w:val="20"/>
              </w:rPr>
              <w:t xml:space="preserve"> k </w:t>
            </w:r>
            <w:r w:rsidRPr="00E140EE">
              <w:rPr>
                <w:rFonts w:ascii="Times New Roman" w:hAnsi="Times New Roman"/>
                <w:b/>
                <w:color w:val="000000" w:themeColor="text1"/>
                <w:spacing w:val="-2"/>
                <w:w w:val="95"/>
                <w:sz w:val="20"/>
              </w:rPr>
              <w:t>celkovým konsolidovaným aktívam</w:t>
            </w:r>
          </w:p>
          <w:p w:rsidR="00E13CE3" w:rsidRPr="00E140EE"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sidRPr="006B669F">
              <w:rPr>
                <w:rFonts w:ascii="Times New Roman" w:hAnsi="Times New Roman"/>
                <w:color w:val="000000" w:themeColor="text1"/>
                <w:spacing w:val="-2"/>
                <w:w w:val="95"/>
                <w:sz w:val="20"/>
              </w:rPr>
              <w:t>Suma, ktorou subjekt prispieva</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celkovým konsolidovaným aktívam skupiny, ktorej sa týka vykazovanie.</w:t>
            </w:r>
          </w:p>
        </w:tc>
      </w:tr>
      <w:tr w:rsidR="00D22EB0" w:rsidRPr="006B669F" w:rsidTr="0036322A">
        <w:tc>
          <w:tcPr>
            <w:tcW w:w="0" w:type="auto"/>
            <w:tcBorders>
              <w:top w:val="single" w:sz="4" w:space="0" w:color="1A171C"/>
              <w:left w:val="nil"/>
              <w:bottom w:val="single" w:sz="4" w:space="0" w:color="1A171C"/>
              <w:right w:val="single" w:sz="4" w:space="0" w:color="1A171C"/>
            </w:tcBorders>
          </w:tcPr>
          <w:p w:rsidR="00E13CE3" w:rsidRPr="006B669F" w:rsidRDefault="00245A9E" w:rsidP="00255C59">
            <w:pPr>
              <w:pStyle w:val="TableParagraph"/>
              <w:spacing w:before="106"/>
              <w:ind w:left="-1"/>
              <w:rPr>
                <w:rFonts w:ascii="Times New Roman" w:hAnsi="Times New Roman" w:cs="Times New Roman"/>
                <w:color w:val="000000" w:themeColor="text1"/>
                <w:spacing w:val="-2"/>
                <w:sz w:val="20"/>
                <w:szCs w:val="20"/>
              </w:rPr>
            </w:pPr>
            <w:r w:rsidRPr="006B669F">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6B669F" w:rsidRPr="00E140EE" w:rsidRDefault="00E13CE3" w:rsidP="0036322A">
            <w:pPr>
              <w:pStyle w:val="TableParagraph"/>
              <w:spacing w:before="108"/>
              <w:jc w:val="both"/>
              <w:rPr>
                <w:rFonts w:ascii="Times New Roman" w:hAnsi="Times New Roman"/>
                <w:b/>
                <w:color w:val="000000" w:themeColor="text1"/>
                <w:spacing w:val="-2"/>
                <w:w w:val="95"/>
                <w:sz w:val="20"/>
              </w:rPr>
            </w:pPr>
            <w:r w:rsidRPr="00E140EE">
              <w:rPr>
                <w:rFonts w:ascii="Times New Roman" w:hAnsi="Times New Roman"/>
                <w:b/>
                <w:color w:val="000000" w:themeColor="text1"/>
                <w:spacing w:val="-2"/>
                <w:w w:val="95"/>
                <w:sz w:val="20"/>
              </w:rPr>
              <w:t>Príspevok</w:t>
            </w:r>
            <w:r w:rsidR="006B669F" w:rsidRPr="00E140EE">
              <w:rPr>
                <w:rFonts w:ascii="Times New Roman" w:hAnsi="Times New Roman"/>
                <w:b/>
                <w:color w:val="000000" w:themeColor="text1"/>
                <w:spacing w:val="-2"/>
                <w:w w:val="95"/>
                <w:sz w:val="20"/>
              </w:rPr>
              <w:t xml:space="preserve"> k </w:t>
            </w:r>
            <w:r w:rsidRPr="00E140EE">
              <w:rPr>
                <w:rFonts w:ascii="Times New Roman" w:hAnsi="Times New Roman"/>
                <w:b/>
                <w:color w:val="000000" w:themeColor="text1"/>
                <w:spacing w:val="-2"/>
                <w:w w:val="95"/>
                <w:sz w:val="20"/>
              </w:rPr>
              <w:t>celkovej hodnote konsolidovanej rizikovej expozície</w:t>
            </w:r>
          </w:p>
          <w:p w:rsidR="00E13CE3" w:rsidRPr="00E140EE" w:rsidRDefault="00E13CE3" w:rsidP="00213AEA">
            <w:pPr>
              <w:pStyle w:val="TableParagraph"/>
              <w:spacing w:before="108"/>
              <w:jc w:val="both"/>
              <w:rPr>
                <w:rFonts w:ascii="Times New Roman" w:hAnsi="Times New Roman" w:cs="Times New Roman"/>
                <w:b/>
                <w:color w:val="000000" w:themeColor="text1"/>
                <w:spacing w:val="-2"/>
                <w:w w:val="95"/>
                <w:sz w:val="20"/>
                <w:szCs w:val="20"/>
              </w:rPr>
            </w:pPr>
            <w:r w:rsidRPr="006B669F">
              <w:rPr>
                <w:rFonts w:ascii="Times New Roman" w:hAnsi="Times New Roman"/>
                <w:color w:val="000000" w:themeColor="text1"/>
                <w:spacing w:val="-2"/>
                <w:w w:val="95"/>
                <w:sz w:val="20"/>
              </w:rPr>
              <w:t>Suma, ktorou subjekt prispieva</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 xml:space="preserve">celkovej hodnote konsolidovanej rizikovej expozície skupiny, ktorej sa týka vykazovanie. </w:t>
            </w:r>
          </w:p>
        </w:tc>
      </w:tr>
      <w:tr w:rsidR="00D22EB0" w:rsidRPr="006B669F" w:rsidTr="003848DE">
        <w:trPr>
          <w:trHeight w:val="749"/>
        </w:trPr>
        <w:tc>
          <w:tcPr>
            <w:tcW w:w="0" w:type="auto"/>
            <w:tcBorders>
              <w:top w:val="single" w:sz="4" w:space="0" w:color="1A171C"/>
              <w:left w:val="nil"/>
              <w:bottom w:val="single" w:sz="4" w:space="0" w:color="1A171C"/>
              <w:right w:val="single" w:sz="4" w:space="0" w:color="1A171C"/>
            </w:tcBorders>
          </w:tcPr>
          <w:p w:rsidR="00CF6A09" w:rsidRPr="006B669F" w:rsidRDefault="00245A9E" w:rsidP="00255C59">
            <w:pPr>
              <w:pStyle w:val="TableParagraph"/>
              <w:spacing w:before="106"/>
              <w:ind w:left="-1"/>
              <w:rPr>
                <w:rFonts w:ascii="Times New Roman" w:hAnsi="Times New Roman" w:cs="Times New Roman"/>
                <w:color w:val="000000" w:themeColor="text1"/>
                <w:spacing w:val="-2"/>
                <w:sz w:val="20"/>
                <w:szCs w:val="20"/>
              </w:rPr>
            </w:pPr>
            <w:r w:rsidRPr="006B669F">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CF6A09" w:rsidRPr="00E140EE"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Príspevok ku konsolidovanej expozícii ukazovateľa finančnej páky</w:t>
            </w:r>
          </w:p>
          <w:p w:rsidR="00CF6A09" w:rsidRPr="00E140EE" w:rsidRDefault="00CF6A09" w:rsidP="00644AC6">
            <w:pPr>
              <w:pStyle w:val="TableParagraph"/>
              <w:spacing w:before="108"/>
              <w:ind w:left="85"/>
              <w:jc w:val="both"/>
              <w:rPr>
                <w:rFonts w:ascii="Times New Roman" w:hAnsi="Times New Roman" w:cs="Times New Roman"/>
                <w:b/>
                <w:color w:val="000000" w:themeColor="text1"/>
                <w:spacing w:val="-2"/>
                <w:w w:val="95"/>
                <w:sz w:val="20"/>
                <w:szCs w:val="20"/>
              </w:rPr>
            </w:pPr>
            <w:r w:rsidRPr="006B669F">
              <w:rPr>
                <w:rFonts w:ascii="Times New Roman" w:hAnsi="Times New Roman"/>
                <w:color w:val="000000" w:themeColor="text1"/>
                <w:spacing w:val="-2"/>
                <w:w w:val="95"/>
                <w:sz w:val="20"/>
              </w:rPr>
              <w:t>Suma, ktorou subjekt prispieva</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celkovej konsolidovanej expozícii ukazovateľa finančnej páky skupiny, ktorej sa týka vykazovanie.</w:t>
            </w:r>
          </w:p>
        </w:tc>
      </w:tr>
      <w:tr w:rsidR="00D22EB0" w:rsidRPr="006B669F" w:rsidTr="0036322A">
        <w:tc>
          <w:tcPr>
            <w:tcW w:w="0" w:type="auto"/>
            <w:tcBorders>
              <w:top w:val="single" w:sz="4" w:space="0" w:color="1A171C"/>
              <w:left w:val="nil"/>
              <w:bottom w:val="single" w:sz="4" w:space="0" w:color="1A171C"/>
              <w:right w:val="single" w:sz="4" w:space="0" w:color="1A171C"/>
            </w:tcBorders>
          </w:tcPr>
          <w:p w:rsidR="00255C59" w:rsidRPr="006B669F"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sidRPr="006B669F">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255C59" w:rsidRPr="00E140EE"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Príslušná právnická osoba</w:t>
            </w:r>
          </w:p>
          <w:p w:rsidR="00255C59" w:rsidRPr="006B669F"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Či subjekt predstavuje príslušnú právnickú osobu podľa vymedzenia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článku 2 tohto nariadenia.</w:t>
            </w:r>
          </w:p>
        </w:tc>
      </w:tr>
      <w:tr w:rsidR="00D22EB0" w:rsidRPr="006B669F" w:rsidTr="0036322A">
        <w:tc>
          <w:tcPr>
            <w:tcW w:w="0" w:type="auto"/>
            <w:tcBorders>
              <w:top w:val="single" w:sz="4" w:space="0" w:color="1A171C"/>
              <w:left w:val="nil"/>
              <w:bottom w:val="single" w:sz="4" w:space="0" w:color="1A171C"/>
              <w:right w:val="single" w:sz="4" w:space="0" w:color="1A171C"/>
            </w:tcBorders>
          </w:tcPr>
          <w:p w:rsidR="00E13CE3" w:rsidRPr="006B669F" w:rsidRDefault="00245A9E" w:rsidP="00DA31D1">
            <w:pPr>
              <w:pStyle w:val="TableParagraph"/>
              <w:spacing w:before="106"/>
              <w:ind w:left="-1"/>
              <w:rPr>
                <w:rFonts w:ascii="Times New Roman" w:hAnsi="Times New Roman" w:cs="Times New Roman"/>
                <w:b/>
                <w:color w:val="000000" w:themeColor="text1"/>
                <w:spacing w:val="-2"/>
                <w:sz w:val="20"/>
                <w:szCs w:val="20"/>
              </w:rPr>
            </w:pPr>
            <w:r w:rsidRPr="00E140EE">
              <w:rPr>
                <w:rFonts w:ascii="Times New Roman" w:hAnsi="Times New Roman"/>
                <w:b/>
                <w:color w:val="000000" w:themeColor="text1"/>
                <w:spacing w:val="-2"/>
                <w:sz w:val="20"/>
              </w:rPr>
              <w:t>0170 – 0210</w:t>
            </w:r>
          </w:p>
        </w:tc>
        <w:tc>
          <w:tcPr>
            <w:tcW w:w="0" w:type="auto"/>
            <w:tcBorders>
              <w:top w:val="single" w:sz="4" w:space="0" w:color="1A171C"/>
              <w:left w:val="single" w:sz="4" w:space="0" w:color="1A171C"/>
              <w:bottom w:val="single" w:sz="4" w:space="0" w:color="1A171C"/>
              <w:right w:val="nil"/>
            </w:tcBorders>
          </w:tcPr>
          <w:p w:rsidR="00E13CE3" w:rsidRPr="00E140EE"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Priama materská spoločnosť</w:t>
            </w:r>
          </w:p>
          <w:p w:rsidR="00E74F98" w:rsidRPr="006B669F"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Priama materská spoločnosť subjektu. Vykazuje sa iba tá priama materská spoločnosť, ktorá má</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 xml:space="preserve">rámci </w:t>
            </w:r>
            <w:r w:rsidRPr="006B669F">
              <w:rPr>
                <w:rFonts w:ascii="Times New Roman" w:hAnsi="Times New Roman"/>
                <w:color w:val="000000" w:themeColor="text1"/>
                <w:spacing w:val="-2"/>
                <w:w w:val="95"/>
                <w:sz w:val="20"/>
              </w:rPr>
              <w:lastRenderedPageBreak/>
              <w:t>subjektu viac ako 5</w:t>
            </w:r>
            <w:r w:rsidR="006B669F">
              <w:rPr>
                <w:rFonts w:ascii="Times New Roman" w:hAnsi="Times New Roman"/>
                <w:color w:val="000000" w:themeColor="text1"/>
                <w:spacing w:val="-2"/>
                <w:w w:val="95"/>
                <w:sz w:val="20"/>
              </w:rPr>
              <w:t> %</w:t>
            </w:r>
            <w:r w:rsidRPr="006B669F">
              <w:rPr>
                <w:rFonts w:ascii="Times New Roman" w:hAnsi="Times New Roman"/>
                <w:color w:val="000000" w:themeColor="text1"/>
                <w:spacing w:val="-2"/>
                <w:w w:val="95"/>
                <w:sz w:val="20"/>
              </w:rPr>
              <w:t xml:space="preserve"> hlasovacích práv.</w:t>
            </w:r>
          </w:p>
          <w:p w:rsidR="00CF6A09" w:rsidRPr="006B669F"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Ak má subjekt viac ako jednu priamu materskú spoločnosť, vykazuje sa iba priama materská spoločnosť</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najvyšším akciovým kapitálom, prípadne</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najvyšším podielom hlasovacích práv.</w:t>
            </w:r>
          </w:p>
        </w:tc>
      </w:tr>
      <w:tr w:rsidR="00D22EB0" w:rsidRPr="006B669F" w:rsidTr="0036322A">
        <w:tc>
          <w:tcPr>
            <w:tcW w:w="0" w:type="auto"/>
            <w:tcBorders>
              <w:top w:val="single" w:sz="4" w:space="0" w:color="1A171C"/>
              <w:left w:val="nil"/>
              <w:bottom w:val="single" w:sz="4" w:space="0" w:color="1A171C"/>
              <w:right w:val="single" w:sz="4" w:space="0" w:color="1A171C"/>
            </w:tcBorders>
          </w:tcPr>
          <w:p w:rsidR="00E13CE3" w:rsidRPr="006B669F" w:rsidRDefault="00245A9E" w:rsidP="001E5EDF">
            <w:pPr>
              <w:pStyle w:val="TableParagraph"/>
              <w:spacing w:before="106"/>
              <w:ind w:left="-1"/>
              <w:rPr>
                <w:rFonts w:ascii="Times New Roman" w:hAnsi="Times New Roman" w:cs="Times New Roman"/>
                <w:color w:val="000000" w:themeColor="text1"/>
                <w:spacing w:val="-2"/>
                <w:sz w:val="20"/>
                <w:szCs w:val="20"/>
              </w:rPr>
            </w:pPr>
            <w:r w:rsidRPr="006B669F">
              <w:rPr>
                <w:rFonts w:ascii="Times New Roman" w:hAnsi="Times New Roman"/>
                <w:color w:val="000000" w:themeColor="text1"/>
                <w:spacing w:val="-2"/>
                <w:sz w:val="20"/>
              </w:rPr>
              <w:lastRenderedPageBreak/>
              <w:t>0140</w:t>
            </w:r>
          </w:p>
        </w:tc>
        <w:tc>
          <w:tcPr>
            <w:tcW w:w="0" w:type="auto"/>
            <w:tcBorders>
              <w:top w:val="single" w:sz="4" w:space="0" w:color="1A171C"/>
              <w:left w:val="single" w:sz="4" w:space="0" w:color="1A171C"/>
              <w:bottom w:val="single" w:sz="4" w:space="0" w:color="1A171C"/>
              <w:right w:val="nil"/>
            </w:tcBorders>
          </w:tcPr>
          <w:p w:rsidR="006B669F" w:rsidRPr="00E140EE" w:rsidRDefault="00E13CE3" w:rsidP="001E5EDF">
            <w:pPr>
              <w:pStyle w:val="TableParagraph"/>
              <w:spacing w:before="108"/>
              <w:ind w:left="85"/>
              <w:jc w:val="both"/>
              <w:rPr>
                <w:rFonts w:ascii="Times New Roman" w:hAnsi="Times New Roman"/>
                <w:b/>
                <w:color w:val="000000" w:themeColor="text1"/>
                <w:spacing w:val="-2"/>
                <w:w w:val="95"/>
                <w:sz w:val="20"/>
              </w:rPr>
            </w:pPr>
            <w:r w:rsidRPr="00E140EE">
              <w:rPr>
                <w:rFonts w:ascii="Times New Roman" w:hAnsi="Times New Roman"/>
                <w:b/>
                <w:color w:val="000000" w:themeColor="text1"/>
                <w:spacing w:val="-2"/>
                <w:w w:val="95"/>
                <w:sz w:val="20"/>
              </w:rPr>
              <w:t>Názov</w:t>
            </w:r>
          </w:p>
          <w:p w:rsidR="00E13CE3" w:rsidRPr="00E140EE"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sidRPr="006B669F">
              <w:rPr>
                <w:rFonts w:ascii="Times New Roman" w:hAnsi="Times New Roman"/>
                <w:color w:val="000000" w:themeColor="text1"/>
                <w:sz w:val="20"/>
              </w:rPr>
              <w:t>Názov priamej materskej spoločnosti subjektu.</w:t>
            </w:r>
          </w:p>
        </w:tc>
      </w:tr>
      <w:tr w:rsidR="00D22EB0" w:rsidRPr="006B669F" w:rsidTr="0036322A">
        <w:tc>
          <w:tcPr>
            <w:tcW w:w="0" w:type="auto"/>
            <w:tcBorders>
              <w:top w:val="single" w:sz="4" w:space="0" w:color="1A171C"/>
              <w:left w:val="nil"/>
              <w:bottom w:val="single" w:sz="4" w:space="0" w:color="1A171C"/>
              <w:right w:val="single" w:sz="4" w:space="0" w:color="1A171C"/>
            </w:tcBorders>
          </w:tcPr>
          <w:p w:rsidR="00E13CE3" w:rsidRPr="006B669F" w:rsidRDefault="00245A9E" w:rsidP="001E5EDF">
            <w:pPr>
              <w:pStyle w:val="TableParagraph"/>
              <w:spacing w:before="106"/>
              <w:ind w:left="-1"/>
              <w:rPr>
                <w:rFonts w:ascii="Times New Roman" w:hAnsi="Times New Roman" w:cs="Times New Roman"/>
                <w:color w:val="000000" w:themeColor="text1"/>
                <w:spacing w:val="-2"/>
                <w:sz w:val="20"/>
                <w:szCs w:val="20"/>
              </w:rPr>
            </w:pPr>
            <w:r w:rsidRPr="006B669F">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AD3866" w:rsidRPr="00E140EE"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Kód</w:t>
            </w:r>
          </w:p>
          <w:p w:rsidR="00FC3DBA" w:rsidRPr="006B669F" w:rsidRDefault="00FC3DBA" w:rsidP="00FC3DBA">
            <w:pPr>
              <w:pStyle w:val="TableParagraph"/>
              <w:spacing w:before="108"/>
              <w:ind w:left="85"/>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Kód priamej materskej spoločnosti.</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prípade inštitúcií je kódom 20-miestny alfanumerický kód LEI.</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prípade iných subjektov je kódom 20-miestny alfanumerický kód LEI, alebo ak nie je</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dispozícii, kód</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rámci jednotnej kodifikácie uplatniteľnej</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Únii, alebo ak ani tento kód nie je</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dispozícii, vnútroštátny kód.</w:t>
            </w:r>
          </w:p>
          <w:p w:rsidR="00E13CE3" w:rsidRPr="00E140EE"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sidRPr="006B669F">
              <w:rPr>
                <w:rFonts w:ascii="Times New Roman" w:hAnsi="Times New Roman"/>
                <w:color w:val="000000" w:themeColor="text1"/>
                <w:spacing w:val="-2"/>
                <w:w w:val="95"/>
                <w:sz w:val="20"/>
              </w:rPr>
              <w:t>Tento kód musí byť jedinečný</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musí sa používať konzistentne vo všetkých vzoroch. Kód musí mať vždy hodnotu.</w:t>
            </w:r>
          </w:p>
        </w:tc>
      </w:tr>
      <w:tr w:rsidR="00D22EB0" w:rsidRPr="006B669F" w:rsidTr="0036322A">
        <w:tc>
          <w:tcPr>
            <w:tcW w:w="0" w:type="auto"/>
            <w:tcBorders>
              <w:top w:val="single" w:sz="4" w:space="0" w:color="1A171C"/>
              <w:left w:val="nil"/>
              <w:bottom w:val="single" w:sz="4" w:space="0" w:color="1A171C"/>
              <w:right w:val="single" w:sz="4" w:space="0" w:color="1A171C"/>
            </w:tcBorders>
          </w:tcPr>
          <w:p w:rsidR="00E13CE3" w:rsidRPr="006B669F" w:rsidRDefault="00AC59C6" w:rsidP="001E5EDF">
            <w:pPr>
              <w:pStyle w:val="TableParagraph"/>
              <w:spacing w:before="106"/>
              <w:ind w:left="-1"/>
              <w:rPr>
                <w:rFonts w:ascii="Times New Roman" w:hAnsi="Times New Roman" w:cs="Times New Roman"/>
                <w:color w:val="000000" w:themeColor="text1"/>
                <w:spacing w:val="-2"/>
                <w:sz w:val="20"/>
                <w:szCs w:val="20"/>
              </w:rPr>
            </w:pPr>
            <w:r w:rsidRPr="006B669F">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E13CE3" w:rsidRPr="00E140EE"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sidRPr="00E140EE">
              <w:rPr>
                <w:rFonts w:ascii="Times New Roman" w:hAnsi="Times New Roman"/>
                <w:b/>
                <w:color w:val="000000" w:themeColor="text1"/>
                <w:sz w:val="20"/>
              </w:rPr>
              <w:t>Kód LEI</w:t>
            </w:r>
          </w:p>
          <w:p w:rsidR="00E13CE3" w:rsidRPr="00E140EE"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sidRPr="006B669F">
              <w:rPr>
                <w:rFonts w:ascii="Times New Roman" w:hAnsi="Times New Roman"/>
                <w:color w:val="000000" w:themeColor="text1"/>
                <w:spacing w:val="-2"/>
                <w:sz w:val="20"/>
              </w:rPr>
              <w:t>20-miestny alfanumerický kód LEI subjektu, ak je</w:t>
            </w:r>
            <w:r w:rsidR="006B669F">
              <w:rPr>
                <w:rFonts w:ascii="Times New Roman" w:hAnsi="Times New Roman"/>
                <w:color w:val="000000" w:themeColor="text1"/>
                <w:spacing w:val="-2"/>
                <w:sz w:val="20"/>
              </w:rPr>
              <w:t xml:space="preserve"> k </w:t>
            </w:r>
            <w:r w:rsidRPr="006B669F">
              <w:rPr>
                <w:rFonts w:ascii="Times New Roman" w:hAnsi="Times New Roman"/>
                <w:color w:val="000000" w:themeColor="text1"/>
                <w:spacing w:val="-2"/>
                <w:sz w:val="20"/>
              </w:rPr>
              <w:t>dispozícii.</w:t>
            </w:r>
          </w:p>
        </w:tc>
      </w:tr>
      <w:tr w:rsidR="00D22EB0" w:rsidRPr="006B669F" w:rsidTr="0036322A">
        <w:tc>
          <w:tcPr>
            <w:tcW w:w="0" w:type="auto"/>
            <w:tcBorders>
              <w:top w:val="single" w:sz="4" w:space="0" w:color="1A171C"/>
              <w:left w:val="nil"/>
              <w:bottom w:val="single" w:sz="4" w:space="0" w:color="1A171C"/>
              <w:right w:val="single" w:sz="4" w:space="0" w:color="1A171C"/>
            </w:tcBorders>
          </w:tcPr>
          <w:p w:rsidR="00E13CE3" w:rsidRPr="006B669F" w:rsidRDefault="00AC59C6" w:rsidP="001E5EDF">
            <w:pPr>
              <w:pStyle w:val="TableParagraph"/>
              <w:spacing w:before="106"/>
              <w:ind w:left="-1"/>
              <w:rPr>
                <w:rFonts w:ascii="Times New Roman" w:hAnsi="Times New Roman" w:cs="Times New Roman"/>
                <w:color w:val="000000" w:themeColor="text1"/>
                <w:spacing w:val="-2"/>
                <w:sz w:val="20"/>
                <w:szCs w:val="20"/>
              </w:rPr>
            </w:pPr>
            <w:r w:rsidRPr="006B669F">
              <w:rPr>
                <w:rFonts w:ascii="Times New Roman" w:hAnsi="Times New Roman"/>
                <w:color w:val="000000" w:themeColor="text1"/>
                <w:spacing w:val="-2"/>
                <w:sz w:val="20"/>
              </w:rPr>
              <w:t>0170</w:t>
            </w:r>
          </w:p>
        </w:tc>
        <w:tc>
          <w:tcPr>
            <w:tcW w:w="0" w:type="auto"/>
            <w:tcBorders>
              <w:top w:val="single" w:sz="4" w:space="0" w:color="1A171C"/>
              <w:left w:val="single" w:sz="4" w:space="0" w:color="1A171C"/>
              <w:bottom w:val="single" w:sz="4" w:space="0" w:color="1A171C"/>
              <w:right w:val="nil"/>
            </w:tcBorders>
          </w:tcPr>
          <w:p w:rsidR="00E13CE3" w:rsidRPr="00E140EE"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Akciový kapitál</w:t>
            </w:r>
          </w:p>
          <w:p w:rsidR="00E13CE3" w:rsidRPr="00E140EE"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rPr>
            </w:pPr>
            <w:r w:rsidRPr="006B669F">
              <w:rPr>
                <w:rFonts w:ascii="Times New Roman" w:hAnsi="Times New Roman"/>
                <w:color w:val="000000" w:themeColor="text1"/>
                <w:spacing w:val="-2"/>
                <w:w w:val="95"/>
                <w:sz w:val="20"/>
              </w:rPr>
              <w:t>Výška akciového kapitálu</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držbe priamej materskej spoločnosti subjektu bez rezerv.</w:t>
            </w:r>
          </w:p>
        </w:tc>
      </w:tr>
      <w:tr w:rsidR="00D22EB0" w:rsidRPr="006B669F" w:rsidTr="0036322A">
        <w:tc>
          <w:tcPr>
            <w:tcW w:w="0" w:type="auto"/>
            <w:tcBorders>
              <w:top w:val="single" w:sz="4" w:space="0" w:color="1A171C"/>
              <w:left w:val="nil"/>
              <w:bottom w:val="single" w:sz="4" w:space="0" w:color="1A171C"/>
              <w:right w:val="single" w:sz="4" w:space="0" w:color="1A171C"/>
            </w:tcBorders>
          </w:tcPr>
          <w:p w:rsidR="00E13CE3" w:rsidRPr="006B669F" w:rsidRDefault="00AC59C6" w:rsidP="001E5EDF">
            <w:pPr>
              <w:pStyle w:val="TableParagraph"/>
              <w:spacing w:before="106"/>
              <w:ind w:left="-1"/>
              <w:rPr>
                <w:rFonts w:ascii="Times New Roman" w:hAnsi="Times New Roman" w:cs="Times New Roman"/>
                <w:color w:val="000000" w:themeColor="text1"/>
                <w:spacing w:val="-2"/>
                <w:sz w:val="20"/>
                <w:szCs w:val="20"/>
              </w:rPr>
            </w:pPr>
            <w:r w:rsidRPr="006B669F">
              <w:rPr>
                <w:rFonts w:ascii="Times New Roman" w:hAnsi="Times New Roman"/>
                <w:color w:val="000000" w:themeColor="text1"/>
                <w:spacing w:val="-2"/>
                <w:sz w:val="20"/>
              </w:rPr>
              <w:t>0180</w:t>
            </w:r>
          </w:p>
        </w:tc>
        <w:tc>
          <w:tcPr>
            <w:tcW w:w="0" w:type="auto"/>
            <w:tcBorders>
              <w:top w:val="single" w:sz="4" w:space="0" w:color="1A171C"/>
              <w:left w:val="single" w:sz="4" w:space="0" w:color="1A171C"/>
              <w:bottom w:val="single" w:sz="4" w:space="0" w:color="1A171C"/>
              <w:right w:val="nil"/>
            </w:tcBorders>
          </w:tcPr>
          <w:p w:rsidR="00E13CE3" w:rsidRPr="006B669F" w:rsidRDefault="00E13CE3" w:rsidP="001E5EDF">
            <w:pPr>
              <w:pStyle w:val="TableParagraph"/>
              <w:spacing w:before="108"/>
              <w:ind w:left="85"/>
              <w:rPr>
                <w:rFonts w:ascii="Times New Roman" w:eastAsia="Book Antiqua" w:hAnsi="Times New Roman" w:cs="Times New Roman"/>
                <w:color w:val="000000" w:themeColor="text1"/>
                <w:sz w:val="20"/>
                <w:szCs w:val="20"/>
              </w:rPr>
            </w:pPr>
            <w:r w:rsidRPr="00E140EE">
              <w:rPr>
                <w:rFonts w:ascii="Times New Roman" w:hAnsi="Times New Roman"/>
                <w:b/>
                <w:color w:val="000000" w:themeColor="text1"/>
                <w:spacing w:val="-2"/>
                <w:w w:val="95"/>
                <w:sz w:val="20"/>
              </w:rPr>
              <w:t>Hlasovacie práva</w:t>
            </w:r>
            <w:r w:rsidR="006B669F" w:rsidRPr="00E140EE">
              <w:rPr>
                <w:rFonts w:ascii="Times New Roman" w:hAnsi="Times New Roman"/>
                <w:b/>
                <w:color w:val="000000" w:themeColor="text1"/>
                <w:spacing w:val="-2"/>
                <w:w w:val="95"/>
                <w:sz w:val="20"/>
              </w:rPr>
              <w:t xml:space="preserve"> v </w:t>
            </w:r>
            <w:r w:rsidRPr="00E140EE">
              <w:rPr>
                <w:rFonts w:ascii="Times New Roman" w:hAnsi="Times New Roman"/>
                <w:b/>
                <w:color w:val="000000" w:themeColor="text1"/>
                <w:spacing w:val="-2"/>
                <w:w w:val="95"/>
                <w:sz w:val="20"/>
              </w:rPr>
              <w:t>rámci subjektu</w:t>
            </w:r>
          </w:p>
          <w:p w:rsidR="00E13CE3" w:rsidRPr="006B669F"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sidRPr="006B669F">
              <w:rPr>
                <w:rFonts w:ascii="Times New Roman" w:hAnsi="Times New Roman"/>
                <w:color w:val="000000" w:themeColor="text1"/>
                <w:spacing w:val="-1"/>
                <w:w w:val="95"/>
                <w:sz w:val="20"/>
              </w:rPr>
              <w:t>Percentuálny podiel hlasovacích práv, ktoré má priama materská spoločnosť subjektu.</w:t>
            </w:r>
          </w:p>
          <w:p w:rsidR="00E13CE3" w:rsidRPr="00E140EE"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sidRPr="006B669F">
              <w:rPr>
                <w:rFonts w:ascii="Times New Roman" w:hAnsi="Times New Roman"/>
                <w:color w:val="000000" w:themeColor="text1"/>
                <w:spacing w:val="-1"/>
                <w:w w:val="95"/>
                <w:sz w:val="20"/>
              </w:rPr>
              <w:t>Táto informácia sa vyžaduje len</w:t>
            </w:r>
            <w:r w:rsidR="006B669F">
              <w:rPr>
                <w:rFonts w:ascii="Times New Roman" w:hAnsi="Times New Roman"/>
                <w:color w:val="000000" w:themeColor="text1"/>
                <w:spacing w:val="-1"/>
                <w:w w:val="95"/>
                <w:sz w:val="20"/>
              </w:rPr>
              <w:t xml:space="preserve"> v </w:t>
            </w:r>
            <w:r w:rsidRPr="006B669F">
              <w:rPr>
                <w:rFonts w:ascii="Times New Roman" w:hAnsi="Times New Roman"/>
                <w:color w:val="000000" w:themeColor="text1"/>
                <w:spacing w:val="-1"/>
                <w:w w:val="95"/>
                <w:sz w:val="20"/>
              </w:rPr>
              <w:t>prípade, ak sa jedna akcia nerovná jednému hlasu (hlasovacie práva sa teda nerovnajú akciovému kapitálu).</w:t>
            </w:r>
          </w:p>
        </w:tc>
      </w:tr>
    </w:tbl>
    <w:p w:rsidR="00E13CE3" w:rsidRPr="006B669F" w:rsidRDefault="00E13CE3" w:rsidP="00E13CE3">
      <w:pPr>
        <w:rPr>
          <w:rFonts w:ascii="Times New Roman" w:hAnsi="Times New Roman" w:cs="Times New Roman"/>
          <w:color w:val="000000" w:themeColor="text1"/>
          <w:sz w:val="20"/>
          <w:szCs w:val="20"/>
        </w:rPr>
      </w:pPr>
    </w:p>
    <w:p w:rsidR="00E13CE3" w:rsidRPr="00310799" w:rsidRDefault="00F7117F" w:rsidP="008854E4">
      <w:pPr>
        <w:pStyle w:val="Instructionsberschrift2"/>
        <w:numPr>
          <w:ilvl w:val="1"/>
          <w:numId w:val="7"/>
        </w:numPr>
        <w:ind w:left="357" w:hanging="357"/>
        <w:rPr>
          <w:rFonts w:ascii="Times New Roman" w:hAnsi="Times New Roman" w:cs="Times New Roman"/>
          <w:szCs w:val="20"/>
        </w:rPr>
      </w:pPr>
      <w:bookmarkStart w:id="20" w:name="_Toc492542322"/>
      <w:bookmarkStart w:id="21" w:name="_Toc509909040"/>
      <w:bookmarkStart w:id="22" w:name="_Toc525209030"/>
      <w:r w:rsidRPr="00310799">
        <w:rPr>
          <w:rFonts w:ascii="Times New Roman" w:hAnsi="Times New Roman"/>
        </w:rPr>
        <w:t>Z 02.00 – Štruktúra záväzkov (LIAB)</w:t>
      </w:r>
      <w:bookmarkEnd w:id="20"/>
      <w:bookmarkEnd w:id="21"/>
      <w:bookmarkEnd w:id="22"/>
    </w:p>
    <w:p w:rsidR="005B4526" w:rsidRPr="00310799" w:rsidRDefault="005B4526" w:rsidP="00EC261B">
      <w:pPr>
        <w:pStyle w:val="Instructionsberschrift3"/>
      </w:pPr>
      <w:r w:rsidRPr="00310799">
        <w:t>Všeobecné poznámky</w:t>
      </w:r>
    </w:p>
    <w:p w:rsidR="00E13CE3" w:rsidRPr="006B669F" w:rsidRDefault="00E13CE3" w:rsidP="004F233C">
      <w:pPr>
        <w:pStyle w:val="numberedparagraph"/>
      </w:pPr>
      <w:r w:rsidRPr="006B669F">
        <w:t>V tomto vzore sa vyžadujú podrobné informácie</w:t>
      </w:r>
      <w:r w:rsidR="006B669F">
        <w:t xml:space="preserve"> o </w:t>
      </w:r>
      <w:r w:rsidRPr="006B669F">
        <w:t>štruktúre záväzkov subjektu alebo skupiny. Záväzky sa rozdeľujú na záväzky vylúčené zo záchrany pomocou vnútorných zdrojov</w:t>
      </w:r>
      <w:r w:rsidR="006B669F">
        <w:t xml:space="preserve"> a </w:t>
      </w:r>
      <w:r w:rsidRPr="006B669F">
        <w:t>na záväzky, ktoré nie sú vylúčené zo záchrany pomocou vnútorných zdrojov. Poskytujú sa ďalšie rozdelenia podľa tried záväzkov, tried protistrán</w:t>
      </w:r>
      <w:r w:rsidR="006B669F">
        <w:t xml:space="preserve"> a </w:t>
      </w:r>
      <w:r w:rsidRPr="006B669F">
        <w:t>splatnosti.</w:t>
      </w:r>
    </w:p>
    <w:p w:rsidR="00E13CE3" w:rsidRPr="006B669F" w:rsidRDefault="00BD69D5" w:rsidP="004F233C">
      <w:pPr>
        <w:pStyle w:val="numberedparagraph"/>
      </w:pPr>
      <w:r w:rsidRPr="006B669F">
        <w:t>Ak sa</w:t>
      </w:r>
      <w:r w:rsidR="006B669F">
        <w:t xml:space="preserve"> v </w:t>
      </w:r>
      <w:r w:rsidRPr="006B669F">
        <w:t>tomto vzore uvádza rozdelenie podľa splatnosti, zostatková splatnosť predstavuje čas do zmluvnej splatnosti alebo, ak existuje explicitné alebo implicitné, zmluvné alebo zákonné právo držiteľa nástroja na predčasné splatenie, do prvého dňa, keď takéto právo vznikne. Priebežné splátky istiny sa rozdeľujú do zodpovedajúcich skupín splatností. Splatnosť sa podľa potreby posudzuje samostatne pre sumu istiny</w:t>
      </w:r>
      <w:r w:rsidR="006B669F">
        <w:t xml:space="preserve"> a </w:t>
      </w:r>
      <w:r w:rsidRPr="006B669F">
        <w:t>pre vzniknutý úrok.</w:t>
      </w:r>
    </w:p>
    <w:p w:rsidR="006B669F" w:rsidRDefault="00296A07" w:rsidP="004F233C">
      <w:pPr>
        <w:pStyle w:val="numberedparagraph"/>
      </w:pPr>
      <w:r w:rsidRPr="006B669F">
        <w:t>Štandardne platí, že sumy vykazované</w:t>
      </w:r>
      <w:r w:rsidR="006B669F">
        <w:t xml:space="preserve"> v </w:t>
      </w:r>
      <w:r w:rsidRPr="006B669F">
        <w:t>tomto vzore sú nesplatené sumy. Nesplatená suma pohľadávky alebo nástroja je súčtom istiny</w:t>
      </w:r>
      <w:r w:rsidR="006B669F">
        <w:t xml:space="preserve"> a </w:t>
      </w:r>
      <w:r w:rsidRPr="006B669F">
        <w:t>vzniknutého úroku</w:t>
      </w:r>
      <w:r w:rsidR="006B669F">
        <w:t xml:space="preserve"> z </w:t>
      </w:r>
      <w:r w:rsidRPr="006B669F">
        <w:t>pohľadávky alebo nástroja. Nesplatená dlžná suma sa rovná hodnote pohľadávky, ktorú by veriteľ mohol predložiť</w:t>
      </w:r>
      <w:r w:rsidR="006B669F">
        <w:t xml:space="preserve"> v </w:t>
      </w:r>
      <w:r w:rsidRPr="006B669F">
        <w:t>rámci konkurzného konania</w:t>
      </w:r>
      <w:r w:rsidR="006B669F">
        <w:t>.</w:t>
      </w:r>
    </w:p>
    <w:p w:rsidR="006B669F" w:rsidRDefault="009927F0" w:rsidP="004F233C">
      <w:pPr>
        <w:pStyle w:val="numberedparagraph"/>
      </w:pPr>
      <w:r w:rsidRPr="006B669F">
        <w:t>Odchylne od predchádzajúceho odseku sa súvahové záväzky vyplývajúce</w:t>
      </w:r>
      <w:r w:rsidR="006B669F">
        <w:t xml:space="preserve"> z </w:t>
      </w:r>
      <w:r w:rsidRPr="006B669F">
        <w:t>derivátov (vykazované</w:t>
      </w:r>
      <w:r w:rsidR="006B669F">
        <w:t xml:space="preserve"> v </w:t>
      </w:r>
      <w:r w:rsidRPr="006B669F">
        <w:t>riadku 0330) vykazujú vo forme účtovných hodnôt. Účtovnou hodnotou je účtovná hodnota podľa vymedzenia na účely FINREP, buď podľa IFRS, alebo prípadne podľa národných GAAP.</w:t>
      </w:r>
      <w:r w:rsidR="006B669F">
        <w:t xml:space="preserve"> V </w:t>
      </w:r>
      <w:r w:rsidRPr="006B669F">
        <w:t>opačnom prípade sa použijú čísla podľa schém vykazovania národných GAAP</w:t>
      </w:r>
      <w:r w:rsidR="006B669F">
        <w:t>.</w:t>
      </w:r>
    </w:p>
    <w:p w:rsidR="00E13CE3" w:rsidRPr="00310799" w:rsidRDefault="00E13CE3" w:rsidP="00BB7962">
      <w:pPr>
        <w:pStyle w:val="Instructionsberschrift3"/>
        <w:keepNext/>
        <w:keepLines/>
        <w:ind w:hanging="431"/>
      </w:pPr>
      <w:r w:rsidRPr="00310799">
        <w:t>Pokyny týkajúce sa konkrétnych pozícií</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6B669F" w:rsidTr="00FF209B">
        <w:tc>
          <w:tcPr>
            <w:tcW w:w="908" w:type="dxa"/>
            <w:tcBorders>
              <w:top w:val="single" w:sz="4" w:space="0" w:color="1A171C"/>
              <w:left w:val="nil"/>
              <w:bottom w:val="single" w:sz="4" w:space="0" w:color="1A171C"/>
              <w:right w:val="single" w:sz="4" w:space="0" w:color="1A171C"/>
            </w:tcBorders>
            <w:shd w:val="clear" w:color="auto" w:fill="E4E5E5"/>
          </w:tcPr>
          <w:p w:rsidR="0081175C" w:rsidRPr="006B669F" w:rsidRDefault="0081175C" w:rsidP="00367C1E">
            <w:pPr>
              <w:pStyle w:val="TableParagraph"/>
              <w:spacing w:before="66"/>
              <w:rPr>
                <w:rFonts w:ascii="Times New Roman" w:eastAsia="Cambria" w:hAnsi="Times New Roman" w:cs="Times New Roman"/>
                <w:color w:val="000000" w:themeColor="text1"/>
                <w:sz w:val="20"/>
                <w:szCs w:val="20"/>
              </w:rPr>
            </w:pPr>
            <w:r w:rsidRPr="006B669F">
              <w:rPr>
                <w:rFonts w:ascii="Times New Roman" w:hAnsi="Times New Roman"/>
                <w:color w:val="000000" w:themeColor="text1"/>
                <w:sz w:val="20"/>
              </w:rPr>
              <w:t>Stĺpce</w:t>
            </w:r>
          </w:p>
        </w:tc>
        <w:tc>
          <w:tcPr>
            <w:tcW w:w="8118" w:type="dxa"/>
            <w:tcBorders>
              <w:top w:val="single" w:sz="4" w:space="0" w:color="1A171C"/>
              <w:left w:val="single" w:sz="4" w:space="0" w:color="1A171C"/>
              <w:bottom w:val="single" w:sz="4" w:space="0" w:color="1A171C"/>
              <w:right w:val="nil"/>
            </w:tcBorders>
            <w:shd w:val="clear" w:color="auto" w:fill="E4E5E5"/>
          </w:tcPr>
          <w:p w:rsidR="0081175C" w:rsidRPr="006B669F"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sidRPr="006B669F">
              <w:rPr>
                <w:rFonts w:ascii="Times New Roman" w:hAnsi="Times New Roman"/>
                <w:color w:val="000000" w:themeColor="text1"/>
                <w:spacing w:val="-1"/>
                <w:w w:val="90"/>
                <w:sz w:val="20"/>
              </w:rPr>
              <w:t>Pokyny</w:t>
            </w:r>
          </w:p>
        </w:tc>
      </w:tr>
      <w:tr w:rsidR="00D22EB0" w:rsidRPr="006B669F" w:rsidTr="00FF209B">
        <w:tc>
          <w:tcPr>
            <w:tcW w:w="908" w:type="dxa"/>
            <w:tcBorders>
              <w:top w:val="single" w:sz="4" w:space="0" w:color="1A171C"/>
              <w:left w:val="nil"/>
              <w:bottom w:val="single" w:sz="4" w:space="0" w:color="1A171C"/>
              <w:right w:val="single" w:sz="4" w:space="0" w:color="1A171C"/>
            </w:tcBorders>
            <w:vAlign w:val="center"/>
          </w:tcPr>
          <w:p w:rsidR="0081175C" w:rsidRPr="006B669F" w:rsidRDefault="0081175C" w:rsidP="00367C1E">
            <w:pPr>
              <w:pStyle w:val="TableParagraph"/>
              <w:spacing w:before="106"/>
              <w:ind w:left="-1"/>
              <w:rPr>
                <w:rFonts w:ascii="Times New Roman" w:eastAsia="Cambria" w:hAnsi="Times New Roman" w:cs="Times New Roman"/>
                <w:b/>
                <w:color w:val="000000" w:themeColor="text1"/>
                <w:sz w:val="20"/>
                <w:szCs w:val="20"/>
              </w:rPr>
            </w:pPr>
            <w:r w:rsidRPr="006B669F">
              <w:rPr>
                <w:rFonts w:ascii="Times New Roman" w:hAnsi="Times New Roman"/>
                <w:color w:val="000000" w:themeColor="text1"/>
                <w:sz w:val="20"/>
              </w:rPr>
              <w:t xml:space="preserve">0010 </w:t>
            </w:r>
          </w:p>
        </w:tc>
        <w:tc>
          <w:tcPr>
            <w:tcW w:w="8118" w:type="dxa"/>
            <w:tcBorders>
              <w:top w:val="single" w:sz="4" w:space="0" w:color="1A171C"/>
              <w:left w:val="single" w:sz="4" w:space="0" w:color="1A171C"/>
              <w:bottom w:val="single" w:sz="4" w:space="0" w:color="1A171C"/>
              <w:right w:val="nil"/>
            </w:tcBorders>
            <w:vAlign w:val="center"/>
          </w:tcPr>
          <w:p w:rsidR="0081175C" w:rsidRPr="00E140EE"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Domácnosti</w:t>
            </w:r>
          </w:p>
          <w:p w:rsidR="006B669F" w:rsidRDefault="0081175C" w:rsidP="0081175C">
            <w:pPr>
              <w:pStyle w:val="TableParagraph"/>
              <w:spacing w:before="108"/>
              <w:ind w:left="85"/>
              <w:jc w:val="both"/>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lastRenderedPageBreak/>
              <w:t>FINREP, príloha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časť 1 ods. 42 písm. f)</w:t>
            </w:r>
          </w:p>
          <w:p w:rsidR="0081175C" w:rsidRPr="00E140EE"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rPr>
            </w:pPr>
            <w:r w:rsidRPr="006B669F">
              <w:rPr>
                <w:rFonts w:ascii="Times New Roman" w:hAnsi="Times New Roman"/>
                <w:color w:val="000000" w:themeColor="text1"/>
                <w:spacing w:val="-2"/>
                <w:w w:val="95"/>
                <w:sz w:val="20"/>
              </w:rPr>
              <w:t>Jednotlivci alebo skupiny jednotlivcov ako spotrebitelia</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výrobcovia tovarov</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nefinančných služieb výhradne na svoju vlastnú konečnú spotrebu</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ako výrobcovia trhových výrobkov</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poskytovatelia nefinančných</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finančných služieb za predpokladu, že ich činnosti nie sú činnosťami kvázikorporácií. Patria sem neziskové inštitúcie, ktoré slúžia domácnostiam</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ktoré sú</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zásade aktívne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produkcii netrhových výrobkov</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služieb určených pre konkrétne skupiny domácností.</w:t>
            </w:r>
          </w:p>
        </w:tc>
      </w:tr>
      <w:tr w:rsidR="00D22EB0" w:rsidRPr="006B669F" w:rsidTr="00FF209B">
        <w:tc>
          <w:tcPr>
            <w:tcW w:w="908" w:type="dxa"/>
            <w:tcBorders>
              <w:top w:val="single" w:sz="4" w:space="0" w:color="1A171C"/>
              <w:left w:val="nil"/>
              <w:bottom w:val="single" w:sz="4" w:space="0" w:color="1A171C"/>
              <w:right w:val="single" w:sz="4" w:space="0" w:color="1A171C"/>
            </w:tcBorders>
            <w:vAlign w:val="center"/>
          </w:tcPr>
          <w:p w:rsidR="0081175C" w:rsidRPr="006B669F" w:rsidRDefault="0081175C" w:rsidP="00367C1E">
            <w:pPr>
              <w:pStyle w:val="TableParagraph"/>
              <w:spacing w:before="106"/>
              <w:ind w:left="-1"/>
              <w:rPr>
                <w:rFonts w:ascii="Times New Roman" w:eastAsia="Cambria" w:hAnsi="Times New Roman" w:cs="Times New Roman"/>
                <w:color w:val="000000" w:themeColor="text1"/>
                <w:sz w:val="20"/>
                <w:szCs w:val="20"/>
              </w:rPr>
            </w:pPr>
            <w:r w:rsidRPr="006B669F">
              <w:rPr>
                <w:rFonts w:ascii="Times New Roman" w:hAnsi="Times New Roman"/>
                <w:color w:val="000000" w:themeColor="text1"/>
                <w:sz w:val="20"/>
              </w:rPr>
              <w:lastRenderedPageBreak/>
              <w:t>0020</w:t>
            </w:r>
          </w:p>
        </w:tc>
        <w:tc>
          <w:tcPr>
            <w:tcW w:w="8118" w:type="dxa"/>
            <w:tcBorders>
              <w:top w:val="single" w:sz="4" w:space="0" w:color="1A171C"/>
              <w:left w:val="single" w:sz="4" w:space="0" w:color="1A171C"/>
              <w:bottom w:val="single" w:sz="4" w:space="0" w:color="1A171C"/>
              <w:right w:val="nil"/>
            </w:tcBorders>
            <w:vAlign w:val="center"/>
          </w:tcPr>
          <w:p w:rsidR="0081175C" w:rsidRPr="00E140EE"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Nefinančné korporácie (MSP)</w:t>
            </w:r>
          </w:p>
          <w:p w:rsidR="0081175C" w:rsidRPr="006B669F"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Hlava I, článok 2 ods. 1 prílohy</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odporúčaniu Komisie zo 6</w:t>
            </w:r>
            <w:r w:rsidR="006B669F">
              <w:rPr>
                <w:rFonts w:ascii="Times New Roman" w:hAnsi="Times New Roman"/>
                <w:color w:val="000000" w:themeColor="text1"/>
                <w:spacing w:val="-2"/>
                <w:w w:val="95"/>
                <w:sz w:val="20"/>
              </w:rPr>
              <w:t>. mája</w:t>
            </w:r>
            <w:r w:rsidRPr="006B669F">
              <w:rPr>
                <w:rFonts w:ascii="Times New Roman" w:hAnsi="Times New Roman"/>
                <w:color w:val="000000" w:themeColor="text1"/>
                <w:spacing w:val="-2"/>
                <w:w w:val="95"/>
                <w:sz w:val="20"/>
              </w:rPr>
              <w:t xml:space="preserve"> 2003</w:t>
            </w:r>
            <w:r w:rsidRPr="006B669F">
              <w:rPr>
                <w:rStyle w:val="FootnoteReference"/>
                <w:color w:val="1A171C"/>
                <w:spacing w:val="-2"/>
                <w:w w:val="95"/>
              </w:rPr>
              <w:footnoteReference w:id="8"/>
            </w:r>
            <w:r w:rsidRPr="006B669F">
              <w:rPr>
                <w:rFonts w:ascii="Times New Roman" w:hAnsi="Times New Roman"/>
                <w:color w:val="000000" w:themeColor="text1"/>
                <w:spacing w:val="-2"/>
                <w:w w:val="95"/>
                <w:sz w:val="20"/>
              </w:rPr>
              <w:t>; FINREP, príloha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časť 1 ods. 5 písm. i)</w:t>
            </w:r>
          </w:p>
          <w:p w:rsidR="0081175C" w:rsidRPr="006B669F"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sidRPr="006B669F">
              <w:rPr>
                <w:rFonts w:ascii="Times New Roman" w:hAnsi="Times New Roman"/>
                <w:color w:val="000000" w:themeColor="text1"/>
                <w:spacing w:val="-2"/>
                <w:w w:val="95"/>
                <w:sz w:val="20"/>
              </w:rPr>
              <w:t>Podniky, ktoré zamestnávajú menej než 250 osôb</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ktoré majú ročný obrat nepresahujúci 50 miliónov EUR a/alebo celkovú ročnú súvahu nepresahujúcu 43 miliónov EUR.</w:t>
            </w:r>
          </w:p>
        </w:tc>
      </w:tr>
      <w:tr w:rsidR="00D22EB0" w:rsidRPr="006B669F" w:rsidTr="00FF209B">
        <w:tc>
          <w:tcPr>
            <w:tcW w:w="908" w:type="dxa"/>
            <w:tcBorders>
              <w:top w:val="single" w:sz="4" w:space="0" w:color="1A171C"/>
              <w:left w:val="nil"/>
              <w:bottom w:val="single" w:sz="4" w:space="0" w:color="1A171C"/>
              <w:right w:val="single" w:sz="4" w:space="0" w:color="1A171C"/>
            </w:tcBorders>
            <w:vAlign w:val="center"/>
          </w:tcPr>
          <w:p w:rsidR="0081175C" w:rsidRPr="006B669F" w:rsidRDefault="0081175C"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0030</w:t>
            </w:r>
          </w:p>
        </w:tc>
        <w:tc>
          <w:tcPr>
            <w:tcW w:w="8118" w:type="dxa"/>
            <w:tcBorders>
              <w:top w:val="single" w:sz="4" w:space="0" w:color="1A171C"/>
              <w:left w:val="single" w:sz="4" w:space="0" w:color="1A171C"/>
              <w:bottom w:val="single" w:sz="4" w:space="0" w:color="1A171C"/>
              <w:right w:val="nil"/>
            </w:tcBorders>
            <w:vAlign w:val="center"/>
          </w:tcPr>
          <w:p w:rsidR="0081175C" w:rsidRPr="00E140EE"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Nefinančné korporácie (iné ako MSP)</w:t>
            </w:r>
          </w:p>
          <w:p w:rsidR="0081175C" w:rsidRPr="006B669F"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FINREP, príloha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časť 1 ods. 42 písm. e)</w:t>
            </w:r>
          </w:p>
          <w:p w:rsidR="0081175C" w:rsidRPr="006B669F"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Korporácie</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kvázikorporácie, ktoré nevykonávajú finančné sprostredkovanie, ale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zásade sú aktívne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produkcii trhových výrobkov</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nefinančných služieb podľa nariadenia Európskej centrálnej banky (EÚ) č. 1071/2013</w:t>
            </w:r>
            <w:r w:rsidRPr="006B669F">
              <w:rPr>
                <w:rFonts w:ascii="Times New Roman" w:hAnsi="Times New Roman"/>
                <w:color w:val="000000" w:themeColor="text1"/>
                <w:sz w:val="20"/>
                <w:vertAlign w:val="superscript"/>
              </w:rPr>
              <w:footnoteReference w:id="9"/>
            </w:r>
            <w:r w:rsidRPr="006B669F">
              <w:rPr>
                <w:rFonts w:ascii="Times New Roman" w:hAnsi="Times New Roman"/>
                <w:color w:val="000000" w:themeColor="text1"/>
                <w:spacing w:val="-2"/>
                <w:w w:val="95"/>
                <w:sz w:val="20"/>
              </w:rPr>
              <w:t>.</w:t>
            </w:r>
          </w:p>
          <w:p w:rsidR="0081175C" w:rsidRPr="00E140EE" w:rsidRDefault="0081175C" w:rsidP="00CF4CE8">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Okrem „MSP“ vykázaných</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 xml:space="preserve">stĺpci 0020. </w:t>
            </w:r>
          </w:p>
        </w:tc>
      </w:tr>
      <w:tr w:rsidR="00D22EB0" w:rsidRPr="006B669F" w:rsidTr="00FF209B">
        <w:tc>
          <w:tcPr>
            <w:tcW w:w="908" w:type="dxa"/>
            <w:tcBorders>
              <w:top w:val="single" w:sz="4" w:space="0" w:color="1A171C"/>
              <w:left w:val="nil"/>
              <w:bottom w:val="single" w:sz="4" w:space="0" w:color="1A171C"/>
              <w:right w:val="single" w:sz="4" w:space="0" w:color="1A171C"/>
            </w:tcBorders>
            <w:vAlign w:val="center"/>
          </w:tcPr>
          <w:p w:rsidR="0081175C" w:rsidRPr="006B669F" w:rsidRDefault="0081175C"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0040</w:t>
            </w:r>
          </w:p>
        </w:tc>
        <w:tc>
          <w:tcPr>
            <w:tcW w:w="8118" w:type="dxa"/>
            <w:tcBorders>
              <w:top w:val="single" w:sz="4" w:space="0" w:color="1A171C"/>
              <w:left w:val="single" w:sz="4" w:space="0" w:color="1A171C"/>
              <w:bottom w:val="single" w:sz="4" w:space="0" w:color="1A171C"/>
              <w:right w:val="nil"/>
            </w:tcBorders>
            <w:vAlign w:val="center"/>
          </w:tcPr>
          <w:p w:rsidR="0081175C" w:rsidRPr="00E140EE"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Úverové inštitúcie</w:t>
            </w:r>
          </w:p>
          <w:p w:rsidR="0081175C" w:rsidRPr="006B669F"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FINREP, príloha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časť 1 ods. 42 písm. c)</w:t>
            </w:r>
          </w:p>
          <w:p w:rsidR="0081175C" w:rsidRPr="00E140EE" w:rsidRDefault="00F97BC8" w:rsidP="00573846">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Úverové inštitúcie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zmysle článku 4 ods. 1 bodu 1 nariadenia (EÚ) č. 575/2013</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multilaterálne rozvojové banky.</w:t>
            </w:r>
          </w:p>
        </w:tc>
      </w:tr>
      <w:tr w:rsidR="00D22EB0" w:rsidRPr="006B669F" w:rsidTr="00FF209B">
        <w:tc>
          <w:tcPr>
            <w:tcW w:w="908" w:type="dxa"/>
            <w:tcBorders>
              <w:top w:val="single" w:sz="4" w:space="0" w:color="1A171C"/>
              <w:left w:val="nil"/>
              <w:bottom w:val="single" w:sz="4" w:space="0" w:color="1A171C"/>
              <w:right w:val="single" w:sz="4" w:space="0" w:color="1A171C"/>
            </w:tcBorders>
            <w:vAlign w:val="center"/>
          </w:tcPr>
          <w:p w:rsidR="0081175C" w:rsidRPr="006B669F" w:rsidRDefault="0081175C"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0050</w:t>
            </w:r>
          </w:p>
        </w:tc>
        <w:tc>
          <w:tcPr>
            <w:tcW w:w="8118" w:type="dxa"/>
            <w:tcBorders>
              <w:top w:val="single" w:sz="4" w:space="0" w:color="1A171C"/>
              <w:left w:val="single" w:sz="4" w:space="0" w:color="1A171C"/>
              <w:bottom w:val="single" w:sz="4" w:space="0" w:color="1A171C"/>
              <w:right w:val="nil"/>
            </w:tcBorders>
            <w:vAlign w:val="center"/>
          </w:tcPr>
          <w:p w:rsidR="0081175C" w:rsidRPr="00E140EE"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Iné finančné korporácie</w:t>
            </w:r>
          </w:p>
          <w:p w:rsidR="0081175C" w:rsidRPr="006B669F"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FINREP, príloha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časť 1 ods. 42 písm. d)</w:t>
            </w:r>
          </w:p>
          <w:p w:rsidR="0081175C" w:rsidRPr="00E140EE" w:rsidRDefault="0081175C" w:rsidP="00F97BC8">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Všetky finančné korporácie</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kvázikorporácie okrem úverových inštitúcií, ako sú investičné spoločnosti, investičné fondy, poisťovne, dôchodkové fondy, podniky kolektívneho investovania</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klíringové ústavy, ako aj ostatní finanční sprostredkovatelia, finančné pomocné inštitúcie, kaptívne finančné inštitúcie</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požičiavatelia peňazí.</w:t>
            </w:r>
          </w:p>
        </w:tc>
      </w:tr>
      <w:tr w:rsidR="00D22EB0" w:rsidRPr="006B669F" w:rsidTr="00FF209B">
        <w:tc>
          <w:tcPr>
            <w:tcW w:w="908" w:type="dxa"/>
            <w:tcBorders>
              <w:top w:val="single" w:sz="4" w:space="0" w:color="1A171C"/>
              <w:left w:val="nil"/>
              <w:bottom w:val="single" w:sz="4" w:space="0" w:color="1A171C"/>
              <w:right w:val="single" w:sz="4" w:space="0" w:color="1A171C"/>
            </w:tcBorders>
            <w:vAlign w:val="center"/>
          </w:tcPr>
          <w:p w:rsidR="0081175C" w:rsidRPr="006B669F" w:rsidRDefault="0081175C"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0060</w:t>
            </w:r>
          </w:p>
        </w:tc>
        <w:tc>
          <w:tcPr>
            <w:tcW w:w="8118" w:type="dxa"/>
            <w:tcBorders>
              <w:top w:val="single" w:sz="4" w:space="0" w:color="1A171C"/>
              <w:left w:val="single" w:sz="4" w:space="0" w:color="1A171C"/>
              <w:bottom w:val="single" w:sz="4" w:space="0" w:color="1A171C"/>
              <w:right w:val="nil"/>
            </w:tcBorders>
            <w:vAlign w:val="center"/>
          </w:tcPr>
          <w:p w:rsidR="0081175C" w:rsidRPr="00E140EE"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Orgány verejnej správy</w:t>
            </w:r>
            <w:r w:rsidR="006B669F" w:rsidRPr="00E140EE">
              <w:rPr>
                <w:rFonts w:ascii="Times New Roman" w:hAnsi="Times New Roman"/>
                <w:b/>
                <w:color w:val="000000" w:themeColor="text1"/>
                <w:spacing w:val="-2"/>
                <w:w w:val="95"/>
                <w:sz w:val="20"/>
              </w:rPr>
              <w:t xml:space="preserve"> a </w:t>
            </w:r>
            <w:r w:rsidRPr="00E140EE">
              <w:rPr>
                <w:rFonts w:ascii="Times New Roman" w:hAnsi="Times New Roman"/>
                <w:b/>
                <w:color w:val="000000" w:themeColor="text1"/>
                <w:spacing w:val="-2"/>
                <w:w w:val="95"/>
                <w:sz w:val="20"/>
              </w:rPr>
              <w:t>centrálne banky</w:t>
            </w:r>
          </w:p>
          <w:p w:rsidR="0081175C" w:rsidRPr="006B669F"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FINREP, príloha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časť 1 ods. 42 písm. a)</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b)</w:t>
            </w:r>
          </w:p>
          <w:p w:rsidR="0081175C" w:rsidRPr="00E140EE" w:rsidRDefault="0081175C" w:rsidP="00AA2A99">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Centrálne banky</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ústredné vlády, štátne alebo regionálne vlády</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miestne samosprávy vrátane správnych orgánov</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neobchodných spoločností, ale</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vylúčením verejných spoločností</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súkromných spoločností vedených týmito správami, ktoré vykonávajú obchodnú činnosť (ktoré sú</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závislosti od svojej činnosti vykazované ako „úverové inštitúcie“, „ostatné finančné korporácie“ alebo „nefinančné korporácie“); fondy sociálneho zabezpečenia</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medzinárodné organizácie, ako je Európska únia, Medzinárodný menový fond</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Banka pre medzinárodné zúčtovanie.</w:t>
            </w:r>
          </w:p>
        </w:tc>
      </w:tr>
      <w:tr w:rsidR="00D22EB0" w:rsidRPr="006B669F" w:rsidTr="00FF209B">
        <w:tc>
          <w:tcPr>
            <w:tcW w:w="908" w:type="dxa"/>
            <w:tcBorders>
              <w:top w:val="single" w:sz="4" w:space="0" w:color="1A171C"/>
              <w:left w:val="nil"/>
              <w:bottom w:val="single" w:sz="4" w:space="0" w:color="1A171C"/>
              <w:right w:val="single" w:sz="4" w:space="0" w:color="1A171C"/>
            </w:tcBorders>
            <w:vAlign w:val="center"/>
          </w:tcPr>
          <w:p w:rsidR="0081175C" w:rsidRPr="006B669F" w:rsidRDefault="0081175C"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0070</w:t>
            </w:r>
          </w:p>
        </w:tc>
        <w:tc>
          <w:tcPr>
            <w:tcW w:w="8118" w:type="dxa"/>
            <w:tcBorders>
              <w:top w:val="single" w:sz="4" w:space="0" w:color="1A171C"/>
              <w:left w:val="single" w:sz="4" w:space="0" w:color="1A171C"/>
              <w:bottom w:val="single" w:sz="4" w:space="0" w:color="1A171C"/>
              <w:right w:val="nil"/>
            </w:tcBorders>
            <w:vAlign w:val="center"/>
          </w:tcPr>
          <w:p w:rsidR="0081175C" w:rsidRPr="00E140EE"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Neidentifikované, kótované na obchodnom mieste</w:t>
            </w:r>
          </w:p>
          <w:p w:rsidR="0081175C" w:rsidRPr="00E140EE" w:rsidRDefault="00FF209B" w:rsidP="00F82306">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Ak nie je známa totožnosť držiteľa cenného papiera, pretože nástroje sú kótované na obchodnom mieste podľa vymedzenia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smernici Európskeho parlamentu</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Rady 2014/65/EÚ</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15</w:t>
            </w:r>
            <w:r w:rsidR="006B669F">
              <w:rPr>
                <w:rFonts w:ascii="Times New Roman" w:hAnsi="Times New Roman"/>
                <w:color w:val="000000" w:themeColor="text1"/>
                <w:spacing w:val="-2"/>
                <w:w w:val="95"/>
                <w:sz w:val="20"/>
              </w:rPr>
              <w:t>. mája</w:t>
            </w:r>
            <w:r w:rsidRPr="006B669F">
              <w:rPr>
                <w:rFonts w:ascii="Times New Roman" w:hAnsi="Times New Roman"/>
                <w:color w:val="000000" w:themeColor="text1"/>
                <w:spacing w:val="-2"/>
                <w:w w:val="95"/>
                <w:sz w:val="20"/>
              </w:rPr>
              <w:t xml:space="preserve"> 2014</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trhoch</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finančnými nástrojmi, sumy sa priradia do tohto stĺpca.</w:t>
            </w:r>
          </w:p>
        </w:tc>
      </w:tr>
      <w:tr w:rsidR="00D22EB0" w:rsidRPr="006B669F" w:rsidTr="00FF209B">
        <w:tc>
          <w:tcPr>
            <w:tcW w:w="908" w:type="dxa"/>
            <w:tcBorders>
              <w:top w:val="single" w:sz="4" w:space="0" w:color="1A171C"/>
              <w:left w:val="nil"/>
              <w:bottom w:val="single" w:sz="4" w:space="0" w:color="1A171C"/>
              <w:right w:val="single" w:sz="4" w:space="0" w:color="1A171C"/>
            </w:tcBorders>
            <w:vAlign w:val="center"/>
          </w:tcPr>
          <w:p w:rsidR="00FF209B" w:rsidRPr="006B669F" w:rsidRDefault="00FF209B" w:rsidP="00FF209B">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0080</w:t>
            </w:r>
          </w:p>
        </w:tc>
        <w:tc>
          <w:tcPr>
            <w:tcW w:w="8118" w:type="dxa"/>
            <w:tcBorders>
              <w:top w:val="single" w:sz="4" w:space="0" w:color="1A171C"/>
              <w:left w:val="single" w:sz="4" w:space="0" w:color="1A171C"/>
              <w:bottom w:val="single" w:sz="4" w:space="0" w:color="1A171C"/>
              <w:right w:val="nil"/>
            </w:tcBorders>
            <w:vAlign w:val="center"/>
          </w:tcPr>
          <w:p w:rsidR="00FF209B" w:rsidRPr="00E140EE"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Neidentifikované, nekótované na obchodnom mieste</w:t>
            </w:r>
          </w:p>
          <w:p w:rsidR="00FF209B" w:rsidRPr="006B669F"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Ak nie je známa totožnosť držiteľa cenného papiera</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nástroje nie sú kótované na obchodnom mieste, sumy sa priradia do tohto stĺpca</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nevyžaduje sa ďalšie rozdelenie podľa protistrán. Subjekty vynakladajú maximálne úsilie na to, aby identifikovali protistrany</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obmedzili používanie tohto stĺpca na minimum.</w:t>
            </w:r>
          </w:p>
        </w:tc>
      </w:tr>
      <w:tr w:rsidR="00D22EB0" w:rsidRPr="006B669F" w:rsidTr="00FF209B">
        <w:tc>
          <w:tcPr>
            <w:tcW w:w="908" w:type="dxa"/>
            <w:tcBorders>
              <w:top w:val="single" w:sz="4" w:space="0" w:color="1A171C"/>
              <w:left w:val="nil"/>
              <w:bottom w:val="single" w:sz="4" w:space="0" w:color="1A171C"/>
              <w:right w:val="single" w:sz="4" w:space="0" w:color="1A171C"/>
            </w:tcBorders>
            <w:vAlign w:val="center"/>
          </w:tcPr>
          <w:p w:rsidR="00FF209B" w:rsidRPr="006B669F" w:rsidRDefault="00FF209B" w:rsidP="00FF209B">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lastRenderedPageBreak/>
              <w:t>0090</w:t>
            </w:r>
          </w:p>
        </w:tc>
        <w:tc>
          <w:tcPr>
            <w:tcW w:w="8118" w:type="dxa"/>
            <w:tcBorders>
              <w:top w:val="single" w:sz="4" w:space="0" w:color="1A171C"/>
              <w:left w:val="single" w:sz="4" w:space="0" w:color="1A171C"/>
              <w:bottom w:val="single" w:sz="4" w:space="0" w:color="1A171C"/>
              <w:right w:val="nil"/>
            </w:tcBorders>
            <w:vAlign w:val="center"/>
          </w:tcPr>
          <w:p w:rsidR="00FF209B" w:rsidRPr="00E140EE" w:rsidRDefault="00FF209B" w:rsidP="00FF209B">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pacing w:val="-2"/>
                <w:w w:val="95"/>
                <w:sz w:val="20"/>
              </w:rPr>
              <w:t>Spolu</w:t>
            </w:r>
          </w:p>
        </w:tc>
      </w:tr>
      <w:tr w:rsidR="00D22EB0" w:rsidRPr="006B669F" w:rsidTr="00FF209B">
        <w:tc>
          <w:tcPr>
            <w:tcW w:w="908" w:type="dxa"/>
            <w:tcBorders>
              <w:top w:val="single" w:sz="4" w:space="0" w:color="1A171C"/>
              <w:left w:val="nil"/>
              <w:bottom w:val="single" w:sz="4" w:space="0" w:color="1A171C"/>
              <w:right w:val="single" w:sz="4" w:space="0" w:color="1A171C"/>
            </w:tcBorders>
            <w:vAlign w:val="center"/>
          </w:tcPr>
          <w:p w:rsidR="00FF209B" w:rsidRPr="006B669F" w:rsidRDefault="00FF209B" w:rsidP="00FF209B">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0100</w:t>
            </w:r>
          </w:p>
        </w:tc>
        <w:tc>
          <w:tcPr>
            <w:tcW w:w="8118" w:type="dxa"/>
            <w:tcBorders>
              <w:top w:val="single" w:sz="4" w:space="0" w:color="1A171C"/>
              <w:left w:val="single" w:sz="4" w:space="0" w:color="1A171C"/>
              <w:bottom w:val="single" w:sz="4" w:space="0" w:color="1A171C"/>
              <w:right w:val="nil"/>
            </w:tcBorders>
            <w:vAlign w:val="center"/>
          </w:tcPr>
          <w:p w:rsidR="00FF209B" w:rsidRPr="00E140EE"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Z toho:</w:t>
            </w:r>
            <w:r w:rsidR="006B669F" w:rsidRPr="00E140EE">
              <w:rPr>
                <w:rFonts w:ascii="Times New Roman" w:hAnsi="Times New Roman"/>
                <w:b/>
                <w:color w:val="000000" w:themeColor="text1"/>
                <w:spacing w:val="-2"/>
                <w:w w:val="95"/>
                <w:sz w:val="20"/>
              </w:rPr>
              <w:t xml:space="preserve"> v </w:t>
            </w:r>
            <w:r w:rsidRPr="00E140EE">
              <w:rPr>
                <w:rFonts w:ascii="Times New Roman" w:hAnsi="Times New Roman"/>
                <w:b/>
                <w:color w:val="000000" w:themeColor="text1"/>
                <w:spacing w:val="-2"/>
                <w:w w:val="95"/>
                <w:sz w:val="20"/>
              </w:rPr>
              <w:t>rámci skupiny</w:t>
            </w:r>
          </w:p>
          <w:p w:rsidR="00FF209B" w:rsidRPr="00E140EE" w:rsidRDefault="00FF209B" w:rsidP="00FF209B">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Záväzky voči subjektom zahrnutým</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 xml:space="preserve">konsolidovaných účtovných závierkach hlavnej materskej spoločnosti (na rozdiel od regulačného rozsahu pôsobnosti konsolidácie). </w:t>
            </w:r>
          </w:p>
        </w:tc>
      </w:tr>
      <w:tr w:rsidR="00D22EB0" w:rsidRPr="006B669F" w:rsidTr="00FF209B">
        <w:tc>
          <w:tcPr>
            <w:tcW w:w="908" w:type="dxa"/>
            <w:tcBorders>
              <w:top w:val="single" w:sz="4" w:space="0" w:color="1A171C"/>
              <w:left w:val="nil"/>
              <w:bottom w:val="single" w:sz="4" w:space="0" w:color="1A171C"/>
              <w:right w:val="single" w:sz="4" w:space="0" w:color="1A171C"/>
            </w:tcBorders>
            <w:vAlign w:val="center"/>
          </w:tcPr>
          <w:p w:rsidR="00FF209B" w:rsidRPr="006B669F" w:rsidRDefault="009B423F" w:rsidP="00FF209B">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0110</w:t>
            </w:r>
          </w:p>
        </w:tc>
        <w:tc>
          <w:tcPr>
            <w:tcW w:w="8118" w:type="dxa"/>
            <w:tcBorders>
              <w:top w:val="single" w:sz="4" w:space="0" w:color="1A171C"/>
              <w:left w:val="single" w:sz="4" w:space="0" w:color="1A171C"/>
              <w:bottom w:val="single" w:sz="4" w:space="0" w:color="1A171C"/>
              <w:right w:val="nil"/>
            </w:tcBorders>
            <w:vAlign w:val="center"/>
          </w:tcPr>
          <w:p w:rsidR="00FF209B" w:rsidRPr="00E140EE"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Z toho: záväzky, ktoré sa riadia právom tretej krajiny</w:t>
            </w:r>
            <w:r w:rsidR="006B669F" w:rsidRPr="00E140EE">
              <w:rPr>
                <w:rFonts w:ascii="Times New Roman" w:hAnsi="Times New Roman"/>
                <w:b/>
                <w:color w:val="000000" w:themeColor="text1"/>
                <w:spacing w:val="-2"/>
                <w:w w:val="95"/>
                <w:sz w:val="20"/>
              </w:rPr>
              <w:t xml:space="preserve"> s </w:t>
            </w:r>
            <w:r w:rsidRPr="00E140EE">
              <w:rPr>
                <w:rFonts w:ascii="Times New Roman" w:hAnsi="Times New Roman"/>
                <w:b/>
                <w:color w:val="000000" w:themeColor="text1"/>
                <w:spacing w:val="-2"/>
                <w:w w:val="95"/>
                <w:sz w:val="20"/>
              </w:rPr>
              <w:t>výnimkou záväzkov</w:t>
            </w:r>
            <w:r w:rsidR="006B669F" w:rsidRPr="00E140EE">
              <w:rPr>
                <w:rFonts w:ascii="Times New Roman" w:hAnsi="Times New Roman"/>
                <w:b/>
                <w:color w:val="000000" w:themeColor="text1"/>
                <w:spacing w:val="-2"/>
                <w:w w:val="95"/>
                <w:sz w:val="20"/>
              </w:rPr>
              <w:t xml:space="preserve"> v </w:t>
            </w:r>
            <w:r w:rsidRPr="00E140EE">
              <w:rPr>
                <w:rFonts w:ascii="Times New Roman" w:hAnsi="Times New Roman"/>
                <w:b/>
                <w:color w:val="000000" w:themeColor="text1"/>
                <w:spacing w:val="-2"/>
                <w:w w:val="95"/>
                <w:sz w:val="20"/>
              </w:rPr>
              <w:t>rámci skupiny</w:t>
            </w:r>
          </w:p>
          <w:p w:rsidR="00FF209B" w:rsidRPr="006B669F"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Tieto emisie zahŕňajú hrubé sumy záväzkov, ktoré sa riadia právom tretej krajiny a/alebo ktoré emitujú subjekty skupiny usadené</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tretích krajinách. Záväzky</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rámci skupiny sú vylúčené.</w:t>
            </w:r>
          </w:p>
          <w:p w:rsidR="00FF209B" w:rsidRPr="00E140EE" w:rsidRDefault="0028783E" w:rsidP="00B77FC7">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Ak orgán pre riešenie krízových situácií potvrdil, že podľa článku 45 ods. 5 smernice Európskeho parlamentu</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Rady 2014/59/EÚ</w:t>
            </w:r>
            <w:r w:rsidRPr="006B669F">
              <w:rPr>
                <w:rStyle w:val="FootnoteReference"/>
                <w:color w:val="000000" w:themeColor="text1"/>
                <w:spacing w:val="-2"/>
                <w:w w:val="95"/>
              </w:rPr>
              <w:footnoteReference w:id="10"/>
            </w:r>
            <w:r w:rsidRPr="006B669F">
              <w:rPr>
                <w:rFonts w:ascii="Times New Roman" w:hAnsi="Times New Roman"/>
                <w:color w:val="000000" w:themeColor="text1"/>
                <w:spacing w:val="-2"/>
                <w:w w:val="95"/>
                <w:sz w:val="20"/>
              </w:rPr>
              <w:t xml:space="preserve"> je presvedčený, že každé rozhodnutie orgánu pre riešenie krízových situácií odpísať alebo konvertovať záväzok by bolo účinné podľa práva danej tretej krajiny, uvedený záväzok sa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rámci tohto okruhu nevykazuje.</w:t>
            </w:r>
          </w:p>
        </w:tc>
      </w:tr>
      <w:tr w:rsidR="00FF209B" w:rsidRPr="006B669F" w:rsidTr="00FF209B">
        <w:tc>
          <w:tcPr>
            <w:tcW w:w="908" w:type="dxa"/>
            <w:tcBorders>
              <w:top w:val="single" w:sz="4" w:space="0" w:color="1A171C"/>
              <w:left w:val="nil"/>
              <w:bottom w:val="single" w:sz="4" w:space="0" w:color="1A171C"/>
              <w:right w:val="single" w:sz="4" w:space="0" w:color="1A171C"/>
            </w:tcBorders>
            <w:vAlign w:val="center"/>
          </w:tcPr>
          <w:p w:rsidR="00FF209B" w:rsidRPr="006B669F" w:rsidRDefault="00FF209B" w:rsidP="00FF209B">
            <w:pPr>
              <w:pStyle w:val="TableParagraph"/>
              <w:spacing w:before="106"/>
              <w:ind w:left="-1"/>
              <w:rPr>
                <w:rFonts w:ascii="Times New Roman" w:hAnsi="Times New Roman" w:cs="Times New Roman"/>
                <w:color w:val="000000" w:themeColor="text1"/>
                <w:sz w:val="20"/>
                <w:szCs w:val="20"/>
              </w:rPr>
            </w:pPr>
          </w:p>
        </w:tc>
        <w:tc>
          <w:tcPr>
            <w:tcW w:w="8118" w:type="dxa"/>
            <w:tcBorders>
              <w:top w:val="single" w:sz="4" w:space="0" w:color="1A171C"/>
              <w:left w:val="single" w:sz="4" w:space="0" w:color="1A171C"/>
              <w:bottom w:val="single" w:sz="4" w:space="0" w:color="1A171C"/>
              <w:right w:val="nil"/>
            </w:tcBorders>
            <w:vAlign w:val="center"/>
          </w:tcPr>
          <w:p w:rsidR="00FF209B" w:rsidRPr="00E140EE"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p>
        </w:tc>
      </w:tr>
    </w:tbl>
    <w:p w:rsidR="0081175C" w:rsidRPr="006B669F"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6B669F" w:rsidTr="00367C1E">
        <w:tc>
          <w:tcPr>
            <w:tcW w:w="908" w:type="dxa"/>
            <w:tcBorders>
              <w:top w:val="single" w:sz="4" w:space="0" w:color="1A171C"/>
              <w:left w:val="nil"/>
              <w:bottom w:val="single" w:sz="4" w:space="0" w:color="1A171C"/>
              <w:right w:val="single" w:sz="4" w:space="0" w:color="1A171C"/>
            </w:tcBorders>
            <w:shd w:val="clear" w:color="auto" w:fill="E4E5E5"/>
          </w:tcPr>
          <w:p w:rsidR="0081175C" w:rsidRPr="006B669F" w:rsidRDefault="0081175C" w:rsidP="00367C1E">
            <w:pPr>
              <w:pStyle w:val="TableParagraph"/>
              <w:spacing w:before="66"/>
              <w:rPr>
                <w:rFonts w:ascii="Times New Roman" w:eastAsia="Cambria" w:hAnsi="Times New Roman" w:cs="Times New Roman"/>
                <w:color w:val="000000" w:themeColor="text1"/>
                <w:sz w:val="20"/>
                <w:szCs w:val="20"/>
              </w:rPr>
            </w:pPr>
            <w:r w:rsidRPr="006B669F">
              <w:rPr>
                <w:rFonts w:ascii="Times New Roman" w:hAnsi="Times New Roman"/>
                <w:color w:val="000000" w:themeColor="text1"/>
                <w:sz w:val="20"/>
              </w:rPr>
              <w:t>Riadky</w:t>
            </w:r>
          </w:p>
        </w:tc>
        <w:tc>
          <w:tcPr>
            <w:tcW w:w="8175" w:type="dxa"/>
            <w:tcBorders>
              <w:top w:val="single" w:sz="4" w:space="0" w:color="1A171C"/>
              <w:left w:val="single" w:sz="4" w:space="0" w:color="1A171C"/>
              <w:bottom w:val="single" w:sz="4" w:space="0" w:color="1A171C"/>
              <w:right w:val="nil"/>
            </w:tcBorders>
            <w:shd w:val="clear" w:color="auto" w:fill="E4E5E5"/>
          </w:tcPr>
          <w:p w:rsidR="0081175C" w:rsidRPr="006B669F"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sidRPr="006B669F">
              <w:rPr>
                <w:rFonts w:ascii="Times New Roman" w:hAnsi="Times New Roman"/>
                <w:color w:val="000000" w:themeColor="text1"/>
                <w:spacing w:val="-1"/>
                <w:w w:val="90"/>
                <w:sz w:val="20"/>
              </w:rPr>
              <w:t>Pokyny</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eastAsia="Cambria" w:hAnsi="Times New Roman" w:cs="Times New Roman"/>
                <w:b/>
                <w:color w:val="000000" w:themeColor="text1"/>
                <w:sz w:val="20"/>
                <w:szCs w:val="20"/>
              </w:rPr>
            </w:pPr>
            <w:r w:rsidRPr="006B669F">
              <w:rPr>
                <w:rFonts w:ascii="Times New Roman" w:hAnsi="Times New Roman"/>
                <w:color w:val="000000" w:themeColor="text1"/>
                <w:sz w:val="20"/>
              </w:rPr>
              <w:t>0100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Záväzky vylúčené zo záchrany pomocou vnútorných zdrojov</w:t>
            </w:r>
          </w:p>
          <w:p w:rsidR="0081175C" w:rsidRPr="00E140EE" w:rsidRDefault="0081175C" w:rsidP="00367C1E">
            <w:pPr>
              <w:pStyle w:val="TableParagraph"/>
              <w:spacing w:before="108"/>
              <w:ind w:left="85"/>
              <w:jc w:val="both"/>
              <w:rPr>
                <w:rFonts w:ascii="Times New Roman" w:hAnsi="Times New Roman" w:cs="Times New Roman"/>
                <w:b/>
                <w:color w:val="000000" w:themeColor="text1"/>
                <w:spacing w:val="-1"/>
                <w:w w:val="95"/>
                <w:sz w:val="20"/>
                <w:szCs w:val="20"/>
              </w:rPr>
            </w:pPr>
            <w:r w:rsidRPr="006B669F">
              <w:rPr>
                <w:rFonts w:ascii="Times New Roman" w:hAnsi="Times New Roman"/>
                <w:color w:val="000000" w:themeColor="text1"/>
                <w:spacing w:val="-2"/>
                <w:w w:val="95"/>
                <w:sz w:val="20"/>
              </w:rPr>
              <w:t>V článku 44 ods. 2 smernice 2014/59/EÚ sa uvádza, že „orgány pre riešenie krízových situácií nevykonávajú právomoc odpísať dlh alebo právomoc vykonať jeho konverziu vo vzťahu</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týmto záväzkom, či už sa na ne vzťahujú právne predpisy členského štátu alebo tretej krajiny“.</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eastAsia="Cambria" w:hAnsi="Times New Roman" w:cs="Times New Roman"/>
                <w:color w:val="000000" w:themeColor="text1"/>
                <w:sz w:val="20"/>
                <w:szCs w:val="20"/>
              </w:rPr>
            </w:pPr>
            <w:r w:rsidRPr="006B669F">
              <w:rPr>
                <w:rFonts w:ascii="Times New Roman" w:hAnsi="Times New Roman"/>
                <w:color w:val="000000" w:themeColor="text1"/>
                <w:sz w:val="20"/>
              </w:rPr>
              <w:t>0110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Kryté vklady</w:t>
            </w:r>
          </w:p>
          <w:p w:rsidR="0081175C" w:rsidRPr="006B669F" w:rsidRDefault="0081175C" w:rsidP="00D6309A">
            <w:pPr>
              <w:pStyle w:val="TableParagraph"/>
              <w:spacing w:before="108"/>
              <w:ind w:left="85"/>
              <w:jc w:val="both"/>
              <w:rPr>
                <w:rFonts w:ascii="Times New Roman" w:eastAsia="Book Antiqua" w:hAnsi="Times New Roman" w:cs="Times New Roman"/>
                <w:color w:val="000000" w:themeColor="text1"/>
                <w:sz w:val="20"/>
                <w:szCs w:val="20"/>
              </w:rPr>
            </w:pPr>
            <w:r w:rsidRPr="006B669F">
              <w:rPr>
                <w:rFonts w:ascii="Times New Roman" w:hAnsi="Times New Roman"/>
                <w:color w:val="000000" w:themeColor="text1"/>
                <w:spacing w:val="-2"/>
                <w:w w:val="95"/>
                <w:sz w:val="20"/>
              </w:rPr>
              <w:t>Suma krytých vkladov podľa vymedzenia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článku 2 ods. 1 bodu 5 smernice Európskeho parlamentu</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Rady 2014/49/EÚ</w:t>
            </w:r>
            <w:r w:rsidRPr="006B669F">
              <w:rPr>
                <w:rStyle w:val="FootnoteReference"/>
                <w:color w:val="000000" w:themeColor="text1"/>
              </w:rPr>
              <w:footnoteReference w:id="11"/>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výnimkou dočasných vysokých zostatkov podľa vymedzenia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článku 6 ods. 2 uvedenej smernice.</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eastAsia="Cambria" w:hAnsi="Times New Roman" w:cs="Times New Roman"/>
                <w:color w:val="000000" w:themeColor="text1"/>
                <w:sz w:val="20"/>
                <w:szCs w:val="20"/>
              </w:rPr>
            </w:pPr>
            <w:r w:rsidRPr="006B669F">
              <w:rPr>
                <w:rFonts w:ascii="Times New Roman" w:hAnsi="Times New Roman"/>
                <w:color w:val="000000" w:themeColor="text1"/>
                <w:sz w:val="20"/>
              </w:rPr>
              <w:t>0120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Zabezpečené pasíva (záväzky) – časť zabezpečená kolaterálom</w:t>
            </w:r>
          </w:p>
          <w:p w:rsidR="0081175C" w:rsidRPr="006B669F"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44 ods. 2 písm. b) smernice 2014/59/EÚ</w:t>
            </w:r>
          </w:p>
          <w:p w:rsidR="0081175C" w:rsidRPr="006B669F"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Zabezpečené záväzky vrátane zmlúv</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repo transakciách (repoobchody), krytých dlhopisov</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záväzkov vo forme finančných nástrojov, ktoré tvoria neoddeliteľnú súčasť krytého fondu</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ktoré sú podľa vnútroštátneho práva zabezpečené podobným spôsobom ako kryté dlhopisy.</w:t>
            </w:r>
          </w:p>
          <w:p w:rsidR="0081175C" w:rsidRPr="006B669F"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Ani požiadavka zabezpečiť, aby všetky zabezpečené aktíva spojené</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krytým fondom krytých dlhopisov zostali nedotknuté, oddelené</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mali dostatočné financovanie, ani vylúčenie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článku 44 ods. 2 písm. b) smernice 2014/59/EÚ nesmú orgánom pre riešenie krízových situácií zabrániť, aby podľa potreby vykonávali uvedené právomoci vo vzťahu</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akejkoľvek časti zabezpečeného záväzku alebo záväzku, na ktorý sa zložil kolaterál, ktorý presahuje hodnotu aktív, záložného práva, zadržiavacieho práva alebo kolaterálu, voči ktorému je zabezpečený. Takáto nekrytá suma týchto zabezpečených záväzkov sa nevykazuje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tomto riadku, ale vykazuje sa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riadku 0340</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výhradou dodatočného rozdelenia.</w:t>
            </w:r>
          </w:p>
          <w:p w:rsidR="006B669F" w:rsidRDefault="0081175C" w:rsidP="00367C1E">
            <w:pPr>
              <w:pStyle w:val="TableParagraph"/>
              <w:spacing w:before="108"/>
              <w:ind w:left="85"/>
              <w:jc w:val="both"/>
              <w:rPr>
                <w:rFonts w:ascii="Times New Roman" w:hAnsi="Times New Roman"/>
                <w:color w:val="1A171C"/>
                <w:spacing w:val="-2"/>
                <w:w w:val="95"/>
                <w:sz w:val="20"/>
              </w:rPr>
            </w:pPr>
            <w:r w:rsidRPr="006B669F">
              <w:rPr>
                <w:rFonts w:ascii="Times New Roman" w:hAnsi="Times New Roman"/>
                <w:color w:val="000000" w:themeColor="text1"/>
                <w:spacing w:val="-2"/>
                <w:w w:val="95"/>
                <w:sz w:val="20"/>
              </w:rPr>
              <w:t>Záväzky centrálnej banky, ktoré sú kryté združovaním zábezpek (</w:t>
            </w:r>
            <w:r w:rsidRPr="006B669F">
              <w:rPr>
                <w:rFonts w:ascii="Times New Roman" w:hAnsi="Times New Roman"/>
                <w:color w:val="1A171C"/>
                <w:spacing w:val="-2"/>
                <w:w w:val="95"/>
                <w:sz w:val="20"/>
              </w:rPr>
              <w:t>napríklad hlavné refinančné operácie, dlhodobá refinančná operácia, cieľové dlhodobejšie refinančné operácie atď.), sa považujú za zabezpečené záväzky</w:t>
            </w:r>
            <w:r w:rsidR="006B669F">
              <w:rPr>
                <w:rFonts w:ascii="Times New Roman" w:hAnsi="Times New Roman"/>
                <w:color w:val="1A171C"/>
                <w:spacing w:val="-2"/>
                <w:w w:val="95"/>
                <w:sz w:val="20"/>
              </w:rPr>
              <w:t>.</w:t>
            </w:r>
          </w:p>
          <w:p w:rsidR="0081175C" w:rsidRPr="006B669F" w:rsidRDefault="0081175C" w:rsidP="00367C1E">
            <w:pPr>
              <w:pStyle w:val="TableParagraph"/>
              <w:spacing w:before="108"/>
              <w:ind w:left="85"/>
              <w:jc w:val="both"/>
              <w:rPr>
                <w:rFonts w:ascii="Times New Roman" w:eastAsia="Book Antiqua" w:hAnsi="Times New Roman" w:cs="Times New Roman"/>
                <w:color w:val="000000" w:themeColor="text1"/>
                <w:sz w:val="20"/>
                <w:szCs w:val="20"/>
              </w:rPr>
            </w:pPr>
            <w:r w:rsidRPr="006B669F">
              <w:rPr>
                <w:rFonts w:ascii="Times New Roman" w:hAnsi="Times New Roman"/>
                <w:color w:val="000000" w:themeColor="text1"/>
                <w:spacing w:val="-2"/>
                <w:w w:val="95"/>
                <w:sz w:val="20"/>
              </w:rPr>
              <w:t>Špecifický typ záväzkov sú kolaterálové pozície (napr. hotovostný kolaterál) prijaté</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vykázané</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súvahe. Ak sú takéto kolaterálové pozície právne viazané</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pozíciou aktív, na účely tejto správy sa považujú za zabezpečené záväzky.</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0130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Záväzky voči klientom, ak sú chránené</w:t>
            </w:r>
            <w:r w:rsidR="006B669F" w:rsidRPr="00E140EE">
              <w:rPr>
                <w:rFonts w:ascii="Times New Roman" w:hAnsi="Times New Roman"/>
                <w:b/>
                <w:color w:val="000000" w:themeColor="text1"/>
                <w:spacing w:val="-2"/>
                <w:w w:val="95"/>
                <w:sz w:val="20"/>
              </w:rPr>
              <w:t xml:space="preserve"> v </w:t>
            </w:r>
            <w:r w:rsidRPr="00E140EE">
              <w:rPr>
                <w:rFonts w:ascii="Times New Roman" w:hAnsi="Times New Roman"/>
                <w:b/>
                <w:color w:val="000000" w:themeColor="text1"/>
                <w:spacing w:val="-2"/>
                <w:w w:val="95"/>
                <w:sz w:val="20"/>
              </w:rPr>
              <w:t>prípade platobnej neschopnosti</w:t>
            </w:r>
          </w:p>
          <w:p w:rsidR="0081175C" w:rsidRPr="006B669F"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44 ods. 2 písm. c) smernice 2014/59/EÚ</w:t>
            </w:r>
          </w:p>
          <w:p w:rsidR="0081175C" w:rsidRPr="00E140EE" w:rsidRDefault="0081175C" w:rsidP="00A824E5">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Akýkoľvek záväzok, ktorý vznikne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dôsledku toho, že inštitúcia alebo subjekt uvedený</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článku 1 ods. 1 písm. b), c) alebo d) smernice 2014/59/EÚ má</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držbe aktíva alebo peniaze klientov vrátane aktív alebo finančných prostriedkov, ktoré sú</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držbe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mene PKIPCP podľa vymedzenia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článku 1 ods. 2 smernice Európskeho parlamentu</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Rady 2009/65/ES</w:t>
            </w:r>
            <w:r w:rsidRPr="006B669F">
              <w:rPr>
                <w:rStyle w:val="FootnoteReference"/>
                <w:color w:val="000000" w:themeColor="text1"/>
                <w:spacing w:val="-2"/>
                <w:w w:val="95"/>
              </w:rPr>
              <w:footnoteReference w:id="12"/>
            </w:r>
            <w:r w:rsidRPr="006B669F">
              <w:rPr>
                <w:rFonts w:ascii="Times New Roman" w:hAnsi="Times New Roman"/>
                <w:color w:val="000000" w:themeColor="text1"/>
                <w:spacing w:val="-2"/>
                <w:w w:val="95"/>
                <w:sz w:val="20"/>
              </w:rPr>
              <w:t>, alebo</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mene alternatívnych investičných fondov podľa vymedzenia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článku 4 ods. 1 písm. a) smernice Európskeho parlamentu</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Rady 2011/61/EÚ</w:t>
            </w:r>
            <w:r w:rsidRPr="006B669F">
              <w:rPr>
                <w:rStyle w:val="FootnoteReference"/>
                <w:color w:val="000000" w:themeColor="text1"/>
                <w:spacing w:val="-2"/>
                <w:w w:val="95"/>
              </w:rPr>
              <w:footnoteReference w:id="13"/>
            </w:r>
            <w:r w:rsidRPr="006B669F">
              <w:rPr>
                <w:rFonts w:ascii="Times New Roman" w:hAnsi="Times New Roman"/>
                <w:color w:val="000000" w:themeColor="text1"/>
                <w:spacing w:val="-2"/>
                <w:w w:val="95"/>
                <w:sz w:val="20"/>
              </w:rPr>
              <w:t xml:space="preserve"> za predpokladu, že takýto klient je chránený podľa platného konkurzného práva.</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0140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Fiduciárne záväzky, ak sú chránené</w:t>
            </w:r>
            <w:r w:rsidR="006B669F" w:rsidRPr="00E140EE">
              <w:rPr>
                <w:rFonts w:ascii="Times New Roman" w:hAnsi="Times New Roman"/>
                <w:b/>
                <w:color w:val="000000" w:themeColor="text1"/>
                <w:spacing w:val="-2"/>
                <w:w w:val="95"/>
                <w:sz w:val="20"/>
              </w:rPr>
              <w:t xml:space="preserve"> v </w:t>
            </w:r>
            <w:r w:rsidRPr="00E140EE">
              <w:rPr>
                <w:rFonts w:ascii="Times New Roman" w:hAnsi="Times New Roman"/>
                <w:b/>
                <w:color w:val="000000" w:themeColor="text1"/>
                <w:spacing w:val="-2"/>
                <w:w w:val="95"/>
                <w:sz w:val="20"/>
              </w:rPr>
              <w:t>prípade platobnej neschopnosti</w:t>
            </w:r>
          </w:p>
          <w:p w:rsidR="0081175C" w:rsidRPr="006B669F"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44 ods. 2 písm. d) smernice 2014/59/EÚ</w:t>
            </w:r>
          </w:p>
          <w:p w:rsidR="0081175C" w:rsidRPr="00E140EE" w:rsidRDefault="0081175C" w:rsidP="00AB6215">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Akýkoľvek záväzok, ktorý vznikne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dôsledku fiduciárneho vzťahu medzi inštitúciou alebo subjektom uvedeným</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článku 1 ods. 1 písm. b), c) alebo d) smernice 2014/59/EÚ (ako fiduciárom)</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iným subjektom (ako príjemcom), za predpokladu, že takýto príjemca je chránený podľa platného konkurzného alebo občianskeho práva.</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0150</w:t>
            </w:r>
          </w:p>
        </w:tc>
        <w:tc>
          <w:tcPr>
            <w:tcW w:w="8175" w:type="dxa"/>
            <w:tcBorders>
              <w:top w:val="single" w:sz="4" w:space="0" w:color="1A171C"/>
              <w:left w:val="single" w:sz="4" w:space="0" w:color="1A171C"/>
              <w:bottom w:val="single" w:sz="4" w:space="0" w:color="1A171C"/>
              <w:right w:val="nil"/>
            </w:tcBorders>
            <w:vAlign w:val="center"/>
          </w:tcPr>
          <w:p w:rsidR="006B669F" w:rsidRPr="00E140EE" w:rsidRDefault="0081175C" w:rsidP="00367C1E">
            <w:pPr>
              <w:pStyle w:val="TableParagraph"/>
              <w:spacing w:before="108"/>
              <w:ind w:left="85"/>
              <w:jc w:val="both"/>
              <w:rPr>
                <w:rFonts w:ascii="Times New Roman" w:hAnsi="Times New Roman"/>
                <w:b/>
                <w:color w:val="000000" w:themeColor="text1"/>
                <w:spacing w:val="-2"/>
                <w:w w:val="95"/>
                <w:sz w:val="20"/>
              </w:rPr>
            </w:pPr>
            <w:r w:rsidRPr="00E140EE">
              <w:rPr>
                <w:rFonts w:ascii="Times New Roman" w:hAnsi="Times New Roman"/>
                <w:b/>
                <w:color w:val="000000" w:themeColor="text1"/>
                <w:spacing w:val="-2"/>
                <w:w w:val="95"/>
                <w:sz w:val="20"/>
              </w:rPr>
              <w:t>Záväzky voči úverovým inštitúciám &lt; 7 dní</w:t>
            </w:r>
          </w:p>
          <w:p w:rsidR="0081175C" w:rsidRPr="006B669F"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44 ods. 2 písm. e) smernice 2014/59/EÚ</w:t>
            </w:r>
          </w:p>
          <w:p w:rsidR="0081175C" w:rsidRPr="00E140EE"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Záväzky voči inštitúciám</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výnimkou subjektov, ktoré sú súčasťou tej istej skupiny,</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pôvodnou lehotou splatnosti menej než sedem dní.</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0160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Záväzky voči systémom (prevádzkovateľom systémov) &lt; 7 dní</w:t>
            </w:r>
          </w:p>
          <w:p w:rsidR="0081175C" w:rsidRPr="006B669F"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44 ods. 2 písm. f) smernice 2014/59/EÚ</w:t>
            </w:r>
          </w:p>
          <w:p w:rsidR="0081175C" w:rsidRPr="00E140EE" w:rsidRDefault="0081175C" w:rsidP="00CC130F">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Záväzky so zostávajúcou dobou splatnosti menej než sedem dní voči systémom alebo prevádzkovateľom systémov vypracovaných podľa smernice Európskeho parlamentu</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Rady 98/26/ES</w:t>
            </w:r>
            <w:r w:rsidRPr="006B669F">
              <w:rPr>
                <w:rStyle w:val="FootnoteReference"/>
                <w:color w:val="000000" w:themeColor="text1"/>
                <w:spacing w:val="-2"/>
                <w:w w:val="95"/>
              </w:rPr>
              <w:footnoteReference w:id="14"/>
            </w:r>
            <w:r w:rsidRPr="006B669F">
              <w:rPr>
                <w:rFonts w:ascii="Times New Roman" w:hAnsi="Times New Roman"/>
                <w:color w:val="000000" w:themeColor="text1"/>
                <w:spacing w:val="-2"/>
                <w:w w:val="95"/>
                <w:sz w:val="20"/>
              </w:rPr>
              <w:t xml:space="preserve"> alebo ich účastníkom vyplývajúce</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účasti</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takomto systéme.</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0170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Záväzky voči zamestnancom</w:t>
            </w:r>
          </w:p>
          <w:p w:rsidR="0081175C" w:rsidRPr="006B669F"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44 ods. 2 písm. g) bod i) smernice 2014/59/EÚ</w:t>
            </w:r>
          </w:p>
          <w:p w:rsidR="0081175C" w:rsidRPr="00E140EE" w:rsidRDefault="0081175C" w:rsidP="00AB6215">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Záväzky voči zamestnancovi vo vzťahu</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splatnej mzde, dôchodkovým dávkam alebo inej pevnej odmene</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výnimkou variabilnej zložky odmeny, ktorá sa neupravuje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zákone ani</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rámci kolektívneho vyjednávania. Nevzťahuje sa to však na variabilnú zložku odmeny osôb zodpovedných za podstupovanie významného rizika podľa článku 92 ods. 2 smernice 2013/36/EÚ.</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0180</w:t>
            </w:r>
          </w:p>
        </w:tc>
        <w:tc>
          <w:tcPr>
            <w:tcW w:w="8175" w:type="dxa"/>
            <w:tcBorders>
              <w:top w:val="single" w:sz="4" w:space="0" w:color="1A171C"/>
              <w:left w:val="single" w:sz="4" w:space="0" w:color="1A171C"/>
              <w:bottom w:val="single" w:sz="4" w:space="0" w:color="1A171C"/>
              <w:right w:val="nil"/>
            </w:tcBorders>
            <w:vAlign w:val="center"/>
          </w:tcPr>
          <w:p w:rsidR="001971EB" w:rsidRPr="00E140EE"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Záväzky kritické pre každodenné fungovanie</w:t>
            </w:r>
          </w:p>
          <w:p w:rsidR="0081175C" w:rsidRPr="006B669F"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44 ods. 2 písm. g) bod ii) smernice 2014/59/EÚ</w:t>
            </w:r>
          </w:p>
          <w:p w:rsidR="0081175C" w:rsidRPr="00E140EE" w:rsidRDefault="0081175C" w:rsidP="00AB6215">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Záväzky voči komerčnému či obchodnému veriteľovi na základe poskytovania tovaru alebo služieb kritických pre každodenné fungovanie inštitúcie alebo subjektu uvedeného</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článku 1 ods. 1 písm. b), c) alebo d) smernice 2014/59/EÚ vrátane služieb IT, verejnoprospešných služieb, služieb súvisiacich</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prenájmom, prevádzkou</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údržbou priestorov.</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0190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Záväzky voči daňovým úradom</w:t>
            </w:r>
            <w:r w:rsidR="006B669F" w:rsidRPr="00E140EE">
              <w:rPr>
                <w:rFonts w:ascii="Times New Roman" w:hAnsi="Times New Roman"/>
                <w:b/>
                <w:color w:val="000000" w:themeColor="text1"/>
                <w:spacing w:val="-2"/>
                <w:w w:val="95"/>
                <w:sz w:val="20"/>
              </w:rPr>
              <w:t xml:space="preserve"> a </w:t>
            </w:r>
            <w:r w:rsidRPr="00E140EE">
              <w:rPr>
                <w:rFonts w:ascii="Times New Roman" w:hAnsi="Times New Roman"/>
                <w:b/>
                <w:color w:val="000000" w:themeColor="text1"/>
                <w:spacing w:val="-2"/>
                <w:w w:val="95"/>
                <w:sz w:val="20"/>
              </w:rPr>
              <w:t>orgánom sociálneho zabezpečenia, ak sú prioritné</w:t>
            </w:r>
          </w:p>
          <w:p w:rsidR="0081175C" w:rsidRPr="006B669F"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44 ods. 2 písm. g) bod iii) smernice 2014/59/EÚ</w:t>
            </w:r>
          </w:p>
          <w:p w:rsidR="0081175C" w:rsidRPr="00E140EE"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Záväzky voči daňovým úradom</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orgánom sociálneho zabezpečenia za predpokladu, že tieto pasíva (záväzky) sa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súlade</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príslušnými právnymi predpismi uprednostňujú.</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0200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Záväzky voči systémom ochrany vkladov (DGS)</w:t>
            </w:r>
          </w:p>
          <w:p w:rsidR="0081175C" w:rsidRPr="006B669F"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44 ods. 2 písm. g) bod iv) smernice 2014/59/EÚ</w:t>
            </w:r>
          </w:p>
          <w:p w:rsidR="0081175C" w:rsidRPr="00E140EE" w:rsidRDefault="0081175C" w:rsidP="002E7149">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Záväzky voči systémom ochrany vkladov vyplývajúce zo splatných príspevkov</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súlade so smernicou 2014/49/EÚ.</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0300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Záväzky nevylúčené zo záchrany pomocou vnútorných zdrojov</w:t>
            </w:r>
          </w:p>
          <w:p w:rsidR="00431BCA" w:rsidRPr="00E140EE" w:rsidRDefault="00431BCA" w:rsidP="00D840C3">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Ide</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súčet riadkov 0310, 0320, 0334, 0340, 0350, 0360, 0365, 0370, 0380, 0390</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0400.</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0310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Vklady, ktoré nie sú kryté, ale sú preferenčné</w:t>
            </w:r>
          </w:p>
          <w:p w:rsidR="0081175C" w:rsidRPr="006B669F"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108 smernice 2014/59/EÚ</w:t>
            </w:r>
          </w:p>
          <w:p w:rsidR="0081175C" w:rsidRPr="00E140EE" w:rsidRDefault="0081175C" w:rsidP="004B7ECB">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Vklady podľa vymedzenia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článku 2 ods. 1 bode 3 smernice 2014/49/EÚ, ktoré nespĺňajú podmienky na vylúčenie zo záchrany pomocou vnútorných zdrojov [článok 44 ods. 2 písm. a) smernice 2014/59/EÚ],</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prípade ktorých sa však predpokladá preferenčné zaobchádzanie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súlade</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 xml:space="preserve">článkom 108 smernice 2014/59/EÚ. </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0320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Vklady, ktoré nie sú kryté ani preferenčné</w:t>
            </w:r>
          </w:p>
          <w:p w:rsidR="0081175C" w:rsidRPr="00E140EE" w:rsidRDefault="0081175C" w:rsidP="001654CE">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Vklady podľa vymedzenia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článku 2 ods. 1 bode 3 smernice 2014/49/EÚ, ktoré nespĺňajú podmienky na vylúčenie zo záchrany pomocou vnútorných zdrojov ani na prerefenčné zaobchádzanie pri uplatňovaní článku 44 ods. 2 písm. a) alebo článku 108 smernice 2014/59/EÚ.</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0330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Súvahové záväzky vyplývajúce</w:t>
            </w:r>
            <w:r w:rsidR="006B669F" w:rsidRPr="00E140EE">
              <w:rPr>
                <w:rFonts w:ascii="Times New Roman" w:hAnsi="Times New Roman"/>
                <w:b/>
                <w:color w:val="000000" w:themeColor="text1"/>
                <w:spacing w:val="-2"/>
                <w:w w:val="95"/>
                <w:sz w:val="20"/>
              </w:rPr>
              <w:t xml:space="preserve"> z </w:t>
            </w:r>
            <w:r w:rsidRPr="00E140EE">
              <w:rPr>
                <w:rFonts w:ascii="Times New Roman" w:hAnsi="Times New Roman"/>
                <w:b/>
                <w:color w:val="000000" w:themeColor="text1"/>
                <w:spacing w:val="-2"/>
                <w:w w:val="95"/>
                <w:sz w:val="20"/>
              </w:rPr>
              <w:t>derivátov</w:t>
            </w:r>
          </w:p>
          <w:p w:rsidR="0081175C" w:rsidRPr="00E140EE" w:rsidRDefault="0081175C" w:rsidP="00BB7962">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Účtovná hodnota záväzkov vyplývajúcich</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derivátov pri celkovej sume zodpovedajúcej FINREP: {F</w:t>
            </w:r>
            <w:r w:rsidR="00BB7962">
              <w:rPr>
                <w:rFonts w:ascii="Times New Roman" w:hAnsi="Times New Roman"/>
                <w:color w:val="000000" w:themeColor="text1"/>
                <w:spacing w:val="-2"/>
                <w:w w:val="95"/>
                <w:sz w:val="20"/>
              </w:rPr>
              <w:t> </w:t>
            </w:r>
            <w:r w:rsidRPr="006B669F">
              <w:rPr>
                <w:rFonts w:ascii="Times New Roman" w:hAnsi="Times New Roman"/>
                <w:color w:val="000000" w:themeColor="text1"/>
                <w:spacing w:val="-2"/>
                <w:w w:val="95"/>
                <w:sz w:val="20"/>
              </w:rPr>
              <w:t>01.02; 020; 010) + {F 01.02; 150; 010}.</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0331</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Súčet pozícií čistých záväzkov so zreteľom na zmluvné súbory vzájomného započítavania po úpravách trhovými cenami pred kompenzáciou kolaterálu</w:t>
            </w:r>
          </w:p>
          <w:p w:rsidR="0081175C" w:rsidRPr="00E140EE" w:rsidRDefault="0081175C" w:rsidP="0013115B">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Štandardne súčet všetkých čistých trhových hodnôt derivátových záväzkov podľa zmluvných súborov vzájomného započítavania. Súbor vzájomného započítavania sa vykazuje len vtedy, ak čistá trhová hodnota súboru vzájomného započítavania predstavuje záväzok. Preto sa deriváty, ktoré nie sú predmetom dohôd</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čistom zúčtovaní, považujú za jednotlivú zmluvu, t. j., ako keby to bol súbor vzájomného započítavania len</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jedným derivátom.</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0332</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Súčet pozícií čistých záväzkov so zreteľom na zmluvné súbory vzájomného započítavania po úpravách trhovými cenami po kompenzácii kolaterálu</w:t>
            </w:r>
          </w:p>
          <w:p w:rsidR="0081175C" w:rsidRPr="00E140EE"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Ocenenie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riadku 0331 podlieha úprave</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kolaterál poskytnutý na zabezpečenie tejto expozície, takže výsledkom je súčet týchto čistých trhových hodnôt po kompenzácii kolaterálu pri jeho trhovej hodnote.</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0333</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Súčet pozícií čistých záväzkov so zreteľom na zmluvné súbory vzájomného započítavania po úpravách trhovými cenami po kompenzácii kolaterálu so zahrnutím odhadovaných súm po konečnom zúčtovaní</w:t>
            </w:r>
          </w:p>
          <w:p w:rsidR="0081175C" w:rsidRPr="006B669F"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V súlade</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delegovaným nariadením Komisie (EÚ) 2016/1401</w:t>
            </w:r>
            <w:r w:rsidRPr="006B669F">
              <w:rPr>
                <w:rStyle w:val="FootnoteReference"/>
                <w:color w:val="1A171C"/>
                <w:spacing w:val="-2"/>
                <w:w w:val="95"/>
              </w:rPr>
              <w:footnoteReference w:id="15"/>
            </w:r>
            <w:r w:rsidRPr="006B669F">
              <w:rPr>
                <w:rFonts w:ascii="Times New Roman" w:hAnsi="Times New Roman"/>
                <w:color w:val="000000" w:themeColor="text1"/>
                <w:spacing w:val="-2"/>
                <w:w w:val="95"/>
                <w:sz w:val="20"/>
              </w:rPr>
              <w:t xml:space="preserve"> vzťahujúcim sa na oceňovanie záväzkov vyplývajúcich</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derivátov dodatočná suma po konečnom zúčtovaní, ktorá pokrýva výšku strát alebo nákladov, ktoré vznikli protistranám derivátu, alebo ziskov realizovaných týmito protistranami náhradou alebo nadobudnutím ekonomického ekvivalentu vecných podmienok ukončených zmlúv</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práv na kúpne opcie zmluvných strán</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súvislosti</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ukončenými zmluvami.</w:t>
            </w:r>
          </w:p>
          <w:p w:rsidR="0081175C" w:rsidRPr="00E140EE" w:rsidRDefault="0081175C" w:rsidP="00C43160">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Odhady požadované na určenie sumy pre konečné zúčtovanie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súlade</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uvedeným nariadením môžu byť</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individuálnych prípadoch pomerne zložité. Preto sa namiesto nich môžu použiť náhradné hodnoty, ktoré môžu vychádzať</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dostupných údajov, ako sú prudenciálne požiadavky týkajúce sa trhového rizika. Ak sa ukáže, že sumu po konečnom zúčtovaní pre derivátové záväzky nie je možné vypočítať, vykázaná suma sa rovná sume vykázanej</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riadku 0332.</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0334</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Súčet pozícií čistých záväzkov so zreteľom na prudenciálne pravidlá vzájomného započítavania</w:t>
            </w:r>
          </w:p>
          <w:p w:rsidR="0081175C" w:rsidRPr="00E140EE"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Vykazujú sa pozície čistých záväzkov pre deriváty so zreteľom na pravidlá prudenciálneho vzájomného započítavania uvedené</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článku 429 nariadenia (EÚ) č. 575/2013 (týkajúce sa výpočtu veľkosti celkovej expozície ukazovateľa finančnej páky).</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0340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pacing w:val="-2"/>
                <w:w w:val="95"/>
                <w:sz w:val="20"/>
              </w:rPr>
              <w:t>Zabezpečené záväzky nezabezpečené kolaterálom</w:t>
            </w:r>
          </w:p>
          <w:p w:rsidR="0081175C" w:rsidRPr="00E140EE" w:rsidRDefault="0081175C" w:rsidP="00504E92">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Hodnota zabezpečených záväzkov alebo záväzkov, na ktoré sa zložil kolaterál, ktorý presahuje hodnotu aktív, záložného práva, zadržiavacieho práva alebo kolaterálu, voči ktorému je zabezpečený. Zahŕňa to časť akéhokoľvek záväzku zabezpečeného kolaterálom, ktorá je „nedostatočne zabezpečená kolaterálom“, napríklad časť krytých dlhopisov alebo repo transakcií, ktorá je nedostatočne zabezpečená kolaterálom.</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0350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pacing w:val="-2"/>
                <w:w w:val="95"/>
                <w:sz w:val="20"/>
              </w:rPr>
              <w:t>Štruktúrované cenné papiere</w:t>
            </w:r>
          </w:p>
          <w:p w:rsidR="0081175C" w:rsidRPr="00E140EE" w:rsidRDefault="0081175C" w:rsidP="00077AFC">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Štruktúrované cenné papiere sú na tento účel vymedzené ako dlhové záväzky, ktoré obsahujú vložený derivátový prvok, pričom výnosy súvisia</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podkladovým aktívom alebo indexom (verejným alebo individualizovaným, ako sú akcie alebo dlhopisy, úrokové sadzby</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pevným výnosom alebo úver</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pevným výnosom, výmenný kurz, komodity atď.). Štruktúrované cenné papiere nezahŕňajú dlhové nástroje, ktoré obsahujú len kúpne alebo predajné opcie, t. j. hodnota nástroja nezávisí od žiadneho vloženého derivátového prvku.</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0360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pacing w:val="-2"/>
                <w:w w:val="95"/>
                <w:sz w:val="20"/>
              </w:rPr>
              <w:t>Nadriadené nezabezpečené záväzky</w:t>
            </w:r>
          </w:p>
          <w:p w:rsidR="0081175C" w:rsidRPr="00E140EE" w:rsidRDefault="00EF01C1" w:rsidP="00367C1E">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Patria sem všetky nadriadené nezabezpečené nástroje, ktoré nie sú zahrnuté do kategórie štruktúrovaných cenných papierov.</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0B7DC6"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0365</w:t>
            </w:r>
          </w:p>
        </w:tc>
        <w:tc>
          <w:tcPr>
            <w:tcW w:w="8175" w:type="dxa"/>
            <w:tcBorders>
              <w:top w:val="single" w:sz="4" w:space="0" w:color="1A171C"/>
              <w:left w:val="single" w:sz="4" w:space="0" w:color="1A171C"/>
              <w:bottom w:val="single" w:sz="4" w:space="0" w:color="1A171C"/>
              <w:right w:val="nil"/>
            </w:tcBorders>
            <w:vAlign w:val="center"/>
          </w:tcPr>
          <w:p w:rsidR="000B7DC6" w:rsidRPr="00E140EE"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pacing w:val="-2"/>
                <w:w w:val="95"/>
                <w:sz w:val="20"/>
              </w:rPr>
              <w:t>Nadriadené záväzky bez prioritného postavenia</w:t>
            </w:r>
          </w:p>
          <w:p w:rsidR="00C92D66" w:rsidRPr="006B669F"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Výška ktorýchkoľvek</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týchto záväzkov:</w:t>
            </w:r>
          </w:p>
          <w:p w:rsidR="006B669F" w:rsidRDefault="00C92D66" w:rsidP="00715DAB">
            <w:pPr>
              <w:pStyle w:val="TableParagraph"/>
              <w:numPr>
                <w:ilvl w:val="0"/>
                <w:numId w:val="27"/>
              </w:numPr>
              <w:spacing w:before="108"/>
              <w:jc w:val="both"/>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nezabezpečené pohľadávky vyplývajúce</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dlhových nástrojov, ktoré spĺňajú podmienky stanovené</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článku 108 ods. 2 písm. a), b)</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c)</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ods. 3 smernice 2014/59/EÚ</w:t>
            </w:r>
            <w:r w:rsidR="006B669F">
              <w:rPr>
                <w:rFonts w:ascii="Times New Roman" w:hAnsi="Times New Roman"/>
                <w:color w:val="000000" w:themeColor="text1"/>
                <w:spacing w:val="-2"/>
                <w:w w:val="95"/>
                <w:sz w:val="20"/>
              </w:rPr>
              <w:t>;</w:t>
            </w:r>
          </w:p>
          <w:p w:rsidR="00C92D66" w:rsidRPr="006B669F"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nezabezpečené pohľadávky vyplývajúce</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dlhových nástrojov uvedené</w:t>
            </w:r>
            <w:r w:rsidR="006B669F">
              <w:rPr>
                <w:rFonts w:ascii="Times New Roman" w:hAnsi="Times New Roman"/>
                <w:color w:val="000000" w:themeColor="text1"/>
                <w:spacing w:val="-2"/>
                <w:w w:val="95"/>
                <w:sz w:val="20"/>
              </w:rPr>
              <w:t xml:space="preserve"> v </w:t>
            </w:r>
            <w:r w:rsidR="00BB7962">
              <w:rPr>
                <w:rFonts w:ascii="Times New Roman" w:hAnsi="Times New Roman"/>
                <w:color w:val="000000" w:themeColor="text1"/>
                <w:spacing w:val="-2"/>
                <w:w w:val="95"/>
                <w:sz w:val="20"/>
              </w:rPr>
              <w:t>článku 108 ods. 5 písm. </w:t>
            </w:r>
            <w:r w:rsidRPr="006B669F">
              <w:rPr>
                <w:rFonts w:ascii="Times New Roman" w:hAnsi="Times New Roman"/>
                <w:color w:val="000000" w:themeColor="text1"/>
                <w:spacing w:val="-2"/>
                <w:w w:val="95"/>
                <w:sz w:val="20"/>
              </w:rPr>
              <w:t>b) prvom pododseku smernice 2014/59/EÚ; alebo</w:t>
            </w:r>
          </w:p>
          <w:p w:rsidR="000B7DC6" w:rsidRPr="006B669F"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dlhové nástroje</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najnižším stupňom prioritou patriace medzi bežné nezabezpečené pohľadávky vyplývajúce</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dlhových nástrojov uvedené</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článku 108 ods. 7 smernice 2014/59/EÚ, pri ktorých členský štát</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súlade</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uvedeným odsekom stanovil, že majú rovnakú stupeň priority ako pohľadávky, ktoré spĺňajú podmienky článku 108 ods. 2 písm. a), b)</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c)</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článku 108 ods. 3 smernice 2014/59/EÚ.</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0370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pacing w:val="-2"/>
                <w:w w:val="95"/>
                <w:sz w:val="20"/>
              </w:rPr>
              <w:t>Podriadené záväzky</w:t>
            </w:r>
          </w:p>
          <w:p w:rsidR="0081175C" w:rsidRPr="006B669F"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Záväzky, ktoré budú podľa vnútroštátneho konkurzného práva splatené až po úplnom splatení všetkých tried pohľadávok bežných veriteľov</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nadriadených veriteľov bez prioritného postavenia. Patria sem zmluvné podriadené záväzky, ako aj záväzky podriadené zo zákona.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prípade holdingových spoločností sa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tejto kategórii môžu vykazovať aj nepodriadené dlhové cenné papiere (t. j. štrukturálna podriadenosť).</w:t>
            </w:r>
          </w:p>
          <w:p w:rsidR="006B669F" w:rsidRDefault="008A77ED" w:rsidP="00EF01C1">
            <w:pPr>
              <w:pStyle w:val="TableParagraph"/>
              <w:spacing w:before="108"/>
              <w:ind w:left="85"/>
              <w:jc w:val="both"/>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Do tejto kategórie patria len podriadené nástroje, ktoré nie sú vykázané ako vlastné zdroje</w:t>
            </w:r>
            <w:r w:rsidR="006B669F">
              <w:rPr>
                <w:rFonts w:ascii="Times New Roman" w:hAnsi="Times New Roman"/>
                <w:color w:val="000000" w:themeColor="text1"/>
                <w:spacing w:val="-2"/>
                <w:w w:val="95"/>
                <w:sz w:val="20"/>
              </w:rPr>
              <w:t>.</w:t>
            </w:r>
          </w:p>
          <w:p w:rsidR="0081175C" w:rsidRPr="00E140EE" w:rsidRDefault="00EF01C1" w:rsidP="00EF01C1">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Tento riadok zahŕňa aj tú časť podriadených záväzkov, ktorá sa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zásade kvalifikuje ako vlastné zdroje, ale ktorá sa nezahŕňa do vlastných zdrojov</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dôvodu ustanovení</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 xml:space="preserve">postupnom vyradení podľa článku 64 nariadenia (EÚ) č. 575/2013 (zostatková splatnosť) alebo časti 10 nariadenia (EÚ) č. 575/2013 (vplyv zachovania predchádzajúceho stavu). </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0380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Iné oprávnené záväzky pre MREL</w:t>
            </w:r>
          </w:p>
          <w:p w:rsidR="0081175C" w:rsidRPr="00E140EE" w:rsidRDefault="0081175C" w:rsidP="00CF2F2B">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Akýkoľvek nástroj, ktorý je oprávnený pre MREL, ale nie je zachytený</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riadku 0320</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riadkoch 0340 až 0370.</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0390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Nefinančné záväzky</w:t>
            </w:r>
          </w:p>
          <w:p w:rsidR="0081175C" w:rsidRPr="00E140EE" w:rsidRDefault="0081175C" w:rsidP="00BB7962">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 xml:space="preserve">Tento riadok zahŕňa nefinančné záväzky, ktoré sa netýkajú dlhových nástrojov, ktoré môžu držitelia </w:t>
            </w:r>
            <w:r w:rsidR="00BB7962">
              <w:rPr>
                <w:rFonts w:ascii="Times New Roman" w:hAnsi="Times New Roman"/>
                <w:color w:val="000000" w:themeColor="text1"/>
                <w:spacing w:val="-2"/>
                <w:w w:val="95"/>
                <w:sz w:val="20"/>
              </w:rPr>
              <w:t>z </w:t>
            </w:r>
            <w:r w:rsidR="00BB7962" w:rsidRPr="006B669F">
              <w:rPr>
                <w:rFonts w:ascii="Times New Roman" w:hAnsi="Times New Roman"/>
                <w:color w:val="000000" w:themeColor="text1"/>
                <w:spacing w:val="-2"/>
                <w:w w:val="95"/>
                <w:sz w:val="20"/>
              </w:rPr>
              <w:t>praktických dôvodov</w:t>
            </w:r>
            <w:r w:rsidR="00BB7962" w:rsidRPr="006B669F">
              <w:rPr>
                <w:rFonts w:ascii="Times New Roman" w:hAnsi="Times New Roman"/>
                <w:color w:val="000000" w:themeColor="text1"/>
                <w:spacing w:val="-2"/>
                <w:w w:val="95"/>
                <w:sz w:val="20"/>
              </w:rPr>
              <w:t xml:space="preserve"> </w:t>
            </w:r>
            <w:r w:rsidRPr="006B669F">
              <w:rPr>
                <w:rFonts w:ascii="Times New Roman" w:hAnsi="Times New Roman"/>
                <w:color w:val="000000" w:themeColor="text1"/>
                <w:spacing w:val="-2"/>
                <w:w w:val="95"/>
                <w:sz w:val="20"/>
              </w:rPr>
              <w:t xml:space="preserve">zachrániť pomocou vnútorných zdrojov, ako sú </w:t>
            </w:r>
            <w:r w:rsidR="00BB7962">
              <w:rPr>
                <w:rFonts w:ascii="Times New Roman" w:hAnsi="Times New Roman"/>
                <w:color w:val="000000" w:themeColor="text1"/>
                <w:spacing w:val="-2"/>
                <w:w w:val="95"/>
                <w:sz w:val="20"/>
              </w:rPr>
              <w:t xml:space="preserve">sumy vyčlenené na </w:t>
            </w:r>
            <w:r w:rsidRPr="006B669F">
              <w:rPr>
                <w:rFonts w:ascii="Times New Roman" w:hAnsi="Times New Roman"/>
                <w:color w:val="000000" w:themeColor="text1"/>
                <w:spacing w:val="-2"/>
                <w:w w:val="95"/>
                <w:sz w:val="20"/>
              </w:rPr>
              <w:t>právn</w:t>
            </w:r>
            <w:r w:rsidR="00BB7962">
              <w:rPr>
                <w:rFonts w:ascii="Times New Roman" w:hAnsi="Times New Roman"/>
                <w:color w:val="000000" w:themeColor="text1"/>
                <w:spacing w:val="-2"/>
                <w:w w:val="95"/>
                <w:sz w:val="20"/>
              </w:rPr>
              <w:t>e</w:t>
            </w:r>
            <w:r w:rsidRPr="006B669F">
              <w:rPr>
                <w:rFonts w:ascii="Times New Roman" w:hAnsi="Times New Roman"/>
                <w:color w:val="000000" w:themeColor="text1"/>
                <w:spacing w:val="-2"/>
                <w:w w:val="95"/>
                <w:sz w:val="20"/>
              </w:rPr>
              <w:t xml:space="preserve"> spor</w:t>
            </w:r>
            <w:r w:rsidR="00BB7962">
              <w:rPr>
                <w:rFonts w:ascii="Times New Roman" w:hAnsi="Times New Roman"/>
                <w:color w:val="000000" w:themeColor="text1"/>
                <w:spacing w:val="-2"/>
                <w:w w:val="95"/>
                <w:sz w:val="20"/>
              </w:rPr>
              <w:t>y</w:t>
            </w:r>
            <w:r w:rsidRPr="006B669F">
              <w:rPr>
                <w:rFonts w:ascii="Times New Roman" w:hAnsi="Times New Roman"/>
                <w:color w:val="000000" w:themeColor="text1"/>
                <w:spacing w:val="-2"/>
                <w:w w:val="95"/>
                <w:sz w:val="20"/>
              </w:rPr>
              <w:t xml:space="preserve">, na ktorých sa zúčastňuje subjekt. </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0400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pacing w:val="-2"/>
                <w:w w:val="95"/>
                <w:sz w:val="20"/>
              </w:rPr>
              <w:t>Zostatkové záväzky</w:t>
            </w:r>
          </w:p>
          <w:p w:rsidR="0081175C" w:rsidRPr="00E140EE" w:rsidRDefault="0081175C" w:rsidP="00C3490B">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Všetky záväzky nevykázané</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 xml:space="preserve">riadkoch 0100 až 0390. </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0500</w:t>
            </w:r>
          </w:p>
        </w:tc>
        <w:tc>
          <w:tcPr>
            <w:tcW w:w="8175" w:type="dxa"/>
            <w:tcBorders>
              <w:top w:val="single" w:sz="4" w:space="0" w:color="1A171C"/>
              <w:left w:val="single" w:sz="4" w:space="0" w:color="1A171C"/>
              <w:bottom w:val="single" w:sz="4" w:space="0" w:color="1A171C"/>
              <w:right w:val="nil"/>
            </w:tcBorders>
            <w:vAlign w:val="center"/>
          </w:tcPr>
          <w:p w:rsidR="00C3490B" w:rsidRPr="00E140EE"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sidRPr="00E140EE">
              <w:rPr>
                <w:rFonts w:ascii="Times New Roman" w:hAnsi="Times New Roman"/>
                <w:b/>
                <w:color w:val="000000" w:themeColor="text1"/>
                <w:sz w:val="20"/>
              </w:rPr>
              <w:t>Vlastné zdroje</w:t>
            </w:r>
          </w:p>
          <w:p w:rsidR="0081175C" w:rsidRPr="006B669F"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4 ods. 1 bod 118</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článok 72 nariadenia (EÚ) č. 575/2013</w:t>
            </w:r>
          </w:p>
          <w:p w:rsidR="00C62EEE" w:rsidRPr="006B669F"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Rovnaké vymedzenie ako na účely COREP (OF): {C 01.00;010;010}</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0510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pacing w:val="-2"/>
                <w:w w:val="95"/>
                <w:sz w:val="20"/>
              </w:rPr>
              <w:t>Vlastný kapitál Tier 1</w:t>
            </w:r>
          </w:p>
          <w:p w:rsidR="00C62EEE" w:rsidRPr="006B669F"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50 nariadenia (EÚ) č. 575/2013</w:t>
            </w:r>
          </w:p>
          <w:p w:rsidR="0081175C" w:rsidRPr="00E140EE" w:rsidRDefault="00C62EEE" w:rsidP="00C62EEE">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Rovnaké vymedzenie ako na účely COREP (OF): {C 01.00;020;010}</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0511</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Z toho: kapitálové nástroje/akciový kapitál</w:t>
            </w:r>
          </w:p>
          <w:p w:rsidR="0081175C" w:rsidRPr="00E140EE" w:rsidRDefault="00FA24AE" w:rsidP="00367C1E">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Právne nástroje, ktoré predstavujú kapitál (časť kapitálu) CET1 vo forme kapitálových nástrojov/akciového kapitálu</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0512</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Z toho: nástroje</w:t>
            </w:r>
            <w:r w:rsidR="006B669F" w:rsidRPr="00E140EE">
              <w:rPr>
                <w:rFonts w:ascii="Times New Roman" w:hAnsi="Times New Roman"/>
                <w:b/>
                <w:color w:val="000000" w:themeColor="text1"/>
                <w:sz w:val="20"/>
              </w:rPr>
              <w:t xml:space="preserve"> s </w:t>
            </w:r>
            <w:r w:rsidRPr="00E140EE">
              <w:rPr>
                <w:rFonts w:ascii="Times New Roman" w:hAnsi="Times New Roman"/>
                <w:b/>
                <w:color w:val="000000" w:themeColor="text1"/>
                <w:sz w:val="20"/>
              </w:rPr>
              <w:t>rovnakým postavením ako kmeňové akcie</w:t>
            </w:r>
          </w:p>
          <w:p w:rsidR="0081175C" w:rsidRPr="00E140EE" w:rsidRDefault="00FA24AE" w:rsidP="00367C1E">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Právne nástroje, ktoré predstavujú vlastné zdroje (časť vlastných zdrojov) CET1 vo forme iných nástrojov ako kapitálové nástroje/akciový kapitál, ktoré sú však rovnocenné</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touto kategóriou</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0520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pacing w:val="-2"/>
                <w:w w:val="95"/>
                <w:sz w:val="20"/>
              </w:rPr>
              <w:t>Dodatočný kapitál Tier 1</w:t>
            </w:r>
          </w:p>
          <w:p w:rsidR="00C62EEE" w:rsidRPr="006B669F"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61 nariadenia (EÚ) č. 575/2013</w:t>
            </w:r>
          </w:p>
          <w:p w:rsidR="0081175C" w:rsidRPr="00E140EE" w:rsidRDefault="00C62EEE" w:rsidP="00C62EEE">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Rovnaké vymedzenie ako na účely COREP (OF): {C 01.00;530;010}</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0521</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Z toho: (časť) podriadených záväzkov vykazovaných ako vlastné zdroje</w:t>
            </w:r>
          </w:p>
          <w:p w:rsidR="0081175C" w:rsidRPr="00E140EE" w:rsidRDefault="00FA24AE" w:rsidP="00FA24AE">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Právne nástroje, ktoré predstavujú dodatočný kapitál Tier 1, prípadne jeho časť.</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0530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Kapitál Tier 2</w:t>
            </w:r>
          </w:p>
          <w:p w:rsidR="00C62EEE" w:rsidRPr="006B669F"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71 nariadenia (EÚ) č. 575/2013</w:t>
            </w:r>
          </w:p>
          <w:p w:rsidR="0081175C" w:rsidRPr="00E140EE" w:rsidRDefault="00C62EEE" w:rsidP="00C62EEE">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Rovnaké vymedzenie ako na účely COREP (OF): {C 01.00;750;010}</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0531</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Z toho: (časť) podriadených záväzkov vykazovaných ako vlastné zdroje</w:t>
            </w:r>
          </w:p>
          <w:p w:rsidR="0081175C" w:rsidRPr="00310799" w:rsidRDefault="0081175C" w:rsidP="00367C1E">
            <w:pPr>
              <w:pStyle w:val="TableParagraph"/>
              <w:spacing w:before="108"/>
              <w:ind w:left="85"/>
              <w:jc w:val="both"/>
              <w:rPr>
                <w:rFonts w:ascii="Times New Roman" w:hAnsi="Times New Roman" w:cs="Times New Roman"/>
                <w:b/>
                <w:bCs/>
                <w:color w:val="000000" w:themeColor="text1"/>
                <w:spacing w:val="-6"/>
                <w:sz w:val="20"/>
                <w:szCs w:val="20"/>
              </w:rPr>
            </w:pPr>
            <w:r w:rsidRPr="00310799">
              <w:rPr>
                <w:rFonts w:ascii="Times New Roman" w:hAnsi="Times New Roman"/>
                <w:color w:val="000000" w:themeColor="text1"/>
                <w:spacing w:val="-6"/>
                <w:w w:val="95"/>
                <w:sz w:val="20"/>
              </w:rPr>
              <w:t>V tomto rozdelení sa identifikujú právne nástroje, ktoré predstavujú vlastných zdrojov Tier 2, prípadne ich časť.</w:t>
            </w:r>
          </w:p>
        </w:tc>
      </w:tr>
      <w:tr w:rsidR="00D22EB0" w:rsidRPr="006B669F" w:rsidTr="00367C1E">
        <w:tc>
          <w:tcPr>
            <w:tcW w:w="908" w:type="dxa"/>
            <w:tcBorders>
              <w:top w:val="single" w:sz="4" w:space="0" w:color="1A171C"/>
              <w:left w:val="nil"/>
              <w:bottom w:val="single" w:sz="4" w:space="0" w:color="1A171C"/>
              <w:right w:val="single" w:sz="4" w:space="0" w:color="1A171C"/>
            </w:tcBorders>
            <w:vAlign w:val="center"/>
          </w:tcPr>
          <w:p w:rsidR="0081175C" w:rsidRPr="006B669F" w:rsidRDefault="00903E0D" w:rsidP="00367C1E">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0600</w:t>
            </w:r>
          </w:p>
        </w:tc>
        <w:tc>
          <w:tcPr>
            <w:tcW w:w="8175" w:type="dxa"/>
            <w:tcBorders>
              <w:top w:val="single" w:sz="4" w:space="0" w:color="1A171C"/>
              <w:left w:val="single" w:sz="4" w:space="0" w:color="1A171C"/>
              <w:bottom w:val="single" w:sz="4" w:space="0" w:color="1A171C"/>
              <w:right w:val="nil"/>
            </w:tcBorders>
            <w:vAlign w:val="center"/>
          </w:tcPr>
          <w:p w:rsidR="0081175C" w:rsidRPr="00E140EE"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Celkové záväzky</w:t>
            </w:r>
            <w:r w:rsidR="006B669F" w:rsidRPr="00E140EE">
              <w:rPr>
                <w:rFonts w:ascii="Times New Roman" w:hAnsi="Times New Roman"/>
                <w:b/>
                <w:color w:val="000000" w:themeColor="text1"/>
                <w:sz w:val="20"/>
              </w:rPr>
              <w:t xml:space="preserve"> a </w:t>
            </w:r>
            <w:r w:rsidRPr="00E140EE">
              <w:rPr>
                <w:rFonts w:ascii="Times New Roman" w:hAnsi="Times New Roman"/>
                <w:b/>
                <w:color w:val="000000" w:themeColor="text1"/>
                <w:sz w:val="20"/>
              </w:rPr>
              <w:t>vlastné zdroje vrátane derivátových záväzkov</w:t>
            </w:r>
          </w:p>
          <w:p w:rsidR="0081175C" w:rsidRPr="00E140EE" w:rsidRDefault="0081175C" w:rsidP="00100FC4">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Súčet všetkých záväzkov vykázaných</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tomto vzore</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výška regulačných vlastných zdrojov. Na tento účel sa pripočítajú všetky sumy</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vyššie uvedených riadkov. Pokiaľ ide</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deriváty, použije sa hodnota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riadku 0334 „Súčet pozícií čistých záväzkov so zreteľom na prudenciálne pravidlá vzájomného započítavania“.</w:t>
            </w:r>
          </w:p>
        </w:tc>
      </w:tr>
    </w:tbl>
    <w:p w:rsidR="00E13CE3" w:rsidRPr="00310799" w:rsidRDefault="00F7117F" w:rsidP="008854E4">
      <w:pPr>
        <w:pStyle w:val="Instructionsberschrift2"/>
        <w:numPr>
          <w:ilvl w:val="1"/>
          <w:numId w:val="7"/>
        </w:numPr>
        <w:ind w:left="357" w:hanging="357"/>
        <w:rPr>
          <w:rFonts w:ascii="Times New Roman" w:hAnsi="Times New Roman" w:cs="Times New Roman"/>
          <w:szCs w:val="20"/>
        </w:rPr>
      </w:pPr>
      <w:bookmarkStart w:id="23" w:name="_Toc492542323"/>
      <w:bookmarkStart w:id="24" w:name="_Toc509909041"/>
      <w:bookmarkStart w:id="25" w:name="_Toc525209031"/>
      <w:r w:rsidRPr="00310799">
        <w:rPr>
          <w:rFonts w:ascii="Times New Roman" w:hAnsi="Times New Roman"/>
        </w:rPr>
        <w:t>Z 03.00 – Požiadavky na vlastné zdroje (OWN)</w:t>
      </w:r>
      <w:bookmarkEnd w:id="23"/>
      <w:bookmarkEnd w:id="24"/>
      <w:bookmarkEnd w:id="25"/>
    </w:p>
    <w:p w:rsidR="00F73F97" w:rsidRPr="00310799" w:rsidRDefault="00F73F97" w:rsidP="00EC261B">
      <w:pPr>
        <w:pStyle w:val="Instructionsberschrift3"/>
      </w:pPr>
      <w:r w:rsidRPr="00310799">
        <w:t>Všeobecné poznámky</w:t>
      </w:r>
    </w:p>
    <w:p w:rsidR="002449CC" w:rsidRPr="006B669F" w:rsidRDefault="002449CC" w:rsidP="004F233C">
      <w:pPr>
        <w:pStyle w:val="numberedparagraph"/>
      </w:pPr>
      <w:r w:rsidRPr="006B669F">
        <w:t>V tomto vzore sa zhromažďujú informácie</w:t>
      </w:r>
      <w:r w:rsidR="006B669F">
        <w:t xml:space="preserve"> o </w:t>
      </w:r>
      <w:r w:rsidRPr="006B669F">
        <w:t>požiadavkách na vlastné zdroje pre subjekt alebo skupinu.</w:t>
      </w:r>
    </w:p>
    <w:p w:rsidR="00B93E39" w:rsidRPr="006B669F" w:rsidRDefault="00B93E39" w:rsidP="004F233C">
      <w:pPr>
        <w:pStyle w:val="numberedparagraph"/>
      </w:pPr>
      <w:r w:rsidRPr="006B669F">
        <w:t>Vo všetkých vykázaných informáciách sa odzrkadľujú požiadavky na vlastné zdroje uplatniteľné</w:t>
      </w:r>
      <w:r w:rsidR="006B669F">
        <w:t xml:space="preserve"> k </w:t>
      </w:r>
      <w:r w:rsidRPr="006B669F">
        <w:t>referenčnému dátumu vykazovania.</w:t>
      </w:r>
    </w:p>
    <w:p w:rsidR="00B93E39" w:rsidRPr="006B669F" w:rsidRDefault="000447AD" w:rsidP="004F233C">
      <w:pPr>
        <w:pStyle w:val="numberedparagraph"/>
      </w:pPr>
      <w:r w:rsidRPr="006B669F">
        <w:t>Informácie</w:t>
      </w:r>
      <w:r w:rsidR="006B669F">
        <w:t xml:space="preserve"> o </w:t>
      </w:r>
      <w:r w:rsidRPr="006B669F">
        <w:t>požiadavkách na pilier 2 vykázané</w:t>
      </w:r>
      <w:r w:rsidR="006B669F">
        <w:t xml:space="preserve"> v </w:t>
      </w:r>
      <w:r w:rsidRPr="006B669F">
        <w:t>tomto vzore vychádzajú</w:t>
      </w:r>
      <w:r w:rsidR="006B669F">
        <w:t xml:space="preserve"> z </w:t>
      </w:r>
      <w:r w:rsidRPr="006B669F">
        <w:t>posledného dostupného úradného oznámenia</w:t>
      </w:r>
      <w:r w:rsidR="006B669F">
        <w:t xml:space="preserve"> o </w:t>
      </w:r>
      <w:r w:rsidRPr="006B669F">
        <w:t>postupe preskúmania</w:t>
      </w:r>
      <w:r w:rsidR="006B669F">
        <w:t xml:space="preserve"> a </w:t>
      </w:r>
      <w:r w:rsidRPr="006B669F">
        <w:t>hodnotenia orgánmi dohľadu (SREP) vydaného príslušným orgánom.</w:t>
      </w:r>
    </w:p>
    <w:p w:rsidR="00066E8E" w:rsidRPr="006B669F" w:rsidRDefault="00066E8E" w:rsidP="004F233C">
      <w:pPr>
        <w:pStyle w:val="numberedparagraph"/>
      </w:pPr>
      <w:r w:rsidRPr="006B669F">
        <w:t>Ak subjekt, na ktorý sa vzťahuje vykazovanie, nepodlieha kapitálovým požiadavkám na individuálnom základe, vypĺňa len riadok 0110.</w:t>
      </w:r>
    </w:p>
    <w:p w:rsidR="00E13CE3" w:rsidRPr="00310799" w:rsidRDefault="00E13CE3" w:rsidP="00EC261B">
      <w:pPr>
        <w:pStyle w:val="Instructionsberschrift3"/>
      </w:pPr>
      <w:r w:rsidRPr="00310799">
        <w:t>Pokyny týkajúce sa konkrétnych pozícií</w:t>
      </w:r>
    </w:p>
    <w:tbl>
      <w:tblPr>
        <w:tblW w:w="0" w:type="auto"/>
        <w:tblCellMar>
          <w:top w:w="57" w:type="dxa"/>
          <w:left w:w="57" w:type="dxa"/>
          <w:bottom w:w="57" w:type="dxa"/>
          <w:right w:w="0" w:type="dxa"/>
        </w:tblCellMar>
        <w:tblLook w:val="01E0" w:firstRow="1" w:lastRow="1" w:firstColumn="1" w:lastColumn="1" w:noHBand="0" w:noVBand="0"/>
      </w:tblPr>
      <w:tblGrid>
        <w:gridCol w:w="743"/>
        <w:gridCol w:w="8340"/>
      </w:tblGrid>
      <w:tr w:rsidR="00D22EB0" w:rsidRPr="006B669F" w:rsidTr="00E54104">
        <w:tc>
          <w:tcPr>
            <w:tcW w:w="749" w:type="dxa"/>
            <w:tcBorders>
              <w:top w:val="single" w:sz="4" w:space="0" w:color="1A171C"/>
              <w:left w:val="nil"/>
              <w:bottom w:val="single" w:sz="4" w:space="0" w:color="1A171C"/>
              <w:right w:val="single" w:sz="4" w:space="0" w:color="1A171C"/>
            </w:tcBorders>
            <w:shd w:val="clear" w:color="auto" w:fill="E4E5E5"/>
          </w:tcPr>
          <w:p w:rsidR="00FE3E96" w:rsidRPr="006B669F" w:rsidRDefault="00FE3E96" w:rsidP="001C68A5">
            <w:pPr>
              <w:pStyle w:val="TableParagraph"/>
              <w:spacing w:before="66"/>
              <w:rPr>
                <w:rFonts w:ascii="Times New Roman" w:eastAsia="Cambria" w:hAnsi="Times New Roman" w:cs="Times New Roman"/>
                <w:color w:val="000000" w:themeColor="text1"/>
                <w:sz w:val="20"/>
                <w:szCs w:val="20"/>
              </w:rPr>
            </w:pPr>
            <w:r w:rsidRPr="006B669F">
              <w:rPr>
                <w:rFonts w:ascii="Times New Roman" w:hAnsi="Times New Roman"/>
                <w:color w:val="000000" w:themeColor="text1"/>
                <w:sz w:val="20"/>
              </w:rPr>
              <w:t>Riadky</w:t>
            </w:r>
          </w:p>
        </w:tc>
        <w:tc>
          <w:tcPr>
            <w:tcW w:w="8277" w:type="dxa"/>
            <w:tcBorders>
              <w:top w:val="single" w:sz="4" w:space="0" w:color="1A171C"/>
              <w:left w:val="single" w:sz="4" w:space="0" w:color="1A171C"/>
              <w:bottom w:val="single" w:sz="4" w:space="0" w:color="1A171C"/>
              <w:right w:val="nil"/>
            </w:tcBorders>
            <w:shd w:val="clear" w:color="auto" w:fill="E4E5E5"/>
          </w:tcPr>
          <w:p w:rsidR="00FE3E96" w:rsidRPr="006B669F"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sidRPr="006B669F">
              <w:rPr>
                <w:rFonts w:ascii="Times New Roman" w:hAnsi="Times New Roman"/>
                <w:color w:val="000000" w:themeColor="text1"/>
                <w:spacing w:val="-1"/>
                <w:w w:val="90"/>
                <w:sz w:val="20"/>
              </w:rPr>
              <w:t>Pokyny</w:t>
            </w:r>
          </w:p>
        </w:tc>
      </w:tr>
      <w:tr w:rsidR="00D22EB0" w:rsidRPr="006B669F" w:rsidTr="00E54104">
        <w:tc>
          <w:tcPr>
            <w:tcW w:w="749" w:type="dxa"/>
            <w:tcBorders>
              <w:top w:val="single" w:sz="4" w:space="0" w:color="1A171C"/>
              <w:left w:val="nil"/>
              <w:bottom w:val="single" w:sz="4" w:space="0" w:color="1A171C"/>
              <w:right w:val="single" w:sz="4" w:space="0" w:color="1A171C"/>
            </w:tcBorders>
            <w:vAlign w:val="center"/>
          </w:tcPr>
          <w:p w:rsidR="00FE3E96" w:rsidRPr="006B669F" w:rsidRDefault="007F33DF" w:rsidP="001C68A5">
            <w:pPr>
              <w:pStyle w:val="TableParagraph"/>
              <w:spacing w:before="106"/>
              <w:ind w:left="-1"/>
              <w:rPr>
                <w:rFonts w:ascii="Times New Roman" w:eastAsia="Cambria" w:hAnsi="Times New Roman" w:cs="Times New Roman"/>
                <w:b/>
                <w:color w:val="000000" w:themeColor="text1"/>
                <w:sz w:val="20"/>
                <w:szCs w:val="20"/>
              </w:rPr>
            </w:pPr>
            <w:r w:rsidRPr="006B669F">
              <w:rPr>
                <w:rFonts w:ascii="Times New Roman" w:hAnsi="Times New Roman"/>
                <w:color w:val="000000" w:themeColor="text1"/>
                <w:sz w:val="20"/>
              </w:rPr>
              <w:t>0100</w:t>
            </w:r>
          </w:p>
        </w:tc>
        <w:tc>
          <w:tcPr>
            <w:tcW w:w="8277" w:type="dxa"/>
            <w:tcBorders>
              <w:top w:val="single" w:sz="4" w:space="0" w:color="1A171C"/>
              <w:left w:val="single" w:sz="4" w:space="0" w:color="1A171C"/>
              <w:bottom w:val="single" w:sz="4" w:space="0" w:color="1A171C"/>
              <w:right w:val="nil"/>
            </w:tcBorders>
            <w:vAlign w:val="center"/>
          </w:tcPr>
          <w:p w:rsidR="00FE3E96" w:rsidRPr="00E140EE" w:rsidRDefault="00FE3E96" w:rsidP="00B525EC">
            <w:pPr>
              <w:pStyle w:val="TableParagraph"/>
              <w:spacing w:before="108"/>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Celková hodnota rizikovej expozície</w:t>
            </w:r>
          </w:p>
          <w:p w:rsidR="00FE3E96" w:rsidRPr="006B669F"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92 ods. 3 nariadenia (EÚ) č. 575/2013)</w:t>
            </w:r>
          </w:p>
          <w:p w:rsidR="00271815" w:rsidRPr="006B669F" w:rsidRDefault="009F5277" w:rsidP="00B525EC">
            <w:pPr>
              <w:pStyle w:val="TableParagraph"/>
              <w:spacing w:before="108"/>
              <w:rPr>
                <w:rFonts w:ascii="Times New Roman" w:hAnsi="Times New Roman" w:cs="Times New Roman"/>
                <w:color w:val="000000" w:themeColor="text1"/>
                <w:spacing w:val="-2"/>
                <w:sz w:val="20"/>
                <w:szCs w:val="20"/>
              </w:rPr>
            </w:pPr>
            <w:r w:rsidRPr="006B669F">
              <w:rPr>
                <w:rFonts w:ascii="Times New Roman" w:hAnsi="Times New Roman"/>
                <w:color w:val="000000" w:themeColor="text1"/>
                <w:spacing w:val="-1"/>
                <w:w w:val="95"/>
                <w:sz w:val="20"/>
              </w:rPr>
              <w:t>Pozri</w:t>
            </w:r>
            <w:r w:rsidR="006B669F">
              <w:rPr>
                <w:rFonts w:ascii="Times New Roman" w:hAnsi="Times New Roman"/>
                <w:color w:val="000000" w:themeColor="text1"/>
                <w:spacing w:val="-1"/>
                <w:w w:val="95"/>
                <w:sz w:val="20"/>
              </w:rPr>
              <w:t xml:space="preserve"> Z </w:t>
            </w:r>
            <w:r w:rsidRPr="006B669F">
              <w:rPr>
                <w:rFonts w:ascii="Times New Roman" w:hAnsi="Times New Roman"/>
                <w:color w:val="000000" w:themeColor="text1"/>
                <w:spacing w:val="-1"/>
                <w:w w:val="95"/>
                <w:sz w:val="20"/>
              </w:rPr>
              <w:t>01.00, stĺpec 0100</w:t>
            </w:r>
          </w:p>
          <w:p w:rsidR="00255A8C" w:rsidRPr="006B669F" w:rsidRDefault="00271815" w:rsidP="00B525EC">
            <w:pPr>
              <w:pStyle w:val="TableParagraph"/>
              <w:spacing w:before="108"/>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Celková hodnota rizikovej expozície podľa vymedzenia na účely COREP (OF): {C 02.00;010;010}</w:t>
            </w:r>
          </w:p>
        </w:tc>
      </w:tr>
      <w:tr w:rsidR="00D22EB0" w:rsidRPr="006B669F" w:rsidTr="007D4291">
        <w:trPr>
          <w:trHeight w:val="1152"/>
        </w:trPr>
        <w:tc>
          <w:tcPr>
            <w:tcW w:w="0" w:type="auto"/>
            <w:tcBorders>
              <w:top w:val="single" w:sz="4" w:space="0" w:color="1A171C"/>
              <w:left w:val="nil"/>
              <w:bottom w:val="single" w:sz="4" w:space="0" w:color="1A171C"/>
              <w:right w:val="single" w:sz="4" w:space="0" w:color="1A171C"/>
            </w:tcBorders>
          </w:tcPr>
          <w:p w:rsidR="00271815" w:rsidRPr="006B669F" w:rsidRDefault="00271815" w:rsidP="00D66D58">
            <w:pPr>
              <w:pStyle w:val="TableParagraph"/>
              <w:spacing w:before="106"/>
              <w:ind w:left="-1"/>
              <w:rPr>
                <w:rFonts w:ascii="Times New Roman" w:hAnsi="Times New Roman" w:cs="Times New Roman"/>
                <w:color w:val="000000" w:themeColor="text1"/>
                <w:spacing w:val="-2"/>
                <w:sz w:val="20"/>
                <w:szCs w:val="20"/>
              </w:rPr>
            </w:pPr>
            <w:r w:rsidRPr="006B669F">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6B669F" w:rsidRPr="00E140EE" w:rsidRDefault="00271815" w:rsidP="00B525EC">
            <w:pPr>
              <w:pStyle w:val="TableParagraph"/>
              <w:spacing w:before="108"/>
              <w:jc w:val="both"/>
              <w:rPr>
                <w:rFonts w:ascii="Times New Roman" w:hAnsi="Times New Roman"/>
                <w:b/>
                <w:color w:val="000000" w:themeColor="text1"/>
                <w:spacing w:val="-2"/>
                <w:w w:val="95"/>
                <w:sz w:val="20"/>
              </w:rPr>
            </w:pPr>
            <w:r w:rsidRPr="00E140EE">
              <w:rPr>
                <w:rFonts w:ascii="Times New Roman" w:hAnsi="Times New Roman"/>
                <w:b/>
                <w:color w:val="000000" w:themeColor="text1"/>
                <w:spacing w:val="-2"/>
                <w:w w:val="95"/>
                <w:sz w:val="20"/>
              </w:rPr>
              <w:t>Príspevok</w:t>
            </w:r>
            <w:r w:rsidR="006B669F" w:rsidRPr="00E140EE">
              <w:rPr>
                <w:rFonts w:ascii="Times New Roman" w:hAnsi="Times New Roman"/>
                <w:b/>
                <w:color w:val="000000" w:themeColor="text1"/>
                <w:spacing w:val="-2"/>
                <w:w w:val="95"/>
                <w:sz w:val="20"/>
              </w:rPr>
              <w:t xml:space="preserve"> k </w:t>
            </w:r>
            <w:r w:rsidRPr="00E140EE">
              <w:rPr>
                <w:rFonts w:ascii="Times New Roman" w:hAnsi="Times New Roman"/>
                <w:b/>
                <w:color w:val="000000" w:themeColor="text1"/>
                <w:spacing w:val="-2"/>
                <w:w w:val="95"/>
                <w:sz w:val="20"/>
              </w:rPr>
              <w:t>celkovej hodnote konsolidovanej rizikovej expozície</w:t>
            </w:r>
          </w:p>
          <w:p w:rsidR="00D66D58" w:rsidRPr="006B669F" w:rsidRDefault="00D66D58" w:rsidP="00B525EC">
            <w:pPr>
              <w:pStyle w:val="TableParagraph"/>
              <w:spacing w:before="108"/>
              <w:jc w:val="both"/>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Pozri</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01.00, stĺpec 0140</w:t>
            </w:r>
          </w:p>
          <w:p w:rsidR="00D66D58" w:rsidRPr="006B669F" w:rsidRDefault="00D66D58" w:rsidP="00B525EC">
            <w:pPr>
              <w:pStyle w:val="TableParagraph"/>
              <w:spacing w:before="108"/>
              <w:jc w:val="both"/>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Celková expozícia ukazovateľa finančnej páky podľa vymedzenia na účely COREP (LR): {C 47.00;290;010}</w:t>
            </w:r>
          </w:p>
          <w:p w:rsidR="00271815" w:rsidRPr="00E140EE"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sidRPr="006B669F">
              <w:rPr>
                <w:rFonts w:ascii="Times New Roman" w:hAnsi="Times New Roman"/>
                <w:color w:val="000000" w:themeColor="text1"/>
                <w:spacing w:val="-2"/>
                <w:w w:val="95"/>
                <w:sz w:val="20"/>
              </w:rPr>
              <w:t>Táto položka sa vykazuje len pre subjekty, ktoré nepodliehajú kapitálovým požiadavkám na individuálnom základe.</w:t>
            </w:r>
          </w:p>
        </w:tc>
      </w:tr>
      <w:tr w:rsidR="00D22EB0" w:rsidRPr="006B669F" w:rsidTr="00E54104">
        <w:tc>
          <w:tcPr>
            <w:tcW w:w="749" w:type="dxa"/>
            <w:tcBorders>
              <w:top w:val="single" w:sz="4" w:space="0" w:color="1A171C"/>
              <w:left w:val="nil"/>
              <w:bottom w:val="single" w:sz="4" w:space="0" w:color="1A171C"/>
              <w:right w:val="single" w:sz="4" w:space="0" w:color="1A171C"/>
            </w:tcBorders>
            <w:vAlign w:val="center"/>
          </w:tcPr>
          <w:p w:rsidR="007E7CB4" w:rsidRPr="006B669F" w:rsidRDefault="007F33DF" w:rsidP="001C68A5">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0210 – 0250</w:t>
            </w:r>
          </w:p>
        </w:tc>
        <w:tc>
          <w:tcPr>
            <w:tcW w:w="8277" w:type="dxa"/>
            <w:tcBorders>
              <w:top w:val="single" w:sz="4" w:space="0" w:color="1A171C"/>
              <w:left w:val="single" w:sz="4" w:space="0" w:color="1A171C"/>
              <w:bottom w:val="single" w:sz="4" w:space="0" w:color="1A171C"/>
              <w:right w:val="nil"/>
            </w:tcBorders>
            <w:vAlign w:val="center"/>
          </w:tcPr>
          <w:p w:rsidR="007E7CB4" w:rsidRPr="00E140EE" w:rsidRDefault="009C3899" w:rsidP="00B525EC">
            <w:pPr>
              <w:pStyle w:val="TableParagraph"/>
              <w:spacing w:before="108"/>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Požiadavky na počiatočný kapitál</w:t>
            </w:r>
            <w:r w:rsidR="006B669F" w:rsidRPr="00E140EE">
              <w:rPr>
                <w:rFonts w:ascii="Times New Roman" w:hAnsi="Times New Roman"/>
                <w:b/>
                <w:color w:val="000000" w:themeColor="text1"/>
                <w:sz w:val="20"/>
              </w:rPr>
              <w:t xml:space="preserve"> a </w:t>
            </w:r>
            <w:r w:rsidRPr="00E140EE">
              <w:rPr>
                <w:rFonts w:ascii="Times New Roman" w:hAnsi="Times New Roman"/>
                <w:b/>
                <w:color w:val="000000" w:themeColor="text1"/>
                <w:sz w:val="20"/>
              </w:rPr>
              <w:t>ukazovateľ finančnej páky</w:t>
            </w:r>
          </w:p>
        </w:tc>
      </w:tr>
      <w:tr w:rsidR="00D22EB0" w:rsidRPr="006B669F" w:rsidTr="00E54104">
        <w:tc>
          <w:tcPr>
            <w:tcW w:w="749" w:type="dxa"/>
            <w:tcBorders>
              <w:top w:val="single" w:sz="4" w:space="0" w:color="1A171C"/>
              <w:left w:val="nil"/>
              <w:bottom w:val="single" w:sz="4" w:space="0" w:color="1A171C"/>
              <w:right w:val="single" w:sz="4" w:space="0" w:color="1A171C"/>
            </w:tcBorders>
            <w:vAlign w:val="center"/>
          </w:tcPr>
          <w:p w:rsidR="00FE3E96" w:rsidRPr="006B669F" w:rsidRDefault="007F33DF" w:rsidP="00BA3A8B">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0210</w:t>
            </w:r>
          </w:p>
        </w:tc>
        <w:tc>
          <w:tcPr>
            <w:tcW w:w="8277" w:type="dxa"/>
            <w:tcBorders>
              <w:top w:val="single" w:sz="4" w:space="0" w:color="1A171C"/>
              <w:left w:val="single" w:sz="4" w:space="0" w:color="1A171C"/>
              <w:bottom w:val="single" w:sz="4" w:space="0" w:color="1A171C"/>
              <w:right w:val="nil"/>
            </w:tcBorders>
            <w:vAlign w:val="center"/>
          </w:tcPr>
          <w:p w:rsidR="00B52DAF" w:rsidRPr="00E140EE" w:rsidRDefault="00B52DAF" w:rsidP="00B525EC">
            <w:pPr>
              <w:pStyle w:val="TableParagraph"/>
              <w:spacing w:before="108"/>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Počiatočný kapitál</w:t>
            </w:r>
          </w:p>
          <w:p w:rsidR="00FE3E96" w:rsidRPr="006B669F"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12</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články 28 až 31 smernice 2013/36/EÚ</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článok 93 nariadenia (EÚ) č. 575/2013</w:t>
            </w:r>
          </w:p>
          <w:p w:rsidR="00FE3E96" w:rsidRPr="00E140EE" w:rsidRDefault="00FE3E96" w:rsidP="00B525EC">
            <w:pPr>
              <w:pStyle w:val="TableParagraph"/>
              <w:spacing w:before="108"/>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Výška počiatočného kapitálu požadovaná ako podmienka na získanie povolenia na začatie činnosti inštitúcie.</w:t>
            </w:r>
          </w:p>
        </w:tc>
      </w:tr>
      <w:tr w:rsidR="00D22EB0" w:rsidRPr="006B669F" w:rsidTr="00E54104">
        <w:tc>
          <w:tcPr>
            <w:tcW w:w="749" w:type="dxa"/>
            <w:tcBorders>
              <w:top w:val="single" w:sz="4" w:space="0" w:color="1A171C"/>
              <w:left w:val="nil"/>
              <w:bottom w:val="single" w:sz="4" w:space="0" w:color="1A171C"/>
              <w:right w:val="single" w:sz="4" w:space="0" w:color="1A171C"/>
            </w:tcBorders>
            <w:vAlign w:val="center"/>
          </w:tcPr>
          <w:p w:rsidR="00FE3E96" w:rsidRPr="006B669F" w:rsidRDefault="007F33DF" w:rsidP="00BA3A8B">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0220</w:t>
            </w:r>
          </w:p>
        </w:tc>
        <w:tc>
          <w:tcPr>
            <w:tcW w:w="8277" w:type="dxa"/>
            <w:tcBorders>
              <w:top w:val="single" w:sz="4" w:space="0" w:color="1A171C"/>
              <w:left w:val="single" w:sz="4" w:space="0" w:color="1A171C"/>
              <w:bottom w:val="single" w:sz="4" w:space="0" w:color="1A171C"/>
              <w:right w:val="nil"/>
            </w:tcBorders>
            <w:vAlign w:val="center"/>
          </w:tcPr>
          <w:p w:rsidR="00FE3E96" w:rsidRPr="00E140EE" w:rsidRDefault="00FE3E96" w:rsidP="00B525EC">
            <w:pPr>
              <w:pStyle w:val="TableParagraph"/>
              <w:spacing w:before="108"/>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Požiadavka na ukazovateľ finančnej páky</w:t>
            </w:r>
          </w:p>
          <w:p w:rsidR="00FE3E96" w:rsidRPr="006B669F" w:rsidRDefault="007E7CB4"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Požiadavka na ukazovateľ finančnej páky, ktorá sa vzťahuje na subjekt alebo skupinu, vyjadrená ako percentuálny podiel celkovej expozície ukazovateľa finančnej páky. Ak sa neuplatňuje žiadna formálna požiadavka, subjekty nechajú túto bunku prázdnu.</w:t>
            </w:r>
          </w:p>
          <w:p w:rsidR="00A20924" w:rsidRPr="006B669F" w:rsidRDefault="00A20924" w:rsidP="00B525EC">
            <w:pPr>
              <w:pStyle w:val="TableParagraph"/>
              <w:spacing w:before="108"/>
              <w:jc w:val="both"/>
              <w:rPr>
                <w:rFonts w:ascii="Times New Roman"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Celková expozícia ukazovateľa finančnej páky podľa vymedzenia na účely COREP (LR): {C 47.00;290;010}</w:t>
            </w:r>
          </w:p>
        </w:tc>
      </w:tr>
      <w:tr w:rsidR="00D22EB0" w:rsidRPr="006B669F" w:rsidTr="00E54104">
        <w:tc>
          <w:tcPr>
            <w:tcW w:w="749" w:type="dxa"/>
            <w:tcBorders>
              <w:top w:val="single" w:sz="4" w:space="0" w:color="1A171C"/>
              <w:left w:val="nil"/>
              <w:bottom w:val="single" w:sz="4" w:space="0" w:color="1A171C"/>
              <w:right w:val="single" w:sz="4" w:space="0" w:color="1A171C"/>
            </w:tcBorders>
            <w:vAlign w:val="center"/>
          </w:tcPr>
          <w:p w:rsidR="00517EFA" w:rsidRPr="006B669F" w:rsidRDefault="009968AE" w:rsidP="001C68A5">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0300</w:t>
            </w:r>
          </w:p>
        </w:tc>
        <w:tc>
          <w:tcPr>
            <w:tcW w:w="8277" w:type="dxa"/>
            <w:tcBorders>
              <w:top w:val="single" w:sz="4" w:space="0" w:color="1A171C"/>
              <w:left w:val="single" w:sz="4" w:space="0" w:color="1A171C"/>
              <w:bottom w:val="single" w:sz="4" w:space="0" w:color="1A171C"/>
              <w:right w:val="nil"/>
            </w:tcBorders>
            <w:vAlign w:val="center"/>
          </w:tcPr>
          <w:p w:rsidR="006B669F" w:rsidRPr="00E140EE" w:rsidRDefault="009968AE" w:rsidP="00B525EC">
            <w:pPr>
              <w:pStyle w:val="TableParagraph"/>
              <w:spacing w:before="108"/>
              <w:jc w:val="both"/>
              <w:rPr>
                <w:rFonts w:ascii="Times New Roman" w:hAnsi="Times New Roman"/>
                <w:b/>
                <w:color w:val="000000" w:themeColor="text1"/>
                <w:sz w:val="20"/>
              </w:rPr>
            </w:pPr>
            <w:r w:rsidRPr="00E140EE">
              <w:rPr>
                <w:rFonts w:ascii="Times New Roman" w:hAnsi="Times New Roman"/>
                <w:b/>
                <w:color w:val="000000" w:themeColor="text1"/>
                <w:sz w:val="20"/>
              </w:rPr>
              <w:t>Podiel celkových kapitálových požiadaviek podľa SREP (TSCR)</w:t>
            </w:r>
          </w:p>
          <w:p w:rsidR="002F55A8" w:rsidRPr="006B669F"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COREP (OF): {C 0</w:t>
            </w:r>
            <w:r w:rsidR="00310799">
              <w:rPr>
                <w:rFonts w:ascii="Times New Roman" w:hAnsi="Times New Roman"/>
                <w:color w:val="000000" w:themeColor="text1"/>
                <w:spacing w:val="-2"/>
                <w:w w:val="95"/>
                <w:sz w:val="20"/>
              </w:rPr>
              <w:t>3</w:t>
            </w:r>
            <w:r w:rsidRPr="006B669F">
              <w:rPr>
                <w:rFonts w:ascii="Times New Roman" w:hAnsi="Times New Roman"/>
                <w:color w:val="000000" w:themeColor="text1"/>
                <w:spacing w:val="-2"/>
                <w:w w:val="95"/>
                <w:sz w:val="20"/>
              </w:rPr>
              <w:t>.00;130;010}</w:t>
            </w:r>
          </w:p>
          <w:p w:rsidR="00517EFA" w:rsidRPr="00890B8A" w:rsidRDefault="00517EFA" w:rsidP="00E140EE">
            <w:pPr>
              <w:pStyle w:val="InstructionsText"/>
            </w:pPr>
            <w:r w:rsidRPr="00890B8A">
              <w:t>Súčet nasledujúcich bodov i)</w:t>
            </w:r>
            <w:r w:rsidR="006B669F" w:rsidRPr="00890B8A">
              <w:t xml:space="preserve"> a </w:t>
            </w:r>
            <w:r w:rsidRPr="00890B8A">
              <w:t>ii):</w:t>
            </w:r>
          </w:p>
          <w:p w:rsidR="006B669F" w:rsidRPr="00890B8A" w:rsidRDefault="00517EFA" w:rsidP="00E140EE">
            <w:pPr>
              <w:pStyle w:val="InstructionsText"/>
              <w:numPr>
                <w:ilvl w:val="0"/>
                <w:numId w:val="53"/>
              </w:numPr>
            </w:pPr>
            <w:r w:rsidRPr="00890B8A">
              <w:t>celkový podiel kapitálu (8</w:t>
            </w:r>
            <w:r w:rsidR="006B669F" w:rsidRPr="00890B8A">
              <w:t> %</w:t>
            </w:r>
            <w:r w:rsidRPr="00890B8A">
              <w:t>) špecifikovaný</w:t>
            </w:r>
            <w:r w:rsidR="006B669F" w:rsidRPr="00890B8A">
              <w:t xml:space="preserve"> v </w:t>
            </w:r>
            <w:r w:rsidRPr="00890B8A">
              <w:t>článku 92 ods. 1 písm. c) nariadenia (EÚ) č. 575/2013</w:t>
            </w:r>
            <w:r w:rsidR="006B669F" w:rsidRPr="00890B8A">
              <w:t>;</w:t>
            </w:r>
          </w:p>
          <w:p w:rsidR="00517EFA" w:rsidRPr="00890B8A" w:rsidRDefault="00517EFA" w:rsidP="00E140EE">
            <w:pPr>
              <w:pStyle w:val="InstructionsText"/>
              <w:numPr>
                <w:ilvl w:val="0"/>
                <w:numId w:val="53"/>
              </w:numPr>
            </w:pPr>
            <w:r w:rsidRPr="00890B8A">
              <w:t>podiel dodatočných požiadaviek na vlastné zdroje (požiadavky piliera 2 – P2R) určený</w:t>
            </w:r>
            <w:r w:rsidR="006B669F" w:rsidRPr="00890B8A">
              <w:t xml:space="preserve"> v </w:t>
            </w:r>
            <w:r w:rsidRPr="00890B8A">
              <w:t>súlade</w:t>
            </w:r>
            <w:r w:rsidR="006B669F" w:rsidRPr="00890B8A">
              <w:t xml:space="preserve"> s </w:t>
            </w:r>
            <w:r w:rsidRPr="00890B8A">
              <w:t>kritériami stanovenými</w:t>
            </w:r>
            <w:r w:rsidR="006B669F" w:rsidRPr="00890B8A">
              <w:t xml:space="preserve"> v </w:t>
            </w:r>
            <w:r w:rsidRPr="00890B8A">
              <w:t>usmerneniach orgánu EBA</w:t>
            </w:r>
            <w:r w:rsidR="006B669F" w:rsidRPr="00890B8A">
              <w:t xml:space="preserve"> o </w:t>
            </w:r>
            <w:r w:rsidRPr="00890B8A">
              <w:t>spoločných postupoch</w:t>
            </w:r>
            <w:r w:rsidR="006B669F" w:rsidRPr="00890B8A">
              <w:t xml:space="preserve"> a </w:t>
            </w:r>
            <w:r w:rsidRPr="00890B8A">
              <w:t>metodikách preskúmania</w:t>
            </w:r>
            <w:r w:rsidR="006B669F" w:rsidRPr="00890B8A">
              <w:t xml:space="preserve"> a </w:t>
            </w:r>
            <w:r w:rsidRPr="00890B8A">
              <w:t>hodnotenia orgánmi dohľadu</w:t>
            </w:r>
            <w:r w:rsidR="006B669F" w:rsidRPr="00890B8A">
              <w:t xml:space="preserve"> a </w:t>
            </w:r>
            <w:r w:rsidRPr="00890B8A">
              <w:t>stresového testovania orgánmi dohľadu (usmernenia EBA podľa SREP).</w:t>
            </w:r>
          </w:p>
          <w:p w:rsidR="00517EFA" w:rsidRPr="00890B8A" w:rsidRDefault="00517EFA" w:rsidP="00E140EE">
            <w:pPr>
              <w:pStyle w:val="InstructionsText"/>
            </w:pPr>
            <w:r w:rsidRPr="00890B8A">
              <w:t>V tejto položke sa odzrkadľuje podiel celkových kapitálových požiadaviek podľa SREP (TSCR), ktorý inštitúcii oznámil príslušný orgán. Celková kapitálová požiadavka podľa SREP (TSCR) je vymedzená</w:t>
            </w:r>
            <w:r w:rsidR="006B669F" w:rsidRPr="00890B8A">
              <w:t xml:space="preserve"> v </w:t>
            </w:r>
            <w:r w:rsidRPr="00890B8A">
              <w:t>oddiele 1.2 usmernení EBA podľa SREP.</w:t>
            </w:r>
          </w:p>
          <w:p w:rsidR="00517EFA" w:rsidRPr="00E140EE" w:rsidRDefault="00517EFA" w:rsidP="00B525EC">
            <w:pPr>
              <w:pStyle w:val="TableParagraph"/>
              <w:spacing w:before="108"/>
              <w:jc w:val="both"/>
              <w:rPr>
                <w:rFonts w:ascii="Times New Roman" w:hAnsi="Times New Roman" w:cs="Times New Roman"/>
                <w:b/>
                <w:bCs/>
                <w:color w:val="000000" w:themeColor="text1"/>
                <w:sz w:val="20"/>
                <w:szCs w:val="20"/>
              </w:rPr>
            </w:pPr>
            <w:r w:rsidRPr="00890B8A">
              <w:rPr>
                <w:rFonts w:ascii="Times New Roman" w:hAnsi="Times New Roman" w:cs="Times New Roman"/>
                <w:color w:val="000000" w:themeColor="text1"/>
                <w:sz w:val="20"/>
                <w:szCs w:val="20"/>
              </w:rPr>
              <w:t>Ak príslušný orgán neoznámil žiadne dodatočné požiadavky na vlastné zdroje, potom sa vykáže iba bod i).</w:t>
            </w:r>
          </w:p>
        </w:tc>
      </w:tr>
      <w:tr w:rsidR="00D22EB0" w:rsidRPr="006B669F" w:rsidTr="00E54104">
        <w:tc>
          <w:tcPr>
            <w:tcW w:w="749" w:type="dxa"/>
            <w:tcBorders>
              <w:top w:val="single" w:sz="4" w:space="0" w:color="1A171C"/>
              <w:left w:val="nil"/>
              <w:bottom w:val="single" w:sz="4" w:space="0" w:color="1A171C"/>
              <w:right w:val="single" w:sz="4" w:space="0" w:color="1A171C"/>
            </w:tcBorders>
            <w:vAlign w:val="center"/>
          </w:tcPr>
          <w:p w:rsidR="00122E1B" w:rsidRPr="006B669F" w:rsidRDefault="0060078E" w:rsidP="009D7DA8">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0310</w:t>
            </w:r>
          </w:p>
        </w:tc>
        <w:tc>
          <w:tcPr>
            <w:tcW w:w="8277" w:type="dxa"/>
            <w:tcBorders>
              <w:top w:val="single" w:sz="4" w:space="0" w:color="1A171C"/>
              <w:left w:val="single" w:sz="4" w:space="0" w:color="1A171C"/>
              <w:bottom w:val="single" w:sz="4" w:space="0" w:color="1A171C"/>
              <w:right w:val="nil"/>
            </w:tcBorders>
            <w:vAlign w:val="center"/>
          </w:tcPr>
          <w:p w:rsidR="006B669F" w:rsidRPr="00E140EE" w:rsidRDefault="00122E1B" w:rsidP="00B525EC">
            <w:pPr>
              <w:pStyle w:val="TableParagraph"/>
              <w:spacing w:before="108"/>
              <w:jc w:val="both"/>
              <w:rPr>
                <w:rFonts w:ascii="Times New Roman" w:hAnsi="Times New Roman"/>
                <w:b/>
                <w:color w:val="000000" w:themeColor="text1"/>
                <w:sz w:val="20"/>
              </w:rPr>
            </w:pPr>
            <w:r w:rsidRPr="00E140EE">
              <w:rPr>
                <w:rFonts w:ascii="Times New Roman" w:hAnsi="Times New Roman"/>
                <w:b/>
                <w:color w:val="000000" w:themeColor="text1"/>
                <w:sz w:val="20"/>
              </w:rPr>
              <w:t>TSCR (podiel celkovej kapitálovej požiadavky podľa SREP): zložený</w:t>
            </w:r>
            <w:r w:rsidR="006B669F" w:rsidRPr="00E140EE">
              <w:rPr>
                <w:rFonts w:ascii="Times New Roman" w:hAnsi="Times New Roman"/>
                <w:b/>
                <w:color w:val="000000" w:themeColor="text1"/>
                <w:sz w:val="20"/>
              </w:rPr>
              <w:t xml:space="preserve"> z </w:t>
            </w:r>
            <w:r w:rsidRPr="00E140EE">
              <w:rPr>
                <w:rFonts w:ascii="Times New Roman" w:hAnsi="Times New Roman"/>
                <w:b/>
                <w:color w:val="000000" w:themeColor="text1"/>
                <w:sz w:val="20"/>
              </w:rPr>
              <w:t>kapitálu CET1</w:t>
            </w:r>
          </w:p>
          <w:p w:rsidR="002F55A8" w:rsidRPr="006B669F"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COREP (OF): {C 0</w:t>
            </w:r>
            <w:r w:rsidR="00310799">
              <w:rPr>
                <w:rFonts w:ascii="Times New Roman" w:hAnsi="Times New Roman"/>
                <w:color w:val="000000" w:themeColor="text1"/>
                <w:spacing w:val="-2"/>
                <w:w w:val="95"/>
                <w:sz w:val="20"/>
              </w:rPr>
              <w:t>3</w:t>
            </w:r>
            <w:r w:rsidRPr="006B669F">
              <w:rPr>
                <w:rFonts w:ascii="Times New Roman" w:hAnsi="Times New Roman"/>
                <w:color w:val="000000" w:themeColor="text1"/>
                <w:spacing w:val="-2"/>
                <w:w w:val="95"/>
                <w:sz w:val="20"/>
              </w:rPr>
              <w:t>.00;140;010}</w:t>
            </w:r>
          </w:p>
          <w:p w:rsidR="00122E1B" w:rsidRPr="006B669F" w:rsidRDefault="00122E1B" w:rsidP="00B525EC">
            <w:pPr>
              <w:pStyle w:val="TableParagraph"/>
              <w:spacing w:before="108"/>
              <w:jc w:val="both"/>
              <w:rPr>
                <w:rFonts w:ascii="Times New Roman" w:hAnsi="Times New Roman" w:cs="Times New Roman"/>
                <w:bCs/>
                <w:color w:val="000000" w:themeColor="text1"/>
                <w:sz w:val="20"/>
                <w:szCs w:val="20"/>
              </w:rPr>
            </w:pPr>
            <w:r w:rsidRPr="006B669F">
              <w:rPr>
                <w:rFonts w:ascii="Times New Roman" w:hAnsi="Times New Roman"/>
                <w:color w:val="000000" w:themeColor="text1"/>
                <w:sz w:val="20"/>
              </w:rPr>
              <w:t>Súčet nasledujúcich bodov i)</w:t>
            </w:r>
            <w:r w:rsidR="006B669F">
              <w:rPr>
                <w:rFonts w:ascii="Times New Roman" w:hAnsi="Times New Roman"/>
                <w:color w:val="000000" w:themeColor="text1"/>
                <w:sz w:val="20"/>
              </w:rPr>
              <w:t xml:space="preserve"> a </w:t>
            </w:r>
            <w:r w:rsidRPr="006B669F">
              <w:rPr>
                <w:rFonts w:ascii="Times New Roman" w:hAnsi="Times New Roman"/>
                <w:color w:val="000000" w:themeColor="text1"/>
                <w:sz w:val="20"/>
              </w:rPr>
              <w:t>ii):</w:t>
            </w:r>
          </w:p>
          <w:p w:rsidR="00122E1B" w:rsidRPr="006B669F" w:rsidRDefault="00122E1B" w:rsidP="00B525EC">
            <w:pPr>
              <w:pStyle w:val="TableParagraph"/>
              <w:spacing w:before="108"/>
              <w:jc w:val="both"/>
              <w:rPr>
                <w:rFonts w:ascii="Times New Roman" w:hAnsi="Times New Roman" w:cs="Times New Roman"/>
                <w:bCs/>
                <w:color w:val="000000" w:themeColor="text1"/>
                <w:sz w:val="20"/>
                <w:szCs w:val="20"/>
              </w:rPr>
            </w:pPr>
            <w:r w:rsidRPr="006B669F">
              <w:rPr>
                <w:rFonts w:ascii="Times New Roman" w:hAnsi="Times New Roman"/>
                <w:color w:val="000000" w:themeColor="text1"/>
                <w:sz w:val="20"/>
              </w:rPr>
              <w:t>i)</w:t>
            </w:r>
            <w:r w:rsidRPr="006B669F">
              <w:tab/>
            </w:r>
            <w:r w:rsidRPr="006B669F">
              <w:rPr>
                <w:rFonts w:ascii="Times New Roman" w:hAnsi="Times New Roman"/>
                <w:color w:val="000000" w:themeColor="text1"/>
                <w:sz w:val="20"/>
              </w:rPr>
              <w:t>podiel kapitálu CET1 (4,5</w:t>
            </w:r>
            <w:r w:rsidR="006B669F">
              <w:rPr>
                <w:rFonts w:ascii="Times New Roman" w:hAnsi="Times New Roman"/>
                <w:color w:val="000000" w:themeColor="text1"/>
                <w:sz w:val="20"/>
              </w:rPr>
              <w:t> %</w:t>
            </w:r>
            <w:r w:rsidRPr="006B669F">
              <w:rPr>
                <w:rFonts w:ascii="Times New Roman" w:hAnsi="Times New Roman"/>
                <w:color w:val="000000" w:themeColor="text1"/>
                <w:sz w:val="20"/>
              </w:rPr>
              <w:t>) podľa článku 92 ods. 1 písm. a) nariadenia (EÚ) č. 575/2013;</w:t>
            </w:r>
          </w:p>
          <w:p w:rsidR="00122E1B" w:rsidRPr="006B669F" w:rsidRDefault="00122E1B" w:rsidP="00B525EC">
            <w:pPr>
              <w:pStyle w:val="TableParagraph"/>
              <w:spacing w:before="108"/>
              <w:jc w:val="both"/>
              <w:rPr>
                <w:rFonts w:ascii="Times New Roman" w:hAnsi="Times New Roman" w:cs="Times New Roman"/>
                <w:bCs/>
                <w:color w:val="000000" w:themeColor="text1"/>
                <w:sz w:val="20"/>
                <w:szCs w:val="20"/>
              </w:rPr>
            </w:pPr>
            <w:r w:rsidRPr="006B669F">
              <w:rPr>
                <w:rFonts w:ascii="Times New Roman" w:hAnsi="Times New Roman"/>
                <w:color w:val="000000" w:themeColor="text1"/>
                <w:sz w:val="20"/>
              </w:rPr>
              <w:t>ii)</w:t>
            </w:r>
            <w:r w:rsidRPr="006B669F">
              <w:tab/>
            </w:r>
            <w:r w:rsidRPr="006B669F">
              <w:rPr>
                <w:rFonts w:ascii="Times New Roman" w:hAnsi="Times New Roman"/>
                <w:color w:val="000000" w:themeColor="text1"/>
                <w:sz w:val="20"/>
              </w:rPr>
              <w:t>časť podielu P2R uvedená</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riadku 300 bode ii),</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prípade ktorej príslušný orgán vyžaduje, aby bola držaná vo forme kapitálu CET 1.</w:t>
            </w:r>
          </w:p>
          <w:p w:rsidR="00122E1B" w:rsidRPr="00E140EE" w:rsidRDefault="00122E1B" w:rsidP="00B525EC">
            <w:pPr>
              <w:pStyle w:val="TableParagraph"/>
              <w:spacing w:before="108"/>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z w:val="20"/>
              </w:rPr>
              <w:t>Ak príslušný orgán neoznámil žiadne dodatočné požiadavky na vlastné zdroje, ktoré majú byť držané vo forme kapitálu CET1, potom sa vykáže iba bod i).</w:t>
            </w:r>
          </w:p>
        </w:tc>
      </w:tr>
      <w:tr w:rsidR="00D22EB0" w:rsidRPr="006B669F" w:rsidTr="00E54104">
        <w:tc>
          <w:tcPr>
            <w:tcW w:w="749" w:type="dxa"/>
            <w:tcBorders>
              <w:top w:val="single" w:sz="4" w:space="0" w:color="1A171C"/>
              <w:left w:val="nil"/>
              <w:bottom w:val="single" w:sz="4" w:space="0" w:color="1A171C"/>
              <w:right w:val="single" w:sz="4" w:space="0" w:color="1A171C"/>
            </w:tcBorders>
            <w:vAlign w:val="center"/>
          </w:tcPr>
          <w:p w:rsidR="00122E1B" w:rsidRPr="006B669F" w:rsidRDefault="0060078E" w:rsidP="009D7DA8">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0320</w:t>
            </w:r>
          </w:p>
        </w:tc>
        <w:tc>
          <w:tcPr>
            <w:tcW w:w="8277" w:type="dxa"/>
            <w:tcBorders>
              <w:top w:val="single" w:sz="4" w:space="0" w:color="1A171C"/>
              <w:left w:val="single" w:sz="4" w:space="0" w:color="1A171C"/>
              <w:bottom w:val="single" w:sz="4" w:space="0" w:color="1A171C"/>
              <w:right w:val="nil"/>
            </w:tcBorders>
            <w:vAlign w:val="center"/>
          </w:tcPr>
          <w:p w:rsidR="00122E1B" w:rsidRPr="00E140EE" w:rsidRDefault="00122E1B" w:rsidP="00E140EE">
            <w:pPr>
              <w:pStyle w:val="InstructionsText"/>
              <w:rPr>
                <w:rStyle w:val="InstructionsTabelleberschrift"/>
                <w:rFonts w:ascii="Times New Roman" w:hAnsi="Times New Roman"/>
                <w:color w:val="000000" w:themeColor="text1"/>
                <w:u w:val="none"/>
              </w:rPr>
            </w:pPr>
            <w:r w:rsidRPr="00E140EE">
              <w:rPr>
                <w:rStyle w:val="InstructionsTabelleberschrift"/>
                <w:rFonts w:ascii="Times New Roman" w:hAnsi="Times New Roman"/>
                <w:color w:val="000000" w:themeColor="text1"/>
                <w:u w:val="none"/>
              </w:rPr>
              <w:t>TSCR (podiel celkovej kapitálovej požiadavky podľa SREP): zložený</w:t>
            </w:r>
            <w:r w:rsidR="006B669F" w:rsidRPr="00E140EE">
              <w:rPr>
                <w:rStyle w:val="InstructionsTabelleberschrift"/>
                <w:rFonts w:ascii="Times New Roman" w:hAnsi="Times New Roman"/>
                <w:color w:val="000000" w:themeColor="text1"/>
                <w:u w:val="none"/>
              </w:rPr>
              <w:t xml:space="preserve"> z </w:t>
            </w:r>
            <w:r w:rsidRPr="00E140EE">
              <w:rPr>
                <w:rStyle w:val="InstructionsTabelleberschrift"/>
                <w:rFonts w:ascii="Times New Roman" w:hAnsi="Times New Roman"/>
                <w:color w:val="000000" w:themeColor="text1"/>
                <w:u w:val="none"/>
              </w:rPr>
              <w:t>kapitálu Tier 1</w:t>
            </w:r>
          </w:p>
          <w:p w:rsidR="002F55A8" w:rsidRPr="006B669F"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COREP (OF): {C 0</w:t>
            </w:r>
            <w:r w:rsidR="00310799">
              <w:rPr>
                <w:rFonts w:ascii="Times New Roman" w:hAnsi="Times New Roman"/>
                <w:color w:val="000000" w:themeColor="text1"/>
                <w:spacing w:val="-2"/>
                <w:w w:val="95"/>
                <w:sz w:val="20"/>
              </w:rPr>
              <w:t>3</w:t>
            </w:r>
            <w:r w:rsidRPr="006B669F">
              <w:rPr>
                <w:rFonts w:ascii="Times New Roman" w:hAnsi="Times New Roman"/>
                <w:color w:val="000000" w:themeColor="text1"/>
                <w:spacing w:val="-2"/>
                <w:w w:val="95"/>
                <w:sz w:val="20"/>
              </w:rPr>
              <w:t>.00;150;010}</w:t>
            </w:r>
          </w:p>
          <w:p w:rsidR="00122E1B" w:rsidRPr="00D02019" w:rsidRDefault="00122E1B" w:rsidP="00E140EE">
            <w:pPr>
              <w:pStyle w:val="InstructionsText"/>
            </w:pPr>
            <w:r w:rsidRPr="00D02019">
              <w:t>Súčet nasledujúcich bodov i)</w:t>
            </w:r>
            <w:r w:rsidR="006B669F" w:rsidRPr="00D02019">
              <w:t xml:space="preserve"> a </w:t>
            </w:r>
            <w:r w:rsidRPr="00D02019">
              <w:t>ii):</w:t>
            </w:r>
          </w:p>
          <w:p w:rsidR="00122E1B" w:rsidRPr="00D02019" w:rsidRDefault="00122E1B" w:rsidP="00E140EE">
            <w:pPr>
              <w:pStyle w:val="InstructionsText"/>
              <w:numPr>
                <w:ilvl w:val="0"/>
                <w:numId w:val="54"/>
              </w:numPr>
            </w:pPr>
            <w:r w:rsidRPr="00D02019">
              <w:t>podiel kapitálu Tier 1 (6</w:t>
            </w:r>
            <w:r w:rsidR="006B669F" w:rsidRPr="00D02019">
              <w:t> %</w:t>
            </w:r>
            <w:r w:rsidRPr="00D02019">
              <w:t>) podľa článku 92 ods. 1 písm. b) nariadenia (EÚ) č. 575/2013;</w:t>
            </w:r>
          </w:p>
          <w:p w:rsidR="00122E1B" w:rsidRPr="00310799" w:rsidRDefault="00122E1B" w:rsidP="00E140EE">
            <w:pPr>
              <w:pStyle w:val="InstructionsText"/>
              <w:numPr>
                <w:ilvl w:val="0"/>
                <w:numId w:val="54"/>
              </w:numPr>
              <w:rPr>
                <w:bCs/>
                <w:u w:val="single"/>
              </w:rPr>
            </w:pPr>
            <w:r w:rsidRPr="00D02019">
              <w:t>časť podielu P2R uvedená</w:t>
            </w:r>
            <w:r w:rsidR="006B669F" w:rsidRPr="00D02019">
              <w:t xml:space="preserve"> v </w:t>
            </w:r>
            <w:r w:rsidRPr="00D02019">
              <w:t>riadku 300 bode ii),</w:t>
            </w:r>
            <w:r w:rsidR="006B669F" w:rsidRPr="00D02019">
              <w:t xml:space="preserve"> v </w:t>
            </w:r>
            <w:r w:rsidRPr="00D02019">
              <w:t>prípade ktorej príslušný orgán vyžaduje, aby bola držaná vo forme kapitálu Tier 1.</w:t>
            </w:r>
          </w:p>
          <w:p w:rsidR="00122E1B" w:rsidRPr="00E140EE" w:rsidRDefault="00122E1B" w:rsidP="00B525EC">
            <w:pPr>
              <w:pStyle w:val="TableParagraph"/>
              <w:spacing w:before="108"/>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z w:val="20"/>
              </w:rPr>
              <w:t>Ak nie sú oznámené žiadne dodatočné požiadavky na vlastné zdroje, ktoré majú byť držané vo forme kapitálu Tier 1, potom sa vykáže iba bod i).</w:t>
            </w:r>
          </w:p>
        </w:tc>
      </w:tr>
      <w:tr w:rsidR="00D22EB0" w:rsidRPr="006B669F" w:rsidTr="00E54104">
        <w:tc>
          <w:tcPr>
            <w:tcW w:w="749" w:type="dxa"/>
            <w:tcBorders>
              <w:top w:val="single" w:sz="4" w:space="0" w:color="1A171C"/>
              <w:left w:val="nil"/>
              <w:bottom w:val="single" w:sz="4" w:space="0" w:color="1A171C"/>
              <w:right w:val="single" w:sz="4" w:space="0" w:color="1A171C"/>
            </w:tcBorders>
            <w:vAlign w:val="center"/>
          </w:tcPr>
          <w:p w:rsidR="00F24B99" w:rsidRPr="006B669F" w:rsidRDefault="00F24B99" w:rsidP="009D7DA8">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0400</w:t>
            </w:r>
          </w:p>
        </w:tc>
        <w:tc>
          <w:tcPr>
            <w:tcW w:w="8277" w:type="dxa"/>
            <w:tcBorders>
              <w:top w:val="single" w:sz="4" w:space="0" w:color="1A171C"/>
              <w:left w:val="single" w:sz="4" w:space="0" w:color="1A171C"/>
              <w:bottom w:val="single" w:sz="4" w:space="0" w:color="1A171C"/>
              <w:right w:val="nil"/>
            </w:tcBorders>
            <w:vAlign w:val="center"/>
          </w:tcPr>
          <w:p w:rsidR="00F24B99" w:rsidRPr="00E140EE" w:rsidRDefault="00F24B99" w:rsidP="00B525EC">
            <w:pPr>
              <w:pStyle w:val="TableParagraph"/>
              <w:spacing w:before="108"/>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Požiadavky na kombinovaný vankúš</w:t>
            </w:r>
          </w:p>
          <w:p w:rsidR="00F24B99" w:rsidRPr="006B669F"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128 bod 6 smernice 2013/36/EÚ</w:t>
            </w:r>
          </w:p>
          <w:p w:rsidR="005337DD" w:rsidRPr="006B669F"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COREP (OF): {C 04.00;740;010}</w:t>
            </w:r>
          </w:p>
          <w:p w:rsidR="00F24B99" w:rsidRPr="006B669F"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6B669F" w:rsidTr="00E54104">
        <w:tc>
          <w:tcPr>
            <w:tcW w:w="749" w:type="dxa"/>
            <w:tcBorders>
              <w:top w:val="single" w:sz="4" w:space="0" w:color="1A171C"/>
              <w:left w:val="nil"/>
              <w:bottom w:val="single" w:sz="4" w:space="0" w:color="1A171C"/>
              <w:right w:val="single" w:sz="4" w:space="0" w:color="1A171C"/>
            </w:tcBorders>
            <w:vAlign w:val="center"/>
          </w:tcPr>
          <w:p w:rsidR="00046CD0" w:rsidRPr="006B669F" w:rsidRDefault="00046CD0" w:rsidP="009D7DA8">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0410</w:t>
            </w:r>
          </w:p>
        </w:tc>
        <w:tc>
          <w:tcPr>
            <w:tcW w:w="8277" w:type="dxa"/>
            <w:tcBorders>
              <w:top w:val="single" w:sz="4" w:space="0" w:color="1A171C"/>
              <w:left w:val="single" w:sz="4" w:space="0" w:color="1A171C"/>
              <w:bottom w:val="single" w:sz="4" w:space="0" w:color="1A171C"/>
              <w:right w:val="nil"/>
            </w:tcBorders>
            <w:vAlign w:val="center"/>
          </w:tcPr>
          <w:p w:rsidR="00046CD0" w:rsidRPr="00E140EE" w:rsidRDefault="00046CD0" w:rsidP="00B525EC">
            <w:pPr>
              <w:pStyle w:val="TableParagraph"/>
              <w:spacing w:before="108"/>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Vankúš na zachovanie kapitálu</w:t>
            </w:r>
          </w:p>
          <w:p w:rsidR="00046CD0" w:rsidRPr="006B669F"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128 bod 1</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článok 129 smernice 2013/36/EÚ</w:t>
            </w:r>
          </w:p>
          <w:p w:rsidR="005337DD" w:rsidRPr="006B669F" w:rsidRDefault="005337DD" w:rsidP="00B525EC">
            <w:pPr>
              <w:pStyle w:val="TableParagraph"/>
              <w:spacing w:before="108"/>
              <w:jc w:val="both"/>
              <w:rPr>
                <w:rFonts w:ascii="Times New Roman" w:hAnsi="Times New Roman" w:cs="Times New Roman"/>
                <w:color w:val="000000" w:themeColor="text1"/>
                <w:sz w:val="20"/>
                <w:szCs w:val="20"/>
              </w:rPr>
            </w:pPr>
            <w:r w:rsidRPr="006B669F">
              <w:rPr>
                <w:rFonts w:ascii="Times New Roman" w:hAnsi="Times New Roman"/>
                <w:color w:val="000000" w:themeColor="text1"/>
                <w:spacing w:val="-2"/>
                <w:w w:val="95"/>
                <w:sz w:val="20"/>
              </w:rPr>
              <w:t>COREP (OF): {C 04.00;750;010}).</w:t>
            </w:r>
          </w:p>
          <w:p w:rsidR="00413A0F" w:rsidRPr="006B669F"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z w:val="20"/>
              </w:rPr>
              <w:t>Podľa článku 129 ods. 1 je vankúš na zachovanie kapitálu dodatočná suma nad rámec vlastného kapitálu Tier 1. Keďže miera vankúša na zachovanie kapitálu vo výške 2,5</w:t>
            </w:r>
            <w:r w:rsidR="006B669F">
              <w:rPr>
                <w:rFonts w:ascii="Times New Roman" w:hAnsi="Times New Roman"/>
                <w:color w:val="000000" w:themeColor="text1"/>
                <w:sz w:val="20"/>
              </w:rPr>
              <w:t> %</w:t>
            </w:r>
            <w:r w:rsidRPr="006B669F">
              <w:rPr>
                <w:rFonts w:ascii="Times New Roman" w:hAnsi="Times New Roman"/>
                <w:color w:val="000000" w:themeColor="text1"/>
                <w:sz w:val="20"/>
              </w:rPr>
              <w:t xml:space="preserve"> je stabilná,</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tejto bunke sa vykazuje suma.</w:t>
            </w:r>
          </w:p>
          <w:p w:rsidR="00046CD0" w:rsidRPr="006B669F"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6B669F" w:rsidTr="00E54104">
        <w:tc>
          <w:tcPr>
            <w:tcW w:w="749" w:type="dxa"/>
            <w:tcBorders>
              <w:top w:val="single" w:sz="4" w:space="0" w:color="1A171C"/>
              <w:left w:val="nil"/>
              <w:bottom w:val="single" w:sz="4" w:space="0" w:color="1A171C"/>
              <w:right w:val="single" w:sz="4" w:space="0" w:color="1A171C"/>
            </w:tcBorders>
            <w:vAlign w:val="center"/>
          </w:tcPr>
          <w:p w:rsidR="005337DD" w:rsidRPr="006B669F" w:rsidRDefault="005337DD" w:rsidP="008C24D4">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0420</w:t>
            </w:r>
          </w:p>
        </w:tc>
        <w:tc>
          <w:tcPr>
            <w:tcW w:w="8277" w:type="dxa"/>
            <w:tcBorders>
              <w:top w:val="single" w:sz="4" w:space="0" w:color="1A171C"/>
              <w:left w:val="single" w:sz="4" w:space="0" w:color="1A171C"/>
              <w:bottom w:val="single" w:sz="4" w:space="0" w:color="1A171C"/>
              <w:right w:val="nil"/>
            </w:tcBorders>
            <w:vAlign w:val="center"/>
          </w:tcPr>
          <w:p w:rsidR="005337DD" w:rsidRPr="00E140EE" w:rsidRDefault="005337DD" w:rsidP="00B525EC">
            <w:pPr>
              <w:rPr>
                <w:rStyle w:val="InstructionsTabelleberschrift"/>
                <w:rFonts w:ascii="Times New Roman" w:hAnsi="Times New Roman"/>
                <w:color w:val="000000" w:themeColor="text1"/>
                <w:szCs w:val="20"/>
                <w:u w:val="none"/>
              </w:rPr>
            </w:pPr>
            <w:r w:rsidRPr="00E140EE">
              <w:rPr>
                <w:rStyle w:val="InstructionsTabelleberschrift"/>
                <w:rFonts w:ascii="Times New Roman" w:hAnsi="Times New Roman"/>
                <w:color w:val="000000" w:themeColor="text1"/>
                <w:u w:val="none"/>
              </w:rPr>
              <w:t>Vankúš na zachovanie kapitálu</w:t>
            </w:r>
            <w:r w:rsidR="006B669F" w:rsidRPr="00E140EE">
              <w:rPr>
                <w:rStyle w:val="InstructionsTabelleberschrift"/>
                <w:rFonts w:ascii="Times New Roman" w:hAnsi="Times New Roman"/>
                <w:color w:val="000000" w:themeColor="text1"/>
                <w:u w:val="none"/>
              </w:rPr>
              <w:t xml:space="preserve"> z </w:t>
            </w:r>
            <w:r w:rsidRPr="00E140EE">
              <w:rPr>
                <w:rStyle w:val="InstructionsTabelleberschrift"/>
                <w:rFonts w:ascii="Times New Roman" w:hAnsi="Times New Roman"/>
                <w:color w:val="000000" w:themeColor="text1"/>
                <w:u w:val="none"/>
              </w:rPr>
              <w:t>dôvodu makroprudenciálneho alebo systémového rizika identifikovaného na úrovni členského štátu</w:t>
            </w:r>
          </w:p>
          <w:p w:rsidR="005337DD" w:rsidRPr="00E140EE" w:rsidRDefault="005337DD" w:rsidP="00B525EC">
            <w:pPr>
              <w:rPr>
                <w:rStyle w:val="InstructionsTabelleberschrift"/>
                <w:rFonts w:ascii="Times New Roman" w:hAnsi="Times New Roman"/>
                <w:color w:val="000000" w:themeColor="text1"/>
                <w:szCs w:val="20"/>
                <w:u w:val="none"/>
              </w:rPr>
            </w:pPr>
          </w:p>
          <w:p w:rsidR="005337DD" w:rsidRPr="006B669F" w:rsidRDefault="005337DD" w:rsidP="00B525EC">
            <w:pPr>
              <w:rPr>
                <w:rStyle w:val="InstructionsTabelleberschrift"/>
                <w:rFonts w:ascii="Times New Roman" w:hAnsi="Times New Roman"/>
                <w:b w:val="0"/>
                <w:color w:val="000000" w:themeColor="text1"/>
                <w:szCs w:val="20"/>
                <w:u w:val="none"/>
              </w:rPr>
            </w:pPr>
            <w:r w:rsidRPr="006B669F">
              <w:rPr>
                <w:rStyle w:val="InstructionsTabelleberschrift"/>
                <w:rFonts w:ascii="Times New Roman" w:hAnsi="Times New Roman"/>
                <w:b w:val="0"/>
                <w:color w:val="000000" w:themeColor="text1"/>
                <w:u w:val="none"/>
              </w:rPr>
              <w:t>Článok 458 ods. 2 písm. d) bod iv) nariadenia (EÚ) č. 575/2013</w:t>
            </w:r>
          </w:p>
          <w:p w:rsidR="0039780B" w:rsidRPr="006B669F"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sidRPr="006B669F">
              <w:rPr>
                <w:rFonts w:ascii="Times New Roman" w:hAnsi="Times New Roman"/>
                <w:color w:val="000000" w:themeColor="text1"/>
                <w:spacing w:val="-2"/>
                <w:w w:val="95"/>
                <w:sz w:val="20"/>
              </w:rPr>
              <w:t>COREP (OF): {C 04.00;760;010}).</w:t>
            </w:r>
          </w:p>
          <w:p w:rsidR="005337DD" w:rsidRPr="006B669F" w:rsidRDefault="005337DD" w:rsidP="00B525EC">
            <w:pPr>
              <w:pStyle w:val="TableParagraph"/>
              <w:spacing w:before="108"/>
              <w:jc w:val="both"/>
              <w:rPr>
                <w:rFonts w:ascii="Times New Roman" w:hAnsi="Times New Roman" w:cs="Times New Roman"/>
                <w:color w:val="000000" w:themeColor="text1"/>
                <w:sz w:val="20"/>
                <w:szCs w:val="20"/>
              </w:rPr>
            </w:pPr>
            <w:r w:rsidRPr="006B669F">
              <w:rPr>
                <w:rFonts w:ascii="Times New Roman" w:hAnsi="Times New Roman"/>
                <w:color w:val="000000" w:themeColor="text1"/>
                <w:sz w:val="20"/>
              </w:rPr>
              <w:t>V tejto bunke sa vykazuje hodnota vankúša na zachovanie kapitálu</w:t>
            </w:r>
            <w:r w:rsidR="006B669F">
              <w:rPr>
                <w:rFonts w:ascii="Times New Roman" w:hAnsi="Times New Roman"/>
                <w:color w:val="000000" w:themeColor="text1"/>
                <w:sz w:val="20"/>
              </w:rPr>
              <w:t xml:space="preserve"> z </w:t>
            </w:r>
            <w:r w:rsidRPr="006B669F">
              <w:rPr>
                <w:rFonts w:ascii="Times New Roman" w:hAnsi="Times New Roman"/>
                <w:color w:val="000000" w:themeColor="text1"/>
                <w:sz w:val="20"/>
              </w:rPr>
              <w:t>dôvodu makroprudenciálneho alebo systémového rizika identifikovaného na úrovni členského štátu, ktorý sa môže požadovať podľa článku 458 nariadenia (EÚ) č. 575/2013 popri vankúši na zachovanie kapitálu.</w:t>
            </w:r>
          </w:p>
          <w:p w:rsidR="002F55A8" w:rsidRPr="006B669F" w:rsidRDefault="002F55A8" w:rsidP="00B525EC">
            <w:pPr>
              <w:pStyle w:val="TableParagraph"/>
              <w:spacing w:before="108"/>
              <w:jc w:val="both"/>
              <w:rPr>
                <w:rFonts w:ascii="Times New Roman" w:hAnsi="Times New Roman" w:cs="Times New Roman"/>
                <w:color w:val="000000" w:themeColor="text1"/>
                <w:sz w:val="20"/>
                <w:szCs w:val="20"/>
              </w:rPr>
            </w:pPr>
            <w:r w:rsidRPr="006B669F">
              <w:rPr>
                <w:rFonts w:ascii="Times New Roman" w:hAnsi="Times New Roman"/>
                <w:color w:val="000000" w:themeColor="text1"/>
                <w:sz w:val="20"/>
              </w:rPr>
              <w:t>Vykázaná suma predstavuje výšku vlastných zdrojov potrebných na dodržanie príslušných požiadaviek na kapitálový vankúš</w:t>
            </w:r>
            <w:r w:rsidR="006B669F">
              <w:rPr>
                <w:rFonts w:ascii="Times New Roman" w:hAnsi="Times New Roman"/>
                <w:color w:val="000000" w:themeColor="text1"/>
                <w:sz w:val="20"/>
              </w:rPr>
              <w:t xml:space="preserve"> k </w:t>
            </w:r>
            <w:r w:rsidRPr="006B669F">
              <w:rPr>
                <w:rFonts w:ascii="Times New Roman" w:hAnsi="Times New Roman"/>
                <w:color w:val="000000" w:themeColor="text1"/>
                <w:sz w:val="20"/>
              </w:rPr>
              <w:t>dátumu vykazovania.</w:t>
            </w:r>
          </w:p>
          <w:p w:rsidR="005337DD" w:rsidRPr="00E140EE"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6B669F" w:rsidTr="00E54104">
        <w:tc>
          <w:tcPr>
            <w:tcW w:w="749" w:type="dxa"/>
            <w:tcBorders>
              <w:top w:val="single" w:sz="4" w:space="0" w:color="1A171C"/>
              <w:left w:val="nil"/>
              <w:bottom w:val="single" w:sz="4" w:space="0" w:color="1A171C"/>
              <w:right w:val="single" w:sz="4" w:space="0" w:color="1A171C"/>
            </w:tcBorders>
            <w:vAlign w:val="center"/>
          </w:tcPr>
          <w:p w:rsidR="001F7941" w:rsidRPr="006B669F" w:rsidRDefault="001F7941" w:rsidP="00A94CD3">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0430</w:t>
            </w:r>
          </w:p>
        </w:tc>
        <w:tc>
          <w:tcPr>
            <w:tcW w:w="8277" w:type="dxa"/>
            <w:tcBorders>
              <w:top w:val="single" w:sz="4" w:space="0" w:color="1A171C"/>
              <w:left w:val="single" w:sz="4" w:space="0" w:color="1A171C"/>
              <w:bottom w:val="single" w:sz="4" w:space="0" w:color="1A171C"/>
              <w:right w:val="nil"/>
            </w:tcBorders>
            <w:vAlign w:val="center"/>
          </w:tcPr>
          <w:p w:rsidR="006B669F" w:rsidRPr="00E140EE" w:rsidRDefault="001F7941" w:rsidP="00B525EC">
            <w:pPr>
              <w:pStyle w:val="TableParagraph"/>
              <w:spacing w:before="108"/>
              <w:jc w:val="both"/>
              <w:rPr>
                <w:rFonts w:ascii="Times New Roman" w:hAnsi="Times New Roman"/>
                <w:b/>
                <w:color w:val="000000" w:themeColor="text1"/>
                <w:sz w:val="20"/>
              </w:rPr>
            </w:pPr>
            <w:r w:rsidRPr="00E140EE">
              <w:rPr>
                <w:rFonts w:ascii="Times New Roman" w:hAnsi="Times New Roman"/>
                <w:b/>
                <w:color w:val="000000" w:themeColor="text1"/>
                <w:sz w:val="20"/>
              </w:rPr>
              <w:t>Proticyklický kapitálový vankúš špecifický pre inštitúciu</w:t>
            </w:r>
          </w:p>
          <w:p w:rsidR="001F7941" w:rsidRPr="006B669F"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128 bod 2, článok 130</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články 135 – 140 smernice 2013/36/EÚ</w:t>
            </w:r>
          </w:p>
          <w:p w:rsidR="005337DD" w:rsidRPr="006B669F"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[pozri COREP (OF): {C 04.00;770;010}].</w:t>
            </w:r>
          </w:p>
          <w:p w:rsidR="001F7941" w:rsidRPr="006B669F"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z w:val="20"/>
              </w:rPr>
              <w:t>Vykázaná suma predstavuje výšku vlastných zdrojov potrebných na dodržanie príslušných požiadaviek na kapitálový vankúš</w:t>
            </w:r>
            <w:r w:rsidR="006B669F">
              <w:rPr>
                <w:rFonts w:ascii="Times New Roman" w:hAnsi="Times New Roman"/>
                <w:color w:val="000000" w:themeColor="text1"/>
                <w:sz w:val="20"/>
              </w:rPr>
              <w:t xml:space="preserve"> k </w:t>
            </w:r>
            <w:r w:rsidRPr="006B669F">
              <w:rPr>
                <w:rFonts w:ascii="Times New Roman" w:hAnsi="Times New Roman"/>
                <w:color w:val="000000" w:themeColor="text1"/>
                <w:sz w:val="20"/>
              </w:rPr>
              <w:t>dátumu vykazovania.</w:t>
            </w:r>
          </w:p>
        </w:tc>
      </w:tr>
      <w:tr w:rsidR="00D22EB0" w:rsidRPr="006B669F" w:rsidTr="00E54104">
        <w:tc>
          <w:tcPr>
            <w:tcW w:w="749" w:type="dxa"/>
            <w:tcBorders>
              <w:top w:val="single" w:sz="4" w:space="0" w:color="1A171C"/>
              <w:left w:val="nil"/>
              <w:bottom w:val="single" w:sz="4" w:space="0" w:color="1A171C"/>
              <w:right w:val="single" w:sz="4" w:space="0" w:color="1A171C"/>
            </w:tcBorders>
            <w:vAlign w:val="center"/>
          </w:tcPr>
          <w:p w:rsidR="00046CD0" w:rsidRPr="006B669F" w:rsidRDefault="00046CD0" w:rsidP="00A94CD3">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0440</w:t>
            </w:r>
          </w:p>
        </w:tc>
        <w:tc>
          <w:tcPr>
            <w:tcW w:w="8277" w:type="dxa"/>
            <w:tcBorders>
              <w:top w:val="single" w:sz="4" w:space="0" w:color="1A171C"/>
              <w:left w:val="single" w:sz="4" w:space="0" w:color="1A171C"/>
              <w:bottom w:val="single" w:sz="4" w:space="0" w:color="1A171C"/>
              <w:right w:val="nil"/>
            </w:tcBorders>
            <w:vAlign w:val="center"/>
          </w:tcPr>
          <w:p w:rsidR="00046CD0" w:rsidRPr="00E140EE" w:rsidRDefault="00046CD0" w:rsidP="00B525EC">
            <w:pPr>
              <w:pStyle w:val="TableParagraph"/>
              <w:spacing w:before="108"/>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Vankúš na krytie systémového rizika</w:t>
            </w:r>
          </w:p>
          <w:p w:rsidR="00046CD0" w:rsidRPr="006B669F"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128 bod 5</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články 133</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134 smernice 2013/36/EÚ</w:t>
            </w:r>
          </w:p>
          <w:p w:rsidR="005337DD" w:rsidRPr="006B669F"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[pozri COREP (OF): {C 04.00;780;010}].</w:t>
            </w:r>
          </w:p>
          <w:p w:rsidR="00046CD0" w:rsidRPr="006B669F"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z w:val="20"/>
              </w:rPr>
              <w:t>Vykázaná suma predstavuje výšku vlastných zdrojov potrebných na dodržanie príslušných požiadaviek na kapitálový vankúš</w:t>
            </w:r>
            <w:r w:rsidR="006B669F">
              <w:rPr>
                <w:rFonts w:ascii="Times New Roman" w:hAnsi="Times New Roman"/>
                <w:color w:val="000000" w:themeColor="text1"/>
                <w:sz w:val="20"/>
              </w:rPr>
              <w:t xml:space="preserve"> k </w:t>
            </w:r>
            <w:r w:rsidRPr="006B669F">
              <w:rPr>
                <w:rFonts w:ascii="Times New Roman" w:hAnsi="Times New Roman"/>
                <w:color w:val="000000" w:themeColor="text1"/>
                <w:sz w:val="20"/>
              </w:rPr>
              <w:t>dátumu vykazovania.</w:t>
            </w:r>
          </w:p>
        </w:tc>
      </w:tr>
      <w:tr w:rsidR="00D22EB0" w:rsidRPr="006B669F" w:rsidTr="00E54104">
        <w:tc>
          <w:tcPr>
            <w:tcW w:w="749" w:type="dxa"/>
            <w:tcBorders>
              <w:top w:val="single" w:sz="4" w:space="0" w:color="1A171C"/>
              <w:left w:val="nil"/>
              <w:bottom w:val="single" w:sz="4" w:space="0" w:color="1A171C"/>
              <w:right w:val="single" w:sz="4" w:space="0" w:color="1A171C"/>
            </w:tcBorders>
            <w:vAlign w:val="center"/>
          </w:tcPr>
          <w:p w:rsidR="00046CD0" w:rsidRPr="006B669F" w:rsidRDefault="00046CD0" w:rsidP="00331567">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0450</w:t>
            </w:r>
          </w:p>
        </w:tc>
        <w:tc>
          <w:tcPr>
            <w:tcW w:w="8277" w:type="dxa"/>
            <w:tcBorders>
              <w:top w:val="single" w:sz="4" w:space="0" w:color="1A171C"/>
              <w:left w:val="single" w:sz="4" w:space="0" w:color="1A171C"/>
              <w:bottom w:val="single" w:sz="4" w:space="0" w:color="1A171C"/>
              <w:right w:val="nil"/>
            </w:tcBorders>
            <w:vAlign w:val="center"/>
          </w:tcPr>
          <w:p w:rsidR="00046CD0" w:rsidRPr="00E140EE" w:rsidRDefault="00046CD0" w:rsidP="00B525EC">
            <w:pPr>
              <w:pStyle w:val="TableParagraph"/>
              <w:spacing w:before="108"/>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Vankúš pre globálne systémovo významné inštitúcie</w:t>
            </w:r>
          </w:p>
          <w:p w:rsidR="00046CD0" w:rsidRPr="006B669F"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128 bod 3</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článok 131 smernice 2013/36/EÚ</w:t>
            </w:r>
          </w:p>
          <w:p w:rsidR="002F55A8" w:rsidRPr="006B669F"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COREP (OF): {C 04.00;800;010}</w:t>
            </w:r>
          </w:p>
          <w:p w:rsidR="00046CD0" w:rsidRPr="006B669F"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z w:val="20"/>
              </w:rPr>
              <w:t>Vykázaná suma predstavuje výšku vlastných zdrojov potrebných na dodržanie príslušných požiadaviek na kapitálový vankúš</w:t>
            </w:r>
            <w:r w:rsidR="006B669F">
              <w:rPr>
                <w:rFonts w:ascii="Times New Roman" w:hAnsi="Times New Roman"/>
                <w:color w:val="000000" w:themeColor="text1"/>
                <w:sz w:val="20"/>
              </w:rPr>
              <w:t xml:space="preserve"> k </w:t>
            </w:r>
            <w:r w:rsidRPr="006B669F">
              <w:rPr>
                <w:rFonts w:ascii="Times New Roman" w:hAnsi="Times New Roman"/>
                <w:color w:val="000000" w:themeColor="text1"/>
                <w:sz w:val="20"/>
              </w:rPr>
              <w:t>dátumu vykazovania.</w:t>
            </w:r>
          </w:p>
        </w:tc>
      </w:tr>
      <w:tr w:rsidR="00D22EB0" w:rsidRPr="006B669F" w:rsidTr="00E54104">
        <w:tc>
          <w:tcPr>
            <w:tcW w:w="749" w:type="dxa"/>
            <w:tcBorders>
              <w:top w:val="single" w:sz="4" w:space="0" w:color="1A171C"/>
              <w:left w:val="nil"/>
              <w:bottom w:val="single" w:sz="4" w:space="0" w:color="1A171C"/>
              <w:right w:val="single" w:sz="4" w:space="0" w:color="1A171C"/>
            </w:tcBorders>
            <w:vAlign w:val="center"/>
          </w:tcPr>
          <w:p w:rsidR="00046CD0" w:rsidRPr="006B669F" w:rsidRDefault="00046CD0" w:rsidP="00331567">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0460</w:t>
            </w:r>
          </w:p>
        </w:tc>
        <w:tc>
          <w:tcPr>
            <w:tcW w:w="8277" w:type="dxa"/>
            <w:tcBorders>
              <w:top w:val="single" w:sz="4" w:space="0" w:color="1A171C"/>
              <w:left w:val="single" w:sz="4" w:space="0" w:color="1A171C"/>
              <w:bottom w:val="single" w:sz="4" w:space="0" w:color="1A171C"/>
              <w:right w:val="nil"/>
            </w:tcBorders>
            <w:vAlign w:val="center"/>
          </w:tcPr>
          <w:p w:rsidR="00046CD0" w:rsidRPr="00E140EE" w:rsidRDefault="00046CD0" w:rsidP="00B525EC">
            <w:pPr>
              <w:pStyle w:val="TableParagraph"/>
              <w:spacing w:before="108"/>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Vankúš pre inak systémovo významné inštitúcie</w:t>
            </w:r>
          </w:p>
          <w:p w:rsidR="00046CD0" w:rsidRPr="006B669F"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128 bod 4</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článok 131 smernice 2013/36/EÚ</w:t>
            </w:r>
          </w:p>
          <w:p w:rsidR="0039780B" w:rsidRPr="006B669F"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COREP (OF): {C 04.00;810;010}</w:t>
            </w:r>
          </w:p>
          <w:p w:rsidR="00046CD0" w:rsidRPr="006B669F"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z w:val="20"/>
              </w:rPr>
              <w:t>Vykázaná suma predstavuje výšku vlastných zdrojov potrebných na dodržanie príslušných požiadaviek na kapitálový vankúš</w:t>
            </w:r>
            <w:r w:rsidR="006B669F">
              <w:rPr>
                <w:rFonts w:ascii="Times New Roman" w:hAnsi="Times New Roman"/>
                <w:color w:val="000000" w:themeColor="text1"/>
                <w:sz w:val="20"/>
              </w:rPr>
              <w:t xml:space="preserve"> k </w:t>
            </w:r>
            <w:r w:rsidRPr="006B669F">
              <w:rPr>
                <w:rFonts w:ascii="Times New Roman" w:hAnsi="Times New Roman"/>
                <w:color w:val="000000" w:themeColor="text1"/>
                <w:sz w:val="20"/>
              </w:rPr>
              <w:t>dátumu vykazovania.</w:t>
            </w:r>
          </w:p>
        </w:tc>
      </w:tr>
      <w:tr w:rsidR="00D22EB0" w:rsidRPr="006B669F" w:rsidTr="00E54104">
        <w:tc>
          <w:tcPr>
            <w:tcW w:w="749" w:type="dxa"/>
            <w:tcBorders>
              <w:top w:val="single" w:sz="4" w:space="0" w:color="1A171C"/>
              <w:left w:val="nil"/>
              <w:bottom w:val="single" w:sz="4" w:space="0" w:color="1A171C"/>
              <w:right w:val="single" w:sz="4" w:space="0" w:color="1A171C"/>
            </w:tcBorders>
            <w:vAlign w:val="center"/>
          </w:tcPr>
          <w:p w:rsidR="007E7CB4" w:rsidRPr="006B669F" w:rsidRDefault="005C514D" w:rsidP="001C68A5">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0500</w:t>
            </w:r>
          </w:p>
        </w:tc>
        <w:tc>
          <w:tcPr>
            <w:tcW w:w="8277" w:type="dxa"/>
            <w:tcBorders>
              <w:top w:val="single" w:sz="4" w:space="0" w:color="1A171C"/>
              <w:left w:val="single" w:sz="4" w:space="0" w:color="1A171C"/>
              <w:bottom w:val="single" w:sz="4" w:space="0" w:color="1A171C"/>
              <w:right w:val="nil"/>
            </w:tcBorders>
            <w:vAlign w:val="center"/>
          </w:tcPr>
          <w:p w:rsidR="007E7CB4" w:rsidRPr="00E140EE" w:rsidRDefault="005C514D" w:rsidP="00B525EC">
            <w:pPr>
              <w:pStyle w:val="TableParagraph"/>
              <w:spacing w:before="108"/>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Podiel celkovej kapitálovej požiadavky (OCR)</w:t>
            </w:r>
          </w:p>
          <w:p w:rsidR="00B4561B" w:rsidRPr="006B669F"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COREP (OF): {C 03.00;160;010}</w:t>
            </w:r>
          </w:p>
          <w:p w:rsidR="00B77E4E" w:rsidRPr="00D02019" w:rsidRDefault="00B77E4E" w:rsidP="00E140EE">
            <w:pPr>
              <w:pStyle w:val="InstructionsText"/>
            </w:pPr>
            <w:r w:rsidRPr="00D02019">
              <w:t>Súčet nasledujúcich bodov i)</w:t>
            </w:r>
            <w:r w:rsidR="006B669F" w:rsidRPr="00D02019">
              <w:t xml:space="preserve"> a </w:t>
            </w:r>
            <w:r w:rsidRPr="00D02019">
              <w:t>ii):</w:t>
            </w:r>
          </w:p>
          <w:p w:rsidR="00B77E4E" w:rsidRPr="00D02019" w:rsidRDefault="00B77E4E" w:rsidP="00E140EE">
            <w:pPr>
              <w:pStyle w:val="InstructionsText"/>
              <w:numPr>
                <w:ilvl w:val="0"/>
                <w:numId w:val="55"/>
              </w:numPr>
            </w:pPr>
            <w:r w:rsidRPr="00D02019">
              <w:t>podiel požiadavky podľa SREP (TSCR) uvedený</w:t>
            </w:r>
            <w:r w:rsidR="006B669F" w:rsidRPr="00D02019">
              <w:t xml:space="preserve"> v </w:t>
            </w:r>
            <w:r w:rsidRPr="00D02019">
              <w:t>riadku 0300;</w:t>
            </w:r>
          </w:p>
          <w:p w:rsidR="00B77E4E" w:rsidRPr="00D02019" w:rsidRDefault="00B77E4E" w:rsidP="00E140EE">
            <w:pPr>
              <w:pStyle w:val="InstructionsText"/>
              <w:numPr>
                <w:ilvl w:val="0"/>
                <w:numId w:val="55"/>
              </w:numPr>
            </w:pPr>
            <w:r w:rsidRPr="00D02019">
              <w:t>v rozsahu,</w:t>
            </w:r>
            <w:r w:rsidR="006B669F" w:rsidRPr="00D02019">
              <w:t xml:space="preserve"> v </w:t>
            </w:r>
            <w:r w:rsidRPr="00D02019">
              <w:t>akom je to právne uplatniteľné, podiel požiadavky na kombinovaný vankúš podľa článku 128 bodu 6 smernice 2013/36/EÚ.</w:t>
            </w:r>
          </w:p>
          <w:p w:rsidR="00B77E4E" w:rsidRPr="00D02019" w:rsidRDefault="00B77E4E" w:rsidP="00E140EE">
            <w:pPr>
              <w:pStyle w:val="InstructionsText"/>
            </w:pPr>
            <w:r w:rsidRPr="00D02019">
              <w:t>V tejto položke sa odzrkadľuje podiel celkovej kapitálovej požiadavky (OCR) podľa vymedzenia</w:t>
            </w:r>
            <w:r w:rsidR="006B669F" w:rsidRPr="00D02019">
              <w:t xml:space="preserve"> v </w:t>
            </w:r>
            <w:r w:rsidRPr="00D02019">
              <w:t>oddiele 1.2 usmernení EBA podľa SREP.</w:t>
            </w:r>
          </w:p>
          <w:p w:rsidR="00B77E4E" w:rsidRPr="00E140EE" w:rsidRDefault="00B77E4E" w:rsidP="00B525EC">
            <w:pPr>
              <w:pStyle w:val="TableParagraph"/>
              <w:spacing w:before="108"/>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z w:val="20"/>
              </w:rPr>
              <w:t>Ak sa neuplatňuje žiadna požiadavka na vankúš, vykazuje sa iba bod i).</w:t>
            </w:r>
          </w:p>
        </w:tc>
      </w:tr>
      <w:tr w:rsidR="00D22EB0" w:rsidRPr="006B669F" w:rsidTr="00E54104">
        <w:tc>
          <w:tcPr>
            <w:tcW w:w="749" w:type="dxa"/>
            <w:tcBorders>
              <w:top w:val="single" w:sz="4" w:space="0" w:color="1A171C"/>
              <w:left w:val="nil"/>
              <w:bottom w:val="single" w:sz="4" w:space="0" w:color="1A171C"/>
              <w:right w:val="single" w:sz="4" w:space="0" w:color="1A171C"/>
            </w:tcBorders>
            <w:vAlign w:val="center"/>
          </w:tcPr>
          <w:p w:rsidR="004E1838" w:rsidRPr="006B669F" w:rsidRDefault="004E1838" w:rsidP="001C68A5">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0510</w:t>
            </w:r>
          </w:p>
        </w:tc>
        <w:tc>
          <w:tcPr>
            <w:tcW w:w="8277" w:type="dxa"/>
            <w:tcBorders>
              <w:top w:val="single" w:sz="4" w:space="0" w:color="1A171C"/>
              <w:left w:val="single" w:sz="4" w:space="0" w:color="1A171C"/>
              <w:bottom w:val="single" w:sz="4" w:space="0" w:color="1A171C"/>
              <w:right w:val="nil"/>
            </w:tcBorders>
            <w:vAlign w:val="center"/>
          </w:tcPr>
          <w:p w:rsidR="004E1838" w:rsidRPr="00E140EE" w:rsidRDefault="004E1838" w:rsidP="00B525EC">
            <w:pPr>
              <w:pStyle w:val="TableParagraph"/>
              <w:spacing w:before="108"/>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 xml:space="preserve">   Celková kapitálová požiadavka: zložená</w:t>
            </w:r>
            <w:r w:rsidR="006B669F" w:rsidRPr="00E140EE">
              <w:rPr>
                <w:rFonts w:ascii="Times New Roman" w:hAnsi="Times New Roman"/>
                <w:b/>
                <w:color w:val="000000" w:themeColor="text1"/>
                <w:sz w:val="20"/>
              </w:rPr>
              <w:t xml:space="preserve"> z </w:t>
            </w:r>
            <w:r w:rsidRPr="00E140EE">
              <w:rPr>
                <w:rFonts w:ascii="Times New Roman" w:hAnsi="Times New Roman"/>
                <w:b/>
                <w:color w:val="000000" w:themeColor="text1"/>
                <w:sz w:val="20"/>
              </w:rPr>
              <w:t>kapitálu CET1</w:t>
            </w:r>
          </w:p>
          <w:p w:rsidR="004E1838" w:rsidRPr="006B669F"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COREP (OF): {C 03.00;170;010}</w:t>
            </w:r>
          </w:p>
          <w:p w:rsidR="004E1838" w:rsidRPr="00D02019" w:rsidRDefault="004E1838" w:rsidP="00E140EE">
            <w:pPr>
              <w:pStyle w:val="InstructionsText"/>
            </w:pPr>
            <w:r w:rsidRPr="00D02019">
              <w:t>Súčet nasledujúcich bodov i)</w:t>
            </w:r>
            <w:r w:rsidR="006B669F" w:rsidRPr="00D02019">
              <w:t xml:space="preserve"> a </w:t>
            </w:r>
            <w:r w:rsidRPr="00D02019">
              <w:t>ii):</w:t>
            </w:r>
          </w:p>
          <w:p w:rsidR="004E1838" w:rsidRPr="00D02019" w:rsidRDefault="004E1838" w:rsidP="00E140EE">
            <w:pPr>
              <w:pStyle w:val="InstructionsText"/>
              <w:numPr>
                <w:ilvl w:val="0"/>
                <w:numId w:val="56"/>
              </w:numPr>
            </w:pPr>
            <w:r w:rsidRPr="00D02019">
              <w:t>podiel požiadavky podľa SREP (TSCR) zložený</w:t>
            </w:r>
            <w:r w:rsidR="006B669F" w:rsidRPr="00D02019">
              <w:t xml:space="preserve"> z </w:t>
            </w:r>
            <w:r w:rsidRPr="00D02019">
              <w:t>kapitálu CET1 uvedený</w:t>
            </w:r>
            <w:r w:rsidR="006B669F" w:rsidRPr="00D02019">
              <w:t xml:space="preserve"> v </w:t>
            </w:r>
            <w:r w:rsidRPr="00D02019">
              <w:t>riadku 0310;</w:t>
            </w:r>
          </w:p>
          <w:p w:rsidR="004E1838" w:rsidRPr="00310799" w:rsidRDefault="004E1838" w:rsidP="00E140EE">
            <w:pPr>
              <w:pStyle w:val="InstructionsText"/>
              <w:numPr>
                <w:ilvl w:val="0"/>
                <w:numId w:val="56"/>
              </w:numPr>
              <w:rPr>
                <w:bCs/>
                <w:u w:val="single"/>
              </w:rPr>
            </w:pPr>
            <w:r w:rsidRPr="00D02019">
              <w:t>v rozsahu,</w:t>
            </w:r>
            <w:r w:rsidR="006B669F" w:rsidRPr="00D02019">
              <w:t xml:space="preserve"> v </w:t>
            </w:r>
            <w:r w:rsidRPr="00D02019">
              <w:t>akom je to právne uplatniteľné, podiel požiadavky na kombinovaný vankúš podľa článku 128 bodu 6 smernice 2013/36/EÚ.</w:t>
            </w:r>
          </w:p>
          <w:p w:rsidR="004E1838" w:rsidRPr="00E140EE" w:rsidRDefault="004E1838" w:rsidP="00B525EC">
            <w:pPr>
              <w:pStyle w:val="TableParagraph"/>
              <w:spacing w:before="108"/>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z w:val="20"/>
              </w:rPr>
              <w:t>Ak sa neuplatňuje žiadna požiadavka na vankúš, vykazuje sa iba bod i).</w:t>
            </w:r>
          </w:p>
        </w:tc>
      </w:tr>
      <w:tr w:rsidR="00D22EB0" w:rsidRPr="006B669F" w:rsidTr="00E54104">
        <w:tc>
          <w:tcPr>
            <w:tcW w:w="749" w:type="dxa"/>
            <w:tcBorders>
              <w:top w:val="single" w:sz="4" w:space="0" w:color="1A171C"/>
              <w:left w:val="nil"/>
              <w:bottom w:val="single" w:sz="4" w:space="0" w:color="1A171C"/>
              <w:right w:val="single" w:sz="4" w:space="0" w:color="1A171C"/>
            </w:tcBorders>
            <w:vAlign w:val="center"/>
          </w:tcPr>
          <w:p w:rsidR="004E1838" w:rsidRPr="006B669F" w:rsidRDefault="004E1838" w:rsidP="001C68A5">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0520</w:t>
            </w:r>
          </w:p>
        </w:tc>
        <w:tc>
          <w:tcPr>
            <w:tcW w:w="8277" w:type="dxa"/>
            <w:tcBorders>
              <w:top w:val="single" w:sz="4" w:space="0" w:color="1A171C"/>
              <w:left w:val="single" w:sz="4" w:space="0" w:color="1A171C"/>
              <w:bottom w:val="single" w:sz="4" w:space="0" w:color="1A171C"/>
              <w:right w:val="nil"/>
            </w:tcBorders>
            <w:vAlign w:val="center"/>
          </w:tcPr>
          <w:p w:rsidR="004E1838" w:rsidRPr="00E140EE" w:rsidRDefault="004E1838" w:rsidP="00B525EC">
            <w:pPr>
              <w:pStyle w:val="TableParagraph"/>
              <w:spacing w:before="108"/>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 xml:space="preserve">   Celková kapitálová požiadavka: zložená</w:t>
            </w:r>
            <w:r w:rsidR="006B669F" w:rsidRPr="00E140EE">
              <w:rPr>
                <w:rFonts w:ascii="Times New Roman" w:hAnsi="Times New Roman"/>
                <w:b/>
                <w:color w:val="000000" w:themeColor="text1"/>
                <w:sz w:val="20"/>
              </w:rPr>
              <w:t xml:space="preserve"> z </w:t>
            </w:r>
            <w:r w:rsidRPr="00E140EE">
              <w:rPr>
                <w:rFonts w:ascii="Times New Roman" w:hAnsi="Times New Roman"/>
                <w:b/>
                <w:color w:val="000000" w:themeColor="text1"/>
                <w:sz w:val="20"/>
              </w:rPr>
              <w:t>kapitálu Tier 1</w:t>
            </w:r>
          </w:p>
          <w:p w:rsidR="004E1838" w:rsidRPr="006B669F"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COREP (OF): {C 03.00;180;010}</w:t>
            </w:r>
          </w:p>
          <w:p w:rsidR="004E1838" w:rsidRPr="00D02019" w:rsidRDefault="004E1838" w:rsidP="00E140EE">
            <w:pPr>
              <w:pStyle w:val="InstructionsText"/>
            </w:pPr>
            <w:r w:rsidRPr="00D02019">
              <w:t>Súčet nasledujúcich bodov i)</w:t>
            </w:r>
            <w:r w:rsidR="006B669F" w:rsidRPr="00D02019">
              <w:t xml:space="preserve"> a </w:t>
            </w:r>
            <w:r w:rsidRPr="00D02019">
              <w:t>ii):</w:t>
            </w:r>
          </w:p>
          <w:p w:rsidR="004E1838" w:rsidRPr="00D02019" w:rsidRDefault="004E1838" w:rsidP="00E140EE">
            <w:pPr>
              <w:pStyle w:val="InstructionsText"/>
              <w:numPr>
                <w:ilvl w:val="0"/>
                <w:numId w:val="57"/>
              </w:numPr>
            </w:pPr>
            <w:r w:rsidRPr="00D02019">
              <w:t>podiel požiadavky podľa SREP (TSCR) zložený</w:t>
            </w:r>
            <w:r w:rsidR="006B669F" w:rsidRPr="00D02019">
              <w:t xml:space="preserve"> z </w:t>
            </w:r>
            <w:r w:rsidRPr="00D02019">
              <w:t>kapitálu Tier 1 uvedený</w:t>
            </w:r>
            <w:r w:rsidR="006B669F" w:rsidRPr="00D02019">
              <w:t xml:space="preserve"> v </w:t>
            </w:r>
            <w:r w:rsidRPr="00D02019">
              <w:t>riadku 0320;</w:t>
            </w:r>
          </w:p>
          <w:p w:rsidR="004E1838" w:rsidRPr="00310799" w:rsidRDefault="004E1838" w:rsidP="00E140EE">
            <w:pPr>
              <w:pStyle w:val="InstructionsText"/>
              <w:numPr>
                <w:ilvl w:val="0"/>
                <w:numId w:val="57"/>
              </w:numPr>
              <w:rPr>
                <w:bCs/>
                <w:u w:val="single"/>
              </w:rPr>
            </w:pPr>
            <w:r w:rsidRPr="00D02019">
              <w:t>v rozsahu,</w:t>
            </w:r>
            <w:r w:rsidR="006B669F" w:rsidRPr="00D02019">
              <w:t xml:space="preserve"> v </w:t>
            </w:r>
            <w:r w:rsidRPr="00D02019">
              <w:t>akom je to právne uplatniteľné, podiel požiadavky na kombinovaný vankúš podľa článku 128 bodu 6 smernice 2013/36/EÚ.</w:t>
            </w:r>
          </w:p>
          <w:p w:rsidR="004E1838" w:rsidRPr="00E140EE" w:rsidRDefault="004E1838" w:rsidP="00B525EC">
            <w:pPr>
              <w:pStyle w:val="TableParagraph"/>
              <w:spacing w:before="108"/>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z w:val="20"/>
              </w:rPr>
              <w:t>Ak sa neuplatňuje žiadna požiadavka na vankúš, vykazuje sa iba bod i).</w:t>
            </w:r>
          </w:p>
        </w:tc>
      </w:tr>
      <w:tr w:rsidR="00D22EB0" w:rsidRPr="006B669F" w:rsidTr="00E54104">
        <w:tc>
          <w:tcPr>
            <w:tcW w:w="749" w:type="dxa"/>
            <w:tcBorders>
              <w:top w:val="single" w:sz="4" w:space="0" w:color="1A171C"/>
              <w:left w:val="nil"/>
              <w:bottom w:val="single" w:sz="4" w:space="0" w:color="1A171C"/>
              <w:right w:val="single" w:sz="4" w:space="0" w:color="1A171C"/>
            </w:tcBorders>
            <w:vAlign w:val="center"/>
          </w:tcPr>
          <w:p w:rsidR="00FE3E96" w:rsidRPr="006B669F" w:rsidRDefault="00B27F8F" w:rsidP="001C68A5">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0600</w:t>
            </w:r>
          </w:p>
        </w:tc>
        <w:tc>
          <w:tcPr>
            <w:tcW w:w="8277" w:type="dxa"/>
            <w:tcBorders>
              <w:top w:val="single" w:sz="4" w:space="0" w:color="1A171C"/>
              <w:left w:val="single" w:sz="4" w:space="0" w:color="1A171C"/>
              <w:bottom w:val="single" w:sz="4" w:space="0" w:color="1A171C"/>
              <w:right w:val="nil"/>
            </w:tcBorders>
            <w:vAlign w:val="center"/>
          </w:tcPr>
          <w:p w:rsidR="00B27F8F" w:rsidRPr="00E140EE" w:rsidRDefault="00B27F8F" w:rsidP="00B525EC">
            <w:pPr>
              <w:pStyle w:val="TableParagraph"/>
              <w:spacing w:before="108"/>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Usmernenie</w:t>
            </w:r>
            <w:r w:rsidR="006B669F" w:rsidRPr="00E140EE">
              <w:rPr>
                <w:rFonts w:ascii="Times New Roman" w:hAnsi="Times New Roman"/>
                <w:b/>
                <w:color w:val="000000" w:themeColor="text1"/>
                <w:sz w:val="20"/>
              </w:rPr>
              <w:t xml:space="preserve"> o </w:t>
            </w:r>
            <w:r w:rsidRPr="00E140EE">
              <w:rPr>
                <w:rFonts w:ascii="Times New Roman" w:hAnsi="Times New Roman"/>
                <w:b/>
                <w:color w:val="000000" w:themeColor="text1"/>
                <w:sz w:val="20"/>
              </w:rPr>
              <w:t>celkovej kapitálovej požiadavke</w:t>
            </w:r>
            <w:r w:rsidR="006B669F" w:rsidRPr="00E140EE">
              <w:rPr>
                <w:rFonts w:ascii="Times New Roman" w:hAnsi="Times New Roman"/>
                <w:b/>
                <w:color w:val="000000" w:themeColor="text1"/>
                <w:sz w:val="20"/>
              </w:rPr>
              <w:t xml:space="preserve"> a </w:t>
            </w:r>
            <w:r w:rsidRPr="00E140EE">
              <w:rPr>
                <w:rFonts w:ascii="Times New Roman" w:hAnsi="Times New Roman"/>
                <w:b/>
                <w:color w:val="000000" w:themeColor="text1"/>
                <w:sz w:val="20"/>
              </w:rPr>
              <w:t>usmernenie pre pilier 2 (P2G)</w:t>
            </w:r>
          </w:p>
          <w:p w:rsidR="00B27F8F" w:rsidRPr="006B669F"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COREP (OF): {C 03.00;190;010}</w:t>
            </w:r>
          </w:p>
          <w:p w:rsidR="00B27F8F" w:rsidRPr="00E140EE" w:rsidRDefault="00B27F8F" w:rsidP="00E140EE">
            <w:pPr>
              <w:pStyle w:val="InstructionsText"/>
            </w:pPr>
            <w:r w:rsidRPr="00E140EE">
              <w:t>Súčet nasledujúcich bodov i)</w:t>
            </w:r>
            <w:r w:rsidR="006B669F" w:rsidRPr="00E140EE">
              <w:t xml:space="preserve"> a </w:t>
            </w:r>
            <w:r w:rsidRPr="00E140EE">
              <w:t>ii):</w:t>
            </w:r>
          </w:p>
          <w:p w:rsidR="00B27F8F" w:rsidRPr="00E140EE" w:rsidRDefault="00B27F8F" w:rsidP="00E140EE">
            <w:pPr>
              <w:pStyle w:val="InstructionsText"/>
              <w:numPr>
                <w:ilvl w:val="0"/>
                <w:numId w:val="58"/>
              </w:numPr>
            </w:pPr>
            <w:r w:rsidRPr="00E140EE">
              <w:t>podiel celkovej kapitálovej požiadavky uvedený</w:t>
            </w:r>
            <w:r w:rsidR="006B669F" w:rsidRPr="00E140EE">
              <w:t xml:space="preserve"> v </w:t>
            </w:r>
            <w:r w:rsidRPr="00E140EE">
              <w:t>riadku 0500;</w:t>
            </w:r>
          </w:p>
          <w:p w:rsidR="00B27F8F" w:rsidRPr="00310799" w:rsidRDefault="00B27F8F" w:rsidP="00E140EE">
            <w:pPr>
              <w:pStyle w:val="InstructionsText"/>
              <w:numPr>
                <w:ilvl w:val="0"/>
                <w:numId w:val="58"/>
              </w:numPr>
              <w:rPr>
                <w:bCs/>
                <w:u w:val="single"/>
              </w:rPr>
            </w:pPr>
            <w:r w:rsidRPr="00E140EE">
              <w:t>podľa potreby usmernenie pre pilier 2 (P2G) vymedzený</w:t>
            </w:r>
            <w:r w:rsidR="006B669F" w:rsidRPr="00E140EE">
              <w:t xml:space="preserve"> v </w:t>
            </w:r>
            <w:r w:rsidRPr="00E140EE">
              <w:t>usmerneniach EBA podľa SREP. P2G zahŕňa, iba ak to príslušný orgán oznámil inštitúcii.</w:t>
            </w:r>
          </w:p>
          <w:p w:rsidR="00FE3E96" w:rsidRPr="006B669F"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z w:val="20"/>
              </w:rPr>
              <w:t>Ak príslušný orgán neoznámil žiadny P2G, potom sa vykáže iba bod i).</w:t>
            </w:r>
          </w:p>
        </w:tc>
      </w:tr>
      <w:tr w:rsidR="00D22EB0" w:rsidRPr="006B669F" w:rsidTr="00E54104">
        <w:tc>
          <w:tcPr>
            <w:tcW w:w="749" w:type="dxa"/>
            <w:tcBorders>
              <w:top w:val="single" w:sz="4" w:space="0" w:color="1A171C"/>
              <w:left w:val="nil"/>
              <w:bottom w:val="single" w:sz="4" w:space="0" w:color="1A171C"/>
              <w:right w:val="single" w:sz="4" w:space="0" w:color="1A171C"/>
            </w:tcBorders>
            <w:vAlign w:val="center"/>
          </w:tcPr>
          <w:p w:rsidR="00FE3E96" w:rsidRPr="006B669F" w:rsidRDefault="004B50C4" w:rsidP="001C68A5">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0610</w:t>
            </w:r>
          </w:p>
        </w:tc>
        <w:tc>
          <w:tcPr>
            <w:tcW w:w="8277" w:type="dxa"/>
            <w:tcBorders>
              <w:top w:val="single" w:sz="4" w:space="0" w:color="1A171C"/>
              <w:left w:val="single" w:sz="4" w:space="0" w:color="1A171C"/>
              <w:bottom w:val="single" w:sz="4" w:space="0" w:color="1A171C"/>
              <w:right w:val="nil"/>
            </w:tcBorders>
            <w:vAlign w:val="center"/>
          </w:tcPr>
          <w:p w:rsidR="00FE3E96" w:rsidRPr="00E140EE" w:rsidRDefault="00B27F8F" w:rsidP="00B525EC">
            <w:pPr>
              <w:pStyle w:val="TableParagraph"/>
              <w:spacing w:before="108"/>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Celková kapitálová požiadavka: zložená</w:t>
            </w:r>
            <w:r w:rsidR="006B669F" w:rsidRPr="00E140EE">
              <w:rPr>
                <w:rFonts w:ascii="Times New Roman" w:hAnsi="Times New Roman"/>
                <w:b/>
                <w:color w:val="000000" w:themeColor="text1"/>
                <w:sz w:val="20"/>
              </w:rPr>
              <w:t xml:space="preserve"> z </w:t>
            </w:r>
            <w:r w:rsidRPr="00E140EE">
              <w:rPr>
                <w:rFonts w:ascii="Times New Roman" w:hAnsi="Times New Roman"/>
                <w:b/>
                <w:color w:val="000000" w:themeColor="text1"/>
                <w:sz w:val="20"/>
              </w:rPr>
              <w:t>kapitálu CET1</w:t>
            </w:r>
          </w:p>
          <w:p w:rsidR="00B27F8F" w:rsidRPr="006B669F"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COREP (OF): {C 03.00;200;010}</w:t>
            </w:r>
          </w:p>
          <w:p w:rsidR="00B27F8F" w:rsidRPr="006B669F" w:rsidRDefault="00B27F8F" w:rsidP="00E140EE">
            <w:pPr>
              <w:pStyle w:val="InstructionsText"/>
            </w:pPr>
            <w:r w:rsidRPr="006B669F">
              <w:t>Súčet nasledujúcich bodov i)</w:t>
            </w:r>
            <w:r w:rsidR="006B669F">
              <w:t xml:space="preserve"> a </w:t>
            </w:r>
            <w:r w:rsidRPr="006B669F">
              <w:t>ii):</w:t>
            </w:r>
          </w:p>
          <w:p w:rsidR="00B27F8F" w:rsidRPr="006B669F" w:rsidRDefault="00B27F8F" w:rsidP="00E140EE">
            <w:pPr>
              <w:pStyle w:val="InstructionsText"/>
              <w:numPr>
                <w:ilvl w:val="0"/>
                <w:numId w:val="59"/>
              </w:numPr>
            </w:pPr>
            <w:r w:rsidRPr="006B669F">
              <w:t>podiel celkovej kapitálovej požiadavky zložený</w:t>
            </w:r>
            <w:r w:rsidR="006B669F">
              <w:t xml:space="preserve"> z </w:t>
            </w:r>
            <w:r w:rsidRPr="006B669F">
              <w:t>kapitálu CET1 uvedený</w:t>
            </w:r>
            <w:r w:rsidR="006B669F">
              <w:t xml:space="preserve"> v </w:t>
            </w:r>
            <w:r w:rsidRPr="006B669F">
              <w:t>riadku 0520;</w:t>
            </w:r>
          </w:p>
          <w:p w:rsidR="00B27F8F" w:rsidRPr="00310799" w:rsidRDefault="00B27F8F" w:rsidP="00E140EE">
            <w:pPr>
              <w:pStyle w:val="InstructionsText"/>
              <w:numPr>
                <w:ilvl w:val="0"/>
                <w:numId w:val="59"/>
              </w:numPr>
              <w:rPr>
                <w:bCs/>
                <w:u w:val="single"/>
              </w:rPr>
            </w:pPr>
            <w:r w:rsidRPr="006B669F">
              <w:t>podľa potreby časť P2G uvedená</w:t>
            </w:r>
            <w:r w:rsidR="006B669F">
              <w:t xml:space="preserve"> v </w:t>
            </w:r>
            <w:r w:rsidRPr="006B669F">
              <w:t>riadku 0600 bode ii),</w:t>
            </w:r>
            <w:r w:rsidR="006B669F">
              <w:t xml:space="preserve"> v </w:t>
            </w:r>
            <w:r w:rsidRPr="006B669F">
              <w:t>prípade ktorej príslušný orgán vyžaduje, aby bola držaná vo forme kapitálu CET 1. P2G zahŕňa, len ak to inštitúcii oznámi príslušný orgán.</w:t>
            </w:r>
          </w:p>
          <w:p w:rsidR="00B27F8F" w:rsidRPr="006B669F"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z w:val="20"/>
              </w:rPr>
              <w:t>Ak príslušný orgán neoznámil žiadny P2G, potom sa vykáže iba bod i).</w:t>
            </w:r>
          </w:p>
        </w:tc>
      </w:tr>
      <w:tr w:rsidR="00D22EB0" w:rsidRPr="006B669F" w:rsidTr="00E54104">
        <w:tc>
          <w:tcPr>
            <w:tcW w:w="749" w:type="dxa"/>
            <w:tcBorders>
              <w:top w:val="single" w:sz="4" w:space="0" w:color="1A171C"/>
              <w:left w:val="nil"/>
              <w:bottom w:val="single" w:sz="4" w:space="0" w:color="1A171C"/>
              <w:right w:val="single" w:sz="4" w:space="0" w:color="1A171C"/>
            </w:tcBorders>
            <w:vAlign w:val="center"/>
          </w:tcPr>
          <w:p w:rsidR="00FE3E96" w:rsidRPr="006B669F" w:rsidRDefault="004B50C4" w:rsidP="001C68A5">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0620</w:t>
            </w:r>
          </w:p>
        </w:tc>
        <w:tc>
          <w:tcPr>
            <w:tcW w:w="8277" w:type="dxa"/>
            <w:tcBorders>
              <w:top w:val="single" w:sz="4" w:space="0" w:color="1A171C"/>
              <w:left w:val="single" w:sz="4" w:space="0" w:color="1A171C"/>
              <w:bottom w:val="single" w:sz="4" w:space="0" w:color="1A171C"/>
              <w:right w:val="nil"/>
            </w:tcBorders>
            <w:vAlign w:val="center"/>
          </w:tcPr>
          <w:p w:rsidR="00B27F8F" w:rsidRPr="00E140EE" w:rsidRDefault="00B27F8F" w:rsidP="00B525EC">
            <w:pPr>
              <w:pStyle w:val="TableParagraph"/>
              <w:spacing w:before="108"/>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Celková kapitálová požiadavka</w:t>
            </w:r>
            <w:r w:rsidR="006B669F" w:rsidRPr="00E140EE">
              <w:rPr>
                <w:rFonts w:ascii="Times New Roman" w:hAnsi="Times New Roman"/>
                <w:b/>
                <w:color w:val="000000" w:themeColor="text1"/>
                <w:sz w:val="20"/>
              </w:rPr>
              <w:t xml:space="preserve"> a </w:t>
            </w:r>
            <w:r w:rsidRPr="00E140EE">
              <w:rPr>
                <w:rFonts w:ascii="Times New Roman" w:hAnsi="Times New Roman"/>
                <w:b/>
                <w:color w:val="000000" w:themeColor="text1"/>
                <w:sz w:val="20"/>
              </w:rPr>
              <w:t>P2G: zložené</w:t>
            </w:r>
            <w:r w:rsidR="006B669F" w:rsidRPr="00E140EE">
              <w:rPr>
                <w:rFonts w:ascii="Times New Roman" w:hAnsi="Times New Roman"/>
                <w:b/>
                <w:color w:val="000000" w:themeColor="text1"/>
                <w:sz w:val="20"/>
              </w:rPr>
              <w:t xml:space="preserve"> z </w:t>
            </w:r>
            <w:r w:rsidRPr="00E140EE">
              <w:rPr>
                <w:rFonts w:ascii="Times New Roman" w:hAnsi="Times New Roman"/>
                <w:b/>
                <w:color w:val="000000" w:themeColor="text1"/>
                <w:sz w:val="20"/>
              </w:rPr>
              <w:t>kapitálu Tier 1</w:t>
            </w:r>
          </w:p>
          <w:p w:rsidR="00B27F8F" w:rsidRPr="006B669F"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COREP (OF): {C 03.00;210;010}</w:t>
            </w:r>
          </w:p>
          <w:p w:rsidR="00B27F8F" w:rsidRPr="006B669F" w:rsidRDefault="00B27F8F" w:rsidP="00E140EE">
            <w:pPr>
              <w:pStyle w:val="InstructionsText"/>
            </w:pPr>
            <w:r w:rsidRPr="006B669F">
              <w:t>Súčet nasledujúcich bodov i)</w:t>
            </w:r>
            <w:r w:rsidR="006B669F">
              <w:t xml:space="preserve"> a </w:t>
            </w:r>
            <w:r w:rsidRPr="006B669F">
              <w:t>ii):</w:t>
            </w:r>
          </w:p>
          <w:p w:rsidR="00B27F8F" w:rsidRPr="006B669F" w:rsidRDefault="00B27F8F" w:rsidP="00E140EE">
            <w:pPr>
              <w:pStyle w:val="InstructionsText"/>
              <w:numPr>
                <w:ilvl w:val="0"/>
                <w:numId w:val="60"/>
              </w:numPr>
            </w:pPr>
            <w:r w:rsidRPr="006B669F">
              <w:t>podiel celkovej kapitálovej požiadavky zložený</w:t>
            </w:r>
            <w:r w:rsidR="006B669F">
              <w:t xml:space="preserve"> z </w:t>
            </w:r>
            <w:r w:rsidRPr="006B669F">
              <w:t>kapitálu Tier 1 uvedený</w:t>
            </w:r>
            <w:r w:rsidR="006B669F">
              <w:t xml:space="preserve"> v </w:t>
            </w:r>
            <w:r w:rsidRPr="006B669F">
              <w:t>riadku 0520;</w:t>
            </w:r>
          </w:p>
          <w:p w:rsidR="00B27F8F" w:rsidRPr="006B669F" w:rsidRDefault="00B27F8F" w:rsidP="00E140EE">
            <w:pPr>
              <w:pStyle w:val="InstructionsText"/>
              <w:numPr>
                <w:ilvl w:val="0"/>
                <w:numId w:val="60"/>
              </w:numPr>
            </w:pPr>
            <w:r w:rsidRPr="006B669F">
              <w:t>podľa potreby časť P2G uvedená</w:t>
            </w:r>
            <w:r w:rsidR="006B669F">
              <w:t xml:space="preserve"> v </w:t>
            </w:r>
            <w:r w:rsidRPr="006B669F">
              <w:t>riadku 600 bode ii),</w:t>
            </w:r>
            <w:r w:rsidR="006B669F">
              <w:t xml:space="preserve"> v </w:t>
            </w:r>
            <w:r w:rsidRPr="006B669F">
              <w:t>prípade ktorej príslušný orgán vyžaduje, aby bola držaná vo forme kapitálu Tier 1. P2G zahŕňa, len ak to inštitúcii oznámi príslušný orgán.</w:t>
            </w:r>
          </w:p>
          <w:p w:rsidR="00E05E83" w:rsidRPr="006B669F"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z w:val="20"/>
              </w:rPr>
              <w:t>Ak príslušný orgán neoznámil žiadny P2G, potom sa vykáže iba bod i).</w:t>
            </w:r>
          </w:p>
        </w:tc>
      </w:tr>
    </w:tbl>
    <w:p w:rsidR="00FE3E96" w:rsidRPr="006B669F" w:rsidRDefault="00FE3E96" w:rsidP="00E13CE3">
      <w:pPr>
        <w:rPr>
          <w:rFonts w:ascii="Times New Roman" w:hAnsi="Times New Roman" w:cs="Times New Roman"/>
          <w:color w:val="000000" w:themeColor="text1"/>
          <w:sz w:val="20"/>
          <w:szCs w:val="20"/>
        </w:rPr>
      </w:pPr>
    </w:p>
    <w:p w:rsidR="00E13CE3" w:rsidRPr="00310799" w:rsidRDefault="00F7117F" w:rsidP="008854E4">
      <w:pPr>
        <w:pStyle w:val="Instructionsberschrift2"/>
        <w:numPr>
          <w:ilvl w:val="1"/>
          <w:numId w:val="7"/>
        </w:numPr>
        <w:ind w:left="357" w:hanging="357"/>
        <w:rPr>
          <w:rFonts w:ascii="Times New Roman" w:hAnsi="Times New Roman" w:cs="Times New Roman"/>
          <w:szCs w:val="20"/>
        </w:rPr>
      </w:pPr>
      <w:bookmarkStart w:id="26" w:name="_Toc492542324"/>
      <w:bookmarkStart w:id="27" w:name="_Toc509909042"/>
      <w:bookmarkStart w:id="28" w:name="_Toc525209032"/>
      <w:r w:rsidRPr="00310799">
        <w:rPr>
          <w:rFonts w:ascii="Times New Roman" w:hAnsi="Times New Roman"/>
        </w:rPr>
        <w:t>Z 04.00 – Finančné prepojenia</w:t>
      </w:r>
      <w:r w:rsidR="006B669F" w:rsidRPr="00310799">
        <w:rPr>
          <w:rFonts w:ascii="Times New Roman" w:hAnsi="Times New Roman"/>
        </w:rPr>
        <w:t xml:space="preserve"> v </w:t>
      </w:r>
      <w:r w:rsidRPr="00310799">
        <w:rPr>
          <w:rFonts w:ascii="Times New Roman" w:hAnsi="Times New Roman"/>
        </w:rPr>
        <w:t>rámci skupiny (IFC)</w:t>
      </w:r>
      <w:bookmarkEnd w:id="26"/>
      <w:bookmarkEnd w:id="27"/>
      <w:bookmarkEnd w:id="28"/>
    </w:p>
    <w:p w:rsidR="00E13CE3" w:rsidRPr="00310799" w:rsidRDefault="00AD2380" w:rsidP="00EC261B">
      <w:pPr>
        <w:pStyle w:val="Instructionsberschrift3"/>
      </w:pPr>
      <w:r w:rsidRPr="00310799">
        <w:t>Všeobecné poznámky</w:t>
      </w:r>
    </w:p>
    <w:p w:rsidR="006B669F" w:rsidRDefault="00E13CE3" w:rsidP="004F233C">
      <w:pPr>
        <w:pStyle w:val="numberedparagraph"/>
      </w:pPr>
      <w:r w:rsidRPr="006B669F">
        <w:t>V tomto vzore sa vyžadujú informácie</w:t>
      </w:r>
      <w:r w:rsidR="006B669F">
        <w:t xml:space="preserve"> o </w:t>
      </w:r>
      <w:r w:rsidRPr="006B669F">
        <w:t>záväzkoch</w:t>
      </w:r>
      <w:r w:rsidR="006B669F">
        <w:t xml:space="preserve"> v </w:t>
      </w:r>
      <w:r w:rsidRPr="006B669F">
        <w:t>rámci skupiny, ktoré nie sú vylúčené zo záchrany pomocou vnútorných zdrojov, kapitálových nástrojov</w:t>
      </w:r>
      <w:r w:rsidR="006B669F">
        <w:t xml:space="preserve"> a </w:t>
      </w:r>
      <w:r w:rsidRPr="006B669F">
        <w:t>záruk</w:t>
      </w:r>
      <w:r w:rsidR="006B669F">
        <w:t>.</w:t>
      </w:r>
    </w:p>
    <w:p w:rsidR="00395330" w:rsidRPr="006B669F" w:rsidRDefault="00395330" w:rsidP="004F233C">
      <w:pPr>
        <w:pStyle w:val="numberedparagraph"/>
      </w:pPr>
      <w:r w:rsidRPr="006B669F">
        <w:t>Vykazujú sa všetky finančné prepojenia medzi príslušnými právnickými osobami, ktoré sú zahrnuté do konsolidovaných účtovných závierok. Vykázané sumy sa spočítajú vtedy, ak sa týkajú tých istých protistrán (emitenta alebo subjektu, pre ktorý sa poskytuje záruka,</w:t>
      </w:r>
      <w:r w:rsidR="006B669F">
        <w:t xml:space="preserve"> a </w:t>
      </w:r>
      <w:r w:rsidRPr="006B669F">
        <w:t>veriteľa, držiteľa alebo poskytovateľa záruky)</w:t>
      </w:r>
      <w:r w:rsidR="006B669F">
        <w:t xml:space="preserve"> a </w:t>
      </w:r>
      <w:r w:rsidRPr="006B669F">
        <w:t>toho istého druhu záväzkov, kapitálových nástrojov alebo záruk.</w:t>
      </w:r>
    </w:p>
    <w:p w:rsidR="00E13CE3" w:rsidRPr="006B669F" w:rsidRDefault="00E13CE3" w:rsidP="004F233C">
      <w:pPr>
        <w:pStyle w:val="numberedparagraph"/>
      </w:pPr>
      <w:r w:rsidRPr="006B669F">
        <w:t>Kombinácia hodnôt vykázaných</w:t>
      </w:r>
      <w:r w:rsidR="006B669F">
        <w:t xml:space="preserve"> v </w:t>
      </w:r>
      <w:r w:rsidRPr="006B669F">
        <w:t>stĺpcoch 0020, 0040</w:t>
      </w:r>
      <w:r w:rsidR="006B669F">
        <w:t xml:space="preserve"> a </w:t>
      </w:r>
      <w:r w:rsidRPr="006B669F">
        <w:t>0050 tohto vzoru tvorí primárny kľúč, ktorý musí byť jedinečný pre každý riadok vzoru.</w:t>
      </w:r>
    </w:p>
    <w:p w:rsidR="00E13CE3" w:rsidRPr="00310799" w:rsidRDefault="00E13CE3" w:rsidP="00715DAB">
      <w:pPr>
        <w:pStyle w:val="Instructionsberschrift3"/>
      </w:pPr>
      <w:r w:rsidRPr="00310799">
        <w:t>Pokyny týkajúce sa konkrétnych pozícií</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6B669F" w:rsidTr="00DF1EA4">
        <w:tc>
          <w:tcPr>
            <w:tcW w:w="908" w:type="dxa"/>
            <w:tcBorders>
              <w:top w:val="single" w:sz="4" w:space="0" w:color="1A171C"/>
              <w:left w:val="nil"/>
              <w:bottom w:val="single" w:sz="4" w:space="0" w:color="1A171C"/>
              <w:right w:val="single" w:sz="4" w:space="0" w:color="1A171C"/>
            </w:tcBorders>
            <w:shd w:val="clear" w:color="auto" w:fill="E4E5E5"/>
          </w:tcPr>
          <w:p w:rsidR="004D27A1" w:rsidRPr="006B669F" w:rsidRDefault="004D27A1" w:rsidP="00DF1EA4">
            <w:pPr>
              <w:pStyle w:val="TableParagraph"/>
              <w:spacing w:before="66"/>
              <w:rPr>
                <w:rFonts w:ascii="Times New Roman" w:eastAsia="Cambria" w:hAnsi="Times New Roman" w:cs="Times New Roman"/>
                <w:color w:val="000000" w:themeColor="text1"/>
                <w:sz w:val="20"/>
                <w:szCs w:val="20"/>
              </w:rPr>
            </w:pPr>
            <w:r w:rsidRPr="006B669F">
              <w:rPr>
                <w:rFonts w:ascii="Times New Roman" w:hAnsi="Times New Roman"/>
                <w:color w:val="000000" w:themeColor="text1"/>
                <w:sz w:val="20"/>
              </w:rPr>
              <w:t>Stĺpce</w:t>
            </w:r>
          </w:p>
        </w:tc>
        <w:tc>
          <w:tcPr>
            <w:tcW w:w="8175" w:type="dxa"/>
            <w:tcBorders>
              <w:top w:val="single" w:sz="4" w:space="0" w:color="1A171C"/>
              <w:left w:val="single" w:sz="4" w:space="0" w:color="1A171C"/>
              <w:bottom w:val="single" w:sz="4" w:space="0" w:color="1A171C"/>
              <w:right w:val="nil"/>
            </w:tcBorders>
            <w:shd w:val="clear" w:color="auto" w:fill="E4E5E5"/>
          </w:tcPr>
          <w:p w:rsidR="004D27A1" w:rsidRPr="006B669F"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sidRPr="006B669F">
              <w:rPr>
                <w:rFonts w:ascii="Times New Roman" w:hAnsi="Times New Roman"/>
                <w:color w:val="000000" w:themeColor="text1"/>
                <w:spacing w:val="-1"/>
                <w:w w:val="90"/>
                <w:sz w:val="20"/>
              </w:rPr>
              <w:t>Pokyny</w:t>
            </w:r>
          </w:p>
        </w:tc>
      </w:tr>
      <w:tr w:rsidR="00D22EB0" w:rsidRPr="006B669F" w:rsidTr="00DF1EA4">
        <w:tc>
          <w:tcPr>
            <w:tcW w:w="908" w:type="dxa"/>
            <w:tcBorders>
              <w:top w:val="single" w:sz="4" w:space="0" w:color="1A171C"/>
              <w:left w:val="nil"/>
              <w:bottom w:val="single" w:sz="4" w:space="0" w:color="1A171C"/>
              <w:right w:val="single" w:sz="4" w:space="0" w:color="1A171C"/>
            </w:tcBorders>
            <w:vAlign w:val="center"/>
          </w:tcPr>
          <w:p w:rsidR="004D27A1" w:rsidRPr="006B669F" w:rsidRDefault="00AF56D5" w:rsidP="00DF1EA4">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lastRenderedPageBreak/>
              <w:t xml:space="preserve">0010 – 0020 </w:t>
            </w:r>
          </w:p>
        </w:tc>
        <w:tc>
          <w:tcPr>
            <w:tcW w:w="8175" w:type="dxa"/>
            <w:tcBorders>
              <w:top w:val="single" w:sz="4" w:space="0" w:color="1A171C"/>
              <w:left w:val="single" w:sz="4" w:space="0" w:color="1A171C"/>
              <w:bottom w:val="single" w:sz="4" w:space="0" w:color="1A171C"/>
              <w:right w:val="nil"/>
            </w:tcBorders>
            <w:vAlign w:val="center"/>
          </w:tcPr>
          <w:p w:rsidR="004D27A1" w:rsidRPr="00E140EE"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Emitent alebo subjekt, pre ktorý sa poskytuje záruka</w:t>
            </w:r>
          </w:p>
          <w:p w:rsidR="004D27A1" w:rsidRPr="006B669F"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Právnická osoba, ktorá emituje záväzky alebo kapitálový nástroj, alebo je subjektom, pre ktorý sa poskytuje záruka.</w:t>
            </w:r>
          </w:p>
        </w:tc>
      </w:tr>
      <w:tr w:rsidR="00D22EB0" w:rsidRPr="006B669F" w:rsidTr="00DF1EA4">
        <w:tc>
          <w:tcPr>
            <w:tcW w:w="908" w:type="dxa"/>
            <w:tcBorders>
              <w:top w:val="single" w:sz="4" w:space="0" w:color="1A171C"/>
              <w:left w:val="nil"/>
              <w:bottom w:val="single" w:sz="4" w:space="0" w:color="1A171C"/>
              <w:right w:val="single" w:sz="4" w:space="0" w:color="1A171C"/>
            </w:tcBorders>
            <w:vAlign w:val="center"/>
          </w:tcPr>
          <w:p w:rsidR="004D27A1" w:rsidRPr="006B669F" w:rsidRDefault="004D27A1" w:rsidP="00DF1EA4">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 xml:space="preserve">0010 </w:t>
            </w:r>
          </w:p>
        </w:tc>
        <w:tc>
          <w:tcPr>
            <w:tcW w:w="8175" w:type="dxa"/>
            <w:tcBorders>
              <w:top w:val="single" w:sz="4" w:space="0" w:color="1A171C"/>
              <w:left w:val="single" w:sz="4" w:space="0" w:color="1A171C"/>
              <w:bottom w:val="single" w:sz="4" w:space="0" w:color="1A171C"/>
              <w:right w:val="nil"/>
            </w:tcBorders>
            <w:vAlign w:val="center"/>
          </w:tcPr>
          <w:p w:rsidR="006B669F" w:rsidRPr="00E140EE" w:rsidRDefault="004D27A1" w:rsidP="00F244B8">
            <w:pPr>
              <w:pStyle w:val="TableParagraph"/>
              <w:spacing w:before="108"/>
              <w:ind w:left="85"/>
              <w:jc w:val="both"/>
              <w:rPr>
                <w:rFonts w:ascii="Times New Roman" w:hAnsi="Times New Roman"/>
                <w:b/>
                <w:color w:val="000000" w:themeColor="text1"/>
                <w:sz w:val="20"/>
              </w:rPr>
            </w:pPr>
            <w:r w:rsidRPr="00E140EE">
              <w:rPr>
                <w:rFonts w:ascii="Times New Roman" w:hAnsi="Times New Roman"/>
                <w:b/>
                <w:color w:val="000000" w:themeColor="text1"/>
                <w:sz w:val="20"/>
              </w:rPr>
              <w:t>Názov subjektu</w:t>
            </w:r>
          </w:p>
          <w:p w:rsidR="004D27A1" w:rsidRPr="006B669F"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Musí byť odlišný od názvu subjektu uvedeného</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 xml:space="preserve">stĺpci 0030. </w:t>
            </w:r>
          </w:p>
        </w:tc>
      </w:tr>
      <w:tr w:rsidR="00D22EB0" w:rsidRPr="006B669F" w:rsidTr="00DF1EA4">
        <w:tc>
          <w:tcPr>
            <w:tcW w:w="908" w:type="dxa"/>
            <w:tcBorders>
              <w:top w:val="single" w:sz="4" w:space="0" w:color="1A171C"/>
              <w:left w:val="nil"/>
              <w:bottom w:val="single" w:sz="4" w:space="0" w:color="1A171C"/>
              <w:right w:val="single" w:sz="4" w:space="0" w:color="1A171C"/>
            </w:tcBorders>
            <w:vAlign w:val="center"/>
          </w:tcPr>
          <w:p w:rsidR="004D27A1" w:rsidRPr="006B669F" w:rsidRDefault="004D27A1" w:rsidP="00DF1EA4">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 xml:space="preserve">0020 </w:t>
            </w:r>
          </w:p>
        </w:tc>
        <w:tc>
          <w:tcPr>
            <w:tcW w:w="8175" w:type="dxa"/>
            <w:tcBorders>
              <w:top w:val="single" w:sz="4" w:space="0" w:color="1A171C"/>
              <w:left w:val="single" w:sz="4" w:space="0" w:color="1A171C"/>
              <w:bottom w:val="single" w:sz="4" w:space="0" w:color="1A171C"/>
              <w:right w:val="nil"/>
            </w:tcBorders>
            <w:vAlign w:val="center"/>
          </w:tcPr>
          <w:p w:rsidR="004D27A1" w:rsidRPr="00E140EE"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Kód</w:t>
            </w:r>
          </w:p>
          <w:p w:rsidR="00F0371B" w:rsidRPr="006B669F"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Kód emitenta alebo príjemcu záruky.</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prípade inštitúcií je kódom 20-miestny alfanumerický kód LEI.</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prípade iných subjektov je kódom 20-miestny alfanumerický kód LEI, alebo ak nie je</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dispozícii, kód</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rámci jednotnej kodifikácie uplatniteľnej</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Únii, alebo ak ani tento kód nie je</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dispozícii, vnútroštátny kód.</w:t>
            </w:r>
          </w:p>
          <w:p w:rsidR="00F0371B" w:rsidRPr="006B669F"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Tento kód musí byť jedinečný</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musí sa používať konzistentne vo všetkých vzoroch.</w:t>
            </w:r>
          </w:p>
          <w:p w:rsidR="004D27A1" w:rsidRPr="006B669F"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Kód musí byť odlišný od kódu uvedeného</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stĺpci 0040.</w:t>
            </w:r>
          </w:p>
          <w:p w:rsidR="00F0371B" w:rsidRPr="006B669F"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6B669F" w:rsidTr="00DF1EA4">
        <w:tc>
          <w:tcPr>
            <w:tcW w:w="908" w:type="dxa"/>
            <w:tcBorders>
              <w:top w:val="single" w:sz="4" w:space="0" w:color="1A171C"/>
              <w:left w:val="nil"/>
              <w:bottom w:val="single" w:sz="4" w:space="0" w:color="1A171C"/>
              <w:right w:val="single" w:sz="4" w:space="0" w:color="1A171C"/>
            </w:tcBorders>
            <w:vAlign w:val="center"/>
          </w:tcPr>
          <w:p w:rsidR="004D27A1" w:rsidRPr="006B669F" w:rsidRDefault="004D27A1" w:rsidP="00DF1EA4">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 xml:space="preserve">0030 – 0040 </w:t>
            </w:r>
          </w:p>
        </w:tc>
        <w:tc>
          <w:tcPr>
            <w:tcW w:w="8175" w:type="dxa"/>
            <w:tcBorders>
              <w:top w:val="single" w:sz="4" w:space="0" w:color="1A171C"/>
              <w:left w:val="single" w:sz="4" w:space="0" w:color="1A171C"/>
              <w:bottom w:val="single" w:sz="4" w:space="0" w:color="1A171C"/>
              <w:right w:val="nil"/>
            </w:tcBorders>
            <w:vAlign w:val="center"/>
          </w:tcPr>
          <w:p w:rsidR="004D27A1" w:rsidRPr="00E140EE" w:rsidRDefault="00DA2347" w:rsidP="00F244B8">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Veriteľ, držiteľ alebo poskytovateľ záruky</w:t>
            </w:r>
          </w:p>
          <w:p w:rsidR="004D27A1" w:rsidRPr="006B669F"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Právnická osoba, ktorá je veriteľom záväzku, drží kapitálový nástroj alebo poskytuje záruku.</w:t>
            </w:r>
          </w:p>
        </w:tc>
      </w:tr>
      <w:tr w:rsidR="00D22EB0" w:rsidRPr="006B669F" w:rsidTr="00DF1EA4">
        <w:tc>
          <w:tcPr>
            <w:tcW w:w="908" w:type="dxa"/>
            <w:tcBorders>
              <w:top w:val="single" w:sz="4" w:space="0" w:color="1A171C"/>
              <w:left w:val="nil"/>
              <w:bottom w:val="single" w:sz="4" w:space="0" w:color="1A171C"/>
              <w:right w:val="single" w:sz="4" w:space="0" w:color="1A171C"/>
            </w:tcBorders>
            <w:vAlign w:val="center"/>
          </w:tcPr>
          <w:p w:rsidR="004D27A1" w:rsidRPr="006B669F" w:rsidRDefault="004D27A1" w:rsidP="00DF1EA4">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 xml:space="preserve">0030 </w:t>
            </w:r>
          </w:p>
        </w:tc>
        <w:tc>
          <w:tcPr>
            <w:tcW w:w="8175" w:type="dxa"/>
            <w:tcBorders>
              <w:top w:val="single" w:sz="4" w:space="0" w:color="1A171C"/>
              <w:left w:val="single" w:sz="4" w:space="0" w:color="1A171C"/>
              <w:bottom w:val="single" w:sz="4" w:space="0" w:color="1A171C"/>
              <w:right w:val="nil"/>
            </w:tcBorders>
            <w:vAlign w:val="center"/>
          </w:tcPr>
          <w:p w:rsidR="006B669F" w:rsidRPr="00E140EE" w:rsidRDefault="004D27A1" w:rsidP="00F244B8">
            <w:pPr>
              <w:pStyle w:val="TableParagraph"/>
              <w:spacing w:before="108"/>
              <w:ind w:left="85"/>
              <w:jc w:val="both"/>
              <w:rPr>
                <w:rFonts w:ascii="Times New Roman" w:hAnsi="Times New Roman"/>
                <w:b/>
                <w:color w:val="000000" w:themeColor="text1"/>
                <w:sz w:val="20"/>
              </w:rPr>
            </w:pPr>
            <w:r w:rsidRPr="00E140EE">
              <w:rPr>
                <w:rFonts w:ascii="Times New Roman" w:hAnsi="Times New Roman"/>
                <w:b/>
                <w:color w:val="000000" w:themeColor="text1"/>
                <w:sz w:val="20"/>
              </w:rPr>
              <w:t>Názov subjektu</w:t>
            </w:r>
          </w:p>
          <w:p w:rsidR="004D27A1" w:rsidRPr="006B669F"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Musí byť odlišný od názvu subjektu uvedeného</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 xml:space="preserve">stĺpci 0010. </w:t>
            </w:r>
          </w:p>
        </w:tc>
      </w:tr>
      <w:tr w:rsidR="00D22EB0" w:rsidRPr="006B669F" w:rsidTr="00DF1EA4">
        <w:tc>
          <w:tcPr>
            <w:tcW w:w="908" w:type="dxa"/>
            <w:tcBorders>
              <w:top w:val="single" w:sz="4" w:space="0" w:color="1A171C"/>
              <w:left w:val="nil"/>
              <w:bottom w:val="single" w:sz="4" w:space="0" w:color="1A171C"/>
              <w:right w:val="single" w:sz="4" w:space="0" w:color="1A171C"/>
            </w:tcBorders>
            <w:vAlign w:val="center"/>
          </w:tcPr>
          <w:p w:rsidR="004D27A1" w:rsidRPr="006B669F" w:rsidRDefault="004D27A1" w:rsidP="00DF1EA4">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 xml:space="preserve">0040 </w:t>
            </w:r>
          </w:p>
        </w:tc>
        <w:tc>
          <w:tcPr>
            <w:tcW w:w="8175" w:type="dxa"/>
            <w:tcBorders>
              <w:top w:val="single" w:sz="4" w:space="0" w:color="1A171C"/>
              <w:left w:val="single" w:sz="4" w:space="0" w:color="1A171C"/>
              <w:bottom w:val="single" w:sz="4" w:space="0" w:color="1A171C"/>
              <w:right w:val="nil"/>
            </w:tcBorders>
            <w:vAlign w:val="center"/>
          </w:tcPr>
          <w:p w:rsidR="004D27A1" w:rsidRPr="00E140EE"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Kód</w:t>
            </w:r>
          </w:p>
          <w:p w:rsidR="000C7729" w:rsidRPr="006B669F"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Kód veriteľa, držiteľa, alebo poskytovateľa záruky.</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prípade inštitúcií je kódom 20-miestny alfanumerický kód LEI.</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prípade iných subjektov je kódom 20-miestny alfanumerický kód LEI, alebo ak nie je</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dispozícii, kód</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rámci jednotnej kodifikácie uplatniteľnej</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Únii, alebo ak ani tento kód nie je</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dispozícii, vnútroštátny kód.</w:t>
            </w:r>
          </w:p>
          <w:p w:rsidR="000C7729" w:rsidRPr="006B669F"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Tento kód musí byť jedinečný</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musí sa používať konzistentne vo všetkých vzoroch.</w:t>
            </w:r>
          </w:p>
          <w:p w:rsidR="004D27A1" w:rsidRPr="006B669F"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Musí byť odlišný od kódu uvedeného</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stĺpci 0020.</w:t>
            </w:r>
          </w:p>
        </w:tc>
      </w:tr>
      <w:tr w:rsidR="00D22EB0" w:rsidRPr="006B669F" w:rsidTr="00DF1EA4">
        <w:tc>
          <w:tcPr>
            <w:tcW w:w="908" w:type="dxa"/>
            <w:tcBorders>
              <w:top w:val="single" w:sz="4" w:space="0" w:color="1A171C"/>
              <w:left w:val="nil"/>
              <w:bottom w:val="single" w:sz="4" w:space="0" w:color="1A171C"/>
              <w:right w:val="single" w:sz="4" w:space="0" w:color="1A171C"/>
            </w:tcBorders>
            <w:vAlign w:val="center"/>
          </w:tcPr>
          <w:p w:rsidR="004D27A1" w:rsidRPr="006B669F" w:rsidRDefault="004D27A1" w:rsidP="00DF1EA4">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 xml:space="preserve">0050 – 0070 </w:t>
            </w:r>
          </w:p>
        </w:tc>
        <w:tc>
          <w:tcPr>
            <w:tcW w:w="8175" w:type="dxa"/>
            <w:tcBorders>
              <w:top w:val="single" w:sz="4" w:space="0" w:color="1A171C"/>
              <w:left w:val="single" w:sz="4" w:space="0" w:color="1A171C"/>
              <w:bottom w:val="single" w:sz="4" w:space="0" w:color="1A171C"/>
              <w:right w:val="nil"/>
            </w:tcBorders>
            <w:vAlign w:val="center"/>
          </w:tcPr>
          <w:p w:rsidR="004D27A1" w:rsidRPr="00E140EE"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Finančné prepojenie</w:t>
            </w:r>
          </w:p>
          <w:p w:rsidR="004D27A1" w:rsidRPr="006B669F"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V tomto poli sa opisuje finančné prepojenie medzi príslušnými právnickými osobami.</w:t>
            </w:r>
          </w:p>
        </w:tc>
      </w:tr>
      <w:tr w:rsidR="00D22EB0" w:rsidRPr="006B669F" w:rsidTr="00DF1EA4">
        <w:tc>
          <w:tcPr>
            <w:tcW w:w="908" w:type="dxa"/>
            <w:tcBorders>
              <w:top w:val="single" w:sz="4" w:space="0" w:color="1A171C"/>
              <w:left w:val="nil"/>
              <w:bottom w:val="single" w:sz="4" w:space="0" w:color="1A171C"/>
              <w:right w:val="single" w:sz="4" w:space="0" w:color="1A171C"/>
            </w:tcBorders>
            <w:vAlign w:val="center"/>
          </w:tcPr>
          <w:p w:rsidR="004D27A1" w:rsidRPr="006B669F" w:rsidRDefault="004D27A1" w:rsidP="00DF1EA4">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 xml:space="preserve">0050 </w:t>
            </w:r>
          </w:p>
        </w:tc>
        <w:tc>
          <w:tcPr>
            <w:tcW w:w="8175" w:type="dxa"/>
            <w:tcBorders>
              <w:top w:val="single" w:sz="4" w:space="0" w:color="1A171C"/>
              <w:left w:val="single" w:sz="4" w:space="0" w:color="1A171C"/>
              <w:bottom w:val="single" w:sz="4" w:space="0" w:color="1A171C"/>
              <w:right w:val="nil"/>
            </w:tcBorders>
            <w:vAlign w:val="center"/>
          </w:tcPr>
          <w:p w:rsidR="004D27A1" w:rsidRPr="00E140EE"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Druh</w:t>
            </w:r>
          </w:p>
          <w:p w:rsidR="004D27A1" w:rsidRPr="006B669F"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Vyberie sa</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tohto zoznamu:</w:t>
            </w:r>
          </w:p>
          <w:p w:rsidR="004D27A1" w:rsidRPr="00310799"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sidRPr="00310799">
              <w:rPr>
                <w:rFonts w:ascii="Times New Roman" w:hAnsi="Times New Roman"/>
                <w:color w:val="000000" w:themeColor="text1"/>
                <w:spacing w:val="-2"/>
                <w:w w:val="95"/>
                <w:sz w:val="20"/>
                <w:u w:val="single"/>
              </w:rPr>
              <w:t>Záväzky</w:t>
            </w:r>
            <w:r w:rsidR="006B669F" w:rsidRPr="00310799">
              <w:rPr>
                <w:rFonts w:ascii="Times New Roman" w:hAnsi="Times New Roman"/>
                <w:color w:val="000000" w:themeColor="text1"/>
                <w:spacing w:val="-2"/>
                <w:w w:val="95"/>
                <w:sz w:val="20"/>
                <w:u w:val="single"/>
              </w:rPr>
              <w:t xml:space="preserve"> v </w:t>
            </w:r>
            <w:r w:rsidRPr="00310799">
              <w:rPr>
                <w:rFonts w:ascii="Times New Roman" w:hAnsi="Times New Roman"/>
                <w:color w:val="000000" w:themeColor="text1"/>
                <w:spacing w:val="-2"/>
                <w:w w:val="95"/>
                <w:sz w:val="20"/>
                <w:u w:val="single"/>
              </w:rPr>
              <w:t>rámci skupiny</w:t>
            </w:r>
          </w:p>
          <w:p w:rsidR="0005258C" w:rsidRPr="006B669F"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Vklady, ktoré nie sú kryté, ale sú preferenčné</w:t>
            </w:r>
          </w:p>
          <w:p w:rsidR="00967F9A" w:rsidRPr="006B669F"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Rovnaké vymedzenie ako</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02.00 (LIAB), riadok 0310</w:t>
            </w:r>
          </w:p>
          <w:p w:rsidR="004D27A1" w:rsidRPr="006B669F"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Vklady, ktoré nie sú kryté ani preferenčné</w:t>
            </w:r>
          </w:p>
          <w:p w:rsidR="004D27A1" w:rsidRPr="006B669F"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Rovnaké vymedzenie ako</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02.00 (LIAB), riadok 0320</w:t>
            </w:r>
          </w:p>
          <w:p w:rsidR="004D27A1" w:rsidRPr="006B669F"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Záväzky vyplývajúce</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derivátov (sumy po konečnom zúčtovaní)</w:t>
            </w:r>
          </w:p>
          <w:p w:rsidR="004D27A1" w:rsidRPr="006B669F"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Rovnaké vymedzenie ako</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02.00 (LIAB), riadok 0330</w:t>
            </w:r>
          </w:p>
          <w:p w:rsidR="004D27A1" w:rsidRPr="006B669F"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Zabezpečené záväzky nezabezpečené kolaterálom</w:t>
            </w:r>
          </w:p>
          <w:p w:rsidR="004D27A1" w:rsidRPr="006B669F"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Rovnaké vymedzenie ako</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02.00 (LIAB), riadok 0340</w:t>
            </w:r>
          </w:p>
          <w:p w:rsidR="004D27A1" w:rsidRPr="006B669F"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Štruktúrované cenné papiere</w:t>
            </w:r>
          </w:p>
          <w:p w:rsidR="004D27A1" w:rsidRPr="006B669F"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Rovnaké vymedzenie ako</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02.00 (LIAB), riadok 0350</w:t>
            </w:r>
          </w:p>
          <w:p w:rsidR="004D27A1" w:rsidRPr="006B669F"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Nadriadené nezabezpečené záväzky</w:t>
            </w:r>
          </w:p>
          <w:p w:rsidR="004D27A1" w:rsidRPr="006B669F"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Rovnaké vymedzenie ako</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02.00 (LIAB), riadok 0360</w:t>
            </w:r>
          </w:p>
          <w:p w:rsidR="00863F05" w:rsidRPr="006B669F" w:rsidRDefault="00863F05" w:rsidP="00BB7962">
            <w:pPr>
              <w:pStyle w:val="ListParagraph"/>
              <w:numPr>
                <w:ilvl w:val="0"/>
                <w:numId w:val="12"/>
              </w:numPr>
              <w:ind w:left="510" w:hanging="425"/>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Nadriadené záväzky bez prioritného postavenia</w:t>
            </w:r>
          </w:p>
          <w:p w:rsidR="00863F05" w:rsidRPr="006B669F"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Rovnaké vymedzenie ako</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02.00 (LIAB), riadok 0365</w:t>
            </w:r>
          </w:p>
          <w:p w:rsidR="004D27A1" w:rsidRPr="006B669F"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Podriadené záväzky</w:t>
            </w:r>
          </w:p>
          <w:p w:rsidR="004D27A1" w:rsidRPr="006B669F"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Rovnaké vymedzenie ako</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02.00 (LIAB), riadok 0370</w:t>
            </w:r>
          </w:p>
          <w:p w:rsidR="004D27A1" w:rsidRPr="006B669F"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Iné oprávnené záväzky pre MREL</w:t>
            </w:r>
          </w:p>
          <w:p w:rsidR="004D27A1" w:rsidRPr="006B669F"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Rovnaké vymedzenie ako</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02.00 (LIAB), riadok 0380</w:t>
            </w:r>
          </w:p>
          <w:p w:rsidR="004D27A1" w:rsidRPr="006B669F"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Nefinančné záväzky</w:t>
            </w:r>
          </w:p>
          <w:p w:rsidR="004D27A1" w:rsidRPr="006B669F"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Rovnaké vymedzenie ako</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02.00 (LIAB), riadok 0390</w:t>
            </w:r>
          </w:p>
          <w:p w:rsidR="004D27A1" w:rsidRPr="006B669F"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Zostatkové záväzky</w:t>
            </w:r>
          </w:p>
          <w:p w:rsidR="004D27A1" w:rsidRPr="006B669F"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Rovnaké vymedzenie ako</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02.00 (LIAB), riadok 0400 Akýkoľvek záväzok nezachytený</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žiadnej</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predchádzajúcich položiek.</w:t>
            </w:r>
          </w:p>
          <w:p w:rsidR="004D27A1" w:rsidRPr="006B669F"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Kapitál Tier 2</w:t>
            </w:r>
          </w:p>
          <w:p w:rsidR="004D27A1" w:rsidRPr="006B669F"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Rovnaké vymedzenie ako</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02.00 (LIAB), riadok 0530</w:t>
            </w:r>
          </w:p>
          <w:p w:rsidR="004D27A1" w:rsidRPr="006B669F"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Dodatočný kapitál Tier 1</w:t>
            </w:r>
          </w:p>
          <w:p w:rsidR="004D27A1" w:rsidRPr="006B669F"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Rovnaké vymedzenie ako</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02.00 (LIAB), riadok 0520</w:t>
            </w:r>
          </w:p>
          <w:p w:rsidR="004D27A1" w:rsidRPr="006B669F"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Vlastný kapitál Tier 1</w:t>
            </w:r>
          </w:p>
          <w:p w:rsidR="004D27A1" w:rsidRPr="006B669F"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Rovnaké vymedzenie ako</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02.00 (LIAB), riadok 0510</w:t>
            </w:r>
          </w:p>
          <w:p w:rsidR="004D27A1" w:rsidRPr="00310799"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sidRPr="00310799">
              <w:rPr>
                <w:rFonts w:ascii="Times New Roman" w:hAnsi="Times New Roman"/>
                <w:color w:val="000000" w:themeColor="text1"/>
                <w:spacing w:val="-2"/>
                <w:w w:val="95"/>
                <w:sz w:val="20"/>
                <w:u w:val="single"/>
              </w:rPr>
              <w:t>Záruky</w:t>
            </w:r>
            <w:r w:rsidR="006B669F" w:rsidRPr="00310799">
              <w:rPr>
                <w:rFonts w:ascii="Times New Roman" w:hAnsi="Times New Roman"/>
                <w:color w:val="000000" w:themeColor="text1"/>
                <w:spacing w:val="-2"/>
                <w:w w:val="95"/>
                <w:sz w:val="20"/>
                <w:u w:val="single"/>
              </w:rPr>
              <w:t xml:space="preserve"> v </w:t>
            </w:r>
            <w:r w:rsidRPr="00310799">
              <w:rPr>
                <w:rFonts w:ascii="Times New Roman" w:hAnsi="Times New Roman"/>
                <w:color w:val="000000" w:themeColor="text1"/>
                <w:spacing w:val="-2"/>
                <w:w w:val="95"/>
                <w:sz w:val="20"/>
                <w:u w:val="single"/>
              </w:rPr>
              <w:t>rámci skupiny</w:t>
            </w:r>
          </w:p>
          <w:p w:rsidR="006B669F" w:rsidRDefault="004D27A1" w:rsidP="004524FA">
            <w:pPr>
              <w:pStyle w:val="ListParagraph"/>
              <w:numPr>
                <w:ilvl w:val="0"/>
                <w:numId w:val="13"/>
              </w:numPr>
              <w:autoSpaceDE w:val="0"/>
              <w:autoSpaceDN w:val="0"/>
              <w:adjustRightInd w:val="0"/>
              <w:ind w:left="539" w:hanging="454"/>
              <w:contextualSpacing/>
              <w:jc w:val="both"/>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Emisia</w:t>
            </w:r>
          </w:p>
          <w:p w:rsidR="004D27A1" w:rsidRPr="006B669F"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Záruky na špecifické nástroje/záväzky, ktoré boli emitované</w:t>
            </w:r>
          </w:p>
          <w:p w:rsidR="006B669F" w:rsidRDefault="004D27A1" w:rsidP="004524FA">
            <w:pPr>
              <w:pStyle w:val="ListParagraph"/>
              <w:numPr>
                <w:ilvl w:val="0"/>
                <w:numId w:val="13"/>
              </w:numPr>
              <w:autoSpaceDE w:val="0"/>
              <w:autoSpaceDN w:val="0"/>
              <w:adjustRightInd w:val="0"/>
              <w:ind w:left="539" w:hanging="454"/>
              <w:contextualSpacing/>
              <w:jc w:val="both"/>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Protistrana</w:t>
            </w:r>
          </w:p>
          <w:p w:rsidR="004D27A1" w:rsidRPr="006B669F"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Záruky poskytnuté určitej protistrane inštitúcie</w:t>
            </w:r>
          </w:p>
          <w:p w:rsidR="004D27A1" w:rsidRPr="006B669F"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Neobmedzené</w:t>
            </w:r>
          </w:p>
          <w:p w:rsidR="006B669F" w:rsidRDefault="004D27A1" w:rsidP="00F244B8">
            <w:pPr>
              <w:pStyle w:val="ListParagraph"/>
              <w:autoSpaceDE w:val="0"/>
              <w:autoSpaceDN w:val="0"/>
              <w:adjustRightInd w:val="0"/>
              <w:ind w:left="539"/>
              <w:jc w:val="both"/>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Všeobecné záruky neobmedzené na pevne stanovenú sumu</w:t>
            </w:r>
          </w:p>
          <w:p w:rsidR="006B669F" w:rsidRDefault="004D27A1" w:rsidP="004524FA">
            <w:pPr>
              <w:pStyle w:val="ListParagraph"/>
              <w:numPr>
                <w:ilvl w:val="0"/>
                <w:numId w:val="13"/>
              </w:numPr>
              <w:autoSpaceDE w:val="0"/>
              <w:autoSpaceDN w:val="0"/>
              <w:adjustRightInd w:val="0"/>
              <w:ind w:left="539" w:hanging="454"/>
              <w:contextualSpacing/>
              <w:jc w:val="both"/>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Iné</w:t>
            </w:r>
          </w:p>
          <w:p w:rsidR="004D27A1" w:rsidRPr="006B669F"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6B669F">
              <w:rPr>
                <w:rFonts w:ascii="Times New Roman" w:hAnsi="Times New Roman"/>
                <w:color w:val="000000" w:themeColor="text1"/>
                <w:spacing w:val="-2"/>
                <w:w w:val="95"/>
                <w:sz w:val="20"/>
              </w:rPr>
              <w:t xml:space="preserve">Akýkoľvek druh záruky nekrytej predchádzajúcimi druhmi záruk. </w:t>
            </w:r>
          </w:p>
        </w:tc>
      </w:tr>
      <w:tr w:rsidR="00D22EB0" w:rsidRPr="006B669F" w:rsidTr="00DF1EA4">
        <w:tc>
          <w:tcPr>
            <w:tcW w:w="908" w:type="dxa"/>
            <w:tcBorders>
              <w:top w:val="single" w:sz="4" w:space="0" w:color="1A171C"/>
              <w:left w:val="nil"/>
              <w:bottom w:val="single" w:sz="4" w:space="0" w:color="1A171C"/>
              <w:right w:val="single" w:sz="4" w:space="0" w:color="1A171C"/>
            </w:tcBorders>
            <w:vAlign w:val="center"/>
          </w:tcPr>
          <w:p w:rsidR="004D27A1" w:rsidRPr="006B669F" w:rsidRDefault="004D27A1" w:rsidP="00DF1EA4">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rsidR="004D27A1" w:rsidRPr="00E140EE" w:rsidRDefault="0009740A" w:rsidP="00F244B8">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Nesplatená suma</w:t>
            </w:r>
          </w:p>
          <w:p w:rsidR="004D27A1" w:rsidRPr="006B669F"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V prípade záväzkov (stĺpec 0050 druhy L.1, L.2</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L.4 – L.14) nesplatená suma záväzkov</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rámci skupiny;</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prípade záväzkov vyplývajúcich</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derivátov (druh L.3) sumy po konečnom zúčtovaní podľa vymedzenia na účely vzoru</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02.00 (LIAB), riadok 0333.</w:t>
            </w:r>
          </w:p>
          <w:p w:rsidR="004D27A1" w:rsidRPr="006B669F"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V prípade záruk (stĺpec 0050, hodnoty G.1 – G.4) maximálna možná výška budúcich platieb</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 xml:space="preserve">rámci záruky </w:t>
            </w:r>
          </w:p>
        </w:tc>
      </w:tr>
      <w:tr w:rsidR="00D22EB0" w:rsidRPr="006B669F" w:rsidTr="00DF1EA4">
        <w:tc>
          <w:tcPr>
            <w:tcW w:w="908" w:type="dxa"/>
            <w:tcBorders>
              <w:top w:val="single" w:sz="4" w:space="0" w:color="1A171C"/>
              <w:left w:val="nil"/>
              <w:bottom w:val="single" w:sz="4" w:space="0" w:color="1A171C"/>
              <w:right w:val="single" w:sz="4" w:space="0" w:color="1A171C"/>
            </w:tcBorders>
            <w:vAlign w:val="center"/>
          </w:tcPr>
          <w:p w:rsidR="000526E3" w:rsidRPr="006B669F" w:rsidRDefault="000526E3" w:rsidP="00DF1EA4">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0070</w:t>
            </w:r>
          </w:p>
        </w:tc>
        <w:tc>
          <w:tcPr>
            <w:tcW w:w="8175" w:type="dxa"/>
            <w:tcBorders>
              <w:top w:val="single" w:sz="4" w:space="0" w:color="1A171C"/>
              <w:left w:val="single" w:sz="4" w:space="0" w:color="1A171C"/>
              <w:bottom w:val="single" w:sz="4" w:space="0" w:color="1A171C"/>
              <w:right w:val="nil"/>
            </w:tcBorders>
            <w:vAlign w:val="center"/>
          </w:tcPr>
          <w:p w:rsidR="006560B6" w:rsidRPr="00E140EE" w:rsidRDefault="006560B6" w:rsidP="00F244B8">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z toho emitované podľa práva tretej krajiny</w:t>
            </w:r>
          </w:p>
          <w:p w:rsidR="000526E3" w:rsidRPr="006B669F" w:rsidRDefault="000526E3" w:rsidP="001D706F">
            <w:pPr>
              <w:pStyle w:val="TableParagraph"/>
              <w:spacing w:before="108"/>
              <w:ind w:left="85"/>
              <w:jc w:val="both"/>
              <w:rPr>
                <w:rFonts w:ascii="Times New Roman" w:hAnsi="Times New Roman" w:cs="Times New Roman"/>
                <w:bCs/>
                <w:color w:val="000000" w:themeColor="text1"/>
                <w:sz w:val="20"/>
                <w:szCs w:val="20"/>
              </w:rPr>
            </w:pPr>
            <w:r w:rsidRPr="006B669F">
              <w:rPr>
                <w:rFonts w:ascii="Times New Roman" w:hAnsi="Times New Roman"/>
                <w:color w:val="000000" w:themeColor="text1"/>
                <w:sz w:val="20"/>
              </w:rPr>
              <w:t>Podiel nesplatenej sumy, ktorá sa riadi právom tretej krajiny,</w:t>
            </w:r>
            <w:r w:rsidR="006B669F">
              <w:rPr>
                <w:rFonts w:ascii="Times New Roman" w:hAnsi="Times New Roman"/>
                <w:color w:val="000000" w:themeColor="text1"/>
                <w:sz w:val="20"/>
              </w:rPr>
              <w:t xml:space="preserve"> v </w:t>
            </w:r>
            <w:r w:rsidRPr="006B669F">
              <w:rPr>
                <w:rFonts w:ascii="Times New Roman" w:hAnsi="Times New Roman"/>
                <w:color w:val="000000" w:themeColor="text1"/>
                <w:sz w:val="20"/>
              </w:rPr>
              <w:t>peňažnej hodnote.</w:t>
            </w:r>
          </w:p>
        </w:tc>
      </w:tr>
      <w:tr w:rsidR="00D22EB0" w:rsidRPr="006B669F" w:rsidTr="00DF1EA4">
        <w:tc>
          <w:tcPr>
            <w:tcW w:w="908" w:type="dxa"/>
            <w:tcBorders>
              <w:top w:val="single" w:sz="4" w:space="0" w:color="1A171C"/>
              <w:left w:val="nil"/>
              <w:bottom w:val="single" w:sz="4" w:space="0" w:color="1A171C"/>
              <w:right w:val="single" w:sz="4" w:space="0" w:color="1A171C"/>
            </w:tcBorders>
            <w:vAlign w:val="center"/>
          </w:tcPr>
          <w:p w:rsidR="004D27A1" w:rsidRPr="006B669F" w:rsidRDefault="004D27A1" w:rsidP="00AF56D5">
            <w:pPr>
              <w:pStyle w:val="TableParagraph"/>
              <w:spacing w:before="106"/>
              <w:ind w:left="-1"/>
              <w:rPr>
                <w:rFonts w:ascii="Times New Roman" w:hAnsi="Times New Roman" w:cs="Times New Roman"/>
                <w:color w:val="000000" w:themeColor="text1"/>
                <w:sz w:val="20"/>
                <w:szCs w:val="20"/>
              </w:rPr>
            </w:pPr>
            <w:r w:rsidRPr="006B669F">
              <w:rPr>
                <w:rFonts w:ascii="Times New Roman" w:hAnsi="Times New Roman"/>
                <w:color w:val="000000" w:themeColor="text1"/>
                <w:sz w:val="20"/>
              </w:rPr>
              <w:t>0080</w:t>
            </w:r>
          </w:p>
        </w:tc>
        <w:tc>
          <w:tcPr>
            <w:tcW w:w="8175" w:type="dxa"/>
            <w:tcBorders>
              <w:top w:val="single" w:sz="4" w:space="0" w:color="1A171C"/>
              <w:left w:val="single" w:sz="4" w:space="0" w:color="1A171C"/>
              <w:bottom w:val="single" w:sz="4" w:space="0" w:color="1A171C"/>
              <w:right w:val="nil"/>
            </w:tcBorders>
            <w:vAlign w:val="center"/>
          </w:tcPr>
          <w:p w:rsidR="004D27A1" w:rsidRPr="006B669F"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E140EE">
              <w:rPr>
                <w:rFonts w:ascii="Times New Roman" w:hAnsi="Times New Roman"/>
                <w:b/>
                <w:color w:val="000000" w:themeColor="text1"/>
                <w:sz w:val="20"/>
              </w:rPr>
              <w:t>z toho: oprávnené záväzky pre MREL</w:t>
            </w:r>
          </w:p>
          <w:p w:rsidR="004D27A1" w:rsidRPr="006B669F" w:rsidRDefault="0089272A" w:rsidP="00AE55D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Nesplatená suma oprávnených záväzkov pre MREL vypočítaná podľa článku 45 ods. 4 písm. a)</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písm. c) až f) smernice 2014/59/EÚ. Na tento účel sa záväzky nesmú vylúčiť</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výpočtu iba</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dôvodu, že sú emitované alebo držané subjektom skupiny.</w:t>
            </w:r>
          </w:p>
        </w:tc>
      </w:tr>
    </w:tbl>
    <w:p w:rsidR="00E13CE3" w:rsidRPr="006B669F" w:rsidRDefault="00E13CE3" w:rsidP="00E13CE3">
      <w:pPr>
        <w:jc w:val="both"/>
        <w:rPr>
          <w:rFonts w:ascii="Times New Roman" w:hAnsi="Times New Roman" w:cs="Times New Roman"/>
          <w:color w:val="000000" w:themeColor="text1"/>
          <w:sz w:val="20"/>
          <w:szCs w:val="20"/>
        </w:rPr>
      </w:pPr>
    </w:p>
    <w:p w:rsidR="00E13CE3" w:rsidRPr="00310799" w:rsidRDefault="00F7117F" w:rsidP="008854E4">
      <w:pPr>
        <w:pStyle w:val="Instructionsberschrift2"/>
        <w:numPr>
          <w:ilvl w:val="1"/>
          <w:numId w:val="7"/>
        </w:numPr>
        <w:ind w:left="357" w:hanging="357"/>
        <w:rPr>
          <w:rFonts w:ascii="Times New Roman" w:hAnsi="Times New Roman" w:cs="Times New Roman"/>
          <w:szCs w:val="20"/>
        </w:rPr>
      </w:pPr>
      <w:bookmarkStart w:id="29" w:name="_Toc509909043"/>
      <w:bookmarkStart w:id="30" w:name="_Toc525209033"/>
      <w:r w:rsidRPr="00310799">
        <w:rPr>
          <w:rFonts w:ascii="Times New Roman" w:hAnsi="Times New Roman"/>
        </w:rPr>
        <w:t>Z 05.01</w:t>
      </w:r>
      <w:r w:rsidR="006B669F" w:rsidRPr="00310799">
        <w:rPr>
          <w:rFonts w:ascii="Times New Roman" w:hAnsi="Times New Roman"/>
        </w:rPr>
        <w:t xml:space="preserve"> a Z </w:t>
      </w:r>
      <w:r w:rsidRPr="00310799">
        <w:rPr>
          <w:rFonts w:ascii="Times New Roman" w:hAnsi="Times New Roman"/>
        </w:rPr>
        <w:t xml:space="preserve">05.02 – </w:t>
      </w:r>
      <w:bookmarkStart w:id="31" w:name="_Toc492542325"/>
      <w:r w:rsidRPr="00310799">
        <w:rPr>
          <w:rFonts w:ascii="Times New Roman" w:hAnsi="Times New Roman"/>
        </w:rPr>
        <w:t>Hlavné protistrany (MCP)</w:t>
      </w:r>
      <w:bookmarkEnd w:id="29"/>
      <w:bookmarkEnd w:id="31"/>
      <w:bookmarkEnd w:id="30"/>
    </w:p>
    <w:p w:rsidR="00BF5063" w:rsidRPr="00310799" w:rsidRDefault="00BF5063" w:rsidP="00715DAB">
      <w:pPr>
        <w:pStyle w:val="Instructionsberschrift3"/>
      </w:pPr>
      <w:r w:rsidRPr="00310799">
        <w:t>Všeobecné poznámky</w:t>
      </w:r>
    </w:p>
    <w:p w:rsidR="00747EE2" w:rsidRPr="006B669F" w:rsidRDefault="005B6B0C" w:rsidP="004F233C">
      <w:pPr>
        <w:pStyle w:val="numberedparagraph"/>
      </w:pPr>
      <w:r w:rsidRPr="006B669F">
        <w:t>V týchto vzoroch sa zhromažďujú informácie</w:t>
      </w:r>
      <w:r w:rsidR="006B669F">
        <w:t xml:space="preserve"> o </w:t>
      </w:r>
      <w:r w:rsidRPr="006B669F">
        <w:t>záväzkoch voči hlavným protistranám (Z 05.01)</w:t>
      </w:r>
      <w:r w:rsidR="006B669F">
        <w:t xml:space="preserve"> a o </w:t>
      </w:r>
      <w:r w:rsidRPr="006B669F">
        <w:t>podsúvahových položkách prijatých od hlavných protistrán (Z 05.02). Vykázané sumy sa združujú, ak patria</w:t>
      </w:r>
      <w:r w:rsidR="006B669F">
        <w:t xml:space="preserve"> k </w:t>
      </w:r>
      <w:r w:rsidRPr="006B669F">
        <w:t>tej istej protistrane</w:t>
      </w:r>
      <w:r w:rsidR="006B669F">
        <w:t xml:space="preserve"> a </w:t>
      </w:r>
      <w:r w:rsidRPr="006B669F">
        <w:t>tomu istému druhu záväzkov alebo podsúvahových položiek.</w:t>
      </w:r>
    </w:p>
    <w:p w:rsidR="0056559D" w:rsidRPr="006B669F" w:rsidRDefault="007B491F" w:rsidP="004F233C">
      <w:pPr>
        <w:pStyle w:val="numberedparagraph"/>
      </w:pPr>
      <w:r w:rsidRPr="006B669F">
        <w:t>V týchto vzoroch sa nevykazujú záväzky</w:t>
      </w:r>
      <w:r w:rsidR="006B669F">
        <w:t xml:space="preserve"> a </w:t>
      </w:r>
      <w:r w:rsidRPr="006B669F">
        <w:t>podsúvahové položky, pri ktorých nie je možné identifikovať protistranu. Záväzky</w:t>
      </w:r>
      <w:r w:rsidR="006B669F">
        <w:t xml:space="preserve"> a </w:t>
      </w:r>
      <w:r w:rsidRPr="006B669F">
        <w:t>podsúvahové položky, pri ktorých je protistranou subjekt zahrnutý</w:t>
      </w:r>
      <w:r w:rsidR="006B669F">
        <w:t xml:space="preserve"> v </w:t>
      </w:r>
      <w:r w:rsidRPr="006B669F">
        <w:t>konsolidovaných účtovných závierkach, sa nevykazujú.</w:t>
      </w:r>
    </w:p>
    <w:p w:rsidR="00DF1EA4" w:rsidRPr="00310799" w:rsidRDefault="00F7117F" w:rsidP="00715DAB">
      <w:pPr>
        <w:pStyle w:val="Instructionsberschrift3"/>
      </w:pPr>
      <w:r w:rsidRPr="00310799">
        <w:t>Z 05.01 – Záväzky voči hlavným protistranám – Pokyny týkajúce sa konkrétnych pozícií</w:t>
      </w:r>
    </w:p>
    <w:p w:rsidR="00DF1EA4" w:rsidRPr="006B669F" w:rsidRDefault="00DF1EA4" w:rsidP="004F233C">
      <w:pPr>
        <w:pStyle w:val="numberedparagraph"/>
      </w:pPr>
      <w:r w:rsidRPr="006B669F">
        <w:t>Kombinácia hodnôt vykázaných</w:t>
      </w:r>
      <w:r w:rsidR="006B669F">
        <w:t xml:space="preserve"> v </w:t>
      </w:r>
      <w:r w:rsidRPr="006B669F">
        <w:t>stĺpcoch 0020</w:t>
      </w:r>
      <w:r w:rsidR="006B669F">
        <w:t xml:space="preserve"> a </w:t>
      </w:r>
      <w:r w:rsidRPr="006B669F">
        <w:t>0060 tohto vzoru tvorí primárny kľúč, ktorý musí byť jedinečný pre každý riadok vzoru.</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6B669F" w:rsidTr="00DF1EA4">
        <w:tc>
          <w:tcPr>
            <w:tcW w:w="908" w:type="dxa"/>
            <w:tcBorders>
              <w:top w:val="single" w:sz="4" w:space="0" w:color="1A171C"/>
              <w:left w:val="nil"/>
              <w:bottom w:val="single" w:sz="4" w:space="0" w:color="1A171C"/>
              <w:right w:val="single" w:sz="4" w:space="0" w:color="1A171C"/>
            </w:tcBorders>
            <w:shd w:val="clear" w:color="auto" w:fill="E4E5E5"/>
          </w:tcPr>
          <w:p w:rsidR="007F5A56" w:rsidRPr="006B669F" w:rsidRDefault="007F5A56" w:rsidP="00DF1EA4">
            <w:pPr>
              <w:pStyle w:val="TableParagraph"/>
              <w:spacing w:before="66"/>
              <w:rPr>
                <w:rFonts w:ascii="Times New Roman" w:eastAsia="Cambria" w:hAnsi="Times New Roman" w:cs="Times New Roman"/>
                <w:color w:val="000000" w:themeColor="text1"/>
                <w:sz w:val="20"/>
                <w:szCs w:val="20"/>
              </w:rPr>
            </w:pPr>
            <w:r w:rsidRPr="006B669F">
              <w:rPr>
                <w:rFonts w:ascii="Times New Roman" w:hAnsi="Times New Roman"/>
                <w:color w:val="000000" w:themeColor="text1"/>
                <w:sz w:val="20"/>
              </w:rPr>
              <w:t>Stĺpce</w:t>
            </w:r>
          </w:p>
        </w:tc>
        <w:tc>
          <w:tcPr>
            <w:tcW w:w="8175" w:type="dxa"/>
            <w:tcBorders>
              <w:top w:val="single" w:sz="4" w:space="0" w:color="1A171C"/>
              <w:left w:val="single" w:sz="4" w:space="0" w:color="1A171C"/>
              <w:bottom w:val="single" w:sz="4" w:space="0" w:color="1A171C"/>
              <w:right w:val="nil"/>
            </w:tcBorders>
            <w:shd w:val="clear" w:color="auto" w:fill="E4E5E5"/>
          </w:tcPr>
          <w:p w:rsidR="007F5A56" w:rsidRPr="006B669F"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sidRPr="006B669F">
              <w:rPr>
                <w:rFonts w:ascii="Times New Roman" w:hAnsi="Times New Roman"/>
                <w:color w:val="000000" w:themeColor="text1"/>
                <w:spacing w:val="-1"/>
                <w:w w:val="90"/>
                <w:sz w:val="20"/>
              </w:rPr>
              <w:t>Pokyny</w:t>
            </w:r>
          </w:p>
        </w:tc>
      </w:tr>
      <w:tr w:rsidR="00D22EB0" w:rsidRPr="006B669F" w:rsidTr="00DF1EA4">
        <w:tc>
          <w:tcPr>
            <w:tcW w:w="908" w:type="dxa"/>
            <w:tcBorders>
              <w:top w:val="single" w:sz="4" w:space="0" w:color="1A171C"/>
              <w:left w:val="nil"/>
              <w:bottom w:val="single" w:sz="4" w:space="0" w:color="1A171C"/>
              <w:right w:val="single" w:sz="4" w:space="0" w:color="1A171C"/>
            </w:tcBorders>
            <w:vAlign w:val="center"/>
          </w:tcPr>
          <w:p w:rsidR="007F5A56" w:rsidRPr="006B669F" w:rsidRDefault="004F233C"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w:t>
            </w:r>
            <w:r w:rsidR="007F5A56" w:rsidRPr="006B669F">
              <w:rPr>
                <w:rFonts w:ascii="Times New Roman" w:hAnsi="Times New Roman"/>
                <w:color w:val="000000" w:themeColor="text1"/>
                <w:spacing w:val="-2"/>
                <w:w w:val="95"/>
                <w:sz w:val="20"/>
              </w:rPr>
              <w:t xml:space="preserve">– </w:t>
            </w:r>
            <w:r w:rsidR="007F5A56" w:rsidRPr="006B669F">
              <w:rPr>
                <w:rFonts w:ascii="Times New Roman" w:hAnsi="Times New Roman"/>
                <w:color w:val="000000" w:themeColor="text1"/>
                <w:spacing w:val="-2"/>
                <w:w w:val="95"/>
                <w:sz w:val="20"/>
              </w:rPr>
              <w:lastRenderedPageBreak/>
              <w:t>0050</w:t>
            </w:r>
          </w:p>
        </w:tc>
        <w:tc>
          <w:tcPr>
            <w:tcW w:w="8175" w:type="dxa"/>
            <w:tcBorders>
              <w:top w:val="single" w:sz="4" w:space="0" w:color="1A171C"/>
              <w:left w:val="single" w:sz="4" w:space="0" w:color="1A171C"/>
              <w:bottom w:val="single" w:sz="4" w:space="0" w:color="1A171C"/>
              <w:right w:val="nil"/>
            </w:tcBorders>
            <w:vAlign w:val="center"/>
          </w:tcPr>
          <w:p w:rsidR="007F5A56" w:rsidRPr="00E140EE"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lastRenderedPageBreak/>
              <w:t>Protistrana</w:t>
            </w:r>
          </w:p>
          <w:p w:rsidR="006B669F" w:rsidRDefault="007F5A56" w:rsidP="007F5A56">
            <w:pPr>
              <w:pStyle w:val="TableParagraph"/>
              <w:spacing w:before="108"/>
              <w:ind w:left="85"/>
              <w:jc w:val="both"/>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lastRenderedPageBreak/>
              <w:t>Informácie</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hlavnej protistrane,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súvislosti</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ktorou vzniká záväzok</w:t>
            </w:r>
          </w:p>
          <w:p w:rsidR="004571D1" w:rsidRPr="006B669F"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Hlavné protistrany sa identifikujú na základe spočítania nesplatených súm všetkých záväzkov subjektu alebo skupiny,</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prípade ktorých sa vykazuje vzor, voči každej protistrane alebo skupine prepojených klientov</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výnimkou záväzkov voči subjektom zahrnutým</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konsolidovaných účtovných závierkach.</w:t>
            </w:r>
          </w:p>
          <w:p w:rsidR="008744AF" w:rsidRPr="006B669F"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Protistrany</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skupiny prepojených protistrán sú potom zoradené na základe súhrnnej nesplatenej sumy</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cieľom identifikovať 10 hlavných protistrán,</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ktorých sa poskytnú informácie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tomto vzore.</w:t>
            </w:r>
          </w:p>
          <w:p w:rsidR="00AD011A" w:rsidRPr="006B669F"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6B669F" w:rsidRDefault="00AD011A" w:rsidP="00AD011A">
            <w:pPr>
              <w:pStyle w:val="TableParagraph"/>
              <w:spacing w:before="108"/>
              <w:ind w:left="85"/>
              <w:jc w:val="both"/>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Vymedzenie pojmu „skupina prepojených protistrán“ sa riadi vymedzením pojmu „skupina prepojených klientov“ stanoveným</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článku 4 ods. 1 bode 39 nariadenia (EÚ) č. 575/2013</w:t>
            </w:r>
            <w:r w:rsidR="006B669F">
              <w:rPr>
                <w:rFonts w:ascii="Times New Roman" w:hAnsi="Times New Roman"/>
                <w:color w:val="000000" w:themeColor="text1"/>
                <w:spacing w:val="-2"/>
                <w:w w:val="95"/>
                <w:sz w:val="20"/>
              </w:rPr>
              <w:t>.</w:t>
            </w:r>
          </w:p>
          <w:p w:rsidR="00AD011A" w:rsidRPr="006B669F"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7F5A56" w:rsidRPr="00E140EE" w:rsidRDefault="007F5A56" w:rsidP="004571D1">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Na účely tohto vzoru nesmie byť protistrana subjektom zahrnutým</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konsolidovaných účtovných závierkach.</w:t>
            </w:r>
          </w:p>
        </w:tc>
      </w:tr>
      <w:tr w:rsidR="00D22EB0" w:rsidRPr="006B669F" w:rsidTr="00DF1EA4">
        <w:tc>
          <w:tcPr>
            <w:tcW w:w="908" w:type="dxa"/>
            <w:tcBorders>
              <w:top w:val="single" w:sz="4" w:space="0" w:color="1A171C"/>
              <w:left w:val="nil"/>
              <w:bottom w:val="single" w:sz="4" w:space="0" w:color="1A171C"/>
              <w:right w:val="single" w:sz="4" w:space="0" w:color="1A171C"/>
            </w:tcBorders>
            <w:vAlign w:val="center"/>
          </w:tcPr>
          <w:p w:rsidR="007F5A56" w:rsidRPr="006B669F"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0010</w:t>
            </w:r>
          </w:p>
        </w:tc>
        <w:tc>
          <w:tcPr>
            <w:tcW w:w="8175" w:type="dxa"/>
            <w:tcBorders>
              <w:top w:val="single" w:sz="4" w:space="0" w:color="1A171C"/>
              <w:left w:val="single" w:sz="4" w:space="0" w:color="1A171C"/>
              <w:bottom w:val="single" w:sz="4" w:space="0" w:color="1A171C"/>
              <w:right w:val="nil"/>
            </w:tcBorders>
            <w:vAlign w:val="center"/>
          </w:tcPr>
          <w:p w:rsidR="007F5A56" w:rsidRPr="00E140EE" w:rsidRDefault="00632490" w:rsidP="007F5A56">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Názov subjektu</w:t>
            </w:r>
          </w:p>
          <w:p w:rsidR="007F5A56" w:rsidRPr="006B669F"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Názov hlavnej protistrany alebo podľa potreby názov skupiny prepojených klientov.</w:t>
            </w:r>
          </w:p>
          <w:p w:rsidR="007F5A56" w:rsidRPr="006B669F"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Názvom skupiny prepojených klientov je názov materskej spoločnosti, alebo ak skupina prepojených klientov nemá materskú spoločnosť, obchodný názov skupiny.</w:t>
            </w:r>
          </w:p>
        </w:tc>
      </w:tr>
      <w:tr w:rsidR="00D22EB0" w:rsidRPr="006B669F" w:rsidTr="00DF1EA4">
        <w:tc>
          <w:tcPr>
            <w:tcW w:w="908" w:type="dxa"/>
            <w:tcBorders>
              <w:top w:val="single" w:sz="4" w:space="0" w:color="1A171C"/>
              <w:left w:val="nil"/>
              <w:bottom w:val="single" w:sz="4" w:space="0" w:color="1A171C"/>
              <w:right w:val="single" w:sz="4" w:space="0" w:color="1A171C"/>
            </w:tcBorders>
            <w:vAlign w:val="center"/>
          </w:tcPr>
          <w:p w:rsidR="007F5A56" w:rsidRPr="006B669F"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0020</w:t>
            </w:r>
          </w:p>
        </w:tc>
        <w:tc>
          <w:tcPr>
            <w:tcW w:w="8175" w:type="dxa"/>
            <w:tcBorders>
              <w:top w:val="single" w:sz="4" w:space="0" w:color="1A171C"/>
              <w:left w:val="single" w:sz="4" w:space="0" w:color="1A171C"/>
              <w:bottom w:val="single" w:sz="4" w:space="0" w:color="1A171C"/>
              <w:right w:val="nil"/>
            </w:tcBorders>
            <w:vAlign w:val="center"/>
          </w:tcPr>
          <w:p w:rsidR="007F5A56" w:rsidRPr="00E140EE"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Kód</w:t>
            </w:r>
          </w:p>
          <w:p w:rsidR="005D56E3" w:rsidRPr="006B669F"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Kód hlavnej protistrany alebo skupiny prepojených klientov.</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prípade inštitúcií je kódom 20-miestny alfanumerický kód LEI.</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prípade iných subjektov je kódom 20-miestny alfanumerický kód LEI, alebo ak nie je</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dispozícii, kód</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rámci jednotnej kodifikácie uplatniteľnej</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Únii, alebo ak ani tento kód nie je</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dispozícii, vnútroštátny kód.</w:t>
            </w:r>
          </w:p>
          <w:p w:rsidR="005D56E3" w:rsidRPr="006B669F"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Tento kód musí byť jedinečný</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musí sa používať konzistentne vo všetkých vzoroch.</w:t>
            </w:r>
          </w:p>
          <w:p w:rsidR="00BE2A9D" w:rsidRPr="006B669F" w:rsidRDefault="00BE2A9D" w:rsidP="00BE2A9D">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6B669F" w:rsidTr="00DF1EA4">
        <w:tc>
          <w:tcPr>
            <w:tcW w:w="908" w:type="dxa"/>
            <w:tcBorders>
              <w:top w:val="single" w:sz="4" w:space="0" w:color="1A171C"/>
              <w:left w:val="nil"/>
              <w:bottom w:val="single" w:sz="4" w:space="0" w:color="1A171C"/>
              <w:right w:val="single" w:sz="4" w:space="0" w:color="1A171C"/>
            </w:tcBorders>
            <w:vAlign w:val="center"/>
          </w:tcPr>
          <w:p w:rsidR="007F5A56" w:rsidRPr="006B669F"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0030</w:t>
            </w:r>
          </w:p>
        </w:tc>
        <w:tc>
          <w:tcPr>
            <w:tcW w:w="8175" w:type="dxa"/>
            <w:tcBorders>
              <w:top w:val="single" w:sz="4" w:space="0" w:color="1A171C"/>
              <w:left w:val="single" w:sz="4" w:space="0" w:color="1A171C"/>
              <w:bottom w:val="single" w:sz="4" w:space="0" w:color="1A171C"/>
              <w:right w:val="nil"/>
            </w:tcBorders>
            <w:vAlign w:val="center"/>
          </w:tcPr>
          <w:p w:rsidR="007F5A56" w:rsidRPr="00E140EE" w:rsidRDefault="007F5A56" w:rsidP="00BE2A9D">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Skupina alebo jednotlivé protistrany</w:t>
            </w:r>
          </w:p>
          <w:p w:rsidR="007F5A56" w:rsidRPr="006B669F" w:rsidRDefault="00BE2A9D" w:rsidP="00774595">
            <w:pPr>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Inštitúcia vykazuje „1“ pre jednotlivé hlavné protistrany</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„2“ pre skupiny prepojených klientov.</w:t>
            </w:r>
          </w:p>
        </w:tc>
      </w:tr>
      <w:tr w:rsidR="00D22EB0" w:rsidRPr="006B669F" w:rsidTr="00DF1EA4">
        <w:tc>
          <w:tcPr>
            <w:tcW w:w="908" w:type="dxa"/>
            <w:tcBorders>
              <w:top w:val="single" w:sz="4" w:space="0" w:color="1A171C"/>
              <w:left w:val="nil"/>
              <w:bottom w:val="single" w:sz="4" w:space="0" w:color="1A171C"/>
              <w:right w:val="single" w:sz="4" w:space="0" w:color="1A171C"/>
            </w:tcBorders>
            <w:vAlign w:val="center"/>
          </w:tcPr>
          <w:p w:rsidR="007F5A56" w:rsidRPr="006B669F"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0040</w:t>
            </w:r>
          </w:p>
        </w:tc>
        <w:tc>
          <w:tcPr>
            <w:tcW w:w="8175" w:type="dxa"/>
            <w:tcBorders>
              <w:top w:val="single" w:sz="4" w:space="0" w:color="1A171C"/>
              <w:left w:val="single" w:sz="4" w:space="0" w:color="1A171C"/>
              <w:bottom w:val="single" w:sz="4" w:space="0" w:color="1A171C"/>
              <w:right w:val="nil"/>
            </w:tcBorders>
            <w:vAlign w:val="center"/>
          </w:tcPr>
          <w:p w:rsidR="007F5A56" w:rsidRPr="00E140EE" w:rsidRDefault="00B65144" w:rsidP="007F5A56">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Štát</w:t>
            </w:r>
          </w:p>
          <w:p w:rsidR="006B669F" w:rsidRDefault="007F5A56" w:rsidP="007F5A56">
            <w:pPr>
              <w:spacing w:before="108"/>
              <w:ind w:left="85"/>
              <w:contextualSpacing/>
              <w:jc w:val="both"/>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Kód ISO 3166-1-alfa-2 štátu,</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ktorom bola protistrana zriadená. Tento kód zahŕňa pseudokódy ISO pre medzinárodné organizácie dostupné</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najnovšom vydaní „Príručky platobnej bilancie“ Eurostatu</w:t>
            </w:r>
            <w:r w:rsidR="006B669F">
              <w:rPr>
                <w:rFonts w:ascii="Times New Roman" w:hAnsi="Times New Roman"/>
                <w:color w:val="000000" w:themeColor="text1"/>
                <w:spacing w:val="-2"/>
                <w:w w:val="95"/>
                <w:sz w:val="20"/>
              </w:rPr>
              <w:t>.</w:t>
            </w:r>
          </w:p>
          <w:p w:rsidR="007F5A56" w:rsidRPr="006B669F"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Štát sa určuje odkazom na sídlo protistrany.</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prípade skupín prepojených klientov štát,</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 xml:space="preserve">ktorom bola materská spoločnosť zriadená. </w:t>
            </w:r>
          </w:p>
        </w:tc>
      </w:tr>
      <w:tr w:rsidR="00D22EB0" w:rsidRPr="006B669F" w:rsidTr="00DF1EA4">
        <w:tc>
          <w:tcPr>
            <w:tcW w:w="908" w:type="dxa"/>
            <w:tcBorders>
              <w:top w:val="single" w:sz="4" w:space="0" w:color="1A171C"/>
              <w:left w:val="nil"/>
              <w:bottom w:val="single" w:sz="4" w:space="0" w:color="1A171C"/>
              <w:right w:val="single" w:sz="4" w:space="0" w:color="1A171C"/>
            </w:tcBorders>
            <w:vAlign w:val="center"/>
          </w:tcPr>
          <w:p w:rsidR="007F5A56" w:rsidRPr="006B669F"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0050</w:t>
            </w:r>
          </w:p>
        </w:tc>
        <w:tc>
          <w:tcPr>
            <w:tcW w:w="8175" w:type="dxa"/>
            <w:tcBorders>
              <w:top w:val="single" w:sz="4" w:space="0" w:color="1A171C"/>
              <w:left w:val="single" w:sz="4" w:space="0" w:color="1A171C"/>
              <w:bottom w:val="single" w:sz="4" w:space="0" w:color="1A171C"/>
              <w:right w:val="nil"/>
            </w:tcBorders>
            <w:vAlign w:val="center"/>
          </w:tcPr>
          <w:p w:rsidR="007F5A56" w:rsidRPr="00E140EE"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Sektor</w:t>
            </w:r>
          </w:p>
          <w:p w:rsidR="007F5A56" w:rsidRPr="006B669F"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Na základe tried hospodárskych sektorov podľa FINREP (FINREP, príloha V, časť 1, kapitola 6) sa každej protistrane prideľuje jeden sektor:</w:t>
            </w:r>
          </w:p>
          <w:p w:rsidR="00774595" w:rsidRPr="00E140EE" w:rsidRDefault="007F5A56" w:rsidP="00E140EE">
            <w:pPr>
              <w:pStyle w:val="List1"/>
              <w:rPr>
                <w:rFonts w:eastAsia="Cambria"/>
              </w:rPr>
            </w:pPr>
            <w:r w:rsidRPr="00E140EE">
              <w:t>Centrálne banky</w:t>
            </w:r>
          </w:p>
          <w:p w:rsidR="007F5A56" w:rsidRPr="00E140EE" w:rsidRDefault="007F5A56" w:rsidP="00E140EE">
            <w:pPr>
              <w:pStyle w:val="List1"/>
              <w:rPr>
                <w:rFonts w:eastAsia="Cambria"/>
              </w:rPr>
            </w:pPr>
            <w:r w:rsidRPr="00E140EE">
              <w:t>Orgány verejnej správy</w:t>
            </w:r>
          </w:p>
          <w:p w:rsidR="006B669F" w:rsidRPr="00E140EE" w:rsidRDefault="007F5A56" w:rsidP="00E140EE">
            <w:pPr>
              <w:pStyle w:val="List1"/>
            </w:pPr>
            <w:r w:rsidRPr="00E140EE">
              <w:t>Úverové inštitúcie</w:t>
            </w:r>
            <w:r w:rsidR="006B669F" w:rsidRPr="00E140EE">
              <w:t>:</w:t>
            </w:r>
          </w:p>
          <w:p w:rsidR="007F5A56" w:rsidRPr="00E140EE" w:rsidRDefault="007F5A56" w:rsidP="00E140EE">
            <w:pPr>
              <w:pStyle w:val="List1"/>
              <w:rPr>
                <w:rFonts w:eastAsia="Cambria"/>
              </w:rPr>
            </w:pPr>
            <w:r w:rsidRPr="00E140EE">
              <w:t>Iné finančné korporácie</w:t>
            </w:r>
          </w:p>
          <w:p w:rsidR="007F5A56" w:rsidRPr="00E140EE" w:rsidRDefault="007F5A56" w:rsidP="00E140EE">
            <w:pPr>
              <w:pStyle w:val="List1"/>
              <w:rPr>
                <w:rFonts w:eastAsia="Cambria"/>
              </w:rPr>
            </w:pPr>
            <w:r w:rsidRPr="00E140EE">
              <w:t>Nefinančné korporácie</w:t>
            </w:r>
          </w:p>
          <w:p w:rsidR="007F5A56" w:rsidRPr="00E140EE" w:rsidRDefault="007F5A56" w:rsidP="00E140EE">
            <w:pPr>
              <w:pStyle w:val="List1"/>
              <w:rPr>
                <w:rFonts w:eastAsia="Cambria"/>
              </w:rPr>
            </w:pPr>
            <w:r w:rsidRPr="00E140EE">
              <w:t>Domácnosti</w:t>
            </w:r>
          </w:p>
          <w:p w:rsidR="007F5A56" w:rsidRPr="006B669F"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V prípade skupín prepojených klientov sa sektor nevykazuje.</w:t>
            </w:r>
          </w:p>
        </w:tc>
      </w:tr>
      <w:tr w:rsidR="00D22EB0" w:rsidRPr="006B669F" w:rsidTr="00DF1EA4">
        <w:tc>
          <w:tcPr>
            <w:tcW w:w="908" w:type="dxa"/>
            <w:tcBorders>
              <w:top w:val="single" w:sz="4" w:space="0" w:color="1A171C"/>
              <w:left w:val="nil"/>
              <w:bottom w:val="single" w:sz="4" w:space="0" w:color="1A171C"/>
              <w:right w:val="single" w:sz="4" w:space="0" w:color="1A171C"/>
            </w:tcBorders>
            <w:vAlign w:val="center"/>
          </w:tcPr>
          <w:p w:rsidR="007F5A56" w:rsidRPr="006B669F"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0060</w:t>
            </w:r>
          </w:p>
        </w:tc>
        <w:tc>
          <w:tcPr>
            <w:tcW w:w="8175" w:type="dxa"/>
            <w:tcBorders>
              <w:top w:val="single" w:sz="4" w:space="0" w:color="1A171C"/>
              <w:left w:val="single" w:sz="4" w:space="0" w:color="1A171C"/>
              <w:bottom w:val="single" w:sz="4" w:space="0" w:color="1A171C"/>
              <w:right w:val="nil"/>
            </w:tcBorders>
            <w:vAlign w:val="center"/>
          </w:tcPr>
          <w:p w:rsidR="007F5A56" w:rsidRPr="00E140EE"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Druh</w:t>
            </w:r>
          </w:p>
          <w:p w:rsidR="007F5A56" w:rsidRPr="006B669F"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Druh záväzku je jedným</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druhov záväzkov uvedených vo vzore</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02.00 – Štruktúra záväzkov [LIAB],</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to:</w:t>
            </w:r>
          </w:p>
          <w:p w:rsidR="007F5A56" w:rsidRPr="006B669F"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L.0</w:t>
            </w:r>
            <w:r w:rsidRPr="006B669F">
              <w:tab/>
            </w:r>
            <w:r w:rsidRPr="006B669F">
              <w:rPr>
                <w:rFonts w:ascii="Times New Roman" w:hAnsi="Times New Roman"/>
                <w:color w:val="000000" w:themeColor="text1"/>
                <w:spacing w:val="-2"/>
                <w:w w:val="95"/>
                <w:sz w:val="20"/>
              </w:rPr>
              <w:t>Záväzky vylúčené zo záchrany pomocou vnútorných zdrojov</w:t>
            </w:r>
          </w:p>
          <w:p w:rsidR="007F5A56" w:rsidRPr="006B669F"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L.1</w:t>
            </w:r>
            <w:r w:rsidRPr="006B669F">
              <w:tab/>
            </w:r>
            <w:r w:rsidRPr="006B669F">
              <w:rPr>
                <w:rFonts w:ascii="Times New Roman" w:hAnsi="Times New Roman"/>
                <w:color w:val="000000" w:themeColor="text1"/>
                <w:spacing w:val="-2"/>
                <w:w w:val="95"/>
                <w:sz w:val="20"/>
              </w:rPr>
              <w:t>Vklady, ktoré nie sú kryté, ale sú preferenčné</w:t>
            </w:r>
          </w:p>
          <w:p w:rsidR="007F5A56" w:rsidRPr="006B669F"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L.2</w:t>
            </w:r>
            <w:r w:rsidRPr="006B669F">
              <w:tab/>
            </w:r>
            <w:r w:rsidRPr="006B669F">
              <w:rPr>
                <w:rFonts w:ascii="Times New Roman" w:hAnsi="Times New Roman"/>
                <w:color w:val="000000" w:themeColor="text1"/>
                <w:spacing w:val="-2"/>
                <w:w w:val="95"/>
                <w:sz w:val="20"/>
              </w:rPr>
              <w:t>Vklady, ktoré nie sú kryté ani preferenčné</w:t>
            </w:r>
          </w:p>
          <w:p w:rsidR="007F5A56" w:rsidRPr="006B669F"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L.3</w:t>
            </w:r>
            <w:r w:rsidRPr="006B669F">
              <w:tab/>
            </w:r>
            <w:r w:rsidRPr="006B669F">
              <w:rPr>
                <w:rFonts w:ascii="Times New Roman" w:hAnsi="Times New Roman"/>
                <w:color w:val="000000" w:themeColor="text1"/>
                <w:spacing w:val="-2"/>
                <w:w w:val="95"/>
                <w:sz w:val="20"/>
              </w:rPr>
              <w:t>Záväzky vyplývajúce</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derivátov</w:t>
            </w:r>
          </w:p>
          <w:p w:rsidR="007F5A56" w:rsidRPr="006B669F"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L.4</w:t>
            </w:r>
            <w:r w:rsidRPr="006B669F">
              <w:tab/>
            </w:r>
            <w:r w:rsidRPr="006B669F">
              <w:rPr>
                <w:rFonts w:ascii="Times New Roman" w:hAnsi="Times New Roman"/>
                <w:color w:val="000000" w:themeColor="text1"/>
                <w:spacing w:val="-2"/>
                <w:w w:val="95"/>
                <w:sz w:val="20"/>
              </w:rPr>
              <w:t>Zabezpečené záväzky nezabezpečené kolaterálom</w:t>
            </w:r>
          </w:p>
          <w:p w:rsidR="007F5A56" w:rsidRPr="006B669F"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L.5</w:t>
            </w:r>
            <w:r w:rsidRPr="006B669F">
              <w:tab/>
            </w:r>
            <w:r w:rsidRPr="006B669F">
              <w:rPr>
                <w:rFonts w:ascii="Times New Roman" w:hAnsi="Times New Roman"/>
                <w:color w:val="000000" w:themeColor="text1"/>
                <w:spacing w:val="-2"/>
                <w:w w:val="95"/>
                <w:sz w:val="20"/>
              </w:rPr>
              <w:t>Štruktúrované cenné papiere</w:t>
            </w:r>
          </w:p>
          <w:p w:rsidR="007F5A56" w:rsidRPr="006B669F"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L.6</w:t>
            </w:r>
            <w:r w:rsidRPr="006B669F">
              <w:tab/>
            </w:r>
            <w:r w:rsidRPr="006B669F">
              <w:rPr>
                <w:rFonts w:ascii="Times New Roman" w:hAnsi="Times New Roman"/>
                <w:color w:val="000000" w:themeColor="text1"/>
                <w:spacing w:val="-2"/>
                <w:w w:val="95"/>
                <w:sz w:val="20"/>
              </w:rPr>
              <w:t>Nadriadené nezabezpečené záväzky</w:t>
            </w:r>
          </w:p>
          <w:p w:rsidR="00306CCC" w:rsidRPr="006B669F"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L.7</w:t>
            </w:r>
            <w:r w:rsidR="006B669F" w:rsidRPr="006B669F">
              <w:tab/>
            </w:r>
            <w:r w:rsidRPr="006B669F">
              <w:rPr>
                <w:rFonts w:ascii="Times New Roman" w:hAnsi="Times New Roman"/>
                <w:color w:val="000000" w:themeColor="text1"/>
                <w:spacing w:val="-2"/>
                <w:w w:val="95"/>
                <w:sz w:val="20"/>
              </w:rPr>
              <w:t>Nadriadené záväzky bez prioritného postavenia</w:t>
            </w:r>
          </w:p>
          <w:p w:rsidR="007F5A56" w:rsidRPr="006B669F"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L.8</w:t>
            </w:r>
            <w:r w:rsidRPr="006B669F">
              <w:tab/>
            </w:r>
            <w:r w:rsidRPr="006B669F">
              <w:rPr>
                <w:rFonts w:ascii="Times New Roman" w:hAnsi="Times New Roman"/>
                <w:color w:val="000000" w:themeColor="text1"/>
                <w:spacing w:val="-2"/>
                <w:w w:val="95"/>
                <w:sz w:val="20"/>
              </w:rPr>
              <w:t>Podriadené záväzky (nevykázané ako vlastné zdroje)</w:t>
            </w:r>
          </w:p>
          <w:p w:rsidR="007F5A56" w:rsidRPr="006B669F"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L.9</w:t>
            </w:r>
            <w:r w:rsidRPr="006B669F">
              <w:tab/>
            </w:r>
            <w:r w:rsidRPr="006B669F">
              <w:rPr>
                <w:rFonts w:ascii="Times New Roman" w:hAnsi="Times New Roman"/>
                <w:color w:val="000000" w:themeColor="text1"/>
                <w:spacing w:val="-2"/>
                <w:w w:val="95"/>
                <w:sz w:val="20"/>
              </w:rPr>
              <w:t>Iné oprávnené záväzky pre MREL</w:t>
            </w:r>
          </w:p>
          <w:p w:rsidR="007F5A56" w:rsidRPr="006B669F"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L.10</w:t>
            </w:r>
            <w:r w:rsidRPr="006B669F">
              <w:tab/>
            </w:r>
            <w:r w:rsidRPr="006B669F">
              <w:rPr>
                <w:rFonts w:ascii="Times New Roman" w:hAnsi="Times New Roman"/>
                <w:color w:val="000000" w:themeColor="text1"/>
                <w:spacing w:val="-2"/>
                <w:w w:val="95"/>
                <w:sz w:val="20"/>
              </w:rPr>
              <w:t>Nefinančné záväzky</w:t>
            </w:r>
          </w:p>
          <w:p w:rsidR="00C9331A" w:rsidRPr="006B669F"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L.11</w:t>
            </w:r>
            <w:r w:rsidRPr="006B669F">
              <w:tab/>
            </w:r>
            <w:r w:rsidRPr="006B669F">
              <w:rPr>
                <w:rFonts w:ascii="Times New Roman" w:hAnsi="Times New Roman"/>
                <w:color w:val="000000" w:themeColor="text1"/>
                <w:spacing w:val="-2"/>
                <w:w w:val="95"/>
                <w:sz w:val="20"/>
              </w:rPr>
              <w:t>Zostatkové záväzky</w:t>
            </w:r>
          </w:p>
          <w:p w:rsidR="007F5A56" w:rsidRPr="006B669F" w:rsidRDefault="00C9331A" w:rsidP="009B516A">
            <w:pPr>
              <w:pStyle w:val="TableParagraph"/>
              <w:spacing w:before="108"/>
              <w:ind w:left="85"/>
              <w:jc w:val="both"/>
              <w:rPr>
                <w:rFonts w:ascii="Times New Roman" w:hAnsi="Times New Roman" w:cs="Times New Roman"/>
                <w:color w:val="000000" w:themeColor="text1"/>
                <w:w w:val="95"/>
                <w:sz w:val="20"/>
                <w:szCs w:val="20"/>
              </w:rPr>
            </w:pPr>
            <w:r w:rsidRPr="006B669F">
              <w:rPr>
                <w:rFonts w:ascii="Times New Roman" w:hAnsi="Times New Roman"/>
                <w:color w:val="000000" w:themeColor="text1"/>
                <w:spacing w:val="-2"/>
                <w:w w:val="95"/>
                <w:sz w:val="20"/>
              </w:rPr>
              <w:t>Ak záväzky voči hlavnej protistrane pozostávajú</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viac ako jedného</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druhov vyššie uvedených záväzkov, každý druh záväzku sa vykazuje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osobitnom riadku.</w:t>
            </w:r>
          </w:p>
        </w:tc>
      </w:tr>
      <w:tr w:rsidR="00D22EB0" w:rsidRPr="006B669F" w:rsidTr="00DF1EA4">
        <w:tc>
          <w:tcPr>
            <w:tcW w:w="908" w:type="dxa"/>
            <w:tcBorders>
              <w:top w:val="single" w:sz="4" w:space="0" w:color="1A171C"/>
              <w:left w:val="nil"/>
              <w:bottom w:val="single" w:sz="4" w:space="0" w:color="1A171C"/>
              <w:right w:val="single" w:sz="4" w:space="0" w:color="1A171C"/>
            </w:tcBorders>
            <w:vAlign w:val="center"/>
          </w:tcPr>
          <w:p w:rsidR="007F5A56" w:rsidRPr="006B669F"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0070</w:t>
            </w:r>
          </w:p>
        </w:tc>
        <w:tc>
          <w:tcPr>
            <w:tcW w:w="8175" w:type="dxa"/>
            <w:tcBorders>
              <w:top w:val="single" w:sz="4" w:space="0" w:color="1A171C"/>
              <w:left w:val="single" w:sz="4" w:space="0" w:color="1A171C"/>
              <w:bottom w:val="single" w:sz="4" w:space="0" w:color="1A171C"/>
              <w:right w:val="nil"/>
            </w:tcBorders>
            <w:vAlign w:val="center"/>
          </w:tcPr>
          <w:p w:rsidR="007F5A56" w:rsidRPr="00E140EE"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Suma</w:t>
            </w:r>
          </w:p>
          <w:p w:rsidR="007F5A56" w:rsidRPr="006B669F" w:rsidRDefault="007F5A56"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Táto suma zodpovedá vymedzeniu pojmu „nesplatená suma“ predpísanému vo vzore</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02.00 – Štruktúra záväzkov.</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prípade záväzkov vyplývajúcich</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derivátov (druh L.3) sa vykazujú sumy po konečnom zúčtovaní podľa vymedzenia na účely vzoru</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02.00, riadok 0333.</w:t>
            </w:r>
          </w:p>
        </w:tc>
      </w:tr>
    </w:tbl>
    <w:p w:rsidR="00627D51" w:rsidRPr="006B669F" w:rsidRDefault="00627D51" w:rsidP="007F5A56">
      <w:pPr>
        <w:pStyle w:val="body"/>
        <w:rPr>
          <w:rFonts w:ascii="Times New Roman" w:hAnsi="Times New Roman" w:cs="Times New Roman"/>
          <w:color w:val="000000" w:themeColor="text1"/>
          <w:sz w:val="20"/>
          <w:szCs w:val="20"/>
        </w:rPr>
      </w:pPr>
    </w:p>
    <w:p w:rsidR="005A6A04" w:rsidRPr="00310799" w:rsidRDefault="00F7117F" w:rsidP="00715DAB">
      <w:pPr>
        <w:pStyle w:val="Instructionsberschrift3"/>
      </w:pPr>
      <w:r w:rsidRPr="00310799">
        <w:t>Z 05.02 – Podsúvahové položky hlavných protistrán: pokyny týkajúce sa konkrétnych pozícií</w:t>
      </w:r>
    </w:p>
    <w:p w:rsidR="0056559D" w:rsidRPr="004F233C" w:rsidRDefault="005A6A04" w:rsidP="004F233C">
      <w:pPr>
        <w:pStyle w:val="numberedparagraph"/>
      </w:pPr>
      <w:r w:rsidRPr="004F233C">
        <w:t>Kombinácia hodnôt vykázaných</w:t>
      </w:r>
      <w:r w:rsidR="006B669F" w:rsidRPr="004F233C">
        <w:t xml:space="preserve"> v </w:t>
      </w:r>
      <w:r w:rsidRPr="004F233C">
        <w:t>stĺpcoch 0020</w:t>
      </w:r>
      <w:r w:rsidR="006B669F" w:rsidRPr="004F233C">
        <w:t xml:space="preserve"> a </w:t>
      </w:r>
      <w:r w:rsidRPr="004F233C">
        <w:t>0060 tohto vzoru tvorí primárny kľúč, ktorý musí byť jedinečný pre každý riadok vzoru.</w:t>
      </w:r>
    </w:p>
    <w:tbl>
      <w:tblPr>
        <w:tblW w:w="0" w:type="auto"/>
        <w:tblCellMar>
          <w:top w:w="57" w:type="dxa"/>
          <w:left w:w="57" w:type="dxa"/>
          <w:bottom w:w="57" w:type="dxa"/>
          <w:right w:w="0" w:type="dxa"/>
        </w:tblCellMar>
        <w:tblLook w:val="01E0" w:firstRow="1" w:lastRow="1" w:firstColumn="1" w:lastColumn="1" w:noHBand="0" w:noVBand="0"/>
      </w:tblPr>
      <w:tblGrid>
        <w:gridCol w:w="909"/>
        <w:gridCol w:w="8174"/>
      </w:tblGrid>
      <w:tr w:rsidR="00D22EB0" w:rsidRPr="006B669F" w:rsidTr="005A6A04">
        <w:tc>
          <w:tcPr>
            <w:tcW w:w="909" w:type="dxa"/>
            <w:tcBorders>
              <w:top w:val="single" w:sz="4" w:space="0" w:color="1A171C"/>
              <w:left w:val="nil"/>
              <w:bottom w:val="single" w:sz="4" w:space="0" w:color="1A171C"/>
              <w:right w:val="single" w:sz="4" w:space="0" w:color="1A171C"/>
            </w:tcBorders>
            <w:shd w:val="clear" w:color="auto" w:fill="E4E5E5"/>
          </w:tcPr>
          <w:p w:rsidR="00627D51" w:rsidRPr="006B669F"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Stĺpce</w:t>
            </w:r>
          </w:p>
        </w:tc>
        <w:tc>
          <w:tcPr>
            <w:tcW w:w="8174" w:type="dxa"/>
            <w:tcBorders>
              <w:top w:val="single" w:sz="4" w:space="0" w:color="1A171C"/>
              <w:left w:val="single" w:sz="4" w:space="0" w:color="1A171C"/>
              <w:bottom w:val="single" w:sz="4" w:space="0" w:color="1A171C"/>
              <w:right w:val="nil"/>
            </w:tcBorders>
            <w:shd w:val="clear" w:color="auto" w:fill="E4E5E5"/>
          </w:tcPr>
          <w:p w:rsidR="00627D51" w:rsidRPr="006B669F"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Pokyny</w:t>
            </w:r>
          </w:p>
        </w:tc>
      </w:tr>
      <w:tr w:rsidR="00D22EB0" w:rsidRPr="006B669F" w:rsidTr="005A6A04">
        <w:tc>
          <w:tcPr>
            <w:tcW w:w="909" w:type="dxa"/>
            <w:tcBorders>
              <w:top w:val="single" w:sz="4" w:space="0" w:color="1A171C"/>
              <w:left w:val="nil"/>
              <w:bottom w:val="single" w:sz="4" w:space="0" w:color="1A171C"/>
              <w:right w:val="single" w:sz="4" w:space="0" w:color="1A171C"/>
            </w:tcBorders>
            <w:vAlign w:val="center"/>
          </w:tcPr>
          <w:p w:rsidR="00627D51" w:rsidRPr="006B669F" w:rsidRDefault="00627D51" w:rsidP="00E140E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0010</w:t>
            </w:r>
            <w:r w:rsidR="00E140EE">
              <w:rPr>
                <w:rFonts w:ascii="Times New Roman" w:hAnsi="Times New Roman"/>
                <w:color w:val="000000" w:themeColor="text1"/>
                <w:spacing w:val="-2"/>
                <w:w w:val="95"/>
                <w:sz w:val="20"/>
              </w:rPr>
              <w:t> </w:t>
            </w:r>
            <w:r w:rsidRPr="006B669F">
              <w:rPr>
                <w:rFonts w:ascii="Times New Roman" w:hAnsi="Times New Roman"/>
                <w:color w:val="000000" w:themeColor="text1"/>
                <w:spacing w:val="-2"/>
                <w:w w:val="95"/>
                <w:sz w:val="20"/>
              </w:rPr>
              <w:t>– 0050</w:t>
            </w:r>
          </w:p>
        </w:tc>
        <w:tc>
          <w:tcPr>
            <w:tcW w:w="8174" w:type="dxa"/>
            <w:tcBorders>
              <w:top w:val="single" w:sz="4" w:space="0" w:color="1A171C"/>
              <w:left w:val="single" w:sz="4" w:space="0" w:color="1A171C"/>
              <w:bottom w:val="single" w:sz="4" w:space="0" w:color="1A171C"/>
              <w:right w:val="nil"/>
            </w:tcBorders>
            <w:vAlign w:val="center"/>
          </w:tcPr>
          <w:p w:rsidR="00627D51" w:rsidRPr="00E140EE"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Protistrany</w:t>
            </w:r>
          </w:p>
          <w:p w:rsidR="00627D51" w:rsidRPr="006B669F"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Informácie</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podsúvahe hlavných protistrán.</w:t>
            </w:r>
          </w:p>
          <w:p w:rsidR="00627D51" w:rsidRPr="006B669F"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Podsúvahové položky hlavných protistrán sa určujú na základe spočítania celkovej nominálnej hodnoty prijatých prísľubov</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finančných záruk (podľa vymedzenia na účely FINREP, vzor F 09) subjektom alebo subjektmi skupiny, pre ktoré sa vzor vykazuje od protistrán alebo skupiny prepojených klientov.</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podsúvahových položiek hlavných protistrán sa vylúčia subjekty zahrnuté do konsolidovaných účtovných závierok skupiny. Protistrany</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skupiny prepojených klientov sú potom zoradené na základe celkovej nesplatenej sumy</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cieľom určiť 10 podsúvahových položiek hlavných protistrán,</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ktorých sa poskytujú informácie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tomto vzore.</w:t>
            </w:r>
          </w:p>
          <w:p w:rsidR="00627D51" w:rsidRPr="006B669F"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Na účely tohto vzoru sa vykazujú len protistrany, ktoré nie sú zahrnuté do konsolidovaných účtovných závierok.</w:t>
            </w:r>
          </w:p>
        </w:tc>
      </w:tr>
      <w:tr w:rsidR="00D22EB0" w:rsidRPr="006B669F" w:rsidTr="005A6A04">
        <w:tc>
          <w:tcPr>
            <w:tcW w:w="909" w:type="dxa"/>
            <w:tcBorders>
              <w:top w:val="single" w:sz="4" w:space="0" w:color="1A171C"/>
              <w:left w:val="nil"/>
              <w:bottom w:val="single" w:sz="4" w:space="0" w:color="1A171C"/>
              <w:right w:val="single" w:sz="4" w:space="0" w:color="1A171C"/>
            </w:tcBorders>
            <w:vAlign w:val="center"/>
          </w:tcPr>
          <w:p w:rsidR="00627D51" w:rsidRPr="006B669F"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0010</w:t>
            </w:r>
          </w:p>
        </w:tc>
        <w:tc>
          <w:tcPr>
            <w:tcW w:w="8174" w:type="dxa"/>
            <w:tcBorders>
              <w:top w:val="single" w:sz="4" w:space="0" w:color="1A171C"/>
              <w:left w:val="single" w:sz="4" w:space="0" w:color="1A171C"/>
              <w:bottom w:val="single" w:sz="4" w:space="0" w:color="1A171C"/>
              <w:right w:val="nil"/>
            </w:tcBorders>
            <w:vAlign w:val="center"/>
          </w:tcPr>
          <w:p w:rsidR="00627D51" w:rsidRPr="00E140EE" w:rsidRDefault="00FB1FB9" w:rsidP="00627D51">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Názov subjektu</w:t>
            </w:r>
          </w:p>
          <w:p w:rsidR="00627D51" w:rsidRPr="006B669F"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Pozri pokyny</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stĺpcu 0010 vo vzore</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05.01</w:t>
            </w:r>
          </w:p>
        </w:tc>
      </w:tr>
      <w:tr w:rsidR="00D22EB0" w:rsidRPr="006B669F" w:rsidTr="005A6A04">
        <w:tc>
          <w:tcPr>
            <w:tcW w:w="909" w:type="dxa"/>
            <w:tcBorders>
              <w:top w:val="single" w:sz="4" w:space="0" w:color="1A171C"/>
              <w:left w:val="nil"/>
              <w:bottom w:val="single" w:sz="4" w:space="0" w:color="1A171C"/>
              <w:right w:val="single" w:sz="4" w:space="0" w:color="1A171C"/>
            </w:tcBorders>
            <w:vAlign w:val="center"/>
          </w:tcPr>
          <w:p w:rsidR="00627D51" w:rsidRPr="006B669F"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0020</w:t>
            </w:r>
          </w:p>
        </w:tc>
        <w:tc>
          <w:tcPr>
            <w:tcW w:w="8174" w:type="dxa"/>
            <w:tcBorders>
              <w:top w:val="single" w:sz="4" w:space="0" w:color="1A171C"/>
              <w:left w:val="single" w:sz="4" w:space="0" w:color="1A171C"/>
              <w:bottom w:val="single" w:sz="4" w:space="0" w:color="1A171C"/>
              <w:right w:val="nil"/>
            </w:tcBorders>
            <w:vAlign w:val="center"/>
          </w:tcPr>
          <w:p w:rsidR="00627D51" w:rsidRPr="00E140EE"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Kód</w:t>
            </w:r>
          </w:p>
          <w:p w:rsidR="00627D51" w:rsidRPr="006B669F"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Pozri pokyny</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stĺpcu 0020 vo vzore</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05.01</w:t>
            </w:r>
          </w:p>
        </w:tc>
      </w:tr>
      <w:tr w:rsidR="00D22EB0" w:rsidRPr="006B669F" w:rsidTr="005A6A04">
        <w:tc>
          <w:tcPr>
            <w:tcW w:w="909" w:type="dxa"/>
            <w:tcBorders>
              <w:top w:val="single" w:sz="4" w:space="0" w:color="1A171C"/>
              <w:left w:val="nil"/>
              <w:bottom w:val="single" w:sz="4" w:space="0" w:color="1A171C"/>
              <w:right w:val="single" w:sz="4" w:space="0" w:color="1A171C"/>
            </w:tcBorders>
            <w:vAlign w:val="center"/>
          </w:tcPr>
          <w:p w:rsidR="00627D51" w:rsidRPr="006B669F"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0030</w:t>
            </w:r>
          </w:p>
        </w:tc>
        <w:tc>
          <w:tcPr>
            <w:tcW w:w="8174" w:type="dxa"/>
            <w:tcBorders>
              <w:top w:val="single" w:sz="4" w:space="0" w:color="1A171C"/>
              <w:left w:val="single" w:sz="4" w:space="0" w:color="1A171C"/>
              <w:bottom w:val="single" w:sz="4" w:space="0" w:color="1A171C"/>
              <w:right w:val="nil"/>
            </w:tcBorders>
            <w:vAlign w:val="center"/>
          </w:tcPr>
          <w:p w:rsidR="00627D51" w:rsidRPr="00E140EE"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Skupina alebo jednotlivé protistrany</w:t>
            </w:r>
          </w:p>
          <w:p w:rsidR="00627D51" w:rsidRPr="006B669F"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Pozri pokyny</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stĺpcu 0030 vo vzore</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05.01</w:t>
            </w:r>
          </w:p>
        </w:tc>
      </w:tr>
      <w:tr w:rsidR="00D22EB0" w:rsidRPr="006B669F" w:rsidTr="005A6A04">
        <w:tc>
          <w:tcPr>
            <w:tcW w:w="909" w:type="dxa"/>
            <w:tcBorders>
              <w:top w:val="single" w:sz="4" w:space="0" w:color="1A171C"/>
              <w:left w:val="nil"/>
              <w:bottom w:val="single" w:sz="4" w:space="0" w:color="1A171C"/>
              <w:right w:val="single" w:sz="4" w:space="0" w:color="1A171C"/>
            </w:tcBorders>
            <w:vAlign w:val="center"/>
          </w:tcPr>
          <w:p w:rsidR="00627D51" w:rsidRPr="006B669F"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0040</w:t>
            </w:r>
          </w:p>
        </w:tc>
        <w:tc>
          <w:tcPr>
            <w:tcW w:w="8174" w:type="dxa"/>
            <w:tcBorders>
              <w:top w:val="single" w:sz="4" w:space="0" w:color="1A171C"/>
              <w:left w:val="single" w:sz="4" w:space="0" w:color="1A171C"/>
              <w:bottom w:val="single" w:sz="4" w:space="0" w:color="1A171C"/>
              <w:right w:val="nil"/>
            </w:tcBorders>
            <w:vAlign w:val="center"/>
          </w:tcPr>
          <w:p w:rsidR="00C562FB" w:rsidRPr="00E140EE" w:rsidRDefault="00FA6204" w:rsidP="00AE7D80">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Štát</w:t>
            </w:r>
          </w:p>
          <w:p w:rsidR="00627D51" w:rsidRPr="006B669F"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Pozri pokyny</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stĺpcu 0040 vo vzore</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05.01</w:t>
            </w:r>
          </w:p>
        </w:tc>
      </w:tr>
      <w:tr w:rsidR="00D22EB0" w:rsidRPr="006B669F" w:rsidTr="005A6A04">
        <w:tc>
          <w:tcPr>
            <w:tcW w:w="909" w:type="dxa"/>
            <w:tcBorders>
              <w:top w:val="single" w:sz="4" w:space="0" w:color="1A171C"/>
              <w:left w:val="nil"/>
              <w:bottom w:val="single" w:sz="4" w:space="0" w:color="1A171C"/>
              <w:right w:val="single" w:sz="4" w:space="0" w:color="1A171C"/>
            </w:tcBorders>
            <w:vAlign w:val="center"/>
          </w:tcPr>
          <w:p w:rsidR="00627D51" w:rsidRPr="006B669F"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0050</w:t>
            </w:r>
          </w:p>
        </w:tc>
        <w:tc>
          <w:tcPr>
            <w:tcW w:w="8174" w:type="dxa"/>
            <w:tcBorders>
              <w:top w:val="single" w:sz="4" w:space="0" w:color="1A171C"/>
              <w:left w:val="single" w:sz="4" w:space="0" w:color="1A171C"/>
              <w:bottom w:val="single" w:sz="4" w:space="0" w:color="1A171C"/>
              <w:right w:val="nil"/>
            </w:tcBorders>
            <w:vAlign w:val="center"/>
          </w:tcPr>
          <w:p w:rsidR="00627D51" w:rsidRPr="00E140EE"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Sektor</w:t>
            </w:r>
          </w:p>
          <w:p w:rsidR="00627D51" w:rsidRPr="006B669F"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Pozri pokyny</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stĺpcu 0050 vo vzore</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05.01</w:t>
            </w:r>
          </w:p>
        </w:tc>
      </w:tr>
      <w:tr w:rsidR="00D22EB0" w:rsidRPr="006B669F" w:rsidTr="005A6A04">
        <w:tc>
          <w:tcPr>
            <w:tcW w:w="909" w:type="dxa"/>
            <w:tcBorders>
              <w:top w:val="single" w:sz="4" w:space="0" w:color="1A171C"/>
              <w:left w:val="nil"/>
              <w:bottom w:val="single" w:sz="4" w:space="0" w:color="1A171C"/>
              <w:right w:val="single" w:sz="4" w:space="0" w:color="1A171C"/>
            </w:tcBorders>
            <w:vAlign w:val="center"/>
          </w:tcPr>
          <w:p w:rsidR="00627D51" w:rsidRPr="006B669F"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0060</w:t>
            </w:r>
          </w:p>
        </w:tc>
        <w:tc>
          <w:tcPr>
            <w:tcW w:w="8174" w:type="dxa"/>
            <w:tcBorders>
              <w:top w:val="single" w:sz="4" w:space="0" w:color="1A171C"/>
              <w:left w:val="single" w:sz="4" w:space="0" w:color="1A171C"/>
              <w:bottom w:val="single" w:sz="4" w:space="0" w:color="1A171C"/>
              <w:right w:val="nil"/>
            </w:tcBorders>
            <w:vAlign w:val="center"/>
          </w:tcPr>
          <w:p w:rsidR="00627D51" w:rsidRPr="00E140EE"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Druh</w:t>
            </w:r>
          </w:p>
          <w:p w:rsidR="00627D51" w:rsidRPr="006B669F"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Druhom podsúvahovej expozície je jeden</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týchto parametrov podľa vymedzenia vo FINREP, vzor F 09.02:</w:t>
            </w:r>
          </w:p>
          <w:p w:rsidR="00532D56" w:rsidRPr="006B669F"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OBS.1</w:t>
            </w:r>
            <w:r w:rsidRPr="006B669F">
              <w:tab/>
            </w:r>
            <w:r w:rsidRPr="006B669F">
              <w:rPr>
                <w:rFonts w:ascii="Times New Roman" w:hAnsi="Times New Roman"/>
                <w:color w:val="000000" w:themeColor="text1"/>
                <w:spacing w:val="-2"/>
                <w:w w:val="95"/>
                <w:sz w:val="20"/>
              </w:rPr>
              <w:t>Prijaté úverové prísľuby</w:t>
            </w:r>
          </w:p>
          <w:p w:rsidR="00532D56" w:rsidRPr="006B669F"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OBS.2</w:t>
            </w:r>
            <w:r w:rsidRPr="006B669F">
              <w:tab/>
            </w:r>
            <w:r w:rsidRPr="006B669F">
              <w:rPr>
                <w:rFonts w:ascii="Times New Roman" w:hAnsi="Times New Roman"/>
                <w:color w:val="000000" w:themeColor="text1"/>
                <w:spacing w:val="-2"/>
                <w:w w:val="95"/>
                <w:sz w:val="20"/>
              </w:rPr>
              <w:t>Prijaté finančné záruky</w:t>
            </w:r>
          </w:p>
          <w:p w:rsidR="00627D51" w:rsidRPr="006B669F"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OBS.3</w:t>
            </w:r>
            <w:r w:rsidRPr="006B669F">
              <w:tab/>
            </w:r>
            <w:r w:rsidRPr="006B669F">
              <w:rPr>
                <w:rFonts w:ascii="Times New Roman" w:hAnsi="Times New Roman"/>
                <w:color w:val="000000" w:themeColor="text1"/>
                <w:spacing w:val="-2"/>
                <w:w w:val="95"/>
                <w:sz w:val="20"/>
              </w:rPr>
              <w:t>Ostatné prijaté prísľuby</w:t>
            </w:r>
          </w:p>
          <w:p w:rsidR="007514EE" w:rsidRPr="006B669F"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Ak podsúvahové položky prijaté od hlavnej protistrany pozostávajú</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viac ako jedného</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vyššie uvedených druhov, každý druh podsúvahovej položky sa vykazuje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osobitnom riadku.</w:t>
            </w:r>
          </w:p>
        </w:tc>
      </w:tr>
      <w:tr w:rsidR="00D22EB0" w:rsidRPr="006B669F" w:rsidTr="005A6A04">
        <w:tc>
          <w:tcPr>
            <w:tcW w:w="909" w:type="dxa"/>
            <w:tcBorders>
              <w:top w:val="single" w:sz="4" w:space="0" w:color="1A171C"/>
              <w:left w:val="nil"/>
              <w:bottom w:val="single" w:sz="4" w:space="0" w:color="1A171C"/>
              <w:right w:val="single" w:sz="4" w:space="0" w:color="1A171C"/>
            </w:tcBorders>
            <w:vAlign w:val="center"/>
          </w:tcPr>
          <w:p w:rsidR="00627D51" w:rsidRPr="006B669F"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0070</w:t>
            </w:r>
          </w:p>
        </w:tc>
        <w:tc>
          <w:tcPr>
            <w:tcW w:w="8174" w:type="dxa"/>
            <w:tcBorders>
              <w:top w:val="single" w:sz="4" w:space="0" w:color="1A171C"/>
              <w:left w:val="single" w:sz="4" w:space="0" w:color="1A171C"/>
              <w:bottom w:val="single" w:sz="4" w:space="0" w:color="1A171C"/>
              <w:right w:val="nil"/>
            </w:tcBorders>
            <w:vAlign w:val="center"/>
          </w:tcPr>
          <w:p w:rsidR="00486C71" w:rsidRPr="006B669F" w:rsidRDefault="00627D51" w:rsidP="00486C71">
            <w:pPr>
              <w:pStyle w:val="TableParagraph"/>
              <w:spacing w:before="108"/>
              <w:ind w:left="85"/>
              <w:jc w:val="both"/>
              <w:rPr>
                <w:rFonts w:ascii="Times New Roman" w:hAnsi="Times New Roman" w:cs="Times New Roman"/>
                <w:bCs/>
                <w:color w:val="000000" w:themeColor="text1"/>
                <w:sz w:val="20"/>
                <w:szCs w:val="20"/>
              </w:rPr>
            </w:pPr>
            <w:r w:rsidRPr="00E140EE">
              <w:rPr>
                <w:rFonts w:ascii="Times New Roman" w:hAnsi="Times New Roman"/>
                <w:b/>
                <w:color w:val="000000" w:themeColor="text1"/>
                <w:sz w:val="20"/>
              </w:rPr>
              <w:t xml:space="preserve">Suma </w:t>
            </w:r>
          </w:p>
        </w:tc>
      </w:tr>
    </w:tbl>
    <w:p w:rsidR="00241763" w:rsidRPr="006B669F" w:rsidRDefault="00241763" w:rsidP="0056559D">
      <w:pPr>
        <w:rPr>
          <w:rFonts w:ascii="Times New Roman" w:hAnsi="Times New Roman" w:cs="Times New Roman"/>
          <w:color w:val="000000" w:themeColor="text1"/>
          <w:sz w:val="20"/>
          <w:szCs w:val="20"/>
        </w:rPr>
      </w:pPr>
    </w:p>
    <w:p w:rsidR="00E13CE3" w:rsidRPr="00310799" w:rsidRDefault="00F7117F" w:rsidP="008854E4">
      <w:pPr>
        <w:pStyle w:val="Instructionsberschrift2"/>
        <w:numPr>
          <w:ilvl w:val="1"/>
          <w:numId w:val="7"/>
        </w:numPr>
        <w:ind w:left="357" w:hanging="357"/>
        <w:rPr>
          <w:rFonts w:ascii="Times New Roman" w:hAnsi="Times New Roman" w:cs="Times New Roman"/>
          <w:szCs w:val="20"/>
        </w:rPr>
      </w:pPr>
      <w:bookmarkStart w:id="32" w:name="_Toc492542326"/>
      <w:bookmarkStart w:id="33" w:name="_Toc509909044"/>
      <w:bookmarkStart w:id="34" w:name="_Toc525209034"/>
      <w:r w:rsidRPr="00310799">
        <w:rPr>
          <w:rFonts w:ascii="Times New Roman" w:hAnsi="Times New Roman"/>
        </w:rPr>
        <w:t>Z 06.00 – Poistenie vkladov (DIS)</w:t>
      </w:r>
      <w:bookmarkEnd w:id="32"/>
      <w:bookmarkEnd w:id="33"/>
      <w:bookmarkEnd w:id="34"/>
    </w:p>
    <w:p w:rsidR="008F7980" w:rsidRPr="00310799" w:rsidRDefault="006A7DCF" w:rsidP="00715DAB">
      <w:pPr>
        <w:pStyle w:val="Instructionsberschrift3"/>
      </w:pPr>
      <w:r w:rsidRPr="00310799">
        <w:t>Všeobecné poznámky</w:t>
      </w:r>
    </w:p>
    <w:p w:rsidR="0076289A" w:rsidRPr="004F233C" w:rsidRDefault="00DF64E1" w:rsidP="004F233C">
      <w:pPr>
        <w:pStyle w:val="numberedparagraph"/>
      </w:pPr>
      <w:r w:rsidRPr="004F233C">
        <w:t>V tomto vzore sa poskytuje prehľad</w:t>
      </w:r>
      <w:r w:rsidR="006B669F" w:rsidRPr="004F233C">
        <w:t xml:space="preserve"> o </w:t>
      </w:r>
      <w:r w:rsidRPr="004F233C">
        <w:t>poistení vkladov</w:t>
      </w:r>
      <w:r w:rsidR="006B669F" w:rsidRPr="004F233C">
        <w:t xml:space="preserve"> v </w:t>
      </w:r>
      <w:r w:rsidRPr="004F233C">
        <w:t>rámci skupiny</w:t>
      </w:r>
      <w:r w:rsidR="006B669F" w:rsidRPr="004F233C">
        <w:t xml:space="preserve"> a </w:t>
      </w:r>
      <w:r w:rsidRPr="004F233C">
        <w:t>systémov ochrany vkladov, ktorých členmi sú úverové inštitúcie, ktoré sú príslušnými právnickými osobami.</w:t>
      </w:r>
    </w:p>
    <w:p w:rsidR="000C2D75" w:rsidRPr="004F233C" w:rsidRDefault="0057049E" w:rsidP="004F233C">
      <w:pPr>
        <w:pStyle w:val="numberedparagraph"/>
      </w:pPr>
      <w:r w:rsidRPr="004F233C">
        <w:t>Každá úverová inštitúcia, ktorá patrí do skupiny, sa vykazuje</w:t>
      </w:r>
      <w:r w:rsidR="006B669F" w:rsidRPr="004F233C">
        <w:t xml:space="preserve"> v </w:t>
      </w:r>
      <w:r w:rsidRPr="004F233C">
        <w:t>osobitnom riadku.</w:t>
      </w:r>
    </w:p>
    <w:p w:rsidR="006A7DCF" w:rsidRPr="00310799" w:rsidRDefault="006A7DCF" w:rsidP="00715DAB">
      <w:pPr>
        <w:pStyle w:val="Instructionsberschrift3"/>
      </w:pPr>
      <w:r w:rsidRPr="00310799">
        <w:t>Pokyny týkajúce sa konkrétnych pozícií</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6B669F" w:rsidTr="00DD2B90">
        <w:tc>
          <w:tcPr>
            <w:tcW w:w="1191" w:type="dxa"/>
            <w:tcBorders>
              <w:top w:val="single" w:sz="4" w:space="0" w:color="1A171C"/>
              <w:left w:val="nil"/>
              <w:bottom w:val="single" w:sz="4" w:space="0" w:color="1A171C"/>
              <w:right w:val="single" w:sz="4" w:space="0" w:color="1A171C"/>
            </w:tcBorders>
            <w:shd w:val="clear" w:color="auto" w:fill="E4E5E5"/>
          </w:tcPr>
          <w:p w:rsidR="0057049E" w:rsidRPr="006B669F"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Stĺpce</w:t>
            </w:r>
          </w:p>
        </w:tc>
        <w:tc>
          <w:tcPr>
            <w:tcW w:w="7892" w:type="dxa"/>
            <w:tcBorders>
              <w:top w:val="single" w:sz="4" w:space="0" w:color="1A171C"/>
              <w:left w:val="single" w:sz="4" w:space="0" w:color="1A171C"/>
              <w:bottom w:val="single" w:sz="4" w:space="0" w:color="1A171C"/>
              <w:right w:val="nil"/>
            </w:tcBorders>
            <w:shd w:val="clear" w:color="auto" w:fill="E4E5E5"/>
          </w:tcPr>
          <w:p w:rsidR="0057049E" w:rsidRPr="006B669F"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Pokyny</w:t>
            </w:r>
          </w:p>
        </w:tc>
      </w:tr>
      <w:tr w:rsidR="00D22EB0" w:rsidRPr="006B669F" w:rsidTr="00DD2B90">
        <w:tc>
          <w:tcPr>
            <w:tcW w:w="1191" w:type="dxa"/>
            <w:tcBorders>
              <w:top w:val="single" w:sz="4" w:space="0" w:color="1A171C"/>
              <w:left w:val="nil"/>
              <w:bottom w:val="single" w:sz="4" w:space="0" w:color="1A171C"/>
              <w:right w:val="single" w:sz="4" w:space="0" w:color="1A171C"/>
            </w:tcBorders>
          </w:tcPr>
          <w:p w:rsidR="0057049E" w:rsidRPr="006B669F"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0010 – 0020</w:t>
            </w:r>
          </w:p>
        </w:tc>
        <w:tc>
          <w:tcPr>
            <w:tcW w:w="7892" w:type="dxa"/>
            <w:tcBorders>
              <w:top w:val="single" w:sz="4" w:space="0" w:color="1A171C"/>
              <w:left w:val="single" w:sz="4" w:space="0" w:color="1A171C"/>
              <w:bottom w:val="single" w:sz="4" w:space="0" w:color="1A171C"/>
              <w:right w:val="nil"/>
            </w:tcBorders>
          </w:tcPr>
          <w:p w:rsidR="0057049E" w:rsidRPr="006B669F" w:rsidRDefault="00BC7590" w:rsidP="00BC759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E140EE">
              <w:rPr>
                <w:rFonts w:ascii="Times New Roman" w:hAnsi="Times New Roman"/>
                <w:b/>
                <w:color w:val="000000" w:themeColor="text1"/>
                <w:sz w:val="20"/>
              </w:rPr>
              <w:t>Subjekt</w:t>
            </w:r>
          </w:p>
        </w:tc>
      </w:tr>
      <w:tr w:rsidR="00D22EB0" w:rsidRPr="006B669F" w:rsidTr="00DD2B90">
        <w:tc>
          <w:tcPr>
            <w:tcW w:w="1191" w:type="dxa"/>
            <w:tcBorders>
              <w:top w:val="single" w:sz="4" w:space="0" w:color="1A171C"/>
              <w:left w:val="nil"/>
              <w:bottom w:val="single" w:sz="4" w:space="0" w:color="1A171C"/>
              <w:right w:val="single" w:sz="4" w:space="0" w:color="1A171C"/>
            </w:tcBorders>
          </w:tcPr>
          <w:p w:rsidR="0057049E" w:rsidRPr="006B669F"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57049E" w:rsidRPr="00E140EE"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Názov subjektu</w:t>
            </w:r>
          </w:p>
          <w:p w:rsidR="0057049E" w:rsidRPr="006B669F"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Názov subjektu vykázaný</w:t>
            </w:r>
            <w:r w:rsidR="006B669F">
              <w:rPr>
                <w:rFonts w:ascii="Times New Roman" w:hAnsi="Times New Roman"/>
                <w:color w:val="000000" w:themeColor="text1"/>
                <w:spacing w:val="-2"/>
                <w:w w:val="95"/>
                <w:sz w:val="20"/>
              </w:rPr>
              <w:t xml:space="preserve"> v Z </w:t>
            </w:r>
            <w:r w:rsidRPr="006B669F">
              <w:rPr>
                <w:rFonts w:ascii="Times New Roman" w:hAnsi="Times New Roman"/>
                <w:color w:val="000000" w:themeColor="text1"/>
                <w:spacing w:val="-2"/>
                <w:w w:val="95"/>
                <w:sz w:val="20"/>
              </w:rPr>
              <w:t xml:space="preserve">01.00 – Organizačná štruktúra (ORG). </w:t>
            </w:r>
          </w:p>
        </w:tc>
      </w:tr>
      <w:tr w:rsidR="00D22EB0" w:rsidRPr="006B669F" w:rsidTr="00DD2B90">
        <w:tc>
          <w:tcPr>
            <w:tcW w:w="1191" w:type="dxa"/>
            <w:tcBorders>
              <w:top w:val="single" w:sz="4" w:space="0" w:color="1A171C"/>
              <w:left w:val="nil"/>
              <w:bottom w:val="single" w:sz="4" w:space="0" w:color="1A171C"/>
              <w:right w:val="single" w:sz="4" w:space="0" w:color="1A171C"/>
            </w:tcBorders>
          </w:tcPr>
          <w:p w:rsidR="0057049E" w:rsidRPr="006B669F"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6B669F" w:rsidRPr="00E140EE" w:rsidRDefault="0057049E" w:rsidP="00AE7D80">
            <w:pPr>
              <w:pStyle w:val="TableParagraph"/>
              <w:spacing w:before="108"/>
              <w:ind w:left="85"/>
              <w:jc w:val="both"/>
              <w:rPr>
                <w:rFonts w:ascii="Times New Roman" w:hAnsi="Times New Roman"/>
                <w:b/>
                <w:color w:val="000000" w:themeColor="text1"/>
                <w:sz w:val="20"/>
              </w:rPr>
            </w:pPr>
            <w:r w:rsidRPr="00E140EE">
              <w:rPr>
                <w:rFonts w:ascii="Times New Roman" w:hAnsi="Times New Roman"/>
                <w:b/>
                <w:color w:val="000000" w:themeColor="text1"/>
                <w:sz w:val="20"/>
              </w:rPr>
              <w:t>Kód</w:t>
            </w:r>
          </w:p>
          <w:p w:rsidR="0057049E" w:rsidRPr="006B669F"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Kód subjektu vykázaný</w:t>
            </w:r>
            <w:r w:rsidR="006B669F">
              <w:rPr>
                <w:rFonts w:ascii="Times New Roman" w:hAnsi="Times New Roman"/>
                <w:color w:val="000000" w:themeColor="text1"/>
                <w:spacing w:val="-2"/>
                <w:w w:val="95"/>
                <w:sz w:val="20"/>
              </w:rPr>
              <w:t xml:space="preserve"> v Z </w:t>
            </w:r>
            <w:r w:rsidRPr="006B669F">
              <w:rPr>
                <w:rFonts w:ascii="Times New Roman" w:hAnsi="Times New Roman"/>
                <w:color w:val="000000" w:themeColor="text1"/>
                <w:spacing w:val="-2"/>
                <w:w w:val="95"/>
                <w:sz w:val="20"/>
              </w:rPr>
              <w:t>01.00 – Organizačná štruktúra (ORG).</w:t>
            </w:r>
          </w:p>
          <w:p w:rsidR="0057049E" w:rsidRPr="006B669F"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Tento kód je identifikátorom riadku</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musí byť jedinečný pre každý riadok vo vzore.</w:t>
            </w:r>
          </w:p>
        </w:tc>
      </w:tr>
      <w:tr w:rsidR="00D22EB0" w:rsidRPr="006B669F" w:rsidTr="00DD2B90">
        <w:tc>
          <w:tcPr>
            <w:tcW w:w="1191" w:type="dxa"/>
            <w:tcBorders>
              <w:top w:val="single" w:sz="4" w:space="0" w:color="1A171C"/>
              <w:left w:val="nil"/>
              <w:bottom w:val="single" w:sz="4" w:space="0" w:color="1A171C"/>
              <w:right w:val="single" w:sz="4" w:space="0" w:color="1A171C"/>
            </w:tcBorders>
          </w:tcPr>
          <w:p w:rsidR="0057049E" w:rsidRPr="006B669F"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7049E" w:rsidRPr="00E140EE" w:rsidRDefault="0057049E" w:rsidP="00AE7D80">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DGS (Systém ochrany vkladov)</w:t>
            </w:r>
          </w:p>
          <w:p w:rsidR="0057049E" w:rsidRPr="006B669F"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4 ods. 3 smernice 2014/49/EÚ</w:t>
            </w:r>
          </w:p>
          <w:p w:rsidR="0057049E" w:rsidRPr="006B669F"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Názov oficiálne uznaného systému ochrany vkladov, ktorého členom je subjekt pri uplatňovaní smernice 2014/49/EÚ. Ide</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systém ochrany vkladov</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členskom štáte,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ktorom je subjekt registrovaný,</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vylúčením iných systémov ochrany vkladov, ktoré by</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iných členských štátoch mohli poskytovať dodatočnú ochranu („doplnkovú“) zákazníkom subjektu</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pobočke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uvedenom členskom štáte. Ak je inštitúcia členom schémy inštitucionálneho zabezpečenia (IPS), ktorá je zároveň oficiálne uznaná ako systém ochrany vkladov podľa článku 4 ods. 2 smernice 2014/49/EÚ, názov systému ochrany vkladov musí byť totožný</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názvom schémy inštitucionálneho zabezpečenia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riadku 050.</w:t>
            </w:r>
          </w:p>
          <w:p w:rsidR="00607BC1" w:rsidRPr="006B669F"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Systém ochrany vkladov sa pre každý štát registrácie subjektu vyberie spomedzi týchto subjektov:</w:t>
            </w:r>
          </w:p>
          <w:p w:rsidR="004842F3" w:rsidRPr="00310799"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10799">
              <w:rPr>
                <w:rFonts w:ascii="Times New Roman" w:hAnsi="Times New Roman"/>
                <w:b/>
                <w:color w:val="000000" w:themeColor="text1"/>
                <w:spacing w:val="-2"/>
                <w:w w:val="95"/>
                <w:sz w:val="20"/>
                <w:u w:val="single"/>
              </w:rPr>
              <w:t>Pre Rakúsko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Einlagenssicherung</w:t>
            </w:r>
            <w:proofErr w:type="spellEnd"/>
            <w:r w:rsidRPr="006B669F">
              <w:rPr>
                <w:rFonts w:ascii="Times New Roman" w:hAnsi="Times New Roman"/>
                <w:color w:val="000000" w:themeColor="text1"/>
                <w:spacing w:val="-2"/>
                <w:w w:val="95"/>
                <w:sz w:val="20"/>
              </w:rPr>
              <w:t xml:space="preserve"> der </w:t>
            </w:r>
            <w:proofErr w:type="spellStart"/>
            <w:r w:rsidRPr="006B669F">
              <w:rPr>
                <w:rFonts w:ascii="Times New Roman" w:hAnsi="Times New Roman"/>
                <w:color w:val="000000" w:themeColor="text1"/>
                <w:spacing w:val="-2"/>
                <w:w w:val="95"/>
                <w:sz w:val="20"/>
              </w:rPr>
              <w:t>Banken</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und</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Bankiers</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GmbH</w:t>
            </w:r>
            <w:proofErr w:type="spellEnd"/>
            <w:r w:rsidRPr="006B669F">
              <w:rPr>
                <w:rFonts w:ascii="Times New Roman" w:hAnsi="Times New Roman"/>
                <w:color w:val="000000" w:themeColor="text1"/>
                <w:spacing w:val="-2"/>
                <w:w w:val="95"/>
                <w:sz w:val="20"/>
              </w:rPr>
              <w:t>“</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Sparkassen-Haftungs</w:t>
            </w:r>
            <w:proofErr w:type="spellEnd"/>
            <w:r w:rsidRPr="006B669F">
              <w:rPr>
                <w:rFonts w:ascii="Times New Roman" w:hAnsi="Times New Roman"/>
                <w:color w:val="000000" w:themeColor="text1"/>
                <w:spacing w:val="-2"/>
                <w:w w:val="95"/>
                <w:sz w:val="20"/>
              </w:rPr>
              <w:t xml:space="preserve"> AG“</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w:t>
            </w:r>
            <w:proofErr w:type="spellStart"/>
            <w:r w:rsidRPr="006B669F">
              <w:rPr>
                <w:rFonts w:ascii="Times New Roman" w:hAnsi="Times New Roman"/>
                <w:color w:val="000000" w:themeColor="text1"/>
                <w:spacing w:val="-2"/>
                <w:w w:val="95"/>
                <w:sz w:val="20"/>
              </w:rPr>
              <w:t>Österreichische</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Raiffeisen-Einlagenssicherung</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eGen</w:t>
            </w:r>
            <w:proofErr w:type="spellEnd"/>
            <w:r w:rsidRPr="006B669F">
              <w:rPr>
                <w:rFonts w:ascii="Times New Roman" w:hAnsi="Times New Roman"/>
                <w:color w:val="000000" w:themeColor="text1"/>
                <w:spacing w:val="-2"/>
                <w:w w:val="95"/>
                <w:sz w:val="20"/>
              </w:rPr>
              <w:t>“</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VolksEVolksEinlagenssicherung</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eG</w:t>
            </w:r>
            <w:proofErr w:type="spellEnd"/>
            <w:r w:rsidRPr="006B669F">
              <w:rPr>
                <w:rFonts w:ascii="Times New Roman" w:hAnsi="Times New Roman"/>
                <w:color w:val="000000" w:themeColor="text1"/>
                <w:spacing w:val="-2"/>
                <w:w w:val="95"/>
                <w:sz w:val="20"/>
              </w:rPr>
              <w:t>“</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Hypo</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Haftungs-Gesellschaft</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m.b.H</w:t>
            </w:r>
            <w:proofErr w:type="spellEnd"/>
            <w:r w:rsidRPr="006B669F">
              <w:rPr>
                <w:rFonts w:ascii="Times New Roman" w:hAnsi="Times New Roman"/>
                <w:color w:val="000000" w:themeColor="text1"/>
                <w:spacing w:val="-2"/>
                <w:w w:val="95"/>
                <w:sz w:val="20"/>
              </w:rPr>
              <w:t>.“</w:t>
            </w:r>
          </w:p>
          <w:p w:rsidR="004842F3" w:rsidRPr="00310799"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10799">
              <w:rPr>
                <w:rFonts w:ascii="Times New Roman" w:hAnsi="Times New Roman"/>
                <w:b/>
                <w:color w:val="000000" w:themeColor="text1"/>
                <w:spacing w:val="-2"/>
                <w:w w:val="95"/>
                <w:sz w:val="20"/>
                <w:u w:val="single"/>
              </w:rPr>
              <w:t>Belgicko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Garantiefonds</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voor</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financiële</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diensten</w:t>
            </w:r>
            <w:proofErr w:type="spellEnd"/>
            <w:r w:rsidRPr="006B669F">
              <w:rPr>
                <w:rFonts w:ascii="Times New Roman" w:hAnsi="Times New Roman"/>
                <w:color w:val="000000" w:themeColor="text1"/>
                <w:spacing w:val="-2"/>
                <w:w w:val="95"/>
                <w:sz w:val="20"/>
              </w:rPr>
              <w:t xml:space="preserve"> / </w:t>
            </w:r>
            <w:proofErr w:type="spellStart"/>
            <w:r w:rsidRPr="006B669F">
              <w:rPr>
                <w:rFonts w:ascii="Times New Roman" w:hAnsi="Times New Roman"/>
                <w:color w:val="000000" w:themeColor="text1"/>
                <w:spacing w:val="-2"/>
                <w:w w:val="95"/>
                <w:sz w:val="20"/>
              </w:rPr>
              <w:t>Fonds</w:t>
            </w:r>
            <w:proofErr w:type="spellEnd"/>
            <w:r w:rsidRPr="006B669F">
              <w:rPr>
                <w:rFonts w:ascii="Times New Roman" w:hAnsi="Times New Roman"/>
                <w:color w:val="000000" w:themeColor="text1"/>
                <w:spacing w:val="-2"/>
                <w:w w:val="95"/>
                <w:sz w:val="20"/>
              </w:rPr>
              <w:t xml:space="preserve"> de </w:t>
            </w:r>
            <w:proofErr w:type="spellStart"/>
            <w:r w:rsidRPr="006B669F">
              <w:rPr>
                <w:rFonts w:ascii="Times New Roman" w:hAnsi="Times New Roman"/>
                <w:color w:val="000000" w:themeColor="text1"/>
                <w:spacing w:val="-2"/>
                <w:w w:val="95"/>
                <w:sz w:val="20"/>
              </w:rPr>
              <w:t>garantie</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pour</w:t>
            </w:r>
            <w:proofErr w:type="spellEnd"/>
            <w:r w:rsidRPr="006B669F">
              <w:rPr>
                <w:rFonts w:ascii="Times New Roman" w:hAnsi="Times New Roman"/>
                <w:color w:val="000000" w:themeColor="text1"/>
                <w:spacing w:val="-2"/>
                <w:w w:val="95"/>
                <w:sz w:val="20"/>
              </w:rPr>
              <w:t xml:space="preserve"> les </w:t>
            </w:r>
            <w:proofErr w:type="spellStart"/>
            <w:r w:rsidRPr="006B669F">
              <w:rPr>
                <w:rFonts w:ascii="Times New Roman" w:hAnsi="Times New Roman"/>
                <w:color w:val="000000" w:themeColor="text1"/>
                <w:spacing w:val="-2"/>
                <w:w w:val="95"/>
                <w:sz w:val="20"/>
              </w:rPr>
              <w:t>services</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financiers</w:t>
            </w:r>
            <w:proofErr w:type="spellEnd"/>
            <w:r w:rsidRPr="006B669F">
              <w:rPr>
                <w:rFonts w:ascii="Times New Roman" w:hAnsi="Times New Roman"/>
                <w:color w:val="000000" w:themeColor="text1"/>
                <w:spacing w:val="-2"/>
                <w:w w:val="95"/>
                <w:sz w:val="20"/>
              </w:rPr>
              <w:t>“</w:t>
            </w:r>
          </w:p>
          <w:p w:rsidR="004842F3" w:rsidRPr="0031079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10799">
              <w:rPr>
                <w:rFonts w:ascii="Times New Roman" w:hAnsi="Times New Roman"/>
                <w:b/>
                <w:color w:val="000000" w:themeColor="text1"/>
                <w:spacing w:val="-2"/>
                <w:w w:val="95"/>
                <w:sz w:val="20"/>
                <w:u w:val="single"/>
              </w:rPr>
              <w:t>Bulharsko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Фондът</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за</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гарантиране</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на</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влоговете</w:t>
            </w:r>
            <w:proofErr w:type="spellEnd"/>
            <w:r w:rsidRPr="006B669F">
              <w:rPr>
                <w:rFonts w:ascii="Times New Roman" w:hAnsi="Times New Roman"/>
                <w:color w:val="000000" w:themeColor="text1"/>
                <w:spacing w:val="-2"/>
                <w:w w:val="95"/>
                <w:sz w:val="20"/>
              </w:rPr>
              <w:t xml:space="preserve"> в </w:t>
            </w:r>
            <w:proofErr w:type="spellStart"/>
            <w:r w:rsidRPr="006B669F">
              <w:rPr>
                <w:rFonts w:ascii="Times New Roman" w:hAnsi="Times New Roman"/>
                <w:color w:val="000000" w:themeColor="text1"/>
                <w:spacing w:val="-2"/>
                <w:w w:val="95"/>
                <w:sz w:val="20"/>
              </w:rPr>
              <w:t>банките</w:t>
            </w:r>
            <w:proofErr w:type="spellEnd"/>
            <w:r w:rsidRPr="006B669F">
              <w:rPr>
                <w:rFonts w:ascii="Times New Roman" w:hAnsi="Times New Roman"/>
                <w:color w:val="000000" w:themeColor="text1"/>
                <w:spacing w:val="-2"/>
                <w:w w:val="95"/>
                <w:sz w:val="20"/>
              </w:rPr>
              <w:t>“</w:t>
            </w:r>
          </w:p>
          <w:p w:rsidR="004842F3" w:rsidRPr="0031079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10799">
              <w:rPr>
                <w:rFonts w:ascii="Times New Roman" w:hAnsi="Times New Roman"/>
                <w:b/>
                <w:color w:val="000000" w:themeColor="text1"/>
                <w:spacing w:val="-2"/>
                <w:w w:val="95"/>
                <w:sz w:val="20"/>
                <w:u w:val="single"/>
              </w:rPr>
              <w:t>Chorvátsko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Državna</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agencija</w:t>
            </w:r>
            <w:proofErr w:type="spellEnd"/>
            <w:r w:rsidRPr="006B669F">
              <w:rPr>
                <w:rFonts w:ascii="Times New Roman" w:hAnsi="Times New Roman"/>
                <w:color w:val="000000" w:themeColor="text1"/>
                <w:spacing w:val="-2"/>
                <w:w w:val="95"/>
                <w:sz w:val="20"/>
              </w:rPr>
              <w:t xml:space="preserve"> za </w:t>
            </w:r>
            <w:proofErr w:type="spellStart"/>
            <w:r w:rsidRPr="006B669F">
              <w:rPr>
                <w:rFonts w:ascii="Times New Roman" w:hAnsi="Times New Roman"/>
                <w:color w:val="000000" w:themeColor="text1"/>
                <w:spacing w:val="-2"/>
                <w:w w:val="95"/>
                <w:sz w:val="20"/>
              </w:rPr>
              <w:t>osiguranje</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štednih</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uloga</w:t>
            </w:r>
            <w:proofErr w:type="spellEnd"/>
            <w:r w:rsidR="006B669F">
              <w:rPr>
                <w:rFonts w:ascii="Times New Roman" w:hAnsi="Times New Roman"/>
                <w:color w:val="000000" w:themeColor="text1"/>
                <w:spacing w:val="-2"/>
                <w:w w:val="95"/>
                <w:sz w:val="20"/>
              </w:rPr>
              <w:t xml:space="preserve"> i </w:t>
            </w:r>
            <w:proofErr w:type="spellStart"/>
            <w:r w:rsidRPr="006B669F">
              <w:rPr>
                <w:rFonts w:ascii="Times New Roman" w:hAnsi="Times New Roman"/>
                <w:color w:val="000000" w:themeColor="text1"/>
                <w:spacing w:val="-2"/>
                <w:w w:val="95"/>
                <w:sz w:val="20"/>
              </w:rPr>
              <w:t>sanaciju</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banaka</w:t>
            </w:r>
            <w:proofErr w:type="spellEnd"/>
            <w:r w:rsidRPr="006B669F">
              <w:rPr>
                <w:rFonts w:ascii="Times New Roman" w:hAnsi="Times New Roman"/>
                <w:color w:val="000000" w:themeColor="text1"/>
                <w:spacing w:val="-2"/>
                <w:w w:val="95"/>
                <w:sz w:val="20"/>
              </w:rPr>
              <w:t>“</w:t>
            </w:r>
          </w:p>
          <w:p w:rsidR="004842F3" w:rsidRPr="0031079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10799">
              <w:rPr>
                <w:rFonts w:ascii="Times New Roman" w:hAnsi="Times New Roman"/>
                <w:b/>
                <w:color w:val="000000" w:themeColor="text1"/>
                <w:spacing w:val="-2"/>
                <w:w w:val="95"/>
                <w:sz w:val="20"/>
                <w:u w:val="single"/>
              </w:rPr>
              <w:t>Cyprus</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Σύστημα</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Εγγύησης</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των</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Καταθέσεων</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και</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Εξυγίανσης</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Πιστωτικών</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και</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Άλλων</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Ιδρυμάτων</w:t>
            </w:r>
            <w:proofErr w:type="spellEnd"/>
            <w:r w:rsidRPr="006B669F">
              <w:rPr>
                <w:rFonts w:ascii="Times New Roman" w:hAnsi="Times New Roman"/>
                <w:color w:val="000000" w:themeColor="text1"/>
                <w:spacing w:val="-2"/>
                <w:w w:val="95"/>
                <w:sz w:val="20"/>
              </w:rPr>
              <w:t>“</w:t>
            </w:r>
          </w:p>
          <w:p w:rsidR="004842F3" w:rsidRPr="0031079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10799">
              <w:rPr>
                <w:rFonts w:ascii="Times New Roman" w:hAnsi="Times New Roman"/>
                <w:b/>
                <w:color w:val="000000" w:themeColor="text1"/>
                <w:spacing w:val="-2"/>
                <w:w w:val="95"/>
                <w:sz w:val="20"/>
                <w:u w:val="single"/>
              </w:rPr>
              <w:t>Česko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 xml:space="preserve">„Garanční systém </w:t>
            </w:r>
            <w:proofErr w:type="spellStart"/>
            <w:r w:rsidRPr="006B669F">
              <w:rPr>
                <w:rFonts w:ascii="Times New Roman" w:hAnsi="Times New Roman"/>
                <w:color w:val="000000" w:themeColor="text1"/>
                <w:spacing w:val="-2"/>
                <w:w w:val="95"/>
                <w:sz w:val="20"/>
              </w:rPr>
              <w:t>finančního</w:t>
            </w:r>
            <w:proofErr w:type="spellEnd"/>
            <w:r w:rsidRPr="006B669F">
              <w:rPr>
                <w:rFonts w:ascii="Times New Roman" w:hAnsi="Times New Roman"/>
                <w:color w:val="000000" w:themeColor="text1"/>
                <w:spacing w:val="-2"/>
                <w:w w:val="95"/>
                <w:sz w:val="20"/>
              </w:rPr>
              <w:t xml:space="preserve"> trhu“</w:t>
            </w:r>
          </w:p>
          <w:p w:rsidR="004842F3" w:rsidRPr="0031079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10799">
              <w:rPr>
                <w:rFonts w:ascii="Times New Roman" w:hAnsi="Times New Roman"/>
                <w:b/>
                <w:color w:val="000000" w:themeColor="text1"/>
                <w:spacing w:val="-2"/>
                <w:w w:val="95"/>
                <w:sz w:val="20"/>
                <w:u w:val="single"/>
              </w:rPr>
              <w:t>Dánsko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Garantiformuen</w:t>
            </w:r>
            <w:proofErr w:type="spellEnd"/>
            <w:r w:rsidRPr="006B669F">
              <w:rPr>
                <w:rFonts w:ascii="Times New Roman" w:hAnsi="Times New Roman"/>
                <w:color w:val="000000" w:themeColor="text1"/>
                <w:spacing w:val="-2"/>
                <w:w w:val="95"/>
                <w:sz w:val="20"/>
              </w:rPr>
              <w:t>“</w:t>
            </w:r>
          </w:p>
          <w:p w:rsidR="006B669F" w:rsidRPr="00310799" w:rsidRDefault="004842F3" w:rsidP="00743CD3">
            <w:pPr>
              <w:pStyle w:val="TableParagraph"/>
              <w:spacing w:before="108"/>
              <w:ind w:left="85"/>
              <w:jc w:val="both"/>
              <w:rPr>
                <w:rFonts w:ascii="Times New Roman" w:hAnsi="Times New Roman"/>
                <w:b/>
                <w:color w:val="000000" w:themeColor="text1"/>
                <w:spacing w:val="-2"/>
                <w:w w:val="95"/>
                <w:sz w:val="20"/>
                <w:u w:val="single"/>
              </w:rPr>
            </w:pPr>
            <w:r w:rsidRPr="00310799">
              <w:rPr>
                <w:rFonts w:ascii="Times New Roman" w:hAnsi="Times New Roman"/>
                <w:b/>
                <w:color w:val="000000" w:themeColor="text1"/>
                <w:spacing w:val="-2"/>
                <w:w w:val="95"/>
                <w:sz w:val="20"/>
                <w:u w:val="single"/>
              </w:rPr>
              <w:t>Estónsko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Tagastisfond</w:t>
            </w:r>
            <w:proofErr w:type="spellEnd"/>
            <w:r w:rsidRPr="006B669F">
              <w:rPr>
                <w:rFonts w:ascii="Times New Roman" w:hAnsi="Times New Roman"/>
                <w:color w:val="000000" w:themeColor="text1"/>
                <w:spacing w:val="-2"/>
                <w:w w:val="95"/>
                <w:sz w:val="20"/>
              </w:rPr>
              <w:t>“</w:t>
            </w:r>
          </w:p>
          <w:p w:rsidR="006B669F" w:rsidRPr="00310799" w:rsidRDefault="004842F3" w:rsidP="00743CD3">
            <w:pPr>
              <w:pStyle w:val="TableParagraph"/>
              <w:spacing w:before="108"/>
              <w:ind w:left="85"/>
              <w:jc w:val="both"/>
              <w:rPr>
                <w:rFonts w:ascii="Times New Roman" w:hAnsi="Times New Roman"/>
                <w:b/>
                <w:color w:val="000000" w:themeColor="text1"/>
                <w:spacing w:val="-2"/>
                <w:w w:val="95"/>
                <w:sz w:val="20"/>
                <w:u w:val="single"/>
              </w:rPr>
            </w:pPr>
            <w:r w:rsidRPr="00310799">
              <w:rPr>
                <w:rFonts w:ascii="Times New Roman" w:hAnsi="Times New Roman"/>
                <w:b/>
                <w:color w:val="000000" w:themeColor="text1"/>
                <w:spacing w:val="-2"/>
                <w:w w:val="95"/>
                <w:sz w:val="20"/>
                <w:u w:val="single"/>
              </w:rPr>
              <w:t>Fínsko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Talletussuojarahasto</w:t>
            </w:r>
            <w:proofErr w:type="spellEnd"/>
            <w:r w:rsidRPr="006B669F">
              <w:rPr>
                <w:rFonts w:ascii="Times New Roman" w:hAnsi="Times New Roman"/>
                <w:color w:val="000000" w:themeColor="text1"/>
                <w:spacing w:val="-2"/>
                <w:w w:val="95"/>
                <w:sz w:val="20"/>
              </w:rPr>
              <w:t>“</w:t>
            </w:r>
          </w:p>
          <w:p w:rsidR="004842F3" w:rsidRPr="0031079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10799">
              <w:rPr>
                <w:rFonts w:ascii="Times New Roman" w:hAnsi="Times New Roman"/>
                <w:b/>
                <w:color w:val="000000" w:themeColor="text1"/>
                <w:spacing w:val="-2"/>
                <w:w w:val="95"/>
                <w:sz w:val="20"/>
                <w:u w:val="single"/>
              </w:rPr>
              <w:t>Francúzsko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Fonds</w:t>
            </w:r>
            <w:proofErr w:type="spellEnd"/>
            <w:r w:rsidRPr="006B669F">
              <w:rPr>
                <w:rFonts w:ascii="Times New Roman" w:hAnsi="Times New Roman"/>
                <w:color w:val="000000" w:themeColor="text1"/>
                <w:spacing w:val="-2"/>
                <w:w w:val="95"/>
                <w:sz w:val="20"/>
              </w:rPr>
              <w:t xml:space="preserve"> de </w:t>
            </w:r>
            <w:proofErr w:type="spellStart"/>
            <w:r w:rsidRPr="006B669F">
              <w:rPr>
                <w:rFonts w:ascii="Times New Roman" w:hAnsi="Times New Roman"/>
                <w:color w:val="000000" w:themeColor="text1"/>
                <w:spacing w:val="-2"/>
                <w:w w:val="95"/>
                <w:sz w:val="20"/>
              </w:rPr>
              <w:t>Garantie</w:t>
            </w:r>
            <w:proofErr w:type="spellEnd"/>
            <w:r w:rsidRPr="006B669F">
              <w:rPr>
                <w:rFonts w:ascii="Times New Roman" w:hAnsi="Times New Roman"/>
                <w:color w:val="000000" w:themeColor="text1"/>
                <w:spacing w:val="-2"/>
                <w:w w:val="95"/>
                <w:sz w:val="20"/>
              </w:rPr>
              <w:t xml:space="preserve"> des </w:t>
            </w:r>
            <w:proofErr w:type="spellStart"/>
            <w:r w:rsidRPr="006B669F">
              <w:rPr>
                <w:rFonts w:ascii="Times New Roman" w:hAnsi="Times New Roman"/>
                <w:color w:val="000000" w:themeColor="text1"/>
                <w:spacing w:val="-2"/>
                <w:w w:val="95"/>
                <w:sz w:val="20"/>
              </w:rPr>
              <w:t>Dépôts</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et</w:t>
            </w:r>
            <w:proofErr w:type="spellEnd"/>
            <w:r w:rsidRPr="006B669F">
              <w:rPr>
                <w:rFonts w:ascii="Times New Roman" w:hAnsi="Times New Roman"/>
                <w:color w:val="000000" w:themeColor="text1"/>
                <w:spacing w:val="-2"/>
                <w:w w:val="95"/>
                <w:sz w:val="20"/>
              </w:rPr>
              <w:t xml:space="preserve"> de </w:t>
            </w:r>
            <w:proofErr w:type="spellStart"/>
            <w:r w:rsidRPr="006B669F">
              <w:rPr>
                <w:rFonts w:ascii="Times New Roman" w:hAnsi="Times New Roman"/>
                <w:color w:val="000000" w:themeColor="text1"/>
                <w:spacing w:val="-2"/>
                <w:w w:val="95"/>
                <w:sz w:val="20"/>
              </w:rPr>
              <w:t>Résolution</w:t>
            </w:r>
            <w:proofErr w:type="spellEnd"/>
            <w:r w:rsidRPr="006B669F">
              <w:rPr>
                <w:rFonts w:ascii="Times New Roman" w:hAnsi="Times New Roman"/>
                <w:color w:val="000000" w:themeColor="text1"/>
                <w:spacing w:val="-2"/>
                <w:w w:val="95"/>
                <w:sz w:val="20"/>
              </w:rPr>
              <w:t>“</w:t>
            </w:r>
          </w:p>
          <w:p w:rsidR="006B669F" w:rsidRPr="00310799" w:rsidRDefault="004842F3" w:rsidP="00743CD3">
            <w:pPr>
              <w:pStyle w:val="TableParagraph"/>
              <w:spacing w:before="108"/>
              <w:ind w:left="85"/>
              <w:jc w:val="both"/>
              <w:rPr>
                <w:rFonts w:ascii="Times New Roman" w:hAnsi="Times New Roman"/>
                <w:b/>
                <w:color w:val="000000" w:themeColor="text1"/>
                <w:spacing w:val="-2"/>
                <w:w w:val="95"/>
                <w:sz w:val="20"/>
                <w:u w:val="single"/>
              </w:rPr>
            </w:pPr>
            <w:r w:rsidRPr="00310799">
              <w:rPr>
                <w:rFonts w:ascii="Times New Roman" w:hAnsi="Times New Roman"/>
                <w:b/>
                <w:color w:val="000000" w:themeColor="text1"/>
                <w:spacing w:val="-2"/>
                <w:w w:val="95"/>
                <w:sz w:val="20"/>
                <w:u w:val="single"/>
              </w:rPr>
              <w:t>Nemecko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Entschädigungseinrichtung</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deutscher</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Banken</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GmbH</w:t>
            </w:r>
            <w:proofErr w:type="spellEnd"/>
            <w:r w:rsidRPr="006B669F">
              <w:rPr>
                <w:rFonts w:ascii="Times New Roman" w:hAnsi="Times New Roman"/>
                <w:color w:val="000000" w:themeColor="text1"/>
                <w:spacing w:val="-2"/>
                <w:w w:val="95"/>
                <w:sz w:val="20"/>
              </w:rPr>
              <w:t>“</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Entschädigungseinrichtung</w:t>
            </w:r>
            <w:proofErr w:type="spellEnd"/>
            <w:r w:rsidRPr="006B669F">
              <w:rPr>
                <w:rFonts w:ascii="Times New Roman" w:hAnsi="Times New Roman"/>
                <w:color w:val="000000" w:themeColor="text1"/>
                <w:spacing w:val="-2"/>
                <w:w w:val="95"/>
                <w:sz w:val="20"/>
              </w:rPr>
              <w:t xml:space="preserve"> des </w:t>
            </w:r>
            <w:proofErr w:type="spellStart"/>
            <w:r w:rsidRPr="006B669F">
              <w:rPr>
                <w:rFonts w:ascii="Times New Roman" w:hAnsi="Times New Roman"/>
                <w:color w:val="000000" w:themeColor="text1"/>
                <w:spacing w:val="-2"/>
                <w:w w:val="95"/>
                <w:sz w:val="20"/>
              </w:rPr>
              <w:t>Bundesverbandes</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Öffentlicher</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Banken</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Deutschlands</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GmbH</w:t>
            </w:r>
            <w:proofErr w:type="spellEnd"/>
            <w:r w:rsidRPr="006B669F">
              <w:rPr>
                <w:rFonts w:ascii="Times New Roman" w:hAnsi="Times New Roman"/>
                <w:color w:val="000000" w:themeColor="text1"/>
                <w:spacing w:val="-2"/>
                <w:w w:val="95"/>
                <w:sz w:val="20"/>
              </w:rPr>
              <w:t>“</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Sicherungseinrichtung</w:t>
            </w:r>
            <w:proofErr w:type="spellEnd"/>
            <w:r w:rsidRPr="006B669F">
              <w:rPr>
                <w:rFonts w:ascii="Times New Roman" w:hAnsi="Times New Roman"/>
                <w:color w:val="000000" w:themeColor="text1"/>
                <w:spacing w:val="-2"/>
                <w:w w:val="95"/>
                <w:sz w:val="20"/>
              </w:rPr>
              <w:t xml:space="preserve"> des </w:t>
            </w:r>
            <w:proofErr w:type="spellStart"/>
            <w:r w:rsidRPr="006B669F">
              <w:rPr>
                <w:rFonts w:ascii="Times New Roman" w:hAnsi="Times New Roman"/>
                <w:color w:val="000000" w:themeColor="text1"/>
                <w:spacing w:val="-2"/>
                <w:w w:val="95"/>
                <w:sz w:val="20"/>
              </w:rPr>
              <w:t>Deutschen</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Sparkassen</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und</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Giroverbandes</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DSGV-Haftungsverbund</w:t>
            </w:r>
            <w:proofErr w:type="spellEnd"/>
            <w:r w:rsidRPr="006B669F">
              <w:rPr>
                <w:rFonts w:ascii="Times New Roman" w:hAnsi="Times New Roman"/>
                <w:color w:val="000000" w:themeColor="text1"/>
                <w:spacing w:val="-2"/>
                <w:w w:val="95"/>
                <w:sz w:val="20"/>
              </w:rPr>
              <w:t>)“</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 xml:space="preserve">„BVR </w:t>
            </w:r>
            <w:proofErr w:type="spellStart"/>
            <w:r w:rsidRPr="006B669F">
              <w:rPr>
                <w:rFonts w:ascii="Times New Roman" w:hAnsi="Times New Roman"/>
                <w:color w:val="000000" w:themeColor="text1"/>
                <w:spacing w:val="-2"/>
                <w:w w:val="95"/>
                <w:sz w:val="20"/>
              </w:rPr>
              <w:t>Institutssicherung</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GmbH</w:t>
            </w:r>
            <w:proofErr w:type="spellEnd"/>
            <w:r w:rsidRPr="006B669F">
              <w:rPr>
                <w:rFonts w:ascii="Times New Roman" w:hAnsi="Times New Roman"/>
                <w:color w:val="000000" w:themeColor="text1"/>
                <w:spacing w:val="-2"/>
                <w:w w:val="95"/>
                <w:sz w:val="20"/>
              </w:rPr>
              <w:t>“</w:t>
            </w:r>
          </w:p>
          <w:p w:rsidR="00EE17EF" w:rsidRPr="00310799"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10799">
              <w:rPr>
                <w:rFonts w:ascii="Times New Roman" w:hAnsi="Times New Roman"/>
                <w:b/>
                <w:color w:val="000000" w:themeColor="text1"/>
                <w:spacing w:val="-2"/>
                <w:w w:val="95"/>
                <w:sz w:val="20"/>
                <w:u w:val="single"/>
              </w:rPr>
              <w:t>Gibraltár</w:t>
            </w:r>
          </w:p>
          <w:p w:rsidR="00EE17EF"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Gibraltar</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Deposit</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Guarantee</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Scheme</w:t>
            </w:r>
            <w:proofErr w:type="spellEnd"/>
            <w:r w:rsidRPr="006B669F">
              <w:rPr>
                <w:rFonts w:ascii="Times New Roman" w:hAnsi="Times New Roman"/>
                <w:color w:val="000000" w:themeColor="text1"/>
                <w:spacing w:val="-2"/>
                <w:w w:val="95"/>
                <w:sz w:val="20"/>
              </w:rPr>
              <w:t>“</w:t>
            </w:r>
          </w:p>
          <w:p w:rsidR="006B669F" w:rsidRPr="00310799" w:rsidRDefault="004842F3" w:rsidP="00743CD3">
            <w:pPr>
              <w:pStyle w:val="TableParagraph"/>
              <w:spacing w:before="108"/>
              <w:ind w:left="85"/>
              <w:jc w:val="both"/>
              <w:rPr>
                <w:rFonts w:ascii="Times New Roman" w:hAnsi="Times New Roman"/>
                <w:b/>
                <w:color w:val="000000" w:themeColor="text1"/>
                <w:spacing w:val="-2"/>
                <w:w w:val="95"/>
                <w:sz w:val="20"/>
                <w:u w:val="single"/>
              </w:rPr>
            </w:pPr>
            <w:r w:rsidRPr="00310799">
              <w:rPr>
                <w:rFonts w:ascii="Times New Roman" w:hAnsi="Times New Roman"/>
                <w:b/>
                <w:color w:val="000000" w:themeColor="text1"/>
                <w:spacing w:val="-2"/>
                <w:w w:val="95"/>
                <w:sz w:val="20"/>
                <w:u w:val="single"/>
              </w:rPr>
              <w:t>Grécko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Ταμείο</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Εγγύησης</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Καταθέσεων</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και</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Επενδύσεων</w:t>
            </w:r>
            <w:proofErr w:type="spellEnd"/>
            <w:r w:rsidRPr="006B669F">
              <w:rPr>
                <w:rFonts w:ascii="Times New Roman" w:hAnsi="Times New Roman"/>
                <w:color w:val="000000" w:themeColor="text1"/>
                <w:spacing w:val="-2"/>
                <w:w w:val="95"/>
                <w:sz w:val="20"/>
              </w:rPr>
              <w:t>“</w:t>
            </w:r>
          </w:p>
          <w:p w:rsidR="006B669F" w:rsidRPr="00310799" w:rsidRDefault="004842F3" w:rsidP="00743CD3">
            <w:pPr>
              <w:pStyle w:val="TableParagraph"/>
              <w:spacing w:before="108"/>
              <w:ind w:left="85"/>
              <w:jc w:val="both"/>
              <w:rPr>
                <w:rFonts w:ascii="Times New Roman" w:hAnsi="Times New Roman"/>
                <w:b/>
                <w:color w:val="000000" w:themeColor="text1"/>
                <w:spacing w:val="-2"/>
                <w:w w:val="95"/>
                <w:sz w:val="20"/>
                <w:u w:val="single"/>
              </w:rPr>
            </w:pPr>
            <w:r w:rsidRPr="00310799">
              <w:rPr>
                <w:rFonts w:ascii="Times New Roman" w:hAnsi="Times New Roman"/>
                <w:b/>
                <w:color w:val="000000" w:themeColor="text1"/>
                <w:spacing w:val="-2"/>
                <w:w w:val="95"/>
                <w:sz w:val="20"/>
                <w:u w:val="single"/>
              </w:rPr>
              <w:t>Maďarsko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Országos</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Betétbiztosítási</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Alap</w:t>
            </w:r>
            <w:proofErr w:type="spellEnd"/>
            <w:r w:rsidRPr="006B669F">
              <w:rPr>
                <w:rFonts w:ascii="Times New Roman" w:hAnsi="Times New Roman"/>
                <w:color w:val="000000" w:themeColor="text1"/>
                <w:spacing w:val="-2"/>
                <w:w w:val="95"/>
                <w:sz w:val="20"/>
              </w:rPr>
              <w:t>“</w:t>
            </w:r>
          </w:p>
          <w:p w:rsidR="004842F3" w:rsidRPr="0031079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10799">
              <w:rPr>
                <w:rFonts w:ascii="Times New Roman" w:hAnsi="Times New Roman"/>
                <w:b/>
                <w:color w:val="000000" w:themeColor="text1"/>
                <w:spacing w:val="-2"/>
                <w:w w:val="95"/>
                <w:sz w:val="20"/>
                <w:u w:val="single"/>
              </w:rPr>
              <w:t>Island</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Tryggingarsjóður</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innstæðueigenda</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og</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fjárfesta</w:t>
            </w:r>
            <w:proofErr w:type="spellEnd"/>
            <w:r w:rsidRPr="006B669F">
              <w:rPr>
                <w:rFonts w:ascii="Times New Roman" w:hAnsi="Times New Roman"/>
                <w:color w:val="000000" w:themeColor="text1"/>
                <w:spacing w:val="-2"/>
                <w:w w:val="95"/>
                <w:sz w:val="20"/>
              </w:rPr>
              <w:t>“</w:t>
            </w:r>
          </w:p>
          <w:p w:rsidR="004842F3" w:rsidRPr="0031079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10799">
              <w:rPr>
                <w:rFonts w:ascii="Times New Roman" w:hAnsi="Times New Roman"/>
                <w:b/>
                <w:color w:val="000000" w:themeColor="text1"/>
                <w:spacing w:val="-2"/>
                <w:w w:val="95"/>
                <w:sz w:val="20"/>
                <w:u w:val="single"/>
              </w:rPr>
              <w:t>Írsko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Irish</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Deposit</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Protection</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Scheme</w:t>
            </w:r>
            <w:proofErr w:type="spellEnd"/>
            <w:r w:rsidRPr="006B669F">
              <w:rPr>
                <w:rFonts w:ascii="Times New Roman" w:hAnsi="Times New Roman"/>
                <w:color w:val="000000" w:themeColor="text1"/>
                <w:spacing w:val="-2"/>
                <w:w w:val="95"/>
                <w:sz w:val="20"/>
              </w:rPr>
              <w:t>“</w:t>
            </w:r>
          </w:p>
          <w:p w:rsidR="006B669F" w:rsidRPr="00310799" w:rsidRDefault="004842F3" w:rsidP="00743CD3">
            <w:pPr>
              <w:pStyle w:val="TableParagraph"/>
              <w:spacing w:before="108"/>
              <w:ind w:left="85"/>
              <w:jc w:val="both"/>
              <w:rPr>
                <w:rFonts w:ascii="Times New Roman" w:hAnsi="Times New Roman"/>
                <w:b/>
                <w:color w:val="000000" w:themeColor="text1"/>
                <w:spacing w:val="-2"/>
                <w:w w:val="95"/>
                <w:sz w:val="20"/>
                <w:u w:val="single"/>
              </w:rPr>
            </w:pPr>
            <w:r w:rsidRPr="00310799">
              <w:rPr>
                <w:rFonts w:ascii="Times New Roman" w:hAnsi="Times New Roman"/>
                <w:b/>
                <w:color w:val="000000" w:themeColor="text1"/>
                <w:spacing w:val="-2"/>
                <w:w w:val="95"/>
                <w:sz w:val="20"/>
                <w:u w:val="single"/>
              </w:rPr>
              <w:t>Taliansko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Fondo</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Interbancario</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di</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Tutela</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dei</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Depositi</w:t>
            </w:r>
            <w:proofErr w:type="spellEnd"/>
            <w:r w:rsidRPr="006B669F">
              <w:rPr>
                <w:rFonts w:ascii="Times New Roman" w:hAnsi="Times New Roman"/>
                <w:color w:val="000000" w:themeColor="text1"/>
                <w:spacing w:val="-2"/>
                <w:w w:val="95"/>
                <w:sz w:val="20"/>
              </w:rPr>
              <w:t>“</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Fondo</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di</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Garanzia</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dei</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Depositanti</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del</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Credito</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Cooperativo</w:t>
            </w:r>
            <w:proofErr w:type="spellEnd"/>
            <w:r w:rsidRPr="006B669F">
              <w:rPr>
                <w:rFonts w:ascii="Times New Roman" w:hAnsi="Times New Roman"/>
                <w:color w:val="000000" w:themeColor="text1"/>
                <w:spacing w:val="-2"/>
                <w:w w:val="95"/>
                <w:sz w:val="20"/>
              </w:rPr>
              <w:t>“</w:t>
            </w:r>
          </w:p>
          <w:p w:rsidR="004842F3" w:rsidRPr="0031079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10799">
              <w:rPr>
                <w:rFonts w:ascii="Times New Roman" w:hAnsi="Times New Roman"/>
                <w:b/>
                <w:color w:val="000000" w:themeColor="text1"/>
                <w:spacing w:val="-2"/>
                <w:w w:val="95"/>
                <w:sz w:val="20"/>
                <w:u w:val="single"/>
              </w:rPr>
              <w:t>Lotyšsko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w:t>
            </w:r>
            <w:proofErr w:type="spellStart"/>
            <w:r w:rsidRPr="006B669F">
              <w:rPr>
                <w:rFonts w:ascii="Times New Roman" w:hAnsi="Times New Roman"/>
                <w:color w:val="000000" w:themeColor="text1"/>
                <w:spacing w:val="-2"/>
                <w:w w:val="95"/>
                <w:sz w:val="20"/>
              </w:rPr>
              <w:t>Latvijas</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Noguldījumu</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garantiju</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fonds</w:t>
            </w:r>
            <w:proofErr w:type="spellEnd"/>
            <w:r w:rsidRPr="006B669F">
              <w:rPr>
                <w:rFonts w:ascii="Times New Roman" w:hAnsi="Times New Roman"/>
                <w:color w:val="000000" w:themeColor="text1"/>
                <w:spacing w:val="-2"/>
                <w:w w:val="95"/>
                <w:sz w:val="20"/>
              </w:rPr>
              <w:t>“</w:t>
            </w:r>
          </w:p>
          <w:p w:rsidR="006B669F" w:rsidRPr="00310799" w:rsidRDefault="004842F3" w:rsidP="00743CD3">
            <w:pPr>
              <w:pStyle w:val="TableParagraph"/>
              <w:spacing w:before="108"/>
              <w:ind w:left="85"/>
              <w:jc w:val="both"/>
              <w:rPr>
                <w:rFonts w:ascii="Times New Roman" w:hAnsi="Times New Roman"/>
                <w:b/>
                <w:color w:val="000000" w:themeColor="text1"/>
                <w:spacing w:val="-2"/>
                <w:w w:val="95"/>
                <w:sz w:val="20"/>
                <w:u w:val="single"/>
              </w:rPr>
            </w:pPr>
            <w:r w:rsidRPr="00310799">
              <w:rPr>
                <w:rFonts w:ascii="Times New Roman" w:hAnsi="Times New Roman"/>
                <w:b/>
                <w:color w:val="000000" w:themeColor="text1"/>
                <w:spacing w:val="-2"/>
                <w:w w:val="95"/>
                <w:sz w:val="20"/>
                <w:u w:val="single"/>
              </w:rPr>
              <w:t>Lichtenštajnsko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Einlagensicherungs</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und</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Anlegerentschädigungs-Stiftung</w:t>
            </w:r>
            <w:proofErr w:type="spellEnd"/>
            <w:r w:rsidRPr="006B669F">
              <w:rPr>
                <w:rFonts w:ascii="Times New Roman" w:hAnsi="Times New Roman"/>
                <w:color w:val="000000" w:themeColor="text1"/>
                <w:spacing w:val="-2"/>
                <w:w w:val="95"/>
                <w:sz w:val="20"/>
              </w:rPr>
              <w:t xml:space="preserve"> SV“</w:t>
            </w:r>
          </w:p>
          <w:p w:rsidR="004842F3" w:rsidRPr="0031079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10799">
              <w:rPr>
                <w:rFonts w:ascii="Times New Roman" w:hAnsi="Times New Roman"/>
                <w:b/>
                <w:color w:val="000000" w:themeColor="text1"/>
                <w:spacing w:val="-2"/>
                <w:w w:val="95"/>
                <w:sz w:val="20"/>
                <w:u w:val="single"/>
              </w:rPr>
              <w:t>Litva</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Indėlių</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ir</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investicijų</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draudimas</w:t>
            </w:r>
            <w:proofErr w:type="spellEnd"/>
            <w:r w:rsidRPr="006B669F">
              <w:rPr>
                <w:rFonts w:ascii="Times New Roman" w:hAnsi="Times New Roman"/>
                <w:color w:val="000000" w:themeColor="text1"/>
                <w:spacing w:val="-2"/>
                <w:w w:val="95"/>
                <w:sz w:val="20"/>
              </w:rPr>
              <w:t>“</w:t>
            </w:r>
          </w:p>
          <w:p w:rsidR="004842F3" w:rsidRPr="0031079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10799">
              <w:rPr>
                <w:rFonts w:ascii="Times New Roman" w:hAnsi="Times New Roman"/>
                <w:b/>
                <w:color w:val="000000" w:themeColor="text1"/>
                <w:spacing w:val="-2"/>
                <w:w w:val="95"/>
                <w:sz w:val="20"/>
                <w:u w:val="single"/>
              </w:rPr>
              <w:t>Luxembursko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 xml:space="preserve">„Fond de </w:t>
            </w:r>
            <w:proofErr w:type="spellStart"/>
            <w:r w:rsidRPr="006B669F">
              <w:rPr>
                <w:rFonts w:ascii="Times New Roman" w:hAnsi="Times New Roman"/>
                <w:color w:val="000000" w:themeColor="text1"/>
                <w:spacing w:val="-2"/>
                <w:w w:val="95"/>
                <w:sz w:val="20"/>
              </w:rPr>
              <w:t>garantie</w:t>
            </w:r>
            <w:proofErr w:type="spellEnd"/>
            <w:r w:rsidRPr="006B669F">
              <w:rPr>
                <w:rFonts w:ascii="Times New Roman" w:hAnsi="Times New Roman"/>
                <w:color w:val="000000" w:themeColor="text1"/>
                <w:spacing w:val="-2"/>
                <w:w w:val="95"/>
                <w:sz w:val="20"/>
              </w:rPr>
              <w:t xml:space="preserve"> des </w:t>
            </w:r>
            <w:proofErr w:type="spellStart"/>
            <w:r w:rsidRPr="006B669F">
              <w:rPr>
                <w:rFonts w:ascii="Times New Roman" w:hAnsi="Times New Roman"/>
                <w:color w:val="000000" w:themeColor="text1"/>
                <w:spacing w:val="-2"/>
                <w:w w:val="95"/>
                <w:sz w:val="20"/>
              </w:rPr>
              <w:t>Dépôts</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Luxembourg</w:t>
            </w:r>
            <w:proofErr w:type="spellEnd"/>
            <w:r w:rsidRPr="006B669F">
              <w:rPr>
                <w:rFonts w:ascii="Times New Roman" w:hAnsi="Times New Roman"/>
                <w:color w:val="000000" w:themeColor="text1"/>
                <w:spacing w:val="-2"/>
                <w:w w:val="95"/>
                <w:sz w:val="20"/>
              </w:rPr>
              <w:t>“</w:t>
            </w:r>
          </w:p>
          <w:p w:rsidR="004842F3" w:rsidRPr="00310799"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10799">
              <w:rPr>
                <w:rFonts w:ascii="Times New Roman" w:hAnsi="Times New Roman"/>
                <w:b/>
                <w:color w:val="000000" w:themeColor="text1"/>
                <w:spacing w:val="-2"/>
                <w:w w:val="95"/>
                <w:sz w:val="20"/>
                <w:u w:val="single"/>
              </w:rPr>
              <w:t>Malta</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Depositor</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Compensation</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Scheme</w:t>
            </w:r>
            <w:proofErr w:type="spellEnd"/>
            <w:r w:rsidRPr="006B669F">
              <w:rPr>
                <w:rFonts w:ascii="Times New Roman" w:hAnsi="Times New Roman"/>
                <w:color w:val="000000" w:themeColor="text1"/>
                <w:spacing w:val="-2"/>
                <w:w w:val="95"/>
                <w:sz w:val="20"/>
              </w:rPr>
              <w:t>“</w:t>
            </w:r>
          </w:p>
          <w:p w:rsidR="006B669F" w:rsidRPr="00310799" w:rsidRDefault="004842F3" w:rsidP="004842F3">
            <w:pPr>
              <w:pStyle w:val="TableParagraph"/>
              <w:spacing w:before="108"/>
              <w:ind w:left="85"/>
              <w:jc w:val="both"/>
              <w:rPr>
                <w:rFonts w:ascii="Times New Roman" w:hAnsi="Times New Roman"/>
                <w:b/>
                <w:color w:val="000000" w:themeColor="text1"/>
                <w:spacing w:val="-2"/>
                <w:w w:val="95"/>
                <w:sz w:val="20"/>
                <w:u w:val="single"/>
              </w:rPr>
            </w:pPr>
            <w:r w:rsidRPr="00310799">
              <w:rPr>
                <w:rFonts w:ascii="Times New Roman" w:hAnsi="Times New Roman"/>
                <w:b/>
                <w:color w:val="000000" w:themeColor="text1"/>
                <w:spacing w:val="-2"/>
                <w:w w:val="95"/>
                <w:sz w:val="20"/>
                <w:u w:val="single"/>
              </w:rPr>
              <w:t>Holandsko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 xml:space="preserve">„De </w:t>
            </w:r>
            <w:proofErr w:type="spellStart"/>
            <w:r w:rsidRPr="006B669F">
              <w:rPr>
                <w:rFonts w:ascii="Times New Roman" w:hAnsi="Times New Roman"/>
                <w:color w:val="000000" w:themeColor="text1"/>
                <w:spacing w:val="-2"/>
                <w:w w:val="95"/>
                <w:sz w:val="20"/>
              </w:rPr>
              <w:t>Nederlandsche</w:t>
            </w:r>
            <w:proofErr w:type="spellEnd"/>
            <w:r w:rsidRPr="006B669F">
              <w:rPr>
                <w:rFonts w:ascii="Times New Roman" w:hAnsi="Times New Roman"/>
                <w:color w:val="000000" w:themeColor="text1"/>
                <w:spacing w:val="-2"/>
                <w:w w:val="95"/>
                <w:sz w:val="20"/>
              </w:rPr>
              <w:t xml:space="preserve"> Bank, </w:t>
            </w:r>
            <w:proofErr w:type="spellStart"/>
            <w:r w:rsidRPr="006B669F">
              <w:rPr>
                <w:rFonts w:ascii="Times New Roman" w:hAnsi="Times New Roman"/>
                <w:color w:val="000000" w:themeColor="text1"/>
                <w:spacing w:val="-2"/>
                <w:w w:val="95"/>
                <w:sz w:val="20"/>
              </w:rPr>
              <w:t>Depositogarantiestelsel</w:t>
            </w:r>
            <w:proofErr w:type="spellEnd"/>
            <w:r w:rsidRPr="006B669F">
              <w:rPr>
                <w:rFonts w:ascii="Times New Roman" w:hAnsi="Times New Roman"/>
                <w:color w:val="000000" w:themeColor="text1"/>
                <w:spacing w:val="-2"/>
                <w:w w:val="95"/>
                <w:sz w:val="20"/>
              </w:rPr>
              <w:t>“</w:t>
            </w:r>
          </w:p>
          <w:p w:rsidR="004842F3" w:rsidRPr="00310799"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10799">
              <w:rPr>
                <w:rFonts w:ascii="Times New Roman" w:hAnsi="Times New Roman"/>
                <w:b/>
                <w:color w:val="000000" w:themeColor="text1"/>
                <w:spacing w:val="-2"/>
                <w:w w:val="95"/>
                <w:sz w:val="20"/>
                <w:u w:val="single"/>
              </w:rPr>
              <w:t>Nórsko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Bankenes</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sikringsfond</w:t>
            </w:r>
            <w:proofErr w:type="spellEnd"/>
            <w:r w:rsidRPr="006B669F">
              <w:rPr>
                <w:rFonts w:ascii="Times New Roman" w:hAnsi="Times New Roman"/>
                <w:color w:val="000000" w:themeColor="text1"/>
                <w:spacing w:val="-2"/>
                <w:w w:val="95"/>
                <w:sz w:val="20"/>
              </w:rPr>
              <w:t>“</w:t>
            </w:r>
          </w:p>
          <w:p w:rsidR="004842F3" w:rsidRPr="00310799"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10799">
              <w:rPr>
                <w:rFonts w:ascii="Times New Roman" w:hAnsi="Times New Roman"/>
                <w:b/>
                <w:color w:val="000000" w:themeColor="text1"/>
                <w:spacing w:val="-2"/>
                <w:w w:val="95"/>
                <w:sz w:val="20"/>
                <w:u w:val="single"/>
              </w:rPr>
              <w:t>Poľsko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Bankowy</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Fundusz</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Gwarancyjny</w:t>
            </w:r>
            <w:proofErr w:type="spellEnd"/>
            <w:r w:rsidRPr="006B669F">
              <w:rPr>
                <w:rFonts w:ascii="Times New Roman" w:hAnsi="Times New Roman"/>
                <w:color w:val="000000" w:themeColor="text1"/>
                <w:spacing w:val="-2"/>
                <w:w w:val="95"/>
                <w:sz w:val="20"/>
              </w:rPr>
              <w:t>“</w:t>
            </w:r>
          </w:p>
          <w:p w:rsidR="004842F3" w:rsidRPr="00310799"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10799">
              <w:rPr>
                <w:rFonts w:ascii="Times New Roman" w:hAnsi="Times New Roman"/>
                <w:b/>
                <w:color w:val="000000" w:themeColor="text1"/>
                <w:spacing w:val="-2"/>
                <w:w w:val="95"/>
                <w:sz w:val="20"/>
                <w:u w:val="single"/>
              </w:rPr>
              <w:t>Portugalsko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Fundo</w:t>
            </w:r>
            <w:proofErr w:type="spellEnd"/>
            <w:r w:rsidRPr="006B669F">
              <w:rPr>
                <w:rFonts w:ascii="Times New Roman" w:hAnsi="Times New Roman"/>
                <w:color w:val="000000" w:themeColor="text1"/>
                <w:spacing w:val="-2"/>
                <w:w w:val="95"/>
                <w:sz w:val="20"/>
              </w:rPr>
              <w:t xml:space="preserve"> de </w:t>
            </w:r>
            <w:proofErr w:type="spellStart"/>
            <w:r w:rsidRPr="006B669F">
              <w:rPr>
                <w:rFonts w:ascii="Times New Roman" w:hAnsi="Times New Roman"/>
                <w:color w:val="000000" w:themeColor="text1"/>
                <w:spacing w:val="-2"/>
                <w:w w:val="95"/>
                <w:sz w:val="20"/>
              </w:rPr>
              <w:t>Garantia</w:t>
            </w:r>
            <w:proofErr w:type="spellEnd"/>
            <w:r w:rsidRPr="006B669F">
              <w:rPr>
                <w:rFonts w:ascii="Times New Roman" w:hAnsi="Times New Roman"/>
                <w:color w:val="000000" w:themeColor="text1"/>
                <w:spacing w:val="-2"/>
                <w:w w:val="95"/>
                <w:sz w:val="20"/>
              </w:rPr>
              <w:t xml:space="preserve"> de </w:t>
            </w:r>
            <w:proofErr w:type="spellStart"/>
            <w:r w:rsidRPr="006B669F">
              <w:rPr>
                <w:rFonts w:ascii="Times New Roman" w:hAnsi="Times New Roman"/>
                <w:color w:val="000000" w:themeColor="text1"/>
                <w:spacing w:val="-2"/>
                <w:w w:val="95"/>
                <w:sz w:val="20"/>
              </w:rPr>
              <w:t>Depósitos</w:t>
            </w:r>
            <w:proofErr w:type="spellEnd"/>
            <w:r w:rsidRPr="006B669F">
              <w:rPr>
                <w:rFonts w:ascii="Times New Roman" w:hAnsi="Times New Roman"/>
                <w:color w:val="000000" w:themeColor="text1"/>
                <w:spacing w:val="-2"/>
                <w:w w:val="95"/>
                <w:sz w:val="20"/>
              </w:rPr>
              <w:t>“</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Fundo</w:t>
            </w:r>
            <w:proofErr w:type="spellEnd"/>
            <w:r w:rsidRPr="006B669F">
              <w:rPr>
                <w:rFonts w:ascii="Times New Roman" w:hAnsi="Times New Roman"/>
                <w:color w:val="000000" w:themeColor="text1"/>
                <w:spacing w:val="-2"/>
                <w:w w:val="95"/>
                <w:sz w:val="20"/>
              </w:rPr>
              <w:t xml:space="preserve"> de </w:t>
            </w:r>
            <w:proofErr w:type="spellStart"/>
            <w:r w:rsidRPr="006B669F">
              <w:rPr>
                <w:rFonts w:ascii="Times New Roman" w:hAnsi="Times New Roman"/>
                <w:color w:val="000000" w:themeColor="text1"/>
                <w:spacing w:val="-2"/>
                <w:w w:val="95"/>
                <w:sz w:val="20"/>
              </w:rPr>
              <w:t>Garantia</w:t>
            </w:r>
            <w:proofErr w:type="spellEnd"/>
            <w:r w:rsidRPr="006B669F">
              <w:rPr>
                <w:rFonts w:ascii="Times New Roman" w:hAnsi="Times New Roman"/>
                <w:color w:val="000000" w:themeColor="text1"/>
                <w:spacing w:val="-2"/>
                <w:w w:val="95"/>
                <w:sz w:val="20"/>
              </w:rPr>
              <w:t xml:space="preserve"> do </w:t>
            </w:r>
            <w:proofErr w:type="spellStart"/>
            <w:r w:rsidRPr="006B669F">
              <w:rPr>
                <w:rFonts w:ascii="Times New Roman" w:hAnsi="Times New Roman"/>
                <w:color w:val="000000" w:themeColor="text1"/>
                <w:spacing w:val="-2"/>
                <w:w w:val="95"/>
                <w:sz w:val="20"/>
              </w:rPr>
              <w:t>Crédito</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Agrícola</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Mútuo</w:t>
            </w:r>
            <w:proofErr w:type="spellEnd"/>
            <w:r w:rsidRPr="006B669F">
              <w:rPr>
                <w:rFonts w:ascii="Times New Roman" w:hAnsi="Times New Roman"/>
                <w:color w:val="000000" w:themeColor="text1"/>
                <w:spacing w:val="-2"/>
                <w:w w:val="95"/>
                <w:sz w:val="20"/>
              </w:rPr>
              <w:t>“</w:t>
            </w:r>
          </w:p>
          <w:p w:rsidR="004842F3" w:rsidRPr="00310799"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10799">
              <w:rPr>
                <w:rFonts w:ascii="Times New Roman" w:hAnsi="Times New Roman"/>
                <w:b/>
                <w:color w:val="000000" w:themeColor="text1"/>
                <w:spacing w:val="-2"/>
                <w:w w:val="95"/>
                <w:sz w:val="20"/>
                <w:u w:val="single"/>
              </w:rPr>
              <w:t>Rumunsko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Fondul</w:t>
            </w:r>
            <w:proofErr w:type="spellEnd"/>
            <w:r w:rsidRPr="006B669F">
              <w:rPr>
                <w:rFonts w:ascii="Times New Roman" w:hAnsi="Times New Roman"/>
                <w:color w:val="000000" w:themeColor="text1"/>
                <w:spacing w:val="-2"/>
                <w:w w:val="95"/>
                <w:sz w:val="20"/>
              </w:rPr>
              <w:t xml:space="preserve"> de </w:t>
            </w:r>
            <w:proofErr w:type="spellStart"/>
            <w:r w:rsidRPr="006B669F">
              <w:rPr>
                <w:rFonts w:ascii="Times New Roman" w:hAnsi="Times New Roman"/>
                <w:color w:val="000000" w:themeColor="text1"/>
                <w:spacing w:val="-2"/>
                <w:w w:val="95"/>
                <w:sz w:val="20"/>
              </w:rPr>
              <w:t>Garantare</w:t>
            </w:r>
            <w:proofErr w:type="spellEnd"/>
            <w:r w:rsidR="006B669F">
              <w:rPr>
                <w:rFonts w:ascii="Times New Roman" w:hAnsi="Times New Roman"/>
                <w:color w:val="000000" w:themeColor="text1"/>
                <w:spacing w:val="-2"/>
                <w:w w:val="95"/>
                <w:sz w:val="20"/>
              </w:rPr>
              <w:t xml:space="preserve"> a </w:t>
            </w:r>
            <w:proofErr w:type="spellStart"/>
            <w:r w:rsidRPr="006B669F">
              <w:rPr>
                <w:rFonts w:ascii="Times New Roman" w:hAnsi="Times New Roman"/>
                <w:color w:val="000000" w:themeColor="text1"/>
                <w:spacing w:val="-2"/>
                <w:w w:val="95"/>
                <w:sz w:val="20"/>
              </w:rPr>
              <w:t>Depozitelor</w:t>
            </w:r>
            <w:proofErr w:type="spellEnd"/>
            <w:r w:rsidRPr="006B669F">
              <w:rPr>
                <w:rFonts w:ascii="Times New Roman" w:hAnsi="Times New Roman"/>
                <w:color w:val="000000" w:themeColor="text1"/>
                <w:spacing w:val="-2"/>
                <w:w w:val="95"/>
                <w:sz w:val="20"/>
              </w:rPr>
              <w:t xml:space="preserve"> in </w:t>
            </w:r>
            <w:proofErr w:type="spellStart"/>
            <w:r w:rsidRPr="006B669F">
              <w:rPr>
                <w:rFonts w:ascii="Times New Roman" w:hAnsi="Times New Roman"/>
                <w:color w:val="000000" w:themeColor="text1"/>
                <w:spacing w:val="-2"/>
                <w:w w:val="95"/>
                <w:sz w:val="20"/>
              </w:rPr>
              <w:t>Sistemul</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Bancar</w:t>
            </w:r>
            <w:proofErr w:type="spellEnd"/>
            <w:r w:rsidRPr="006B669F">
              <w:rPr>
                <w:rFonts w:ascii="Times New Roman" w:hAnsi="Times New Roman"/>
                <w:color w:val="000000" w:themeColor="text1"/>
                <w:spacing w:val="-2"/>
                <w:w w:val="95"/>
                <w:sz w:val="20"/>
              </w:rPr>
              <w:t>“</w:t>
            </w:r>
          </w:p>
          <w:p w:rsidR="004842F3" w:rsidRPr="00310799"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10799">
              <w:rPr>
                <w:rFonts w:ascii="Times New Roman" w:hAnsi="Times New Roman"/>
                <w:b/>
                <w:color w:val="000000" w:themeColor="text1"/>
                <w:spacing w:val="-2"/>
                <w:w w:val="95"/>
                <w:sz w:val="20"/>
                <w:u w:val="single"/>
              </w:rPr>
              <w:t>Slovensko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„Fond ochrany vkladov“</w:t>
            </w:r>
          </w:p>
          <w:p w:rsidR="006B669F" w:rsidRPr="00310799" w:rsidRDefault="004842F3" w:rsidP="004842F3">
            <w:pPr>
              <w:pStyle w:val="TableParagraph"/>
              <w:spacing w:before="108"/>
              <w:ind w:left="85"/>
              <w:jc w:val="both"/>
              <w:rPr>
                <w:rFonts w:ascii="Times New Roman" w:hAnsi="Times New Roman"/>
                <w:b/>
                <w:color w:val="000000" w:themeColor="text1"/>
                <w:spacing w:val="-2"/>
                <w:w w:val="95"/>
                <w:sz w:val="20"/>
                <w:u w:val="single"/>
              </w:rPr>
            </w:pPr>
            <w:r w:rsidRPr="00310799">
              <w:rPr>
                <w:rFonts w:ascii="Times New Roman" w:hAnsi="Times New Roman"/>
                <w:b/>
                <w:color w:val="000000" w:themeColor="text1"/>
                <w:spacing w:val="-2"/>
                <w:w w:val="95"/>
                <w:sz w:val="20"/>
                <w:u w:val="single"/>
              </w:rPr>
              <w:t>Slovinsko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 xml:space="preserve">„Banka </w:t>
            </w:r>
            <w:proofErr w:type="spellStart"/>
            <w:r w:rsidRPr="006B669F">
              <w:rPr>
                <w:rFonts w:ascii="Times New Roman" w:hAnsi="Times New Roman"/>
                <w:color w:val="000000" w:themeColor="text1"/>
                <w:spacing w:val="-2"/>
                <w:w w:val="95"/>
                <w:sz w:val="20"/>
              </w:rPr>
              <w:t>Slovenije</w:t>
            </w:r>
            <w:proofErr w:type="spellEnd"/>
            <w:r w:rsidRPr="006B669F">
              <w:rPr>
                <w:rFonts w:ascii="Times New Roman" w:hAnsi="Times New Roman"/>
                <w:color w:val="000000" w:themeColor="text1"/>
                <w:spacing w:val="-2"/>
                <w:w w:val="95"/>
                <w:sz w:val="20"/>
              </w:rPr>
              <w:t>“</w:t>
            </w:r>
          </w:p>
          <w:p w:rsidR="004842F3" w:rsidRPr="00310799"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10799">
              <w:rPr>
                <w:rFonts w:ascii="Times New Roman" w:hAnsi="Times New Roman"/>
                <w:b/>
                <w:color w:val="000000" w:themeColor="text1"/>
                <w:spacing w:val="-2"/>
                <w:w w:val="95"/>
                <w:sz w:val="20"/>
                <w:u w:val="single"/>
              </w:rPr>
              <w:t>Španielsko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Fondo</w:t>
            </w:r>
            <w:proofErr w:type="spellEnd"/>
            <w:r w:rsidRPr="006B669F">
              <w:rPr>
                <w:rFonts w:ascii="Times New Roman" w:hAnsi="Times New Roman"/>
                <w:color w:val="000000" w:themeColor="text1"/>
                <w:spacing w:val="-2"/>
                <w:w w:val="95"/>
                <w:sz w:val="20"/>
              </w:rPr>
              <w:t xml:space="preserve"> de </w:t>
            </w:r>
            <w:proofErr w:type="spellStart"/>
            <w:r w:rsidRPr="006B669F">
              <w:rPr>
                <w:rFonts w:ascii="Times New Roman" w:hAnsi="Times New Roman"/>
                <w:color w:val="000000" w:themeColor="text1"/>
                <w:spacing w:val="-2"/>
                <w:w w:val="95"/>
                <w:sz w:val="20"/>
              </w:rPr>
              <w:t>Garantía</w:t>
            </w:r>
            <w:proofErr w:type="spellEnd"/>
            <w:r w:rsidRPr="006B669F">
              <w:rPr>
                <w:rFonts w:ascii="Times New Roman" w:hAnsi="Times New Roman"/>
                <w:color w:val="000000" w:themeColor="text1"/>
                <w:spacing w:val="-2"/>
                <w:w w:val="95"/>
                <w:sz w:val="20"/>
              </w:rPr>
              <w:t xml:space="preserve"> de </w:t>
            </w:r>
            <w:proofErr w:type="spellStart"/>
            <w:r w:rsidRPr="006B669F">
              <w:rPr>
                <w:rFonts w:ascii="Times New Roman" w:hAnsi="Times New Roman"/>
                <w:color w:val="000000" w:themeColor="text1"/>
                <w:spacing w:val="-2"/>
                <w:w w:val="95"/>
                <w:sz w:val="20"/>
              </w:rPr>
              <w:t>Depósitos</w:t>
            </w:r>
            <w:proofErr w:type="spellEnd"/>
            <w:r w:rsidRPr="006B669F">
              <w:rPr>
                <w:rFonts w:ascii="Times New Roman" w:hAnsi="Times New Roman"/>
                <w:color w:val="000000" w:themeColor="text1"/>
                <w:spacing w:val="-2"/>
                <w:w w:val="95"/>
                <w:sz w:val="20"/>
              </w:rPr>
              <w:t xml:space="preserve"> de </w:t>
            </w:r>
            <w:proofErr w:type="spellStart"/>
            <w:r w:rsidRPr="006B669F">
              <w:rPr>
                <w:rFonts w:ascii="Times New Roman" w:hAnsi="Times New Roman"/>
                <w:color w:val="000000" w:themeColor="text1"/>
                <w:spacing w:val="-2"/>
                <w:w w:val="95"/>
                <w:sz w:val="20"/>
              </w:rPr>
              <w:t>Entidades</w:t>
            </w:r>
            <w:proofErr w:type="spellEnd"/>
            <w:r w:rsidRPr="006B669F">
              <w:rPr>
                <w:rFonts w:ascii="Times New Roman" w:hAnsi="Times New Roman"/>
                <w:color w:val="000000" w:themeColor="text1"/>
                <w:spacing w:val="-2"/>
                <w:w w:val="95"/>
                <w:sz w:val="20"/>
              </w:rPr>
              <w:t xml:space="preserve"> de </w:t>
            </w:r>
            <w:proofErr w:type="spellStart"/>
            <w:r w:rsidRPr="006B669F">
              <w:rPr>
                <w:rFonts w:ascii="Times New Roman" w:hAnsi="Times New Roman"/>
                <w:color w:val="000000" w:themeColor="text1"/>
                <w:spacing w:val="-2"/>
                <w:w w:val="95"/>
                <w:sz w:val="20"/>
              </w:rPr>
              <w:t>Crédito</w:t>
            </w:r>
            <w:proofErr w:type="spellEnd"/>
            <w:r w:rsidRPr="006B669F">
              <w:rPr>
                <w:rFonts w:ascii="Times New Roman" w:hAnsi="Times New Roman"/>
                <w:color w:val="000000" w:themeColor="text1"/>
                <w:spacing w:val="-2"/>
                <w:w w:val="95"/>
                <w:sz w:val="20"/>
              </w:rPr>
              <w:t>“</w:t>
            </w:r>
          </w:p>
          <w:p w:rsidR="004842F3" w:rsidRPr="00310799"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10799">
              <w:rPr>
                <w:rFonts w:ascii="Times New Roman" w:hAnsi="Times New Roman"/>
                <w:b/>
                <w:color w:val="000000" w:themeColor="text1"/>
                <w:spacing w:val="-2"/>
                <w:w w:val="95"/>
                <w:sz w:val="20"/>
                <w:u w:val="single"/>
              </w:rPr>
              <w:t>Švédsko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Riksgälden</w:t>
            </w:r>
            <w:proofErr w:type="spellEnd"/>
            <w:r w:rsidRPr="006B669F">
              <w:rPr>
                <w:rFonts w:ascii="Times New Roman" w:hAnsi="Times New Roman"/>
                <w:color w:val="000000" w:themeColor="text1"/>
                <w:spacing w:val="-2"/>
                <w:w w:val="95"/>
                <w:sz w:val="20"/>
              </w:rPr>
              <w:t>“</w:t>
            </w:r>
          </w:p>
          <w:p w:rsidR="004842F3" w:rsidRPr="00310799"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310799">
              <w:rPr>
                <w:rFonts w:ascii="Times New Roman" w:hAnsi="Times New Roman"/>
                <w:b/>
                <w:color w:val="000000" w:themeColor="text1"/>
                <w:spacing w:val="-2"/>
                <w:w w:val="95"/>
                <w:sz w:val="20"/>
                <w:u w:val="single"/>
              </w:rPr>
              <w:t>Spojené kráľovstvo</w:t>
            </w:r>
          </w:p>
          <w:p w:rsidR="004842F3" w:rsidRPr="006B669F"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w:t>
            </w:r>
            <w:proofErr w:type="spellStart"/>
            <w:r w:rsidRPr="006B669F">
              <w:rPr>
                <w:rFonts w:ascii="Times New Roman" w:hAnsi="Times New Roman"/>
                <w:color w:val="000000" w:themeColor="text1"/>
                <w:spacing w:val="-2"/>
                <w:w w:val="95"/>
                <w:sz w:val="20"/>
              </w:rPr>
              <w:t>Financial</w:t>
            </w:r>
            <w:proofErr w:type="spellEnd"/>
            <w:r w:rsidRPr="006B669F">
              <w:rPr>
                <w:rFonts w:ascii="Times New Roman" w:hAnsi="Times New Roman"/>
                <w:color w:val="000000" w:themeColor="text1"/>
                <w:spacing w:val="-2"/>
                <w:w w:val="95"/>
                <w:sz w:val="20"/>
              </w:rPr>
              <w:t xml:space="preserve"> Services </w:t>
            </w:r>
            <w:proofErr w:type="spellStart"/>
            <w:r w:rsidRPr="006B669F">
              <w:rPr>
                <w:rFonts w:ascii="Times New Roman" w:hAnsi="Times New Roman"/>
                <w:color w:val="000000" w:themeColor="text1"/>
                <w:spacing w:val="-2"/>
                <w:w w:val="95"/>
                <w:sz w:val="20"/>
              </w:rPr>
              <w:t>Compensation</w:t>
            </w:r>
            <w:proofErr w:type="spellEnd"/>
            <w:r w:rsidRPr="006B669F">
              <w:rPr>
                <w:rFonts w:ascii="Times New Roman" w:hAnsi="Times New Roman"/>
                <w:color w:val="000000" w:themeColor="text1"/>
                <w:spacing w:val="-2"/>
                <w:w w:val="95"/>
                <w:sz w:val="20"/>
              </w:rPr>
              <w:t xml:space="preserve"> </w:t>
            </w:r>
            <w:proofErr w:type="spellStart"/>
            <w:r w:rsidRPr="006B669F">
              <w:rPr>
                <w:rFonts w:ascii="Times New Roman" w:hAnsi="Times New Roman"/>
                <w:color w:val="000000" w:themeColor="text1"/>
                <w:spacing w:val="-2"/>
                <w:w w:val="95"/>
                <w:sz w:val="20"/>
              </w:rPr>
              <w:t>Scheme</w:t>
            </w:r>
            <w:proofErr w:type="spellEnd"/>
            <w:r w:rsidRPr="006B669F">
              <w:rPr>
                <w:rFonts w:ascii="Times New Roman" w:hAnsi="Times New Roman"/>
                <w:color w:val="000000" w:themeColor="text1"/>
                <w:spacing w:val="-2"/>
                <w:w w:val="95"/>
                <w:sz w:val="20"/>
              </w:rPr>
              <w:t>“</w:t>
            </w:r>
          </w:p>
          <w:p w:rsidR="00EE17EF" w:rsidRPr="006B669F"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F86BB3" w:rsidRPr="006B669F"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Ak oficiálne uznaný systém ochrany vkladov, ktorého je subjekt členom, nie je uvedený vyššie, vykáže sa „iný“.</w:t>
            </w:r>
          </w:p>
        </w:tc>
      </w:tr>
      <w:tr w:rsidR="00D22EB0" w:rsidRPr="006B669F" w:rsidTr="00DD2B90">
        <w:tc>
          <w:tcPr>
            <w:tcW w:w="1191" w:type="dxa"/>
            <w:tcBorders>
              <w:top w:val="single" w:sz="4" w:space="0" w:color="1A171C"/>
              <w:left w:val="nil"/>
              <w:bottom w:val="single" w:sz="4" w:space="0" w:color="1A171C"/>
              <w:right w:val="single" w:sz="4" w:space="0" w:color="1A171C"/>
            </w:tcBorders>
          </w:tcPr>
          <w:p w:rsidR="0057049E" w:rsidRPr="006B669F"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7049E" w:rsidRPr="00E140EE"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Suma krytých vkladov</w:t>
            </w:r>
          </w:p>
          <w:p w:rsidR="0057049E" w:rsidRPr="006B669F"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2 ods. 1 bod 5</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článok 6 ods. 2 smernice 2014/49/EÚ</w:t>
            </w:r>
          </w:p>
          <w:p w:rsidR="0057049E" w:rsidRPr="006B669F"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Suma krytých vkladov podľa vymedzenia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článku 2 ods. 1 bode 5</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spojení</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článkom 6 smernice 2014/49/EÚ, ktorá je krytá systémom ochrany vkladov</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riadku 00030</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výnimkou dočasných vysokých zostatkov podľa vymedzenia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článku 6 ods. 2 smernice 2014/49/EÚ.</w:t>
            </w:r>
          </w:p>
        </w:tc>
      </w:tr>
      <w:tr w:rsidR="00D22EB0" w:rsidRPr="006B669F" w:rsidTr="00DD2B90">
        <w:tc>
          <w:tcPr>
            <w:tcW w:w="1191" w:type="dxa"/>
            <w:tcBorders>
              <w:top w:val="single" w:sz="4" w:space="0" w:color="1A171C"/>
              <w:left w:val="nil"/>
              <w:bottom w:val="single" w:sz="4" w:space="0" w:color="1A171C"/>
              <w:right w:val="single" w:sz="4" w:space="0" w:color="1A171C"/>
            </w:tcBorders>
          </w:tcPr>
          <w:p w:rsidR="0057049E" w:rsidRPr="006B669F"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57049E" w:rsidRPr="00E140EE"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Schéma inštitucionálneho zabezpečenia</w:t>
            </w:r>
          </w:p>
          <w:p w:rsidR="0057049E" w:rsidRPr="006B669F"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113 ods. 7 nariadenia (EÚ) č. 575/2013</w:t>
            </w:r>
          </w:p>
          <w:p w:rsidR="006550E5" w:rsidRPr="006B669F"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Názov schémy inštitucionálneho zabezpečenia, ako sa uvádza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článku 113 ods. 7 nariadenia (EÚ) č. 575/2013, ktorej je subjekt členom. Ak subjekt nie je členom schémy inštitucionálneho zabezpečenia, nevykazujte nič. Ak subjekt je členom schémy inštitucionálneho zabezpečenia, ktorá je zároveň oficiálne uznaná ako systém ochrany vkladov podľa článku 4 ods. 2 smernice 2014/49/EÚ, názov schémy inštitucionálneho zabezpečenia musí byť totožný</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názvom systému ochrany vkladov</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riadku 030.</w:t>
            </w:r>
          </w:p>
          <w:p w:rsidR="0057049E" w:rsidRPr="006B669F"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6B669F" w:rsidTr="00DD2B90">
        <w:tc>
          <w:tcPr>
            <w:tcW w:w="1191" w:type="dxa"/>
            <w:tcBorders>
              <w:top w:val="single" w:sz="4" w:space="0" w:color="1A171C"/>
              <w:left w:val="nil"/>
              <w:bottom w:val="single" w:sz="4" w:space="0" w:color="1A171C"/>
              <w:right w:val="single" w:sz="4" w:space="0" w:color="1A171C"/>
            </w:tcBorders>
          </w:tcPr>
          <w:p w:rsidR="0057049E" w:rsidRPr="006B669F"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0060</w:t>
            </w:r>
          </w:p>
        </w:tc>
        <w:tc>
          <w:tcPr>
            <w:tcW w:w="7892" w:type="dxa"/>
            <w:tcBorders>
              <w:top w:val="single" w:sz="4" w:space="0" w:color="1A171C"/>
              <w:left w:val="single" w:sz="4" w:space="0" w:color="1A171C"/>
              <w:bottom w:val="single" w:sz="4" w:space="0" w:color="1A171C"/>
              <w:right w:val="nil"/>
            </w:tcBorders>
          </w:tcPr>
          <w:p w:rsidR="0057049E" w:rsidRPr="00E140EE"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Dodatočná ochrana</w:t>
            </w:r>
            <w:r w:rsidR="006B669F" w:rsidRPr="00E140EE">
              <w:rPr>
                <w:rFonts w:ascii="Times New Roman" w:hAnsi="Times New Roman"/>
                <w:b/>
                <w:color w:val="000000" w:themeColor="text1"/>
                <w:sz w:val="20"/>
              </w:rPr>
              <w:t xml:space="preserve"> v </w:t>
            </w:r>
            <w:r w:rsidRPr="00E140EE">
              <w:rPr>
                <w:rFonts w:ascii="Times New Roman" w:hAnsi="Times New Roman"/>
                <w:b/>
                <w:color w:val="000000" w:themeColor="text1"/>
                <w:sz w:val="20"/>
              </w:rPr>
              <w:t>rámci zmluvného systému</w:t>
            </w:r>
          </w:p>
          <w:p w:rsidR="0057049E" w:rsidRPr="006B669F"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1 ods. 3 písm. a) smernice 2014/49/EÚ</w:t>
            </w:r>
          </w:p>
          <w:p w:rsidR="0057049E" w:rsidRPr="006B669F" w:rsidRDefault="0057049E" w:rsidP="00D4315A">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Suma vkladov, na ktoré sa vzťahuje zmluvný systém</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rámci subjektu.</w:t>
            </w:r>
          </w:p>
        </w:tc>
      </w:tr>
    </w:tbl>
    <w:p w:rsidR="0057049E" w:rsidRPr="00310799" w:rsidRDefault="0057049E" w:rsidP="008F7980">
      <w:pPr>
        <w:rPr>
          <w:rFonts w:ascii="Times New Roman" w:hAnsi="Times New Roman" w:cs="Times New Roman"/>
          <w:b/>
          <w:color w:val="000000" w:themeColor="text1"/>
          <w:sz w:val="20"/>
          <w:szCs w:val="20"/>
          <w:u w:val="single"/>
        </w:rPr>
      </w:pPr>
    </w:p>
    <w:p w:rsidR="00E13CE3" w:rsidRPr="00310799" w:rsidRDefault="00E13CE3" w:rsidP="008854E4">
      <w:pPr>
        <w:pStyle w:val="Instructionsberschrift2"/>
        <w:numPr>
          <w:ilvl w:val="1"/>
          <w:numId w:val="7"/>
        </w:numPr>
        <w:ind w:left="357" w:hanging="357"/>
        <w:rPr>
          <w:rFonts w:ascii="Times New Roman" w:hAnsi="Times New Roman" w:cs="Times New Roman"/>
          <w:szCs w:val="20"/>
        </w:rPr>
      </w:pPr>
      <w:bookmarkStart w:id="35" w:name="_Toc492542327"/>
      <w:bookmarkStart w:id="36" w:name="_Toc509909045"/>
      <w:bookmarkStart w:id="37" w:name="_Toc525209035"/>
      <w:r w:rsidRPr="00310799">
        <w:rPr>
          <w:rFonts w:ascii="Times New Roman" w:hAnsi="Times New Roman"/>
        </w:rPr>
        <w:t>Zásadné funkcie</w:t>
      </w:r>
      <w:r w:rsidR="006B669F" w:rsidRPr="00310799">
        <w:rPr>
          <w:rFonts w:ascii="Times New Roman" w:hAnsi="Times New Roman"/>
        </w:rPr>
        <w:t xml:space="preserve"> a </w:t>
      </w:r>
      <w:r w:rsidRPr="00310799">
        <w:rPr>
          <w:rFonts w:ascii="Times New Roman" w:hAnsi="Times New Roman"/>
        </w:rPr>
        <w:t>hlavné oblasti obchodnej činnosti</w:t>
      </w:r>
      <w:bookmarkEnd w:id="35"/>
      <w:bookmarkEnd w:id="36"/>
      <w:bookmarkEnd w:id="37"/>
    </w:p>
    <w:p w:rsidR="00AA4026" w:rsidRPr="00310799" w:rsidRDefault="00AA4026" w:rsidP="00715DAB">
      <w:pPr>
        <w:pStyle w:val="Instructionsberschrift3"/>
      </w:pPr>
      <w:r w:rsidRPr="00310799">
        <w:t>Všeobecné poznámky</w:t>
      </w:r>
    </w:p>
    <w:p w:rsidR="001D72E4" w:rsidRPr="004F233C" w:rsidRDefault="001D72E4" w:rsidP="004F233C">
      <w:pPr>
        <w:pStyle w:val="numberedparagraph"/>
      </w:pPr>
      <w:r w:rsidRPr="004F233C">
        <w:t>Štyri vzory tohto oddielu poskytujú kľúčové údaje</w:t>
      </w:r>
      <w:r w:rsidR="006B669F" w:rsidRPr="004F233C">
        <w:t xml:space="preserve"> a </w:t>
      </w:r>
      <w:r w:rsidRPr="004F233C">
        <w:t>kvalitatívne posúdenia vplyvu, zastupiteľnosti</w:t>
      </w:r>
      <w:r w:rsidR="006B669F" w:rsidRPr="004F233C">
        <w:t xml:space="preserve"> a </w:t>
      </w:r>
      <w:r w:rsidRPr="004F233C">
        <w:t>kritickosti hospodárskych funkcií, ktoré skupina poskytuje, doplnené</w:t>
      </w:r>
      <w:r w:rsidR="006B669F" w:rsidRPr="004F233C">
        <w:t xml:space="preserve"> o </w:t>
      </w:r>
      <w:r w:rsidRPr="004F233C">
        <w:t>priradenie týchto zásadných funkcií</w:t>
      </w:r>
      <w:r w:rsidR="006B669F" w:rsidRPr="004F233C">
        <w:t xml:space="preserve"> k </w:t>
      </w:r>
      <w:r w:rsidRPr="004F233C">
        <w:t>hlavným oblastiam obchodnej činnosti</w:t>
      </w:r>
      <w:r w:rsidR="006B669F" w:rsidRPr="004F233C">
        <w:t xml:space="preserve"> a </w:t>
      </w:r>
      <w:r w:rsidRPr="004F233C">
        <w:t>právnickým osobám.</w:t>
      </w:r>
    </w:p>
    <w:p w:rsidR="005B5989" w:rsidRPr="004F233C" w:rsidRDefault="0001511A" w:rsidP="004F233C">
      <w:pPr>
        <w:pStyle w:val="numberedparagraph"/>
      </w:pPr>
      <w:r w:rsidRPr="004F233C">
        <w:t>Konkrétnejšie sa vzory venujú týmto témam:</w:t>
      </w:r>
    </w:p>
    <w:p w:rsidR="004D12A4" w:rsidRPr="004F233C" w:rsidRDefault="0000307C" w:rsidP="004F233C">
      <w:pPr>
        <w:pStyle w:val="numberedparagraph"/>
      </w:pPr>
      <w:r w:rsidRPr="004F233C">
        <w:t>Vzor</w:t>
      </w:r>
      <w:r w:rsidR="006B669F" w:rsidRPr="004F233C">
        <w:t xml:space="preserve"> Z </w:t>
      </w:r>
      <w:r w:rsidRPr="004F233C">
        <w:t>07.01 – Posúdenie kritickosti hospodárskych funkcií (FUNC 1) založené na kvantitatívnych</w:t>
      </w:r>
      <w:r w:rsidR="006B669F" w:rsidRPr="004F233C">
        <w:t xml:space="preserve"> a </w:t>
      </w:r>
      <w:r w:rsidRPr="004F233C">
        <w:t>kvalitatívnych ukazovateľoch identifikuje zásadné funkcie</w:t>
      </w:r>
      <w:r w:rsidR="006B669F" w:rsidRPr="004F233C">
        <w:t xml:space="preserve"> a </w:t>
      </w:r>
      <w:r w:rsidRPr="004F233C">
        <w:t>funkcie, ktoré nie sú zásadné, vykonávané skupinou za každý členský štát,</w:t>
      </w:r>
      <w:r w:rsidR="006B669F" w:rsidRPr="004F233C">
        <w:t xml:space="preserve"> v </w:t>
      </w:r>
      <w:r w:rsidRPr="004F233C">
        <w:t>ktorom skupina pôsobí;</w:t>
      </w:r>
    </w:p>
    <w:p w:rsidR="00DF4780" w:rsidRPr="004F233C" w:rsidRDefault="000103DF" w:rsidP="004F233C">
      <w:pPr>
        <w:pStyle w:val="numberedparagraph"/>
      </w:pPr>
      <w:r w:rsidRPr="004F233C">
        <w:t>Vzor</w:t>
      </w:r>
      <w:r w:rsidR="006B669F" w:rsidRPr="004F233C">
        <w:t xml:space="preserve"> Z </w:t>
      </w:r>
      <w:r w:rsidRPr="004F233C">
        <w:t>07.02 – Priradenie zásadných funkcií</w:t>
      </w:r>
      <w:r w:rsidR="006B669F" w:rsidRPr="004F233C">
        <w:t xml:space="preserve"> k </w:t>
      </w:r>
      <w:r w:rsidRPr="004F233C">
        <w:t>právnickým osobám (FUNC 2) priraďuje identifikované zásadné funkcie</w:t>
      </w:r>
      <w:r w:rsidR="006B669F" w:rsidRPr="004F233C">
        <w:t xml:space="preserve"> k </w:t>
      </w:r>
      <w:r w:rsidRPr="004F233C">
        <w:t>jednotlivým právnickým osobám</w:t>
      </w:r>
      <w:r w:rsidR="006B669F" w:rsidRPr="004F233C">
        <w:t xml:space="preserve"> a </w:t>
      </w:r>
      <w:r w:rsidRPr="004F233C">
        <w:t>posudzuje, či je každá právnická osoba považovaná za vhodnú pre výkon zásadnej funkcie alebo nie;</w:t>
      </w:r>
    </w:p>
    <w:p w:rsidR="00DF4780" w:rsidRPr="004F233C" w:rsidRDefault="00F7117F" w:rsidP="004F233C">
      <w:pPr>
        <w:pStyle w:val="numberedparagraph"/>
      </w:pPr>
      <w:r w:rsidRPr="004F233C">
        <w:t>Z 07.03 – Priradenie hlavných oblastí obchodnej činnosti</w:t>
      </w:r>
      <w:r w:rsidR="006B669F" w:rsidRPr="004F233C">
        <w:t xml:space="preserve"> k </w:t>
      </w:r>
      <w:r w:rsidRPr="004F233C">
        <w:t>právnickým osobám (FUNC 3) poskytuje úplný zoznam hlavných oblastí obchodnej činnosti</w:t>
      </w:r>
      <w:r w:rsidR="006B669F" w:rsidRPr="004F233C">
        <w:t xml:space="preserve"> a </w:t>
      </w:r>
      <w:r w:rsidRPr="004F233C">
        <w:t>priraďuje ich</w:t>
      </w:r>
      <w:r w:rsidR="006B669F" w:rsidRPr="004F233C">
        <w:t xml:space="preserve"> k </w:t>
      </w:r>
      <w:r w:rsidRPr="004F233C">
        <w:t>právnickým osobám;</w:t>
      </w:r>
    </w:p>
    <w:p w:rsidR="00DF4780" w:rsidRPr="004F233C" w:rsidRDefault="00AD488F" w:rsidP="004F233C">
      <w:pPr>
        <w:pStyle w:val="numberedparagraph"/>
      </w:pPr>
      <w:r w:rsidRPr="004F233C">
        <w:t>Vzor</w:t>
      </w:r>
      <w:r w:rsidR="006B669F" w:rsidRPr="004F233C">
        <w:t xml:space="preserve"> Z </w:t>
      </w:r>
      <w:r w:rsidRPr="004F233C">
        <w:t>07.04 – Priradenie zásadných funkcií</w:t>
      </w:r>
      <w:r w:rsidR="006B669F" w:rsidRPr="004F233C">
        <w:t xml:space="preserve"> k </w:t>
      </w:r>
      <w:r w:rsidRPr="004F233C">
        <w:t>hlavným oblastiam obchodnej činnosti (FUNC 4) priraďuje identifikované zásadné funkcie</w:t>
      </w:r>
      <w:r w:rsidR="006B669F" w:rsidRPr="004F233C">
        <w:t xml:space="preserve"> k </w:t>
      </w:r>
      <w:r w:rsidRPr="004F233C">
        <w:t>oblastiam obchodnej činnosti.</w:t>
      </w:r>
    </w:p>
    <w:p w:rsidR="006B669F" w:rsidRPr="004F233C" w:rsidRDefault="006B4A6D" w:rsidP="004F233C">
      <w:pPr>
        <w:pStyle w:val="numberedparagraph"/>
      </w:pPr>
      <w:r w:rsidRPr="004F233C">
        <w:t>Podľa článku 2 ods. 1 bodu 35 smernice 2014/59/EÚ „zásadné funkcie“ sú činnosti, služby alebo operácie, ktorých prerušenie by</w:t>
      </w:r>
      <w:r w:rsidR="006B669F" w:rsidRPr="004F233C">
        <w:t xml:space="preserve"> v </w:t>
      </w:r>
      <w:r w:rsidRPr="004F233C">
        <w:t>jednom alebo vo viacerých členských štátoch pravdepodobne viedlo</w:t>
      </w:r>
      <w:r w:rsidR="006B669F" w:rsidRPr="004F233C">
        <w:t xml:space="preserve"> k </w:t>
      </w:r>
      <w:r w:rsidRPr="004F233C">
        <w:t>narušeniu základných služieb reálneho hospodárstva alebo narušeniu finančnej stability</w:t>
      </w:r>
      <w:r w:rsidR="006B669F" w:rsidRPr="004F233C">
        <w:t xml:space="preserve"> v </w:t>
      </w:r>
      <w:r w:rsidRPr="004F233C">
        <w:t>dôsledku veľkosti inštitúcie alebo skupiny alebo ich podielu na trhu, vonkajšej</w:t>
      </w:r>
      <w:r w:rsidR="006B669F" w:rsidRPr="004F233C">
        <w:t xml:space="preserve"> a </w:t>
      </w:r>
      <w:r w:rsidRPr="004F233C">
        <w:t>vnútornej prepojenosti, zložitosti alebo cezhraničných činností,</w:t>
      </w:r>
      <w:r w:rsidR="006B669F" w:rsidRPr="004F233C">
        <w:t xml:space="preserve"> a </w:t>
      </w:r>
      <w:r w:rsidRPr="004F233C">
        <w:t>to</w:t>
      </w:r>
      <w:r w:rsidR="006B669F" w:rsidRPr="004F233C">
        <w:t xml:space="preserve"> s </w:t>
      </w:r>
      <w:r w:rsidRPr="004F233C">
        <w:t>osobitným zreteľom na nahraditeľnosť týchto činností, služieb alebo operácií</w:t>
      </w:r>
      <w:r w:rsidR="006B669F" w:rsidRPr="004F233C">
        <w:t>;</w:t>
      </w:r>
    </w:p>
    <w:p w:rsidR="0056559D" w:rsidRPr="004F233C" w:rsidRDefault="003A344F" w:rsidP="004F233C">
      <w:pPr>
        <w:pStyle w:val="numberedparagraph"/>
      </w:pPr>
      <w:r w:rsidRPr="004F233C">
        <w:t>Podľa článku 6 ods. 1 nariadenia Komisie (EÚ) 2016/778</w:t>
      </w:r>
      <w:r w:rsidRPr="004F233C">
        <w:rPr>
          <w:vertAlign w:val="superscript"/>
        </w:rPr>
        <w:footnoteReference w:id="16"/>
      </w:r>
      <w:r w:rsidRPr="004F233C">
        <w:t xml:space="preserve"> sa funkcia považuje za zásadnú, ak spĺňa obidve</w:t>
      </w:r>
      <w:r w:rsidR="006B669F" w:rsidRPr="004F233C">
        <w:t xml:space="preserve"> z </w:t>
      </w:r>
      <w:r w:rsidRPr="004F233C">
        <w:t>týchto kritérií:</w:t>
      </w:r>
    </w:p>
    <w:p w:rsidR="0056559D" w:rsidRPr="004F233C"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rPr>
      </w:pPr>
      <w:r w:rsidRPr="004F233C">
        <w:rPr>
          <w:rFonts w:ascii="Times New Roman" w:hAnsi="Times New Roman" w:cs="Times New Roman"/>
          <w:color w:val="000000" w:themeColor="text1"/>
          <w:sz w:val="20"/>
        </w:rPr>
        <w:t>funkciu poskytuje inštitúcia tretím stranám, ktoré nie sú pridružené</w:t>
      </w:r>
      <w:r w:rsidR="006B669F" w:rsidRPr="004F233C">
        <w:rPr>
          <w:rFonts w:ascii="Times New Roman" w:hAnsi="Times New Roman" w:cs="Times New Roman"/>
          <w:color w:val="000000" w:themeColor="text1"/>
          <w:sz w:val="20"/>
        </w:rPr>
        <w:t xml:space="preserve"> k </w:t>
      </w:r>
      <w:r w:rsidRPr="004F233C">
        <w:rPr>
          <w:rFonts w:ascii="Times New Roman" w:hAnsi="Times New Roman" w:cs="Times New Roman"/>
          <w:color w:val="000000" w:themeColor="text1"/>
          <w:sz w:val="20"/>
        </w:rPr>
        <w:t>inštitúcii ani</w:t>
      </w:r>
      <w:r w:rsidR="006B669F" w:rsidRPr="004F233C">
        <w:rPr>
          <w:rFonts w:ascii="Times New Roman" w:hAnsi="Times New Roman" w:cs="Times New Roman"/>
          <w:color w:val="000000" w:themeColor="text1"/>
          <w:sz w:val="20"/>
        </w:rPr>
        <w:t xml:space="preserve"> k </w:t>
      </w:r>
      <w:r w:rsidRPr="004F233C">
        <w:rPr>
          <w:rFonts w:ascii="Times New Roman" w:hAnsi="Times New Roman" w:cs="Times New Roman"/>
          <w:color w:val="000000" w:themeColor="text1"/>
          <w:sz w:val="20"/>
        </w:rPr>
        <w:t>skupine; a</w:t>
      </w:r>
    </w:p>
    <w:p w:rsidR="0056559D" w:rsidRPr="00BB7962"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rPr>
      </w:pPr>
      <w:r w:rsidRPr="004F233C">
        <w:rPr>
          <w:rFonts w:ascii="Times New Roman" w:hAnsi="Times New Roman" w:cs="Times New Roman"/>
          <w:color w:val="000000" w:themeColor="text1"/>
          <w:sz w:val="20"/>
        </w:rPr>
        <w:t>náhle prerušenie tejto funkcie by malo pravdepodobne významný negatívny vplyv na tretie strany, viedlo by</w:t>
      </w:r>
      <w:r w:rsidR="006B669F" w:rsidRPr="004F233C">
        <w:rPr>
          <w:rFonts w:ascii="Times New Roman" w:hAnsi="Times New Roman" w:cs="Times New Roman"/>
          <w:color w:val="000000" w:themeColor="text1"/>
          <w:sz w:val="20"/>
        </w:rPr>
        <w:t xml:space="preserve"> k </w:t>
      </w:r>
      <w:r w:rsidRPr="004F233C">
        <w:rPr>
          <w:rFonts w:ascii="Times New Roman" w:hAnsi="Times New Roman" w:cs="Times New Roman"/>
          <w:color w:val="000000" w:themeColor="text1"/>
          <w:sz w:val="20"/>
        </w:rPr>
        <w:t>nákaze alebo narušeniu všeobecnej dôvery účastníkov trhu vzhľadom na systémový význam funkcie pre tretie strany</w:t>
      </w:r>
      <w:r w:rsidR="006B669F" w:rsidRPr="004F233C">
        <w:rPr>
          <w:rFonts w:ascii="Times New Roman" w:hAnsi="Times New Roman" w:cs="Times New Roman"/>
          <w:color w:val="000000" w:themeColor="text1"/>
          <w:sz w:val="20"/>
        </w:rPr>
        <w:t xml:space="preserve"> a </w:t>
      </w:r>
      <w:r w:rsidRPr="004F233C">
        <w:rPr>
          <w:rFonts w:ascii="Times New Roman" w:hAnsi="Times New Roman" w:cs="Times New Roman"/>
          <w:color w:val="000000" w:themeColor="text1"/>
          <w:sz w:val="20"/>
        </w:rPr>
        <w:t>systémový význam inštitúcie alebo skupiny pri poskytovaní funkcie.</w:t>
      </w:r>
    </w:p>
    <w:p w:rsidR="00291ADD" w:rsidRPr="004F233C" w:rsidRDefault="00AC1C52" w:rsidP="004F233C">
      <w:pPr>
        <w:pStyle w:val="numberedparagraph"/>
      </w:pPr>
      <w:r w:rsidRPr="004F233C">
        <w:lastRenderedPageBreak/>
        <w:t>Podľa článku 2 ods. 1 bodu 36 smernice 2014/59/EÚ „hlavné oblasti obchodnej činnosti“ sú oblasti obchodnej činnosti</w:t>
      </w:r>
      <w:r w:rsidR="006B669F" w:rsidRPr="004F233C">
        <w:t xml:space="preserve"> a </w:t>
      </w:r>
      <w:r w:rsidRPr="004F233C">
        <w:t>súvisiace služby, ktoré pre inštitúciu alebo skupinu, ktorej súčasťou je táto inštitúcia, predstavujú podstatné zdroje príjmov, zisku alebo hodnoty koncesie.“</w:t>
      </w:r>
    </w:p>
    <w:p w:rsidR="007827E9" w:rsidRPr="004F233C" w:rsidRDefault="007827E9" w:rsidP="004F233C">
      <w:pPr>
        <w:pStyle w:val="numberedparagraph"/>
      </w:pPr>
      <w:r w:rsidRPr="004F233C">
        <w:t>Na účely tohto vzoru sa hospodárske funkcie vzťahujú na funkcie uvedené</w:t>
      </w:r>
      <w:r w:rsidR="006B669F" w:rsidRPr="004F233C">
        <w:t xml:space="preserve"> v </w:t>
      </w:r>
      <w:r w:rsidRPr="004F233C">
        <w:t>nasledujúcej tabuľke.</w:t>
      </w:r>
    </w:p>
    <w:p w:rsidR="00881545" w:rsidRPr="004F233C" w:rsidRDefault="00905475" w:rsidP="004F233C">
      <w:pPr>
        <w:pStyle w:val="numberedparagraph"/>
      </w:pPr>
      <w:r w:rsidRPr="004F233C">
        <w:t>Pre každú kategóriu hospodárskych funkcií sa môže zvoliť hospodárska funkcia „iné“, ak funkcia nie je zachytená inými vopred vymedzenými funkciami.</w:t>
      </w:r>
    </w:p>
    <w:p w:rsidR="00AC1C52" w:rsidRPr="004F233C" w:rsidRDefault="005E0691" w:rsidP="004F233C">
      <w:pPr>
        <w:pStyle w:val="numberedparagraph"/>
      </w:pPr>
      <w:r w:rsidRPr="004F233C">
        <w:t>Protistrany uvedené</w:t>
      </w:r>
      <w:r w:rsidR="006B669F" w:rsidRPr="004F233C">
        <w:t xml:space="preserve"> v </w:t>
      </w:r>
      <w:r w:rsidRPr="004F233C">
        <w:t>riadkoch 0010 až 0070</w:t>
      </w:r>
      <w:r w:rsidR="006B669F" w:rsidRPr="004F233C">
        <w:t xml:space="preserve"> a v </w:t>
      </w:r>
      <w:r w:rsidRPr="004F233C">
        <w:t>riadkoch 0080 až 0150 sú vymedzené rovnako ako</w:t>
      </w:r>
      <w:r w:rsidR="006B669F" w:rsidRPr="004F233C">
        <w:t xml:space="preserve"> v </w:t>
      </w:r>
      <w:r w:rsidRPr="004F233C">
        <w:t>prípade sektorov protistrany uvedených vo FINREP, časť 1 kapitola 6 prílohy V. „MSP“ sú MSP podľa vymedzenia vo FINREP, časť 1 ods. 5 písm. i) prílohy V.</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6B669F" w:rsidTr="00905475">
        <w:tc>
          <w:tcPr>
            <w:tcW w:w="1191" w:type="dxa"/>
            <w:tcBorders>
              <w:top w:val="single" w:sz="4" w:space="0" w:color="1A171C"/>
              <w:left w:val="nil"/>
              <w:bottom w:val="single" w:sz="4" w:space="0" w:color="1A171C"/>
              <w:right w:val="single" w:sz="4" w:space="0" w:color="1A171C"/>
            </w:tcBorders>
            <w:shd w:val="clear" w:color="auto" w:fill="E4E5E5"/>
          </w:tcPr>
          <w:p w:rsidR="007827E9" w:rsidRPr="006B669F"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ID</w:t>
            </w:r>
          </w:p>
        </w:tc>
        <w:tc>
          <w:tcPr>
            <w:tcW w:w="7892" w:type="dxa"/>
            <w:tcBorders>
              <w:top w:val="single" w:sz="4" w:space="0" w:color="1A171C"/>
              <w:left w:val="single" w:sz="4" w:space="0" w:color="1A171C"/>
              <w:bottom w:val="single" w:sz="4" w:space="0" w:color="1A171C"/>
              <w:right w:val="nil"/>
            </w:tcBorders>
            <w:shd w:val="clear" w:color="auto" w:fill="E4E5E5"/>
          </w:tcPr>
          <w:p w:rsidR="007827E9" w:rsidRPr="006B669F"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Hospodárska funkcia</w:t>
            </w:r>
          </w:p>
        </w:tc>
      </w:tr>
      <w:tr w:rsidR="00D22EB0" w:rsidRPr="006B669F" w:rsidTr="00905475">
        <w:tc>
          <w:tcPr>
            <w:tcW w:w="9083" w:type="dxa"/>
            <w:gridSpan w:val="2"/>
            <w:tcBorders>
              <w:top w:val="single" w:sz="4" w:space="0" w:color="1A171C"/>
              <w:left w:val="nil"/>
              <w:bottom w:val="single" w:sz="4" w:space="0" w:color="1A171C"/>
            </w:tcBorders>
          </w:tcPr>
          <w:p w:rsidR="007827E9" w:rsidRPr="00E140EE"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Vklady</w:t>
            </w:r>
          </w:p>
          <w:p w:rsidR="006B669F" w:rsidRDefault="007827E9" w:rsidP="00905475">
            <w:pPr>
              <w:pStyle w:val="TableParagraph"/>
              <w:spacing w:before="108"/>
              <w:ind w:left="85"/>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Prijímanie vkladov sa vzťahuje na prijímanie vkladov od nefinančných sprostredkovateľov. Nezahŕňa prijímanie úverov od iných finančných sprostredkovateľov,</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ktorými sa obchoduje oddelene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rámci „veľkoobchodného financovania“</w:t>
            </w:r>
            <w:r w:rsidR="006B669F">
              <w:rPr>
                <w:rFonts w:ascii="Times New Roman" w:hAnsi="Times New Roman"/>
                <w:color w:val="000000" w:themeColor="text1"/>
                <w:spacing w:val="-2"/>
                <w:w w:val="95"/>
                <w:sz w:val="20"/>
              </w:rPr>
              <w:t>.</w:t>
            </w:r>
          </w:p>
          <w:p w:rsidR="007827E9" w:rsidRPr="006B669F"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Vklady zahŕňajú: i) bežné účty/jednodňové vklady, ii) vklady</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dohodnutou splatnosťou</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iii) vklady</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výpovednou lehotou, nie však zmluvy</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repo transakciách.</w:t>
            </w:r>
          </w:p>
          <w:p w:rsidR="007827E9" w:rsidRPr="006B669F"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Odkazy: FSB Guidance on Identification of Critical Functions and Critical Shared Services (Usmernenie FSB</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identifikácii zásadných funkcií</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zásadných spoločných služieb) (2013), s. 14. Časť 2 body 9.1, 9.2</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9.3 prílohy II</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nariadeniu (EÚ) č. 1071/2013.</w:t>
            </w:r>
          </w:p>
        </w:tc>
      </w:tr>
      <w:tr w:rsidR="00D22EB0" w:rsidRPr="006B669F" w:rsidTr="00E95D75">
        <w:tc>
          <w:tcPr>
            <w:tcW w:w="1191" w:type="dxa"/>
            <w:tcBorders>
              <w:top w:val="single" w:sz="4" w:space="0" w:color="1A171C"/>
              <w:left w:val="nil"/>
              <w:bottom w:val="single" w:sz="4" w:space="0" w:color="1A171C"/>
              <w:right w:val="single" w:sz="4" w:space="0" w:color="1A171C"/>
            </w:tcBorders>
          </w:tcPr>
          <w:p w:rsidR="007827E9" w:rsidRPr="006B669F"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1.1.</w:t>
            </w:r>
          </w:p>
        </w:tc>
        <w:tc>
          <w:tcPr>
            <w:tcW w:w="7892" w:type="dxa"/>
            <w:tcBorders>
              <w:top w:val="single" w:sz="4" w:space="0" w:color="1A171C"/>
              <w:left w:val="single" w:sz="4" w:space="0" w:color="1A171C"/>
              <w:bottom w:val="single" w:sz="4" w:space="0" w:color="1A171C"/>
              <w:right w:val="nil"/>
            </w:tcBorders>
          </w:tcPr>
          <w:p w:rsidR="007827E9" w:rsidRPr="006B669F"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E140EE">
              <w:rPr>
                <w:rFonts w:ascii="Times New Roman" w:hAnsi="Times New Roman"/>
                <w:b/>
                <w:color w:val="000000" w:themeColor="text1"/>
                <w:sz w:val="20"/>
              </w:rPr>
              <w:t>Domácnosti</w:t>
            </w:r>
          </w:p>
        </w:tc>
      </w:tr>
      <w:tr w:rsidR="00D22EB0" w:rsidRPr="006B669F" w:rsidTr="00E95D75">
        <w:tc>
          <w:tcPr>
            <w:tcW w:w="1191" w:type="dxa"/>
            <w:tcBorders>
              <w:top w:val="single" w:sz="4" w:space="0" w:color="1A171C"/>
              <w:left w:val="nil"/>
              <w:bottom w:val="single" w:sz="4" w:space="0" w:color="1A171C"/>
              <w:right w:val="single" w:sz="4" w:space="0" w:color="1A171C"/>
            </w:tcBorders>
          </w:tcPr>
          <w:p w:rsidR="007827E9" w:rsidRPr="006B669F"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1.2.</w:t>
            </w:r>
          </w:p>
        </w:tc>
        <w:tc>
          <w:tcPr>
            <w:tcW w:w="7892" w:type="dxa"/>
            <w:tcBorders>
              <w:top w:val="single" w:sz="4" w:space="0" w:color="1A171C"/>
              <w:left w:val="single" w:sz="4" w:space="0" w:color="1A171C"/>
              <w:bottom w:val="single" w:sz="4" w:space="0" w:color="1A171C"/>
              <w:right w:val="nil"/>
            </w:tcBorders>
          </w:tcPr>
          <w:p w:rsidR="007827E9" w:rsidRPr="006B669F"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E140EE">
              <w:rPr>
                <w:rFonts w:ascii="Times New Roman" w:hAnsi="Times New Roman"/>
                <w:b/>
                <w:color w:val="000000" w:themeColor="text1"/>
                <w:sz w:val="20"/>
              </w:rPr>
              <w:t>Nefinančné korporácie (MSP)</w:t>
            </w:r>
          </w:p>
        </w:tc>
      </w:tr>
      <w:tr w:rsidR="00D22EB0" w:rsidRPr="006B669F" w:rsidTr="00E95D75">
        <w:tc>
          <w:tcPr>
            <w:tcW w:w="1191" w:type="dxa"/>
            <w:tcBorders>
              <w:top w:val="single" w:sz="4" w:space="0" w:color="1A171C"/>
              <w:left w:val="nil"/>
              <w:bottom w:val="single" w:sz="4" w:space="0" w:color="1A171C"/>
              <w:right w:val="single" w:sz="4" w:space="0" w:color="1A171C"/>
            </w:tcBorders>
          </w:tcPr>
          <w:p w:rsidR="007827E9" w:rsidRPr="006B669F"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1.3.</w:t>
            </w:r>
          </w:p>
        </w:tc>
        <w:tc>
          <w:tcPr>
            <w:tcW w:w="7892" w:type="dxa"/>
            <w:tcBorders>
              <w:top w:val="single" w:sz="4" w:space="0" w:color="1A171C"/>
              <w:left w:val="single" w:sz="4" w:space="0" w:color="1A171C"/>
              <w:bottom w:val="single" w:sz="4" w:space="0" w:color="1A171C"/>
              <w:right w:val="nil"/>
            </w:tcBorders>
          </w:tcPr>
          <w:p w:rsidR="007827E9" w:rsidRPr="006B669F"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E140EE">
              <w:rPr>
                <w:rFonts w:ascii="Times New Roman" w:hAnsi="Times New Roman"/>
                <w:b/>
                <w:color w:val="000000" w:themeColor="text1"/>
                <w:sz w:val="20"/>
              </w:rPr>
              <w:t>Nefinančné korporácie (iné ako MSP)</w:t>
            </w:r>
          </w:p>
        </w:tc>
      </w:tr>
      <w:tr w:rsidR="00D22EB0" w:rsidRPr="006B669F" w:rsidTr="00E95D75">
        <w:tc>
          <w:tcPr>
            <w:tcW w:w="1191" w:type="dxa"/>
            <w:tcBorders>
              <w:top w:val="single" w:sz="4" w:space="0" w:color="1A171C"/>
              <w:left w:val="nil"/>
              <w:bottom w:val="single" w:sz="4" w:space="0" w:color="1A171C"/>
              <w:right w:val="single" w:sz="4" w:space="0" w:color="1A171C"/>
            </w:tcBorders>
          </w:tcPr>
          <w:p w:rsidR="007827E9" w:rsidRPr="006B669F"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1.4.</w:t>
            </w:r>
          </w:p>
        </w:tc>
        <w:tc>
          <w:tcPr>
            <w:tcW w:w="7892" w:type="dxa"/>
            <w:tcBorders>
              <w:top w:val="single" w:sz="4" w:space="0" w:color="1A171C"/>
              <w:left w:val="single" w:sz="4" w:space="0" w:color="1A171C"/>
              <w:bottom w:val="single" w:sz="4" w:space="0" w:color="1A171C"/>
              <w:right w:val="nil"/>
            </w:tcBorders>
          </w:tcPr>
          <w:p w:rsidR="007827E9" w:rsidRPr="006B669F"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E140EE">
              <w:rPr>
                <w:rFonts w:ascii="Times New Roman" w:hAnsi="Times New Roman"/>
                <w:b/>
                <w:color w:val="000000" w:themeColor="text1"/>
                <w:sz w:val="20"/>
              </w:rPr>
              <w:t>Orgány verejnej správy</w:t>
            </w:r>
          </w:p>
        </w:tc>
      </w:tr>
      <w:tr w:rsidR="00D22EB0" w:rsidRPr="006B669F" w:rsidTr="0018458C">
        <w:tc>
          <w:tcPr>
            <w:tcW w:w="1191" w:type="dxa"/>
            <w:tcBorders>
              <w:top w:val="single" w:sz="4" w:space="0" w:color="1A171C"/>
              <w:left w:val="nil"/>
              <w:bottom w:val="single" w:sz="4" w:space="0" w:color="1A171C"/>
              <w:right w:val="single" w:sz="4" w:space="0" w:color="1A171C"/>
            </w:tcBorders>
          </w:tcPr>
          <w:p w:rsidR="008B292D" w:rsidRPr="006B669F"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1.5, 1.6, 1.7</w:t>
            </w:r>
          </w:p>
        </w:tc>
        <w:tc>
          <w:tcPr>
            <w:tcW w:w="7892" w:type="dxa"/>
            <w:tcBorders>
              <w:top w:val="single" w:sz="4" w:space="0" w:color="1A171C"/>
              <w:left w:val="single" w:sz="4" w:space="0" w:color="1A171C"/>
              <w:bottom w:val="single" w:sz="4" w:space="0" w:color="1A171C"/>
              <w:right w:val="nil"/>
            </w:tcBorders>
          </w:tcPr>
          <w:p w:rsidR="007827E9" w:rsidRPr="006B669F"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E140EE">
              <w:rPr>
                <w:rFonts w:ascii="Times New Roman" w:hAnsi="Times New Roman"/>
                <w:b/>
                <w:color w:val="000000" w:themeColor="text1"/>
                <w:sz w:val="20"/>
              </w:rPr>
              <w:t>Iné sektory/protistrany (1), (2)</w:t>
            </w:r>
            <w:r w:rsidR="006B669F" w:rsidRPr="00E140EE">
              <w:rPr>
                <w:rFonts w:ascii="Times New Roman" w:hAnsi="Times New Roman"/>
                <w:b/>
                <w:color w:val="000000" w:themeColor="text1"/>
                <w:sz w:val="20"/>
              </w:rPr>
              <w:t xml:space="preserve"> a </w:t>
            </w:r>
            <w:r w:rsidRPr="00E140EE">
              <w:rPr>
                <w:rFonts w:ascii="Times New Roman" w:hAnsi="Times New Roman"/>
                <w:b/>
                <w:color w:val="000000" w:themeColor="text1"/>
                <w:sz w:val="20"/>
              </w:rPr>
              <w:t>(3)</w:t>
            </w:r>
          </w:p>
        </w:tc>
      </w:tr>
      <w:tr w:rsidR="00D22EB0" w:rsidRPr="006B669F" w:rsidTr="0018458C">
        <w:tc>
          <w:tcPr>
            <w:tcW w:w="9083" w:type="dxa"/>
            <w:gridSpan w:val="2"/>
            <w:tcBorders>
              <w:top w:val="single" w:sz="4" w:space="0" w:color="1A171C"/>
              <w:left w:val="nil"/>
              <w:bottom w:val="single" w:sz="4" w:space="0" w:color="1A171C"/>
            </w:tcBorders>
          </w:tcPr>
          <w:p w:rsidR="007827E9" w:rsidRPr="00E140EE" w:rsidRDefault="007827E9" w:rsidP="0088154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Poskytovanie úverov</w:t>
            </w:r>
          </w:p>
          <w:p w:rsidR="007827E9" w:rsidRPr="006B669F"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Poskytovanie úverov sa vzťahuje na poskytovanie finančných prostriedkov nefinančným protistranám, ako sú firemní alebo retailoví klienti. Poskytovanie úverov finančným protistranám je samostatnou činnosťou</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posudzuje sa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rámci „veľkoobchodného financovania“. Úvery zahŕňajú dlhové nástroje držané inštitúciami, nezahŕňajú však dlhové nástroje, ktoré sú cennými papiermi, bez ohľadu na ich účtovnú klasifikáciu (napr. držaný do splatnosti alebo</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dispozícii na predaj).</w:t>
            </w:r>
          </w:p>
          <w:p w:rsidR="007827E9" w:rsidRPr="006B669F"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Odkazy: FSB Guidance on Identification of Critical Functions and Critical Shared Services (Usmernenie FSB</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identifikácii zásadných funkcií</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zásadných spoločných služieb) (2013), s. 17; Časť 2 bod 2 prílohy II</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nariadeniu (EÚ) č. 1071/2013.</w:t>
            </w:r>
          </w:p>
        </w:tc>
      </w:tr>
      <w:tr w:rsidR="00D22EB0" w:rsidRPr="006B669F" w:rsidTr="00E95D75">
        <w:tc>
          <w:tcPr>
            <w:tcW w:w="1191" w:type="dxa"/>
            <w:tcBorders>
              <w:top w:val="single" w:sz="4" w:space="0" w:color="1A171C"/>
              <w:left w:val="nil"/>
              <w:bottom w:val="single" w:sz="4" w:space="0" w:color="1A171C"/>
              <w:right w:val="single" w:sz="4" w:space="0" w:color="1A171C"/>
            </w:tcBorders>
          </w:tcPr>
          <w:p w:rsidR="007827E9" w:rsidRPr="006B669F"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2.1.</w:t>
            </w:r>
          </w:p>
        </w:tc>
        <w:tc>
          <w:tcPr>
            <w:tcW w:w="7892" w:type="dxa"/>
            <w:tcBorders>
              <w:top w:val="single" w:sz="4" w:space="0" w:color="1A171C"/>
              <w:left w:val="single" w:sz="4" w:space="0" w:color="1A171C"/>
              <w:bottom w:val="single" w:sz="4" w:space="0" w:color="1A171C"/>
              <w:right w:val="nil"/>
            </w:tcBorders>
          </w:tcPr>
          <w:p w:rsidR="00261F96" w:rsidRPr="00E140EE" w:rsidRDefault="007827E9" w:rsidP="00261F96">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Domácnosti – úvery na bývanie</w:t>
            </w:r>
          </w:p>
          <w:p w:rsidR="007827E9" w:rsidRPr="006B669F"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Úvery na bývanie znamenajú úvery poskytnuté domácnostiam na účely investovania do bývania na vlastné použitie</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prenájom vrátane ich výstavby</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rekonštrukcie.</w:t>
            </w:r>
          </w:p>
        </w:tc>
      </w:tr>
      <w:tr w:rsidR="00D22EB0" w:rsidRPr="006B669F" w:rsidTr="00E95D75">
        <w:tc>
          <w:tcPr>
            <w:tcW w:w="1191" w:type="dxa"/>
            <w:tcBorders>
              <w:top w:val="single" w:sz="4" w:space="0" w:color="1A171C"/>
              <w:left w:val="nil"/>
              <w:bottom w:val="single" w:sz="4" w:space="0" w:color="1A171C"/>
              <w:right w:val="single" w:sz="4" w:space="0" w:color="1A171C"/>
            </w:tcBorders>
          </w:tcPr>
          <w:p w:rsidR="00261F96" w:rsidRPr="006B669F"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2.2.</w:t>
            </w:r>
          </w:p>
        </w:tc>
        <w:tc>
          <w:tcPr>
            <w:tcW w:w="7892" w:type="dxa"/>
            <w:tcBorders>
              <w:top w:val="single" w:sz="4" w:space="0" w:color="1A171C"/>
              <w:left w:val="single" w:sz="4" w:space="0" w:color="1A171C"/>
              <w:bottom w:val="single" w:sz="4" w:space="0" w:color="1A171C"/>
              <w:right w:val="nil"/>
            </w:tcBorders>
          </w:tcPr>
          <w:p w:rsidR="00261F96" w:rsidRPr="00E140EE" w:rsidRDefault="00261F96" w:rsidP="00261F96">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Domácnosti – ostatné úvery</w:t>
            </w:r>
          </w:p>
        </w:tc>
      </w:tr>
      <w:tr w:rsidR="00D22EB0" w:rsidRPr="006B669F" w:rsidTr="00336AC0">
        <w:tc>
          <w:tcPr>
            <w:tcW w:w="1191" w:type="dxa"/>
            <w:tcBorders>
              <w:top w:val="single" w:sz="4" w:space="0" w:color="1A171C"/>
              <w:left w:val="nil"/>
              <w:bottom w:val="single" w:sz="4" w:space="0" w:color="1A171C"/>
              <w:right w:val="single" w:sz="4" w:space="0" w:color="1A171C"/>
            </w:tcBorders>
            <w:vAlign w:val="bottom"/>
          </w:tcPr>
          <w:p w:rsidR="00336AC0" w:rsidRPr="006B669F"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2.3.</w:t>
            </w:r>
          </w:p>
        </w:tc>
        <w:tc>
          <w:tcPr>
            <w:tcW w:w="7892" w:type="dxa"/>
            <w:tcBorders>
              <w:top w:val="single" w:sz="4" w:space="0" w:color="1A171C"/>
              <w:left w:val="single" w:sz="4" w:space="0" w:color="1A171C"/>
              <w:bottom w:val="single" w:sz="4" w:space="0" w:color="1A171C"/>
              <w:right w:val="nil"/>
            </w:tcBorders>
            <w:vAlign w:val="bottom"/>
          </w:tcPr>
          <w:p w:rsidR="00336AC0" w:rsidRPr="00E140EE"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Nefinančné korporácie – MSP</w:t>
            </w:r>
          </w:p>
        </w:tc>
      </w:tr>
      <w:tr w:rsidR="00D22EB0" w:rsidRPr="006B669F" w:rsidTr="00336AC0">
        <w:tc>
          <w:tcPr>
            <w:tcW w:w="1191" w:type="dxa"/>
            <w:tcBorders>
              <w:top w:val="single" w:sz="4" w:space="0" w:color="1A171C"/>
              <w:left w:val="nil"/>
              <w:bottom w:val="single" w:sz="4" w:space="0" w:color="1A171C"/>
              <w:right w:val="single" w:sz="4" w:space="0" w:color="1A171C"/>
            </w:tcBorders>
            <w:vAlign w:val="bottom"/>
          </w:tcPr>
          <w:p w:rsidR="00336AC0" w:rsidRPr="006B669F"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2.4.</w:t>
            </w:r>
          </w:p>
        </w:tc>
        <w:tc>
          <w:tcPr>
            <w:tcW w:w="7892" w:type="dxa"/>
            <w:tcBorders>
              <w:top w:val="single" w:sz="4" w:space="0" w:color="1A171C"/>
              <w:left w:val="single" w:sz="4" w:space="0" w:color="1A171C"/>
              <w:bottom w:val="single" w:sz="4" w:space="0" w:color="1A171C"/>
              <w:right w:val="nil"/>
            </w:tcBorders>
            <w:vAlign w:val="bottom"/>
          </w:tcPr>
          <w:p w:rsidR="00336AC0" w:rsidRPr="00E140EE"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Nefinančné korporácie – iné ako MSP</w:t>
            </w:r>
          </w:p>
        </w:tc>
      </w:tr>
      <w:tr w:rsidR="00D22EB0" w:rsidRPr="006B669F" w:rsidTr="00336AC0">
        <w:tc>
          <w:tcPr>
            <w:tcW w:w="1191" w:type="dxa"/>
            <w:tcBorders>
              <w:top w:val="single" w:sz="4" w:space="0" w:color="1A171C"/>
              <w:left w:val="nil"/>
              <w:bottom w:val="single" w:sz="4" w:space="0" w:color="1A171C"/>
              <w:right w:val="single" w:sz="4" w:space="0" w:color="1A171C"/>
            </w:tcBorders>
            <w:vAlign w:val="bottom"/>
          </w:tcPr>
          <w:p w:rsidR="00336AC0" w:rsidRPr="006B669F"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2.5.</w:t>
            </w:r>
          </w:p>
        </w:tc>
        <w:tc>
          <w:tcPr>
            <w:tcW w:w="7892" w:type="dxa"/>
            <w:tcBorders>
              <w:top w:val="single" w:sz="4" w:space="0" w:color="1A171C"/>
              <w:left w:val="single" w:sz="4" w:space="0" w:color="1A171C"/>
              <w:bottom w:val="single" w:sz="4" w:space="0" w:color="1A171C"/>
              <w:right w:val="nil"/>
            </w:tcBorders>
            <w:vAlign w:val="bottom"/>
          </w:tcPr>
          <w:p w:rsidR="00336AC0" w:rsidRPr="00E140EE"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Orgány verejnej správy</w:t>
            </w:r>
          </w:p>
        </w:tc>
      </w:tr>
      <w:tr w:rsidR="00D22EB0" w:rsidRPr="006B669F" w:rsidTr="0018458C">
        <w:tc>
          <w:tcPr>
            <w:tcW w:w="1191" w:type="dxa"/>
            <w:tcBorders>
              <w:top w:val="single" w:sz="4" w:space="0" w:color="1A171C"/>
              <w:left w:val="nil"/>
              <w:bottom w:val="single" w:sz="4" w:space="0" w:color="1A171C"/>
              <w:right w:val="single" w:sz="4" w:space="0" w:color="1A171C"/>
            </w:tcBorders>
          </w:tcPr>
          <w:p w:rsidR="007827E9" w:rsidRPr="006B669F"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2.6, 2.7, 2.8</w:t>
            </w:r>
          </w:p>
        </w:tc>
        <w:tc>
          <w:tcPr>
            <w:tcW w:w="7892" w:type="dxa"/>
            <w:tcBorders>
              <w:top w:val="single" w:sz="4" w:space="0" w:color="1A171C"/>
              <w:left w:val="single" w:sz="4" w:space="0" w:color="1A171C"/>
              <w:bottom w:val="single" w:sz="4" w:space="0" w:color="1A171C"/>
              <w:right w:val="nil"/>
            </w:tcBorders>
          </w:tcPr>
          <w:p w:rsidR="007827E9" w:rsidRPr="006B669F"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E140EE">
              <w:rPr>
                <w:rFonts w:ascii="Times New Roman" w:hAnsi="Times New Roman"/>
                <w:b/>
                <w:color w:val="000000" w:themeColor="text1"/>
                <w:sz w:val="20"/>
              </w:rPr>
              <w:t>Iné sektory/protistrany (1), (2)</w:t>
            </w:r>
            <w:r w:rsidR="006B669F" w:rsidRPr="00E140EE">
              <w:rPr>
                <w:rFonts w:ascii="Times New Roman" w:hAnsi="Times New Roman"/>
                <w:b/>
                <w:color w:val="000000" w:themeColor="text1"/>
                <w:sz w:val="20"/>
              </w:rPr>
              <w:t xml:space="preserve"> a </w:t>
            </w:r>
            <w:r w:rsidRPr="00E140EE">
              <w:rPr>
                <w:rFonts w:ascii="Times New Roman" w:hAnsi="Times New Roman"/>
                <w:b/>
                <w:color w:val="000000" w:themeColor="text1"/>
                <w:sz w:val="20"/>
              </w:rPr>
              <w:t>(3)</w:t>
            </w:r>
          </w:p>
        </w:tc>
      </w:tr>
      <w:tr w:rsidR="00D22EB0" w:rsidRPr="006B669F" w:rsidTr="00955D42">
        <w:tc>
          <w:tcPr>
            <w:tcW w:w="9083" w:type="dxa"/>
            <w:gridSpan w:val="2"/>
            <w:tcBorders>
              <w:top w:val="single" w:sz="4" w:space="0" w:color="1A171C"/>
              <w:left w:val="nil"/>
              <w:bottom w:val="single" w:sz="4" w:space="0" w:color="1A171C"/>
            </w:tcBorders>
          </w:tcPr>
          <w:p w:rsidR="007827E9" w:rsidRPr="00E140EE"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Služby týkajúce sa platieb, peňažných prostriedkov, vyrovnania, zúčtovania</w:t>
            </w:r>
            <w:r w:rsidR="006B669F" w:rsidRPr="00E140EE">
              <w:rPr>
                <w:rFonts w:ascii="Times New Roman" w:hAnsi="Times New Roman"/>
                <w:b/>
                <w:color w:val="000000" w:themeColor="text1"/>
                <w:sz w:val="20"/>
              </w:rPr>
              <w:t xml:space="preserve"> a </w:t>
            </w:r>
            <w:r w:rsidRPr="00E140EE">
              <w:rPr>
                <w:rFonts w:ascii="Times New Roman" w:hAnsi="Times New Roman"/>
                <w:b/>
                <w:color w:val="000000" w:themeColor="text1"/>
                <w:sz w:val="20"/>
              </w:rPr>
              <w:t>úschovy</w:t>
            </w:r>
          </w:p>
          <w:p w:rsidR="00D71DD0" w:rsidRPr="006B669F"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Odkazy: FSB Guidance on Identification of Critical Functions and Critical Shared Services (Usmernenie FSB</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identifikácii zásadných funkcií</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zásadných spoločných služieb) (2013), s. 20.</w:t>
            </w:r>
          </w:p>
          <w:p w:rsidR="007827E9" w:rsidRPr="006B669F"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Medzi hospodárske funkcie zahrnuté</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tejto rubrike patrí zabezpečovanie služieb týkajúcich sa platieb, peňažných prostriedkov, vyrovnania, zúčtovania</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úschovy úverovou inštitúciou ako sprostredkovateľom medzi vlastnými klientmi alebo ako sprostredkovateľom medzi klientom</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jednou alebo viacerými príslušnými infraštruktúrami finančného trhu (FMI) alebo zabezpečovanie (nepriameho) prístupu</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infraštruktúram finančného trhu (FMI) alebo iným bankám.</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súlade</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usmernením FSB</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identifikácii zásadných funkcií</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zásadných spoločných služieb sú platby</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funkcia zúčtovania</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vyrovnania obmedzené na služby, ktoré banky poskytujú svojim klientom. Táto kategória nezahŕňa služby, ktoré poskytujú (čistí) poskytovatelia FMI. Na účely tohto vzoru infraštruktúry finančného trhu zahŕňajú platobné systémy, systémy vyrovnania transakcií</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cennými papiermi, centrálne depozitáre cenných papierov</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centrálne protistrany (nie však archívy obchodných údajov).</w:t>
            </w:r>
          </w:p>
          <w:p w:rsidR="008762AF" w:rsidRPr="006B669F"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„Platobná služba“, „platobná transakcia“</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„platobný systém“ majú rovnaký význam ako</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článku 4 ods. 3, 5</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7 smernice 2015/2366</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platobných službách na vnútornom trhu</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uvedenom poradí</w:t>
            </w:r>
            <w:r w:rsidRPr="006B669F">
              <w:rPr>
                <w:rStyle w:val="FootnoteReference"/>
                <w:rFonts w:ascii="Times New Roman" w:hAnsi="Times New Roman"/>
                <w:color w:val="000000" w:themeColor="text1"/>
                <w:spacing w:val="-2"/>
                <w:w w:val="95"/>
                <w:sz w:val="20"/>
              </w:rPr>
              <w:footnoteReference w:id="17"/>
            </w:r>
            <w:r w:rsidRPr="006B669F">
              <w:rPr>
                <w:rFonts w:ascii="Times New Roman" w:hAnsi="Times New Roman"/>
                <w:color w:val="000000" w:themeColor="text1"/>
                <w:spacing w:val="-2"/>
                <w:w w:val="95"/>
                <w:sz w:val="20"/>
              </w:rPr>
              <w:t>.</w:t>
            </w:r>
          </w:p>
          <w:p w:rsidR="007827E9" w:rsidRPr="006B669F"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6B669F" w:rsidTr="00E95D75">
        <w:tc>
          <w:tcPr>
            <w:tcW w:w="1191" w:type="dxa"/>
            <w:tcBorders>
              <w:top w:val="single" w:sz="4" w:space="0" w:color="1A171C"/>
              <w:left w:val="nil"/>
              <w:bottom w:val="single" w:sz="4" w:space="0" w:color="1A171C"/>
              <w:right w:val="single" w:sz="4" w:space="0" w:color="1A171C"/>
            </w:tcBorders>
          </w:tcPr>
          <w:p w:rsidR="007827E9" w:rsidRPr="006B669F"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3.1.</w:t>
            </w:r>
          </w:p>
        </w:tc>
        <w:tc>
          <w:tcPr>
            <w:tcW w:w="7892" w:type="dxa"/>
            <w:tcBorders>
              <w:top w:val="single" w:sz="4" w:space="0" w:color="1A171C"/>
              <w:left w:val="single" w:sz="4" w:space="0" w:color="1A171C"/>
              <w:bottom w:val="single" w:sz="4" w:space="0" w:color="1A171C"/>
              <w:right w:val="nil"/>
            </w:tcBorders>
          </w:tcPr>
          <w:p w:rsidR="007827E9" w:rsidRPr="00E140EE"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Platobné služby pre peňažné finančné inštitúcie</w:t>
            </w:r>
          </w:p>
          <w:p w:rsidR="007827E9" w:rsidRPr="006B669F"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Tento riadok zahŕňa platobné služby poskytované peňažným finančným inštitúciám</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použitím externých platobných systémov alebo bez ich použitia. Patria sem aj korešpondenčné bankové služby, prípadne platby týkajúce sa takýchto služieb. Peňažné finančné inštitúcie pozostávajú zo všetkých inštitucionálnych jednotiek zahrnutých do podsektorov: i) centrálna banka; ii) korporácie prijímajúce vklady</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výnimkou centrálnej banky; iii) fondy peňažného trhu.</w:t>
            </w:r>
          </w:p>
        </w:tc>
      </w:tr>
      <w:tr w:rsidR="00D22EB0" w:rsidRPr="006B669F" w:rsidTr="00E95D75">
        <w:tc>
          <w:tcPr>
            <w:tcW w:w="1191" w:type="dxa"/>
            <w:tcBorders>
              <w:top w:val="single" w:sz="4" w:space="0" w:color="1A171C"/>
              <w:left w:val="nil"/>
              <w:bottom w:val="single" w:sz="4" w:space="0" w:color="1A171C"/>
              <w:right w:val="single" w:sz="4" w:space="0" w:color="1A171C"/>
            </w:tcBorders>
          </w:tcPr>
          <w:p w:rsidR="007827E9" w:rsidRPr="006B669F"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3.2.</w:t>
            </w:r>
          </w:p>
        </w:tc>
        <w:tc>
          <w:tcPr>
            <w:tcW w:w="7892" w:type="dxa"/>
            <w:tcBorders>
              <w:top w:val="single" w:sz="4" w:space="0" w:color="1A171C"/>
              <w:left w:val="single" w:sz="4" w:space="0" w:color="1A171C"/>
              <w:bottom w:val="single" w:sz="4" w:space="0" w:color="1A171C"/>
              <w:right w:val="nil"/>
            </w:tcBorders>
          </w:tcPr>
          <w:p w:rsidR="007827E9" w:rsidRPr="00E140EE"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Platobné služby pre nepeňažné finančné inštitúcie</w:t>
            </w:r>
          </w:p>
          <w:p w:rsidR="007827E9" w:rsidRPr="006B669F"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Platobné služby poskytované klientom</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použitím externých platobných systémov alebo bez ich použitia. Vzťahujú sa iba na fyzickú alebo právnickú osobu, ktorá nepatrí do sektora peňažných finančných inštitúcií. Poskytovatelia platobných služieb sú takisto vyňatí</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odvetvia „nepeňažné finančné inštitúcie“.</w:t>
            </w:r>
          </w:p>
        </w:tc>
      </w:tr>
      <w:tr w:rsidR="00D22EB0" w:rsidRPr="006B669F" w:rsidTr="00E95D75">
        <w:tc>
          <w:tcPr>
            <w:tcW w:w="1191" w:type="dxa"/>
            <w:tcBorders>
              <w:top w:val="single" w:sz="4" w:space="0" w:color="1A171C"/>
              <w:left w:val="nil"/>
              <w:bottom w:val="single" w:sz="4" w:space="0" w:color="1A171C"/>
              <w:right w:val="single" w:sz="4" w:space="0" w:color="1A171C"/>
            </w:tcBorders>
          </w:tcPr>
          <w:p w:rsidR="007827E9" w:rsidRPr="006B669F"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3.3.</w:t>
            </w:r>
          </w:p>
        </w:tc>
        <w:tc>
          <w:tcPr>
            <w:tcW w:w="7892" w:type="dxa"/>
            <w:tcBorders>
              <w:top w:val="single" w:sz="4" w:space="0" w:color="1A171C"/>
              <w:left w:val="single" w:sz="4" w:space="0" w:color="1A171C"/>
              <w:bottom w:val="single" w:sz="4" w:space="0" w:color="1A171C"/>
              <w:right w:val="nil"/>
            </w:tcBorders>
          </w:tcPr>
          <w:p w:rsidR="007827E9" w:rsidRPr="00E140EE"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Hotovostné služby</w:t>
            </w:r>
          </w:p>
          <w:p w:rsidR="007827E9" w:rsidRPr="006B669F"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Poskytovanie hotovostných služieb klientom (jednotlivým osobám aj podnikom, len nepeňažným finančným inštitúciám). Tieto služby sa týkajú výberov</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bankomatoch</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pri priehradkách pobočiek</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nezahŕňajú iné hotovostné služby (ako napr. služby prepravy hotovosti určené pre maloobchodných predajcov). Ide aj</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výber hotovosti šekmi</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pri priehradkách pobočiek</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použitím bankových formulárov (keď sa na identifikáciu môžu použiť karty).</w:t>
            </w:r>
          </w:p>
        </w:tc>
      </w:tr>
      <w:tr w:rsidR="00D22EB0" w:rsidRPr="006B669F" w:rsidTr="00E95D75">
        <w:tc>
          <w:tcPr>
            <w:tcW w:w="1191" w:type="dxa"/>
            <w:tcBorders>
              <w:top w:val="single" w:sz="4" w:space="0" w:color="1A171C"/>
              <w:left w:val="nil"/>
              <w:bottom w:val="single" w:sz="4" w:space="0" w:color="1A171C"/>
              <w:right w:val="single" w:sz="4" w:space="0" w:color="1A171C"/>
            </w:tcBorders>
          </w:tcPr>
          <w:p w:rsidR="007827E9" w:rsidRPr="006B669F"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3.4.</w:t>
            </w:r>
          </w:p>
        </w:tc>
        <w:tc>
          <w:tcPr>
            <w:tcW w:w="7892" w:type="dxa"/>
            <w:tcBorders>
              <w:top w:val="single" w:sz="4" w:space="0" w:color="1A171C"/>
              <w:left w:val="single" w:sz="4" w:space="0" w:color="1A171C"/>
              <w:bottom w:val="single" w:sz="4" w:space="0" w:color="1A171C"/>
              <w:right w:val="nil"/>
            </w:tcBorders>
          </w:tcPr>
          <w:p w:rsidR="007827E9" w:rsidRPr="00E140EE"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Služby vyrovnania transakcií</w:t>
            </w:r>
            <w:r w:rsidR="006B669F" w:rsidRPr="00E140EE">
              <w:rPr>
                <w:rFonts w:ascii="Times New Roman" w:hAnsi="Times New Roman"/>
                <w:b/>
                <w:color w:val="000000" w:themeColor="text1"/>
                <w:sz w:val="20"/>
              </w:rPr>
              <w:t xml:space="preserve"> s </w:t>
            </w:r>
            <w:r w:rsidRPr="00E140EE">
              <w:rPr>
                <w:rFonts w:ascii="Times New Roman" w:hAnsi="Times New Roman"/>
                <w:b/>
                <w:color w:val="000000" w:themeColor="text1"/>
                <w:sz w:val="20"/>
              </w:rPr>
              <w:t>cennými papiermi</w:t>
            </w:r>
          </w:p>
          <w:p w:rsidR="007827E9" w:rsidRPr="006B669F"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Služby poskytované klientom na účely potvrdenia, zúčtovania</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vyrovnania transakcií</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cennými papiermi</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použitím systémov vyrovnania transakcií</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cennými papiermi alebo bez ich použitia. „Vyrovnanie“ je uskutočnenie transakcie</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cennými papiermi, ak bola uzatvorená</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cieľom splniť záväzky strán uvedenej transakcie prostredníctvom prevodu peňažných prostriedkov a/alebo cenných papierov.</w:t>
            </w:r>
          </w:p>
        </w:tc>
      </w:tr>
      <w:tr w:rsidR="00D22EB0" w:rsidRPr="006B669F" w:rsidTr="00E95D75">
        <w:tc>
          <w:tcPr>
            <w:tcW w:w="1191" w:type="dxa"/>
            <w:tcBorders>
              <w:top w:val="single" w:sz="4" w:space="0" w:color="1A171C"/>
              <w:left w:val="nil"/>
              <w:bottom w:val="single" w:sz="4" w:space="0" w:color="1A171C"/>
              <w:right w:val="single" w:sz="4" w:space="0" w:color="1A171C"/>
            </w:tcBorders>
          </w:tcPr>
          <w:p w:rsidR="007827E9" w:rsidRPr="006B669F"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3.5.</w:t>
            </w:r>
          </w:p>
        </w:tc>
        <w:tc>
          <w:tcPr>
            <w:tcW w:w="7892" w:type="dxa"/>
            <w:tcBorders>
              <w:top w:val="single" w:sz="4" w:space="0" w:color="1A171C"/>
              <w:left w:val="single" w:sz="4" w:space="0" w:color="1A171C"/>
              <w:bottom w:val="single" w:sz="4" w:space="0" w:color="1A171C"/>
              <w:right w:val="nil"/>
            </w:tcBorders>
          </w:tcPr>
          <w:p w:rsidR="007827E9" w:rsidRPr="00E140EE"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Služby zúčtovania centrálnych protistrán</w:t>
            </w:r>
          </w:p>
          <w:p w:rsidR="007827E9" w:rsidRPr="006B669F"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Služby zúčtovania cenných papierov</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derivátov poskytované klientom. Patrí sem aj poskytovanie nepriameho prístupu</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centrálnej protistrane (CCP).</w:t>
            </w:r>
          </w:p>
        </w:tc>
      </w:tr>
      <w:tr w:rsidR="00D22EB0" w:rsidRPr="006B669F" w:rsidTr="00E95D75">
        <w:tc>
          <w:tcPr>
            <w:tcW w:w="1191" w:type="dxa"/>
            <w:tcBorders>
              <w:top w:val="single" w:sz="4" w:space="0" w:color="1A171C"/>
              <w:left w:val="nil"/>
              <w:bottom w:val="single" w:sz="4" w:space="0" w:color="1A171C"/>
              <w:right w:val="single" w:sz="4" w:space="0" w:color="1A171C"/>
            </w:tcBorders>
          </w:tcPr>
          <w:p w:rsidR="007827E9" w:rsidRPr="006B669F"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3.6.</w:t>
            </w:r>
          </w:p>
        </w:tc>
        <w:tc>
          <w:tcPr>
            <w:tcW w:w="7892" w:type="dxa"/>
            <w:tcBorders>
              <w:top w:val="single" w:sz="4" w:space="0" w:color="1A171C"/>
              <w:left w:val="single" w:sz="4" w:space="0" w:color="1A171C"/>
              <w:bottom w:val="single" w:sz="4" w:space="0" w:color="1A171C"/>
              <w:right w:val="nil"/>
            </w:tcBorders>
          </w:tcPr>
          <w:p w:rsidR="007827E9" w:rsidRPr="00E140EE"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Služby úschovy</w:t>
            </w:r>
          </w:p>
          <w:p w:rsidR="007827E9" w:rsidRPr="006B669F"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Úschov (safekeeping)</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úschova (custody) pre klientov</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služby súvisiace so zvereneckou správou, ako napríklad spravovanie peňažných prostriedkov</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kolaterálov.</w:t>
            </w:r>
          </w:p>
        </w:tc>
      </w:tr>
      <w:tr w:rsidR="00D22EB0" w:rsidRPr="006B669F" w:rsidTr="00336AC0">
        <w:tc>
          <w:tcPr>
            <w:tcW w:w="1191" w:type="dxa"/>
            <w:tcBorders>
              <w:top w:val="single" w:sz="4" w:space="0" w:color="1A171C"/>
              <w:left w:val="nil"/>
              <w:bottom w:val="single" w:sz="4" w:space="0" w:color="1A171C"/>
              <w:right w:val="single" w:sz="4" w:space="0" w:color="1A171C"/>
            </w:tcBorders>
          </w:tcPr>
          <w:p w:rsidR="007827E9" w:rsidRPr="006B669F"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3.7, 3.8, 3.9</w:t>
            </w:r>
          </w:p>
        </w:tc>
        <w:tc>
          <w:tcPr>
            <w:tcW w:w="7892" w:type="dxa"/>
            <w:tcBorders>
              <w:top w:val="single" w:sz="4" w:space="0" w:color="1A171C"/>
              <w:left w:val="single" w:sz="4" w:space="0" w:color="1A171C"/>
              <w:bottom w:val="single" w:sz="4" w:space="0" w:color="1A171C"/>
              <w:right w:val="nil"/>
            </w:tcBorders>
          </w:tcPr>
          <w:p w:rsidR="007827E9" w:rsidRPr="006B669F"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E140EE">
              <w:rPr>
                <w:rFonts w:ascii="Times New Roman" w:hAnsi="Times New Roman"/>
                <w:b/>
                <w:color w:val="000000" w:themeColor="text1"/>
                <w:sz w:val="20"/>
              </w:rPr>
              <w:t>Iné služby/činnosti/funkcie (1), (2)</w:t>
            </w:r>
            <w:r w:rsidR="006B669F" w:rsidRPr="00E140EE">
              <w:rPr>
                <w:rFonts w:ascii="Times New Roman" w:hAnsi="Times New Roman"/>
                <w:b/>
                <w:color w:val="000000" w:themeColor="text1"/>
                <w:sz w:val="20"/>
              </w:rPr>
              <w:t xml:space="preserve"> a </w:t>
            </w:r>
            <w:r w:rsidRPr="00E140EE">
              <w:rPr>
                <w:rFonts w:ascii="Times New Roman" w:hAnsi="Times New Roman"/>
                <w:b/>
                <w:color w:val="000000" w:themeColor="text1"/>
                <w:sz w:val="20"/>
              </w:rPr>
              <w:t>(3)</w:t>
            </w:r>
          </w:p>
        </w:tc>
      </w:tr>
      <w:tr w:rsidR="00D22EB0" w:rsidRPr="006B669F" w:rsidTr="00336AC0">
        <w:tc>
          <w:tcPr>
            <w:tcW w:w="9083" w:type="dxa"/>
            <w:gridSpan w:val="2"/>
            <w:tcBorders>
              <w:top w:val="single" w:sz="4" w:space="0" w:color="1A171C"/>
              <w:left w:val="nil"/>
              <w:bottom w:val="single" w:sz="4" w:space="0" w:color="1A171C"/>
            </w:tcBorders>
          </w:tcPr>
          <w:p w:rsidR="007827E9" w:rsidRPr="00E140EE"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Kapitálové trhy</w:t>
            </w:r>
          </w:p>
          <w:p w:rsidR="007827E9" w:rsidRPr="006B669F"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Činnosti na kapitálových trhoch sa vzťahujú na emitovanie cenných papierov</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obchodovanie</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nimi, na súvisiace poradenské služby</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súvisiace služby, ako napríklad služby hlavného makléra</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 xml:space="preserve">tvorba trhu. </w:t>
            </w:r>
          </w:p>
        </w:tc>
      </w:tr>
      <w:tr w:rsidR="00D22EB0" w:rsidRPr="006B669F" w:rsidTr="00336AC0">
        <w:tc>
          <w:tcPr>
            <w:tcW w:w="1191" w:type="dxa"/>
            <w:tcBorders>
              <w:top w:val="single" w:sz="4" w:space="0" w:color="1A171C"/>
              <w:left w:val="nil"/>
              <w:bottom w:val="single" w:sz="4" w:space="0" w:color="1A171C"/>
              <w:right w:val="single" w:sz="4" w:space="0" w:color="1A171C"/>
            </w:tcBorders>
          </w:tcPr>
          <w:p w:rsidR="00336AC0" w:rsidRPr="006B669F"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4.1.</w:t>
            </w:r>
          </w:p>
        </w:tc>
        <w:tc>
          <w:tcPr>
            <w:tcW w:w="7892" w:type="dxa"/>
            <w:tcBorders>
              <w:top w:val="single" w:sz="4" w:space="0" w:color="1A171C"/>
              <w:left w:val="single" w:sz="4" w:space="0" w:color="1A171C"/>
              <w:bottom w:val="single" w:sz="4" w:space="0" w:color="1A171C"/>
              <w:right w:val="nil"/>
            </w:tcBorders>
          </w:tcPr>
          <w:p w:rsidR="00336AC0" w:rsidRPr="00E140EE"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Deriváty držané na obchodovanie (OTC)</w:t>
            </w:r>
          </w:p>
          <w:p w:rsidR="000C7CD3" w:rsidRPr="006B669F"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Článok 2 body 5</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7 nariadenia (EÚ) č. 648/2012</w:t>
            </w:r>
            <w:r w:rsidRPr="006B669F">
              <w:rPr>
                <w:rStyle w:val="FootnoteReference"/>
                <w:rFonts w:ascii="Times New Roman" w:hAnsi="Times New Roman"/>
                <w:color w:val="000000" w:themeColor="text1"/>
                <w:spacing w:val="-2"/>
                <w:w w:val="95"/>
                <w:sz w:val="20"/>
              </w:rPr>
              <w:footnoteReference w:id="18"/>
            </w:r>
          </w:p>
          <w:p w:rsidR="000C7CD3" w:rsidRPr="006B669F"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Deriváty alebo derivátové kontrakty (ďalej aj „zmluvy</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derivátoch“) sú finančné nástroje uvedené</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bodoch 4 až 10 oddielu C prílohy I</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smernici 2014/65/EÚ</w:t>
            </w:r>
            <w:r w:rsidRPr="006B669F">
              <w:rPr>
                <w:rStyle w:val="FootnoteReference"/>
                <w:rFonts w:ascii="Times New Roman" w:hAnsi="Times New Roman"/>
                <w:color w:val="000000" w:themeColor="text1"/>
                <w:spacing w:val="-2"/>
                <w:w w:val="95"/>
                <w:sz w:val="20"/>
              </w:rPr>
              <w:footnoteReference w:id="19"/>
            </w:r>
            <w:r w:rsidRPr="006B669F">
              <w:rPr>
                <w:rFonts w:ascii="Times New Roman" w:hAnsi="Times New Roman"/>
                <w:color w:val="000000" w:themeColor="text1"/>
                <w:spacing w:val="-2"/>
                <w:w w:val="95"/>
                <w:sz w:val="20"/>
              </w:rPr>
              <w:t>, ktoré sa vykonávajú článkami 38</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39 nariadenia (ES) č. 1287/2006.</w:t>
            </w:r>
          </w:p>
          <w:p w:rsidR="000C7CD3" w:rsidRPr="006B669F"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OTC derivát alebo zmluva</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OTC derivátoch je zmluva</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derivátoch, ktorej vykonávanie sa neuskutočňuje na regulovanom trhu</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zmysle článku 4 ods. 1 bodu 21 smernice 2014/65/ES ani na trhu</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tretej krajine, ktorý sa považuje za rovnocenný</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regulovaným trhom</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súlade</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článkom 2a nariadenia (EÚ) č. 648/2012.</w:t>
            </w:r>
          </w:p>
          <w:p w:rsidR="00336AC0" w:rsidRPr="006B669F"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Vykázaná suma zahŕňa len deriváty,</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ktorými sa obchoduje na mimoburzovom trhu.</w:t>
            </w:r>
          </w:p>
        </w:tc>
      </w:tr>
      <w:tr w:rsidR="00D22EB0" w:rsidRPr="006B669F" w:rsidTr="00336AC0">
        <w:tc>
          <w:tcPr>
            <w:tcW w:w="1191" w:type="dxa"/>
            <w:tcBorders>
              <w:top w:val="single" w:sz="4" w:space="0" w:color="1A171C"/>
              <w:left w:val="nil"/>
              <w:bottom w:val="single" w:sz="4" w:space="0" w:color="1A171C"/>
              <w:right w:val="single" w:sz="4" w:space="0" w:color="1A171C"/>
            </w:tcBorders>
          </w:tcPr>
          <w:p w:rsidR="00336AC0" w:rsidRPr="006B669F"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4.2.</w:t>
            </w:r>
          </w:p>
        </w:tc>
        <w:tc>
          <w:tcPr>
            <w:tcW w:w="7892" w:type="dxa"/>
            <w:tcBorders>
              <w:top w:val="single" w:sz="4" w:space="0" w:color="1A171C"/>
              <w:left w:val="single" w:sz="4" w:space="0" w:color="1A171C"/>
              <w:bottom w:val="single" w:sz="4" w:space="0" w:color="1A171C"/>
              <w:right w:val="nil"/>
            </w:tcBorders>
          </w:tcPr>
          <w:p w:rsidR="00336AC0" w:rsidRPr="00E140EE"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Deriváty držané na obchodovanie (iné ako OTC)</w:t>
            </w:r>
          </w:p>
          <w:p w:rsidR="00336AC0" w:rsidRPr="006B669F"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Všetky deriváty držané na obchodovanie okrem OTC derivátov držaných na obchodovanie.</w:t>
            </w:r>
          </w:p>
        </w:tc>
      </w:tr>
      <w:tr w:rsidR="00D22EB0" w:rsidRPr="006B669F" w:rsidTr="00336AC0">
        <w:tc>
          <w:tcPr>
            <w:tcW w:w="1191" w:type="dxa"/>
            <w:tcBorders>
              <w:top w:val="single" w:sz="4" w:space="0" w:color="1A171C"/>
              <w:left w:val="nil"/>
              <w:bottom w:val="single" w:sz="4" w:space="0" w:color="1A171C"/>
              <w:right w:val="single" w:sz="4" w:space="0" w:color="1A171C"/>
            </w:tcBorders>
          </w:tcPr>
          <w:p w:rsidR="00336AC0" w:rsidRPr="006B669F"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4.3.</w:t>
            </w:r>
          </w:p>
        </w:tc>
        <w:tc>
          <w:tcPr>
            <w:tcW w:w="7892" w:type="dxa"/>
            <w:tcBorders>
              <w:top w:val="single" w:sz="4" w:space="0" w:color="1A171C"/>
              <w:left w:val="single" w:sz="4" w:space="0" w:color="1A171C"/>
              <w:bottom w:val="single" w:sz="4" w:space="0" w:color="1A171C"/>
              <w:right w:val="nil"/>
            </w:tcBorders>
          </w:tcPr>
          <w:p w:rsidR="00336AC0" w:rsidRPr="00E140EE"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Sekundárne trhy/obchodovanie:</w:t>
            </w:r>
          </w:p>
          <w:p w:rsidR="007F077B" w:rsidRPr="006B669F"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Sekundárne trhy predstavujú trhy, na ktorých investori kupujú</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predávajú cenné papiere. Táto funkcia sa vzťahuje na celkové obchodné portfólio (t. j. vlastný kapitál, firemné úvery, štátny dlh).</w:t>
            </w:r>
          </w:p>
          <w:p w:rsidR="00E82CEB" w:rsidRPr="006B669F"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Suma, ktorá sa má vykázať, zahŕňa hodnotu cenných papierov meranú ako celková hodnota cenných papierov držaných na obchodovanie. Cenné papiere sa vykazujú</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reálnej hodnote</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dátumu vykazovania.</w:t>
            </w:r>
          </w:p>
          <w:p w:rsidR="00336AC0" w:rsidRPr="006B669F"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Táto hodnota nezahŕňa úvery, deriváty</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neobchodovateľné aktíva (napr. pohľadávky).</w:t>
            </w:r>
          </w:p>
        </w:tc>
      </w:tr>
      <w:tr w:rsidR="00D22EB0" w:rsidRPr="006B669F" w:rsidTr="00336AC0">
        <w:tc>
          <w:tcPr>
            <w:tcW w:w="1191" w:type="dxa"/>
            <w:tcBorders>
              <w:top w:val="single" w:sz="4" w:space="0" w:color="1A171C"/>
              <w:left w:val="nil"/>
              <w:bottom w:val="single" w:sz="4" w:space="0" w:color="1A171C"/>
              <w:right w:val="single" w:sz="4" w:space="0" w:color="1A171C"/>
            </w:tcBorders>
          </w:tcPr>
          <w:p w:rsidR="00336AC0" w:rsidRPr="006B669F"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4.4.</w:t>
            </w:r>
          </w:p>
        </w:tc>
        <w:tc>
          <w:tcPr>
            <w:tcW w:w="7892" w:type="dxa"/>
            <w:tcBorders>
              <w:top w:val="single" w:sz="4" w:space="0" w:color="1A171C"/>
              <w:left w:val="single" w:sz="4" w:space="0" w:color="1A171C"/>
              <w:bottom w:val="single" w:sz="4" w:space="0" w:color="1A171C"/>
              <w:right w:val="nil"/>
            </w:tcBorders>
          </w:tcPr>
          <w:p w:rsidR="00336AC0" w:rsidRPr="00E140EE"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Primárne trhy/upisovanie</w:t>
            </w:r>
          </w:p>
          <w:p w:rsidR="00336AC0" w:rsidRPr="006B669F"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Primárne trhy predstavujú trhy, na ktorých sú nové cenné papiere emitované na burze spoločnosťami, vládami</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inými skupinami</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cieľom získať financovanie prostredníctvom cenných papierov založených na dlhu alebo vlastnom kapitáli (ako sú kmeňové</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prioritné akcie, podnikové dlhopisy, poukážky, zmenky, štátne dlhopisy). Činnosť primárnych trhov uľahčujú upisovacie skupiny.</w:t>
            </w:r>
          </w:p>
        </w:tc>
      </w:tr>
      <w:tr w:rsidR="00D22EB0" w:rsidRPr="006B669F" w:rsidTr="00336AC0">
        <w:tc>
          <w:tcPr>
            <w:tcW w:w="1191" w:type="dxa"/>
            <w:tcBorders>
              <w:top w:val="single" w:sz="4" w:space="0" w:color="1A171C"/>
              <w:left w:val="nil"/>
              <w:bottom w:val="single" w:sz="4" w:space="0" w:color="1A171C"/>
              <w:right w:val="single" w:sz="4" w:space="0" w:color="1A171C"/>
            </w:tcBorders>
          </w:tcPr>
          <w:p w:rsidR="007827E9" w:rsidRPr="006B669F"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4.5, 4.6, 4.7</w:t>
            </w:r>
          </w:p>
        </w:tc>
        <w:tc>
          <w:tcPr>
            <w:tcW w:w="7892" w:type="dxa"/>
            <w:tcBorders>
              <w:top w:val="single" w:sz="4" w:space="0" w:color="1A171C"/>
              <w:left w:val="single" w:sz="4" w:space="0" w:color="1A171C"/>
              <w:bottom w:val="single" w:sz="4" w:space="0" w:color="1A171C"/>
              <w:right w:val="nil"/>
            </w:tcBorders>
          </w:tcPr>
          <w:p w:rsidR="007827E9" w:rsidRPr="006B669F"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E140EE">
              <w:rPr>
                <w:rFonts w:ascii="Times New Roman" w:hAnsi="Times New Roman"/>
                <w:b/>
                <w:color w:val="000000" w:themeColor="text1"/>
                <w:sz w:val="20"/>
              </w:rPr>
              <w:t>Iné služby/činnosti/funkcie (1), (2)</w:t>
            </w:r>
            <w:r w:rsidR="006B669F" w:rsidRPr="00E140EE">
              <w:rPr>
                <w:rFonts w:ascii="Times New Roman" w:hAnsi="Times New Roman"/>
                <w:b/>
                <w:color w:val="000000" w:themeColor="text1"/>
                <w:sz w:val="20"/>
              </w:rPr>
              <w:t xml:space="preserve"> a </w:t>
            </w:r>
            <w:r w:rsidRPr="00E140EE">
              <w:rPr>
                <w:rFonts w:ascii="Times New Roman" w:hAnsi="Times New Roman"/>
                <w:b/>
                <w:color w:val="000000" w:themeColor="text1"/>
                <w:sz w:val="20"/>
              </w:rPr>
              <w:t>(3)</w:t>
            </w:r>
          </w:p>
        </w:tc>
      </w:tr>
      <w:tr w:rsidR="00D22EB0" w:rsidRPr="006B669F" w:rsidTr="00336AC0">
        <w:tc>
          <w:tcPr>
            <w:tcW w:w="9083" w:type="dxa"/>
            <w:gridSpan w:val="2"/>
            <w:tcBorders>
              <w:top w:val="single" w:sz="4" w:space="0" w:color="1A171C"/>
              <w:left w:val="nil"/>
              <w:bottom w:val="single" w:sz="4" w:space="0" w:color="1A171C"/>
            </w:tcBorders>
          </w:tcPr>
          <w:p w:rsidR="007827E9" w:rsidRPr="00E140EE"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Veľkoobchodné financovanie</w:t>
            </w:r>
          </w:p>
          <w:p w:rsidR="007827E9" w:rsidRPr="006B669F"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Činnosti poskytovania</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prijímania úverov na veľkoobchodných trhoch finančnými protistranami od finančných protistrán (úverové inštitúcie</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iné finančné korporácie).</w:t>
            </w:r>
          </w:p>
        </w:tc>
      </w:tr>
      <w:tr w:rsidR="00D22EB0" w:rsidRPr="006B669F" w:rsidTr="00E95D75">
        <w:tc>
          <w:tcPr>
            <w:tcW w:w="1191" w:type="dxa"/>
            <w:tcBorders>
              <w:top w:val="single" w:sz="4" w:space="0" w:color="1A171C"/>
              <w:left w:val="nil"/>
              <w:bottom w:val="single" w:sz="4" w:space="0" w:color="1A171C"/>
              <w:right w:val="single" w:sz="4" w:space="0" w:color="1A171C"/>
            </w:tcBorders>
          </w:tcPr>
          <w:p w:rsidR="00336AC0" w:rsidRPr="006B669F"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z w:val="20"/>
              </w:rPr>
              <w:t>5.1.</w:t>
            </w:r>
          </w:p>
        </w:tc>
        <w:tc>
          <w:tcPr>
            <w:tcW w:w="7892" w:type="dxa"/>
            <w:tcBorders>
              <w:top w:val="single" w:sz="4" w:space="0" w:color="1A171C"/>
              <w:left w:val="single" w:sz="4" w:space="0" w:color="1A171C"/>
              <w:bottom w:val="single" w:sz="4" w:space="0" w:color="1A171C"/>
              <w:right w:val="nil"/>
            </w:tcBorders>
          </w:tcPr>
          <w:p w:rsidR="00336AC0" w:rsidRPr="00E140EE"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Prijímanie úverov</w:t>
            </w:r>
          </w:p>
          <w:p w:rsidR="00336AC0" w:rsidRPr="006B669F"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Prijímanie úverov na veľkoobchodných trhoch od finančných protistrán (aj prostredníctvom zmlúv</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repo transakciách, medzibankového prijímania úverov, komerčných cenných papierov, depozitných certifikátov, fondov peňažného trhu, úverových liniek, cenných papierov zabezpečených aktívami</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fiduciárnych vkladov).</w:t>
            </w:r>
          </w:p>
        </w:tc>
      </w:tr>
      <w:tr w:rsidR="00D22EB0" w:rsidRPr="006B669F" w:rsidTr="00E95D75">
        <w:tc>
          <w:tcPr>
            <w:tcW w:w="1191" w:type="dxa"/>
            <w:tcBorders>
              <w:top w:val="single" w:sz="4" w:space="0" w:color="1A171C"/>
              <w:left w:val="nil"/>
              <w:bottom w:val="single" w:sz="4" w:space="0" w:color="1A171C"/>
              <w:right w:val="single" w:sz="4" w:space="0" w:color="1A171C"/>
            </w:tcBorders>
          </w:tcPr>
          <w:p w:rsidR="00336AC0" w:rsidRPr="006B669F"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z w:val="20"/>
              </w:rPr>
              <w:lastRenderedPageBreak/>
              <w:t>5.2.</w:t>
            </w:r>
          </w:p>
        </w:tc>
        <w:tc>
          <w:tcPr>
            <w:tcW w:w="7892" w:type="dxa"/>
            <w:tcBorders>
              <w:top w:val="single" w:sz="4" w:space="0" w:color="1A171C"/>
              <w:left w:val="single" w:sz="4" w:space="0" w:color="1A171C"/>
              <w:bottom w:val="single" w:sz="4" w:space="0" w:color="1A171C"/>
              <w:right w:val="nil"/>
            </w:tcBorders>
          </w:tcPr>
          <w:p w:rsidR="00336AC0" w:rsidRPr="00E140EE"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Deriváty (aktíva)</w:t>
            </w:r>
          </w:p>
          <w:p w:rsidR="00336AC0" w:rsidRPr="006B669F"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Všetky deriváty</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finančnými protistranami držané na strane aktív súvahy. Na rozdiel od časti „Kapitálové trhy“ deriváty</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časti „Veľkoobchodné financovanie“ zahŕňajú všetky zmluvy</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derivátoch</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finančnými protistranami (nielen vysokofrekvenčné obchodovanie).</w:t>
            </w:r>
          </w:p>
        </w:tc>
      </w:tr>
      <w:tr w:rsidR="00D22EB0" w:rsidRPr="006B669F" w:rsidTr="00E95D75">
        <w:tc>
          <w:tcPr>
            <w:tcW w:w="1191" w:type="dxa"/>
            <w:tcBorders>
              <w:top w:val="single" w:sz="4" w:space="0" w:color="1A171C"/>
              <w:left w:val="nil"/>
              <w:bottom w:val="single" w:sz="4" w:space="0" w:color="1A171C"/>
              <w:right w:val="single" w:sz="4" w:space="0" w:color="1A171C"/>
            </w:tcBorders>
          </w:tcPr>
          <w:p w:rsidR="00336AC0" w:rsidRPr="006B669F"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z w:val="20"/>
              </w:rPr>
              <w:t>5.3.</w:t>
            </w:r>
          </w:p>
        </w:tc>
        <w:tc>
          <w:tcPr>
            <w:tcW w:w="7892" w:type="dxa"/>
            <w:tcBorders>
              <w:top w:val="single" w:sz="4" w:space="0" w:color="1A171C"/>
              <w:left w:val="single" w:sz="4" w:space="0" w:color="1A171C"/>
              <w:bottom w:val="single" w:sz="4" w:space="0" w:color="1A171C"/>
              <w:right w:val="nil"/>
            </w:tcBorders>
          </w:tcPr>
          <w:p w:rsidR="00336AC0" w:rsidRPr="00E140EE"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Poskytovanie úverov</w:t>
            </w:r>
          </w:p>
          <w:p w:rsidR="00336AC0" w:rsidRPr="006B669F"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Poskytovanie úverov na veľkoobchodných trhoch finančným protistranám (aj prostredníctvom zmlúv</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repo transakciách, komerčných cenných papierov, depozitných certifikátov, fondov peňažného trhu, úverových liniek, aktívami zabezpečených krátkodobých obchodovateľných cenných papierov</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fiduciárnych vkladov).</w:t>
            </w:r>
          </w:p>
        </w:tc>
      </w:tr>
      <w:tr w:rsidR="00D22EB0" w:rsidRPr="006B669F" w:rsidTr="00E95D75">
        <w:tc>
          <w:tcPr>
            <w:tcW w:w="1191" w:type="dxa"/>
            <w:tcBorders>
              <w:top w:val="single" w:sz="4" w:space="0" w:color="1A171C"/>
              <w:left w:val="nil"/>
              <w:bottom w:val="single" w:sz="4" w:space="0" w:color="1A171C"/>
              <w:right w:val="single" w:sz="4" w:space="0" w:color="1A171C"/>
            </w:tcBorders>
          </w:tcPr>
          <w:p w:rsidR="00336AC0" w:rsidRPr="006B669F"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z w:val="20"/>
              </w:rPr>
              <w:t>5.4.</w:t>
            </w:r>
          </w:p>
        </w:tc>
        <w:tc>
          <w:tcPr>
            <w:tcW w:w="7892" w:type="dxa"/>
            <w:tcBorders>
              <w:top w:val="single" w:sz="4" w:space="0" w:color="1A171C"/>
              <w:left w:val="single" w:sz="4" w:space="0" w:color="1A171C"/>
              <w:bottom w:val="single" w:sz="4" w:space="0" w:color="1A171C"/>
              <w:right w:val="nil"/>
            </w:tcBorders>
          </w:tcPr>
          <w:p w:rsidR="00336AC0" w:rsidRPr="00E140EE"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Deriváty (záväzky)</w:t>
            </w:r>
          </w:p>
          <w:p w:rsidR="00336AC0" w:rsidRPr="006B669F"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Všetky deriváty</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 xml:space="preserve">finančnými protistranami držané na strane záväzkov súvahy. </w:t>
            </w:r>
          </w:p>
        </w:tc>
      </w:tr>
      <w:tr w:rsidR="00D22EB0" w:rsidRPr="006B669F" w:rsidTr="00E95D75">
        <w:tc>
          <w:tcPr>
            <w:tcW w:w="1191" w:type="dxa"/>
            <w:tcBorders>
              <w:top w:val="single" w:sz="4" w:space="0" w:color="1A171C"/>
              <w:left w:val="nil"/>
              <w:bottom w:val="single" w:sz="4" w:space="0" w:color="1A171C"/>
              <w:right w:val="single" w:sz="4" w:space="0" w:color="1A171C"/>
            </w:tcBorders>
          </w:tcPr>
          <w:p w:rsidR="007827E9" w:rsidRPr="006B669F"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5.5, 5.6, 5.7</w:t>
            </w:r>
          </w:p>
        </w:tc>
        <w:tc>
          <w:tcPr>
            <w:tcW w:w="7892" w:type="dxa"/>
            <w:tcBorders>
              <w:top w:val="single" w:sz="4" w:space="0" w:color="1A171C"/>
              <w:left w:val="single" w:sz="4" w:space="0" w:color="1A171C"/>
              <w:bottom w:val="single" w:sz="4" w:space="0" w:color="1A171C"/>
              <w:right w:val="nil"/>
            </w:tcBorders>
          </w:tcPr>
          <w:p w:rsidR="007827E9" w:rsidRPr="00E140EE"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Iné druhy výrobkov (1), (2)</w:t>
            </w:r>
            <w:r w:rsidR="006B669F" w:rsidRPr="00E140EE">
              <w:rPr>
                <w:rFonts w:ascii="Times New Roman" w:hAnsi="Times New Roman"/>
                <w:b/>
                <w:color w:val="000000" w:themeColor="text1"/>
                <w:sz w:val="20"/>
              </w:rPr>
              <w:t xml:space="preserve"> a </w:t>
            </w:r>
            <w:r w:rsidRPr="00E140EE">
              <w:rPr>
                <w:rFonts w:ascii="Times New Roman" w:hAnsi="Times New Roman"/>
                <w:b/>
                <w:color w:val="000000" w:themeColor="text1"/>
                <w:sz w:val="20"/>
              </w:rPr>
              <w:t>(3)</w:t>
            </w:r>
          </w:p>
          <w:p w:rsidR="007827E9" w:rsidRPr="006B669F"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Akákoľvek funkcia hospodárskej funkcie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časti „Veľkoobchodné financovanie“, ktorá nie je uvedená vyššie.</w:t>
            </w:r>
          </w:p>
        </w:tc>
      </w:tr>
    </w:tbl>
    <w:p w:rsidR="00F06ABE" w:rsidRPr="00310799" w:rsidRDefault="00F7117F" w:rsidP="00AC1C52">
      <w:pPr>
        <w:pStyle w:val="Numberedtitlelevel3"/>
        <w:rPr>
          <w:rFonts w:ascii="Times New Roman" w:hAnsi="Times New Roman" w:cs="Times New Roman"/>
          <w:b w:val="0"/>
          <w:color w:val="000000" w:themeColor="text1"/>
          <w:sz w:val="20"/>
          <w:szCs w:val="20"/>
          <w:u w:val="single"/>
        </w:rPr>
      </w:pPr>
      <w:r w:rsidRPr="00310799">
        <w:rPr>
          <w:rFonts w:ascii="Times New Roman" w:hAnsi="Times New Roman"/>
          <w:b w:val="0"/>
          <w:color w:val="000000" w:themeColor="text1"/>
          <w:sz w:val="20"/>
          <w:u w:val="single"/>
        </w:rPr>
        <w:t>Z 07.01 – Posúdenie kritickosti hospodárskych funkcií (FUNC 1) Pokyny týkajúce sa konkrétnych</w:t>
      </w:r>
      <w:r w:rsidRPr="00E140EE">
        <w:t xml:space="preserve"> </w:t>
      </w:r>
      <w:r w:rsidRPr="00310799">
        <w:rPr>
          <w:rFonts w:ascii="Times New Roman" w:hAnsi="Times New Roman"/>
          <w:b w:val="0"/>
          <w:color w:val="000000" w:themeColor="text1"/>
          <w:sz w:val="20"/>
          <w:u w:val="single"/>
        </w:rPr>
        <w:t>pozícií</w:t>
      </w:r>
    </w:p>
    <w:p w:rsidR="00336AC0" w:rsidRPr="004F233C" w:rsidRDefault="00336AC0" w:rsidP="004F233C">
      <w:pPr>
        <w:pStyle w:val="numberedparagraph"/>
      </w:pPr>
      <w:r w:rsidRPr="004F233C">
        <w:t>Tento vzor sa vykazuje raz za každý členský štát (identifikovaný ako „štát“),</w:t>
      </w:r>
      <w:r w:rsidR="006B669F" w:rsidRPr="004F233C">
        <w:t xml:space="preserve"> v </w:t>
      </w:r>
      <w:r w:rsidRPr="004F233C">
        <w:t>ktorom skupina pôsobí.</w:t>
      </w:r>
    </w:p>
    <w:p w:rsidR="00AE7D80" w:rsidRPr="004F233C" w:rsidRDefault="00336AC0" w:rsidP="004F233C">
      <w:pPr>
        <w:pStyle w:val="numberedparagraph"/>
      </w:pPr>
      <w:r w:rsidRPr="004F233C">
        <w:t>Zahŕňa všetky hospodárske funkcie vykonávané</w:t>
      </w:r>
      <w:r w:rsidR="006B669F" w:rsidRPr="004F233C">
        <w:t xml:space="preserve"> v </w:t>
      </w:r>
      <w:r w:rsidRPr="004F233C">
        <w:t>danom členskom štáte akýmkoľvek subjektom skupiny bez ohľadu na to, či táto funkcia predstavuje zásadnú funkciu alebo nie.</w:t>
      </w:r>
    </w:p>
    <w:p w:rsidR="005244DF" w:rsidRPr="00E140EE"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6B669F"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6B669F"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Riadky</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6B669F"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Pokyny</w:t>
            </w:r>
          </w:p>
        </w:tc>
      </w:tr>
      <w:tr w:rsidR="005244DF" w:rsidRPr="006B669F" w:rsidTr="00E95D75">
        <w:tc>
          <w:tcPr>
            <w:tcW w:w="1191" w:type="dxa"/>
            <w:tcBorders>
              <w:top w:val="single" w:sz="4" w:space="0" w:color="1A171C"/>
              <w:left w:val="nil"/>
              <w:bottom w:val="single" w:sz="4" w:space="0" w:color="1A171C"/>
              <w:right w:val="single" w:sz="4" w:space="0" w:color="1A171C"/>
            </w:tcBorders>
            <w:vAlign w:val="center"/>
          </w:tcPr>
          <w:p w:rsidR="005244DF" w:rsidRPr="006B669F"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0010 – 0380</w:t>
            </w:r>
          </w:p>
        </w:tc>
        <w:tc>
          <w:tcPr>
            <w:tcW w:w="7892" w:type="dxa"/>
            <w:tcBorders>
              <w:top w:val="single" w:sz="4" w:space="0" w:color="1A171C"/>
              <w:left w:val="single" w:sz="4" w:space="0" w:color="1A171C"/>
              <w:bottom w:val="single" w:sz="4" w:space="0" w:color="1A171C"/>
              <w:right w:val="nil"/>
            </w:tcBorders>
            <w:vAlign w:val="center"/>
          </w:tcPr>
          <w:p w:rsidR="005244DF" w:rsidRPr="00E140EE"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Hospodárske funkcie</w:t>
            </w:r>
          </w:p>
          <w:p w:rsidR="005244DF" w:rsidRPr="006B669F"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Hospodárske funkcie podľa vymedzenia vyššie</w:t>
            </w:r>
          </w:p>
        </w:tc>
      </w:tr>
    </w:tbl>
    <w:p w:rsidR="0056559D" w:rsidRPr="006B669F"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6B669F"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6B669F"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Stĺpce</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6B669F"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Pokyny</w:t>
            </w:r>
          </w:p>
        </w:tc>
      </w:tr>
      <w:tr w:rsidR="00D22EB0" w:rsidRPr="006B669F" w:rsidTr="00E95D75">
        <w:tc>
          <w:tcPr>
            <w:tcW w:w="1191" w:type="dxa"/>
            <w:tcBorders>
              <w:top w:val="single" w:sz="4" w:space="0" w:color="1A171C"/>
              <w:left w:val="nil"/>
              <w:bottom w:val="single" w:sz="4" w:space="0" w:color="1A171C"/>
              <w:right w:val="single" w:sz="4" w:space="0" w:color="1A171C"/>
            </w:tcBorders>
            <w:vAlign w:val="center"/>
          </w:tcPr>
          <w:p w:rsidR="005244DF" w:rsidRPr="006B669F"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244DF" w:rsidRPr="00E140EE"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Opis hospodárskej funkcie</w:t>
            </w:r>
          </w:p>
          <w:p w:rsidR="005244DF" w:rsidRPr="006B669F"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Ak hospodárska funkcia patrí</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 xml:space="preserve">druhu „iné“ (funkcie 1.5 – 1.7, 2.6 – 2.8, 3.7 – 3.9, 4.5 – 4.7, 5.5 – 5.7), uvedie sa opis tejto funkcie. </w:t>
            </w:r>
          </w:p>
        </w:tc>
      </w:tr>
      <w:tr w:rsidR="00D22EB0" w:rsidRPr="006B669F" w:rsidTr="00E95D75">
        <w:tc>
          <w:tcPr>
            <w:tcW w:w="1191" w:type="dxa"/>
            <w:tcBorders>
              <w:top w:val="single" w:sz="4" w:space="0" w:color="1A171C"/>
              <w:left w:val="nil"/>
              <w:bottom w:val="single" w:sz="4" w:space="0" w:color="1A171C"/>
              <w:right w:val="single" w:sz="4" w:space="0" w:color="1A171C"/>
            </w:tcBorders>
            <w:vAlign w:val="center"/>
          </w:tcPr>
          <w:p w:rsidR="005244DF" w:rsidRPr="006B669F"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6B669F" w:rsidRPr="00E140EE" w:rsidRDefault="005244DF" w:rsidP="00E95D75">
            <w:pPr>
              <w:pStyle w:val="TableParagraph"/>
              <w:spacing w:before="108"/>
              <w:ind w:left="85"/>
              <w:jc w:val="both"/>
              <w:rPr>
                <w:rFonts w:ascii="Times New Roman" w:hAnsi="Times New Roman"/>
                <w:b/>
                <w:color w:val="000000" w:themeColor="text1"/>
                <w:sz w:val="20"/>
              </w:rPr>
            </w:pPr>
            <w:r w:rsidRPr="00E140EE">
              <w:rPr>
                <w:rFonts w:ascii="Times New Roman" w:hAnsi="Times New Roman"/>
                <w:b/>
                <w:color w:val="000000" w:themeColor="text1"/>
                <w:sz w:val="20"/>
              </w:rPr>
              <w:t>Trhový podiel</w:t>
            </w:r>
          </w:p>
          <w:p w:rsidR="005244DF" w:rsidRPr="006B669F"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Odhad trhového podielu inštitúcie alebo skupiny pre hospodársku funkciu</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príslušnom štáte. Ako percentuálny podiel celkového trhu</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hľadiska peňažnej sumy.</w:t>
            </w:r>
          </w:p>
        </w:tc>
      </w:tr>
      <w:tr w:rsidR="00D22EB0" w:rsidRPr="006B669F" w:rsidTr="00E95D75">
        <w:tc>
          <w:tcPr>
            <w:tcW w:w="1191" w:type="dxa"/>
            <w:tcBorders>
              <w:top w:val="single" w:sz="4" w:space="0" w:color="1A171C"/>
              <w:left w:val="nil"/>
              <w:bottom w:val="single" w:sz="4" w:space="0" w:color="1A171C"/>
              <w:right w:val="single" w:sz="4" w:space="0" w:color="1A171C"/>
            </w:tcBorders>
            <w:vAlign w:val="center"/>
          </w:tcPr>
          <w:p w:rsidR="005244DF" w:rsidRPr="006B669F"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244DF" w:rsidRPr="00E140EE"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Peňažná suma</w:t>
            </w:r>
          </w:p>
          <w:p w:rsidR="005244DF" w:rsidRPr="006B669F"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Obsah tohto stĺpca závisí od poskytovanej hospodárskej funkcie:</w:t>
            </w:r>
          </w:p>
          <w:p w:rsidR="005244DF" w:rsidRPr="006B669F"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Vklady</w:t>
            </w:r>
          </w:p>
          <w:p w:rsidR="005244DF" w:rsidRPr="006B669F"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Účtovná hodnota (vrátane vzniknutého úroku) prijatých vkladov</w:t>
            </w:r>
          </w:p>
          <w:p w:rsidR="005244DF" w:rsidRPr="006B669F"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Odkazy: FINREP, prílohy III</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IV, vzor F 08.01</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časť 2 ods. 97 prílohy V.</w:t>
            </w:r>
          </w:p>
          <w:p w:rsidR="005244DF" w:rsidRPr="006B669F"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Poskytovanie úverov</w:t>
            </w:r>
          </w:p>
          <w:p w:rsidR="006B669F" w:rsidRDefault="005244DF" w:rsidP="002C4834">
            <w:pPr>
              <w:pStyle w:val="TableParagraph"/>
              <w:spacing w:before="108"/>
              <w:ind w:left="369"/>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Hrubá</w:t>
            </w:r>
            <w:r w:rsidR="00EB4DE6">
              <w:rPr>
                <w:rFonts w:ascii="Times New Roman" w:hAnsi="Times New Roman"/>
                <w:color w:val="000000" w:themeColor="text1"/>
                <w:spacing w:val="-2"/>
                <w:w w:val="95"/>
                <w:sz w:val="20"/>
              </w:rPr>
              <w:t xml:space="preserve"> účtovná hodnota neznehodnotený</w:t>
            </w:r>
            <w:r w:rsidRPr="006B669F">
              <w:rPr>
                <w:rFonts w:ascii="Times New Roman" w:hAnsi="Times New Roman"/>
                <w:color w:val="000000" w:themeColor="text1"/>
                <w:spacing w:val="-2"/>
                <w:w w:val="95"/>
                <w:sz w:val="20"/>
              </w:rPr>
              <w:t>ch</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znehodnotených úverov</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záloh (vrátane vzniknutých úrokov). Objem úverov sa považuje za ukazovateľ očakávaných budúcich úverov</w:t>
            </w:r>
            <w:r w:rsidR="006B669F">
              <w:rPr>
                <w:rFonts w:ascii="Times New Roman" w:hAnsi="Times New Roman"/>
                <w:color w:val="000000" w:themeColor="text1"/>
                <w:spacing w:val="-2"/>
                <w:w w:val="95"/>
                <w:sz w:val="20"/>
              </w:rPr>
              <w:t>.</w:t>
            </w:r>
          </w:p>
          <w:p w:rsidR="005244DF" w:rsidRPr="006B669F"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Odkazy: FINREP, prílohy III</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IV, vzor F 04.04.01</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časť 1 ods. 34 písm. b) prílohy V</w:t>
            </w:r>
          </w:p>
          <w:p w:rsidR="005244DF" w:rsidRPr="006B669F"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Služby týkajúce sa platieb, peňažných prostriedkov, vyrovnania, zúčtovania</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úschovy</w:t>
            </w:r>
          </w:p>
          <w:p w:rsidR="002C4834" w:rsidRPr="006B669F"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Vo všeobecnosti sa vykazujú priemerné denné transakcie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priebehu roka. Ak nie sú</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dispozícii, môže sa vykázať priemer transakcií za kratšie obdobie (napr. niekoľko mesiacov).</w:t>
            </w:r>
          </w:p>
          <w:p w:rsidR="006B669F" w:rsidRDefault="002C4834" w:rsidP="002C4834">
            <w:pPr>
              <w:pStyle w:val="TableParagraph"/>
              <w:spacing w:before="108"/>
              <w:ind w:left="369"/>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So zreteľom na rôzne funkcie sa uvažuje</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týchto opatreniach</w:t>
            </w:r>
            <w:r w:rsidR="006B669F">
              <w:rPr>
                <w:rFonts w:ascii="Times New Roman" w:hAnsi="Times New Roman"/>
                <w:color w:val="000000" w:themeColor="text1"/>
                <w:spacing w:val="-2"/>
                <w:w w:val="95"/>
                <w:sz w:val="20"/>
              </w:rPr>
              <w:t>:</w:t>
            </w:r>
          </w:p>
          <w:p w:rsidR="005244DF" w:rsidRPr="00E140EE" w:rsidRDefault="005244DF" w:rsidP="00E140EE">
            <w:pPr>
              <w:pStyle w:val="List1"/>
              <w:rPr>
                <w:rFonts w:eastAsia="Cambria"/>
              </w:rPr>
            </w:pPr>
            <w:r w:rsidRPr="00E140EE">
              <w:t xml:space="preserve">Platobné služby (3.1 až 3.2): Hodnota odoslaných transakcií. </w:t>
            </w:r>
            <w:r w:rsidRPr="00E140EE">
              <w:rPr>
                <w:rFonts w:eastAsia="Cambria"/>
              </w:rPr>
              <w:br/>
            </w:r>
            <w:r w:rsidRPr="00E140EE">
              <w:t>(Odkazy: článok 4 ods. 5 smernice 2015/2366/ES; ECB/2013/43)</w:t>
            </w:r>
          </w:p>
          <w:p w:rsidR="005244DF" w:rsidRPr="00E140EE" w:rsidRDefault="005244DF" w:rsidP="00E140EE">
            <w:pPr>
              <w:pStyle w:val="List1"/>
              <w:rPr>
                <w:rFonts w:eastAsia="Cambria"/>
              </w:rPr>
            </w:pPr>
            <w:r w:rsidRPr="00E140EE">
              <w:t>Pokladničná hotovosť (3.3): hodnota transakcií prostredníctvom bankomatov podľa vymedzenia</w:t>
            </w:r>
            <w:r w:rsidR="006B669F" w:rsidRPr="00E140EE">
              <w:t xml:space="preserve"> v </w:t>
            </w:r>
            <w:r w:rsidRPr="00E140EE">
              <w:t>tabuľke 5a</w:t>
            </w:r>
            <w:r w:rsidR="006B669F" w:rsidRPr="00E140EE">
              <w:t xml:space="preserve"> v </w:t>
            </w:r>
            <w:r w:rsidRPr="00E140EE">
              <w:t>odporúčaní ECB/2013/43, ako aj OTC výbery hotovosti podľa vymedzenia</w:t>
            </w:r>
            <w:r w:rsidR="006B669F" w:rsidRPr="00E140EE">
              <w:t xml:space="preserve"> v </w:t>
            </w:r>
            <w:r w:rsidRPr="00E140EE">
              <w:t>tabuľke 4</w:t>
            </w:r>
            <w:r w:rsidR="006B669F" w:rsidRPr="00E140EE">
              <w:t xml:space="preserve"> v </w:t>
            </w:r>
            <w:r w:rsidRPr="00E140EE">
              <w:t>odporúčaní ECB/2014/15.</w:t>
            </w:r>
          </w:p>
          <w:p w:rsidR="005244DF" w:rsidRPr="00E140EE" w:rsidRDefault="005244DF" w:rsidP="00E140EE">
            <w:pPr>
              <w:pStyle w:val="List1"/>
              <w:rPr>
                <w:rFonts w:eastAsia="Cambria"/>
              </w:rPr>
            </w:pPr>
            <w:r w:rsidRPr="00E140EE">
              <w:t>Služby vyrovnania transakcií</w:t>
            </w:r>
            <w:r w:rsidR="006B669F" w:rsidRPr="00E140EE">
              <w:t xml:space="preserve"> s </w:t>
            </w:r>
            <w:r w:rsidRPr="00E140EE">
              <w:t>cennými papiermi (3.4): hodnota prevodov cenných papierov spracovaných</w:t>
            </w:r>
            <w:r w:rsidR="006B669F" w:rsidRPr="00E140EE">
              <w:t xml:space="preserve"> v </w:t>
            </w:r>
            <w:r w:rsidRPr="00E140EE">
              <w:t>mene klientov. Sem patria transakcie vyrovnané systémom vyrovnania transakcií</w:t>
            </w:r>
            <w:r w:rsidR="006B669F" w:rsidRPr="00E140EE">
              <w:t xml:space="preserve"> s </w:t>
            </w:r>
            <w:r w:rsidRPr="00E140EE">
              <w:t>cennými papiermi alebo vyrovnané interne vykazujúcimi inštitúciami,</w:t>
            </w:r>
            <w:r w:rsidR="006B669F" w:rsidRPr="00E140EE">
              <w:t xml:space="preserve"> a </w:t>
            </w:r>
            <w:r w:rsidRPr="00E140EE">
              <w:t>transakcie „bez platby“.</w:t>
            </w:r>
          </w:p>
          <w:p w:rsidR="005244DF" w:rsidRPr="00E140EE" w:rsidRDefault="005244DF" w:rsidP="00E140EE">
            <w:pPr>
              <w:pStyle w:val="List1"/>
              <w:rPr>
                <w:rFonts w:eastAsia="Cambria"/>
              </w:rPr>
            </w:pPr>
            <w:r w:rsidRPr="00E140EE">
              <w:t>Služby zúčtovania centrálnych protistrán (3.5): pozície (expozície), ktoré centrálne protistrany, ktorých členom je inštitúcia, prijímajú</w:t>
            </w:r>
            <w:r w:rsidR="006B669F" w:rsidRPr="00E140EE">
              <w:t xml:space="preserve"> v </w:t>
            </w:r>
            <w:r w:rsidRPr="00E140EE">
              <w:t>mene svojich klientov</w:t>
            </w:r>
            <w:r w:rsidR="006B669F" w:rsidRPr="00E140EE">
              <w:t xml:space="preserve"> v </w:t>
            </w:r>
            <w:r w:rsidRPr="00E140EE">
              <w:t>spolupráci</w:t>
            </w:r>
            <w:r w:rsidR="006B669F" w:rsidRPr="00E140EE">
              <w:t xml:space="preserve"> s </w:t>
            </w:r>
            <w:r w:rsidRPr="00E140EE">
              <w:t>inštitúciou. Uveďte priemerné denné hodnoty otvorených pozícií týkajúcich sa činnosti klienta</w:t>
            </w:r>
            <w:r w:rsidR="006B669F" w:rsidRPr="00E140EE">
              <w:t xml:space="preserve"> u </w:t>
            </w:r>
            <w:r w:rsidRPr="00E140EE">
              <w:t>centrálnych protistrán. Ak nie sú</w:t>
            </w:r>
            <w:r w:rsidR="006B669F" w:rsidRPr="00E140EE">
              <w:t xml:space="preserve"> k </w:t>
            </w:r>
            <w:r w:rsidRPr="00E140EE">
              <w:t>dispozícii, môžu sa vykázať priemery za kratšie obdobie (napr. niekoľko mesiacov).</w:t>
            </w:r>
          </w:p>
          <w:p w:rsidR="005244DF" w:rsidRPr="00E140EE" w:rsidRDefault="005244DF" w:rsidP="00E140EE">
            <w:pPr>
              <w:pStyle w:val="List1"/>
              <w:rPr>
                <w:rFonts w:eastAsia="Cambria"/>
              </w:rPr>
            </w:pPr>
            <w:r w:rsidRPr="00E140EE">
              <w:t>Služby týkajúce sa úschovy (3.6): suma aktív</w:t>
            </w:r>
            <w:r w:rsidR="006B669F" w:rsidRPr="00E140EE">
              <w:t xml:space="preserve"> v </w:t>
            </w:r>
            <w:r w:rsidRPr="00E140EE">
              <w:t>úschove</w:t>
            </w:r>
            <w:r w:rsidR="006B669F" w:rsidRPr="00E140EE">
              <w:t xml:space="preserve"> s </w:t>
            </w:r>
            <w:r w:rsidRPr="00E140EE">
              <w:t>použitím reálnej hodnoty. Ostatné základy oceňovania vrátane nominálnej hodnoty sa môžu použiť, ak nie je</w:t>
            </w:r>
            <w:r w:rsidR="006B669F" w:rsidRPr="00E140EE">
              <w:t xml:space="preserve"> k </w:t>
            </w:r>
            <w:r w:rsidRPr="00E140EE">
              <w:t>dispozícii reálna hodnota.</w:t>
            </w:r>
            <w:r w:rsidR="006B669F" w:rsidRPr="00E140EE">
              <w:t xml:space="preserve"> V </w:t>
            </w:r>
            <w:r w:rsidRPr="00E140EE">
              <w:t>prípadoch,</w:t>
            </w:r>
            <w:r w:rsidR="006B669F" w:rsidRPr="00E140EE">
              <w:t xml:space="preserve"> v </w:t>
            </w:r>
            <w:r w:rsidRPr="00E140EE">
              <w:t>ktorých inštitúcia poskytuje služby subjektom, ako sú podniky kolektívneho investovania alebo dôchodkové fondy, sa príslušné aktíva môžu vykazovať</w:t>
            </w:r>
            <w:r w:rsidR="006B669F" w:rsidRPr="00E140EE">
              <w:t xml:space="preserve"> v </w:t>
            </w:r>
            <w:r w:rsidRPr="00E140EE">
              <w:t>hodnote,</w:t>
            </w:r>
            <w:r w:rsidR="006B669F" w:rsidRPr="00E140EE">
              <w:t xml:space="preserve"> v </w:t>
            </w:r>
            <w:r w:rsidRPr="00E140EE">
              <w:t xml:space="preserve">ktorej tieto subjekty vykazujú aktíva vo vlastnej súvahe. Vykázané hodnoty podľa potreby zahŕňajú vzniknutý úrok. </w:t>
            </w:r>
            <w:r w:rsidRPr="00E140EE">
              <w:rPr>
                <w:rFonts w:eastAsia="Cambria"/>
              </w:rPr>
              <w:br/>
            </w:r>
            <w:r w:rsidRPr="00E140EE">
              <w:t>(Odkaz: FINREP, prílohy III</w:t>
            </w:r>
            <w:r w:rsidR="006B669F" w:rsidRPr="00E140EE">
              <w:t xml:space="preserve"> a </w:t>
            </w:r>
            <w:r w:rsidRPr="00E140EE">
              <w:t>IV, vzor F 22.02, stĺpec 10)</w:t>
            </w:r>
          </w:p>
          <w:p w:rsidR="005244DF" w:rsidRPr="00E140EE"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sidRPr="00E140EE">
              <w:rPr>
                <w:rFonts w:ascii="Times New Roman" w:hAnsi="Times New Roman" w:cs="Times New Roman"/>
                <w:color w:val="000000" w:themeColor="text1"/>
                <w:spacing w:val="-2"/>
                <w:w w:val="95"/>
                <w:sz w:val="20"/>
                <w:szCs w:val="20"/>
              </w:rPr>
              <w:t>Kapitálové trhy</w:t>
            </w:r>
          </w:p>
          <w:p w:rsidR="006B669F" w:rsidRPr="00E140EE" w:rsidRDefault="005244DF" w:rsidP="005839C6">
            <w:pPr>
              <w:pStyle w:val="TableParagraph"/>
              <w:spacing w:before="108"/>
              <w:ind w:left="369"/>
              <w:rPr>
                <w:rFonts w:ascii="Times New Roman" w:hAnsi="Times New Roman" w:cs="Times New Roman"/>
                <w:color w:val="000000" w:themeColor="text1"/>
                <w:spacing w:val="-2"/>
                <w:w w:val="95"/>
                <w:sz w:val="20"/>
                <w:szCs w:val="20"/>
              </w:rPr>
            </w:pPr>
            <w:r w:rsidRPr="00E140EE">
              <w:rPr>
                <w:rFonts w:ascii="Times New Roman" w:hAnsi="Times New Roman" w:cs="Times New Roman"/>
                <w:color w:val="000000" w:themeColor="text1"/>
                <w:spacing w:val="-2"/>
                <w:w w:val="95"/>
                <w:sz w:val="20"/>
                <w:szCs w:val="20"/>
              </w:rPr>
              <w:t>Pomyselná hodnota – vykazuje sa iba pri derivátoch (4.1 – 4.2): hrubá nominálna hodnota všetkých uzatvorených obchodov, ktoré</w:t>
            </w:r>
            <w:r w:rsidR="006B669F" w:rsidRPr="00E140EE">
              <w:rPr>
                <w:rFonts w:ascii="Times New Roman" w:hAnsi="Times New Roman" w:cs="Times New Roman"/>
                <w:color w:val="000000" w:themeColor="text1"/>
                <w:spacing w:val="-2"/>
                <w:w w:val="95"/>
                <w:sz w:val="20"/>
                <w:szCs w:val="20"/>
              </w:rPr>
              <w:t xml:space="preserve"> k </w:t>
            </w:r>
            <w:r w:rsidRPr="00E140EE">
              <w:rPr>
                <w:rFonts w:ascii="Times New Roman" w:hAnsi="Times New Roman" w:cs="Times New Roman"/>
                <w:color w:val="000000" w:themeColor="text1"/>
                <w:spacing w:val="-2"/>
                <w:w w:val="95"/>
                <w:sz w:val="20"/>
                <w:szCs w:val="20"/>
              </w:rPr>
              <w:t>referenčnému dátumu ešte neboli vyrovnané</w:t>
            </w:r>
            <w:r w:rsidR="006B669F" w:rsidRPr="00E140EE">
              <w:rPr>
                <w:rFonts w:ascii="Times New Roman" w:hAnsi="Times New Roman" w:cs="Times New Roman"/>
                <w:color w:val="000000" w:themeColor="text1"/>
                <w:spacing w:val="-2"/>
                <w:w w:val="95"/>
                <w:sz w:val="20"/>
                <w:szCs w:val="20"/>
              </w:rPr>
              <w:t>.</w:t>
            </w:r>
          </w:p>
          <w:p w:rsidR="005244DF" w:rsidRPr="00E140EE"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sidRPr="00E140EE">
              <w:rPr>
                <w:rFonts w:ascii="Times New Roman" w:hAnsi="Times New Roman" w:cs="Times New Roman"/>
                <w:color w:val="000000" w:themeColor="text1"/>
                <w:spacing w:val="-2"/>
                <w:w w:val="95"/>
                <w:sz w:val="20"/>
                <w:szCs w:val="20"/>
              </w:rPr>
              <w:t>Odkazy: FINREP, príloha</w:t>
            </w:r>
            <w:r w:rsidR="006B669F" w:rsidRPr="00E140EE">
              <w:rPr>
                <w:rFonts w:ascii="Times New Roman" w:hAnsi="Times New Roman" w:cs="Times New Roman"/>
                <w:color w:val="000000" w:themeColor="text1"/>
                <w:spacing w:val="-2"/>
                <w:w w:val="95"/>
                <w:sz w:val="20"/>
                <w:szCs w:val="20"/>
              </w:rPr>
              <w:t xml:space="preserve"> V </w:t>
            </w:r>
            <w:r w:rsidRPr="00E140EE">
              <w:rPr>
                <w:rFonts w:ascii="Times New Roman" w:hAnsi="Times New Roman" w:cs="Times New Roman"/>
                <w:color w:val="000000" w:themeColor="text1"/>
                <w:spacing w:val="-2"/>
                <w:w w:val="95"/>
                <w:sz w:val="20"/>
                <w:szCs w:val="20"/>
              </w:rPr>
              <w:t>časť 2 ods. 133, pokiaľ ide</w:t>
            </w:r>
            <w:r w:rsidR="006B669F" w:rsidRPr="00E140EE">
              <w:rPr>
                <w:rFonts w:ascii="Times New Roman" w:hAnsi="Times New Roman" w:cs="Times New Roman"/>
                <w:color w:val="000000" w:themeColor="text1"/>
                <w:spacing w:val="-2"/>
                <w:w w:val="95"/>
                <w:sz w:val="20"/>
                <w:szCs w:val="20"/>
              </w:rPr>
              <w:t xml:space="preserve"> o </w:t>
            </w:r>
            <w:r w:rsidRPr="00E140EE">
              <w:rPr>
                <w:rFonts w:ascii="Times New Roman" w:hAnsi="Times New Roman" w:cs="Times New Roman"/>
                <w:color w:val="000000" w:themeColor="text1"/>
                <w:spacing w:val="-2"/>
                <w:w w:val="95"/>
                <w:sz w:val="20"/>
                <w:szCs w:val="20"/>
              </w:rPr>
              <w:t>vymedzenie pojmu; pokiaľ ide</w:t>
            </w:r>
            <w:r w:rsidR="006B669F" w:rsidRPr="00E140EE">
              <w:rPr>
                <w:rFonts w:ascii="Times New Roman" w:hAnsi="Times New Roman" w:cs="Times New Roman"/>
                <w:color w:val="000000" w:themeColor="text1"/>
                <w:spacing w:val="-2"/>
                <w:w w:val="95"/>
                <w:sz w:val="20"/>
                <w:szCs w:val="20"/>
              </w:rPr>
              <w:t xml:space="preserve"> o </w:t>
            </w:r>
            <w:r w:rsidRPr="00E140EE">
              <w:rPr>
                <w:rFonts w:ascii="Times New Roman" w:hAnsi="Times New Roman" w:cs="Times New Roman"/>
                <w:color w:val="000000" w:themeColor="text1"/>
                <w:spacing w:val="-2"/>
                <w:w w:val="95"/>
                <w:sz w:val="20"/>
                <w:szCs w:val="20"/>
              </w:rPr>
              <w:t>údaje vo FINREP, príloha III; IV</w:t>
            </w:r>
            <w:r w:rsidR="006B669F" w:rsidRPr="00E140EE">
              <w:rPr>
                <w:rFonts w:ascii="Times New Roman" w:hAnsi="Times New Roman" w:cs="Times New Roman"/>
                <w:color w:val="000000" w:themeColor="text1"/>
                <w:spacing w:val="-2"/>
                <w:w w:val="95"/>
                <w:sz w:val="20"/>
                <w:szCs w:val="20"/>
              </w:rPr>
              <w:t xml:space="preserve"> a </w:t>
            </w:r>
            <w:r w:rsidRPr="00E140EE">
              <w:rPr>
                <w:rFonts w:ascii="Times New Roman" w:hAnsi="Times New Roman" w:cs="Times New Roman"/>
                <w:color w:val="000000" w:themeColor="text1"/>
                <w:spacing w:val="-2"/>
                <w:w w:val="95"/>
                <w:sz w:val="20"/>
                <w:szCs w:val="20"/>
              </w:rPr>
              <w:t>V:</w:t>
            </w:r>
          </w:p>
          <w:p w:rsidR="005244DF" w:rsidRPr="00E140EE" w:rsidRDefault="005244DF" w:rsidP="00E140EE">
            <w:pPr>
              <w:pStyle w:val="List1"/>
              <w:rPr>
                <w:rFonts w:eastAsia="Cambria"/>
              </w:rPr>
            </w:pPr>
            <w:r w:rsidRPr="00E140EE">
              <w:t>Deriváty spolu (4.1 – 4.2): Vzor F 10.00 stĺpec 030 riadok 290.</w:t>
            </w:r>
          </w:p>
          <w:p w:rsidR="005244DF" w:rsidRPr="00E140EE" w:rsidRDefault="005244DF" w:rsidP="00E140EE">
            <w:pPr>
              <w:pStyle w:val="List1"/>
              <w:rPr>
                <w:rFonts w:eastAsia="Cambria"/>
              </w:rPr>
            </w:pPr>
            <w:r w:rsidRPr="00E140EE">
              <w:t>Deriváty OTC (4.1): Vzor F 10.00 stĺpec 030 riadky 300 + 310 + 320.</w:t>
            </w:r>
          </w:p>
          <w:p w:rsidR="005244DF" w:rsidRPr="00E140EE" w:rsidRDefault="005244DF" w:rsidP="00E140EE">
            <w:pPr>
              <w:pStyle w:val="List1"/>
              <w:rPr>
                <w:rFonts w:eastAsia="Cambria"/>
              </w:rPr>
            </w:pPr>
            <w:r w:rsidRPr="00E140EE">
              <w:t>Činnosti na sekundárnom trhu (4.3). Účtovná hodnota aktív – účtovná hodnota vykazovaná na strane aktív súvahy vrátane vzniknutého úroku [FINREP: príloha</w:t>
            </w:r>
            <w:r w:rsidR="006B669F" w:rsidRPr="00E140EE">
              <w:t xml:space="preserve"> V </w:t>
            </w:r>
            <w:r w:rsidRPr="00E140EE">
              <w:t>časť 1 ods. 27], pokiaľ ide</w:t>
            </w:r>
            <w:r w:rsidR="006B669F" w:rsidRPr="00E140EE">
              <w:t xml:space="preserve"> o </w:t>
            </w:r>
            <w:r w:rsidRPr="00E140EE">
              <w:t>kapitálové nástroje</w:t>
            </w:r>
            <w:r w:rsidR="006B669F" w:rsidRPr="00E140EE">
              <w:t xml:space="preserve"> a </w:t>
            </w:r>
            <w:r w:rsidRPr="00E140EE">
              <w:t>dlhové cenné papiere [FINREP: príloha</w:t>
            </w:r>
            <w:r w:rsidR="006B669F" w:rsidRPr="00E140EE">
              <w:t xml:space="preserve"> V </w:t>
            </w:r>
            <w:r w:rsidRPr="00E140EE">
              <w:t>časť 1 ods. 31] zatriedené ako „držané na obchodovanie“ [FINREP: príloha</w:t>
            </w:r>
            <w:r w:rsidR="006B669F" w:rsidRPr="00E140EE">
              <w:t xml:space="preserve"> V </w:t>
            </w:r>
            <w:r w:rsidRPr="00E140EE">
              <w:t>časť 1 ods. 15 písm. a)</w:t>
            </w:r>
            <w:r w:rsidR="006B669F" w:rsidRPr="00E140EE">
              <w:t xml:space="preserve"> a </w:t>
            </w:r>
            <w:r w:rsidRPr="00E140EE">
              <w:t>odsek 16 písm. a)].</w:t>
            </w:r>
          </w:p>
          <w:p w:rsidR="005244DF" w:rsidRPr="00E140EE" w:rsidRDefault="005244DF" w:rsidP="00E140EE">
            <w:pPr>
              <w:pStyle w:val="List1"/>
              <w:rPr>
                <w:rFonts w:eastAsia="Cambria"/>
              </w:rPr>
            </w:pPr>
            <w:r w:rsidRPr="00E140EE">
              <w:t>Odkazy: FINREP: príloha III vzor F 04.01 stĺpec 010 riadky 010 + 060 + 120.</w:t>
            </w:r>
          </w:p>
          <w:p w:rsidR="005244DF" w:rsidRPr="00E140EE" w:rsidRDefault="005244DF" w:rsidP="00E140EE">
            <w:pPr>
              <w:pStyle w:val="List1"/>
              <w:rPr>
                <w:rFonts w:eastAsia="Cambria"/>
              </w:rPr>
            </w:pPr>
            <w:r w:rsidRPr="00E140EE">
              <w:t>Primárne trhy (4.4): Príjem</w:t>
            </w:r>
            <w:r w:rsidR="006B669F" w:rsidRPr="00E140EE">
              <w:t xml:space="preserve"> z </w:t>
            </w:r>
            <w:r w:rsidRPr="00E140EE">
              <w:t>poplatkov – poplatky</w:t>
            </w:r>
            <w:r w:rsidR="006B669F" w:rsidRPr="00E140EE">
              <w:t xml:space="preserve"> a </w:t>
            </w:r>
            <w:r w:rsidRPr="00E140EE">
              <w:t>provízie získané za zapájanie sa do vzniku alebo emisie cenných papierov, ktoré neboli iniciované alebo emitované inštitúciou.</w:t>
            </w:r>
          </w:p>
          <w:p w:rsidR="005244DF" w:rsidRPr="00E140EE" w:rsidRDefault="005244DF" w:rsidP="00E140EE">
            <w:pPr>
              <w:pStyle w:val="List1"/>
              <w:rPr>
                <w:rFonts w:eastAsia="Cambria"/>
              </w:rPr>
            </w:pPr>
            <w:r w:rsidRPr="00E140EE">
              <w:t>Odkazy: FINREP: prílohy III, IV vzor F 22.01 stĺpec 010 riadky 030 + 180.</w:t>
            </w:r>
          </w:p>
          <w:p w:rsidR="005244DF" w:rsidRPr="006B669F"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Veľkoobchodné financovanie</w:t>
            </w:r>
          </w:p>
          <w:p w:rsidR="006B669F" w:rsidRDefault="005244DF" w:rsidP="002C4834">
            <w:pPr>
              <w:pStyle w:val="TableParagraph"/>
              <w:spacing w:before="108"/>
              <w:ind w:left="369"/>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Použite hrubú účtovnú hodnota podľa vymedzenia na účely FINREP“</w:t>
            </w:r>
            <w:r w:rsidR="006B669F">
              <w:rPr>
                <w:rFonts w:ascii="Times New Roman" w:hAnsi="Times New Roman"/>
                <w:color w:val="000000" w:themeColor="text1"/>
                <w:spacing w:val="-2"/>
                <w:w w:val="95"/>
                <w:sz w:val="20"/>
              </w:rPr>
              <w:t>.</w:t>
            </w:r>
          </w:p>
          <w:p w:rsidR="006B669F" w:rsidRDefault="005244DF" w:rsidP="002C4834">
            <w:pPr>
              <w:pStyle w:val="TableParagraph"/>
              <w:spacing w:before="108"/>
              <w:ind w:left="369"/>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Odkazy: FINREP: príloha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časť 1 ods. 34, FINREP: prílohy III</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IV, vzory</w:t>
            </w:r>
            <w:r w:rsidR="006B669F">
              <w:rPr>
                <w:rFonts w:ascii="Times New Roman" w:hAnsi="Times New Roman"/>
                <w:color w:val="000000" w:themeColor="text1"/>
                <w:spacing w:val="-2"/>
                <w:w w:val="95"/>
                <w:sz w:val="20"/>
              </w:rPr>
              <w:t>:</w:t>
            </w:r>
          </w:p>
          <w:p w:rsidR="005244DF" w:rsidRPr="006B669F"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 Prijímanie úverov (5.1): vzor F 20.06 stĺpec 010 riadky 100 + 110, všetky štáty.</w:t>
            </w:r>
          </w:p>
          <w:p w:rsidR="005244DF" w:rsidRPr="006B669F"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 deriváty (aktíva) (5.2): vzor F 20.04 stĺpec 010 riadok 010, všetky štáty.</w:t>
            </w:r>
          </w:p>
          <w:p w:rsidR="005244DF" w:rsidRPr="006B669F"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 Poskytovanie úverov (5.3): vzor F 20.04 stĺpec 010 riadky 170 + 180, všetky štáty.</w:t>
            </w:r>
          </w:p>
          <w:p w:rsidR="005244DF" w:rsidRPr="006B669F"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 deriváty (aktíva) (5.4): vzor F 20.06 stĺpec 010 riadok 010, všetky štáty.</w:t>
            </w:r>
          </w:p>
        </w:tc>
      </w:tr>
      <w:tr w:rsidR="00D22EB0" w:rsidRPr="006B669F" w:rsidTr="00E95D75">
        <w:tc>
          <w:tcPr>
            <w:tcW w:w="1191" w:type="dxa"/>
            <w:tcBorders>
              <w:top w:val="single" w:sz="4" w:space="0" w:color="1A171C"/>
              <w:left w:val="nil"/>
              <w:bottom w:val="single" w:sz="4" w:space="0" w:color="1A171C"/>
              <w:right w:val="single" w:sz="4" w:space="0" w:color="1A171C"/>
            </w:tcBorders>
            <w:vAlign w:val="center"/>
          </w:tcPr>
          <w:p w:rsidR="005244DF" w:rsidRPr="006B669F"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6B669F" w:rsidRPr="00E140EE" w:rsidRDefault="005244DF" w:rsidP="00E95D75">
            <w:pPr>
              <w:pStyle w:val="TableParagraph"/>
              <w:spacing w:before="108"/>
              <w:ind w:left="85"/>
              <w:jc w:val="both"/>
              <w:rPr>
                <w:rFonts w:ascii="Times New Roman" w:hAnsi="Times New Roman"/>
                <w:b/>
                <w:color w:val="000000" w:themeColor="text1"/>
                <w:sz w:val="20"/>
              </w:rPr>
            </w:pPr>
            <w:r w:rsidRPr="00E140EE">
              <w:rPr>
                <w:rFonts w:ascii="Times New Roman" w:hAnsi="Times New Roman"/>
                <w:b/>
                <w:color w:val="000000" w:themeColor="text1"/>
                <w:sz w:val="20"/>
              </w:rPr>
              <w:t>Numerický ukazovateľ</w:t>
            </w:r>
          </w:p>
          <w:p w:rsidR="005839C6" w:rsidRPr="006B669F"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Obsah tohto stĺpca závisí od poskytovanej hospodárskej funkcie.</w:t>
            </w:r>
          </w:p>
          <w:p w:rsidR="006B669F" w:rsidRDefault="005244DF" w:rsidP="00715DAB">
            <w:pPr>
              <w:pStyle w:val="TableParagraph"/>
              <w:numPr>
                <w:ilvl w:val="0"/>
                <w:numId w:val="24"/>
              </w:numPr>
              <w:spacing w:before="108"/>
              <w:ind w:left="369" w:hanging="284"/>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Vklady</w:t>
            </w:r>
          </w:p>
          <w:p w:rsidR="005244DF" w:rsidRPr="006B669F"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Celkový počet klientov, ktorí vložili hodnoty vykázané</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peňažnej hodnote. Ak jeden klient používa viac než jeden vkladový produkt/účet, tento klient sa počíta len raz.</w:t>
            </w:r>
          </w:p>
          <w:p w:rsidR="005244DF" w:rsidRPr="006B669F"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Poskytovanie úverov</w:t>
            </w:r>
          </w:p>
          <w:p w:rsidR="005244DF" w:rsidRPr="006B669F"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Celkový počet klientov. Ak klient používa viacero vkladových produktov/účtov, tento klient sa počíta len raz.</w:t>
            </w:r>
          </w:p>
          <w:p w:rsidR="005244DF" w:rsidRPr="006B669F"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Služby týkajúce sa platieb, peňažných prostriedkov, vyrovnania, zúčtovania</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úschovy</w:t>
            </w:r>
          </w:p>
          <w:p w:rsidR="006B669F" w:rsidRDefault="002906FE" w:rsidP="002906FE">
            <w:pPr>
              <w:pStyle w:val="TableParagraph"/>
              <w:spacing w:before="108"/>
              <w:ind w:left="369"/>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Vo všeobecnosti sa vykazujú priemerné denné transakcie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priebehu roka. Ak nie sú</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dispozícii, môžu sa vykázať priemery za kratšie obdobie (napr. niekoľko mesiacov)</w:t>
            </w:r>
            <w:r w:rsidR="006B669F">
              <w:rPr>
                <w:rFonts w:ascii="Times New Roman" w:hAnsi="Times New Roman"/>
                <w:color w:val="000000" w:themeColor="text1"/>
                <w:spacing w:val="-2"/>
                <w:w w:val="95"/>
                <w:sz w:val="20"/>
              </w:rPr>
              <w:t>.</w:t>
            </w:r>
          </w:p>
          <w:p w:rsidR="005244DF" w:rsidRPr="006B669F"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So zreteľom na rôzne funkcie sa používajú tieto opatrenia:</w:t>
            </w:r>
          </w:p>
          <w:p w:rsidR="006B669F" w:rsidRPr="00E140EE" w:rsidRDefault="005244DF" w:rsidP="00E140EE">
            <w:pPr>
              <w:pStyle w:val="List1"/>
            </w:pPr>
            <w:r w:rsidRPr="00E140EE">
              <w:t>Platobné služby (3.1 až 3.2): Počet uskutočnených transakcií</w:t>
            </w:r>
            <w:r w:rsidR="006B669F" w:rsidRPr="00E140EE">
              <w:t>.</w:t>
            </w:r>
          </w:p>
          <w:p w:rsidR="005244DF" w:rsidRPr="00E140EE" w:rsidRDefault="005244DF" w:rsidP="00E140EE">
            <w:pPr>
              <w:pStyle w:val="List1"/>
              <w:rPr>
                <w:rFonts w:eastAsia="Cambria"/>
              </w:rPr>
            </w:pPr>
            <w:r w:rsidRPr="00E140EE">
              <w:t>Odkazy: článok 4 ods. 5 smernice 2015/2366/EÚ; ECB/2013/43.</w:t>
            </w:r>
          </w:p>
          <w:p w:rsidR="005244DF" w:rsidRPr="00E140EE" w:rsidRDefault="005244DF" w:rsidP="00E140EE">
            <w:pPr>
              <w:pStyle w:val="List1"/>
              <w:rPr>
                <w:rFonts w:eastAsia="Cambria"/>
              </w:rPr>
            </w:pPr>
            <w:r w:rsidRPr="00E140EE">
              <w:t>Pokladničná hotovosť (3.3): počet transakcií prostredníctvom bankomatov podľa vymedzenia</w:t>
            </w:r>
            <w:r w:rsidR="006B669F" w:rsidRPr="00E140EE">
              <w:t xml:space="preserve"> v </w:t>
            </w:r>
            <w:r w:rsidRPr="00E140EE">
              <w:t>tabuľke 5a</w:t>
            </w:r>
            <w:r w:rsidR="006B669F" w:rsidRPr="00E140EE">
              <w:t xml:space="preserve"> v </w:t>
            </w:r>
            <w:r w:rsidRPr="00E140EE">
              <w:t>odporúčaní ECB/2013/43, ako aj OTC výberov hotovosti podľa vymedzenia</w:t>
            </w:r>
            <w:r w:rsidR="006B669F" w:rsidRPr="00E140EE">
              <w:t xml:space="preserve"> v </w:t>
            </w:r>
            <w:r w:rsidRPr="00E140EE">
              <w:t>tabuľke 4</w:t>
            </w:r>
            <w:r w:rsidR="006B669F" w:rsidRPr="00E140EE">
              <w:t xml:space="preserve"> v </w:t>
            </w:r>
            <w:r w:rsidRPr="00E140EE">
              <w:t>odporúčaní ECB/2014/15.</w:t>
            </w:r>
          </w:p>
          <w:p w:rsidR="005244DF" w:rsidRPr="00E140EE" w:rsidRDefault="005244DF" w:rsidP="00E140EE">
            <w:pPr>
              <w:pStyle w:val="List1"/>
              <w:rPr>
                <w:rFonts w:eastAsia="Cambria"/>
              </w:rPr>
            </w:pPr>
            <w:r w:rsidRPr="00E140EE">
              <w:t>Služby vyrovnania transakcií</w:t>
            </w:r>
            <w:r w:rsidR="006B669F" w:rsidRPr="00E140EE">
              <w:t xml:space="preserve"> s </w:t>
            </w:r>
            <w:r w:rsidRPr="00E140EE">
              <w:t>cennými papiermi (3.4): počet transakcií prevodov cenných papierov spracovaných</w:t>
            </w:r>
            <w:r w:rsidR="006B669F" w:rsidRPr="00E140EE">
              <w:t xml:space="preserve"> v </w:t>
            </w:r>
            <w:r w:rsidRPr="00E140EE">
              <w:t>mene klientov. Patria sem transakcie vyrovnané systémom vyrovnania transakcií</w:t>
            </w:r>
            <w:r w:rsidR="006B669F" w:rsidRPr="00E140EE">
              <w:t xml:space="preserve"> s </w:t>
            </w:r>
            <w:r w:rsidRPr="00E140EE">
              <w:t>cennými papiermi alebo vyrovnané interne vykazujúcou inštitúciou alebo skupinou</w:t>
            </w:r>
            <w:r w:rsidR="006B669F" w:rsidRPr="00E140EE">
              <w:t xml:space="preserve"> a </w:t>
            </w:r>
            <w:r w:rsidRPr="00E140EE">
              <w:t>transakcie „bez platby“.</w:t>
            </w:r>
          </w:p>
          <w:p w:rsidR="005244DF" w:rsidRPr="006B669F"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Kapitálové trhy</w:t>
            </w:r>
          </w:p>
          <w:p w:rsidR="005244DF" w:rsidRPr="006B669F"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Počet protistrán ALEBO transakcií. Pri derivátoch (4.1 – 4.2)</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nástrojoch sekundárneho trhu (4.3) celkový počet protistrán.</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prípade primárnych trhov (4.4) celkový počet upísaných transakcií.</w:t>
            </w:r>
          </w:p>
          <w:p w:rsidR="005244DF" w:rsidRPr="006B669F"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Veľkoobchodné financovanie</w:t>
            </w:r>
          </w:p>
          <w:p w:rsidR="005244DF" w:rsidRPr="006B669F"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Celkový počet protistrán Ak má jedna protistrana viac ako jeden účet a/alebo viac ako jednu transakciu, táto protistrana sa počíta len raz.</w:t>
            </w:r>
          </w:p>
        </w:tc>
      </w:tr>
      <w:tr w:rsidR="00D22EB0" w:rsidRPr="006B669F" w:rsidTr="00E95D75">
        <w:tc>
          <w:tcPr>
            <w:tcW w:w="1191" w:type="dxa"/>
            <w:tcBorders>
              <w:top w:val="single" w:sz="4" w:space="0" w:color="1A171C"/>
              <w:left w:val="nil"/>
              <w:bottom w:val="single" w:sz="4" w:space="0" w:color="1A171C"/>
              <w:right w:val="single" w:sz="4" w:space="0" w:color="1A171C"/>
            </w:tcBorders>
            <w:vAlign w:val="center"/>
          </w:tcPr>
          <w:p w:rsidR="005244DF" w:rsidRPr="006B669F"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6B669F" w:rsidRPr="00E140EE" w:rsidRDefault="005244DF" w:rsidP="00E95D75">
            <w:pPr>
              <w:pStyle w:val="TableParagraph"/>
              <w:spacing w:before="108"/>
              <w:ind w:left="85"/>
              <w:jc w:val="both"/>
              <w:rPr>
                <w:rFonts w:ascii="Times New Roman" w:hAnsi="Times New Roman"/>
                <w:b/>
                <w:color w:val="000000" w:themeColor="text1"/>
                <w:sz w:val="20"/>
              </w:rPr>
            </w:pPr>
            <w:r w:rsidRPr="00E140EE">
              <w:rPr>
                <w:rFonts w:ascii="Times New Roman" w:hAnsi="Times New Roman"/>
                <w:b/>
                <w:color w:val="000000" w:themeColor="text1"/>
                <w:sz w:val="20"/>
              </w:rPr>
              <w:t>Vplyv na trh</w:t>
            </w:r>
          </w:p>
          <w:p w:rsidR="005244DF" w:rsidRPr="006B669F"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Odhadovaný vplyv náhleho prerušenia funkcie na tretie strany, finančné trhy</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reálnu ekonomiku so zreteľom na veľkosť, podiel na trhu</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danom štáte, vonkajšiu</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vnútornú prepojenosť, zložitosť</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cezhraničné činnosti inštitúcie.</w:t>
            </w:r>
          </w:p>
          <w:p w:rsidR="00E95D75" w:rsidRPr="006B669F"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Toto posúdenie je kvalitatívne vyjadrené ako „vysoké (H)“, „stredne vysoké (MH)“, „stredne nízke (ML)“ alebo nízke (L).</w:t>
            </w:r>
          </w:p>
          <w:p w:rsidR="005244DF" w:rsidRPr="006B669F"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„H“ sa vyberie, ak má prerušenie značný vplyv na vnútroštátny trh; „MH“, ak je vplyv významný; „ML“, ak je vplyv významný, ale obmedzený;</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„L“, ak je vplyv nízky.</w:t>
            </w:r>
          </w:p>
        </w:tc>
      </w:tr>
      <w:tr w:rsidR="00D22EB0" w:rsidRPr="006B669F" w:rsidTr="00E95D75">
        <w:tc>
          <w:tcPr>
            <w:tcW w:w="1191" w:type="dxa"/>
            <w:tcBorders>
              <w:top w:val="single" w:sz="4" w:space="0" w:color="1A171C"/>
              <w:left w:val="nil"/>
              <w:bottom w:val="single" w:sz="4" w:space="0" w:color="1A171C"/>
              <w:right w:val="single" w:sz="4" w:space="0" w:color="1A171C"/>
            </w:tcBorders>
            <w:vAlign w:val="center"/>
          </w:tcPr>
          <w:p w:rsidR="005244DF" w:rsidRPr="006B669F"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244DF" w:rsidRPr="00E140EE"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Zastupiteľnosť</w:t>
            </w:r>
          </w:p>
          <w:p w:rsidR="00B60FA4" w:rsidRPr="006B669F" w:rsidRDefault="00B60FA4" w:rsidP="00E95D75">
            <w:pPr>
              <w:pStyle w:val="TableParagraph"/>
              <w:spacing w:before="108"/>
              <w:ind w:left="85"/>
              <w:jc w:val="both"/>
              <w:rPr>
                <w:rFonts w:ascii="Times New Roman" w:hAnsi="Times New Roman" w:cs="Times New Roman"/>
                <w:bCs/>
                <w:color w:val="000000" w:themeColor="text1"/>
                <w:sz w:val="20"/>
                <w:szCs w:val="20"/>
              </w:rPr>
            </w:pPr>
            <w:r w:rsidRPr="006B669F">
              <w:rPr>
                <w:rFonts w:ascii="Times New Roman" w:hAnsi="Times New Roman"/>
                <w:color w:val="000000" w:themeColor="text1"/>
                <w:sz w:val="20"/>
              </w:rPr>
              <w:t>Článok 6 ods. 3 delegovaného nariadenia (EÚ) 2016/778.</w:t>
            </w:r>
          </w:p>
          <w:p w:rsidR="00081C27" w:rsidRPr="006B669F"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Funkcia sa považuje za zastupiteľnú, ak ju možno nahradiť prijateľným spôsobom</w:t>
            </w:r>
            <w:r w:rsidR="006B669F">
              <w:rPr>
                <w:rFonts w:ascii="Times New Roman" w:hAnsi="Times New Roman"/>
                <w:color w:val="000000" w:themeColor="text1"/>
                <w:spacing w:val="-2"/>
                <w:w w:val="95"/>
                <w:sz w:val="20"/>
              </w:rPr>
              <w:t xml:space="preserve"> a v </w:t>
            </w:r>
            <w:r w:rsidRPr="006B669F">
              <w:rPr>
                <w:rFonts w:ascii="Times New Roman" w:hAnsi="Times New Roman"/>
                <w:color w:val="000000" w:themeColor="text1"/>
                <w:spacing w:val="-2"/>
                <w:w w:val="95"/>
                <w:sz w:val="20"/>
              </w:rPr>
              <w:t>primeranej lehote, čím sa zabráni systémovým problémom pre reálnu ekonomiku</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finančné trhy. Treba zohľadniť:</w:t>
            </w:r>
          </w:p>
          <w:p w:rsidR="006B669F" w:rsidRDefault="00081C27" w:rsidP="00E95D75">
            <w:pPr>
              <w:pStyle w:val="TableParagraph"/>
              <w:spacing w:before="108"/>
              <w:ind w:left="85"/>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a) štruktúru trhu pre túto funkciu</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dostupnosť náhradných poskytovateľov</w:t>
            </w:r>
            <w:r w:rsidR="006B669F">
              <w:rPr>
                <w:rFonts w:ascii="Times New Roman" w:hAnsi="Times New Roman"/>
                <w:color w:val="000000" w:themeColor="text1"/>
                <w:spacing w:val="-2"/>
                <w:w w:val="95"/>
                <w:sz w:val="20"/>
              </w:rPr>
              <w:t>;</w:t>
            </w:r>
          </w:p>
          <w:p w:rsidR="006B669F" w:rsidRDefault="00081C27" w:rsidP="00E95D75">
            <w:pPr>
              <w:pStyle w:val="TableParagraph"/>
              <w:spacing w:before="108"/>
              <w:ind w:left="85"/>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b) schopnosť iných poskytovateľov</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oblasti kapacity, požiadaviek na výkon funkcie</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potenciálnych prekážok pre vstup alebo rozšírenie</w:t>
            </w:r>
            <w:r w:rsidR="006B669F">
              <w:rPr>
                <w:rFonts w:ascii="Times New Roman" w:hAnsi="Times New Roman"/>
                <w:color w:val="000000" w:themeColor="text1"/>
                <w:spacing w:val="-2"/>
                <w:w w:val="95"/>
                <w:sz w:val="20"/>
              </w:rPr>
              <w:t>;</w:t>
            </w:r>
          </w:p>
          <w:p w:rsidR="006B669F" w:rsidRDefault="00081C27" w:rsidP="00E95D75">
            <w:pPr>
              <w:pStyle w:val="TableParagraph"/>
              <w:spacing w:before="108"/>
              <w:ind w:left="85"/>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c) motiváciu iných poskytovateľov, pokiaľ ide</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prevzatie týchto činností</w:t>
            </w:r>
            <w:r w:rsidR="006B669F">
              <w:rPr>
                <w:rFonts w:ascii="Times New Roman" w:hAnsi="Times New Roman"/>
                <w:color w:val="000000" w:themeColor="text1"/>
                <w:spacing w:val="-2"/>
                <w:w w:val="95"/>
                <w:sz w:val="20"/>
              </w:rPr>
              <w:t>;</w:t>
            </w:r>
          </w:p>
          <w:p w:rsidR="00081C27" w:rsidRPr="006B669F"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d) čas, ktorý používatelia služby potrebujú na prechod</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novému poskytovateľovi služieb,</w:t>
            </w:r>
            <w:r w:rsidR="006B669F">
              <w:rPr>
                <w:rFonts w:ascii="Times New Roman" w:hAnsi="Times New Roman"/>
                <w:color w:val="000000" w:themeColor="text1"/>
                <w:spacing w:val="-2"/>
                <w:w w:val="95"/>
                <w:sz w:val="20"/>
              </w:rPr>
              <w:t xml:space="preserve"> a s </w:t>
            </w:r>
            <w:r w:rsidRPr="006B669F">
              <w:rPr>
                <w:rFonts w:ascii="Times New Roman" w:hAnsi="Times New Roman"/>
                <w:color w:val="000000" w:themeColor="text1"/>
                <w:spacing w:val="-2"/>
                <w:w w:val="95"/>
                <w:sz w:val="20"/>
              </w:rPr>
              <w:t>tým spojené náklady, čas, ktorý potrebujú ostatní konkurenti na prevzatie úloh,</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 xml:space="preserve">či tento čas stačí na to, aby </w:t>
            </w:r>
            <w:r w:rsidRPr="006B669F">
              <w:rPr>
                <w:rFonts w:ascii="Times New Roman" w:hAnsi="Times New Roman"/>
                <w:color w:val="000000" w:themeColor="text1"/>
                <w:spacing w:val="-2"/>
                <w:w w:val="95"/>
                <w:sz w:val="20"/>
              </w:rPr>
              <w:lastRenderedPageBreak/>
              <w:t>sa zabránilo výraznému narušeniu</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závislosti od druhu služby.</w:t>
            </w:r>
          </w:p>
          <w:p w:rsidR="00E95D75" w:rsidRPr="006B669F"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Toto posúdenie je kvalitatívne vyjadrené ako „vysoké (H)“, „stredne vysoké (MH)“, „stredne nízke (ML)“ alebo nízke (L).</w:t>
            </w:r>
          </w:p>
          <w:p w:rsidR="00DB69A6" w:rsidRPr="006B669F"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H ′ sa vyberie, ak funkciu môže ľahko zabezpečiť iná banka za porovnateľných podmienok</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primeranom časovom rámci;</w:t>
            </w:r>
          </w:p>
          <w:p w:rsidR="006B669F" w:rsidRDefault="00DB69A6" w:rsidP="00DB69A6">
            <w:pPr>
              <w:pStyle w:val="TableParagraph"/>
              <w:spacing w:before="108"/>
              <w:ind w:left="85"/>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 xml:space="preserve"> „L“, ak funkciu nie je možné ľahko alebo rýchlo nahradiť</w:t>
            </w:r>
            <w:r w:rsidR="006B669F">
              <w:rPr>
                <w:rFonts w:ascii="Times New Roman" w:hAnsi="Times New Roman"/>
                <w:color w:val="000000" w:themeColor="text1"/>
                <w:spacing w:val="-2"/>
                <w:w w:val="95"/>
                <w:sz w:val="20"/>
              </w:rPr>
              <w:t>;</w:t>
            </w:r>
          </w:p>
          <w:p w:rsidR="006B669F" w:rsidRDefault="00DB69A6" w:rsidP="00DB69A6">
            <w:pPr>
              <w:pStyle w:val="TableParagraph"/>
              <w:spacing w:before="108"/>
              <w:ind w:left="85"/>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„MH“</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„ML“ pre prechodné prípady zohľadňujúce rôzne rozmery (napr. trhový podiel, koncentrácia trhu, čas na nahradenie, ako aj právne prekážky pre vstup alebo rozšírenie</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prevádzkové požiadavky na vstup alebo rozšírenie)</w:t>
            </w:r>
          </w:p>
          <w:p w:rsidR="008E0043" w:rsidRPr="006B669F" w:rsidRDefault="008E0043" w:rsidP="00BB34DC">
            <w:pPr>
              <w:pStyle w:val="TableParagraph"/>
              <w:spacing w:before="108"/>
              <w:rPr>
                <w:rFonts w:ascii="Times New Roman" w:eastAsia="Cambria" w:hAnsi="Times New Roman" w:cs="Times New Roman"/>
                <w:color w:val="000000" w:themeColor="text1"/>
                <w:spacing w:val="-2"/>
                <w:w w:val="95"/>
                <w:sz w:val="20"/>
                <w:szCs w:val="20"/>
              </w:rPr>
            </w:pPr>
          </w:p>
        </w:tc>
      </w:tr>
      <w:tr w:rsidR="00D22EB0" w:rsidRPr="006B669F" w:rsidTr="00E95D75">
        <w:tc>
          <w:tcPr>
            <w:tcW w:w="1191" w:type="dxa"/>
            <w:tcBorders>
              <w:top w:val="single" w:sz="4" w:space="0" w:color="1A171C"/>
              <w:left w:val="nil"/>
              <w:bottom w:val="single" w:sz="4" w:space="0" w:color="1A171C"/>
              <w:right w:val="single" w:sz="4" w:space="0" w:color="1A171C"/>
            </w:tcBorders>
            <w:vAlign w:val="center"/>
          </w:tcPr>
          <w:p w:rsidR="005244DF" w:rsidRPr="006B669F"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0070</w:t>
            </w:r>
          </w:p>
        </w:tc>
        <w:tc>
          <w:tcPr>
            <w:tcW w:w="7892" w:type="dxa"/>
            <w:tcBorders>
              <w:top w:val="single" w:sz="4" w:space="0" w:color="1A171C"/>
              <w:left w:val="single" w:sz="4" w:space="0" w:color="1A171C"/>
              <w:bottom w:val="single" w:sz="4" w:space="0" w:color="1A171C"/>
              <w:right w:val="nil"/>
            </w:tcBorders>
          </w:tcPr>
          <w:p w:rsidR="005244DF" w:rsidRPr="00E140EE"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Zásadná funkcia</w:t>
            </w:r>
          </w:p>
          <w:p w:rsidR="005244DF" w:rsidRPr="006B669F"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V tomto stĺpci sa uvádza, či sa hospodárska funkcia na trhu príslušného štátu považuje za zásadnú so zreteľom na kvantitatívne údaje</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ukazovatele kritickosti</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tomto vzore.</w:t>
            </w:r>
          </w:p>
          <w:p w:rsidR="00E95D75" w:rsidRPr="006B669F"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Správa „áno“ alebo „nie“</w:t>
            </w:r>
          </w:p>
        </w:tc>
      </w:tr>
    </w:tbl>
    <w:p w:rsidR="0056559D" w:rsidRPr="00310799" w:rsidRDefault="00F7117F" w:rsidP="00D05086">
      <w:pPr>
        <w:pStyle w:val="Numberedtitlelevel3"/>
        <w:rPr>
          <w:rFonts w:ascii="Times New Roman" w:hAnsi="Times New Roman" w:cs="Times New Roman"/>
          <w:color w:val="000000" w:themeColor="text1"/>
          <w:sz w:val="20"/>
          <w:szCs w:val="20"/>
          <w:u w:val="single"/>
        </w:rPr>
      </w:pPr>
      <w:r w:rsidRPr="00310799">
        <w:rPr>
          <w:rFonts w:ascii="Times New Roman" w:hAnsi="Times New Roman"/>
          <w:b w:val="0"/>
          <w:color w:val="000000" w:themeColor="text1"/>
          <w:sz w:val="20"/>
          <w:u w:val="single"/>
        </w:rPr>
        <w:t>R 07.02 – Priradenie zásadných funkcií</w:t>
      </w:r>
      <w:r w:rsidR="006B669F" w:rsidRPr="00310799">
        <w:rPr>
          <w:rFonts w:ascii="Times New Roman" w:hAnsi="Times New Roman"/>
          <w:b w:val="0"/>
          <w:color w:val="000000" w:themeColor="text1"/>
          <w:sz w:val="20"/>
          <w:u w:val="single"/>
        </w:rPr>
        <w:t xml:space="preserve"> k </w:t>
      </w:r>
      <w:r w:rsidRPr="00310799">
        <w:rPr>
          <w:rFonts w:ascii="Times New Roman" w:hAnsi="Times New Roman"/>
          <w:b w:val="0"/>
          <w:color w:val="000000" w:themeColor="text1"/>
          <w:sz w:val="20"/>
          <w:u w:val="single"/>
        </w:rPr>
        <w:t>právnickým osobám (FUNC 2) Pokyny týkajúce sa konkrétnych pozícií</w:t>
      </w:r>
    </w:p>
    <w:p w:rsidR="00517C03" w:rsidRPr="004F233C" w:rsidRDefault="005F4132" w:rsidP="004F233C">
      <w:pPr>
        <w:pStyle w:val="numberedparagraph"/>
      </w:pPr>
      <w:r w:rsidRPr="004F233C">
        <w:t>Tento vzor sa vykazuje za celú skupinu.</w:t>
      </w:r>
      <w:r w:rsidR="006B669F" w:rsidRPr="004F233C">
        <w:t xml:space="preserve"> V </w:t>
      </w:r>
      <w:r w:rsidRPr="004F233C">
        <w:t>tomto vzore sa vykazujú len zásadné funkcie identifikované ako také</w:t>
      </w:r>
      <w:r w:rsidR="006B669F" w:rsidRPr="004F233C">
        <w:t xml:space="preserve"> v </w:t>
      </w:r>
      <w:r w:rsidRPr="004F233C">
        <w:t>{Z 07.01; 070} (za každý členský štát).</w:t>
      </w:r>
    </w:p>
    <w:p w:rsidR="00517C03" w:rsidRPr="004F233C" w:rsidRDefault="00517C03" w:rsidP="004F233C">
      <w:pPr>
        <w:pStyle w:val="numberedparagraph"/>
      </w:pPr>
      <w:r w:rsidRPr="004F233C">
        <w:t>Kombinácia hodnôt vykázaných</w:t>
      </w:r>
      <w:r w:rsidR="006B669F" w:rsidRPr="004F233C">
        <w:t xml:space="preserve"> v </w:t>
      </w:r>
      <w:r w:rsidRPr="004F233C">
        <w:t>stĺpcoch 0010, 0020</w:t>
      </w:r>
      <w:r w:rsidR="006B669F" w:rsidRPr="004F233C">
        <w:t xml:space="preserve"> a </w:t>
      </w:r>
      <w:r w:rsidRPr="004F233C">
        <w:t>0040 tohto vzoru tvorí primárny kľúč, ktorý musí byť jedinečný pre každý riadok vzoru.</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6B669F" w:rsidTr="00B7082E">
        <w:tc>
          <w:tcPr>
            <w:tcW w:w="1191" w:type="dxa"/>
            <w:tcBorders>
              <w:top w:val="single" w:sz="4" w:space="0" w:color="1A171C"/>
              <w:left w:val="nil"/>
              <w:bottom w:val="single" w:sz="4" w:space="0" w:color="1A171C"/>
              <w:right w:val="single" w:sz="4" w:space="0" w:color="1A171C"/>
            </w:tcBorders>
            <w:shd w:val="clear" w:color="auto" w:fill="E4E5E5"/>
          </w:tcPr>
          <w:p w:rsidR="00517C03" w:rsidRPr="006B669F"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Stĺpce</w:t>
            </w:r>
          </w:p>
        </w:tc>
        <w:tc>
          <w:tcPr>
            <w:tcW w:w="7892" w:type="dxa"/>
            <w:tcBorders>
              <w:top w:val="single" w:sz="4" w:space="0" w:color="1A171C"/>
              <w:left w:val="single" w:sz="4" w:space="0" w:color="1A171C"/>
              <w:bottom w:val="single" w:sz="4" w:space="0" w:color="1A171C"/>
              <w:right w:val="nil"/>
            </w:tcBorders>
            <w:shd w:val="clear" w:color="auto" w:fill="E4E5E5"/>
          </w:tcPr>
          <w:p w:rsidR="00517C03" w:rsidRPr="006B669F"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Pokyny</w:t>
            </w:r>
          </w:p>
        </w:tc>
      </w:tr>
      <w:tr w:rsidR="00D22EB0" w:rsidRPr="006B669F" w:rsidTr="00B7082E">
        <w:tc>
          <w:tcPr>
            <w:tcW w:w="1191" w:type="dxa"/>
            <w:tcBorders>
              <w:top w:val="single" w:sz="4" w:space="0" w:color="1A171C"/>
              <w:left w:val="nil"/>
              <w:bottom w:val="single" w:sz="4" w:space="0" w:color="1A171C"/>
              <w:right w:val="single" w:sz="4" w:space="0" w:color="1A171C"/>
            </w:tcBorders>
            <w:vAlign w:val="center"/>
          </w:tcPr>
          <w:p w:rsidR="00517C03" w:rsidRPr="006B669F"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17C03" w:rsidRPr="00E140EE" w:rsidRDefault="00F234EC" w:rsidP="008E0D4B">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Štát</w:t>
            </w:r>
          </w:p>
          <w:p w:rsidR="00517C03" w:rsidRPr="006B669F"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Štát, pre ktorý je funkcia zásadná, vykázaný</w:t>
            </w:r>
            <w:r w:rsidR="006B669F">
              <w:rPr>
                <w:rFonts w:ascii="Times New Roman" w:hAnsi="Times New Roman"/>
                <w:color w:val="000000" w:themeColor="text1"/>
                <w:spacing w:val="-2"/>
                <w:w w:val="95"/>
                <w:sz w:val="20"/>
              </w:rPr>
              <w:t xml:space="preserve"> v Z </w:t>
            </w:r>
            <w:r w:rsidRPr="006B669F">
              <w:rPr>
                <w:rFonts w:ascii="Times New Roman" w:hAnsi="Times New Roman"/>
                <w:color w:val="000000" w:themeColor="text1"/>
                <w:spacing w:val="-2"/>
                <w:w w:val="95"/>
                <w:sz w:val="20"/>
              </w:rPr>
              <w:t>07.01 (FUNC 1)</w:t>
            </w:r>
          </w:p>
        </w:tc>
      </w:tr>
      <w:tr w:rsidR="00D22EB0" w:rsidRPr="006B669F" w:rsidTr="00B7082E">
        <w:tc>
          <w:tcPr>
            <w:tcW w:w="1191" w:type="dxa"/>
            <w:tcBorders>
              <w:top w:val="single" w:sz="4" w:space="0" w:color="1A171C"/>
              <w:left w:val="nil"/>
              <w:bottom w:val="single" w:sz="4" w:space="0" w:color="1A171C"/>
              <w:right w:val="single" w:sz="4" w:space="0" w:color="1A171C"/>
            </w:tcBorders>
            <w:vAlign w:val="center"/>
          </w:tcPr>
          <w:p w:rsidR="00517C03" w:rsidRPr="006B669F"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17C03" w:rsidRPr="00E140EE"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ID</w:t>
            </w:r>
          </w:p>
          <w:p w:rsidR="00517C03" w:rsidRPr="00E140EE" w:rsidRDefault="00517C03" w:rsidP="00E140EE">
            <w:pPr>
              <w:pStyle w:val="TableParagraph"/>
              <w:spacing w:before="108"/>
              <w:ind w:left="85"/>
              <w:rPr>
                <w:rFonts w:ascii="Times New Roman" w:eastAsia="Cambria" w:hAnsi="Times New Roman" w:cs="Times New Roman"/>
                <w:color w:val="000000" w:themeColor="text1"/>
                <w:spacing w:val="-4"/>
                <w:w w:val="95"/>
                <w:sz w:val="20"/>
                <w:szCs w:val="20"/>
              </w:rPr>
            </w:pPr>
            <w:r w:rsidRPr="00E140EE">
              <w:rPr>
                <w:rFonts w:ascii="Times New Roman" w:hAnsi="Times New Roman"/>
                <w:color w:val="000000" w:themeColor="text1"/>
                <w:spacing w:val="-4"/>
                <w:w w:val="95"/>
                <w:sz w:val="20"/>
              </w:rPr>
              <w:t>Identifikátor zásadných funkcií podľa vymedzenia</w:t>
            </w:r>
            <w:r w:rsidR="006B669F" w:rsidRPr="00E140EE">
              <w:rPr>
                <w:rFonts w:ascii="Times New Roman" w:hAnsi="Times New Roman"/>
                <w:color w:val="000000" w:themeColor="text1"/>
                <w:spacing w:val="-4"/>
                <w:w w:val="95"/>
                <w:sz w:val="20"/>
              </w:rPr>
              <w:t xml:space="preserve"> v </w:t>
            </w:r>
            <w:r w:rsidRPr="00E140EE">
              <w:rPr>
                <w:rFonts w:ascii="Times New Roman" w:hAnsi="Times New Roman"/>
                <w:color w:val="000000" w:themeColor="text1"/>
                <w:spacing w:val="-4"/>
                <w:w w:val="95"/>
                <w:sz w:val="20"/>
              </w:rPr>
              <w:t>kapitole 2.7.1.4 vyššie</w:t>
            </w:r>
            <w:r w:rsidR="006B669F" w:rsidRPr="00E140EE">
              <w:rPr>
                <w:rFonts w:ascii="Times New Roman" w:hAnsi="Times New Roman"/>
                <w:color w:val="000000" w:themeColor="text1"/>
                <w:spacing w:val="-4"/>
                <w:w w:val="95"/>
                <w:sz w:val="20"/>
              </w:rPr>
              <w:t xml:space="preserve"> a </w:t>
            </w:r>
            <w:r w:rsidRPr="00E140EE">
              <w:rPr>
                <w:rFonts w:ascii="Times New Roman" w:hAnsi="Times New Roman"/>
                <w:color w:val="000000" w:themeColor="text1"/>
                <w:spacing w:val="-4"/>
                <w:w w:val="95"/>
                <w:sz w:val="20"/>
              </w:rPr>
              <w:t>vo vzore</w:t>
            </w:r>
            <w:r w:rsidR="006B669F" w:rsidRPr="00E140EE">
              <w:rPr>
                <w:rFonts w:ascii="Times New Roman" w:hAnsi="Times New Roman"/>
                <w:color w:val="000000" w:themeColor="text1"/>
                <w:spacing w:val="-4"/>
                <w:w w:val="95"/>
                <w:sz w:val="20"/>
              </w:rPr>
              <w:t xml:space="preserve"> Z </w:t>
            </w:r>
            <w:r w:rsidRPr="00E140EE">
              <w:rPr>
                <w:rFonts w:ascii="Times New Roman" w:hAnsi="Times New Roman"/>
                <w:color w:val="000000" w:themeColor="text1"/>
                <w:spacing w:val="-4"/>
                <w:w w:val="95"/>
                <w:sz w:val="20"/>
              </w:rPr>
              <w:t>07.01 (FUNC</w:t>
            </w:r>
            <w:r w:rsidR="00E140EE" w:rsidRPr="00E140EE">
              <w:rPr>
                <w:rFonts w:ascii="Times New Roman" w:hAnsi="Times New Roman"/>
                <w:color w:val="000000" w:themeColor="text1"/>
                <w:spacing w:val="-4"/>
                <w:w w:val="95"/>
                <w:sz w:val="20"/>
              </w:rPr>
              <w:t> </w:t>
            </w:r>
            <w:r w:rsidRPr="00E140EE">
              <w:rPr>
                <w:rFonts w:ascii="Times New Roman" w:hAnsi="Times New Roman"/>
                <w:color w:val="000000" w:themeColor="text1"/>
                <w:spacing w:val="-4"/>
                <w:w w:val="95"/>
                <w:sz w:val="20"/>
              </w:rPr>
              <w:t>1)</w:t>
            </w:r>
          </w:p>
        </w:tc>
      </w:tr>
      <w:tr w:rsidR="00D22EB0" w:rsidRPr="006B669F" w:rsidTr="00B7082E">
        <w:tc>
          <w:tcPr>
            <w:tcW w:w="1191" w:type="dxa"/>
            <w:tcBorders>
              <w:top w:val="single" w:sz="4" w:space="0" w:color="1A171C"/>
              <w:left w:val="nil"/>
              <w:bottom w:val="single" w:sz="4" w:space="0" w:color="1A171C"/>
              <w:right w:val="single" w:sz="4" w:space="0" w:color="1A171C"/>
            </w:tcBorders>
            <w:vAlign w:val="center"/>
          </w:tcPr>
          <w:p w:rsidR="00517C03" w:rsidRPr="006B669F"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517C03" w:rsidRPr="00E140EE"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Názov subjektu</w:t>
            </w:r>
          </w:p>
          <w:p w:rsidR="006B669F" w:rsidRDefault="00517C03" w:rsidP="00517C03">
            <w:pPr>
              <w:pStyle w:val="TableParagraph"/>
              <w:spacing w:before="108"/>
              <w:ind w:left="85"/>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Názov subjektu vykonávajúceho zásadnú funkciu vykázaný</w:t>
            </w:r>
            <w:r w:rsidR="006B669F">
              <w:rPr>
                <w:rFonts w:ascii="Times New Roman" w:hAnsi="Times New Roman"/>
                <w:color w:val="000000" w:themeColor="text1"/>
                <w:spacing w:val="-2"/>
                <w:w w:val="95"/>
                <w:sz w:val="20"/>
              </w:rPr>
              <w:t xml:space="preserve"> v Z </w:t>
            </w:r>
            <w:r w:rsidRPr="006B669F">
              <w:rPr>
                <w:rFonts w:ascii="Times New Roman" w:hAnsi="Times New Roman"/>
                <w:color w:val="000000" w:themeColor="text1"/>
                <w:spacing w:val="-2"/>
                <w:w w:val="95"/>
                <w:sz w:val="20"/>
              </w:rPr>
              <w:t>01.00 (ORG)</w:t>
            </w:r>
            <w:r w:rsidR="006B669F">
              <w:rPr>
                <w:rFonts w:ascii="Times New Roman" w:hAnsi="Times New Roman"/>
                <w:color w:val="000000" w:themeColor="text1"/>
                <w:spacing w:val="-2"/>
                <w:w w:val="95"/>
                <w:sz w:val="20"/>
              </w:rPr>
              <w:t>.</w:t>
            </w:r>
          </w:p>
          <w:p w:rsidR="00517C03" w:rsidRPr="006B669F"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Ak existuje viacero subjektov vykonávajúcich rovnaké zásadné funkcie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tom istom štáte, každý subjekt sa vykazuje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osobitnom riadku.</w:t>
            </w:r>
          </w:p>
        </w:tc>
      </w:tr>
      <w:tr w:rsidR="00D22EB0" w:rsidRPr="006B669F" w:rsidTr="00B7082E">
        <w:tc>
          <w:tcPr>
            <w:tcW w:w="1191" w:type="dxa"/>
            <w:tcBorders>
              <w:top w:val="single" w:sz="4" w:space="0" w:color="1A171C"/>
              <w:left w:val="nil"/>
              <w:bottom w:val="single" w:sz="4" w:space="0" w:color="1A171C"/>
              <w:right w:val="single" w:sz="4" w:space="0" w:color="1A171C"/>
            </w:tcBorders>
            <w:vAlign w:val="center"/>
          </w:tcPr>
          <w:p w:rsidR="00517C03" w:rsidRPr="006B669F"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517C03" w:rsidRPr="00E140EE"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Kód</w:t>
            </w:r>
          </w:p>
          <w:p w:rsidR="00517C03" w:rsidRPr="006B669F"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Kód subjektu vykonávajúceho zásadnú funkciu vykázaný</w:t>
            </w:r>
            <w:r w:rsidR="006B669F">
              <w:rPr>
                <w:rFonts w:ascii="Times New Roman" w:hAnsi="Times New Roman"/>
                <w:color w:val="000000" w:themeColor="text1"/>
                <w:spacing w:val="-2"/>
                <w:w w:val="95"/>
                <w:sz w:val="20"/>
              </w:rPr>
              <w:t xml:space="preserve"> v Z </w:t>
            </w:r>
            <w:r w:rsidRPr="006B669F">
              <w:rPr>
                <w:rFonts w:ascii="Times New Roman" w:hAnsi="Times New Roman"/>
                <w:color w:val="000000" w:themeColor="text1"/>
                <w:spacing w:val="-2"/>
                <w:w w:val="95"/>
                <w:sz w:val="20"/>
              </w:rPr>
              <w:t>01.00 – Organizačná štruktúra (ORG).</w:t>
            </w:r>
          </w:p>
        </w:tc>
      </w:tr>
      <w:tr w:rsidR="00517C03" w:rsidRPr="006B669F" w:rsidTr="00B7082E">
        <w:trPr>
          <w:trHeight w:val="302"/>
        </w:trPr>
        <w:tc>
          <w:tcPr>
            <w:tcW w:w="1191" w:type="dxa"/>
            <w:tcBorders>
              <w:top w:val="single" w:sz="4" w:space="0" w:color="1A171C"/>
              <w:left w:val="nil"/>
              <w:bottom w:val="single" w:sz="4" w:space="0" w:color="1A171C"/>
              <w:right w:val="single" w:sz="4" w:space="0" w:color="1A171C"/>
            </w:tcBorders>
            <w:vAlign w:val="center"/>
          </w:tcPr>
          <w:p w:rsidR="00517C03" w:rsidRPr="006B669F"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517C03" w:rsidRPr="00E140EE"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Peňažná suma</w:t>
            </w:r>
          </w:p>
          <w:p w:rsidR="00517C03" w:rsidRPr="006B669F"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Peňažný príspevok právnickej osoby</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peňažnej sume, ako je uvedené</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stĺpci 0030 vzoru</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 xml:space="preserve">07.01 (FUNC 1) </w:t>
            </w:r>
          </w:p>
        </w:tc>
      </w:tr>
    </w:tbl>
    <w:p w:rsidR="0056559D" w:rsidRPr="006B669F" w:rsidRDefault="0056559D" w:rsidP="0056559D">
      <w:pPr>
        <w:rPr>
          <w:rFonts w:ascii="Times New Roman" w:hAnsi="Times New Roman" w:cs="Times New Roman"/>
          <w:color w:val="000000" w:themeColor="text1"/>
          <w:sz w:val="20"/>
          <w:szCs w:val="20"/>
        </w:rPr>
      </w:pPr>
    </w:p>
    <w:p w:rsidR="0056559D" w:rsidRPr="00310799" w:rsidRDefault="00F7117F" w:rsidP="007E02F8">
      <w:pPr>
        <w:pStyle w:val="Numberedtitlelevel3"/>
        <w:rPr>
          <w:rFonts w:ascii="Times New Roman" w:hAnsi="Times New Roman" w:cs="Times New Roman"/>
          <w:b w:val="0"/>
          <w:color w:val="000000" w:themeColor="text1"/>
          <w:sz w:val="20"/>
          <w:szCs w:val="20"/>
          <w:u w:val="single"/>
        </w:rPr>
      </w:pPr>
      <w:r w:rsidRPr="00310799">
        <w:rPr>
          <w:rFonts w:ascii="Times New Roman" w:hAnsi="Times New Roman"/>
          <w:b w:val="0"/>
          <w:color w:val="000000" w:themeColor="text1"/>
          <w:sz w:val="20"/>
          <w:u w:val="single"/>
        </w:rPr>
        <w:t>Z 07.03 – Priradenie hlavných oblasti obchodnej činnosti</w:t>
      </w:r>
      <w:r w:rsidR="006B669F" w:rsidRPr="00310799">
        <w:rPr>
          <w:rFonts w:ascii="Times New Roman" w:hAnsi="Times New Roman"/>
          <w:b w:val="0"/>
          <w:color w:val="000000" w:themeColor="text1"/>
          <w:sz w:val="20"/>
          <w:u w:val="single"/>
        </w:rPr>
        <w:t xml:space="preserve"> k </w:t>
      </w:r>
      <w:r w:rsidRPr="00310799">
        <w:rPr>
          <w:rFonts w:ascii="Times New Roman" w:hAnsi="Times New Roman"/>
          <w:b w:val="0"/>
          <w:color w:val="000000" w:themeColor="text1"/>
          <w:sz w:val="20"/>
          <w:u w:val="single"/>
        </w:rPr>
        <w:t>právnickým osobám (FUNC 3) Pokyny týkajúce sa konkrétnych pozícií</w:t>
      </w:r>
    </w:p>
    <w:p w:rsidR="008D7004" w:rsidRPr="006B669F" w:rsidRDefault="00356129" w:rsidP="004F233C">
      <w:pPr>
        <w:pStyle w:val="numberedparagraph"/>
      </w:pPr>
      <w:r w:rsidRPr="006B669F">
        <w:t>Kombinácia hodnôt vykázaných</w:t>
      </w:r>
      <w:r w:rsidR="006B669F">
        <w:t xml:space="preserve"> v </w:t>
      </w:r>
      <w:r w:rsidRPr="006B669F">
        <w:t>stĺpcoch 0020</w:t>
      </w:r>
      <w:r w:rsidR="006B669F">
        <w:t xml:space="preserve"> a </w:t>
      </w:r>
      <w:r w:rsidRPr="006B669F">
        <w:t>0040 tohto vzoru tvorí primárny kľúč, ktorý musí byť jedinečný pre každý riadok vzoru.</w:t>
      </w:r>
    </w:p>
    <w:p w:rsidR="002D7C07" w:rsidRPr="006B669F" w:rsidRDefault="002D7C07" w:rsidP="004F233C">
      <w:pPr>
        <w:pStyle w:val="numberedparagraph"/>
      </w:pPr>
      <w:r w:rsidRPr="006B669F">
        <w:lastRenderedPageBreak/>
        <w:t>V tomto vzore sa vykazujú len významné subjekty identifikované</w:t>
      </w:r>
      <w:r w:rsidR="006B669F">
        <w:t xml:space="preserve"> v </w:t>
      </w:r>
      <w:r w:rsidRPr="006B669F">
        <w:t xml:space="preserve">{Z 07.02; 0060}.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6B669F" w:rsidTr="00772F88">
        <w:tc>
          <w:tcPr>
            <w:tcW w:w="1191" w:type="dxa"/>
            <w:tcBorders>
              <w:top w:val="single" w:sz="4" w:space="0" w:color="1A171C"/>
              <w:left w:val="nil"/>
              <w:bottom w:val="single" w:sz="4" w:space="0" w:color="1A171C"/>
              <w:right w:val="single" w:sz="4" w:space="0" w:color="1A171C"/>
            </w:tcBorders>
            <w:shd w:val="clear" w:color="auto" w:fill="E4E5E5"/>
          </w:tcPr>
          <w:p w:rsidR="00356129" w:rsidRPr="006B669F"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Stĺpce</w:t>
            </w:r>
          </w:p>
        </w:tc>
        <w:tc>
          <w:tcPr>
            <w:tcW w:w="7892" w:type="dxa"/>
            <w:tcBorders>
              <w:top w:val="single" w:sz="4" w:space="0" w:color="1A171C"/>
              <w:left w:val="single" w:sz="4" w:space="0" w:color="1A171C"/>
              <w:bottom w:val="single" w:sz="4" w:space="0" w:color="1A171C"/>
              <w:right w:val="nil"/>
            </w:tcBorders>
            <w:shd w:val="clear" w:color="auto" w:fill="E4E5E5"/>
          </w:tcPr>
          <w:p w:rsidR="00356129" w:rsidRPr="006B669F"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Pokyny</w:t>
            </w:r>
          </w:p>
        </w:tc>
      </w:tr>
      <w:tr w:rsidR="00D22EB0" w:rsidRPr="006B669F" w:rsidTr="00772F88">
        <w:tc>
          <w:tcPr>
            <w:tcW w:w="1191" w:type="dxa"/>
            <w:tcBorders>
              <w:top w:val="single" w:sz="4" w:space="0" w:color="1A171C"/>
              <w:left w:val="nil"/>
              <w:bottom w:val="single" w:sz="4" w:space="0" w:color="1A171C"/>
              <w:right w:val="single" w:sz="4" w:space="0" w:color="1A171C"/>
            </w:tcBorders>
            <w:vAlign w:val="center"/>
          </w:tcPr>
          <w:p w:rsidR="00356129" w:rsidRPr="006B669F"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356129" w:rsidRPr="00E140EE" w:rsidRDefault="00356129" w:rsidP="00D75AA9">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Hlavná oblasť obchodnej činnosti</w:t>
            </w:r>
          </w:p>
          <w:p w:rsidR="00356129" w:rsidRPr="006B669F"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Hlavná oblasť obchodnej činnosti</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zmysle článku 2 ods. 1 bodu 36</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článku 2 ods. 2 smernice 2014/59/EÚ.</w:t>
            </w:r>
          </w:p>
        </w:tc>
      </w:tr>
      <w:tr w:rsidR="00D22EB0" w:rsidRPr="006B669F" w:rsidTr="00772F88">
        <w:tc>
          <w:tcPr>
            <w:tcW w:w="1191" w:type="dxa"/>
            <w:tcBorders>
              <w:top w:val="single" w:sz="4" w:space="0" w:color="1A171C"/>
              <w:left w:val="nil"/>
              <w:bottom w:val="single" w:sz="4" w:space="0" w:color="1A171C"/>
              <w:right w:val="single" w:sz="4" w:space="0" w:color="1A171C"/>
            </w:tcBorders>
            <w:vAlign w:val="center"/>
          </w:tcPr>
          <w:p w:rsidR="00356129" w:rsidRPr="006B669F"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356129" w:rsidRPr="00E140EE" w:rsidRDefault="00D429E6" w:rsidP="00D75AA9">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ID oblasti obchodnej činnosti</w:t>
            </w:r>
          </w:p>
          <w:p w:rsidR="00356129" w:rsidRPr="006B669F"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Jedinečný identifikačný kód obchodnej činnosti, ktorý má poskytnúť inštitúcia</w:t>
            </w:r>
          </w:p>
        </w:tc>
      </w:tr>
      <w:tr w:rsidR="00D22EB0" w:rsidRPr="006B669F" w:rsidTr="00772F88">
        <w:tc>
          <w:tcPr>
            <w:tcW w:w="1191" w:type="dxa"/>
            <w:tcBorders>
              <w:top w:val="single" w:sz="4" w:space="0" w:color="1A171C"/>
              <w:left w:val="nil"/>
              <w:bottom w:val="single" w:sz="4" w:space="0" w:color="1A171C"/>
              <w:right w:val="single" w:sz="4" w:space="0" w:color="1A171C"/>
            </w:tcBorders>
            <w:vAlign w:val="center"/>
          </w:tcPr>
          <w:p w:rsidR="00D429E6" w:rsidRPr="006B669F"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D429E6" w:rsidRPr="00E140EE" w:rsidRDefault="00D429E6" w:rsidP="00772F88">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Opis</w:t>
            </w:r>
          </w:p>
          <w:p w:rsidR="00D429E6" w:rsidRPr="006B669F"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Opis hlavnej oblasti obchodnej činnosti.</w:t>
            </w:r>
          </w:p>
        </w:tc>
      </w:tr>
      <w:tr w:rsidR="00D22EB0" w:rsidRPr="006B669F" w:rsidTr="00772F88">
        <w:tc>
          <w:tcPr>
            <w:tcW w:w="1191" w:type="dxa"/>
            <w:tcBorders>
              <w:top w:val="single" w:sz="4" w:space="0" w:color="1A171C"/>
              <w:left w:val="nil"/>
              <w:bottom w:val="single" w:sz="4" w:space="0" w:color="1A171C"/>
              <w:right w:val="single" w:sz="4" w:space="0" w:color="1A171C"/>
            </w:tcBorders>
            <w:vAlign w:val="center"/>
          </w:tcPr>
          <w:p w:rsidR="00356129" w:rsidRPr="006B669F"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356129" w:rsidRPr="00E140EE" w:rsidRDefault="00356129" w:rsidP="00D75AA9">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Názov subjektu</w:t>
            </w:r>
          </w:p>
          <w:p w:rsidR="00D429E6" w:rsidRPr="006B669F"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Názov subjektu vykázaný</w:t>
            </w:r>
            <w:r w:rsidR="006B669F">
              <w:rPr>
                <w:rFonts w:ascii="Times New Roman" w:hAnsi="Times New Roman"/>
                <w:color w:val="000000" w:themeColor="text1"/>
                <w:spacing w:val="-2"/>
                <w:w w:val="95"/>
                <w:sz w:val="20"/>
              </w:rPr>
              <w:t xml:space="preserve"> v Z </w:t>
            </w:r>
            <w:r w:rsidRPr="006B669F">
              <w:rPr>
                <w:rFonts w:ascii="Times New Roman" w:hAnsi="Times New Roman"/>
                <w:color w:val="000000" w:themeColor="text1"/>
                <w:spacing w:val="-2"/>
                <w:w w:val="95"/>
                <w:sz w:val="20"/>
              </w:rPr>
              <w:t>01.00 (ORG), ktorý má hlavnú oblasť obchodnej činnosti alebo je jej súčasťou.</w:t>
            </w:r>
          </w:p>
          <w:p w:rsidR="00356129" w:rsidRPr="006B669F"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Ak existuje viacero subjektov, ktoré majú tú istú hlavnú oblasť obchodnej činnosti alebo sú jej súčasťou, údaje</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každom subjekte sa vykazujú</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osobitnom riadku.</w:t>
            </w:r>
          </w:p>
        </w:tc>
      </w:tr>
      <w:tr w:rsidR="00D22EB0" w:rsidRPr="006B669F" w:rsidTr="00772F88">
        <w:tc>
          <w:tcPr>
            <w:tcW w:w="1191" w:type="dxa"/>
            <w:tcBorders>
              <w:top w:val="single" w:sz="4" w:space="0" w:color="1A171C"/>
              <w:left w:val="nil"/>
              <w:bottom w:val="single" w:sz="4" w:space="0" w:color="1A171C"/>
              <w:right w:val="single" w:sz="4" w:space="0" w:color="1A171C"/>
            </w:tcBorders>
            <w:vAlign w:val="center"/>
          </w:tcPr>
          <w:p w:rsidR="00356129" w:rsidRPr="006B669F"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6B669F" w:rsidRPr="00E140EE" w:rsidRDefault="00356129" w:rsidP="00D75AA9">
            <w:pPr>
              <w:pStyle w:val="TableParagraph"/>
              <w:spacing w:before="108"/>
              <w:ind w:left="85"/>
              <w:jc w:val="both"/>
              <w:rPr>
                <w:rFonts w:ascii="Times New Roman" w:hAnsi="Times New Roman"/>
                <w:b/>
                <w:color w:val="000000" w:themeColor="text1"/>
                <w:sz w:val="20"/>
              </w:rPr>
            </w:pPr>
            <w:r w:rsidRPr="00E140EE">
              <w:rPr>
                <w:rFonts w:ascii="Times New Roman" w:hAnsi="Times New Roman"/>
                <w:b/>
                <w:color w:val="000000" w:themeColor="text1"/>
                <w:sz w:val="20"/>
              </w:rPr>
              <w:t>Kód</w:t>
            </w:r>
          </w:p>
          <w:p w:rsidR="00356129" w:rsidRPr="006B669F"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Kód subjektu, ktorý má hlavnú oblasť obchodnej činnosti alebo je jej súčasťou, vykázaný</w:t>
            </w:r>
            <w:r w:rsidR="006B669F">
              <w:rPr>
                <w:rFonts w:ascii="Times New Roman" w:hAnsi="Times New Roman"/>
                <w:color w:val="000000" w:themeColor="text1"/>
                <w:spacing w:val="-2"/>
                <w:w w:val="95"/>
                <w:sz w:val="20"/>
              </w:rPr>
              <w:t xml:space="preserve"> v Z </w:t>
            </w:r>
            <w:r w:rsidRPr="006B669F">
              <w:rPr>
                <w:rFonts w:ascii="Times New Roman" w:hAnsi="Times New Roman"/>
                <w:color w:val="000000" w:themeColor="text1"/>
                <w:spacing w:val="-2"/>
                <w:w w:val="95"/>
                <w:sz w:val="20"/>
              </w:rPr>
              <w:t>01.00 (ORG).</w:t>
            </w:r>
          </w:p>
        </w:tc>
      </w:tr>
    </w:tbl>
    <w:p w:rsidR="0056559D" w:rsidRPr="00310799" w:rsidRDefault="00F7117F" w:rsidP="00715DAB">
      <w:pPr>
        <w:pStyle w:val="Instructionsberschrift3"/>
      </w:pPr>
      <w:r w:rsidRPr="00310799">
        <w:t>R 07.04 – Priradenie zásadných funkcií</w:t>
      </w:r>
      <w:r w:rsidR="006B669F" w:rsidRPr="00310799">
        <w:t xml:space="preserve"> k </w:t>
      </w:r>
      <w:r w:rsidRPr="00310799">
        <w:t>hlavným oblastiam obchodnej činnosti (FUNC 4) Pokyny týkajúce sa konkrétnych pozícií</w:t>
      </w:r>
    </w:p>
    <w:p w:rsidR="003D0643" w:rsidRPr="00E140EE" w:rsidRDefault="003D0643" w:rsidP="004F233C">
      <w:pPr>
        <w:pStyle w:val="numberedparagraph"/>
      </w:pPr>
      <w:r w:rsidRPr="00E140EE">
        <w:t>Kombinácia hodnôt vykázaných</w:t>
      </w:r>
      <w:r w:rsidR="006B669F" w:rsidRPr="00E140EE">
        <w:t xml:space="preserve"> v </w:t>
      </w:r>
      <w:r w:rsidRPr="00E140EE">
        <w:t>stĺpcoch 0010, 0020</w:t>
      </w:r>
      <w:r w:rsidR="006B669F" w:rsidRPr="00E140EE">
        <w:t xml:space="preserve"> a </w:t>
      </w:r>
      <w:r w:rsidRPr="00E140EE">
        <w:t>0040 tohto vzoru tvorí primárny kľúč, ktorý musí byť jedinečný pre každý riadok vzoru.</w:t>
      </w:r>
    </w:p>
    <w:p w:rsidR="006B669F" w:rsidRPr="00E140EE" w:rsidRDefault="00347A09" w:rsidP="004F233C">
      <w:pPr>
        <w:pStyle w:val="numberedparagraph"/>
      </w:pPr>
      <w:r w:rsidRPr="00E140EE">
        <w:t>V tomto vzore sa vykazujú len zásadné funkcie identifikované</w:t>
      </w:r>
      <w:r w:rsidR="006B669F" w:rsidRPr="00E140EE">
        <w:t xml:space="preserve"> v </w:t>
      </w:r>
      <w:r w:rsidRPr="00E140EE">
        <w:t>{Z 07.01; 0070}</w:t>
      </w:r>
      <w:r w:rsidR="006B669F" w:rsidRPr="00E140EE">
        <w:t>.</w:t>
      </w:r>
    </w:p>
    <w:p w:rsidR="00E714C5" w:rsidRPr="006B669F" w:rsidRDefault="00E714C5" w:rsidP="004F233C">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6B669F" w:rsidTr="009A6FB8">
        <w:tc>
          <w:tcPr>
            <w:tcW w:w="1191" w:type="dxa"/>
            <w:tcBorders>
              <w:top w:val="single" w:sz="4" w:space="0" w:color="1A171C"/>
              <w:left w:val="nil"/>
              <w:bottom w:val="single" w:sz="4" w:space="0" w:color="1A171C"/>
              <w:right w:val="single" w:sz="4" w:space="0" w:color="1A171C"/>
            </w:tcBorders>
            <w:shd w:val="clear" w:color="auto" w:fill="E4E5E5"/>
          </w:tcPr>
          <w:p w:rsidR="003D0643" w:rsidRPr="006B669F"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Stĺpce</w:t>
            </w:r>
          </w:p>
        </w:tc>
        <w:tc>
          <w:tcPr>
            <w:tcW w:w="7892" w:type="dxa"/>
            <w:tcBorders>
              <w:top w:val="single" w:sz="4" w:space="0" w:color="1A171C"/>
              <w:left w:val="single" w:sz="4" w:space="0" w:color="1A171C"/>
              <w:bottom w:val="single" w:sz="4" w:space="0" w:color="1A171C"/>
              <w:right w:val="nil"/>
            </w:tcBorders>
            <w:shd w:val="clear" w:color="auto" w:fill="E4E5E5"/>
          </w:tcPr>
          <w:p w:rsidR="003D0643" w:rsidRPr="006B669F"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Pokyny</w:t>
            </w:r>
          </w:p>
        </w:tc>
      </w:tr>
      <w:tr w:rsidR="00D22EB0" w:rsidRPr="006B669F" w:rsidTr="009A6FB8">
        <w:tc>
          <w:tcPr>
            <w:tcW w:w="1191" w:type="dxa"/>
            <w:tcBorders>
              <w:top w:val="single" w:sz="4" w:space="0" w:color="1A171C"/>
              <w:left w:val="nil"/>
              <w:bottom w:val="single" w:sz="4" w:space="0" w:color="1A171C"/>
              <w:right w:val="single" w:sz="4" w:space="0" w:color="1A171C"/>
            </w:tcBorders>
            <w:vAlign w:val="center"/>
          </w:tcPr>
          <w:p w:rsidR="003D0643" w:rsidRPr="006B669F"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z w:val="20"/>
              </w:rPr>
              <w:t>0010</w:t>
            </w:r>
          </w:p>
        </w:tc>
        <w:tc>
          <w:tcPr>
            <w:tcW w:w="7892" w:type="dxa"/>
            <w:tcBorders>
              <w:top w:val="single" w:sz="4" w:space="0" w:color="1A171C"/>
              <w:left w:val="single" w:sz="4" w:space="0" w:color="1A171C"/>
              <w:bottom w:val="single" w:sz="4" w:space="0" w:color="1A171C"/>
              <w:right w:val="nil"/>
            </w:tcBorders>
            <w:vAlign w:val="center"/>
          </w:tcPr>
          <w:p w:rsidR="003D0643" w:rsidRPr="00E140EE" w:rsidRDefault="009626F6" w:rsidP="003D0643">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Štát</w:t>
            </w:r>
          </w:p>
          <w:p w:rsidR="003D0643" w:rsidRPr="006B669F"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Štát, pre ktorý je funkcia zásadná, vykázaný</w:t>
            </w:r>
            <w:r w:rsidR="006B669F">
              <w:rPr>
                <w:rFonts w:ascii="Times New Roman" w:hAnsi="Times New Roman"/>
                <w:color w:val="000000" w:themeColor="text1"/>
                <w:spacing w:val="-2"/>
                <w:w w:val="95"/>
                <w:sz w:val="20"/>
              </w:rPr>
              <w:t xml:space="preserve"> v Z </w:t>
            </w:r>
            <w:r w:rsidRPr="006B669F">
              <w:rPr>
                <w:rFonts w:ascii="Times New Roman" w:hAnsi="Times New Roman"/>
                <w:color w:val="000000" w:themeColor="text1"/>
                <w:spacing w:val="-2"/>
                <w:w w:val="95"/>
                <w:sz w:val="20"/>
              </w:rPr>
              <w:t>07.01 (FUNC 1)</w:t>
            </w:r>
          </w:p>
        </w:tc>
      </w:tr>
      <w:tr w:rsidR="00D22EB0" w:rsidRPr="006B669F" w:rsidTr="009A6FB8">
        <w:tc>
          <w:tcPr>
            <w:tcW w:w="1191" w:type="dxa"/>
            <w:tcBorders>
              <w:top w:val="single" w:sz="4" w:space="0" w:color="1A171C"/>
              <w:left w:val="nil"/>
              <w:bottom w:val="single" w:sz="4" w:space="0" w:color="1A171C"/>
              <w:right w:val="single" w:sz="4" w:space="0" w:color="1A171C"/>
            </w:tcBorders>
            <w:vAlign w:val="center"/>
          </w:tcPr>
          <w:p w:rsidR="003D0643" w:rsidRPr="006B669F"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z w:val="20"/>
              </w:rPr>
              <w:t>0020</w:t>
            </w:r>
          </w:p>
        </w:tc>
        <w:tc>
          <w:tcPr>
            <w:tcW w:w="7892" w:type="dxa"/>
            <w:tcBorders>
              <w:top w:val="single" w:sz="4" w:space="0" w:color="1A171C"/>
              <w:left w:val="single" w:sz="4" w:space="0" w:color="1A171C"/>
              <w:bottom w:val="single" w:sz="4" w:space="0" w:color="1A171C"/>
              <w:right w:val="nil"/>
            </w:tcBorders>
            <w:vAlign w:val="center"/>
          </w:tcPr>
          <w:p w:rsidR="003D0643" w:rsidRPr="00E140EE" w:rsidRDefault="003D0643" w:rsidP="003D0643">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ID funkcie</w:t>
            </w:r>
          </w:p>
          <w:p w:rsidR="003D0643" w:rsidRPr="004F233C" w:rsidRDefault="003D0643" w:rsidP="00BB056C">
            <w:pPr>
              <w:pStyle w:val="TableParagraph"/>
              <w:spacing w:before="108"/>
              <w:ind w:left="85"/>
              <w:rPr>
                <w:rFonts w:ascii="Times New Roman" w:eastAsia="Cambria" w:hAnsi="Times New Roman" w:cs="Times New Roman"/>
                <w:color w:val="000000" w:themeColor="text1"/>
                <w:spacing w:val="-4"/>
                <w:w w:val="95"/>
                <w:sz w:val="20"/>
                <w:szCs w:val="20"/>
              </w:rPr>
            </w:pPr>
            <w:r w:rsidRPr="004F233C">
              <w:rPr>
                <w:rFonts w:ascii="Times New Roman" w:hAnsi="Times New Roman"/>
                <w:color w:val="000000" w:themeColor="text1"/>
                <w:spacing w:val="-4"/>
                <w:w w:val="95"/>
                <w:sz w:val="20"/>
              </w:rPr>
              <w:t>Identifikácia zásadných funkcií podľa vymedzenia</w:t>
            </w:r>
            <w:r w:rsidR="006B669F" w:rsidRPr="004F233C">
              <w:rPr>
                <w:rFonts w:ascii="Times New Roman" w:hAnsi="Times New Roman"/>
                <w:color w:val="000000" w:themeColor="text1"/>
                <w:spacing w:val="-4"/>
                <w:w w:val="95"/>
                <w:sz w:val="20"/>
              </w:rPr>
              <w:t xml:space="preserve"> v </w:t>
            </w:r>
            <w:r w:rsidRPr="004F233C">
              <w:rPr>
                <w:rFonts w:ascii="Times New Roman" w:hAnsi="Times New Roman"/>
                <w:color w:val="000000" w:themeColor="text1"/>
                <w:spacing w:val="-4"/>
                <w:w w:val="95"/>
                <w:sz w:val="20"/>
              </w:rPr>
              <w:t>kapitole 2.7.1.2 vyššie</w:t>
            </w:r>
            <w:r w:rsidR="006B669F" w:rsidRPr="004F233C">
              <w:rPr>
                <w:rFonts w:ascii="Times New Roman" w:hAnsi="Times New Roman"/>
                <w:color w:val="000000" w:themeColor="text1"/>
                <w:spacing w:val="-4"/>
                <w:w w:val="95"/>
                <w:sz w:val="20"/>
              </w:rPr>
              <w:t xml:space="preserve"> a </w:t>
            </w:r>
            <w:r w:rsidRPr="004F233C">
              <w:rPr>
                <w:rFonts w:ascii="Times New Roman" w:hAnsi="Times New Roman"/>
                <w:color w:val="000000" w:themeColor="text1"/>
                <w:spacing w:val="-4"/>
                <w:w w:val="95"/>
                <w:sz w:val="20"/>
              </w:rPr>
              <w:t>vo vzore</w:t>
            </w:r>
            <w:r w:rsidR="006B669F" w:rsidRPr="004F233C">
              <w:rPr>
                <w:rFonts w:ascii="Times New Roman" w:hAnsi="Times New Roman"/>
                <w:color w:val="000000" w:themeColor="text1"/>
                <w:spacing w:val="-4"/>
                <w:w w:val="95"/>
                <w:sz w:val="20"/>
              </w:rPr>
              <w:t xml:space="preserve"> Z </w:t>
            </w:r>
            <w:r w:rsidRPr="004F233C">
              <w:rPr>
                <w:rFonts w:ascii="Times New Roman" w:hAnsi="Times New Roman"/>
                <w:color w:val="000000" w:themeColor="text1"/>
                <w:spacing w:val="-4"/>
                <w:w w:val="95"/>
                <w:sz w:val="20"/>
              </w:rPr>
              <w:t>07.01 (FUNC 1)</w:t>
            </w:r>
          </w:p>
        </w:tc>
      </w:tr>
      <w:tr w:rsidR="00D22EB0" w:rsidRPr="006B669F" w:rsidTr="009A6FB8">
        <w:tc>
          <w:tcPr>
            <w:tcW w:w="1191" w:type="dxa"/>
            <w:tcBorders>
              <w:top w:val="single" w:sz="4" w:space="0" w:color="1A171C"/>
              <w:left w:val="nil"/>
              <w:bottom w:val="single" w:sz="4" w:space="0" w:color="1A171C"/>
              <w:right w:val="single" w:sz="4" w:space="0" w:color="1A171C"/>
            </w:tcBorders>
            <w:vAlign w:val="center"/>
          </w:tcPr>
          <w:p w:rsidR="003D0643" w:rsidRPr="006B669F"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z w:val="20"/>
              </w:rPr>
              <w:t>0030</w:t>
            </w:r>
          </w:p>
        </w:tc>
        <w:tc>
          <w:tcPr>
            <w:tcW w:w="7892" w:type="dxa"/>
            <w:tcBorders>
              <w:top w:val="single" w:sz="4" w:space="0" w:color="1A171C"/>
              <w:left w:val="single" w:sz="4" w:space="0" w:color="1A171C"/>
              <w:bottom w:val="single" w:sz="4" w:space="0" w:color="1A171C"/>
              <w:right w:val="nil"/>
            </w:tcBorders>
            <w:vAlign w:val="center"/>
          </w:tcPr>
          <w:p w:rsidR="003D0643" w:rsidRPr="00E140EE" w:rsidRDefault="003D0643" w:rsidP="003D0643">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Hlavná oblasť obchodnej činnosti</w:t>
            </w:r>
          </w:p>
          <w:p w:rsidR="003D0643" w:rsidRPr="006B669F"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Hlavná oblasť obchodnej činnosti</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zmysle článku 2 ods. 1 bodu 36</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článku 2 ods. 2 smernice 2014/59/EÚ vykázaná</w:t>
            </w:r>
            <w:r w:rsidR="006B669F">
              <w:rPr>
                <w:rFonts w:ascii="Times New Roman" w:hAnsi="Times New Roman"/>
                <w:color w:val="000000" w:themeColor="text1"/>
                <w:spacing w:val="-2"/>
                <w:w w:val="95"/>
                <w:sz w:val="20"/>
              </w:rPr>
              <w:t xml:space="preserve"> v Z </w:t>
            </w:r>
            <w:r w:rsidRPr="006B669F">
              <w:rPr>
                <w:rFonts w:ascii="Times New Roman" w:hAnsi="Times New Roman"/>
                <w:color w:val="000000" w:themeColor="text1"/>
                <w:spacing w:val="-2"/>
                <w:w w:val="95"/>
                <w:sz w:val="20"/>
              </w:rPr>
              <w:t>07.03 (FUNC 3).</w:t>
            </w:r>
          </w:p>
        </w:tc>
      </w:tr>
      <w:tr w:rsidR="00D22EB0" w:rsidRPr="006B669F" w:rsidTr="009A6FB8">
        <w:tc>
          <w:tcPr>
            <w:tcW w:w="1191" w:type="dxa"/>
            <w:tcBorders>
              <w:top w:val="single" w:sz="4" w:space="0" w:color="1A171C"/>
              <w:left w:val="nil"/>
              <w:bottom w:val="single" w:sz="4" w:space="0" w:color="1A171C"/>
              <w:right w:val="single" w:sz="4" w:space="0" w:color="1A171C"/>
            </w:tcBorders>
            <w:vAlign w:val="center"/>
          </w:tcPr>
          <w:p w:rsidR="003D0643" w:rsidRPr="006B669F"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z w:val="20"/>
              </w:rPr>
              <w:t>0040</w:t>
            </w:r>
          </w:p>
        </w:tc>
        <w:tc>
          <w:tcPr>
            <w:tcW w:w="7892" w:type="dxa"/>
            <w:tcBorders>
              <w:top w:val="single" w:sz="4" w:space="0" w:color="1A171C"/>
              <w:left w:val="single" w:sz="4" w:space="0" w:color="1A171C"/>
              <w:bottom w:val="single" w:sz="4" w:space="0" w:color="1A171C"/>
              <w:right w:val="nil"/>
            </w:tcBorders>
            <w:vAlign w:val="center"/>
          </w:tcPr>
          <w:p w:rsidR="003D0643" w:rsidRPr="00E140EE" w:rsidRDefault="003D0643" w:rsidP="003D0643">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ID oblasti obchodnej činnosti</w:t>
            </w:r>
          </w:p>
          <w:p w:rsidR="003D0643" w:rsidRPr="006B669F"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Jedinečná identifikácia obchodnej činnosti poskytnutá inštitúciou; rovnaký ID, ako sa vykazuje vo vzore</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07.03 (FUNC 3).</w:t>
            </w:r>
          </w:p>
        </w:tc>
      </w:tr>
    </w:tbl>
    <w:p w:rsidR="00E13CE3" w:rsidRPr="00310799" w:rsidRDefault="00F7117F" w:rsidP="008854E4">
      <w:pPr>
        <w:pStyle w:val="Instructionsberschrift2"/>
        <w:numPr>
          <w:ilvl w:val="1"/>
          <w:numId w:val="7"/>
        </w:numPr>
        <w:ind w:left="357" w:hanging="357"/>
        <w:rPr>
          <w:rFonts w:ascii="Times New Roman" w:hAnsi="Times New Roman" w:cs="Times New Roman"/>
          <w:szCs w:val="20"/>
        </w:rPr>
      </w:pPr>
      <w:bookmarkStart w:id="38" w:name="_Toc509909046"/>
      <w:bookmarkStart w:id="39" w:name="_Toc525209036"/>
      <w:r w:rsidRPr="00310799">
        <w:rPr>
          <w:rFonts w:ascii="Times New Roman" w:hAnsi="Times New Roman"/>
        </w:rPr>
        <w:t>Z 08.00 – Zásadné služby (SERV)</w:t>
      </w:r>
      <w:bookmarkEnd w:id="38"/>
      <w:bookmarkEnd w:id="39"/>
    </w:p>
    <w:p w:rsidR="00AA4026" w:rsidRPr="00310799" w:rsidRDefault="00AA4026" w:rsidP="00715DAB">
      <w:pPr>
        <w:pStyle w:val="Numberedtitlelevel3"/>
        <w:rPr>
          <w:rFonts w:ascii="Times New Roman" w:hAnsi="Times New Roman" w:cs="Times New Roman"/>
          <w:b w:val="0"/>
          <w:color w:val="000000" w:themeColor="text1"/>
          <w:sz w:val="20"/>
          <w:szCs w:val="20"/>
          <w:u w:val="single"/>
        </w:rPr>
      </w:pPr>
      <w:r w:rsidRPr="00310799">
        <w:rPr>
          <w:rFonts w:ascii="Times New Roman" w:hAnsi="Times New Roman"/>
          <w:b w:val="0"/>
          <w:color w:val="000000" w:themeColor="text1"/>
          <w:sz w:val="20"/>
          <w:u w:val="single"/>
        </w:rPr>
        <w:t>Všeobecné pokyny</w:t>
      </w:r>
    </w:p>
    <w:p w:rsidR="008A0BEC" w:rsidRPr="004F233C" w:rsidRDefault="008A0BEC" w:rsidP="004F233C">
      <w:pPr>
        <w:pStyle w:val="numberedparagraph"/>
      </w:pPr>
      <w:r w:rsidRPr="004F233C">
        <w:lastRenderedPageBreak/>
        <w:t>Informácie, ktoré sa majú zahrnúť do tohto vzoru, sa vykazujú raz za celú skupinu, obsahujú zoznam kritických služieb prijatých ktorýmkoľvek subjektom skupiny</w:t>
      </w:r>
      <w:r w:rsidR="006B669F" w:rsidRPr="004F233C">
        <w:t xml:space="preserve"> a </w:t>
      </w:r>
      <w:r w:rsidRPr="004F233C">
        <w:t>spájajú ich so zásadnými funkciami poskytovanými skupinou.</w:t>
      </w:r>
    </w:p>
    <w:p w:rsidR="00625A0F" w:rsidRPr="004F233C" w:rsidRDefault="00276FFB" w:rsidP="004F233C">
      <w:pPr>
        <w:pStyle w:val="numberedparagraph"/>
      </w:pPr>
      <w:r w:rsidRPr="004F233C">
        <w:t>Zásadné služby sú podkladové operácie, činnosti</w:t>
      </w:r>
      <w:r w:rsidR="006B669F" w:rsidRPr="004F233C">
        <w:t xml:space="preserve"> a </w:t>
      </w:r>
      <w:r w:rsidRPr="004F233C">
        <w:t>služby poskytované jednej (osobitné služby) alebo viacerým podnikateľským jednotkám alebo právnickým osobám (spoločné služby)</w:t>
      </w:r>
      <w:r w:rsidR="006B669F" w:rsidRPr="004F233C">
        <w:t xml:space="preserve"> v </w:t>
      </w:r>
      <w:r w:rsidRPr="004F233C">
        <w:t>rámci skupiny, ktoré sú potrebné na poskytovanie jednej alebo viacerých zásadných funkcií. Zásadné služby môžu vykonávať subjekty</w:t>
      </w:r>
      <w:r w:rsidR="006B669F" w:rsidRPr="004F233C">
        <w:t xml:space="preserve"> v </w:t>
      </w:r>
      <w:r w:rsidRPr="004F233C">
        <w:t>rámci skupiny (interná služba) alebo sa môžu zadávať externým poskytovateľom (externá služba). Služba by sa mala považovať za kritickú, ak jej narušenie môže predstavovať vážnu prekážku pre výkon zásadných funkcií alebo tieto funkcie úplne znemožniť, keďže sú úzko spojené so zásadnými funkciami, ktoré inštitúcia vykonáva pre tretie strany.</w:t>
      </w:r>
    </w:p>
    <w:p w:rsidR="0051360C" w:rsidRPr="004F233C" w:rsidRDefault="0051360C" w:rsidP="004F233C">
      <w:pPr>
        <w:pStyle w:val="numberedparagraph"/>
      </w:pPr>
      <w:r w:rsidRPr="004F233C">
        <w:t>Služby, ktoré sa vykonávajú výlučne interne</w:t>
      </w:r>
      <w:r w:rsidR="006B669F" w:rsidRPr="004F233C">
        <w:t xml:space="preserve"> v </w:t>
      </w:r>
      <w:r w:rsidRPr="004F233C">
        <w:t>prospech právnickej osoby, sa</w:t>
      </w:r>
      <w:r w:rsidR="006B669F" w:rsidRPr="004F233C">
        <w:t xml:space="preserve"> v </w:t>
      </w:r>
      <w:r w:rsidRPr="004F233C">
        <w:t>tomto vzore nevykazujú.</w:t>
      </w:r>
    </w:p>
    <w:p w:rsidR="009F4567" w:rsidRPr="004F233C" w:rsidRDefault="00276FFB" w:rsidP="004F233C">
      <w:pPr>
        <w:pStyle w:val="numberedparagraph"/>
      </w:pPr>
      <w:r w:rsidRPr="004F233C">
        <w:t>Služby, ktoré nemajú významný vplyv na zásadné funkcie, sa</w:t>
      </w:r>
      <w:r w:rsidR="006B669F" w:rsidRPr="004F233C">
        <w:t xml:space="preserve"> v </w:t>
      </w:r>
      <w:r w:rsidRPr="004F233C">
        <w:t>tomto vzore sa nevykazujú.</w:t>
      </w:r>
    </w:p>
    <w:p w:rsidR="006B669F" w:rsidRPr="004F233C" w:rsidRDefault="00276FFB" w:rsidP="004F233C">
      <w:pPr>
        <w:pStyle w:val="numberedparagraph"/>
      </w:pPr>
      <w:r w:rsidRPr="004F233C">
        <w:t>Kombinácia hodnôt vykázaných</w:t>
      </w:r>
      <w:r w:rsidR="006B669F" w:rsidRPr="004F233C">
        <w:t xml:space="preserve"> v </w:t>
      </w:r>
      <w:r w:rsidRPr="004F233C">
        <w:t>stĺpcoch 0010, 0030, 0050, 0070</w:t>
      </w:r>
      <w:r w:rsidR="006B669F" w:rsidRPr="004F233C">
        <w:t xml:space="preserve"> a </w:t>
      </w:r>
      <w:r w:rsidRPr="004F233C">
        <w:t>0080 tohto vzoru tvorí primárny kľúč, ktorý musí byť jedinečný pre každý riadok vzoru</w:t>
      </w:r>
      <w:r w:rsidR="006B669F" w:rsidRPr="004F233C">
        <w:t>.</w:t>
      </w:r>
    </w:p>
    <w:p w:rsidR="00F76194" w:rsidRPr="00310799" w:rsidRDefault="00F76194" w:rsidP="00715DAB">
      <w:pPr>
        <w:pStyle w:val="Numberedtitlelevel3"/>
        <w:rPr>
          <w:rFonts w:ascii="Times New Roman" w:hAnsi="Times New Roman" w:cs="Times New Roman"/>
          <w:b w:val="0"/>
          <w:color w:val="000000" w:themeColor="text1"/>
          <w:sz w:val="20"/>
          <w:szCs w:val="20"/>
          <w:u w:val="single"/>
        </w:rPr>
      </w:pPr>
      <w:r w:rsidRPr="00310799">
        <w:rPr>
          <w:rFonts w:ascii="Times New Roman" w:hAnsi="Times New Roman"/>
          <w:b w:val="0"/>
          <w:color w:val="000000" w:themeColor="text1"/>
          <w:sz w:val="20"/>
          <w:u w:val="single"/>
        </w:rPr>
        <w:t>Pokyny týkajúce sa konkrétnych pozícií</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6B669F" w:rsidTr="00471773">
        <w:tc>
          <w:tcPr>
            <w:tcW w:w="1191" w:type="dxa"/>
            <w:tcBorders>
              <w:top w:val="single" w:sz="4" w:space="0" w:color="1A171C"/>
              <w:left w:val="nil"/>
              <w:bottom w:val="single" w:sz="4" w:space="0" w:color="1A171C"/>
              <w:right w:val="single" w:sz="4" w:space="0" w:color="1A171C"/>
            </w:tcBorders>
            <w:shd w:val="clear" w:color="auto" w:fill="E4E5E5"/>
          </w:tcPr>
          <w:p w:rsidR="000713A0" w:rsidRPr="006B669F"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Stĺpce</w:t>
            </w:r>
          </w:p>
        </w:tc>
        <w:tc>
          <w:tcPr>
            <w:tcW w:w="7892" w:type="dxa"/>
            <w:tcBorders>
              <w:top w:val="single" w:sz="4" w:space="0" w:color="1A171C"/>
              <w:left w:val="single" w:sz="4" w:space="0" w:color="1A171C"/>
              <w:bottom w:val="single" w:sz="4" w:space="0" w:color="1A171C"/>
              <w:right w:val="nil"/>
            </w:tcBorders>
            <w:shd w:val="clear" w:color="auto" w:fill="E4E5E5"/>
          </w:tcPr>
          <w:p w:rsidR="000713A0" w:rsidRPr="006B669F"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Pokyny</w:t>
            </w:r>
          </w:p>
        </w:tc>
      </w:tr>
      <w:tr w:rsidR="00D22EB0" w:rsidRPr="006B669F" w:rsidTr="00471773">
        <w:tc>
          <w:tcPr>
            <w:tcW w:w="1191" w:type="dxa"/>
            <w:tcBorders>
              <w:top w:val="single" w:sz="4" w:space="0" w:color="1A171C"/>
              <w:left w:val="nil"/>
              <w:bottom w:val="single" w:sz="4" w:space="0" w:color="1A171C"/>
              <w:right w:val="single" w:sz="4" w:space="0" w:color="1A171C"/>
            </w:tcBorders>
            <w:vAlign w:val="center"/>
          </w:tcPr>
          <w:p w:rsidR="001D0D8C" w:rsidRPr="006B669F"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0005</w:t>
            </w:r>
          </w:p>
        </w:tc>
        <w:tc>
          <w:tcPr>
            <w:tcW w:w="7892" w:type="dxa"/>
            <w:tcBorders>
              <w:top w:val="single" w:sz="4" w:space="0" w:color="1A171C"/>
              <w:left w:val="single" w:sz="4" w:space="0" w:color="1A171C"/>
              <w:bottom w:val="single" w:sz="4" w:space="0" w:color="1A171C"/>
              <w:right w:val="nil"/>
            </w:tcBorders>
            <w:vAlign w:val="center"/>
          </w:tcPr>
          <w:p w:rsidR="001D0D8C" w:rsidRPr="00E140EE" w:rsidRDefault="001D0D8C" w:rsidP="00FE54BA">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Identifikátor</w:t>
            </w:r>
          </w:p>
          <w:p w:rsidR="001D0D8C" w:rsidRPr="00E140EE" w:rsidRDefault="001D0D8C" w:rsidP="00FE54BA">
            <w:pPr>
              <w:pStyle w:val="TableParagraph"/>
              <w:spacing w:before="108"/>
              <w:ind w:left="85"/>
              <w:jc w:val="both"/>
              <w:rPr>
                <w:rFonts w:ascii="Times New Roman" w:hAnsi="Times New Roman" w:cs="Times New Roman"/>
                <w:b/>
                <w:bCs/>
                <w:color w:val="000000" w:themeColor="text1"/>
                <w:sz w:val="20"/>
                <w:szCs w:val="20"/>
              </w:rPr>
            </w:pPr>
          </w:p>
        </w:tc>
      </w:tr>
      <w:tr w:rsidR="00D22EB0" w:rsidRPr="006B669F" w:rsidTr="00471773">
        <w:tc>
          <w:tcPr>
            <w:tcW w:w="1191" w:type="dxa"/>
            <w:tcBorders>
              <w:top w:val="single" w:sz="4" w:space="0" w:color="1A171C"/>
              <w:left w:val="nil"/>
              <w:bottom w:val="single" w:sz="4" w:space="0" w:color="1A171C"/>
              <w:right w:val="single" w:sz="4" w:space="0" w:color="1A171C"/>
            </w:tcBorders>
            <w:vAlign w:val="center"/>
          </w:tcPr>
          <w:p w:rsidR="000713A0" w:rsidRPr="006B669F"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vAlign w:val="center"/>
          </w:tcPr>
          <w:p w:rsidR="000713A0" w:rsidRPr="00E140EE"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Druh služby</w:t>
            </w:r>
          </w:p>
          <w:p w:rsidR="00AB3415" w:rsidRPr="006B669F"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Druh služby je jeden</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druhov služieb uvedených nižšie.</w:t>
            </w:r>
          </w:p>
          <w:p w:rsidR="006B669F" w:rsidRDefault="00AB3415" w:rsidP="000713A0">
            <w:pPr>
              <w:pStyle w:val="TableParagraph"/>
              <w:spacing w:before="108"/>
              <w:ind w:left="85"/>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Vykazuje sa podľa možnosti podkategória (dvojmiestny identifikačný kód). Ak neexistuje žiadna podkategória alebo žiadna podkategória riadne neopisuje služby poskytované inštitúciou, uvedie sa hlavná kategória (jednomiestny identifikačný kód)</w:t>
            </w:r>
            <w:r w:rsidR="006B669F">
              <w:rPr>
                <w:rFonts w:ascii="Times New Roman" w:hAnsi="Times New Roman"/>
                <w:color w:val="000000" w:themeColor="text1"/>
                <w:spacing w:val="-2"/>
                <w:w w:val="95"/>
                <w:sz w:val="20"/>
              </w:rPr>
              <w:t>.</w:t>
            </w:r>
          </w:p>
          <w:p w:rsidR="00D619CB" w:rsidRPr="006B669F"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1.</w:t>
            </w:r>
            <w:r w:rsidRPr="006B669F">
              <w:tab/>
            </w:r>
            <w:r w:rsidRPr="006B669F">
              <w:rPr>
                <w:rFonts w:ascii="Times New Roman" w:hAnsi="Times New Roman"/>
                <w:color w:val="000000" w:themeColor="text1"/>
                <w:spacing w:val="-2"/>
                <w:w w:val="95"/>
                <w:sz w:val="20"/>
              </w:rPr>
              <w:t>Podpora ľudských zdrojov</w:t>
            </w:r>
          </w:p>
          <w:p w:rsidR="006B669F" w:rsidRDefault="00D619CB" w:rsidP="00D619CB">
            <w:pPr>
              <w:pStyle w:val="TableParagraph"/>
              <w:spacing w:before="108"/>
              <w:ind w:left="907" w:hanging="397"/>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1.1.</w:t>
            </w:r>
            <w:r w:rsidRPr="006B669F">
              <w:tab/>
            </w:r>
            <w:r w:rsidRPr="006B669F">
              <w:rPr>
                <w:rFonts w:ascii="Times New Roman" w:hAnsi="Times New Roman"/>
                <w:color w:val="000000" w:themeColor="text1"/>
                <w:spacing w:val="-2"/>
                <w:w w:val="95"/>
                <w:sz w:val="20"/>
              </w:rPr>
              <w:t>správa zamestnancov vrátane správy zmlúv</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odmeňovania</w:t>
            </w:r>
          </w:p>
          <w:p w:rsidR="000713A0" w:rsidRPr="006B669F"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1.2.</w:t>
            </w:r>
            <w:r w:rsidRPr="006B669F">
              <w:tab/>
            </w:r>
            <w:r w:rsidRPr="006B669F">
              <w:rPr>
                <w:rFonts w:ascii="Times New Roman" w:hAnsi="Times New Roman"/>
                <w:color w:val="000000" w:themeColor="text1"/>
                <w:spacing w:val="-2"/>
                <w:w w:val="95"/>
                <w:sz w:val="20"/>
              </w:rPr>
              <w:t>vnútorná komunikácia</w:t>
            </w:r>
          </w:p>
          <w:p w:rsidR="006B669F" w:rsidRDefault="00D619CB" w:rsidP="00D619CB">
            <w:pPr>
              <w:pStyle w:val="TableParagraph"/>
              <w:spacing w:before="108"/>
              <w:ind w:left="510" w:hanging="397"/>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2.</w:t>
            </w:r>
            <w:r w:rsidRPr="006B669F">
              <w:tab/>
            </w:r>
            <w:r w:rsidRPr="006B669F">
              <w:rPr>
                <w:rFonts w:ascii="Times New Roman" w:hAnsi="Times New Roman"/>
                <w:color w:val="000000" w:themeColor="text1"/>
                <w:spacing w:val="-2"/>
                <w:w w:val="95"/>
                <w:sz w:val="20"/>
              </w:rPr>
              <w:t>Informačné technológie</w:t>
            </w:r>
          </w:p>
          <w:p w:rsidR="006B669F" w:rsidRDefault="00D619CB" w:rsidP="00D619CB">
            <w:pPr>
              <w:pStyle w:val="TableParagraph"/>
              <w:spacing w:before="108"/>
              <w:ind w:left="907" w:hanging="397"/>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2.1.</w:t>
            </w:r>
            <w:r w:rsidRPr="006B669F">
              <w:tab/>
            </w:r>
            <w:r w:rsidRPr="006B669F">
              <w:rPr>
                <w:rFonts w:ascii="Times New Roman" w:hAnsi="Times New Roman"/>
                <w:color w:val="000000" w:themeColor="text1"/>
                <w:spacing w:val="-2"/>
                <w:w w:val="95"/>
                <w:sz w:val="20"/>
              </w:rPr>
              <w:t>informačné technológie</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komunikačný hardvér</w:t>
            </w:r>
          </w:p>
          <w:p w:rsidR="006B669F" w:rsidRDefault="00D619CB" w:rsidP="00D619CB">
            <w:pPr>
              <w:pStyle w:val="TableParagraph"/>
              <w:spacing w:before="108"/>
              <w:ind w:left="907" w:hanging="397"/>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2.2.</w:t>
            </w:r>
            <w:r w:rsidRPr="006B669F">
              <w:tab/>
            </w:r>
            <w:r w:rsidRPr="006B669F">
              <w:rPr>
                <w:rFonts w:ascii="Times New Roman" w:hAnsi="Times New Roman"/>
                <w:color w:val="000000" w:themeColor="text1"/>
                <w:spacing w:val="-2"/>
                <w:w w:val="95"/>
                <w:sz w:val="20"/>
              </w:rPr>
              <w:t>uchovávanie</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spracúvanie údajov</w:t>
            </w:r>
          </w:p>
          <w:p w:rsidR="006B669F" w:rsidRDefault="00D619CB" w:rsidP="00D619CB">
            <w:pPr>
              <w:pStyle w:val="TableParagraph"/>
              <w:spacing w:before="108"/>
              <w:ind w:left="907" w:hanging="397"/>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2.3.</w:t>
            </w:r>
            <w:r w:rsidRPr="006B669F">
              <w:tab/>
            </w:r>
            <w:r w:rsidRPr="006B669F">
              <w:rPr>
                <w:rFonts w:ascii="Times New Roman" w:hAnsi="Times New Roman"/>
                <w:color w:val="000000" w:themeColor="text1"/>
                <w:spacing w:val="-2"/>
                <w:w w:val="95"/>
                <w:sz w:val="20"/>
              </w:rPr>
              <w:t>iná infraštruktúra informačných technológií, pracovné stanice, telekomunikácie, servery, dátové centrá</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súvisiace služby</w:t>
            </w:r>
          </w:p>
          <w:p w:rsidR="006B669F" w:rsidRDefault="00D619CB" w:rsidP="00D619CB">
            <w:pPr>
              <w:pStyle w:val="TableParagraph"/>
              <w:spacing w:before="108"/>
              <w:ind w:left="907" w:hanging="397"/>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2.4.</w:t>
            </w:r>
            <w:r w:rsidRPr="006B669F">
              <w:tab/>
            </w:r>
            <w:r w:rsidRPr="006B669F">
              <w:rPr>
                <w:rFonts w:ascii="Times New Roman" w:hAnsi="Times New Roman"/>
                <w:color w:val="000000" w:themeColor="text1"/>
                <w:spacing w:val="-2"/>
                <w:w w:val="95"/>
                <w:sz w:val="20"/>
              </w:rPr>
              <w:t>správa softvérových licencií</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aplikačný softvér</w:t>
            </w:r>
          </w:p>
          <w:p w:rsidR="006B669F" w:rsidRDefault="00D619CB" w:rsidP="00D619CB">
            <w:pPr>
              <w:pStyle w:val="TableParagraph"/>
              <w:spacing w:before="108"/>
              <w:ind w:left="907" w:hanging="397"/>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2.5.</w:t>
            </w:r>
            <w:r w:rsidRPr="006B669F">
              <w:tab/>
            </w:r>
            <w:r w:rsidRPr="006B669F">
              <w:rPr>
                <w:rFonts w:ascii="Times New Roman" w:hAnsi="Times New Roman"/>
                <w:color w:val="000000" w:themeColor="text1"/>
                <w:spacing w:val="-2"/>
                <w:w w:val="95"/>
                <w:sz w:val="20"/>
              </w:rPr>
              <w:t>prístup</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externým poskytovateľom, najmä poskytovateľom údajov</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infraštruktúry</w:t>
            </w:r>
          </w:p>
          <w:p w:rsidR="006B669F" w:rsidRDefault="00D619CB" w:rsidP="00D619CB">
            <w:pPr>
              <w:pStyle w:val="TableParagraph"/>
              <w:spacing w:before="108"/>
              <w:ind w:left="907" w:hanging="397"/>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2.6.</w:t>
            </w:r>
            <w:r w:rsidRPr="006B669F">
              <w:tab/>
            </w:r>
            <w:r w:rsidRPr="006B669F">
              <w:rPr>
                <w:rFonts w:ascii="Times New Roman" w:hAnsi="Times New Roman"/>
                <w:color w:val="000000" w:themeColor="text1"/>
                <w:spacing w:val="-2"/>
                <w:w w:val="95"/>
                <w:sz w:val="20"/>
              </w:rPr>
              <w:t>údržba aplikácií vrátane údržby softvérových aplikácií</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súvisiace toky údajov</w:t>
            </w:r>
          </w:p>
          <w:p w:rsidR="000713A0" w:rsidRPr="006B669F"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2.7.</w:t>
            </w:r>
            <w:r w:rsidRPr="006B669F">
              <w:tab/>
            </w:r>
            <w:r w:rsidRPr="006B669F">
              <w:rPr>
                <w:rFonts w:ascii="Times New Roman" w:hAnsi="Times New Roman"/>
                <w:color w:val="000000" w:themeColor="text1"/>
                <w:spacing w:val="-2"/>
                <w:w w:val="95"/>
                <w:sz w:val="20"/>
              </w:rPr>
              <w:t>tvorba správ, toky interných informácií</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databázy</w:t>
            </w:r>
          </w:p>
          <w:p w:rsidR="000713A0" w:rsidRPr="006B669F"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2.8.</w:t>
            </w:r>
            <w:r w:rsidRPr="006B669F">
              <w:tab/>
            </w:r>
            <w:r w:rsidRPr="006B669F">
              <w:rPr>
                <w:rFonts w:ascii="Times New Roman" w:hAnsi="Times New Roman"/>
                <w:color w:val="000000" w:themeColor="text1"/>
                <w:spacing w:val="-2"/>
                <w:w w:val="95"/>
                <w:sz w:val="20"/>
              </w:rPr>
              <w:t>podpora používateľov</w:t>
            </w:r>
          </w:p>
          <w:p w:rsidR="000713A0" w:rsidRPr="006B669F"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2.9.</w:t>
            </w:r>
            <w:r w:rsidRPr="006B669F">
              <w:tab/>
            </w:r>
            <w:r w:rsidRPr="006B669F">
              <w:rPr>
                <w:rFonts w:ascii="Times New Roman" w:hAnsi="Times New Roman"/>
                <w:color w:val="000000" w:themeColor="text1"/>
                <w:spacing w:val="-2"/>
                <w:w w:val="95"/>
                <w:sz w:val="20"/>
              </w:rPr>
              <w:t>obnova</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stave núdze</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po katastrofe</w:t>
            </w:r>
          </w:p>
          <w:p w:rsidR="000713A0" w:rsidRPr="006B669F"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3.</w:t>
            </w:r>
            <w:r w:rsidRPr="006B669F">
              <w:tab/>
            </w:r>
            <w:r w:rsidRPr="006B669F">
              <w:rPr>
                <w:rFonts w:ascii="Times New Roman" w:hAnsi="Times New Roman"/>
                <w:color w:val="000000" w:themeColor="text1"/>
                <w:spacing w:val="-2"/>
                <w:w w:val="95"/>
                <w:sz w:val="20"/>
              </w:rPr>
              <w:t>Spracovanie transakcií vrátane otázok právnych transakcií, najmä boja proti praniu špinavých peňazí.</w:t>
            </w:r>
          </w:p>
          <w:p w:rsidR="006B669F" w:rsidRDefault="00D619CB" w:rsidP="00D619CB">
            <w:pPr>
              <w:pStyle w:val="TableParagraph"/>
              <w:spacing w:before="108"/>
              <w:ind w:left="510" w:hanging="397"/>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4.</w:t>
            </w:r>
            <w:r w:rsidRPr="006B669F">
              <w:tab/>
            </w:r>
            <w:r w:rsidRPr="006B669F">
              <w:rPr>
                <w:rFonts w:ascii="Times New Roman" w:hAnsi="Times New Roman"/>
                <w:color w:val="000000" w:themeColor="text1"/>
                <w:spacing w:val="-2"/>
                <w:w w:val="95"/>
                <w:sz w:val="20"/>
              </w:rPr>
              <w:t>Poskytnutie alebo správa nehnuteľností</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zariadení</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súvisiace zariadenia</w:t>
            </w:r>
          </w:p>
          <w:p w:rsidR="006B669F" w:rsidRDefault="00D619CB" w:rsidP="00D619CB">
            <w:pPr>
              <w:pStyle w:val="TableParagraph"/>
              <w:spacing w:before="108"/>
              <w:ind w:left="907" w:hanging="397"/>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4.1.</w:t>
            </w:r>
            <w:r w:rsidRPr="006B669F">
              <w:tab/>
            </w:r>
            <w:r w:rsidRPr="006B669F">
              <w:rPr>
                <w:rFonts w:ascii="Times New Roman" w:hAnsi="Times New Roman"/>
                <w:color w:val="000000" w:themeColor="text1"/>
                <w:spacing w:val="-2"/>
                <w:w w:val="95"/>
                <w:sz w:val="20"/>
              </w:rPr>
              <w:t>kancelárske</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skladovacie priestory</w:t>
            </w:r>
          </w:p>
          <w:p w:rsidR="000713A0" w:rsidRPr="006B669F"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4.2.</w:t>
            </w:r>
            <w:r w:rsidRPr="006B669F">
              <w:tab/>
            </w:r>
            <w:r w:rsidRPr="006B669F">
              <w:rPr>
                <w:rFonts w:ascii="Times New Roman" w:hAnsi="Times New Roman"/>
                <w:color w:val="000000" w:themeColor="text1"/>
                <w:spacing w:val="-2"/>
                <w:w w:val="95"/>
                <w:sz w:val="20"/>
              </w:rPr>
              <w:t>interné riadenie zariadení</w:t>
            </w:r>
          </w:p>
          <w:p w:rsidR="006B669F" w:rsidRDefault="00D619CB" w:rsidP="00D619CB">
            <w:pPr>
              <w:pStyle w:val="TableParagraph"/>
              <w:spacing w:before="108"/>
              <w:ind w:left="907" w:hanging="397"/>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4.3.</w:t>
            </w:r>
            <w:r w:rsidRPr="006B669F">
              <w:tab/>
            </w:r>
            <w:r w:rsidRPr="006B669F">
              <w:rPr>
                <w:rFonts w:ascii="Times New Roman" w:hAnsi="Times New Roman"/>
                <w:color w:val="000000" w:themeColor="text1"/>
                <w:spacing w:val="-2"/>
                <w:w w:val="95"/>
                <w:sz w:val="20"/>
              </w:rPr>
              <w:t>bezpečnosť</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kontrola prístupu</w:t>
            </w:r>
          </w:p>
          <w:p w:rsidR="000713A0" w:rsidRPr="006B669F"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4.4.</w:t>
            </w:r>
            <w:r w:rsidRPr="006B669F">
              <w:tab/>
            </w:r>
            <w:r w:rsidRPr="006B669F">
              <w:rPr>
                <w:rFonts w:ascii="Times New Roman" w:hAnsi="Times New Roman"/>
                <w:color w:val="000000" w:themeColor="text1"/>
                <w:spacing w:val="-2"/>
                <w:w w:val="95"/>
                <w:sz w:val="20"/>
              </w:rPr>
              <w:t>riadenie portfólia nehnuteľností</w:t>
            </w:r>
          </w:p>
          <w:p w:rsidR="006B669F" w:rsidRDefault="00D619CB" w:rsidP="00D619CB">
            <w:pPr>
              <w:pStyle w:val="TableParagraph"/>
              <w:spacing w:before="108"/>
              <w:ind w:left="907" w:hanging="397"/>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4.5.</w:t>
            </w:r>
            <w:r w:rsidRPr="006B669F">
              <w:tab/>
            </w:r>
            <w:r w:rsidRPr="006B669F">
              <w:rPr>
                <w:rFonts w:ascii="Times New Roman" w:hAnsi="Times New Roman"/>
                <w:color w:val="000000" w:themeColor="text1"/>
                <w:spacing w:val="-2"/>
                <w:w w:val="95"/>
                <w:sz w:val="20"/>
              </w:rPr>
              <w:t>iné, uveďte</w:t>
            </w:r>
          </w:p>
          <w:p w:rsidR="006B669F" w:rsidRDefault="00D619CB" w:rsidP="00D619CB">
            <w:pPr>
              <w:pStyle w:val="TableParagraph"/>
              <w:spacing w:before="108"/>
              <w:ind w:left="510" w:hanging="397"/>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5.</w:t>
            </w:r>
            <w:r w:rsidRPr="006B669F">
              <w:tab/>
            </w:r>
            <w:r w:rsidRPr="006B669F">
              <w:rPr>
                <w:rFonts w:ascii="Times New Roman" w:hAnsi="Times New Roman"/>
                <w:color w:val="000000" w:themeColor="text1"/>
                <w:spacing w:val="-2"/>
                <w:w w:val="95"/>
                <w:sz w:val="20"/>
              </w:rPr>
              <w:t>Právne služby</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útvary vykonávajúce funkciu dodržiavania súladu</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predpismi</w:t>
            </w:r>
            <w:r w:rsidR="006B669F">
              <w:rPr>
                <w:rFonts w:ascii="Times New Roman" w:hAnsi="Times New Roman"/>
                <w:color w:val="000000" w:themeColor="text1"/>
                <w:spacing w:val="-2"/>
                <w:w w:val="95"/>
                <w:sz w:val="20"/>
              </w:rPr>
              <w:t>:</w:t>
            </w:r>
          </w:p>
          <w:p w:rsidR="006B669F" w:rsidRDefault="00D619CB" w:rsidP="00D619CB">
            <w:pPr>
              <w:pStyle w:val="TableParagraph"/>
              <w:spacing w:before="108"/>
              <w:ind w:left="907" w:hanging="397"/>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5.1.</w:t>
            </w:r>
            <w:r w:rsidRPr="006B669F">
              <w:tab/>
            </w:r>
            <w:r w:rsidRPr="006B669F">
              <w:rPr>
                <w:rFonts w:ascii="Times New Roman" w:hAnsi="Times New Roman"/>
                <w:color w:val="000000" w:themeColor="text1"/>
                <w:spacing w:val="-2"/>
                <w:w w:val="95"/>
                <w:sz w:val="20"/>
              </w:rPr>
              <w:t>právna podpora spoločnostiam</w:t>
            </w:r>
          </w:p>
          <w:p w:rsidR="000713A0" w:rsidRPr="006B669F"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5.2.</w:t>
            </w:r>
            <w:r w:rsidRPr="006B669F">
              <w:tab/>
            </w:r>
            <w:r w:rsidRPr="006B669F">
              <w:rPr>
                <w:rFonts w:ascii="Times New Roman" w:hAnsi="Times New Roman"/>
                <w:color w:val="000000" w:themeColor="text1"/>
                <w:spacing w:val="-2"/>
                <w:w w:val="95"/>
                <w:sz w:val="20"/>
              </w:rPr>
              <w:t>právne služby týkajúce sa obchodných činností</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transakcií</w:t>
            </w:r>
          </w:p>
          <w:p w:rsidR="000713A0" w:rsidRPr="006B669F"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5.3.</w:t>
            </w:r>
            <w:r w:rsidRPr="006B669F">
              <w:tab/>
            </w:r>
            <w:r w:rsidRPr="006B669F">
              <w:rPr>
                <w:rFonts w:ascii="Times New Roman" w:hAnsi="Times New Roman"/>
                <w:color w:val="000000" w:themeColor="text1"/>
                <w:spacing w:val="-2"/>
                <w:w w:val="95"/>
                <w:sz w:val="20"/>
              </w:rPr>
              <w:t>podpora súladu</w:t>
            </w:r>
          </w:p>
          <w:p w:rsidR="006B669F" w:rsidRDefault="00D619CB" w:rsidP="00D619CB">
            <w:pPr>
              <w:pStyle w:val="TableParagraph"/>
              <w:spacing w:before="108"/>
              <w:ind w:left="510" w:hanging="397"/>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6.</w:t>
            </w:r>
            <w:r w:rsidRPr="006B669F">
              <w:tab/>
            </w:r>
            <w:r w:rsidRPr="006B669F">
              <w:rPr>
                <w:rFonts w:ascii="Times New Roman" w:hAnsi="Times New Roman"/>
                <w:color w:val="000000" w:themeColor="text1"/>
                <w:spacing w:val="-2"/>
                <w:w w:val="95"/>
                <w:sz w:val="20"/>
              </w:rPr>
              <w:t>Služby súvisiace</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pokladnicou</w:t>
            </w:r>
          </w:p>
          <w:p w:rsidR="000713A0" w:rsidRPr="006B669F"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6.1.</w:t>
            </w:r>
            <w:r w:rsidRPr="006B669F">
              <w:tab/>
            </w:r>
            <w:r w:rsidRPr="006B669F">
              <w:rPr>
                <w:rFonts w:ascii="Times New Roman" w:hAnsi="Times New Roman"/>
                <w:color w:val="000000" w:themeColor="text1"/>
                <w:spacing w:val="-2"/>
                <w:w w:val="95"/>
                <w:sz w:val="20"/>
              </w:rPr>
              <w:t>koordinácia, správa</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riadenie činností pokladnice</w:t>
            </w:r>
          </w:p>
          <w:p w:rsidR="006B669F" w:rsidRDefault="00D619CB" w:rsidP="00D619CB">
            <w:pPr>
              <w:pStyle w:val="TableParagraph"/>
              <w:spacing w:before="108"/>
              <w:ind w:left="907" w:hanging="397"/>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6.2.</w:t>
            </w:r>
            <w:r w:rsidRPr="006B669F">
              <w:tab/>
            </w:r>
            <w:r w:rsidRPr="006B669F">
              <w:rPr>
                <w:rFonts w:ascii="Times New Roman" w:hAnsi="Times New Roman"/>
                <w:color w:val="000000" w:themeColor="text1"/>
                <w:spacing w:val="-2"/>
                <w:w w:val="95"/>
                <w:sz w:val="20"/>
              </w:rPr>
              <w:t>koordinácia, správa</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riadenie refinancovania subjektov vrátane riadenia kolaterálov</w:t>
            </w:r>
          </w:p>
          <w:p w:rsidR="006B669F" w:rsidRDefault="00D619CB" w:rsidP="00D619CB">
            <w:pPr>
              <w:pStyle w:val="TableParagraph"/>
              <w:spacing w:before="108"/>
              <w:ind w:left="907" w:hanging="397"/>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6.3.</w:t>
            </w:r>
            <w:r w:rsidRPr="006B669F">
              <w:tab/>
            </w:r>
            <w:r w:rsidRPr="006B669F">
              <w:rPr>
                <w:rFonts w:ascii="Times New Roman" w:hAnsi="Times New Roman"/>
                <w:color w:val="000000" w:themeColor="text1"/>
                <w:spacing w:val="-2"/>
                <w:w w:val="95"/>
                <w:sz w:val="20"/>
              </w:rPr>
              <w:t>funkcia vykazovania, najmä so zreteľom na regulačné ukazovatele likvidity</w:t>
            </w:r>
          </w:p>
          <w:p w:rsidR="006B669F" w:rsidRDefault="00D619CB" w:rsidP="00D619CB">
            <w:pPr>
              <w:pStyle w:val="TableParagraph"/>
              <w:spacing w:before="108"/>
              <w:ind w:left="907" w:hanging="397"/>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6.4.</w:t>
            </w:r>
            <w:r w:rsidRPr="006B669F">
              <w:tab/>
            </w:r>
            <w:r w:rsidRPr="006B669F">
              <w:rPr>
                <w:rFonts w:ascii="Times New Roman" w:hAnsi="Times New Roman"/>
                <w:color w:val="000000" w:themeColor="text1"/>
                <w:spacing w:val="-2"/>
                <w:w w:val="95"/>
                <w:sz w:val="20"/>
              </w:rPr>
              <w:t>koordinácia, správa</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riadenie strednodobých</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dlhodobých programov financovania</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refinancovanie subjektov skupiny</w:t>
            </w:r>
          </w:p>
          <w:p w:rsidR="000713A0" w:rsidRPr="006B669F"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6.5.</w:t>
            </w:r>
            <w:r w:rsidRPr="006B669F">
              <w:tab/>
            </w:r>
            <w:r w:rsidRPr="006B669F">
              <w:rPr>
                <w:rFonts w:ascii="Times New Roman" w:hAnsi="Times New Roman"/>
                <w:color w:val="000000" w:themeColor="text1"/>
                <w:spacing w:val="-2"/>
                <w:w w:val="95"/>
                <w:sz w:val="20"/>
              </w:rPr>
              <w:t>koordinácia, správa</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riadenie refinancovania, najmä krátkodobé otázky</w:t>
            </w:r>
          </w:p>
          <w:p w:rsidR="000713A0" w:rsidRPr="006B669F"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7.</w:t>
            </w:r>
            <w:r w:rsidRPr="006B669F">
              <w:tab/>
            </w:r>
            <w:r w:rsidRPr="006B669F">
              <w:rPr>
                <w:rFonts w:ascii="Times New Roman" w:hAnsi="Times New Roman"/>
                <w:color w:val="000000" w:themeColor="text1"/>
                <w:spacing w:val="-2"/>
                <w:w w:val="95"/>
                <w:sz w:val="20"/>
              </w:rPr>
              <w:t>Riadenie obchodovania/správa aktív</w:t>
            </w:r>
          </w:p>
          <w:p w:rsidR="000713A0" w:rsidRPr="006B669F"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7.1.</w:t>
            </w:r>
            <w:r w:rsidRPr="006B669F">
              <w:tab/>
            </w:r>
            <w:r w:rsidRPr="006B669F">
              <w:rPr>
                <w:rFonts w:ascii="Times New Roman" w:hAnsi="Times New Roman"/>
                <w:color w:val="000000" w:themeColor="text1"/>
                <w:spacing w:val="-2"/>
                <w:w w:val="95"/>
                <w:sz w:val="20"/>
              </w:rPr>
              <w:t>spracovanie operácií: zadávanie, návrh, realizácia obchodu, obsluha obchodných produktov</w:t>
            </w:r>
          </w:p>
          <w:p w:rsidR="000713A0" w:rsidRPr="006B669F"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7.2.</w:t>
            </w:r>
            <w:r w:rsidRPr="006B669F">
              <w:tab/>
            </w:r>
            <w:r w:rsidRPr="006B669F">
              <w:rPr>
                <w:rFonts w:ascii="Times New Roman" w:hAnsi="Times New Roman"/>
                <w:color w:val="000000" w:themeColor="text1"/>
                <w:spacing w:val="-2"/>
                <w:w w:val="95"/>
                <w:sz w:val="20"/>
              </w:rPr>
              <w:t>potvrdenie, úhrada, platba</w:t>
            </w:r>
          </w:p>
          <w:p w:rsidR="006B669F" w:rsidRDefault="00D619CB" w:rsidP="00D619CB">
            <w:pPr>
              <w:pStyle w:val="TableParagraph"/>
              <w:spacing w:before="108"/>
              <w:ind w:left="907" w:hanging="397"/>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7.3.</w:t>
            </w:r>
            <w:r w:rsidRPr="006B669F">
              <w:tab/>
            </w:r>
            <w:r w:rsidRPr="006B669F">
              <w:rPr>
                <w:rFonts w:ascii="Times New Roman" w:hAnsi="Times New Roman"/>
                <w:color w:val="000000" w:themeColor="text1"/>
                <w:spacing w:val="-2"/>
                <w:w w:val="95"/>
                <w:sz w:val="20"/>
              </w:rPr>
              <w:t>riadenie pozícií</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protistrán so zreteľom na vykazovanie údajov</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vzťahy</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protistranám</w:t>
            </w:r>
          </w:p>
          <w:p w:rsidR="000713A0" w:rsidRPr="006B669F"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7.4.</w:t>
            </w:r>
            <w:r w:rsidRPr="006B669F">
              <w:tab/>
            </w:r>
            <w:r w:rsidRPr="006B669F">
              <w:rPr>
                <w:rFonts w:ascii="Times New Roman" w:hAnsi="Times New Roman"/>
                <w:color w:val="000000" w:themeColor="text1"/>
                <w:spacing w:val="-2"/>
                <w:w w:val="95"/>
                <w:sz w:val="20"/>
              </w:rPr>
              <w:t>riadenie pozícií (riziko</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zosúladenie)</w:t>
            </w:r>
          </w:p>
          <w:p w:rsidR="006B669F" w:rsidRDefault="00D619CB" w:rsidP="00D619CB">
            <w:pPr>
              <w:pStyle w:val="TableParagraph"/>
              <w:spacing w:before="108"/>
              <w:ind w:left="510" w:hanging="397"/>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8.</w:t>
            </w:r>
            <w:r w:rsidRPr="006B669F">
              <w:tab/>
            </w:r>
            <w:r w:rsidRPr="006B669F">
              <w:rPr>
                <w:rFonts w:ascii="Times New Roman" w:hAnsi="Times New Roman"/>
                <w:color w:val="000000" w:themeColor="text1"/>
                <w:spacing w:val="-2"/>
                <w:w w:val="95"/>
                <w:sz w:val="20"/>
              </w:rPr>
              <w:t>Riadenie</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hodnotenie rizík</w:t>
            </w:r>
          </w:p>
          <w:p w:rsidR="000713A0" w:rsidRPr="006B669F"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8.1.</w:t>
            </w:r>
            <w:r w:rsidRPr="006B669F">
              <w:tab/>
            </w:r>
            <w:r w:rsidRPr="006B669F">
              <w:rPr>
                <w:rFonts w:ascii="Times New Roman" w:hAnsi="Times New Roman"/>
                <w:color w:val="000000" w:themeColor="text1"/>
                <w:spacing w:val="-2"/>
                <w:w w:val="95"/>
                <w:sz w:val="20"/>
              </w:rPr>
              <w:t>riadenie ústredného rizika alebo rizika pre oblasti obchodnej činnosti alebo riadenie rizík súvisiacich</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typom rizika</w:t>
            </w:r>
          </w:p>
          <w:p w:rsidR="000713A0" w:rsidRPr="006B669F"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8.2.</w:t>
            </w:r>
            <w:r w:rsidRPr="006B669F">
              <w:tab/>
            </w:r>
            <w:r w:rsidRPr="006B669F">
              <w:rPr>
                <w:rFonts w:ascii="Times New Roman" w:hAnsi="Times New Roman"/>
                <w:color w:val="000000" w:themeColor="text1"/>
                <w:spacing w:val="-2"/>
                <w:w w:val="95"/>
                <w:sz w:val="20"/>
              </w:rPr>
              <w:t>tvorba správ</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rizikách</w:t>
            </w:r>
          </w:p>
          <w:p w:rsidR="006B669F" w:rsidRDefault="00D619CB" w:rsidP="00D619CB">
            <w:pPr>
              <w:pStyle w:val="TableParagraph"/>
              <w:spacing w:before="108"/>
              <w:ind w:left="510" w:hanging="397"/>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9.</w:t>
            </w:r>
            <w:r w:rsidRPr="006B669F">
              <w:tab/>
            </w:r>
            <w:r w:rsidRPr="006B669F">
              <w:rPr>
                <w:rFonts w:ascii="Times New Roman" w:hAnsi="Times New Roman"/>
                <w:color w:val="000000" w:themeColor="text1"/>
                <w:spacing w:val="-2"/>
                <w:w w:val="95"/>
                <w:sz w:val="20"/>
              </w:rPr>
              <w:t>Účtovníctvo</w:t>
            </w:r>
          </w:p>
          <w:p w:rsidR="000713A0" w:rsidRPr="006B669F"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9.1.</w:t>
            </w:r>
            <w:r w:rsidRPr="006B669F">
              <w:tab/>
            </w:r>
            <w:r w:rsidRPr="006B669F">
              <w:rPr>
                <w:rFonts w:ascii="Times New Roman" w:hAnsi="Times New Roman"/>
                <w:color w:val="000000" w:themeColor="text1"/>
                <w:spacing w:val="-2"/>
                <w:w w:val="95"/>
                <w:sz w:val="20"/>
              </w:rPr>
              <w:t>zákonné</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regulačné vykazovanie</w:t>
            </w:r>
          </w:p>
          <w:p w:rsidR="000713A0" w:rsidRPr="006B669F"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9.2.</w:t>
            </w:r>
            <w:r w:rsidRPr="006B669F">
              <w:tab/>
            </w:r>
            <w:r w:rsidRPr="006B669F">
              <w:rPr>
                <w:rFonts w:ascii="Times New Roman" w:hAnsi="Times New Roman"/>
                <w:color w:val="000000" w:themeColor="text1"/>
                <w:spacing w:val="-2"/>
                <w:w w:val="95"/>
                <w:sz w:val="20"/>
              </w:rPr>
              <w:t>oceňovanie, najmä trhových pozícií</w:t>
            </w:r>
          </w:p>
          <w:p w:rsidR="000713A0" w:rsidRPr="006B669F"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9.3.</w:t>
            </w:r>
            <w:r w:rsidRPr="006B669F">
              <w:tab/>
            </w:r>
            <w:r w:rsidRPr="006B669F">
              <w:rPr>
                <w:rFonts w:ascii="Times New Roman" w:hAnsi="Times New Roman"/>
                <w:color w:val="000000" w:themeColor="text1"/>
                <w:spacing w:val="-2"/>
                <w:w w:val="95"/>
                <w:sz w:val="20"/>
              </w:rPr>
              <w:t>podávanie správ</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hospodárení</w:t>
            </w:r>
          </w:p>
          <w:p w:rsidR="000713A0" w:rsidRPr="006B669F"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10.</w:t>
            </w:r>
            <w:r w:rsidRPr="006B669F">
              <w:tab/>
            </w:r>
            <w:r w:rsidRPr="006B669F">
              <w:rPr>
                <w:rFonts w:ascii="Times New Roman" w:hAnsi="Times New Roman"/>
                <w:color w:val="000000" w:themeColor="text1"/>
                <w:spacing w:val="-2"/>
                <w:w w:val="95"/>
                <w:sz w:val="20"/>
              </w:rPr>
              <w:t>Spracovanie hotovosti</w:t>
            </w:r>
          </w:p>
        </w:tc>
      </w:tr>
      <w:tr w:rsidR="00D22EB0" w:rsidRPr="006B669F" w:rsidTr="00471773">
        <w:tc>
          <w:tcPr>
            <w:tcW w:w="1191" w:type="dxa"/>
            <w:tcBorders>
              <w:top w:val="single" w:sz="4" w:space="0" w:color="1A171C"/>
              <w:left w:val="nil"/>
              <w:bottom w:val="single" w:sz="4" w:space="0" w:color="1A171C"/>
              <w:right w:val="single" w:sz="4" w:space="0" w:color="1A171C"/>
            </w:tcBorders>
            <w:vAlign w:val="center"/>
          </w:tcPr>
          <w:p w:rsidR="000713A0" w:rsidRPr="006B669F"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 xml:space="preserve">0020 – 0030 </w:t>
            </w:r>
          </w:p>
        </w:tc>
        <w:tc>
          <w:tcPr>
            <w:tcW w:w="7892" w:type="dxa"/>
            <w:tcBorders>
              <w:top w:val="single" w:sz="4" w:space="0" w:color="1A171C"/>
              <w:left w:val="single" w:sz="4" w:space="0" w:color="1A171C"/>
              <w:bottom w:val="single" w:sz="4" w:space="0" w:color="1A171C"/>
              <w:right w:val="nil"/>
            </w:tcBorders>
            <w:vAlign w:val="center"/>
          </w:tcPr>
          <w:p w:rsidR="006B669F" w:rsidRPr="00E140EE" w:rsidRDefault="000713A0" w:rsidP="00FE54BA">
            <w:pPr>
              <w:pStyle w:val="TableParagraph"/>
              <w:spacing w:before="108"/>
              <w:ind w:left="85"/>
              <w:jc w:val="both"/>
              <w:rPr>
                <w:rFonts w:ascii="Times New Roman" w:hAnsi="Times New Roman"/>
                <w:b/>
                <w:color w:val="000000" w:themeColor="text1"/>
                <w:sz w:val="20"/>
              </w:rPr>
            </w:pPr>
            <w:r w:rsidRPr="00E140EE">
              <w:rPr>
                <w:rFonts w:ascii="Times New Roman" w:hAnsi="Times New Roman"/>
                <w:b/>
                <w:color w:val="000000" w:themeColor="text1"/>
                <w:sz w:val="20"/>
              </w:rPr>
              <w:t>Príjemca služieb</w:t>
            </w:r>
          </w:p>
          <w:p w:rsidR="000713A0" w:rsidRPr="006B669F"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Subjekt skupiny prijímajúci kritické služby vykázané</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stĺpci 0010 od iného subjektu skupiny alebo externého poskytovateľa vykázaného</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 xml:space="preserve">stĺpcoch 0040 – 0050. </w:t>
            </w:r>
          </w:p>
        </w:tc>
      </w:tr>
      <w:tr w:rsidR="00D22EB0" w:rsidRPr="006B669F" w:rsidTr="00471773">
        <w:tc>
          <w:tcPr>
            <w:tcW w:w="1191" w:type="dxa"/>
            <w:tcBorders>
              <w:top w:val="single" w:sz="4" w:space="0" w:color="1A171C"/>
              <w:left w:val="nil"/>
              <w:bottom w:val="single" w:sz="4" w:space="0" w:color="1A171C"/>
              <w:right w:val="single" w:sz="4" w:space="0" w:color="1A171C"/>
            </w:tcBorders>
            <w:vAlign w:val="center"/>
          </w:tcPr>
          <w:p w:rsidR="000713A0" w:rsidRPr="006B669F"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 xml:space="preserve">0020 </w:t>
            </w:r>
          </w:p>
        </w:tc>
        <w:tc>
          <w:tcPr>
            <w:tcW w:w="7892" w:type="dxa"/>
            <w:tcBorders>
              <w:top w:val="single" w:sz="4" w:space="0" w:color="1A171C"/>
              <w:left w:val="single" w:sz="4" w:space="0" w:color="1A171C"/>
              <w:bottom w:val="single" w:sz="4" w:space="0" w:color="1A171C"/>
              <w:right w:val="nil"/>
            </w:tcBorders>
            <w:vAlign w:val="center"/>
          </w:tcPr>
          <w:p w:rsidR="006B669F" w:rsidRPr="00E140EE" w:rsidRDefault="000713A0" w:rsidP="00FE54BA">
            <w:pPr>
              <w:pStyle w:val="TableParagraph"/>
              <w:spacing w:before="108"/>
              <w:ind w:left="85"/>
              <w:jc w:val="both"/>
              <w:rPr>
                <w:rFonts w:ascii="Times New Roman" w:hAnsi="Times New Roman"/>
                <w:b/>
                <w:color w:val="000000" w:themeColor="text1"/>
                <w:sz w:val="20"/>
              </w:rPr>
            </w:pPr>
            <w:r w:rsidRPr="00E140EE">
              <w:rPr>
                <w:rFonts w:ascii="Times New Roman" w:hAnsi="Times New Roman"/>
                <w:b/>
                <w:color w:val="000000" w:themeColor="text1"/>
                <w:sz w:val="20"/>
              </w:rPr>
              <w:t>Názov subjektu</w:t>
            </w:r>
          </w:p>
          <w:p w:rsidR="000713A0" w:rsidRPr="006B669F"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Musí byť odlišný od názvu uvedeného</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 xml:space="preserve">stĺpci 0040. </w:t>
            </w:r>
          </w:p>
        </w:tc>
      </w:tr>
      <w:tr w:rsidR="00D22EB0" w:rsidRPr="006B669F" w:rsidTr="00471773">
        <w:tc>
          <w:tcPr>
            <w:tcW w:w="1191" w:type="dxa"/>
            <w:tcBorders>
              <w:top w:val="single" w:sz="4" w:space="0" w:color="1A171C"/>
              <w:left w:val="nil"/>
              <w:bottom w:val="single" w:sz="4" w:space="0" w:color="1A171C"/>
              <w:right w:val="single" w:sz="4" w:space="0" w:color="1A171C"/>
            </w:tcBorders>
            <w:vAlign w:val="center"/>
          </w:tcPr>
          <w:p w:rsidR="000713A0" w:rsidRPr="006B669F"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vAlign w:val="center"/>
          </w:tcPr>
          <w:p w:rsidR="006B669F" w:rsidRPr="00E140EE" w:rsidRDefault="000713A0" w:rsidP="00FE54BA">
            <w:pPr>
              <w:pStyle w:val="TableParagraph"/>
              <w:spacing w:before="108"/>
              <w:ind w:left="85"/>
              <w:jc w:val="both"/>
              <w:rPr>
                <w:rFonts w:ascii="Times New Roman" w:hAnsi="Times New Roman"/>
                <w:b/>
                <w:color w:val="000000" w:themeColor="text1"/>
                <w:sz w:val="20"/>
              </w:rPr>
            </w:pPr>
            <w:r w:rsidRPr="00E140EE">
              <w:rPr>
                <w:rFonts w:ascii="Times New Roman" w:hAnsi="Times New Roman"/>
                <w:b/>
                <w:color w:val="000000" w:themeColor="text1"/>
                <w:sz w:val="20"/>
              </w:rPr>
              <w:t>Kód</w:t>
            </w:r>
          </w:p>
          <w:p w:rsidR="000713A0" w:rsidRPr="006B669F"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Jedinečný identifikátor právnickej osoby</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stĺpci 0020 vykazovaný vo vzore</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01.00 (ORG)</w:t>
            </w:r>
          </w:p>
          <w:p w:rsidR="000713A0" w:rsidRPr="006B669F"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Musí byť odlišný od identifikátora vykazovaného</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stĺpci 0050.</w:t>
            </w:r>
          </w:p>
        </w:tc>
      </w:tr>
      <w:tr w:rsidR="00D22EB0" w:rsidRPr="006B669F" w:rsidTr="00471773">
        <w:tc>
          <w:tcPr>
            <w:tcW w:w="1191" w:type="dxa"/>
            <w:tcBorders>
              <w:top w:val="single" w:sz="4" w:space="0" w:color="1A171C"/>
              <w:left w:val="nil"/>
              <w:bottom w:val="single" w:sz="4" w:space="0" w:color="1A171C"/>
              <w:right w:val="single" w:sz="4" w:space="0" w:color="1A171C"/>
            </w:tcBorders>
            <w:vAlign w:val="center"/>
          </w:tcPr>
          <w:p w:rsidR="000713A0" w:rsidRPr="006B669F"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 xml:space="preserve">0040 – 0050 </w:t>
            </w:r>
          </w:p>
        </w:tc>
        <w:tc>
          <w:tcPr>
            <w:tcW w:w="7892" w:type="dxa"/>
            <w:tcBorders>
              <w:top w:val="single" w:sz="4" w:space="0" w:color="1A171C"/>
              <w:left w:val="single" w:sz="4" w:space="0" w:color="1A171C"/>
              <w:bottom w:val="single" w:sz="4" w:space="0" w:color="1A171C"/>
              <w:right w:val="nil"/>
            </w:tcBorders>
            <w:vAlign w:val="center"/>
          </w:tcPr>
          <w:p w:rsidR="006B669F" w:rsidRPr="00E140EE" w:rsidRDefault="000713A0" w:rsidP="00FE54BA">
            <w:pPr>
              <w:pStyle w:val="TableParagraph"/>
              <w:spacing w:before="108"/>
              <w:ind w:left="85"/>
              <w:jc w:val="both"/>
              <w:rPr>
                <w:rFonts w:ascii="Times New Roman" w:hAnsi="Times New Roman"/>
                <w:b/>
                <w:color w:val="000000" w:themeColor="text1"/>
                <w:sz w:val="20"/>
              </w:rPr>
            </w:pPr>
            <w:r w:rsidRPr="00E140EE">
              <w:rPr>
                <w:rFonts w:ascii="Times New Roman" w:hAnsi="Times New Roman"/>
                <w:b/>
                <w:color w:val="000000" w:themeColor="text1"/>
                <w:sz w:val="20"/>
              </w:rPr>
              <w:t>Poskytovateľ služby</w:t>
            </w:r>
          </w:p>
          <w:p w:rsidR="000713A0" w:rsidRPr="006B669F"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Právnická osoba (interná alebo externá), ktorá poskytuje subjektu skupiny kritickú službu vykazovanú</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 xml:space="preserve">stĺpci 0010 </w:t>
            </w:r>
          </w:p>
        </w:tc>
      </w:tr>
      <w:tr w:rsidR="00D22EB0" w:rsidRPr="006B669F" w:rsidTr="00471773">
        <w:tc>
          <w:tcPr>
            <w:tcW w:w="1191" w:type="dxa"/>
            <w:tcBorders>
              <w:top w:val="single" w:sz="4" w:space="0" w:color="1A171C"/>
              <w:left w:val="nil"/>
              <w:bottom w:val="single" w:sz="4" w:space="0" w:color="1A171C"/>
              <w:right w:val="single" w:sz="4" w:space="0" w:color="1A171C"/>
            </w:tcBorders>
            <w:vAlign w:val="center"/>
          </w:tcPr>
          <w:p w:rsidR="000713A0" w:rsidRPr="006B669F"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 xml:space="preserve">0040 </w:t>
            </w:r>
          </w:p>
        </w:tc>
        <w:tc>
          <w:tcPr>
            <w:tcW w:w="7892" w:type="dxa"/>
            <w:tcBorders>
              <w:top w:val="single" w:sz="4" w:space="0" w:color="1A171C"/>
              <w:left w:val="single" w:sz="4" w:space="0" w:color="1A171C"/>
              <w:bottom w:val="single" w:sz="4" w:space="0" w:color="1A171C"/>
              <w:right w:val="nil"/>
            </w:tcBorders>
            <w:vAlign w:val="center"/>
          </w:tcPr>
          <w:p w:rsidR="006B669F" w:rsidRPr="00E140EE" w:rsidRDefault="000713A0" w:rsidP="00FE54BA">
            <w:pPr>
              <w:pStyle w:val="TableParagraph"/>
              <w:spacing w:before="108"/>
              <w:ind w:left="85"/>
              <w:jc w:val="both"/>
              <w:rPr>
                <w:rFonts w:ascii="Times New Roman" w:hAnsi="Times New Roman"/>
                <w:b/>
                <w:color w:val="000000" w:themeColor="text1"/>
                <w:sz w:val="20"/>
              </w:rPr>
            </w:pPr>
            <w:r w:rsidRPr="00E140EE">
              <w:rPr>
                <w:rFonts w:ascii="Times New Roman" w:hAnsi="Times New Roman"/>
                <w:b/>
                <w:color w:val="000000" w:themeColor="text1"/>
                <w:sz w:val="20"/>
              </w:rPr>
              <w:t>Názov subjektu</w:t>
            </w:r>
          </w:p>
          <w:p w:rsidR="000713A0" w:rsidRPr="006B669F"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Musí byť odlišný od názvu uvedeného</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 xml:space="preserve">stĺpci 0020. </w:t>
            </w:r>
          </w:p>
        </w:tc>
      </w:tr>
      <w:tr w:rsidR="00D22EB0" w:rsidRPr="006B669F" w:rsidTr="00471773">
        <w:tc>
          <w:tcPr>
            <w:tcW w:w="1191" w:type="dxa"/>
            <w:tcBorders>
              <w:top w:val="single" w:sz="4" w:space="0" w:color="1A171C"/>
              <w:left w:val="nil"/>
              <w:bottom w:val="single" w:sz="4" w:space="0" w:color="1A171C"/>
              <w:right w:val="single" w:sz="4" w:space="0" w:color="1A171C"/>
            </w:tcBorders>
            <w:vAlign w:val="center"/>
          </w:tcPr>
          <w:p w:rsidR="000713A0" w:rsidRPr="006B669F"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 xml:space="preserve">0050 </w:t>
            </w:r>
          </w:p>
        </w:tc>
        <w:tc>
          <w:tcPr>
            <w:tcW w:w="7892" w:type="dxa"/>
            <w:tcBorders>
              <w:top w:val="single" w:sz="4" w:space="0" w:color="1A171C"/>
              <w:left w:val="single" w:sz="4" w:space="0" w:color="1A171C"/>
              <w:bottom w:val="single" w:sz="4" w:space="0" w:color="1A171C"/>
              <w:right w:val="nil"/>
            </w:tcBorders>
            <w:vAlign w:val="center"/>
          </w:tcPr>
          <w:p w:rsidR="006B669F" w:rsidRPr="00E140EE" w:rsidRDefault="000713A0" w:rsidP="00FE54BA">
            <w:pPr>
              <w:pStyle w:val="TableParagraph"/>
              <w:spacing w:before="108"/>
              <w:ind w:left="85"/>
              <w:jc w:val="both"/>
              <w:rPr>
                <w:rFonts w:ascii="Times New Roman" w:hAnsi="Times New Roman"/>
                <w:b/>
                <w:color w:val="000000" w:themeColor="text1"/>
                <w:sz w:val="20"/>
              </w:rPr>
            </w:pPr>
            <w:r w:rsidRPr="00E140EE">
              <w:rPr>
                <w:rFonts w:ascii="Times New Roman" w:hAnsi="Times New Roman"/>
                <w:b/>
                <w:color w:val="000000" w:themeColor="text1"/>
                <w:sz w:val="20"/>
              </w:rPr>
              <w:t>Kód</w:t>
            </w:r>
          </w:p>
          <w:p w:rsidR="00741D62" w:rsidRPr="006B669F"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Jedinečný identifikátor právneho subjektu</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stĺpci 0020. Musí byť odlišný od identifikátora uvedeného</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stĺpci 0030.</w:t>
            </w:r>
          </w:p>
          <w:p w:rsidR="006B669F" w:rsidRDefault="006C73FE" w:rsidP="000725C8">
            <w:pPr>
              <w:pStyle w:val="TableParagraph"/>
              <w:spacing w:before="108"/>
              <w:ind w:left="85"/>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Ak je poskytovateľ služby subjektom skupiny, kód musí byť rovnaký, ako sa vykazuje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stĺpci n vzoru</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01.00 (ORG)</w:t>
            </w:r>
            <w:r w:rsidR="006B669F">
              <w:rPr>
                <w:rFonts w:ascii="Times New Roman" w:hAnsi="Times New Roman"/>
                <w:color w:val="000000" w:themeColor="text1"/>
                <w:spacing w:val="-2"/>
                <w:w w:val="95"/>
                <w:sz w:val="20"/>
              </w:rPr>
              <w:t>.</w:t>
            </w:r>
          </w:p>
          <w:p w:rsidR="00E02367" w:rsidRPr="006B669F"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Ak poskytovateľ služieb nie je subjektom skupiny, kód tohto subjektu je:</w:t>
            </w:r>
          </w:p>
          <w:p w:rsidR="00E02367" w:rsidRPr="00E140EE" w:rsidRDefault="00E02367" w:rsidP="00E140EE">
            <w:pPr>
              <w:pStyle w:val="List1"/>
              <w:rPr>
                <w:rFonts w:eastAsia="Cambria"/>
              </w:rPr>
            </w:pPr>
            <w:r w:rsidRPr="00E140EE">
              <w:t>v prípade inštitúcií 20-miestny alfanumerický kód LEI.</w:t>
            </w:r>
          </w:p>
          <w:p w:rsidR="000725C8" w:rsidRPr="00E140EE" w:rsidRDefault="00E02367" w:rsidP="00E140EE">
            <w:pPr>
              <w:pStyle w:val="List1"/>
              <w:rPr>
                <w:rFonts w:eastAsia="Cambria"/>
              </w:rPr>
            </w:pPr>
            <w:r w:rsidRPr="00E140EE">
              <w:t>v prípade iných subjektov je kódom 20-miestny alfanumerický kód LEI, alebo ak nie je</w:t>
            </w:r>
            <w:r w:rsidR="006B669F" w:rsidRPr="00E140EE">
              <w:t xml:space="preserve"> k </w:t>
            </w:r>
            <w:r w:rsidRPr="00E140EE">
              <w:t>dispozícii, kód</w:t>
            </w:r>
            <w:r w:rsidR="006B669F" w:rsidRPr="00E140EE">
              <w:t xml:space="preserve"> v </w:t>
            </w:r>
            <w:r w:rsidRPr="00E140EE">
              <w:t>rámci jednotnej kodifikácie uplatniteľnej</w:t>
            </w:r>
            <w:r w:rsidR="006B669F" w:rsidRPr="00E140EE">
              <w:t xml:space="preserve"> v </w:t>
            </w:r>
            <w:r w:rsidRPr="00E140EE">
              <w:t>Únii, alebo ak ani tento kód nie je</w:t>
            </w:r>
            <w:r w:rsidR="006B669F" w:rsidRPr="00E140EE">
              <w:t xml:space="preserve"> k </w:t>
            </w:r>
            <w:r w:rsidRPr="00E140EE">
              <w:t>dispozícii, vnútroštátny kód.</w:t>
            </w:r>
          </w:p>
          <w:p w:rsidR="000713A0" w:rsidRPr="006B669F"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Tento kód musí byť jedinečný</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musí sa používať konzistentne vo všetkých vzoroch.</w:t>
            </w:r>
          </w:p>
          <w:p w:rsidR="000713A0" w:rsidRPr="006B669F"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6B669F" w:rsidTr="00DB635F">
        <w:trPr>
          <w:trHeight w:val="587"/>
        </w:trPr>
        <w:tc>
          <w:tcPr>
            <w:tcW w:w="1191" w:type="dxa"/>
            <w:tcBorders>
              <w:top w:val="single" w:sz="4" w:space="0" w:color="1A171C"/>
              <w:left w:val="nil"/>
              <w:bottom w:val="single" w:sz="4" w:space="0" w:color="1A171C"/>
              <w:right w:val="single" w:sz="4" w:space="0" w:color="1A171C"/>
            </w:tcBorders>
            <w:vAlign w:val="center"/>
          </w:tcPr>
          <w:p w:rsidR="000713A0" w:rsidRPr="006B669F"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6B669F" w:rsidRPr="00E140EE" w:rsidRDefault="000713A0" w:rsidP="00FE54BA">
            <w:pPr>
              <w:pStyle w:val="TableParagraph"/>
              <w:spacing w:before="108"/>
              <w:ind w:left="85"/>
              <w:jc w:val="both"/>
              <w:rPr>
                <w:rFonts w:ascii="Times New Roman" w:hAnsi="Times New Roman"/>
                <w:b/>
                <w:color w:val="000000" w:themeColor="text1"/>
                <w:sz w:val="20"/>
              </w:rPr>
            </w:pPr>
            <w:r w:rsidRPr="00E140EE">
              <w:rPr>
                <w:rFonts w:ascii="Times New Roman" w:hAnsi="Times New Roman"/>
                <w:b/>
                <w:color w:val="000000" w:themeColor="text1"/>
                <w:sz w:val="20"/>
              </w:rPr>
              <w:t>Časť skupiny</w:t>
            </w:r>
          </w:p>
          <w:p w:rsidR="006C73FE" w:rsidRPr="006B669F"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„Áno“ – ak službu poskytuje subjekt skupiny („interný“)</w:t>
            </w:r>
          </w:p>
          <w:p w:rsidR="000713A0" w:rsidRPr="006B669F"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„Nie“ – ak službu poskytuje subjekt skupiny („externý“)</w:t>
            </w:r>
          </w:p>
        </w:tc>
      </w:tr>
      <w:tr w:rsidR="00D22EB0" w:rsidRPr="006B669F" w:rsidTr="00471773">
        <w:tc>
          <w:tcPr>
            <w:tcW w:w="1191" w:type="dxa"/>
            <w:tcBorders>
              <w:top w:val="single" w:sz="4" w:space="0" w:color="1A171C"/>
              <w:left w:val="nil"/>
              <w:bottom w:val="single" w:sz="4" w:space="0" w:color="1A171C"/>
              <w:right w:val="single" w:sz="4" w:space="0" w:color="1A171C"/>
            </w:tcBorders>
            <w:vAlign w:val="center"/>
          </w:tcPr>
          <w:p w:rsidR="000713A0" w:rsidRPr="006B669F"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0070 – 0080</w:t>
            </w:r>
          </w:p>
        </w:tc>
        <w:tc>
          <w:tcPr>
            <w:tcW w:w="7892" w:type="dxa"/>
            <w:tcBorders>
              <w:top w:val="single" w:sz="4" w:space="0" w:color="1A171C"/>
              <w:left w:val="single" w:sz="4" w:space="0" w:color="1A171C"/>
              <w:bottom w:val="single" w:sz="4" w:space="0" w:color="1A171C"/>
              <w:right w:val="nil"/>
            </w:tcBorders>
            <w:vAlign w:val="center"/>
          </w:tcPr>
          <w:p w:rsidR="000713A0" w:rsidRPr="00E140EE" w:rsidRDefault="006C73FE" w:rsidP="00FE54BA">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Zásadná funkcia</w:t>
            </w:r>
          </w:p>
          <w:p w:rsidR="000713A0" w:rsidRPr="006B669F"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Zásadná funkcia, ktorej výkon by</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prípade narušenia kritickej služby utrpel závažné problémy alebo by bol úplne znemožnený. Ide</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jednu</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funkcií, ktoré sa považujú za zásadné vo vzore</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07.01 (FUNC 1).</w:t>
            </w:r>
          </w:p>
        </w:tc>
      </w:tr>
      <w:tr w:rsidR="00D22EB0" w:rsidRPr="006B669F" w:rsidTr="00471773">
        <w:tc>
          <w:tcPr>
            <w:tcW w:w="1191" w:type="dxa"/>
            <w:tcBorders>
              <w:top w:val="single" w:sz="4" w:space="0" w:color="1A171C"/>
              <w:left w:val="nil"/>
              <w:bottom w:val="single" w:sz="4" w:space="0" w:color="1A171C"/>
              <w:right w:val="single" w:sz="4" w:space="0" w:color="1A171C"/>
            </w:tcBorders>
            <w:vAlign w:val="center"/>
          </w:tcPr>
          <w:p w:rsidR="006C73FE" w:rsidRPr="006B669F"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6C73FE" w:rsidRPr="00E140EE" w:rsidRDefault="006D5CCF" w:rsidP="00FE54BA">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Štát</w:t>
            </w:r>
          </w:p>
          <w:p w:rsidR="006C73FE" w:rsidRPr="00E140EE" w:rsidRDefault="000F3337" w:rsidP="006D5CCF">
            <w:pPr>
              <w:pStyle w:val="TableParagraph"/>
              <w:spacing w:before="108"/>
              <w:ind w:left="85"/>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Štát, pre ktorý je funkcia zásadná, vykazovaný</w:t>
            </w:r>
            <w:r w:rsidR="006B669F">
              <w:rPr>
                <w:rFonts w:ascii="Times New Roman" w:hAnsi="Times New Roman"/>
                <w:color w:val="000000" w:themeColor="text1"/>
                <w:spacing w:val="-2"/>
                <w:w w:val="95"/>
                <w:sz w:val="20"/>
              </w:rPr>
              <w:t xml:space="preserve"> v Z </w:t>
            </w:r>
            <w:r w:rsidRPr="006B669F">
              <w:rPr>
                <w:rFonts w:ascii="Times New Roman" w:hAnsi="Times New Roman"/>
                <w:color w:val="000000" w:themeColor="text1"/>
                <w:spacing w:val="-2"/>
                <w:w w:val="95"/>
                <w:sz w:val="20"/>
              </w:rPr>
              <w:t>07.01 (FUNC 1)</w:t>
            </w:r>
          </w:p>
        </w:tc>
      </w:tr>
      <w:tr w:rsidR="00D22EB0" w:rsidRPr="006B669F" w:rsidTr="00471773">
        <w:tc>
          <w:tcPr>
            <w:tcW w:w="1191" w:type="dxa"/>
            <w:tcBorders>
              <w:top w:val="single" w:sz="4" w:space="0" w:color="1A171C"/>
              <w:left w:val="nil"/>
              <w:bottom w:val="single" w:sz="4" w:space="0" w:color="1A171C"/>
              <w:right w:val="single" w:sz="4" w:space="0" w:color="1A171C"/>
            </w:tcBorders>
            <w:vAlign w:val="center"/>
          </w:tcPr>
          <w:p w:rsidR="006C73FE" w:rsidRPr="006B669F"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6C73FE" w:rsidRPr="00E140EE" w:rsidRDefault="006C73FE" w:rsidP="00FE54BA">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ID</w:t>
            </w:r>
          </w:p>
          <w:p w:rsidR="006C73FE" w:rsidRPr="00E140EE" w:rsidRDefault="006C73FE" w:rsidP="00FE54BA">
            <w:pPr>
              <w:pStyle w:val="TableParagraph"/>
              <w:spacing w:before="108"/>
              <w:ind w:left="85"/>
              <w:jc w:val="both"/>
              <w:rPr>
                <w:rFonts w:ascii="Times New Roman" w:hAnsi="Times New Roman" w:cs="Times New Roman"/>
                <w:b/>
                <w:bCs/>
                <w:color w:val="000000" w:themeColor="text1"/>
                <w:spacing w:val="-4"/>
                <w:sz w:val="20"/>
                <w:szCs w:val="20"/>
              </w:rPr>
            </w:pPr>
            <w:r w:rsidRPr="00E140EE">
              <w:rPr>
                <w:rFonts w:ascii="Times New Roman" w:hAnsi="Times New Roman"/>
                <w:color w:val="000000" w:themeColor="text1"/>
                <w:spacing w:val="-4"/>
                <w:w w:val="95"/>
                <w:sz w:val="20"/>
              </w:rPr>
              <w:t>Identifikátor zásadných funkcií podľa vymedzenia</w:t>
            </w:r>
            <w:r w:rsidR="006B669F" w:rsidRPr="00E140EE">
              <w:rPr>
                <w:rFonts w:ascii="Times New Roman" w:hAnsi="Times New Roman"/>
                <w:color w:val="000000" w:themeColor="text1"/>
                <w:spacing w:val="-4"/>
                <w:w w:val="95"/>
                <w:sz w:val="20"/>
              </w:rPr>
              <w:t xml:space="preserve"> v </w:t>
            </w:r>
            <w:r w:rsidRPr="00E140EE">
              <w:rPr>
                <w:rFonts w:ascii="Times New Roman" w:hAnsi="Times New Roman"/>
                <w:color w:val="000000" w:themeColor="text1"/>
                <w:spacing w:val="-4"/>
                <w:w w:val="95"/>
                <w:sz w:val="20"/>
              </w:rPr>
              <w:t>kapitole 2.7.1.4 vyššie</w:t>
            </w:r>
            <w:r w:rsidR="006B669F" w:rsidRPr="00E140EE">
              <w:rPr>
                <w:rFonts w:ascii="Times New Roman" w:hAnsi="Times New Roman"/>
                <w:color w:val="000000" w:themeColor="text1"/>
                <w:spacing w:val="-4"/>
                <w:w w:val="95"/>
                <w:sz w:val="20"/>
              </w:rPr>
              <w:t xml:space="preserve"> a </w:t>
            </w:r>
            <w:r w:rsidRPr="00E140EE">
              <w:rPr>
                <w:rFonts w:ascii="Times New Roman" w:hAnsi="Times New Roman"/>
                <w:color w:val="000000" w:themeColor="text1"/>
                <w:spacing w:val="-4"/>
                <w:w w:val="95"/>
                <w:sz w:val="20"/>
              </w:rPr>
              <w:t>vo vzore</w:t>
            </w:r>
            <w:r w:rsidR="006B669F" w:rsidRPr="00E140EE">
              <w:rPr>
                <w:rFonts w:ascii="Times New Roman" w:hAnsi="Times New Roman"/>
                <w:color w:val="000000" w:themeColor="text1"/>
                <w:spacing w:val="-4"/>
                <w:w w:val="95"/>
                <w:sz w:val="20"/>
              </w:rPr>
              <w:t xml:space="preserve"> Z </w:t>
            </w:r>
            <w:r w:rsidRPr="00E140EE">
              <w:rPr>
                <w:rFonts w:ascii="Times New Roman" w:hAnsi="Times New Roman"/>
                <w:color w:val="000000" w:themeColor="text1"/>
                <w:spacing w:val="-4"/>
                <w:w w:val="95"/>
                <w:sz w:val="20"/>
              </w:rPr>
              <w:t>07.01 (FUNC 1)</w:t>
            </w:r>
          </w:p>
        </w:tc>
      </w:tr>
      <w:tr w:rsidR="00D22EB0" w:rsidRPr="006B669F" w:rsidTr="00471773">
        <w:tc>
          <w:tcPr>
            <w:tcW w:w="1191" w:type="dxa"/>
            <w:tcBorders>
              <w:top w:val="single" w:sz="4" w:space="0" w:color="1A171C"/>
              <w:left w:val="nil"/>
              <w:bottom w:val="single" w:sz="4" w:space="0" w:color="1A171C"/>
              <w:right w:val="single" w:sz="4" w:space="0" w:color="1A171C"/>
            </w:tcBorders>
            <w:vAlign w:val="center"/>
          </w:tcPr>
          <w:p w:rsidR="000713A0" w:rsidRPr="006B669F"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6B669F" w:rsidRPr="00E140EE" w:rsidRDefault="000713A0" w:rsidP="00FE54BA">
            <w:pPr>
              <w:pStyle w:val="TableParagraph"/>
              <w:spacing w:before="108"/>
              <w:ind w:left="85"/>
              <w:jc w:val="both"/>
              <w:rPr>
                <w:rFonts w:ascii="Times New Roman" w:hAnsi="Times New Roman"/>
                <w:b/>
                <w:color w:val="000000" w:themeColor="text1"/>
                <w:sz w:val="20"/>
              </w:rPr>
            </w:pPr>
            <w:r w:rsidRPr="00E140EE">
              <w:rPr>
                <w:rFonts w:ascii="Times New Roman" w:hAnsi="Times New Roman"/>
                <w:b/>
                <w:color w:val="000000" w:themeColor="text1"/>
                <w:sz w:val="20"/>
              </w:rPr>
              <w:t>Odhadovaný čas zastupiteľnosti</w:t>
            </w:r>
          </w:p>
          <w:p w:rsidR="006C73FE" w:rsidRPr="006B669F"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Odhadovaný čas potrebný na zastúpenie poskytovateľa iným poskytovateľom,</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to</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porovnateľnom rozsahu, pokiaľ ide</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predmet, kvalitu</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náklady na prijaté služby.</w:t>
            </w:r>
          </w:p>
          <w:p w:rsidR="000713A0" w:rsidRPr="006B669F"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Uveďte jednu</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týchto hodnôt:</w:t>
            </w:r>
          </w:p>
          <w:p w:rsidR="000713A0" w:rsidRPr="00E140EE" w:rsidRDefault="008E0043" w:rsidP="00E140EE">
            <w:pPr>
              <w:pStyle w:val="List1"/>
              <w:rPr>
                <w:rFonts w:eastAsia="Cambria"/>
              </w:rPr>
            </w:pPr>
            <w:r w:rsidRPr="00E140EE">
              <w:t>„1 deň – 1 týždeň“, ak čas na nahradenie nie je dlhší ako týždeň;</w:t>
            </w:r>
          </w:p>
          <w:p w:rsidR="000713A0" w:rsidRPr="00E140EE" w:rsidRDefault="008E0043" w:rsidP="00E140EE">
            <w:pPr>
              <w:pStyle w:val="List1"/>
              <w:rPr>
                <w:rFonts w:eastAsia="Cambria"/>
              </w:rPr>
            </w:pPr>
            <w:r w:rsidRPr="00E140EE">
              <w:t>„1 týždeň – 1 mesiac“, ak čas na nahradenie je dlhší ako týždeň, ale nie je dlhší ako mesiac;</w:t>
            </w:r>
          </w:p>
          <w:p w:rsidR="000713A0" w:rsidRPr="00E140EE" w:rsidRDefault="008E0043" w:rsidP="00E140EE">
            <w:pPr>
              <w:pStyle w:val="List1"/>
              <w:rPr>
                <w:rFonts w:eastAsia="Cambria"/>
              </w:rPr>
            </w:pPr>
            <w:r w:rsidRPr="00E140EE">
              <w:t>„1 až 6 mesiacov“, ak čas na nahradenie je dlhší ako mesiac, ale nie je dlhší ako 6 mesiacov;</w:t>
            </w:r>
          </w:p>
          <w:p w:rsidR="000713A0" w:rsidRPr="00E140EE" w:rsidRDefault="008E0043" w:rsidP="00E140EE">
            <w:pPr>
              <w:pStyle w:val="List1"/>
              <w:rPr>
                <w:rFonts w:eastAsia="Cambria"/>
              </w:rPr>
            </w:pPr>
            <w:r w:rsidRPr="00E140EE">
              <w:t>„6 až 12 mesiacov“, ak čas na nahradenie je dlhší ako 6 mesiacov, ale nie je dlhší ako rok;</w:t>
            </w:r>
          </w:p>
          <w:p w:rsidR="008E0043" w:rsidRPr="00E140EE" w:rsidRDefault="008E0043" w:rsidP="00E140EE">
            <w:pPr>
              <w:pStyle w:val="List1"/>
              <w:rPr>
                <w:rFonts w:eastAsia="Cambria"/>
              </w:rPr>
            </w:pPr>
            <w:r w:rsidRPr="00E140EE">
              <w:t>„viac ako 1 rok“, ak čas na nahradenie je dlhší ako rok;</w:t>
            </w:r>
          </w:p>
          <w:p w:rsidR="008E0043" w:rsidRPr="006B669F" w:rsidRDefault="008E0043" w:rsidP="00E140EE">
            <w:pPr>
              <w:pStyle w:val="List1"/>
              <w:numPr>
                <w:ilvl w:val="0"/>
                <w:numId w:val="0"/>
              </w:numPr>
              <w:rPr>
                <w:rFonts w:eastAsia="Cambria"/>
              </w:rPr>
            </w:pPr>
            <w:r w:rsidRPr="006B669F">
              <w:t xml:space="preserve"> </w:t>
            </w:r>
          </w:p>
        </w:tc>
      </w:tr>
      <w:tr w:rsidR="00D22EB0" w:rsidRPr="006B669F" w:rsidTr="00471773">
        <w:tc>
          <w:tcPr>
            <w:tcW w:w="1191" w:type="dxa"/>
            <w:tcBorders>
              <w:top w:val="single" w:sz="4" w:space="0" w:color="1A171C"/>
              <w:left w:val="nil"/>
              <w:bottom w:val="single" w:sz="4" w:space="0" w:color="1A171C"/>
              <w:right w:val="single" w:sz="4" w:space="0" w:color="1A171C"/>
            </w:tcBorders>
            <w:vAlign w:val="center"/>
          </w:tcPr>
          <w:p w:rsidR="000713A0" w:rsidRPr="006B669F"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0713A0" w:rsidRPr="00E140EE"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Odhad času potrebného na prístup</w:t>
            </w:r>
            <w:r w:rsidR="006B669F" w:rsidRPr="00E140EE">
              <w:rPr>
                <w:rFonts w:ascii="Times New Roman" w:hAnsi="Times New Roman"/>
                <w:b/>
                <w:color w:val="000000" w:themeColor="text1"/>
                <w:sz w:val="20"/>
              </w:rPr>
              <w:t xml:space="preserve"> k </w:t>
            </w:r>
            <w:r w:rsidRPr="00E140EE">
              <w:rPr>
                <w:rFonts w:ascii="Times New Roman" w:hAnsi="Times New Roman"/>
                <w:b/>
                <w:color w:val="000000" w:themeColor="text1"/>
                <w:sz w:val="20"/>
              </w:rPr>
              <w:t>zmluvám</w:t>
            </w:r>
          </w:p>
          <w:p w:rsidR="000713A0" w:rsidRPr="006B669F"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Odhad času potrebného na získanie nasledujúcich informácií</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zmluve upravujúcej službu na základe žiadosti orgánu pre riešenie krízových situácií:</w:t>
            </w:r>
          </w:p>
          <w:p w:rsidR="000713A0" w:rsidRPr="00E140EE" w:rsidRDefault="000713A0" w:rsidP="00E140EE">
            <w:pPr>
              <w:pStyle w:val="List1"/>
              <w:rPr>
                <w:rFonts w:eastAsia="Cambria"/>
              </w:rPr>
            </w:pPr>
            <w:r w:rsidRPr="00E140EE">
              <w:t>trvanie zmluvy</w:t>
            </w:r>
          </w:p>
          <w:p w:rsidR="000713A0" w:rsidRPr="00E140EE" w:rsidRDefault="000713A0" w:rsidP="00E140EE">
            <w:pPr>
              <w:pStyle w:val="List1"/>
              <w:rPr>
                <w:rFonts w:eastAsia="Cambria"/>
              </w:rPr>
            </w:pPr>
            <w:r w:rsidRPr="00E140EE">
              <w:t>zmluvné strany (objednávateľ</w:t>
            </w:r>
            <w:r w:rsidR="006B669F" w:rsidRPr="00E140EE">
              <w:t xml:space="preserve"> a </w:t>
            </w:r>
            <w:r w:rsidRPr="00E140EE">
              <w:t>dodávateľ, kontaktné osoby)</w:t>
            </w:r>
            <w:r w:rsidR="006B669F" w:rsidRPr="00E140EE">
              <w:t xml:space="preserve"> a </w:t>
            </w:r>
            <w:r w:rsidRPr="00E140EE">
              <w:t>ich jurisdikcia</w:t>
            </w:r>
          </w:p>
          <w:p w:rsidR="000713A0" w:rsidRPr="00E140EE" w:rsidRDefault="000713A0" w:rsidP="00E140EE">
            <w:pPr>
              <w:pStyle w:val="List1"/>
              <w:rPr>
                <w:rFonts w:eastAsia="Cambria"/>
              </w:rPr>
            </w:pPr>
            <w:r w:rsidRPr="00E140EE">
              <w:t>druh služby (t. j. stručný opis povahy transakcie medzi stranami vrátane cien)</w:t>
            </w:r>
          </w:p>
          <w:p w:rsidR="000713A0" w:rsidRPr="00E140EE" w:rsidRDefault="000713A0" w:rsidP="00E140EE">
            <w:pPr>
              <w:pStyle w:val="List1"/>
              <w:rPr>
                <w:rFonts w:eastAsia="Cambria"/>
              </w:rPr>
            </w:pPr>
            <w:r w:rsidRPr="00E140EE">
              <w:t>či tú istú službu môže ponúkať ktorýkoľvek iný interný alebo externý poskytovateľ (a identifikovať potenciálnych kandidátov)</w:t>
            </w:r>
          </w:p>
          <w:p w:rsidR="000713A0" w:rsidRPr="00E140EE" w:rsidRDefault="000713A0" w:rsidP="00E140EE">
            <w:pPr>
              <w:pStyle w:val="List1"/>
              <w:rPr>
                <w:rFonts w:eastAsia="Cambria"/>
              </w:rPr>
            </w:pPr>
            <w:r w:rsidRPr="00E140EE">
              <w:t>jurisdikcia zmluvy</w:t>
            </w:r>
          </w:p>
          <w:p w:rsidR="000713A0" w:rsidRPr="00E140EE" w:rsidRDefault="000713A0" w:rsidP="00E140EE">
            <w:pPr>
              <w:pStyle w:val="List1"/>
              <w:rPr>
                <w:rFonts w:eastAsia="Cambria"/>
              </w:rPr>
            </w:pPr>
            <w:r w:rsidRPr="00E140EE">
              <w:lastRenderedPageBreak/>
              <w:t>útvar zodpovedný za vybavovanie hlavných operácií, na ktoré sa vzťahuje zmluva</w:t>
            </w:r>
          </w:p>
          <w:p w:rsidR="000713A0" w:rsidRPr="00E140EE" w:rsidRDefault="000713A0" w:rsidP="00E140EE">
            <w:pPr>
              <w:pStyle w:val="List1"/>
              <w:rPr>
                <w:rFonts w:eastAsia="Cambria"/>
              </w:rPr>
            </w:pPr>
            <w:r w:rsidRPr="00E140EE">
              <w:t>hlavné sankcie uvedené</w:t>
            </w:r>
            <w:r w:rsidR="006B669F" w:rsidRPr="00E140EE">
              <w:t xml:space="preserve"> v </w:t>
            </w:r>
            <w:r w:rsidRPr="00E140EE">
              <w:t>zmluve</w:t>
            </w:r>
            <w:r w:rsidR="006B669F" w:rsidRPr="00E140EE">
              <w:t xml:space="preserve"> v </w:t>
            </w:r>
            <w:r w:rsidRPr="00E140EE">
              <w:t>prípade pozastavenia alebo omeškania platieb</w:t>
            </w:r>
          </w:p>
          <w:p w:rsidR="000713A0" w:rsidRPr="00E140EE" w:rsidRDefault="000713A0" w:rsidP="00E140EE">
            <w:pPr>
              <w:pStyle w:val="List1"/>
              <w:rPr>
                <w:rFonts w:eastAsia="Cambria"/>
              </w:rPr>
            </w:pPr>
            <w:r w:rsidRPr="00E140EE">
              <w:t>dôvod predčasného odstúpenia od zmluvy</w:t>
            </w:r>
            <w:r w:rsidR="006B669F" w:rsidRPr="00E140EE">
              <w:t xml:space="preserve"> a </w:t>
            </w:r>
            <w:r w:rsidRPr="00E140EE">
              <w:t>výpovedná lehota</w:t>
            </w:r>
          </w:p>
          <w:p w:rsidR="000713A0" w:rsidRPr="00E140EE" w:rsidRDefault="000713A0" w:rsidP="00E140EE">
            <w:pPr>
              <w:pStyle w:val="List1"/>
              <w:rPr>
                <w:rFonts w:eastAsia="Cambria"/>
              </w:rPr>
            </w:pPr>
            <w:r w:rsidRPr="00E140EE">
              <w:t>prevádzková podpora po odstúpení od zmluvy</w:t>
            </w:r>
          </w:p>
          <w:p w:rsidR="000713A0" w:rsidRPr="00E140EE" w:rsidRDefault="000713A0" w:rsidP="00E140EE">
            <w:pPr>
              <w:pStyle w:val="List1"/>
              <w:rPr>
                <w:rFonts w:eastAsia="Cambria"/>
              </w:rPr>
            </w:pPr>
            <w:r w:rsidRPr="00E140EE">
              <w:t>závažnosť pre jednotlivé zásadné funkcie</w:t>
            </w:r>
            <w:r w:rsidR="006B669F" w:rsidRPr="00E140EE">
              <w:t xml:space="preserve"> a </w:t>
            </w:r>
            <w:r w:rsidRPr="00E140EE">
              <w:t>oblasti obchodnej činnosti</w:t>
            </w:r>
          </w:p>
          <w:p w:rsidR="000713A0" w:rsidRPr="00E140EE"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E140EE">
              <w:rPr>
                <w:rFonts w:ascii="Times New Roman" w:hAnsi="Times New Roman" w:cs="Times New Roman"/>
                <w:color w:val="000000" w:themeColor="text1"/>
                <w:spacing w:val="-2"/>
                <w:w w:val="95"/>
                <w:sz w:val="20"/>
                <w:szCs w:val="20"/>
              </w:rPr>
              <w:t>Uveďte jednu</w:t>
            </w:r>
            <w:r w:rsidR="006B669F" w:rsidRPr="00E140EE">
              <w:rPr>
                <w:rFonts w:ascii="Times New Roman" w:hAnsi="Times New Roman" w:cs="Times New Roman"/>
                <w:color w:val="000000" w:themeColor="text1"/>
                <w:spacing w:val="-2"/>
                <w:w w:val="95"/>
                <w:sz w:val="20"/>
                <w:szCs w:val="20"/>
              </w:rPr>
              <w:t xml:space="preserve"> z </w:t>
            </w:r>
            <w:r w:rsidRPr="00E140EE">
              <w:rPr>
                <w:rFonts w:ascii="Times New Roman" w:hAnsi="Times New Roman" w:cs="Times New Roman"/>
                <w:color w:val="000000" w:themeColor="text1"/>
                <w:spacing w:val="-2"/>
                <w:w w:val="95"/>
                <w:sz w:val="20"/>
                <w:szCs w:val="20"/>
              </w:rPr>
              <w:t>týchto hodnôt:</w:t>
            </w:r>
          </w:p>
          <w:p w:rsidR="000713A0" w:rsidRPr="00E140EE" w:rsidRDefault="000713A0" w:rsidP="00E140EE">
            <w:pPr>
              <w:pStyle w:val="List1"/>
              <w:rPr>
                <w:rFonts w:eastAsia="Cambria"/>
              </w:rPr>
            </w:pPr>
            <w:r w:rsidRPr="00E140EE">
              <w:t>1 deň</w:t>
            </w:r>
          </w:p>
          <w:p w:rsidR="000713A0" w:rsidRPr="00E140EE" w:rsidRDefault="000713A0" w:rsidP="00E140EE">
            <w:pPr>
              <w:pStyle w:val="List1"/>
              <w:rPr>
                <w:rFonts w:eastAsia="Cambria"/>
              </w:rPr>
            </w:pPr>
            <w:r w:rsidRPr="00E140EE">
              <w:t>1 deň – 1 týždeň</w:t>
            </w:r>
          </w:p>
          <w:p w:rsidR="000713A0" w:rsidRPr="00E140EE" w:rsidRDefault="000713A0" w:rsidP="00E140EE">
            <w:pPr>
              <w:pStyle w:val="List1"/>
              <w:rPr>
                <w:rFonts w:eastAsia="Cambria"/>
              </w:rPr>
            </w:pPr>
            <w:r w:rsidRPr="00E140EE">
              <w:t>viac než 1 týždeň</w:t>
            </w:r>
          </w:p>
          <w:p w:rsidR="000713A0" w:rsidRPr="006B669F" w:rsidRDefault="000713A0" w:rsidP="00E140EE">
            <w:pPr>
              <w:pStyle w:val="List1"/>
              <w:rPr>
                <w:rFonts w:eastAsia="Cambria"/>
              </w:rPr>
            </w:pPr>
            <w:r w:rsidRPr="00E140EE">
              <w:t>službu neupravuje žiadna zmluva</w:t>
            </w:r>
          </w:p>
        </w:tc>
      </w:tr>
      <w:tr w:rsidR="00D22EB0" w:rsidRPr="006B669F" w:rsidTr="00471773">
        <w:tc>
          <w:tcPr>
            <w:tcW w:w="1191" w:type="dxa"/>
            <w:tcBorders>
              <w:top w:val="single" w:sz="4" w:space="0" w:color="1A171C"/>
              <w:left w:val="nil"/>
              <w:bottom w:val="single" w:sz="4" w:space="0" w:color="1A171C"/>
              <w:right w:val="single" w:sz="4" w:space="0" w:color="1A171C"/>
            </w:tcBorders>
            <w:vAlign w:val="center"/>
          </w:tcPr>
          <w:p w:rsidR="00DE58BD" w:rsidRPr="006B669F"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0110</w:t>
            </w:r>
          </w:p>
        </w:tc>
        <w:tc>
          <w:tcPr>
            <w:tcW w:w="7892" w:type="dxa"/>
            <w:tcBorders>
              <w:top w:val="single" w:sz="4" w:space="0" w:color="1A171C"/>
              <w:left w:val="single" w:sz="4" w:space="0" w:color="1A171C"/>
              <w:bottom w:val="single" w:sz="4" w:space="0" w:color="1A171C"/>
              <w:right w:val="nil"/>
            </w:tcBorders>
            <w:vAlign w:val="center"/>
          </w:tcPr>
          <w:p w:rsidR="00DE58BD" w:rsidRPr="00E140EE" w:rsidRDefault="00DE58BD" w:rsidP="00FE54BA">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Rozhodné právo</w:t>
            </w:r>
          </w:p>
          <w:p w:rsidR="00DE58BD" w:rsidRPr="006B669F" w:rsidRDefault="00B97C2E">
            <w:pPr>
              <w:pStyle w:val="TableParagraph"/>
              <w:spacing w:before="108"/>
              <w:ind w:left="85"/>
              <w:jc w:val="both"/>
              <w:rPr>
                <w:rFonts w:ascii="Times New Roman" w:hAnsi="Times New Roman" w:cs="Times New Roman"/>
                <w:bCs/>
                <w:color w:val="000000" w:themeColor="text1"/>
                <w:sz w:val="20"/>
                <w:szCs w:val="20"/>
              </w:rPr>
            </w:pPr>
            <w:r w:rsidRPr="006B669F">
              <w:rPr>
                <w:rFonts w:ascii="Times New Roman" w:hAnsi="Times New Roman"/>
                <w:color w:val="000000" w:themeColor="text1"/>
                <w:sz w:val="20"/>
              </w:rPr>
              <w:t>Kód ISO štátu, ktorého právom sa riadi zmluva.</w:t>
            </w:r>
          </w:p>
        </w:tc>
      </w:tr>
      <w:tr w:rsidR="000713A0" w:rsidRPr="006B669F" w:rsidTr="00971A9D">
        <w:trPr>
          <w:trHeight w:val="2091"/>
        </w:trPr>
        <w:tc>
          <w:tcPr>
            <w:tcW w:w="1191" w:type="dxa"/>
            <w:tcBorders>
              <w:top w:val="single" w:sz="4" w:space="0" w:color="1A171C"/>
              <w:left w:val="nil"/>
              <w:bottom w:val="single" w:sz="4" w:space="0" w:color="1A171C"/>
              <w:right w:val="single" w:sz="4" w:space="0" w:color="1A171C"/>
            </w:tcBorders>
            <w:vAlign w:val="center"/>
          </w:tcPr>
          <w:p w:rsidR="000713A0" w:rsidRPr="006B669F"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6B669F" w:rsidRPr="00E140EE" w:rsidRDefault="000713A0" w:rsidP="00FE54BA">
            <w:pPr>
              <w:pStyle w:val="TableParagraph"/>
              <w:spacing w:before="108"/>
              <w:ind w:left="85"/>
              <w:jc w:val="both"/>
              <w:rPr>
                <w:rFonts w:ascii="Times New Roman" w:hAnsi="Times New Roman"/>
                <w:b/>
                <w:color w:val="000000" w:themeColor="text1"/>
                <w:sz w:val="20"/>
              </w:rPr>
            </w:pPr>
            <w:r w:rsidRPr="00E140EE">
              <w:rPr>
                <w:rFonts w:ascii="Times New Roman" w:hAnsi="Times New Roman"/>
                <w:b/>
                <w:color w:val="000000" w:themeColor="text1"/>
                <w:sz w:val="20"/>
              </w:rPr>
              <w:t>Zmluva neovplyvniteľná riešením krízovej situácie</w:t>
            </w:r>
          </w:p>
          <w:p w:rsidR="006B669F" w:rsidRDefault="00AF19DE" w:rsidP="000713A0">
            <w:pPr>
              <w:pStyle w:val="TableParagraph"/>
              <w:spacing w:before="108"/>
              <w:ind w:left="85"/>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Odzrkadľuje posúdenie, či by zmluva mohla byť zachovaná</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prevedená aj</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prípade riešenia krízovej situácie</w:t>
            </w:r>
            <w:r w:rsidR="006B669F">
              <w:rPr>
                <w:rFonts w:ascii="Times New Roman" w:hAnsi="Times New Roman"/>
                <w:color w:val="000000" w:themeColor="text1"/>
                <w:spacing w:val="-2"/>
                <w:w w:val="95"/>
                <w:sz w:val="20"/>
              </w:rPr>
              <w:t>.</w:t>
            </w:r>
          </w:p>
          <w:p w:rsidR="000713A0" w:rsidRPr="006B669F"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Pri posúdení sa okrem iného zohľadňujú tieto faktory:</w:t>
            </w:r>
          </w:p>
          <w:p w:rsidR="000713A0" w:rsidRPr="00E140EE" w:rsidRDefault="009E310F" w:rsidP="00E140EE">
            <w:pPr>
              <w:pStyle w:val="List1"/>
              <w:rPr>
                <w:rFonts w:eastAsia="Cambria"/>
              </w:rPr>
            </w:pPr>
            <w:r w:rsidRPr="00E140EE">
              <w:t>každé ustanovenie, na základe ktorého by bola protistrana oprávnená odstúpiť od zmluvy výhradne</w:t>
            </w:r>
            <w:r w:rsidR="006B669F" w:rsidRPr="00E140EE">
              <w:t xml:space="preserve"> v </w:t>
            </w:r>
            <w:r w:rsidRPr="00E140EE">
              <w:t>dôsledku riešenia krízových situácií, opatrení včasnej intervencie alebo scenárov krížového nezaplatenia (cross-default) aj napriek tomu, že si závažné povinnosti naďalej plní;</w:t>
            </w:r>
          </w:p>
          <w:p w:rsidR="000713A0" w:rsidRPr="00E140EE" w:rsidRDefault="009E310F" w:rsidP="00E140EE">
            <w:pPr>
              <w:pStyle w:val="List1"/>
              <w:rPr>
                <w:rFonts w:eastAsia="Cambria"/>
              </w:rPr>
            </w:pPr>
            <w:r w:rsidRPr="00E140EE">
              <w:t>každé ustanovenie, na základe ktorého by bola protistrana oprávnená zmeniť podmienky služby alebo stanovenie ceny výhradne</w:t>
            </w:r>
            <w:r w:rsidR="006B669F" w:rsidRPr="00E140EE">
              <w:t xml:space="preserve"> v </w:t>
            </w:r>
            <w:r w:rsidRPr="00E140EE">
              <w:t>dôsledku riešenia krízovej situácie, opatrení včasnej intervencie alebo scenárov krížového nezaplatenia (cross-default) aj napriek tomu, že si závažné povinnosti naďalej plní;</w:t>
            </w:r>
          </w:p>
          <w:p w:rsidR="000713A0" w:rsidRPr="00E140EE" w:rsidRDefault="00796C03" w:rsidP="00E140EE">
            <w:pPr>
              <w:pStyle w:val="List1"/>
              <w:rPr>
                <w:rFonts w:eastAsia="Cambria"/>
              </w:rPr>
            </w:pPr>
            <w:r w:rsidRPr="00E140EE">
              <w:t>uznanie práv orgánov pre riešenie krízovej situácie pozastaviť plnenie uvedené</w:t>
            </w:r>
            <w:r w:rsidR="006B669F" w:rsidRPr="00E140EE">
              <w:t xml:space="preserve"> v </w:t>
            </w:r>
            <w:r w:rsidRPr="00E140EE">
              <w:t>zmluve.</w:t>
            </w:r>
          </w:p>
          <w:p w:rsidR="00AF19DE" w:rsidRPr="006B669F"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Uveďte jednu</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týchto hodnôt:</w:t>
            </w:r>
          </w:p>
          <w:p w:rsidR="000713A0" w:rsidRPr="006B669F"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„Áno“ – ak je zmluva posúdená ako neovplyvniteľná riešením krízovej situácie</w:t>
            </w:r>
          </w:p>
          <w:p w:rsidR="000713A0" w:rsidRPr="006B669F"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„Nie“ – ak zmluva nie je posúdená ako neovplyvniteľná riešením krízovej situácie</w:t>
            </w:r>
          </w:p>
          <w:p w:rsidR="000713A0" w:rsidRPr="006B669F"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„Neposúdené“ – ak sa posúdenie nevykonalo</w:t>
            </w:r>
          </w:p>
        </w:tc>
      </w:tr>
    </w:tbl>
    <w:p w:rsidR="00276FFB" w:rsidRPr="00310799" w:rsidRDefault="00276FFB" w:rsidP="00276FFB">
      <w:pPr>
        <w:rPr>
          <w:rFonts w:ascii="Times New Roman" w:hAnsi="Times New Roman" w:cs="Times New Roman"/>
          <w:b/>
          <w:color w:val="000000" w:themeColor="text1"/>
          <w:sz w:val="20"/>
          <w:szCs w:val="20"/>
          <w:u w:val="single"/>
        </w:rPr>
      </w:pPr>
    </w:p>
    <w:p w:rsidR="00E13CE3" w:rsidRPr="00310799" w:rsidRDefault="0066458F" w:rsidP="008854E4">
      <w:pPr>
        <w:pStyle w:val="Instructionsberschrift2"/>
        <w:numPr>
          <w:ilvl w:val="1"/>
          <w:numId w:val="7"/>
        </w:numPr>
        <w:ind w:left="357" w:hanging="357"/>
        <w:rPr>
          <w:rFonts w:ascii="Times New Roman" w:hAnsi="Times New Roman" w:cs="Times New Roman"/>
          <w:szCs w:val="20"/>
        </w:rPr>
      </w:pPr>
      <w:bookmarkStart w:id="40" w:name="_Toc492542329"/>
      <w:bookmarkStart w:id="41" w:name="_Toc509909047"/>
      <w:bookmarkStart w:id="42" w:name="_Toc525209037"/>
      <w:r w:rsidRPr="00310799">
        <w:rPr>
          <w:rFonts w:ascii="Times New Roman" w:hAnsi="Times New Roman"/>
          <w:color w:val="000000" w:themeColor="text1"/>
        </w:rPr>
        <w:t>Z 09.00 – Služby infraštruktúry finančného trhu – Poskytovatelia</w:t>
      </w:r>
      <w:r w:rsidR="006B669F" w:rsidRPr="00310799">
        <w:rPr>
          <w:rFonts w:ascii="Times New Roman" w:hAnsi="Times New Roman"/>
          <w:color w:val="000000" w:themeColor="text1"/>
        </w:rPr>
        <w:t xml:space="preserve"> a </w:t>
      </w:r>
      <w:r w:rsidRPr="00310799">
        <w:rPr>
          <w:rFonts w:ascii="Times New Roman" w:hAnsi="Times New Roman"/>
          <w:color w:val="000000" w:themeColor="text1"/>
        </w:rPr>
        <w:t>používatelia – Priradenie</w:t>
      </w:r>
      <w:r w:rsidR="006B669F" w:rsidRPr="00310799">
        <w:rPr>
          <w:rFonts w:ascii="Times New Roman" w:hAnsi="Times New Roman"/>
          <w:color w:val="000000" w:themeColor="text1"/>
        </w:rPr>
        <w:t xml:space="preserve"> k </w:t>
      </w:r>
      <w:r w:rsidRPr="00310799">
        <w:rPr>
          <w:rFonts w:ascii="Times New Roman" w:hAnsi="Times New Roman"/>
          <w:color w:val="000000" w:themeColor="text1"/>
        </w:rPr>
        <w:t>zásadným funkciám</w:t>
      </w:r>
      <w:bookmarkEnd w:id="40"/>
      <w:bookmarkEnd w:id="41"/>
      <w:bookmarkEnd w:id="42"/>
    </w:p>
    <w:p w:rsidR="00AA4026" w:rsidRPr="00310799" w:rsidRDefault="00AA4026" w:rsidP="006028B1">
      <w:pPr>
        <w:pStyle w:val="Numberedtitlelevel3"/>
        <w:rPr>
          <w:rFonts w:ascii="Times New Roman" w:hAnsi="Times New Roman" w:cs="Times New Roman"/>
          <w:b w:val="0"/>
          <w:color w:val="000000" w:themeColor="text1"/>
          <w:sz w:val="20"/>
          <w:szCs w:val="20"/>
          <w:u w:val="single"/>
        </w:rPr>
      </w:pPr>
      <w:r w:rsidRPr="00310799">
        <w:rPr>
          <w:rFonts w:ascii="Times New Roman" w:hAnsi="Times New Roman"/>
          <w:b w:val="0"/>
          <w:color w:val="000000" w:themeColor="text1"/>
          <w:sz w:val="20"/>
          <w:u w:val="single"/>
        </w:rPr>
        <w:t>Všeobecné poznámky</w:t>
      </w:r>
    </w:p>
    <w:p w:rsidR="008F717A" w:rsidRPr="00E140EE" w:rsidRDefault="008F717A" w:rsidP="004F233C">
      <w:pPr>
        <w:pStyle w:val="numberedparagraph"/>
      </w:pPr>
      <w:r w:rsidRPr="00E140EE">
        <w:t>V tomto vzore sa identifikujú činnosti, funkcie alebo služby týkajúce sa zúčtovania, platieb, vyrovnania transakcií</w:t>
      </w:r>
      <w:r w:rsidR="006B669F" w:rsidRPr="00E140EE">
        <w:t xml:space="preserve"> s </w:t>
      </w:r>
      <w:r w:rsidRPr="00E140EE">
        <w:t>cennými papiermi</w:t>
      </w:r>
      <w:r w:rsidR="006B669F" w:rsidRPr="00E140EE">
        <w:t xml:space="preserve"> a </w:t>
      </w:r>
      <w:r w:rsidRPr="00E140EE">
        <w:t>úschovy, ktorých narušenie môže predstavovať vážnu prekážku pre výkon jednej alebo viacerých zásadných funkcií alebo tieto funkcie úplne znemožniť.</w:t>
      </w:r>
    </w:p>
    <w:p w:rsidR="00120519" w:rsidRPr="00E140EE" w:rsidRDefault="00FE54EF" w:rsidP="004F233C">
      <w:pPr>
        <w:pStyle w:val="numberedparagraph"/>
      </w:pPr>
      <w:r w:rsidRPr="00E140EE">
        <w:t>Tento vzor sa vykazuje raz za celú inštitúciu alebo skupinu.</w:t>
      </w:r>
    </w:p>
    <w:p w:rsidR="000F273B" w:rsidRPr="00E140EE" w:rsidRDefault="00AA6491" w:rsidP="004F233C">
      <w:pPr>
        <w:pStyle w:val="numberedparagraph"/>
      </w:pPr>
      <w:r w:rsidRPr="00E140EE">
        <w:t>Identifikujú sa len tie infraštruktúry finančného trhu, ktorých narušenie by predstavovalo vážnu prekážku pre výkon zásadnej funkcie alebo by túto funkciu úplne znemožnilo.</w:t>
      </w:r>
    </w:p>
    <w:p w:rsidR="00E13CE3" w:rsidRPr="00310799" w:rsidRDefault="00772F88" w:rsidP="00310799">
      <w:pPr>
        <w:pStyle w:val="Numberedtitlelevel3"/>
        <w:keepNext/>
        <w:keepLines/>
        <w:ind w:hanging="431"/>
        <w:rPr>
          <w:rFonts w:ascii="Times New Roman" w:hAnsi="Times New Roman" w:cs="Times New Roman"/>
          <w:b w:val="0"/>
          <w:color w:val="000000" w:themeColor="text1"/>
          <w:sz w:val="20"/>
          <w:szCs w:val="20"/>
          <w:u w:val="single"/>
        </w:rPr>
      </w:pPr>
      <w:r w:rsidRPr="00310799">
        <w:rPr>
          <w:rFonts w:ascii="Times New Roman" w:hAnsi="Times New Roman"/>
          <w:b w:val="0"/>
          <w:color w:val="000000" w:themeColor="text1"/>
          <w:sz w:val="20"/>
          <w:u w:val="single"/>
        </w:rPr>
        <w:t>Pokyny týkajúce sa konkrétnych pozícií</w:t>
      </w:r>
    </w:p>
    <w:p w:rsidR="00772F88" w:rsidRPr="006B669F"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6B669F" w:rsidTr="003D7A16">
        <w:tc>
          <w:tcPr>
            <w:tcW w:w="1191" w:type="dxa"/>
            <w:tcBorders>
              <w:top w:val="single" w:sz="4" w:space="0" w:color="1A171C"/>
              <w:left w:val="nil"/>
              <w:bottom w:val="single" w:sz="4" w:space="0" w:color="1A171C"/>
              <w:right w:val="single" w:sz="4" w:space="0" w:color="1A171C"/>
            </w:tcBorders>
            <w:shd w:val="clear" w:color="auto" w:fill="E4E5E5"/>
          </w:tcPr>
          <w:p w:rsidR="00772F88" w:rsidRPr="006B669F"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Stĺpce</w:t>
            </w:r>
          </w:p>
        </w:tc>
        <w:tc>
          <w:tcPr>
            <w:tcW w:w="7892" w:type="dxa"/>
            <w:tcBorders>
              <w:top w:val="single" w:sz="4" w:space="0" w:color="1A171C"/>
              <w:left w:val="single" w:sz="4" w:space="0" w:color="1A171C"/>
              <w:bottom w:val="single" w:sz="4" w:space="0" w:color="1A171C"/>
              <w:right w:val="nil"/>
            </w:tcBorders>
            <w:shd w:val="clear" w:color="auto" w:fill="E4E5E5"/>
          </w:tcPr>
          <w:p w:rsidR="00772F88" w:rsidRPr="006B669F"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Pokyny</w:t>
            </w:r>
          </w:p>
        </w:tc>
      </w:tr>
      <w:tr w:rsidR="00D22EB0" w:rsidRPr="006B669F" w:rsidTr="003D7A16">
        <w:tc>
          <w:tcPr>
            <w:tcW w:w="1191" w:type="dxa"/>
            <w:tcBorders>
              <w:top w:val="single" w:sz="4" w:space="0" w:color="1A171C"/>
              <w:left w:val="nil"/>
              <w:bottom w:val="single" w:sz="4" w:space="0" w:color="1A171C"/>
              <w:right w:val="single" w:sz="4" w:space="0" w:color="1A171C"/>
            </w:tcBorders>
            <w:vAlign w:val="center"/>
          </w:tcPr>
          <w:p w:rsidR="00080110" w:rsidRPr="006B669F"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0010 – 0020</w:t>
            </w:r>
          </w:p>
        </w:tc>
        <w:tc>
          <w:tcPr>
            <w:tcW w:w="7892" w:type="dxa"/>
            <w:tcBorders>
              <w:top w:val="single" w:sz="4" w:space="0" w:color="1A171C"/>
              <w:left w:val="single" w:sz="4" w:space="0" w:color="1A171C"/>
              <w:bottom w:val="single" w:sz="4" w:space="0" w:color="1A171C"/>
              <w:right w:val="nil"/>
            </w:tcBorders>
            <w:vAlign w:val="center"/>
          </w:tcPr>
          <w:p w:rsidR="00080110" w:rsidRPr="00E140EE" w:rsidRDefault="00080110" w:rsidP="00772F88">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Používateľ</w:t>
            </w:r>
          </w:p>
          <w:p w:rsidR="00080110" w:rsidRPr="006B669F" w:rsidRDefault="00080110" w:rsidP="00080110">
            <w:pPr>
              <w:pStyle w:val="TableParagraph"/>
              <w:spacing w:before="108"/>
              <w:ind w:left="85"/>
              <w:jc w:val="both"/>
              <w:rPr>
                <w:rFonts w:ascii="Times New Roman" w:hAnsi="Times New Roman" w:cs="Times New Roman"/>
                <w:bCs/>
                <w:color w:val="000000" w:themeColor="text1"/>
                <w:sz w:val="20"/>
                <w:szCs w:val="20"/>
              </w:rPr>
            </w:pPr>
            <w:r w:rsidRPr="006B669F">
              <w:rPr>
                <w:rFonts w:ascii="Times New Roman" w:hAnsi="Times New Roman"/>
                <w:color w:val="000000" w:themeColor="text1"/>
                <w:sz w:val="20"/>
              </w:rPr>
              <w:t xml:space="preserve">Subjekt skupiny využívajúci služby týkajúce sa platieb, úschovy, vyrovnania, zúčtovania alebo </w:t>
            </w:r>
            <w:r w:rsidRPr="006B669F">
              <w:rPr>
                <w:rFonts w:ascii="Times New Roman" w:hAnsi="Times New Roman"/>
                <w:color w:val="000000" w:themeColor="text1"/>
                <w:sz w:val="20"/>
              </w:rPr>
              <w:lastRenderedPageBreak/>
              <w:t>archívu obchodných údajov vykazovaný</w:t>
            </w:r>
            <w:r w:rsidR="006B669F">
              <w:rPr>
                <w:rFonts w:ascii="Times New Roman" w:hAnsi="Times New Roman"/>
                <w:color w:val="000000" w:themeColor="text1"/>
                <w:sz w:val="20"/>
              </w:rPr>
              <w:t xml:space="preserve"> v Z </w:t>
            </w:r>
            <w:r w:rsidRPr="006B669F">
              <w:rPr>
                <w:rFonts w:ascii="Times New Roman" w:hAnsi="Times New Roman"/>
                <w:color w:val="000000" w:themeColor="text1"/>
                <w:sz w:val="20"/>
              </w:rPr>
              <w:t>01.00 – Organizačná štruktúra (ORG).</w:t>
            </w:r>
          </w:p>
        </w:tc>
      </w:tr>
      <w:tr w:rsidR="00D22EB0" w:rsidRPr="006B669F" w:rsidTr="003D7A16">
        <w:tc>
          <w:tcPr>
            <w:tcW w:w="1191" w:type="dxa"/>
            <w:tcBorders>
              <w:top w:val="single" w:sz="4" w:space="0" w:color="1A171C"/>
              <w:left w:val="nil"/>
              <w:bottom w:val="single" w:sz="4" w:space="0" w:color="1A171C"/>
              <w:right w:val="single" w:sz="4" w:space="0" w:color="1A171C"/>
            </w:tcBorders>
            <w:vAlign w:val="center"/>
          </w:tcPr>
          <w:p w:rsidR="00772F88" w:rsidRPr="006B669F"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0010</w:t>
            </w:r>
          </w:p>
        </w:tc>
        <w:tc>
          <w:tcPr>
            <w:tcW w:w="7892" w:type="dxa"/>
            <w:tcBorders>
              <w:top w:val="single" w:sz="4" w:space="0" w:color="1A171C"/>
              <w:left w:val="single" w:sz="4" w:space="0" w:color="1A171C"/>
              <w:bottom w:val="single" w:sz="4" w:space="0" w:color="1A171C"/>
              <w:right w:val="nil"/>
            </w:tcBorders>
            <w:vAlign w:val="center"/>
          </w:tcPr>
          <w:p w:rsidR="00772F88" w:rsidRPr="00E140EE" w:rsidRDefault="0044725C" w:rsidP="00772F88">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Názov subjektu</w:t>
            </w:r>
          </w:p>
          <w:p w:rsidR="006B669F" w:rsidRDefault="00772F88" w:rsidP="00772F88">
            <w:pPr>
              <w:pStyle w:val="TableParagraph"/>
              <w:spacing w:before="108"/>
              <w:ind w:left="85"/>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Názov subjektu využívajúceho služby týkajúce sa platieb, úschovy, vyrovnania, zúčtovania alebo archívu obchodných údajov vykazovaného</w:t>
            </w:r>
            <w:r w:rsidR="006B669F">
              <w:rPr>
                <w:rFonts w:ascii="Times New Roman" w:hAnsi="Times New Roman"/>
                <w:color w:val="000000" w:themeColor="text1"/>
                <w:spacing w:val="-2"/>
                <w:w w:val="95"/>
                <w:sz w:val="20"/>
              </w:rPr>
              <w:t xml:space="preserve"> v Z </w:t>
            </w:r>
            <w:r w:rsidRPr="006B669F">
              <w:rPr>
                <w:rFonts w:ascii="Times New Roman" w:hAnsi="Times New Roman"/>
                <w:color w:val="000000" w:themeColor="text1"/>
                <w:spacing w:val="-2"/>
                <w:w w:val="95"/>
                <w:sz w:val="20"/>
              </w:rPr>
              <w:t>01.00 – Organizačná štruktúra (ORG)</w:t>
            </w:r>
            <w:r w:rsidR="006B669F">
              <w:rPr>
                <w:rFonts w:ascii="Times New Roman" w:hAnsi="Times New Roman"/>
                <w:color w:val="000000" w:themeColor="text1"/>
                <w:spacing w:val="-2"/>
                <w:w w:val="95"/>
                <w:sz w:val="20"/>
              </w:rPr>
              <w:t>.</w:t>
            </w:r>
          </w:p>
          <w:p w:rsidR="00772F88" w:rsidRPr="006B669F"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Vykazujú sa len subjekty identifikované ako poskytujúce zásadné funkcie vo vzore</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 xml:space="preserve">07.02. </w:t>
            </w:r>
          </w:p>
        </w:tc>
      </w:tr>
      <w:tr w:rsidR="00D22EB0" w:rsidRPr="006B669F" w:rsidTr="003D7A16">
        <w:tc>
          <w:tcPr>
            <w:tcW w:w="1191" w:type="dxa"/>
            <w:tcBorders>
              <w:top w:val="single" w:sz="4" w:space="0" w:color="1A171C"/>
              <w:left w:val="nil"/>
              <w:bottom w:val="single" w:sz="4" w:space="0" w:color="1A171C"/>
              <w:right w:val="single" w:sz="4" w:space="0" w:color="1A171C"/>
            </w:tcBorders>
            <w:vAlign w:val="center"/>
          </w:tcPr>
          <w:p w:rsidR="00772F88" w:rsidRPr="006B669F"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772F88" w:rsidRPr="00E140EE"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Kód</w:t>
            </w:r>
          </w:p>
          <w:p w:rsidR="00772F88" w:rsidRPr="006B669F"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Kód subjektu využívajúceho služby týkajúce sa platieb, úschovy, vyrovnania, zúčtovania alebo archívu obchodných údajov vykazovaného</w:t>
            </w:r>
            <w:r w:rsidR="006B669F">
              <w:rPr>
                <w:rFonts w:ascii="Times New Roman" w:hAnsi="Times New Roman"/>
                <w:color w:val="000000" w:themeColor="text1"/>
                <w:spacing w:val="-2"/>
                <w:w w:val="95"/>
                <w:sz w:val="20"/>
              </w:rPr>
              <w:t xml:space="preserve"> v Z </w:t>
            </w:r>
            <w:r w:rsidRPr="006B669F">
              <w:rPr>
                <w:rFonts w:ascii="Times New Roman" w:hAnsi="Times New Roman"/>
                <w:color w:val="000000" w:themeColor="text1"/>
                <w:spacing w:val="-2"/>
                <w:w w:val="95"/>
                <w:sz w:val="20"/>
              </w:rPr>
              <w:t xml:space="preserve">01.00 – Organizačná štruktúra (ORG). </w:t>
            </w:r>
          </w:p>
        </w:tc>
      </w:tr>
      <w:tr w:rsidR="00D22EB0" w:rsidRPr="006B669F" w:rsidTr="003D7A16">
        <w:tc>
          <w:tcPr>
            <w:tcW w:w="1191" w:type="dxa"/>
            <w:tcBorders>
              <w:top w:val="single" w:sz="4" w:space="0" w:color="1A171C"/>
              <w:left w:val="nil"/>
              <w:bottom w:val="single" w:sz="4" w:space="0" w:color="1A171C"/>
              <w:right w:val="single" w:sz="4" w:space="0" w:color="1A171C"/>
            </w:tcBorders>
            <w:vAlign w:val="center"/>
          </w:tcPr>
          <w:p w:rsidR="00772F88" w:rsidRPr="006B669F"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0030 – 0040</w:t>
            </w:r>
          </w:p>
        </w:tc>
        <w:tc>
          <w:tcPr>
            <w:tcW w:w="7892" w:type="dxa"/>
            <w:tcBorders>
              <w:top w:val="single" w:sz="4" w:space="0" w:color="1A171C"/>
              <w:left w:val="single" w:sz="4" w:space="0" w:color="1A171C"/>
              <w:bottom w:val="single" w:sz="4" w:space="0" w:color="1A171C"/>
              <w:right w:val="nil"/>
            </w:tcBorders>
            <w:vAlign w:val="center"/>
          </w:tcPr>
          <w:p w:rsidR="00772F88" w:rsidRPr="00E140EE" w:rsidRDefault="00772F88" w:rsidP="0044725C">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Zásadná funkcia</w:t>
            </w:r>
          </w:p>
          <w:p w:rsidR="00DF7F9D" w:rsidRPr="006B669F"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z w:val="20"/>
              </w:rPr>
              <w:t>Zásadná funkcia vykonávaná subjektom, ktorej výkon by bol obmedzený alebo znemožnený narušením prístupu</w:t>
            </w:r>
            <w:r w:rsidR="006B669F">
              <w:rPr>
                <w:rFonts w:ascii="Times New Roman" w:hAnsi="Times New Roman"/>
                <w:color w:val="000000" w:themeColor="text1"/>
                <w:sz w:val="20"/>
              </w:rPr>
              <w:t xml:space="preserve"> k </w:t>
            </w:r>
            <w:r w:rsidRPr="006B669F">
              <w:rPr>
                <w:rFonts w:ascii="Times New Roman" w:hAnsi="Times New Roman"/>
                <w:color w:val="000000" w:themeColor="text1"/>
                <w:sz w:val="20"/>
              </w:rPr>
              <w:t>službám týkajúcim sa platieb, úschovy, vyrovnania, zúčtovania alebo archívu obchodných údajov.</w:t>
            </w:r>
          </w:p>
        </w:tc>
      </w:tr>
      <w:tr w:rsidR="00D22EB0" w:rsidRPr="006B669F" w:rsidTr="003D7A16">
        <w:tc>
          <w:tcPr>
            <w:tcW w:w="1191" w:type="dxa"/>
            <w:tcBorders>
              <w:top w:val="single" w:sz="4" w:space="0" w:color="1A171C"/>
              <w:left w:val="nil"/>
              <w:bottom w:val="single" w:sz="4" w:space="0" w:color="1A171C"/>
              <w:right w:val="single" w:sz="4" w:space="0" w:color="1A171C"/>
            </w:tcBorders>
            <w:vAlign w:val="center"/>
          </w:tcPr>
          <w:p w:rsidR="0044725C" w:rsidRPr="006B669F"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44725C" w:rsidRPr="00E140EE" w:rsidRDefault="00937E0B" w:rsidP="009D2C94">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Štát</w:t>
            </w:r>
          </w:p>
          <w:p w:rsidR="0044725C" w:rsidRPr="00E140EE" w:rsidRDefault="000917F8" w:rsidP="000917F8">
            <w:pPr>
              <w:pStyle w:val="TableParagraph"/>
              <w:spacing w:before="108"/>
              <w:ind w:left="85"/>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Štát, pre ktorý je funkcia zásadná, vykázaný</w:t>
            </w:r>
            <w:r w:rsidR="006B669F">
              <w:rPr>
                <w:rFonts w:ascii="Times New Roman" w:hAnsi="Times New Roman"/>
                <w:color w:val="000000" w:themeColor="text1"/>
                <w:spacing w:val="-2"/>
                <w:w w:val="95"/>
                <w:sz w:val="20"/>
              </w:rPr>
              <w:t xml:space="preserve"> v Z </w:t>
            </w:r>
            <w:r w:rsidRPr="006B669F">
              <w:rPr>
                <w:rFonts w:ascii="Times New Roman" w:hAnsi="Times New Roman"/>
                <w:color w:val="000000" w:themeColor="text1"/>
                <w:spacing w:val="-2"/>
                <w:w w:val="95"/>
                <w:sz w:val="20"/>
              </w:rPr>
              <w:t>07.01 (FUNC 1)</w:t>
            </w:r>
          </w:p>
        </w:tc>
      </w:tr>
      <w:tr w:rsidR="00D22EB0" w:rsidRPr="006B669F" w:rsidTr="003D7A16">
        <w:tc>
          <w:tcPr>
            <w:tcW w:w="1191" w:type="dxa"/>
            <w:tcBorders>
              <w:top w:val="single" w:sz="4" w:space="0" w:color="1A171C"/>
              <w:left w:val="nil"/>
              <w:bottom w:val="single" w:sz="4" w:space="0" w:color="1A171C"/>
              <w:right w:val="single" w:sz="4" w:space="0" w:color="1A171C"/>
            </w:tcBorders>
            <w:vAlign w:val="center"/>
          </w:tcPr>
          <w:p w:rsidR="0044725C" w:rsidRPr="006B669F"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44725C" w:rsidRPr="00E140EE" w:rsidRDefault="0044725C" w:rsidP="009D2C94">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ID</w:t>
            </w:r>
          </w:p>
          <w:p w:rsidR="0044725C" w:rsidRPr="00E140EE" w:rsidRDefault="0044725C" w:rsidP="009D2C94">
            <w:pPr>
              <w:pStyle w:val="TableParagraph"/>
              <w:spacing w:before="108"/>
              <w:ind w:left="85"/>
              <w:jc w:val="both"/>
              <w:rPr>
                <w:rFonts w:ascii="Times New Roman" w:hAnsi="Times New Roman" w:cs="Times New Roman"/>
                <w:b/>
                <w:bCs/>
                <w:color w:val="000000" w:themeColor="text1"/>
                <w:spacing w:val="-4"/>
                <w:sz w:val="20"/>
                <w:szCs w:val="20"/>
              </w:rPr>
            </w:pPr>
            <w:r w:rsidRPr="00E140EE">
              <w:rPr>
                <w:rFonts w:ascii="Times New Roman" w:hAnsi="Times New Roman"/>
                <w:color w:val="000000" w:themeColor="text1"/>
                <w:spacing w:val="-4"/>
                <w:w w:val="95"/>
                <w:sz w:val="20"/>
              </w:rPr>
              <w:t>Identifikátor zásadných funkcií podľa vymedzenia</w:t>
            </w:r>
            <w:r w:rsidR="006B669F" w:rsidRPr="00E140EE">
              <w:rPr>
                <w:rFonts w:ascii="Times New Roman" w:hAnsi="Times New Roman"/>
                <w:color w:val="000000" w:themeColor="text1"/>
                <w:spacing w:val="-4"/>
                <w:w w:val="95"/>
                <w:sz w:val="20"/>
              </w:rPr>
              <w:t xml:space="preserve"> v </w:t>
            </w:r>
            <w:r w:rsidRPr="00E140EE">
              <w:rPr>
                <w:rFonts w:ascii="Times New Roman" w:hAnsi="Times New Roman"/>
                <w:color w:val="000000" w:themeColor="text1"/>
                <w:spacing w:val="-4"/>
                <w:w w:val="95"/>
                <w:sz w:val="20"/>
              </w:rPr>
              <w:t>kapitole 2.7.1.4 vyššie</w:t>
            </w:r>
            <w:r w:rsidR="006B669F" w:rsidRPr="00E140EE">
              <w:rPr>
                <w:rFonts w:ascii="Times New Roman" w:hAnsi="Times New Roman"/>
                <w:color w:val="000000" w:themeColor="text1"/>
                <w:spacing w:val="-4"/>
                <w:w w:val="95"/>
                <w:sz w:val="20"/>
              </w:rPr>
              <w:t xml:space="preserve"> a </w:t>
            </w:r>
            <w:r w:rsidRPr="00E140EE">
              <w:rPr>
                <w:rFonts w:ascii="Times New Roman" w:hAnsi="Times New Roman"/>
                <w:color w:val="000000" w:themeColor="text1"/>
                <w:spacing w:val="-4"/>
                <w:w w:val="95"/>
                <w:sz w:val="20"/>
              </w:rPr>
              <w:t>vo vzore</w:t>
            </w:r>
            <w:r w:rsidR="006B669F" w:rsidRPr="00E140EE">
              <w:rPr>
                <w:rFonts w:ascii="Times New Roman" w:hAnsi="Times New Roman"/>
                <w:color w:val="000000" w:themeColor="text1"/>
                <w:spacing w:val="-4"/>
                <w:w w:val="95"/>
                <w:sz w:val="20"/>
              </w:rPr>
              <w:t xml:space="preserve"> Z </w:t>
            </w:r>
            <w:r w:rsidRPr="00E140EE">
              <w:rPr>
                <w:rFonts w:ascii="Times New Roman" w:hAnsi="Times New Roman"/>
                <w:color w:val="000000" w:themeColor="text1"/>
                <w:spacing w:val="-4"/>
                <w:w w:val="95"/>
                <w:sz w:val="20"/>
              </w:rPr>
              <w:t>07.01 (FUNC 1)</w:t>
            </w:r>
          </w:p>
        </w:tc>
      </w:tr>
      <w:tr w:rsidR="00D22EB0" w:rsidRPr="006B669F" w:rsidTr="003D7A16">
        <w:tc>
          <w:tcPr>
            <w:tcW w:w="1191" w:type="dxa"/>
            <w:tcBorders>
              <w:top w:val="single" w:sz="4" w:space="0" w:color="1A171C"/>
              <w:left w:val="nil"/>
              <w:bottom w:val="single" w:sz="4" w:space="0" w:color="1A171C"/>
              <w:right w:val="single" w:sz="4" w:space="0" w:color="1A171C"/>
            </w:tcBorders>
            <w:vAlign w:val="center"/>
          </w:tcPr>
          <w:p w:rsidR="0044725C" w:rsidRPr="006B669F" w:rsidRDefault="00402460" w:rsidP="00402460">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0050 – 0080</w:t>
            </w:r>
          </w:p>
        </w:tc>
        <w:tc>
          <w:tcPr>
            <w:tcW w:w="7892" w:type="dxa"/>
            <w:tcBorders>
              <w:top w:val="single" w:sz="4" w:space="0" w:color="1A171C"/>
              <w:left w:val="single" w:sz="4" w:space="0" w:color="1A171C"/>
              <w:bottom w:val="single" w:sz="4" w:space="0" w:color="1A171C"/>
              <w:right w:val="nil"/>
            </w:tcBorders>
            <w:vAlign w:val="center"/>
          </w:tcPr>
          <w:p w:rsidR="0044725C" w:rsidRPr="00E140EE" w:rsidRDefault="001D258F" w:rsidP="009D2C94">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Infraštruktúra finančného trhu (FMI)</w:t>
            </w:r>
          </w:p>
          <w:p w:rsidR="001E7389" w:rsidRPr="006B669F"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6B669F" w:rsidRDefault="001D258F" w:rsidP="009D2C94">
            <w:pPr>
              <w:pStyle w:val="TableParagraph"/>
              <w:spacing w:before="108"/>
              <w:ind w:left="85"/>
              <w:jc w:val="both"/>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Odkazy: CPMI,</w:t>
            </w:r>
            <w:hyperlink r:id="rId10">
              <w:r w:rsidRPr="006B669F">
                <w:rPr>
                  <w:rFonts w:ascii="Times New Roman" w:hAnsi="Times New Roman"/>
                  <w:color w:val="000000" w:themeColor="text1"/>
                  <w:spacing w:val="-2"/>
                  <w:w w:val="95"/>
                  <w:sz w:val="20"/>
                </w:rPr>
                <w:t xml:space="preserve"> Zásady infraštruktúr finančného trhu</w:t>
              </w:r>
            </w:hyperlink>
          </w:p>
          <w:p w:rsidR="00E86927" w:rsidRPr="00E140EE" w:rsidRDefault="00E86927" w:rsidP="009D2C94">
            <w:pPr>
              <w:pStyle w:val="TableParagraph"/>
              <w:spacing w:before="108"/>
              <w:ind w:left="85"/>
              <w:jc w:val="both"/>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Multilaterálny systém medzi zúčastnenými finančnými inštitúciami vrátane prevádzkovateľa systému používaný na účely zaznamenávania, zúčtovania alebo vyrovnania platieb, cenných papierov, derivátov alebo iných finančných transakcií.</w:t>
            </w:r>
          </w:p>
        </w:tc>
      </w:tr>
      <w:tr w:rsidR="00D22EB0" w:rsidRPr="006B669F" w:rsidTr="003D7A16">
        <w:tc>
          <w:tcPr>
            <w:tcW w:w="1191" w:type="dxa"/>
            <w:tcBorders>
              <w:top w:val="single" w:sz="4" w:space="0" w:color="1A171C"/>
              <w:left w:val="nil"/>
              <w:bottom w:val="single" w:sz="4" w:space="0" w:color="1A171C"/>
              <w:right w:val="single" w:sz="4" w:space="0" w:color="1A171C"/>
            </w:tcBorders>
            <w:vAlign w:val="center"/>
          </w:tcPr>
          <w:p w:rsidR="00772F88" w:rsidRPr="006B669F"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772F88" w:rsidRPr="00E140EE"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Druh systému</w:t>
            </w:r>
          </w:p>
          <w:p w:rsidR="00772F88" w:rsidRPr="006B669F"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Uveďte jednu</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týchto hodnôt</w:t>
            </w:r>
          </w:p>
          <w:p w:rsidR="00772F88" w:rsidRPr="006B669F"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„PS“</w:t>
            </w:r>
            <w:r w:rsidRPr="006B669F">
              <w:tab/>
            </w:r>
            <w:r w:rsidRPr="006B669F">
              <w:rPr>
                <w:rFonts w:ascii="Times New Roman" w:hAnsi="Times New Roman"/>
                <w:color w:val="000000" w:themeColor="text1"/>
                <w:spacing w:val="-2"/>
                <w:w w:val="95"/>
                <w:sz w:val="20"/>
              </w:rPr>
              <w:t>Platobný systém</w:t>
            </w:r>
          </w:p>
          <w:p w:rsidR="006132CF" w:rsidRPr="006B669F" w:rsidRDefault="00B24772" w:rsidP="00823ABB">
            <w:pPr>
              <w:pStyle w:val="TableParagraph"/>
              <w:spacing w:before="108"/>
              <w:ind w:left="652" w:hanging="567"/>
              <w:rPr>
                <w:rFonts w:ascii="Times New Roman" w:hAnsi="Times New Roman" w:cs="Times New Roman"/>
                <w:color w:val="000000" w:themeColor="text1"/>
                <w:sz w:val="20"/>
                <w:szCs w:val="20"/>
              </w:rPr>
            </w:pPr>
            <w:r w:rsidRPr="006B669F">
              <w:rPr>
                <w:rFonts w:ascii="Times New Roman" w:hAnsi="Times New Roman"/>
                <w:color w:val="000000" w:themeColor="text1"/>
                <w:sz w:val="20"/>
              </w:rPr>
              <w:t>„(I) CSD“ – (medzinárodný) centrálny depozitár cenných papierov vrátane centrálnych depozitárov cenných papierov, ktorí poskytujú služby vyrovnania (interne alebo externe)</w:t>
            </w:r>
          </w:p>
          <w:p w:rsidR="000C6E53" w:rsidRPr="006B669F"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 xml:space="preserve"> „SSS“ systém vyrovnania transakcií</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cennými papiermi</w:t>
            </w:r>
            <w:r w:rsidRPr="006B669F">
              <w:tab/>
            </w:r>
            <w:r w:rsidRPr="006B669F">
              <w:rPr>
                <w:rFonts w:ascii="Times New Roman" w:hAnsi="Times New Roman"/>
                <w:color w:val="000000" w:themeColor="text1"/>
                <w:spacing w:val="-2"/>
                <w:w w:val="95"/>
                <w:sz w:val="20"/>
              </w:rPr>
              <w:t>Systém vyrovnania obchodov</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cennými papiermi bez úschovy</w:t>
            </w:r>
          </w:p>
          <w:p w:rsidR="006B669F" w:rsidRDefault="006B6EDC" w:rsidP="00823ABB">
            <w:pPr>
              <w:pStyle w:val="TableParagraph"/>
              <w:spacing w:before="108"/>
              <w:ind w:left="652" w:hanging="567"/>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„CCP – cenné papiere“ centrálna protistrana pre zúčtovanie cenných papierov</w:t>
            </w:r>
          </w:p>
          <w:p w:rsidR="00772F88" w:rsidRPr="006B669F"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„CCP – deriváty“ centrálna protistrana pre zúčtovanie derivátov</w:t>
            </w:r>
            <w:r w:rsidRPr="006B669F">
              <w:tab/>
            </w:r>
            <w:r w:rsidRPr="006B669F">
              <w:rPr>
                <w:rFonts w:ascii="Times New Roman" w:hAnsi="Times New Roman"/>
                <w:color w:val="000000" w:themeColor="text1"/>
                <w:spacing w:val="-2"/>
                <w:w w:val="95"/>
                <w:sz w:val="20"/>
              </w:rPr>
              <w:t>Centrálna protistrana pre zúčtovanie derivátov</w:t>
            </w:r>
          </w:p>
          <w:p w:rsidR="00772F88" w:rsidRPr="006B669F"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„TR“</w:t>
            </w:r>
            <w:r w:rsidRPr="006B669F">
              <w:tab/>
            </w:r>
            <w:r w:rsidRPr="006B669F">
              <w:rPr>
                <w:rFonts w:ascii="Times New Roman" w:hAnsi="Times New Roman"/>
                <w:color w:val="000000" w:themeColor="text1"/>
                <w:spacing w:val="-2"/>
                <w:w w:val="95"/>
                <w:sz w:val="20"/>
              </w:rPr>
              <w:t>archív obchodných údajov</w:t>
            </w:r>
          </w:p>
          <w:p w:rsidR="00772F88" w:rsidRPr="006B669F"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„Iný“</w:t>
            </w:r>
            <w:r w:rsidRPr="006B669F">
              <w:tab/>
            </w:r>
            <w:r w:rsidRPr="006B669F">
              <w:rPr>
                <w:rFonts w:ascii="Times New Roman" w:hAnsi="Times New Roman"/>
                <w:color w:val="000000" w:themeColor="text1"/>
                <w:spacing w:val="-2"/>
                <w:w w:val="95"/>
                <w:sz w:val="20"/>
              </w:rPr>
              <w:t>ak druh systému FMI nezodpovedá žiadnemu</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vymedzených druhov uvedených vyššie.</w:t>
            </w:r>
          </w:p>
          <w:p w:rsidR="00772F88" w:rsidRPr="006B669F"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„Neuvádza sa“</w:t>
            </w:r>
            <w:r w:rsidRPr="006B669F">
              <w:tab/>
            </w:r>
            <w:r w:rsidRPr="006B669F">
              <w:rPr>
                <w:rFonts w:ascii="Times New Roman" w:hAnsi="Times New Roman"/>
                <w:color w:val="000000" w:themeColor="text1"/>
                <w:spacing w:val="-2"/>
                <w:w w:val="95"/>
                <w:sz w:val="20"/>
              </w:rPr>
              <w:t>ak kritické služby týkajúce sa platieb, zúčtovania, vyrovnania alebo úschovy poskytuje subjekt, ktorý nie je vyššie uvedenou infraštruktúrou finančného trhu, napríklad správcovské banky.</w:t>
            </w:r>
          </w:p>
        </w:tc>
      </w:tr>
      <w:tr w:rsidR="00D22EB0" w:rsidRPr="006B669F" w:rsidTr="003D7A16">
        <w:tc>
          <w:tcPr>
            <w:tcW w:w="1191" w:type="dxa"/>
            <w:tcBorders>
              <w:top w:val="single" w:sz="4" w:space="0" w:color="1A171C"/>
              <w:left w:val="nil"/>
              <w:bottom w:val="single" w:sz="4" w:space="0" w:color="1A171C"/>
              <w:right w:val="single" w:sz="4" w:space="0" w:color="1A171C"/>
            </w:tcBorders>
            <w:vAlign w:val="center"/>
          </w:tcPr>
          <w:p w:rsidR="00772F88" w:rsidRPr="006B669F"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772F88" w:rsidRPr="00E140EE"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Názov</w:t>
            </w:r>
          </w:p>
          <w:p w:rsidR="00772F88" w:rsidRPr="006B669F"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Obchodný názov infraštruktúry finančného trhu</w:t>
            </w:r>
          </w:p>
          <w:p w:rsidR="00772F88" w:rsidRPr="006B669F"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Ak je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stĺpci 0050 vykázané „Neuvádza sa“, tento stĺpec zostáva prázdny.</w:t>
            </w:r>
          </w:p>
        </w:tc>
      </w:tr>
      <w:tr w:rsidR="00D22EB0" w:rsidRPr="006B669F" w:rsidTr="003D7A16">
        <w:tc>
          <w:tcPr>
            <w:tcW w:w="1191" w:type="dxa"/>
            <w:tcBorders>
              <w:top w:val="single" w:sz="4" w:space="0" w:color="1A171C"/>
              <w:left w:val="nil"/>
              <w:bottom w:val="single" w:sz="4" w:space="0" w:color="1A171C"/>
              <w:right w:val="single" w:sz="4" w:space="0" w:color="1A171C"/>
            </w:tcBorders>
            <w:vAlign w:val="center"/>
          </w:tcPr>
          <w:p w:rsidR="00772F88" w:rsidRPr="006B669F"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0070</w:t>
            </w:r>
          </w:p>
        </w:tc>
        <w:tc>
          <w:tcPr>
            <w:tcW w:w="7892" w:type="dxa"/>
            <w:tcBorders>
              <w:top w:val="single" w:sz="4" w:space="0" w:color="1A171C"/>
              <w:left w:val="single" w:sz="4" w:space="0" w:color="1A171C"/>
              <w:bottom w:val="single" w:sz="4" w:space="0" w:color="1A171C"/>
              <w:right w:val="nil"/>
            </w:tcBorders>
            <w:vAlign w:val="center"/>
          </w:tcPr>
          <w:p w:rsidR="00772F88" w:rsidRPr="00E140EE" w:rsidRDefault="0044725C" w:rsidP="00772F88">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Kód infraštruktúry finančného trhu (FMI)</w:t>
            </w:r>
          </w:p>
          <w:p w:rsidR="00A75FB6" w:rsidRPr="006B669F" w:rsidRDefault="000F5772" w:rsidP="00A75FB6">
            <w:pPr>
              <w:pStyle w:val="TableParagraph"/>
              <w:spacing w:before="108"/>
              <w:ind w:left="85"/>
              <w:rPr>
                <w:rFonts w:ascii="Times New Roman" w:hAnsi="Times New Roman" w:cs="Times New Roman"/>
                <w:color w:val="000000" w:themeColor="text1"/>
                <w:spacing w:val="-2"/>
                <w:sz w:val="20"/>
                <w:szCs w:val="20"/>
              </w:rPr>
            </w:pPr>
            <w:r w:rsidRPr="006B669F">
              <w:rPr>
                <w:rFonts w:ascii="Times New Roman" w:hAnsi="Times New Roman"/>
                <w:color w:val="000000" w:themeColor="text1"/>
                <w:spacing w:val="-2"/>
                <w:w w:val="95"/>
                <w:sz w:val="20"/>
              </w:rPr>
              <w:t>Kód infraštruktúry finančného trhu (FMI). Kódom je 20-miestny alfanumerický kód LEI, ak je</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dispozícii. Ak kód LEI nie je</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dispozícii, kód</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rámci jednotnej kodifikácie uplatniteľnej</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Únii, alebo ak nie je</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dispozícii ani ten, vnútroštátny kód.</w:t>
            </w:r>
          </w:p>
          <w:p w:rsidR="000F5772" w:rsidRPr="006B669F" w:rsidRDefault="000F5772" w:rsidP="000F5772">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Ak je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stĺpci 0050 vykázané „neuvádza sa“, tento stĺpec zostáva prázdny.</w:t>
            </w:r>
          </w:p>
          <w:p w:rsidR="00772F88" w:rsidRPr="006B669F" w:rsidRDefault="00772F88" w:rsidP="00F02DE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6B669F" w:rsidTr="003D7A16">
        <w:tc>
          <w:tcPr>
            <w:tcW w:w="1191" w:type="dxa"/>
            <w:tcBorders>
              <w:top w:val="single" w:sz="4" w:space="0" w:color="1A171C"/>
              <w:left w:val="nil"/>
              <w:bottom w:val="single" w:sz="4" w:space="0" w:color="1A171C"/>
              <w:right w:val="single" w:sz="4" w:space="0" w:color="1A171C"/>
            </w:tcBorders>
            <w:vAlign w:val="center"/>
          </w:tcPr>
          <w:p w:rsidR="00772F88" w:rsidRPr="006B669F"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772F88" w:rsidRPr="00E140EE"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Účasť na režime</w:t>
            </w:r>
          </w:p>
          <w:p w:rsidR="00772F88" w:rsidRPr="006B669F"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Uveďte jednu</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týchto hodnôt:</w:t>
            </w:r>
          </w:p>
          <w:p w:rsidR="00E01081" w:rsidRPr="006B669F"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„Priama“</w:t>
            </w:r>
            <w:r w:rsidRPr="006B669F">
              <w:tab/>
            </w:r>
            <w:r w:rsidRPr="006B669F">
              <w:rPr>
                <w:rFonts w:ascii="Times New Roman" w:hAnsi="Times New Roman"/>
                <w:color w:val="000000" w:themeColor="text1"/>
                <w:spacing w:val="-2"/>
                <w:w w:val="95"/>
                <w:sz w:val="20"/>
              </w:rPr>
              <w:t>v prípade priameho členstva alebo priamej účasti</w:t>
            </w:r>
          </w:p>
          <w:p w:rsidR="00E01081" w:rsidRPr="006B669F"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„Nepriama“</w:t>
            </w:r>
            <w:r w:rsidRPr="006B669F">
              <w:tab/>
            </w:r>
            <w:r w:rsidRPr="006B669F">
              <w:rPr>
                <w:rFonts w:ascii="Times New Roman" w:hAnsi="Times New Roman"/>
                <w:color w:val="000000" w:themeColor="text1"/>
                <w:spacing w:val="-2"/>
                <w:w w:val="95"/>
                <w:sz w:val="20"/>
              </w:rPr>
              <w:t>v prípade nepriameho členstva alebo nepriamej účasti</w:t>
            </w:r>
          </w:p>
          <w:p w:rsidR="00772F88" w:rsidRPr="006B669F"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„Neuvádza sa“</w:t>
            </w:r>
            <w:r w:rsidRPr="006B669F">
              <w:tab/>
            </w:r>
            <w:r w:rsidRPr="006B669F">
              <w:rPr>
                <w:rFonts w:ascii="Times New Roman" w:hAnsi="Times New Roman"/>
                <w:color w:val="000000" w:themeColor="text1"/>
                <w:spacing w:val="-2"/>
                <w:w w:val="95"/>
                <w:sz w:val="20"/>
              </w:rPr>
              <w:t>ak je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stĺpci 0050 vykázané „neuvádza sa“.</w:t>
            </w:r>
          </w:p>
        </w:tc>
      </w:tr>
      <w:tr w:rsidR="00D22EB0" w:rsidRPr="006B669F" w:rsidTr="003D7A16">
        <w:tc>
          <w:tcPr>
            <w:tcW w:w="1191" w:type="dxa"/>
            <w:tcBorders>
              <w:top w:val="single" w:sz="4" w:space="0" w:color="1A171C"/>
              <w:left w:val="nil"/>
              <w:bottom w:val="single" w:sz="4" w:space="0" w:color="1A171C"/>
              <w:right w:val="single" w:sz="4" w:space="0" w:color="1A171C"/>
            </w:tcBorders>
            <w:vAlign w:val="center"/>
          </w:tcPr>
          <w:p w:rsidR="00772F88" w:rsidRPr="006B669F"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6B669F" w:rsidRPr="00E140EE" w:rsidRDefault="00772F88" w:rsidP="00772F88">
            <w:pPr>
              <w:pStyle w:val="TableParagraph"/>
              <w:spacing w:before="108"/>
              <w:ind w:left="85"/>
              <w:jc w:val="both"/>
              <w:rPr>
                <w:rFonts w:ascii="Times New Roman" w:hAnsi="Times New Roman"/>
                <w:b/>
                <w:color w:val="000000" w:themeColor="text1"/>
                <w:sz w:val="20"/>
              </w:rPr>
            </w:pPr>
            <w:r w:rsidRPr="00E140EE">
              <w:rPr>
                <w:rFonts w:ascii="Times New Roman" w:hAnsi="Times New Roman"/>
                <w:b/>
                <w:color w:val="000000" w:themeColor="text1"/>
                <w:sz w:val="20"/>
              </w:rPr>
              <w:t>Názov</w:t>
            </w:r>
          </w:p>
          <w:p w:rsidR="00772F88" w:rsidRPr="006B669F"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Obchodný názov sprostredkovateľa, ak je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stĺpci 0080 vykázané „nepriama“ alebo „neuvádza sa“.</w:t>
            </w:r>
          </w:p>
          <w:p w:rsidR="00772F88" w:rsidRPr="006B669F"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Ak je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stĺpci 0080 vykázané „priama“, musí sa vykázať „neuvádza sa“ (t. j. nehodiace sa).</w:t>
            </w:r>
          </w:p>
          <w:p w:rsidR="006B669F" w:rsidRDefault="00772F88" w:rsidP="00772F88">
            <w:pPr>
              <w:pStyle w:val="TableParagraph"/>
              <w:spacing w:before="108"/>
              <w:ind w:left="85"/>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Sprostredkovateľ môže byť súčasťou skupiny, do ktorej patrí vykazujúci subjekt, alebo inou úverovou inštitúciou, ktorá nie je prepojená</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touto skupinou</w:t>
            </w:r>
            <w:r w:rsidR="006B669F">
              <w:rPr>
                <w:rFonts w:ascii="Times New Roman" w:hAnsi="Times New Roman"/>
                <w:color w:val="000000" w:themeColor="text1"/>
                <w:spacing w:val="-2"/>
                <w:w w:val="95"/>
                <w:sz w:val="20"/>
              </w:rPr>
              <w:t>.</w:t>
            </w:r>
          </w:p>
          <w:p w:rsidR="00772F88" w:rsidRPr="006B669F"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Sprostredkovateľom môže byť spoločnosť, ktorá iným spoločnostiam poskytuje služby týkajúce sa zúčtovania, platieb, vyrovnania transakcií</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cennými papiermi a/alebo úschovy (najmä ak je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stĺpci 0050 vykázané „neuvádza sa“); môže ísť</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priameho člena jednej alebo viacerých infraštruktúr finančného trhu (FMI), ktorý poskytuje nepriamy prístup</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službám ponúkaným touto infraštruktúrou finančného trhu (FMI) (najmä ak je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stĺpci 0080 vykázané „nepriama“).</w:t>
            </w:r>
          </w:p>
        </w:tc>
      </w:tr>
      <w:tr w:rsidR="00D22EB0" w:rsidRPr="006B669F" w:rsidTr="003D7A16">
        <w:tc>
          <w:tcPr>
            <w:tcW w:w="1191" w:type="dxa"/>
            <w:tcBorders>
              <w:top w:val="single" w:sz="4" w:space="0" w:color="1A171C"/>
              <w:left w:val="nil"/>
              <w:bottom w:val="single" w:sz="4" w:space="0" w:color="1A171C"/>
              <w:right w:val="single" w:sz="4" w:space="0" w:color="1A171C"/>
            </w:tcBorders>
            <w:vAlign w:val="center"/>
          </w:tcPr>
          <w:p w:rsidR="00772F88" w:rsidRPr="006B669F"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772F88" w:rsidRPr="00E140EE"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Kód</w:t>
            </w:r>
          </w:p>
          <w:p w:rsidR="003F3BD6" w:rsidRPr="006B669F" w:rsidRDefault="003F3BD6" w:rsidP="003F3BD6">
            <w:pPr>
              <w:pStyle w:val="TableParagraph"/>
              <w:spacing w:before="108"/>
              <w:ind w:left="85"/>
              <w:rPr>
                <w:rFonts w:ascii="Times New Roman" w:hAnsi="Times New Roman" w:cs="Times New Roman"/>
                <w:color w:val="000000" w:themeColor="text1"/>
                <w:spacing w:val="-2"/>
                <w:sz w:val="20"/>
                <w:szCs w:val="20"/>
              </w:rPr>
            </w:pPr>
            <w:r w:rsidRPr="006B669F">
              <w:rPr>
                <w:rFonts w:ascii="Times New Roman" w:hAnsi="Times New Roman"/>
                <w:color w:val="000000" w:themeColor="text1"/>
                <w:spacing w:val="-2"/>
                <w:w w:val="95"/>
                <w:sz w:val="20"/>
              </w:rPr>
              <w:t>Kód sprostredkovateľa. Kódom je 20-miestny alfanumerický kód LEI, ak je</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dispozícii. Ak kód LEI nie je</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dispozícii, kód</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rámci jednotnej kodifikácie uplatniteľnej</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Únii, alebo ak nie je</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dispozícii ani ten, vnútroštátny kód.</w:t>
            </w:r>
          </w:p>
          <w:p w:rsidR="006D1180" w:rsidRPr="006B669F" w:rsidRDefault="006D1180" w:rsidP="00955D42">
            <w:pPr>
              <w:pStyle w:val="TableParagraph"/>
              <w:spacing w:before="108"/>
              <w:rPr>
                <w:rFonts w:ascii="Times New Roman" w:eastAsia="Cambria" w:hAnsi="Times New Roman" w:cs="Times New Roman"/>
                <w:color w:val="000000" w:themeColor="text1"/>
                <w:spacing w:val="-2"/>
                <w:w w:val="95"/>
                <w:sz w:val="20"/>
                <w:szCs w:val="20"/>
              </w:rPr>
            </w:pPr>
          </w:p>
          <w:p w:rsidR="00772F88" w:rsidRPr="006B669F" w:rsidRDefault="006D1180" w:rsidP="00EC6EE8">
            <w:pPr>
              <w:pStyle w:val="CommentText"/>
              <w:rPr>
                <w:rFonts w:ascii="Times New Roman" w:hAnsi="Times New Roman" w:cs="Times New Roman"/>
                <w:color w:val="000000" w:themeColor="text1"/>
              </w:rPr>
            </w:pPr>
            <w:r w:rsidRPr="006B669F">
              <w:rPr>
                <w:rFonts w:ascii="Times New Roman" w:hAnsi="Times New Roman"/>
                <w:color w:val="000000" w:themeColor="text1"/>
                <w:spacing w:val="-2"/>
                <w:w w:val="95"/>
              </w:rPr>
              <w:t>Ak je</w:t>
            </w:r>
            <w:r w:rsidR="006B669F">
              <w:rPr>
                <w:rFonts w:ascii="Times New Roman" w:hAnsi="Times New Roman"/>
                <w:color w:val="000000" w:themeColor="text1"/>
                <w:spacing w:val="-2"/>
                <w:w w:val="95"/>
              </w:rPr>
              <w:t xml:space="preserve"> v </w:t>
            </w:r>
            <w:r w:rsidRPr="006B669F">
              <w:rPr>
                <w:rFonts w:ascii="Times New Roman" w:hAnsi="Times New Roman"/>
                <w:color w:val="000000" w:themeColor="text1"/>
                <w:spacing w:val="-2"/>
                <w:w w:val="95"/>
              </w:rPr>
              <w:t>stĺpci 0090 vykázané „priama“, musí sa vykázať „neuvádza sa“ (t. j. nehodiace sa).</w:t>
            </w:r>
          </w:p>
        </w:tc>
      </w:tr>
      <w:tr w:rsidR="00D22EB0" w:rsidRPr="006B669F" w:rsidTr="007644C5">
        <w:tc>
          <w:tcPr>
            <w:tcW w:w="1191" w:type="dxa"/>
            <w:tcBorders>
              <w:top w:val="single" w:sz="4" w:space="0" w:color="1A171C"/>
              <w:left w:val="nil"/>
              <w:bottom w:val="single" w:sz="4" w:space="0" w:color="1A171C"/>
              <w:right w:val="single" w:sz="4" w:space="0" w:color="1A171C"/>
            </w:tcBorders>
            <w:vAlign w:val="center"/>
          </w:tcPr>
          <w:p w:rsidR="00BC1F79" w:rsidRPr="006B669F"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BC1F79" w:rsidRPr="00E140EE" w:rsidRDefault="00BC1F79" w:rsidP="007644C5">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Opis služby</w:t>
            </w:r>
          </w:p>
          <w:p w:rsidR="00BC1F79" w:rsidRPr="006B669F"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Opis služby, ak druh systému uvedený</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stĺpci 050 je „iný“ alebo „neuvádza sa“.</w:t>
            </w:r>
          </w:p>
        </w:tc>
      </w:tr>
      <w:tr w:rsidR="00D22EB0" w:rsidRPr="006B669F" w:rsidTr="003D7A16">
        <w:tc>
          <w:tcPr>
            <w:tcW w:w="1191" w:type="dxa"/>
            <w:tcBorders>
              <w:top w:val="single" w:sz="4" w:space="0" w:color="1A171C"/>
              <w:left w:val="nil"/>
              <w:bottom w:val="single" w:sz="4" w:space="0" w:color="1A171C"/>
              <w:right w:val="single" w:sz="4" w:space="0" w:color="1A171C"/>
            </w:tcBorders>
            <w:vAlign w:val="center"/>
          </w:tcPr>
          <w:p w:rsidR="00772F88" w:rsidRPr="006B669F"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772F88" w:rsidRPr="00E140EE"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Rozhodné právo</w:t>
            </w:r>
          </w:p>
          <w:p w:rsidR="006B669F" w:rsidRDefault="00772F88" w:rsidP="00772F88">
            <w:pPr>
              <w:pStyle w:val="TableParagraph"/>
              <w:spacing w:before="108"/>
              <w:ind w:left="85"/>
              <w:rPr>
                <w:rFonts w:ascii="Times New Roman" w:hAnsi="Times New Roman"/>
                <w:color w:val="000000" w:themeColor="text1"/>
                <w:spacing w:val="-2"/>
                <w:w w:val="95"/>
                <w:sz w:val="20"/>
              </w:rPr>
            </w:pPr>
            <w:r w:rsidRPr="006B669F">
              <w:rPr>
                <w:rFonts w:ascii="Times New Roman" w:hAnsi="Times New Roman"/>
                <w:color w:val="000000" w:themeColor="text1"/>
                <w:spacing w:val="-2"/>
                <w:w w:val="95"/>
                <w:sz w:val="20"/>
              </w:rPr>
              <w:t>Kód ISO 3166-1-alfa-2 identifikácie krajiny, ktorej právom sa riadi prístup</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FMI</w:t>
            </w:r>
            <w:r w:rsidR="006B669F">
              <w:rPr>
                <w:rFonts w:ascii="Times New Roman" w:hAnsi="Times New Roman"/>
                <w:color w:val="000000" w:themeColor="text1"/>
                <w:spacing w:val="-2"/>
                <w:w w:val="95"/>
                <w:sz w:val="20"/>
              </w:rPr>
              <w:t>.</w:t>
            </w:r>
          </w:p>
          <w:p w:rsidR="00772F88" w:rsidRPr="006B669F" w:rsidRDefault="00772F88" w:rsidP="00F968AD">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V prípade priameho členstva alebo priamej účasti treba uviesť rozhodné právo zmluvy medzi infraštruktúrou finančného trhu</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používateľom.</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prípade nepriameho členstva alebo nepriamej účasti treba uviesť rozhodné právo zmluvy medzi zástupcom inštitúcie</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 xml:space="preserve">používateľom. </w:t>
            </w:r>
          </w:p>
        </w:tc>
      </w:tr>
    </w:tbl>
    <w:p w:rsidR="00E13CE3" w:rsidRPr="00310799" w:rsidRDefault="00E13CE3" w:rsidP="00310799">
      <w:pPr>
        <w:pStyle w:val="Instructionsberschrift2"/>
        <w:keepLines/>
        <w:numPr>
          <w:ilvl w:val="1"/>
          <w:numId w:val="7"/>
        </w:numPr>
        <w:ind w:left="567" w:hanging="567"/>
        <w:rPr>
          <w:rFonts w:ascii="Times New Roman" w:hAnsi="Times New Roman" w:cs="Times New Roman"/>
          <w:color w:val="000000" w:themeColor="text1"/>
          <w:szCs w:val="20"/>
        </w:rPr>
      </w:pPr>
      <w:bookmarkStart w:id="43" w:name="_Toc492542330"/>
      <w:bookmarkStart w:id="44" w:name="_Toc509909048"/>
      <w:bookmarkStart w:id="45" w:name="_Toc525209038"/>
      <w:r w:rsidRPr="00310799">
        <w:rPr>
          <w:rFonts w:ascii="Times New Roman" w:hAnsi="Times New Roman"/>
          <w:color w:val="000000" w:themeColor="text1"/>
        </w:rPr>
        <w:t>Kritické informačné systémy</w:t>
      </w:r>
      <w:bookmarkEnd w:id="43"/>
      <w:bookmarkEnd w:id="44"/>
      <w:bookmarkEnd w:id="45"/>
    </w:p>
    <w:p w:rsidR="00AA4026" w:rsidRPr="00310799" w:rsidRDefault="00AA4026" w:rsidP="00310799">
      <w:pPr>
        <w:pStyle w:val="Numberedtitlelevel3"/>
        <w:keepNext/>
        <w:keepLines/>
        <w:rPr>
          <w:rFonts w:ascii="Times New Roman" w:hAnsi="Times New Roman" w:cs="Times New Roman"/>
          <w:b w:val="0"/>
          <w:color w:val="000000" w:themeColor="text1"/>
          <w:sz w:val="20"/>
          <w:szCs w:val="20"/>
          <w:u w:val="single"/>
        </w:rPr>
      </w:pPr>
      <w:bookmarkStart w:id="46" w:name="_Toc368311813"/>
      <w:bookmarkStart w:id="47" w:name="_Toc322687864"/>
      <w:bookmarkStart w:id="48" w:name="_Toc368311822"/>
      <w:r w:rsidRPr="00310799">
        <w:rPr>
          <w:rFonts w:ascii="Times New Roman" w:hAnsi="Times New Roman"/>
          <w:b w:val="0"/>
          <w:color w:val="000000" w:themeColor="text1"/>
          <w:sz w:val="20"/>
          <w:u w:val="single"/>
        </w:rPr>
        <w:t>Všeobecné poznámky</w:t>
      </w:r>
    </w:p>
    <w:p w:rsidR="004507BB" w:rsidRPr="00E140EE" w:rsidRDefault="004507BB" w:rsidP="004F233C">
      <w:pPr>
        <w:pStyle w:val="numberedparagraph"/>
      </w:pPr>
      <w:r w:rsidRPr="00E140EE">
        <w:t>Tento oddiel sa skladá</w:t>
      </w:r>
      <w:r w:rsidR="006B669F" w:rsidRPr="00E140EE">
        <w:t xml:space="preserve"> z </w:t>
      </w:r>
      <w:r w:rsidRPr="00E140EE">
        <w:t>týchto vzorov:</w:t>
      </w:r>
    </w:p>
    <w:p w:rsidR="004507BB" w:rsidRPr="006B669F" w:rsidRDefault="0018376A" w:rsidP="004F233C">
      <w:pPr>
        <w:pStyle w:val="numberedparagraph"/>
        <w:numPr>
          <w:ilvl w:val="0"/>
          <w:numId w:val="38"/>
        </w:numPr>
      </w:pPr>
      <w:r w:rsidRPr="006B669F">
        <w:t>Z 10.01 – Kritické informačné systémy (všeobecné informácie) (CIS 1),</w:t>
      </w:r>
      <w:r w:rsidR="006B669F">
        <w:t xml:space="preserve"> v </w:t>
      </w:r>
      <w:r w:rsidRPr="006B669F">
        <w:t>ktorom sa uvádza zoznam všetkých kritických informačných systémov</w:t>
      </w:r>
      <w:r w:rsidR="006B669F">
        <w:t xml:space="preserve"> v </w:t>
      </w:r>
      <w:r w:rsidRPr="006B669F">
        <w:t>skupine;</w:t>
      </w:r>
    </w:p>
    <w:p w:rsidR="004507BB" w:rsidRPr="006B669F" w:rsidRDefault="0018376A" w:rsidP="004F233C">
      <w:pPr>
        <w:pStyle w:val="numberedparagraph"/>
        <w:numPr>
          <w:ilvl w:val="0"/>
          <w:numId w:val="38"/>
        </w:numPr>
      </w:pPr>
      <w:r w:rsidRPr="006B669F">
        <w:t>Z 10.02 – Priradenie kritických informačných systémov (CIS 2), ktorým sa kritické informačné systémy priraďujú</w:t>
      </w:r>
      <w:r w:rsidR="006B669F">
        <w:t xml:space="preserve"> k </w:t>
      </w:r>
      <w:r w:rsidRPr="006B669F">
        <w:t>používateľským subjektom</w:t>
      </w:r>
      <w:r w:rsidR="006B669F">
        <w:t xml:space="preserve"> v </w:t>
      </w:r>
      <w:r w:rsidRPr="006B669F">
        <w:t>skupine</w:t>
      </w:r>
      <w:r w:rsidR="006B669F">
        <w:t xml:space="preserve"> a k </w:t>
      </w:r>
      <w:r w:rsidRPr="006B669F">
        <w:t>zásadným funkciám.</w:t>
      </w:r>
    </w:p>
    <w:p w:rsidR="00277550" w:rsidRPr="006B669F" w:rsidRDefault="00AD4B22" w:rsidP="004F233C">
      <w:pPr>
        <w:pStyle w:val="numberedparagraph"/>
      </w:pPr>
      <w:r w:rsidRPr="006B669F">
        <w:lastRenderedPageBreak/>
        <w:t>Kritický informačný systém (CIS) sa chápe ako IT aplikácia alebo softvér, ktorý podporuje kritickú službu</w:t>
      </w:r>
      <w:r w:rsidR="006B669F">
        <w:t xml:space="preserve"> a </w:t>
      </w:r>
      <w:r w:rsidRPr="006B669F">
        <w:t>ktorého narušenie by predstavovalo vážnu prekážku pre výkon zásadnej funkcie alebo by túto funkciu úplne znemožnilo.</w:t>
      </w:r>
      <w:bookmarkEnd w:id="46"/>
      <w:bookmarkEnd w:id="47"/>
    </w:p>
    <w:p w:rsidR="00ED08D2" w:rsidRPr="006B669F" w:rsidRDefault="00262051" w:rsidP="004F233C">
      <w:pPr>
        <w:pStyle w:val="numberedparagraph"/>
      </w:pPr>
      <w:r w:rsidRPr="006B669F">
        <w:t>Tento vzor sa vykazuje za celú skupinu.</w:t>
      </w:r>
    </w:p>
    <w:p w:rsidR="00AD4B22" w:rsidRPr="00E140EE" w:rsidRDefault="00AD4B22" w:rsidP="00EA3B0A">
      <w:pPr>
        <w:pStyle w:val="Numberedtitlelevel3"/>
        <w:numPr>
          <w:ilvl w:val="0"/>
          <w:numId w:val="0"/>
        </w:numPr>
        <w:rPr>
          <w:rFonts w:ascii="Times New Roman" w:hAnsi="Times New Roman" w:cs="Times New Roman"/>
          <w:color w:val="000000" w:themeColor="text1"/>
          <w:sz w:val="20"/>
          <w:szCs w:val="20"/>
        </w:rPr>
      </w:pPr>
    </w:p>
    <w:p w:rsidR="00AA4026" w:rsidRPr="00310799" w:rsidRDefault="0018376A" w:rsidP="006028B1">
      <w:pPr>
        <w:pStyle w:val="Numberedtitlelevel3"/>
        <w:rPr>
          <w:rFonts w:ascii="Times New Roman" w:hAnsi="Times New Roman" w:cs="Times New Roman"/>
          <w:b w:val="0"/>
          <w:color w:val="000000" w:themeColor="text1"/>
          <w:sz w:val="20"/>
          <w:szCs w:val="20"/>
          <w:u w:val="single"/>
        </w:rPr>
      </w:pPr>
      <w:r w:rsidRPr="00310799">
        <w:rPr>
          <w:rFonts w:ascii="Times New Roman" w:hAnsi="Times New Roman"/>
          <w:b w:val="0"/>
          <w:color w:val="000000" w:themeColor="text1"/>
          <w:sz w:val="20"/>
          <w:u w:val="single"/>
        </w:rPr>
        <w:t>Z 10.01 – Kritické informačné systémy (Všeobecné informácie) (CIS 1): Pokyny týkajúce sa konkrétnych pozícií</w:t>
      </w:r>
    </w:p>
    <w:p w:rsidR="006B669F" w:rsidRDefault="000B75A6" w:rsidP="004F233C">
      <w:pPr>
        <w:pStyle w:val="numberedparagraph"/>
      </w:pPr>
      <w:r w:rsidRPr="006B669F">
        <w:t>Kombinácia hodnôt vykázaných</w:t>
      </w:r>
      <w:r w:rsidR="006B669F">
        <w:t xml:space="preserve"> v </w:t>
      </w:r>
      <w:r w:rsidRPr="006B669F">
        <w:t>stĺpci 0010 tohto vzoru tvorí primárny kľúč, ktorý musí byť jedinečný pre každý riadok vzoru</w:t>
      </w:r>
      <w:r w:rsidR="006B669F">
        <w:t>.</w:t>
      </w:r>
    </w:p>
    <w:p w:rsidR="000B75A6" w:rsidRPr="006B669F"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6B669F" w:rsidTr="00311CA4">
        <w:tc>
          <w:tcPr>
            <w:tcW w:w="1191" w:type="dxa"/>
            <w:tcBorders>
              <w:top w:val="single" w:sz="4" w:space="0" w:color="1A171C"/>
              <w:left w:val="nil"/>
              <w:bottom w:val="single" w:sz="4" w:space="0" w:color="1A171C"/>
              <w:right w:val="single" w:sz="4" w:space="0" w:color="1A171C"/>
            </w:tcBorders>
            <w:shd w:val="clear" w:color="auto" w:fill="E4E5E5"/>
          </w:tcPr>
          <w:p w:rsidR="00AD4B22" w:rsidRPr="006B669F"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Stĺpce</w:t>
            </w:r>
          </w:p>
        </w:tc>
        <w:tc>
          <w:tcPr>
            <w:tcW w:w="7892" w:type="dxa"/>
            <w:tcBorders>
              <w:top w:val="single" w:sz="4" w:space="0" w:color="1A171C"/>
              <w:left w:val="single" w:sz="4" w:space="0" w:color="1A171C"/>
              <w:bottom w:val="single" w:sz="4" w:space="0" w:color="1A171C"/>
              <w:right w:val="nil"/>
            </w:tcBorders>
            <w:shd w:val="clear" w:color="auto" w:fill="E4E5E5"/>
          </w:tcPr>
          <w:p w:rsidR="00AD4B22" w:rsidRPr="006B669F"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Pokyny</w:t>
            </w:r>
          </w:p>
        </w:tc>
      </w:tr>
      <w:tr w:rsidR="00D22EB0" w:rsidRPr="006B669F" w:rsidTr="00311CA4">
        <w:tc>
          <w:tcPr>
            <w:tcW w:w="1191" w:type="dxa"/>
            <w:tcBorders>
              <w:top w:val="single" w:sz="4" w:space="0" w:color="1A171C"/>
              <w:left w:val="nil"/>
              <w:bottom w:val="single" w:sz="4" w:space="0" w:color="1A171C"/>
              <w:right w:val="single" w:sz="4" w:space="0" w:color="1A171C"/>
            </w:tcBorders>
          </w:tcPr>
          <w:p w:rsidR="00311CA4" w:rsidRPr="006B669F"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0010 – 0040</w:t>
            </w:r>
          </w:p>
        </w:tc>
        <w:tc>
          <w:tcPr>
            <w:tcW w:w="7892" w:type="dxa"/>
            <w:tcBorders>
              <w:top w:val="single" w:sz="4" w:space="0" w:color="1A171C"/>
              <w:left w:val="single" w:sz="4" w:space="0" w:color="1A171C"/>
              <w:bottom w:val="single" w:sz="4" w:space="0" w:color="1A171C"/>
              <w:right w:val="nil"/>
            </w:tcBorders>
          </w:tcPr>
          <w:p w:rsidR="00311CA4" w:rsidRPr="006B669F"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E140EE">
              <w:rPr>
                <w:rFonts w:ascii="Times New Roman" w:hAnsi="Times New Roman"/>
                <w:b/>
                <w:color w:val="000000" w:themeColor="text1"/>
                <w:sz w:val="20"/>
              </w:rPr>
              <w:t>Kritický informačný systém</w:t>
            </w:r>
          </w:p>
        </w:tc>
      </w:tr>
      <w:tr w:rsidR="00D22EB0" w:rsidRPr="006B669F" w:rsidTr="00311CA4">
        <w:tc>
          <w:tcPr>
            <w:tcW w:w="1191" w:type="dxa"/>
            <w:tcBorders>
              <w:top w:val="single" w:sz="4" w:space="0" w:color="1A171C"/>
              <w:left w:val="nil"/>
              <w:bottom w:val="single" w:sz="4" w:space="0" w:color="1A171C"/>
              <w:right w:val="single" w:sz="4" w:space="0" w:color="1A171C"/>
            </w:tcBorders>
          </w:tcPr>
          <w:p w:rsidR="00AD4B22" w:rsidRPr="006B669F"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AD4B22" w:rsidRPr="00E140EE"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Identifikačný kód systému</w:t>
            </w:r>
          </w:p>
          <w:p w:rsidR="00AD4B22" w:rsidRPr="006B669F"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Identifikačný kód systému je skratka určená inštitúciou, ktorá jednoznačne identifikuje kritický informačný systém.</w:t>
            </w:r>
          </w:p>
          <w:p w:rsidR="00881C3C" w:rsidRPr="006B669F"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Tento kód je identifikátorom riadku</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musí byť jedinečný pre každý riadok vzoru</w:t>
            </w:r>
          </w:p>
        </w:tc>
      </w:tr>
      <w:tr w:rsidR="00D22EB0" w:rsidRPr="006B669F" w:rsidTr="00311CA4">
        <w:tc>
          <w:tcPr>
            <w:tcW w:w="1191" w:type="dxa"/>
            <w:tcBorders>
              <w:top w:val="single" w:sz="4" w:space="0" w:color="1A171C"/>
              <w:left w:val="nil"/>
              <w:bottom w:val="single" w:sz="4" w:space="0" w:color="1A171C"/>
              <w:right w:val="single" w:sz="4" w:space="0" w:color="1A171C"/>
            </w:tcBorders>
          </w:tcPr>
          <w:p w:rsidR="006D5055" w:rsidRPr="006B669F"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6D5055" w:rsidRPr="00E140EE" w:rsidRDefault="006D5055" w:rsidP="00AD4B22">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Názov systému</w:t>
            </w:r>
          </w:p>
          <w:p w:rsidR="006D5055" w:rsidRPr="006B669F" w:rsidRDefault="000679B1" w:rsidP="000679B1">
            <w:pPr>
              <w:pStyle w:val="TableParagraph"/>
              <w:spacing w:before="108"/>
              <w:ind w:left="85"/>
              <w:jc w:val="both"/>
              <w:rPr>
                <w:rFonts w:ascii="Times New Roman" w:hAnsi="Times New Roman" w:cs="Times New Roman"/>
                <w:bCs/>
                <w:color w:val="000000" w:themeColor="text1"/>
                <w:sz w:val="20"/>
                <w:szCs w:val="20"/>
              </w:rPr>
            </w:pPr>
            <w:r w:rsidRPr="006B669F">
              <w:rPr>
                <w:rFonts w:ascii="Times New Roman" w:hAnsi="Times New Roman"/>
                <w:color w:val="000000" w:themeColor="text1"/>
                <w:sz w:val="20"/>
              </w:rPr>
              <w:t>Obchodný alebo interný názov systému.</w:t>
            </w:r>
          </w:p>
        </w:tc>
      </w:tr>
      <w:tr w:rsidR="00D22EB0" w:rsidRPr="006B669F" w:rsidTr="00311CA4">
        <w:tc>
          <w:tcPr>
            <w:tcW w:w="1191" w:type="dxa"/>
            <w:tcBorders>
              <w:top w:val="single" w:sz="4" w:space="0" w:color="1A171C"/>
              <w:left w:val="nil"/>
              <w:bottom w:val="single" w:sz="4" w:space="0" w:color="1A171C"/>
              <w:right w:val="single" w:sz="4" w:space="0" w:color="1A171C"/>
            </w:tcBorders>
          </w:tcPr>
          <w:p w:rsidR="00AD4B22" w:rsidRPr="006B669F"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tcPr>
          <w:p w:rsidR="00AD4B22" w:rsidRPr="00E140EE"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Druh systému</w:t>
            </w:r>
          </w:p>
          <w:p w:rsidR="00AD4B22" w:rsidRPr="006B669F"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Uveďte jednu</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týchto hodnôt:</w:t>
            </w:r>
          </w:p>
          <w:p w:rsidR="00AD4B22" w:rsidRPr="00E140EE" w:rsidRDefault="00AD4B22" w:rsidP="00E140EE">
            <w:pPr>
              <w:pStyle w:val="List1"/>
              <w:rPr>
                <w:rFonts w:eastAsia="Cambria"/>
              </w:rPr>
            </w:pPr>
            <w:r w:rsidRPr="00E140EE">
              <w:t>„Softvér prispôsobený na mieru na podporu obchodu“</w:t>
            </w:r>
          </w:p>
          <w:p w:rsidR="00AD4B22" w:rsidRPr="006B669F"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Aplikácie, ktoré boli vypracované</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súlade</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podrobnými obchodnými špecifikáciami. Mohol byť vyvinutý interne alebo</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využitím externých dodávateľov, ale vždy na účel podpory podnikania.</w:t>
            </w:r>
          </w:p>
          <w:p w:rsidR="00AD4B22" w:rsidRPr="00E140EE" w:rsidRDefault="00AD4B22" w:rsidP="00E140EE">
            <w:pPr>
              <w:pStyle w:val="List1"/>
              <w:rPr>
                <w:rFonts w:eastAsia="Cambria"/>
              </w:rPr>
            </w:pPr>
            <w:r w:rsidRPr="00E140EE">
              <w:t>„Softvér zakúpený bez úprav“</w:t>
            </w:r>
          </w:p>
          <w:p w:rsidR="00AD4B22" w:rsidRPr="006B669F"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Aplikácie nakupované na trhu, zvyčajne predávané alebo licencované predajcom, ktoré neboli upravené</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zmysle špecifickej úpravy pre obchodnú činnosti organizácie. Aplikácie, ktoré boli podrobené normálnym konfiguračným mechanizmom, sú zahrnuté do tejto kategórie.</w:t>
            </w:r>
          </w:p>
          <w:p w:rsidR="00AD4B22" w:rsidRPr="00E140EE" w:rsidRDefault="00881C3C" w:rsidP="00E140EE">
            <w:pPr>
              <w:pStyle w:val="List1"/>
              <w:rPr>
                <w:rFonts w:eastAsia="Cambria"/>
              </w:rPr>
            </w:pPr>
            <w:r w:rsidRPr="00E140EE">
              <w:t>„Softvér zakúpený</w:t>
            </w:r>
            <w:r w:rsidR="006B669F" w:rsidRPr="00E140EE">
              <w:t xml:space="preserve"> s </w:t>
            </w:r>
            <w:r w:rsidRPr="00E140EE">
              <w:t>úpravami na mieru“</w:t>
            </w:r>
          </w:p>
          <w:p w:rsidR="00AD4B22" w:rsidRPr="006B669F"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Aplikácie zakúpené na trhu, pre ktoré však predávajúci (alebo jeho zástupca) vytvoril osobitnú verziu daného zariadenia. Táto konkrétna verzia je charakterizovaná zmenami</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správaní aplikácie, novými prvkami alebo zahrnutím neštandardných pripojiteľných (plug-in) modulov vyvinutých</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súlade</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obchodnou činnosťou organizácie.</w:t>
            </w:r>
          </w:p>
          <w:p w:rsidR="00AD4B22" w:rsidRPr="00E140EE" w:rsidRDefault="00881C3C" w:rsidP="00E140EE">
            <w:pPr>
              <w:pStyle w:val="List1"/>
              <w:rPr>
                <w:rFonts w:eastAsia="Cambria"/>
              </w:rPr>
            </w:pPr>
            <w:r w:rsidRPr="00E140EE">
              <w:t>„Aplikácia/Externý portál“</w:t>
            </w:r>
          </w:p>
          <w:p w:rsidR="00AD4B22" w:rsidRPr="006B669F"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Externé portály alebo aplikácie, ktoré poskytujú tretie strany, zvyčajne partneri, na prístup</w:t>
            </w:r>
            <w:r w:rsidR="006B669F">
              <w:rPr>
                <w:rFonts w:ascii="Times New Roman" w:hAnsi="Times New Roman"/>
                <w:color w:val="000000" w:themeColor="text1"/>
                <w:spacing w:val="-2"/>
                <w:w w:val="95"/>
                <w:sz w:val="20"/>
              </w:rPr>
              <w:t xml:space="preserve"> k </w:t>
            </w:r>
            <w:r w:rsidRPr="006B669F">
              <w:rPr>
                <w:rFonts w:ascii="Times New Roman" w:hAnsi="Times New Roman"/>
                <w:color w:val="000000" w:themeColor="text1"/>
                <w:spacing w:val="-2"/>
                <w:w w:val="95"/>
                <w:sz w:val="20"/>
              </w:rPr>
              <w:t>službám, ktoré ponúkajú. Zvyčajne sú mimo rámca riadenia informačných systémov organizácie</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sú inštalované, udržiavané</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riadené samotným partnerom. Takéto žiadosti majú často formu portálov (prístupných prostredníctvom internetu alebo súkromných sietí)</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 xml:space="preserve">napriek tomu, že sú mimo rozsahu služieb riadenia informačných systémov organizácie, sú dôležité (alebo kritické) pre niektoré obchodné funkcie. </w:t>
            </w:r>
          </w:p>
        </w:tc>
      </w:tr>
      <w:tr w:rsidR="00D22EB0" w:rsidRPr="006B669F" w:rsidTr="00311CA4">
        <w:tc>
          <w:tcPr>
            <w:tcW w:w="1191" w:type="dxa"/>
            <w:tcBorders>
              <w:top w:val="single" w:sz="4" w:space="0" w:color="1A171C"/>
              <w:left w:val="nil"/>
              <w:bottom w:val="single" w:sz="4" w:space="0" w:color="1A171C"/>
              <w:right w:val="single" w:sz="4" w:space="0" w:color="1A171C"/>
            </w:tcBorders>
          </w:tcPr>
          <w:p w:rsidR="00AD4B22" w:rsidRPr="006B669F"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AD4B22" w:rsidRPr="00E140EE"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Opis</w:t>
            </w:r>
          </w:p>
          <w:p w:rsidR="00AD4B22" w:rsidRPr="006B669F"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Opis hlavného účelu informačného systému</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 xml:space="preserve">obchodných súvislostiach. </w:t>
            </w:r>
          </w:p>
        </w:tc>
      </w:tr>
      <w:tr w:rsidR="00D22EB0" w:rsidRPr="006B669F" w:rsidTr="00311CA4">
        <w:tc>
          <w:tcPr>
            <w:tcW w:w="1191" w:type="dxa"/>
            <w:tcBorders>
              <w:top w:val="single" w:sz="4" w:space="0" w:color="1A171C"/>
              <w:left w:val="nil"/>
              <w:bottom w:val="single" w:sz="4" w:space="0" w:color="1A171C"/>
              <w:right w:val="single" w:sz="4" w:space="0" w:color="1A171C"/>
            </w:tcBorders>
          </w:tcPr>
          <w:p w:rsidR="00AD4B22" w:rsidRPr="006B669F"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lastRenderedPageBreak/>
              <w:t>0050 – 0060</w:t>
            </w:r>
          </w:p>
        </w:tc>
        <w:tc>
          <w:tcPr>
            <w:tcW w:w="7892" w:type="dxa"/>
            <w:tcBorders>
              <w:top w:val="single" w:sz="4" w:space="0" w:color="1A171C"/>
              <w:left w:val="single" w:sz="4" w:space="0" w:color="1A171C"/>
              <w:bottom w:val="single" w:sz="4" w:space="0" w:color="1A171C"/>
              <w:right w:val="nil"/>
            </w:tcBorders>
          </w:tcPr>
          <w:p w:rsidR="00AD4B22" w:rsidRPr="006B669F"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sidRPr="00E140EE">
              <w:rPr>
                <w:rFonts w:ascii="Times New Roman" w:hAnsi="Times New Roman"/>
                <w:b/>
                <w:color w:val="000000" w:themeColor="text1"/>
                <w:sz w:val="20"/>
              </w:rPr>
              <w:t>Subjekt skupiny zodpovedný za systém</w:t>
            </w:r>
          </w:p>
        </w:tc>
      </w:tr>
      <w:tr w:rsidR="00D22EB0" w:rsidRPr="006B669F" w:rsidTr="00311CA4">
        <w:tc>
          <w:tcPr>
            <w:tcW w:w="1191" w:type="dxa"/>
            <w:tcBorders>
              <w:top w:val="single" w:sz="4" w:space="0" w:color="1A171C"/>
              <w:left w:val="nil"/>
              <w:bottom w:val="single" w:sz="4" w:space="0" w:color="1A171C"/>
              <w:right w:val="single" w:sz="4" w:space="0" w:color="1A171C"/>
            </w:tcBorders>
          </w:tcPr>
          <w:p w:rsidR="00AD4B22" w:rsidRPr="006B669F"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AD4B22" w:rsidRPr="00E140EE"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Názov subjektu</w:t>
            </w:r>
          </w:p>
          <w:p w:rsidR="00AD4B22" w:rsidRPr="006B669F"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Názov právneho subjektu zodpovedného za systém</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rámci skupiny.</w:t>
            </w:r>
          </w:p>
          <w:p w:rsidR="00AD4B22" w:rsidRPr="006B669F"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Ide</w:t>
            </w:r>
            <w:r w:rsidR="006B669F">
              <w:rPr>
                <w:rFonts w:ascii="Times New Roman" w:hAnsi="Times New Roman"/>
                <w:color w:val="000000" w:themeColor="text1"/>
                <w:spacing w:val="-2"/>
                <w:w w:val="95"/>
                <w:sz w:val="20"/>
              </w:rPr>
              <w:t xml:space="preserve"> o </w:t>
            </w:r>
            <w:r w:rsidRPr="006B669F">
              <w:rPr>
                <w:rFonts w:ascii="Times New Roman" w:hAnsi="Times New Roman"/>
                <w:color w:val="000000" w:themeColor="text1"/>
                <w:spacing w:val="-2"/>
                <w:w w:val="95"/>
                <w:sz w:val="20"/>
              </w:rPr>
              <w:t>subjekt zodpovedný za celkové obstarávanie, vývoj, integráciu, úpravu, prevádzku, údržbu</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vyradenie informačného systému, ktorý je kľúčovým prispievateľom pri vývoji konštrukčných špecifikácií systému</w:t>
            </w:r>
            <w:r w:rsidR="006B669F">
              <w:rPr>
                <w:rFonts w:ascii="Times New Roman" w:hAnsi="Times New Roman"/>
                <w:color w:val="000000" w:themeColor="text1"/>
                <w:spacing w:val="-2"/>
                <w:w w:val="95"/>
                <w:sz w:val="20"/>
              </w:rPr>
              <w:t xml:space="preserve"> s </w:t>
            </w:r>
            <w:r w:rsidRPr="006B669F">
              <w:rPr>
                <w:rFonts w:ascii="Times New Roman" w:hAnsi="Times New Roman"/>
                <w:color w:val="000000" w:themeColor="text1"/>
                <w:spacing w:val="-2"/>
                <w:w w:val="95"/>
                <w:sz w:val="20"/>
              </w:rPr>
              <w:t>cieľom zabezpečiť zdokumentovanie, testovanie</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splnenie bezpečnostných</w:t>
            </w:r>
            <w:r w:rsidR="006B669F">
              <w:rPr>
                <w:rFonts w:ascii="Times New Roman" w:hAnsi="Times New Roman"/>
                <w:color w:val="000000" w:themeColor="text1"/>
                <w:spacing w:val="-2"/>
                <w:w w:val="95"/>
                <w:sz w:val="20"/>
              </w:rPr>
              <w:t xml:space="preserve"> a </w:t>
            </w:r>
            <w:r w:rsidRPr="006B669F">
              <w:rPr>
                <w:rFonts w:ascii="Times New Roman" w:hAnsi="Times New Roman"/>
                <w:color w:val="000000" w:themeColor="text1"/>
                <w:spacing w:val="-2"/>
                <w:w w:val="95"/>
                <w:sz w:val="20"/>
              </w:rPr>
              <w:t>operačných potrieb používateľov.</w:t>
            </w:r>
          </w:p>
        </w:tc>
      </w:tr>
      <w:tr w:rsidR="00AD4B22" w:rsidRPr="006B669F" w:rsidTr="00311CA4">
        <w:tc>
          <w:tcPr>
            <w:tcW w:w="1191" w:type="dxa"/>
            <w:tcBorders>
              <w:top w:val="single" w:sz="4" w:space="0" w:color="1A171C"/>
              <w:left w:val="nil"/>
              <w:bottom w:val="single" w:sz="4" w:space="0" w:color="1A171C"/>
              <w:right w:val="single" w:sz="4" w:space="0" w:color="1A171C"/>
            </w:tcBorders>
          </w:tcPr>
          <w:p w:rsidR="00AD4B22" w:rsidRPr="006B669F"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AD4B22" w:rsidRPr="00E140EE"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Kód</w:t>
            </w:r>
          </w:p>
          <w:p w:rsidR="00AD4B22" w:rsidRPr="006B669F"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Kód právnickej osoby zodpovednej za systém</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rámci skupiny vykázaný</w:t>
            </w:r>
            <w:r w:rsidR="006B669F">
              <w:rPr>
                <w:rFonts w:ascii="Times New Roman" w:hAnsi="Times New Roman"/>
                <w:color w:val="000000" w:themeColor="text1"/>
                <w:spacing w:val="-2"/>
                <w:w w:val="95"/>
                <w:sz w:val="20"/>
              </w:rPr>
              <w:t xml:space="preserve"> v Z </w:t>
            </w:r>
            <w:r w:rsidRPr="006B669F">
              <w:rPr>
                <w:rFonts w:ascii="Times New Roman" w:hAnsi="Times New Roman"/>
                <w:color w:val="000000" w:themeColor="text1"/>
                <w:spacing w:val="-2"/>
                <w:w w:val="95"/>
                <w:sz w:val="20"/>
              </w:rPr>
              <w:t>01.00 – Organizačná štruktúra (ORG).</w:t>
            </w:r>
          </w:p>
        </w:tc>
      </w:tr>
    </w:tbl>
    <w:p w:rsidR="00AD4B22" w:rsidRPr="006B669F" w:rsidRDefault="00AD4B22" w:rsidP="00AD4B22">
      <w:pPr>
        <w:pStyle w:val="body"/>
        <w:rPr>
          <w:rFonts w:ascii="Times New Roman" w:hAnsi="Times New Roman" w:cs="Times New Roman"/>
          <w:color w:val="000000" w:themeColor="text1"/>
          <w:sz w:val="20"/>
          <w:szCs w:val="20"/>
        </w:rPr>
      </w:pPr>
    </w:p>
    <w:bookmarkEnd w:id="48"/>
    <w:p w:rsidR="007A4886" w:rsidRPr="00310799" w:rsidRDefault="0069056D" w:rsidP="006028B1">
      <w:pPr>
        <w:pStyle w:val="Numberedtitlelevel3"/>
        <w:rPr>
          <w:rFonts w:ascii="Times New Roman" w:hAnsi="Times New Roman" w:cs="Times New Roman"/>
          <w:b w:val="0"/>
          <w:color w:val="000000" w:themeColor="text1"/>
          <w:sz w:val="20"/>
          <w:szCs w:val="20"/>
          <w:u w:val="single"/>
        </w:rPr>
      </w:pPr>
      <w:r w:rsidRPr="00310799">
        <w:rPr>
          <w:rFonts w:ascii="Times New Roman" w:hAnsi="Times New Roman"/>
          <w:b w:val="0"/>
          <w:color w:val="000000" w:themeColor="text1"/>
          <w:sz w:val="20"/>
          <w:u w:val="single"/>
        </w:rPr>
        <w:t>Z 10 – 02 – Priradenie informačných systémov (CIS 2): Pokyny týkajúce sa konkrétnych pozícií</w:t>
      </w:r>
    </w:p>
    <w:p w:rsidR="006B669F" w:rsidRDefault="00720344" w:rsidP="004F233C">
      <w:pPr>
        <w:pStyle w:val="numberedparagraph"/>
      </w:pPr>
      <w:r w:rsidRPr="006B669F">
        <w:t>Kombinácia hodnôt vykázaných</w:t>
      </w:r>
      <w:r w:rsidR="006B669F">
        <w:t xml:space="preserve"> v </w:t>
      </w:r>
      <w:r w:rsidRPr="006B669F">
        <w:t>stĺpcoch 0010, 0030, 0040</w:t>
      </w:r>
      <w:r w:rsidR="006B669F">
        <w:t xml:space="preserve"> a </w:t>
      </w:r>
      <w:r w:rsidRPr="006B669F">
        <w:t>0050 tohto vzoru tvorí primárny kľúč, ktorý musí byť jedinečný pre každý riadok vzoru</w:t>
      </w:r>
      <w:r w:rsidR="006B669F">
        <w:t>.</w:t>
      </w:r>
    </w:p>
    <w:p w:rsidR="00720344" w:rsidRPr="006B669F"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6B669F" w:rsidTr="009D2C94">
        <w:tc>
          <w:tcPr>
            <w:tcW w:w="1191" w:type="dxa"/>
            <w:tcBorders>
              <w:top w:val="single" w:sz="4" w:space="0" w:color="1A171C"/>
              <w:left w:val="nil"/>
              <w:bottom w:val="single" w:sz="4" w:space="0" w:color="1A171C"/>
              <w:right w:val="single" w:sz="4" w:space="0" w:color="1A171C"/>
            </w:tcBorders>
            <w:shd w:val="clear" w:color="auto" w:fill="E4E5E5"/>
          </w:tcPr>
          <w:p w:rsidR="00881C3C" w:rsidRPr="006B669F"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Stĺpce</w:t>
            </w:r>
          </w:p>
        </w:tc>
        <w:tc>
          <w:tcPr>
            <w:tcW w:w="7892" w:type="dxa"/>
            <w:tcBorders>
              <w:top w:val="single" w:sz="4" w:space="0" w:color="1A171C"/>
              <w:left w:val="single" w:sz="4" w:space="0" w:color="1A171C"/>
              <w:bottom w:val="single" w:sz="4" w:space="0" w:color="1A171C"/>
              <w:right w:val="nil"/>
            </w:tcBorders>
            <w:shd w:val="clear" w:color="auto" w:fill="E4E5E5"/>
          </w:tcPr>
          <w:p w:rsidR="00881C3C" w:rsidRPr="006B669F"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Pokyny</w:t>
            </w:r>
          </w:p>
        </w:tc>
      </w:tr>
      <w:tr w:rsidR="00D22EB0" w:rsidRPr="006B669F" w:rsidTr="009D2C94">
        <w:tc>
          <w:tcPr>
            <w:tcW w:w="1191" w:type="dxa"/>
            <w:tcBorders>
              <w:top w:val="single" w:sz="4" w:space="0" w:color="1A171C"/>
              <w:left w:val="nil"/>
              <w:bottom w:val="single" w:sz="4" w:space="0" w:color="1A171C"/>
              <w:right w:val="single" w:sz="4" w:space="0" w:color="1A171C"/>
            </w:tcBorders>
          </w:tcPr>
          <w:p w:rsidR="00881C3C" w:rsidRPr="006B669F"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tcPr>
          <w:p w:rsidR="00881C3C" w:rsidRPr="00E140EE"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Identifikačný kód systému</w:t>
            </w:r>
          </w:p>
          <w:p w:rsidR="00881C3C" w:rsidRPr="006B669F"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Identifikačný kód informačného systému vykázaný</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stĺpci 010 vzoru</w:t>
            </w:r>
            <w:r w:rsidR="006B669F">
              <w:rPr>
                <w:rFonts w:ascii="Times New Roman" w:hAnsi="Times New Roman"/>
                <w:color w:val="000000" w:themeColor="text1"/>
                <w:spacing w:val="-2"/>
                <w:w w:val="95"/>
                <w:sz w:val="20"/>
              </w:rPr>
              <w:t xml:space="preserve"> Z </w:t>
            </w:r>
            <w:r w:rsidRPr="006B669F">
              <w:rPr>
                <w:rFonts w:ascii="Times New Roman" w:hAnsi="Times New Roman"/>
                <w:color w:val="000000" w:themeColor="text1"/>
                <w:spacing w:val="-2"/>
                <w:w w:val="95"/>
                <w:sz w:val="20"/>
              </w:rPr>
              <w:t>10.01 (CIS 1).</w:t>
            </w:r>
          </w:p>
        </w:tc>
      </w:tr>
      <w:tr w:rsidR="00D22EB0" w:rsidRPr="006B669F" w:rsidTr="009D2C94">
        <w:tc>
          <w:tcPr>
            <w:tcW w:w="1191" w:type="dxa"/>
            <w:tcBorders>
              <w:top w:val="single" w:sz="4" w:space="0" w:color="1A171C"/>
              <w:left w:val="nil"/>
              <w:bottom w:val="single" w:sz="4" w:space="0" w:color="1A171C"/>
              <w:right w:val="single" w:sz="4" w:space="0" w:color="1A171C"/>
            </w:tcBorders>
          </w:tcPr>
          <w:p w:rsidR="00881C3C" w:rsidRPr="006B669F"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0020 – 0030</w:t>
            </w:r>
          </w:p>
        </w:tc>
        <w:tc>
          <w:tcPr>
            <w:tcW w:w="7892" w:type="dxa"/>
            <w:tcBorders>
              <w:top w:val="single" w:sz="4" w:space="0" w:color="1A171C"/>
              <w:left w:val="single" w:sz="4" w:space="0" w:color="1A171C"/>
              <w:bottom w:val="single" w:sz="4" w:space="0" w:color="1A171C"/>
              <w:right w:val="nil"/>
            </w:tcBorders>
          </w:tcPr>
          <w:p w:rsidR="00881C3C" w:rsidRPr="00E140EE"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Používateľ systému</w:t>
            </w:r>
            <w:r w:rsidR="006B669F" w:rsidRPr="00E140EE">
              <w:rPr>
                <w:rFonts w:ascii="Times New Roman" w:hAnsi="Times New Roman"/>
                <w:b/>
                <w:color w:val="000000" w:themeColor="text1"/>
                <w:sz w:val="20"/>
              </w:rPr>
              <w:t xml:space="preserve"> v </w:t>
            </w:r>
            <w:r w:rsidRPr="00E140EE">
              <w:rPr>
                <w:rFonts w:ascii="Times New Roman" w:hAnsi="Times New Roman"/>
                <w:b/>
                <w:color w:val="000000" w:themeColor="text1"/>
                <w:sz w:val="20"/>
              </w:rPr>
              <w:t>rámci subjektu skupiny</w:t>
            </w:r>
          </w:p>
          <w:p w:rsidR="00881C3C" w:rsidRPr="006B669F"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Subjekt, ktorý používa systém</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rámci skupiny („používateľ“). Môže existovať niekoľko používateľov, pričom</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takom prípade sa ten istý informačný systém vykazuje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 xml:space="preserve">niekoľkých riadkoch. </w:t>
            </w:r>
          </w:p>
        </w:tc>
      </w:tr>
      <w:tr w:rsidR="00D22EB0" w:rsidRPr="006B669F" w:rsidTr="009D2C94">
        <w:tc>
          <w:tcPr>
            <w:tcW w:w="1191" w:type="dxa"/>
            <w:tcBorders>
              <w:top w:val="single" w:sz="4" w:space="0" w:color="1A171C"/>
              <w:left w:val="nil"/>
              <w:bottom w:val="single" w:sz="4" w:space="0" w:color="1A171C"/>
              <w:right w:val="single" w:sz="4" w:space="0" w:color="1A171C"/>
            </w:tcBorders>
          </w:tcPr>
          <w:p w:rsidR="00881C3C" w:rsidRPr="006B669F"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881C3C" w:rsidRPr="00E140EE"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Názov subjektu</w:t>
            </w:r>
          </w:p>
          <w:p w:rsidR="00881C3C" w:rsidRPr="006B669F"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Názov používateľského subjektu vykázaný</w:t>
            </w:r>
            <w:r w:rsidR="006B669F">
              <w:rPr>
                <w:rFonts w:ascii="Times New Roman" w:hAnsi="Times New Roman"/>
                <w:color w:val="000000" w:themeColor="text1"/>
                <w:spacing w:val="-2"/>
                <w:w w:val="95"/>
                <w:sz w:val="20"/>
              </w:rPr>
              <w:t xml:space="preserve"> v Z </w:t>
            </w:r>
            <w:r w:rsidRPr="006B669F">
              <w:rPr>
                <w:rFonts w:ascii="Times New Roman" w:hAnsi="Times New Roman"/>
                <w:color w:val="000000" w:themeColor="text1"/>
                <w:spacing w:val="-2"/>
                <w:w w:val="95"/>
                <w:sz w:val="20"/>
              </w:rPr>
              <w:t>01.00 (ORG)</w:t>
            </w:r>
          </w:p>
        </w:tc>
      </w:tr>
      <w:tr w:rsidR="00D22EB0" w:rsidRPr="006B669F" w:rsidTr="009D2C94">
        <w:tc>
          <w:tcPr>
            <w:tcW w:w="1191" w:type="dxa"/>
            <w:tcBorders>
              <w:top w:val="single" w:sz="4" w:space="0" w:color="1A171C"/>
              <w:left w:val="nil"/>
              <w:bottom w:val="single" w:sz="4" w:space="0" w:color="1A171C"/>
              <w:right w:val="single" w:sz="4" w:space="0" w:color="1A171C"/>
            </w:tcBorders>
          </w:tcPr>
          <w:p w:rsidR="00881C3C" w:rsidRPr="006B669F"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881C3C" w:rsidRPr="00E140EE"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Kód</w:t>
            </w:r>
          </w:p>
          <w:p w:rsidR="00881C3C" w:rsidRPr="006B669F"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Kód používateľského subjektu vykázaný</w:t>
            </w:r>
            <w:r w:rsidR="006B669F">
              <w:rPr>
                <w:rFonts w:ascii="Times New Roman" w:hAnsi="Times New Roman"/>
                <w:color w:val="000000" w:themeColor="text1"/>
                <w:spacing w:val="-2"/>
                <w:w w:val="95"/>
                <w:sz w:val="20"/>
              </w:rPr>
              <w:t xml:space="preserve"> v Z </w:t>
            </w:r>
            <w:r w:rsidRPr="006B669F">
              <w:rPr>
                <w:rFonts w:ascii="Times New Roman" w:hAnsi="Times New Roman"/>
                <w:color w:val="000000" w:themeColor="text1"/>
                <w:spacing w:val="-2"/>
                <w:w w:val="95"/>
                <w:sz w:val="20"/>
              </w:rPr>
              <w:t>01.00 (ORG)</w:t>
            </w:r>
          </w:p>
        </w:tc>
      </w:tr>
      <w:tr w:rsidR="00D22EB0" w:rsidRPr="006B669F" w:rsidTr="009D2C94">
        <w:tc>
          <w:tcPr>
            <w:tcW w:w="1191" w:type="dxa"/>
            <w:tcBorders>
              <w:top w:val="single" w:sz="4" w:space="0" w:color="1A171C"/>
              <w:left w:val="nil"/>
              <w:bottom w:val="single" w:sz="4" w:space="0" w:color="1A171C"/>
              <w:right w:val="single" w:sz="4" w:space="0" w:color="1A171C"/>
            </w:tcBorders>
          </w:tcPr>
          <w:p w:rsidR="00CD44BD" w:rsidRPr="006B669F"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CD44BD" w:rsidRPr="00E140EE" w:rsidRDefault="00CD44BD" w:rsidP="00881C3C">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Kritická služba</w:t>
            </w:r>
          </w:p>
          <w:p w:rsidR="009F7D69" w:rsidRPr="006B669F" w:rsidRDefault="00CD44BD" w:rsidP="00BC1F79">
            <w:pPr>
              <w:pStyle w:val="TableParagraph"/>
              <w:spacing w:before="108"/>
              <w:ind w:left="85"/>
              <w:jc w:val="both"/>
              <w:rPr>
                <w:rFonts w:ascii="Times New Roman" w:hAnsi="Times New Roman" w:cs="Times New Roman"/>
                <w:bCs/>
                <w:color w:val="000000" w:themeColor="text1"/>
                <w:sz w:val="20"/>
                <w:szCs w:val="20"/>
              </w:rPr>
            </w:pPr>
            <w:r w:rsidRPr="006B669F">
              <w:rPr>
                <w:rFonts w:ascii="Times New Roman" w:hAnsi="Times New Roman"/>
                <w:color w:val="000000" w:themeColor="text1"/>
                <w:sz w:val="20"/>
              </w:rPr>
              <w:t>Identifikátor kritickej služby, ktorú systém podporuje, vykázaný</w:t>
            </w:r>
            <w:r w:rsidR="006B669F">
              <w:rPr>
                <w:rFonts w:ascii="Times New Roman" w:hAnsi="Times New Roman"/>
                <w:color w:val="000000" w:themeColor="text1"/>
                <w:sz w:val="20"/>
              </w:rPr>
              <w:t xml:space="preserve"> v Z </w:t>
            </w:r>
            <w:r w:rsidRPr="006B669F">
              <w:rPr>
                <w:rFonts w:ascii="Times New Roman" w:hAnsi="Times New Roman"/>
                <w:color w:val="000000" w:themeColor="text1"/>
                <w:sz w:val="20"/>
              </w:rPr>
              <w:t>08.00 (stĺpec 0005). Kritická služba môže byť sama osebe IT službou alebo iným druhom služby, ktorú podporuje informačný systém (napríklad spracovanie transakcií).</w:t>
            </w:r>
          </w:p>
        </w:tc>
      </w:tr>
      <w:tr w:rsidR="00D22EB0" w:rsidRPr="006B669F" w:rsidTr="009D2C94">
        <w:tc>
          <w:tcPr>
            <w:tcW w:w="1191" w:type="dxa"/>
            <w:tcBorders>
              <w:top w:val="single" w:sz="4" w:space="0" w:color="1A171C"/>
              <w:left w:val="nil"/>
              <w:bottom w:val="single" w:sz="4" w:space="0" w:color="1A171C"/>
              <w:right w:val="single" w:sz="4" w:space="0" w:color="1A171C"/>
            </w:tcBorders>
          </w:tcPr>
          <w:p w:rsidR="00881C3C" w:rsidRPr="006B669F"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 xml:space="preserve">0050 – 0060 </w:t>
            </w:r>
          </w:p>
        </w:tc>
        <w:tc>
          <w:tcPr>
            <w:tcW w:w="7892" w:type="dxa"/>
            <w:tcBorders>
              <w:top w:val="single" w:sz="4" w:space="0" w:color="1A171C"/>
              <w:left w:val="single" w:sz="4" w:space="0" w:color="1A171C"/>
              <w:bottom w:val="single" w:sz="4" w:space="0" w:color="1A171C"/>
              <w:right w:val="nil"/>
            </w:tcBorders>
          </w:tcPr>
          <w:p w:rsidR="00881C3C" w:rsidRPr="00E140EE" w:rsidRDefault="00720344" w:rsidP="00881C3C">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Zásadná funkcia</w:t>
            </w:r>
          </w:p>
          <w:p w:rsidR="00881C3C" w:rsidRPr="006B669F"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Zásadná funkcia, ktorá by bola vážne obmedzená alebo úplne znemožnená</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dôsledku prerušenia služieb podporovaných informačným systémom. Môže existovať niekoľko zásadných funkcií, pričom</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takom prípade sa ten istý informačný systém vykazuje</w:t>
            </w:r>
            <w:r w:rsidR="006B669F">
              <w:rPr>
                <w:rFonts w:ascii="Times New Roman" w:hAnsi="Times New Roman"/>
                <w:color w:val="000000" w:themeColor="text1"/>
                <w:spacing w:val="-2"/>
                <w:w w:val="95"/>
                <w:sz w:val="20"/>
              </w:rPr>
              <w:t xml:space="preserve"> v </w:t>
            </w:r>
            <w:r w:rsidRPr="006B669F">
              <w:rPr>
                <w:rFonts w:ascii="Times New Roman" w:hAnsi="Times New Roman"/>
                <w:color w:val="000000" w:themeColor="text1"/>
                <w:spacing w:val="-2"/>
                <w:w w:val="95"/>
                <w:sz w:val="20"/>
              </w:rPr>
              <w:t>niekoľkých riadkoch.</w:t>
            </w:r>
          </w:p>
        </w:tc>
      </w:tr>
      <w:tr w:rsidR="00D22EB0" w:rsidRPr="006B669F" w:rsidTr="009D2C94">
        <w:tc>
          <w:tcPr>
            <w:tcW w:w="1191" w:type="dxa"/>
            <w:tcBorders>
              <w:top w:val="single" w:sz="4" w:space="0" w:color="1A171C"/>
              <w:left w:val="nil"/>
              <w:bottom w:val="single" w:sz="4" w:space="0" w:color="1A171C"/>
              <w:right w:val="single" w:sz="4" w:space="0" w:color="1A171C"/>
            </w:tcBorders>
            <w:vAlign w:val="center"/>
          </w:tcPr>
          <w:p w:rsidR="00881C3C" w:rsidRPr="006B669F"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881C3C" w:rsidRPr="00E140EE" w:rsidRDefault="00A22166" w:rsidP="009D2C94">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Štát</w:t>
            </w:r>
          </w:p>
          <w:p w:rsidR="00881C3C" w:rsidRPr="00E140EE" w:rsidRDefault="009D5DAF" w:rsidP="009D2C94">
            <w:pPr>
              <w:pStyle w:val="TableParagraph"/>
              <w:spacing w:before="108"/>
              <w:ind w:left="85"/>
              <w:rPr>
                <w:rFonts w:ascii="Times New Roman" w:hAnsi="Times New Roman" w:cs="Times New Roman"/>
                <w:b/>
                <w:bCs/>
                <w:color w:val="000000" w:themeColor="text1"/>
                <w:sz w:val="20"/>
                <w:szCs w:val="20"/>
              </w:rPr>
            </w:pPr>
            <w:r w:rsidRPr="006B669F">
              <w:rPr>
                <w:rFonts w:ascii="Times New Roman" w:hAnsi="Times New Roman"/>
                <w:color w:val="000000" w:themeColor="text1"/>
                <w:spacing w:val="-2"/>
                <w:w w:val="95"/>
                <w:sz w:val="20"/>
              </w:rPr>
              <w:t>Štát, pre ktorý je funkcia zásadná, vykázaný</w:t>
            </w:r>
            <w:r w:rsidR="006B669F">
              <w:rPr>
                <w:rFonts w:ascii="Times New Roman" w:hAnsi="Times New Roman"/>
                <w:color w:val="000000" w:themeColor="text1"/>
                <w:spacing w:val="-2"/>
                <w:w w:val="95"/>
                <w:sz w:val="20"/>
              </w:rPr>
              <w:t xml:space="preserve"> v Z </w:t>
            </w:r>
            <w:r w:rsidRPr="006B669F">
              <w:rPr>
                <w:rFonts w:ascii="Times New Roman" w:hAnsi="Times New Roman"/>
                <w:color w:val="000000" w:themeColor="text1"/>
                <w:spacing w:val="-2"/>
                <w:w w:val="95"/>
                <w:sz w:val="20"/>
              </w:rPr>
              <w:t>07.01 (FUNC 1)</w:t>
            </w:r>
          </w:p>
        </w:tc>
      </w:tr>
      <w:tr w:rsidR="00881C3C" w:rsidRPr="006B669F" w:rsidTr="009D2C94">
        <w:tc>
          <w:tcPr>
            <w:tcW w:w="1191" w:type="dxa"/>
            <w:tcBorders>
              <w:top w:val="single" w:sz="4" w:space="0" w:color="1A171C"/>
              <w:left w:val="nil"/>
              <w:bottom w:val="single" w:sz="4" w:space="0" w:color="1A171C"/>
              <w:right w:val="single" w:sz="4" w:space="0" w:color="1A171C"/>
            </w:tcBorders>
            <w:vAlign w:val="center"/>
          </w:tcPr>
          <w:p w:rsidR="00881C3C" w:rsidRPr="006B669F"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B669F">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881C3C" w:rsidRPr="00E140EE" w:rsidRDefault="00881C3C" w:rsidP="009D2C94">
            <w:pPr>
              <w:pStyle w:val="TableParagraph"/>
              <w:spacing w:before="108"/>
              <w:ind w:left="85"/>
              <w:jc w:val="both"/>
              <w:rPr>
                <w:rFonts w:ascii="Times New Roman" w:hAnsi="Times New Roman" w:cs="Times New Roman"/>
                <w:b/>
                <w:bCs/>
                <w:color w:val="000000" w:themeColor="text1"/>
                <w:sz w:val="20"/>
                <w:szCs w:val="20"/>
              </w:rPr>
            </w:pPr>
            <w:r w:rsidRPr="00E140EE">
              <w:rPr>
                <w:rFonts w:ascii="Times New Roman" w:hAnsi="Times New Roman"/>
                <w:b/>
                <w:color w:val="000000" w:themeColor="text1"/>
                <w:sz w:val="20"/>
              </w:rPr>
              <w:t>ID</w:t>
            </w:r>
          </w:p>
          <w:p w:rsidR="00881C3C" w:rsidRPr="00E140EE" w:rsidRDefault="00881C3C" w:rsidP="009D2C94">
            <w:pPr>
              <w:pStyle w:val="TableParagraph"/>
              <w:spacing w:before="108"/>
              <w:ind w:left="85"/>
              <w:jc w:val="both"/>
              <w:rPr>
                <w:rFonts w:ascii="Times New Roman" w:hAnsi="Times New Roman" w:cs="Times New Roman"/>
                <w:b/>
                <w:bCs/>
                <w:color w:val="000000" w:themeColor="text1"/>
                <w:spacing w:val="-4"/>
                <w:sz w:val="20"/>
                <w:szCs w:val="20"/>
              </w:rPr>
            </w:pPr>
            <w:r w:rsidRPr="00E140EE">
              <w:rPr>
                <w:rFonts w:ascii="Times New Roman" w:hAnsi="Times New Roman"/>
                <w:color w:val="000000" w:themeColor="text1"/>
                <w:spacing w:val="-4"/>
                <w:w w:val="95"/>
                <w:sz w:val="20"/>
              </w:rPr>
              <w:t>Identifikátor zásadných funkcií podľa vymedzenia</w:t>
            </w:r>
            <w:r w:rsidR="006B669F" w:rsidRPr="00E140EE">
              <w:rPr>
                <w:rFonts w:ascii="Times New Roman" w:hAnsi="Times New Roman"/>
                <w:color w:val="000000" w:themeColor="text1"/>
                <w:spacing w:val="-4"/>
                <w:w w:val="95"/>
                <w:sz w:val="20"/>
              </w:rPr>
              <w:t xml:space="preserve"> v </w:t>
            </w:r>
            <w:r w:rsidRPr="00E140EE">
              <w:rPr>
                <w:rFonts w:ascii="Times New Roman" w:hAnsi="Times New Roman"/>
                <w:color w:val="000000" w:themeColor="text1"/>
                <w:spacing w:val="-4"/>
                <w:w w:val="95"/>
                <w:sz w:val="20"/>
              </w:rPr>
              <w:t>kapitole 2.7.1.4 vyššie</w:t>
            </w:r>
            <w:r w:rsidR="006B669F" w:rsidRPr="00E140EE">
              <w:rPr>
                <w:rFonts w:ascii="Times New Roman" w:hAnsi="Times New Roman"/>
                <w:color w:val="000000" w:themeColor="text1"/>
                <w:spacing w:val="-4"/>
                <w:w w:val="95"/>
                <w:sz w:val="20"/>
              </w:rPr>
              <w:t xml:space="preserve"> a </w:t>
            </w:r>
            <w:r w:rsidRPr="00E140EE">
              <w:rPr>
                <w:rFonts w:ascii="Times New Roman" w:hAnsi="Times New Roman"/>
                <w:color w:val="000000" w:themeColor="text1"/>
                <w:spacing w:val="-4"/>
                <w:w w:val="95"/>
                <w:sz w:val="20"/>
              </w:rPr>
              <w:t>vo vzore</w:t>
            </w:r>
            <w:r w:rsidR="006B669F" w:rsidRPr="00E140EE">
              <w:rPr>
                <w:rFonts w:ascii="Times New Roman" w:hAnsi="Times New Roman"/>
                <w:color w:val="000000" w:themeColor="text1"/>
                <w:spacing w:val="-4"/>
                <w:w w:val="95"/>
                <w:sz w:val="20"/>
              </w:rPr>
              <w:t xml:space="preserve"> Z </w:t>
            </w:r>
            <w:r w:rsidRPr="00E140EE">
              <w:rPr>
                <w:rFonts w:ascii="Times New Roman" w:hAnsi="Times New Roman"/>
                <w:color w:val="000000" w:themeColor="text1"/>
                <w:spacing w:val="-4"/>
                <w:w w:val="95"/>
                <w:sz w:val="20"/>
              </w:rPr>
              <w:t xml:space="preserve">07.01 (FUNC </w:t>
            </w:r>
            <w:r w:rsidRPr="00E140EE">
              <w:rPr>
                <w:rFonts w:ascii="Times New Roman" w:hAnsi="Times New Roman"/>
                <w:color w:val="000000" w:themeColor="text1"/>
                <w:spacing w:val="-4"/>
                <w:w w:val="95"/>
                <w:sz w:val="20"/>
              </w:rPr>
              <w:lastRenderedPageBreak/>
              <w:t>1)</w:t>
            </w:r>
          </w:p>
        </w:tc>
      </w:tr>
    </w:tbl>
    <w:p w:rsidR="001E5EDF" w:rsidRPr="006B669F" w:rsidRDefault="001E5EDF" w:rsidP="00322967">
      <w:pPr>
        <w:pStyle w:val="body"/>
        <w:rPr>
          <w:rFonts w:ascii="Times New Roman" w:hAnsi="Times New Roman" w:cs="Times New Roman"/>
          <w:color w:val="000000" w:themeColor="text1"/>
          <w:sz w:val="20"/>
          <w:szCs w:val="20"/>
        </w:rPr>
      </w:pPr>
    </w:p>
    <w:sectPr w:rsidR="001E5EDF" w:rsidRPr="006B669F" w:rsidSect="00B665D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0EE" w:rsidRDefault="00E140EE" w:rsidP="001E5EDF">
      <w:r>
        <w:separator/>
      </w:r>
    </w:p>
  </w:endnote>
  <w:endnote w:type="continuationSeparator" w:id="0">
    <w:p w:rsidR="00E140EE" w:rsidRDefault="00E140EE"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EUAlbertina">
    <w:altName w:val="Times New Roman"/>
    <w:panose1 w:val="00000000000000000000"/>
    <w:charset w:val="00"/>
    <w:family w:val="auto"/>
    <w:notTrueType/>
    <w:pitch w:val="default"/>
    <w:sig w:usb0="00000001" w:usb1="00000000" w:usb2="00000000" w:usb3="00000000" w:csb0="00000003"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105955"/>
      <w:docPartObj>
        <w:docPartGallery w:val="Page Numbers (Bottom of Page)"/>
        <w:docPartUnique/>
      </w:docPartObj>
    </w:sdtPr>
    <w:sdtEndPr>
      <w:rPr>
        <w:noProof/>
      </w:rPr>
    </w:sdtEndPr>
    <w:sdtContent>
      <w:p w:rsidR="00E140EE" w:rsidRDefault="00E140EE" w:rsidP="000E60D6">
        <w:pPr>
          <w:pStyle w:val="Footer"/>
          <w:jc w:val="center"/>
        </w:pPr>
        <w:r>
          <w:rPr>
            <w:noProof/>
          </w:rPr>
          <w:fldChar w:fldCharType="begin"/>
        </w:r>
        <w:r>
          <w:rPr>
            <w:noProof/>
          </w:rPr>
          <w:instrText xml:space="preserve"> PAGE   \* MERGEFORMAT </w:instrText>
        </w:r>
        <w:r>
          <w:rPr>
            <w:noProof/>
          </w:rPr>
          <w:fldChar w:fldCharType="separate"/>
        </w:r>
        <w:r w:rsidR="00310799">
          <w:rPr>
            <w:noProof/>
          </w:rPr>
          <w:t>1</w:t>
        </w:r>
        <w:r>
          <w:rPr>
            <w:noProof/>
          </w:rPr>
          <w:fldChar w:fldCharType="end"/>
        </w:r>
      </w:p>
    </w:sdtContent>
  </w:sdt>
  <w:p w:rsidR="00E140EE" w:rsidRDefault="00E140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0EE" w:rsidRDefault="00E140EE" w:rsidP="001E5EDF">
      <w:r>
        <w:separator/>
      </w:r>
    </w:p>
  </w:footnote>
  <w:footnote w:type="continuationSeparator" w:id="0">
    <w:p w:rsidR="00E140EE" w:rsidRDefault="00E140EE" w:rsidP="001E5EDF">
      <w:r>
        <w:continuationSeparator/>
      </w:r>
    </w:p>
  </w:footnote>
  <w:footnote w:id="1">
    <w:p w:rsidR="00E140EE" w:rsidRPr="00EB4DE6" w:rsidRDefault="00E140EE" w:rsidP="008E5458">
      <w:pPr>
        <w:pStyle w:val="FootnoteText"/>
      </w:pPr>
      <w:r w:rsidRPr="00EB4DE6">
        <w:rPr>
          <w:rStyle w:val="FootnoteReference"/>
          <w:rFonts w:ascii="Times New Roman" w:hAnsi="Times New Roman"/>
        </w:rPr>
        <w:footnoteRef/>
      </w:r>
      <w:r w:rsidRPr="00EB4DE6">
        <w:t xml:space="preserve"> Vykonávacie nariadenie Komisie (EÚ) č. 680/2014 zo 16</w:t>
      </w:r>
      <w:r>
        <w:t>. apríla</w:t>
      </w:r>
      <w:r w:rsidRPr="00EB4DE6">
        <w:t xml:space="preserve"> 2014, ktorým sa stanovujú vykonávacie technické predpisy, pokiaľ ide</w:t>
      </w:r>
      <w:r>
        <w:t xml:space="preserve"> o </w:t>
      </w:r>
      <w:r w:rsidRPr="00EB4DE6">
        <w:t>vykazovanie inštitúciami na účely dohľadu podľa nariadenia Európskeho parlamentu</w:t>
      </w:r>
      <w:r>
        <w:t xml:space="preserve"> a </w:t>
      </w:r>
      <w:r w:rsidRPr="00EB4DE6">
        <w:t>Rady (EÚ) č. 575/2013 (Ú. v. EÚ L 191, 28.6.2014, s. 1).</w:t>
      </w:r>
    </w:p>
  </w:footnote>
  <w:footnote w:id="2">
    <w:p w:rsidR="00E140EE" w:rsidRPr="00EB4DE6" w:rsidRDefault="00E140EE" w:rsidP="008E5458">
      <w:pPr>
        <w:pStyle w:val="FootnoteText"/>
      </w:pPr>
      <w:r w:rsidRPr="00EB4DE6">
        <w:rPr>
          <w:rStyle w:val="FootnoteReference"/>
          <w:rFonts w:ascii="Times New Roman" w:hAnsi="Times New Roman"/>
        </w:rPr>
        <w:footnoteRef/>
      </w:r>
      <w:r w:rsidRPr="00EB4DE6">
        <w:t xml:space="preserve"> Nariadenie Európskeho parlamentu</w:t>
      </w:r>
      <w:r>
        <w:t xml:space="preserve"> a </w:t>
      </w:r>
      <w:r w:rsidRPr="00EB4DE6">
        <w:t>Rady (ES) č. 1606/2002</w:t>
      </w:r>
      <w:r>
        <w:t xml:space="preserve"> z </w:t>
      </w:r>
      <w:r w:rsidRPr="00EB4DE6">
        <w:t>19</w:t>
      </w:r>
      <w:r>
        <w:t>. júla</w:t>
      </w:r>
      <w:r w:rsidRPr="00EB4DE6">
        <w:t xml:space="preserve"> 2002</w:t>
      </w:r>
      <w:r>
        <w:t xml:space="preserve"> o </w:t>
      </w:r>
      <w:r w:rsidRPr="00EB4DE6">
        <w:t>uplatňovaní medzinárodných účtovných noriem (Ú. v. ES L 243, 11.9.2002, s. 1).</w:t>
      </w:r>
    </w:p>
  </w:footnote>
  <w:footnote w:id="3">
    <w:p w:rsidR="00E140EE" w:rsidRPr="00EB4DE6" w:rsidRDefault="00E140EE" w:rsidP="00543060">
      <w:pPr>
        <w:pStyle w:val="FootnoteText"/>
      </w:pPr>
      <w:r w:rsidRPr="00EB4DE6">
        <w:rPr>
          <w:rStyle w:val="FootnoteReference"/>
          <w:rFonts w:ascii="Times New Roman" w:hAnsi="Times New Roman"/>
        </w:rPr>
        <w:footnoteRef/>
      </w:r>
      <w:r w:rsidRPr="00EB4DE6">
        <w:t xml:space="preserve"> Nariadenie Európskeho parlamentu</w:t>
      </w:r>
      <w:r>
        <w:t xml:space="preserve"> a </w:t>
      </w:r>
      <w:r w:rsidRPr="00EB4DE6">
        <w:t>Rady (ES) č. 1606/2002</w:t>
      </w:r>
      <w:r>
        <w:t xml:space="preserve"> z </w:t>
      </w:r>
      <w:r w:rsidRPr="00EB4DE6">
        <w:t>19</w:t>
      </w:r>
      <w:r>
        <w:t>. júla</w:t>
      </w:r>
      <w:r w:rsidRPr="00EB4DE6">
        <w:t xml:space="preserve"> 2002</w:t>
      </w:r>
      <w:r>
        <w:t xml:space="preserve"> o </w:t>
      </w:r>
      <w:r w:rsidRPr="00EB4DE6">
        <w:t>uplatňovaní medzinárodných účtovných noriem (Ú. v. ES L 243, 11.9.2002, s. 1).</w:t>
      </w:r>
    </w:p>
  </w:footnote>
  <w:footnote w:id="4">
    <w:p w:rsidR="00E140EE" w:rsidRPr="00EB4DE6" w:rsidRDefault="00E140EE" w:rsidP="00543060">
      <w:pPr>
        <w:pStyle w:val="FootnoteText"/>
      </w:pPr>
      <w:r w:rsidRPr="00EB4DE6">
        <w:rPr>
          <w:rStyle w:val="FootnoteReference"/>
          <w:rFonts w:ascii="Times New Roman" w:hAnsi="Times New Roman"/>
        </w:rPr>
        <w:footnoteRef/>
      </w:r>
      <w:r w:rsidRPr="00EB4DE6">
        <w:t xml:space="preserve"> Smernica Rady 86/635/EHS</w:t>
      </w:r>
      <w:r>
        <w:t xml:space="preserve"> z </w:t>
      </w:r>
      <w:r w:rsidRPr="00EB4DE6">
        <w:t>8</w:t>
      </w:r>
      <w:r>
        <w:t>. decembra</w:t>
      </w:r>
      <w:r w:rsidRPr="00EB4DE6">
        <w:t xml:space="preserve"> 1986</w:t>
      </w:r>
      <w:r>
        <w:t xml:space="preserve"> o </w:t>
      </w:r>
      <w:r w:rsidRPr="00EB4DE6">
        <w:t>ročnej účtovnej závierke</w:t>
      </w:r>
      <w:r>
        <w:t xml:space="preserve"> a </w:t>
      </w:r>
      <w:r w:rsidRPr="00EB4DE6">
        <w:t>konsolidovaných účtoch bánk</w:t>
      </w:r>
      <w:r>
        <w:t xml:space="preserve"> a </w:t>
      </w:r>
      <w:r w:rsidRPr="00EB4DE6">
        <w:t>iných finančných inštitúcií (Ú. v. ES L 372, 31.12.1986, s. 1).</w:t>
      </w:r>
    </w:p>
  </w:footnote>
  <w:footnote w:id="5">
    <w:p w:rsidR="00E140EE" w:rsidRPr="00EB4DE6" w:rsidRDefault="00E140EE" w:rsidP="00543060">
      <w:pPr>
        <w:pStyle w:val="FootnoteText"/>
      </w:pPr>
      <w:r w:rsidRPr="00EB4DE6">
        <w:rPr>
          <w:rStyle w:val="FootnoteReference"/>
          <w:rFonts w:ascii="Times New Roman" w:hAnsi="Times New Roman"/>
        </w:rPr>
        <w:footnoteRef/>
      </w:r>
      <w:r w:rsidRPr="00EB4DE6">
        <w:t xml:space="preserve"> Nariadenie Európskeho parlamentu</w:t>
      </w:r>
      <w:r>
        <w:t xml:space="preserve"> a </w:t>
      </w:r>
      <w:r w:rsidRPr="00EB4DE6">
        <w:t>Rady (EÚ) č. 575/2013</w:t>
      </w:r>
      <w:r>
        <w:t xml:space="preserve"> z </w:t>
      </w:r>
      <w:r w:rsidRPr="00EB4DE6">
        <w:t>26</w:t>
      </w:r>
      <w:r>
        <w:t>. júna</w:t>
      </w:r>
      <w:r w:rsidRPr="00EB4DE6">
        <w:t xml:space="preserve"> 2013</w:t>
      </w:r>
      <w:r>
        <w:t xml:space="preserve"> o </w:t>
      </w:r>
      <w:r w:rsidRPr="00EB4DE6">
        <w:t>prudenciálnych požiadavkách na úverové inštitúcie</w:t>
      </w:r>
      <w:r>
        <w:t xml:space="preserve"> a </w:t>
      </w:r>
      <w:r w:rsidRPr="00EB4DE6">
        <w:t>investičné spoločnosti</w:t>
      </w:r>
      <w:r>
        <w:t xml:space="preserve"> a o </w:t>
      </w:r>
      <w:r w:rsidRPr="00EB4DE6">
        <w:t>zmene nariadenia (EÚ) č. 648/2012 (Ú. v. EÚ L 176, 27.6.2013, s. 1).</w:t>
      </w:r>
    </w:p>
  </w:footnote>
  <w:footnote w:id="6">
    <w:p w:rsidR="00E140EE" w:rsidRPr="00EB4DE6" w:rsidRDefault="00E140EE" w:rsidP="00543060">
      <w:pPr>
        <w:pStyle w:val="FootnoteText"/>
      </w:pPr>
      <w:r w:rsidRPr="00EB4DE6">
        <w:rPr>
          <w:rStyle w:val="FootnoteReference"/>
        </w:rPr>
        <w:footnoteRef/>
      </w:r>
      <w:r w:rsidRPr="00EB4DE6">
        <w:t xml:space="preserve"> Smernica Európskeho parlamentu</w:t>
      </w:r>
      <w:r>
        <w:t xml:space="preserve"> a </w:t>
      </w:r>
      <w:r w:rsidRPr="00EB4DE6">
        <w:t>Rady 2013/36/EÚ</w:t>
      </w:r>
      <w:r>
        <w:t xml:space="preserve"> z </w:t>
      </w:r>
      <w:r w:rsidRPr="00EB4DE6">
        <w:t>26</w:t>
      </w:r>
      <w:r>
        <w:t>. júna</w:t>
      </w:r>
      <w:r w:rsidRPr="00EB4DE6">
        <w:t xml:space="preserve"> 2013</w:t>
      </w:r>
      <w:r>
        <w:t xml:space="preserve"> o </w:t>
      </w:r>
      <w:r w:rsidRPr="00EB4DE6">
        <w:t>prístupe</w:t>
      </w:r>
      <w:r>
        <w:t xml:space="preserve"> k </w:t>
      </w:r>
      <w:r w:rsidRPr="00EB4DE6">
        <w:t>činnosti úverových inštitúcií</w:t>
      </w:r>
      <w:r>
        <w:t xml:space="preserve"> a </w:t>
      </w:r>
      <w:r w:rsidRPr="00EB4DE6">
        <w:t>prudenciálnom dohľade nad úverovými inštitúciami</w:t>
      </w:r>
      <w:r>
        <w:t xml:space="preserve"> a </w:t>
      </w:r>
      <w:r w:rsidRPr="00EB4DE6">
        <w:t>investičnými spoločnosťami,</w:t>
      </w:r>
      <w:r>
        <w:t xml:space="preserve"> o </w:t>
      </w:r>
      <w:r w:rsidRPr="00EB4DE6">
        <w:t>zmene smernice 2002/87/ES</w:t>
      </w:r>
      <w:r>
        <w:t xml:space="preserve"> a o </w:t>
      </w:r>
      <w:r w:rsidRPr="00EB4DE6">
        <w:t>zrušení smerníc 2006/48/ES</w:t>
      </w:r>
      <w:r>
        <w:t xml:space="preserve"> a </w:t>
      </w:r>
      <w:r w:rsidRPr="00EB4DE6">
        <w:t>2006/49/ES (Ú. v. EÚ L 176, 27.6.2013, s. 338).</w:t>
      </w:r>
    </w:p>
  </w:footnote>
  <w:footnote w:id="7">
    <w:p w:rsidR="00E140EE" w:rsidRPr="00EB4DE6" w:rsidRDefault="00E140EE" w:rsidP="008B1EBD">
      <w:pPr>
        <w:pStyle w:val="FootnoteText"/>
      </w:pPr>
      <w:r w:rsidRPr="00EB4DE6">
        <w:rPr>
          <w:rStyle w:val="FootnoteReference"/>
          <w:rFonts w:ascii="Times New Roman" w:hAnsi="Times New Roman"/>
        </w:rPr>
        <w:footnoteRef/>
      </w:r>
      <w:r w:rsidRPr="00EB4DE6">
        <w:t xml:space="preserve"> Smernica Európskeho parlamentu</w:t>
      </w:r>
      <w:r>
        <w:t xml:space="preserve"> a </w:t>
      </w:r>
      <w:r w:rsidRPr="00EB4DE6">
        <w:t>Rady 2009/138/ES</w:t>
      </w:r>
      <w:r>
        <w:t xml:space="preserve"> z </w:t>
      </w:r>
      <w:r w:rsidRPr="00EB4DE6">
        <w:t>25</w:t>
      </w:r>
      <w:r>
        <w:t>. novembra</w:t>
      </w:r>
      <w:r w:rsidRPr="00EB4DE6">
        <w:t xml:space="preserve"> 2009</w:t>
      </w:r>
      <w:r>
        <w:t xml:space="preserve"> o </w:t>
      </w:r>
      <w:r w:rsidRPr="00EB4DE6">
        <w:t>začatí</w:t>
      </w:r>
      <w:r>
        <w:t xml:space="preserve"> a </w:t>
      </w:r>
      <w:r w:rsidRPr="00EB4DE6">
        <w:t>vykonávaní poistenia</w:t>
      </w:r>
      <w:r>
        <w:t xml:space="preserve"> a </w:t>
      </w:r>
      <w:r w:rsidRPr="00EB4DE6">
        <w:t>zaistenia (Solventnosť II) (Text</w:t>
      </w:r>
      <w:r>
        <w:t xml:space="preserve"> s </w:t>
      </w:r>
      <w:r w:rsidRPr="00EB4DE6">
        <w:t>významom pre EHP) (Ú. v. EÚ L 335, 17.12.2009, s. 1).</w:t>
      </w:r>
    </w:p>
  </w:footnote>
  <w:footnote w:id="8">
    <w:p w:rsidR="00E140EE" w:rsidRPr="00EB4DE6" w:rsidRDefault="00E140EE" w:rsidP="008B1EBD">
      <w:pPr>
        <w:pStyle w:val="FootnoteText"/>
      </w:pPr>
      <w:r w:rsidRPr="00EB4DE6">
        <w:rPr>
          <w:rStyle w:val="FootnoteReference"/>
          <w:rFonts w:ascii="Times New Roman" w:hAnsi="Times New Roman"/>
        </w:rPr>
        <w:footnoteRef/>
      </w:r>
      <w:r w:rsidRPr="00EB4DE6">
        <w:t xml:space="preserve"> Odporúčanie Komisie zo 6</w:t>
      </w:r>
      <w:r>
        <w:t>. mája</w:t>
      </w:r>
      <w:r w:rsidRPr="00EB4DE6">
        <w:t xml:space="preserve"> 2003 týkajúce sa vymedzenia mikropodnikov, malých</w:t>
      </w:r>
      <w:r>
        <w:t xml:space="preserve"> a </w:t>
      </w:r>
      <w:r w:rsidRPr="00EB4DE6">
        <w:t>stredných podnikov [oznámené pod číslom dokumentu C(2003) 1422] (Ú. v. EÚ L 124, 20.5.2003, s. 36).</w:t>
      </w:r>
    </w:p>
  </w:footnote>
  <w:footnote w:id="9">
    <w:p w:rsidR="00E140EE" w:rsidRPr="00EB4DE6" w:rsidRDefault="00E140EE" w:rsidP="008B1EBD">
      <w:pPr>
        <w:pStyle w:val="FootnoteText"/>
      </w:pPr>
      <w:r w:rsidRPr="00EB4DE6">
        <w:rPr>
          <w:rStyle w:val="FootnoteReference"/>
          <w:rFonts w:ascii="Times New Roman" w:hAnsi="Times New Roman"/>
        </w:rPr>
        <w:footnoteRef/>
      </w:r>
      <w:r w:rsidRPr="00EB4DE6">
        <w:t xml:space="preserve"> Nariadenie Európskej centrálnej banky (EÚ) č. 1071/2013</w:t>
      </w:r>
      <w:r w:rsidR="00BB7962">
        <w:t xml:space="preserve"> </w:t>
      </w:r>
      <w:r>
        <w:t>o </w:t>
      </w:r>
      <w:r w:rsidRPr="00EB4DE6">
        <w:t>bilancii sektora peňažných finančných inštitúcií (Ú. v. EÚ L 297 7.11.2013, s. 1).</w:t>
      </w:r>
    </w:p>
  </w:footnote>
  <w:footnote w:id="10">
    <w:p w:rsidR="00E140EE" w:rsidRPr="00EB4DE6" w:rsidRDefault="00E140EE" w:rsidP="008E5458">
      <w:pPr>
        <w:pStyle w:val="FootnoteText"/>
      </w:pPr>
      <w:r w:rsidRPr="00EB4DE6">
        <w:rPr>
          <w:rStyle w:val="FootnoteReference"/>
        </w:rPr>
        <w:footnoteRef/>
      </w:r>
      <w:r w:rsidRPr="00EB4DE6">
        <w:t xml:space="preserve"> Smernica Európskeho parlamentu</w:t>
      </w:r>
      <w:r>
        <w:t xml:space="preserve"> a </w:t>
      </w:r>
      <w:r w:rsidRPr="00EB4DE6">
        <w:t>Rady 2014/59/EÚ</w:t>
      </w:r>
      <w:r>
        <w:t xml:space="preserve"> z </w:t>
      </w:r>
      <w:r w:rsidRPr="00EB4DE6">
        <w:t>15</w:t>
      </w:r>
      <w:r>
        <w:t>. mája</w:t>
      </w:r>
      <w:r w:rsidRPr="00EB4DE6">
        <w:t xml:space="preserve"> 2014, ktorou sa stanovuje rámec pre ozdravenie</w:t>
      </w:r>
      <w:r>
        <w:t xml:space="preserve"> a </w:t>
      </w:r>
      <w:r w:rsidRPr="00EB4DE6">
        <w:t>riešenie krízových situácií úverových inštitúcií</w:t>
      </w:r>
      <w:r>
        <w:t xml:space="preserve"> a </w:t>
      </w:r>
      <w:r w:rsidRPr="00EB4DE6">
        <w:t>investičných spoločností</w:t>
      </w:r>
      <w:r>
        <w:t xml:space="preserve"> a </w:t>
      </w:r>
      <w:r w:rsidRPr="00EB4DE6">
        <w:t>ktorou sa mení smernica Rady 82/891/EHS</w:t>
      </w:r>
      <w:r>
        <w:t xml:space="preserve"> a </w:t>
      </w:r>
      <w:r w:rsidRPr="00EB4DE6">
        <w:t>smernice Európskeho parlamentu</w:t>
      </w:r>
      <w:r>
        <w:t xml:space="preserve"> a </w:t>
      </w:r>
      <w:r w:rsidRPr="00EB4DE6">
        <w:t>Rady 2001/24/ES, 2002/47/ES, 2004/25/ES, 2005/56/ES, 2007/36/ES, 2011/35/EÚ, 2012/30/EÚ</w:t>
      </w:r>
      <w:r>
        <w:t xml:space="preserve"> a </w:t>
      </w:r>
      <w:r w:rsidRPr="00EB4DE6">
        <w:t>2013/36/EÚ</w:t>
      </w:r>
      <w:r>
        <w:t xml:space="preserve"> a </w:t>
      </w:r>
      <w:r w:rsidRPr="00EB4DE6">
        <w:t>nariadenia Európskeho parlamentu</w:t>
      </w:r>
      <w:r>
        <w:t xml:space="preserve"> a </w:t>
      </w:r>
      <w:r w:rsidRPr="00EB4DE6">
        <w:t>Rady (EÚ) č. 1093/2010</w:t>
      </w:r>
      <w:r>
        <w:t xml:space="preserve"> a </w:t>
      </w:r>
      <w:r w:rsidRPr="00EB4DE6">
        <w:t>(EÚ) č. 648/2012 (Ú. v. EÚ L 173, 12.6.2014, s. 190).</w:t>
      </w:r>
    </w:p>
  </w:footnote>
  <w:footnote w:id="11">
    <w:p w:rsidR="00E140EE" w:rsidRPr="00EB4DE6" w:rsidRDefault="00E140EE" w:rsidP="008E5458">
      <w:pPr>
        <w:pStyle w:val="FootnoteText"/>
      </w:pPr>
      <w:r w:rsidRPr="00EB4DE6">
        <w:rPr>
          <w:rStyle w:val="FootnoteReference"/>
        </w:rPr>
        <w:footnoteRef/>
      </w:r>
      <w:r w:rsidRPr="00EB4DE6">
        <w:t xml:space="preserve"> Smernica Európskeho parlamentu</w:t>
      </w:r>
      <w:r>
        <w:t xml:space="preserve"> a </w:t>
      </w:r>
      <w:r w:rsidRPr="00EB4DE6">
        <w:t>Rady 2014/49/EÚ zo 16</w:t>
      </w:r>
      <w:r>
        <w:t>. apríla</w:t>
      </w:r>
      <w:r w:rsidRPr="00EB4DE6">
        <w:t xml:space="preserve"> 2014</w:t>
      </w:r>
      <w:r>
        <w:t xml:space="preserve"> o </w:t>
      </w:r>
      <w:r w:rsidRPr="00EB4DE6">
        <w:t>systémoch ochrany vkladov (Ú. v. EÚ L 173, 12.6.2014, s. 149).</w:t>
      </w:r>
    </w:p>
  </w:footnote>
  <w:footnote w:id="12">
    <w:p w:rsidR="00E140EE" w:rsidRPr="00EB4DE6" w:rsidRDefault="00E140EE" w:rsidP="00365E39">
      <w:pPr>
        <w:pStyle w:val="FootnoteText"/>
      </w:pPr>
      <w:r w:rsidRPr="00EB4DE6">
        <w:rPr>
          <w:rStyle w:val="FootnoteReference"/>
        </w:rPr>
        <w:footnoteRef/>
      </w:r>
      <w:r w:rsidRPr="00EB4DE6">
        <w:t xml:space="preserve"> Smernica Európskeho parlamentu</w:t>
      </w:r>
      <w:r>
        <w:t xml:space="preserve"> a </w:t>
      </w:r>
      <w:r w:rsidRPr="00EB4DE6">
        <w:t>Rady 2009/65/ES</w:t>
      </w:r>
      <w:r>
        <w:t xml:space="preserve"> z </w:t>
      </w:r>
      <w:r w:rsidRPr="00EB4DE6">
        <w:t>13</w:t>
      </w:r>
      <w:r>
        <w:t>. júla</w:t>
      </w:r>
      <w:r w:rsidRPr="00EB4DE6">
        <w:t xml:space="preserve"> 2009</w:t>
      </w:r>
      <w:r>
        <w:t xml:space="preserve"> o </w:t>
      </w:r>
      <w:r w:rsidRPr="00EB4DE6">
        <w:t>koordinácii zákonov, iných právnych predpisov</w:t>
      </w:r>
      <w:r>
        <w:t xml:space="preserve"> a </w:t>
      </w:r>
      <w:r w:rsidRPr="00EB4DE6">
        <w:t>správnych opatrení týkajúcich sa podnikov kolektívneho investovania do prevoditeľných cenných papierov (PKIPCP) (Ú. v. EÚ L 302, 17.11.2009, s. 32).</w:t>
      </w:r>
    </w:p>
  </w:footnote>
  <w:footnote w:id="13">
    <w:p w:rsidR="00E140EE" w:rsidRPr="00EB4DE6" w:rsidRDefault="00E140EE" w:rsidP="00365E39">
      <w:pPr>
        <w:pStyle w:val="FootnoteText"/>
      </w:pPr>
      <w:r w:rsidRPr="00EB4DE6">
        <w:rPr>
          <w:rStyle w:val="FootnoteReference"/>
        </w:rPr>
        <w:footnoteRef/>
      </w:r>
      <w:r w:rsidRPr="00EB4DE6">
        <w:t xml:space="preserve"> Smernica Európskeho parlamentu</w:t>
      </w:r>
      <w:r>
        <w:t xml:space="preserve"> a </w:t>
      </w:r>
      <w:r w:rsidRPr="00EB4DE6">
        <w:t>Rady 2011/61/EÚ</w:t>
      </w:r>
      <w:r>
        <w:t xml:space="preserve"> z </w:t>
      </w:r>
      <w:r w:rsidRPr="00EB4DE6">
        <w:t>8</w:t>
      </w:r>
      <w:r>
        <w:t>. júna</w:t>
      </w:r>
      <w:r w:rsidRPr="00EB4DE6">
        <w:t xml:space="preserve"> 2011</w:t>
      </w:r>
      <w:r>
        <w:t xml:space="preserve"> o </w:t>
      </w:r>
      <w:r w:rsidRPr="00EB4DE6">
        <w:t>správcoch alternatívnych investičných fondov</w:t>
      </w:r>
      <w:r>
        <w:t xml:space="preserve"> a o </w:t>
      </w:r>
      <w:r w:rsidRPr="00EB4DE6">
        <w:t>zmene</w:t>
      </w:r>
      <w:r>
        <w:t xml:space="preserve"> a </w:t>
      </w:r>
      <w:r w:rsidRPr="00EB4DE6">
        <w:t>doplnení smerníc 2003/41/ES</w:t>
      </w:r>
      <w:r>
        <w:t xml:space="preserve"> a </w:t>
      </w:r>
      <w:r w:rsidRPr="00EB4DE6">
        <w:t>2009/65/ES</w:t>
      </w:r>
      <w:r>
        <w:t xml:space="preserve"> a </w:t>
      </w:r>
      <w:r w:rsidRPr="00EB4DE6">
        <w:t>nariadení (ES) č. 1060/2009</w:t>
      </w:r>
      <w:r>
        <w:t xml:space="preserve"> a </w:t>
      </w:r>
      <w:r w:rsidRPr="00EB4DE6">
        <w:t>(EÚ) č. 1095/2010 (Ú. v. EÚ L 174, 1.7.2011, s. 1).</w:t>
      </w:r>
    </w:p>
  </w:footnote>
  <w:footnote w:id="14">
    <w:p w:rsidR="00E140EE" w:rsidRPr="00EB4DE6" w:rsidRDefault="00E140EE" w:rsidP="00365E39">
      <w:pPr>
        <w:pStyle w:val="FootnoteText"/>
      </w:pPr>
      <w:r w:rsidRPr="00EB4DE6">
        <w:rPr>
          <w:rStyle w:val="FootnoteReference"/>
        </w:rPr>
        <w:footnoteRef/>
      </w:r>
      <w:r w:rsidRPr="00EB4DE6">
        <w:t xml:space="preserve"> Smernica Európskeho parlamentu</w:t>
      </w:r>
      <w:r>
        <w:t xml:space="preserve"> a </w:t>
      </w:r>
      <w:r w:rsidRPr="00EB4DE6">
        <w:t>Rady 98/26/ES</w:t>
      </w:r>
      <w:r>
        <w:t xml:space="preserve"> z </w:t>
      </w:r>
      <w:r w:rsidRPr="00EB4DE6">
        <w:t>19</w:t>
      </w:r>
      <w:r>
        <w:t>. mája</w:t>
      </w:r>
      <w:r w:rsidRPr="00EB4DE6">
        <w:t xml:space="preserve"> 1998</w:t>
      </w:r>
      <w:r>
        <w:t xml:space="preserve"> o </w:t>
      </w:r>
      <w:r w:rsidRPr="00EB4DE6">
        <w:t>konečnom zúčtovaní</w:t>
      </w:r>
      <w:r>
        <w:t xml:space="preserve"> v </w:t>
      </w:r>
      <w:r w:rsidRPr="00EB4DE6">
        <w:t>platobných systémoch</w:t>
      </w:r>
      <w:r>
        <w:t xml:space="preserve"> a </w:t>
      </w:r>
      <w:r w:rsidRPr="00EB4DE6">
        <w:t>zúčtovacích systémoch cenných papierov (Ú. v. ES L 166, 11.6.1998, s. 45).</w:t>
      </w:r>
    </w:p>
  </w:footnote>
  <w:footnote w:id="15">
    <w:p w:rsidR="00E140EE" w:rsidRPr="00EB4DE6" w:rsidRDefault="00E140EE" w:rsidP="00767F1B">
      <w:pPr>
        <w:pStyle w:val="FootnoteText"/>
      </w:pPr>
      <w:r w:rsidRPr="00EB4DE6">
        <w:rPr>
          <w:rStyle w:val="FootnoteReference"/>
        </w:rPr>
        <w:footnoteRef/>
      </w:r>
      <w:r w:rsidRPr="00EB4DE6">
        <w:t xml:space="preserve"> Delegované nariadenie Komisie (EÚ) 2016/1401</w:t>
      </w:r>
      <w:r>
        <w:t xml:space="preserve"> z </w:t>
      </w:r>
      <w:r w:rsidRPr="00EB4DE6">
        <w:t>23</w:t>
      </w:r>
      <w:r>
        <w:t>. mája</w:t>
      </w:r>
      <w:r w:rsidRPr="00EB4DE6">
        <w:t xml:space="preserve"> 2016, ktorým sa dopĺňa smernica Európskeho parlamentu</w:t>
      </w:r>
      <w:r>
        <w:t xml:space="preserve"> a </w:t>
      </w:r>
      <w:r w:rsidRPr="00EB4DE6">
        <w:t>Rady 2014/59/EÚ, ktorou sa stanovuje rámec pre ozdravenie</w:t>
      </w:r>
      <w:r>
        <w:t xml:space="preserve"> a </w:t>
      </w:r>
      <w:r w:rsidRPr="00EB4DE6">
        <w:t>riešenie krízových situácií úverových inštitúcií</w:t>
      </w:r>
      <w:r>
        <w:t xml:space="preserve"> a </w:t>
      </w:r>
      <w:r w:rsidRPr="00EB4DE6">
        <w:t>investičných spoločností, pokiaľ ide</w:t>
      </w:r>
      <w:r>
        <w:t xml:space="preserve"> o </w:t>
      </w:r>
      <w:r w:rsidRPr="00EB4DE6">
        <w:t>regulačné technické predpisy týkajúce sa metodík</w:t>
      </w:r>
      <w:r>
        <w:t xml:space="preserve"> a </w:t>
      </w:r>
      <w:r w:rsidRPr="00EB4DE6">
        <w:t>zásad vzťahujúcich sa na ocenenie záväzkov vyplývajúcich</w:t>
      </w:r>
      <w:r>
        <w:t xml:space="preserve"> z </w:t>
      </w:r>
      <w:r w:rsidRPr="00EB4DE6">
        <w:t>derivátov (Ú. v. EÚ L 228, 23.8.2016, s. 7).</w:t>
      </w:r>
    </w:p>
  </w:footnote>
  <w:footnote w:id="16">
    <w:p w:rsidR="00E140EE" w:rsidRPr="00EB4DE6" w:rsidRDefault="00E140EE" w:rsidP="00767F1B">
      <w:pPr>
        <w:pStyle w:val="FootnoteText"/>
      </w:pPr>
      <w:r w:rsidRPr="00EB4DE6">
        <w:rPr>
          <w:rStyle w:val="FootnoteReference"/>
        </w:rPr>
        <w:footnoteRef/>
      </w:r>
      <w:r w:rsidRPr="00EB4DE6">
        <w:t xml:space="preserve"> Delegované nariadenie Komisie (EÚ) 2016/778</w:t>
      </w:r>
      <w:r>
        <w:t xml:space="preserve"> z </w:t>
      </w:r>
      <w:r w:rsidRPr="00EB4DE6">
        <w:t>2</w:t>
      </w:r>
      <w:r>
        <w:t>. februára</w:t>
      </w:r>
      <w:r w:rsidRPr="00EB4DE6">
        <w:t xml:space="preserve"> 2016, ktorým sa dopĺňa smernica Európskeho parlamentu</w:t>
      </w:r>
      <w:r>
        <w:t xml:space="preserve"> a </w:t>
      </w:r>
      <w:r w:rsidRPr="00EB4DE6">
        <w:t>Rady 2014/59/EÚ so zreteľom na okolnosti</w:t>
      </w:r>
      <w:r>
        <w:t xml:space="preserve"> a </w:t>
      </w:r>
      <w:r w:rsidRPr="00EB4DE6">
        <w:t xml:space="preserve">podmienky, za ktorých sa platba mimoriadnych príspevkov </w:t>
      </w:r>
      <w:r w:rsidRPr="00BB7962">
        <w:rPr>
          <w:i/>
        </w:rPr>
        <w:t>ex post</w:t>
      </w:r>
      <w:r w:rsidRPr="00EB4DE6">
        <w:t xml:space="preserve"> môže čiastočne alebo úplne odložiť,</w:t>
      </w:r>
      <w:r>
        <w:t xml:space="preserve"> a o </w:t>
      </w:r>
      <w:r w:rsidRPr="00EB4DE6">
        <w:t>kritériách na určenie činností, služieb</w:t>
      </w:r>
      <w:r>
        <w:t xml:space="preserve"> a </w:t>
      </w:r>
      <w:r w:rsidRPr="00EB4DE6">
        <w:t>operácií so zreteľom na zásadné funkcie</w:t>
      </w:r>
      <w:r>
        <w:t xml:space="preserve"> a </w:t>
      </w:r>
      <w:r w:rsidRPr="00EB4DE6">
        <w:t>na určenie oblastí obchodnej činnosti</w:t>
      </w:r>
      <w:r>
        <w:t xml:space="preserve"> a </w:t>
      </w:r>
      <w:r w:rsidRPr="00EB4DE6">
        <w:t>súvisiacich služieb so zreteľom na hlavné oblasti obchodnej činnosti (Ú. v. EÚ L 131, 20.5.2016, s. 41).</w:t>
      </w:r>
    </w:p>
  </w:footnote>
  <w:footnote w:id="17">
    <w:p w:rsidR="00E140EE" w:rsidRPr="00EB4DE6" w:rsidRDefault="00E140EE" w:rsidP="00543060">
      <w:pPr>
        <w:pStyle w:val="FootnoteText"/>
      </w:pPr>
      <w:r w:rsidRPr="00EB4DE6">
        <w:rPr>
          <w:rStyle w:val="FootnoteReference"/>
        </w:rPr>
        <w:footnoteRef/>
      </w:r>
      <w:r w:rsidRPr="00EB4DE6">
        <w:t xml:space="preserve"> Smernica Európskeho parlamentu</w:t>
      </w:r>
      <w:r>
        <w:t xml:space="preserve"> a </w:t>
      </w:r>
      <w:r w:rsidRPr="00EB4DE6">
        <w:t>Rady (EÚ) 2015/2366</w:t>
      </w:r>
      <w:r>
        <w:t xml:space="preserve"> z </w:t>
      </w:r>
      <w:r w:rsidRPr="00EB4DE6">
        <w:t>25</w:t>
      </w:r>
      <w:r>
        <w:t>. novembra</w:t>
      </w:r>
      <w:r w:rsidRPr="00EB4DE6">
        <w:t> 2015</w:t>
      </w:r>
      <w:r>
        <w:t xml:space="preserve"> o </w:t>
      </w:r>
      <w:r w:rsidRPr="00EB4DE6">
        <w:t>platobných službách na vnútornom trhu, ktorou sa menia smernice 2002/65/ES, 2009/110/ES</w:t>
      </w:r>
      <w:r>
        <w:t xml:space="preserve"> a </w:t>
      </w:r>
      <w:r w:rsidRPr="00EB4DE6">
        <w:t>2013/36/EÚ</w:t>
      </w:r>
      <w:r>
        <w:t xml:space="preserve"> a </w:t>
      </w:r>
      <w:r w:rsidRPr="00EB4DE6">
        <w:t>nariadenie (EÚ) č. 1093/2010</w:t>
      </w:r>
      <w:r>
        <w:t xml:space="preserve"> a </w:t>
      </w:r>
      <w:r w:rsidRPr="00EB4DE6">
        <w:t>ktorou sa zrušuje smernica 2007/64/ES (Ú. v. EÚ L 337, 23.12.2015, s. 35).</w:t>
      </w:r>
    </w:p>
  </w:footnote>
  <w:footnote w:id="18">
    <w:p w:rsidR="00E140EE" w:rsidRPr="00EB4DE6" w:rsidRDefault="00E140EE" w:rsidP="00543060">
      <w:pPr>
        <w:pStyle w:val="FootnoteText"/>
      </w:pPr>
      <w:r w:rsidRPr="00EB4DE6">
        <w:rPr>
          <w:rStyle w:val="FootnoteReference"/>
        </w:rPr>
        <w:footnoteRef/>
      </w:r>
      <w:r w:rsidRPr="00EB4DE6">
        <w:t xml:space="preserve"> Nariadenie Európskeho parlamentu</w:t>
      </w:r>
      <w:r>
        <w:t xml:space="preserve"> a </w:t>
      </w:r>
      <w:r w:rsidRPr="00EB4DE6">
        <w:t>Rady (EÚ) č. 648/2012 zo 4</w:t>
      </w:r>
      <w:r>
        <w:t>. júla</w:t>
      </w:r>
      <w:r w:rsidRPr="00EB4DE6">
        <w:t> 2012</w:t>
      </w:r>
      <w:r>
        <w:t xml:space="preserve"> o </w:t>
      </w:r>
      <w:r w:rsidRPr="00EB4DE6">
        <w:t>mimoburzových derivátoch, centrálnych protistranách</w:t>
      </w:r>
      <w:r>
        <w:t xml:space="preserve"> a </w:t>
      </w:r>
      <w:r w:rsidRPr="00EB4DE6">
        <w:t>archívoch obchodných údajov (Ú. v. EÚ L 201, 27.7.2012, s. 1).</w:t>
      </w:r>
    </w:p>
  </w:footnote>
  <w:footnote w:id="19">
    <w:p w:rsidR="00E140EE" w:rsidRPr="00EB4DE6" w:rsidRDefault="00E140EE" w:rsidP="00543060">
      <w:pPr>
        <w:pStyle w:val="FootnoteText"/>
      </w:pPr>
      <w:r w:rsidRPr="00EB4DE6">
        <w:rPr>
          <w:rStyle w:val="FootnoteReference"/>
        </w:rPr>
        <w:footnoteRef/>
      </w:r>
      <w:r w:rsidRPr="00EB4DE6">
        <w:t xml:space="preserve"> Smernica Európskeho parlamentu</w:t>
      </w:r>
      <w:r>
        <w:t xml:space="preserve"> a </w:t>
      </w:r>
      <w:r w:rsidRPr="00EB4DE6">
        <w:t>Rady 2014/65/EÚ</w:t>
      </w:r>
      <w:r>
        <w:t xml:space="preserve"> z </w:t>
      </w:r>
      <w:r w:rsidRPr="00EB4DE6">
        <w:t>15</w:t>
      </w:r>
      <w:r>
        <w:t>. mája</w:t>
      </w:r>
      <w:r w:rsidRPr="00EB4DE6">
        <w:t xml:space="preserve"> 2014</w:t>
      </w:r>
      <w:r>
        <w:t xml:space="preserve"> o </w:t>
      </w:r>
      <w:r w:rsidRPr="00EB4DE6">
        <w:t>trhoch</w:t>
      </w:r>
      <w:r>
        <w:t xml:space="preserve"> s </w:t>
      </w:r>
      <w:r w:rsidRPr="00EB4DE6">
        <w:t>finančnými nástrojmi, ktorou sa mení smernica 2002/92/ES</w:t>
      </w:r>
      <w:r>
        <w:t xml:space="preserve"> a </w:t>
      </w:r>
      <w:r w:rsidRPr="00EB4DE6">
        <w:t>smernica 2011/61/EÚ (Ú. v. EÚ L 173, 12.6.2014, s. 349).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0EE" w:rsidRPr="000E60D6" w:rsidRDefault="00E140EE" w:rsidP="000E60D6">
    <w:pPr>
      <w:pStyle w:val="Header"/>
      <w:jc w:val="center"/>
      <w:rPr>
        <w:rFonts w:ascii="Times New Roman" w:hAnsi="Times New Roman" w:cs="Times New Roman"/>
      </w:rPr>
    </w:pPr>
    <w:r>
      <w:rPr>
        <w:rFonts w:ascii="Times New Roman" w:hAnsi="Times New Roman"/>
      </w:rPr>
      <w:t>SK</w:t>
    </w:r>
  </w:p>
  <w:p w:rsidR="00E140EE" w:rsidRPr="000E60D6" w:rsidRDefault="00E140EE" w:rsidP="000E60D6">
    <w:pPr>
      <w:pStyle w:val="Header"/>
      <w:jc w:val="center"/>
      <w:rPr>
        <w:rFonts w:ascii="Times New Roman" w:hAnsi="Times New Roman" w:cs="Times New Roman"/>
      </w:rPr>
    </w:pPr>
    <w:r>
      <w:rPr>
        <w:rFonts w:ascii="Times New Roman" w:hAnsi="Times New Roman"/>
      </w:rPr>
      <w:t>PRÍLOHA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122CB4"/>
    <w:multiLevelType w:val="hybridMultilevel"/>
    <w:tmpl w:val="4A647422"/>
    <w:lvl w:ilvl="0" w:tplc="05387646">
      <w:start w:val="1"/>
      <w:numFmt w:val="lowerRoman"/>
      <w:lvlText w:val="%1)"/>
      <w:lvlJc w:val="right"/>
      <w:pPr>
        <w:ind w:left="753" w:hanging="360"/>
      </w:pPr>
      <w:rPr>
        <w:rFonts w:hint="default"/>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3">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6470A1"/>
    <w:multiLevelType w:val="hybridMultilevel"/>
    <w:tmpl w:val="5E74066C"/>
    <w:lvl w:ilvl="0" w:tplc="20C6AB36">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5">
    <w:nsid w:val="0DC5667D"/>
    <w:multiLevelType w:val="hybridMultilevel"/>
    <w:tmpl w:val="2146E7D2"/>
    <w:lvl w:ilvl="0" w:tplc="05387646">
      <w:start w:val="1"/>
      <w:numFmt w:val="lowerRoman"/>
      <w:lvlText w:val="%1)"/>
      <w:lvlJc w:val="right"/>
      <w:pPr>
        <w:ind w:left="753" w:hanging="360"/>
      </w:pPr>
      <w:rPr>
        <w:rFonts w:hint="default"/>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6">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5DF35E1"/>
    <w:multiLevelType w:val="hybridMultilevel"/>
    <w:tmpl w:val="59A45B02"/>
    <w:lvl w:ilvl="0" w:tplc="05387646">
      <w:start w:val="1"/>
      <w:numFmt w:val="lowerRoman"/>
      <w:lvlText w:val="%1)"/>
      <w:lvlJc w:val="right"/>
      <w:pPr>
        <w:ind w:left="753" w:hanging="360"/>
      </w:pPr>
      <w:rPr>
        <w:rFonts w:hint="default"/>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1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8EF4682"/>
    <w:multiLevelType w:val="hybridMultilevel"/>
    <w:tmpl w:val="6A3048D2"/>
    <w:lvl w:ilvl="0" w:tplc="05387646">
      <w:start w:val="1"/>
      <w:numFmt w:val="lowerRoman"/>
      <w:lvlText w:val="%1)"/>
      <w:lvlJc w:val="right"/>
      <w:pPr>
        <w:ind w:left="753" w:hanging="360"/>
      </w:pPr>
      <w:rPr>
        <w:rFonts w:hint="default"/>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12">
    <w:nsid w:val="1AF56781"/>
    <w:multiLevelType w:val="hybridMultilevel"/>
    <w:tmpl w:val="E458C0D6"/>
    <w:lvl w:ilvl="0" w:tplc="715A251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4">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8">
    <w:nsid w:val="27A80005"/>
    <w:multiLevelType w:val="hybridMultilevel"/>
    <w:tmpl w:val="CBEC955C"/>
    <w:lvl w:ilvl="0" w:tplc="05387646">
      <w:start w:val="1"/>
      <w:numFmt w:val="lowerRoman"/>
      <w:lvlText w:val="%1)"/>
      <w:lvlJc w:val="right"/>
      <w:pPr>
        <w:ind w:left="942" w:hanging="360"/>
      </w:pPr>
      <w:rPr>
        <w:rFonts w:hint="default"/>
      </w:rPr>
    </w:lvl>
    <w:lvl w:ilvl="1" w:tplc="08090019" w:tentative="1">
      <w:start w:val="1"/>
      <w:numFmt w:val="lowerLetter"/>
      <w:lvlText w:val="%2."/>
      <w:lvlJc w:val="left"/>
      <w:pPr>
        <w:ind w:left="1662" w:hanging="360"/>
      </w:pPr>
    </w:lvl>
    <w:lvl w:ilvl="2" w:tplc="0809001B" w:tentative="1">
      <w:start w:val="1"/>
      <w:numFmt w:val="lowerRoman"/>
      <w:lvlText w:val="%3."/>
      <w:lvlJc w:val="right"/>
      <w:pPr>
        <w:ind w:left="2382" w:hanging="180"/>
      </w:pPr>
    </w:lvl>
    <w:lvl w:ilvl="3" w:tplc="0809000F" w:tentative="1">
      <w:start w:val="1"/>
      <w:numFmt w:val="decimal"/>
      <w:lvlText w:val="%4."/>
      <w:lvlJc w:val="left"/>
      <w:pPr>
        <w:ind w:left="3102" w:hanging="360"/>
      </w:pPr>
    </w:lvl>
    <w:lvl w:ilvl="4" w:tplc="08090019" w:tentative="1">
      <w:start w:val="1"/>
      <w:numFmt w:val="lowerLetter"/>
      <w:lvlText w:val="%5."/>
      <w:lvlJc w:val="left"/>
      <w:pPr>
        <w:ind w:left="3822" w:hanging="360"/>
      </w:pPr>
    </w:lvl>
    <w:lvl w:ilvl="5" w:tplc="0809001B" w:tentative="1">
      <w:start w:val="1"/>
      <w:numFmt w:val="lowerRoman"/>
      <w:lvlText w:val="%6."/>
      <w:lvlJc w:val="right"/>
      <w:pPr>
        <w:ind w:left="4542" w:hanging="180"/>
      </w:pPr>
    </w:lvl>
    <w:lvl w:ilvl="6" w:tplc="0809000F" w:tentative="1">
      <w:start w:val="1"/>
      <w:numFmt w:val="decimal"/>
      <w:lvlText w:val="%7."/>
      <w:lvlJc w:val="left"/>
      <w:pPr>
        <w:ind w:left="5262" w:hanging="360"/>
      </w:pPr>
    </w:lvl>
    <w:lvl w:ilvl="7" w:tplc="08090019" w:tentative="1">
      <w:start w:val="1"/>
      <w:numFmt w:val="lowerLetter"/>
      <w:lvlText w:val="%8."/>
      <w:lvlJc w:val="left"/>
      <w:pPr>
        <w:ind w:left="5982" w:hanging="360"/>
      </w:pPr>
    </w:lvl>
    <w:lvl w:ilvl="8" w:tplc="0809001B" w:tentative="1">
      <w:start w:val="1"/>
      <w:numFmt w:val="lowerRoman"/>
      <w:lvlText w:val="%9."/>
      <w:lvlJc w:val="right"/>
      <w:pPr>
        <w:ind w:left="6702" w:hanging="180"/>
      </w:pPr>
    </w:lvl>
  </w:abstractNum>
  <w:abstractNum w:abstractNumId="19">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1">
    <w:nsid w:val="2F6F610A"/>
    <w:multiLevelType w:val="hybridMultilevel"/>
    <w:tmpl w:val="DECAA82C"/>
    <w:lvl w:ilvl="0" w:tplc="20C6AB36">
      <w:start w:val="1"/>
      <w:numFmt w:val="bullet"/>
      <w:lvlText w:val=""/>
      <w:lvlJc w:val="left"/>
      <w:pPr>
        <w:ind w:left="445" w:hanging="360"/>
      </w:pPr>
      <w:rPr>
        <w:rFonts w:ascii="Symbol" w:hAnsi="Symbol"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2">
    <w:nsid w:val="33D64A92"/>
    <w:multiLevelType w:val="hybridMultilevel"/>
    <w:tmpl w:val="130ACD12"/>
    <w:lvl w:ilvl="0" w:tplc="05387646">
      <w:start w:val="1"/>
      <w:numFmt w:val="lowerRoman"/>
      <w:lvlText w:val="%1)"/>
      <w:lvlJc w:val="right"/>
      <w:pPr>
        <w:ind w:left="753" w:hanging="360"/>
      </w:pPr>
      <w:rPr>
        <w:rFonts w:hint="default"/>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3">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nsid w:val="46F32E4A"/>
    <w:multiLevelType w:val="hybridMultilevel"/>
    <w:tmpl w:val="E64A5098"/>
    <w:lvl w:ilvl="0" w:tplc="4BA8D7FC">
      <w:start w:val="1"/>
      <w:numFmt w:val="decimal"/>
      <w:pStyle w:val="numberedparagraph"/>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1">
    <w:nsid w:val="492269F1"/>
    <w:multiLevelType w:val="hybridMultilevel"/>
    <w:tmpl w:val="93DE28AC"/>
    <w:lvl w:ilvl="0" w:tplc="D6F651E8">
      <w:start w:val="1"/>
      <w:numFmt w:val="bullet"/>
      <w:pStyle w:val="List1"/>
      <w:lvlText w:val=""/>
      <w:lvlJc w:val="left"/>
      <w:pPr>
        <w:ind w:left="445" w:hanging="360"/>
      </w:pPr>
      <w:rPr>
        <w:rFonts w:ascii="Symbol" w:hAnsi="Symbol"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32">
    <w:nsid w:val="4CE53A29"/>
    <w:multiLevelType w:val="hybridMultilevel"/>
    <w:tmpl w:val="F3CC9AEA"/>
    <w:lvl w:ilvl="0" w:tplc="0809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8">
    <w:nsid w:val="625F352E"/>
    <w:multiLevelType w:val="hybridMultilevel"/>
    <w:tmpl w:val="C742C3D0"/>
    <w:lvl w:ilvl="0" w:tplc="05387646">
      <w:start w:val="1"/>
      <w:numFmt w:val="lowerRoman"/>
      <w:lvlText w:val="%1)"/>
      <w:lvlJc w:val="right"/>
      <w:pPr>
        <w:ind w:left="753" w:hanging="360"/>
      </w:pPr>
      <w:rPr>
        <w:rFonts w:hint="default"/>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39">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1">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43">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44">
    <w:nsid w:val="71064D88"/>
    <w:multiLevelType w:val="hybridMultilevel"/>
    <w:tmpl w:val="F79473BE"/>
    <w:lvl w:ilvl="0" w:tplc="98F68450">
      <w:start w:val="1"/>
      <w:numFmt w:val="bullet"/>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C076E46"/>
    <w:multiLevelType w:val="hybridMultilevel"/>
    <w:tmpl w:val="8E6AE12E"/>
    <w:lvl w:ilvl="0" w:tplc="05387646">
      <w:start w:val="1"/>
      <w:numFmt w:val="lowerRoman"/>
      <w:lvlText w:val="%1)"/>
      <w:lvlJc w:val="right"/>
      <w:pPr>
        <w:ind w:left="753" w:hanging="360"/>
      </w:pPr>
      <w:rPr>
        <w:rFonts w:hint="default"/>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46">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7"/>
  </w:num>
  <w:num w:numId="2">
    <w:abstractNumId w:val="3"/>
  </w:num>
  <w:num w:numId="3">
    <w:abstractNumId w:val="20"/>
  </w:num>
  <w:num w:numId="4">
    <w:abstractNumId w:val="25"/>
  </w:num>
  <w:num w:numId="5">
    <w:abstractNumId w:val="44"/>
  </w:num>
  <w:num w:numId="6">
    <w:abstractNumId w:val="1"/>
  </w:num>
  <w:num w:numId="7">
    <w:abstractNumId w:val="41"/>
  </w:num>
  <w:num w:numId="8">
    <w:abstractNumId w:val="0"/>
  </w:num>
  <w:num w:numId="9">
    <w:abstractNumId w:val="19"/>
  </w:num>
  <w:num w:numId="10">
    <w:abstractNumId w:val="10"/>
  </w:num>
  <w:num w:numId="11">
    <w:abstractNumId w:val="13"/>
  </w:num>
  <w:num w:numId="12">
    <w:abstractNumId w:val="43"/>
  </w:num>
  <w:num w:numId="13">
    <w:abstractNumId w:val="24"/>
  </w:num>
  <w:num w:numId="14">
    <w:abstractNumId w:val="42"/>
  </w:num>
  <w:num w:numId="1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39"/>
  </w:num>
  <w:num w:numId="19">
    <w:abstractNumId w:val="17"/>
  </w:num>
  <w:num w:numId="20">
    <w:abstractNumId w:val="35"/>
  </w:num>
  <w:num w:numId="21">
    <w:abstractNumId w:val="6"/>
  </w:num>
  <w:num w:numId="22">
    <w:abstractNumId w:val="31"/>
  </w:num>
  <w:num w:numId="23">
    <w:abstractNumId w:val="37"/>
  </w:num>
  <w:num w:numId="24">
    <w:abstractNumId w:val="15"/>
  </w:num>
  <w:num w:numId="25">
    <w:abstractNumId w:val="46"/>
  </w:num>
  <w:num w:numId="26">
    <w:abstractNumId w:val="4"/>
  </w:num>
  <w:num w:numId="27">
    <w:abstractNumId w:val="30"/>
  </w:num>
  <w:num w:numId="28">
    <w:abstractNumId w:val="21"/>
  </w:num>
  <w:num w:numId="29">
    <w:abstractNumId w:val="29"/>
  </w:num>
  <w:num w:numId="30">
    <w:abstractNumId w:val="12"/>
  </w:num>
  <w:num w:numId="31">
    <w:abstractNumId w:val="28"/>
  </w:num>
  <w:num w:numId="32">
    <w:abstractNumId w:val="36"/>
  </w:num>
  <w:num w:numId="33">
    <w:abstractNumId w:val="40"/>
  </w:num>
  <w:num w:numId="34">
    <w:abstractNumId w:val="14"/>
  </w:num>
  <w:num w:numId="35">
    <w:abstractNumId w:val="26"/>
  </w:num>
  <w:num w:numId="36">
    <w:abstractNumId w:val="33"/>
  </w:num>
  <w:num w:numId="37">
    <w:abstractNumId w:val="8"/>
  </w:num>
  <w:num w:numId="38">
    <w:abstractNumId w:val="16"/>
  </w:num>
  <w:num w:numId="39">
    <w:abstractNumId w:val="34"/>
  </w:num>
  <w:num w:numId="40">
    <w:abstractNumId w:val="41"/>
  </w:num>
  <w:num w:numId="41">
    <w:abstractNumId w:val="41"/>
  </w:num>
  <w:num w:numId="42">
    <w:abstractNumId w:val="41"/>
  </w:num>
  <w:num w:numId="43">
    <w:abstractNumId w:val="41"/>
  </w:num>
  <w:num w:numId="44">
    <w:abstractNumId w:val="41"/>
  </w:num>
  <w:num w:numId="45">
    <w:abstractNumId w:val="41"/>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num>
  <w:num w:numId="48">
    <w:abstractNumId w:val="12"/>
  </w:num>
  <w:num w:numId="49">
    <w:abstractNumId w:val="41"/>
  </w:num>
  <w:num w:numId="50">
    <w:abstractNumId w:val="41"/>
  </w:num>
  <w:num w:numId="51">
    <w:abstractNumId w:val="12"/>
  </w:num>
  <w:num w:numId="52">
    <w:abstractNumId w:val="32"/>
  </w:num>
  <w:num w:numId="53">
    <w:abstractNumId w:val="18"/>
  </w:num>
  <w:num w:numId="54">
    <w:abstractNumId w:val="5"/>
  </w:num>
  <w:num w:numId="55">
    <w:abstractNumId w:val="9"/>
  </w:num>
  <w:num w:numId="56">
    <w:abstractNumId w:val="11"/>
  </w:num>
  <w:num w:numId="57">
    <w:abstractNumId w:val="2"/>
  </w:num>
  <w:num w:numId="58">
    <w:abstractNumId w:val="45"/>
  </w:num>
  <w:num w:numId="59">
    <w:abstractNumId w:val="22"/>
  </w:num>
  <w:num w:numId="60">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revisionView w:markup="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45B1"/>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45"/>
    <w:rsid w:val="000A3093"/>
    <w:rsid w:val="000A42B5"/>
    <w:rsid w:val="000A62C5"/>
    <w:rsid w:val="000A65F6"/>
    <w:rsid w:val="000A67FD"/>
    <w:rsid w:val="000A7CD9"/>
    <w:rsid w:val="000A7D64"/>
    <w:rsid w:val="000B0603"/>
    <w:rsid w:val="000B0CAC"/>
    <w:rsid w:val="000B112C"/>
    <w:rsid w:val="000B1E8E"/>
    <w:rsid w:val="000B23C0"/>
    <w:rsid w:val="000B27BB"/>
    <w:rsid w:val="000B3BD7"/>
    <w:rsid w:val="000B4831"/>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E7CE0"/>
    <w:rsid w:val="001F072D"/>
    <w:rsid w:val="001F0927"/>
    <w:rsid w:val="001F19D3"/>
    <w:rsid w:val="001F21AF"/>
    <w:rsid w:val="001F2969"/>
    <w:rsid w:val="001F2E31"/>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64D"/>
    <w:rsid w:val="00291ADD"/>
    <w:rsid w:val="00292556"/>
    <w:rsid w:val="00292C53"/>
    <w:rsid w:val="00294DE7"/>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799"/>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6129"/>
    <w:rsid w:val="00356399"/>
    <w:rsid w:val="0035686F"/>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E0E"/>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E14"/>
    <w:rsid w:val="003F4318"/>
    <w:rsid w:val="003F51D1"/>
    <w:rsid w:val="003F542E"/>
    <w:rsid w:val="003F6FBE"/>
    <w:rsid w:val="003F72FE"/>
    <w:rsid w:val="004002B3"/>
    <w:rsid w:val="004002C0"/>
    <w:rsid w:val="00400A8F"/>
    <w:rsid w:val="00401044"/>
    <w:rsid w:val="00401974"/>
    <w:rsid w:val="00401F0F"/>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26F2"/>
    <w:rsid w:val="004634C7"/>
    <w:rsid w:val="004636BB"/>
    <w:rsid w:val="004642E8"/>
    <w:rsid w:val="004657F1"/>
    <w:rsid w:val="00465F4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7ECB"/>
    <w:rsid w:val="004C0A59"/>
    <w:rsid w:val="004C1036"/>
    <w:rsid w:val="004C1585"/>
    <w:rsid w:val="004C2EEC"/>
    <w:rsid w:val="004C3111"/>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1FA2"/>
    <w:rsid w:val="004E325B"/>
    <w:rsid w:val="004E3E71"/>
    <w:rsid w:val="004E4AD0"/>
    <w:rsid w:val="004F016A"/>
    <w:rsid w:val="004F0F94"/>
    <w:rsid w:val="004F233C"/>
    <w:rsid w:val="004F2381"/>
    <w:rsid w:val="004F243E"/>
    <w:rsid w:val="004F3F11"/>
    <w:rsid w:val="004F4368"/>
    <w:rsid w:val="004F4694"/>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3060"/>
    <w:rsid w:val="00544BC0"/>
    <w:rsid w:val="00545176"/>
    <w:rsid w:val="00550510"/>
    <w:rsid w:val="00550790"/>
    <w:rsid w:val="00550D93"/>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619B"/>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C6C55"/>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DAB"/>
    <w:rsid w:val="005F4132"/>
    <w:rsid w:val="005F4620"/>
    <w:rsid w:val="005F4BA1"/>
    <w:rsid w:val="005F4D99"/>
    <w:rsid w:val="00600287"/>
    <w:rsid w:val="0060078E"/>
    <w:rsid w:val="00601BBE"/>
    <w:rsid w:val="006028B1"/>
    <w:rsid w:val="0060436D"/>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3C41"/>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5F"/>
    <w:rsid w:val="00667E04"/>
    <w:rsid w:val="00670F1B"/>
    <w:rsid w:val="006716B0"/>
    <w:rsid w:val="00672D24"/>
    <w:rsid w:val="00672F82"/>
    <w:rsid w:val="00673113"/>
    <w:rsid w:val="00673A26"/>
    <w:rsid w:val="00673D9B"/>
    <w:rsid w:val="00673EA4"/>
    <w:rsid w:val="00673FE1"/>
    <w:rsid w:val="00674B9B"/>
    <w:rsid w:val="00674EB1"/>
    <w:rsid w:val="00675260"/>
    <w:rsid w:val="00677DD1"/>
    <w:rsid w:val="00680B88"/>
    <w:rsid w:val="00682A24"/>
    <w:rsid w:val="006835C6"/>
    <w:rsid w:val="0068399C"/>
    <w:rsid w:val="00686428"/>
    <w:rsid w:val="0069056D"/>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7C6"/>
    <w:rsid w:val="006B08A5"/>
    <w:rsid w:val="006B1A24"/>
    <w:rsid w:val="006B3727"/>
    <w:rsid w:val="006B3A8A"/>
    <w:rsid w:val="006B40F0"/>
    <w:rsid w:val="006B4A6D"/>
    <w:rsid w:val="006B4B56"/>
    <w:rsid w:val="006B5C5C"/>
    <w:rsid w:val="006B620B"/>
    <w:rsid w:val="006B669F"/>
    <w:rsid w:val="006B6EDC"/>
    <w:rsid w:val="006C01C7"/>
    <w:rsid w:val="006C0300"/>
    <w:rsid w:val="006C05FA"/>
    <w:rsid w:val="006C1211"/>
    <w:rsid w:val="006C315C"/>
    <w:rsid w:val="006C430E"/>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50B4"/>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357C"/>
    <w:rsid w:val="0072422B"/>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773"/>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67F1B"/>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4C28"/>
    <w:rsid w:val="00794E61"/>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0B8A"/>
    <w:rsid w:val="00891407"/>
    <w:rsid w:val="0089272A"/>
    <w:rsid w:val="00892938"/>
    <w:rsid w:val="008936F2"/>
    <w:rsid w:val="00893E7D"/>
    <w:rsid w:val="008946F7"/>
    <w:rsid w:val="008947C6"/>
    <w:rsid w:val="00895DA9"/>
    <w:rsid w:val="008977B6"/>
    <w:rsid w:val="00897A6A"/>
    <w:rsid w:val="008A0BEC"/>
    <w:rsid w:val="008A1656"/>
    <w:rsid w:val="008A3073"/>
    <w:rsid w:val="008A320A"/>
    <w:rsid w:val="008A3D56"/>
    <w:rsid w:val="008A4668"/>
    <w:rsid w:val="008A54AC"/>
    <w:rsid w:val="008A57C4"/>
    <w:rsid w:val="008A6429"/>
    <w:rsid w:val="008A6949"/>
    <w:rsid w:val="008A77ED"/>
    <w:rsid w:val="008B0787"/>
    <w:rsid w:val="008B12FC"/>
    <w:rsid w:val="008B17E0"/>
    <w:rsid w:val="008B1E5A"/>
    <w:rsid w:val="008B1EBD"/>
    <w:rsid w:val="008B2079"/>
    <w:rsid w:val="008B292D"/>
    <w:rsid w:val="008B3670"/>
    <w:rsid w:val="008B449E"/>
    <w:rsid w:val="008B4886"/>
    <w:rsid w:val="008B4992"/>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043"/>
    <w:rsid w:val="008E0682"/>
    <w:rsid w:val="008E0D4B"/>
    <w:rsid w:val="008E0F59"/>
    <w:rsid w:val="008E1824"/>
    <w:rsid w:val="008E18A2"/>
    <w:rsid w:val="008E5458"/>
    <w:rsid w:val="008E5FE4"/>
    <w:rsid w:val="008E668D"/>
    <w:rsid w:val="008E6C30"/>
    <w:rsid w:val="008F14EB"/>
    <w:rsid w:val="008F25FE"/>
    <w:rsid w:val="008F5C17"/>
    <w:rsid w:val="008F6984"/>
    <w:rsid w:val="008F717A"/>
    <w:rsid w:val="008F7393"/>
    <w:rsid w:val="008F7980"/>
    <w:rsid w:val="008F7BB6"/>
    <w:rsid w:val="0090142F"/>
    <w:rsid w:val="00902DEE"/>
    <w:rsid w:val="00903E0D"/>
    <w:rsid w:val="00904779"/>
    <w:rsid w:val="00905232"/>
    <w:rsid w:val="0090532C"/>
    <w:rsid w:val="00905475"/>
    <w:rsid w:val="00905662"/>
    <w:rsid w:val="00905C54"/>
    <w:rsid w:val="0090699B"/>
    <w:rsid w:val="00906ED3"/>
    <w:rsid w:val="00907287"/>
    <w:rsid w:val="0091044A"/>
    <w:rsid w:val="00911DB3"/>
    <w:rsid w:val="0091326A"/>
    <w:rsid w:val="00915248"/>
    <w:rsid w:val="00915B8C"/>
    <w:rsid w:val="00916063"/>
    <w:rsid w:val="00916F39"/>
    <w:rsid w:val="00921336"/>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40CC"/>
    <w:rsid w:val="00A04AA2"/>
    <w:rsid w:val="00A04BE3"/>
    <w:rsid w:val="00A0591A"/>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5CF7"/>
    <w:rsid w:val="00A26A4B"/>
    <w:rsid w:val="00A26CB9"/>
    <w:rsid w:val="00A325DF"/>
    <w:rsid w:val="00A337E4"/>
    <w:rsid w:val="00A339C9"/>
    <w:rsid w:val="00A344C8"/>
    <w:rsid w:val="00A4015F"/>
    <w:rsid w:val="00A40402"/>
    <w:rsid w:val="00A4272E"/>
    <w:rsid w:val="00A43992"/>
    <w:rsid w:val="00A457A0"/>
    <w:rsid w:val="00A46185"/>
    <w:rsid w:val="00A50686"/>
    <w:rsid w:val="00A533D6"/>
    <w:rsid w:val="00A54FF2"/>
    <w:rsid w:val="00A554D6"/>
    <w:rsid w:val="00A5792E"/>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2B3"/>
    <w:rsid w:val="00A94CD3"/>
    <w:rsid w:val="00A954D8"/>
    <w:rsid w:val="00A95BC4"/>
    <w:rsid w:val="00A96D2C"/>
    <w:rsid w:val="00A97EB7"/>
    <w:rsid w:val="00AA05D1"/>
    <w:rsid w:val="00AA21C8"/>
    <w:rsid w:val="00AA2A99"/>
    <w:rsid w:val="00AA2B72"/>
    <w:rsid w:val="00AA3B83"/>
    <w:rsid w:val="00AA4026"/>
    <w:rsid w:val="00AA5CAE"/>
    <w:rsid w:val="00AA6491"/>
    <w:rsid w:val="00AA73C7"/>
    <w:rsid w:val="00AB1486"/>
    <w:rsid w:val="00AB207E"/>
    <w:rsid w:val="00AB3415"/>
    <w:rsid w:val="00AB4520"/>
    <w:rsid w:val="00AB4CE0"/>
    <w:rsid w:val="00AB6215"/>
    <w:rsid w:val="00AB651E"/>
    <w:rsid w:val="00AB6E8F"/>
    <w:rsid w:val="00AB7063"/>
    <w:rsid w:val="00AB7A03"/>
    <w:rsid w:val="00AC133D"/>
    <w:rsid w:val="00AC167D"/>
    <w:rsid w:val="00AC1C52"/>
    <w:rsid w:val="00AC1D86"/>
    <w:rsid w:val="00AC27FE"/>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59E5"/>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64BD"/>
    <w:rsid w:val="00B57A14"/>
    <w:rsid w:val="00B60FA4"/>
    <w:rsid w:val="00B622D1"/>
    <w:rsid w:val="00B62490"/>
    <w:rsid w:val="00B62B8A"/>
    <w:rsid w:val="00B638ED"/>
    <w:rsid w:val="00B63CD8"/>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34DC"/>
    <w:rsid w:val="00BB44B8"/>
    <w:rsid w:val="00BB5812"/>
    <w:rsid w:val="00BB6878"/>
    <w:rsid w:val="00BB7962"/>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436"/>
    <w:rsid w:val="00BE504A"/>
    <w:rsid w:val="00BE5B5A"/>
    <w:rsid w:val="00BE676D"/>
    <w:rsid w:val="00BE767F"/>
    <w:rsid w:val="00BE7C32"/>
    <w:rsid w:val="00BF0C9B"/>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10C1D"/>
    <w:rsid w:val="00C10DA8"/>
    <w:rsid w:val="00C1120C"/>
    <w:rsid w:val="00C12EEC"/>
    <w:rsid w:val="00C1305A"/>
    <w:rsid w:val="00C130F3"/>
    <w:rsid w:val="00C13F01"/>
    <w:rsid w:val="00C14130"/>
    <w:rsid w:val="00C169F2"/>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09C9"/>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130F"/>
    <w:rsid w:val="00CC256A"/>
    <w:rsid w:val="00CC2F8B"/>
    <w:rsid w:val="00CC3819"/>
    <w:rsid w:val="00CC4B70"/>
    <w:rsid w:val="00CC5BD4"/>
    <w:rsid w:val="00CC6BBF"/>
    <w:rsid w:val="00CC77E8"/>
    <w:rsid w:val="00CD076A"/>
    <w:rsid w:val="00CD0E89"/>
    <w:rsid w:val="00CD179A"/>
    <w:rsid w:val="00CD1CAE"/>
    <w:rsid w:val="00CD44BD"/>
    <w:rsid w:val="00CD4A89"/>
    <w:rsid w:val="00CD4DB9"/>
    <w:rsid w:val="00CD531E"/>
    <w:rsid w:val="00CD5979"/>
    <w:rsid w:val="00CD657D"/>
    <w:rsid w:val="00CE027B"/>
    <w:rsid w:val="00CE39E4"/>
    <w:rsid w:val="00CE42BD"/>
    <w:rsid w:val="00CE4F57"/>
    <w:rsid w:val="00CE5186"/>
    <w:rsid w:val="00CE59D2"/>
    <w:rsid w:val="00CE76B4"/>
    <w:rsid w:val="00CE7C8B"/>
    <w:rsid w:val="00CF154C"/>
    <w:rsid w:val="00CF1A99"/>
    <w:rsid w:val="00CF2F2B"/>
    <w:rsid w:val="00CF3051"/>
    <w:rsid w:val="00CF3EBF"/>
    <w:rsid w:val="00CF4CE8"/>
    <w:rsid w:val="00CF61D0"/>
    <w:rsid w:val="00CF6A09"/>
    <w:rsid w:val="00CF6E13"/>
    <w:rsid w:val="00CF790F"/>
    <w:rsid w:val="00D00D1F"/>
    <w:rsid w:val="00D01F5E"/>
    <w:rsid w:val="00D02019"/>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407E6"/>
    <w:rsid w:val="00D4147E"/>
    <w:rsid w:val="00D41626"/>
    <w:rsid w:val="00D429E6"/>
    <w:rsid w:val="00D4315A"/>
    <w:rsid w:val="00D444D0"/>
    <w:rsid w:val="00D44790"/>
    <w:rsid w:val="00D447A0"/>
    <w:rsid w:val="00D501DF"/>
    <w:rsid w:val="00D51F3C"/>
    <w:rsid w:val="00D52306"/>
    <w:rsid w:val="00D52EC8"/>
    <w:rsid w:val="00D53BF4"/>
    <w:rsid w:val="00D53E83"/>
    <w:rsid w:val="00D54A43"/>
    <w:rsid w:val="00D556C0"/>
    <w:rsid w:val="00D55D6E"/>
    <w:rsid w:val="00D5634A"/>
    <w:rsid w:val="00D57D03"/>
    <w:rsid w:val="00D6009F"/>
    <w:rsid w:val="00D6010C"/>
    <w:rsid w:val="00D619CB"/>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8081B"/>
    <w:rsid w:val="00D808DD"/>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C94"/>
    <w:rsid w:val="00DF01A9"/>
    <w:rsid w:val="00DF0341"/>
    <w:rsid w:val="00DF164D"/>
    <w:rsid w:val="00DF17B2"/>
    <w:rsid w:val="00DF1E8F"/>
    <w:rsid w:val="00DF1EA4"/>
    <w:rsid w:val="00DF29C3"/>
    <w:rsid w:val="00DF2F75"/>
    <w:rsid w:val="00DF4129"/>
    <w:rsid w:val="00DF4197"/>
    <w:rsid w:val="00DF4780"/>
    <w:rsid w:val="00DF47E6"/>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0EE"/>
    <w:rsid w:val="00E14CE9"/>
    <w:rsid w:val="00E15EB4"/>
    <w:rsid w:val="00E16462"/>
    <w:rsid w:val="00E17817"/>
    <w:rsid w:val="00E17909"/>
    <w:rsid w:val="00E17940"/>
    <w:rsid w:val="00E17BBA"/>
    <w:rsid w:val="00E21A62"/>
    <w:rsid w:val="00E21DEE"/>
    <w:rsid w:val="00E22020"/>
    <w:rsid w:val="00E22169"/>
    <w:rsid w:val="00E22BBA"/>
    <w:rsid w:val="00E23F27"/>
    <w:rsid w:val="00E2402D"/>
    <w:rsid w:val="00E248B3"/>
    <w:rsid w:val="00E25339"/>
    <w:rsid w:val="00E255BC"/>
    <w:rsid w:val="00E27977"/>
    <w:rsid w:val="00E31209"/>
    <w:rsid w:val="00E312D4"/>
    <w:rsid w:val="00E31F8A"/>
    <w:rsid w:val="00E33273"/>
    <w:rsid w:val="00E33AE0"/>
    <w:rsid w:val="00E362DD"/>
    <w:rsid w:val="00E36C0D"/>
    <w:rsid w:val="00E3735B"/>
    <w:rsid w:val="00E42B37"/>
    <w:rsid w:val="00E430F7"/>
    <w:rsid w:val="00E460C4"/>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7E93"/>
    <w:rsid w:val="00EB1AD3"/>
    <w:rsid w:val="00EB3209"/>
    <w:rsid w:val="00EB32D4"/>
    <w:rsid w:val="00EB3B99"/>
    <w:rsid w:val="00EB43BA"/>
    <w:rsid w:val="00EB4DE6"/>
    <w:rsid w:val="00EB4E5B"/>
    <w:rsid w:val="00EB579F"/>
    <w:rsid w:val="00EB6964"/>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BAF"/>
    <w:rsid w:val="00EF01C1"/>
    <w:rsid w:val="00EF0325"/>
    <w:rsid w:val="00EF3F04"/>
    <w:rsid w:val="00EF5438"/>
    <w:rsid w:val="00EF63B5"/>
    <w:rsid w:val="00F01313"/>
    <w:rsid w:val="00F02733"/>
    <w:rsid w:val="00F02DE8"/>
    <w:rsid w:val="00F0371B"/>
    <w:rsid w:val="00F03AF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86"/>
    <w:rsid w:val="00F234EC"/>
    <w:rsid w:val="00F242AE"/>
    <w:rsid w:val="00F244B8"/>
    <w:rsid w:val="00F24B99"/>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3CB0"/>
    <w:rsid w:val="00F73F97"/>
    <w:rsid w:val="00F7615E"/>
    <w:rsid w:val="00F76194"/>
    <w:rsid w:val="00F77258"/>
    <w:rsid w:val="00F77BC3"/>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1C89"/>
    <w:rsid w:val="00FA24AE"/>
    <w:rsid w:val="00FA2A1A"/>
    <w:rsid w:val="00FA2CB6"/>
    <w:rsid w:val="00FA3423"/>
    <w:rsid w:val="00FA3534"/>
    <w:rsid w:val="00FA41D7"/>
    <w:rsid w:val="00FA6204"/>
    <w:rsid w:val="00FB1871"/>
    <w:rsid w:val="00FB194B"/>
    <w:rsid w:val="00FB1FB9"/>
    <w:rsid w:val="00FB23FE"/>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sk-SK" w:bidi="sk-SK"/>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able of figures" w:qFormat="1"/>
    <w:lsdException w:name="footnote reference" w:uiPriority="0" w:qFormat="1"/>
    <w:lsdException w:name="List" w:qFormat="1"/>
    <w:lsdException w:name="List Bullet"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sk-SK"/>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sk-SK"/>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sk-SK"/>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sk-SK"/>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sk-SK"/>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sk-SK"/>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sk-SK"/>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sk-SK"/>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sk-SK"/>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sk-SK"/>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rPr>
  </w:style>
  <w:style w:type="paragraph" w:customStyle="1" w:styleId="List1">
    <w:name w:val="List1"/>
    <w:autoRedefine/>
    <w:qFormat/>
    <w:rsid w:val="00E140EE"/>
    <w:pPr>
      <w:numPr>
        <w:numId w:val="22"/>
      </w:numPr>
      <w:spacing w:after="0" w:line="240" w:lineRule="auto"/>
    </w:pPr>
    <w:rPr>
      <w:rFonts w:ascii="Times New Roman" w:eastAsiaTheme="minorEastAsia" w:hAnsi="Times New Roman" w:cs="Times New Roman"/>
      <w:w w:val="95"/>
      <w:sz w:val="20"/>
      <w:szCs w:val="20"/>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sk-SK"/>
    </w:rPr>
  </w:style>
  <w:style w:type="table" w:styleId="TableGrid">
    <w:name w:val="Table Grid"/>
    <w:basedOn w:val="TableProfessional"/>
    <w:uiPriority w:val="59"/>
    <w:rsid w:val="00E13CE3"/>
    <w:rPr>
      <w:sz w:val="20"/>
      <w:szCs w:val="20"/>
      <w:lang w:val="en-GB" w:eastAsia="en-GB" w:bidi="ar-SA"/>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sk-S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sk-SK"/>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sk-SK"/>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4F233C"/>
    <w:pPr>
      <w:numPr>
        <w:numId w:val="29"/>
      </w:numPr>
    </w:pPr>
    <w:rPr>
      <w:rFonts w:ascii="Times New Roman" w:hAnsi="Times New Roman" w:cs="Times New Roman"/>
      <w:color w:val="000000" w:themeColor="text1"/>
      <w:sz w:val="20"/>
      <w:szCs w:val="20"/>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sk-SK"/>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sk-SK"/>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sk-SK"/>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sk-SK"/>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E140EE"/>
    <w:pPr>
      <w:spacing w:before="108"/>
      <w:jc w:val="both"/>
    </w:pPr>
    <w:rPr>
      <w:rFonts w:ascii="Times New Roman" w:eastAsia="Times New Roman" w:hAnsi="Times New Roman" w:cs="Times New Roman"/>
      <w:sz w:val="20"/>
      <w:szCs w:val="20"/>
    </w:rPr>
  </w:style>
  <w:style w:type="character" w:customStyle="1" w:styleId="InstructionsTextChar">
    <w:name w:val="Instructions Text Char"/>
    <w:link w:val="InstructionsText"/>
    <w:locked/>
    <w:rsid w:val="00E140EE"/>
    <w:rPr>
      <w:rFonts w:ascii="Times New Roman" w:eastAsia="Times New Roman" w:hAnsi="Times New Roman" w:cs="Times New Roman"/>
      <w:sz w:val="20"/>
      <w:szCs w:val="20"/>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sk-SK"/>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is.org/cpmi/publ/d101.htm" TargetMode="External"/><Relationship Id="rId4" Type="http://schemas.microsoft.com/office/2007/relationships/stylesWithEffects" Target="stylesWithEffects.xml"/><Relationship Id="rId9" Type="http://schemas.openxmlformats.org/officeDocument/2006/relationships/hyperlink" Target="http://www.leiro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ABBF0-D513-4E6F-9F5B-C37D39399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42</Pages>
  <Words>14335</Words>
  <Characters>85870</Characters>
  <Application>Microsoft Office Word</Application>
  <DocSecurity>0</DocSecurity>
  <Lines>1951</Lines>
  <Paragraphs>1518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EBA</Company>
  <LinksUpToDate>false</LinksUpToDate>
  <CharactersWithSpaces>98687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Canonne</dc:creator>
  <cp:lastModifiedBy>STANCIKOVA Marianna (DGT)</cp:lastModifiedBy>
  <cp:revision>7</cp:revision>
  <cp:lastPrinted>2017-10-06T17:28:00Z</cp:lastPrinted>
  <dcterms:created xsi:type="dcterms:W3CDTF">2018-09-18T08:30:00Z</dcterms:created>
  <dcterms:modified xsi:type="dcterms:W3CDTF">2018-09-20T12:59:00Z</dcterms:modified>
</cp:coreProperties>
</file>