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732FB5" w:rsidRDefault="00170A0A" w:rsidP="00732FB5">
      <w:pPr>
        <w:pStyle w:val="Pagedecouverture"/>
        <w:rPr>
          <w:rStyle w:val="SubtleEmphasis"/>
        </w:rPr>
      </w:pPr>
      <w:bookmarkStart w:id="0" w:name="_GoBack"/>
      <w:bookmarkEnd w:id="0"/>
      <w:r>
        <w:rPr>
          <w:rStyle w:val="SubtleEmphasi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61B54E2-33EA-42FF-BAA3-32A5CB5F073C" style="width:450.5pt;height:423pt">
            <v:imagedata r:id="rId9" o:title=""/>
          </v:shape>
        </w:pict>
      </w:r>
    </w:p>
    <w:p w:rsidR="007E1AE4" w:rsidRPr="00732FB5" w:rsidRDefault="007E1AE4">
      <w:pPr>
        <w:sectPr w:rsidR="007E1AE4" w:rsidRPr="00732FB5" w:rsidSect="00392501">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732FB5" w:rsidRDefault="00732FB5" w:rsidP="00732FB5">
      <w:pPr>
        <w:pStyle w:val="Typedudocument"/>
      </w:pPr>
      <w:r w:rsidRPr="00732FB5">
        <w:t>KOMISIJAS ĪSTENOŠANAS REGULA (ES) …/..</w:t>
      </w:r>
    </w:p>
    <w:p w:rsidR="007E1AE4" w:rsidRPr="00732FB5" w:rsidRDefault="00732FB5" w:rsidP="00732FB5">
      <w:pPr>
        <w:pStyle w:val="Datedadoption"/>
      </w:pPr>
      <w:r w:rsidRPr="00732FB5">
        <w:t>(</w:t>
      </w:r>
      <w:r w:rsidRPr="00732FB5">
        <w:rPr>
          <w:rStyle w:val="Marker2"/>
        </w:rPr>
        <w:t>XXX</w:t>
      </w:r>
      <w:r w:rsidRPr="00732FB5">
        <w:t>),</w:t>
      </w:r>
    </w:p>
    <w:p w:rsidR="007E1AE4" w:rsidRPr="00732FB5" w:rsidRDefault="00732FB5" w:rsidP="00732FB5">
      <w:pPr>
        <w:pStyle w:val="Titreobjet"/>
      </w:pPr>
      <w:r w:rsidRPr="00732FB5">
        <w:t>ar ko saskaņā ar Eiropas Parlamenta un Padomes Direktīvu 2014/59/ES nosaka īstenošanas tehniskos standartus attiecībā uz procedūrām, standarta veidlapām un veidnēm informācijas sniegšanai kredītiestāžu un ieguldījumu brokeru sabiedrību noregulējuma plānu vajadzībām un atceļ Komisijas Īstenošanas regulu (ES) 2016/1066</w:t>
      </w:r>
      <w:r w:rsidRPr="00732FB5">
        <w:br/>
      </w:r>
    </w:p>
    <w:p w:rsidR="007E1AE4" w:rsidRPr="00732FB5" w:rsidRDefault="00732FB5" w:rsidP="00732FB5">
      <w:pPr>
        <w:pStyle w:val="IntrtEEE"/>
      </w:pPr>
      <w:r w:rsidRPr="00732FB5">
        <w:t>(Dokuments attiecas uz EEZ)</w:t>
      </w:r>
    </w:p>
    <w:p w:rsidR="007E1AE4" w:rsidRPr="00732FB5" w:rsidRDefault="007E1AE4" w:rsidP="007E1AE4">
      <w:pPr>
        <w:pStyle w:val="Institutionquiagit"/>
        <w:rPr>
          <w:color w:val="000000" w:themeColor="text1"/>
        </w:rPr>
      </w:pPr>
      <w:r w:rsidRPr="00732FB5">
        <w:rPr>
          <w:color w:val="000000" w:themeColor="text1"/>
        </w:rPr>
        <w:t>EIROPAS KOMISIJA,</w:t>
      </w:r>
    </w:p>
    <w:p w:rsidR="007E1AE4" w:rsidRPr="00732FB5" w:rsidRDefault="007E1AE4" w:rsidP="007E1AE4">
      <w:pPr>
        <w:rPr>
          <w:color w:val="000000" w:themeColor="text1"/>
        </w:rPr>
      </w:pPr>
      <w:r w:rsidRPr="00732FB5">
        <w:rPr>
          <w:color w:val="000000" w:themeColor="text1"/>
        </w:rPr>
        <w:t>ņemot vērā Līgumu par Eiropas Savienības darbību,</w:t>
      </w:r>
    </w:p>
    <w:p w:rsidR="007E1AE4" w:rsidRPr="00732FB5" w:rsidRDefault="007E1AE4" w:rsidP="007E1AE4">
      <w:pPr>
        <w:rPr>
          <w:color w:val="000000" w:themeColor="text1"/>
        </w:rPr>
      </w:pPr>
      <w:r w:rsidRPr="00732FB5">
        <w:rPr>
          <w:color w:val="000000" w:themeColor="text1"/>
        </w:rPr>
        <w:t xml:space="preserve">ņemot vērā </w:t>
      </w:r>
      <w:r w:rsidRPr="00732FB5">
        <w:t>Eiropas Parlamenta un Padomes Direktīvu 2014/59/ES, ar ko izveido kredītiestāžu un ieguldījumu brokeru sabiedrību atveseļošanas un noregulējuma režīmu un groza Padomes Direktīvu 82/891/EEK un Eiropas Parlamenta un Padomes Direktīvas 2001/24/EK, 2002/47/EK, 2004/25/EK, 2005/56/EK, 2007/36/EK, 2011/35/ES, 2012/30/ES un 2013/36/ES, un Eiropas Parlamenta un Padomes Regulas</w:t>
      </w:r>
      <w:r w:rsidRPr="00732FB5">
        <w:rPr>
          <w:rStyle w:val="FootnoteReference"/>
        </w:rPr>
        <w:footnoteReference w:id="2"/>
      </w:r>
      <w:r w:rsidRPr="00732FB5">
        <w:t xml:space="preserve"> (ES) Nr. 1093/2010 un (ES) Nr. 648/2012,</w:t>
      </w:r>
      <w:r w:rsidRPr="00732FB5">
        <w:rPr>
          <w:color w:val="000000" w:themeColor="text1"/>
        </w:rPr>
        <w:t xml:space="preserve"> un jo īpaši tās </w:t>
      </w:r>
      <w:r w:rsidRPr="00732FB5">
        <w:t>11. panta 3. punktu</w:t>
      </w:r>
      <w:r w:rsidRPr="00732FB5">
        <w:rPr>
          <w:color w:val="000000" w:themeColor="text1"/>
        </w:rPr>
        <w:t>,</w:t>
      </w:r>
    </w:p>
    <w:p w:rsidR="007E1AE4" w:rsidRPr="00732FB5" w:rsidRDefault="007E1AE4" w:rsidP="007E1AE4">
      <w:pPr>
        <w:rPr>
          <w:color w:val="000000" w:themeColor="text1"/>
        </w:rPr>
      </w:pPr>
      <w:r w:rsidRPr="00732FB5">
        <w:rPr>
          <w:color w:val="000000" w:themeColor="text1"/>
        </w:rPr>
        <w:t>tā kā:</w:t>
      </w:r>
    </w:p>
    <w:p w:rsidR="007E1AE4" w:rsidRPr="00732FB5" w:rsidRDefault="007E1AE4" w:rsidP="00440366">
      <w:pPr>
        <w:pStyle w:val="Considrant"/>
        <w:numPr>
          <w:ilvl w:val="0"/>
          <w:numId w:val="7"/>
        </w:numPr>
      </w:pPr>
      <w:r w:rsidRPr="00732FB5">
        <w:t>Komisijas Īstenošanas regulā (ES) 2016/1066</w:t>
      </w:r>
      <w:r w:rsidRPr="00732FB5">
        <w:rPr>
          <w:rStyle w:val="FootnoteReference"/>
        </w:rPr>
        <w:footnoteReference w:id="3"/>
      </w:r>
      <w:r w:rsidRPr="00732FB5">
        <w:t xml:space="preserve"> ir noteikta procedūra un ieviests veidņu minimuma kopums, lai kredītiestādes un ieguldījumu brokeru sabiedrības (“finanšu iestādes”) noregulējuma iestādēm sniegtu informāciju nolūkā sagatavot un īstenot iestāžu noregulējuma plānus. Kopš Īstenošanas regulas (ES) 2016/1066 pieņemšanas noregulējuma iestādes ir guvušas pieredzi noregulējuma plānošanas jomā. Ņemot vērā šo pieredzi, ir jāatjaunina veidņu minimuma kopums informācijas ievākšanai noregulējuma plānošanas nolūkos.</w:t>
      </w:r>
    </w:p>
    <w:p w:rsidR="007E1AE4" w:rsidRPr="00732FB5" w:rsidRDefault="007E1AE4" w:rsidP="006E1E68">
      <w:pPr>
        <w:pStyle w:val="Considrant"/>
      </w:pPr>
      <w:r w:rsidRPr="00732FB5">
        <w:t>Īstenošanas regulas (ES) 2016/1066 mērķis ir arī izstrādāt procedūru un veidņu minimuma kopumu informācijai, ko finanšu iestādes sniedz noregulējuma iestādēm, tādā veidā, kas ļauj noregulējuma iestādēm konsekventi vākt šādu informāciju visā Savienībā un atvieglot informācijas apmaiņu starp attiecīgajām iestādēm. Taču pieredze ir apliecinājusi, ka saskaņota pieeja šādas informācijas vākšanai ir īstenota tikai daļēji. Tāpēc ir nepieciešams nodrošināt, ka noregulējuma iestādes visā Savienībā regulāri ievāc minimālo pamatinformāciju saistībā ar finanšu iestādi vai grupu. Tas neliedz noregulējuma iestādei vākt jebkādu papildu informāciju, ko tā uzskata par nepieciešamu, lai sagatavotu un īstenotu noregulējuma plānus vai noteiktu, kā minēts Direktīvas 2014/59/ES 4. pantā, vienkāršotus informēšanas pienākumus.</w:t>
      </w:r>
    </w:p>
    <w:p w:rsidR="007E1AE4" w:rsidRPr="00732FB5" w:rsidRDefault="007E1AE4" w:rsidP="007E1AE4">
      <w:pPr>
        <w:pStyle w:val="Considrant"/>
      </w:pPr>
      <w:r w:rsidRPr="00732FB5">
        <w:t xml:space="preserve">Lai nodrošinātu, ka noregulējuma plāni ir balstīti uz datu minimālo kopumu, kam ir konsekventi augsta kvalitāte un precizitāte, ar Īstenošanas regulu (ES) 2016/1066 ieviestajās pārskata veidnēs noteiktie datu posteņi būtu jāpārveido vienotā datu punkta modelī, kā tiek praktizēts uzraudzības pārskatu sniegšanā. Vienotajam datu punktu modelim būtu jāsastāv no strukturāla datu posteņu atveidojuma un jāidentificē visas būtiskās </w:t>
      </w:r>
      <w:proofErr w:type="spellStart"/>
      <w:r w:rsidRPr="00732FB5">
        <w:t>darījumdarbības</w:t>
      </w:r>
      <w:proofErr w:type="spellEnd"/>
      <w:r w:rsidRPr="00732FB5">
        <w:t xml:space="preserve"> koncepcijas, lai panāktu vienotu ziņošanu noregulējuma plānošanai, un tam būtu jāietver visas attiecīgās specifikācijas, kas vajadzīgas, lai turpmāk attīstītu vienotus IT pārskatu sniegšanas risinājumus.</w:t>
      </w:r>
    </w:p>
    <w:p w:rsidR="007E1AE4" w:rsidRPr="00732FB5" w:rsidRDefault="007E1AE4" w:rsidP="007E1AE4">
      <w:pPr>
        <w:pStyle w:val="Considrant"/>
      </w:pPr>
      <w:r w:rsidRPr="00732FB5">
        <w:t>Lai nodrošinātu finanšu iestāžu ziņoto datu posteņu kvalitāti, konsekvenci un precizitāti, datu posteņiem būtu jāpiemēro kopīgi validācijas noteikumi.</w:t>
      </w:r>
    </w:p>
    <w:p w:rsidR="007E1AE4" w:rsidRPr="00732FB5" w:rsidRDefault="007E1AE4" w:rsidP="007E1AE4">
      <w:pPr>
        <w:pStyle w:val="Considrant"/>
      </w:pPr>
      <w:r w:rsidRPr="00732FB5">
        <w:t xml:space="preserve">Validācijas noteikumi un datu punktu definīcijas to būtības dēļ tiek regulāri atjaunināti, lai nodrošinātu, ka tie vienmēr atbilst piemērojamajām regulatīvajām, analītiskajām un informācijas tehnoloģiju prasībām. Tomēr laiks, kas pašlaik nepieciešams, lai pieņemtu un publicētu detalizētu vienoto datu punktu modeli un validācijas noteikumus, nozīmē, ka nav iespējams pietiekami ātri un laicīgi veikt izmaiņas, ar kurām tiktu nodrošināta pastāvīga vienotas informācijas sniegšana attiecībā uz noregulējuma plāniem Savienībā. Tāpēc būtu jānosaka stingri kvalitātes kritēriji attiecībā uz detalizētu vienoto datu punktu modeli un detalizētiem kopīgajiem validācijas noteikumiem, ko Eiropas Banku iestāde (EBI) elektroniski publicēs savā tīmekļa vietnē. </w:t>
      </w:r>
    </w:p>
    <w:p w:rsidR="007E1AE4" w:rsidRPr="00732FB5" w:rsidRDefault="007E1AE4" w:rsidP="007E1AE4">
      <w:pPr>
        <w:pStyle w:val="Considrant"/>
      </w:pPr>
      <w:r w:rsidRPr="00732FB5">
        <w:t>Saskaņā ar Direktīvas 2014/59/ES 11. panta 2. punktu kompetentajām un noregulējuma iestādēm būtu jāsadarbojas, lai mazinātu gadījumus, kad prasības sniegt informāciju tiek noteiktas atkārtoti. Šajā nolūkā Īstenošanas regulā (ES) 2016/1066 ir paredzēta sadarbības procedūra starp kompetentajām un noregulējuma iestādēm, kas būtu jāsaglabā, lai kompetentās un noregulējuma iestādes kopīgi pārbaudītu, vai kompetentajai iestādei jau ir daļēji vai pilnībā pieejama prasītā informācija. Ja kompetentajai iestādei informācija ir pieejama, tai šāda informācija būtu tieši jānosūta noregulējuma iestādei.</w:t>
      </w:r>
    </w:p>
    <w:p w:rsidR="007E1AE4" w:rsidRPr="00732FB5" w:rsidRDefault="007E1AE4" w:rsidP="007E1AE4">
      <w:pPr>
        <w:pStyle w:val="Considrant"/>
      </w:pPr>
      <w:r w:rsidRPr="00732FB5">
        <w:t>Ņemot vērā Īstenošanas regulā (ES) 2016/1066 nepieciešamo grozījumu apmēru, juridiskās noteiktības un skaidrības nolūkos ir vēlams pieņemt jaunu īstenošanas regulu un attiecīgi atcelt Īstenošanas regulu (ES) 2016/1066.</w:t>
      </w:r>
    </w:p>
    <w:p w:rsidR="007E1AE4" w:rsidRPr="00732FB5" w:rsidRDefault="007E1AE4" w:rsidP="007E1AE4">
      <w:pPr>
        <w:pStyle w:val="Considrant"/>
      </w:pPr>
      <w:r w:rsidRPr="00732FB5">
        <w:t>Šī regula ir balstīta uz īstenošanas tehniskajiem standartiem, ko Komisijai iesniedza EBI.</w:t>
      </w:r>
    </w:p>
    <w:p w:rsidR="007E1AE4" w:rsidRPr="00732FB5" w:rsidRDefault="007E1AE4" w:rsidP="007E1AE4">
      <w:pPr>
        <w:pStyle w:val="Considrant"/>
      </w:pPr>
      <w:r w:rsidRPr="00732FB5">
        <w:t>EBI ir veikusi atklātu sabiedrisko apspriešanu par īstenošanas tehniskajiem standartiem, uz kuriem ir balstīta šī regula, izvērtējusi potenciālās saistītās izmaksas un ieguvumus un lūgusi atzinumu no Banku nozares ieinteresēto personu grupas, kura izveidota saskaņā ar Eiropas Parlamenta un Padomes Regulas (ES) Nr. 1093/2010 37. pantu</w:t>
      </w:r>
      <w:r w:rsidRPr="00732FB5">
        <w:rPr>
          <w:rStyle w:val="FootnoteReference"/>
        </w:rPr>
        <w:footnoteReference w:id="4"/>
      </w:r>
      <w:r w:rsidRPr="00732FB5">
        <w:t>,</w:t>
      </w:r>
    </w:p>
    <w:p w:rsidR="007E1AE4" w:rsidRPr="00732FB5" w:rsidRDefault="007E1AE4" w:rsidP="007E1AE4">
      <w:pPr>
        <w:pStyle w:val="Formuledadoption"/>
        <w:rPr>
          <w:color w:val="000000" w:themeColor="text1"/>
        </w:rPr>
      </w:pPr>
      <w:r w:rsidRPr="00732FB5">
        <w:rPr>
          <w:color w:val="000000" w:themeColor="text1"/>
        </w:rPr>
        <w:t>IR PIEŅĒMUSI ŠO REGULU.</w:t>
      </w:r>
    </w:p>
    <w:p w:rsidR="007E1AE4" w:rsidRPr="00732FB5" w:rsidRDefault="007E1AE4" w:rsidP="007E1AE4">
      <w:pPr>
        <w:pStyle w:val="Titrearticle"/>
        <w:rPr>
          <w:color w:val="000000" w:themeColor="text1"/>
        </w:rPr>
      </w:pPr>
      <w:r w:rsidRPr="00732FB5">
        <w:rPr>
          <w:color w:val="000000" w:themeColor="text1"/>
        </w:rPr>
        <w:t xml:space="preserve">1. pants </w:t>
      </w:r>
      <w:r w:rsidRPr="00732FB5">
        <w:rPr>
          <w:color w:val="000000" w:themeColor="text1"/>
        </w:rPr>
        <w:br/>
        <w:t>Priekšmets</w:t>
      </w:r>
    </w:p>
    <w:p w:rsidR="007E1AE4" w:rsidRPr="00732FB5" w:rsidRDefault="007E1AE4" w:rsidP="007E1AE4">
      <w:r w:rsidRPr="00732FB5">
        <w:t>Ar šo regulu nosaka īstenošanas tehniskos standartus, paredzot procedūras un standarta veidņu minimālo kopumu, lai noregulējuma iestādēm iesniegtu informāciju, kas nepieciešama individuālu noregulējuma plānu sagatavošanai un īstenošanai saskaņā ar Direktīvas 2014/59/ES 11. pantu un grupu noregulējuma plāniem saskaņā ar minētās direktīvas 13. pantu.</w:t>
      </w:r>
    </w:p>
    <w:p w:rsidR="007E1AE4" w:rsidRPr="00732FB5" w:rsidRDefault="007E1AE4" w:rsidP="007E1AE4">
      <w:pPr>
        <w:pStyle w:val="Titrearticle"/>
        <w:rPr>
          <w:color w:val="000000" w:themeColor="text1"/>
        </w:rPr>
      </w:pPr>
      <w:r w:rsidRPr="00732FB5">
        <w:rPr>
          <w:color w:val="000000" w:themeColor="text1"/>
        </w:rPr>
        <w:t xml:space="preserve">2. pants </w:t>
      </w:r>
      <w:r w:rsidRPr="00732FB5">
        <w:rPr>
          <w:color w:val="000000" w:themeColor="text1"/>
        </w:rPr>
        <w:br/>
        <w:t>Definīcijas</w:t>
      </w:r>
    </w:p>
    <w:p w:rsidR="007E1AE4" w:rsidRPr="00732FB5" w:rsidRDefault="007E1AE4" w:rsidP="007E1AE4">
      <w:r w:rsidRPr="00732FB5">
        <w:t>Šajā regulā piemēro šādas definīcijas:</w:t>
      </w:r>
    </w:p>
    <w:p w:rsidR="00F14DE3" w:rsidRPr="00732FB5" w:rsidRDefault="00AD470D" w:rsidP="00440366">
      <w:pPr>
        <w:pStyle w:val="Point0number"/>
        <w:numPr>
          <w:ilvl w:val="0"/>
          <w:numId w:val="8"/>
        </w:numPr>
      </w:pPr>
      <w:r w:rsidRPr="00732FB5">
        <w:t>“noregulējuma vienība” ir viena no šādām vienībām:</w:t>
      </w:r>
    </w:p>
    <w:p w:rsidR="00AD470D" w:rsidRPr="00732FB5" w:rsidRDefault="00AD470D" w:rsidP="0051415A">
      <w:pPr>
        <w:pStyle w:val="Point2letter"/>
      </w:pPr>
      <w:r w:rsidRPr="00732FB5">
        <w:t>vienība, kas veic uzņēmējdarbību Savienībā un ko noregulējuma iestāde saskaņā ar Direktīvas 2014/59/ES 12. pantu ir identificējusi kā vienību, attiecībā uz kuru noregulējuma plānā ir paredzēta noregulējuma darbība; vai</w:t>
      </w:r>
    </w:p>
    <w:p w:rsidR="00AD470D" w:rsidRPr="00732FB5" w:rsidRDefault="00AD470D" w:rsidP="00CA51B8">
      <w:pPr>
        <w:pStyle w:val="Point2letter"/>
      </w:pPr>
      <w:r w:rsidRPr="00732FB5">
        <w:t>finanšu iestāde, kas nav daļa no grupas, kam piemēro konsolidētu uzraudzību saskaņā ar Direktīvas 2013/36/ES 111. un 112. pantu, un attiecībā uz kuru noregulējuma plānā, kurš izstrādāts saskaņā ar Direktīvas 2014/59/ES 10. pantu, ir paredzēta noregulējuma darbība;</w:t>
      </w:r>
    </w:p>
    <w:p w:rsidR="00AD470D" w:rsidRPr="00732FB5" w:rsidRDefault="00AD470D" w:rsidP="00440366">
      <w:pPr>
        <w:pStyle w:val="Point0number"/>
        <w:numPr>
          <w:ilvl w:val="0"/>
          <w:numId w:val="8"/>
        </w:numPr>
        <w:rPr>
          <w:szCs w:val="24"/>
        </w:rPr>
      </w:pPr>
      <w:r w:rsidRPr="00732FB5">
        <w:t>“noregulējuma grupa” ir viena no šādām struktūrām:</w:t>
      </w:r>
    </w:p>
    <w:p w:rsidR="00AD470D" w:rsidRPr="00732FB5" w:rsidRDefault="00AD470D" w:rsidP="00AE1240">
      <w:pPr>
        <w:pStyle w:val="Point1letter"/>
      </w:pPr>
      <w:r w:rsidRPr="00732FB5">
        <w:t>noregulējuma vienība un tās meitasuzņēmumi, kas nav:</w:t>
      </w:r>
    </w:p>
    <w:p w:rsidR="00AD470D" w:rsidRPr="00732FB5" w:rsidRDefault="00AD470D" w:rsidP="00AE1240">
      <w:pPr>
        <w:pStyle w:val="Point3"/>
      </w:pPr>
      <w:r w:rsidRPr="00732FB5">
        <w:t>i) pašas noregulējuma vienības; vai</w:t>
      </w:r>
    </w:p>
    <w:p w:rsidR="00AD470D" w:rsidRPr="00732FB5" w:rsidRDefault="00AD470D" w:rsidP="0051415A">
      <w:pPr>
        <w:pStyle w:val="Point3"/>
      </w:pPr>
      <w:proofErr w:type="spellStart"/>
      <w:r w:rsidRPr="00732FB5">
        <w:t>ii</w:t>
      </w:r>
      <w:proofErr w:type="spellEnd"/>
      <w:r w:rsidRPr="00732FB5">
        <w:t>) citu noregulējuma vienību meitasuzņēmumi; vai</w:t>
      </w:r>
    </w:p>
    <w:p w:rsidR="006D0EA9" w:rsidRPr="00732FB5" w:rsidRDefault="00AD470D" w:rsidP="0051415A">
      <w:pPr>
        <w:pStyle w:val="Point3"/>
      </w:pPr>
      <w:proofErr w:type="spellStart"/>
      <w:r w:rsidRPr="00732FB5">
        <w:t>iii</w:t>
      </w:r>
      <w:proofErr w:type="spellEnd"/>
      <w:r w:rsidRPr="00732FB5">
        <w:t>) vienības, kas veic uzņēmējdarbību trešajā valstī un nav iekļautas noregulējuma grupā saskaņā ar noregulējuma plānu, un to meitasuzņēmumi;</w:t>
      </w:r>
    </w:p>
    <w:p w:rsidR="00AD470D" w:rsidRPr="00732FB5" w:rsidRDefault="00AD470D" w:rsidP="0051415A">
      <w:pPr>
        <w:pStyle w:val="Point1letter"/>
      </w:pPr>
      <w:r w:rsidRPr="00732FB5">
        <w:t>kredītiestādes, kas ir pastāvīgi saistītas ar centrālo iestādi, centrālā iestāde un jebkura iestāde, kas ir centrālās iestādes kontrolē, ja kāda no minētajām vienībām ir noregulējuma vienība;</w:t>
      </w:r>
    </w:p>
    <w:p w:rsidR="007E1AE4" w:rsidRPr="00732FB5" w:rsidRDefault="007E1AE4" w:rsidP="00AE1240">
      <w:pPr>
        <w:pStyle w:val="Point0number"/>
      </w:pPr>
      <w:r w:rsidRPr="00732FB5">
        <w:t>“grupas finanšu iestāde” ir grupas vienība, kas ir kredītiestāde vai ieguldījumu brokeru sabiedrība;</w:t>
      </w:r>
    </w:p>
    <w:p w:rsidR="00F80209" w:rsidRPr="00732FB5" w:rsidRDefault="00F80209" w:rsidP="00AE1240">
      <w:pPr>
        <w:pStyle w:val="Point0number"/>
      </w:pPr>
      <w:r w:rsidRPr="00732FB5">
        <w:t>“attiecīgā juridiskā persona” ir grupas vienība, kas vai nu:</w:t>
      </w:r>
    </w:p>
    <w:p w:rsidR="00F80209" w:rsidRPr="00732FB5" w:rsidRDefault="00F80209" w:rsidP="00AE1240">
      <w:pPr>
        <w:pStyle w:val="Point2letter"/>
      </w:pPr>
      <w:r w:rsidRPr="00732FB5">
        <w:t>veic kritiski svarīgas funkcijas; vai</w:t>
      </w:r>
    </w:p>
    <w:p w:rsidR="00F80209" w:rsidRPr="00732FB5" w:rsidRDefault="00F80209" w:rsidP="00AE1240">
      <w:pPr>
        <w:pStyle w:val="Point2letter"/>
      </w:pPr>
      <w:r w:rsidRPr="00732FB5">
        <w:t>pārstāv vai nodrošina vairāk nekā 5 % no:</w:t>
      </w:r>
    </w:p>
    <w:p w:rsidR="00F80209" w:rsidRPr="00732FB5" w:rsidRDefault="00F80209" w:rsidP="00AE1240">
      <w:pPr>
        <w:pStyle w:val="Point3"/>
        <w:ind w:left="2268" w:hanging="284"/>
        <w:rPr>
          <w:rStyle w:val="Strong"/>
          <w:b w:val="0"/>
          <w:color w:val="444444"/>
          <w:szCs w:val="24"/>
        </w:rPr>
      </w:pPr>
      <w:r w:rsidRPr="00732FB5">
        <w:t xml:space="preserve">i) grupas kopējās riska darījumu vērtības, kas minēta </w:t>
      </w:r>
      <w:r w:rsidRPr="00732FB5">
        <w:rPr>
          <w:rStyle w:val="Strong"/>
          <w:b w:val="0"/>
          <w:color w:val="444444"/>
        </w:rPr>
        <w:t>Eiropas Parlamenta un Padomes</w:t>
      </w:r>
      <w:r w:rsidRPr="00732FB5">
        <w:rPr>
          <w:rStyle w:val="FootnoteReference"/>
          <w:color w:val="444444"/>
        </w:rPr>
        <w:footnoteReference w:id="5"/>
      </w:r>
      <w:r w:rsidRPr="00732FB5">
        <w:rPr>
          <w:rStyle w:val="Strong"/>
          <w:b w:val="0"/>
          <w:color w:val="444444"/>
        </w:rPr>
        <w:t xml:space="preserve"> Regulas (ES) Nr. 575/2013 92. panta 3. punktā;</w:t>
      </w:r>
      <w:r w:rsidRPr="00732FB5">
        <w:t xml:space="preserve"> vai</w:t>
      </w:r>
    </w:p>
    <w:p w:rsidR="00F80209" w:rsidRPr="00732FB5" w:rsidRDefault="00F80209" w:rsidP="00AE1240">
      <w:pPr>
        <w:pStyle w:val="Point3"/>
        <w:ind w:left="2410" w:hanging="426"/>
      </w:pPr>
      <w:proofErr w:type="spellStart"/>
      <w:r w:rsidRPr="00732FB5">
        <w:rPr>
          <w:rStyle w:val="Strong"/>
          <w:b w:val="0"/>
          <w:color w:val="444444"/>
        </w:rPr>
        <w:t>ii</w:t>
      </w:r>
      <w:proofErr w:type="spellEnd"/>
      <w:r w:rsidRPr="00732FB5">
        <w:rPr>
          <w:rStyle w:val="Strong"/>
          <w:b w:val="0"/>
          <w:color w:val="444444"/>
        </w:rPr>
        <w:t xml:space="preserve">) </w:t>
      </w:r>
      <w:r w:rsidRPr="00732FB5">
        <w:t>grupas sviras rādītāja kopējās riska darījumu vērtības mēra, kas minēts Regulas (ES) Nr. 575/2013 429. panta 4. punktā; vai</w:t>
      </w:r>
    </w:p>
    <w:p w:rsidR="001150B6" w:rsidRPr="00732FB5" w:rsidRDefault="00F80209" w:rsidP="00AE1240">
      <w:pPr>
        <w:pStyle w:val="Point3"/>
      </w:pPr>
      <w:proofErr w:type="spellStart"/>
      <w:r w:rsidRPr="00732FB5">
        <w:t>iii</w:t>
      </w:r>
      <w:proofErr w:type="spellEnd"/>
      <w:r w:rsidRPr="00732FB5">
        <w:t>) grupas darbības ieņēmumiem konsolidēti.</w:t>
      </w:r>
    </w:p>
    <w:p w:rsidR="007E1AE4" w:rsidRPr="00732FB5" w:rsidRDefault="007E1AE4" w:rsidP="007E1AE4">
      <w:pPr>
        <w:pStyle w:val="Titrearticle"/>
        <w:rPr>
          <w:color w:val="000000" w:themeColor="text1"/>
        </w:rPr>
      </w:pPr>
      <w:r w:rsidRPr="00732FB5">
        <w:rPr>
          <w:color w:val="000000" w:themeColor="text1"/>
        </w:rPr>
        <w:t>3. pants</w:t>
      </w:r>
      <w:r w:rsidRPr="00732FB5">
        <w:rPr>
          <w:color w:val="000000" w:themeColor="text1"/>
        </w:rPr>
        <w:br/>
        <w:t>Pamatinformācijas sniegšana individuālo un grupu noregulējuma plānu nolūkā</w:t>
      </w:r>
    </w:p>
    <w:p w:rsidR="007E1AE4" w:rsidRPr="00732FB5" w:rsidRDefault="005062D8" w:rsidP="00440366">
      <w:pPr>
        <w:pStyle w:val="NumPar1"/>
        <w:numPr>
          <w:ilvl w:val="0"/>
          <w:numId w:val="9"/>
        </w:numPr>
        <w:rPr>
          <w:color w:val="000000" w:themeColor="text1"/>
        </w:rPr>
      </w:pPr>
      <w:r w:rsidRPr="00732FB5">
        <w:rPr>
          <w:color w:val="000000" w:themeColor="text1"/>
        </w:rPr>
        <w:t xml:space="preserve">Finanšu iestādes un — grupu gadījumā — Savienības </w:t>
      </w:r>
      <w:proofErr w:type="spellStart"/>
      <w:r w:rsidRPr="00732FB5">
        <w:rPr>
          <w:color w:val="000000" w:themeColor="text1"/>
        </w:rPr>
        <w:t>mātesuzņēmumi</w:t>
      </w:r>
      <w:proofErr w:type="spellEnd"/>
      <w:r w:rsidRPr="00732FB5">
        <w:rPr>
          <w:color w:val="000000" w:themeColor="text1"/>
        </w:rPr>
        <w:t xml:space="preserve"> vai nu tieši, vai ar kompetentās iestādes starpniecību iesniedz noregulējuma iestādēm I pielikumā noteiktajās veidnēs minēto informāciju saskaņā ar informācijas konsolidācijas līmeni, biežumu un formātu, kā noteikts attiecīgi 4., 5. un 6. pantā, un saskaņā ar II pielikumā minētajiem norādījumiem.</w:t>
      </w:r>
    </w:p>
    <w:p w:rsidR="007E1AE4" w:rsidRPr="00732FB5" w:rsidRDefault="007E1AE4" w:rsidP="007E1AE4">
      <w:pPr>
        <w:pStyle w:val="NumPar1"/>
        <w:rPr>
          <w:color w:val="000000" w:themeColor="text1"/>
        </w:rPr>
      </w:pPr>
      <w:r w:rsidRPr="00732FB5">
        <w:rPr>
          <w:color w:val="000000" w:themeColor="text1"/>
        </w:rPr>
        <w:t xml:space="preserve">Ja noregulējuma iestāde vai — grupu gadījumā — grupas līmeņa noregulējuma iestāde piemēro vienkāršotus pienākumus saskaņā ar Direktīvas 2014/59/ES 4. pantu, tā attiecīgās iestādes vai Savienības </w:t>
      </w:r>
      <w:proofErr w:type="spellStart"/>
      <w:r w:rsidRPr="00732FB5">
        <w:rPr>
          <w:color w:val="000000" w:themeColor="text1"/>
        </w:rPr>
        <w:t>mātesuzņēmumus</w:t>
      </w:r>
      <w:proofErr w:type="spellEnd"/>
      <w:r w:rsidRPr="00732FB5">
        <w:rPr>
          <w:color w:val="000000" w:themeColor="text1"/>
        </w:rPr>
        <w:t xml:space="preserve"> informē par to, kāda informācija nav jāiekļauj šī panta 1. punktā minētās informācijas sniegšanā. Tā norāda uz attiecīgo informāciju, atsaucoties uz I pielikumā iekļautajām veidnēm.</w:t>
      </w:r>
    </w:p>
    <w:p w:rsidR="007E1AE4" w:rsidRPr="00732FB5" w:rsidRDefault="007E1AE4" w:rsidP="007E1AE4">
      <w:pPr>
        <w:pStyle w:val="Titrearticle"/>
        <w:rPr>
          <w:color w:val="000000" w:themeColor="text1"/>
        </w:rPr>
      </w:pPr>
      <w:r w:rsidRPr="00732FB5">
        <w:rPr>
          <w:color w:val="000000" w:themeColor="text1"/>
        </w:rPr>
        <w:t>4. pants</w:t>
      </w:r>
      <w:r w:rsidRPr="00732FB5">
        <w:rPr>
          <w:color w:val="000000" w:themeColor="text1"/>
        </w:rPr>
        <w:br/>
        <w:t xml:space="preserve">Informācijas konsolidācijas līmenis </w:t>
      </w:r>
    </w:p>
    <w:p w:rsidR="007E1AE4" w:rsidRPr="00732FB5" w:rsidRDefault="007E1AE4" w:rsidP="00EB1CD0">
      <w:pPr>
        <w:pStyle w:val="NumPar1"/>
        <w:numPr>
          <w:ilvl w:val="0"/>
          <w:numId w:val="1"/>
        </w:numPr>
        <w:rPr>
          <w:color w:val="000000" w:themeColor="text1"/>
        </w:rPr>
      </w:pPr>
      <w:r w:rsidRPr="00732FB5">
        <w:rPr>
          <w:color w:val="000000" w:themeColor="text1"/>
        </w:rPr>
        <w:t>Finanšu iestādes, kas nav daļa no grupas, individuāli iesniedz 3. panta 1. punktā minēto informāciju, izņemot I pielikuma Z 07.02. un Z 04.00. veidnē minēto informāciju.</w:t>
      </w:r>
    </w:p>
    <w:p w:rsidR="007E1AE4" w:rsidRPr="00732FB5" w:rsidRDefault="007E1AE4" w:rsidP="00EB1CD0">
      <w:pPr>
        <w:pStyle w:val="NumPar1"/>
        <w:numPr>
          <w:ilvl w:val="0"/>
          <w:numId w:val="1"/>
        </w:numPr>
        <w:rPr>
          <w:color w:val="000000" w:themeColor="text1"/>
        </w:rPr>
      </w:pPr>
      <w:r w:rsidRPr="00732FB5">
        <w:rPr>
          <w:color w:val="000000" w:themeColor="text1"/>
        </w:rPr>
        <w:t xml:space="preserve">Grupu gadījumā Savienības </w:t>
      </w:r>
      <w:proofErr w:type="spellStart"/>
      <w:r w:rsidRPr="00732FB5">
        <w:rPr>
          <w:color w:val="000000" w:themeColor="text1"/>
        </w:rPr>
        <w:t>mātesuzņēmumi</w:t>
      </w:r>
      <w:proofErr w:type="spellEnd"/>
      <w:r w:rsidRPr="00732FB5">
        <w:rPr>
          <w:color w:val="000000" w:themeColor="text1"/>
        </w:rPr>
        <w:t xml:space="preserve"> iesniedz 3. panta 1. punktā minēto informāciju saskaņā ar šādu specifikāciju: </w:t>
      </w:r>
    </w:p>
    <w:p w:rsidR="007E1AE4" w:rsidRPr="00732FB5" w:rsidRDefault="007E1AE4" w:rsidP="00EB1CD0">
      <w:pPr>
        <w:pStyle w:val="Point0letter"/>
        <w:numPr>
          <w:ilvl w:val="1"/>
          <w:numId w:val="2"/>
        </w:numPr>
        <w:rPr>
          <w:color w:val="000000" w:themeColor="text1"/>
        </w:rPr>
      </w:pPr>
      <w:r w:rsidRPr="00732FB5">
        <w:rPr>
          <w:color w:val="000000" w:themeColor="text1"/>
        </w:rPr>
        <w:t>I pielikuma Z 01.00. veidnē minēto informāciju saistībā ar:</w:t>
      </w:r>
    </w:p>
    <w:p w:rsidR="007E1AE4" w:rsidRPr="00732FB5" w:rsidRDefault="00045775" w:rsidP="0051415A">
      <w:pPr>
        <w:pStyle w:val="Point2"/>
      </w:pPr>
      <w:r w:rsidRPr="00732FB5">
        <w:t xml:space="preserve">i) </w:t>
      </w:r>
      <w:r w:rsidRPr="00732FB5">
        <w:tab/>
        <w:t xml:space="preserve">tās konsolidētajos finanšu pārskatos iekļautajām grupas vienībām, kas pārsniedz 0,5 % no grupas kopējiem aktīviem vai kopējām saistībām; </w:t>
      </w:r>
    </w:p>
    <w:p w:rsidR="007E1AE4" w:rsidRPr="00732FB5" w:rsidRDefault="00045775" w:rsidP="0051415A">
      <w:pPr>
        <w:pStyle w:val="Point2"/>
      </w:pPr>
      <w:proofErr w:type="spellStart"/>
      <w:r w:rsidRPr="00732FB5">
        <w:t>ii</w:t>
      </w:r>
      <w:proofErr w:type="spellEnd"/>
      <w:r w:rsidRPr="00732FB5">
        <w:t>)</w:t>
      </w:r>
      <w:r w:rsidRPr="00732FB5">
        <w:tab/>
        <w:t xml:space="preserve">grupas finanšu iestādēm, kas pārsniedz 0,5 % no kopējās riska darījumu vērtības vai 0,5 % no grupas kopējā pirmā līmeņa pamata kapitāla, pamatojoties uz Savienības </w:t>
      </w:r>
      <w:proofErr w:type="spellStart"/>
      <w:r w:rsidRPr="00732FB5">
        <w:t>mātesuzņēmuma</w:t>
      </w:r>
      <w:proofErr w:type="spellEnd"/>
      <w:r w:rsidRPr="00732FB5">
        <w:t xml:space="preserve"> konsolidēto finanšu stāvokli;</w:t>
      </w:r>
    </w:p>
    <w:p w:rsidR="007E1AE4" w:rsidRPr="00732FB5" w:rsidRDefault="00045775" w:rsidP="0051415A">
      <w:pPr>
        <w:pStyle w:val="Point2"/>
      </w:pPr>
      <w:proofErr w:type="spellStart"/>
      <w:r w:rsidRPr="00732FB5">
        <w:t>iii</w:t>
      </w:r>
      <w:proofErr w:type="spellEnd"/>
      <w:r w:rsidRPr="00732FB5">
        <w:t xml:space="preserve">) </w:t>
      </w:r>
      <w:r w:rsidRPr="00732FB5">
        <w:tab/>
        <w:t>grupas vienībām, kas veic kritiski svarīgas funkcijas;</w:t>
      </w:r>
    </w:p>
    <w:p w:rsidR="007E1AE4" w:rsidRPr="00732FB5" w:rsidRDefault="007E1AE4" w:rsidP="00EB1CD0">
      <w:pPr>
        <w:pStyle w:val="Point0letter"/>
        <w:numPr>
          <w:ilvl w:val="1"/>
          <w:numId w:val="2"/>
        </w:numPr>
        <w:rPr>
          <w:color w:val="000000" w:themeColor="text1"/>
        </w:rPr>
      </w:pPr>
      <w:r w:rsidRPr="00732FB5">
        <w:rPr>
          <w:color w:val="000000" w:themeColor="text1"/>
        </w:rPr>
        <w:t>I pielikuma Z 02.00. un Z 03.00. veidnē minēto informāciju:</w:t>
      </w:r>
    </w:p>
    <w:p w:rsidR="007E1AE4" w:rsidRPr="00732FB5" w:rsidRDefault="00045775" w:rsidP="0051415A">
      <w:pPr>
        <w:pStyle w:val="Point2"/>
      </w:pPr>
      <w:r w:rsidRPr="00732FB5">
        <w:t xml:space="preserve">i) </w:t>
      </w:r>
      <w:r w:rsidRPr="00732FB5">
        <w:tab/>
        <w:t xml:space="preserve">Savienības </w:t>
      </w:r>
      <w:proofErr w:type="spellStart"/>
      <w:r w:rsidRPr="00732FB5">
        <w:t>mātesuzņēmuma</w:t>
      </w:r>
      <w:proofErr w:type="spellEnd"/>
      <w:r w:rsidRPr="00732FB5">
        <w:t xml:space="preserve"> līmenī vai, ja atšķiras, individuāli katras noregulējuma vienības līmenī; </w:t>
      </w:r>
    </w:p>
    <w:p w:rsidR="007E1AE4" w:rsidRPr="00732FB5" w:rsidRDefault="00045775" w:rsidP="0051415A">
      <w:pPr>
        <w:pStyle w:val="Point2"/>
      </w:pPr>
      <w:proofErr w:type="spellStart"/>
      <w:r w:rsidRPr="00732FB5">
        <w:t>ii</w:t>
      </w:r>
      <w:proofErr w:type="spellEnd"/>
      <w:r w:rsidRPr="00732FB5">
        <w:t>)</w:t>
      </w:r>
      <w:r w:rsidRPr="00732FB5">
        <w:tab/>
        <w:t>individuāli katras grupas finanšu iestādes līmenī, kas ir attiecīgā juridiskā persona un neiekļaujas i) punkta darbības jomā, izņemot gadījumus, kad noregulējuma iestāde attiecīgajai finanšu iestādei ir pilnībā atcēlusi individuālās minimuma prasības piemērošanu pašu kapitālam un atbilstīgajām saistībām saskaņā ar Direktīvas 2014/59/ES 45. panta 11. vai 12. punktu;</w:t>
      </w:r>
    </w:p>
    <w:p w:rsidR="007E1AE4" w:rsidRPr="00732FB5" w:rsidRDefault="00045775" w:rsidP="0051415A">
      <w:pPr>
        <w:pStyle w:val="Point2"/>
      </w:pPr>
      <w:proofErr w:type="spellStart"/>
      <w:r w:rsidRPr="00732FB5">
        <w:t>iii</w:t>
      </w:r>
      <w:proofErr w:type="spellEnd"/>
      <w:r w:rsidRPr="00732FB5">
        <w:t>)</w:t>
      </w:r>
      <w:r w:rsidRPr="00732FB5">
        <w:tab/>
        <w:t xml:space="preserve">Savienības </w:t>
      </w:r>
      <w:proofErr w:type="spellStart"/>
      <w:r w:rsidRPr="00732FB5">
        <w:t>mātesuzņēmuma</w:t>
      </w:r>
      <w:proofErr w:type="spellEnd"/>
      <w:r w:rsidRPr="00732FB5">
        <w:t xml:space="preserve"> līmenī konsolidēti vai, ja atšķiras, katras noregulējuma vienības līmenī, pamatojoties uz noregulējuma grupas konsolidēto finanšu stāvokli;</w:t>
      </w:r>
    </w:p>
    <w:p w:rsidR="007E1AE4" w:rsidRPr="00732FB5" w:rsidRDefault="007E1AE4" w:rsidP="00EB1CD0">
      <w:pPr>
        <w:pStyle w:val="Point0letter"/>
        <w:numPr>
          <w:ilvl w:val="1"/>
          <w:numId w:val="2"/>
        </w:numPr>
        <w:rPr>
          <w:color w:val="000000" w:themeColor="text1"/>
        </w:rPr>
      </w:pPr>
      <w:r w:rsidRPr="00732FB5">
        <w:rPr>
          <w:color w:val="000000" w:themeColor="text1"/>
        </w:rPr>
        <w:t>I pielikuma Z 04.00. veidnē minēto informāciju saistībā ar savstarpējām finansiālajām saiknēm starp visām attiecīgajām juridiskajām personām;</w:t>
      </w:r>
    </w:p>
    <w:p w:rsidR="007E1AE4" w:rsidRPr="00732FB5" w:rsidRDefault="007E1AE4" w:rsidP="00EB1CD0">
      <w:pPr>
        <w:pStyle w:val="Point0letter"/>
        <w:numPr>
          <w:ilvl w:val="1"/>
          <w:numId w:val="2"/>
        </w:numPr>
        <w:rPr>
          <w:color w:val="000000" w:themeColor="text1"/>
        </w:rPr>
      </w:pPr>
      <w:r w:rsidRPr="00732FB5">
        <w:rPr>
          <w:color w:val="000000" w:themeColor="text1"/>
        </w:rPr>
        <w:t>I pielikuma Z 05.01. un Z 05.02. veidnē minēto informāciju:</w:t>
      </w:r>
    </w:p>
    <w:p w:rsidR="007E1AE4" w:rsidRPr="00732FB5" w:rsidRDefault="00045775" w:rsidP="0051415A">
      <w:pPr>
        <w:pStyle w:val="Point2"/>
      </w:pPr>
      <w:r w:rsidRPr="00732FB5">
        <w:t>i)</w:t>
      </w:r>
      <w:r w:rsidRPr="00732FB5">
        <w:tab/>
        <w:t xml:space="preserve">Savienības </w:t>
      </w:r>
      <w:proofErr w:type="spellStart"/>
      <w:r w:rsidRPr="00732FB5">
        <w:t>mātesuzņēmuma</w:t>
      </w:r>
      <w:proofErr w:type="spellEnd"/>
      <w:r w:rsidRPr="00732FB5">
        <w:t xml:space="preserve"> līmenī vai, ja atšķiras, individuāli katras noregulējuma vienības līmenī;</w:t>
      </w:r>
    </w:p>
    <w:p w:rsidR="007E1AE4" w:rsidRPr="00732FB5" w:rsidRDefault="00045775" w:rsidP="0051415A">
      <w:pPr>
        <w:pStyle w:val="Point2"/>
      </w:pPr>
      <w:proofErr w:type="spellStart"/>
      <w:r w:rsidRPr="00732FB5">
        <w:t>ii</w:t>
      </w:r>
      <w:proofErr w:type="spellEnd"/>
      <w:r w:rsidRPr="00732FB5">
        <w:t>)</w:t>
      </w:r>
      <w:r w:rsidRPr="00732FB5">
        <w:tab/>
        <w:t xml:space="preserve">Savienības </w:t>
      </w:r>
      <w:proofErr w:type="spellStart"/>
      <w:r w:rsidRPr="00732FB5">
        <w:t>mātesuzņēmuma</w:t>
      </w:r>
      <w:proofErr w:type="spellEnd"/>
      <w:r w:rsidRPr="00732FB5">
        <w:t xml:space="preserve"> līmenī konsolidēti vai, ja atšķiras, katras noregulējuma vienības līmenī, pamatojoties uz noregulējuma grupas konsolidēto finanšu stāvokli;</w:t>
      </w:r>
    </w:p>
    <w:p w:rsidR="007E1AE4" w:rsidRPr="00732FB5" w:rsidRDefault="007E1AE4" w:rsidP="00EB1CD0">
      <w:pPr>
        <w:pStyle w:val="Point0letter"/>
        <w:numPr>
          <w:ilvl w:val="1"/>
          <w:numId w:val="2"/>
        </w:numPr>
        <w:rPr>
          <w:color w:val="000000" w:themeColor="text1"/>
        </w:rPr>
      </w:pPr>
      <w:r w:rsidRPr="00732FB5">
        <w:rPr>
          <w:color w:val="000000" w:themeColor="text1"/>
        </w:rPr>
        <w:t xml:space="preserve">I pielikuma Z 06.00. veidnē minēto informāciju Savienības </w:t>
      </w:r>
      <w:proofErr w:type="spellStart"/>
      <w:r w:rsidRPr="00732FB5">
        <w:rPr>
          <w:color w:val="000000" w:themeColor="text1"/>
        </w:rPr>
        <w:t>mātesuzņēmuma</w:t>
      </w:r>
      <w:proofErr w:type="spellEnd"/>
      <w:r w:rsidRPr="00732FB5">
        <w:rPr>
          <w:color w:val="000000" w:themeColor="text1"/>
        </w:rPr>
        <w:t xml:space="preserve"> līmenī konsolidēti saistībā ar visām kredītiestādēm, kuras ir attiecīgās juridiskās personas;</w:t>
      </w:r>
    </w:p>
    <w:p w:rsidR="007E1AE4" w:rsidRPr="00732FB5" w:rsidRDefault="007E1AE4" w:rsidP="00EB1CD0">
      <w:pPr>
        <w:pStyle w:val="Point0letter"/>
        <w:numPr>
          <w:ilvl w:val="1"/>
          <w:numId w:val="2"/>
        </w:numPr>
        <w:rPr>
          <w:color w:val="000000" w:themeColor="text1"/>
        </w:rPr>
      </w:pPr>
      <w:r w:rsidRPr="00732FB5">
        <w:rPr>
          <w:color w:val="000000" w:themeColor="text1"/>
        </w:rPr>
        <w:t>I pielikuma Z 07.01. veidnē minēto informāciju atsevišķi par katru dalībvalsti, kurā grupa darbojas;</w:t>
      </w:r>
    </w:p>
    <w:p w:rsidR="007E1AE4" w:rsidRPr="00732FB5" w:rsidRDefault="007E1AE4" w:rsidP="00EB1CD0">
      <w:pPr>
        <w:pStyle w:val="Point0letter"/>
        <w:numPr>
          <w:ilvl w:val="1"/>
          <w:numId w:val="2"/>
        </w:numPr>
        <w:rPr>
          <w:color w:val="000000" w:themeColor="text1"/>
        </w:rPr>
      </w:pPr>
      <w:r w:rsidRPr="00732FB5">
        <w:rPr>
          <w:color w:val="000000" w:themeColor="text1"/>
        </w:rPr>
        <w:t>I pielikuma Z 07.02., Z 07.03. un Z 07.04. veidnē minēto informāciju saistībā ar jebkuras grupas vienības kritiski svarīgām funkcijām un galvenajām darbības jomām;</w:t>
      </w:r>
    </w:p>
    <w:p w:rsidR="007E1AE4" w:rsidRPr="00732FB5" w:rsidRDefault="007E1AE4" w:rsidP="00EB1CD0">
      <w:pPr>
        <w:pStyle w:val="Point0letter"/>
        <w:numPr>
          <w:ilvl w:val="1"/>
          <w:numId w:val="2"/>
        </w:numPr>
        <w:rPr>
          <w:color w:val="000000" w:themeColor="text1"/>
        </w:rPr>
      </w:pPr>
      <w:r w:rsidRPr="00732FB5">
        <w:rPr>
          <w:color w:val="000000" w:themeColor="text1"/>
        </w:rPr>
        <w:t>I pielikuma Z 08.00. veidnē minēto informāciju saistībā ar jebkādiem kritiski svarīgiem pakalpojumiem, ko sniedz jebkurai I pielikuma Z 01.00. veidnē iekļautai grupas vienībai;</w:t>
      </w:r>
    </w:p>
    <w:p w:rsidR="007E1AE4" w:rsidRPr="00732FB5" w:rsidRDefault="007E1AE4" w:rsidP="00EB1CD0">
      <w:pPr>
        <w:pStyle w:val="Point0letter"/>
        <w:numPr>
          <w:ilvl w:val="1"/>
          <w:numId w:val="2"/>
        </w:numPr>
        <w:rPr>
          <w:color w:val="000000" w:themeColor="text1"/>
        </w:rPr>
      </w:pPr>
      <w:r w:rsidRPr="00732FB5">
        <w:rPr>
          <w:color w:val="000000" w:themeColor="text1"/>
        </w:rPr>
        <w:t>I pielikuma Z 09.00. veidnē minēto informāciju saistībā ar visām finanšu tirgus infrastruktūrām, kuru traucējumi ievērojami sarežģītu vai kavētu jebkuru Z 07.02. veidnē minētu kritiski svarīgu funkciju veikšanu;</w:t>
      </w:r>
    </w:p>
    <w:p w:rsidR="007E1AE4" w:rsidRPr="00732FB5" w:rsidRDefault="007E1AE4" w:rsidP="00EB1CD0">
      <w:pPr>
        <w:pStyle w:val="Point0letter"/>
        <w:numPr>
          <w:ilvl w:val="1"/>
          <w:numId w:val="2"/>
        </w:numPr>
        <w:rPr>
          <w:color w:val="000000" w:themeColor="text1"/>
        </w:rPr>
      </w:pPr>
      <w:r w:rsidRPr="00732FB5">
        <w:rPr>
          <w:color w:val="000000" w:themeColor="text1"/>
        </w:rPr>
        <w:t>I pielikuma Z 10.01. un Z 10.02. veidnē minēto informāciju saistībā ar jebkādām kritiski svarīgām informācijas sistēmām grupā.</w:t>
      </w:r>
    </w:p>
    <w:p w:rsidR="007E1AE4" w:rsidRPr="00732FB5" w:rsidRDefault="007E1AE4" w:rsidP="007E1AE4">
      <w:pPr>
        <w:pStyle w:val="Titrearticle"/>
        <w:rPr>
          <w:color w:val="000000" w:themeColor="text1"/>
        </w:rPr>
      </w:pPr>
      <w:r w:rsidRPr="00732FB5">
        <w:rPr>
          <w:color w:val="000000" w:themeColor="text1"/>
        </w:rPr>
        <w:t>5. pants</w:t>
      </w:r>
      <w:r w:rsidRPr="00732FB5">
        <w:rPr>
          <w:color w:val="000000" w:themeColor="text1"/>
        </w:rPr>
        <w:br/>
        <w:t>Biežums, atsauces datumi un nosūtīšanas datumi</w:t>
      </w:r>
    </w:p>
    <w:p w:rsidR="007E1AE4" w:rsidRPr="00732FB5" w:rsidRDefault="007E1AE4" w:rsidP="00EB1CD0">
      <w:pPr>
        <w:pStyle w:val="NumPar1"/>
        <w:numPr>
          <w:ilvl w:val="0"/>
          <w:numId w:val="3"/>
        </w:numPr>
        <w:rPr>
          <w:color w:val="000000" w:themeColor="text1"/>
        </w:rPr>
      </w:pPr>
      <w:r w:rsidRPr="00732FB5">
        <w:rPr>
          <w:color w:val="000000" w:themeColor="text1"/>
        </w:rPr>
        <w:t>Finanšu iestādes iesniedz 3. panta 1. punktā minēto informāciju, vēlākais, līdz 30. aprīlim katru gadu attiecībā uz  iepriekšējā kalendārā gada vai attiecīgā finanšu gada pēdējo dienu. Ja 30. aprīlis nav darba diena, informāciju sniedz nākamajā darba dienā.</w:t>
      </w:r>
    </w:p>
    <w:p w:rsidR="007E1AE4" w:rsidRPr="00732FB5" w:rsidRDefault="007E1AE4" w:rsidP="00EB1CD0">
      <w:pPr>
        <w:pStyle w:val="NumPar1"/>
        <w:numPr>
          <w:ilvl w:val="0"/>
          <w:numId w:val="3"/>
        </w:numPr>
        <w:rPr>
          <w:color w:val="000000" w:themeColor="text1"/>
        </w:rPr>
      </w:pPr>
      <w:r w:rsidRPr="00732FB5">
        <w:rPr>
          <w:color w:val="000000" w:themeColor="text1"/>
        </w:rPr>
        <w:t>Noregulējuma iestādes sniedz nepieciešamo kontaktinformāciju informācijas iesniegšanai noregulējuma iestādē vai — attiecīgā gadījumā — kompetentajā iestādē.</w:t>
      </w:r>
    </w:p>
    <w:p w:rsidR="007E1AE4" w:rsidRPr="00732FB5" w:rsidRDefault="007E1AE4" w:rsidP="00EB1CD0">
      <w:pPr>
        <w:pStyle w:val="NumPar1"/>
        <w:numPr>
          <w:ilvl w:val="0"/>
          <w:numId w:val="3"/>
        </w:numPr>
        <w:rPr>
          <w:color w:val="000000" w:themeColor="text1"/>
        </w:rPr>
      </w:pPr>
      <w:r w:rsidRPr="00732FB5">
        <w:rPr>
          <w:color w:val="000000" w:themeColor="text1"/>
        </w:rPr>
        <w:t xml:space="preserve">Finanšu iestādes var iesniegt nerevidētus datus. Ja revidētie dati atšķiras no iesniegtajiem nerevidētajiem datiem, pārskatītos revidētos datus iesniedz bez liekas kavēšanās. Nerevidēti dati ir dati, par kuriem nav sniegts ārēja revidenta atzinums, savukārt revidēti dati ir dati, kuru revīziju ir veicis ārējs revidents, sniedzot revīzijas atzinumu. </w:t>
      </w:r>
    </w:p>
    <w:p w:rsidR="007E1AE4" w:rsidRPr="00732FB5" w:rsidRDefault="00754A18" w:rsidP="00EB1CD0">
      <w:pPr>
        <w:pStyle w:val="NumPar1"/>
        <w:numPr>
          <w:ilvl w:val="0"/>
          <w:numId w:val="3"/>
        </w:numPr>
        <w:rPr>
          <w:color w:val="000000" w:themeColor="text1"/>
        </w:rPr>
      </w:pPr>
      <w:r w:rsidRPr="00732FB5">
        <w:rPr>
          <w:color w:val="000000" w:themeColor="text1"/>
        </w:rPr>
        <w:t>Iesniegto pārskatu korekcijas iesniedz bez nepamatotas kavēšanās.</w:t>
      </w:r>
    </w:p>
    <w:p w:rsidR="007E1AE4" w:rsidRPr="00732FB5" w:rsidRDefault="007E1AE4" w:rsidP="007E1AE4">
      <w:pPr>
        <w:pStyle w:val="Titrearticle"/>
        <w:rPr>
          <w:color w:val="000000" w:themeColor="text1"/>
        </w:rPr>
      </w:pPr>
      <w:r w:rsidRPr="00732FB5">
        <w:rPr>
          <w:color w:val="000000" w:themeColor="text1"/>
        </w:rPr>
        <w:t>6. pants</w:t>
      </w:r>
      <w:r w:rsidRPr="00732FB5">
        <w:rPr>
          <w:color w:val="000000" w:themeColor="text1"/>
        </w:rPr>
        <w:br/>
        <w:t>Informācijas iesniegšanas formāts</w:t>
      </w:r>
    </w:p>
    <w:p w:rsidR="007E1AE4" w:rsidRPr="00732FB5" w:rsidRDefault="007E1AE4" w:rsidP="00EB1CD0">
      <w:pPr>
        <w:pStyle w:val="NumPar1"/>
        <w:numPr>
          <w:ilvl w:val="0"/>
          <w:numId w:val="4"/>
        </w:numPr>
        <w:rPr>
          <w:color w:val="000000" w:themeColor="text1"/>
        </w:rPr>
      </w:pPr>
      <w:r w:rsidRPr="00732FB5">
        <w:rPr>
          <w:color w:val="000000" w:themeColor="text1"/>
        </w:rPr>
        <w:t xml:space="preserve">Finanšu iestādes vai — grupu gadījumā — Savienības </w:t>
      </w:r>
      <w:proofErr w:type="spellStart"/>
      <w:r w:rsidRPr="00732FB5">
        <w:rPr>
          <w:color w:val="000000" w:themeColor="text1"/>
        </w:rPr>
        <w:t>mātesuzņēmumi</w:t>
      </w:r>
      <w:proofErr w:type="spellEnd"/>
      <w:r w:rsidRPr="00732FB5">
        <w:rPr>
          <w:color w:val="000000" w:themeColor="text1"/>
        </w:rPr>
        <w:t xml:space="preserve"> iesniedz 3. panta 1. punktā minēto informāciju datu apmaiņas formātos un atveidojumos, kurus noteikušas noregulējuma iestādes, un ievēro datu punktu definīcijas, kas iekļautas III pielikumā noteiktajā vienotajā datu punktu modelī, un IV pielikumā noteiktos validācijas noteikumus, kā arī šādas specifikācijas:</w:t>
      </w:r>
    </w:p>
    <w:p w:rsidR="007E1AE4" w:rsidRPr="00732FB5" w:rsidRDefault="00A05B6C" w:rsidP="00AE1240">
      <w:pPr>
        <w:pStyle w:val="Point1letter"/>
      </w:pPr>
      <w:r w:rsidRPr="00732FB5">
        <w:t xml:space="preserve"> informāciju, kas nav nepieciešama vai nav piemērojama, neiekļauj nosūtamajos datos;</w:t>
      </w:r>
    </w:p>
    <w:p w:rsidR="007E1AE4" w:rsidRPr="00732FB5" w:rsidRDefault="007E1AE4" w:rsidP="00AE1240">
      <w:pPr>
        <w:pStyle w:val="Point1letter"/>
      </w:pPr>
      <w:r w:rsidRPr="00732FB5">
        <w:t>skaitliskas vērtības iesniedz kā faktus, ievērojot turpmāko:</w:t>
      </w:r>
    </w:p>
    <w:p w:rsidR="007E1AE4" w:rsidRPr="00732FB5" w:rsidRDefault="00045775" w:rsidP="0051415A">
      <w:pPr>
        <w:pStyle w:val="Point2"/>
      </w:pPr>
      <w:r w:rsidRPr="00732FB5">
        <w:t>i)</w:t>
      </w:r>
      <w:r w:rsidRPr="00732FB5">
        <w:tab/>
        <w:t>datu punktus ar datu tipu “monetārā summa” iesniedz, izmantojot minimuma precizitāti, kas izteikta tūkstošos;</w:t>
      </w:r>
    </w:p>
    <w:p w:rsidR="007E1AE4" w:rsidRPr="00732FB5" w:rsidRDefault="00045775" w:rsidP="0051415A">
      <w:pPr>
        <w:pStyle w:val="Point2"/>
      </w:pPr>
      <w:proofErr w:type="spellStart"/>
      <w:r w:rsidRPr="00732FB5">
        <w:t>ii</w:t>
      </w:r>
      <w:proofErr w:type="spellEnd"/>
      <w:r w:rsidRPr="00732FB5">
        <w:t>)</w:t>
      </w:r>
      <w:r w:rsidRPr="00732FB5">
        <w:tab/>
        <w:t>datu punktus ar datu tipu “procenti” izsaka relatīvajās vienībās ar minimuma precizitāti, kas izteikta ar četriem cipariem aiz komata;</w:t>
      </w:r>
    </w:p>
    <w:p w:rsidR="007E1AE4" w:rsidRPr="00732FB5" w:rsidRDefault="00045775" w:rsidP="0051415A">
      <w:pPr>
        <w:pStyle w:val="Point2"/>
      </w:pPr>
      <w:proofErr w:type="spellStart"/>
      <w:r w:rsidRPr="00732FB5">
        <w:t>iii</w:t>
      </w:r>
      <w:proofErr w:type="spellEnd"/>
      <w:r w:rsidRPr="00732FB5">
        <w:t>)</w:t>
      </w:r>
      <w:r w:rsidRPr="00732FB5">
        <w:tab/>
        <w:t>datu punktus ar datu tipu “vesels skaitlis” iesniedz bez cipariem aiz komata un ar precizitāti, kas izteikta vienos.</w:t>
      </w:r>
    </w:p>
    <w:p w:rsidR="007E1AE4" w:rsidRPr="00732FB5" w:rsidRDefault="007E1AE4" w:rsidP="00EB1CD0">
      <w:pPr>
        <w:pStyle w:val="NumPar1"/>
        <w:numPr>
          <w:ilvl w:val="0"/>
          <w:numId w:val="4"/>
        </w:numPr>
        <w:rPr>
          <w:color w:val="000000" w:themeColor="text1"/>
        </w:rPr>
      </w:pPr>
      <w:r w:rsidRPr="00732FB5">
        <w:rPr>
          <w:color w:val="000000" w:themeColor="text1"/>
        </w:rPr>
        <w:t xml:space="preserve">Datus, ko iesniedz finanšu iestādes vai — grupu gadījumā — Savienības </w:t>
      </w:r>
      <w:proofErr w:type="spellStart"/>
      <w:r w:rsidRPr="00732FB5">
        <w:rPr>
          <w:color w:val="000000" w:themeColor="text1"/>
        </w:rPr>
        <w:t>mātesuzņēmumi</w:t>
      </w:r>
      <w:proofErr w:type="spellEnd"/>
      <w:r w:rsidRPr="00732FB5">
        <w:rPr>
          <w:color w:val="000000" w:themeColor="text1"/>
        </w:rPr>
        <w:t>, saista ar šādu informāciju:</w:t>
      </w:r>
    </w:p>
    <w:p w:rsidR="007E1AE4" w:rsidRPr="00732FB5" w:rsidRDefault="007E1AE4" w:rsidP="00440366">
      <w:pPr>
        <w:pStyle w:val="Point1letter"/>
        <w:numPr>
          <w:ilvl w:val="3"/>
          <w:numId w:val="18"/>
        </w:numPr>
      </w:pPr>
      <w:r w:rsidRPr="00732FB5">
        <w:t>iesniegšanas atsauces datums;</w:t>
      </w:r>
    </w:p>
    <w:p w:rsidR="007E1AE4" w:rsidRPr="00732FB5" w:rsidRDefault="007E1AE4" w:rsidP="00AE1240">
      <w:pPr>
        <w:pStyle w:val="Point1letter"/>
      </w:pPr>
      <w:r w:rsidRPr="00732FB5">
        <w:t>pārskata sniegšanas valūta;</w:t>
      </w:r>
    </w:p>
    <w:p w:rsidR="007E1AE4" w:rsidRPr="00732FB5" w:rsidRDefault="007E1AE4" w:rsidP="00AE1240">
      <w:pPr>
        <w:pStyle w:val="Point1letter"/>
      </w:pPr>
      <w:r w:rsidRPr="00732FB5">
        <w:t>piemērojamie grāmatvedības standarti;</w:t>
      </w:r>
    </w:p>
    <w:p w:rsidR="007E1AE4" w:rsidRPr="00732FB5" w:rsidRDefault="007E1AE4" w:rsidP="00AE1240">
      <w:pPr>
        <w:pStyle w:val="Point1letter"/>
      </w:pPr>
      <w:r w:rsidRPr="00732FB5">
        <w:t>pārskatu sniedzošās vienības identifikators;</w:t>
      </w:r>
    </w:p>
    <w:p w:rsidR="007E1AE4" w:rsidRPr="00732FB5" w:rsidRDefault="007E1AE4" w:rsidP="00AE1240">
      <w:pPr>
        <w:pStyle w:val="Point1letter"/>
      </w:pPr>
      <w:r w:rsidRPr="00732FB5">
        <w:t>informācijas konsolidācijas līmenis saskaņā ar 4. pantu.</w:t>
      </w:r>
    </w:p>
    <w:p w:rsidR="007E1AE4" w:rsidRPr="00732FB5" w:rsidRDefault="007E1AE4" w:rsidP="007E1AE4">
      <w:pPr>
        <w:pStyle w:val="Titrearticle"/>
        <w:rPr>
          <w:color w:val="000000" w:themeColor="text1"/>
        </w:rPr>
      </w:pPr>
      <w:r w:rsidRPr="00732FB5">
        <w:rPr>
          <w:color w:val="000000" w:themeColor="text1"/>
        </w:rPr>
        <w:t>7. pants</w:t>
      </w:r>
      <w:r w:rsidRPr="00732FB5">
        <w:rPr>
          <w:color w:val="000000" w:themeColor="text1"/>
        </w:rPr>
        <w:br/>
        <w:t>Papildu informācijas sniegšana individuālo vai grupu noregulējuma plānu nolūkā</w:t>
      </w:r>
    </w:p>
    <w:p w:rsidR="00B90FAF" w:rsidRPr="00732FB5" w:rsidRDefault="00B90FAF" w:rsidP="006973C7">
      <w:pPr>
        <w:pStyle w:val="NumPar1"/>
        <w:numPr>
          <w:ilvl w:val="0"/>
          <w:numId w:val="20"/>
        </w:numPr>
      </w:pPr>
      <w:r w:rsidRPr="00732FB5">
        <w:t xml:space="preserve">Ja noregulējuma iestāde vai grupas līmeņa noregulējuma iestāde uzskata, ka noregulējuma plānu sagatavošanas un īstenošanas nolūkos ir nepieciešama informācija, kas nav minēta nevienā I pielikuma veidnē, vai ja formāts, kurā kompetentā iestāde sniedz papildu informāciju saskaņā ar 8. panta 2. punktu, nav piemērots noregulējuma plānu sagatavošanas vai īstenošanas nolūkiem, noregulējuma iestāde pieprasa šādu informāciju no finanšu iestādes vai no Savienības </w:t>
      </w:r>
      <w:proofErr w:type="spellStart"/>
      <w:r w:rsidRPr="00732FB5">
        <w:t>mātesuzņēmuma</w:t>
      </w:r>
      <w:proofErr w:type="spellEnd"/>
      <w:r w:rsidRPr="00732FB5">
        <w:t>.</w:t>
      </w:r>
    </w:p>
    <w:p w:rsidR="00B90FAF" w:rsidRPr="00732FB5" w:rsidRDefault="00B90FAF" w:rsidP="00AE1240">
      <w:pPr>
        <w:pStyle w:val="NumPar1"/>
      </w:pPr>
      <w:r w:rsidRPr="00732FB5">
        <w:t>Pieprasījuma nolūkos saskaņā ar 1. punktu noregulējuma iestāde:</w:t>
      </w:r>
    </w:p>
    <w:p w:rsidR="00B90FAF" w:rsidRPr="00732FB5" w:rsidRDefault="00B90FAF" w:rsidP="00440366">
      <w:pPr>
        <w:pStyle w:val="Point1letter"/>
        <w:numPr>
          <w:ilvl w:val="3"/>
          <w:numId w:val="19"/>
        </w:numPr>
      </w:pPr>
      <w:r w:rsidRPr="00732FB5">
        <w:t>identificē sniedzamo papildu informāciju;</w:t>
      </w:r>
    </w:p>
    <w:p w:rsidR="00B90FAF" w:rsidRPr="00732FB5" w:rsidRDefault="00B90FAF" w:rsidP="00440366">
      <w:pPr>
        <w:pStyle w:val="Point1letter"/>
        <w:numPr>
          <w:ilvl w:val="3"/>
          <w:numId w:val="19"/>
        </w:numPr>
      </w:pPr>
      <w:r w:rsidRPr="00732FB5">
        <w:t xml:space="preserve">norāda, ņemot vērā prasītās informācijas apjomu un sarežģītību, piemērotu laika grafiku, kurā finanšu iestādei vai — grupu gadījumā — Savienības </w:t>
      </w:r>
      <w:proofErr w:type="spellStart"/>
      <w:r w:rsidRPr="00732FB5">
        <w:t>mātesuzņēmumam</w:t>
      </w:r>
      <w:proofErr w:type="spellEnd"/>
      <w:r w:rsidRPr="00732FB5">
        <w:t xml:space="preserve"> jāsniedz informācija noregulējuma iestādei;</w:t>
      </w:r>
    </w:p>
    <w:p w:rsidR="00B90FAF" w:rsidRPr="00732FB5" w:rsidRDefault="00B90FAF" w:rsidP="00440366">
      <w:pPr>
        <w:pStyle w:val="Point1letter"/>
        <w:numPr>
          <w:ilvl w:val="3"/>
          <w:numId w:val="19"/>
        </w:numPr>
      </w:pPr>
      <w:r w:rsidRPr="00732FB5">
        <w:t xml:space="preserve">norāda formātu, kas finanšu iestādēm vai — grupu gadījumā — Savienības </w:t>
      </w:r>
      <w:proofErr w:type="spellStart"/>
      <w:r w:rsidRPr="00732FB5">
        <w:t>mātesuzņēmumiem</w:t>
      </w:r>
      <w:proofErr w:type="spellEnd"/>
      <w:r w:rsidRPr="00732FB5">
        <w:t xml:space="preserve"> jāizmanto, lai sniegtu informāciju noregulējuma iestādei;</w:t>
      </w:r>
    </w:p>
    <w:p w:rsidR="00B90FAF" w:rsidRPr="00732FB5" w:rsidRDefault="00B90FAF" w:rsidP="00440366">
      <w:pPr>
        <w:pStyle w:val="Point1letter"/>
        <w:numPr>
          <w:ilvl w:val="3"/>
          <w:numId w:val="19"/>
        </w:numPr>
      </w:pPr>
      <w:r w:rsidRPr="00732FB5">
        <w:t>norāda, vai informācija ir jāaizpilda individuālā vai grupas līmenī un vai tās darbības joma ir vietēja, Savienības mēroga vai globāla;</w:t>
      </w:r>
    </w:p>
    <w:p w:rsidR="00B90FAF" w:rsidRPr="00732FB5" w:rsidRDefault="00B90FAF" w:rsidP="00440366">
      <w:pPr>
        <w:pStyle w:val="Point1letter"/>
        <w:numPr>
          <w:ilvl w:val="3"/>
          <w:numId w:val="19"/>
        </w:numPr>
      </w:pPr>
      <w:r w:rsidRPr="00732FB5">
        <w:t>norāda nepieciešamo kontaktinformāciju papildu informācijas sniegšanai.</w:t>
      </w:r>
    </w:p>
    <w:p w:rsidR="007E1AE4" w:rsidRPr="00732FB5" w:rsidRDefault="007E1AE4" w:rsidP="007E1AE4">
      <w:pPr>
        <w:pStyle w:val="Titrearticle"/>
        <w:rPr>
          <w:color w:val="000000" w:themeColor="text1"/>
        </w:rPr>
      </w:pPr>
      <w:r w:rsidRPr="00732FB5">
        <w:rPr>
          <w:color w:val="000000" w:themeColor="text1"/>
        </w:rPr>
        <w:t>8. pants</w:t>
      </w:r>
      <w:r w:rsidRPr="00732FB5">
        <w:rPr>
          <w:color w:val="000000" w:themeColor="text1"/>
        </w:rPr>
        <w:br/>
        <w:t>Sadarbība starp kompetentajām un noregulējuma iestādēm</w:t>
      </w:r>
    </w:p>
    <w:p w:rsidR="007E1AE4" w:rsidRPr="00732FB5" w:rsidRDefault="007E1AE4" w:rsidP="00440366">
      <w:pPr>
        <w:pStyle w:val="NumPar1"/>
        <w:numPr>
          <w:ilvl w:val="0"/>
          <w:numId w:val="5"/>
        </w:numPr>
        <w:rPr>
          <w:color w:val="000000" w:themeColor="text1"/>
        </w:rPr>
      </w:pPr>
      <w:r w:rsidRPr="00732FB5">
        <w:rPr>
          <w:color w:val="000000" w:themeColor="text1"/>
        </w:rPr>
        <w:t>Kompetentās un noregulējuma iestādes kopīgi pārbauda, vai informācija, kas saskaņā ar 3. panta 1. punktu un 7. pantu jāiesniedz noregulējuma iestādēm, jau ir daļēji vai pilnībā pieejama kompetentajai iestādei.</w:t>
      </w:r>
    </w:p>
    <w:p w:rsidR="007E1AE4" w:rsidRPr="00732FB5" w:rsidRDefault="007E1AE4" w:rsidP="00440366">
      <w:pPr>
        <w:pStyle w:val="NumPar1"/>
        <w:numPr>
          <w:ilvl w:val="0"/>
          <w:numId w:val="5"/>
        </w:numPr>
        <w:rPr>
          <w:color w:val="000000" w:themeColor="text1"/>
        </w:rPr>
      </w:pPr>
      <w:r w:rsidRPr="00732FB5">
        <w:rPr>
          <w:color w:val="000000" w:themeColor="text1"/>
        </w:rPr>
        <w:t xml:space="preserve">Ja visa informācija vai tās daļa jau ir pieejama kompetentajai iestādei, tā šo informāciju laikus sniedz noregulējuma iestādei. </w:t>
      </w:r>
    </w:p>
    <w:p w:rsidR="00A05A75" w:rsidRPr="00732FB5" w:rsidRDefault="007E1AE4" w:rsidP="00AE1240">
      <w:pPr>
        <w:pStyle w:val="NumPar1"/>
        <w:rPr>
          <w:color w:val="000000" w:themeColor="text1"/>
        </w:rPr>
      </w:pPr>
      <w:r w:rsidRPr="00732FB5">
        <w:rPr>
          <w:color w:val="000000" w:themeColor="text1"/>
        </w:rPr>
        <w:t xml:space="preserve">Panta 2. punktā minētajā gadījumā noregulējuma iestādes nodrošina, ka finanšu iestādes vai — grupu gadījumā — Savienības </w:t>
      </w:r>
      <w:proofErr w:type="spellStart"/>
      <w:r w:rsidRPr="00732FB5">
        <w:rPr>
          <w:color w:val="000000" w:themeColor="text1"/>
        </w:rPr>
        <w:t>mātesuzņēmumi</w:t>
      </w:r>
      <w:proofErr w:type="spellEnd"/>
      <w:r w:rsidRPr="00732FB5">
        <w:rPr>
          <w:color w:val="000000" w:themeColor="text1"/>
        </w:rPr>
        <w:t xml:space="preserve"> ir informēti par to, kura informācija ir jāiekļauj, iesniedzot informāciju saskaņā ar 3. panta 1. punktu. Tās norāda uz attiecīgo informāciju, atsaucoties uz I pielikumā sniegtajām veidnēm.</w:t>
      </w:r>
    </w:p>
    <w:p w:rsidR="007E1AE4" w:rsidRPr="00732FB5" w:rsidRDefault="007E1AE4" w:rsidP="007E1AE4">
      <w:pPr>
        <w:pStyle w:val="Titrearticle"/>
        <w:rPr>
          <w:color w:val="000000" w:themeColor="text1"/>
        </w:rPr>
      </w:pPr>
      <w:r w:rsidRPr="00732FB5">
        <w:rPr>
          <w:color w:val="000000" w:themeColor="text1"/>
        </w:rPr>
        <w:t>9. pants</w:t>
      </w:r>
      <w:r w:rsidRPr="00732FB5">
        <w:rPr>
          <w:color w:val="000000" w:themeColor="text1"/>
        </w:rPr>
        <w:br/>
        <w:t>Pārejas periods</w:t>
      </w:r>
    </w:p>
    <w:p w:rsidR="007E1AE4" w:rsidRPr="00732FB5" w:rsidRDefault="007E1AE4" w:rsidP="00440366">
      <w:pPr>
        <w:pStyle w:val="NumPar1"/>
        <w:numPr>
          <w:ilvl w:val="0"/>
          <w:numId w:val="6"/>
        </w:numPr>
        <w:rPr>
          <w:color w:val="000000" w:themeColor="text1"/>
        </w:rPr>
      </w:pPr>
      <w:r w:rsidRPr="00732FB5">
        <w:rPr>
          <w:color w:val="000000" w:themeColor="text1"/>
        </w:rPr>
        <w:t>Atkāpjoties no 5. panta 1. punkta, attiecībā uz finanšu gadu, kas beidzas kādā no datumiem starp 2018. gada 1. janvāri un 31. decembri, nosūtīšanas datums ir, vēlākais, 2019. gada 31. maijs.</w:t>
      </w:r>
    </w:p>
    <w:p w:rsidR="007E1AE4" w:rsidRPr="00732FB5" w:rsidRDefault="007E1AE4" w:rsidP="00440366">
      <w:pPr>
        <w:pStyle w:val="NumPar1"/>
        <w:numPr>
          <w:ilvl w:val="0"/>
          <w:numId w:val="6"/>
        </w:numPr>
        <w:rPr>
          <w:color w:val="000000" w:themeColor="text1"/>
        </w:rPr>
      </w:pPr>
      <w:r w:rsidRPr="00732FB5">
        <w:rPr>
          <w:color w:val="000000" w:themeColor="text1"/>
        </w:rPr>
        <w:t>Atkāpjoties no 5. panta 1. punkta, attiecībā uz finanšu gadu, kas beidzas kādā no datumiem starp 2019. gada 1. janvāri un 31. decembri, nosūtīšanas datums ir, vēlākais, 2020. gada 30. aprīlis.</w:t>
      </w:r>
    </w:p>
    <w:p w:rsidR="007E1AE4" w:rsidRPr="00732FB5" w:rsidRDefault="007E1AE4" w:rsidP="007E1AE4">
      <w:pPr>
        <w:pStyle w:val="Titrearticle"/>
        <w:rPr>
          <w:color w:val="000000" w:themeColor="text1"/>
        </w:rPr>
      </w:pPr>
      <w:r w:rsidRPr="00732FB5">
        <w:rPr>
          <w:color w:val="000000" w:themeColor="text1"/>
        </w:rPr>
        <w:t>10. pants</w:t>
      </w:r>
      <w:r w:rsidRPr="00732FB5">
        <w:rPr>
          <w:color w:val="000000" w:themeColor="text1"/>
        </w:rPr>
        <w:br/>
        <w:t>Atcelšana</w:t>
      </w:r>
    </w:p>
    <w:p w:rsidR="007E1AE4" w:rsidRPr="00732FB5" w:rsidRDefault="007E1AE4" w:rsidP="007E1AE4">
      <w:pPr>
        <w:rPr>
          <w:color w:val="000000" w:themeColor="text1"/>
        </w:rPr>
      </w:pPr>
      <w:r w:rsidRPr="00732FB5">
        <w:rPr>
          <w:color w:val="000000" w:themeColor="text1"/>
        </w:rPr>
        <w:t>Īstenošanas regulu (ES) 2016/1066 atceļ.</w:t>
      </w:r>
    </w:p>
    <w:p w:rsidR="007E1AE4" w:rsidRPr="00732FB5" w:rsidRDefault="007E1AE4" w:rsidP="007E1AE4">
      <w:pPr>
        <w:pStyle w:val="Titrearticle"/>
        <w:rPr>
          <w:color w:val="000000" w:themeColor="text1"/>
        </w:rPr>
      </w:pPr>
      <w:r w:rsidRPr="00732FB5">
        <w:t>11.</w:t>
      </w:r>
      <w:r w:rsidRPr="00732FB5">
        <w:rPr>
          <w:color w:val="000000" w:themeColor="text1"/>
        </w:rPr>
        <w:t xml:space="preserve"> pants</w:t>
      </w:r>
      <w:r w:rsidRPr="00732FB5">
        <w:br/>
        <w:t>Stāšanās spēkā</w:t>
      </w:r>
    </w:p>
    <w:p w:rsidR="007E1AE4" w:rsidRPr="00732FB5" w:rsidRDefault="007E1AE4" w:rsidP="007E1AE4">
      <w:pPr>
        <w:rPr>
          <w:color w:val="000000" w:themeColor="text1"/>
        </w:rPr>
      </w:pPr>
      <w:r w:rsidRPr="00732FB5">
        <w:rPr>
          <w:color w:val="000000" w:themeColor="text1"/>
        </w:rPr>
        <w:t xml:space="preserve">Šī regula stājas spēkā </w:t>
      </w:r>
      <w:r w:rsidRPr="00732FB5">
        <w:t xml:space="preserve">divdesmitajā </w:t>
      </w:r>
      <w:r w:rsidRPr="00732FB5">
        <w:rPr>
          <w:color w:val="000000" w:themeColor="text1"/>
        </w:rPr>
        <w:t xml:space="preserve">dienā pēc tās publicēšanas </w:t>
      </w:r>
      <w:r w:rsidRPr="00732FB5">
        <w:rPr>
          <w:i/>
          <w:color w:val="000000" w:themeColor="text1"/>
        </w:rPr>
        <w:t>Eiropas Savienības Oficiālajā Vēstnesī</w:t>
      </w:r>
      <w:r w:rsidRPr="00732FB5">
        <w:rPr>
          <w:color w:val="000000" w:themeColor="text1"/>
        </w:rPr>
        <w:t>.</w:t>
      </w:r>
    </w:p>
    <w:p w:rsidR="007E1AE4" w:rsidRPr="00732FB5" w:rsidRDefault="007E1AE4" w:rsidP="007E1AE4">
      <w:pPr>
        <w:pStyle w:val="Applicationdirecte"/>
        <w:rPr>
          <w:color w:val="000000" w:themeColor="text1"/>
        </w:rPr>
      </w:pPr>
      <w:r w:rsidRPr="00732FB5">
        <w:rPr>
          <w:color w:val="000000" w:themeColor="text1"/>
        </w:rPr>
        <w:t>Šī regula uzliek saistības kopumā un ir tieši piemērojama visās dalībvalstīs.</w:t>
      </w:r>
    </w:p>
    <w:p w:rsidR="007E1AE4" w:rsidRPr="00732FB5" w:rsidRDefault="00732FB5" w:rsidP="00732FB5">
      <w:pPr>
        <w:pStyle w:val="Fait"/>
      </w:pPr>
      <w:r w:rsidRPr="00732FB5">
        <w:t>Briselē,</w:t>
      </w:r>
    </w:p>
    <w:p w:rsidR="007E1AE4" w:rsidRPr="00732FB5" w:rsidRDefault="007E1AE4" w:rsidP="007E1AE4">
      <w:pPr>
        <w:pStyle w:val="Institutionquisigne"/>
      </w:pPr>
      <w:r w:rsidRPr="00732FB5">
        <w:tab/>
        <w:t>Komisijas vārdā —</w:t>
      </w:r>
    </w:p>
    <w:p w:rsidR="001C2CA3" w:rsidRPr="00732FB5" w:rsidRDefault="007E1AE4" w:rsidP="007E1AE4">
      <w:pPr>
        <w:pStyle w:val="Personnequisigne"/>
      </w:pPr>
      <w:r w:rsidRPr="00732FB5">
        <w:tab/>
        <w:t>priekšsēdētājs</w:t>
      </w:r>
      <w:r w:rsidRPr="00732FB5">
        <w:br/>
      </w:r>
      <w:r w:rsidRPr="00732FB5">
        <w:tab/>
      </w:r>
      <w:proofErr w:type="spellStart"/>
      <w:r w:rsidRPr="00732FB5">
        <w:rPr>
          <w:i w:val="0"/>
        </w:rPr>
        <w:t>Jean-Claude</w:t>
      </w:r>
      <w:proofErr w:type="spellEnd"/>
      <w:r w:rsidRPr="00732FB5">
        <w:rPr>
          <w:i w:val="0"/>
        </w:rPr>
        <w:t xml:space="preserve"> JUNCKER</w:t>
      </w:r>
    </w:p>
    <w:p w:rsidR="007E1AE4" w:rsidRPr="00732FB5" w:rsidRDefault="007E1AE4" w:rsidP="007E1AE4">
      <w:pPr>
        <w:pStyle w:val="Personnequisigne"/>
      </w:pPr>
    </w:p>
    <w:sectPr w:rsidR="007E1AE4" w:rsidRPr="00732FB5" w:rsidSect="00392501">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501" w:rsidRPr="00392501" w:rsidRDefault="00392501" w:rsidP="003925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ADF" w:rsidRPr="00392501" w:rsidRDefault="00392501" w:rsidP="00392501">
    <w:pPr>
      <w:pStyle w:val="Footer"/>
      <w:rPr>
        <w:rFonts w:ascii="Arial" w:hAnsi="Arial" w:cs="Arial"/>
        <w:b/>
        <w:sz w:val="48"/>
      </w:rPr>
    </w:pPr>
    <w:r w:rsidRPr="00392501">
      <w:rPr>
        <w:rFonts w:ascii="Arial" w:hAnsi="Arial" w:cs="Arial"/>
        <w:b/>
        <w:sz w:val="48"/>
      </w:rPr>
      <w:t>LV</w:t>
    </w:r>
    <w:r w:rsidRPr="00392501">
      <w:rPr>
        <w:rFonts w:ascii="Arial" w:hAnsi="Arial" w:cs="Arial"/>
        <w:b/>
        <w:sz w:val="48"/>
      </w:rPr>
      <w:tab/>
    </w:r>
    <w:r w:rsidRPr="00392501">
      <w:rPr>
        <w:rFonts w:ascii="Arial" w:hAnsi="Arial" w:cs="Arial"/>
        <w:b/>
        <w:sz w:val="48"/>
      </w:rPr>
      <w:tab/>
    </w:r>
    <w:r w:rsidRPr="00392501">
      <w:tab/>
    </w:r>
    <w:r w:rsidRPr="00392501">
      <w:rPr>
        <w:rFonts w:ascii="Arial" w:hAnsi="Arial" w:cs="Arial"/>
        <w:b/>
        <w:sz w:val="48"/>
      </w:rPr>
      <w:t>LV</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501" w:rsidRPr="00392501" w:rsidRDefault="00392501" w:rsidP="0039250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501" w:rsidRPr="00392501" w:rsidRDefault="00392501" w:rsidP="00392501">
    <w:pPr>
      <w:pStyle w:val="Footer"/>
      <w:rPr>
        <w:rFonts w:ascii="Arial" w:hAnsi="Arial" w:cs="Arial"/>
        <w:b/>
        <w:sz w:val="48"/>
      </w:rPr>
    </w:pPr>
    <w:r w:rsidRPr="00392501">
      <w:rPr>
        <w:rFonts w:ascii="Arial" w:hAnsi="Arial" w:cs="Arial"/>
        <w:b/>
        <w:sz w:val="48"/>
      </w:rPr>
      <w:t>LV</w:t>
    </w:r>
    <w:r w:rsidRPr="00392501">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392501">
      <w:tab/>
    </w:r>
    <w:r w:rsidRPr="00392501">
      <w:rPr>
        <w:rFonts w:ascii="Arial" w:hAnsi="Arial" w:cs="Arial"/>
        <w:b/>
        <w:sz w:val="48"/>
      </w:rPr>
      <w:t>LV</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501" w:rsidRPr="00392501" w:rsidRDefault="00392501" w:rsidP="003925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 xml:space="preserve">OV L 173, 12.6.2014., 190. lpp. </w:t>
      </w:r>
    </w:p>
  </w:footnote>
  <w:footnote w:id="3">
    <w:p w:rsidR="00F0793D" w:rsidRPr="00F0793D" w:rsidRDefault="00F0793D">
      <w:pPr>
        <w:pStyle w:val="FootnoteText"/>
      </w:pPr>
      <w:r>
        <w:rPr>
          <w:rStyle w:val="FootnoteReference"/>
        </w:rPr>
        <w:footnoteRef/>
      </w:r>
      <w:r>
        <w:tab/>
      </w:r>
      <w:r>
        <w:rPr>
          <w:rStyle w:val="Strong"/>
          <w:b w:val="0"/>
          <w:color w:val="444444"/>
        </w:rPr>
        <w:t>Komisijas Īstenošanas regula (ES) 2016/1066 (2016. gada 17. jūnijs), ar ko saskaņā ar Eiropas Parlamenta un Padomes Direktīvu 2014/59/ES nosaka īstenošanas tehniskos standartus attiecībā uz procedūrām, standarta veidlapām un veidnēm informācijas sniegšanai kredītiestāžu un ieguldījumu brokeru sabiedrību noregulējuma plānu vajadzībām (OV L</w:t>
      </w:r>
      <w:r>
        <w:rPr>
          <w:rStyle w:val="Strong"/>
          <w:color w:val="444444"/>
        </w:rPr>
        <w:t xml:space="preserve"> </w:t>
      </w:r>
      <w:r>
        <w:rPr>
          <w:color w:val="444444"/>
        </w:rPr>
        <w:t>181, 6.7.2016., 1. lpp.</w:t>
      </w:r>
      <w:r>
        <w:t>).</w:t>
      </w:r>
    </w:p>
  </w:footnote>
  <w:footnote w:id="4">
    <w:p w:rsidR="002A074B" w:rsidRPr="002A074B" w:rsidRDefault="002A074B">
      <w:pPr>
        <w:pStyle w:val="FootnoteText"/>
      </w:pPr>
      <w:r>
        <w:rPr>
          <w:rStyle w:val="FootnoteReference"/>
        </w:rPr>
        <w:footnoteRef/>
      </w:r>
      <w:r>
        <w:tab/>
      </w:r>
      <w:r>
        <w:rPr>
          <w:rStyle w:val="Strong"/>
          <w:b w:val="0"/>
          <w:color w:val="444444"/>
        </w:rPr>
        <w:t>Eiropas Parlamenta un Padomes Regula (ES) Nr. 1093/2010 (2010. gada 24. novembris), ar ko izveido Eiropas Uzraudzības iestādi (Eiropas Banku iestādi), groza Lēmumu Nr. 716/2009/EK un atceļ Komisijas Lēmumu 2009/78/EK (</w:t>
      </w:r>
      <w:r>
        <w:t>OV L 331, 15.12.2010., 12. lpp.).</w:t>
      </w:r>
    </w:p>
  </w:footnote>
  <w:footnote w:id="5">
    <w:p w:rsidR="00F80209" w:rsidRPr="0031364A" w:rsidRDefault="00F80209" w:rsidP="00F80209">
      <w:pPr>
        <w:pStyle w:val="FootnoteText"/>
      </w:pPr>
      <w:r>
        <w:rPr>
          <w:rStyle w:val="FootnoteReference"/>
        </w:rPr>
        <w:footnoteRef/>
      </w:r>
      <w:r>
        <w:tab/>
      </w:r>
      <w:r>
        <w:rPr>
          <w:rStyle w:val="Strong"/>
          <w:b w:val="0"/>
          <w:color w:val="444444"/>
        </w:rPr>
        <w:t xml:space="preserve">Eiropas Parlamenta un Padomes Regula (ES) Nr. 575/2013 (2013. gada 26. jūnijs) par </w:t>
      </w:r>
      <w:proofErr w:type="spellStart"/>
      <w:r>
        <w:rPr>
          <w:rStyle w:val="Strong"/>
          <w:b w:val="0"/>
          <w:color w:val="444444"/>
        </w:rPr>
        <w:t>prudenciālajām</w:t>
      </w:r>
      <w:proofErr w:type="spellEnd"/>
      <w:r>
        <w:rPr>
          <w:rStyle w:val="Strong"/>
          <w:b w:val="0"/>
          <w:color w:val="444444"/>
        </w:rPr>
        <w:t xml:space="preserve"> prasībām attiecībā uz kredītiestādēm un ieguldījumu brokeru sabiedrībām un ar ko groza Regulu (ES) Nr. 648/2012</w:t>
      </w:r>
      <w:r>
        <w:t xml:space="preserve"> (OV L 176, 27.6.2013., 1. lpp.).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501" w:rsidRPr="00392501" w:rsidRDefault="00392501" w:rsidP="003925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501" w:rsidRPr="00392501" w:rsidRDefault="00392501" w:rsidP="003925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501" w:rsidRPr="00392501" w:rsidRDefault="00392501" w:rsidP="003925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4"/>
  </w:num>
  <w:num w:numId="13">
    <w:abstractNumId w:val="3"/>
  </w:num>
  <w:num w:numId="14">
    <w:abstractNumId w:val="6"/>
  </w:num>
  <w:num w:numId="15">
    <w:abstractNumId w:val="2"/>
  </w:num>
  <w:num w:numId="16">
    <w:abstractNumId w:val="1"/>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20"/>
  </w:num>
  <w:num w:numId="24">
    <w:abstractNumId w:val="11"/>
  </w:num>
  <w:num w:numId="25">
    <w:abstractNumId w:val="13"/>
  </w:num>
  <w:num w:numId="26">
    <w:abstractNumId w:val="9"/>
  </w:num>
  <w:num w:numId="27">
    <w:abstractNumId w:val="19"/>
  </w:num>
  <w:num w:numId="28">
    <w:abstractNumId w:val="8"/>
  </w:num>
  <w:num w:numId="29">
    <w:abstractNumId w:val="14"/>
  </w:num>
  <w:num w:numId="30">
    <w:abstractNumId w:val="16"/>
  </w:num>
  <w:num w:numId="31">
    <w:abstractNumId w:val="17"/>
  </w:num>
  <w:num w:numId="32">
    <w:abstractNumId w:val="10"/>
  </w:num>
  <w:num w:numId="33">
    <w:abstractNumId w:val="15"/>
  </w:num>
  <w:num w:numId="34">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proofState w:spelling="clean" w:grammar="clean"/>
  <w:attachedTemplate r:id="rId1"/>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18 15:02:3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6"/>
    <w:docVar w:name="DQCResult_UnknownFonts" w:val="0;0"/>
    <w:docVar w:name="DQCResult_UnknownStyles" w:val="0;0"/>
    <w:docVar w:name="DQCStatus" w:val="Green"/>
    <w:docVar w:name="DQCVersion" w:val="3"/>
    <w:docVar w:name="DQCWithWarnings" w:val="0"/>
    <w:docVar w:name="LW_COVERPAGE_EXISTS" w:val="True"/>
    <w:docVar w:name="LW_COVERPAGE_GUID" w:val="661B54E2-33EA-42FF-BAA3-32A5CB5F073C"/>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sel\u275?, "/>
    <w:docVar w:name="LW_EMISSION_SUFFIX" w:val="&lt;EMPTY&gt;"/>
    <w:docVar w:name="LW_ID_DOCMODEL" w:val="SJ-004"/>
    <w:docVar w:name="LW_ID_DOCSIGNATURE" w:val="SJ-004"/>
    <w:docVar w:name="LW_ID_DOCSTRUCTURE" w:val="COM/AA"/>
    <w:docVar w:name="LW_ID_DOCTYPE" w:val="SJ-004"/>
    <w:docVar w:name="LW_INTERETEEE.CP" w:val="(Dokuments attiecas uz EEZ)"/>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ar ko saska\u326?\u257? ar Eiropas Parlamenta un Padomes Direkt\u299?vu 2014/59/ES nosaka \u299?steno\u353?anas tehniskos standartus attiec\u299?b\u257? uz proced\u363?r\u257?m, standarta veidlap\u257?m un veidn\u275?m inform\u257?cijas snieg\u353?anai kred\u299?tiest\u257?\u382?u un ieguld\u299?jumu brokeru sabiedr\u299?bu noregul\u275?juma pl\u257?nu vajadz\u299?b\u257?m un atce\u316? Komisijas \u298?steno\u353?anas regulu (ES) 2016/1066_x000b_"/>
    <w:docVar w:name="LW_TYPE.DOC.CP" w:val="KOMISIJAS \u298?STENO\u352?ANAS REGULA (ES) \u8230?/.."/>
  </w:docVars>
  <w:rsids>
    <w:rsidRoot w:val="007E1AE4"/>
    <w:rsid w:val="00010CE0"/>
    <w:rsid w:val="00011EF9"/>
    <w:rsid w:val="00016E3C"/>
    <w:rsid w:val="00045775"/>
    <w:rsid w:val="000652E4"/>
    <w:rsid w:val="00085B09"/>
    <w:rsid w:val="000B175A"/>
    <w:rsid w:val="000B1FCC"/>
    <w:rsid w:val="000B693A"/>
    <w:rsid w:val="000D46EE"/>
    <w:rsid w:val="000D7AF5"/>
    <w:rsid w:val="001122B8"/>
    <w:rsid w:val="001128B5"/>
    <w:rsid w:val="00114A2A"/>
    <w:rsid w:val="001150B6"/>
    <w:rsid w:val="00123A59"/>
    <w:rsid w:val="001314DF"/>
    <w:rsid w:val="00163111"/>
    <w:rsid w:val="00170A0A"/>
    <w:rsid w:val="00171BF1"/>
    <w:rsid w:val="001756CB"/>
    <w:rsid w:val="00184C87"/>
    <w:rsid w:val="00186803"/>
    <w:rsid w:val="001A1205"/>
    <w:rsid w:val="001B3416"/>
    <w:rsid w:val="001C2CA3"/>
    <w:rsid w:val="001C3D4B"/>
    <w:rsid w:val="001D3BB3"/>
    <w:rsid w:val="0020244B"/>
    <w:rsid w:val="002122BA"/>
    <w:rsid w:val="0022274C"/>
    <w:rsid w:val="00230B23"/>
    <w:rsid w:val="00241B08"/>
    <w:rsid w:val="00244E0E"/>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3CCB"/>
    <w:rsid w:val="002E476B"/>
    <w:rsid w:val="002E5442"/>
    <w:rsid w:val="0031364A"/>
    <w:rsid w:val="00322357"/>
    <w:rsid w:val="00350CE8"/>
    <w:rsid w:val="00351D93"/>
    <w:rsid w:val="00352527"/>
    <w:rsid w:val="00363369"/>
    <w:rsid w:val="0036372D"/>
    <w:rsid w:val="003719B9"/>
    <w:rsid w:val="00381ADF"/>
    <w:rsid w:val="00384807"/>
    <w:rsid w:val="00385721"/>
    <w:rsid w:val="00392501"/>
    <w:rsid w:val="003B27FA"/>
    <w:rsid w:val="003B635C"/>
    <w:rsid w:val="003C2176"/>
    <w:rsid w:val="003D246B"/>
    <w:rsid w:val="003F1EDA"/>
    <w:rsid w:val="0040594A"/>
    <w:rsid w:val="00440366"/>
    <w:rsid w:val="00445226"/>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32FB5"/>
    <w:rsid w:val="00744443"/>
    <w:rsid w:val="00754A18"/>
    <w:rsid w:val="00756697"/>
    <w:rsid w:val="007653D3"/>
    <w:rsid w:val="007741FE"/>
    <w:rsid w:val="007D178B"/>
    <w:rsid w:val="007D4E40"/>
    <w:rsid w:val="007E1AE4"/>
    <w:rsid w:val="007F15B1"/>
    <w:rsid w:val="00826B02"/>
    <w:rsid w:val="008272CE"/>
    <w:rsid w:val="00827CF3"/>
    <w:rsid w:val="00851107"/>
    <w:rsid w:val="00856A5A"/>
    <w:rsid w:val="0085759F"/>
    <w:rsid w:val="0087230F"/>
    <w:rsid w:val="008743E5"/>
    <w:rsid w:val="00877878"/>
    <w:rsid w:val="00886F23"/>
    <w:rsid w:val="008A1250"/>
    <w:rsid w:val="008B2DD5"/>
    <w:rsid w:val="008D1C13"/>
    <w:rsid w:val="008E449C"/>
    <w:rsid w:val="008E5DD8"/>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81692"/>
    <w:rsid w:val="00A82A0A"/>
    <w:rsid w:val="00A84F53"/>
    <w:rsid w:val="00AA6701"/>
    <w:rsid w:val="00AB1830"/>
    <w:rsid w:val="00AC4037"/>
    <w:rsid w:val="00AD43FC"/>
    <w:rsid w:val="00AD470D"/>
    <w:rsid w:val="00AD6666"/>
    <w:rsid w:val="00AE1240"/>
    <w:rsid w:val="00AE3954"/>
    <w:rsid w:val="00AF17E7"/>
    <w:rsid w:val="00AF4982"/>
    <w:rsid w:val="00B15CF6"/>
    <w:rsid w:val="00B21371"/>
    <w:rsid w:val="00B52FD6"/>
    <w:rsid w:val="00B60E51"/>
    <w:rsid w:val="00B62FAF"/>
    <w:rsid w:val="00B70E5B"/>
    <w:rsid w:val="00B827ED"/>
    <w:rsid w:val="00B86A50"/>
    <w:rsid w:val="00B90FAF"/>
    <w:rsid w:val="00B92E00"/>
    <w:rsid w:val="00B9782F"/>
    <w:rsid w:val="00BE55A2"/>
    <w:rsid w:val="00BF5927"/>
    <w:rsid w:val="00BF7ABD"/>
    <w:rsid w:val="00C26D26"/>
    <w:rsid w:val="00C32916"/>
    <w:rsid w:val="00C36E0D"/>
    <w:rsid w:val="00C50809"/>
    <w:rsid w:val="00C62DBD"/>
    <w:rsid w:val="00C867D6"/>
    <w:rsid w:val="00C92875"/>
    <w:rsid w:val="00C962D1"/>
    <w:rsid w:val="00CA51B8"/>
    <w:rsid w:val="00CC2DCA"/>
    <w:rsid w:val="00CD6E87"/>
    <w:rsid w:val="00D1420D"/>
    <w:rsid w:val="00D154F5"/>
    <w:rsid w:val="00D22B84"/>
    <w:rsid w:val="00D27A0D"/>
    <w:rsid w:val="00D30713"/>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31E1B"/>
    <w:rsid w:val="00E35BD9"/>
    <w:rsid w:val="00E44B03"/>
    <w:rsid w:val="00E44EBE"/>
    <w:rsid w:val="00E50675"/>
    <w:rsid w:val="00E96E2F"/>
    <w:rsid w:val="00EB1CD0"/>
    <w:rsid w:val="00EC1B80"/>
    <w:rsid w:val="00F0793D"/>
    <w:rsid w:val="00F14DE3"/>
    <w:rsid w:val="00F37AC9"/>
    <w:rsid w:val="00F53AB1"/>
    <w:rsid w:val="00F7102B"/>
    <w:rsid w:val="00F72A53"/>
    <w:rsid w:val="00F72EF6"/>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rsid w:val="00877878"/>
    <w:pPr>
      <w:keepNext/>
      <w:numPr>
        <w:numId w:val="2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2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2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2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lv-LV"/>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10"/>
      </w:numPr>
      <w:contextualSpacing/>
    </w:pPr>
  </w:style>
  <w:style w:type="paragraph" w:styleId="ListBullet2">
    <w:name w:val="List Bullet 2"/>
    <w:basedOn w:val="Normal"/>
    <w:uiPriority w:val="99"/>
    <w:semiHidden/>
    <w:unhideWhenUsed/>
    <w:rsid w:val="00EB1CD0"/>
    <w:pPr>
      <w:numPr>
        <w:numId w:val="11"/>
      </w:numPr>
      <w:contextualSpacing/>
    </w:pPr>
  </w:style>
  <w:style w:type="paragraph" w:styleId="ListBullet3">
    <w:name w:val="List Bullet 3"/>
    <w:basedOn w:val="Normal"/>
    <w:uiPriority w:val="99"/>
    <w:semiHidden/>
    <w:unhideWhenUsed/>
    <w:rsid w:val="00EB1CD0"/>
    <w:pPr>
      <w:numPr>
        <w:numId w:val="12"/>
      </w:numPr>
      <w:contextualSpacing/>
    </w:pPr>
  </w:style>
  <w:style w:type="paragraph" w:styleId="ListBullet4">
    <w:name w:val="List Bullet 4"/>
    <w:basedOn w:val="Normal"/>
    <w:uiPriority w:val="99"/>
    <w:semiHidden/>
    <w:unhideWhenUsed/>
    <w:rsid w:val="00EB1CD0"/>
    <w:pPr>
      <w:numPr>
        <w:numId w:val="13"/>
      </w:numPr>
      <w:contextualSpacing/>
    </w:pPr>
  </w:style>
  <w:style w:type="paragraph" w:styleId="ListNumber">
    <w:name w:val="List Number"/>
    <w:basedOn w:val="Normal"/>
    <w:uiPriority w:val="99"/>
    <w:semiHidden/>
    <w:unhideWhenUsed/>
    <w:rsid w:val="00EB1CD0"/>
    <w:pPr>
      <w:numPr>
        <w:numId w:val="14"/>
      </w:numPr>
      <w:contextualSpacing/>
    </w:pPr>
  </w:style>
  <w:style w:type="paragraph" w:styleId="ListNumber2">
    <w:name w:val="List Number 2"/>
    <w:basedOn w:val="Normal"/>
    <w:uiPriority w:val="99"/>
    <w:semiHidden/>
    <w:unhideWhenUsed/>
    <w:rsid w:val="00EB1CD0"/>
    <w:pPr>
      <w:numPr>
        <w:numId w:val="15"/>
      </w:numPr>
      <w:contextualSpacing/>
    </w:pPr>
  </w:style>
  <w:style w:type="paragraph" w:styleId="ListNumber3">
    <w:name w:val="List Number 3"/>
    <w:basedOn w:val="Normal"/>
    <w:uiPriority w:val="99"/>
    <w:semiHidden/>
    <w:unhideWhenUsed/>
    <w:rsid w:val="003F1EDA"/>
    <w:pPr>
      <w:numPr>
        <w:numId w:val="16"/>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7"/>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lv-LV"/>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character" w:styleId="SubtleEmphasis">
    <w:name w:val="Subtle Emphasis"/>
    <w:basedOn w:val="DefaultParagraphFont"/>
    <w:uiPriority w:val="19"/>
    <w:qFormat/>
    <w:rsid w:val="00732FB5"/>
    <w:rPr>
      <w:i/>
      <w:iCs/>
      <w:color w:val="808080" w:themeColor="text1" w:themeTint="7F"/>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1"/>
      </w:numPr>
    </w:pPr>
  </w:style>
  <w:style w:type="paragraph" w:customStyle="1" w:styleId="Tiret1">
    <w:name w:val="Tiret 1"/>
    <w:basedOn w:val="Point1"/>
    <w:rsid w:val="00877878"/>
    <w:pPr>
      <w:numPr>
        <w:numId w:val="22"/>
      </w:numPr>
    </w:pPr>
  </w:style>
  <w:style w:type="paragraph" w:customStyle="1" w:styleId="Tiret2">
    <w:name w:val="Tiret 2"/>
    <w:basedOn w:val="Point2"/>
    <w:rsid w:val="00877878"/>
    <w:pPr>
      <w:numPr>
        <w:numId w:val="23"/>
      </w:numPr>
    </w:pPr>
  </w:style>
  <w:style w:type="paragraph" w:customStyle="1" w:styleId="Tiret3">
    <w:name w:val="Tiret 3"/>
    <w:basedOn w:val="Point3"/>
    <w:rsid w:val="00877878"/>
    <w:pPr>
      <w:numPr>
        <w:numId w:val="24"/>
      </w:numPr>
    </w:pPr>
  </w:style>
  <w:style w:type="paragraph" w:customStyle="1" w:styleId="Tiret4">
    <w:name w:val="Tiret 4"/>
    <w:basedOn w:val="Point4"/>
    <w:rsid w:val="00877878"/>
    <w:pPr>
      <w:numPr>
        <w:numId w:val="2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26"/>
      </w:numPr>
    </w:pPr>
  </w:style>
  <w:style w:type="paragraph" w:customStyle="1" w:styleId="NumPar2">
    <w:name w:val="NumPar 2"/>
    <w:basedOn w:val="Normal"/>
    <w:next w:val="Text1"/>
    <w:rsid w:val="00877878"/>
    <w:pPr>
      <w:numPr>
        <w:ilvl w:val="1"/>
        <w:numId w:val="26"/>
      </w:numPr>
    </w:pPr>
  </w:style>
  <w:style w:type="paragraph" w:customStyle="1" w:styleId="NumPar3">
    <w:name w:val="NumPar 3"/>
    <w:basedOn w:val="Normal"/>
    <w:next w:val="Text1"/>
    <w:rsid w:val="00877878"/>
    <w:pPr>
      <w:numPr>
        <w:ilvl w:val="2"/>
        <w:numId w:val="26"/>
      </w:numPr>
    </w:pPr>
  </w:style>
  <w:style w:type="paragraph" w:customStyle="1" w:styleId="NumPar4">
    <w:name w:val="NumPar 4"/>
    <w:basedOn w:val="Normal"/>
    <w:next w:val="Text1"/>
    <w:rsid w:val="00877878"/>
    <w:pPr>
      <w:numPr>
        <w:ilvl w:val="3"/>
        <w:numId w:val="2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28"/>
      </w:numPr>
    </w:pPr>
  </w:style>
  <w:style w:type="paragraph" w:customStyle="1" w:styleId="Point1number">
    <w:name w:val="Point 1 (number)"/>
    <w:basedOn w:val="Normal"/>
    <w:rsid w:val="00877878"/>
    <w:pPr>
      <w:numPr>
        <w:ilvl w:val="2"/>
        <w:numId w:val="28"/>
      </w:numPr>
    </w:pPr>
  </w:style>
  <w:style w:type="paragraph" w:customStyle="1" w:styleId="Point2number">
    <w:name w:val="Point 2 (number)"/>
    <w:basedOn w:val="Normal"/>
    <w:rsid w:val="00877878"/>
    <w:pPr>
      <w:numPr>
        <w:ilvl w:val="4"/>
        <w:numId w:val="28"/>
      </w:numPr>
    </w:pPr>
  </w:style>
  <w:style w:type="paragraph" w:customStyle="1" w:styleId="Point3number">
    <w:name w:val="Point 3 (number)"/>
    <w:basedOn w:val="Normal"/>
    <w:rsid w:val="00877878"/>
    <w:pPr>
      <w:numPr>
        <w:ilvl w:val="6"/>
        <w:numId w:val="28"/>
      </w:numPr>
    </w:pPr>
  </w:style>
  <w:style w:type="paragraph" w:customStyle="1" w:styleId="Point0letter">
    <w:name w:val="Point 0 (letter)"/>
    <w:basedOn w:val="Normal"/>
    <w:rsid w:val="00877878"/>
    <w:pPr>
      <w:numPr>
        <w:ilvl w:val="1"/>
        <w:numId w:val="28"/>
      </w:numPr>
    </w:pPr>
  </w:style>
  <w:style w:type="paragraph" w:customStyle="1" w:styleId="Point1letter">
    <w:name w:val="Point 1 (letter)"/>
    <w:basedOn w:val="Normal"/>
    <w:rsid w:val="00877878"/>
    <w:pPr>
      <w:numPr>
        <w:ilvl w:val="3"/>
        <w:numId w:val="28"/>
      </w:numPr>
    </w:pPr>
  </w:style>
  <w:style w:type="paragraph" w:customStyle="1" w:styleId="Point2letter">
    <w:name w:val="Point 2 (letter)"/>
    <w:basedOn w:val="Normal"/>
    <w:rsid w:val="00877878"/>
    <w:pPr>
      <w:numPr>
        <w:ilvl w:val="5"/>
        <w:numId w:val="28"/>
      </w:numPr>
    </w:pPr>
  </w:style>
  <w:style w:type="paragraph" w:customStyle="1" w:styleId="Point3letter">
    <w:name w:val="Point 3 (letter)"/>
    <w:basedOn w:val="Normal"/>
    <w:rsid w:val="00877878"/>
    <w:pPr>
      <w:numPr>
        <w:ilvl w:val="7"/>
        <w:numId w:val="28"/>
      </w:numPr>
    </w:pPr>
  </w:style>
  <w:style w:type="paragraph" w:customStyle="1" w:styleId="Point4letter">
    <w:name w:val="Point 4 (letter)"/>
    <w:basedOn w:val="Normal"/>
    <w:rsid w:val="00877878"/>
    <w:pPr>
      <w:numPr>
        <w:ilvl w:val="8"/>
        <w:numId w:val="28"/>
      </w:numPr>
    </w:pPr>
  </w:style>
  <w:style w:type="paragraph" w:customStyle="1" w:styleId="Bullet0">
    <w:name w:val="Bullet 0"/>
    <w:basedOn w:val="Normal"/>
    <w:rsid w:val="00877878"/>
    <w:pPr>
      <w:numPr>
        <w:numId w:val="29"/>
      </w:numPr>
    </w:pPr>
  </w:style>
  <w:style w:type="paragraph" w:customStyle="1" w:styleId="Bullet1">
    <w:name w:val="Bullet 1"/>
    <w:basedOn w:val="Normal"/>
    <w:rsid w:val="00877878"/>
    <w:pPr>
      <w:numPr>
        <w:numId w:val="30"/>
      </w:numPr>
    </w:pPr>
  </w:style>
  <w:style w:type="paragraph" w:customStyle="1" w:styleId="Bullet2">
    <w:name w:val="Bullet 2"/>
    <w:basedOn w:val="Normal"/>
    <w:rsid w:val="00877878"/>
    <w:pPr>
      <w:numPr>
        <w:numId w:val="31"/>
      </w:numPr>
    </w:pPr>
  </w:style>
  <w:style w:type="paragraph" w:customStyle="1" w:styleId="Bullet3">
    <w:name w:val="Bullet 3"/>
    <w:basedOn w:val="Normal"/>
    <w:rsid w:val="00877878"/>
    <w:pPr>
      <w:numPr>
        <w:numId w:val="32"/>
      </w:numPr>
    </w:pPr>
  </w:style>
  <w:style w:type="paragraph" w:customStyle="1" w:styleId="Bullet4">
    <w:name w:val="Bullet 4"/>
    <w:basedOn w:val="Normal"/>
    <w:rsid w:val="00877878"/>
    <w:pPr>
      <w:numPr>
        <w:numId w:val="3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1A4A9-6B67-4C30-A9D1-C66645689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2091</Words>
  <Characters>13826</Characters>
  <Application>Microsoft Office Word</Application>
  <DocSecurity>0</DocSecurity>
  <Lines>262</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OZOLINA Kristine (DGT)</cp:lastModifiedBy>
  <cp:revision>3</cp:revision>
  <cp:lastPrinted>2018-09-04T15:01:00Z</cp:lastPrinted>
  <dcterms:created xsi:type="dcterms:W3CDTF">2018-09-18T13:02:00Z</dcterms:created>
  <dcterms:modified xsi:type="dcterms:W3CDTF">2018-09-18T13:02:00Z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