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AC77E9" w:rsidRDefault="00213B88" w:rsidP="00AC77E9">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204FBFA-B8F1-49D3-AF14-707246D95223" style="width:450.15pt;height:436.4pt">
            <v:imagedata r:id="rId9" o:title=""/>
          </v:shape>
        </w:pict>
      </w:r>
    </w:p>
    <w:p w:rsidR="007E1AE4" w:rsidRPr="00AC77E9" w:rsidRDefault="007E1AE4">
      <w:pPr>
        <w:sectPr w:rsidR="007E1AE4" w:rsidRPr="00AC77E9" w:rsidSect="00317EFF">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AC77E9" w:rsidRDefault="00AC77E9" w:rsidP="00AC77E9">
      <w:pPr>
        <w:pStyle w:val="Typedudocument"/>
      </w:pPr>
      <w:r w:rsidRPr="00AC77E9">
        <w:t>REGULAMENTUL DE PUNERE ÎN APLICARE (UE) …/… AL COMISIEI</w:t>
      </w:r>
    </w:p>
    <w:p w:rsidR="007E1AE4" w:rsidRPr="00AC77E9" w:rsidRDefault="00AC77E9" w:rsidP="00AC77E9">
      <w:pPr>
        <w:pStyle w:val="Datedadoption"/>
      </w:pPr>
      <w:r w:rsidRPr="00AC77E9">
        <w:t xml:space="preserve">din </w:t>
      </w:r>
      <w:r w:rsidRPr="00AC77E9">
        <w:rPr>
          <w:rStyle w:val="Marker2"/>
        </w:rPr>
        <w:t>XXX</w:t>
      </w:r>
    </w:p>
    <w:p w:rsidR="007E1AE4" w:rsidRPr="00AC77E9" w:rsidRDefault="00AC77E9" w:rsidP="00AC77E9">
      <w:pPr>
        <w:pStyle w:val="Titreobjet"/>
      </w:pPr>
      <w:r w:rsidRPr="00AC77E9">
        <w:t xml:space="preserve">de stabilire a unor standarde tehnice de punere în aplicare cu privire la procedurile </w:t>
      </w:r>
      <w:r w:rsidR="00241C39">
        <w:t>ș</w:t>
      </w:r>
      <w:r w:rsidRPr="00AC77E9">
        <w:t xml:space="preserve">i formularele </w:t>
      </w:r>
      <w:r w:rsidR="00241C39">
        <w:t>ș</w:t>
      </w:r>
      <w:r w:rsidRPr="00AC77E9">
        <w:t>i machetele standard care trebuie utilizate pentru furnizarea informa</w:t>
      </w:r>
      <w:r w:rsidR="00241C39">
        <w:t>ț</w:t>
      </w:r>
      <w:r w:rsidRPr="00AC77E9">
        <w:t>iilor necesare în scopul planurilor de rezolu</w:t>
      </w:r>
      <w:r w:rsidR="00241C39">
        <w:t>ț</w:t>
      </w:r>
      <w:r w:rsidRPr="00AC77E9">
        <w:t>ie pentru institu</w:t>
      </w:r>
      <w:r w:rsidR="00241C39">
        <w:t>ț</w:t>
      </w:r>
      <w:r w:rsidRPr="00AC77E9">
        <w:t xml:space="preserve">iile de credit </w:t>
      </w:r>
      <w:r w:rsidR="00241C39">
        <w:t>ș</w:t>
      </w:r>
      <w:r w:rsidRPr="00AC77E9">
        <w:t>i firmele de investi</w:t>
      </w:r>
      <w:r w:rsidR="00241C39">
        <w:t>ț</w:t>
      </w:r>
      <w:r w:rsidRPr="00AC77E9">
        <w:t xml:space="preserve">ii în temeiul Directivei </w:t>
      </w:r>
      <w:r w:rsidRPr="005405A2">
        <w:t>2014</w:t>
      </w:r>
      <w:r w:rsidRPr="00AC77E9">
        <w:t>/</w:t>
      </w:r>
      <w:r w:rsidRPr="005405A2">
        <w:t>59</w:t>
      </w:r>
      <w:r w:rsidRPr="00AC77E9">
        <w:t xml:space="preserve">/UE a Parlamentului European </w:t>
      </w:r>
      <w:r w:rsidR="00241C39">
        <w:t>ș</w:t>
      </w:r>
      <w:r w:rsidRPr="00AC77E9">
        <w:t xml:space="preserve">i a Consiliului </w:t>
      </w:r>
      <w:r w:rsidR="00241C39">
        <w:t>ș</w:t>
      </w:r>
      <w:r w:rsidRPr="00AC77E9">
        <w:t xml:space="preserve">i de abrogare a Regulamentului de punere în aplicare (UE) </w:t>
      </w:r>
      <w:r w:rsidRPr="005405A2">
        <w:t>2016</w:t>
      </w:r>
      <w:r w:rsidRPr="00AC77E9">
        <w:t>/</w:t>
      </w:r>
      <w:r w:rsidRPr="005405A2">
        <w:t>1066</w:t>
      </w:r>
      <w:r w:rsidRPr="00AC77E9">
        <w:t xml:space="preserve"> al Comisiei</w:t>
      </w:r>
      <w:r w:rsidRPr="00AC77E9">
        <w:br/>
      </w:r>
    </w:p>
    <w:p w:rsidR="007E1AE4" w:rsidRPr="00AC77E9" w:rsidRDefault="00AC77E9" w:rsidP="00AC77E9">
      <w:pPr>
        <w:pStyle w:val="IntrtEEE"/>
      </w:pPr>
      <w:r w:rsidRPr="00AC77E9">
        <w:t>(Text cu relevan</w:t>
      </w:r>
      <w:r w:rsidR="00241C39">
        <w:t>ț</w:t>
      </w:r>
      <w:r w:rsidRPr="00AC77E9">
        <w:t>ă pentru SEE)</w:t>
      </w:r>
    </w:p>
    <w:p w:rsidR="007E1AE4" w:rsidRPr="00AC77E9" w:rsidRDefault="007E1AE4" w:rsidP="007E1AE4">
      <w:pPr>
        <w:pStyle w:val="Institutionquiagit"/>
        <w:rPr>
          <w:color w:val="000000" w:themeColor="text1"/>
        </w:rPr>
      </w:pPr>
      <w:r w:rsidRPr="00AC77E9">
        <w:rPr>
          <w:color w:val="000000" w:themeColor="text1"/>
        </w:rPr>
        <w:t>COMISIA EUROPEANĂ,</w:t>
      </w:r>
    </w:p>
    <w:p w:rsidR="007E1AE4" w:rsidRPr="00AC77E9" w:rsidRDefault="007E1AE4" w:rsidP="007E1AE4">
      <w:pPr>
        <w:rPr>
          <w:color w:val="000000" w:themeColor="text1"/>
        </w:rPr>
      </w:pPr>
      <w:r w:rsidRPr="00AC77E9">
        <w:rPr>
          <w:color w:val="000000" w:themeColor="text1"/>
        </w:rPr>
        <w:t>având în vedere Tratatul privind func</w:t>
      </w:r>
      <w:r w:rsidR="00241C39">
        <w:rPr>
          <w:color w:val="000000" w:themeColor="text1"/>
        </w:rPr>
        <w:t>ț</w:t>
      </w:r>
      <w:r w:rsidRPr="00AC77E9">
        <w:rPr>
          <w:color w:val="000000" w:themeColor="text1"/>
        </w:rPr>
        <w:t>ionarea Uniunii Europene,</w:t>
      </w:r>
    </w:p>
    <w:p w:rsidR="007E1AE4" w:rsidRPr="00AC77E9" w:rsidRDefault="007E1AE4" w:rsidP="007E1AE4">
      <w:pPr>
        <w:rPr>
          <w:color w:val="000000" w:themeColor="text1"/>
        </w:rPr>
      </w:pPr>
      <w:r w:rsidRPr="00AC77E9">
        <w:rPr>
          <w:color w:val="000000" w:themeColor="text1"/>
        </w:rPr>
        <w:t xml:space="preserve">având în vedere </w:t>
      </w:r>
      <w:r w:rsidRPr="00AC77E9">
        <w:t xml:space="preserve">Directiva </w:t>
      </w:r>
      <w:r w:rsidRPr="005405A2">
        <w:t>2014</w:t>
      </w:r>
      <w:r w:rsidRPr="00AC77E9">
        <w:t>/</w:t>
      </w:r>
      <w:r w:rsidRPr="005405A2">
        <w:t>59</w:t>
      </w:r>
      <w:r w:rsidRPr="00AC77E9">
        <w:t xml:space="preserve">/UE a Parlamentului European </w:t>
      </w:r>
      <w:r w:rsidR="00241C39">
        <w:t>ș</w:t>
      </w:r>
      <w:r w:rsidRPr="00AC77E9">
        <w:t xml:space="preserve">i a Consiliului de instituire a unui cadru pentru redresarea </w:t>
      </w:r>
      <w:r w:rsidR="00241C39">
        <w:t>ș</w:t>
      </w:r>
      <w:r w:rsidRPr="00AC77E9">
        <w:t>i rezolu</w:t>
      </w:r>
      <w:r w:rsidR="00241C39">
        <w:t>ț</w:t>
      </w:r>
      <w:r w:rsidRPr="00AC77E9">
        <w:t>ia institu</w:t>
      </w:r>
      <w:r w:rsidR="00241C39">
        <w:t>ț</w:t>
      </w:r>
      <w:r w:rsidRPr="00AC77E9">
        <w:t xml:space="preserve">iilor de credit </w:t>
      </w:r>
      <w:r w:rsidR="00241C39">
        <w:t>ș</w:t>
      </w:r>
      <w:r w:rsidRPr="00AC77E9">
        <w:t>i a firmelor de investi</w:t>
      </w:r>
      <w:r w:rsidR="00241C39">
        <w:t>ț</w:t>
      </w:r>
      <w:r w:rsidRPr="00AC77E9">
        <w:t xml:space="preserve">ii </w:t>
      </w:r>
      <w:r w:rsidR="00241C39">
        <w:t>ș</w:t>
      </w:r>
      <w:r w:rsidRPr="00AC77E9">
        <w:t xml:space="preserve">i de modificare a Directivei </w:t>
      </w:r>
      <w:r w:rsidRPr="005405A2">
        <w:t>82</w:t>
      </w:r>
      <w:r w:rsidRPr="00AC77E9">
        <w:t>/</w:t>
      </w:r>
      <w:r w:rsidRPr="005405A2">
        <w:t>891</w:t>
      </w:r>
      <w:r w:rsidRPr="00AC77E9">
        <w:t xml:space="preserve">/CEE a Consiliului </w:t>
      </w:r>
      <w:r w:rsidR="00241C39">
        <w:t>ș</w:t>
      </w:r>
      <w:r w:rsidRPr="00AC77E9">
        <w:t xml:space="preserve">i a Directivelor </w:t>
      </w:r>
      <w:r w:rsidRPr="005405A2">
        <w:t>2001</w:t>
      </w:r>
      <w:r w:rsidRPr="00AC77E9">
        <w:t>/</w:t>
      </w:r>
      <w:r w:rsidRPr="005405A2">
        <w:t>24</w:t>
      </w:r>
      <w:r w:rsidRPr="00AC77E9">
        <w:t xml:space="preserve">/CE, </w:t>
      </w:r>
      <w:r w:rsidRPr="005405A2">
        <w:t>2002</w:t>
      </w:r>
      <w:r w:rsidRPr="00AC77E9">
        <w:t>/</w:t>
      </w:r>
      <w:r w:rsidRPr="005405A2">
        <w:t>47</w:t>
      </w:r>
      <w:r w:rsidRPr="00AC77E9">
        <w:t xml:space="preserve">/CE, </w:t>
      </w:r>
      <w:r w:rsidRPr="005405A2">
        <w:t>2004</w:t>
      </w:r>
      <w:r w:rsidRPr="00AC77E9">
        <w:t>/</w:t>
      </w:r>
      <w:r w:rsidRPr="005405A2">
        <w:t>25</w:t>
      </w:r>
      <w:r w:rsidRPr="00AC77E9">
        <w:t xml:space="preserve">/CE, </w:t>
      </w:r>
      <w:r w:rsidRPr="005405A2">
        <w:t>2005</w:t>
      </w:r>
      <w:r w:rsidRPr="00AC77E9">
        <w:t>/</w:t>
      </w:r>
      <w:r w:rsidRPr="005405A2">
        <w:t>56</w:t>
      </w:r>
      <w:r w:rsidRPr="00AC77E9">
        <w:t xml:space="preserve">/CE, </w:t>
      </w:r>
      <w:r w:rsidRPr="005405A2">
        <w:t>2007</w:t>
      </w:r>
      <w:r w:rsidRPr="00AC77E9">
        <w:t>/</w:t>
      </w:r>
      <w:r w:rsidRPr="005405A2">
        <w:t>36</w:t>
      </w:r>
      <w:r w:rsidRPr="00AC77E9">
        <w:t xml:space="preserve">/CE, </w:t>
      </w:r>
      <w:r w:rsidRPr="005405A2">
        <w:t>2011</w:t>
      </w:r>
      <w:r w:rsidRPr="00AC77E9">
        <w:t>/</w:t>
      </w:r>
      <w:r w:rsidRPr="005405A2">
        <w:t>35</w:t>
      </w:r>
      <w:r w:rsidRPr="00AC77E9">
        <w:t xml:space="preserve">/UE, </w:t>
      </w:r>
      <w:r w:rsidRPr="005405A2">
        <w:t>2012</w:t>
      </w:r>
      <w:r w:rsidRPr="00AC77E9">
        <w:t>/</w:t>
      </w:r>
      <w:r w:rsidRPr="005405A2">
        <w:t>30</w:t>
      </w:r>
      <w:r w:rsidRPr="00AC77E9">
        <w:t xml:space="preserve">/UE </w:t>
      </w:r>
      <w:r w:rsidR="00241C39">
        <w:t>ș</w:t>
      </w:r>
      <w:r w:rsidRPr="00AC77E9">
        <w:t xml:space="preserve">i </w:t>
      </w:r>
      <w:r w:rsidRPr="005405A2">
        <w:t>2013</w:t>
      </w:r>
      <w:r w:rsidRPr="00AC77E9">
        <w:t>/</w:t>
      </w:r>
      <w:r w:rsidRPr="005405A2">
        <w:t>36</w:t>
      </w:r>
      <w:r w:rsidRPr="00AC77E9">
        <w:t xml:space="preserve">/UE ale Parlamentului European </w:t>
      </w:r>
      <w:r w:rsidR="00241C39">
        <w:t>ș</w:t>
      </w:r>
      <w:r w:rsidRPr="00AC77E9">
        <w:t xml:space="preserve">i ale Consiliului, precum </w:t>
      </w:r>
      <w:r w:rsidR="00241C39">
        <w:t>ș</w:t>
      </w:r>
      <w:r w:rsidRPr="00AC77E9">
        <w:t xml:space="preserve">i a Regulamentelor (UE) nr. </w:t>
      </w:r>
      <w:r w:rsidRPr="005405A2">
        <w:t>1093</w:t>
      </w:r>
      <w:r w:rsidRPr="00AC77E9">
        <w:t>/</w:t>
      </w:r>
      <w:r w:rsidRPr="005405A2">
        <w:t>2010</w:t>
      </w:r>
      <w:r w:rsidRPr="00AC77E9">
        <w:t xml:space="preserve"> </w:t>
      </w:r>
      <w:r w:rsidR="00241C39">
        <w:t>ș</w:t>
      </w:r>
      <w:r w:rsidRPr="00AC77E9">
        <w:t xml:space="preserve">i (UE) nr. </w:t>
      </w:r>
      <w:r w:rsidRPr="005405A2">
        <w:t>648</w:t>
      </w:r>
      <w:r w:rsidRPr="00AC77E9">
        <w:t>/</w:t>
      </w:r>
      <w:r w:rsidRPr="005405A2">
        <w:t>2012</w:t>
      </w:r>
      <w:r w:rsidRPr="00AC77E9">
        <w:t xml:space="preserve"> ale Parlamentului European </w:t>
      </w:r>
      <w:r w:rsidR="00241C39">
        <w:t>ș</w:t>
      </w:r>
      <w:r w:rsidRPr="00AC77E9">
        <w:t>i ale Consiliului</w:t>
      </w:r>
      <w:r w:rsidRPr="00AC77E9">
        <w:rPr>
          <w:rStyle w:val="FootnoteReference"/>
        </w:rPr>
        <w:footnoteReference w:id="2"/>
      </w:r>
      <w:r w:rsidRPr="00AC77E9">
        <w:rPr>
          <w:color w:val="000000" w:themeColor="text1"/>
        </w:rPr>
        <w:t xml:space="preserve">, în special articolul </w:t>
      </w:r>
      <w:r w:rsidRPr="005405A2">
        <w:t>11</w:t>
      </w:r>
      <w:r w:rsidRPr="00AC77E9">
        <w:t xml:space="preserve"> alineatul (</w:t>
      </w:r>
      <w:r w:rsidRPr="005405A2">
        <w:t>3</w:t>
      </w:r>
      <w:r w:rsidRPr="00AC77E9">
        <w:t>)</w:t>
      </w:r>
      <w:r w:rsidRPr="00AC77E9">
        <w:rPr>
          <w:color w:val="000000" w:themeColor="text1"/>
        </w:rPr>
        <w:t>,</w:t>
      </w:r>
    </w:p>
    <w:p w:rsidR="007E1AE4" w:rsidRPr="00AC77E9" w:rsidRDefault="007E1AE4" w:rsidP="007E1AE4">
      <w:pPr>
        <w:rPr>
          <w:color w:val="000000" w:themeColor="text1"/>
        </w:rPr>
      </w:pPr>
      <w:r w:rsidRPr="00AC77E9">
        <w:rPr>
          <w:color w:val="000000" w:themeColor="text1"/>
        </w:rPr>
        <w:t>întrucât:</w:t>
      </w:r>
    </w:p>
    <w:p w:rsidR="007E1AE4" w:rsidRPr="00AC77E9" w:rsidRDefault="007E1AE4" w:rsidP="00440366">
      <w:pPr>
        <w:pStyle w:val="Considrant"/>
        <w:numPr>
          <w:ilvl w:val="0"/>
          <w:numId w:val="7"/>
        </w:numPr>
      </w:pPr>
      <w:r w:rsidRPr="00AC77E9">
        <w:t xml:space="preserve">Regulamentul de punere în aplicare (UE) </w:t>
      </w:r>
      <w:r w:rsidRPr="005405A2">
        <w:t>2016</w:t>
      </w:r>
      <w:r w:rsidRPr="00AC77E9">
        <w:t>/</w:t>
      </w:r>
      <w:r w:rsidRPr="005405A2">
        <w:t>1066</w:t>
      </w:r>
      <w:r w:rsidRPr="00AC77E9">
        <w:t xml:space="preserve"> al Comisiei</w:t>
      </w:r>
      <w:r w:rsidRPr="00AC77E9">
        <w:rPr>
          <w:rStyle w:val="FootnoteReference"/>
        </w:rPr>
        <w:footnoteReference w:id="3"/>
      </w:r>
      <w:r w:rsidRPr="00AC77E9">
        <w:t xml:space="preserve"> prevede procedura </w:t>
      </w:r>
      <w:r w:rsidR="00241C39">
        <w:t>ș</w:t>
      </w:r>
      <w:r w:rsidRPr="00AC77E9">
        <w:t>i introduce un set minim de machete pentru furnizarea de informa</w:t>
      </w:r>
      <w:r w:rsidR="00241C39">
        <w:t>ț</w:t>
      </w:r>
      <w:r w:rsidRPr="00AC77E9">
        <w:t>ii către autorită</w:t>
      </w:r>
      <w:r w:rsidR="00241C39">
        <w:t>ț</w:t>
      </w:r>
      <w:r w:rsidRPr="00AC77E9">
        <w:t>ile de rezolu</w:t>
      </w:r>
      <w:r w:rsidR="00241C39">
        <w:t>ț</w:t>
      </w:r>
      <w:r w:rsidRPr="00AC77E9">
        <w:t>ie de către institu</w:t>
      </w:r>
      <w:r w:rsidR="00241C39">
        <w:t>ț</w:t>
      </w:r>
      <w:r w:rsidRPr="00AC77E9">
        <w:t>iile de credit sau firmele de investi</w:t>
      </w:r>
      <w:r w:rsidR="00241C39">
        <w:t>ț</w:t>
      </w:r>
      <w:r w:rsidRPr="00AC77E9">
        <w:t>ii (denumite în continuare „institu</w:t>
      </w:r>
      <w:r w:rsidR="00241C39">
        <w:t>ț</w:t>
      </w:r>
      <w:r w:rsidRPr="00AC77E9">
        <w:t xml:space="preserve">ii”) cu scopul de a elabora </w:t>
      </w:r>
      <w:r w:rsidR="00241C39">
        <w:t>ș</w:t>
      </w:r>
      <w:r w:rsidRPr="00AC77E9">
        <w:t>i de a pune în aplicare planuri de rezolu</w:t>
      </w:r>
      <w:r w:rsidR="00241C39">
        <w:t>ț</w:t>
      </w:r>
      <w:r w:rsidRPr="00AC77E9">
        <w:t>ie pentru institu</w:t>
      </w:r>
      <w:r w:rsidR="00241C39">
        <w:t>ț</w:t>
      </w:r>
      <w:r w:rsidRPr="00AC77E9">
        <w:t xml:space="preserve">ii. De la adoptarea Regulamentului de punere în aplicare (UE) </w:t>
      </w:r>
      <w:r w:rsidRPr="005405A2">
        <w:t>2016</w:t>
      </w:r>
      <w:r w:rsidRPr="00AC77E9">
        <w:t>/</w:t>
      </w:r>
      <w:r w:rsidRPr="005405A2">
        <w:t>1066</w:t>
      </w:r>
      <w:r w:rsidRPr="00AC77E9">
        <w:t>, autorită</w:t>
      </w:r>
      <w:r w:rsidR="00241C39">
        <w:t>ț</w:t>
      </w:r>
      <w:r w:rsidRPr="00AC77E9">
        <w:t>ile de rezolu</w:t>
      </w:r>
      <w:r w:rsidR="00241C39">
        <w:t>ț</w:t>
      </w:r>
      <w:r w:rsidRPr="00AC77E9">
        <w:t>ie au dobândit experien</w:t>
      </w:r>
      <w:r w:rsidR="00241C39">
        <w:t>ț</w:t>
      </w:r>
      <w:r w:rsidRPr="00AC77E9">
        <w:t>ă în domeniul planificării rezolu</w:t>
      </w:r>
      <w:r w:rsidR="00241C39">
        <w:t>ț</w:t>
      </w:r>
      <w:r w:rsidRPr="00AC77E9">
        <w:t>iei. Luând în considerare această experien</w:t>
      </w:r>
      <w:r w:rsidR="00241C39">
        <w:t>ț</w:t>
      </w:r>
      <w:r w:rsidRPr="00AC77E9">
        <w:t>ă, este necesar să se actualizeze setul minim de machete pentru colectarea de informa</w:t>
      </w:r>
      <w:r w:rsidR="00241C39">
        <w:t>ț</w:t>
      </w:r>
      <w:r w:rsidRPr="00AC77E9">
        <w:t>ii în scopul planificării rezolu</w:t>
      </w:r>
      <w:r w:rsidR="00241C39">
        <w:t>ț</w:t>
      </w:r>
      <w:r w:rsidRPr="00AC77E9">
        <w:t>iei.</w:t>
      </w:r>
    </w:p>
    <w:p w:rsidR="007E1AE4" w:rsidRPr="00AC77E9" w:rsidRDefault="007E1AE4" w:rsidP="006E1E68">
      <w:pPr>
        <w:pStyle w:val="Considrant"/>
      </w:pPr>
      <w:r w:rsidRPr="00AC77E9">
        <w:t xml:space="preserve">Regulamentul de punere în aplicare (UE) </w:t>
      </w:r>
      <w:r w:rsidRPr="005405A2">
        <w:t>2016</w:t>
      </w:r>
      <w:r w:rsidRPr="00AC77E9">
        <w:t>/</w:t>
      </w:r>
      <w:r w:rsidRPr="005405A2">
        <w:t>1066</w:t>
      </w:r>
      <w:r w:rsidRPr="00AC77E9">
        <w:t xml:space="preserve"> urmăre</w:t>
      </w:r>
      <w:r w:rsidR="00241C39">
        <w:t>ș</w:t>
      </w:r>
      <w:r w:rsidRPr="00AC77E9">
        <w:t xml:space="preserve">te, de asemenea, să conceapă procedura </w:t>
      </w:r>
      <w:r w:rsidR="00241C39">
        <w:t>ș</w:t>
      </w:r>
      <w:r w:rsidRPr="00AC77E9">
        <w:t>i setul minim de machete pentru furnizarea de informa</w:t>
      </w:r>
      <w:r w:rsidR="00241C39">
        <w:t>ț</w:t>
      </w:r>
      <w:r w:rsidRPr="00AC77E9">
        <w:t>ii către autorită</w:t>
      </w:r>
      <w:r w:rsidR="00241C39">
        <w:t>ț</w:t>
      </w:r>
      <w:r w:rsidRPr="00AC77E9">
        <w:t>ile de rezolu</w:t>
      </w:r>
      <w:r w:rsidR="00241C39">
        <w:t>ț</w:t>
      </w:r>
      <w:r w:rsidRPr="00AC77E9">
        <w:t>ie de către institu</w:t>
      </w:r>
      <w:r w:rsidR="00241C39">
        <w:t>ț</w:t>
      </w:r>
      <w:r w:rsidRPr="00AC77E9">
        <w:t>ii în a</w:t>
      </w:r>
      <w:r w:rsidR="00241C39">
        <w:t>ș</w:t>
      </w:r>
      <w:r w:rsidRPr="00AC77E9">
        <w:t>a fel încât să permită autorită</w:t>
      </w:r>
      <w:r w:rsidR="00241C39">
        <w:t>ț</w:t>
      </w:r>
      <w:r w:rsidRPr="00AC77E9">
        <w:t>ilor de rezolu</w:t>
      </w:r>
      <w:r w:rsidR="00241C39">
        <w:t>ț</w:t>
      </w:r>
      <w:r w:rsidRPr="00AC77E9">
        <w:t>ie să colecteze informa</w:t>
      </w:r>
      <w:r w:rsidR="00241C39">
        <w:t>ț</w:t>
      </w:r>
      <w:r w:rsidRPr="00AC77E9">
        <w:t xml:space="preserve">iile respective în mod coerent pe întreg teritoriul Uniunii </w:t>
      </w:r>
      <w:r w:rsidR="00241C39">
        <w:t>ș</w:t>
      </w:r>
      <w:r w:rsidRPr="00AC77E9">
        <w:t>i să faciliteze schimbul de informa</w:t>
      </w:r>
      <w:r w:rsidR="00241C39">
        <w:t>ț</w:t>
      </w:r>
      <w:r w:rsidRPr="00AC77E9">
        <w:t>ii între autorită</w:t>
      </w:r>
      <w:r w:rsidR="00241C39">
        <w:t>ț</w:t>
      </w:r>
      <w:r w:rsidRPr="00AC77E9">
        <w:t>ile competente. Cu toate acestea, experien</w:t>
      </w:r>
      <w:r w:rsidR="00241C39">
        <w:t>ț</w:t>
      </w:r>
      <w:r w:rsidRPr="00AC77E9">
        <w:t>a a arătat că a existat doar par</w:t>
      </w:r>
      <w:r w:rsidR="00241C39">
        <w:t>ț</w:t>
      </w:r>
      <w:r w:rsidRPr="00AC77E9">
        <w:t>ial o abordare armonizată pentru colectarea acestor informa</w:t>
      </w:r>
      <w:r w:rsidR="00241C39">
        <w:t>ț</w:t>
      </w:r>
      <w:r w:rsidRPr="00AC77E9">
        <w:t>ii. Prin urmare, este necesar să se asigure că autorită</w:t>
      </w:r>
      <w:r w:rsidR="00241C39">
        <w:t>ț</w:t>
      </w:r>
      <w:r w:rsidRPr="00AC77E9">
        <w:t>ile de rezolu</w:t>
      </w:r>
      <w:r w:rsidR="00241C39">
        <w:t>ț</w:t>
      </w:r>
      <w:r w:rsidRPr="00AC77E9">
        <w:t>ie colectează cu regularitate un set minim de informa</w:t>
      </w:r>
      <w:r w:rsidR="00241C39">
        <w:t>ț</w:t>
      </w:r>
      <w:r w:rsidRPr="00AC77E9">
        <w:t>ii de bază referitoare la o institu</w:t>
      </w:r>
      <w:r w:rsidR="00241C39">
        <w:t>ț</w:t>
      </w:r>
      <w:r w:rsidRPr="00AC77E9">
        <w:t>ie sau un grup la nivelul întregii Uniuni. Aceasta nu împiedică autoritatea de rezolu</w:t>
      </w:r>
      <w:r w:rsidR="00241C39">
        <w:t>ț</w:t>
      </w:r>
      <w:r w:rsidRPr="00AC77E9">
        <w:t>ie să colecteze informa</w:t>
      </w:r>
      <w:r w:rsidR="00241C39">
        <w:t>ț</w:t>
      </w:r>
      <w:r w:rsidRPr="00AC77E9">
        <w:t xml:space="preserve">iile suplimentare pe care le consideră necesare pentru a elabora </w:t>
      </w:r>
      <w:r w:rsidR="00241C39">
        <w:t>ș</w:t>
      </w:r>
      <w:r w:rsidRPr="00AC77E9">
        <w:t>i a pune în aplicare planuri de rezolu</w:t>
      </w:r>
      <w:r w:rsidR="00241C39">
        <w:t>ț</w:t>
      </w:r>
      <w:r w:rsidRPr="00AC77E9">
        <w:t>ie sau pentru a stabili, în conformitate cu articolul </w:t>
      </w:r>
      <w:r w:rsidRPr="005405A2">
        <w:t>4</w:t>
      </w:r>
      <w:r w:rsidRPr="00AC77E9">
        <w:t xml:space="preserve"> din Directiva </w:t>
      </w:r>
      <w:r w:rsidRPr="005405A2">
        <w:t>2014</w:t>
      </w:r>
      <w:r w:rsidRPr="00AC77E9">
        <w:t>/</w:t>
      </w:r>
      <w:r w:rsidRPr="005405A2">
        <w:t>59</w:t>
      </w:r>
      <w:r w:rsidRPr="00AC77E9">
        <w:t>/UE, obliga</w:t>
      </w:r>
      <w:r w:rsidR="00241C39">
        <w:t>ț</w:t>
      </w:r>
      <w:r w:rsidRPr="00AC77E9">
        <w:t>ii de informare simplificate.</w:t>
      </w:r>
    </w:p>
    <w:p w:rsidR="007E1AE4" w:rsidRPr="00AC77E9" w:rsidRDefault="007E1AE4" w:rsidP="007E1AE4">
      <w:pPr>
        <w:pStyle w:val="Considrant"/>
      </w:pPr>
      <w:r w:rsidRPr="00AC77E9">
        <w:t>Pentru a garanta că planurile de rezolu</w:t>
      </w:r>
      <w:r w:rsidR="00241C39">
        <w:t>ț</w:t>
      </w:r>
      <w:r w:rsidRPr="00AC77E9">
        <w:t xml:space="preserve">ie se bazează pe un set minim de date care sunt în mod consecvent de înaltă calitate </w:t>
      </w:r>
      <w:r w:rsidR="00241C39">
        <w:t>ș</w:t>
      </w:r>
      <w:r w:rsidRPr="00AC77E9">
        <w:t xml:space="preserve">i precizie, elementele de date prevăzute în machetele de raportare introduse prin Regulamentul de punere în aplicare (UE) </w:t>
      </w:r>
      <w:r w:rsidRPr="005405A2">
        <w:t>2016</w:t>
      </w:r>
      <w:r w:rsidRPr="00AC77E9">
        <w:t>/</w:t>
      </w:r>
      <w:r w:rsidRPr="005405A2">
        <w:t>1066</w:t>
      </w:r>
      <w:r w:rsidRPr="00AC77E9">
        <w:t xml:space="preserve"> ar trebui transformate într-un model al punctelor de date unic, a</w:t>
      </w:r>
      <w:r w:rsidR="00241C39">
        <w:t>ș</w:t>
      </w:r>
      <w:r w:rsidRPr="00AC77E9">
        <w:t xml:space="preserve">a cum se practică în cadrul raportării în scopuri de supraveghere. Modelul punctelor de date unic ar trebui să cuprindă o reprezentare structurală a elementelor de date </w:t>
      </w:r>
      <w:r w:rsidR="00241C39">
        <w:t>ș</w:t>
      </w:r>
      <w:r w:rsidRPr="00AC77E9">
        <w:t>i să identifice toate conceptele de activitate relevante pentru raportarea uniformă în scopuri de planificare a rezolu</w:t>
      </w:r>
      <w:r w:rsidR="00241C39">
        <w:t>ț</w:t>
      </w:r>
      <w:r w:rsidRPr="00AC77E9">
        <w:t xml:space="preserve">iei </w:t>
      </w:r>
      <w:r w:rsidR="00241C39">
        <w:t>ș</w:t>
      </w:r>
      <w:r w:rsidRPr="00AC77E9">
        <w:t>i ar trebui să con</w:t>
      </w:r>
      <w:r w:rsidR="00241C39">
        <w:t>ț</w:t>
      </w:r>
      <w:r w:rsidRPr="00AC77E9">
        <w:t>ină toate specifica</w:t>
      </w:r>
      <w:r w:rsidR="00241C39">
        <w:t>ț</w:t>
      </w:r>
      <w:r w:rsidRPr="00AC77E9">
        <w:t>iile relevante necesare pentru dezvoltarea în continuare a unor solu</w:t>
      </w:r>
      <w:r w:rsidR="00241C39">
        <w:t>ț</w:t>
      </w:r>
      <w:r w:rsidRPr="00AC77E9">
        <w:t>ii IT de raportare uniforme.</w:t>
      </w:r>
    </w:p>
    <w:p w:rsidR="007E1AE4" w:rsidRPr="00AC77E9" w:rsidRDefault="007E1AE4" w:rsidP="007E1AE4">
      <w:pPr>
        <w:pStyle w:val="Considrant"/>
      </w:pPr>
      <w:r w:rsidRPr="00AC77E9">
        <w:t>Pentru a se garanta calitatea, coeren</w:t>
      </w:r>
      <w:r w:rsidR="00241C39">
        <w:t>ț</w:t>
      </w:r>
      <w:r w:rsidRPr="00AC77E9">
        <w:t xml:space="preserve">a </w:t>
      </w:r>
      <w:r w:rsidR="00241C39">
        <w:t>ș</w:t>
      </w:r>
      <w:r w:rsidRPr="00AC77E9">
        <w:t>i acurate</w:t>
      </w:r>
      <w:r w:rsidR="00241C39">
        <w:t>ț</w:t>
      </w:r>
      <w:r w:rsidRPr="00AC77E9">
        <w:t>ea elementelor de date raportate de institu</w:t>
      </w:r>
      <w:r w:rsidR="00241C39">
        <w:t>ț</w:t>
      </w:r>
      <w:r w:rsidRPr="00AC77E9">
        <w:t>ii, elementele de date ar trebui să facă obiectul unor norme de validare comune.</w:t>
      </w:r>
    </w:p>
    <w:p w:rsidR="007E1AE4" w:rsidRPr="00AC77E9" w:rsidRDefault="007E1AE4" w:rsidP="007E1AE4">
      <w:pPr>
        <w:pStyle w:val="Considrant"/>
      </w:pPr>
      <w:r w:rsidRPr="00AC77E9">
        <w:t xml:space="preserve">Dată fiind natura lor, normele de validare </w:t>
      </w:r>
      <w:r w:rsidR="00241C39">
        <w:t>ș</w:t>
      </w:r>
      <w:r w:rsidRPr="00AC77E9">
        <w:t>i defini</w:t>
      </w:r>
      <w:r w:rsidR="00241C39">
        <w:t>ț</w:t>
      </w:r>
      <w:r w:rsidRPr="00AC77E9">
        <w:t>iile punctelor de date se actualizează cu regularitate pentru a se asigura conformitatea acestora, în orice moment, cu cerin</w:t>
      </w:r>
      <w:r w:rsidR="00241C39">
        <w:t>ț</w:t>
      </w:r>
      <w:r w:rsidRPr="00AC77E9">
        <w:t xml:space="preserve">ele de reglementare, analitice </w:t>
      </w:r>
      <w:r w:rsidR="00241C39">
        <w:t>ș</w:t>
      </w:r>
      <w:r w:rsidRPr="00AC77E9">
        <w:t>i de tehnologie a informa</w:t>
      </w:r>
      <w:r w:rsidR="00241C39">
        <w:t>ț</w:t>
      </w:r>
      <w:r w:rsidRPr="00AC77E9">
        <w:t xml:space="preserve">iei aplicabile. Cu toate acestea, având în vedere timpul necesar în prezent pentru adoptarea </w:t>
      </w:r>
      <w:r w:rsidR="00241C39">
        <w:t>ș</w:t>
      </w:r>
      <w:r w:rsidRPr="00AC77E9">
        <w:t xml:space="preserve">i publicarea modelului detaliat al punctelor de date unic </w:t>
      </w:r>
      <w:r w:rsidR="00241C39">
        <w:t>ș</w:t>
      </w:r>
      <w:r w:rsidRPr="00AC77E9">
        <w:t xml:space="preserve">i a normelor de validare detaliate, nu este posibil să se efectueze modificări suficient de repede </w:t>
      </w:r>
      <w:r w:rsidR="00241C39">
        <w:t>ș</w:t>
      </w:r>
      <w:r w:rsidRPr="00AC77E9">
        <w:t>i în timp util astfel încât să se asigure furnizarea permanentă a unor informa</w:t>
      </w:r>
      <w:r w:rsidR="00241C39">
        <w:t>ț</w:t>
      </w:r>
      <w:r w:rsidRPr="00AC77E9">
        <w:t>ii uniforme privind planurile de rezolu</w:t>
      </w:r>
      <w:r w:rsidR="00241C39">
        <w:t>ț</w:t>
      </w:r>
      <w:r w:rsidRPr="00AC77E9">
        <w:t xml:space="preserve">ie în Uniune. Prin urmare, ar trebui stabilite criterii calitative stricte pentru modelul detaliat al punctelor de date unic </w:t>
      </w:r>
      <w:r w:rsidR="00241C39">
        <w:t>ș</w:t>
      </w:r>
      <w:r w:rsidRPr="00AC77E9">
        <w:t xml:space="preserve">i pentru normele de validare comune detaliate care vor fi publicate în format electronic de către </w:t>
      </w:r>
      <w:r w:rsidR="00241C39">
        <w:br/>
      </w:r>
      <w:r w:rsidRPr="00AC77E9">
        <w:t xml:space="preserve">Autoritatea Bancară Europeană (ABE) pe site-ul său internet. </w:t>
      </w:r>
    </w:p>
    <w:p w:rsidR="007E1AE4" w:rsidRPr="00AC77E9" w:rsidRDefault="007E1AE4" w:rsidP="007E1AE4">
      <w:pPr>
        <w:pStyle w:val="Considrant"/>
      </w:pPr>
      <w:r w:rsidRPr="00AC77E9">
        <w:t>În conformitate cu articolul </w:t>
      </w:r>
      <w:r w:rsidRPr="005405A2">
        <w:t>11</w:t>
      </w:r>
      <w:r w:rsidRPr="00AC77E9">
        <w:t xml:space="preserve"> alineatul (</w:t>
      </w:r>
      <w:r w:rsidRPr="005405A2">
        <w:t>2</w:t>
      </w:r>
      <w:r w:rsidRPr="00AC77E9">
        <w:t xml:space="preserve">) din Directiva </w:t>
      </w:r>
      <w:r w:rsidRPr="005405A2">
        <w:t>2014</w:t>
      </w:r>
      <w:r w:rsidRPr="00AC77E9">
        <w:t>/</w:t>
      </w:r>
      <w:r w:rsidRPr="005405A2">
        <w:t>59</w:t>
      </w:r>
      <w:r w:rsidRPr="00AC77E9">
        <w:t>/UE, autorită</w:t>
      </w:r>
      <w:r w:rsidR="00241C39">
        <w:t>ț</w:t>
      </w:r>
      <w:r w:rsidRPr="00AC77E9">
        <w:t xml:space="preserve">ile competente </w:t>
      </w:r>
      <w:r w:rsidR="00241C39">
        <w:t>ș</w:t>
      </w:r>
      <w:r w:rsidRPr="00AC77E9">
        <w:t>i autorită</w:t>
      </w:r>
      <w:r w:rsidR="00241C39">
        <w:t>ț</w:t>
      </w:r>
      <w:r w:rsidRPr="00AC77E9">
        <w:t>ile de rezolu</w:t>
      </w:r>
      <w:r w:rsidR="00241C39">
        <w:t>ț</w:t>
      </w:r>
      <w:r w:rsidRPr="00AC77E9">
        <w:t>ie ar trebui să coopereze pentru a reduce la minimum duplicarea cerin</w:t>
      </w:r>
      <w:r w:rsidR="00241C39">
        <w:t>ț</w:t>
      </w:r>
      <w:r w:rsidRPr="00AC77E9">
        <w:t xml:space="preserve">elor de informare. În acest scop, Regulamentul de punere în aplicare (UE) </w:t>
      </w:r>
      <w:r w:rsidRPr="005405A2">
        <w:t>2016</w:t>
      </w:r>
      <w:r w:rsidRPr="00AC77E9">
        <w:t>/</w:t>
      </w:r>
      <w:r w:rsidRPr="005405A2">
        <w:t>1066</w:t>
      </w:r>
      <w:r w:rsidRPr="00AC77E9">
        <w:t xml:space="preserve"> introduce o procedură de cooperare între autorită</w:t>
      </w:r>
      <w:r w:rsidR="00241C39">
        <w:t>ț</w:t>
      </w:r>
      <w:r w:rsidRPr="00AC77E9">
        <w:t xml:space="preserve">ile competente </w:t>
      </w:r>
      <w:r w:rsidR="00241C39">
        <w:t>ș</w:t>
      </w:r>
      <w:r w:rsidRPr="00AC77E9">
        <w:t>i autorită</w:t>
      </w:r>
      <w:r w:rsidR="00241C39">
        <w:t>ț</w:t>
      </w:r>
      <w:r w:rsidRPr="00AC77E9">
        <w:t>ile de rezolu</w:t>
      </w:r>
      <w:r w:rsidR="00241C39">
        <w:t>ț</w:t>
      </w:r>
      <w:r w:rsidRPr="00AC77E9">
        <w:t>ie, care ar trebui să fie men</w:t>
      </w:r>
      <w:r w:rsidR="00241C39">
        <w:t>ț</w:t>
      </w:r>
      <w:r w:rsidRPr="00AC77E9">
        <w:t>inută, astfel încât autorită</w:t>
      </w:r>
      <w:r w:rsidR="00241C39">
        <w:t>ț</w:t>
      </w:r>
      <w:r w:rsidRPr="00AC77E9">
        <w:t xml:space="preserve">ile competente </w:t>
      </w:r>
      <w:r w:rsidR="00241C39">
        <w:t>ș</w:t>
      </w:r>
      <w:r w:rsidRPr="00AC77E9">
        <w:t>i autorită</w:t>
      </w:r>
      <w:r w:rsidR="00241C39">
        <w:t>ț</w:t>
      </w:r>
      <w:r w:rsidRPr="00AC77E9">
        <w:t>ile de rezolu</w:t>
      </w:r>
      <w:r w:rsidR="00241C39">
        <w:t>ț</w:t>
      </w:r>
      <w:r w:rsidRPr="00AC77E9">
        <w:t>ie să verifice împreună dacă informa</w:t>
      </w:r>
      <w:r w:rsidR="00241C39">
        <w:t>ț</w:t>
      </w:r>
      <w:r w:rsidRPr="00AC77E9">
        <w:t>iile solicitate se află deja, par</w:t>
      </w:r>
      <w:r w:rsidR="00241C39">
        <w:t>ț</w:t>
      </w:r>
      <w:r w:rsidRPr="00AC77E9">
        <w:t>ial sau integral, la dispozi</w:t>
      </w:r>
      <w:r w:rsidR="00241C39">
        <w:t>ț</w:t>
      </w:r>
      <w:r w:rsidRPr="00AC77E9">
        <w:t>ia autorită</w:t>
      </w:r>
      <w:r w:rsidR="00241C39">
        <w:t>ț</w:t>
      </w:r>
      <w:r w:rsidRPr="00AC77E9">
        <w:t>ii competente. În cazul în care informa</w:t>
      </w:r>
      <w:r w:rsidR="00241C39">
        <w:t>ț</w:t>
      </w:r>
      <w:r w:rsidRPr="00AC77E9">
        <w:t>iile se află la dispozi</w:t>
      </w:r>
      <w:r w:rsidR="00241C39">
        <w:t>ț</w:t>
      </w:r>
      <w:r w:rsidRPr="00AC77E9">
        <w:t>ia autorită</w:t>
      </w:r>
      <w:r w:rsidR="00241C39">
        <w:t>ț</w:t>
      </w:r>
      <w:r w:rsidRPr="00AC77E9">
        <w:t>ii competente, este oportun ca aceasta să le transmită în mod direct autorită</w:t>
      </w:r>
      <w:r w:rsidR="00241C39">
        <w:t>ț</w:t>
      </w:r>
      <w:r w:rsidRPr="00AC77E9">
        <w:t>ii de rezolu</w:t>
      </w:r>
      <w:r w:rsidR="00241C39">
        <w:t>ț</w:t>
      </w:r>
      <w:r w:rsidRPr="00AC77E9">
        <w:t>ie.</w:t>
      </w:r>
    </w:p>
    <w:p w:rsidR="007E1AE4" w:rsidRPr="00AC77E9" w:rsidRDefault="007E1AE4" w:rsidP="007E1AE4">
      <w:pPr>
        <w:pStyle w:val="Considrant"/>
      </w:pPr>
      <w:r w:rsidRPr="00AC77E9">
        <w:t xml:space="preserve">Având în vedere amploarea modificărilor necesare a fi aduse Regulamentului de punere în aplicare (UE) </w:t>
      </w:r>
      <w:r w:rsidRPr="005405A2">
        <w:t>2016</w:t>
      </w:r>
      <w:r w:rsidRPr="00AC77E9">
        <w:t>/</w:t>
      </w:r>
      <w:r w:rsidRPr="005405A2">
        <w:t>1066</w:t>
      </w:r>
      <w:r w:rsidRPr="00AC77E9">
        <w:t xml:space="preserve">, este preferabil, din motive de securitate juridică </w:t>
      </w:r>
      <w:r w:rsidR="00241C39">
        <w:t>ș</w:t>
      </w:r>
      <w:r w:rsidRPr="00AC77E9">
        <w:t xml:space="preserve">i de claritate, să se adopte un nou regulament de punere în aplicare </w:t>
      </w:r>
      <w:r w:rsidR="00241C39">
        <w:t>ș</w:t>
      </w:r>
      <w:r w:rsidRPr="00AC77E9">
        <w:t xml:space="preserve">i, prin urmare, să se abroge Regulamentul de punere în aplicare (UE) </w:t>
      </w:r>
      <w:r w:rsidRPr="005405A2">
        <w:t>2016</w:t>
      </w:r>
      <w:r w:rsidRPr="00AC77E9">
        <w:t>/</w:t>
      </w:r>
      <w:r w:rsidRPr="005405A2">
        <w:t>1066</w:t>
      </w:r>
      <w:r w:rsidRPr="00AC77E9">
        <w:t>.</w:t>
      </w:r>
    </w:p>
    <w:p w:rsidR="007E1AE4" w:rsidRPr="00AC77E9" w:rsidRDefault="007E1AE4" w:rsidP="007E1AE4">
      <w:pPr>
        <w:pStyle w:val="Considrant"/>
      </w:pPr>
      <w:r w:rsidRPr="00AC77E9">
        <w:t>Prezentul regulament are la bază standardele tehnice de punere în aplicare transmise Comisiei de către ABE.</w:t>
      </w:r>
    </w:p>
    <w:p w:rsidR="007E1AE4" w:rsidRPr="00AC77E9" w:rsidRDefault="007E1AE4" w:rsidP="007E1AE4">
      <w:pPr>
        <w:pStyle w:val="Considrant"/>
      </w:pPr>
      <w:r w:rsidRPr="00AC77E9">
        <w:t xml:space="preserve">ABE a efectuat consultări publice deschise cu privire la standardele tehnice de punere în aplicare pe care se bazează prezentul regulament, a analizat costurile </w:t>
      </w:r>
      <w:r w:rsidR="00241C39">
        <w:t>ș</w:t>
      </w:r>
      <w:r w:rsidRPr="00AC77E9">
        <w:t>i beneficiile poten</w:t>
      </w:r>
      <w:r w:rsidR="00241C39">
        <w:t>ț</w:t>
      </w:r>
      <w:r w:rsidRPr="00AC77E9">
        <w:t xml:space="preserve">iale aferente </w:t>
      </w:r>
      <w:r w:rsidR="00241C39">
        <w:t>ș</w:t>
      </w:r>
      <w:r w:rsidRPr="00AC77E9">
        <w:t>i a solicitat avizul Grupului păr</w:t>
      </w:r>
      <w:r w:rsidR="00241C39">
        <w:t>ț</w:t>
      </w:r>
      <w:r w:rsidRPr="00AC77E9">
        <w:t>ilor interesate din domeniul bancar, instituit în conformitate cu articolul </w:t>
      </w:r>
      <w:r w:rsidRPr="005405A2">
        <w:t>37</w:t>
      </w:r>
      <w:r w:rsidRPr="00AC77E9">
        <w:t xml:space="preserve"> din Regulamentul (UE) nr. </w:t>
      </w:r>
      <w:r w:rsidRPr="005405A2">
        <w:t>1093</w:t>
      </w:r>
      <w:r w:rsidRPr="00AC77E9">
        <w:t>/</w:t>
      </w:r>
      <w:r w:rsidRPr="005405A2">
        <w:t>2010</w:t>
      </w:r>
      <w:r w:rsidRPr="00AC77E9">
        <w:t xml:space="preserve"> al Parlamentului European </w:t>
      </w:r>
      <w:r w:rsidR="00241C39">
        <w:t>ș</w:t>
      </w:r>
      <w:r w:rsidRPr="00AC77E9">
        <w:t>i al Consiliului</w:t>
      </w:r>
      <w:r w:rsidRPr="00AC77E9">
        <w:rPr>
          <w:rStyle w:val="FootnoteReference"/>
        </w:rPr>
        <w:footnoteReference w:id="4"/>
      </w:r>
      <w:r w:rsidRPr="00AC77E9">
        <w:t>,</w:t>
      </w:r>
    </w:p>
    <w:p w:rsidR="007E1AE4" w:rsidRPr="00AC77E9" w:rsidRDefault="007E1AE4" w:rsidP="007E1AE4">
      <w:pPr>
        <w:pStyle w:val="Formuledadoption"/>
        <w:rPr>
          <w:color w:val="000000" w:themeColor="text1"/>
        </w:rPr>
      </w:pPr>
      <w:r w:rsidRPr="00AC77E9">
        <w:rPr>
          <w:color w:val="000000" w:themeColor="text1"/>
        </w:rPr>
        <w:t>ADOPTĂ PREZENTUL REGULAMENT:</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1</w:t>
      </w:r>
      <w:r w:rsidRPr="00AC77E9">
        <w:rPr>
          <w:color w:val="000000" w:themeColor="text1"/>
        </w:rPr>
        <w:t xml:space="preserve"> </w:t>
      </w:r>
      <w:r w:rsidRPr="00AC77E9">
        <w:rPr>
          <w:color w:val="000000" w:themeColor="text1"/>
        </w:rPr>
        <w:br/>
        <w:t>Obiect</w:t>
      </w:r>
    </w:p>
    <w:p w:rsidR="007E1AE4" w:rsidRPr="00AC77E9" w:rsidRDefault="007E1AE4" w:rsidP="007E1AE4">
      <w:r w:rsidRPr="00AC77E9">
        <w:t>Prezentul regulament stabile</w:t>
      </w:r>
      <w:r w:rsidR="00241C39">
        <w:t>ș</w:t>
      </w:r>
      <w:r w:rsidRPr="00AC77E9">
        <w:t xml:space="preserve">te standarde tehnice de punere în aplicare care specifică procedurile </w:t>
      </w:r>
      <w:r w:rsidR="00241C39">
        <w:t>ș</w:t>
      </w:r>
      <w:r w:rsidRPr="00AC77E9">
        <w:t>i un set minim de machete standard pentru transmiterea către autorită</w:t>
      </w:r>
      <w:r w:rsidR="00241C39">
        <w:t>ț</w:t>
      </w:r>
      <w:r w:rsidRPr="00AC77E9">
        <w:t>ile de rezolu</w:t>
      </w:r>
      <w:r w:rsidR="00241C39">
        <w:t>ț</w:t>
      </w:r>
      <w:r w:rsidRPr="00AC77E9">
        <w:t>ie a informa</w:t>
      </w:r>
      <w:r w:rsidR="00241C39">
        <w:t>ț</w:t>
      </w:r>
      <w:r w:rsidRPr="00AC77E9">
        <w:t xml:space="preserve">iilor necesare elaborării </w:t>
      </w:r>
      <w:r w:rsidR="00241C39">
        <w:t>ș</w:t>
      </w:r>
      <w:r w:rsidRPr="00AC77E9">
        <w:t>i punerii în aplicare a planurilor de rezolu</w:t>
      </w:r>
      <w:r w:rsidR="00241C39">
        <w:t>ț</w:t>
      </w:r>
      <w:r w:rsidRPr="00AC77E9">
        <w:t>ie individualizate, în conformitate cu articolul </w:t>
      </w:r>
      <w:r w:rsidRPr="005405A2">
        <w:t>11</w:t>
      </w:r>
      <w:r w:rsidRPr="00AC77E9">
        <w:t xml:space="preserve"> din Directiva </w:t>
      </w:r>
      <w:r w:rsidRPr="005405A2">
        <w:t>2014</w:t>
      </w:r>
      <w:r w:rsidRPr="00AC77E9">
        <w:t>/</w:t>
      </w:r>
      <w:r w:rsidRPr="005405A2">
        <w:t>59</w:t>
      </w:r>
      <w:r w:rsidRPr="00AC77E9">
        <w:t xml:space="preserve">/UE, precum </w:t>
      </w:r>
      <w:r w:rsidR="00241C39">
        <w:t>ș</w:t>
      </w:r>
      <w:r w:rsidRPr="00AC77E9">
        <w:t>i a planurilor de rezolu</w:t>
      </w:r>
      <w:r w:rsidR="00241C39">
        <w:t>ț</w:t>
      </w:r>
      <w:r w:rsidRPr="00AC77E9">
        <w:t>ie a grupurilor, în conformitate cu articolul </w:t>
      </w:r>
      <w:r w:rsidRPr="005405A2">
        <w:t>13</w:t>
      </w:r>
      <w:r w:rsidRPr="00AC77E9">
        <w:t xml:space="preserve"> din directiva respectivă.</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2</w:t>
      </w:r>
      <w:r w:rsidRPr="00AC77E9">
        <w:rPr>
          <w:color w:val="000000" w:themeColor="text1"/>
        </w:rPr>
        <w:t xml:space="preserve"> </w:t>
      </w:r>
      <w:r w:rsidRPr="00AC77E9">
        <w:rPr>
          <w:color w:val="000000" w:themeColor="text1"/>
        </w:rPr>
        <w:br/>
        <w:t>Defini</w:t>
      </w:r>
      <w:r w:rsidR="00241C39">
        <w:rPr>
          <w:color w:val="000000" w:themeColor="text1"/>
        </w:rPr>
        <w:t>ț</w:t>
      </w:r>
      <w:r w:rsidRPr="00AC77E9">
        <w:rPr>
          <w:color w:val="000000" w:themeColor="text1"/>
        </w:rPr>
        <w:t>ii</w:t>
      </w:r>
    </w:p>
    <w:p w:rsidR="007E1AE4" w:rsidRPr="00AC77E9" w:rsidRDefault="007E1AE4" w:rsidP="007E1AE4">
      <w:r w:rsidRPr="00AC77E9">
        <w:t>În sensul prezentului regulament se aplică următoarele defini</w:t>
      </w:r>
      <w:r w:rsidR="00241C39">
        <w:t>ț</w:t>
      </w:r>
      <w:r w:rsidRPr="00AC77E9">
        <w:t>ii:</w:t>
      </w:r>
    </w:p>
    <w:p w:rsidR="00F14DE3" w:rsidRPr="00AC77E9" w:rsidRDefault="00AD470D" w:rsidP="00440366">
      <w:pPr>
        <w:pStyle w:val="Point0number"/>
        <w:numPr>
          <w:ilvl w:val="0"/>
          <w:numId w:val="8"/>
        </w:numPr>
      </w:pPr>
      <w:r w:rsidRPr="00AC77E9">
        <w:t>„entitate supusă rezolu</w:t>
      </w:r>
      <w:r w:rsidR="00241C39">
        <w:t>ț</w:t>
      </w:r>
      <w:r w:rsidRPr="00AC77E9">
        <w:t>iei” înseamnă oricare dintre următoarele:</w:t>
      </w:r>
    </w:p>
    <w:p w:rsidR="00AD470D" w:rsidRPr="00AC77E9" w:rsidRDefault="00AD470D" w:rsidP="0051415A">
      <w:pPr>
        <w:pStyle w:val="Point2letter"/>
      </w:pPr>
      <w:r w:rsidRPr="00AC77E9">
        <w:t>o entitate stabilită în Uniune, pe care autoritatea de rezolu</w:t>
      </w:r>
      <w:r w:rsidR="00241C39">
        <w:t>ț</w:t>
      </w:r>
      <w:r w:rsidRPr="00AC77E9">
        <w:t>ie a identificat-o, în conformitate cu articolul </w:t>
      </w:r>
      <w:r w:rsidRPr="005405A2">
        <w:t>12</w:t>
      </w:r>
      <w:r w:rsidRPr="00AC77E9">
        <w:t xml:space="preserve"> din Directiva </w:t>
      </w:r>
      <w:r w:rsidRPr="005405A2">
        <w:t>2014</w:t>
      </w:r>
      <w:r w:rsidRPr="00AC77E9">
        <w:t>/</w:t>
      </w:r>
      <w:r w:rsidRPr="005405A2">
        <w:t>59</w:t>
      </w:r>
      <w:r w:rsidRPr="00AC77E9">
        <w:t>/UE, ca entitate în privin</w:t>
      </w:r>
      <w:r w:rsidR="00241C39">
        <w:t>ț</w:t>
      </w:r>
      <w:r w:rsidRPr="00AC77E9">
        <w:t>a căreia planul de rezolu</w:t>
      </w:r>
      <w:r w:rsidR="00241C39">
        <w:t>ț</w:t>
      </w:r>
      <w:r w:rsidRPr="00AC77E9">
        <w:t>ie prevede măsuri de rezolu</w:t>
      </w:r>
      <w:r w:rsidR="00241C39">
        <w:t>ț</w:t>
      </w:r>
      <w:r w:rsidRPr="00AC77E9">
        <w:t>ie sau</w:t>
      </w:r>
    </w:p>
    <w:p w:rsidR="00AD470D" w:rsidRPr="00AC77E9" w:rsidRDefault="00AD470D" w:rsidP="00CA51B8">
      <w:pPr>
        <w:pStyle w:val="Point2letter"/>
      </w:pPr>
      <w:r w:rsidRPr="00AC77E9">
        <w:t>o institu</w:t>
      </w:r>
      <w:r w:rsidR="00241C39">
        <w:t>ț</w:t>
      </w:r>
      <w:r w:rsidRPr="00AC77E9">
        <w:t xml:space="preserve">ie care nu face parte dintr-un grup supus supravegherii consolidate în temeiul articolelor </w:t>
      </w:r>
      <w:r w:rsidRPr="005405A2">
        <w:t>111</w:t>
      </w:r>
      <w:r w:rsidRPr="00AC77E9">
        <w:t xml:space="preserve"> </w:t>
      </w:r>
      <w:r w:rsidR="00241C39">
        <w:t>ș</w:t>
      </w:r>
      <w:r w:rsidRPr="00AC77E9">
        <w:t xml:space="preserve">i </w:t>
      </w:r>
      <w:r w:rsidRPr="005405A2">
        <w:t>112</w:t>
      </w:r>
      <w:r w:rsidRPr="00AC77E9">
        <w:t xml:space="preserve"> din Directiva </w:t>
      </w:r>
      <w:r w:rsidRPr="005405A2">
        <w:t>2013</w:t>
      </w:r>
      <w:r w:rsidRPr="00AC77E9">
        <w:t>/</w:t>
      </w:r>
      <w:r w:rsidRPr="005405A2">
        <w:t>36</w:t>
      </w:r>
      <w:r w:rsidRPr="00AC77E9">
        <w:t>/UE, în privin</w:t>
      </w:r>
      <w:r w:rsidR="00241C39">
        <w:t>ț</w:t>
      </w:r>
      <w:r w:rsidRPr="00AC77E9">
        <w:t>a căreia planul de rezolu</w:t>
      </w:r>
      <w:r w:rsidR="00241C39">
        <w:t>ț</w:t>
      </w:r>
      <w:r w:rsidRPr="00AC77E9">
        <w:t>ie elaborat în temeiul articolului </w:t>
      </w:r>
      <w:r w:rsidRPr="005405A2">
        <w:t>10</w:t>
      </w:r>
      <w:r w:rsidRPr="00AC77E9">
        <w:t xml:space="preserve"> din Directiva </w:t>
      </w:r>
      <w:r w:rsidRPr="005405A2">
        <w:t>2014</w:t>
      </w:r>
      <w:r w:rsidRPr="00AC77E9">
        <w:t>/</w:t>
      </w:r>
      <w:r w:rsidRPr="005405A2">
        <w:t>59</w:t>
      </w:r>
      <w:r w:rsidRPr="00AC77E9">
        <w:t>/UE prevede măsuri de rezolu</w:t>
      </w:r>
      <w:r w:rsidR="00241C39">
        <w:t>ț</w:t>
      </w:r>
      <w:r w:rsidRPr="00AC77E9">
        <w:t>ie;</w:t>
      </w:r>
    </w:p>
    <w:p w:rsidR="00AD470D" w:rsidRPr="00AC77E9" w:rsidRDefault="00AD470D" w:rsidP="00440366">
      <w:pPr>
        <w:pStyle w:val="Point0number"/>
        <w:numPr>
          <w:ilvl w:val="0"/>
          <w:numId w:val="8"/>
        </w:numPr>
        <w:rPr>
          <w:szCs w:val="24"/>
        </w:rPr>
      </w:pPr>
      <w:r w:rsidRPr="00AC77E9">
        <w:t>„grup supus rezolu</w:t>
      </w:r>
      <w:r w:rsidR="00241C39">
        <w:t>ț</w:t>
      </w:r>
      <w:r w:rsidRPr="00AC77E9">
        <w:t>iei” înseamnă oricare dintre următoarele:</w:t>
      </w:r>
    </w:p>
    <w:p w:rsidR="00AD470D" w:rsidRPr="00AC77E9" w:rsidRDefault="00AD470D" w:rsidP="00AE1240">
      <w:pPr>
        <w:pStyle w:val="Point1letter"/>
      </w:pPr>
      <w:r w:rsidRPr="00AC77E9">
        <w:t>o entitate supusă rezolu</w:t>
      </w:r>
      <w:r w:rsidR="00241C39">
        <w:t>ț</w:t>
      </w:r>
      <w:r w:rsidRPr="00AC77E9">
        <w:t xml:space="preserve">iei </w:t>
      </w:r>
      <w:r w:rsidR="00241C39">
        <w:t>ș</w:t>
      </w:r>
      <w:r w:rsidRPr="00AC77E9">
        <w:t>i filialele sale care nu sunt:</w:t>
      </w:r>
    </w:p>
    <w:p w:rsidR="00AD470D" w:rsidRPr="00AC77E9" w:rsidRDefault="00AD470D" w:rsidP="00AE1240">
      <w:pPr>
        <w:pStyle w:val="Point3"/>
      </w:pPr>
      <w:r w:rsidRPr="00AC77E9">
        <w:t>(i) ele însele entită</w:t>
      </w:r>
      <w:r w:rsidR="00241C39">
        <w:t>ț</w:t>
      </w:r>
      <w:r w:rsidRPr="00AC77E9">
        <w:t>i supuse rezolu</w:t>
      </w:r>
      <w:r w:rsidR="00241C39">
        <w:t>ț</w:t>
      </w:r>
      <w:r w:rsidRPr="00AC77E9">
        <w:t>iei sau</w:t>
      </w:r>
    </w:p>
    <w:p w:rsidR="00AD470D" w:rsidRPr="00AC77E9" w:rsidRDefault="00AD470D" w:rsidP="0051415A">
      <w:pPr>
        <w:pStyle w:val="Point3"/>
      </w:pPr>
      <w:r w:rsidRPr="00AC77E9">
        <w:t>(ii) filiale ale altor entită</w:t>
      </w:r>
      <w:r w:rsidR="00241C39">
        <w:t>ț</w:t>
      </w:r>
      <w:r w:rsidRPr="00AC77E9">
        <w:t>i supuse rezolu</w:t>
      </w:r>
      <w:r w:rsidR="00241C39">
        <w:t>ț</w:t>
      </w:r>
      <w:r w:rsidRPr="00AC77E9">
        <w:t>iei sau</w:t>
      </w:r>
    </w:p>
    <w:p w:rsidR="006D0EA9" w:rsidRPr="00AC77E9" w:rsidRDefault="00AD470D" w:rsidP="0051415A">
      <w:pPr>
        <w:pStyle w:val="Point3"/>
      </w:pPr>
      <w:r w:rsidRPr="00AC77E9">
        <w:t>(iii) entită</w:t>
      </w:r>
      <w:r w:rsidR="00241C39">
        <w:t>ț</w:t>
      </w:r>
      <w:r w:rsidRPr="00AC77E9">
        <w:t xml:space="preserve">i stabilite într-o </w:t>
      </w:r>
      <w:r w:rsidR="00241C39">
        <w:t>ț</w:t>
      </w:r>
      <w:r w:rsidRPr="00AC77E9">
        <w:t>ară ter</w:t>
      </w:r>
      <w:r w:rsidR="00241C39">
        <w:t>ț</w:t>
      </w:r>
      <w:r w:rsidRPr="00AC77E9">
        <w:t>ă care nu sunt incluse în grupul supus rezolu</w:t>
      </w:r>
      <w:r w:rsidR="00241C39">
        <w:t>ț</w:t>
      </w:r>
      <w:r w:rsidRPr="00AC77E9">
        <w:t>iei în conformitate cu planul de rezolu</w:t>
      </w:r>
      <w:r w:rsidR="00241C39">
        <w:t>ț</w:t>
      </w:r>
      <w:r w:rsidRPr="00AC77E9">
        <w:t xml:space="preserve">ie </w:t>
      </w:r>
      <w:r w:rsidR="00241C39">
        <w:t>ș</w:t>
      </w:r>
      <w:r w:rsidRPr="00AC77E9">
        <w:t>i filialele lor;</w:t>
      </w:r>
    </w:p>
    <w:p w:rsidR="00AD470D" w:rsidRPr="00AC77E9" w:rsidRDefault="00AD470D" w:rsidP="0051415A">
      <w:pPr>
        <w:pStyle w:val="Point1letter"/>
      </w:pPr>
      <w:r w:rsidRPr="00AC77E9">
        <w:t>institu</w:t>
      </w:r>
      <w:r w:rsidR="00241C39">
        <w:t>ț</w:t>
      </w:r>
      <w:r w:rsidRPr="00AC77E9">
        <w:t xml:space="preserve">iile de credit afiliate în mod permanent unui organism central, organismul central </w:t>
      </w:r>
      <w:r w:rsidR="00241C39">
        <w:t>ș</w:t>
      </w:r>
      <w:r w:rsidRPr="00AC77E9">
        <w:t>i orice institu</w:t>
      </w:r>
      <w:r w:rsidR="00241C39">
        <w:t>ț</w:t>
      </w:r>
      <w:r w:rsidRPr="00AC77E9">
        <w:t>ie aflată sub controlul organismului central atunci când una dintre entită</w:t>
      </w:r>
      <w:r w:rsidR="00241C39">
        <w:t>ț</w:t>
      </w:r>
      <w:r w:rsidRPr="00AC77E9">
        <w:t>ile respective este o entitate supusă rezolu</w:t>
      </w:r>
      <w:r w:rsidR="00241C39">
        <w:t>ț</w:t>
      </w:r>
      <w:r w:rsidRPr="00AC77E9">
        <w:t>iei;</w:t>
      </w:r>
    </w:p>
    <w:p w:rsidR="007E1AE4" w:rsidRPr="00AC77E9" w:rsidRDefault="007E1AE4" w:rsidP="00AE1240">
      <w:pPr>
        <w:pStyle w:val="Point0number"/>
      </w:pPr>
      <w:r w:rsidRPr="00AC77E9">
        <w:t>„institu</w:t>
      </w:r>
      <w:r w:rsidR="00241C39">
        <w:t>ț</w:t>
      </w:r>
      <w:r w:rsidRPr="00AC77E9">
        <w:t>ie din grup” înseamnă o entitate din grup care este o institu</w:t>
      </w:r>
      <w:r w:rsidR="00241C39">
        <w:t>ț</w:t>
      </w:r>
      <w:r w:rsidRPr="00AC77E9">
        <w:t>ie de credit sau o firmă de investi</w:t>
      </w:r>
      <w:r w:rsidR="00241C39">
        <w:t>ț</w:t>
      </w:r>
      <w:r w:rsidRPr="00AC77E9">
        <w:t>ii;</w:t>
      </w:r>
    </w:p>
    <w:p w:rsidR="00F80209" w:rsidRPr="00AC77E9" w:rsidRDefault="00F80209" w:rsidP="00AE1240">
      <w:pPr>
        <w:pStyle w:val="Point0number"/>
      </w:pPr>
      <w:r w:rsidRPr="00AC77E9">
        <w:t>„entitate juridică relevantă” înseamnă o entitate din grup care fie:</w:t>
      </w:r>
    </w:p>
    <w:p w:rsidR="00F80209" w:rsidRPr="00AC77E9" w:rsidRDefault="00F80209" w:rsidP="00AE1240">
      <w:pPr>
        <w:pStyle w:val="Point2letter"/>
      </w:pPr>
      <w:r w:rsidRPr="00AC77E9">
        <w:t>asigură func</w:t>
      </w:r>
      <w:r w:rsidR="00241C39">
        <w:t>ț</w:t>
      </w:r>
      <w:r w:rsidRPr="00AC77E9">
        <w:t>ii critice, fie</w:t>
      </w:r>
    </w:p>
    <w:p w:rsidR="00F80209" w:rsidRPr="00AC77E9" w:rsidRDefault="00F80209" w:rsidP="00AE1240">
      <w:pPr>
        <w:pStyle w:val="Point2letter"/>
      </w:pPr>
      <w:r w:rsidRPr="00AC77E9">
        <w:t xml:space="preserve">reprezintă sau furnizează peste </w:t>
      </w:r>
      <w:r w:rsidRPr="005405A2">
        <w:t>5</w:t>
      </w:r>
      <w:r w:rsidRPr="00AC77E9">
        <w:t> % din oricare dintre următoarele:</w:t>
      </w:r>
    </w:p>
    <w:p w:rsidR="00F80209" w:rsidRPr="00AC77E9" w:rsidRDefault="00F80209" w:rsidP="00AE1240">
      <w:pPr>
        <w:pStyle w:val="Point3"/>
        <w:ind w:left="2268" w:hanging="284"/>
        <w:rPr>
          <w:rStyle w:val="Strong"/>
          <w:b w:val="0"/>
          <w:color w:val="444444"/>
          <w:szCs w:val="24"/>
        </w:rPr>
      </w:pPr>
      <w:r w:rsidRPr="00AC77E9">
        <w:t>(i) cuantumul total al expunerii la risc a grupului, men</w:t>
      </w:r>
      <w:r w:rsidR="00241C39">
        <w:t>ț</w:t>
      </w:r>
      <w:r w:rsidRPr="00AC77E9">
        <w:t>ionat la articolul </w:t>
      </w:r>
      <w:r w:rsidRPr="005405A2">
        <w:t>92</w:t>
      </w:r>
      <w:r w:rsidRPr="00AC77E9">
        <w:t xml:space="preserve"> alineatul (</w:t>
      </w:r>
      <w:r w:rsidRPr="005405A2">
        <w:t>3</w:t>
      </w:r>
      <w:r w:rsidRPr="00AC77E9">
        <w:t>) din Regulamentul (UE) nr. </w:t>
      </w:r>
      <w:r w:rsidRPr="005405A2">
        <w:t>575</w:t>
      </w:r>
      <w:r w:rsidRPr="00AC77E9">
        <w:t>/</w:t>
      </w:r>
      <w:r w:rsidRPr="005405A2">
        <w:t>2013</w:t>
      </w:r>
      <w:r w:rsidRPr="00AC77E9">
        <w:t xml:space="preserve"> </w:t>
      </w:r>
      <w:r w:rsidRPr="00AC77E9">
        <w:rPr>
          <w:rStyle w:val="Strong"/>
          <w:b w:val="0"/>
          <w:color w:val="444444"/>
        </w:rPr>
        <w:t xml:space="preserve">al Parlamentului European </w:t>
      </w:r>
      <w:r w:rsidR="00241C39">
        <w:rPr>
          <w:rStyle w:val="Strong"/>
          <w:b w:val="0"/>
          <w:color w:val="444444"/>
        </w:rPr>
        <w:t>ș</w:t>
      </w:r>
      <w:r w:rsidRPr="00AC77E9">
        <w:rPr>
          <w:rStyle w:val="Strong"/>
          <w:b w:val="0"/>
          <w:color w:val="444444"/>
        </w:rPr>
        <w:t>i al Consiliului</w:t>
      </w:r>
      <w:r w:rsidRPr="00AC77E9">
        <w:rPr>
          <w:rStyle w:val="FootnoteReference"/>
          <w:color w:val="444444"/>
        </w:rPr>
        <w:footnoteReference w:id="5"/>
      </w:r>
      <w:r w:rsidRPr="00AC77E9">
        <w:rPr>
          <w:rStyle w:val="Strong"/>
          <w:b w:val="0"/>
          <w:color w:val="444444"/>
        </w:rPr>
        <w:t>;</w:t>
      </w:r>
    </w:p>
    <w:p w:rsidR="00F80209" w:rsidRPr="00AC77E9" w:rsidRDefault="00F80209" w:rsidP="00AE1240">
      <w:pPr>
        <w:pStyle w:val="Point3"/>
        <w:ind w:left="2410" w:hanging="426"/>
      </w:pPr>
      <w:r w:rsidRPr="00AC77E9">
        <w:rPr>
          <w:rStyle w:val="Strong"/>
          <w:b w:val="0"/>
          <w:color w:val="444444"/>
        </w:rPr>
        <w:t>(ii)</w:t>
      </w:r>
      <w:r w:rsidRPr="00AC77E9">
        <w:t xml:space="preserve"> indicatorul de măsurare a expunerii totale a grupului utilizat pentru calcularea indicatorului efectului de levier, men</w:t>
      </w:r>
      <w:r w:rsidR="00241C39">
        <w:t>ț</w:t>
      </w:r>
      <w:r w:rsidRPr="00AC77E9">
        <w:t>ionat la articolul </w:t>
      </w:r>
      <w:r w:rsidRPr="005405A2">
        <w:t>429</w:t>
      </w:r>
      <w:r w:rsidRPr="00AC77E9">
        <w:t xml:space="preserve"> alineatul (</w:t>
      </w:r>
      <w:r w:rsidRPr="005405A2">
        <w:t>4</w:t>
      </w:r>
      <w:r w:rsidRPr="00AC77E9">
        <w:t>) din Regulamentul (UE) nr. </w:t>
      </w:r>
      <w:r w:rsidRPr="005405A2">
        <w:t>575</w:t>
      </w:r>
      <w:r w:rsidRPr="00AC77E9">
        <w:t>/</w:t>
      </w:r>
      <w:r w:rsidRPr="005405A2">
        <w:t>2013</w:t>
      </w:r>
      <w:r w:rsidRPr="00AC77E9">
        <w:t>;</w:t>
      </w:r>
    </w:p>
    <w:p w:rsidR="001150B6" w:rsidRPr="00AC77E9" w:rsidRDefault="00F80209" w:rsidP="00AE1240">
      <w:pPr>
        <w:pStyle w:val="Point3"/>
      </w:pPr>
      <w:r w:rsidRPr="00AC77E9">
        <w:t>(iii) veniturile din exploatare ale grupului pe bază consolidată.</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3</w:t>
      </w:r>
      <w:r w:rsidRPr="00AC77E9">
        <w:rPr>
          <w:color w:val="000000" w:themeColor="text1"/>
        </w:rPr>
        <w:br/>
        <w:t>Furnizarea de informa</w:t>
      </w:r>
      <w:r w:rsidR="00241C39">
        <w:rPr>
          <w:color w:val="000000" w:themeColor="text1"/>
        </w:rPr>
        <w:t>ț</w:t>
      </w:r>
      <w:r w:rsidRPr="00AC77E9">
        <w:rPr>
          <w:color w:val="000000" w:themeColor="text1"/>
        </w:rPr>
        <w:t>ii de bază în vederea planurilor de rezolu</w:t>
      </w:r>
      <w:r w:rsidR="00241C39">
        <w:rPr>
          <w:color w:val="000000" w:themeColor="text1"/>
        </w:rPr>
        <w:t>ț</w:t>
      </w:r>
      <w:r w:rsidRPr="00AC77E9">
        <w:rPr>
          <w:color w:val="000000" w:themeColor="text1"/>
        </w:rPr>
        <w:t xml:space="preserve">ie individualizate </w:t>
      </w:r>
      <w:r w:rsidR="00241C39">
        <w:rPr>
          <w:color w:val="000000" w:themeColor="text1"/>
        </w:rPr>
        <w:t>ș</w:t>
      </w:r>
      <w:r w:rsidRPr="00AC77E9">
        <w:rPr>
          <w:color w:val="000000" w:themeColor="text1"/>
        </w:rPr>
        <w:t>i a planurilor de rezolu</w:t>
      </w:r>
      <w:r w:rsidR="00241C39">
        <w:rPr>
          <w:color w:val="000000" w:themeColor="text1"/>
        </w:rPr>
        <w:t>ț</w:t>
      </w:r>
      <w:r w:rsidRPr="00AC77E9">
        <w:rPr>
          <w:color w:val="000000" w:themeColor="text1"/>
        </w:rPr>
        <w:t>ie a grupurilor</w:t>
      </w:r>
    </w:p>
    <w:p w:rsidR="007E1AE4" w:rsidRPr="00AC77E9" w:rsidRDefault="005062D8" w:rsidP="00440366">
      <w:pPr>
        <w:pStyle w:val="NumPar1"/>
        <w:numPr>
          <w:ilvl w:val="0"/>
          <w:numId w:val="9"/>
        </w:numPr>
        <w:rPr>
          <w:color w:val="000000" w:themeColor="text1"/>
        </w:rPr>
      </w:pPr>
      <w:r w:rsidRPr="00AC77E9">
        <w:rPr>
          <w:color w:val="000000" w:themeColor="text1"/>
        </w:rPr>
        <w:t>Institu</w:t>
      </w:r>
      <w:r w:rsidR="00241C39">
        <w:rPr>
          <w:color w:val="000000" w:themeColor="text1"/>
        </w:rPr>
        <w:t>ț</w:t>
      </w:r>
      <w:r w:rsidRPr="00AC77E9">
        <w:rPr>
          <w:color w:val="000000" w:themeColor="text1"/>
        </w:rPr>
        <w:t xml:space="preserve">iile </w:t>
      </w:r>
      <w:r w:rsidR="00241C39">
        <w:rPr>
          <w:color w:val="000000" w:themeColor="text1"/>
        </w:rPr>
        <w:t>ș</w:t>
      </w:r>
      <w:r w:rsidRPr="00AC77E9">
        <w:rPr>
          <w:color w:val="000000" w:themeColor="text1"/>
        </w:rPr>
        <w:t>i, în cazul grupurilor, întreprinderile-mamă din Uniune transmit autorită</w:t>
      </w:r>
      <w:r w:rsidR="00241C39">
        <w:rPr>
          <w:color w:val="000000" w:themeColor="text1"/>
        </w:rPr>
        <w:t>ț</w:t>
      </w:r>
      <w:r w:rsidRPr="00AC77E9">
        <w:rPr>
          <w:color w:val="000000" w:themeColor="text1"/>
        </w:rPr>
        <w:t>ilor de rezolu</w:t>
      </w:r>
      <w:r w:rsidR="00241C39">
        <w:rPr>
          <w:color w:val="000000" w:themeColor="text1"/>
        </w:rPr>
        <w:t>ț</w:t>
      </w:r>
      <w:r w:rsidRPr="00AC77E9">
        <w:rPr>
          <w:color w:val="000000" w:themeColor="text1"/>
        </w:rPr>
        <w:t>ie, fie direct, fie prin intermediul autorită</w:t>
      </w:r>
      <w:r w:rsidR="00241C39">
        <w:rPr>
          <w:color w:val="000000" w:themeColor="text1"/>
        </w:rPr>
        <w:t>ț</w:t>
      </w:r>
      <w:r w:rsidRPr="00AC77E9">
        <w:rPr>
          <w:color w:val="000000" w:themeColor="text1"/>
        </w:rPr>
        <w:t>ii competente, informa</w:t>
      </w:r>
      <w:r w:rsidR="00241C39">
        <w:rPr>
          <w:color w:val="000000" w:themeColor="text1"/>
        </w:rPr>
        <w:t>ț</w:t>
      </w:r>
      <w:r w:rsidRPr="00AC77E9">
        <w:rPr>
          <w:color w:val="000000" w:themeColor="text1"/>
        </w:rPr>
        <w:t>iile specificate în machetele prevăzute în anexa I, în conformitate cu nivelul de consolidare a informa</w:t>
      </w:r>
      <w:r w:rsidR="00241C39">
        <w:rPr>
          <w:color w:val="000000" w:themeColor="text1"/>
        </w:rPr>
        <w:t>ț</w:t>
      </w:r>
      <w:r w:rsidRPr="00AC77E9">
        <w:rPr>
          <w:color w:val="000000" w:themeColor="text1"/>
        </w:rPr>
        <w:t>iilor, frecven</w:t>
      </w:r>
      <w:r w:rsidR="00241C39">
        <w:rPr>
          <w:color w:val="000000" w:themeColor="text1"/>
        </w:rPr>
        <w:t>ț</w:t>
      </w:r>
      <w:r w:rsidRPr="00AC77E9">
        <w:rPr>
          <w:color w:val="000000" w:themeColor="text1"/>
        </w:rPr>
        <w:t xml:space="preserve">a </w:t>
      </w:r>
      <w:r w:rsidR="00241C39">
        <w:rPr>
          <w:color w:val="000000" w:themeColor="text1"/>
        </w:rPr>
        <w:t>ș</w:t>
      </w:r>
      <w:r w:rsidRPr="00AC77E9">
        <w:rPr>
          <w:color w:val="000000" w:themeColor="text1"/>
        </w:rPr>
        <w:t xml:space="preserve">i formatul prevăzute la articolele </w:t>
      </w:r>
      <w:r w:rsidRPr="005405A2">
        <w:rPr>
          <w:color w:val="000000" w:themeColor="text1"/>
        </w:rPr>
        <w:t>4</w:t>
      </w:r>
      <w:r w:rsidRPr="00AC77E9">
        <w:rPr>
          <w:color w:val="000000" w:themeColor="text1"/>
        </w:rPr>
        <w:t xml:space="preserve">, </w:t>
      </w:r>
      <w:r w:rsidRPr="005405A2">
        <w:rPr>
          <w:color w:val="000000" w:themeColor="text1"/>
        </w:rPr>
        <w:t>5</w:t>
      </w:r>
      <w:r w:rsidRPr="00AC77E9">
        <w:rPr>
          <w:color w:val="000000" w:themeColor="text1"/>
        </w:rPr>
        <w:t xml:space="preserve"> </w:t>
      </w:r>
      <w:r w:rsidR="00241C39">
        <w:rPr>
          <w:color w:val="000000" w:themeColor="text1"/>
        </w:rPr>
        <w:t>ș</w:t>
      </w:r>
      <w:r w:rsidRPr="00AC77E9">
        <w:rPr>
          <w:color w:val="000000" w:themeColor="text1"/>
        </w:rPr>
        <w:t xml:space="preserve">i, respectiv, </w:t>
      </w:r>
      <w:r w:rsidRPr="005405A2">
        <w:rPr>
          <w:color w:val="000000" w:themeColor="text1"/>
        </w:rPr>
        <w:t>6</w:t>
      </w:r>
      <w:r w:rsidRPr="00AC77E9">
        <w:rPr>
          <w:color w:val="000000" w:themeColor="text1"/>
        </w:rPr>
        <w:t xml:space="preserve"> </w:t>
      </w:r>
      <w:r w:rsidR="00241C39">
        <w:rPr>
          <w:color w:val="000000" w:themeColor="text1"/>
        </w:rPr>
        <w:t>ș</w:t>
      </w:r>
      <w:r w:rsidRPr="00AC77E9">
        <w:rPr>
          <w:color w:val="000000" w:themeColor="text1"/>
        </w:rPr>
        <w:t>i respectând instruc</w:t>
      </w:r>
      <w:r w:rsidR="00241C39">
        <w:rPr>
          <w:color w:val="000000" w:themeColor="text1"/>
        </w:rPr>
        <w:t>ț</w:t>
      </w:r>
      <w:r w:rsidRPr="00AC77E9">
        <w:rPr>
          <w:color w:val="000000" w:themeColor="text1"/>
        </w:rPr>
        <w:t>iunile prevăzute în anexa II.</w:t>
      </w:r>
    </w:p>
    <w:p w:rsidR="007E1AE4" w:rsidRPr="00AC77E9" w:rsidRDefault="007E1AE4" w:rsidP="007E1AE4">
      <w:pPr>
        <w:pStyle w:val="NumPar1"/>
        <w:rPr>
          <w:color w:val="000000" w:themeColor="text1"/>
        </w:rPr>
      </w:pPr>
      <w:r w:rsidRPr="00AC77E9">
        <w:rPr>
          <w:color w:val="000000" w:themeColor="text1"/>
        </w:rPr>
        <w:t>În cazul în care o autoritate de rezolu</w:t>
      </w:r>
      <w:r w:rsidR="00241C39">
        <w:rPr>
          <w:color w:val="000000" w:themeColor="text1"/>
        </w:rPr>
        <w:t>ț</w:t>
      </w:r>
      <w:r w:rsidRPr="00AC77E9">
        <w:rPr>
          <w:color w:val="000000" w:themeColor="text1"/>
        </w:rPr>
        <w:t>ie sau, în cazul grupurilor, o autoritate de rezolu</w:t>
      </w:r>
      <w:r w:rsidR="00241C39">
        <w:rPr>
          <w:color w:val="000000" w:themeColor="text1"/>
        </w:rPr>
        <w:t>ț</w:t>
      </w:r>
      <w:r w:rsidRPr="00AC77E9">
        <w:rPr>
          <w:color w:val="000000" w:themeColor="text1"/>
        </w:rPr>
        <w:t>ie a grupului aplică obliga</w:t>
      </w:r>
      <w:r w:rsidR="00241C39">
        <w:rPr>
          <w:color w:val="000000" w:themeColor="text1"/>
        </w:rPr>
        <w:t>ț</w:t>
      </w:r>
      <w:r w:rsidRPr="00AC77E9">
        <w:rPr>
          <w:color w:val="000000" w:themeColor="text1"/>
        </w:rPr>
        <w:t>ii simplificate în conformitate cu articolul </w:t>
      </w:r>
      <w:r w:rsidRPr="005405A2">
        <w:rPr>
          <w:color w:val="000000" w:themeColor="text1"/>
        </w:rPr>
        <w:t>4</w:t>
      </w:r>
      <w:r w:rsidRPr="00AC77E9">
        <w:rPr>
          <w:color w:val="000000" w:themeColor="text1"/>
        </w:rPr>
        <w:t xml:space="preserve"> din Directiva </w:t>
      </w:r>
      <w:r w:rsidRPr="005405A2">
        <w:rPr>
          <w:color w:val="000000" w:themeColor="text1"/>
        </w:rPr>
        <w:t>2014</w:t>
      </w:r>
      <w:r w:rsidRPr="00AC77E9">
        <w:rPr>
          <w:color w:val="000000" w:themeColor="text1"/>
        </w:rPr>
        <w:t>/</w:t>
      </w:r>
      <w:r w:rsidRPr="005405A2">
        <w:rPr>
          <w:color w:val="000000" w:themeColor="text1"/>
        </w:rPr>
        <w:t>59</w:t>
      </w:r>
      <w:r w:rsidRPr="00AC77E9">
        <w:rPr>
          <w:color w:val="000000" w:themeColor="text1"/>
        </w:rPr>
        <w:t>/UE, aceasta informează institu</w:t>
      </w:r>
      <w:r w:rsidR="00241C39">
        <w:rPr>
          <w:color w:val="000000" w:themeColor="text1"/>
        </w:rPr>
        <w:t>ț</w:t>
      </w:r>
      <w:r w:rsidRPr="00AC77E9">
        <w:rPr>
          <w:color w:val="000000" w:themeColor="text1"/>
        </w:rPr>
        <w:t>iile sau întreprinderile-mamă din Uniune în cauză cu privire la informa</w:t>
      </w:r>
      <w:r w:rsidR="00241C39">
        <w:rPr>
          <w:color w:val="000000" w:themeColor="text1"/>
        </w:rPr>
        <w:t>ț</w:t>
      </w:r>
      <w:r w:rsidRPr="00AC77E9">
        <w:rPr>
          <w:color w:val="000000" w:themeColor="text1"/>
        </w:rPr>
        <w:t>iile care nu este necesar să fie incluse printre informa</w:t>
      </w:r>
      <w:r w:rsidR="00241C39">
        <w:rPr>
          <w:color w:val="000000" w:themeColor="text1"/>
        </w:rPr>
        <w:t>ț</w:t>
      </w:r>
      <w:r w:rsidRPr="00AC77E9">
        <w:rPr>
          <w:color w:val="000000" w:themeColor="text1"/>
        </w:rPr>
        <w:t>iile transmise astfel cum este men</w:t>
      </w:r>
      <w:r w:rsidR="00241C39">
        <w:rPr>
          <w:color w:val="000000" w:themeColor="text1"/>
        </w:rPr>
        <w:t>ț</w:t>
      </w:r>
      <w:r w:rsidRPr="00AC77E9">
        <w:rPr>
          <w:color w:val="000000" w:themeColor="text1"/>
        </w:rPr>
        <w:t>ionat la alineatul (</w:t>
      </w:r>
      <w:r w:rsidRPr="005405A2">
        <w:rPr>
          <w:color w:val="000000" w:themeColor="text1"/>
        </w:rPr>
        <w:t>1</w:t>
      </w:r>
      <w:r w:rsidRPr="00AC77E9">
        <w:rPr>
          <w:color w:val="000000" w:themeColor="text1"/>
        </w:rPr>
        <w:t>) din prezentul articol. Autoritatea de rezolu</w:t>
      </w:r>
      <w:r w:rsidR="00241C39">
        <w:rPr>
          <w:color w:val="000000" w:themeColor="text1"/>
        </w:rPr>
        <w:t>ț</w:t>
      </w:r>
      <w:r w:rsidRPr="00AC77E9">
        <w:rPr>
          <w:color w:val="000000" w:themeColor="text1"/>
        </w:rPr>
        <w:t>ie respectivă identifică aceste informa</w:t>
      </w:r>
      <w:r w:rsidR="00241C39">
        <w:rPr>
          <w:color w:val="000000" w:themeColor="text1"/>
        </w:rPr>
        <w:t>ț</w:t>
      </w:r>
      <w:r w:rsidRPr="00AC77E9">
        <w:rPr>
          <w:color w:val="000000" w:themeColor="text1"/>
        </w:rPr>
        <w:t>ii făcând trimiteri la machetele prevăzute în anexa I.</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4</w:t>
      </w:r>
      <w:r w:rsidRPr="00AC77E9">
        <w:rPr>
          <w:color w:val="000000" w:themeColor="text1"/>
        </w:rPr>
        <w:br/>
        <w:t>Nivelul de consolidare a informa</w:t>
      </w:r>
      <w:r w:rsidR="00241C39">
        <w:rPr>
          <w:color w:val="000000" w:themeColor="text1"/>
        </w:rPr>
        <w:t>ț</w:t>
      </w:r>
      <w:r w:rsidRPr="00AC77E9">
        <w:rPr>
          <w:color w:val="000000" w:themeColor="text1"/>
        </w:rPr>
        <w:t xml:space="preserve">iilor </w:t>
      </w:r>
    </w:p>
    <w:p w:rsidR="007E1AE4" w:rsidRPr="00AC77E9" w:rsidRDefault="007E1AE4" w:rsidP="00EB1CD0">
      <w:pPr>
        <w:pStyle w:val="NumPar1"/>
        <w:numPr>
          <w:ilvl w:val="0"/>
          <w:numId w:val="1"/>
        </w:numPr>
        <w:rPr>
          <w:color w:val="000000" w:themeColor="text1"/>
        </w:rPr>
      </w:pPr>
      <w:r w:rsidRPr="00AC77E9">
        <w:rPr>
          <w:color w:val="000000" w:themeColor="text1"/>
        </w:rPr>
        <w:t>Institu</w:t>
      </w:r>
      <w:r w:rsidR="00241C39">
        <w:rPr>
          <w:color w:val="000000" w:themeColor="text1"/>
        </w:rPr>
        <w:t>ț</w:t>
      </w:r>
      <w:r w:rsidRPr="00AC77E9">
        <w:rPr>
          <w:color w:val="000000" w:themeColor="text1"/>
        </w:rPr>
        <w:t>iile care nu fac parte dintr-un grup transmit informa</w:t>
      </w:r>
      <w:r w:rsidR="00241C39">
        <w:rPr>
          <w:color w:val="000000" w:themeColor="text1"/>
        </w:rPr>
        <w:t>ț</w:t>
      </w:r>
      <w:r w:rsidRPr="00AC77E9">
        <w:rPr>
          <w:color w:val="000000" w:themeColor="text1"/>
        </w:rPr>
        <w:t>iile men</w:t>
      </w:r>
      <w:r w:rsidR="00241C39">
        <w:rPr>
          <w:color w:val="000000" w:themeColor="text1"/>
        </w:rPr>
        <w:t>ț</w:t>
      </w:r>
      <w:r w:rsidRPr="00AC77E9">
        <w:rPr>
          <w:color w:val="000000" w:themeColor="text1"/>
        </w:rPr>
        <w:t>ionate la articolul </w:t>
      </w:r>
      <w:r w:rsidRPr="005405A2">
        <w:rPr>
          <w:color w:val="000000" w:themeColor="text1"/>
        </w:rPr>
        <w:t>3</w:t>
      </w:r>
      <w:r w:rsidRPr="00AC77E9">
        <w:rPr>
          <w:color w:val="000000" w:themeColor="text1"/>
        </w:rPr>
        <w:t xml:space="preserve"> alineatul (</w:t>
      </w:r>
      <w:r w:rsidRPr="005405A2">
        <w:rPr>
          <w:color w:val="000000" w:themeColor="text1"/>
        </w:rPr>
        <w:t>1</w:t>
      </w:r>
      <w:r w:rsidRPr="00AC77E9">
        <w:rPr>
          <w:color w:val="000000" w:themeColor="text1"/>
        </w:rPr>
        <w:t>), cu excep</w:t>
      </w:r>
      <w:r w:rsidR="00241C39">
        <w:rPr>
          <w:color w:val="000000" w:themeColor="text1"/>
        </w:rPr>
        <w:t>ț</w:t>
      </w:r>
      <w:r w:rsidRPr="00AC77E9">
        <w:rPr>
          <w:color w:val="000000" w:themeColor="text1"/>
        </w:rPr>
        <w:t>ia informa</w:t>
      </w:r>
      <w:r w:rsidR="00241C39">
        <w:rPr>
          <w:color w:val="000000" w:themeColor="text1"/>
        </w:rPr>
        <w:t>ț</w:t>
      </w:r>
      <w:r w:rsidRPr="00AC77E9">
        <w:rPr>
          <w:color w:val="000000" w:themeColor="text1"/>
        </w:rPr>
        <w:t>iilor men</w:t>
      </w:r>
      <w:r w:rsidR="00241C39">
        <w:rPr>
          <w:color w:val="000000" w:themeColor="text1"/>
        </w:rPr>
        <w:t>ț</w:t>
      </w:r>
      <w:r w:rsidRPr="00AC77E9">
        <w:rPr>
          <w:color w:val="000000" w:themeColor="text1"/>
        </w:rPr>
        <w:t xml:space="preserve">ionate în machetele Z </w:t>
      </w:r>
      <w:r w:rsidRPr="005405A2">
        <w:rPr>
          <w:color w:val="000000" w:themeColor="text1"/>
        </w:rPr>
        <w:t>07</w:t>
      </w:r>
      <w:r w:rsidRPr="00AC77E9">
        <w:rPr>
          <w:color w:val="000000" w:themeColor="text1"/>
        </w:rPr>
        <w:t>.</w:t>
      </w:r>
      <w:r w:rsidRPr="005405A2">
        <w:rPr>
          <w:color w:val="000000" w:themeColor="text1"/>
        </w:rPr>
        <w:t>02</w:t>
      </w:r>
      <w:r w:rsidRPr="00AC77E9">
        <w:rPr>
          <w:color w:val="000000" w:themeColor="text1"/>
        </w:rPr>
        <w:t xml:space="preserve"> </w:t>
      </w:r>
      <w:r w:rsidR="00241C39">
        <w:rPr>
          <w:color w:val="000000" w:themeColor="text1"/>
        </w:rPr>
        <w:t>ș</w:t>
      </w:r>
      <w:r w:rsidRPr="00AC77E9">
        <w:rPr>
          <w:color w:val="000000" w:themeColor="text1"/>
        </w:rPr>
        <w:t xml:space="preserve">i Z </w:t>
      </w:r>
      <w:r w:rsidRPr="005405A2">
        <w:rPr>
          <w:color w:val="000000" w:themeColor="text1"/>
        </w:rPr>
        <w:t>04</w:t>
      </w:r>
      <w:r w:rsidRPr="00AC77E9">
        <w:rPr>
          <w:color w:val="000000" w:themeColor="text1"/>
        </w:rPr>
        <w:t>.</w:t>
      </w:r>
      <w:r w:rsidRPr="005405A2">
        <w:rPr>
          <w:color w:val="000000" w:themeColor="text1"/>
        </w:rPr>
        <w:t>00</w:t>
      </w:r>
      <w:r w:rsidRPr="00AC77E9">
        <w:rPr>
          <w:color w:val="000000" w:themeColor="text1"/>
        </w:rPr>
        <w:t xml:space="preserve"> din anexa I, pe bază individuală.</w:t>
      </w:r>
    </w:p>
    <w:p w:rsidR="007E1AE4" w:rsidRPr="00AC77E9" w:rsidRDefault="007E1AE4" w:rsidP="00EB1CD0">
      <w:pPr>
        <w:pStyle w:val="NumPar1"/>
        <w:numPr>
          <w:ilvl w:val="0"/>
          <w:numId w:val="1"/>
        </w:numPr>
        <w:rPr>
          <w:color w:val="000000" w:themeColor="text1"/>
        </w:rPr>
      </w:pPr>
      <w:r w:rsidRPr="00AC77E9">
        <w:rPr>
          <w:color w:val="000000" w:themeColor="text1"/>
        </w:rPr>
        <w:t>În cazul grupurilor, întreprinderile-mamă din Uniune transmit informa</w:t>
      </w:r>
      <w:r w:rsidR="00241C39">
        <w:rPr>
          <w:color w:val="000000" w:themeColor="text1"/>
        </w:rPr>
        <w:t>ț</w:t>
      </w:r>
      <w:r w:rsidRPr="00AC77E9">
        <w:rPr>
          <w:color w:val="000000" w:themeColor="text1"/>
        </w:rPr>
        <w:t>iile men</w:t>
      </w:r>
      <w:r w:rsidR="00241C39">
        <w:rPr>
          <w:color w:val="000000" w:themeColor="text1"/>
        </w:rPr>
        <w:t>ț</w:t>
      </w:r>
      <w:r w:rsidRPr="00AC77E9">
        <w:rPr>
          <w:color w:val="000000" w:themeColor="text1"/>
        </w:rPr>
        <w:t>ionate la articolul </w:t>
      </w:r>
      <w:r w:rsidRPr="005405A2">
        <w:rPr>
          <w:color w:val="000000" w:themeColor="text1"/>
        </w:rPr>
        <w:t>3</w:t>
      </w:r>
      <w:r w:rsidRPr="00AC77E9">
        <w:rPr>
          <w:color w:val="000000" w:themeColor="text1"/>
        </w:rPr>
        <w:t xml:space="preserve"> alineatul (</w:t>
      </w:r>
      <w:r w:rsidRPr="005405A2">
        <w:rPr>
          <w:color w:val="000000" w:themeColor="text1"/>
        </w:rPr>
        <w:t>1</w:t>
      </w:r>
      <w:r w:rsidRPr="00AC77E9">
        <w:rPr>
          <w:color w:val="000000" w:themeColor="text1"/>
        </w:rPr>
        <w:t>) în conformitate cu următoarele specifica</w:t>
      </w:r>
      <w:r w:rsidR="00241C39">
        <w:rPr>
          <w:color w:val="000000" w:themeColor="text1"/>
        </w:rPr>
        <w:t>ț</w:t>
      </w:r>
      <w:r w:rsidRPr="00AC77E9">
        <w:rPr>
          <w:color w:val="000000" w:themeColor="text1"/>
        </w:rPr>
        <w:t xml:space="preserve">ii: </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macheta Z </w:t>
      </w:r>
      <w:r w:rsidRPr="005405A2">
        <w:rPr>
          <w:color w:val="000000" w:themeColor="text1"/>
        </w:rPr>
        <w:t>01</w:t>
      </w:r>
      <w:r w:rsidRPr="00AC77E9">
        <w:rPr>
          <w:color w:val="000000" w:themeColor="text1"/>
        </w:rPr>
        <w:t>.</w:t>
      </w:r>
      <w:r w:rsidRPr="005405A2">
        <w:rPr>
          <w:color w:val="000000" w:themeColor="text1"/>
        </w:rPr>
        <w:t>00</w:t>
      </w:r>
      <w:r w:rsidRPr="00AC77E9">
        <w:rPr>
          <w:color w:val="000000" w:themeColor="text1"/>
        </w:rPr>
        <w:t xml:space="preserve"> din anexa I în legătură cu următoarele:</w:t>
      </w:r>
    </w:p>
    <w:p w:rsidR="007E1AE4" w:rsidRPr="00AC77E9" w:rsidRDefault="00045775" w:rsidP="0051415A">
      <w:pPr>
        <w:pStyle w:val="Point2"/>
      </w:pPr>
      <w:r w:rsidRPr="00AC77E9">
        <w:t xml:space="preserve">(i) </w:t>
      </w:r>
      <w:r w:rsidRPr="00AC77E9">
        <w:tab/>
        <w:t>entită</w:t>
      </w:r>
      <w:r w:rsidR="00241C39">
        <w:t>ț</w:t>
      </w:r>
      <w:r w:rsidRPr="00AC77E9">
        <w:t>ile din grup incluse în situa</w:t>
      </w:r>
      <w:r w:rsidR="00241C39">
        <w:t>ț</w:t>
      </w:r>
      <w:r w:rsidRPr="00AC77E9">
        <w:t xml:space="preserve">iile sale financiare consolidate care reprezintă mai mult de </w:t>
      </w:r>
      <w:r w:rsidRPr="005405A2">
        <w:t>0</w:t>
      </w:r>
      <w:r w:rsidRPr="00AC77E9">
        <w:t>,</w:t>
      </w:r>
      <w:r w:rsidRPr="005405A2">
        <w:t>5</w:t>
      </w:r>
      <w:r w:rsidRPr="00AC77E9">
        <w:t xml:space="preserve"> % din activele totale sau pasivele totale ale grupului; </w:t>
      </w:r>
    </w:p>
    <w:p w:rsidR="007E1AE4" w:rsidRPr="00AC77E9" w:rsidRDefault="00045775" w:rsidP="0051415A">
      <w:pPr>
        <w:pStyle w:val="Point2"/>
      </w:pPr>
      <w:r w:rsidRPr="00AC77E9">
        <w:t>(ii)</w:t>
      </w:r>
      <w:r w:rsidRPr="00AC77E9">
        <w:tab/>
        <w:t>institu</w:t>
      </w:r>
      <w:r w:rsidR="00241C39">
        <w:t>ț</w:t>
      </w:r>
      <w:r w:rsidRPr="00AC77E9">
        <w:t xml:space="preserve">iile din grup care reprezintă mai mult de </w:t>
      </w:r>
      <w:r w:rsidRPr="005405A2">
        <w:t>0</w:t>
      </w:r>
      <w:r w:rsidRPr="00AC77E9">
        <w:t>,</w:t>
      </w:r>
      <w:r w:rsidRPr="005405A2">
        <w:t>5</w:t>
      </w:r>
      <w:r w:rsidRPr="00AC77E9">
        <w:t xml:space="preserve"> % din cuantumul total al expunerii la risc sau </w:t>
      </w:r>
      <w:r w:rsidRPr="005405A2">
        <w:t>0</w:t>
      </w:r>
      <w:r w:rsidRPr="00AC77E9">
        <w:t>,</w:t>
      </w:r>
      <w:r w:rsidRPr="005405A2">
        <w:t>5</w:t>
      </w:r>
      <w:r w:rsidRPr="00AC77E9">
        <w:t xml:space="preserve"> % din totalul fondurilor proprii de nivel </w:t>
      </w:r>
      <w:r w:rsidRPr="005405A2">
        <w:t>1</w:t>
      </w:r>
      <w:r w:rsidRPr="00AC77E9">
        <w:t xml:space="preserve"> de bază ale grupului pe baza situa</w:t>
      </w:r>
      <w:r w:rsidR="00241C39">
        <w:t>ț</w:t>
      </w:r>
      <w:r w:rsidRPr="00AC77E9">
        <w:t xml:space="preserve">iei consolidate a întreprinderii-mamă </w:t>
      </w:r>
      <w:r w:rsidR="00241C39">
        <w:br/>
      </w:r>
      <w:r w:rsidRPr="00AC77E9">
        <w:t>din Uniune;</w:t>
      </w:r>
    </w:p>
    <w:p w:rsidR="007E1AE4" w:rsidRPr="00AC77E9" w:rsidRDefault="00045775" w:rsidP="0051415A">
      <w:pPr>
        <w:pStyle w:val="Point2"/>
      </w:pPr>
      <w:r w:rsidRPr="00AC77E9">
        <w:t xml:space="preserve">(iii) </w:t>
      </w:r>
      <w:r w:rsidRPr="00AC77E9">
        <w:tab/>
        <w:t>entită</w:t>
      </w:r>
      <w:r w:rsidR="00241C39">
        <w:t>ț</w:t>
      </w:r>
      <w:r w:rsidRPr="00AC77E9">
        <w:t>ile din grup care asigură func</w:t>
      </w:r>
      <w:r w:rsidR="00241C39">
        <w:t>ț</w:t>
      </w:r>
      <w:r w:rsidRPr="00AC77E9">
        <w:t>ii critice;</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machetele Z </w:t>
      </w:r>
      <w:r w:rsidRPr="005405A2">
        <w:rPr>
          <w:color w:val="000000" w:themeColor="text1"/>
        </w:rPr>
        <w:t>02</w:t>
      </w:r>
      <w:r w:rsidRPr="00AC77E9">
        <w:rPr>
          <w:color w:val="000000" w:themeColor="text1"/>
        </w:rPr>
        <w:t>.</w:t>
      </w:r>
      <w:r w:rsidRPr="005405A2">
        <w:rPr>
          <w:color w:val="000000" w:themeColor="text1"/>
        </w:rPr>
        <w:t>00</w:t>
      </w:r>
      <w:r w:rsidRPr="00AC77E9">
        <w:rPr>
          <w:color w:val="000000" w:themeColor="text1"/>
        </w:rPr>
        <w:t xml:space="preserve"> </w:t>
      </w:r>
      <w:r w:rsidR="00241C39">
        <w:rPr>
          <w:color w:val="000000" w:themeColor="text1"/>
        </w:rPr>
        <w:t>ș</w:t>
      </w:r>
      <w:r w:rsidRPr="00AC77E9">
        <w:rPr>
          <w:color w:val="000000" w:themeColor="text1"/>
        </w:rPr>
        <w:t xml:space="preserve">i Z </w:t>
      </w:r>
      <w:r w:rsidRPr="005405A2">
        <w:rPr>
          <w:color w:val="000000" w:themeColor="text1"/>
        </w:rPr>
        <w:t>03</w:t>
      </w:r>
      <w:r w:rsidRPr="00AC77E9">
        <w:rPr>
          <w:color w:val="000000" w:themeColor="text1"/>
        </w:rPr>
        <w:t>.</w:t>
      </w:r>
      <w:r w:rsidRPr="005405A2">
        <w:rPr>
          <w:color w:val="000000" w:themeColor="text1"/>
        </w:rPr>
        <w:t>00</w:t>
      </w:r>
      <w:r w:rsidRPr="00AC77E9">
        <w:rPr>
          <w:color w:val="000000" w:themeColor="text1"/>
        </w:rPr>
        <w:t xml:space="preserve"> din anexa I:</w:t>
      </w:r>
    </w:p>
    <w:p w:rsidR="007E1AE4" w:rsidRPr="00AC77E9" w:rsidRDefault="00045775" w:rsidP="0051415A">
      <w:pPr>
        <w:pStyle w:val="Point2"/>
      </w:pPr>
      <w:r w:rsidRPr="00AC77E9">
        <w:t xml:space="preserve">(i) </w:t>
      </w:r>
      <w:r w:rsidRPr="00AC77E9">
        <w:tab/>
        <w:t>la nivelul întreprinderii-mamă din Uniune sau, în cazul în care informa</w:t>
      </w:r>
      <w:r w:rsidR="00241C39">
        <w:t>ț</w:t>
      </w:r>
      <w:r w:rsidRPr="00AC77E9">
        <w:t>iile sunt diferite, la nivelul fiecărei entită</w:t>
      </w:r>
      <w:r w:rsidR="00241C39">
        <w:t>ț</w:t>
      </w:r>
      <w:r w:rsidRPr="00AC77E9">
        <w:t>i supuse rezolu</w:t>
      </w:r>
      <w:r w:rsidR="00241C39">
        <w:t>ț</w:t>
      </w:r>
      <w:r w:rsidRPr="00AC77E9">
        <w:t xml:space="preserve">iei, pe bază individuală; </w:t>
      </w:r>
    </w:p>
    <w:p w:rsidR="007E1AE4" w:rsidRPr="00AC77E9" w:rsidRDefault="00045775" w:rsidP="0051415A">
      <w:pPr>
        <w:pStyle w:val="Point2"/>
      </w:pPr>
      <w:r w:rsidRPr="00AC77E9">
        <w:t>(ii)</w:t>
      </w:r>
      <w:r w:rsidRPr="00AC77E9">
        <w:tab/>
        <w:t>la nivelul fiecărei institu</w:t>
      </w:r>
      <w:r w:rsidR="00241C39">
        <w:t>ț</w:t>
      </w:r>
      <w:r w:rsidRPr="00AC77E9">
        <w:t xml:space="preserve">ii din grup care este o entitate juridică relevantă </w:t>
      </w:r>
      <w:r w:rsidR="00241C39">
        <w:t>ș</w:t>
      </w:r>
      <w:r w:rsidRPr="00AC77E9">
        <w:t>i nu intră sub inciden</w:t>
      </w:r>
      <w:r w:rsidR="00241C39">
        <w:t>ț</w:t>
      </w:r>
      <w:r w:rsidRPr="00AC77E9">
        <w:t>a punctului (i), pe bază individuală, cu excep</w:t>
      </w:r>
      <w:r w:rsidR="00241C39">
        <w:t>ț</w:t>
      </w:r>
      <w:r w:rsidRPr="00AC77E9">
        <w:t>ia cazurilor în care autoritatea de rezolu</w:t>
      </w:r>
      <w:r w:rsidR="00241C39">
        <w:t>ț</w:t>
      </w:r>
      <w:r w:rsidRPr="00AC77E9">
        <w:t>ie a acordat institu</w:t>
      </w:r>
      <w:r w:rsidR="00241C39">
        <w:t>ț</w:t>
      </w:r>
      <w:r w:rsidRPr="00AC77E9">
        <w:t>iei respective o derogare deplină de la aplicarea cerin</w:t>
      </w:r>
      <w:r w:rsidR="00241C39">
        <w:t>ț</w:t>
      </w:r>
      <w:r w:rsidRPr="00AC77E9">
        <w:t xml:space="preserve">ei minime individuale privind fondurile proprii </w:t>
      </w:r>
      <w:r w:rsidR="00241C39">
        <w:t>ș</w:t>
      </w:r>
      <w:r w:rsidRPr="00AC77E9">
        <w:t>i pasivele eligibile în temeiul articolului </w:t>
      </w:r>
      <w:r w:rsidRPr="005405A2">
        <w:t>45</w:t>
      </w:r>
      <w:r w:rsidRPr="00AC77E9">
        <w:t xml:space="preserve"> alineatul (</w:t>
      </w:r>
      <w:r w:rsidRPr="005405A2">
        <w:t>11</w:t>
      </w:r>
      <w:r w:rsidRPr="00AC77E9">
        <w:t>) sau (</w:t>
      </w:r>
      <w:r w:rsidRPr="005405A2">
        <w:t>12</w:t>
      </w:r>
      <w:r w:rsidRPr="00AC77E9">
        <w:t xml:space="preserve">) din Directiva </w:t>
      </w:r>
      <w:r w:rsidRPr="005405A2">
        <w:t>2014</w:t>
      </w:r>
      <w:r w:rsidRPr="00AC77E9">
        <w:t>/</w:t>
      </w:r>
      <w:r w:rsidRPr="005405A2">
        <w:t>59</w:t>
      </w:r>
      <w:r w:rsidRPr="00AC77E9">
        <w:t>/UE;</w:t>
      </w:r>
    </w:p>
    <w:p w:rsidR="007E1AE4" w:rsidRPr="00AC77E9" w:rsidRDefault="00045775" w:rsidP="0051415A">
      <w:pPr>
        <w:pStyle w:val="Point2"/>
      </w:pPr>
      <w:r w:rsidRPr="00AC77E9">
        <w:t>(iii)</w:t>
      </w:r>
      <w:r w:rsidRPr="00AC77E9">
        <w:tab/>
        <w:t>la nivelul întreprinderii-mamă din Uniune, pe bază consolidată sau, în cazul în care informa</w:t>
      </w:r>
      <w:r w:rsidR="00241C39">
        <w:t>ț</w:t>
      </w:r>
      <w:r w:rsidRPr="00AC77E9">
        <w:t>iile sunt diferite, la nivelul fiecărei entită</w:t>
      </w:r>
      <w:r w:rsidR="00241C39">
        <w:t>ț</w:t>
      </w:r>
      <w:r w:rsidRPr="00AC77E9">
        <w:t>i supuse rezolu</w:t>
      </w:r>
      <w:r w:rsidR="00241C39">
        <w:t>ț</w:t>
      </w:r>
      <w:r w:rsidRPr="00AC77E9">
        <w:t>iei pe baza situa</w:t>
      </w:r>
      <w:r w:rsidR="00241C39">
        <w:t>ț</w:t>
      </w:r>
      <w:r w:rsidRPr="00AC77E9">
        <w:t>iei consolidate a grupului supus rezolu</w:t>
      </w:r>
      <w:r w:rsidR="00241C39">
        <w:t>ț</w:t>
      </w:r>
      <w:r w:rsidRPr="00AC77E9">
        <w:t>iei;</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macheta Z </w:t>
      </w:r>
      <w:r w:rsidRPr="005405A2">
        <w:rPr>
          <w:color w:val="000000" w:themeColor="text1"/>
        </w:rPr>
        <w:t>04</w:t>
      </w:r>
      <w:r w:rsidRPr="00AC77E9">
        <w:rPr>
          <w:color w:val="000000" w:themeColor="text1"/>
        </w:rPr>
        <w:t>.</w:t>
      </w:r>
      <w:r w:rsidRPr="005405A2">
        <w:rPr>
          <w:color w:val="000000" w:themeColor="text1"/>
        </w:rPr>
        <w:t>00</w:t>
      </w:r>
      <w:r w:rsidRPr="00AC77E9">
        <w:rPr>
          <w:color w:val="000000" w:themeColor="text1"/>
        </w:rPr>
        <w:t xml:space="preserve"> din anexa I în legătură cu interconexiunile financiare dintre toate entită</w:t>
      </w:r>
      <w:r w:rsidR="00241C39">
        <w:rPr>
          <w:color w:val="000000" w:themeColor="text1"/>
        </w:rPr>
        <w:t>ț</w:t>
      </w:r>
      <w:r w:rsidRPr="00AC77E9">
        <w:rPr>
          <w:color w:val="000000" w:themeColor="text1"/>
        </w:rPr>
        <w:t>ile juridice relevante;</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machetele Z </w:t>
      </w:r>
      <w:r w:rsidRPr="005405A2">
        <w:rPr>
          <w:color w:val="000000" w:themeColor="text1"/>
        </w:rPr>
        <w:t>05</w:t>
      </w:r>
      <w:r w:rsidRPr="00AC77E9">
        <w:rPr>
          <w:color w:val="000000" w:themeColor="text1"/>
        </w:rPr>
        <w:t>.</w:t>
      </w:r>
      <w:r w:rsidRPr="005405A2">
        <w:rPr>
          <w:color w:val="000000" w:themeColor="text1"/>
        </w:rPr>
        <w:t>01</w:t>
      </w:r>
      <w:r w:rsidRPr="00AC77E9">
        <w:rPr>
          <w:color w:val="000000" w:themeColor="text1"/>
        </w:rPr>
        <w:t xml:space="preserve"> </w:t>
      </w:r>
      <w:r w:rsidR="00241C39">
        <w:rPr>
          <w:color w:val="000000" w:themeColor="text1"/>
        </w:rPr>
        <w:t>ș</w:t>
      </w:r>
      <w:r w:rsidRPr="00AC77E9">
        <w:rPr>
          <w:color w:val="000000" w:themeColor="text1"/>
        </w:rPr>
        <w:t xml:space="preserve">i Z </w:t>
      </w:r>
      <w:r w:rsidRPr="005405A2">
        <w:rPr>
          <w:color w:val="000000" w:themeColor="text1"/>
        </w:rPr>
        <w:t>05</w:t>
      </w:r>
      <w:r w:rsidRPr="00AC77E9">
        <w:rPr>
          <w:color w:val="000000" w:themeColor="text1"/>
        </w:rPr>
        <w:t>.</w:t>
      </w:r>
      <w:r w:rsidRPr="005405A2">
        <w:rPr>
          <w:color w:val="000000" w:themeColor="text1"/>
        </w:rPr>
        <w:t>02</w:t>
      </w:r>
      <w:r w:rsidRPr="00AC77E9">
        <w:rPr>
          <w:color w:val="000000" w:themeColor="text1"/>
        </w:rPr>
        <w:t xml:space="preserve"> din anexa I:</w:t>
      </w:r>
    </w:p>
    <w:p w:rsidR="007E1AE4" w:rsidRPr="00AC77E9" w:rsidRDefault="00045775" w:rsidP="0051415A">
      <w:pPr>
        <w:pStyle w:val="Point2"/>
      </w:pPr>
      <w:r w:rsidRPr="00AC77E9">
        <w:t>(i)</w:t>
      </w:r>
      <w:r w:rsidRPr="00AC77E9">
        <w:tab/>
        <w:t>la nivelul întreprinderii-mamă din Uniune sau, în cazul în care informa</w:t>
      </w:r>
      <w:r w:rsidR="00241C39">
        <w:t>ț</w:t>
      </w:r>
      <w:r w:rsidRPr="00AC77E9">
        <w:t>iile sunt diferite, la nivelul fiecărei entită</w:t>
      </w:r>
      <w:r w:rsidR="00241C39">
        <w:t>ț</w:t>
      </w:r>
      <w:r w:rsidRPr="00AC77E9">
        <w:t>i supuse rezolu</w:t>
      </w:r>
      <w:r w:rsidR="00241C39">
        <w:t>ț</w:t>
      </w:r>
      <w:r w:rsidRPr="00AC77E9">
        <w:t>iei, pe bază individuală;</w:t>
      </w:r>
    </w:p>
    <w:p w:rsidR="007E1AE4" w:rsidRPr="00AC77E9" w:rsidRDefault="00045775" w:rsidP="0051415A">
      <w:pPr>
        <w:pStyle w:val="Point2"/>
      </w:pPr>
      <w:r w:rsidRPr="00AC77E9">
        <w:t>(ii)</w:t>
      </w:r>
      <w:r w:rsidRPr="00AC77E9">
        <w:tab/>
        <w:t>la nivelul întreprinderii-mamă din Uniune, pe bază consolidată sau, în cazul în care informa</w:t>
      </w:r>
      <w:r w:rsidR="00241C39">
        <w:t>ț</w:t>
      </w:r>
      <w:r w:rsidRPr="00AC77E9">
        <w:t>iile sunt diferite, la nivelul fiecărei entită</w:t>
      </w:r>
      <w:r w:rsidR="00241C39">
        <w:t>ț</w:t>
      </w:r>
      <w:r w:rsidRPr="00AC77E9">
        <w:t>i supuse rezolu</w:t>
      </w:r>
      <w:r w:rsidR="00241C39">
        <w:t>ț</w:t>
      </w:r>
      <w:r w:rsidRPr="00AC77E9">
        <w:t>iei pe baza situa</w:t>
      </w:r>
      <w:r w:rsidR="00241C39">
        <w:t>ț</w:t>
      </w:r>
      <w:r w:rsidRPr="00AC77E9">
        <w:t>iei consolidate a grupului supus rezolu</w:t>
      </w:r>
      <w:r w:rsidR="00241C39">
        <w:t>ț</w:t>
      </w:r>
      <w:r w:rsidRPr="00AC77E9">
        <w:t>iei;</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macheta Z </w:t>
      </w:r>
      <w:r w:rsidRPr="005405A2">
        <w:rPr>
          <w:color w:val="000000" w:themeColor="text1"/>
        </w:rPr>
        <w:t>06</w:t>
      </w:r>
      <w:r w:rsidRPr="00AC77E9">
        <w:rPr>
          <w:color w:val="000000" w:themeColor="text1"/>
        </w:rPr>
        <w:t>.</w:t>
      </w:r>
      <w:r w:rsidRPr="005405A2">
        <w:rPr>
          <w:color w:val="000000" w:themeColor="text1"/>
        </w:rPr>
        <w:t>00</w:t>
      </w:r>
      <w:r w:rsidRPr="00AC77E9">
        <w:rPr>
          <w:color w:val="000000" w:themeColor="text1"/>
        </w:rPr>
        <w:t xml:space="preserve"> din anexa I la nivelul întreprinderii-mamă din Uniune, pe bază consolidată, în legătură cu toate institu</w:t>
      </w:r>
      <w:r w:rsidR="00241C39">
        <w:rPr>
          <w:color w:val="000000" w:themeColor="text1"/>
        </w:rPr>
        <w:t>ț</w:t>
      </w:r>
      <w:r w:rsidRPr="00AC77E9">
        <w:rPr>
          <w:color w:val="000000" w:themeColor="text1"/>
        </w:rPr>
        <w:t>iile de credit care sunt entită</w:t>
      </w:r>
      <w:r w:rsidR="00241C39">
        <w:rPr>
          <w:color w:val="000000" w:themeColor="text1"/>
        </w:rPr>
        <w:t>ț</w:t>
      </w:r>
      <w:r w:rsidRPr="00AC77E9">
        <w:rPr>
          <w:color w:val="000000" w:themeColor="text1"/>
        </w:rPr>
        <w:t>i juridice relevante;</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macheta Z </w:t>
      </w:r>
      <w:r w:rsidRPr="005405A2">
        <w:rPr>
          <w:color w:val="000000" w:themeColor="text1"/>
        </w:rPr>
        <w:t>07</w:t>
      </w:r>
      <w:r w:rsidRPr="00AC77E9">
        <w:rPr>
          <w:color w:val="000000" w:themeColor="text1"/>
        </w:rPr>
        <w:t>.</w:t>
      </w:r>
      <w:r w:rsidRPr="005405A2">
        <w:rPr>
          <w:color w:val="000000" w:themeColor="text1"/>
        </w:rPr>
        <w:t>01</w:t>
      </w:r>
      <w:r w:rsidRPr="00AC77E9">
        <w:rPr>
          <w:color w:val="000000" w:themeColor="text1"/>
        </w:rPr>
        <w:t xml:space="preserve"> din anexa I, separat pentru fiecare stat membru în care grupul î</w:t>
      </w:r>
      <w:r w:rsidR="00241C39">
        <w:rPr>
          <w:color w:val="000000" w:themeColor="text1"/>
        </w:rPr>
        <w:t>ș</w:t>
      </w:r>
      <w:r w:rsidRPr="00AC77E9">
        <w:rPr>
          <w:color w:val="000000" w:themeColor="text1"/>
        </w:rPr>
        <w:t>i desfă</w:t>
      </w:r>
      <w:r w:rsidR="00241C39">
        <w:rPr>
          <w:color w:val="000000" w:themeColor="text1"/>
        </w:rPr>
        <w:t>ș</w:t>
      </w:r>
      <w:r w:rsidRPr="00AC77E9">
        <w:rPr>
          <w:color w:val="000000" w:themeColor="text1"/>
        </w:rPr>
        <w:t>oară activitatea;</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machetele Z </w:t>
      </w:r>
      <w:r w:rsidRPr="005405A2">
        <w:rPr>
          <w:color w:val="000000" w:themeColor="text1"/>
        </w:rPr>
        <w:t>07</w:t>
      </w:r>
      <w:r w:rsidRPr="00AC77E9">
        <w:rPr>
          <w:color w:val="000000" w:themeColor="text1"/>
        </w:rPr>
        <w:t>.</w:t>
      </w:r>
      <w:r w:rsidRPr="005405A2">
        <w:rPr>
          <w:color w:val="000000" w:themeColor="text1"/>
        </w:rPr>
        <w:t>02</w:t>
      </w:r>
      <w:r w:rsidRPr="00AC77E9">
        <w:rPr>
          <w:color w:val="000000" w:themeColor="text1"/>
        </w:rPr>
        <w:t xml:space="preserve">, Z </w:t>
      </w:r>
      <w:r w:rsidRPr="005405A2">
        <w:rPr>
          <w:color w:val="000000" w:themeColor="text1"/>
        </w:rPr>
        <w:t>07</w:t>
      </w:r>
      <w:r w:rsidRPr="00AC77E9">
        <w:rPr>
          <w:color w:val="000000" w:themeColor="text1"/>
        </w:rPr>
        <w:t>.</w:t>
      </w:r>
      <w:r w:rsidRPr="005405A2">
        <w:rPr>
          <w:color w:val="000000" w:themeColor="text1"/>
        </w:rPr>
        <w:t>03</w:t>
      </w:r>
      <w:r w:rsidRPr="00AC77E9">
        <w:rPr>
          <w:color w:val="000000" w:themeColor="text1"/>
        </w:rPr>
        <w:t xml:space="preserve"> </w:t>
      </w:r>
      <w:r w:rsidR="00241C39">
        <w:rPr>
          <w:color w:val="000000" w:themeColor="text1"/>
        </w:rPr>
        <w:t>ș</w:t>
      </w:r>
      <w:r w:rsidRPr="00AC77E9">
        <w:rPr>
          <w:color w:val="000000" w:themeColor="text1"/>
        </w:rPr>
        <w:t xml:space="preserve">i Z </w:t>
      </w:r>
      <w:r w:rsidRPr="005405A2">
        <w:rPr>
          <w:color w:val="000000" w:themeColor="text1"/>
        </w:rPr>
        <w:t>07</w:t>
      </w:r>
      <w:r w:rsidRPr="00AC77E9">
        <w:rPr>
          <w:color w:val="000000" w:themeColor="text1"/>
        </w:rPr>
        <w:t>.</w:t>
      </w:r>
      <w:r w:rsidRPr="005405A2">
        <w:rPr>
          <w:color w:val="000000" w:themeColor="text1"/>
        </w:rPr>
        <w:t>04</w:t>
      </w:r>
      <w:r w:rsidRPr="00AC77E9">
        <w:rPr>
          <w:color w:val="000000" w:themeColor="text1"/>
        </w:rPr>
        <w:t xml:space="preserve"> din anexa I, în ceea ce prive</w:t>
      </w:r>
      <w:r w:rsidR="00241C39">
        <w:rPr>
          <w:color w:val="000000" w:themeColor="text1"/>
        </w:rPr>
        <w:t>ș</w:t>
      </w:r>
      <w:r w:rsidRPr="00AC77E9">
        <w:rPr>
          <w:color w:val="000000" w:themeColor="text1"/>
        </w:rPr>
        <w:t>te func</w:t>
      </w:r>
      <w:r w:rsidR="00241C39">
        <w:rPr>
          <w:color w:val="000000" w:themeColor="text1"/>
        </w:rPr>
        <w:t>ț</w:t>
      </w:r>
      <w:r w:rsidRPr="00AC77E9">
        <w:rPr>
          <w:color w:val="000000" w:themeColor="text1"/>
        </w:rPr>
        <w:t xml:space="preserve">iile critice </w:t>
      </w:r>
      <w:r w:rsidR="00241C39">
        <w:rPr>
          <w:color w:val="000000" w:themeColor="text1"/>
        </w:rPr>
        <w:t>ș</w:t>
      </w:r>
      <w:r w:rsidRPr="00AC77E9">
        <w:rPr>
          <w:color w:val="000000" w:themeColor="text1"/>
        </w:rPr>
        <w:t>i liniile de activitate esen</w:t>
      </w:r>
      <w:r w:rsidR="00241C39">
        <w:rPr>
          <w:color w:val="000000" w:themeColor="text1"/>
        </w:rPr>
        <w:t>ț</w:t>
      </w:r>
      <w:r w:rsidRPr="00AC77E9">
        <w:rPr>
          <w:color w:val="000000" w:themeColor="text1"/>
        </w:rPr>
        <w:t>iale furnizate de orice entitate din grup;</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macheta Z </w:t>
      </w:r>
      <w:r w:rsidRPr="005405A2">
        <w:rPr>
          <w:color w:val="000000" w:themeColor="text1"/>
        </w:rPr>
        <w:t>08</w:t>
      </w:r>
      <w:r w:rsidRPr="00AC77E9">
        <w:rPr>
          <w:color w:val="000000" w:themeColor="text1"/>
        </w:rPr>
        <w:t>.</w:t>
      </w:r>
      <w:r w:rsidRPr="005405A2">
        <w:rPr>
          <w:color w:val="000000" w:themeColor="text1"/>
        </w:rPr>
        <w:t>00</w:t>
      </w:r>
      <w:r w:rsidRPr="00AC77E9">
        <w:rPr>
          <w:color w:val="000000" w:themeColor="text1"/>
        </w:rPr>
        <w:t xml:space="preserve"> din anexa I, în ceea ce prive</w:t>
      </w:r>
      <w:r w:rsidR="00241C39">
        <w:rPr>
          <w:color w:val="000000" w:themeColor="text1"/>
        </w:rPr>
        <w:t>ș</w:t>
      </w:r>
      <w:r w:rsidRPr="00AC77E9">
        <w:rPr>
          <w:color w:val="000000" w:themeColor="text1"/>
        </w:rPr>
        <w:t xml:space="preserve">te toate serviciile critice furnizate de orice entitate din grup inclusă în macheta Z </w:t>
      </w:r>
      <w:r w:rsidRPr="005405A2">
        <w:rPr>
          <w:color w:val="000000" w:themeColor="text1"/>
        </w:rPr>
        <w:t>01</w:t>
      </w:r>
      <w:r w:rsidRPr="00AC77E9">
        <w:rPr>
          <w:color w:val="000000" w:themeColor="text1"/>
        </w:rPr>
        <w:t>.</w:t>
      </w:r>
      <w:r w:rsidRPr="005405A2">
        <w:rPr>
          <w:color w:val="000000" w:themeColor="text1"/>
        </w:rPr>
        <w:t>00</w:t>
      </w:r>
      <w:r w:rsidRPr="00AC77E9">
        <w:rPr>
          <w:color w:val="000000" w:themeColor="text1"/>
        </w:rPr>
        <w:t xml:space="preserve"> din anexa I;</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macheta Z </w:t>
      </w:r>
      <w:r w:rsidRPr="005405A2">
        <w:rPr>
          <w:color w:val="000000" w:themeColor="text1"/>
        </w:rPr>
        <w:t>09</w:t>
      </w:r>
      <w:r w:rsidRPr="00AC77E9">
        <w:rPr>
          <w:color w:val="000000" w:themeColor="text1"/>
        </w:rPr>
        <w:t>.</w:t>
      </w:r>
      <w:r w:rsidRPr="005405A2">
        <w:rPr>
          <w:color w:val="000000" w:themeColor="text1"/>
        </w:rPr>
        <w:t>00</w:t>
      </w:r>
      <w:r w:rsidRPr="00AC77E9">
        <w:rPr>
          <w:color w:val="000000" w:themeColor="text1"/>
        </w:rPr>
        <w:t xml:space="preserve"> din anexa I, în ceea ce prive</w:t>
      </w:r>
      <w:r w:rsidR="00241C39">
        <w:rPr>
          <w:color w:val="000000" w:themeColor="text1"/>
        </w:rPr>
        <w:t>ș</w:t>
      </w:r>
      <w:r w:rsidRPr="00AC77E9">
        <w:rPr>
          <w:color w:val="000000" w:themeColor="text1"/>
        </w:rPr>
        <w:t>te toate infrastructurile pie</w:t>
      </w:r>
      <w:r w:rsidR="00241C39">
        <w:rPr>
          <w:color w:val="000000" w:themeColor="text1"/>
        </w:rPr>
        <w:t>ț</w:t>
      </w:r>
      <w:r w:rsidRPr="00AC77E9">
        <w:rPr>
          <w:color w:val="000000" w:themeColor="text1"/>
        </w:rPr>
        <w:t>ei financiare a căror întrerupere ar constitui un impediment grav sau ar împiedica îndeplinirea oricărei func</w:t>
      </w:r>
      <w:r w:rsidR="00241C39">
        <w:rPr>
          <w:color w:val="000000" w:themeColor="text1"/>
        </w:rPr>
        <w:t>ț</w:t>
      </w:r>
      <w:r w:rsidRPr="00AC77E9">
        <w:rPr>
          <w:color w:val="000000" w:themeColor="text1"/>
        </w:rPr>
        <w:t xml:space="preserve">ii critice identificate în macheta Z </w:t>
      </w:r>
      <w:r w:rsidRPr="005405A2">
        <w:rPr>
          <w:color w:val="000000" w:themeColor="text1"/>
        </w:rPr>
        <w:t>07</w:t>
      </w:r>
      <w:r w:rsidRPr="00AC77E9">
        <w:rPr>
          <w:color w:val="000000" w:themeColor="text1"/>
        </w:rPr>
        <w:t> </w:t>
      </w:r>
      <w:r w:rsidRPr="005405A2">
        <w:rPr>
          <w:color w:val="000000" w:themeColor="text1"/>
        </w:rPr>
        <w:t>02</w:t>
      </w:r>
      <w:r w:rsidRPr="00AC77E9">
        <w:rPr>
          <w:color w:val="000000" w:themeColor="text1"/>
        </w:rPr>
        <w:t>;</w:t>
      </w:r>
    </w:p>
    <w:p w:rsidR="007E1AE4" w:rsidRPr="00AC77E9" w:rsidRDefault="007E1AE4" w:rsidP="00EB1CD0">
      <w:pPr>
        <w:pStyle w:val="Point0letter"/>
        <w:numPr>
          <w:ilvl w:val="1"/>
          <w:numId w:val="2"/>
        </w:numPr>
        <w:rPr>
          <w:color w:val="000000" w:themeColor="text1"/>
        </w:rPr>
      </w:pPr>
      <w:r w:rsidRPr="00AC77E9">
        <w:rPr>
          <w:color w:val="000000" w:themeColor="text1"/>
        </w:rPr>
        <w:t>informa</w:t>
      </w:r>
      <w:r w:rsidR="00241C39">
        <w:rPr>
          <w:color w:val="000000" w:themeColor="text1"/>
        </w:rPr>
        <w:t>ț</w:t>
      </w:r>
      <w:r w:rsidRPr="00AC77E9">
        <w:rPr>
          <w:color w:val="000000" w:themeColor="text1"/>
        </w:rPr>
        <w:t xml:space="preserve">iile specificate în machetele Z </w:t>
      </w:r>
      <w:r w:rsidRPr="005405A2">
        <w:rPr>
          <w:color w:val="000000" w:themeColor="text1"/>
        </w:rPr>
        <w:t>10</w:t>
      </w:r>
      <w:r w:rsidRPr="00AC77E9">
        <w:rPr>
          <w:color w:val="000000" w:themeColor="text1"/>
        </w:rPr>
        <w:t>.</w:t>
      </w:r>
      <w:r w:rsidRPr="005405A2">
        <w:rPr>
          <w:color w:val="000000" w:themeColor="text1"/>
        </w:rPr>
        <w:t>01</w:t>
      </w:r>
      <w:r w:rsidRPr="00AC77E9">
        <w:rPr>
          <w:color w:val="000000" w:themeColor="text1"/>
        </w:rPr>
        <w:t xml:space="preserve"> </w:t>
      </w:r>
      <w:r w:rsidR="00241C39">
        <w:rPr>
          <w:color w:val="000000" w:themeColor="text1"/>
        </w:rPr>
        <w:t>ș</w:t>
      </w:r>
      <w:r w:rsidRPr="00AC77E9">
        <w:rPr>
          <w:color w:val="000000" w:themeColor="text1"/>
        </w:rPr>
        <w:t xml:space="preserve">i Z </w:t>
      </w:r>
      <w:r w:rsidRPr="005405A2">
        <w:rPr>
          <w:color w:val="000000" w:themeColor="text1"/>
        </w:rPr>
        <w:t>10</w:t>
      </w:r>
      <w:r w:rsidRPr="00AC77E9">
        <w:rPr>
          <w:color w:val="000000" w:themeColor="text1"/>
        </w:rPr>
        <w:t>.</w:t>
      </w:r>
      <w:r w:rsidRPr="005405A2">
        <w:rPr>
          <w:color w:val="000000" w:themeColor="text1"/>
        </w:rPr>
        <w:t>02</w:t>
      </w:r>
      <w:r w:rsidRPr="00AC77E9">
        <w:rPr>
          <w:color w:val="000000" w:themeColor="text1"/>
        </w:rPr>
        <w:t xml:space="preserve"> din anexa I, în ceea ce prive</w:t>
      </w:r>
      <w:r w:rsidR="00241C39">
        <w:rPr>
          <w:color w:val="000000" w:themeColor="text1"/>
        </w:rPr>
        <w:t>ș</w:t>
      </w:r>
      <w:r w:rsidRPr="00AC77E9">
        <w:rPr>
          <w:color w:val="000000" w:themeColor="text1"/>
        </w:rPr>
        <w:t>te toate sistemele informatice critice din cadrul grupului.</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5</w:t>
      </w:r>
      <w:r w:rsidRPr="00AC77E9">
        <w:rPr>
          <w:color w:val="000000" w:themeColor="text1"/>
        </w:rPr>
        <w:br/>
        <w:t>Frecven</w:t>
      </w:r>
      <w:r w:rsidR="00241C39">
        <w:rPr>
          <w:color w:val="000000" w:themeColor="text1"/>
        </w:rPr>
        <w:t>ț</w:t>
      </w:r>
      <w:r w:rsidRPr="00AC77E9">
        <w:rPr>
          <w:color w:val="000000" w:themeColor="text1"/>
        </w:rPr>
        <w:t>a, datele de referin</w:t>
      </w:r>
      <w:r w:rsidR="00241C39">
        <w:rPr>
          <w:color w:val="000000" w:themeColor="text1"/>
        </w:rPr>
        <w:t>ț</w:t>
      </w:r>
      <w:r w:rsidRPr="00AC77E9">
        <w:rPr>
          <w:color w:val="000000" w:themeColor="text1"/>
        </w:rPr>
        <w:t xml:space="preserve">ă </w:t>
      </w:r>
      <w:r w:rsidR="00241C39">
        <w:rPr>
          <w:color w:val="000000" w:themeColor="text1"/>
        </w:rPr>
        <w:t>ș</w:t>
      </w:r>
      <w:r w:rsidRPr="00AC77E9">
        <w:rPr>
          <w:color w:val="000000" w:themeColor="text1"/>
        </w:rPr>
        <w:t>i datele de transmitere a informa</w:t>
      </w:r>
      <w:r w:rsidR="00241C39">
        <w:rPr>
          <w:color w:val="000000" w:themeColor="text1"/>
        </w:rPr>
        <w:t>ț</w:t>
      </w:r>
      <w:r w:rsidRPr="00AC77E9">
        <w:rPr>
          <w:color w:val="000000" w:themeColor="text1"/>
        </w:rPr>
        <w:t>iilor</w:t>
      </w:r>
    </w:p>
    <w:p w:rsidR="007E1AE4" w:rsidRPr="00AC77E9" w:rsidRDefault="007E1AE4" w:rsidP="00EB1CD0">
      <w:pPr>
        <w:pStyle w:val="NumPar1"/>
        <w:numPr>
          <w:ilvl w:val="0"/>
          <w:numId w:val="3"/>
        </w:numPr>
        <w:rPr>
          <w:color w:val="000000" w:themeColor="text1"/>
        </w:rPr>
      </w:pPr>
      <w:r w:rsidRPr="00AC77E9">
        <w:rPr>
          <w:color w:val="000000" w:themeColor="text1"/>
        </w:rPr>
        <w:t>Institu</w:t>
      </w:r>
      <w:r w:rsidR="00241C39">
        <w:rPr>
          <w:color w:val="000000" w:themeColor="text1"/>
        </w:rPr>
        <w:t>ț</w:t>
      </w:r>
      <w:r w:rsidRPr="00AC77E9">
        <w:rPr>
          <w:color w:val="000000" w:themeColor="text1"/>
        </w:rPr>
        <w:t xml:space="preserve">iile transmit, cel târziu până la data de </w:t>
      </w:r>
      <w:r w:rsidRPr="005405A2">
        <w:rPr>
          <w:color w:val="000000" w:themeColor="text1"/>
        </w:rPr>
        <w:t>30</w:t>
      </w:r>
      <w:r w:rsidRPr="00AC77E9">
        <w:rPr>
          <w:color w:val="000000" w:themeColor="text1"/>
        </w:rPr>
        <w:t xml:space="preserve"> aprilie a fiecărui an, informa</w:t>
      </w:r>
      <w:r w:rsidR="00241C39">
        <w:rPr>
          <w:color w:val="000000" w:themeColor="text1"/>
        </w:rPr>
        <w:t>ț</w:t>
      </w:r>
      <w:r w:rsidRPr="00AC77E9">
        <w:rPr>
          <w:color w:val="000000" w:themeColor="text1"/>
        </w:rPr>
        <w:t>iile men</w:t>
      </w:r>
      <w:r w:rsidR="00241C39">
        <w:rPr>
          <w:color w:val="000000" w:themeColor="text1"/>
        </w:rPr>
        <w:t>ț</w:t>
      </w:r>
      <w:r w:rsidRPr="00AC77E9">
        <w:rPr>
          <w:color w:val="000000" w:themeColor="text1"/>
        </w:rPr>
        <w:t>ionate la articolul </w:t>
      </w:r>
      <w:r w:rsidRPr="005405A2">
        <w:rPr>
          <w:color w:val="000000" w:themeColor="text1"/>
        </w:rPr>
        <w:t>3</w:t>
      </w:r>
      <w:r w:rsidRPr="00AC77E9">
        <w:rPr>
          <w:color w:val="000000" w:themeColor="text1"/>
        </w:rPr>
        <w:t xml:space="preserve"> alineatul (</w:t>
      </w:r>
      <w:r w:rsidRPr="005405A2">
        <w:rPr>
          <w:color w:val="000000" w:themeColor="text1"/>
        </w:rPr>
        <w:t>1</w:t>
      </w:r>
      <w:r w:rsidRPr="00AC77E9">
        <w:rPr>
          <w:color w:val="000000" w:themeColor="text1"/>
        </w:rPr>
        <w:t>) referitoare la ultima zi a anului calendaristic anterior sau la exerci</w:t>
      </w:r>
      <w:r w:rsidR="00241C39">
        <w:rPr>
          <w:color w:val="000000" w:themeColor="text1"/>
        </w:rPr>
        <w:t>ț</w:t>
      </w:r>
      <w:r w:rsidRPr="00AC77E9">
        <w:rPr>
          <w:color w:val="000000" w:themeColor="text1"/>
        </w:rPr>
        <w:t xml:space="preserve">iul financiar relevant. Dacă </w:t>
      </w:r>
      <w:r w:rsidRPr="005405A2">
        <w:rPr>
          <w:color w:val="000000" w:themeColor="text1"/>
        </w:rPr>
        <w:t>30</w:t>
      </w:r>
      <w:r w:rsidRPr="00AC77E9">
        <w:rPr>
          <w:color w:val="000000" w:themeColor="text1"/>
        </w:rPr>
        <w:t xml:space="preserve"> aprilie nu este o zi lucrătoare, informa</w:t>
      </w:r>
      <w:r w:rsidR="00241C39">
        <w:rPr>
          <w:color w:val="000000" w:themeColor="text1"/>
        </w:rPr>
        <w:t>ț</w:t>
      </w:r>
      <w:r w:rsidRPr="00AC77E9">
        <w:rPr>
          <w:color w:val="000000" w:themeColor="text1"/>
        </w:rPr>
        <w:t>iile sunt furnizate în ziua lucrătoare următoare.</w:t>
      </w:r>
    </w:p>
    <w:p w:rsidR="007E1AE4" w:rsidRPr="00AC77E9" w:rsidRDefault="007E1AE4" w:rsidP="00EB1CD0">
      <w:pPr>
        <w:pStyle w:val="NumPar1"/>
        <w:numPr>
          <w:ilvl w:val="0"/>
          <w:numId w:val="3"/>
        </w:numPr>
        <w:rPr>
          <w:color w:val="000000" w:themeColor="text1"/>
        </w:rPr>
      </w:pPr>
      <w:r w:rsidRPr="00AC77E9">
        <w:rPr>
          <w:color w:val="000000" w:themeColor="text1"/>
        </w:rPr>
        <w:t>Autorită</w:t>
      </w:r>
      <w:r w:rsidR="00241C39">
        <w:rPr>
          <w:color w:val="000000" w:themeColor="text1"/>
        </w:rPr>
        <w:t>ț</w:t>
      </w:r>
      <w:r w:rsidRPr="00AC77E9">
        <w:rPr>
          <w:color w:val="000000" w:themeColor="text1"/>
        </w:rPr>
        <w:t>ile de rezolu</w:t>
      </w:r>
      <w:r w:rsidR="00241C39">
        <w:rPr>
          <w:color w:val="000000" w:themeColor="text1"/>
        </w:rPr>
        <w:t>ț</w:t>
      </w:r>
      <w:r w:rsidRPr="00AC77E9">
        <w:rPr>
          <w:color w:val="000000" w:themeColor="text1"/>
        </w:rPr>
        <w:t>ie comunică detaliile de contact către care trebuie furnizate informa</w:t>
      </w:r>
      <w:r w:rsidR="00241C39">
        <w:rPr>
          <w:color w:val="000000" w:themeColor="text1"/>
        </w:rPr>
        <w:t>ț</w:t>
      </w:r>
      <w:r w:rsidRPr="00AC77E9">
        <w:rPr>
          <w:color w:val="000000" w:themeColor="text1"/>
        </w:rPr>
        <w:t>iile în cadrul autorită</w:t>
      </w:r>
      <w:r w:rsidR="00241C39">
        <w:rPr>
          <w:color w:val="000000" w:themeColor="text1"/>
        </w:rPr>
        <w:t>ț</w:t>
      </w:r>
      <w:r w:rsidRPr="00AC77E9">
        <w:rPr>
          <w:color w:val="000000" w:themeColor="text1"/>
        </w:rPr>
        <w:t>ii de rezolu</w:t>
      </w:r>
      <w:r w:rsidR="00241C39">
        <w:rPr>
          <w:color w:val="000000" w:themeColor="text1"/>
        </w:rPr>
        <w:t>ț</w:t>
      </w:r>
      <w:r w:rsidRPr="00AC77E9">
        <w:rPr>
          <w:color w:val="000000" w:themeColor="text1"/>
        </w:rPr>
        <w:t>ie sau, dacă este cazul, în cadrul autorită</w:t>
      </w:r>
      <w:r w:rsidR="00241C39">
        <w:rPr>
          <w:color w:val="000000" w:themeColor="text1"/>
        </w:rPr>
        <w:t>ț</w:t>
      </w:r>
      <w:r w:rsidRPr="00AC77E9">
        <w:rPr>
          <w:color w:val="000000" w:themeColor="text1"/>
        </w:rPr>
        <w:t>ii competente.</w:t>
      </w:r>
    </w:p>
    <w:p w:rsidR="007E1AE4" w:rsidRPr="00AC77E9" w:rsidRDefault="007E1AE4" w:rsidP="00EB1CD0">
      <w:pPr>
        <w:pStyle w:val="NumPar1"/>
        <w:numPr>
          <w:ilvl w:val="0"/>
          <w:numId w:val="3"/>
        </w:numPr>
        <w:rPr>
          <w:color w:val="000000" w:themeColor="text1"/>
        </w:rPr>
      </w:pPr>
      <w:r w:rsidRPr="00AC77E9">
        <w:rPr>
          <w:color w:val="000000" w:themeColor="text1"/>
        </w:rPr>
        <w:t>Institu</w:t>
      </w:r>
      <w:r w:rsidR="00241C39">
        <w:rPr>
          <w:color w:val="000000" w:themeColor="text1"/>
        </w:rPr>
        <w:t>ț</w:t>
      </w:r>
      <w:r w:rsidRPr="00AC77E9">
        <w:rPr>
          <w:color w:val="000000" w:themeColor="text1"/>
        </w:rPr>
        <w:t>iile pot prezenta cifre neauditate. În cazul în care cifrele auditate sunt diferite fa</w:t>
      </w:r>
      <w:r w:rsidR="00241C39">
        <w:rPr>
          <w:color w:val="000000" w:themeColor="text1"/>
        </w:rPr>
        <w:t>ț</w:t>
      </w:r>
      <w:r w:rsidRPr="00AC77E9">
        <w:rPr>
          <w:color w:val="000000" w:themeColor="text1"/>
        </w:rPr>
        <w:t xml:space="preserve">ă de cifrele neauditate transmise, se prezintă fără întârziere cifrele revizuite în urma auditării. Cifrele neauditate sunt cifre care nu au făcut obiectul opiniei unui auditor extern, în timp ce cifrele auditate sunt cifre care au făcut obiectul unui audit efectuat de un auditor extern care </w:t>
      </w:r>
      <w:r w:rsidR="00241C39">
        <w:rPr>
          <w:color w:val="000000" w:themeColor="text1"/>
        </w:rPr>
        <w:t>ș</w:t>
      </w:r>
      <w:r w:rsidRPr="00AC77E9">
        <w:rPr>
          <w:color w:val="000000" w:themeColor="text1"/>
        </w:rPr>
        <w:t xml:space="preserve">i-a exprimat o opinie de audit. </w:t>
      </w:r>
    </w:p>
    <w:p w:rsidR="007E1AE4" w:rsidRPr="00AC77E9" w:rsidRDefault="00754A18" w:rsidP="00EB1CD0">
      <w:pPr>
        <w:pStyle w:val="NumPar1"/>
        <w:numPr>
          <w:ilvl w:val="0"/>
          <w:numId w:val="3"/>
        </w:numPr>
        <w:rPr>
          <w:color w:val="000000" w:themeColor="text1"/>
        </w:rPr>
      </w:pPr>
      <w:r w:rsidRPr="00AC77E9">
        <w:rPr>
          <w:color w:val="000000" w:themeColor="text1"/>
        </w:rPr>
        <w:t>Corecturile aduse rapoartelor prezentate sunt transmise fără întârzieri nejustificate.</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6</w:t>
      </w:r>
      <w:r w:rsidRPr="00AC77E9">
        <w:rPr>
          <w:color w:val="000000" w:themeColor="text1"/>
        </w:rPr>
        <w:br/>
        <w:t>Formatul pentru transmiterea informa</w:t>
      </w:r>
      <w:r w:rsidR="00241C39">
        <w:rPr>
          <w:color w:val="000000" w:themeColor="text1"/>
        </w:rPr>
        <w:t>ț</w:t>
      </w:r>
      <w:r w:rsidRPr="00AC77E9">
        <w:rPr>
          <w:color w:val="000000" w:themeColor="text1"/>
        </w:rPr>
        <w:t>iilor</w:t>
      </w:r>
    </w:p>
    <w:p w:rsidR="007E1AE4" w:rsidRPr="00AC77E9" w:rsidRDefault="007E1AE4" w:rsidP="00EB1CD0">
      <w:pPr>
        <w:pStyle w:val="NumPar1"/>
        <w:numPr>
          <w:ilvl w:val="0"/>
          <w:numId w:val="4"/>
        </w:numPr>
        <w:rPr>
          <w:color w:val="000000" w:themeColor="text1"/>
        </w:rPr>
      </w:pPr>
      <w:r w:rsidRPr="00AC77E9">
        <w:rPr>
          <w:color w:val="000000" w:themeColor="text1"/>
        </w:rPr>
        <w:t>Institu</w:t>
      </w:r>
      <w:r w:rsidR="00241C39">
        <w:rPr>
          <w:color w:val="000000" w:themeColor="text1"/>
        </w:rPr>
        <w:t>ț</w:t>
      </w:r>
      <w:r w:rsidRPr="00AC77E9">
        <w:rPr>
          <w:color w:val="000000" w:themeColor="text1"/>
        </w:rPr>
        <w:t>iile sau, în cazul grupurilor, întreprinderile-mamă din Uniune transmit informa</w:t>
      </w:r>
      <w:r w:rsidR="00241C39">
        <w:rPr>
          <w:color w:val="000000" w:themeColor="text1"/>
        </w:rPr>
        <w:t>ț</w:t>
      </w:r>
      <w:r w:rsidRPr="00AC77E9">
        <w:rPr>
          <w:color w:val="000000" w:themeColor="text1"/>
        </w:rPr>
        <w:t>iile men</w:t>
      </w:r>
      <w:r w:rsidR="00241C39">
        <w:rPr>
          <w:color w:val="000000" w:themeColor="text1"/>
        </w:rPr>
        <w:t>ț</w:t>
      </w:r>
      <w:r w:rsidRPr="00AC77E9">
        <w:rPr>
          <w:color w:val="000000" w:themeColor="text1"/>
        </w:rPr>
        <w:t>ionate la articolul </w:t>
      </w:r>
      <w:r w:rsidRPr="005405A2">
        <w:rPr>
          <w:color w:val="000000" w:themeColor="text1"/>
        </w:rPr>
        <w:t>3</w:t>
      </w:r>
      <w:r w:rsidRPr="00AC77E9">
        <w:rPr>
          <w:color w:val="000000" w:themeColor="text1"/>
        </w:rPr>
        <w:t xml:space="preserve"> alineatul (</w:t>
      </w:r>
      <w:r w:rsidRPr="005405A2">
        <w:rPr>
          <w:color w:val="000000" w:themeColor="text1"/>
        </w:rPr>
        <w:t>1</w:t>
      </w:r>
      <w:r w:rsidRPr="00AC77E9">
        <w:rPr>
          <w:color w:val="000000" w:themeColor="text1"/>
        </w:rPr>
        <w:t xml:space="preserve">) în formatele </w:t>
      </w:r>
      <w:r w:rsidR="00241C39">
        <w:rPr>
          <w:color w:val="000000" w:themeColor="text1"/>
        </w:rPr>
        <w:t>ș</w:t>
      </w:r>
      <w:r w:rsidRPr="00AC77E9">
        <w:rPr>
          <w:color w:val="000000" w:themeColor="text1"/>
        </w:rPr>
        <w:t>i prezentările pentru schimbul de date specificate de autorită</w:t>
      </w:r>
      <w:r w:rsidR="00241C39">
        <w:rPr>
          <w:color w:val="000000" w:themeColor="text1"/>
        </w:rPr>
        <w:t>ț</w:t>
      </w:r>
      <w:r w:rsidRPr="00AC77E9">
        <w:rPr>
          <w:color w:val="000000" w:themeColor="text1"/>
        </w:rPr>
        <w:t>ile de rezolu</w:t>
      </w:r>
      <w:r w:rsidR="00241C39">
        <w:rPr>
          <w:color w:val="000000" w:themeColor="text1"/>
        </w:rPr>
        <w:t>ț</w:t>
      </w:r>
      <w:r w:rsidRPr="00AC77E9">
        <w:rPr>
          <w:color w:val="000000" w:themeColor="text1"/>
        </w:rPr>
        <w:t xml:space="preserve">ie </w:t>
      </w:r>
      <w:r w:rsidR="00241C39">
        <w:rPr>
          <w:color w:val="000000" w:themeColor="text1"/>
        </w:rPr>
        <w:t>ș</w:t>
      </w:r>
      <w:r w:rsidRPr="00AC77E9">
        <w:rPr>
          <w:color w:val="000000" w:themeColor="text1"/>
        </w:rPr>
        <w:t>i respectă defini</w:t>
      </w:r>
      <w:r w:rsidR="00241C39">
        <w:rPr>
          <w:color w:val="000000" w:themeColor="text1"/>
        </w:rPr>
        <w:t>ț</w:t>
      </w:r>
      <w:r w:rsidRPr="00AC77E9">
        <w:rPr>
          <w:color w:val="000000" w:themeColor="text1"/>
        </w:rPr>
        <w:t xml:space="preserve">iile punctelor de date incluse în modelul punctelor de date unic din anexa III </w:t>
      </w:r>
      <w:r w:rsidR="00241C39">
        <w:rPr>
          <w:color w:val="000000" w:themeColor="text1"/>
        </w:rPr>
        <w:t>ș</w:t>
      </w:r>
      <w:r w:rsidRPr="00AC77E9">
        <w:rPr>
          <w:color w:val="000000" w:themeColor="text1"/>
        </w:rPr>
        <w:t xml:space="preserve">i normele de validare prevăzute în anexa IV, precum </w:t>
      </w:r>
      <w:r w:rsidR="00241C39">
        <w:rPr>
          <w:color w:val="000000" w:themeColor="text1"/>
        </w:rPr>
        <w:t>ș</w:t>
      </w:r>
      <w:r w:rsidRPr="00AC77E9">
        <w:rPr>
          <w:color w:val="000000" w:themeColor="text1"/>
        </w:rPr>
        <w:t>i următoarele specifica</w:t>
      </w:r>
      <w:r w:rsidR="00241C39">
        <w:rPr>
          <w:color w:val="000000" w:themeColor="text1"/>
        </w:rPr>
        <w:t>ț</w:t>
      </w:r>
      <w:r w:rsidRPr="00AC77E9">
        <w:rPr>
          <w:color w:val="000000" w:themeColor="text1"/>
        </w:rPr>
        <w:t>ii:</w:t>
      </w:r>
    </w:p>
    <w:p w:rsidR="007E1AE4" w:rsidRPr="00AC77E9" w:rsidRDefault="00A05B6C" w:rsidP="00AE1240">
      <w:pPr>
        <w:pStyle w:val="Point1letter"/>
      </w:pPr>
      <w:r w:rsidRPr="00AC77E9">
        <w:t xml:space="preserve"> informa</w:t>
      </w:r>
      <w:r w:rsidR="00241C39">
        <w:t>ț</w:t>
      </w:r>
      <w:r w:rsidRPr="00AC77E9">
        <w:t>iile care nu sunt solicitate sau care nu se aplică nu se includ în datele transmise;</w:t>
      </w:r>
    </w:p>
    <w:p w:rsidR="007E1AE4" w:rsidRPr="00AC77E9" w:rsidRDefault="007E1AE4" w:rsidP="00AE1240">
      <w:pPr>
        <w:pStyle w:val="Point1letter"/>
      </w:pPr>
      <w:r w:rsidRPr="00AC77E9">
        <w:t>valorile numerice se transmit ca fapte în conformitate cu următoarele:</w:t>
      </w:r>
    </w:p>
    <w:p w:rsidR="007E1AE4" w:rsidRPr="00AC77E9" w:rsidRDefault="00045775" w:rsidP="0051415A">
      <w:pPr>
        <w:pStyle w:val="Point2"/>
      </w:pPr>
      <w:r w:rsidRPr="00AC77E9">
        <w:t>(i)</w:t>
      </w:r>
      <w:r w:rsidRPr="00AC77E9">
        <w:tab/>
        <w:t>punctele de date cu tipul de date „Valoare</w:t>
      </w:r>
      <w:r w:rsidR="00EA79A9">
        <w:t>a</w:t>
      </w:r>
      <w:r w:rsidRPr="00AC77E9">
        <w:t xml:space="preserve"> monetară” se raportează cu o precizie minimă de mii de unită</w:t>
      </w:r>
      <w:r w:rsidR="00241C39">
        <w:t>ț</w:t>
      </w:r>
      <w:r w:rsidRPr="00AC77E9">
        <w:t>i;</w:t>
      </w:r>
    </w:p>
    <w:p w:rsidR="007E1AE4" w:rsidRPr="00AC77E9" w:rsidRDefault="00045775" w:rsidP="0051415A">
      <w:pPr>
        <w:pStyle w:val="Point2"/>
      </w:pPr>
      <w:r w:rsidRPr="00AC77E9">
        <w:t>(ii)</w:t>
      </w:r>
      <w:r w:rsidRPr="00AC77E9">
        <w:tab/>
        <w:t>punctele de date cu tipul de date „Procent” se exprimă per unitate cu o precizie minimă de patru zecimale;</w:t>
      </w:r>
    </w:p>
    <w:p w:rsidR="007E1AE4" w:rsidRPr="00AC77E9" w:rsidRDefault="00045775" w:rsidP="0051415A">
      <w:pPr>
        <w:pStyle w:val="Point2"/>
      </w:pPr>
      <w:r w:rsidRPr="00AC77E9">
        <w:t>(iii)</w:t>
      </w:r>
      <w:r w:rsidRPr="00AC77E9">
        <w:tab/>
        <w:t xml:space="preserve">punctele de date cu tipul de date „Număr întreg” se raportează fără a se utiliza zecimale </w:t>
      </w:r>
      <w:r w:rsidR="00241C39">
        <w:t>ș</w:t>
      </w:r>
      <w:r w:rsidRPr="00AC77E9">
        <w:t>i cu o precizie fixată la unită</w:t>
      </w:r>
      <w:r w:rsidR="00241C39">
        <w:t>ț</w:t>
      </w:r>
      <w:r w:rsidRPr="00AC77E9">
        <w:t>i.</w:t>
      </w:r>
    </w:p>
    <w:p w:rsidR="007E1AE4" w:rsidRPr="00AC77E9" w:rsidRDefault="007E1AE4" w:rsidP="00EB1CD0">
      <w:pPr>
        <w:pStyle w:val="NumPar1"/>
        <w:numPr>
          <w:ilvl w:val="0"/>
          <w:numId w:val="4"/>
        </w:numPr>
        <w:rPr>
          <w:color w:val="000000" w:themeColor="text1"/>
        </w:rPr>
      </w:pPr>
      <w:r w:rsidRPr="00AC77E9">
        <w:rPr>
          <w:color w:val="000000" w:themeColor="text1"/>
        </w:rPr>
        <w:t>Datele transmise de institu</w:t>
      </w:r>
      <w:r w:rsidR="00241C39">
        <w:rPr>
          <w:color w:val="000000" w:themeColor="text1"/>
        </w:rPr>
        <w:t>ț</w:t>
      </w:r>
      <w:r w:rsidRPr="00AC77E9">
        <w:rPr>
          <w:color w:val="000000" w:themeColor="text1"/>
        </w:rPr>
        <w:t>ii sau, în cazul grupurilor, de întreprinderile-mamă din Uniune sunt înso</w:t>
      </w:r>
      <w:r w:rsidR="00241C39">
        <w:rPr>
          <w:color w:val="000000" w:themeColor="text1"/>
        </w:rPr>
        <w:t>ț</w:t>
      </w:r>
      <w:r w:rsidRPr="00AC77E9">
        <w:rPr>
          <w:color w:val="000000" w:themeColor="text1"/>
        </w:rPr>
        <w:t>ite de următoarele informa</w:t>
      </w:r>
      <w:r w:rsidR="00241C39">
        <w:rPr>
          <w:color w:val="000000" w:themeColor="text1"/>
        </w:rPr>
        <w:t>ț</w:t>
      </w:r>
      <w:r w:rsidRPr="00AC77E9">
        <w:rPr>
          <w:color w:val="000000" w:themeColor="text1"/>
        </w:rPr>
        <w:t>ii:</w:t>
      </w:r>
    </w:p>
    <w:p w:rsidR="007E1AE4" w:rsidRPr="00AC77E9" w:rsidRDefault="007E1AE4" w:rsidP="00440366">
      <w:pPr>
        <w:pStyle w:val="Point1letter"/>
        <w:numPr>
          <w:ilvl w:val="3"/>
          <w:numId w:val="18"/>
        </w:numPr>
      </w:pPr>
      <w:r w:rsidRPr="00AC77E9">
        <w:t>data de referin</w:t>
      </w:r>
      <w:r w:rsidR="00241C39">
        <w:t>ț</w:t>
      </w:r>
      <w:r w:rsidRPr="00AC77E9">
        <w:t>ă pentru transmiterea informa</w:t>
      </w:r>
      <w:r w:rsidR="00241C39">
        <w:t>ț</w:t>
      </w:r>
      <w:r w:rsidRPr="00AC77E9">
        <w:t>iilor;</w:t>
      </w:r>
    </w:p>
    <w:p w:rsidR="007E1AE4" w:rsidRPr="00AC77E9" w:rsidRDefault="007E1AE4" w:rsidP="00AE1240">
      <w:pPr>
        <w:pStyle w:val="Point1letter"/>
      </w:pPr>
      <w:r w:rsidRPr="00AC77E9">
        <w:t>moneda de raportare;</w:t>
      </w:r>
    </w:p>
    <w:p w:rsidR="007E1AE4" w:rsidRPr="00AC77E9" w:rsidRDefault="007E1AE4" w:rsidP="00AE1240">
      <w:pPr>
        <w:pStyle w:val="Point1letter"/>
      </w:pPr>
      <w:r w:rsidRPr="00AC77E9">
        <w:t>standardele contabile aplicabile;</w:t>
      </w:r>
    </w:p>
    <w:p w:rsidR="007E1AE4" w:rsidRPr="00AC77E9" w:rsidRDefault="007E1AE4" w:rsidP="00AE1240">
      <w:pPr>
        <w:pStyle w:val="Point1letter"/>
      </w:pPr>
      <w:r w:rsidRPr="00AC77E9">
        <w:t>identificatorul entită</w:t>
      </w:r>
      <w:r w:rsidR="00241C39">
        <w:t>ț</w:t>
      </w:r>
      <w:r w:rsidRPr="00AC77E9">
        <w:t>ii raportoare;</w:t>
      </w:r>
    </w:p>
    <w:p w:rsidR="007E1AE4" w:rsidRPr="00AC77E9" w:rsidRDefault="007E1AE4" w:rsidP="00AE1240">
      <w:pPr>
        <w:pStyle w:val="Point1letter"/>
      </w:pPr>
      <w:r w:rsidRPr="00AC77E9">
        <w:t>nivelul de consolidare a informa</w:t>
      </w:r>
      <w:r w:rsidR="00241C39">
        <w:t>ț</w:t>
      </w:r>
      <w:r w:rsidRPr="00AC77E9">
        <w:t>iilor, în conformitate cu articolul </w:t>
      </w:r>
      <w:r w:rsidRPr="005405A2">
        <w:t>4</w:t>
      </w:r>
      <w:r w:rsidRPr="00AC77E9">
        <w:t>.</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7</w:t>
      </w:r>
      <w:r w:rsidRPr="00AC77E9">
        <w:rPr>
          <w:color w:val="000000" w:themeColor="text1"/>
        </w:rPr>
        <w:br/>
        <w:t>Furnizarea de informa</w:t>
      </w:r>
      <w:r w:rsidR="00241C39">
        <w:rPr>
          <w:color w:val="000000" w:themeColor="text1"/>
        </w:rPr>
        <w:t>ț</w:t>
      </w:r>
      <w:r w:rsidRPr="00AC77E9">
        <w:rPr>
          <w:color w:val="000000" w:themeColor="text1"/>
        </w:rPr>
        <w:t>ii suplimentare în vederea planurilor de rezolu</w:t>
      </w:r>
      <w:r w:rsidR="00241C39">
        <w:rPr>
          <w:color w:val="000000" w:themeColor="text1"/>
        </w:rPr>
        <w:t>ț</w:t>
      </w:r>
      <w:r w:rsidRPr="00AC77E9">
        <w:rPr>
          <w:color w:val="000000" w:themeColor="text1"/>
        </w:rPr>
        <w:t>ie individualizate sau a planurilor de rezolu</w:t>
      </w:r>
      <w:r w:rsidR="00241C39">
        <w:rPr>
          <w:color w:val="000000" w:themeColor="text1"/>
        </w:rPr>
        <w:t>ț</w:t>
      </w:r>
      <w:r w:rsidRPr="00AC77E9">
        <w:rPr>
          <w:color w:val="000000" w:themeColor="text1"/>
        </w:rPr>
        <w:t>ie a grupurilor</w:t>
      </w:r>
    </w:p>
    <w:p w:rsidR="00B90FAF" w:rsidRPr="00AC77E9" w:rsidRDefault="00B90FAF" w:rsidP="006973C7">
      <w:pPr>
        <w:pStyle w:val="NumPar1"/>
        <w:numPr>
          <w:ilvl w:val="0"/>
          <w:numId w:val="20"/>
        </w:numPr>
      </w:pPr>
      <w:r w:rsidRPr="00AC77E9">
        <w:t>În cazul în care o autoritate de rezolu</w:t>
      </w:r>
      <w:r w:rsidR="00241C39">
        <w:t>ț</w:t>
      </w:r>
      <w:r w:rsidRPr="00AC77E9">
        <w:t>ie sau o autoritate de rezolu</w:t>
      </w:r>
      <w:r w:rsidR="00241C39">
        <w:t>ț</w:t>
      </w:r>
      <w:r w:rsidRPr="00AC77E9">
        <w:t>ie a grupului consideră că anumite informa</w:t>
      </w:r>
      <w:r w:rsidR="00241C39">
        <w:t>ț</w:t>
      </w:r>
      <w:r w:rsidRPr="00AC77E9">
        <w:t xml:space="preserve">ii care nu sunt acoperite de nicio machetă prevăzută în anexa I sunt necesare în scopul elaborării </w:t>
      </w:r>
      <w:r w:rsidR="00241C39">
        <w:t>ș</w:t>
      </w:r>
      <w:r w:rsidRPr="00AC77E9">
        <w:t>i punerii în aplicare a planurilor de rezolu</w:t>
      </w:r>
      <w:r w:rsidR="00241C39">
        <w:t>ț</w:t>
      </w:r>
      <w:r w:rsidRPr="00AC77E9">
        <w:t>ie sau în cazul în care formatul în care sunt furnizate informa</w:t>
      </w:r>
      <w:r w:rsidR="00241C39">
        <w:t>ț</w:t>
      </w:r>
      <w:r w:rsidRPr="00AC77E9">
        <w:t>ii suplimentare de către autoritatea competentă în temeiul articolului </w:t>
      </w:r>
      <w:r w:rsidRPr="005405A2">
        <w:t>8</w:t>
      </w:r>
      <w:r w:rsidRPr="00AC77E9">
        <w:t xml:space="preserve"> alineatul (</w:t>
      </w:r>
      <w:r w:rsidRPr="005405A2">
        <w:t>2</w:t>
      </w:r>
      <w:r w:rsidRPr="00AC77E9">
        <w:t>) nu este adecvat în scopul elaborării sau punerii în aplicare a planurilor de rezolu</w:t>
      </w:r>
      <w:r w:rsidR="00241C39">
        <w:t>ț</w:t>
      </w:r>
      <w:r w:rsidRPr="00AC77E9">
        <w:t>ie, autoritatea de rezolu</w:t>
      </w:r>
      <w:r w:rsidR="00241C39">
        <w:t>ț</w:t>
      </w:r>
      <w:r w:rsidRPr="00AC77E9">
        <w:t>ie solicită astfel de informa</w:t>
      </w:r>
      <w:r w:rsidR="00241C39">
        <w:t>ț</w:t>
      </w:r>
      <w:r w:rsidRPr="00AC77E9">
        <w:t>ii de la institu</w:t>
      </w:r>
      <w:r w:rsidR="00241C39">
        <w:t>ț</w:t>
      </w:r>
      <w:r w:rsidRPr="00AC77E9">
        <w:t>ia sau întreprinderea-mamă din Uniune în cauză.</w:t>
      </w:r>
    </w:p>
    <w:p w:rsidR="00B90FAF" w:rsidRPr="00AC77E9" w:rsidRDefault="00B90FAF" w:rsidP="00AE1240">
      <w:pPr>
        <w:pStyle w:val="NumPar1"/>
      </w:pPr>
      <w:r w:rsidRPr="00AC77E9">
        <w:t>În scopul solicitării prevăzute la alineatul (</w:t>
      </w:r>
      <w:r w:rsidRPr="005405A2">
        <w:t>1</w:t>
      </w:r>
      <w:r w:rsidRPr="00AC77E9">
        <w:t>), autoritatea de rezolu</w:t>
      </w:r>
      <w:r w:rsidR="00241C39">
        <w:t>ț</w:t>
      </w:r>
      <w:r w:rsidRPr="00AC77E9">
        <w:t>ie:</w:t>
      </w:r>
    </w:p>
    <w:p w:rsidR="00B90FAF" w:rsidRPr="00AC77E9" w:rsidRDefault="00B90FAF" w:rsidP="00440366">
      <w:pPr>
        <w:pStyle w:val="Point1letter"/>
        <w:numPr>
          <w:ilvl w:val="3"/>
          <w:numId w:val="19"/>
        </w:numPr>
      </w:pPr>
      <w:r w:rsidRPr="00AC77E9">
        <w:t>identifică informa</w:t>
      </w:r>
      <w:r w:rsidR="00241C39">
        <w:t>ț</w:t>
      </w:r>
      <w:r w:rsidRPr="00AC77E9">
        <w:t>iile suplimentare care trebuie furnizate;</w:t>
      </w:r>
    </w:p>
    <w:p w:rsidR="00B90FAF" w:rsidRPr="00AC77E9" w:rsidRDefault="00B90FAF" w:rsidP="00440366">
      <w:pPr>
        <w:pStyle w:val="Point1letter"/>
        <w:numPr>
          <w:ilvl w:val="3"/>
          <w:numId w:val="19"/>
        </w:numPr>
      </w:pPr>
      <w:r w:rsidRPr="00AC77E9">
        <w:t xml:space="preserve">precizează, luând în considerare volumul </w:t>
      </w:r>
      <w:r w:rsidR="00241C39">
        <w:t>ș</w:t>
      </w:r>
      <w:r w:rsidRPr="00AC77E9">
        <w:t>i complexitatea informa</w:t>
      </w:r>
      <w:r w:rsidR="00241C39">
        <w:t>ț</w:t>
      </w:r>
      <w:r w:rsidRPr="00AC77E9">
        <w:t>iilor solicitate, termenul adecvat pe care îl are la dispozi</w:t>
      </w:r>
      <w:r w:rsidR="00241C39">
        <w:t>ț</w:t>
      </w:r>
      <w:r w:rsidRPr="00AC77E9">
        <w:t>ie institu</w:t>
      </w:r>
      <w:r w:rsidR="00241C39">
        <w:t>ț</w:t>
      </w:r>
      <w:r w:rsidRPr="00AC77E9">
        <w:t>ia sau, în cazul grupurilor, întreprinderea-mamă din Uniune pentru a furniza informa</w:t>
      </w:r>
      <w:r w:rsidR="00241C39">
        <w:t>ț</w:t>
      </w:r>
      <w:r w:rsidRPr="00AC77E9">
        <w:t>iile autorită</w:t>
      </w:r>
      <w:r w:rsidR="00241C39">
        <w:t>ț</w:t>
      </w:r>
      <w:r w:rsidRPr="00AC77E9">
        <w:t>ii de rezolu</w:t>
      </w:r>
      <w:r w:rsidR="00241C39">
        <w:t>ț</w:t>
      </w:r>
      <w:r w:rsidRPr="00AC77E9">
        <w:t>ie;</w:t>
      </w:r>
    </w:p>
    <w:p w:rsidR="00B90FAF" w:rsidRPr="00AC77E9" w:rsidRDefault="00B90FAF" w:rsidP="00440366">
      <w:pPr>
        <w:pStyle w:val="Point1letter"/>
        <w:numPr>
          <w:ilvl w:val="3"/>
          <w:numId w:val="19"/>
        </w:numPr>
      </w:pPr>
      <w:r w:rsidRPr="00AC77E9">
        <w:t>indică formatul care trebuie utilizat de către institu</w:t>
      </w:r>
      <w:r w:rsidR="00241C39">
        <w:t>ț</w:t>
      </w:r>
      <w:r w:rsidRPr="00AC77E9">
        <w:t>ii sau, în cazul grupurilor, de întreprinderile-mamă din Uniune pentru a furniza informa</w:t>
      </w:r>
      <w:r w:rsidR="00241C39">
        <w:t>ț</w:t>
      </w:r>
      <w:r w:rsidRPr="00AC77E9">
        <w:t>iile autorită</w:t>
      </w:r>
      <w:r w:rsidR="00241C39">
        <w:t>ț</w:t>
      </w:r>
      <w:r w:rsidRPr="00AC77E9">
        <w:t>ii de rezolu</w:t>
      </w:r>
      <w:r w:rsidR="00241C39">
        <w:t>ț</w:t>
      </w:r>
      <w:r w:rsidRPr="00AC77E9">
        <w:t>ie;</w:t>
      </w:r>
    </w:p>
    <w:p w:rsidR="00B90FAF" w:rsidRPr="00AC77E9" w:rsidRDefault="00B90FAF" w:rsidP="00440366">
      <w:pPr>
        <w:pStyle w:val="Point1letter"/>
        <w:numPr>
          <w:ilvl w:val="3"/>
          <w:numId w:val="19"/>
        </w:numPr>
      </w:pPr>
      <w:r w:rsidRPr="00AC77E9">
        <w:t>precizează dacă informa</w:t>
      </w:r>
      <w:r w:rsidR="00241C39">
        <w:t>ț</w:t>
      </w:r>
      <w:r w:rsidRPr="00AC77E9">
        <w:t xml:space="preserve">iile trebuie să fie completate la nivel individual sau la nivel de grup, precum </w:t>
      </w:r>
      <w:r w:rsidR="00241C39">
        <w:t>ș</w:t>
      </w:r>
      <w:r w:rsidRPr="00AC77E9">
        <w:t>i dacă domeniul lor de aplicare teritorial este local, la nivelul Uniunii sau mondial;</w:t>
      </w:r>
    </w:p>
    <w:p w:rsidR="00B90FAF" w:rsidRPr="00AC77E9" w:rsidRDefault="00B90FAF" w:rsidP="00440366">
      <w:pPr>
        <w:pStyle w:val="Point1letter"/>
        <w:numPr>
          <w:ilvl w:val="3"/>
          <w:numId w:val="19"/>
        </w:numPr>
      </w:pPr>
      <w:r w:rsidRPr="00AC77E9">
        <w:t>furnizează detaliile de contact necesare în vederea prezentării informa</w:t>
      </w:r>
      <w:r w:rsidR="00241C39">
        <w:t>ț</w:t>
      </w:r>
      <w:r w:rsidRPr="00AC77E9">
        <w:t>iilor suplimentare.</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8</w:t>
      </w:r>
      <w:r w:rsidRPr="00AC77E9">
        <w:rPr>
          <w:color w:val="000000" w:themeColor="text1"/>
        </w:rPr>
        <w:br/>
        <w:t>Cooperarea dintre autorită</w:t>
      </w:r>
      <w:r w:rsidR="00241C39">
        <w:rPr>
          <w:color w:val="000000" w:themeColor="text1"/>
        </w:rPr>
        <w:t>ț</w:t>
      </w:r>
      <w:r w:rsidRPr="00AC77E9">
        <w:rPr>
          <w:color w:val="000000" w:themeColor="text1"/>
        </w:rPr>
        <w:t xml:space="preserve">ile competente </w:t>
      </w:r>
      <w:r w:rsidR="00241C39">
        <w:rPr>
          <w:color w:val="000000" w:themeColor="text1"/>
        </w:rPr>
        <w:t>ș</w:t>
      </w:r>
      <w:r w:rsidRPr="00AC77E9">
        <w:rPr>
          <w:color w:val="000000" w:themeColor="text1"/>
        </w:rPr>
        <w:t>i cele de rezolu</w:t>
      </w:r>
      <w:r w:rsidR="00241C39">
        <w:rPr>
          <w:color w:val="000000" w:themeColor="text1"/>
        </w:rPr>
        <w:t>ț</w:t>
      </w:r>
      <w:r w:rsidRPr="00AC77E9">
        <w:rPr>
          <w:color w:val="000000" w:themeColor="text1"/>
        </w:rPr>
        <w:t>ie</w:t>
      </w:r>
    </w:p>
    <w:p w:rsidR="007E1AE4" w:rsidRPr="00AC77E9" w:rsidRDefault="007E1AE4" w:rsidP="00440366">
      <w:pPr>
        <w:pStyle w:val="NumPar1"/>
        <w:numPr>
          <w:ilvl w:val="0"/>
          <w:numId w:val="5"/>
        </w:numPr>
        <w:rPr>
          <w:color w:val="000000" w:themeColor="text1"/>
        </w:rPr>
      </w:pPr>
      <w:r w:rsidRPr="00AC77E9">
        <w:rPr>
          <w:color w:val="000000" w:themeColor="text1"/>
        </w:rPr>
        <w:t>Autorită</w:t>
      </w:r>
      <w:r w:rsidR="00241C39">
        <w:rPr>
          <w:color w:val="000000" w:themeColor="text1"/>
        </w:rPr>
        <w:t>ț</w:t>
      </w:r>
      <w:r w:rsidRPr="00AC77E9">
        <w:rPr>
          <w:color w:val="000000" w:themeColor="text1"/>
        </w:rPr>
        <w:t xml:space="preserve">ile competente </w:t>
      </w:r>
      <w:r w:rsidR="00241C39">
        <w:rPr>
          <w:color w:val="000000" w:themeColor="text1"/>
        </w:rPr>
        <w:t>ș</w:t>
      </w:r>
      <w:r w:rsidRPr="00AC77E9">
        <w:rPr>
          <w:color w:val="000000" w:themeColor="text1"/>
        </w:rPr>
        <w:t>i autorită</w:t>
      </w:r>
      <w:r w:rsidR="00241C39">
        <w:rPr>
          <w:color w:val="000000" w:themeColor="text1"/>
        </w:rPr>
        <w:t>ț</w:t>
      </w:r>
      <w:r w:rsidRPr="00AC77E9">
        <w:rPr>
          <w:color w:val="000000" w:themeColor="text1"/>
        </w:rPr>
        <w:t>ile de rezolu</w:t>
      </w:r>
      <w:r w:rsidR="00241C39">
        <w:rPr>
          <w:color w:val="000000" w:themeColor="text1"/>
        </w:rPr>
        <w:t>ț</w:t>
      </w:r>
      <w:r w:rsidRPr="00AC77E9">
        <w:rPr>
          <w:color w:val="000000" w:themeColor="text1"/>
        </w:rPr>
        <w:t>ie verifică împreună dacă informa</w:t>
      </w:r>
      <w:r w:rsidR="00241C39">
        <w:rPr>
          <w:color w:val="000000" w:themeColor="text1"/>
        </w:rPr>
        <w:t>ț</w:t>
      </w:r>
      <w:r w:rsidRPr="00AC77E9">
        <w:rPr>
          <w:color w:val="000000" w:themeColor="text1"/>
        </w:rPr>
        <w:t>iile care trebuie furnizate autorită</w:t>
      </w:r>
      <w:r w:rsidR="00241C39">
        <w:rPr>
          <w:color w:val="000000" w:themeColor="text1"/>
        </w:rPr>
        <w:t>ț</w:t>
      </w:r>
      <w:r w:rsidRPr="00AC77E9">
        <w:rPr>
          <w:color w:val="000000" w:themeColor="text1"/>
        </w:rPr>
        <w:t>ii de rezolu</w:t>
      </w:r>
      <w:r w:rsidR="00241C39">
        <w:rPr>
          <w:color w:val="000000" w:themeColor="text1"/>
        </w:rPr>
        <w:t>ț</w:t>
      </w:r>
      <w:r w:rsidRPr="00AC77E9">
        <w:rPr>
          <w:color w:val="000000" w:themeColor="text1"/>
        </w:rPr>
        <w:t>ie în temeiul articolului </w:t>
      </w:r>
      <w:r w:rsidRPr="005405A2">
        <w:rPr>
          <w:color w:val="000000" w:themeColor="text1"/>
        </w:rPr>
        <w:t>3</w:t>
      </w:r>
      <w:r w:rsidRPr="00AC77E9">
        <w:rPr>
          <w:color w:val="000000" w:themeColor="text1"/>
        </w:rPr>
        <w:t xml:space="preserve"> alineatul (</w:t>
      </w:r>
      <w:r w:rsidRPr="005405A2">
        <w:rPr>
          <w:color w:val="000000" w:themeColor="text1"/>
        </w:rPr>
        <w:t>1</w:t>
      </w:r>
      <w:r w:rsidRPr="00AC77E9">
        <w:rPr>
          <w:color w:val="000000" w:themeColor="text1"/>
        </w:rPr>
        <w:t xml:space="preserve">) </w:t>
      </w:r>
      <w:r w:rsidR="00241C39">
        <w:rPr>
          <w:color w:val="000000" w:themeColor="text1"/>
        </w:rPr>
        <w:t>ș</w:t>
      </w:r>
      <w:r w:rsidRPr="00AC77E9">
        <w:rPr>
          <w:color w:val="000000" w:themeColor="text1"/>
        </w:rPr>
        <w:t>i al articolului </w:t>
      </w:r>
      <w:r w:rsidRPr="005405A2">
        <w:rPr>
          <w:color w:val="000000" w:themeColor="text1"/>
        </w:rPr>
        <w:t>7</w:t>
      </w:r>
      <w:r w:rsidRPr="00AC77E9">
        <w:rPr>
          <w:color w:val="000000" w:themeColor="text1"/>
        </w:rPr>
        <w:t xml:space="preserve"> se află deja, par</w:t>
      </w:r>
      <w:r w:rsidR="00241C39">
        <w:rPr>
          <w:color w:val="000000" w:themeColor="text1"/>
        </w:rPr>
        <w:t>ț</w:t>
      </w:r>
      <w:r w:rsidRPr="00AC77E9">
        <w:rPr>
          <w:color w:val="000000" w:themeColor="text1"/>
        </w:rPr>
        <w:t>ial sau integral, la dispozi</w:t>
      </w:r>
      <w:r w:rsidR="00241C39">
        <w:rPr>
          <w:color w:val="000000" w:themeColor="text1"/>
        </w:rPr>
        <w:t>ț</w:t>
      </w:r>
      <w:r w:rsidRPr="00AC77E9">
        <w:rPr>
          <w:color w:val="000000" w:themeColor="text1"/>
        </w:rPr>
        <w:t>ia autorită</w:t>
      </w:r>
      <w:r w:rsidR="00241C39">
        <w:rPr>
          <w:color w:val="000000" w:themeColor="text1"/>
        </w:rPr>
        <w:t>ț</w:t>
      </w:r>
      <w:r w:rsidRPr="00AC77E9">
        <w:rPr>
          <w:color w:val="000000" w:themeColor="text1"/>
        </w:rPr>
        <w:t>ii competente.</w:t>
      </w:r>
    </w:p>
    <w:p w:rsidR="007E1AE4" w:rsidRPr="00AC77E9" w:rsidRDefault="007E1AE4" w:rsidP="00440366">
      <w:pPr>
        <w:pStyle w:val="NumPar1"/>
        <w:numPr>
          <w:ilvl w:val="0"/>
          <w:numId w:val="5"/>
        </w:numPr>
        <w:rPr>
          <w:color w:val="000000" w:themeColor="text1"/>
        </w:rPr>
      </w:pPr>
      <w:r w:rsidRPr="00AC77E9">
        <w:rPr>
          <w:color w:val="000000" w:themeColor="text1"/>
        </w:rPr>
        <w:t>Dacă informa</w:t>
      </w:r>
      <w:r w:rsidR="00241C39">
        <w:rPr>
          <w:color w:val="000000" w:themeColor="text1"/>
        </w:rPr>
        <w:t>ț</w:t>
      </w:r>
      <w:r w:rsidRPr="00AC77E9">
        <w:rPr>
          <w:color w:val="000000" w:themeColor="text1"/>
        </w:rPr>
        <w:t>iile se află deja, par</w:t>
      </w:r>
      <w:r w:rsidR="00241C39">
        <w:rPr>
          <w:color w:val="000000" w:themeColor="text1"/>
        </w:rPr>
        <w:t>ț</w:t>
      </w:r>
      <w:r w:rsidRPr="00AC77E9">
        <w:rPr>
          <w:color w:val="000000" w:themeColor="text1"/>
        </w:rPr>
        <w:t>ial sau integral, la dispozi</w:t>
      </w:r>
      <w:r w:rsidR="00241C39">
        <w:rPr>
          <w:color w:val="000000" w:themeColor="text1"/>
        </w:rPr>
        <w:t>ț</w:t>
      </w:r>
      <w:r w:rsidRPr="00AC77E9">
        <w:rPr>
          <w:color w:val="000000" w:themeColor="text1"/>
        </w:rPr>
        <w:t>ia autorită</w:t>
      </w:r>
      <w:r w:rsidR="00241C39">
        <w:rPr>
          <w:color w:val="000000" w:themeColor="text1"/>
        </w:rPr>
        <w:t>ț</w:t>
      </w:r>
      <w:r w:rsidRPr="00AC77E9">
        <w:rPr>
          <w:color w:val="000000" w:themeColor="text1"/>
        </w:rPr>
        <w:t>ii competente, autoritatea respectivă furnizează informa</w:t>
      </w:r>
      <w:r w:rsidR="00241C39">
        <w:rPr>
          <w:color w:val="000000" w:themeColor="text1"/>
        </w:rPr>
        <w:t>ț</w:t>
      </w:r>
      <w:r w:rsidRPr="00AC77E9">
        <w:rPr>
          <w:color w:val="000000" w:themeColor="text1"/>
        </w:rPr>
        <w:t>iile în chestiune autorită</w:t>
      </w:r>
      <w:r w:rsidR="00241C39">
        <w:rPr>
          <w:color w:val="000000" w:themeColor="text1"/>
        </w:rPr>
        <w:t>ț</w:t>
      </w:r>
      <w:r w:rsidRPr="00AC77E9">
        <w:rPr>
          <w:color w:val="000000" w:themeColor="text1"/>
        </w:rPr>
        <w:t>ii de rezolu</w:t>
      </w:r>
      <w:r w:rsidR="00241C39">
        <w:rPr>
          <w:color w:val="000000" w:themeColor="text1"/>
        </w:rPr>
        <w:t>ț</w:t>
      </w:r>
      <w:r w:rsidRPr="00AC77E9">
        <w:rPr>
          <w:color w:val="000000" w:themeColor="text1"/>
        </w:rPr>
        <w:t xml:space="preserve">ie în timp util. </w:t>
      </w:r>
    </w:p>
    <w:p w:rsidR="00A05A75" w:rsidRPr="00AC77E9" w:rsidRDefault="007E1AE4" w:rsidP="00AE1240">
      <w:pPr>
        <w:pStyle w:val="NumPar1"/>
        <w:rPr>
          <w:color w:val="000000" w:themeColor="text1"/>
        </w:rPr>
      </w:pPr>
      <w:r w:rsidRPr="00AC77E9">
        <w:rPr>
          <w:color w:val="000000" w:themeColor="text1"/>
        </w:rPr>
        <w:t>În cazul men</w:t>
      </w:r>
      <w:r w:rsidR="00241C39">
        <w:rPr>
          <w:color w:val="000000" w:themeColor="text1"/>
        </w:rPr>
        <w:t>ț</w:t>
      </w:r>
      <w:r w:rsidRPr="00AC77E9">
        <w:rPr>
          <w:color w:val="000000" w:themeColor="text1"/>
        </w:rPr>
        <w:t>ionat la alineatul (</w:t>
      </w:r>
      <w:r w:rsidRPr="005405A2">
        <w:rPr>
          <w:color w:val="000000" w:themeColor="text1"/>
        </w:rPr>
        <w:t>2</w:t>
      </w:r>
      <w:r w:rsidRPr="00AC77E9">
        <w:rPr>
          <w:color w:val="000000" w:themeColor="text1"/>
        </w:rPr>
        <w:t>), autorită</w:t>
      </w:r>
      <w:r w:rsidR="00241C39">
        <w:rPr>
          <w:color w:val="000000" w:themeColor="text1"/>
        </w:rPr>
        <w:t>ț</w:t>
      </w:r>
      <w:r w:rsidRPr="00AC77E9">
        <w:rPr>
          <w:color w:val="000000" w:themeColor="text1"/>
        </w:rPr>
        <w:t>ile de rezolu</w:t>
      </w:r>
      <w:r w:rsidR="00241C39">
        <w:rPr>
          <w:color w:val="000000" w:themeColor="text1"/>
        </w:rPr>
        <w:t>ț</w:t>
      </w:r>
      <w:r w:rsidRPr="00AC77E9">
        <w:rPr>
          <w:color w:val="000000" w:themeColor="text1"/>
        </w:rPr>
        <w:t>ie se asigură că institu</w:t>
      </w:r>
      <w:r w:rsidR="00241C39">
        <w:rPr>
          <w:color w:val="000000" w:themeColor="text1"/>
        </w:rPr>
        <w:t>ț</w:t>
      </w:r>
      <w:r w:rsidRPr="00AC77E9">
        <w:rPr>
          <w:color w:val="000000" w:themeColor="text1"/>
        </w:rPr>
        <w:t>iile sau, în cazul grupurilor, întreprinderile-mamă din Uniune sunt informate în legătură cu informa</w:t>
      </w:r>
      <w:r w:rsidR="00241C39">
        <w:rPr>
          <w:color w:val="000000" w:themeColor="text1"/>
        </w:rPr>
        <w:t>ț</w:t>
      </w:r>
      <w:r w:rsidRPr="00AC77E9">
        <w:rPr>
          <w:color w:val="000000" w:themeColor="text1"/>
        </w:rPr>
        <w:t>iile care trebuie incluse în mod obligatoriu la transmiterea informa</w:t>
      </w:r>
      <w:r w:rsidR="00241C39">
        <w:rPr>
          <w:color w:val="000000" w:themeColor="text1"/>
        </w:rPr>
        <w:t>ț</w:t>
      </w:r>
      <w:r w:rsidRPr="00AC77E9">
        <w:rPr>
          <w:color w:val="000000" w:themeColor="text1"/>
        </w:rPr>
        <w:t>iilor în temeiul articolului </w:t>
      </w:r>
      <w:r w:rsidRPr="005405A2">
        <w:rPr>
          <w:color w:val="000000" w:themeColor="text1"/>
        </w:rPr>
        <w:t>3</w:t>
      </w:r>
      <w:r w:rsidRPr="00AC77E9">
        <w:rPr>
          <w:color w:val="000000" w:themeColor="text1"/>
        </w:rPr>
        <w:t xml:space="preserve"> alineatul (</w:t>
      </w:r>
      <w:r w:rsidRPr="005405A2">
        <w:rPr>
          <w:color w:val="000000" w:themeColor="text1"/>
        </w:rPr>
        <w:t>1</w:t>
      </w:r>
      <w:r w:rsidRPr="00AC77E9">
        <w:rPr>
          <w:color w:val="000000" w:themeColor="text1"/>
        </w:rPr>
        <w:t>). Autorită</w:t>
      </w:r>
      <w:r w:rsidR="00241C39">
        <w:rPr>
          <w:color w:val="000000" w:themeColor="text1"/>
        </w:rPr>
        <w:t>ț</w:t>
      </w:r>
      <w:r w:rsidRPr="00AC77E9">
        <w:rPr>
          <w:color w:val="000000" w:themeColor="text1"/>
        </w:rPr>
        <w:t>ile de rezolu</w:t>
      </w:r>
      <w:r w:rsidR="00241C39">
        <w:rPr>
          <w:color w:val="000000" w:themeColor="text1"/>
        </w:rPr>
        <w:t>ț</w:t>
      </w:r>
      <w:r w:rsidRPr="00AC77E9">
        <w:rPr>
          <w:color w:val="000000" w:themeColor="text1"/>
        </w:rPr>
        <w:t>ie identifică aceste informa</w:t>
      </w:r>
      <w:r w:rsidR="00241C39">
        <w:rPr>
          <w:color w:val="000000" w:themeColor="text1"/>
        </w:rPr>
        <w:t>ț</w:t>
      </w:r>
      <w:r w:rsidRPr="00AC77E9">
        <w:rPr>
          <w:color w:val="000000" w:themeColor="text1"/>
        </w:rPr>
        <w:t>ii făcând trimiteri la machetele prevăzute în anexa I.</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9</w:t>
      </w:r>
      <w:r w:rsidRPr="00AC77E9">
        <w:rPr>
          <w:color w:val="000000" w:themeColor="text1"/>
        </w:rPr>
        <w:br/>
        <w:t>Perioada de tranzi</w:t>
      </w:r>
      <w:r w:rsidR="00241C39">
        <w:rPr>
          <w:color w:val="000000" w:themeColor="text1"/>
        </w:rPr>
        <w:t>ț</w:t>
      </w:r>
      <w:r w:rsidRPr="00AC77E9">
        <w:rPr>
          <w:color w:val="000000" w:themeColor="text1"/>
        </w:rPr>
        <w:t>ie</w:t>
      </w:r>
    </w:p>
    <w:p w:rsidR="007E1AE4" w:rsidRPr="00AC77E9" w:rsidRDefault="007E1AE4" w:rsidP="00440366">
      <w:pPr>
        <w:pStyle w:val="NumPar1"/>
        <w:numPr>
          <w:ilvl w:val="0"/>
          <w:numId w:val="6"/>
        </w:numPr>
        <w:rPr>
          <w:color w:val="000000" w:themeColor="text1"/>
        </w:rPr>
      </w:pPr>
      <w:r w:rsidRPr="00AC77E9">
        <w:rPr>
          <w:color w:val="000000" w:themeColor="text1"/>
        </w:rPr>
        <w:t>Prin derogare de la dispozi</w:t>
      </w:r>
      <w:r w:rsidR="00241C39">
        <w:rPr>
          <w:color w:val="000000" w:themeColor="text1"/>
        </w:rPr>
        <w:t>ț</w:t>
      </w:r>
      <w:r w:rsidRPr="00AC77E9">
        <w:rPr>
          <w:color w:val="000000" w:themeColor="text1"/>
        </w:rPr>
        <w:t>iile articolului </w:t>
      </w:r>
      <w:r w:rsidRPr="005405A2">
        <w:rPr>
          <w:color w:val="000000" w:themeColor="text1"/>
        </w:rPr>
        <w:t>5</w:t>
      </w:r>
      <w:r w:rsidRPr="00AC77E9">
        <w:rPr>
          <w:color w:val="000000" w:themeColor="text1"/>
        </w:rPr>
        <w:t xml:space="preserve"> alineatul (</w:t>
      </w:r>
      <w:r w:rsidRPr="005405A2">
        <w:rPr>
          <w:color w:val="000000" w:themeColor="text1"/>
        </w:rPr>
        <w:t>1</w:t>
      </w:r>
      <w:r w:rsidRPr="00AC77E9">
        <w:rPr>
          <w:color w:val="000000" w:themeColor="text1"/>
        </w:rPr>
        <w:t>), pentru un exerci</w:t>
      </w:r>
      <w:r w:rsidR="00241C39">
        <w:rPr>
          <w:color w:val="000000" w:themeColor="text1"/>
        </w:rPr>
        <w:t>ț</w:t>
      </w:r>
      <w:r w:rsidRPr="00AC77E9">
        <w:rPr>
          <w:color w:val="000000" w:themeColor="text1"/>
        </w:rPr>
        <w:t xml:space="preserve">iu financiar care se încheie la o dată cuprinsă între </w:t>
      </w:r>
      <w:r w:rsidRPr="005405A2">
        <w:rPr>
          <w:color w:val="000000" w:themeColor="text1"/>
        </w:rPr>
        <w:t>1</w:t>
      </w:r>
      <w:r w:rsidRPr="00AC77E9">
        <w:rPr>
          <w:color w:val="000000" w:themeColor="text1"/>
        </w:rPr>
        <w:t xml:space="preserve"> ianuarie </w:t>
      </w:r>
      <w:r w:rsidR="00241C39">
        <w:rPr>
          <w:color w:val="000000" w:themeColor="text1"/>
        </w:rPr>
        <w:t>ș</w:t>
      </w:r>
      <w:r w:rsidRPr="00AC77E9">
        <w:rPr>
          <w:color w:val="000000" w:themeColor="text1"/>
        </w:rPr>
        <w:t xml:space="preserve">i </w:t>
      </w:r>
      <w:r w:rsidRPr="005405A2">
        <w:rPr>
          <w:color w:val="000000" w:themeColor="text1"/>
        </w:rPr>
        <w:t>31</w:t>
      </w:r>
      <w:r w:rsidRPr="00AC77E9">
        <w:rPr>
          <w:color w:val="000000" w:themeColor="text1"/>
        </w:rPr>
        <w:t xml:space="preserve"> decembrie </w:t>
      </w:r>
      <w:r w:rsidRPr="005405A2">
        <w:rPr>
          <w:color w:val="000000" w:themeColor="text1"/>
        </w:rPr>
        <w:t>2018</w:t>
      </w:r>
      <w:r w:rsidRPr="00AC77E9">
        <w:rPr>
          <w:color w:val="000000" w:themeColor="text1"/>
        </w:rPr>
        <w:t xml:space="preserve">, data de transmitere este </w:t>
      </w:r>
      <w:r w:rsidRPr="005405A2">
        <w:rPr>
          <w:color w:val="000000" w:themeColor="text1"/>
        </w:rPr>
        <w:t>31</w:t>
      </w:r>
      <w:r w:rsidRPr="00AC77E9">
        <w:rPr>
          <w:color w:val="000000" w:themeColor="text1"/>
        </w:rPr>
        <w:t xml:space="preserve"> mai </w:t>
      </w:r>
      <w:r w:rsidRPr="005405A2">
        <w:rPr>
          <w:color w:val="000000" w:themeColor="text1"/>
        </w:rPr>
        <w:t>2019</w:t>
      </w:r>
      <w:r w:rsidRPr="00AC77E9">
        <w:rPr>
          <w:color w:val="000000" w:themeColor="text1"/>
        </w:rPr>
        <w:t xml:space="preserve"> cel târziu.</w:t>
      </w:r>
    </w:p>
    <w:p w:rsidR="007E1AE4" w:rsidRPr="00AC77E9" w:rsidRDefault="007E1AE4" w:rsidP="00440366">
      <w:pPr>
        <w:pStyle w:val="NumPar1"/>
        <w:numPr>
          <w:ilvl w:val="0"/>
          <w:numId w:val="6"/>
        </w:numPr>
        <w:rPr>
          <w:color w:val="000000" w:themeColor="text1"/>
        </w:rPr>
      </w:pPr>
      <w:r w:rsidRPr="00AC77E9">
        <w:rPr>
          <w:color w:val="000000" w:themeColor="text1"/>
        </w:rPr>
        <w:t>Prin derogare de la dispozi</w:t>
      </w:r>
      <w:r w:rsidR="00241C39">
        <w:rPr>
          <w:color w:val="000000" w:themeColor="text1"/>
        </w:rPr>
        <w:t>ț</w:t>
      </w:r>
      <w:r w:rsidRPr="00AC77E9">
        <w:rPr>
          <w:color w:val="000000" w:themeColor="text1"/>
        </w:rPr>
        <w:t>iile articolului </w:t>
      </w:r>
      <w:r w:rsidRPr="005405A2">
        <w:rPr>
          <w:color w:val="000000" w:themeColor="text1"/>
        </w:rPr>
        <w:t>5</w:t>
      </w:r>
      <w:r w:rsidRPr="00AC77E9">
        <w:rPr>
          <w:color w:val="000000" w:themeColor="text1"/>
        </w:rPr>
        <w:t xml:space="preserve"> alineatul (</w:t>
      </w:r>
      <w:r w:rsidRPr="005405A2">
        <w:rPr>
          <w:color w:val="000000" w:themeColor="text1"/>
        </w:rPr>
        <w:t>1</w:t>
      </w:r>
      <w:r w:rsidRPr="00AC77E9">
        <w:rPr>
          <w:color w:val="000000" w:themeColor="text1"/>
        </w:rPr>
        <w:t>), pentru un exerci</w:t>
      </w:r>
      <w:r w:rsidR="00241C39">
        <w:rPr>
          <w:color w:val="000000" w:themeColor="text1"/>
        </w:rPr>
        <w:t>ț</w:t>
      </w:r>
      <w:r w:rsidRPr="00AC77E9">
        <w:rPr>
          <w:color w:val="000000" w:themeColor="text1"/>
        </w:rPr>
        <w:t xml:space="preserve">iu financiar care se încheie la o dată cuprinsă între </w:t>
      </w:r>
      <w:r w:rsidRPr="005405A2">
        <w:rPr>
          <w:color w:val="000000" w:themeColor="text1"/>
        </w:rPr>
        <w:t>1</w:t>
      </w:r>
      <w:r w:rsidRPr="00AC77E9">
        <w:rPr>
          <w:color w:val="000000" w:themeColor="text1"/>
        </w:rPr>
        <w:t xml:space="preserve"> ianuarie </w:t>
      </w:r>
      <w:r w:rsidR="00241C39">
        <w:rPr>
          <w:color w:val="000000" w:themeColor="text1"/>
        </w:rPr>
        <w:t>ș</w:t>
      </w:r>
      <w:r w:rsidRPr="00AC77E9">
        <w:rPr>
          <w:color w:val="000000" w:themeColor="text1"/>
        </w:rPr>
        <w:t xml:space="preserve">i </w:t>
      </w:r>
      <w:r w:rsidRPr="005405A2">
        <w:rPr>
          <w:color w:val="000000" w:themeColor="text1"/>
        </w:rPr>
        <w:t>31</w:t>
      </w:r>
      <w:r w:rsidRPr="00AC77E9">
        <w:rPr>
          <w:color w:val="000000" w:themeColor="text1"/>
        </w:rPr>
        <w:t xml:space="preserve"> decembrie </w:t>
      </w:r>
      <w:r w:rsidRPr="005405A2">
        <w:rPr>
          <w:color w:val="000000" w:themeColor="text1"/>
        </w:rPr>
        <w:t>2019</w:t>
      </w:r>
      <w:r w:rsidRPr="00AC77E9">
        <w:rPr>
          <w:color w:val="000000" w:themeColor="text1"/>
        </w:rPr>
        <w:t xml:space="preserve">, data de transmitere este </w:t>
      </w:r>
      <w:r w:rsidRPr="005405A2">
        <w:rPr>
          <w:color w:val="000000" w:themeColor="text1"/>
        </w:rPr>
        <w:t>30</w:t>
      </w:r>
      <w:r w:rsidRPr="00AC77E9">
        <w:rPr>
          <w:color w:val="000000" w:themeColor="text1"/>
        </w:rPr>
        <w:t xml:space="preserve"> aprilie </w:t>
      </w:r>
      <w:r w:rsidRPr="005405A2">
        <w:rPr>
          <w:color w:val="000000" w:themeColor="text1"/>
        </w:rPr>
        <w:t>2020</w:t>
      </w:r>
      <w:r w:rsidRPr="00AC77E9">
        <w:rPr>
          <w:color w:val="000000" w:themeColor="text1"/>
        </w:rPr>
        <w:t xml:space="preserve"> cel târziu.</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rPr>
          <w:color w:val="000000" w:themeColor="text1"/>
        </w:rPr>
        <w:t>10</w:t>
      </w:r>
      <w:r w:rsidRPr="00AC77E9">
        <w:rPr>
          <w:color w:val="000000" w:themeColor="text1"/>
        </w:rPr>
        <w:br/>
        <w:t>Abrogare</w:t>
      </w:r>
    </w:p>
    <w:p w:rsidR="007E1AE4" w:rsidRPr="00AC77E9" w:rsidRDefault="007E1AE4" w:rsidP="007E1AE4">
      <w:pPr>
        <w:rPr>
          <w:color w:val="000000" w:themeColor="text1"/>
        </w:rPr>
      </w:pPr>
      <w:r w:rsidRPr="00AC77E9">
        <w:rPr>
          <w:color w:val="000000" w:themeColor="text1"/>
        </w:rPr>
        <w:t xml:space="preserve">Regulamentul de punere în aplicare (UE) </w:t>
      </w:r>
      <w:r w:rsidRPr="005405A2">
        <w:rPr>
          <w:color w:val="000000" w:themeColor="text1"/>
        </w:rPr>
        <w:t>2016</w:t>
      </w:r>
      <w:r w:rsidRPr="00AC77E9">
        <w:rPr>
          <w:color w:val="000000" w:themeColor="text1"/>
        </w:rPr>
        <w:t>/</w:t>
      </w:r>
      <w:r w:rsidRPr="005405A2">
        <w:rPr>
          <w:color w:val="000000" w:themeColor="text1"/>
        </w:rPr>
        <w:t>1066</w:t>
      </w:r>
      <w:r w:rsidRPr="00AC77E9">
        <w:rPr>
          <w:color w:val="000000" w:themeColor="text1"/>
        </w:rPr>
        <w:t xml:space="preserve"> se abrogă.</w:t>
      </w:r>
    </w:p>
    <w:p w:rsidR="007E1AE4" w:rsidRPr="00AC77E9" w:rsidRDefault="007E1AE4" w:rsidP="007E1AE4">
      <w:pPr>
        <w:pStyle w:val="Titrearticle"/>
        <w:rPr>
          <w:color w:val="000000" w:themeColor="text1"/>
        </w:rPr>
      </w:pPr>
      <w:r w:rsidRPr="00AC77E9">
        <w:rPr>
          <w:color w:val="000000" w:themeColor="text1"/>
        </w:rPr>
        <w:t xml:space="preserve">Articolul </w:t>
      </w:r>
      <w:r w:rsidRPr="005405A2">
        <w:t>11</w:t>
      </w:r>
      <w:r w:rsidRPr="00AC77E9">
        <w:br/>
        <w:t>Intrare în vigoare</w:t>
      </w:r>
    </w:p>
    <w:p w:rsidR="007E1AE4" w:rsidRPr="00AC77E9" w:rsidRDefault="007E1AE4" w:rsidP="007E1AE4">
      <w:pPr>
        <w:rPr>
          <w:color w:val="000000" w:themeColor="text1"/>
        </w:rPr>
      </w:pPr>
      <w:r w:rsidRPr="00AC77E9">
        <w:rPr>
          <w:color w:val="000000" w:themeColor="text1"/>
        </w:rPr>
        <w:t>Prezentul regulament intră în vigoare în</w:t>
      </w:r>
      <w:r w:rsidRPr="00AC77E9">
        <w:t xml:space="preserve"> a douăzecea</w:t>
      </w:r>
      <w:r w:rsidRPr="00AC77E9">
        <w:rPr>
          <w:color w:val="000000" w:themeColor="text1"/>
        </w:rPr>
        <w:t xml:space="preserve"> zi de la data publicării în </w:t>
      </w:r>
      <w:r w:rsidR="00241C39">
        <w:rPr>
          <w:color w:val="000000" w:themeColor="text1"/>
        </w:rPr>
        <w:br/>
      </w:r>
      <w:r w:rsidRPr="00AC77E9">
        <w:rPr>
          <w:i/>
          <w:color w:val="000000" w:themeColor="text1"/>
        </w:rPr>
        <w:t>Jurnalul Oficial al Uniunii Europene</w:t>
      </w:r>
      <w:r w:rsidRPr="00AC77E9">
        <w:rPr>
          <w:color w:val="000000" w:themeColor="text1"/>
        </w:rPr>
        <w:t>.</w:t>
      </w:r>
    </w:p>
    <w:p w:rsidR="007E1AE4" w:rsidRPr="00AC77E9" w:rsidRDefault="007E1AE4" w:rsidP="007E1AE4">
      <w:pPr>
        <w:pStyle w:val="Applicationdirecte"/>
        <w:rPr>
          <w:color w:val="000000" w:themeColor="text1"/>
        </w:rPr>
      </w:pPr>
      <w:r w:rsidRPr="00AC77E9">
        <w:rPr>
          <w:color w:val="000000" w:themeColor="text1"/>
        </w:rPr>
        <w:t xml:space="preserve">Prezentul regulament este obligatoriu în toate elementele sale </w:t>
      </w:r>
      <w:r w:rsidR="00241C39">
        <w:rPr>
          <w:color w:val="000000" w:themeColor="text1"/>
        </w:rPr>
        <w:t>ș</w:t>
      </w:r>
      <w:r w:rsidRPr="00AC77E9">
        <w:rPr>
          <w:color w:val="000000" w:themeColor="text1"/>
        </w:rPr>
        <w:t>i se aplică direct în toate statele membre.</w:t>
      </w:r>
    </w:p>
    <w:p w:rsidR="007E1AE4" w:rsidRPr="00AC77E9" w:rsidRDefault="00AC77E9" w:rsidP="00AC77E9">
      <w:pPr>
        <w:pStyle w:val="Fait"/>
      </w:pPr>
      <w:r w:rsidRPr="00AC77E9">
        <w:t>Adoptat la Bruxelles,</w:t>
      </w:r>
    </w:p>
    <w:p w:rsidR="007E1AE4" w:rsidRPr="00AC77E9" w:rsidRDefault="007E1AE4" w:rsidP="007E1AE4">
      <w:pPr>
        <w:pStyle w:val="Institutionquisigne"/>
      </w:pPr>
      <w:r w:rsidRPr="00AC77E9">
        <w:tab/>
        <w:t>Pentru Comisie,</w:t>
      </w:r>
    </w:p>
    <w:p w:rsidR="001C2CA3" w:rsidRPr="00AC77E9" w:rsidRDefault="007E1AE4" w:rsidP="007E1AE4">
      <w:pPr>
        <w:pStyle w:val="Personnequisigne"/>
      </w:pPr>
      <w:r w:rsidRPr="00AC77E9">
        <w:tab/>
        <w:t>Pre</w:t>
      </w:r>
      <w:r w:rsidR="00241C39">
        <w:t>ș</w:t>
      </w:r>
      <w:r w:rsidRPr="00AC77E9">
        <w:t>edintele</w:t>
      </w:r>
      <w:r w:rsidRPr="00AC77E9">
        <w:br/>
      </w:r>
      <w:r w:rsidRPr="00AC77E9">
        <w:tab/>
        <w:t>Jean-Claude JUNCKER</w:t>
      </w:r>
    </w:p>
    <w:p w:rsidR="007E1AE4" w:rsidRPr="00AC77E9" w:rsidRDefault="007E1AE4" w:rsidP="007E1AE4">
      <w:pPr>
        <w:pStyle w:val="Personnequisigne"/>
      </w:pPr>
    </w:p>
    <w:sectPr w:rsidR="007E1AE4" w:rsidRPr="00AC77E9" w:rsidSect="00317EFF">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FF" w:rsidRPr="00317EFF" w:rsidRDefault="00317EFF" w:rsidP="00317E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7E9" w:rsidRPr="00317EFF" w:rsidRDefault="00317EFF" w:rsidP="00317EFF">
    <w:pPr>
      <w:pStyle w:val="Footer"/>
      <w:rPr>
        <w:rFonts w:ascii="Arial" w:hAnsi="Arial" w:cs="Arial"/>
        <w:b/>
        <w:sz w:val="48"/>
      </w:rPr>
    </w:pPr>
    <w:r w:rsidRPr="00317EFF">
      <w:rPr>
        <w:rFonts w:ascii="Arial" w:hAnsi="Arial" w:cs="Arial"/>
        <w:b/>
        <w:sz w:val="48"/>
      </w:rPr>
      <w:t>RO</w:t>
    </w:r>
    <w:r w:rsidRPr="00317EFF">
      <w:rPr>
        <w:rFonts w:ascii="Arial" w:hAnsi="Arial" w:cs="Arial"/>
        <w:b/>
        <w:sz w:val="48"/>
      </w:rPr>
      <w:tab/>
    </w:r>
    <w:r w:rsidRPr="00317EFF">
      <w:rPr>
        <w:rFonts w:ascii="Arial" w:hAnsi="Arial" w:cs="Arial"/>
        <w:b/>
        <w:sz w:val="48"/>
      </w:rPr>
      <w:tab/>
    </w:r>
    <w:r w:rsidRPr="00317EFF">
      <w:tab/>
    </w:r>
    <w:proofErr w:type="spellStart"/>
    <w:r w:rsidRPr="00317EFF">
      <w:rPr>
        <w:rFonts w:ascii="Arial" w:hAnsi="Arial" w:cs="Arial"/>
        <w:b/>
        <w:sz w:val="48"/>
      </w:rPr>
      <w:t>RO</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FF" w:rsidRPr="00317EFF" w:rsidRDefault="00317EFF" w:rsidP="00317EF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FF" w:rsidRPr="00317EFF" w:rsidRDefault="00317EFF" w:rsidP="00317EFF">
    <w:pPr>
      <w:pStyle w:val="Footer"/>
      <w:rPr>
        <w:rFonts w:ascii="Arial" w:hAnsi="Arial" w:cs="Arial"/>
        <w:b/>
        <w:sz w:val="48"/>
      </w:rPr>
    </w:pPr>
    <w:r w:rsidRPr="00317EFF">
      <w:rPr>
        <w:rFonts w:ascii="Arial" w:hAnsi="Arial" w:cs="Arial"/>
        <w:b/>
        <w:sz w:val="48"/>
      </w:rPr>
      <w:t>RO</w:t>
    </w:r>
    <w:r w:rsidRPr="00317EFF">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17EFF">
      <w:tab/>
    </w:r>
    <w:r w:rsidRPr="00317EFF">
      <w:rPr>
        <w:rFonts w:ascii="Arial" w:hAnsi="Arial" w:cs="Arial"/>
        <w:b/>
        <w:sz w:val="48"/>
      </w:rPr>
      <w:t>RO</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FF" w:rsidRPr="00317EFF" w:rsidRDefault="00317EFF" w:rsidP="00317E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JO L </w:t>
      </w:r>
      <w:r w:rsidRPr="005405A2">
        <w:t>173</w:t>
      </w:r>
      <w:r>
        <w:t xml:space="preserve">, </w:t>
      </w:r>
      <w:r w:rsidRPr="005405A2">
        <w:t>12</w:t>
      </w:r>
      <w:r>
        <w:t>.</w:t>
      </w:r>
      <w:r w:rsidRPr="005405A2">
        <w:t>6</w:t>
      </w:r>
      <w:r>
        <w:t>.</w:t>
      </w:r>
      <w:r w:rsidRPr="005405A2">
        <w:t>2014</w:t>
      </w:r>
      <w:r>
        <w:t xml:space="preserve">, p. </w:t>
      </w:r>
      <w:r w:rsidRPr="005405A2">
        <w:t>190</w:t>
      </w:r>
      <w:r>
        <w:t xml:space="preserve">. </w:t>
      </w:r>
    </w:p>
  </w:footnote>
  <w:footnote w:id="3">
    <w:p w:rsidR="00F0793D" w:rsidRPr="00F0793D" w:rsidRDefault="00F0793D">
      <w:pPr>
        <w:pStyle w:val="FootnoteText"/>
      </w:pPr>
      <w:r>
        <w:rPr>
          <w:rStyle w:val="FootnoteReference"/>
        </w:rPr>
        <w:footnoteRef/>
      </w:r>
      <w:r>
        <w:tab/>
      </w:r>
      <w:r>
        <w:rPr>
          <w:rStyle w:val="Strong"/>
          <w:b w:val="0"/>
          <w:color w:val="444444"/>
        </w:rPr>
        <w:t xml:space="preserve">Regulamentul de punere în aplicare (UE) </w:t>
      </w:r>
      <w:r w:rsidRPr="005405A2">
        <w:rPr>
          <w:rStyle w:val="Strong"/>
          <w:b w:val="0"/>
          <w:color w:val="444444"/>
        </w:rPr>
        <w:t>2016</w:t>
      </w:r>
      <w:r>
        <w:rPr>
          <w:rStyle w:val="Strong"/>
          <w:b w:val="0"/>
          <w:color w:val="444444"/>
        </w:rPr>
        <w:t>/</w:t>
      </w:r>
      <w:r w:rsidRPr="005405A2">
        <w:rPr>
          <w:rStyle w:val="Strong"/>
          <w:b w:val="0"/>
          <w:color w:val="444444"/>
        </w:rPr>
        <w:t>1066</w:t>
      </w:r>
      <w:r>
        <w:rPr>
          <w:rStyle w:val="Strong"/>
          <w:b w:val="0"/>
          <w:color w:val="444444"/>
        </w:rPr>
        <w:t xml:space="preserve"> al Comisiei din </w:t>
      </w:r>
      <w:r w:rsidRPr="005405A2">
        <w:rPr>
          <w:rStyle w:val="Strong"/>
          <w:b w:val="0"/>
          <w:color w:val="444444"/>
        </w:rPr>
        <w:t>17</w:t>
      </w:r>
      <w:r>
        <w:rPr>
          <w:rStyle w:val="Strong"/>
          <w:b w:val="0"/>
          <w:color w:val="444444"/>
        </w:rPr>
        <w:t xml:space="preserve"> iunie </w:t>
      </w:r>
      <w:r w:rsidRPr="005405A2">
        <w:rPr>
          <w:rStyle w:val="Strong"/>
          <w:b w:val="0"/>
          <w:color w:val="444444"/>
        </w:rPr>
        <w:t>2016</w:t>
      </w:r>
      <w:r>
        <w:rPr>
          <w:rStyle w:val="Strong"/>
          <w:b w:val="0"/>
          <w:color w:val="444444"/>
        </w:rPr>
        <w:t xml:space="preserve"> de stabilire a unor standarde tehnice de punere în aplicare cu privire la procedurile, formularele standard </w:t>
      </w:r>
      <w:r w:rsidR="00241C39">
        <w:rPr>
          <w:rStyle w:val="Strong"/>
          <w:b w:val="0"/>
          <w:color w:val="444444"/>
        </w:rPr>
        <w:t>ș</w:t>
      </w:r>
      <w:r>
        <w:rPr>
          <w:rStyle w:val="Strong"/>
          <w:b w:val="0"/>
          <w:color w:val="444444"/>
        </w:rPr>
        <w:t>i machetele care trebuie utilizate pentru furnizarea informa</w:t>
      </w:r>
      <w:r w:rsidR="00241C39">
        <w:rPr>
          <w:rStyle w:val="Strong"/>
          <w:b w:val="0"/>
          <w:color w:val="444444"/>
        </w:rPr>
        <w:t>ț</w:t>
      </w:r>
      <w:r>
        <w:rPr>
          <w:rStyle w:val="Strong"/>
          <w:b w:val="0"/>
          <w:color w:val="444444"/>
        </w:rPr>
        <w:t>iilor necesare în scopul planurilor de rezolu</w:t>
      </w:r>
      <w:r w:rsidR="00241C39">
        <w:rPr>
          <w:rStyle w:val="Strong"/>
          <w:b w:val="0"/>
          <w:color w:val="444444"/>
        </w:rPr>
        <w:t>ț</w:t>
      </w:r>
      <w:r>
        <w:rPr>
          <w:rStyle w:val="Strong"/>
          <w:b w:val="0"/>
          <w:color w:val="444444"/>
        </w:rPr>
        <w:t>ie pentru institu</w:t>
      </w:r>
      <w:r w:rsidR="00241C39">
        <w:rPr>
          <w:rStyle w:val="Strong"/>
          <w:b w:val="0"/>
          <w:color w:val="444444"/>
        </w:rPr>
        <w:t>ț</w:t>
      </w:r>
      <w:r>
        <w:rPr>
          <w:rStyle w:val="Strong"/>
          <w:b w:val="0"/>
          <w:color w:val="444444"/>
        </w:rPr>
        <w:t xml:space="preserve">iile de credit </w:t>
      </w:r>
      <w:r w:rsidR="00241C39">
        <w:rPr>
          <w:rStyle w:val="Strong"/>
          <w:b w:val="0"/>
          <w:color w:val="444444"/>
        </w:rPr>
        <w:t>ș</w:t>
      </w:r>
      <w:r>
        <w:rPr>
          <w:rStyle w:val="Strong"/>
          <w:b w:val="0"/>
          <w:color w:val="444444"/>
        </w:rPr>
        <w:t>i firmele de investi</w:t>
      </w:r>
      <w:r w:rsidR="00241C39">
        <w:rPr>
          <w:rStyle w:val="Strong"/>
          <w:b w:val="0"/>
          <w:color w:val="444444"/>
        </w:rPr>
        <w:t>ț</w:t>
      </w:r>
      <w:r>
        <w:rPr>
          <w:rStyle w:val="Strong"/>
          <w:b w:val="0"/>
          <w:color w:val="444444"/>
        </w:rPr>
        <w:t xml:space="preserve">ii în temeiul Directivei </w:t>
      </w:r>
      <w:r w:rsidRPr="005405A2">
        <w:rPr>
          <w:rStyle w:val="Strong"/>
          <w:b w:val="0"/>
          <w:color w:val="444444"/>
        </w:rPr>
        <w:t>2014</w:t>
      </w:r>
      <w:r>
        <w:rPr>
          <w:rStyle w:val="Strong"/>
          <w:b w:val="0"/>
          <w:color w:val="444444"/>
        </w:rPr>
        <w:t>/</w:t>
      </w:r>
      <w:r w:rsidRPr="005405A2">
        <w:rPr>
          <w:rStyle w:val="Strong"/>
          <w:b w:val="0"/>
          <w:color w:val="444444"/>
        </w:rPr>
        <w:t>59</w:t>
      </w:r>
      <w:r>
        <w:rPr>
          <w:rStyle w:val="Strong"/>
          <w:b w:val="0"/>
          <w:color w:val="444444"/>
        </w:rPr>
        <w:t xml:space="preserve">/UE a Parlamentului European </w:t>
      </w:r>
      <w:r w:rsidR="00241C39">
        <w:rPr>
          <w:rStyle w:val="Strong"/>
          <w:b w:val="0"/>
          <w:color w:val="444444"/>
        </w:rPr>
        <w:t>ș</w:t>
      </w:r>
      <w:r>
        <w:rPr>
          <w:rStyle w:val="Strong"/>
          <w:b w:val="0"/>
          <w:color w:val="444444"/>
        </w:rPr>
        <w:t>i a Consiliului (JO L</w:t>
      </w:r>
      <w:r>
        <w:rPr>
          <w:rStyle w:val="Strong"/>
          <w:color w:val="444444"/>
        </w:rPr>
        <w:t xml:space="preserve"> </w:t>
      </w:r>
      <w:r w:rsidRPr="005405A2">
        <w:rPr>
          <w:color w:val="444444"/>
        </w:rPr>
        <w:t>181</w:t>
      </w:r>
      <w:r>
        <w:rPr>
          <w:color w:val="444444"/>
        </w:rPr>
        <w:t xml:space="preserve">, </w:t>
      </w:r>
      <w:r w:rsidRPr="005405A2">
        <w:rPr>
          <w:color w:val="444444"/>
        </w:rPr>
        <w:t>6</w:t>
      </w:r>
      <w:r>
        <w:rPr>
          <w:color w:val="444444"/>
        </w:rPr>
        <w:t>.</w:t>
      </w:r>
      <w:r w:rsidRPr="005405A2">
        <w:rPr>
          <w:color w:val="444444"/>
        </w:rPr>
        <w:t>7</w:t>
      </w:r>
      <w:r>
        <w:rPr>
          <w:color w:val="444444"/>
        </w:rPr>
        <w:t>.</w:t>
      </w:r>
      <w:r w:rsidRPr="005405A2">
        <w:rPr>
          <w:color w:val="444444"/>
        </w:rPr>
        <w:t>2016</w:t>
      </w:r>
      <w:r>
        <w:rPr>
          <w:color w:val="444444"/>
        </w:rPr>
        <w:t xml:space="preserve">, p. </w:t>
      </w:r>
      <w:r w:rsidRPr="005405A2">
        <w:rPr>
          <w:color w:val="444444"/>
        </w:rPr>
        <w:t>1</w:t>
      </w:r>
      <w:r>
        <w:rPr>
          <w:color w:val="444444"/>
        </w:rPr>
        <w:t>).</w:t>
      </w:r>
    </w:p>
  </w:footnote>
  <w:footnote w:id="4">
    <w:p w:rsidR="002A074B" w:rsidRPr="002A074B" w:rsidRDefault="002A074B">
      <w:pPr>
        <w:pStyle w:val="FootnoteText"/>
      </w:pPr>
      <w:r>
        <w:rPr>
          <w:rStyle w:val="FootnoteReference"/>
        </w:rPr>
        <w:footnoteRef/>
      </w:r>
      <w:r>
        <w:tab/>
      </w:r>
      <w:r>
        <w:rPr>
          <w:rStyle w:val="Strong"/>
          <w:b w:val="0"/>
          <w:color w:val="444444"/>
        </w:rPr>
        <w:t xml:space="preserve">Regulamentul (UE) nr. </w:t>
      </w:r>
      <w:r w:rsidRPr="005405A2">
        <w:rPr>
          <w:rStyle w:val="Strong"/>
          <w:b w:val="0"/>
          <w:color w:val="444444"/>
        </w:rPr>
        <w:t>1093</w:t>
      </w:r>
      <w:r>
        <w:rPr>
          <w:rStyle w:val="Strong"/>
          <w:b w:val="0"/>
          <w:color w:val="444444"/>
        </w:rPr>
        <w:t>/</w:t>
      </w:r>
      <w:r w:rsidRPr="005405A2">
        <w:rPr>
          <w:rStyle w:val="Strong"/>
          <w:b w:val="0"/>
          <w:color w:val="444444"/>
        </w:rPr>
        <w:t>2010</w:t>
      </w:r>
      <w:r>
        <w:rPr>
          <w:rStyle w:val="Strong"/>
          <w:b w:val="0"/>
          <w:color w:val="444444"/>
        </w:rPr>
        <w:t xml:space="preserve"> al Parlamentului European </w:t>
      </w:r>
      <w:r w:rsidR="00241C39">
        <w:rPr>
          <w:rStyle w:val="Strong"/>
          <w:b w:val="0"/>
          <w:color w:val="444444"/>
        </w:rPr>
        <w:t>ș</w:t>
      </w:r>
      <w:r>
        <w:rPr>
          <w:rStyle w:val="Strong"/>
          <w:b w:val="0"/>
          <w:color w:val="444444"/>
        </w:rPr>
        <w:t xml:space="preserve">i al Consiliului din </w:t>
      </w:r>
      <w:r w:rsidRPr="005405A2">
        <w:rPr>
          <w:rStyle w:val="Strong"/>
          <w:b w:val="0"/>
          <w:color w:val="444444"/>
        </w:rPr>
        <w:t>24</w:t>
      </w:r>
      <w:r>
        <w:rPr>
          <w:rStyle w:val="Strong"/>
          <w:b w:val="0"/>
          <w:color w:val="444444"/>
        </w:rPr>
        <w:t xml:space="preserve"> noiembrie </w:t>
      </w:r>
      <w:r w:rsidRPr="005405A2">
        <w:rPr>
          <w:rStyle w:val="Strong"/>
          <w:b w:val="0"/>
          <w:color w:val="444444"/>
        </w:rPr>
        <w:t>2010</w:t>
      </w:r>
      <w:r>
        <w:rPr>
          <w:rStyle w:val="Strong"/>
          <w:b w:val="0"/>
          <w:color w:val="444444"/>
        </w:rPr>
        <w:t xml:space="preserve"> de instituire a Autorită</w:t>
      </w:r>
      <w:r w:rsidR="00241C39">
        <w:rPr>
          <w:rStyle w:val="Strong"/>
          <w:b w:val="0"/>
          <w:color w:val="444444"/>
        </w:rPr>
        <w:t>ț</w:t>
      </w:r>
      <w:r>
        <w:rPr>
          <w:rStyle w:val="Strong"/>
          <w:b w:val="0"/>
          <w:color w:val="444444"/>
        </w:rPr>
        <w:t xml:space="preserve">ii europene de supraveghere (Autoritatea bancară europeană), de modificare a Deciziei </w:t>
      </w:r>
      <w:r w:rsidRPr="005405A2">
        <w:rPr>
          <w:rStyle w:val="Strong"/>
          <w:b w:val="0"/>
          <w:color w:val="444444"/>
        </w:rPr>
        <w:t>716</w:t>
      </w:r>
      <w:r>
        <w:rPr>
          <w:rStyle w:val="Strong"/>
          <w:b w:val="0"/>
          <w:color w:val="444444"/>
        </w:rPr>
        <w:t>/</w:t>
      </w:r>
      <w:r w:rsidRPr="005405A2">
        <w:rPr>
          <w:rStyle w:val="Strong"/>
          <w:b w:val="0"/>
          <w:color w:val="444444"/>
        </w:rPr>
        <w:t>2009</w:t>
      </w:r>
      <w:r>
        <w:rPr>
          <w:rStyle w:val="Strong"/>
          <w:b w:val="0"/>
          <w:color w:val="444444"/>
        </w:rPr>
        <w:t xml:space="preserve">/CE </w:t>
      </w:r>
      <w:r w:rsidR="00241C39">
        <w:rPr>
          <w:rStyle w:val="Strong"/>
          <w:b w:val="0"/>
          <w:color w:val="444444"/>
        </w:rPr>
        <w:t>ș</w:t>
      </w:r>
      <w:r>
        <w:rPr>
          <w:rStyle w:val="Strong"/>
          <w:b w:val="0"/>
          <w:color w:val="444444"/>
        </w:rPr>
        <w:t xml:space="preserve">i de abrogare a Deciziei </w:t>
      </w:r>
      <w:r w:rsidRPr="005405A2">
        <w:rPr>
          <w:rStyle w:val="Strong"/>
          <w:b w:val="0"/>
          <w:color w:val="444444"/>
        </w:rPr>
        <w:t>2009</w:t>
      </w:r>
      <w:r>
        <w:rPr>
          <w:rStyle w:val="Strong"/>
          <w:b w:val="0"/>
          <w:color w:val="444444"/>
        </w:rPr>
        <w:t>/</w:t>
      </w:r>
      <w:r w:rsidRPr="005405A2">
        <w:rPr>
          <w:rStyle w:val="Strong"/>
          <w:b w:val="0"/>
          <w:color w:val="444444"/>
        </w:rPr>
        <w:t>78</w:t>
      </w:r>
      <w:r>
        <w:rPr>
          <w:rStyle w:val="Strong"/>
          <w:b w:val="0"/>
          <w:color w:val="444444"/>
        </w:rPr>
        <w:t>/CE a Comisiei (</w:t>
      </w:r>
      <w:r>
        <w:rPr>
          <w:color w:val="444444"/>
        </w:rPr>
        <w:t>JO L </w:t>
      </w:r>
      <w:r w:rsidRPr="005405A2">
        <w:rPr>
          <w:color w:val="444444"/>
        </w:rPr>
        <w:t>331</w:t>
      </w:r>
      <w:r>
        <w:rPr>
          <w:color w:val="444444"/>
        </w:rPr>
        <w:t xml:space="preserve">, </w:t>
      </w:r>
      <w:r w:rsidRPr="005405A2">
        <w:rPr>
          <w:color w:val="444444"/>
        </w:rPr>
        <w:t>15</w:t>
      </w:r>
      <w:r>
        <w:rPr>
          <w:color w:val="444444"/>
        </w:rPr>
        <w:t>.</w:t>
      </w:r>
      <w:r w:rsidRPr="005405A2">
        <w:rPr>
          <w:color w:val="444444"/>
        </w:rPr>
        <w:t>12</w:t>
      </w:r>
      <w:r>
        <w:rPr>
          <w:color w:val="444444"/>
        </w:rPr>
        <w:t>.</w:t>
      </w:r>
      <w:r w:rsidRPr="005405A2">
        <w:rPr>
          <w:color w:val="444444"/>
        </w:rPr>
        <w:t>2010</w:t>
      </w:r>
      <w:r>
        <w:rPr>
          <w:color w:val="444444"/>
        </w:rPr>
        <w:t>, p. </w:t>
      </w:r>
      <w:r w:rsidRPr="005405A2">
        <w:rPr>
          <w:color w:val="444444"/>
        </w:rPr>
        <w:t>12</w:t>
      </w:r>
      <w:r>
        <w:rPr>
          <w:color w:val="444444"/>
        </w:rPr>
        <w:t>).</w:t>
      </w:r>
    </w:p>
  </w:footnote>
  <w:footnote w:id="5">
    <w:p w:rsidR="00F80209" w:rsidRPr="0031364A" w:rsidRDefault="00F80209" w:rsidP="00F80209">
      <w:pPr>
        <w:pStyle w:val="FootnoteText"/>
      </w:pPr>
      <w:r>
        <w:rPr>
          <w:rStyle w:val="FootnoteReference"/>
        </w:rPr>
        <w:footnoteRef/>
      </w:r>
      <w:r>
        <w:tab/>
      </w:r>
      <w:r>
        <w:rPr>
          <w:rStyle w:val="Strong"/>
          <w:b w:val="0"/>
          <w:color w:val="444444"/>
        </w:rPr>
        <w:t>Regulamentul (UE) nr. </w:t>
      </w:r>
      <w:r w:rsidRPr="005405A2">
        <w:rPr>
          <w:rStyle w:val="Strong"/>
          <w:b w:val="0"/>
          <w:color w:val="444444"/>
        </w:rPr>
        <w:t>575</w:t>
      </w:r>
      <w:r>
        <w:rPr>
          <w:rStyle w:val="Strong"/>
          <w:b w:val="0"/>
          <w:color w:val="444444"/>
        </w:rPr>
        <w:t>/</w:t>
      </w:r>
      <w:r w:rsidRPr="005405A2">
        <w:rPr>
          <w:rStyle w:val="Strong"/>
          <w:b w:val="0"/>
          <w:color w:val="444444"/>
        </w:rPr>
        <w:t>2013</w:t>
      </w:r>
      <w:r>
        <w:rPr>
          <w:rStyle w:val="Strong"/>
          <w:b w:val="0"/>
          <w:color w:val="444444"/>
        </w:rPr>
        <w:t xml:space="preserve"> al Parlamentului European </w:t>
      </w:r>
      <w:r w:rsidR="00241C39">
        <w:rPr>
          <w:rStyle w:val="Strong"/>
          <w:b w:val="0"/>
          <w:color w:val="444444"/>
        </w:rPr>
        <w:t>ș</w:t>
      </w:r>
      <w:r>
        <w:rPr>
          <w:rStyle w:val="Strong"/>
          <w:b w:val="0"/>
          <w:color w:val="444444"/>
        </w:rPr>
        <w:t xml:space="preserve">i al Consiliului din </w:t>
      </w:r>
      <w:r w:rsidRPr="005405A2">
        <w:rPr>
          <w:rStyle w:val="Strong"/>
          <w:b w:val="0"/>
          <w:color w:val="444444"/>
        </w:rPr>
        <w:t>26</w:t>
      </w:r>
      <w:r>
        <w:rPr>
          <w:rStyle w:val="Strong"/>
          <w:b w:val="0"/>
          <w:color w:val="444444"/>
        </w:rPr>
        <w:t> iunie </w:t>
      </w:r>
      <w:r w:rsidRPr="005405A2">
        <w:rPr>
          <w:rStyle w:val="Strong"/>
          <w:b w:val="0"/>
          <w:color w:val="444444"/>
        </w:rPr>
        <w:t>2013</w:t>
      </w:r>
      <w:r>
        <w:rPr>
          <w:rStyle w:val="Strong"/>
          <w:b w:val="0"/>
          <w:color w:val="444444"/>
        </w:rPr>
        <w:t xml:space="preserve"> privind cerin</w:t>
      </w:r>
      <w:r w:rsidR="00241C39">
        <w:rPr>
          <w:rStyle w:val="Strong"/>
          <w:b w:val="0"/>
          <w:color w:val="444444"/>
        </w:rPr>
        <w:t>ț</w:t>
      </w:r>
      <w:r>
        <w:rPr>
          <w:rStyle w:val="Strong"/>
          <w:b w:val="0"/>
          <w:color w:val="444444"/>
        </w:rPr>
        <w:t>ele pruden</w:t>
      </w:r>
      <w:r w:rsidR="00241C39">
        <w:rPr>
          <w:rStyle w:val="Strong"/>
          <w:b w:val="0"/>
          <w:color w:val="444444"/>
        </w:rPr>
        <w:t>ț</w:t>
      </w:r>
      <w:r>
        <w:rPr>
          <w:rStyle w:val="Strong"/>
          <w:b w:val="0"/>
          <w:color w:val="444444"/>
        </w:rPr>
        <w:t>iale pentru institu</w:t>
      </w:r>
      <w:r w:rsidR="00241C39">
        <w:rPr>
          <w:rStyle w:val="Strong"/>
          <w:b w:val="0"/>
          <w:color w:val="444444"/>
        </w:rPr>
        <w:t>ț</w:t>
      </w:r>
      <w:r>
        <w:rPr>
          <w:rStyle w:val="Strong"/>
          <w:b w:val="0"/>
          <w:color w:val="444444"/>
        </w:rPr>
        <w:t xml:space="preserve">iile de credit </w:t>
      </w:r>
      <w:r w:rsidR="00241C39">
        <w:rPr>
          <w:rStyle w:val="Strong"/>
          <w:b w:val="0"/>
          <w:color w:val="444444"/>
        </w:rPr>
        <w:t>ș</w:t>
      </w:r>
      <w:r>
        <w:rPr>
          <w:rStyle w:val="Strong"/>
          <w:b w:val="0"/>
          <w:color w:val="444444"/>
        </w:rPr>
        <w:t>i firmele de investi</w:t>
      </w:r>
      <w:r w:rsidR="00241C39">
        <w:rPr>
          <w:rStyle w:val="Strong"/>
          <w:b w:val="0"/>
          <w:color w:val="444444"/>
        </w:rPr>
        <w:t>ț</w:t>
      </w:r>
      <w:r>
        <w:rPr>
          <w:rStyle w:val="Strong"/>
          <w:b w:val="0"/>
          <w:color w:val="444444"/>
        </w:rPr>
        <w:t xml:space="preserve">ii </w:t>
      </w:r>
      <w:r w:rsidR="00241C39">
        <w:rPr>
          <w:rStyle w:val="Strong"/>
          <w:b w:val="0"/>
          <w:color w:val="444444"/>
        </w:rPr>
        <w:t>ș</w:t>
      </w:r>
      <w:r>
        <w:rPr>
          <w:rStyle w:val="Strong"/>
          <w:b w:val="0"/>
          <w:color w:val="444444"/>
        </w:rPr>
        <w:t>i de modificare a Regulamentului (UE) nr. </w:t>
      </w:r>
      <w:r w:rsidRPr="005405A2">
        <w:rPr>
          <w:rStyle w:val="Strong"/>
          <w:b w:val="0"/>
          <w:color w:val="444444"/>
        </w:rPr>
        <w:t>648</w:t>
      </w:r>
      <w:r>
        <w:rPr>
          <w:rStyle w:val="Strong"/>
          <w:b w:val="0"/>
          <w:color w:val="444444"/>
        </w:rPr>
        <w:t>/</w:t>
      </w:r>
      <w:r w:rsidRPr="005405A2">
        <w:rPr>
          <w:rStyle w:val="Strong"/>
          <w:b w:val="0"/>
          <w:color w:val="444444"/>
        </w:rPr>
        <w:t>2012</w:t>
      </w:r>
      <w:r>
        <w:rPr>
          <w:rStyle w:val="Strong"/>
          <w:rFonts w:ascii="Lucida Grande" w:hAnsi="Lucida Grande"/>
          <w:color w:val="444444"/>
        </w:rPr>
        <w:t xml:space="preserve"> </w:t>
      </w:r>
      <w:r>
        <w:rPr>
          <w:color w:val="444444"/>
        </w:rPr>
        <w:t>(JO L </w:t>
      </w:r>
      <w:r w:rsidRPr="005405A2">
        <w:rPr>
          <w:color w:val="444444"/>
        </w:rPr>
        <w:t>176</w:t>
      </w:r>
      <w:r>
        <w:rPr>
          <w:color w:val="444444"/>
        </w:rPr>
        <w:t xml:space="preserve">, </w:t>
      </w:r>
      <w:r w:rsidRPr="005405A2">
        <w:rPr>
          <w:color w:val="444444"/>
        </w:rPr>
        <w:t>27</w:t>
      </w:r>
      <w:r>
        <w:rPr>
          <w:color w:val="444444"/>
        </w:rPr>
        <w:t>.</w:t>
      </w:r>
      <w:r w:rsidRPr="005405A2">
        <w:rPr>
          <w:color w:val="444444"/>
        </w:rPr>
        <w:t>6</w:t>
      </w:r>
      <w:r>
        <w:rPr>
          <w:color w:val="444444"/>
        </w:rPr>
        <w:t>.</w:t>
      </w:r>
      <w:r w:rsidRPr="005405A2">
        <w:rPr>
          <w:color w:val="444444"/>
        </w:rPr>
        <w:t>2013</w:t>
      </w:r>
      <w:r>
        <w:rPr>
          <w:color w:val="444444"/>
        </w:rPr>
        <w:t>, p. </w:t>
      </w:r>
      <w:r w:rsidRPr="005405A2">
        <w:rPr>
          <w:color w:val="444444"/>
        </w:rPr>
        <w:t>1</w:t>
      </w:r>
      <w:r>
        <w:rPr>
          <w:color w:val="44444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FF" w:rsidRPr="00317EFF" w:rsidRDefault="00317EFF" w:rsidP="00317E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FF" w:rsidRPr="00317EFF" w:rsidRDefault="00317EFF" w:rsidP="00317E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FF" w:rsidRPr="00317EFF" w:rsidRDefault="00317EFF" w:rsidP="00317E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1:07:0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6204FBFA-B8F1-49D3-AF14-707246D95223"/>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de stabilire a unor standarde tehnice de punere în aplicare cu privire la procedurile \u537?i formularele \u537?i machetele standard care trebuie utilizate pentru furnizarea informa\u539?iilor necesare în scopul planurilor de rezolu\u539?ie pentru institu\u539?iile de credit \u537?i firmele de investi\u539?ii în temeiul Directivei 2014/59/UE a Parlamentului European \u537?i a Consiliului \u537?i de abrogare a Regulamentului de punere în aplicare (UE) 2016/1066 al Comisiei_x000b_"/>
    <w:docVar w:name="LW_TYPE.DOC.CP" w:val="REGULAMENTUL DE PUNERE ÎN APLICARE (UE) \u8230?/\u8230? AL COMISIEI"/>
  </w:docVars>
  <w:rsids>
    <w:rsidRoot w:val="007E1AE4"/>
    <w:rsid w:val="00010CE0"/>
    <w:rsid w:val="00011EF9"/>
    <w:rsid w:val="00016E3C"/>
    <w:rsid w:val="00024AB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13B88"/>
    <w:rsid w:val="0022274C"/>
    <w:rsid w:val="00230B23"/>
    <w:rsid w:val="00241B08"/>
    <w:rsid w:val="00241C39"/>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2EDE"/>
    <w:rsid w:val="002C3CCB"/>
    <w:rsid w:val="002E476B"/>
    <w:rsid w:val="002E5442"/>
    <w:rsid w:val="0031364A"/>
    <w:rsid w:val="00317EFF"/>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2277"/>
    <w:rsid w:val="004F4508"/>
    <w:rsid w:val="004F5776"/>
    <w:rsid w:val="005062D8"/>
    <w:rsid w:val="00506BAD"/>
    <w:rsid w:val="00507023"/>
    <w:rsid w:val="0051415A"/>
    <w:rsid w:val="005241C1"/>
    <w:rsid w:val="005253B6"/>
    <w:rsid w:val="005405A2"/>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9460B"/>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204C"/>
    <w:rsid w:val="00A17005"/>
    <w:rsid w:val="00A17425"/>
    <w:rsid w:val="00A3683E"/>
    <w:rsid w:val="00A36B4B"/>
    <w:rsid w:val="00A44881"/>
    <w:rsid w:val="00A778CE"/>
    <w:rsid w:val="00A81692"/>
    <w:rsid w:val="00A82A0A"/>
    <w:rsid w:val="00A84F53"/>
    <w:rsid w:val="00AA6701"/>
    <w:rsid w:val="00AB1830"/>
    <w:rsid w:val="00AC4037"/>
    <w:rsid w:val="00AC77E9"/>
    <w:rsid w:val="00AD43FC"/>
    <w:rsid w:val="00AD470D"/>
    <w:rsid w:val="00AD6666"/>
    <w:rsid w:val="00AE1240"/>
    <w:rsid w:val="00AE1DE6"/>
    <w:rsid w:val="00AE3954"/>
    <w:rsid w:val="00AF4982"/>
    <w:rsid w:val="00B15CF6"/>
    <w:rsid w:val="00B21371"/>
    <w:rsid w:val="00B40D7F"/>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A79A9"/>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87787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ro-RO"/>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ro-RO"/>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1"/>
      </w:numPr>
    </w:pPr>
  </w:style>
  <w:style w:type="paragraph" w:customStyle="1" w:styleId="Tiret1">
    <w:name w:val="Tiret 1"/>
    <w:basedOn w:val="Point1"/>
    <w:rsid w:val="00877878"/>
    <w:pPr>
      <w:numPr>
        <w:numId w:val="22"/>
      </w:numPr>
    </w:pPr>
  </w:style>
  <w:style w:type="paragraph" w:customStyle="1" w:styleId="Tiret2">
    <w:name w:val="Tiret 2"/>
    <w:basedOn w:val="Point2"/>
    <w:rsid w:val="00877878"/>
    <w:pPr>
      <w:numPr>
        <w:numId w:val="23"/>
      </w:numPr>
    </w:pPr>
  </w:style>
  <w:style w:type="paragraph" w:customStyle="1" w:styleId="Tiret3">
    <w:name w:val="Tiret 3"/>
    <w:basedOn w:val="Point3"/>
    <w:rsid w:val="00877878"/>
    <w:pPr>
      <w:numPr>
        <w:numId w:val="24"/>
      </w:numPr>
    </w:pPr>
  </w:style>
  <w:style w:type="paragraph" w:customStyle="1" w:styleId="Tiret4">
    <w:name w:val="Tiret 4"/>
    <w:basedOn w:val="Point4"/>
    <w:rsid w:val="00877878"/>
    <w:pPr>
      <w:numPr>
        <w:numId w:val="2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6"/>
      </w:numPr>
    </w:pPr>
  </w:style>
  <w:style w:type="paragraph" w:customStyle="1" w:styleId="NumPar2">
    <w:name w:val="NumPar 2"/>
    <w:basedOn w:val="Normal"/>
    <w:next w:val="Text1"/>
    <w:rsid w:val="00877878"/>
    <w:pPr>
      <w:numPr>
        <w:ilvl w:val="1"/>
        <w:numId w:val="26"/>
      </w:numPr>
    </w:pPr>
  </w:style>
  <w:style w:type="paragraph" w:customStyle="1" w:styleId="NumPar3">
    <w:name w:val="NumPar 3"/>
    <w:basedOn w:val="Normal"/>
    <w:next w:val="Text1"/>
    <w:rsid w:val="00877878"/>
    <w:pPr>
      <w:numPr>
        <w:ilvl w:val="2"/>
        <w:numId w:val="26"/>
      </w:numPr>
    </w:pPr>
  </w:style>
  <w:style w:type="paragraph" w:customStyle="1" w:styleId="NumPar4">
    <w:name w:val="NumPar 4"/>
    <w:basedOn w:val="Normal"/>
    <w:next w:val="Text1"/>
    <w:rsid w:val="00877878"/>
    <w:pPr>
      <w:numPr>
        <w:ilvl w:val="3"/>
        <w:numId w:val="2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8"/>
      </w:numPr>
    </w:pPr>
  </w:style>
  <w:style w:type="paragraph" w:customStyle="1" w:styleId="Point1number">
    <w:name w:val="Point 1 (number)"/>
    <w:basedOn w:val="Normal"/>
    <w:rsid w:val="00877878"/>
    <w:pPr>
      <w:numPr>
        <w:ilvl w:val="2"/>
        <w:numId w:val="28"/>
      </w:numPr>
    </w:pPr>
  </w:style>
  <w:style w:type="paragraph" w:customStyle="1" w:styleId="Point2number">
    <w:name w:val="Point 2 (number)"/>
    <w:basedOn w:val="Normal"/>
    <w:rsid w:val="00877878"/>
    <w:pPr>
      <w:numPr>
        <w:ilvl w:val="4"/>
        <w:numId w:val="28"/>
      </w:numPr>
    </w:pPr>
  </w:style>
  <w:style w:type="paragraph" w:customStyle="1" w:styleId="Point3number">
    <w:name w:val="Point 3 (number)"/>
    <w:basedOn w:val="Normal"/>
    <w:rsid w:val="00877878"/>
    <w:pPr>
      <w:numPr>
        <w:ilvl w:val="6"/>
        <w:numId w:val="28"/>
      </w:numPr>
    </w:pPr>
  </w:style>
  <w:style w:type="paragraph" w:customStyle="1" w:styleId="Point0letter">
    <w:name w:val="Point 0 (letter)"/>
    <w:basedOn w:val="Normal"/>
    <w:rsid w:val="00877878"/>
    <w:pPr>
      <w:numPr>
        <w:ilvl w:val="1"/>
        <w:numId w:val="28"/>
      </w:numPr>
    </w:pPr>
  </w:style>
  <w:style w:type="paragraph" w:customStyle="1" w:styleId="Point1letter">
    <w:name w:val="Point 1 (letter)"/>
    <w:basedOn w:val="Normal"/>
    <w:rsid w:val="00877878"/>
    <w:pPr>
      <w:numPr>
        <w:ilvl w:val="3"/>
        <w:numId w:val="28"/>
      </w:numPr>
    </w:pPr>
  </w:style>
  <w:style w:type="paragraph" w:customStyle="1" w:styleId="Point2letter">
    <w:name w:val="Point 2 (letter)"/>
    <w:basedOn w:val="Normal"/>
    <w:rsid w:val="00877878"/>
    <w:pPr>
      <w:numPr>
        <w:ilvl w:val="5"/>
        <w:numId w:val="28"/>
      </w:numPr>
    </w:pPr>
  </w:style>
  <w:style w:type="paragraph" w:customStyle="1" w:styleId="Point3letter">
    <w:name w:val="Point 3 (letter)"/>
    <w:basedOn w:val="Normal"/>
    <w:rsid w:val="00877878"/>
    <w:pPr>
      <w:numPr>
        <w:ilvl w:val="7"/>
        <w:numId w:val="28"/>
      </w:numPr>
    </w:pPr>
  </w:style>
  <w:style w:type="paragraph" w:customStyle="1" w:styleId="Point4letter">
    <w:name w:val="Point 4 (letter)"/>
    <w:basedOn w:val="Normal"/>
    <w:rsid w:val="00877878"/>
    <w:pPr>
      <w:numPr>
        <w:ilvl w:val="8"/>
        <w:numId w:val="28"/>
      </w:numPr>
    </w:pPr>
  </w:style>
  <w:style w:type="paragraph" w:customStyle="1" w:styleId="Bullet0">
    <w:name w:val="Bullet 0"/>
    <w:basedOn w:val="Normal"/>
    <w:rsid w:val="00877878"/>
    <w:pPr>
      <w:numPr>
        <w:numId w:val="29"/>
      </w:numPr>
    </w:pPr>
  </w:style>
  <w:style w:type="paragraph" w:customStyle="1" w:styleId="Bullet1">
    <w:name w:val="Bullet 1"/>
    <w:basedOn w:val="Normal"/>
    <w:rsid w:val="00877878"/>
    <w:pPr>
      <w:numPr>
        <w:numId w:val="30"/>
      </w:numPr>
    </w:pPr>
  </w:style>
  <w:style w:type="paragraph" w:customStyle="1" w:styleId="Bullet2">
    <w:name w:val="Bullet 2"/>
    <w:basedOn w:val="Normal"/>
    <w:rsid w:val="00877878"/>
    <w:pPr>
      <w:numPr>
        <w:numId w:val="31"/>
      </w:numPr>
    </w:pPr>
  </w:style>
  <w:style w:type="paragraph" w:customStyle="1" w:styleId="Bullet3">
    <w:name w:val="Bullet 3"/>
    <w:basedOn w:val="Normal"/>
    <w:rsid w:val="00877878"/>
    <w:pPr>
      <w:numPr>
        <w:numId w:val="32"/>
      </w:numPr>
    </w:pPr>
  </w:style>
  <w:style w:type="paragraph" w:customStyle="1" w:styleId="Bullet4">
    <w:name w:val="Bullet 4"/>
    <w:basedOn w:val="Normal"/>
    <w:rsid w:val="00877878"/>
    <w:pPr>
      <w:numPr>
        <w:numId w:val="3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F64BC-4BE0-4895-9801-56D5FA9E7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2842</Words>
  <Characters>16636</Characters>
  <Application>Microsoft Office Word</Application>
  <DocSecurity>0</DocSecurity>
  <Lines>290</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CIOCLEI Carmen (MARKT)</cp:lastModifiedBy>
  <cp:revision>3</cp:revision>
  <cp:lastPrinted>2018-09-04T15:01:00Z</cp:lastPrinted>
  <dcterms:created xsi:type="dcterms:W3CDTF">2018-09-20T09:06:00Z</dcterms:created>
  <dcterms:modified xsi:type="dcterms:W3CDTF">2018-09-20T09:07:00Z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