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E85C4C" w:rsidRDefault="004254C7" w:rsidP="00BC0FA0">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241AE6D-9862-4FC1-BA70-DCD2B9758ED1" style="width:450.75pt;height:436.5pt">
            <v:imagedata r:id="rId9" o:title=""/>
          </v:shape>
        </w:pict>
      </w:r>
    </w:p>
    <w:p w:rsidR="007E1AE4" w:rsidRPr="00E85C4C" w:rsidRDefault="007E1AE4">
      <w:pPr>
        <w:sectPr w:rsidR="007E1AE4" w:rsidRPr="00E85C4C" w:rsidSect="004630DF">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E85C4C" w:rsidRDefault="00BC0FA0" w:rsidP="00BC0FA0">
      <w:pPr>
        <w:pStyle w:val="Typedudocument"/>
      </w:pPr>
      <w:r w:rsidRPr="00BC0FA0">
        <w:t>KOMISSION TÄYTÄNTÖÖNPANOASETUS (EU) …/…,</w:t>
      </w:r>
    </w:p>
    <w:p w:rsidR="007E1AE4" w:rsidRPr="00E85C4C" w:rsidRDefault="00BC0FA0" w:rsidP="00BC0FA0">
      <w:pPr>
        <w:pStyle w:val="Datedadoption"/>
      </w:pPr>
      <w:r w:rsidRPr="00BC0FA0">
        <w:t xml:space="preserve">annettu </w:t>
      </w:r>
      <w:r w:rsidRPr="00BC0FA0">
        <w:rPr>
          <w:rStyle w:val="Marker2"/>
        </w:rPr>
        <w:t>XXX</w:t>
      </w:r>
      <w:r w:rsidRPr="00BC0FA0">
        <w:t>,</w:t>
      </w:r>
    </w:p>
    <w:p w:rsidR="007E1AE4" w:rsidRPr="00E85C4C" w:rsidRDefault="00BC0FA0" w:rsidP="00BC0FA0">
      <w:pPr>
        <w:pStyle w:val="Titreobjet"/>
      </w:pPr>
      <w:r w:rsidRPr="00BC0FA0">
        <w:t>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ja komission täytäntöönpanoasetuksen (EU) 2016/1066 kumoamisesta</w:t>
      </w:r>
      <w:r w:rsidRPr="00BC0FA0">
        <w:br/>
      </w:r>
    </w:p>
    <w:p w:rsidR="007E1AE4" w:rsidRPr="00E85C4C" w:rsidRDefault="00BC0FA0" w:rsidP="00BC0FA0">
      <w:pPr>
        <w:pStyle w:val="IntrtEEE"/>
      </w:pPr>
      <w:r w:rsidRPr="00BC0FA0">
        <w:t>(ETA:n kannalta merkityksellinen teksti)</w:t>
      </w:r>
    </w:p>
    <w:p w:rsidR="007E1AE4" w:rsidRPr="00E85C4C" w:rsidRDefault="007E1AE4" w:rsidP="007E1AE4">
      <w:pPr>
        <w:pStyle w:val="Institutionquiagit"/>
        <w:rPr>
          <w:color w:val="000000" w:themeColor="text1"/>
        </w:rPr>
      </w:pPr>
      <w:r w:rsidRPr="00E85C4C">
        <w:rPr>
          <w:color w:val="000000" w:themeColor="text1"/>
        </w:rPr>
        <w:t>EUROOPAN KOMISSIO, joka</w:t>
      </w:r>
    </w:p>
    <w:p w:rsidR="007E1AE4" w:rsidRPr="00E85C4C" w:rsidRDefault="007E1AE4" w:rsidP="007E1AE4">
      <w:pPr>
        <w:rPr>
          <w:color w:val="000000" w:themeColor="text1"/>
        </w:rPr>
      </w:pPr>
      <w:r w:rsidRPr="00E85C4C">
        <w:rPr>
          <w:color w:val="000000" w:themeColor="text1"/>
        </w:rPr>
        <w:t>ottaa huomioon Euroopan unionin toiminnasta tehdyn sopimuksen,</w:t>
      </w:r>
    </w:p>
    <w:p w:rsidR="007E1AE4" w:rsidRPr="00E85C4C" w:rsidRDefault="007E1AE4" w:rsidP="007E1AE4">
      <w:pPr>
        <w:rPr>
          <w:color w:val="000000" w:themeColor="text1"/>
        </w:rPr>
      </w:pPr>
      <w:r w:rsidRPr="00E85C4C">
        <w:t>ottaa huomioon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annetun Euroopan parlamentin ja neuvoston direktiivin 2014/59/EU</w:t>
      </w:r>
      <w:r w:rsidRPr="00E85C4C">
        <w:rPr>
          <w:rStyle w:val="FootnoteReference"/>
        </w:rPr>
        <w:footnoteReference w:id="2"/>
      </w:r>
      <w:r w:rsidRPr="00E85C4C">
        <w:t xml:space="preserve"> ja erityisesti sen 11 artiklan 3 kohdan,</w:t>
      </w:r>
    </w:p>
    <w:p w:rsidR="007E1AE4" w:rsidRPr="00E85C4C" w:rsidRDefault="007E1AE4" w:rsidP="007E1AE4">
      <w:pPr>
        <w:rPr>
          <w:color w:val="000000" w:themeColor="text1"/>
        </w:rPr>
      </w:pPr>
      <w:r w:rsidRPr="00E85C4C">
        <w:rPr>
          <w:color w:val="000000" w:themeColor="text1"/>
        </w:rPr>
        <w:t>sekä katsoo seuraavaa:</w:t>
      </w:r>
    </w:p>
    <w:p w:rsidR="007E1AE4" w:rsidRPr="00E85C4C" w:rsidRDefault="007E1AE4" w:rsidP="00C775EC">
      <w:pPr>
        <w:pStyle w:val="Considrant"/>
        <w:numPr>
          <w:ilvl w:val="0"/>
          <w:numId w:val="6"/>
        </w:numPr>
      </w:pPr>
      <w:r w:rsidRPr="00E85C4C">
        <w:t>Komission täytäntöönpanoasetuksessa (EU) 2016/1066</w:t>
      </w:r>
      <w:r w:rsidRPr="00E85C4C">
        <w:rPr>
          <w:rStyle w:val="FootnoteReference"/>
        </w:rPr>
        <w:footnoteReference w:id="3"/>
      </w:r>
      <w:r w:rsidRPr="00E85C4C">
        <w:t xml:space="preserve"> määritetään menettely ja otetaan käyttöön vähimmäismäärä lomakkeita, joiden mukaisesti luottolaitosten tai sijoituspalveluyritysten, jäljempänä ’laitokset’, on toimitettava kriisinratkaisuviranomaisille tietoja kriisinratkaisusuunnitelmien laatimiseksi laitoksille ja niiden panemiseksi täytäntöön. Kriisinratkaisuviranomaiset ovat saaneet kokemusta kriisinratkaisun suunnittelusta täytäntöönpanoasetuksen (EU) 2016/1066 antamisen jälkeen. Saatujen kokemusten perusteella on tarpeen päivittää vähimmäismäärä lomakkeita, joita käytetään tietojen keräämiseksi kriisinratkaisun suunnittelua varten.</w:t>
      </w:r>
    </w:p>
    <w:p w:rsidR="007E1AE4" w:rsidRPr="00E85C4C" w:rsidRDefault="007E1AE4" w:rsidP="006E1E68">
      <w:pPr>
        <w:pStyle w:val="Considrant"/>
      </w:pPr>
      <w:r w:rsidRPr="00E85C4C">
        <w:t>Täytäntöönpanoasetuksen (EU) 2016/1066 tavoitteena on myös suunnitella menettely ja vähimmäismäärä lomakkeita, joiden avulla laitokset toimittavat tietoja kriisinratkaisuviranomaisille. Tällöin kriisinratkaisuviranomaiset voivat kerätä kyseiset tiedot yhdenmukaisella tavalla koko unionissa ja tietojenvaihto helpottuu asianomaisten viranomaisten välillä. Kokemus on kuitenkin osoittanut, että yhdenmukainen tietojenkeruu on saavutettu vain osittain. Sen vuoksi on tarpeen varmistaa, että kriisinratkaisuviranomaiset keräävät säännöllisesti vähimmäismäärän laitosta tai konsernia koskevia keskeisiä tietoja kaikkialla unionissa. Tämä ei estä kriisinratkaisuviranomaista keräämästä sellaisia lisätietoja, joita se pitää tarpeellisina kriisinratkaisusuunnitelmien laatimiseksi ja täytäntöön panemiseksi tai direktiivin 2014/59/EU 4 artiklassa tarkoitettujen yksinkertaistettujen tiedonantovelvoitteiden määrittämiseksi.</w:t>
      </w:r>
    </w:p>
    <w:p w:rsidR="007E1AE4" w:rsidRPr="00E85C4C" w:rsidRDefault="007E1AE4" w:rsidP="007E1AE4">
      <w:pPr>
        <w:pStyle w:val="Considrant"/>
      </w:pPr>
      <w:r w:rsidRPr="00E85C4C">
        <w:t>Sen varmistamiseksi, että kriisinratkaisusuunnitelmat perustuvat vähimmäismäärään tasaisesti korkealaatuisia ja tarkkoja tietoja, täytäntöönpanoasetuksella (EU) 2016/1066 käyttöön otetuissa raportointilomakkeissa esitetyt tietoerät olisi muutettava yhteiseksi tietopistemalliksi. Tämä on jo käytäntönä vakavaraisuusvalvontaan liittyvässä raportoinnissa. Yhteisen tietopistemallin olisi koostuttava tietoeristä laaditusta strukturoidusta esityksestä, siinä olisi yksilöitävä kaikki asianomaiset liiketoimintamallit kriisinratkaisusuunnitteluun liittyvää yhdenmukaista raportointia varten ja sen olisi sisällettävä kaikki asiaa koskevat eritelmät, joita tarvitaan yhtenäisten tietoteknisten raportointisovellusten jatkokehittämisessä.</w:t>
      </w:r>
    </w:p>
    <w:p w:rsidR="007E1AE4" w:rsidRPr="00E85C4C" w:rsidRDefault="007E1AE4" w:rsidP="007E1AE4">
      <w:pPr>
        <w:pStyle w:val="Considrant"/>
      </w:pPr>
      <w:r w:rsidRPr="00E85C4C">
        <w:t>Jotta voidaan varmistaa laitosten ilmoittamien tietoerien laatu, johdonmukaisuus ja tarkkuus, tietoeriin olisi sovellettava yhteisiä validointisääntöjä.</w:t>
      </w:r>
    </w:p>
    <w:p w:rsidR="007E1AE4" w:rsidRPr="00E85C4C" w:rsidRDefault="007E1AE4" w:rsidP="007E1AE4">
      <w:pPr>
        <w:pStyle w:val="Considrant"/>
      </w:pPr>
      <w:r w:rsidRPr="00E85C4C">
        <w:t xml:space="preserve">Luonteensa vuoksi validointisääntöjä ja tietopisteiden määritelmiä ajantasaistetaan säännöllisesti sen varmistamiseksi, että ne täyttävät jatkuvasti sovellettavat sääntelyvaatimukset, analyyttiset vaatimukset ja tietotekniikkavaatimukset. Yksityiskohtaisen yhteisen tietopistemallin ja validointisääntöjen hyväksyminen ja julkaiseminen on kuitenkin tällä hetkellä niin aikaa vievää, että muutoksia on mahdotonta tehdä riittävän nopeasti ja ajoissa, jotta voitaisiin varmistaa kriisinratkaisusuunnitelmia koskevien yhdenmukaisten tietojen jatkuva toimittaminen unionissa. Sen vuoksi olisi vahvistettava yksityiskohtaista yhteistä tietopistemallia ja yksityiskohtaisia yhteisiä validointisääntöjä koskevat tiukat laatuvaatimukset, jotka Euroopan pankkiviranomainen, jäljempänä ’EPV’, julkaisee sähköisesti verkkosivuillaan. </w:t>
      </w:r>
    </w:p>
    <w:p w:rsidR="007E1AE4" w:rsidRPr="00E85C4C" w:rsidRDefault="007E1AE4" w:rsidP="007E1AE4">
      <w:pPr>
        <w:pStyle w:val="Considrant"/>
      </w:pPr>
      <w:r w:rsidRPr="00E85C4C">
        <w:t>Direktiivin 2014/59/EU 11 artiklan 2 kohdan mukaisesti toimivaltaisten viranomaisten ja kriisinratkaisuviranomaisten olisi tehtävä yhteistyötä päällekkäisten tietovaatimusten minimoimiseksi. Täytäntöönpanoasetuksessa (EU) 2016/1066 otetaan tätä varten käyttöön toimivaltaisten viranomaisten ja kriisinratkaisuviranomaisten välinen yhteistyömenettely. Tämä menettely olisi säilytettävä, jotta toimivaltaiset viranomaiset ja kriisinratkaisuviranomaiset varmistavat yhdessä, ovatko jotkin tai kaikki pyydetyt tiedot jo toimivaltaisen viranomaisen saatavilla. Jos tiedot ovat toimivaltaisen viranomaisen saatavilla, on asianmukaista, että se toimittaa tiedot suoraan kriisinratkaisuviranomaiselle.</w:t>
      </w:r>
    </w:p>
    <w:p w:rsidR="007E1AE4" w:rsidRPr="00E85C4C" w:rsidRDefault="007E1AE4" w:rsidP="007E1AE4">
      <w:pPr>
        <w:pStyle w:val="Considrant"/>
      </w:pPr>
      <w:r w:rsidRPr="00E85C4C">
        <w:t>Ottaen huomioon täytäntöönpanoasetukseen (EU) 2016/1066 tarvittavien muutosten laajuus on oikeusvarmuuden ja selkeyden vuoksi suositeltavaa hyväksyä uusi täytäntöönpanoasetus ja sen vuoksi kumota täytäntöönpanoasetus (EU) 2016/1066.</w:t>
      </w:r>
    </w:p>
    <w:p w:rsidR="007E1AE4" w:rsidRPr="00E85C4C" w:rsidRDefault="007E1AE4" w:rsidP="007E1AE4">
      <w:pPr>
        <w:pStyle w:val="Considrant"/>
      </w:pPr>
      <w:r w:rsidRPr="00E85C4C">
        <w:t>Tämä asetus perustuu teknisiin täytäntöönpanostandardeihin, jotka EPV on toimittanut komissiolle.</w:t>
      </w:r>
    </w:p>
    <w:p w:rsidR="007E1AE4" w:rsidRPr="00E85C4C" w:rsidRDefault="007E1AE4" w:rsidP="007E1AE4">
      <w:pPr>
        <w:pStyle w:val="Considrant"/>
      </w:pPr>
      <w:r w:rsidRPr="00E85C4C">
        <w:t>EPV on järjestänyt avoimet julkiset kuulemiset niistä teknisistä täytäntöönpanostandardeista, joihin tämä asetus perustuu, analysoinut niihin mahdollisesti liittyviä kustannuksia ja hyötyjä sekä pyytänyt lausunnon Euroopan parlamentin ja neuvoston asetuksen (EU) N:o 1093/2010</w:t>
      </w:r>
      <w:r w:rsidRPr="00E85C4C">
        <w:rPr>
          <w:rStyle w:val="FootnoteReference"/>
        </w:rPr>
        <w:footnoteReference w:id="4"/>
      </w:r>
      <w:r w:rsidRPr="00E85C4C">
        <w:t xml:space="preserve"> 37 artiklan mukaisesti perustetulta pankkialan osallisryhmältä,</w:t>
      </w:r>
    </w:p>
    <w:p w:rsidR="007E1AE4" w:rsidRPr="00E85C4C" w:rsidRDefault="007E1AE4" w:rsidP="007E1AE4">
      <w:pPr>
        <w:pStyle w:val="Formuledadoption"/>
        <w:rPr>
          <w:color w:val="000000" w:themeColor="text1"/>
        </w:rPr>
      </w:pPr>
      <w:r w:rsidRPr="00E85C4C">
        <w:rPr>
          <w:color w:val="000000" w:themeColor="text1"/>
        </w:rPr>
        <w:t>ON HYVÄKSYNYT TÄMÄN ASETUKSEN:</w:t>
      </w:r>
    </w:p>
    <w:p w:rsidR="007E1AE4" w:rsidRPr="00E85C4C" w:rsidRDefault="007E1AE4" w:rsidP="007E1AE4">
      <w:pPr>
        <w:pStyle w:val="Titrearticle"/>
        <w:rPr>
          <w:color w:val="000000" w:themeColor="text1"/>
        </w:rPr>
      </w:pPr>
      <w:r w:rsidRPr="00E85C4C">
        <w:rPr>
          <w:color w:val="000000" w:themeColor="text1"/>
        </w:rPr>
        <w:t xml:space="preserve">1 artikla </w:t>
      </w:r>
      <w:r w:rsidRPr="00E85C4C">
        <w:rPr>
          <w:color w:val="000000" w:themeColor="text1"/>
        </w:rPr>
        <w:br/>
        <w:t>Kohde</w:t>
      </w:r>
    </w:p>
    <w:p w:rsidR="007E1AE4" w:rsidRPr="00E85C4C" w:rsidRDefault="007E1AE4" w:rsidP="007E1AE4">
      <w:r w:rsidRPr="00E85C4C">
        <w:t>Tässä asetuksessa vahvistetaan tekniset täytäntöönpanostandardit, joissa määritetään menettelyt ja vähimmäismäärä vakiomuotoisia lomakkeita niitä tietoja varten, jotka toimitetaan kriisinratkaisuviranomaisille ja joita tarvitaan laadittaessa ja pantaessa täytäntöön yksittäisiä kriisinratkaisusuunnitelmia direktiivin 2014/59/EU 11 artiklan mukaisesti sekä konsernin kriisinratkaisusuunnitelmia mainitun direktiivin 13 artiklan mukaisesti.</w:t>
      </w:r>
    </w:p>
    <w:p w:rsidR="007E1AE4" w:rsidRPr="00E85C4C" w:rsidRDefault="007E1AE4" w:rsidP="007E1AE4">
      <w:pPr>
        <w:pStyle w:val="Titrearticle"/>
        <w:rPr>
          <w:color w:val="000000" w:themeColor="text1"/>
        </w:rPr>
      </w:pPr>
      <w:r w:rsidRPr="00E85C4C">
        <w:rPr>
          <w:color w:val="000000" w:themeColor="text1"/>
        </w:rPr>
        <w:t xml:space="preserve">2 artikla </w:t>
      </w:r>
      <w:r w:rsidRPr="00E85C4C">
        <w:rPr>
          <w:color w:val="000000" w:themeColor="text1"/>
        </w:rPr>
        <w:br/>
        <w:t>Määritelmät</w:t>
      </w:r>
    </w:p>
    <w:p w:rsidR="007E1AE4" w:rsidRPr="00E85C4C" w:rsidRDefault="007E1AE4" w:rsidP="007E1AE4">
      <w:r w:rsidRPr="00E85C4C">
        <w:t>Tässä asetuksessa tarkoitetaan:</w:t>
      </w:r>
    </w:p>
    <w:p w:rsidR="00F14DE3" w:rsidRPr="00E85C4C" w:rsidRDefault="00A31FB6" w:rsidP="00A31FB6">
      <w:pPr>
        <w:pStyle w:val="Point0"/>
      </w:pPr>
      <w:r w:rsidRPr="00A31FB6">
        <w:t>1)</w:t>
      </w:r>
      <w:r w:rsidRPr="00A31FB6">
        <w:tab/>
      </w:r>
      <w:r w:rsidR="00AD470D" w:rsidRPr="00E85C4C">
        <w:t>’kriisinratkaisun kohteena olevalla yhteisöllä’ jompaakumpaa seuraavista:</w:t>
      </w:r>
    </w:p>
    <w:p w:rsidR="00AD470D" w:rsidRPr="00E85C4C" w:rsidRDefault="00A31FB6" w:rsidP="00A31FB6">
      <w:pPr>
        <w:pStyle w:val="Point2"/>
      </w:pPr>
      <w:r w:rsidRPr="00A31FB6">
        <w:t>a)</w:t>
      </w:r>
      <w:r w:rsidRPr="00A31FB6">
        <w:tab/>
      </w:r>
      <w:r w:rsidR="00AD470D" w:rsidRPr="00E85C4C">
        <w:t>unioniin sijoittautunutta yhteisöä, jonka kriisinratkaisuviranomainen on direktiivin 2014/59/EU 12 artiklan mukaisesti määrittänyt yhteisöksi, johon kriisinratkaisusuunnitelmassa kohdistetaan kriisinratkaisutoimia; tai</w:t>
      </w:r>
    </w:p>
    <w:p w:rsidR="00AD470D" w:rsidRPr="00E85C4C" w:rsidRDefault="00A31FB6" w:rsidP="00A31FB6">
      <w:pPr>
        <w:pStyle w:val="Point2"/>
      </w:pPr>
      <w:r w:rsidRPr="00A31FB6">
        <w:t>b)</w:t>
      </w:r>
      <w:r w:rsidRPr="00A31FB6">
        <w:tab/>
      </w:r>
      <w:r w:rsidR="00AD470D" w:rsidRPr="00E85C4C">
        <w:t>laitosta, joka ei kuulu direktiivin 2013/36/EU 111 ja 112 artiklan nojalla konsolidoidun valvonnan piiriin kuuluvaan konserniin ja johon direktiivin 2014/59/EU 10 artiklan mukaisesti laaditussa kriisinratkaisusuunnitelmassa kohdistetaan kriisinratkaisutoimia;</w:t>
      </w:r>
    </w:p>
    <w:p w:rsidR="00AD470D" w:rsidRPr="00E85C4C" w:rsidRDefault="00A31FB6" w:rsidP="00A31FB6">
      <w:pPr>
        <w:pStyle w:val="Point0"/>
        <w:rPr>
          <w:szCs w:val="24"/>
        </w:rPr>
      </w:pPr>
      <w:r w:rsidRPr="00A31FB6">
        <w:t>2)</w:t>
      </w:r>
      <w:r w:rsidRPr="00A31FB6">
        <w:tab/>
      </w:r>
      <w:r w:rsidR="00AD470D" w:rsidRPr="00E85C4C">
        <w:t>’kriisinratkaisun kohteena olevalla konsernilla’ jompaakumpaa seuraavista:</w:t>
      </w:r>
    </w:p>
    <w:p w:rsidR="00AD470D" w:rsidRPr="00E85C4C" w:rsidRDefault="00A31FB6" w:rsidP="00A31FB6">
      <w:pPr>
        <w:pStyle w:val="Point1"/>
      </w:pPr>
      <w:r w:rsidRPr="00A31FB6">
        <w:t>a)</w:t>
      </w:r>
      <w:r w:rsidRPr="00A31FB6">
        <w:tab/>
      </w:r>
      <w:r w:rsidR="00AD470D" w:rsidRPr="00E85C4C">
        <w:t>kriisinratkaisun kohteena olevaa yhteisöä ja sen tytäryrityksiä, jotka eivät ole:</w:t>
      </w:r>
    </w:p>
    <w:p w:rsidR="00AD470D" w:rsidRPr="00E85C4C" w:rsidRDefault="00AD470D" w:rsidP="00AE1240">
      <w:pPr>
        <w:pStyle w:val="Point3"/>
      </w:pPr>
      <w:r w:rsidRPr="00E85C4C">
        <w:t>i) itse kriisinratkaisun kohteena olevia yhteisöjä; tai</w:t>
      </w:r>
    </w:p>
    <w:p w:rsidR="00AD470D" w:rsidRPr="00E85C4C" w:rsidRDefault="00AD470D" w:rsidP="0051415A">
      <w:pPr>
        <w:pStyle w:val="Point3"/>
      </w:pPr>
      <w:r w:rsidRPr="00E85C4C">
        <w:t>ii) muiden kriisinratkaisun kohteena olevien yhteisöjen tytäryrityksiä; tai</w:t>
      </w:r>
    </w:p>
    <w:p w:rsidR="006D0EA9" w:rsidRPr="00E85C4C" w:rsidRDefault="00AD470D" w:rsidP="0051415A">
      <w:pPr>
        <w:pStyle w:val="Point3"/>
      </w:pPr>
      <w:r w:rsidRPr="00E85C4C">
        <w:t>iii) kolmanteen maahan sijoittautuneita yhteisöjä, jotka eivät kriisinratkaisusuunnitelman mukaan kuulu kriisinratkaisun kohteena olevaan konserniin, ja niiden tytäryrityksiä;</w:t>
      </w:r>
    </w:p>
    <w:p w:rsidR="00AD470D" w:rsidRPr="00E85C4C" w:rsidRDefault="00A31FB6" w:rsidP="00A31FB6">
      <w:pPr>
        <w:pStyle w:val="Point1"/>
      </w:pPr>
      <w:r w:rsidRPr="00A31FB6">
        <w:t>b)</w:t>
      </w:r>
      <w:r w:rsidRPr="00A31FB6">
        <w:tab/>
      </w:r>
      <w:r w:rsidR="00AD470D" w:rsidRPr="00E85C4C">
        <w:t>pysyvästi keskusyhteisöön liittyneitä luottolaitoksia, keskusyhteisö ja keskusyhteisön valvonnan alaisia laitoksia, jos jokin näistä yhteisöistä on kriisinratkaisun kohteena oleva yhteisö;</w:t>
      </w:r>
    </w:p>
    <w:p w:rsidR="007E1AE4" w:rsidRPr="00E85C4C" w:rsidRDefault="00A31FB6" w:rsidP="00A31FB6">
      <w:pPr>
        <w:pStyle w:val="Point0"/>
      </w:pPr>
      <w:r w:rsidRPr="00A31FB6">
        <w:t>3)</w:t>
      </w:r>
      <w:r w:rsidRPr="00A31FB6">
        <w:tab/>
      </w:r>
      <w:r w:rsidR="007E1AE4" w:rsidRPr="00E85C4C">
        <w:t>’konsernilaitoksella’ konserniyhteisöä, joka on luottolaitos tai sijoituspalveluyritys;</w:t>
      </w:r>
    </w:p>
    <w:p w:rsidR="00F80209" w:rsidRPr="00E85C4C" w:rsidRDefault="00A31FB6" w:rsidP="00A31FB6">
      <w:pPr>
        <w:pStyle w:val="Point0"/>
      </w:pPr>
      <w:r w:rsidRPr="00A31FB6">
        <w:t>4)</w:t>
      </w:r>
      <w:r w:rsidRPr="00A31FB6">
        <w:tab/>
      </w:r>
      <w:r w:rsidR="00F80209" w:rsidRPr="00E85C4C">
        <w:t>’merkityksellisellä oikeushenkilöllä’ konserniyhteisöä, joka joko</w:t>
      </w:r>
    </w:p>
    <w:p w:rsidR="00F80209" w:rsidRPr="00E85C4C" w:rsidRDefault="00A31FB6" w:rsidP="00A31FB6">
      <w:pPr>
        <w:pStyle w:val="Point2"/>
      </w:pPr>
      <w:r w:rsidRPr="00A31FB6">
        <w:t>a)</w:t>
      </w:r>
      <w:r w:rsidRPr="00A31FB6">
        <w:tab/>
      </w:r>
      <w:r w:rsidR="00F80209" w:rsidRPr="00E85C4C">
        <w:t>tarjoaa kriittisiä toimintoja; tai</w:t>
      </w:r>
    </w:p>
    <w:p w:rsidR="00F80209" w:rsidRPr="00E85C4C" w:rsidRDefault="00A31FB6" w:rsidP="00A31FB6">
      <w:pPr>
        <w:pStyle w:val="Point2"/>
      </w:pPr>
      <w:r w:rsidRPr="00A31FB6">
        <w:t>b)</w:t>
      </w:r>
      <w:r w:rsidRPr="00A31FB6">
        <w:tab/>
      </w:r>
      <w:r w:rsidR="00F80209" w:rsidRPr="00E85C4C">
        <w:t>joka edustaa tai tarjoaa yli viittä prosenttia mistä tahansa seuraavista:</w:t>
      </w:r>
    </w:p>
    <w:p w:rsidR="00F80209" w:rsidRPr="00E85C4C" w:rsidRDefault="00F80209" w:rsidP="00AE1240">
      <w:pPr>
        <w:pStyle w:val="Point3"/>
        <w:ind w:left="2268" w:hanging="284"/>
        <w:rPr>
          <w:rStyle w:val="Strong"/>
          <w:b w:val="0"/>
          <w:color w:val="444444"/>
          <w:szCs w:val="24"/>
        </w:rPr>
      </w:pPr>
      <w:r w:rsidRPr="00E85C4C">
        <w:t>i) Euroopan parlamentin ja neuvoston asetuksen (EU) N:o 575/2013</w:t>
      </w:r>
      <w:r w:rsidRPr="004630DF">
        <w:rPr>
          <w:rStyle w:val="FootnoteReference"/>
        </w:rPr>
        <w:footnoteReference w:id="5"/>
      </w:r>
      <w:r w:rsidRPr="00E85C4C">
        <w:t xml:space="preserve"> 92 artiklan 3 kohdassa tarkoitettu konsernin kokonaisriskin määrä;</w:t>
      </w:r>
    </w:p>
    <w:p w:rsidR="00F80209" w:rsidRPr="00E85C4C" w:rsidRDefault="00F80209" w:rsidP="00AE1240">
      <w:pPr>
        <w:pStyle w:val="Point3"/>
        <w:ind w:left="2410" w:hanging="426"/>
      </w:pPr>
      <w:r w:rsidRPr="00E85C4C">
        <w:t>ii) asetuksen (EU) N:o 575/2013 429 artiklan 4 kohdassa tarkoitettu konsernin vähimmäisomavaraisuusasteen laskennassa käytettävä vastuiden kokonaismäärä;</w:t>
      </w:r>
    </w:p>
    <w:p w:rsidR="001150B6" w:rsidRPr="00E85C4C" w:rsidRDefault="00F80209" w:rsidP="00AE1240">
      <w:pPr>
        <w:pStyle w:val="Point3"/>
      </w:pPr>
      <w:r w:rsidRPr="00E85C4C">
        <w:t>iii) konsernin liiketoiminnan konsolidoidut tuotot.</w:t>
      </w:r>
    </w:p>
    <w:p w:rsidR="007E1AE4" w:rsidRPr="00E85C4C" w:rsidRDefault="007E1AE4" w:rsidP="007E1AE4">
      <w:pPr>
        <w:pStyle w:val="Titrearticle"/>
        <w:rPr>
          <w:color w:val="000000" w:themeColor="text1"/>
        </w:rPr>
      </w:pPr>
      <w:r w:rsidRPr="00E85C4C">
        <w:rPr>
          <w:color w:val="000000" w:themeColor="text1"/>
        </w:rPr>
        <w:t>3 artikla</w:t>
      </w:r>
      <w:r w:rsidRPr="00E85C4C">
        <w:rPr>
          <w:color w:val="000000" w:themeColor="text1"/>
        </w:rPr>
        <w:br/>
        <w:t>Keskeisten tietojen toimittaminen yksittäisiä ja konsernin kriisinratkaisusuunnitelmia varten</w:t>
      </w:r>
    </w:p>
    <w:p w:rsidR="007E1AE4" w:rsidRPr="00E85C4C" w:rsidRDefault="005062D8" w:rsidP="00C775EC">
      <w:pPr>
        <w:pStyle w:val="NumPar1"/>
        <w:numPr>
          <w:ilvl w:val="0"/>
          <w:numId w:val="7"/>
        </w:numPr>
        <w:rPr>
          <w:color w:val="000000" w:themeColor="text1"/>
        </w:rPr>
      </w:pPr>
      <w:r w:rsidRPr="00E85C4C">
        <w:rPr>
          <w:color w:val="000000" w:themeColor="text1"/>
        </w:rPr>
        <w:t>Laitosten ja konsernien tapauksessa unionissa emoyrityksenä toimivien yritysten on toimitettava kriisinratkaisuviranomaisille joko suoraan tai toimivaltaisen viranomaisen välityksellä liitteessä I olevissa lomakkeissa vaaditut tiedot noudattaen 4, 5 ja 6 artiklassa vahvistettua konsolidoinnin tasoa, toimittamistiheyttä ja muotoa sekä liitteessä II annettuja ohjeita.</w:t>
      </w:r>
    </w:p>
    <w:p w:rsidR="007E1AE4" w:rsidRPr="00E85C4C" w:rsidRDefault="007E1AE4" w:rsidP="007E1AE4">
      <w:pPr>
        <w:pStyle w:val="NumPar1"/>
        <w:rPr>
          <w:color w:val="000000" w:themeColor="text1"/>
        </w:rPr>
      </w:pPr>
      <w:r w:rsidRPr="00E85C4C">
        <w:rPr>
          <w:color w:val="000000" w:themeColor="text1"/>
        </w:rPr>
        <w:t>Jos kriisinratkaisuviranomainen tai konsernien tapauksessa konsernitason kriisinratkaisuviranomainen soveltaa yksinkertaistettuja velvoitteita direktiivin 2014/59/EU 4 artiklan mukaisesti, sen on ilmoitettava asianomaisille laitoksille tai unionissa emoyrityksenä toimiville yrityksille, mitä tietoja ei tarvitse sisällyttää tämän artiklan 1 kohdassa tarkoitettujen tietojen toimittamiseen. Sen on yksilöitävä kyseiset tiedot viittaamalla liitteessä I vahvistettuihin lomakkeisiin.</w:t>
      </w:r>
    </w:p>
    <w:p w:rsidR="007E1AE4" w:rsidRPr="00E85C4C" w:rsidRDefault="007E1AE4" w:rsidP="007E1AE4">
      <w:pPr>
        <w:pStyle w:val="Titrearticle"/>
        <w:rPr>
          <w:color w:val="000000" w:themeColor="text1"/>
        </w:rPr>
      </w:pPr>
      <w:r w:rsidRPr="00E85C4C">
        <w:rPr>
          <w:color w:val="000000" w:themeColor="text1"/>
        </w:rPr>
        <w:t>4 artikla</w:t>
      </w:r>
      <w:r w:rsidRPr="00E85C4C">
        <w:rPr>
          <w:color w:val="000000" w:themeColor="text1"/>
        </w:rPr>
        <w:br/>
        <w:t xml:space="preserve">Tietojen konsolidoinnin taso </w:t>
      </w:r>
    </w:p>
    <w:p w:rsidR="007E1AE4" w:rsidRPr="00E85C4C" w:rsidRDefault="007E1AE4" w:rsidP="00EB1CD0">
      <w:pPr>
        <w:pStyle w:val="NumPar1"/>
        <w:numPr>
          <w:ilvl w:val="0"/>
          <w:numId w:val="1"/>
        </w:numPr>
        <w:rPr>
          <w:color w:val="000000" w:themeColor="text1"/>
        </w:rPr>
      </w:pPr>
      <w:r w:rsidRPr="00E85C4C">
        <w:rPr>
          <w:color w:val="000000" w:themeColor="text1"/>
        </w:rPr>
        <w:t>Konserniin kuulumattomien laitosten on toimitettava 3 artiklan 1 kohdassa tarkoitetut tiedot yksittäisinä yrityksinä lukuun ottamatta liitteessä I olevissa lomakkeissa Z 07.02 ja Z 04.00 tarkoitettuja tietoja.</w:t>
      </w:r>
    </w:p>
    <w:p w:rsidR="007E1AE4" w:rsidRPr="00E85C4C" w:rsidRDefault="007E1AE4" w:rsidP="00EB1CD0">
      <w:pPr>
        <w:pStyle w:val="NumPar1"/>
        <w:numPr>
          <w:ilvl w:val="0"/>
          <w:numId w:val="1"/>
        </w:numPr>
        <w:rPr>
          <w:color w:val="000000" w:themeColor="text1"/>
        </w:rPr>
      </w:pPr>
      <w:r w:rsidRPr="00E85C4C">
        <w:rPr>
          <w:color w:val="000000" w:themeColor="text1"/>
        </w:rPr>
        <w:t xml:space="preserve">Konsernien tapauksessa unionissa emoyrityksenä toimivien yritysten on toimitettava 3 artiklan 1 kohdassa tarkoitetut tiedot seuraavien eritelmien mukaisesti: </w:t>
      </w:r>
    </w:p>
    <w:p w:rsidR="007E1AE4" w:rsidRPr="00E85C4C" w:rsidRDefault="00A31FB6" w:rsidP="00A31FB6">
      <w:pPr>
        <w:pStyle w:val="Point0"/>
      </w:pPr>
      <w:r w:rsidRPr="00A31FB6">
        <w:t>a)</w:t>
      </w:r>
      <w:r w:rsidRPr="00A31FB6">
        <w:tab/>
      </w:r>
      <w:r w:rsidR="007E1AE4" w:rsidRPr="00E85C4C">
        <w:t>liitteessä I olevassa lomakkeessa Z 01.00 määritellyt tiedot seuraavien osalta:</w:t>
      </w:r>
    </w:p>
    <w:p w:rsidR="007E1AE4" w:rsidRPr="00E85C4C" w:rsidRDefault="00045775" w:rsidP="0051415A">
      <w:pPr>
        <w:pStyle w:val="Point2"/>
      </w:pPr>
      <w:r w:rsidRPr="00E85C4C">
        <w:t xml:space="preserve">i) </w:t>
      </w:r>
      <w:r w:rsidRPr="00E85C4C">
        <w:tab/>
        <w:t xml:space="preserve">konsernitilinpäätökseen sisältyvät konserniyhteisöt, joiden osuus konsernin kaikista varoista tai kokonaisveloista on yli 0,5 prosenttia; </w:t>
      </w:r>
    </w:p>
    <w:p w:rsidR="007E1AE4" w:rsidRPr="00E85C4C" w:rsidRDefault="00045775" w:rsidP="0051415A">
      <w:pPr>
        <w:pStyle w:val="Point2"/>
      </w:pPr>
      <w:r w:rsidRPr="00E85C4C">
        <w:t>ii)</w:t>
      </w:r>
      <w:r w:rsidRPr="00E85C4C">
        <w:tab/>
        <w:t>konsernilaitokset, joiden osuus konsernin kokonaisriskin määrästä on yli 0,5 prosenttia tai osuus konsernin kokonaisydinpääomasta (CET1) on yli 0,5 prosenttia unionissa emoyrityksenä toimivan yrityksen konsolidoidun aseman perusteella;</w:t>
      </w:r>
    </w:p>
    <w:p w:rsidR="007E1AE4" w:rsidRPr="00E85C4C" w:rsidRDefault="00045775" w:rsidP="0051415A">
      <w:pPr>
        <w:pStyle w:val="Point2"/>
      </w:pPr>
      <w:r w:rsidRPr="00E85C4C">
        <w:t xml:space="preserve">iii) </w:t>
      </w:r>
      <w:r w:rsidRPr="00E85C4C">
        <w:tab/>
        <w:t>kriittisiä toimintoja tarjoavat konserniyhteisöt;</w:t>
      </w:r>
    </w:p>
    <w:p w:rsidR="007E1AE4" w:rsidRPr="00E85C4C" w:rsidRDefault="00A31FB6" w:rsidP="00A31FB6">
      <w:pPr>
        <w:pStyle w:val="Point0"/>
      </w:pPr>
      <w:r w:rsidRPr="00A31FB6">
        <w:t>b)</w:t>
      </w:r>
      <w:r w:rsidRPr="00A31FB6">
        <w:tab/>
      </w:r>
      <w:r w:rsidR="007E1AE4" w:rsidRPr="00E85C4C">
        <w:t>liitteessä I olevissa lomakkeissa Z 02.00 ja Z 03.00 määritellyt tiedot:</w:t>
      </w:r>
    </w:p>
    <w:p w:rsidR="007E1AE4" w:rsidRPr="00E85C4C" w:rsidRDefault="00045775" w:rsidP="0051415A">
      <w:pPr>
        <w:pStyle w:val="Point2"/>
      </w:pPr>
      <w:r w:rsidRPr="00E85C4C">
        <w:t xml:space="preserve">i) </w:t>
      </w:r>
      <w:r w:rsidRPr="00E85C4C">
        <w:tab/>
        <w:t xml:space="preserve">unionissa emoyrityksenä toimivan yrityksen tasolla tai muussa tapauksessa kunkin kriisinratkaisun kohteena olevan yksittäisen yhteisön tasolla; </w:t>
      </w:r>
    </w:p>
    <w:p w:rsidR="007E1AE4" w:rsidRPr="00E85C4C" w:rsidRDefault="00045775" w:rsidP="0051415A">
      <w:pPr>
        <w:pStyle w:val="Point2"/>
      </w:pPr>
      <w:r w:rsidRPr="00E85C4C">
        <w:t>ii)</w:t>
      </w:r>
      <w:r w:rsidRPr="00E85C4C">
        <w:tab/>
        <w:t>kunkin sellaisen yksittäisen konsernilaitoksen tasolla, joka on merkityksellinen oikeushenkilö ja joka ei kuulu i alakohdan soveltamisalaan, lukuun ottamatta tapauksia, joissa kriisinratkaisuviranomainen on kaikilta osin vapauttanut kyseisen laitoksen omia varoja ja hyväksyttäviä velkoja koskevan erillisen vähimmäisvaatimuksen soveltamisesta direktiivin 2014/59/EU 45 artiklan 11 tai 12 kohdan nojalla;</w:t>
      </w:r>
    </w:p>
    <w:p w:rsidR="007E1AE4" w:rsidRPr="00E85C4C" w:rsidRDefault="00045775" w:rsidP="0051415A">
      <w:pPr>
        <w:pStyle w:val="Point2"/>
      </w:pPr>
      <w:r w:rsidRPr="00E85C4C">
        <w:t>iii)</w:t>
      </w:r>
      <w:r w:rsidRPr="00E85C4C">
        <w:tab/>
        <w:t>unionissa emoyrityksenä toimivan yrityksen tasolla konsolidoidusti tai muussa tapauksessa kunkin kriisinratkaisun kohteena olevan yhteisön tasolla kriisinratkaisun kohteena olevan konsernin konsolidoidun aseman perusteella;</w:t>
      </w:r>
    </w:p>
    <w:p w:rsidR="007E1AE4" w:rsidRPr="00E85C4C" w:rsidRDefault="00A31FB6" w:rsidP="00A31FB6">
      <w:pPr>
        <w:pStyle w:val="Point0"/>
      </w:pPr>
      <w:r w:rsidRPr="00A31FB6">
        <w:t>c)</w:t>
      </w:r>
      <w:r w:rsidRPr="00A31FB6">
        <w:tab/>
      </w:r>
      <w:r w:rsidR="007E1AE4" w:rsidRPr="00E85C4C">
        <w:t>liitteessä I olevassa lomakkeessa Z 04.00 määritellyt tiedot kaikkien merkityksellisten oikeushenkilöiden välisten taloudellisten sidosten osalta:</w:t>
      </w:r>
    </w:p>
    <w:p w:rsidR="007E1AE4" w:rsidRPr="00E85C4C" w:rsidRDefault="00A31FB6" w:rsidP="00A31FB6">
      <w:pPr>
        <w:pStyle w:val="Point0"/>
      </w:pPr>
      <w:r w:rsidRPr="00A31FB6">
        <w:t>d)</w:t>
      </w:r>
      <w:r w:rsidRPr="00A31FB6">
        <w:tab/>
      </w:r>
      <w:r w:rsidR="007E1AE4" w:rsidRPr="00E85C4C">
        <w:t>liitteessä I olevissa lomakkeissa Z 05.01 ja Z 05.02 määritellyt tiedot:</w:t>
      </w:r>
    </w:p>
    <w:p w:rsidR="007E1AE4" w:rsidRPr="00E85C4C" w:rsidRDefault="00045775" w:rsidP="0051415A">
      <w:pPr>
        <w:pStyle w:val="Point2"/>
      </w:pPr>
      <w:r w:rsidRPr="00E85C4C">
        <w:t>i)</w:t>
      </w:r>
      <w:r w:rsidRPr="00E85C4C">
        <w:tab/>
        <w:t>unionissa emoyrityksenä toimivan yrityksen tasolla tai muussa tapauksessa kunkin kriisinratkaisun kohteena olevan yksittäisen yhteisön tasolla;</w:t>
      </w:r>
    </w:p>
    <w:p w:rsidR="007E1AE4" w:rsidRPr="00E85C4C" w:rsidRDefault="00045775" w:rsidP="0051415A">
      <w:pPr>
        <w:pStyle w:val="Point2"/>
      </w:pPr>
      <w:r w:rsidRPr="00E85C4C">
        <w:t>ii)</w:t>
      </w:r>
      <w:r w:rsidRPr="00E85C4C">
        <w:tab/>
        <w:t>unionissa emoyrityksenä toimivan yrityksen tasolla konsolidoidusti tai muussa tapauksessa kunkin kriisinratkaisun kohteena olevan yhteisön tasolla kriisinratkaisun kohteena olevan konsernin konsolidoidun aseman perusteella;</w:t>
      </w:r>
    </w:p>
    <w:p w:rsidR="007E1AE4" w:rsidRPr="00E85C4C" w:rsidRDefault="00A31FB6" w:rsidP="00A31FB6">
      <w:pPr>
        <w:pStyle w:val="Point0"/>
      </w:pPr>
      <w:r w:rsidRPr="00A31FB6">
        <w:t>e)</w:t>
      </w:r>
      <w:r w:rsidRPr="00A31FB6">
        <w:tab/>
      </w:r>
      <w:r w:rsidR="007E1AE4" w:rsidRPr="00E85C4C">
        <w:t>liitteessä I olevassa lomakkeessa Z 06.00 määritellyt tiedot unionissa emoyrityksenä toimivan yrityksen tasolla konsolidoidusti kaikkien sellaisten luottolaitosten osalta, jotka ovat merkityksellisiä oikeushenkilöitä;</w:t>
      </w:r>
    </w:p>
    <w:p w:rsidR="007E1AE4" w:rsidRPr="00E85C4C" w:rsidRDefault="00A31FB6" w:rsidP="00A31FB6">
      <w:pPr>
        <w:pStyle w:val="Point0"/>
      </w:pPr>
      <w:r w:rsidRPr="00A31FB6">
        <w:t>f)</w:t>
      </w:r>
      <w:r w:rsidRPr="00A31FB6">
        <w:tab/>
      </w:r>
      <w:r w:rsidR="007E1AE4" w:rsidRPr="00E85C4C">
        <w:t>liitteessä I olevassa lomakkeessa Z 07.01 määritellyt tiedot erikseen kustakin jäsenvaltiosta, jossa konserni toimii;</w:t>
      </w:r>
    </w:p>
    <w:p w:rsidR="007E1AE4" w:rsidRPr="00E85C4C" w:rsidRDefault="00A31FB6" w:rsidP="00A31FB6">
      <w:pPr>
        <w:pStyle w:val="Point0"/>
      </w:pPr>
      <w:r w:rsidRPr="00A31FB6">
        <w:t>g)</w:t>
      </w:r>
      <w:r w:rsidRPr="00A31FB6">
        <w:tab/>
      </w:r>
      <w:r w:rsidR="007E1AE4" w:rsidRPr="00E85C4C">
        <w:t>liitteessä I olevissa lomakkeissa Z 07.02, Z 07.03 ja Z 07.04 määritellyt tiedot minkä tahansa konserniyhteisön kriittisten toimintojen ja ydinliiketoiminta-alueiden osalta;</w:t>
      </w:r>
    </w:p>
    <w:p w:rsidR="007E1AE4" w:rsidRPr="00E85C4C" w:rsidRDefault="00A31FB6" w:rsidP="00A31FB6">
      <w:pPr>
        <w:pStyle w:val="Point0"/>
      </w:pPr>
      <w:r w:rsidRPr="00A31FB6">
        <w:t>h)</w:t>
      </w:r>
      <w:r w:rsidRPr="00A31FB6">
        <w:tab/>
      </w:r>
      <w:r w:rsidR="007E1AE4" w:rsidRPr="00E85C4C">
        <w:t>liitteessä I olevassa lomakkeessa Z 08.00 määritellyt tiedot kaikista kriittisistä palveluista, jotka tarjotaan mille tahansa liitteessä I olevassa lomakkeessa Z 01.00 mainitulle konserniyhteisölle;</w:t>
      </w:r>
    </w:p>
    <w:p w:rsidR="007E1AE4" w:rsidRPr="00E85C4C" w:rsidRDefault="00A31FB6" w:rsidP="00A31FB6">
      <w:pPr>
        <w:pStyle w:val="Point0"/>
      </w:pPr>
      <w:r w:rsidRPr="00A31FB6">
        <w:t>i)</w:t>
      </w:r>
      <w:r w:rsidRPr="00A31FB6">
        <w:tab/>
      </w:r>
      <w:r w:rsidR="007E1AE4" w:rsidRPr="00E85C4C">
        <w:t>liitteessä I olevassa lomakkeessa Z 09.00 määritellyt tiedot kaikkien sellaisten rahoitusmarkkinoiden infrastruktuurien osalta, joissa esiintyvät häiriöt haittaisivat vakavasti jonkin lomakkeessa Z 07.02 mainitun kriittisen toiminnon suorittamista tai estäisivät sen;</w:t>
      </w:r>
    </w:p>
    <w:p w:rsidR="007E1AE4" w:rsidRPr="00E85C4C" w:rsidRDefault="00A31FB6" w:rsidP="00A31FB6">
      <w:pPr>
        <w:pStyle w:val="Point0"/>
      </w:pPr>
      <w:r w:rsidRPr="00A31FB6">
        <w:t>j)</w:t>
      </w:r>
      <w:r w:rsidRPr="00A31FB6">
        <w:tab/>
      </w:r>
      <w:r w:rsidR="007E1AE4" w:rsidRPr="00E85C4C">
        <w:t>liitteessä I olevissa lomakkeissa Z 10.01 ja Z 10.02 määritellyt tiedot kaikista konsernin kriittisistä tietojärjestelmistä.</w:t>
      </w:r>
    </w:p>
    <w:p w:rsidR="007E1AE4" w:rsidRPr="00E85C4C" w:rsidRDefault="007E1AE4" w:rsidP="007E1AE4">
      <w:pPr>
        <w:pStyle w:val="Titrearticle"/>
        <w:rPr>
          <w:color w:val="000000" w:themeColor="text1"/>
        </w:rPr>
      </w:pPr>
      <w:r w:rsidRPr="00E85C4C">
        <w:rPr>
          <w:color w:val="000000" w:themeColor="text1"/>
        </w:rPr>
        <w:t>5 artikla</w:t>
      </w:r>
      <w:r w:rsidRPr="00E85C4C">
        <w:rPr>
          <w:color w:val="000000" w:themeColor="text1"/>
        </w:rPr>
        <w:br/>
        <w:t>Toimittamistiheys, viitepäivämäärät ja ilmoituspäivämäärät</w:t>
      </w:r>
    </w:p>
    <w:p w:rsidR="007E1AE4" w:rsidRPr="00E85C4C" w:rsidRDefault="007E1AE4" w:rsidP="00C775EC">
      <w:pPr>
        <w:pStyle w:val="NumPar1"/>
        <w:numPr>
          <w:ilvl w:val="0"/>
          <w:numId w:val="2"/>
        </w:numPr>
        <w:rPr>
          <w:color w:val="000000" w:themeColor="text1"/>
        </w:rPr>
      </w:pPr>
      <w:r w:rsidRPr="00E85C4C">
        <w:rPr>
          <w:color w:val="000000" w:themeColor="text1"/>
        </w:rPr>
        <w:t>Laitosten on toimitettava 3 artiklan 1 kohdassa tarkoitetut tiedot viimeistään kunkin vuoden 30 päivänä huhtikuuta edellisen kalenterivuoden tai asiaankuuluvan tilikauden viimeisen päivän osalta. Jos 30 päivä huhtikuuta ei ole pankkipäivä, tiedot on toimitettava seuraavana pankkipäivänä.</w:t>
      </w:r>
    </w:p>
    <w:p w:rsidR="007E1AE4" w:rsidRPr="00E85C4C" w:rsidRDefault="007E1AE4" w:rsidP="00C775EC">
      <w:pPr>
        <w:pStyle w:val="NumPar1"/>
        <w:numPr>
          <w:ilvl w:val="0"/>
          <w:numId w:val="2"/>
        </w:numPr>
        <w:rPr>
          <w:color w:val="000000" w:themeColor="text1"/>
        </w:rPr>
      </w:pPr>
      <w:r w:rsidRPr="00E85C4C">
        <w:rPr>
          <w:color w:val="000000" w:themeColor="text1"/>
        </w:rPr>
        <w:t>Kriisinratkaisuviranomaisten on esitettävä tietojen toimittamista varten tarvittavat kriisinratkaisuviranomaisen tai tapauksen mukaan toimivaltaisen viranomaisen yhteystiedot.</w:t>
      </w:r>
    </w:p>
    <w:p w:rsidR="007E1AE4" w:rsidRPr="00E85C4C" w:rsidRDefault="007E1AE4" w:rsidP="00C775EC">
      <w:pPr>
        <w:pStyle w:val="NumPar1"/>
        <w:numPr>
          <w:ilvl w:val="0"/>
          <w:numId w:val="2"/>
        </w:numPr>
        <w:rPr>
          <w:color w:val="000000" w:themeColor="text1"/>
        </w:rPr>
      </w:pPr>
      <w:r w:rsidRPr="00E85C4C">
        <w:rPr>
          <w:color w:val="000000" w:themeColor="text1"/>
        </w:rPr>
        <w:t xml:space="preserve">Laitokset voivat toimittaa tarkastamattomia lukuja. Jos tarkastetut luvut poikkeavat toimitetuista tarkastamattomista luvuista, korjatut tarkastetut luvut on toimitettava ilman aiheetonta viivytystä. Tarkastamattomat luvut ovat lukuja, joista ulkoinen tarkastaja ei ole antanut tarkastuslausumaa, kun taas tarkastetut luvut ovat lukuja, jotka ulkoinen tarkastaja on tarkastanut ja joista hän on antanut tarkastuslausuman. </w:t>
      </w:r>
    </w:p>
    <w:p w:rsidR="007E1AE4" w:rsidRPr="00E85C4C" w:rsidRDefault="00754A18" w:rsidP="00C775EC">
      <w:pPr>
        <w:pStyle w:val="NumPar1"/>
        <w:numPr>
          <w:ilvl w:val="0"/>
          <w:numId w:val="2"/>
        </w:numPr>
        <w:rPr>
          <w:color w:val="000000" w:themeColor="text1"/>
        </w:rPr>
      </w:pPr>
      <w:r w:rsidRPr="00E85C4C">
        <w:rPr>
          <w:color w:val="000000" w:themeColor="text1"/>
        </w:rPr>
        <w:t>Toimitettuihin ilmoituksiin tehdyt korjaukset on toimitettava ilman aiheetonta viivytystä.</w:t>
      </w:r>
    </w:p>
    <w:p w:rsidR="007E1AE4" w:rsidRPr="00E85C4C" w:rsidRDefault="007E1AE4" w:rsidP="007E1AE4">
      <w:pPr>
        <w:pStyle w:val="Titrearticle"/>
        <w:rPr>
          <w:color w:val="000000" w:themeColor="text1"/>
        </w:rPr>
      </w:pPr>
      <w:r w:rsidRPr="00E85C4C">
        <w:rPr>
          <w:color w:val="000000" w:themeColor="text1"/>
        </w:rPr>
        <w:t>6 artikla</w:t>
      </w:r>
      <w:r w:rsidRPr="00E85C4C">
        <w:rPr>
          <w:color w:val="000000" w:themeColor="text1"/>
        </w:rPr>
        <w:br/>
        <w:t>Tietojen toimittamismuoto</w:t>
      </w:r>
    </w:p>
    <w:p w:rsidR="007E1AE4" w:rsidRPr="00E85C4C" w:rsidRDefault="007E1AE4" w:rsidP="00C775EC">
      <w:pPr>
        <w:pStyle w:val="NumPar1"/>
        <w:numPr>
          <w:ilvl w:val="0"/>
          <w:numId w:val="3"/>
        </w:numPr>
        <w:rPr>
          <w:color w:val="000000" w:themeColor="text1"/>
        </w:rPr>
      </w:pPr>
      <w:r w:rsidRPr="00E85C4C">
        <w:rPr>
          <w:color w:val="000000" w:themeColor="text1"/>
        </w:rPr>
        <w:t>Laitosten tai konsernien tapauksessa unionissa emoyrityksenä toimivien yritysten on annettava 3 artiklan 1 kohdassa tarkoitetut tiedot käyttäen kriisinratkaisuviranomaisten määrittelemiä tietojenvaihdon muotoja ja esitystapoja ja noudatettava liitteessä III tarkoitetun yhteisen tietopistemallin tietopistemääritelmiä ja liitteessä IV tarkoitettuja validointisääntöjä sekä seuraavia eritelmiä:</w:t>
      </w:r>
    </w:p>
    <w:p w:rsidR="007E1AE4" w:rsidRPr="00E85C4C" w:rsidRDefault="00A31FB6" w:rsidP="00A31FB6">
      <w:pPr>
        <w:pStyle w:val="Point1"/>
      </w:pPr>
      <w:r w:rsidRPr="00A31FB6">
        <w:t>a)</w:t>
      </w:r>
      <w:r w:rsidRPr="00A31FB6">
        <w:tab/>
      </w:r>
      <w:r w:rsidR="00A05B6C" w:rsidRPr="00E85C4C">
        <w:t xml:space="preserve"> tietotoimituksiin ei saa sisällyttää tietoja, joita ei ole pyydetty tai jotka ovat käyttötarkoitukseen soveltumattomia;</w:t>
      </w:r>
    </w:p>
    <w:p w:rsidR="007E1AE4" w:rsidRPr="00E85C4C" w:rsidRDefault="00A31FB6" w:rsidP="00A31FB6">
      <w:pPr>
        <w:pStyle w:val="Point1"/>
      </w:pPr>
      <w:r w:rsidRPr="00A31FB6">
        <w:t>b)</w:t>
      </w:r>
      <w:r w:rsidRPr="00A31FB6">
        <w:tab/>
      </w:r>
      <w:r w:rsidR="007E1AE4" w:rsidRPr="00E85C4C">
        <w:t>numeeriset arvot on toimitettava tosiasiallisina tietoina seuraavasti:</w:t>
      </w:r>
    </w:p>
    <w:p w:rsidR="007E1AE4" w:rsidRPr="00E85C4C" w:rsidRDefault="00045775" w:rsidP="0051415A">
      <w:pPr>
        <w:pStyle w:val="Point2"/>
      </w:pPr>
      <w:r w:rsidRPr="00E85C4C">
        <w:t>i)</w:t>
      </w:r>
      <w:r w:rsidRPr="00E85C4C">
        <w:tab/>
        <w:t>luokkaan ’rahamäärä’ (monetary) kuuluvat tietopisteet on ilmoitettava tuhansien yksiköiden vähimmäistarkkuudella;</w:t>
      </w:r>
    </w:p>
    <w:p w:rsidR="007E1AE4" w:rsidRPr="00E85C4C" w:rsidRDefault="00045775" w:rsidP="0051415A">
      <w:pPr>
        <w:pStyle w:val="Point2"/>
      </w:pPr>
      <w:r w:rsidRPr="00E85C4C">
        <w:t>ii)</w:t>
      </w:r>
      <w:r w:rsidRPr="00E85C4C">
        <w:tab/>
        <w:t>luokkaan ’prosenttiosuus’ (percentage) kuuluvat tietopisteet on ilmaistava yksikköinä neljän desimaalin vähimmäistarkkuudella;</w:t>
      </w:r>
    </w:p>
    <w:p w:rsidR="007E1AE4" w:rsidRPr="00E85C4C" w:rsidRDefault="00045775" w:rsidP="0051415A">
      <w:pPr>
        <w:pStyle w:val="Point2"/>
      </w:pPr>
      <w:r w:rsidRPr="00E85C4C">
        <w:t>iii)</w:t>
      </w:r>
      <w:r w:rsidRPr="00E85C4C">
        <w:tab/>
        <w:t>luokkaan ’kokonaisluku’ (integer) kuuluvat tietopisteet on ilmoitettava ilman desimaaleja yksikkötarkkuudella.</w:t>
      </w:r>
    </w:p>
    <w:p w:rsidR="007E1AE4" w:rsidRPr="00E85C4C" w:rsidRDefault="007E1AE4" w:rsidP="00C775EC">
      <w:pPr>
        <w:pStyle w:val="NumPar1"/>
        <w:numPr>
          <w:ilvl w:val="0"/>
          <w:numId w:val="3"/>
        </w:numPr>
        <w:rPr>
          <w:color w:val="000000" w:themeColor="text1"/>
        </w:rPr>
      </w:pPr>
      <w:r w:rsidRPr="00E85C4C">
        <w:rPr>
          <w:color w:val="000000" w:themeColor="text1"/>
        </w:rPr>
        <w:t>Laitosten tai konsernien tapauksessa unionissa emoyrityksenä toimivien yritysten toimittamiin tietoihin on liitettävä seuraavat tiedot:</w:t>
      </w:r>
    </w:p>
    <w:p w:rsidR="007E1AE4" w:rsidRPr="00E85C4C" w:rsidRDefault="00A31FB6" w:rsidP="00A31FB6">
      <w:pPr>
        <w:pStyle w:val="Point1"/>
      </w:pPr>
      <w:r w:rsidRPr="00A31FB6">
        <w:t>a)</w:t>
      </w:r>
      <w:r w:rsidRPr="00A31FB6">
        <w:tab/>
      </w:r>
      <w:r w:rsidR="007E1AE4" w:rsidRPr="00E85C4C">
        <w:t>toimittamisen viitepäivämäärä;</w:t>
      </w:r>
    </w:p>
    <w:p w:rsidR="007E1AE4" w:rsidRPr="00E85C4C" w:rsidRDefault="00A31FB6" w:rsidP="00A31FB6">
      <w:pPr>
        <w:pStyle w:val="Point1"/>
      </w:pPr>
      <w:r w:rsidRPr="00A31FB6">
        <w:t>b)</w:t>
      </w:r>
      <w:r w:rsidRPr="00A31FB6">
        <w:tab/>
      </w:r>
      <w:r w:rsidR="007E1AE4" w:rsidRPr="00E85C4C">
        <w:t>raportointivaluutta;</w:t>
      </w:r>
    </w:p>
    <w:p w:rsidR="007E1AE4" w:rsidRPr="00E85C4C" w:rsidRDefault="00A31FB6" w:rsidP="00A31FB6">
      <w:pPr>
        <w:pStyle w:val="Point1"/>
      </w:pPr>
      <w:r w:rsidRPr="00A31FB6">
        <w:t>c)</w:t>
      </w:r>
      <w:r w:rsidRPr="00A31FB6">
        <w:tab/>
      </w:r>
      <w:r w:rsidR="007E1AE4" w:rsidRPr="00E85C4C">
        <w:t>sovellettavat tilinpäätösstandardit;</w:t>
      </w:r>
    </w:p>
    <w:p w:rsidR="007E1AE4" w:rsidRPr="00E85C4C" w:rsidRDefault="00A31FB6" w:rsidP="00A31FB6">
      <w:pPr>
        <w:pStyle w:val="Point1"/>
      </w:pPr>
      <w:r w:rsidRPr="00A31FB6">
        <w:t>d)</w:t>
      </w:r>
      <w:r w:rsidRPr="00A31FB6">
        <w:tab/>
      </w:r>
      <w:r w:rsidR="007E1AE4" w:rsidRPr="00E85C4C">
        <w:t>raportoivan yhteisön tunniste;</w:t>
      </w:r>
    </w:p>
    <w:p w:rsidR="007E1AE4" w:rsidRPr="00E85C4C" w:rsidRDefault="00A31FB6" w:rsidP="00A31FB6">
      <w:pPr>
        <w:pStyle w:val="Point1"/>
      </w:pPr>
      <w:r w:rsidRPr="00A31FB6">
        <w:t>e)</w:t>
      </w:r>
      <w:r w:rsidRPr="00A31FB6">
        <w:tab/>
      </w:r>
      <w:r w:rsidR="007E1AE4" w:rsidRPr="00E85C4C">
        <w:t>tietojen konsolidoinnin taso 4 artiklan mukaisesti.</w:t>
      </w:r>
    </w:p>
    <w:p w:rsidR="007E1AE4" w:rsidRPr="00E85C4C" w:rsidRDefault="007E1AE4" w:rsidP="007E1AE4">
      <w:pPr>
        <w:pStyle w:val="Titrearticle"/>
        <w:rPr>
          <w:color w:val="000000" w:themeColor="text1"/>
        </w:rPr>
      </w:pPr>
      <w:r w:rsidRPr="00E85C4C">
        <w:rPr>
          <w:color w:val="000000" w:themeColor="text1"/>
        </w:rPr>
        <w:t>7 artikla</w:t>
      </w:r>
      <w:r w:rsidRPr="00E85C4C">
        <w:rPr>
          <w:color w:val="000000" w:themeColor="text1"/>
        </w:rPr>
        <w:br/>
        <w:t>Lisätietojen toimittaminen yksittäisiä ja konsernin kriisinratkaisusuunnitelmia varten</w:t>
      </w:r>
    </w:p>
    <w:p w:rsidR="00B90FAF" w:rsidRPr="00E85C4C" w:rsidRDefault="00B90FAF" w:rsidP="00C775EC">
      <w:pPr>
        <w:pStyle w:val="NumPar1"/>
        <w:numPr>
          <w:ilvl w:val="0"/>
          <w:numId w:val="16"/>
        </w:numPr>
      </w:pPr>
      <w:r w:rsidRPr="00E85C4C">
        <w:t>Jos kriisinratkaisuviranomainen tai konsernitason kriisinratkaisuviranomainen katsoo, että kriisinratkaisusuunnitelmien laatimiseksi ja täytäntöön panemiseksi tarvitaan tietoja, jotka eivät sisälly mihinkään liitteessä I esitetyistä lomakkeista, tai muoto, jossa toimivaltainen viranomainen antaa lisätietoja 8</w:t>
      </w:r>
      <w:r w:rsidR="00E85C4C">
        <w:t xml:space="preserve"> artiklan 2 kohdan mukaisesti, </w:t>
      </w:r>
      <w:r w:rsidRPr="00E85C4C">
        <w:t>ei sovellu kriisinratkaisusuunnitelmien laadintaan tai täytäntöönpanoon, kriisinratkaisuviranomaisen on pyydettävä tällaisia tietoja laitokselta tai unionissa emoyrityksenä toimivalta yritykseltä.</w:t>
      </w:r>
    </w:p>
    <w:p w:rsidR="00B90FAF" w:rsidRPr="00E85C4C" w:rsidRDefault="00B90FAF" w:rsidP="00AE1240">
      <w:pPr>
        <w:pStyle w:val="NumPar1"/>
      </w:pPr>
      <w:r w:rsidRPr="00E85C4C">
        <w:t>Edellä 1 kohdassa tarkoitetussa pyynnössä kriisinratkaisuviranomaisen on</w:t>
      </w:r>
    </w:p>
    <w:p w:rsidR="00B90FAF" w:rsidRPr="00E85C4C" w:rsidRDefault="00A31FB6" w:rsidP="00A31FB6">
      <w:pPr>
        <w:pStyle w:val="Point1"/>
      </w:pPr>
      <w:r w:rsidRPr="00A31FB6">
        <w:t>a)</w:t>
      </w:r>
      <w:r w:rsidRPr="00A31FB6">
        <w:tab/>
      </w:r>
      <w:r w:rsidR="00B90FAF" w:rsidRPr="00E85C4C">
        <w:t>yksilöitävä toimitettavat lisätiedot;</w:t>
      </w:r>
    </w:p>
    <w:p w:rsidR="00B90FAF" w:rsidRPr="00E85C4C" w:rsidRDefault="00A31FB6" w:rsidP="00A31FB6">
      <w:pPr>
        <w:pStyle w:val="Point1"/>
      </w:pPr>
      <w:r w:rsidRPr="00A31FB6">
        <w:t>b)</w:t>
      </w:r>
      <w:r w:rsidRPr="00A31FB6">
        <w:tab/>
      </w:r>
      <w:r w:rsidR="00B90FAF" w:rsidRPr="00E85C4C">
        <w:t>täsmennettävä pyydettyjen tietojen määrän ja monitahoisuuden perusteella asianmukainen määräaika, johon mennessä laitoksen tai konsernien tapauksessa unionissa emoyhtiönä toimivan yrityksen on toimitettava tiedot kriisinratkaisuviranomaiselle;</w:t>
      </w:r>
    </w:p>
    <w:p w:rsidR="00B90FAF" w:rsidRPr="00E85C4C" w:rsidRDefault="00A31FB6" w:rsidP="00A31FB6">
      <w:pPr>
        <w:pStyle w:val="Point1"/>
      </w:pPr>
      <w:r w:rsidRPr="00A31FB6">
        <w:t>c)</w:t>
      </w:r>
      <w:r w:rsidRPr="00A31FB6">
        <w:tab/>
      </w:r>
      <w:r w:rsidR="00B90FAF" w:rsidRPr="00E85C4C">
        <w:t>täsmennettävä muoto, jota laitosten tai konsernien tapauksessa unionissa emoyrityksenä toimivien yritysten on käytettävä toimittaessaan tiedot kriisinratkaisuviranomaiselle;</w:t>
      </w:r>
    </w:p>
    <w:p w:rsidR="00B90FAF" w:rsidRPr="00E85C4C" w:rsidRDefault="00A31FB6" w:rsidP="00A31FB6">
      <w:pPr>
        <w:pStyle w:val="Point1"/>
      </w:pPr>
      <w:r w:rsidRPr="00A31FB6">
        <w:t>d)</w:t>
      </w:r>
      <w:r w:rsidRPr="00A31FB6">
        <w:tab/>
      </w:r>
      <w:r w:rsidR="00B90FAF" w:rsidRPr="00E85C4C">
        <w:t>täsmennettävä, onko tiedot ilmoitettava yksittäisen laitoksen vai konsernin tasolla ja onko ilmoitettavien tietojen koskettava paikallista, unionin laajuista vai maailmanlaajuista toimintaa;</w:t>
      </w:r>
    </w:p>
    <w:p w:rsidR="00B90FAF" w:rsidRPr="00E85C4C" w:rsidRDefault="00A31FB6" w:rsidP="00A31FB6">
      <w:pPr>
        <w:pStyle w:val="Point1"/>
      </w:pPr>
      <w:r w:rsidRPr="00A31FB6">
        <w:t>e)</w:t>
      </w:r>
      <w:r w:rsidRPr="00A31FB6">
        <w:tab/>
      </w:r>
      <w:r w:rsidR="00B90FAF" w:rsidRPr="00E85C4C">
        <w:t>ilmoitettava tarvittavat yhteystiedot lisätietojen toimittamista varten.</w:t>
      </w:r>
    </w:p>
    <w:p w:rsidR="007E1AE4" w:rsidRPr="00E85C4C" w:rsidRDefault="007E1AE4" w:rsidP="007E1AE4">
      <w:pPr>
        <w:pStyle w:val="Titrearticle"/>
        <w:rPr>
          <w:color w:val="000000" w:themeColor="text1"/>
        </w:rPr>
      </w:pPr>
      <w:r w:rsidRPr="00E85C4C">
        <w:rPr>
          <w:color w:val="000000" w:themeColor="text1"/>
        </w:rPr>
        <w:t>8 artikla</w:t>
      </w:r>
      <w:r w:rsidRPr="00E85C4C">
        <w:rPr>
          <w:color w:val="000000" w:themeColor="text1"/>
        </w:rPr>
        <w:br/>
        <w:t>Toimivaltaisten viranomaisten ja kriisinratkaisuviranomaisten välinen yhteistyö</w:t>
      </w:r>
    </w:p>
    <w:p w:rsidR="007E1AE4" w:rsidRPr="00E85C4C" w:rsidRDefault="007E1AE4" w:rsidP="00C775EC">
      <w:pPr>
        <w:pStyle w:val="NumPar1"/>
        <w:numPr>
          <w:ilvl w:val="0"/>
          <w:numId w:val="4"/>
        </w:numPr>
        <w:rPr>
          <w:color w:val="000000" w:themeColor="text1"/>
        </w:rPr>
      </w:pPr>
      <w:r w:rsidRPr="00E85C4C">
        <w:rPr>
          <w:color w:val="000000" w:themeColor="text1"/>
        </w:rPr>
        <w:t>Toimivaltaisten viranomaisten ja kriisinratkaisuviranomaisten on yhdessä todennettava, ovatko 3 artiklan 1 kohdan ja 7 artiklan nojalla kriisinratkaisuviranomaiselle toimitettavat tiedot jo osittain tai kokonaisuudessaan toimivaltaisen viranomaisen saatavilla.</w:t>
      </w:r>
    </w:p>
    <w:p w:rsidR="007E1AE4" w:rsidRPr="00E85C4C" w:rsidRDefault="007E1AE4" w:rsidP="00C775EC">
      <w:pPr>
        <w:pStyle w:val="NumPar1"/>
        <w:numPr>
          <w:ilvl w:val="0"/>
          <w:numId w:val="4"/>
        </w:numPr>
        <w:rPr>
          <w:color w:val="000000" w:themeColor="text1"/>
        </w:rPr>
      </w:pPr>
      <w:r w:rsidRPr="00E85C4C">
        <w:rPr>
          <w:color w:val="000000" w:themeColor="text1"/>
        </w:rPr>
        <w:t xml:space="preserve">Jos tiedot ovat jo osittain tai kokonaisuudessaan toimivaltaisen viranomaisen saatavilla, kyseisen viranomaisen on toimitettava nämä tiedot kriisinratkaisuviranomaiselle kohtuullisessa ajassa. </w:t>
      </w:r>
    </w:p>
    <w:p w:rsidR="00A05A75" w:rsidRPr="00E85C4C" w:rsidRDefault="007E1AE4" w:rsidP="00AE1240">
      <w:pPr>
        <w:pStyle w:val="NumPar1"/>
        <w:rPr>
          <w:color w:val="000000" w:themeColor="text1"/>
        </w:rPr>
      </w:pPr>
      <w:r w:rsidRPr="00E85C4C">
        <w:rPr>
          <w:color w:val="000000" w:themeColor="text1"/>
        </w:rPr>
        <w:t>Edellä 2 kohdassa tarkoitetussa tapauksessa kriisinratkaisuviranomaisten on varmistettava, että laitoksille tai konsernien tapauksessa unionissa emoyrityksenä toimiville yrityksille ilmoitetaan tiedoista, jotka on sisällytettävä 3 artiklan 1 kohdan nojalla toimitettaviin tietoihin. Niiden on yksilöitävä kyseiset tiedot viittaamalla liitteessä I vahvistettuihin lomakkeisiin.</w:t>
      </w:r>
    </w:p>
    <w:p w:rsidR="007E1AE4" w:rsidRPr="00E85C4C" w:rsidRDefault="007E1AE4" w:rsidP="007E1AE4">
      <w:pPr>
        <w:pStyle w:val="Titrearticle"/>
        <w:rPr>
          <w:color w:val="000000" w:themeColor="text1"/>
        </w:rPr>
      </w:pPr>
      <w:r w:rsidRPr="00E85C4C">
        <w:rPr>
          <w:color w:val="000000" w:themeColor="text1"/>
        </w:rPr>
        <w:t>9 artikla</w:t>
      </w:r>
      <w:r w:rsidRPr="00E85C4C">
        <w:rPr>
          <w:color w:val="000000" w:themeColor="text1"/>
        </w:rPr>
        <w:br/>
        <w:t>Siirtymäkausi</w:t>
      </w:r>
    </w:p>
    <w:p w:rsidR="007E1AE4" w:rsidRPr="00E85C4C" w:rsidRDefault="007E1AE4" w:rsidP="00C775EC">
      <w:pPr>
        <w:pStyle w:val="NumPar1"/>
        <w:numPr>
          <w:ilvl w:val="0"/>
          <w:numId w:val="5"/>
        </w:numPr>
        <w:rPr>
          <w:color w:val="000000" w:themeColor="text1"/>
        </w:rPr>
      </w:pPr>
      <w:r w:rsidRPr="00E85C4C">
        <w:rPr>
          <w:color w:val="000000" w:themeColor="text1"/>
        </w:rPr>
        <w:t>Poiketen siitä, mitä 5 artiklan 1 kohdassa säädetään, 1 päivän tammikuuta ja 31 päivän joulukuuta 2018 välisenä aikana päättyvän tilikauden osalta ilmoituspäivämäärä on viimeistään 31 päivä toukokuuta 2019.</w:t>
      </w:r>
    </w:p>
    <w:p w:rsidR="007E1AE4" w:rsidRPr="00E85C4C" w:rsidRDefault="007E1AE4" w:rsidP="00C775EC">
      <w:pPr>
        <w:pStyle w:val="NumPar1"/>
        <w:numPr>
          <w:ilvl w:val="0"/>
          <w:numId w:val="5"/>
        </w:numPr>
        <w:rPr>
          <w:color w:val="000000" w:themeColor="text1"/>
        </w:rPr>
      </w:pPr>
      <w:r w:rsidRPr="00E85C4C">
        <w:rPr>
          <w:color w:val="000000" w:themeColor="text1"/>
        </w:rPr>
        <w:t>Poiketen siitä, mitä 5 artiklan 1 kohdassa säädetään, 1 päivän tammikuuta ja 31 päivän joulukuuta 2019 välisenä aikana päättyvän tilikauden osalta ilmoituspäivämäärä on viimeistään 30 päivä huhtikuuta 2020.</w:t>
      </w:r>
    </w:p>
    <w:p w:rsidR="007E1AE4" w:rsidRPr="00E85C4C" w:rsidRDefault="007E1AE4" w:rsidP="007E1AE4">
      <w:pPr>
        <w:pStyle w:val="Titrearticle"/>
        <w:rPr>
          <w:color w:val="000000" w:themeColor="text1"/>
        </w:rPr>
      </w:pPr>
      <w:r w:rsidRPr="00E85C4C">
        <w:rPr>
          <w:color w:val="000000" w:themeColor="text1"/>
        </w:rPr>
        <w:t>10 artikla</w:t>
      </w:r>
      <w:r w:rsidRPr="00E85C4C">
        <w:rPr>
          <w:color w:val="000000" w:themeColor="text1"/>
        </w:rPr>
        <w:br/>
        <w:t>Kumoaminen</w:t>
      </w:r>
    </w:p>
    <w:p w:rsidR="007E1AE4" w:rsidRPr="00E85C4C" w:rsidRDefault="007E1AE4" w:rsidP="007E1AE4">
      <w:pPr>
        <w:rPr>
          <w:color w:val="000000" w:themeColor="text1"/>
        </w:rPr>
      </w:pPr>
      <w:r w:rsidRPr="00E85C4C">
        <w:rPr>
          <w:color w:val="000000" w:themeColor="text1"/>
        </w:rPr>
        <w:t>Kumotaan täytäntöönpanoasetus (EU) 2016/1066.</w:t>
      </w:r>
    </w:p>
    <w:p w:rsidR="007E1AE4" w:rsidRPr="00E85C4C" w:rsidRDefault="007E1AE4" w:rsidP="007E1AE4">
      <w:pPr>
        <w:pStyle w:val="Titrearticle"/>
        <w:rPr>
          <w:color w:val="000000" w:themeColor="text1"/>
        </w:rPr>
      </w:pPr>
      <w:r w:rsidRPr="00E85C4C">
        <w:t>11 artikla</w:t>
      </w:r>
      <w:r w:rsidRPr="00E85C4C">
        <w:br/>
        <w:t>Voimaantulo</w:t>
      </w:r>
    </w:p>
    <w:p w:rsidR="007E1AE4" w:rsidRPr="00E85C4C" w:rsidRDefault="007E1AE4" w:rsidP="007E1AE4">
      <w:pPr>
        <w:rPr>
          <w:color w:val="000000" w:themeColor="text1"/>
        </w:rPr>
      </w:pPr>
      <w:r w:rsidRPr="00E85C4C">
        <w:t xml:space="preserve">Tämä asetus tulee voimaan kahdentenakymmenentenä päivänä sen jälkeen, kun se on julkaistu </w:t>
      </w:r>
      <w:r w:rsidRPr="00E85C4C">
        <w:rPr>
          <w:i/>
          <w:color w:val="000000" w:themeColor="text1"/>
        </w:rPr>
        <w:t>Euroopan unionin virallisessa lehdessä</w:t>
      </w:r>
      <w:r w:rsidRPr="00E85C4C">
        <w:t>.</w:t>
      </w:r>
    </w:p>
    <w:p w:rsidR="007E1AE4" w:rsidRPr="00E85C4C" w:rsidRDefault="007E1AE4" w:rsidP="007E1AE4">
      <w:pPr>
        <w:pStyle w:val="Applicationdirecte"/>
        <w:rPr>
          <w:color w:val="000000" w:themeColor="text1"/>
        </w:rPr>
      </w:pPr>
      <w:r w:rsidRPr="00E85C4C">
        <w:rPr>
          <w:color w:val="000000" w:themeColor="text1"/>
        </w:rPr>
        <w:t>Tämä asetus on kaikilta osiltaan velvoittava, ja sitä sovelletaan sellaisenaan kaikissa jäsenvaltioissa.</w:t>
      </w:r>
    </w:p>
    <w:p w:rsidR="007E1AE4" w:rsidRPr="00E85C4C" w:rsidRDefault="00BC0FA0" w:rsidP="00BC0FA0">
      <w:pPr>
        <w:pStyle w:val="Fait"/>
      </w:pPr>
      <w:r w:rsidRPr="00BC0FA0">
        <w:t>Tehty Brysselissä</w:t>
      </w:r>
    </w:p>
    <w:p w:rsidR="007E1AE4" w:rsidRPr="00E85C4C" w:rsidRDefault="007E1AE4" w:rsidP="007E1AE4">
      <w:pPr>
        <w:pStyle w:val="Institutionquisigne"/>
      </w:pPr>
      <w:r w:rsidRPr="00E85C4C">
        <w:tab/>
        <w:t>Komission puolesta</w:t>
      </w:r>
    </w:p>
    <w:p w:rsidR="001C2CA3" w:rsidRPr="00E85C4C" w:rsidRDefault="007E1AE4" w:rsidP="007E1AE4">
      <w:pPr>
        <w:pStyle w:val="Personnequisigne"/>
      </w:pPr>
      <w:r w:rsidRPr="00E85C4C">
        <w:tab/>
        <w:t>Puheenjohtaja</w:t>
      </w:r>
      <w:r w:rsidRPr="00E85C4C">
        <w:br/>
      </w:r>
      <w:r w:rsidRPr="00E85C4C">
        <w:tab/>
        <w:t>Jean-Claude JUNCKER</w:t>
      </w:r>
    </w:p>
    <w:p w:rsidR="007E1AE4" w:rsidRPr="00E85C4C" w:rsidRDefault="007E1AE4" w:rsidP="007E1AE4">
      <w:pPr>
        <w:pStyle w:val="Personnequisigne"/>
      </w:pPr>
    </w:p>
    <w:sectPr w:rsidR="007E1AE4" w:rsidRPr="00E85C4C" w:rsidSect="004630DF">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4630DF" w:rsidRDefault="004630DF" w:rsidP="004630DF">
    <w:pPr>
      <w:pStyle w:val="Footer"/>
      <w:rPr>
        <w:rFonts w:ascii="Arial" w:hAnsi="Arial" w:cs="Arial"/>
        <w:b/>
        <w:sz w:val="48"/>
      </w:rPr>
    </w:pPr>
    <w:r w:rsidRPr="004630DF">
      <w:rPr>
        <w:rFonts w:ascii="Arial" w:hAnsi="Arial" w:cs="Arial"/>
        <w:b/>
        <w:sz w:val="48"/>
      </w:rPr>
      <w:t>FI</w:t>
    </w:r>
    <w:r w:rsidRPr="004630DF">
      <w:rPr>
        <w:rFonts w:ascii="Arial" w:hAnsi="Arial" w:cs="Arial"/>
        <w:b/>
        <w:sz w:val="48"/>
      </w:rPr>
      <w:tab/>
    </w:r>
    <w:r w:rsidRPr="004630DF">
      <w:rPr>
        <w:rFonts w:ascii="Arial" w:hAnsi="Arial" w:cs="Arial"/>
        <w:b/>
        <w:sz w:val="48"/>
      </w:rPr>
      <w:tab/>
    </w:r>
    <w:r w:rsidRPr="004630DF">
      <w:tab/>
    </w:r>
    <w:r w:rsidRPr="004630DF">
      <w:rPr>
        <w:rFonts w:ascii="Arial" w:hAnsi="Arial" w:cs="Arial"/>
        <w:b/>
        <w:sz w:val="48"/>
      </w:rPr>
      <w:t>FI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Footer"/>
      <w:rPr>
        <w:rFonts w:ascii="Arial" w:hAnsi="Arial" w:cs="Arial"/>
        <w:b/>
        <w:sz w:val="48"/>
      </w:rPr>
    </w:pPr>
    <w:r w:rsidRPr="004630DF">
      <w:rPr>
        <w:rFonts w:ascii="Arial" w:hAnsi="Arial" w:cs="Arial"/>
        <w:b/>
        <w:sz w:val="48"/>
      </w:rPr>
      <w:t>FI</w:t>
    </w:r>
    <w:r w:rsidRPr="004630D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630DF">
      <w:tab/>
    </w:r>
    <w:r w:rsidRPr="004630DF">
      <w:rPr>
        <w:rFonts w:ascii="Arial" w:hAnsi="Arial" w:cs="Arial"/>
        <w:b/>
        <w:sz w:val="48"/>
      </w:rPr>
      <w:t>FI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Pr="00E85C4C" w:rsidRDefault="007E1AE4" w:rsidP="007E1AE4">
      <w:pPr>
        <w:pStyle w:val="FootnoteText"/>
      </w:pPr>
      <w:r>
        <w:rPr>
          <w:rStyle w:val="FootnoteReference"/>
        </w:rPr>
        <w:footnoteRef/>
      </w:r>
      <w:r w:rsidRPr="00E85C4C">
        <w:tab/>
        <w:t xml:space="preserve">EUVL L 173, 12.6.2014, s. 190. </w:t>
      </w:r>
    </w:p>
  </w:footnote>
  <w:footnote w:id="3">
    <w:p w:rsidR="00F0793D" w:rsidRPr="00E85C4C" w:rsidRDefault="00F0793D">
      <w:pPr>
        <w:pStyle w:val="FootnoteText"/>
      </w:pPr>
      <w:r>
        <w:rPr>
          <w:rStyle w:val="FootnoteReference"/>
        </w:rPr>
        <w:footnoteRef/>
      </w:r>
      <w:r w:rsidRPr="00E85C4C">
        <w:tab/>
        <w:t>Komission täytäntöönpanoasetus (EU) 2016/1066, annettu 17 päivänä kesäkuuta 2016, Euroopan parlamentin ja neuvoston direktiivin 2014/59/EU mukaisista luottolaitosten ja sijoituspalveluyritysten kriisinratkaisusuunnitelmia varten toimitettaviin tietoihin liittyviä menettelyjä, vakiomuotoisia lomakkeita ja malleja koskevista teknisistä täytäntöönpanostandardeista (EUVL L 181, 6.7.2016, s. 1).</w:t>
      </w:r>
    </w:p>
  </w:footnote>
  <w:footnote w:id="4">
    <w:p w:rsidR="002A074B" w:rsidRPr="00E85C4C" w:rsidRDefault="002A074B">
      <w:pPr>
        <w:pStyle w:val="FootnoteText"/>
      </w:pPr>
      <w:r>
        <w:rPr>
          <w:rStyle w:val="FootnoteReference"/>
        </w:rPr>
        <w:footnoteRef/>
      </w:r>
      <w:r w:rsidRPr="00E85C4C">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 w:id="5">
    <w:p w:rsidR="00F80209" w:rsidRPr="0031364A" w:rsidRDefault="00F80209" w:rsidP="00F80209">
      <w:pPr>
        <w:pStyle w:val="FootnoteText"/>
      </w:pPr>
      <w:r>
        <w:rPr>
          <w:rStyle w:val="FootnoteReference"/>
        </w:rPr>
        <w:footnoteRef/>
      </w:r>
      <w:r>
        <w:tab/>
        <w:t>Euroopan parlamentin ja neuvoston asetus (EU) N:o 575/2013, annettu 26 päivänä kesäkuuta 2013, luottolaitosten ja sijoituspalveluyritysten vakavaraisuusvaatimuksista ja asetuksen (EU) N:o 648/2012 muuttamisesta (EUVL L 176, 27.6.2013,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DF" w:rsidRPr="004630DF" w:rsidRDefault="004630DF" w:rsidP="004630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3:05:2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8241AE6D-9862-4FC1-BA70-DCD2B9758ED1"/>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lt;EMPTY&gt;"/>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ja komission täytäntöönpanoasetuksen (EU) 2016/1066 kumoamisesta_x000b_"/>
    <w:docVar w:name="LW_TYPE.DOC.CP" w:val="KOMISSION TÄYTÄNTÖÖNPANOASETUS (EU) \u8230?/\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254C7"/>
    <w:rsid w:val="00440366"/>
    <w:rsid w:val="00445226"/>
    <w:rsid w:val="004630DF"/>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D1A53"/>
    <w:rsid w:val="005E178C"/>
    <w:rsid w:val="005E53D8"/>
    <w:rsid w:val="006057FF"/>
    <w:rsid w:val="00613CA5"/>
    <w:rsid w:val="00624BC6"/>
    <w:rsid w:val="00640780"/>
    <w:rsid w:val="0064388D"/>
    <w:rsid w:val="00647FAA"/>
    <w:rsid w:val="006543E2"/>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76E48"/>
    <w:rsid w:val="00982D8B"/>
    <w:rsid w:val="00985C42"/>
    <w:rsid w:val="00997B12"/>
    <w:rsid w:val="009C42AE"/>
    <w:rsid w:val="009C57E6"/>
    <w:rsid w:val="009E4EA1"/>
    <w:rsid w:val="009F137C"/>
    <w:rsid w:val="009F1954"/>
    <w:rsid w:val="009F5E9A"/>
    <w:rsid w:val="00A05A75"/>
    <w:rsid w:val="00A05B6C"/>
    <w:rsid w:val="00A17005"/>
    <w:rsid w:val="00A17425"/>
    <w:rsid w:val="00A31FB6"/>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C0FA0"/>
    <w:rsid w:val="00BE55A2"/>
    <w:rsid w:val="00BF5927"/>
    <w:rsid w:val="00BF7ABD"/>
    <w:rsid w:val="00C111F6"/>
    <w:rsid w:val="00C26D26"/>
    <w:rsid w:val="00C32916"/>
    <w:rsid w:val="00C36E0D"/>
    <w:rsid w:val="00C50809"/>
    <w:rsid w:val="00C62DBD"/>
    <w:rsid w:val="00C775EC"/>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85C4C"/>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877878"/>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fi-FI"/>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fi-FI"/>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fi-FI"/>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7"/>
      </w:numPr>
    </w:pPr>
  </w:style>
  <w:style w:type="paragraph" w:customStyle="1" w:styleId="Tiret1">
    <w:name w:val="Tiret 1"/>
    <w:basedOn w:val="Point1"/>
    <w:rsid w:val="00877878"/>
    <w:pPr>
      <w:numPr>
        <w:numId w:val="18"/>
      </w:numPr>
    </w:pPr>
  </w:style>
  <w:style w:type="paragraph" w:customStyle="1" w:styleId="Tiret2">
    <w:name w:val="Tiret 2"/>
    <w:basedOn w:val="Point2"/>
    <w:rsid w:val="00877878"/>
    <w:pPr>
      <w:numPr>
        <w:numId w:val="19"/>
      </w:numPr>
    </w:pPr>
  </w:style>
  <w:style w:type="paragraph" w:customStyle="1" w:styleId="Tiret3">
    <w:name w:val="Tiret 3"/>
    <w:basedOn w:val="Point3"/>
    <w:rsid w:val="00877878"/>
    <w:pPr>
      <w:numPr>
        <w:numId w:val="20"/>
      </w:numPr>
    </w:pPr>
  </w:style>
  <w:style w:type="paragraph" w:customStyle="1" w:styleId="Tiret4">
    <w:name w:val="Tiret 4"/>
    <w:basedOn w:val="Point4"/>
    <w:rsid w:val="00877878"/>
    <w:pPr>
      <w:numPr>
        <w:numId w:val="21"/>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2"/>
      </w:numPr>
    </w:pPr>
  </w:style>
  <w:style w:type="paragraph" w:customStyle="1" w:styleId="NumPar2">
    <w:name w:val="NumPar 2"/>
    <w:basedOn w:val="Normal"/>
    <w:next w:val="Text1"/>
    <w:rsid w:val="00877878"/>
    <w:pPr>
      <w:numPr>
        <w:ilvl w:val="1"/>
        <w:numId w:val="22"/>
      </w:numPr>
    </w:pPr>
  </w:style>
  <w:style w:type="paragraph" w:customStyle="1" w:styleId="NumPar3">
    <w:name w:val="NumPar 3"/>
    <w:basedOn w:val="Normal"/>
    <w:next w:val="Text1"/>
    <w:rsid w:val="00877878"/>
    <w:pPr>
      <w:numPr>
        <w:ilvl w:val="2"/>
        <w:numId w:val="22"/>
      </w:numPr>
    </w:pPr>
  </w:style>
  <w:style w:type="paragraph" w:customStyle="1" w:styleId="NumPar4">
    <w:name w:val="NumPar 4"/>
    <w:basedOn w:val="Normal"/>
    <w:next w:val="Text1"/>
    <w:rsid w:val="00877878"/>
    <w:pPr>
      <w:numPr>
        <w:ilvl w:val="3"/>
        <w:numId w:val="22"/>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24"/>
      </w:numPr>
    </w:pPr>
  </w:style>
  <w:style w:type="paragraph" w:customStyle="1" w:styleId="Point1number">
    <w:name w:val="Point 1 (number)"/>
    <w:basedOn w:val="Normal"/>
    <w:rsid w:val="00877878"/>
    <w:pPr>
      <w:numPr>
        <w:ilvl w:val="2"/>
        <w:numId w:val="24"/>
      </w:numPr>
    </w:pPr>
  </w:style>
  <w:style w:type="paragraph" w:customStyle="1" w:styleId="Point2number">
    <w:name w:val="Point 2 (number)"/>
    <w:basedOn w:val="Normal"/>
    <w:rsid w:val="00877878"/>
    <w:pPr>
      <w:numPr>
        <w:ilvl w:val="4"/>
        <w:numId w:val="24"/>
      </w:numPr>
    </w:pPr>
  </w:style>
  <w:style w:type="paragraph" w:customStyle="1" w:styleId="Point3number">
    <w:name w:val="Point 3 (number)"/>
    <w:basedOn w:val="Normal"/>
    <w:rsid w:val="00877878"/>
    <w:pPr>
      <w:numPr>
        <w:ilvl w:val="6"/>
        <w:numId w:val="24"/>
      </w:numPr>
    </w:pPr>
  </w:style>
  <w:style w:type="paragraph" w:customStyle="1" w:styleId="Point0letter">
    <w:name w:val="Point 0 (letter)"/>
    <w:basedOn w:val="Normal"/>
    <w:rsid w:val="00877878"/>
    <w:pPr>
      <w:numPr>
        <w:ilvl w:val="1"/>
        <w:numId w:val="24"/>
      </w:numPr>
    </w:pPr>
  </w:style>
  <w:style w:type="paragraph" w:customStyle="1" w:styleId="Point1letter">
    <w:name w:val="Point 1 (letter)"/>
    <w:basedOn w:val="Normal"/>
    <w:rsid w:val="00877878"/>
    <w:pPr>
      <w:numPr>
        <w:ilvl w:val="3"/>
        <w:numId w:val="24"/>
      </w:numPr>
    </w:pPr>
  </w:style>
  <w:style w:type="paragraph" w:customStyle="1" w:styleId="Point2letter">
    <w:name w:val="Point 2 (letter)"/>
    <w:basedOn w:val="Normal"/>
    <w:rsid w:val="00877878"/>
    <w:pPr>
      <w:numPr>
        <w:ilvl w:val="5"/>
        <w:numId w:val="24"/>
      </w:numPr>
    </w:pPr>
  </w:style>
  <w:style w:type="paragraph" w:customStyle="1" w:styleId="Point3letter">
    <w:name w:val="Point 3 (letter)"/>
    <w:basedOn w:val="Normal"/>
    <w:rsid w:val="00877878"/>
    <w:pPr>
      <w:numPr>
        <w:ilvl w:val="7"/>
        <w:numId w:val="24"/>
      </w:numPr>
    </w:pPr>
  </w:style>
  <w:style w:type="paragraph" w:customStyle="1" w:styleId="Point4letter">
    <w:name w:val="Point 4 (letter)"/>
    <w:basedOn w:val="Normal"/>
    <w:rsid w:val="00877878"/>
    <w:pPr>
      <w:numPr>
        <w:ilvl w:val="8"/>
        <w:numId w:val="24"/>
      </w:numPr>
    </w:pPr>
  </w:style>
  <w:style w:type="paragraph" w:customStyle="1" w:styleId="Bullet0">
    <w:name w:val="Bullet 0"/>
    <w:basedOn w:val="Normal"/>
    <w:rsid w:val="00877878"/>
    <w:pPr>
      <w:numPr>
        <w:numId w:val="25"/>
      </w:numPr>
    </w:pPr>
  </w:style>
  <w:style w:type="paragraph" w:customStyle="1" w:styleId="Bullet1">
    <w:name w:val="Bullet 1"/>
    <w:basedOn w:val="Normal"/>
    <w:rsid w:val="00877878"/>
    <w:pPr>
      <w:numPr>
        <w:numId w:val="26"/>
      </w:numPr>
    </w:pPr>
  </w:style>
  <w:style w:type="paragraph" w:customStyle="1" w:styleId="Bullet2">
    <w:name w:val="Bullet 2"/>
    <w:basedOn w:val="Normal"/>
    <w:rsid w:val="00877878"/>
    <w:pPr>
      <w:numPr>
        <w:numId w:val="27"/>
      </w:numPr>
    </w:pPr>
  </w:style>
  <w:style w:type="paragraph" w:customStyle="1" w:styleId="Bullet3">
    <w:name w:val="Bullet 3"/>
    <w:basedOn w:val="Normal"/>
    <w:rsid w:val="00877878"/>
    <w:pPr>
      <w:numPr>
        <w:numId w:val="28"/>
      </w:numPr>
    </w:pPr>
  </w:style>
  <w:style w:type="paragraph" w:customStyle="1" w:styleId="Bullet4">
    <w:name w:val="Bullet 4"/>
    <w:basedOn w:val="Normal"/>
    <w:rsid w:val="00877878"/>
    <w:pPr>
      <w:numPr>
        <w:numId w:val="29"/>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0"/>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E172-5406-4E5C-883A-9E47DBA8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1884</Words>
  <Characters>16253</Characters>
  <Application>Microsoft Office Word</Application>
  <DocSecurity>0</DocSecurity>
  <Lines>288</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PARJANEN Perttu (DGT)</cp:lastModifiedBy>
  <cp:revision>3</cp:revision>
  <cp:lastPrinted>2018-09-04T15:01:00Z</cp:lastPrinted>
  <dcterms:created xsi:type="dcterms:W3CDTF">2018-09-20T11:05:00Z</dcterms:created>
  <dcterms:modified xsi:type="dcterms:W3CDTF">2018-09-20T11:05:00Z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