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E0D" w:rsidRDefault="00B9782F" w:rsidP="00381ADF">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0F8EE01C-74AF-4F88-BCE4-C317D6A8D443" style="width:450.75pt;height:435.75pt">
            <v:imagedata r:id="rId8" o:title=""/>
          </v:shape>
        </w:pict>
      </w:r>
    </w:p>
    <w:p w:rsidR="007E1AE4" w:rsidRPr="00922C91" w:rsidRDefault="007E1AE4">
      <w:pPr>
        <w:sectPr w:rsidR="007E1AE4" w:rsidRPr="00922C91" w:rsidSect="00E35BD9">
          <w:footerReference w:type="default" r:id="rId9"/>
          <w:pgSz w:w="11907" w:h="16839"/>
          <w:pgMar w:top="1134" w:right="1417" w:bottom="1134" w:left="1417" w:header="709" w:footer="709" w:gutter="0"/>
          <w:pgNumType w:start="0"/>
          <w:cols w:space="720"/>
          <w:docGrid w:linePitch="360"/>
        </w:sectPr>
      </w:pPr>
    </w:p>
    <w:p w:rsidR="007E1AE4" w:rsidRPr="00922C91" w:rsidRDefault="00381ADF" w:rsidP="00381ADF">
      <w:pPr>
        <w:pStyle w:val="Typedudocument"/>
      </w:pPr>
      <w:r w:rsidRPr="00381ADF">
        <w:lastRenderedPageBreak/>
        <w:t>COMMISSION IMPLEMENTING REGULATION (EU) …/...</w:t>
      </w:r>
    </w:p>
    <w:p w:rsidR="007E1AE4" w:rsidRPr="00922C91" w:rsidRDefault="00381ADF" w:rsidP="00381ADF">
      <w:pPr>
        <w:pStyle w:val="Datedadoption"/>
      </w:pPr>
      <w:r w:rsidRPr="00381ADF">
        <w:t xml:space="preserve">of </w:t>
      </w:r>
      <w:r w:rsidRPr="00381ADF">
        <w:rPr>
          <w:rStyle w:val="Marker2"/>
        </w:rPr>
        <w:t>XXX</w:t>
      </w:r>
    </w:p>
    <w:p w:rsidR="007E1AE4" w:rsidRPr="00922C91" w:rsidRDefault="00381ADF" w:rsidP="00381ADF">
      <w:pPr>
        <w:pStyle w:val="Titreobjet"/>
      </w:pPr>
      <w:r w:rsidRPr="00381ADF">
        <w:t>laying down implementing technical standards with regard to procedures and standard forms and templates for the provision of information for the purposes of resolution plans for credit institutions and investment firms pursuant to Directive 2014/59/EU of the European Parliament and of the Council, and repealing Commission Implementing Regulation (EU) 2016/1066</w:t>
      </w:r>
      <w:r w:rsidRPr="00381ADF">
        <w:br/>
      </w:r>
    </w:p>
    <w:p w:rsidR="007E1AE4" w:rsidRPr="007E1AE4" w:rsidRDefault="00381ADF" w:rsidP="00381ADF">
      <w:pPr>
        <w:pStyle w:val="IntrtEEE"/>
      </w:pPr>
      <w:r w:rsidRPr="00381ADF">
        <w:t>(Text with EEA relevance)</w:t>
      </w:r>
    </w:p>
    <w:p w:rsidR="007E1AE4" w:rsidRPr="00757F77" w:rsidRDefault="007E1AE4" w:rsidP="007E1AE4">
      <w:pPr>
        <w:pStyle w:val="Institutionquiagit"/>
        <w:rPr>
          <w:color w:val="000000" w:themeColor="text1"/>
        </w:rPr>
      </w:pPr>
      <w:r w:rsidRPr="00757F77">
        <w:rPr>
          <w:color w:val="000000" w:themeColor="text1"/>
        </w:rPr>
        <w:t>THE EUROPEAN COMMISSION,</w:t>
      </w:r>
    </w:p>
    <w:p w:rsidR="007E1AE4" w:rsidRPr="00757F77" w:rsidRDefault="007E1AE4" w:rsidP="007E1AE4">
      <w:pPr>
        <w:rPr>
          <w:color w:val="000000" w:themeColor="text1"/>
        </w:rPr>
      </w:pPr>
      <w:r w:rsidRPr="00757F77">
        <w:rPr>
          <w:color w:val="000000" w:themeColor="text1"/>
        </w:rPr>
        <w:t>Having regard to the Treaty on the Functioning of the European Union,</w:t>
      </w:r>
    </w:p>
    <w:p w:rsidR="007E1AE4" w:rsidRPr="00757F77" w:rsidRDefault="007E1AE4" w:rsidP="007E1AE4">
      <w:pPr>
        <w:rPr>
          <w:color w:val="000000" w:themeColor="text1"/>
        </w:rPr>
      </w:pPr>
      <w:r w:rsidRPr="00757F77">
        <w:rPr>
          <w:color w:val="000000" w:themeColor="text1"/>
        </w:rPr>
        <w:t xml:space="preserve">Having regard to </w:t>
      </w:r>
      <w:r w:rsidRPr="00D566C6">
        <w:t>Directive 2014/59/EU of the European Parliament and of the Council establishing a framework for the recovery and resolution of credit institutions and investment firms and amending Council Directive 82/891/EEC, and Directives 2001/24/EC, 2002/47/EC, 2004/25/EC, 2005/56/EC, 2007/36/EC, 2011/35/EU, 2012/30/EU and 2013/36/EU, and Regulations (EU) No 1093/2010 and (EU) No 648/2012, of the European Parliament and of the Council</w:t>
      </w:r>
      <w:r w:rsidRPr="0024612D">
        <w:rPr>
          <w:rStyle w:val="FootnoteReference"/>
        </w:rPr>
        <w:footnoteReference w:id="2"/>
      </w:r>
      <w:r w:rsidRPr="00757F77">
        <w:rPr>
          <w:color w:val="000000" w:themeColor="text1"/>
        </w:rPr>
        <w:t xml:space="preserve">, and in particular Article </w:t>
      </w:r>
      <w:r w:rsidRPr="00D566C6">
        <w:t>11(3)</w:t>
      </w:r>
      <w:r w:rsidRPr="00757F77">
        <w:rPr>
          <w:color w:val="000000" w:themeColor="text1"/>
        </w:rPr>
        <w:t xml:space="preserve"> thereof,</w:t>
      </w:r>
    </w:p>
    <w:p w:rsidR="007E1AE4" w:rsidRPr="00757F77" w:rsidRDefault="007E1AE4" w:rsidP="007E1AE4">
      <w:pPr>
        <w:rPr>
          <w:color w:val="000000" w:themeColor="text1"/>
        </w:rPr>
      </w:pPr>
      <w:r w:rsidRPr="00757F77">
        <w:rPr>
          <w:color w:val="000000" w:themeColor="text1"/>
        </w:rPr>
        <w:t>Whereas:</w:t>
      </w:r>
    </w:p>
    <w:p w:rsidR="007E1AE4" w:rsidRPr="00D566C6" w:rsidRDefault="007E1AE4" w:rsidP="00440366">
      <w:pPr>
        <w:pStyle w:val="Considrant"/>
        <w:numPr>
          <w:ilvl w:val="0"/>
          <w:numId w:val="7"/>
        </w:numPr>
      </w:pPr>
      <w:r w:rsidRPr="00D566C6">
        <w:t>Commission Implementing Regulation (EU) 2016/1066</w:t>
      </w:r>
      <w:r w:rsidR="00F0793D">
        <w:rPr>
          <w:rStyle w:val="FootnoteReference"/>
        </w:rPr>
        <w:footnoteReference w:id="3"/>
      </w:r>
      <w:r w:rsidR="00F0793D">
        <w:t xml:space="preserve"> </w:t>
      </w:r>
      <w:r w:rsidRPr="00D566C6">
        <w:t>specifie</w:t>
      </w:r>
      <w:r w:rsidR="00D30713">
        <w:t>s</w:t>
      </w:r>
      <w:r w:rsidRPr="00D566C6">
        <w:t xml:space="preserve"> the procedure and </w:t>
      </w:r>
      <w:r w:rsidR="00D30713">
        <w:t xml:space="preserve">introduces </w:t>
      </w:r>
      <w:r w:rsidRPr="00D566C6">
        <w:t xml:space="preserve">a minimum set of templates for the provision of information </w:t>
      </w:r>
      <w:r w:rsidR="00D30713" w:rsidRPr="00D566C6">
        <w:t xml:space="preserve">to resolution authorities </w:t>
      </w:r>
      <w:r w:rsidRPr="00D566C6">
        <w:t>by credit institutions or investment firms ('institutions') for the purpose of drawing up and implementing resolution plans for institutions. Since the adoption of Implementing Regulation (EU) 2016/1066, resolution authorities have gained experience in the area of resolution planning. In light of that experience, it is necessary to update the minimum set of templates for the collection of information for resolution planning purposes.</w:t>
      </w:r>
    </w:p>
    <w:p w:rsidR="007E1AE4" w:rsidRPr="00D566C6" w:rsidRDefault="007E1AE4" w:rsidP="006E1E68">
      <w:pPr>
        <w:pStyle w:val="Considrant"/>
      </w:pPr>
      <w:r w:rsidRPr="00D566C6">
        <w:t>Implementing Regulation (EU) 2016/1066 also aim</w:t>
      </w:r>
      <w:r w:rsidR="006E1E68">
        <w:t>s</w:t>
      </w:r>
      <w:r w:rsidRPr="00D566C6">
        <w:t xml:space="preserve"> to design the procedure and </w:t>
      </w:r>
      <w:r w:rsidR="006E1E68">
        <w:t>the</w:t>
      </w:r>
      <w:r w:rsidR="006E1E68" w:rsidRPr="00D566C6">
        <w:t xml:space="preserve"> </w:t>
      </w:r>
      <w:r w:rsidRPr="00D566C6">
        <w:t>minimum set of templates</w:t>
      </w:r>
      <w:r w:rsidR="006E1E68" w:rsidRPr="006E1E68">
        <w:t xml:space="preserve"> for the provision of information to resolution authorities by institutions</w:t>
      </w:r>
      <w:r w:rsidRPr="006E1E68">
        <w:t xml:space="preserve"> </w:t>
      </w:r>
      <w:r w:rsidRPr="00D566C6">
        <w:t>in a way t</w:t>
      </w:r>
      <w:r w:rsidR="006E1E68">
        <w:t>hat</w:t>
      </w:r>
      <w:r w:rsidRPr="00D566C6">
        <w:t xml:space="preserve"> enable</w:t>
      </w:r>
      <w:r w:rsidR="006E1E68">
        <w:t>s</w:t>
      </w:r>
      <w:r w:rsidRPr="00D566C6">
        <w:t xml:space="preserve"> the resolution authorities to collect that information in a consistent manner across the Union and to facilitate the exchange of information among the relevant authorities. However, experience </w:t>
      </w:r>
      <w:r w:rsidR="006E1E68">
        <w:t>has shown</w:t>
      </w:r>
      <w:r w:rsidRPr="00D566C6">
        <w:t xml:space="preserve"> that a harmonised approach to the collection of that information has only been partially achieved. It is therefore necessary to ensure that resolution authorities collect a minimum core of information relating to an institution or group</w:t>
      </w:r>
      <w:r w:rsidR="006E1E68">
        <w:t xml:space="preserve"> </w:t>
      </w:r>
      <w:r w:rsidRPr="00D566C6">
        <w:t xml:space="preserve">across the Union on a regular basis. This </w:t>
      </w:r>
      <w:r w:rsidR="00C962D1">
        <w:t>does</w:t>
      </w:r>
      <w:r w:rsidR="00AD6666">
        <w:t xml:space="preserve"> </w:t>
      </w:r>
      <w:r w:rsidR="00C962D1">
        <w:t>n</w:t>
      </w:r>
      <w:r w:rsidR="00AD6666">
        <w:t>o</w:t>
      </w:r>
      <w:r w:rsidR="00C962D1">
        <w:t xml:space="preserve">t prevent the resolution authority </w:t>
      </w:r>
      <w:r w:rsidR="00AD6666">
        <w:t>from</w:t>
      </w:r>
      <w:r w:rsidRPr="00D566C6">
        <w:t xml:space="preserve"> collect</w:t>
      </w:r>
      <w:r w:rsidR="00AD6666">
        <w:t>ing</w:t>
      </w:r>
      <w:r w:rsidRPr="00D566C6">
        <w:t xml:space="preserve"> any additional information </w:t>
      </w:r>
      <w:r w:rsidRPr="00D566C6">
        <w:lastRenderedPageBreak/>
        <w:t>they deem necessary to draw up and implement resolution plans or to determine, as set out in Article 4 of Directive 2014/59/EU, simplified information obligations</w:t>
      </w:r>
      <w:r w:rsidR="00385721">
        <w:t>.</w:t>
      </w:r>
    </w:p>
    <w:p w:rsidR="007E1AE4" w:rsidRPr="00D566C6" w:rsidRDefault="007E1AE4" w:rsidP="007E1AE4">
      <w:pPr>
        <w:pStyle w:val="Considrant"/>
      </w:pPr>
      <w:r w:rsidRPr="00D566C6">
        <w:t xml:space="preserve">In order to ensure that resolution plans are based on a minimum set of data of consistently high quality and precision, the data items set out in the reporting templates </w:t>
      </w:r>
      <w:r w:rsidR="003B635C">
        <w:t>introduced by</w:t>
      </w:r>
      <w:r w:rsidR="001D3BB3" w:rsidRPr="001D3BB3">
        <w:t xml:space="preserve"> </w:t>
      </w:r>
      <w:r w:rsidR="001D3BB3" w:rsidRPr="00D566C6">
        <w:t xml:space="preserve">Implementing </w:t>
      </w:r>
      <w:r w:rsidRPr="00D566C6">
        <w:t>Regulation</w:t>
      </w:r>
      <w:r w:rsidR="001D3BB3" w:rsidRPr="001D3BB3">
        <w:t xml:space="preserve"> </w:t>
      </w:r>
      <w:r w:rsidR="001D3BB3" w:rsidRPr="00D566C6">
        <w:t>(EU) 2016/1066</w:t>
      </w:r>
      <w:r w:rsidRPr="00D566C6">
        <w:t xml:space="preserve"> should be transformed into a single data point model, as is the practice in supervisory reporting. The single data point model should consist of a structural representation of the data items, and identify all relevant business concepts for the purpose of uniform reporting for resolution planning and should contain all of the relevant specifications necessary for further developing uniform IT reporting solutions.</w:t>
      </w:r>
    </w:p>
    <w:p w:rsidR="007E1AE4" w:rsidRPr="00D566C6" w:rsidRDefault="007E1AE4" w:rsidP="007E1AE4">
      <w:pPr>
        <w:pStyle w:val="Considrant"/>
      </w:pPr>
      <w:r w:rsidRPr="00D566C6">
        <w:t>In order to safeguard the quality, consistency and accuracy of data items reported by institutions, the data items should be subject to common validation rules.</w:t>
      </w:r>
    </w:p>
    <w:p w:rsidR="007E1AE4" w:rsidRPr="00D566C6" w:rsidRDefault="007E1AE4" w:rsidP="007E1AE4">
      <w:pPr>
        <w:pStyle w:val="Considrant"/>
      </w:pPr>
      <w:r w:rsidRPr="00D566C6">
        <w:t>Due to their very nature, validation rules and data point definitions are updated regularly in order to ensure they comply, at all times, with applicable regulatory, analytical and information technology requirements. However, the time presently required to adopt and publish the detailed single data point model and validation rules means that it is not possible to carry out modifications in a sufficiently rapid and timely manner that would ensure permanent provision of uniform information regarding resolution plans in the Union. Therefore, stringent qualitative criteria should be established for the detailed single data point model and the detailed common validation rules which will be published electronically by the European Banking Authority</w:t>
      </w:r>
      <w:r w:rsidR="00F53AB1">
        <w:t xml:space="preserve"> (EBA)</w:t>
      </w:r>
      <w:r w:rsidRPr="00D566C6">
        <w:t xml:space="preserve"> on its website. </w:t>
      </w:r>
    </w:p>
    <w:p w:rsidR="007E1AE4" w:rsidRPr="00D566C6" w:rsidRDefault="007E1AE4" w:rsidP="007E1AE4">
      <w:pPr>
        <w:pStyle w:val="Considrant"/>
      </w:pPr>
      <w:r w:rsidRPr="00D566C6">
        <w:t>In accordance with Article 11(2) of Directive 2014/59/EU, competent and resolution authorities should cooperate in order to minimise duplicated information requirements. For th</w:t>
      </w:r>
      <w:r w:rsidR="00D27A0D">
        <w:t>at</w:t>
      </w:r>
      <w:r w:rsidRPr="00D566C6">
        <w:t xml:space="preserve"> purpose, Implementing Regulation (EU) 2016/1066 introduce</w:t>
      </w:r>
      <w:r w:rsidR="003B635C">
        <w:t>s</w:t>
      </w:r>
      <w:r w:rsidRPr="00D566C6">
        <w:t xml:space="preserve"> a cooperation procedure between competent and resolution authorities, which should be maintained so that competent and resolution authorities jointly verify whether some or all of the requested information is already available to the competent authority. Where the information is available to the competent authority, it is appropriate that </w:t>
      </w:r>
      <w:r w:rsidR="00350CE8">
        <w:t>it</w:t>
      </w:r>
      <w:r w:rsidRPr="00D566C6">
        <w:t xml:space="preserve"> transmits it to the resolution authority</w:t>
      </w:r>
      <w:r w:rsidR="003B635C">
        <w:t xml:space="preserve"> directly</w:t>
      </w:r>
      <w:r w:rsidRPr="00D566C6">
        <w:t>.</w:t>
      </w:r>
    </w:p>
    <w:p w:rsidR="007E1AE4" w:rsidRPr="00D566C6" w:rsidRDefault="007E1AE4" w:rsidP="007E1AE4">
      <w:pPr>
        <w:pStyle w:val="Considrant"/>
      </w:pPr>
      <w:r w:rsidRPr="00D566C6">
        <w:t>Given the extent of the necessary amendments to Implementing Regulation (EU) 2016/1066, it is preferable, for reasons of legal certainty and clarity, to adopt a new Implementing Regulation and, therefore, to repeal Implementing Regulation (EU) 2016/1066.</w:t>
      </w:r>
    </w:p>
    <w:p w:rsidR="007E1AE4" w:rsidRPr="00D566C6" w:rsidRDefault="007E1AE4" w:rsidP="007E1AE4">
      <w:pPr>
        <w:pStyle w:val="Considrant"/>
      </w:pPr>
      <w:r w:rsidRPr="00D566C6">
        <w:t>This Regulation is based on the implementing technical standards submitted by the EBA to the Commission.</w:t>
      </w:r>
    </w:p>
    <w:p w:rsidR="007E1AE4" w:rsidRPr="00D566C6" w:rsidRDefault="007E1AE4" w:rsidP="007E1AE4">
      <w:pPr>
        <w:pStyle w:val="Considrant"/>
      </w:pPr>
      <w:r w:rsidRPr="00D566C6">
        <w:t>The EBA has conducted open public consultations on the implementing technical standards on which this Regulation is based, analysed the potential related costs and benefits and requested the opinion of the Banking Stakeholder Group established in accordance with Article 37 of Regulation (EU) No 1093/2010 of the European Parliament and of the Council</w:t>
      </w:r>
      <w:r w:rsidR="002A074B">
        <w:rPr>
          <w:rStyle w:val="FootnoteReference"/>
        </w:rPr>
        <w:footnoteReference w:id="4"/>
      </w:r>
      <w:r w:rsidRPr="00D566C6">
        <w:t>,</w:t>
      </w:r>
    </w:p>
    <w:p w:rsidR="007E1AE4" w:rsidRPr="00757F77" w:rsidRDefault="007E1AE4" w:rsidP="007E1AE4">
      <w:pPr>
        <w:pStyle w:val="Formuledadoption"/>
        <w:rPr>
          <w:color w:val="000000" w:themeColor="text1"/>
        </w:rPr>
      </w:pPr>
      <w:r w:rsidRPr="00757F77">
        <w:rPr>
          <w:color w:val="000000" w:themeColor="text1"/>
        </w:rPr>
        <w:t>HAS ADOPTED THIS REGULATION:</w:t>
      </w:r>
    </w:p>
    <w:p w:rsidR="007E1AE4" w:rsidRPr="00757F77" w:rsidRDefault="007E1AE4" w:rsidP="007E1AE4">
      <w:pPr>
        <w:pStyle w:val="Titrearticle"/>
        <w:rPr>
          <w:color w:val="000000" w:themeColor="text1"/>
        </w:rPr>
      </w:pPr>
      <w:r w:rsidRPr="00757F77">
        <w:rPr>
          <w:color w:val="000000" w:themeColor="text1"/>
        </w:rPr>
        <w:t xml:space="preserve">Article 1 </w:t>
      </w:r>
      <w:r w:rsidRPr="00757F77">
        <w:rPr>
          <w:color w:val="000000" w:themeColor="text1"/>
        </w:rPr>
        <w:br/>
        <w:t>Subject matter</w:t>
      </w:r>
    </w:p>
    <w:p w:rsidR="007E1AE4" w:rsidRPr="00D566C6" w:rsidRDefault="007E1AE4" w:rsidP="007E1AE4">
      <w:r w:rsidRPr="00D566C6">
        <w:t>This Regulation lays down implementing technical standards specifying procedures and a minimum set of standard templates for the submission to resolution authorities of information necessary to draw up and implement individual resolution plans, in accordance with Article 11 of Directive 2014/59/EU, and group resolution plans in accordance with Article 13 of that Directive.</w:t>
      </w:r>
    </w:p>
    <w:p w:rsidR="007E1AE4" w:rsidRPr="00757F77" w:rsidRDefault="007E1AE4" w:rsidP="007E1AE4">
      <w:pPr>
        <w:pStyle w:val="Titrearticle"/>
        <w:rPr>
          <w:color w:val="000000" w:themeColor="text1"/>
        </w:rPr>
      </w:pPr>
      <w:r w:rsidRPr="00757F77">
        <w:rPr>
          <w:color w:val="000000" w:themeColor="text1"/>
        </w:rPr>
        <w:t xml:space="preserve">Article 2 </w:t>
      </w:r>
      <w:r w:rsidRPr="00757F77">
        <w:rPr>
          <w:color w:val="000000" w:themeColor="text1"/>
        </w:rPr>
        <w:br/>
        <w:t>Definitions</w:t>
      </w:r>
    </w:p>
    <w:p w:rsidR="007E1AE4" w:rsidRPr="00D566C6" w:rsidRDefault="007E1AE4" w:rsidP="007E1AE4">
      <w:r w:rsidRPr="00D566C6">
        <w:t>For the purposes of this Regulation, the following definitions apply:</w:t>
      </w:r>
    </w:p>
    <w:p w:rsidR="00F14DE3" w:rsidRPr="00AD6666" w:rsidRDefault="00AD470D" w:rsidP="00440366">
      <w:pPr>
        <w:pStyle w:val="Point0number"/>
        <w:numPr>
          <w:ilvl w:val="0"/>
          <w:numId w:val="8"/>
        </w:numPr>
      </w:pPr>
      <w:r w:rsidRPr="00AD6666">
        <w:rPr>
          <w:szCs w:val="24"/>
        </w:rPr>
        <w:t>'resolution entity' means</w:t>
      </w:r>
      <w:r w:rsidR="00F14DE3" w:rsidRPr="00AD6666">
        <w:rPr>
          <w:szCs w:val="24"/>
        </w:rPr>
        <w:t xml:space="preserve"> either of the following</w:t>
      </w:r>
      <w:r w:rsidRPr="00AD6666">
        <w:rPr>
          <w:szCs w:val="24"/>
        </w:rPr>
        <w:t>:</w:t>
      </w:r>
    </w:p>
    <w:p w:rsidR="00AD470D" w:rsidRPr="00AD6666" w:rsidRDefault="00AD470D" w:rsidP="0051415A">
      <w:pPr>
        <w:pStyle w:val="Point2letter"/>
      </w:pPr>
      <w:r w:rsidRPr="00AD6666">
        <w:t xml:space="preserve">an entity established in the Union, which is identified by the resolution </w:t>
      </w:r>
      <w:r w:rsidRPr="00AA6701">
        <w:t xml:space="preserve">authority in accordance with Article 12 </w:t>
      </w:r>
      <w:r w:rsidR="00AA6701" w:rsidRPr="00AA6701">
        <w:t xml:space="preserve">of Directive 2014/59/EU </w:t>
      </w:r>
      <w:r w:rsidRPr="00AA6701">
        <w:t>as an entity in respect of which the resolution plan</w:t>
      </w:r>
      <w:r w:rsidRPr="00AD6666">
        <w:t xml:space="preserve"> provides for resolution action; or</w:t>
      </w:r>
    </w:p>
    <w:p w:rsidR="00AD470D" w:rsidRPr="00AD470D" w:rsidRDefault="00AD470D" w:rsidP="00CA51B8">
      <w:pPr>
        <w:pStyle w:val="Point2letter"/>
      </w:pPr>
      <w:r w:rsidRPr="00AD6666">
        <w:t xml:space="preserve">an institution that is not part of a group subject to consolidated supervision pursuant to Articles 111 and 112 of Directive 2013/36/EU, in respect of which the resolution </w:t>
      </w:r>
      <w:r w:rsidRPr="00AA6701">
        <w:t xml:space="preserve">plan drawn pursuant to Article 10 </w:t>
      </w:r>
      <w:r w:rsidR="00AA6701" w:rsidRPr="00AA6701">
        <w:t>of</w:t>
      </w:r>
      <w:r w:rsidR="00AA6701">
        <w:t xml:space="preserve"> Directive 2014/59/EU </w:t>
      </w:r>
      <w:r w:rsidRPr="00AD6666">
        <w:t>provides for resolution action</w:t>
      </w:r>
      <w:r w:rsidR="00AD6666">
        <w:t>;</w:t>
      </w:r>
    </w:p>
    <w:p w:rsidR="00AD470D" w:rsidRPr="00AD6666" w:rsidRDefault="00AD470D" w:rsidP="00440366">
      <w:pPr>
        <w:pStyle w:val="Point0number"/>
        <w:numPr>
          <w:ilvl w:val="0"/>
          <w:numId w:val="8"/>
        </w:numPr>
        <w:rPr>
          <w:szCs w:val="24"/>
        </w:rPr>
      </w:pPr>
      <w:r w:rsidRPr="00AD6666">
        <w:rPr>
          <w:szCs w:val="24"/>
        </w:rPr>
        <w:t>'resolution group' means</w:t>
      </w:r>
      <w:r w:rsidR="00F14DE3" w:rsidRPr="003F1EDA">
        <w:rPr>
          <w:szCs w:val="24"/>
        </w:rPr>
        <w:t xml:space="preserve"> either of the following</w:t>
      </w:r>
      <w:r w:rsidRPr="00AD6666">
        <w:rPr>
          <w:szCs w:val="24"/>
        </w:rPr>
        <w:t>:</w:t>
      </w:r>
    </w:p>
    <w:p w:rsidR="00AD470D" w:rsidRPr="0051415A" w:rsidRDefault="00AD470D" w:rsidP="00AE1240">
      <w:pPr>
        <w:pStyle w:val="Point1letter"/>
      </w:pPr>
      <w:r w:rsidRPr="006D0EA9">
        <w:t>a resolution entity and its subsidiaries that are not</w:t>
      </w:r>
      <w:r w:rsidRPr="0051415A">
        <w:t>:</w:t>
      </w:r>
    </w:p>
    <w:p w:rsidR="00AD470D" w:rsidRPr="0051415A" w:rsidRDefault="00AD470D" w:rsidP="00AE1240">
      <w:pPr>
        <w:pStyle w:val="Point3"/>
      </w:pPr>
      <w:r w:rsidRPr="0051415A">
        <w:t>(i)</w:t>
      </w:r>
      <w:r w:rsidRPr="006D0EA9">
        <w:t xml:space="preserve"> resolution entities themselves</w:t>
      </w:r>
      <w:r w:rsidRPr="0051415A">
        <w:t>; or</w:t>
      </w:r>
    </w:p>
    <w:p w:rsidR="00AD470D" w:rsidRPr="0051415A" w:rsidRDefault="00AD470D" w:rsidP="0051415A">
      <w:pPr>
        <w:pStyle w:val="Point3"/>
      </w:pPr>
      <w:r w:rsidRPr="0051415A">
        <w:t>(ii)</w:t>
      </w:r>
      <w:r w:rsidRPr="006D0EA9">
        <w:t xml:space="preserve"> subsidiaries of </w:t>
      </w:r>
      <w:r w:rsidRPr="0051415A">
        <w:t>other resolution entities; or</w:t>
      </w:r>
    </w:p>
    <w:p w:rsidR="006D0EA9" w:rsidRPr="0051415A" w:rsidRDefault="00AD470D" w:rsidP="0051415A">
      <w:pPr>
        <w:pStyle w:val="Point3"/>
      </w:pPr>
      <w:r w:rsidRPr="0051415A">
        <w:t>(iii) entities established in a third country that are not included in the resolution group in accordance with the resolution plan and their subsidiaries;</w:t>
      </w:r>
    </w:p>
    <w:p w:rsidR="00AD470D" w:rsidRPr="006D0EA9" w:rsidRDefault="00AD470D" w:rsidP="0051415A">
      <w:pPr>
        <w:pStyle w:val="Point1letter"/>
      </w:pPr>
      <w:r w:rsidRPr="0051415A">
        <w:t>credit institutions</w:t>
      </w:r>
      <w:r w:rsidR="004F1DD1" w:rsidRPr="0051415A">
        <w:t xml:space="preserve"> permanently</w:t>
      </w:r>
      <w:r w:rsidRPr="0051415A">
        <w:t xml:space="preserve"> affiliated to a central body, the central body and any institution under the control of the central body when one of those entities is a</w:t>
      </w:r>
      <w:r w:rsidRPr="006D0EA9">
        <w:t xml:space="preserve"> resolution entity</w:t>
      </w:r>
      <w:r w:rsidR="00385721">
        <w:t>;</w:t>
      </w:r>
    </w:p>
    <w:p w:rsidR="007E1AE4" w:rsidRPr="006D0EA9" w:rsidRDefault="007E1AE4" w:rsidP="00AE1240">
      <w:pPr>
        <w:pStyle w:val="Point0number"/>
      </w:pPr>
      <w:r w:rsidRPr="006D0EA9">
        <w:t>‘group institution’ means a group entity which is a credit institution or an investment firm</w:t>
      </w:r>
      <w:r w:rsidR="00385721">
        <w:t>;</w:t>
      </w:r>
    </w:p>
    <w:p w:rsidR="00F80209" w:rsidRDefault="00F80209" w:rsidP="00AE1240">
      <w:pPr>
        <w:pStyle w:val="Point0number"/>
      </w:pPr>
      <w:r w:rsidRPr="00F80209">
        <w:t>‘relevant legal entity’ means a group entity that</w:t>
      </w:r>
      <w:r>
        <w:t xml:space="preserve"> either:</w:t>
      </w:r>
    </w:p>
    <w:p w:rsidR="00F80209" w:rsidRDefault="00F80209" w:rsidP="00AE1240">
      <w:pPr>
        <w:pStyle w:val="Point2letter"/>
      </w:pPr>
      <w:r w:rsidRPr="00F80209">
        <w:t>provides critical functions</w:t>
      </w:r>
      <w:r>
        <w:t>; or</w:t>
      </w:r>
    </w:p>
    <w:p w:rsidR="00F80209" w:rsidRDefault="00F80209" w:rsidP="00AE1240">
      <w:pPr>
        <w:pStyle w:val="Point2letter"/>
      </w:pPr>
      <w:r w:rsidRPr="00D566C6">
        <w:t>represents or provides more than 5% of</w:t>
      </w:r>
      <w:r>
        <w:t xml:space="preserve"> any of the following:</w:t>
      </w:r>
    </w:p>
    <w:p w:rsidR="00F80209" w:rsidRPr="00AD6666" w:rsidRDefault="00F80209" w:rsidP="00AE1240">
      <w:pPr>
        <w:pStyle w:val="Point3"/>
        <w:ind w:left="2268" w:hanging="284"/>
        <w:rPr>
          <w:rStyle w:val="Strong"/>
          <w:b w:val="0"/>
          <w:color w:val="444444"/>
          <w:szCs w:val="24"/>
        </w:rPr>
      </w:pPr>
      <w:r>
        <w:t>(i)</w:t>
      </w:r>
      <w:r w:rsidRPr="00F80209">
        <w:t xml:space="preserve"> </w:t>
      </w:r>
      <w:r w:rsidRPr="00D566C6">
        <w:t xml:space="preserve">the total risk exposure </w:t>
      </w:r>
      <w:r w:rsidRPr="00AD6666">
        <w:t xml:space="preserve">amount </w:t>
      </w:r>
      <w:r w:rsidR="00DC7B42" w:rsidRPr="00AD6666">
        <w:t>of the group</w:t>
      </w:r>
      <w:r w:rsidR="00985C42" w:rsidRPr="00AD6666">
        <w:t>,</w:t>
      </w:r>
      <w:r w:rsidR="00DC7B42" w:rsidRPr="00AD6666">
        <w:t xml:space="preserve"> </w:t>
      </w:r>
      <w:r w:rsidRPr="00AD6666">
        <w:t xml:space="preserve">referred to in Article 92(3) of Regulation (EU) No 575/2013 </w:t>
      </w:r>
      <w:r w:rsidRPr="00AD6666">
        <w:rPr>
          <w:rStyle w:val="Strong"/>
          <w:b w:val="0"/>
          <w:color w:val="444444"/>
          <w:szCs w:val="24"/>
        </w:rPr>
        <w:t>of the European Parliament and of the Council</w:t>
      </w:r>
      <w:r w:rsidRPr="00AD6666">
        <w:rPr>
          <w:rStyle w:val="FootnoteReference"/>
          <w:bCs/>
          <w:color w:val="444444"/>
          <w:szCs w:val="24"/>
        </w:rPr>
        <w:footnoteReference w:id="5"/>
      </w:r>
      <w:r w:rsidRPr="00AD6666">
        <w:rPr>
          <w:rStyle w:val="Strong"/>
          <w:b w:val="0"/>
          <w:color w:val="444444"/>
          <w:szCs w:val="24"/>
        </w:rPr>
        <w:t>;</w:t>
      </w:r>
    </w:p>
    <w:p w:rsidR="00F80209" w:rsidRDefault="00F80209" w:rsidP="00AE1240">
      <w:pPr>
        <w:pStyle w:val="Point3"/>
        <w:ind w:left="2410" w:hanging="426"/>
      </w:pPr>
      <w:r w:rsidRPr="00AD6666">
        <w:rPr>
          <w:rStyle w:val="Strong"/>
          <w:b w:val="0"/>
          <w:color w:val="444444"/>
          <w:szCs w:val="24"/>
        </w:rPr>
        <w:t>(ii) the</w:t>
      </w:r>
      <w:r w:rsidRPr="0051415A">
        <w:rPr>
          <w:rStyle w:val="Strong"/>
          <w:b w:val="0"/>
          <w:color w:val="444444"/>
        </w:rPr>
        <w:t xml:space="preserve"> </w:t>
      </w:r>
      <w:r w:rsidRPr="00AD6666">
        <w:t xml:space="preserve">leverage ratio total exposure measure </w:t>
      </w:r>
      <w:r w:rsidR="00DC7B42" w:rsidRPr="00AD6666">
        <w:t>of the group</w:t>
      </w:r>
      <w:r w:rsidR="00985C42" w:rsidRPr="00AD6666">
        <w:t>,</w:t>
      </w:r>
      <w:r w:rsidR="00DC7B42" w:rsidRPr="00AD6666">
        <w:t xml:space="preserve"> </w:t>
      </w:r>
      <w:r w:rsidRPr="00AD6666">
        <w:t>referred to in Article 429(4) of Regulation (EU) No 575/2013;</w:t>
      </w:r>
    </w:p>
    <w:p w:rsidR="001150B6" w:rsidRPr="00F80209" w:rsidRDefault="00F80209" w:rsidP="00AE1240">
      <w:pPr>
        <w:pStyle w:val="Point3"/>
      </w:pPr>
      <w:r>
        <w:t xml:space="preserve">(iii) the </w:t>
      </w:r>
      <w:r w:rsidRPr="00D566C6">
        <w:t>operating income of the group on a consolidated basis</w:t>
      </w:r>
      <w:r>
        <w:t>.</w:t>
      </w:r>
    </w:p>
    <w:p w:rsidR="007E1AE4" w:rsidRPr="00757F77" w:rsidRDefault="007E1AE4" w:rsidP="007E1AE4">
      <w:pPr>
        <w:pStyle w:val="Titrearticle"/>
        <w:rPr>
          <w:color w:val="000000" w:themeColor="text1"/>
        </w:rPr>
      </w:pPr>
      <w:r w:rsidRPr="00757F77">
        <w:rPr>
          <w:color w:val="000000" w:themeColor="text1"/>
        </w:rPr>
        <w:t>Article 3</w:t>
      </w:r>
      <w:r w:rsidRPr="00757F77">
        <w:rPr>
          <w:color w:val="000000" w:themeColor="text1"/>
        </w:rPr>
        <w:br/>
        <w:t>Provision of core information for the purpose of individual and group resolution plans</w:t>
      </w:r>
    </w:p>
    <w:p w:rsidR="007E1AE4" w:rsidRPr="00757F77" w:rsidRDefault="005062D8" w:rsidP="00440366">
      <w:pPr>
        <w:pStyle w:val="NumPar1"/>
        <w:numPr>
          <w:ilvl w:val="0"/>
          <w:numId w:val="9"/>
        </w:numPr>
        <w:rPr>
          <w:color w:val="000000" w:themeColor="text1"/>
        </w:rPr>
      </w:pPr>
      <w:r>
        <w:rPr>
          <w:color w:val="000000" w:themeColor="text1"/>
        </w:rPr>
        <w:t>I</w:t>
      </w:r>
      <w:r w:rsidR="007E1AE4" w:rsidRPr="00757F77">
        <w:rPr>
          <w:color w:val="000000" w:themeColor="text1"/>
        </w:rPr>
        <w:t xml:space="preserve">nstitutions </w:t>
      </w:r>
      <w:r>
        <w:rPr>
          <w:color w:val="000000" w:themeColor="text1"/>
        </w:rPr>
        <w:t>and</w:t>
      </w:r>
      <w:r w:rsidR="007E1AE4" w:rsidRPr="00757F77">
        <w:rPr>
          <w:color w:val="000000" w:themeColor="text1"/>
        </w:rPr>
        <w:t xml:space="preserve">, in the case of groups, Union parent undertakings, shall submit to resolution authorities either directly or through the competent authority, the information specified in the templates set out in Annex I in accordance </w:t>
      </w:r>
      <w:r w:rsidR="007E1AE4" w:rsidRPr="00AA6701">
        <w:rPr>
          <w:color w:val="000000" w:themeColor="text1"/>
        </w:rPr>
        <w:t xml:space="preserve">with the level of </w:t>
      </w:r>
      <w:r w:rsidR="00AA6701" w:rsidRPr="00AA6701">
        <w:rPr>
          <w:color w:val="000000" w:themeColor="text1"/>
        </w:rPr>
        <w:t>consolidation of information</w:t>
      </w:r>
      <w:r w:rsidR="007E1AE4" w:rsidRPr="00AA6701">
        <w:rPr>
          <w:color w:val="000000" w:themeColor="text1"/>
        </w:rPr>
        <w:t>, frequency</w:t>
      </w:r>
      <w:r w:rsidR="007E1AE4" w:rsidRPr="00757F77">
        <w:rPr>
          <w:color w:val="000000" w:themeColor="text1"/>
        </w:rPr>
        <w:t xml:space="preserve"> and format set out respectively in Articles 4, 5 and 6, and following the instructions set out in Annex II.</w:t>
      </w:r>
    </w:p>
    <w:p w:rsidR="007E1AE4" w:rsidRPr="00AD6666" w:rsidRDefault="007E1AE4" w:rsidP="007E1AE4">
      <w:pPr>
        <w:pStyle w:val="NumPar1"/>
        <w:rPr>
          <w:color w:val="000000" w:themeColor="text1"/>
        </w:rPr>
      </w:pPr>
      <w:r w:rsidRPr="00757F77">
        <w:rPr>
          <w:color w:val="000000" w:themeColor="text1"/>
        </w:rPr>
        <w:t xml:space="preserve">Where a resolution authority or, in the case of groups, a group-level resolution authority, applies simplified obligations in accordance with Article 4 of Directive 2014/59/EU, it shall </w:t>
      </w:r>
      <w:r w:rsidRPr="00AD6666">
        <w:rPr>
          <w:color w:val="000000" w:themeColor="text1"/>
        </w:rPr>
        <w:t>inform the institutions or Union parent undertakings concerned which information is not required to be included in the submission of information referred to in paragraph 1</w:t>
      </w:r>
      <w:r w:rsidR="00045775" w:rsidRPr="00AD6666">
        <w:rPr>
          <w:color w:val="000000" w:themeColor="text1"/>
        </w:rPr>
        <w:t xml:space="preserve"> of this Article</w:t>
      </w:r>
      <w:r w:rsidRPr="00AD6666">
        <w:rPr>
          <w:color w:val="000000" w:themeColor="text1"/>
        </w:rPr>
        <w:t>. It shall identify that information by reference to the templates set out in Annex I.</w:t>
      </w:r>
    </w:p>
    <w:p w:rsidR="007E1AE4" w:rsidRPr="00AD6666" w:rsidRDefault="007E1AE4" w:rsidP="007E1AE4">
      <w:pPr>
        <w:pStyle w:val="Titrearticle"/>
        <w:rPr>
          <w:color w:val="000000" w:themeColor="text1"/>
        </w:rPr>
      </w:pPr>
      <w:r w:rsidRPr="00AD6666">
        <w:rPr>
          <w:color w:val="000000" w:themeColor="text1"/>
        </w:rPr>
        <w:t>Article 4</w:t>
      </w:r>
      <w:r w:rsidRPr="00AD6666">
        <w:rPr>
          <w:color w:val="000000" w:themeColor="text1"/>
        </w:rPr>
        <w:br/>
        <w:t xml:space="preserve">Level of </w:t>
      </w:r>
      <w:r w:rsidR="00B70E5B" w:rsidRPr="00AD6666">
        <w:rPr>
          <w:color w:val="000000" w:themeColor="text1"/>
        </w:rPr>
        <w:t xml:space="preserve">consolidation of information </w:t>
      </w:r>
    </w:p>
    <w:p w:rsidR="007E1AE4" w:rsidRPr="00AD6666" w:rsidRDefault="007E1AE4" w:rsidP="00EB1CD0">
      <w:pPr>
        <w:pStyle w:val="NumPar1"/>
        <w:numPr>
          <w:ilvl w:val="0"/>
          <w:numId w:val="1"/>
        </w:numPr>
        <w:rPr>
          <w:color w:val="000000" w:themeColor="text1"/>
        </w:rPr>
      </w:pPr>
      <w:r w:rsidRPr="00AD6666">
        <w:rPr>
          <w:color w:val="000000" w:themeColor="text1"/>
        </w:rPr>
        <w:t xml:space="preserve">Institutions that are not part of a group shall submit the information referred to in Article 3(1), with the exception of </w:t>
      </w:r>
      <w:r w:rsidR="006B32F4" w:rsidRPr="00AD6666">
        <w:rPr>
          <w:color w:val="000000" w:themeColor="text1"/>
        </w:rPr>
        <w:t xml:space="preserve">the information referred to in </w:t>
      </w:r>
      <w:r w:rsidRPr="00AD6666">
        <w:rPr>
          <w:color w:val="000000" w:themeColor="text1"/>
        </w:rPr>
        <w:t>templates Z 07.02 and Z 04.00 of Annex I, on an individual basis.</w:t>
      </w:r>
    </w:p>
    <w:p w:rsidR="007E1AE4" w:rsidRPr="00AD6666" w:rsidRDefault="007E1AE4" w:rsidP="00EB1CD0">
      <w:pPr>
        <w:pStyle w:val="NumPar1"/>
        <w:numPr>
          <w:ilvl w:val="0"/>
          <w:numId w:val="1"/>
        </w:numPr>
        <w:rPr>
          <w:color w:val="000000" w:themeColor="text1"/>
        </w:rPr>
      </w:pPr>
      <w:r w:rsidRPr="00AD6666">
        <w:rPr>
          <w:color w:val="000000" w:themeColor="text1"/>
        </w:rPr>
        <w:t xml:space="preserve">In the case of groups, Union parent undertakings shall submit the information referred to in Article 3(1) </w:t>
      </w:r>
      <w:r w:rsidR="006B32F4" w:rsidRPr="00AD6666">
        <w:rPr>
          <w:color w:val="000000" w:themeColor="text1"/>
        </w:rPr>
        <w:t xml:space="preserve">in </w:t>
      </w:r>
      <w:r w:rsidRPr="00AD6666">
        <w:rPr>
          <w:color w:val="000000" w:themeColor="text1"/>
        </w:rPr>
        <w:t>accord</w:t>
      </w:r>
      <w:r w:rsidR="006B32F4" w:rsidRPr="00AD6666">
        <w:rPr>
          <w:color w:val="000000" w:themeColor="text1"/>
        </w:rPr>
        <w:t>ance with</w:t>
      </w:r>
      <w:r w:rsidRPr="00AD6666">
        <w:rPr>
          <w:color w:val="000000" w:themeColor="text1"/>
        </w:rPr>
        <w:t xml:space="preserve"> the following specifications:</w:t>
      </w:r>
      <w:r w:rsidR="004B7AE8" w:rsidRPr="00AD6666">
        <w:rPr>
          <w:color w:val="000000" w:themeColor="text1"/>
        </w:rPr>
        <w:t xml:space="preserve"> </w:t>
      </w:r>
    </w:p>
    <w:p w:rsidR="007E1AE4" w:rsidRPr="00AD6666" w:rsidRDefault="007E1AE4" w:rsidP="00EB1CD0">
      <w:pPr>
        <w:pStyle w:val="Point0letter"/>
        <w:numPr>
          <w:ilvl w:val="1"/>
          <w:numId w:val="2"/>
        </w:numPr>
        <w:rPr>
          <w:color w:val="000000" w:themeColor="text1"/>
        </w:rPr>
      </w:pPr>
      <w:r w:rsidRPr="00AD6666">
        <w:rPr>
          <w:color w:val="000000" w:themeColor="text1"/>
        </w:rPr>
        <w:t>the information specified in template Z 01.00 of Annex I in relation to the following:</w:t>
      </w:r>
    </w:p>
    <w:p w:rsidR="007E1AE4" w:rsidRPr="00AD6666" w:rsidRDefault="00045775" w:rsidP="0051415A">
      <w:pPr>
        <w:pStyle w:val="Point2"/>
      </w:pPr>
      <w:r w:rsidRPr="00AD6666">
        <w:t xml:space="preserve">(i) </w:t>
      </w:r>
      <w:r w:rsidRPr="00AD6666">
        <w:tab/>
      </w:r>
      <w:r w:rsidR="007E1AE4" w:rsidRPr="00AD6666">
        <w:t xml:space="preserve">group entities included in its consolidated financial statements which exceed 0.5% of total assets or total liabilities of the group; </w:t>
      </w:r>
    </w:p>
    <w:p w:rsidR="007E1AE4" w:rsidRPr="00AD6666" w:rsidRDefault="00045775" w:rsidP="0051415A">
      <w:pPr>
        <w:pStyle w:val="Point2"/>
      </w:pPr>
      <w:r w:rsidRPr="00AD6666">
        <w:t>(ii)</w:t>
      </w:r>
      <w:r w:rsidRPr="00AD6666">
        <w:tab/>
      </w:r>
      <w:r w:rsidR="007E1AE4" w:rsidRPr="00AD6666">
        <w:t>group institutions which exceed 0.5% of the total risk exposure amount or 0.5% of the total Common Equity Tier 1 of the group on the basis of the consolidated situation of the Union parent undertaking;</w:t>
      </w:r>
    </w:p>
    <w:p w:rsidR="007E1AE4" w:rsidRPr="00AD6666" w:rsidRDefault="00045775" w:rsidP="0051415A">
      <w:pPr>
        <w:pStyle w:val="Point2"/>
      </w:pPr>
      <w:r w:rsidRPr="00AD6666">
        <w:t xml:space="preserve">(iii) </w:t>
      </w:r>
      <w:r w:rsidRPr="00AD6666">
        <w:tab/>
      </w:r>
      <w:r w:rsidR="007E1AE4" w:rsidRPr="00AD6666">
        <w:t>group entities which provide critical functions</w:t>
      </w:r>
      <w:r w:rsidR="00277FAF" w:rsidRPr="00AD6666">
        <w:t>;</w:t>
      </w:r>
    </w:p>
    <w:p w:rsidR="007E1AE4" w:rsidRPr="00AD6666" w:rsidRDefault="007E1AE4" w:rsidP="00EB1CD0">
      <w:pPr>
        <w:pStyle w:val="Point0letter"/>
        <w:numPr>
          <w:ilvl w:val="1"/>
          <w:numId w:val="2"/>
        </w:numPr>
        <w:rPr>
          <w:color w:val="000000" w:themeColor="text1"/>
        </w:rPr>
      </w:pPr>
      <w:r w:rsidRPr="00AD6666">
        <w:rPr>
          <w:color w:val="000000" w:themeColor="text1"/>
        </w:rPr>
        <w:t>the information specified in templates Z 02.00 and Z 03.00 of Annex I:</w:t>
      </w:r>
    </w:p>
    <w:p w:rsidR="007E1AE4" w:rsidRPr="00AD6666" w:rsidRDefault="00045775" w:rsidP="0051415A">
      <w:pPr>
        <w:pStyle w:val="Point2"/>
      </w:pPr>
      <w:r w:rsidRPr="00AD6666">
        <w:t xml:space="preserve">(i) </w:t>
      </w:r>
      <w:r w:rsidRPr="00AD6666">
        <w:tab/>
      </w:r>
      <w:r w:rsidR="007E1AE4" w:rsidRPr="00AD6666">
        <w:t>at the level of the Union parent undertaking</w:t>
      </w:r>
      <w:r w:rsidR="004F5776" w:rsidRPr="00AD6666">
        <w:t xml:space="preserve"> </w:t>
      </w:r>
      <w:r w:rsidR="007E1AE4" w:rsidRPr="00AD6666">
        <w:t xml:space="preserve">or, </w:t>
      </w:r>
      <w:r w:rsidR="006B32F4" w:rsidRPr="00AD6666">
        <w:t>where</w:t>
      </w:r>
      <w:r w:rsidR="007E1AE4" w:rsidRPr="00AD6666">
        <w:t xml:space="preserve"> different, at the level of </w:t>
      </w:r>
      <w:r w:rsidR="00277FAF" w:rsidRPr="00AD6666">
        <w:t>each resolution</w:t>
      </w:r>
      <w:r w:rsidR="007E1AE4" w:rsidRPr="00AD6666">
        <w:t xml:space="preserve"> entity on an individual basis; </w:t>
      </w:r>
    </w:p>
    <w:p w:rsidR="007E1AE4" w:rsidRPr="00AD6666" w:rsidRDefault="00045775" w:rsidP="0051415A">
      <w:pPr>
        <w:pStyle w:val="Point2"/>
      </w:pPr>
      <w:r w:rsidRPr="00AD6666">
        <w:t>(ii)</w:t>
      </w:r>
      <w:r w:rsidRPr="00AD6666">
        <w:tab/>
      </w:r>
      <w:r w:rsidR="007E1AE4" w:rsidRPr="00AD6666">
        <w:t xml:space="preserve">at the level of each group institution that is a relevant legal entity and </w:t>
      </w:r>
      <w:r w:rsidR="00277FAF" w:rsidRPr="00AD6666">
        <w:t>does not</w:t>
      </w:r>
      <w:r w:rsidR="007E1AE4" w:rsidRPr="00AD6666">
        <w:t xml:space="preserve"> fall within the scope of point (</w:t>
      </w:r>
      <w:r w:rsidRPr="00AD6666">
        <w:t>i</w:t>
      </w:r>
      <w:r w:rsidR="007E1AE4" w:rsidRPr="00AD6666">
        <w:t xml:space="preserve">), on an individual basis, except in those cases when the resolution authority has fully waived the application of the individual minimum requirement for </w:t>
      </w:r>
      <w:r w:rsidR="006B32F4" w:rsidRPr="00AD6666">
        <w:t>own funds and eligible liabilities</w:t>
      </w:r>
      <w:r w:rsidR="007E1AE4" w:rsidRPr="00AD6666">
        <w:t xml:space="preserve"> pursuant to Article 45(11) or (12) of Directive 2014/59/EU to that institution;</w:t>
      </w:r>
    </w:p>
    <w:p w:rsidR="007E1AE4" w:rsidRPr="00AD6666" w:rsidRDefault="00045775" w:rsidP="0051415A">
      <w:pPr>
        <w:pStyle w:val="Point2"/>
      </w:pPr>
      <w:r w:rsidRPr="00AD6666">
        <w:t>(iii)</w:t>
      </w:r>
      <w:r w:rsidRPr="00AD6666">
        <w:tab/>
      </w:r>
      <w:r w:rsidR="007E1AE4" w:rsidRPr="00AD6666">
        <w:t xml:space="preserve">at the level of the Union parent undertaking on a consolidated basis or, </w:t>
      </w:r>
      <w:r w:rsidR="006B32F4" w:rsidRPr="00AD6666">
        <w:t>where</w:t>
      </w:r>
      <w:r w:rsidR="007E1AE4" w:rsidRPr="00AD6666">
        <w:t xml:space="preserve"> different, at the level of each resolution entity on the basis of the consolidated situation of the resolution group</w:t>
      </w:r>
      <w:r w:rsidR="00277FAF" w:rsidRPr="00AD6666">
        <w:t>;</w:t>
      </w:r>
    </w:p>
    <w:p w:rsidR="007E1AE4" w:rsidRPr="00AD6666" w:rsidRDefault="007E1AE4" w:rsidP="00EB1CD0">
      <w:pPr>
        <w:pStyle w:val="Point0letter"/>
        <w:numPr>
          <w:ilvl w:val="1"/>
          <w:numId w:val="2"/>
        </w:numPr>
        <w:rPr>
          <w:color w:val="000000" w:themeColor="text1"/>
        </w:rPr>
      </w:pPr>
      <w:r w:rsidRPr="00AD6666">
        <w:rPr>
          <w:color w:val="000000" w:themeColor="text1"/>
        </w:rPr>
        <w:t>the information specified in template Z 04.00 of Annex I</w:t>
      </w:r>
      <w:r w:rsidR="003719B9" w:rsidRPr="00AD6666">
        <w:rPr>
          <w:color w:val="000000" w:themeColor="text1"/>
        </w:rPr>
        <w:t xml:space="preserve"> in relation to the financial interconnections between all relevant legal entities</w:t>
      </w:r>
      <w:r w:rsidR="00277FAF" w:rsidRPr="00AD6666">
        <w:rPr>
          <w:color w:val="000000" w:themeColor="text1"/>
        </w:rPr>
        <w:t>;</w:t>
      </w:r>
    </w:p>
    <w:p w:rsidR="007E1AE4" w:rsidRPr="00AD6666" w:rsidRDefault="007E1AE4" w:rsidP="00EB1CD0">
      <w:pPr>
        <w:pStyle w:val="Point0letter"/>
        <w:numPr>
          <w:ilvl w:val="1"/>
          <w:numId w:val="2"/>
        </w:numPr>
        <w:rPr>
          <w:color w:val="000000" w:themeColor="text1"/>
        </w:rPr>
      </w:pPr>
      <w:r w:rsidRPr="00AD6666">
        <w:rPr>
          <w:color w:val="000000" w:themeColor="text1"/>
        </w:rPr>
        <w:t>the information specified in templates Z 05.01 and Z 05.02 of Annex I:</w:t>
      </w:r>
    </w:p>
    <w:p w:rsidR="007E1AE4" w:rsidRPr="00AD6666" w:rsidRDefault="00045775" w:rsidP="0051415A">
      <w:pPr>
        <w:pStyle w:val="Point2"/>
      </w:pPr>
      <w:r w:rsidRPr="00AD6666">
        <w:t>(i)</w:t>
      </w:r>
      <w:r w:rsidRPr="00AD6666">
        <w:tab/>
      </w:r>
      <w:r w:rsidR="007E1AE4" w:rsidRPr="00AD6666">
        <w:t>at the level of the Union parent undertaking</w:t>
      </w:r>
      <w:r w:rsidR="006C0762" w:rsidRPr="00AD6666">
        <w:t xml:space="preserve"> </w:t>
      </w:r>
      <w:r w:rsidR="007E1AE4" w:rsidRPr="00AD6666">
        <w:t xml:space="preserve">or, </w:t>
      </w:r>
      <w:r w:rsidR="006B32F4" w:rsidRPr="00AD6666">
        <w:t>where</w:t>
      </w:r>
      <w:r w:rsidR="007E1AE4" w:rsidRPr="00AD6666">
        <w:t xml:space="preserve"> different, at the level of each resolution entity on an individual basis;</w:t>
      </w:r>
    </w:p>
    <w:p w:rsidR="007E1AE4" w:rsidRPr="00AD6666" w:rsidRDefault="00045775" w:rsidP="0051415A">
      <w:pPr>
        <w:pStyle w:val="Point2"/>
      </w:pPr>
      <w:r w:rsidRPr="00AD6666">
        <w:t>(ii)</w:t>
      </w:r>
      <w:r w:rsidRPr="00AD6666">
        <w:tab/>
      </w:r>
      <w:r w:rsidR="007E1AE4" w:rsidRPr="00AD6666">
        <w:t xml:space="preserve">at the level of the Union parent undertaking on a consolidated basis or, </w:t>
      </w:r>
      <w:r w:rsidR="006B32F4" w:rsidRPr="00AD6666">
        <w:t>where</w:t>
      </w:r>
      <w:r w:rsidR="007E1AE4" w:rsidRPr="00AD6666">
        <w:t xml:space="preserve"> different, at the level of each resolution entity on the basis of the consolidated situation of the resolution group</w:t>
      </w:r>
      <w:r w:rsidR="00277FAF" w:rsidRPr="00AD6666">
        <w:t>;</w:t>
      </w:r>
    </w:p>
    <w:p w:rsidR="007E1AE4" w:rsidRPr="00AD6666" w:rsidRDefault="007E1AE4" w:rsidP="00EB1CD0">
      <w:pPr>
        <w:pStyle w:val="Point0letter"/>
        <w:numPr>
          <w:ilvl w:val="1"/>
          <w:numId w:val="2"/>
        </w:numPr>
        <w:rPr>
          <w:color w:val="000000" w:themeColor="text1"/>
        </w:rPr>
      </w:pPr>
      <w:r w:rsidRPr="00AD6666">
        <w:rPr>
          <w:color w:val="000000" w:themeColor="text1"/>
        </w:rPr>
        <w:t>the information specified in template Z 06.00 of Annex I at the level of the Union parent undertaking on a consolidated basis, in relation to all credit institutions which are relevant legal entities;</w:t>
      </w:r>
    </w:p>
    <w:p w:rsidR="007E1AE4" w:rsidRPr="00AD6666" w:rsidRDefault="007E1AE4" w:rsidP="00EB1CD0">
      <w:pPr>
        <w:pStyle w:val="Point0letter"/>
        <w:numPr>
          <w:ilvl w:val="1"/>
          <w:numId w:val="2"/>
        </w:numPr>
        <w:rPr>
          <w:color w:val="000000" w:themeColor="text1"/>
        </w:rPr>
      </w:pPr>
      <w:r w:rsidRPr="00AD6666">
        <w:rPr>
          <w:color w:val="000000" w:themeColor="text1"/>
        </w:rPr>
        <w:t>the information specified in template Z 07.01 of Annex I</w:t>
      </w:r>
      <w:r w:rsidR="00F73FEB" w:rsidRPr="00AD6666">
        <w:rPr>
          <w:color w:val="000000" w:themeColor="text1"/>
        </w:rPr>
        <w:t>,</w:t>
      </w:r>
      <w:r w:rsidRPr="00AD6666">
        <w:rPr>
          <w:color w:val="000000" w:themeColor="text1"/>
        </w:rPr>
        <w:t xml:space="preserve"> separately for each Member State in which the group operates;</w:t>
      </w:r>
    </w:p>
    <w:p w:rsidR="007E1AE4" w:rsidRPr="00AD6666" w:rsidRDefault="007E1AE4" w:rsidP="00EB1CD0">
      <w:pPr>
        <w:pStyle w:val="Point0letter"/>
        <w:numPr>
          <w:ilvl w:val="1"/>
          <w:numId w:val="2"/>
        </w:numPr>
        <w:rPr>
          <w:color w:val="000000" w:themeColor="text1"/>
        </w:rPr>
      </w:pPr>
      <w:r w:rsidRPr="00AD6666">
        <w:rPr>
          <w:color w:val="000000" w:themeColor="text1"/>
        </w:rPr>
        <w:t>the information specified in templates Z 07.02 and Z 07.03 and Z 07.04 of Annex I in relation to the critical functions and core business lines provided by any group entity;</w:t>
      </w:r>
    </w:p>
    <w:p w:rsidR="007E1AE4" w:rsidRPr="00AD6666" w:rsidRDefault="007E1AE4" w:rsidP="00EB1CD0">
      <w:pPr>
        <w:pStyle w:val="Point0letter"/>
        <w:numPr>
          <w:ilvl w:val="1"/>
          <w:numId w:val="2"/>
        </w:numPr>
        <w:rPr>
          <w:color w:val="000000" w:themeColor="text1"/>
        </w:rPr>
      </w:pPr>
      <w:r w:rsidRPr="00AD6666">
        <w:rPr>
          <w:color w:val="000000" w:themeColor="text1"/>
        </w:rPr>
        <w:t xml:space="preserve">the information specified in template Z 08.00 of Annex I, </w:t>
      </w:r>
      <w:r w:rsidR="006B32F4" w:rsidRPr="00AD6666">
        <w:rPr>
          <w:color w:val="000000" w:themeColor="text1"/>
        </w:rPr>
        <w:t xml:space="preserve"> in relation to</w:t>
      </w:r>
      <w:r w:rsidRPr="00AD6666">
        <w:rPr>
          <w:color w:val="000000" w:themeColor="text1"/>
        </w:rPr>
        <w:t xml:space="preserve"> all critical services provided to any group entity included in template Z 01.00 of Annex I;</w:t>
      </w:r>
    </w:p>
    <w:p w:rsidR="007E1AE4" w:rsidRPr="00757F77" w:rsidRDefault="007E1AE4" w:rsidP="00EB1CD0">
      <w:pPr>
        <w:pStyle w:val="Point0letter"/>
        <w:numPr>
          <w:ilvl w:val="1"/>
          <w:numId w:val="2"/>
        </w:numPr>
        <w:rPr>
          <w:color w:val="000000" w:themeColor="text1"/>
        </w:rPr>
      </w:pPr>
      <w:r w:rsidRPr="00AD6666">
        <w:rPr>
          <w:color w:val="000000" w:themeColor="text1"/>
        </w:rPr>
        <w:t>the information specified in template Z 09.00 of Annex I in relation to all financial market infrastructures</w:t>
      </w:r>
      <w:r w:rsidR="006B32F4" w:rsidRPr="00AD6666">
        <w:rPr>
          <w:color w:val="000000" w:themeColor="text1"/>
        </w:rPr>
        <w:t>,</w:t>
      </w:r>
      <w:r w:rsidR="00C92875" w:rsidRPr="00AD6666">
        <w:rPr>
          <w:color w:val="000000" w:themeColor="text1"/>
        </w:rPr>
        <w:t xml:space="preserve"> </w:t>
      </w:r>
      <w:r w:rsidRPr="00AD6666">
        <w:rPr>
          <w:color w:val="000000" w:themeColor="text1"/>
        </w:rPr>
        <w:t xml:space="preserve">the disruption </w:t>
      </w:r>
      <w:r w:rsidR="006B32F4" w:rsidRPr="00AD6666">
        <w:rPr>
          <w:color w:val="000000" w:themeColor="text1"/>
        </w:rPr>
        <w:t xml:space="preserve">of which </w:t>
      </w:r>
      <w:r w:rsidRPr="00AD6666">
        <w:rPr>
          <w:color w:val="000000" w:themeColor="text1"/>
        </w:rPr>
        <w:t>would present a serious impediment or prevent the performance of any critical function identified in template</w:t>
      </w:r>
      <w:r w:rsidRPr="00757F77">
        <w:rPr>
          <w:color w:val="000000" w:themeColor="text1"/>
        </w:rPr>
        <w:t xml:space="preserve"> Z 07 02;</w:t>
      </w:r>
    </w:p>
    <w:p w:rsidR="007E1AE4" w:rsidRPr="00757F77" w:rsidRDefault="007E1AE4" w:rsidP="00EB1CD0">
      <w:pPr>
        <w:pStyle w:val="Point0letter"/>
        <w:numPr>
          <w:ilvl w:val="1"/>
          <w:numId w:val="2"/>
        </w:numPr>
        <w:rPr>
          <w:color w:val="000000" w:themeColor="text1"/>
        </w:rPr>
      </w:pPr>
      <w:r w:rsidRPr="00757F77">
        <w:rPr>
          <w:color w:val="000000" w:themeColor="text1"/>
        </w:rPr>
        <w:t>the information specified in templates Z 10.01 and Z 10.02 of Annex I in relation to all critical information systems within the group.</w:t>
      </w:r>
    </w:p>
    <w:p w:rsidR="007E1AE4" w:rsidRPr="00757F77" w:rsidRDefault="007E1AE4" w:rsidP="007E1AE4">
      <w:pPr>
        <w:pStyle w:val="Titrearticle"/>
        <w:rPr>
          <w:color w:val="000000" w:themeColor="text1"/>
        </w:rPr>
      </w:pPr>
      <w:r w:rsidRPr="00757F77">
        <w:rPr>
          <w:color w:val="000000" w:themeColor="text1"/>
        </w:rPr>
        <w:t>Article 5</w:t>
      </w:r>
      <w:r w:rsidRPr="00757F77">
        <w:rPr>
          <w:color w:val="000000" w:themeColor="text1"/>
        </w:rPr>
        <w:br/>
        <w:t>Frequency, reference dates and remittance dates</w:t>
      </w:r>
    </w:p>
    <w:p w:rsidR="007E1AE4" w:rsidRPr="00757F77" w:rsidRDefault="007E1AE4" w:rsidP="00EB1CD0">
      <w:pPr>
        <w:pStyle w:val="NumPar1"/>
        <w:numPr>
          <w:ilvl w:val="0"/>
          <w:numId w:val="3"/>
        </w:numPr>
        <w:rPr>
          <w:color w:val="000000" w:themeColor="text1"/>
        </w:rPr>
      </w:pPr>
      <w:r w:rsidRPr="00757F77">
        <w:rPr>
          <w:color w:val="000000" w:themeColor="text1"/>
        </w:rPr>
        <w:t xml:space="preserve">Institutions shall submit the information referred to in Article 3(1) at the latest by 30 April each year in respect of </w:t>
      </w:r>
      <w:r w:rsidR="00754A18">
        <w:rPr>
          <w:color w:val="000000" w:themeColor="text1"/>
        </w:rPr>
        <w:t>the</w:t>
      </w:r>
      <w:r w:rsidR="00470B31">
        <w:rPr>
          <w:color w:val="000000" w:themeColor="text1"/>
        </w:rPr>
        <w:t xml:space="preserve"> last day of the</w:t>
      </w:r>
      <w:r w:rsidR="00754A18">
        <w:rPr>
          <w:color w:val="000000" w:themeColor="text1"/>
        </w:rPr>
        <w:t xml:space="preserve"> previous calendar year</w:t>
      </w:r>
      <w:r w:rsidRPr="00757F77">
        <w:rPr>
          <w:color w:val="000000" w:themeColor="text1"/>
        </w:rPr>
        <w:t xml:space="preserve"> or of the relevant financial year. If 30 April is not a business day, the information shall be provided on the following business day.</w:t>
      </w:r>
    </w:p>
    <w:p w:rsidR="007E1AE4" w:rsidRPr="00757F77" w:rsidRDefault="007E1AE4" w:rsidP="00EB1CD0">
      <w:pPr>
        <w:pStyle w:val="NumPar1"/>
        <w:numPr>
          <w:ilvl w:val="0"/>
          <w:numId w:val="3"/>
        </w:numPr>
        <w:rPr>
          <w:color w:val="000000" w:themeColor="text1"/>
        </w:rPr>
      </w:pPr>
      <w:r w:rsidRPr="00757F77">
        <w:rPr>
          <w:color w:val="000000" w:themeColor="text1"/>
        </w:rPr>
        <w:t>Resolution authorities shall provide the necessary contact details to which the information has to be provided within the resolution authority or, where applicable, the competent authority.</w:t>
      </w:r>
    </w:p>
    <w:p w:rsidR="007E1AE4" w:rsidRPr="00757F77" w:rsidRDefault="007E1AE4" w:rsidP="00EB1CD0">
      <w:pPr>
        <w:pStyle w:val="NumPar1"/>
        <w:numPr>
          <w:ilvl w:val="0"/>
          <w:numId w:val="3"/>
        </w:numPr>
        <w:rPr>
          <w:color w:val="000000" w:themeColor="text1"/>
        </w:rPr>
      </w:pPr>
      <w:r w:rsidRPr="00757F77">
        <w:rPr>
          <w:color w:val="000000" w:themeColor="text1"/>
        </w:rPr>
        <w:t xml:space="preserve">Institutions may submit unaudited figures. Where audited figures deviate from submitted unaudited figures, the revised, audited figures shall be submitted without undue delay. Unaudited figures are figures that have not received an external auditor's opinion whereas audited figures are figures audited by an external auditor expressing an audit opinion. </w:t>
      </w:r>
    </w:p>
    <w:p w:rsidR="007E1AE4" w:rsidRPr="00757F77" w:rsidRDefault="00754A18" w:rsidP="00EB1CD0">
      <w:pPr>
        <w:pStyle w:val="NumPar1"/>
        <w:numPr>
          <w:ilvl w:val="0"/>
          <w:numId w:val="3"/>
        </w:numPr>
        <w:rPr>
          <w:color w:val="000000" w:themeColor="text1"/>
        </w:rPr>
      </w:pPr>
      <w:r>
        <w:rPr>
          <w:color w:val="000000" w:themeColor="text1"/>
        </w:rPr>
        <w:t>C</w:t>
      </w:r>
      <w:r w:rsidR="007E1AE4" w:rsidRPr="00757F77">
        <w:rPr>
          <w:color w:val="000000" w:themeColor="text1"/>
        </w:rPr>
        <w:t>orrections to the submitted reports shall be submitted without undue delay.</w:t>
      </w:r>
    </w:p>
    <w:p w:rsidR="007E1AE4" w:rsidRPr="00757F77" w:rsidRDefault="007E1AE4" w:rsidP="007E1AE4">
      <w:pPr>
        <w:pStyle w:val="Titrearticle"/>
        <w:rPr>
          <w:color w:val="000000" w:themeColor="text1"/>
        </w:rPr>
      </w:pPr>
      <w:r w:rsidRPr="00757F77">
        <w:rPr>
          <w:color w:val="000000" w:themeColor="text1"/>
        </w:rPr>
        <w:t>Article 6</w:t>
      </w:r>
      <w:r w:rsidRPr="00757F77">
        <w:rPr>
          <w:color w:val="000000" w:themeColor="text1"/>
        </w:rPr>
        <w:br/>
        <w:t>Format for the submission of information</w:t>
      </w:r>
    </w:p>
    <w:p w:rsidR="007E1AE4" w:rsidRPr="00757F77" w:rsidRDefault="007E1AE4" w:rsidP="00EB1CD0">
      <w:pPr>
        <w:pStyle w:val="NumPar1"/>
        <w:numPr>
          <w:ilvl w:val="0"/>
          <w:numId w:val="4"/>
        </w:numPr>
        <w:rPr>
          <w:color w:val="000000" w:themeColor="text1"/>
        </w:rPr>
      </w:pPr>
      <w:r w:rsidRPr="00757F77">
        <w:rPr>
          <w:color w:val="000000" w:themeColor="text1"/>
        </w:rPr>
        <w:t xml:space="preserve">Institutions or, in the case of groups Union parent undertakings, shall submit the information referred to in Article 3(1) in the data exchange formats and representations specified by resolution authorities, </w:t>
      </w:r>
      <w:r w:rsidR="00A82A0A">
        <w:rPr>
          <w:color w:val="000000" w:themeColor="text1"/>
        </w:rPr>
        <w:t xml:space="preserve">and shall </w:t>
      </w:r>
      <w:r w:rsidRPr="00757F77">
        <w:rPr>
          <w:color w:val="000000" w:themeColor="text1"/>
        </w:rPr>
        <w:t>respect the data point definitions included in the single data point model referred to in Annex III and the validation rules referred to in Annex IV</w:t>
      </w:r>
      <w:r w:rsidR="00A82A0A">
        <w:rPr>
          <w:color w:val="000000" w:themeColor="text1"/>
        </w:rPr>
        <w:t>,</w:t>
      </w:r>
      <w:r w:rsidRPr="00757F77">
        <w:rPr>
          <w:color w:val="000000" w:themeColor="text1"/>
        </w:rPr>
        <w:t xml:space="preserve"> as well as the following specifications:</w:t>
      </w:r>
    </w:p>
    <w:p w:rsidR="007E1AE4" w:rsidRPr="00757F77" w:rsidRDefault="00A05B6C" w:rsidP="00AE1240">
      <w:pPr>
        <w:pStyle w:val="Point1letter"/>
      </w:pPr>
      <w:r w:rsidRPr="00757F77">
        <w:t xml:space="preserve"> </w:t>
      </w:r>
      <w:r w:rsidR="00F72A53">
        <w:t xml:space="preserve">information </w:t>
      </w:r>
      <w:r w:rsidR="007E1AE4" w:rsidRPr="00757F77">
        <w:t>not required or not applicable shall not be included in a data submission;</w:t>
      </w:r>
    </w:p>
    <w:p w:rsidR="007E1AE4" w:rsidRPr="00757F77" w:rsidRDefault="007E1AE4" w:rsidP="00AE1240">
      <w:pPr>
        <w:pStyle w:val="Point1letter"/>
      </w:pPr>
      <w:r w:rsidRPr="00757F77">
        <w:t>numeric values shall be submitted as facts according to the following:</w:t>
      </w:r>
    </w:p>
    <w:p w:rsidR="007E1AE4" w:rsidRPr="00757F77" w:rsidRDefault="00045775" w:rsidP="0051415A">
      <w:pPr>
        <w:pStyle w:val="Point2"/>
      </w:pPr>
      <w:r>
        <w:t>(i)</w:t>
      </w:r>
      <w:r>
        <w:tab/>
      </w:r>
      <w:r w:rsidR="007E1AE4" w:rsidRPr="00757F77">
        <w:t>data points with the data type “Monetary</w:t>
      </w:r>
      <w:r w:rsidR="00B827ED">
        <w:t xml:space="preserve"> amount</w:t>
      </w:r>
      <w:r w:rsidR="007E1AE4" w:rsidRPr="00757F77">
        <w:t>” shall be reported using a minimum precision equivalent to thousands of units;</w:t>
      </w:r>
    </w:p>
    <w:p w:rsidR="007E1AE4" w:rsidRPr="00757F77" w:rsidRDefault="00045775" w:rsidP="0051415A">
      <w:pPr>
        <w:pStyle w:val="Point2"/>
      </w:pPr>
      <w:r>
        <w:t>(ii)</w:t>
      </w:r>
      <w:r>
        <w:tab/>
      </w:r>
      <w:r w:rsidR="007E1AE4" w:rsidRPr="00757F77">
        <w:t>data points with the data type “Percentage” shall be expressed as per unit with a minimum precision equivalent to four decimals;</w:t>
      </w:r>
    </w:p>
    <w:p w:rsidR="007E1AE4" w:rsidRPr="00AD6666" w:rsidRDefault="00045775" w:rsidP="0051415A">
      <w:pPr>
        <w:pStyle w:val="Point2"/>
      </w:pPr>
      <w:r>
        <w:t>(iii)</w:t>
      </w:r>
      <w:r>
        <w:tab/>
      </w:r>
      <w:r w:rsidR="007E1AE4" w:rsidRPr="00757F77">
        <w:t xml:space="preserve">data points with the data </w:t>
      </w:r>
      <w:r w:rsidR="007E1AE4" w:rsidRPr="00AD6666">
        <w:t>type “Integer” shall be reported using no decimals and a precision equivalent to units.</w:t>
      </w:r>
    </w:p>
    <w:p w:rsidR="007E1AE4" w:rsidRPr="00AD6666" w:rsidRDefault="007E1AE4" w:rsidP="00EB1CD0">
      <w:pPr>
        <w:pStyle w:val="NumPar1"/>
        <w:numPr>
          <w:ilvl w:val="0"/>
          <w:numId w:val="4"/>
        </w:numPr>
        <w:rPr>
          <w:color w:val="000000" w:themeColor="text1"/>
        </w:rPr>
      </w:pPr>
      <w:r w:rsidRPr="00AD6666">
        <w:rPr>
          <w:color w:val="000000" w:themeColor="text1"/>
        </w:rPr>
        <w:t>The data submitted by institutions or, in the case of groups by Union parent undertakings, shall be associated with the following information:</w:t>
      </w:r>
    </w:p>
    <w:p w:rsidR="007E1AE4" w:rsidRPr="00AD6666" w:rsidRDefault="007E1AE4" w:rsidP="00440366">
      <w:pPr>
        <w:pStyle w:val="Point1letter"/>
        <w:numPr>
          <w:ilvl w:val="3"/>
          <w:numId w:val="18"/>
        </w:numPr>
      </w:pPr>
      <w:r w:rsidRPr="00AD6666">
        <w:t>reference date for the submission;</w:t>
      </w:r>
    </w:p>
    <w:p w:rsidR="007E1AE4" w:rsidRPr="00AD6666" w:rsidRDefault="007E1AE4" w:rsidP="00AE1240">
      <w:pPr>
        <w:pStyle w:val="Point1letter"/>
      </w:pPr>
      <w:r w:rsidRPr="00AD6666">
        <w:t>reporting currency;</w:t>
      </w:r>
    </w:p>
    <w:p w:rsidR="007E1AE4" w:rsidRPr="00AD6666" w:rsidRDefault="007E1AE4" w:rsidP="00AE1240">
      <w:pPr>
        <w:pStyle w:val="Point1letter"/>
      </w:pPr>
      <w:r w:rsidRPr="00AD6666">
        <w:t>applicable accounting standards;</w:t>
      </w:r>
    </w:p>
    <w:p w:rsidR="007E1AE4" w:rsidRPr="00AD6666" w:rsidRDefault="007E1AE4" w:rsidP="00AE1240">
      <w:pPr>
        <w:pStyle w:val="Point1letter"/>
      </w:pPr>
      <w:r w:rsidRPr="00AD6666">
        <w:t>identifier of the reporting entity;</w:t>
      </w:r>
    </w:p>
    <w:p w:rsidR="007E1AE4" w:rsidRPr="00AD6666" w:rsidRDefault="007E1AE4" w:rsidP="00AE1240">
      <w:pPr>
        <w:pStyle w:val="Point1letter"/>
      </w:pPr>
      <w:r w:rsidRPr="00AD6666">
        <w:t xml:space="preserve">level of </w:t>
      </w:r>
      <w:r w:rsidR="00B70E5B" w:rsidRPr="00AD6666">
        <w:t xml:space="preserve">consolidation of information </w:t>
      </w:r>
      <w:r w:rsidRPr="00AD6666">
        <w:t xml:space="preserve"> in accordance with Article 4.</w:t>
      </w:r>
    </w:p>
    <w:p w:rsidR="007E1AE4" w:rsidRPr="00AD6666" w:rsidRDefault="007E1AE4" w:rsidP="007E1AE4">
      <w:pPr>
        <w:pStyle w:val="Titrearticle"/>
        <w:rPr>
          <w:color w:val="000000" w:themeColor="text1"/>
        </w:rPr>
      </w:pPr>
      <w:r w:rsidRPr="00AD6666">
        <w:rPr>
          <w:color w:val="000000" w:themeColor="text1"/>
        </w:rPr>
        <w:t>Article 7</w:t>
      </w:r>
      <w:r w:rsidRPr="00AD6666">
        <w:rPr>
          <w:color w:val="000000" w:themeColor="text1"/>
        </w:rPr>
        <w:br/>
        <w:t>Provision of additional information for the purpose of individual or group resolution plans</w:t>
      </w:r>
    </w:p>
    <w:p w:rsidR="00B90FAF" w:rsidRPr="00AD6666" w:rsidRDefault="00B90FAF" w:rsidP="006973C7">
      <w:pPr>
        <w:pStyle w:val="NumPar1"/>
        <w:numPr>
          <w:ilvl w:val="0"/>
          <w:numId w:val="20"/>
        </w:numPr>
      </w:pPr>
      <w:r w:rsidRPr="00AD6666">
        <w:t>Where a resolution authority or a group-level resolution authority, considers information not covered by any template set out in Annex I to be necessary for the purposes of drawing up and implementing resolution plans, or where the format in which additional information is provided by the competent authority pursuant to Article 8(2) is not suitable for the purposes of drawing up or implementing resolution plans, the resolution authority shall request such information from the institution or the Union parent undertaking.</w:t>
      </w:r>
    </w:p>
    <w:p w:rsidR="00B90FAF" w:rsidRPr="00AD6666" w:rsidRDefault="00B90FAF" w:rsidP="00AE1240">
      <w:pPr>
        <w:pStyle w:val="NumPar1"/>
      </w:pPr>
      <w:r w:rsidRPr="00AD6666">
        <w:t>For the purposes of the request pursuant to paragraph 1, the resolution authority shall:</w:t>
      </w:r>
    </w:p>
    <w:p w:rsidR="00B90FAF" w:rsidRPr="00AD6666" w:rsidRDefault="00B90FAF" w:rsidP="00440366">
      <w:pPr>
        <w:pStyle w:val="Point1letter"/>
        <w:numPr>
          <w:ilvl w:val="3"/>
          <w:numId w:val="19"/>
        </w:numPr>
      </w:pPr>
      <w:r w:rsidRPr="00AD6666">
        <w:t>identify the additional information to be provided;</w:t>
      </w:r>
    </w:p>
    <w:p w:rsidR="00B90FAF" w:rsidRPr="0051415A" w:rsidRDefault="00B90FAF" w:rsidP="00440366">
      <w:pPr>
        <w:pStyle w:val="Point1letter"/>
        <w:numPr>
          <w:ilvl w:val="3"/>
          <w:numId w:val="19"/>
        </w:numPr>
      </w:pPr>
      <w:r w:rsidRPr="0051415A">
        <w:t>specify, taking into account the volume and complexity of the required information, the appropriate timeframe within which the institution or, in the case of groups the Union parent undertaking, shall provide the information to the resolution authority;</w:t>
      </w:r>
    </w:p>
    <w:p w:rsidR="00B90FAF" w:rsidRPr="00AD6666" w:rsidRDefault="00B90FAF" w:rsidP="00440366">
      <w:pPr>
        <w:pStyle w:val="Point1letter"/>
        <w:numPr>
          <w:ilvl w:val="3"/>
          <w:numId w:val="19"/>
        </w:numPr>
      </w:pPr>
      <w:r w:rsidRPr="00AD6666">
        <w:t>specify the format to be used by institutions or, in the case of groups, by Union parent undertakings in order to provide the information to the resolution authority;</w:t>
      </w:r>
    </w:p>
    <w:p w:rsidR="00B90FAF" w:rsidRPr="00AD6666" w:rsidRDefault="00B90FAF" w:rsidP="00440366">
      <w:pPr>
        <w:pStyle w:val="Point1letter"/>
        <w:numPr>
          <w:ilvl w:val="3"/>
          <w:numId w:val="19"/>
        </w:numPr>
      </w:pPr>
      <w:r w:rsidRPr="00AD6666">
        <w:t>specify whether the information has to be completed on an individual or group level basis and whether its scope is local, Union-wide or global;</w:t>
      </w:r>
    </w:p>
    <w:p w:rsidR="00B90FAF" w:rsidRPr="00AD6666" w:rsidRDefault="00B90FAF" w:rsidP="00440366">
      <w:pPr>
        <w:pStyle w:val="Point1letter"/>
        <w:numPr>
          <w:ilvl w:val="3"/>
          <w:numId w:val="19"/>
        </w:numPr>
      </w:pPr>
      <w:r w:rsidRPr="00AD6666">
        <w:t>provide the necessary contact details for the purposes of providing the additional information.</w:t>
      </w:r>
    </w:p>
    <w:p w:rsidR="007E1AE4" w:rsidRPr="00AD6666" w:rsidRDefault="007E1AE4" w:rsidP="007E1AE4">
      <w:pPr>
        <w:pStyle w:val="Titrearticle"/>
        <w:rPr>
          <w:color w:val="000000" w:themeColor="text1"/>
        </w:rPr>
      </w:pPr>
      <w:r w:rsidRPr="00AD6666">
        <w:rPr>
          <w:color w:val="000000" w:themeColor="text1"/>
        </w:rPr>
        <w:t>Article 8</w:t>
      </w:r>
      <w:r w:rsidRPr="00AD6666">
        <w:rPr>
          <w:color w:val="000000" w:themeColor="text1"/>
        </w:rPr>
        <w:br/>
        <w:t>Cooperation between competent and resolution authorities</w:t>
      </w:r>
    </w:p>
    <w:p w:rsidR="007E1AE4" w:rsidRPr="00AD6666" w:rsidRDefault="007E1AE4" w:rsidP="00440366">
      <w:pPr>
        <w:pStyle w:val="NumPar1"/>
        <w:numPr>
          <w:ilvl w:val="0"/>
          <w:numId w:val="5"/>
        </w:numPr>
        <w:rPr>
          <w:color w:val="000000" w:themeColor="text1"/>
        </w:rPr>
      </w:pPr>
      <w:r w:rsidRPr="00AD6666">
        <w:rPr>
          <w:color w:val="000000" w:themeColor="text1"/>
        </w:rPr>
        <w:t>Competent and resolution authorities shall jointly verify whether part or all of the information to be provided to the resolution authority</w:t>
      </w:r>
      <w:r w:rsidR="00A82A0A" w:rsidRPr="00AD6666">
        <w:rPr>
          <w:color w:val="000000" w:themeColor="text1"/>
        </w:rPr>
        <w:t xml:space="preserve"> pursuant to Article 3(1)</w:t>
      </w:r>
      <w:r w:rsidRPr="00AD6666">
        <w:rPr>
          <w:color w:val="000000" w:themeColor="text1"/>
        </w:rPr>
        <w:t xml:space="preserve"> </w:t>
      </w:r>
      <w:r w:rsidR="003B27FA" w:rsidRPr="00AD6666">
        <w:rPr>
          <w:color w:val="000000" w:themeColor="text1"/>
        </w:rPr>
        <w:t>and Article 7</w:t>
      </w:r>
      <w:r w:rsidRPr="00AD6666">
        <w:rPr>
          <w:color w:val="000000" w:themeColor="text1"/>
        </w:rPr>
        <w:t>is already available to the competent authority.</w:t>
      </w:r>
    </w:p>
    <w:p w:rsidR="007E1AE4" w:rsidRPr="00AD6666" w:rsidRDefault="007E1AE4" w:rsidP="00440366">
      <w:pPr>
        <w:pStyle w:val="NumPar1"/>
        <w:numPr>
          <w:ilvl w:val="0"/>
          <w:numId w:val="5"/>
        </w:numPr>
        <w:rPr>
          <w:color w:val="000000" w:themeColor="text1"/>
        </w:rPr>
      </w:pPr>
      <w:r w:rsidRPr="00AD6666">
        <w:rPr>
          <w:color w:val="000000" w:themeColor="text1"/>
        </w:rPr>
        <w:t xml:space="preserve">Where part or all of the information is already available to the competent authority, that authority shall provide such information to the resolution authority in a timely manner. </w:t>
      </w:r>
    </w:p>
    <w:p w:rsidR="00A05A75" w:rsidRPr="00AD6666" w:rsidRDefault="007E1AE4" w:rsidP="00AE1240">
      <w:pPr>
        <w:pStyle w:val="NumPar1"/>
        <w:rPr>
          <w:color w:val="000000" w:themeColor="text1"/>
        </w:rPr>
      </w:pPr>
      <w:r w:rsidRPr="00AE1240">
        <w:rPr>
          <w:color w:val="000000" w:themeColor="text1"/>
        </w:rPr>
        <w:t xml:space="preserve">In the case referred to in paragraph 2, resolution authorities shall ensure that institutions or, in the cases of groups Union parent undertakings, are informed of the information which is required to be included in the submission of information </w:t>
      </w:r>
      <w:r w:rsidR="00A82A0A" w:rsidRPr="00AE1240">
        <w:rPr>
          <w:color w:val="000000" w:themeColor="text1"/>
        </w:rPr>
        <w:t xml:space="preserve">pursuant </w:t>
      </w:r>
      <w:r w:rsidRPr="00AE1240">
        <w:rPr>
          <w:color w:val="000000" w:themeColor="text1"/>
        </w:rPr>
        <w:t>to Article 3(1). They shall identify that information by reference to the templates set out in Annex I.</w:t>
      </w:r>
    </w:p>
    <w:p w:rsidR="007E1AE4" w:rsidRPr="00AD6666" w:rsidRDefault="007E1AE4" w:rsidP="007E1AE4">
      <w:pPr>
        <w:pStyle w:val="Titrearticle"/>
        <w:rPr>
          <w:color w:val="000000" w:themeColor="text1"/>
        </w:rPr>
      </w:pPr>
      <w:r w:rsidRPr="00AD6666">
        <w:rPr>
          <w:color w:val="000000" w:themeColor="text1"/>
        </w:rPr>
        <w:t>Article 9</w:t>
      </w:r>
      <w:r w:rsidRPr="00AD6666">
        <w:rPr>
          <w:color w:val="000000" w:themeColor="text1"/>
        </w:rPr>
        <w:br/>
        <w:t>Transition period</w:t>
      </w:r>
    </w:p>
    <w:p w:rsidR="007E1AE4" w:rsidRPr="00AD6666" w:rsidRDefault="007E1AE4" w:rsidP="00440366">
      <w:pPr>
        <w:pStyle w:val="NumPar1"/>
        <w:numPr>
          <w:ilvl w:val="0"/>
          <w:numId w:val="6"/>
        </w:numPr>
        <w:rPr>
          <w:color w:val="000000" w:themeColor="text1"/>
        </w:rPr>
      </w:pPr>
      <w:r w:rsidRPr="00AD6666">
        <w:rPr>
          <w:color w:val="000000" w:themeColor="text1"/>
        </w:rPr>
        <w:t xml:space="preserve">By </w:t>
      </w:r>
      <w:r w:rsidR="00D55C73" w:rsidRPr="00AD6666">
        <w:rPr>
          <w:color w:val="000000" w:themeColor="text1"/>
        </w:rPr>
        <w:t xml:space="preserve">way of </w:t>
      </w:r>
      <w:r w:rsidRPr="00AD6666">
        <w:rPr>
          <w:color w:val="000000" w:themeColor="text1"/>
        </w:rPr>
        <w:t xml:space="preserve">derogation </w:t>
      </w:r>
      <w:r w:rsidR="00D55C73" w:rsidRPr="00AD6666">
        <w:rPr>
          <w:color w:val="000000" w:themeColor="text1"/>
        </w:rPr>
        <w:t xml:space="preserve">from </w:t>
      </w:r>
      <w:r w:rsidRPr="00AD6666">
        <w:rPr>
          <w:color w:val="000000" w:themeColor="text1"/>
        </w:rPr>
        <w:t>Article 5(1), for a financial year ending on a date between 1 January and 31 December 2018, the remittance date shall be 31 May 2019 at the latest.</w:t>
      </w:r>
    </w:p>
    <w:p w:rsidR="007E1AE4" w:rsidRPr="00AD6666" w:rsidRDefault="007E1AE4" w:rsidP="00440366">
      <w:pPr>
        <w:pStyle w:val="NumPar1"/>
        <w:numPr>
          <w:ilvl w:val="0"/>
          <w:numId w:val="6"/>
        </w:numPr>
        <w:rPr>
          <w:color w:val="000000" w:themeColor="text1"/>
        </w:rPr>
      </w:pPr>
      <w:r w:rsidRPr="00AD6666">
        <w:rPr>
          <w:color w:val="000000" w:themeColor="text1"/>
        </w:rPr>
        <w:t xml:space="preserve">By </w:t>
      </w:r>
      <w:r w:rsidR="00D55C73" w:rsidRPr="00AD6666">
        <w:rPr>
          <w:color w:val="000000" w:themeColor="text1"/>
        </w:rPr>
        <w:t xml:space="preserve">way of </w:t>
      </w:r>
      <w:r w:rsidRPr="00AD6666">
        <w:rPr>
          <w:color w:val="000000" w:themeColor="text1"/>
        </w:rPr>
        <w:t xml:space="preserve">derogation </w:t>
      </w:r>
      <w:r w:rsidR="00D55C73" w:rsidRPr="00AD6666">
        <w:rPr>
          <w:color w:val="000000" w:themeColor="text1"/>
        </w:rPr>
        <w:t xml:space="preserve">from </w:t>
      </w:r>
      <w:r w:rsidRPr="00AD6666">
        <w:rPr>
          <w:color w:val="000000" w:themeColor="text1"/>
        </w:rPr>
        <w:t>Article 5(1), for a financial year ending on a date between 1 January and 31 December 2019, the remittance date shall be 30 April 2020 at the latest.</w:t>
      </w:r>
    </w:p>
    <w:p w:rsidR="007E1AE4" w:rsidRPr="00AD6666" w:rsidRDefault="007E1AE4" w:rsidP="007E1AE4">
      <w:pPr>
        <w:pStyle w:val="Titrearticle"/>
        <w:rPr>
          <w:color w:val="000000" w:themeColor="text1"/>
        </w:rPr>
      </w:pPr>
      <w:r w:rsidRPr="00AD6666">
        <w:rPr>
          <w:color w:val="000000" w:themeColor="text1"/>
        </w:rPr>
        <w:t>Article 10</w:t>
      </w:r>
      <w:r w:rsidRPr="00AD6666">
        <w:rPr>
          <w:color w:val="000000" w:themeColor="text1"/>
        </w:rPr>
        <w:br/>
        <w:t>Repeal</w:t>
      </w:r>
    </w:p>
    <w:p w:rsidR="007E1AE4" w:rsidRPr="00AD6666" w:rsidRDefault="007E1AE4" w:rsidP="007E1AE4">
      <w:pPr>
        <w:rPr>
          <w:color w:val="000000" w:themeColor="text1"/>
        </w:rPr>
      </w:pPr>
      <w:r w:rsidRPr="00AD6666">
        <w:rPr>
          <w:color w:val="000000" w:themeColor="text1"/>
        </w:rPr>
        <w:t>Implementing Regulation (EU) 2016/1066 is repealed.</w:t>
      </w:r>
    </w:p>
    <w:p w:rsidR="007E1AE4" w:rsidRPr="00AD6666" w:rsidRDefault="007E1AE4" w:rsidP="007E1AE4">
      <w:pPr>
        <w:pStyle w:val="Titrearticle"/>
        <w:rPr>
          <w:color w:val="000000" w:themeColor="text1"/>
        </w:rPr>
      </w:pPr>
      <w:r w:rsidRPr="00AD6666">
        <w:rPr>
          <w:color w:val="000000" w:themeColor="text1"/>
        </w:rPr>
        <w:t xml:space="preserve">Article </w:t>
      </w:r>
      <w:r w:rsidRPr="00AD6666">
        <w:t>11</w:t>
      </w:r>
      <w:r w:rsidRPr="00AD6666">
        <w:br/>
        <w:t>Entry into force</w:t>
      </w:r>
    </w:p>
    <w:p w:rsidR="007E1AE4" w:rsidRPr="00AD6666" w:rsidRDefault="007E1AE4" w:rsidP="007E1AE4">
      <w:pPr>
        <w:rPr>
          <w:color w:val="000000" w:themeColor="text1"/>
        </w:rPr>
      </w:pPr>
      <w:r w:rsidRPr="00AD6666">
        <w:rPr>
          <w:color w:val="000000" w:themeColor="text1"/>
        </w:rPr>
        <w:t xml:space="preserve">This Regulation shall enter into force on the </w:t>
      </w:r>
      <w:r w:rsidRPr="00AD6666">
        <w:t>twentieth</w:t>
      </w:r>
      <w:r w:rsidRPr="00AD6666">
        <w:rPr>
          <w:color w:val="000000" w:themeColor="text1"/>
        </w:rPr>
        <w:t xml:space="preserve"> day following that of its publication in the </w:t>
      </w:r>
      <w:r w:rsidRPr="00AD6666">
        <w:rPr>
          <w:i/>
          <w:color w:val="000000" w:themeColor="text1"/>
        </w:rPr>
        <w:t>Official Journal of the European Union</w:t>
      </w:r>
      <w:r w:rsidRPr="00AD6666">
        <w:rPr>
          <w:color w:val="000000" w:themeColor="text1"/>
        </w:rPr>
        <w:t>.</w:t>
      </w:r>
    </w:p>
    <w:p w:rsidR="007E1AE4" w:rsidRPr="00AD6666" w:rsidRDefault="007E1AE4" w:rsidP="007E1AE4">
      <w:pPr>
        <w:pStyle w:val="Applicationdirecte"/>
        <w:rPr>
          <w:color w:val="000000" w:themeColor="text1"/>
        </w:rPr>
      </w:pPr>
      <w:r w:rsidRPr="00AD6666">
        <w:rPr>
          <w:color w:val="000000" w:themeColor="text1"/>
        </w:rPr>
        <w:t>This Regulation shall be binding in its entirety and directly applicable in all Member States.</w:t>
      </w:r>
    </w:p>
    <w:p w:rsidR="007E1AE4" w:rsidRPr="00AD6666" w:rsidRDefault="00381ADF" w:rsidP="00381ADF">
      <w:pPr>
        <w:pStyle w:val="Fait"/>
      </w:pPr>
      <w:r w:rsidRPr="00381ADF">
        <w:t>Done at Brussels,</w:t>
      </w:r>
    </w:p>
    <w:p w:rsidR="007E1AE4" w:rsidRPr="00AD6666" w:rsidRDefault="007E1AE4" w:rsidP="007E1AE4">
      <w:pPr>
        <w:pStyle w:val="Institutionquisigne"/>
      </w:pPr>
      <w:r w:rsidRPr="00AD6666">
        <w:tab/>
        <w:t>For the Commission</w:t>
      </w:r>
    </w:p>
    <w:p w:rsidR="001C2CA3" w:rsidRDefault="007E1AE4" w:rsidP="007E1AE4">
      <w:pPr>
        <w:pStyle w:val="Personnequisigne"/>
      </w:pPr>
      <w:r w:rsidRPr="00AD6666">
        <w:tab/>
        <w:t>The President</w:t>
      </w:r>
      <w:r w:rsidRPr="007E1AE4">
        <w:br/>
      </w:r>
      <w:r w:rsidRPr="007E1AE4">
        <w:tab/>
      </w:r>
      <w:r>
        <w:t>Jean-Claude JUNCKER</w:t>
      </w:r>
    </w:p>
    <w:p w:rsidR="007E1AE4" w:rsidRPr="007E1AE4" w:rsidRDefault="007E1AE4" w:rsidP="007E1AE4">
      <w:pPr>
        <w:pStyle w:val="Personnequisigne"/>
      </w:pPr>
    </w:p>
    <w:sectPr w:rsidR="007E1AE4" w:rsidRPr="007E1AE4" w:rsidSect="00E35BD9">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2FAF" w:rsidRDefault="00B62FAF" w:rsidP="007E1AE4">
      <w:pPr>
        <w:spacing w:before="0" w:after="0"/>
      </w:pPr>
      <w:r>
        <w:separator/>
      </w:r>
    </w:p>
  </w:endnote>
  <w:endnote w:type="continuationSeparator" w:id="0">
    <w:p w:rsidR="00B62FAF" w:rsidRDefault="00B62FAF" w:rsidP="007E1AE4">
      <w:pPr>
        <w:spacing w:before="0" w:after="0"/>
      </w:pPr>
      <w:r>
        <w:continuationSeparator/>
      </w:r>
    </w:p>
  </w:endnote>
  <w:endnote w:type="continuationNotice" w:id="1">
    <w:p w:rsidR="00B62FAF" w:rsidRDefault="00B62F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1" w:usb1="00000000" w:usb2="00000000" w:usb3="00000000" w:csb0="00000003" w:csb1="00000000"/>
  </w:font>
  <w:font w:name="Arial">
    <w:panose1 w:val="020B0604020202020204"/>
    <w:charset w:val="00"/>
    <w:family w:val="swiss"/>
    <w:pitch w:val="variable"/>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ADF" w:rsidRPr="00E35BD9" w:rsidRDefault="00E35BD9" w:rsidP="00E35BD9">
    <w:pPr>
      <w:pStyle w:val="Footer"/>
      <w:rPr>
        <w:rFonts w:ascii="Arial" w:hAnsi="Arial" w:cs="Arial"/>
        <w:b/>
        <w:sz w:val="48"/>
      </w:rPr>
    </w:pPr>
    <w:r w:rsidRPr="00E35BD9">
      <w:rPr>
        <w:rFonts w:ascii="Arial" w:hAnsi="Arial" w:cs="Arial"/>
        <w:b/>
        <w:sz w:val="48"/>
      </w:rPr>
      <w:t>EN</w:t>
    </w:r>
    <w:r w:rsidRPr="00E35BD9">
      <w:rPr>
        <w:rFonts w:ascii="Arial" w:hAnsi="Arial" w:cs="Arial"/>
        <w:b/>
        <w:sz w:val="48"/>
      </w:rPr>
      <w:tab/>
    </w:r>
    <w:r w:rsidRPr="00E35BD9">
      <w:rPr>
        <w:rFonts w:ascii="Arial" w:hAnsi="Arial" w:cs="Arial"/>
        <w:b/>
        <w:sz w:val="48"/>
      </w:rPr>
      <w:tab/>
    </w:r>
    <w:r w:rsidRPr="00E35BD9">
      <w:tab/>
    </w:r>
    <w:r w:rsidRPr="00E35BD9">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BD9" w:rsidRPr="00E35BD9" w:rsidRDefault="00E35BD9" w:rsidP="00E35BD9">
    <w:pPr>
      <w:pStyle w:val="Footer"/>
      <w:rPr>
        <w:rFonts w:ascii="Arial" w:hAnsi="Arial" w:cs="Arial"/>
        <w:b/>
        <w:sz w:val="48"/>
      </w:rPr>
    </w:pPr>
    <w:r w:rsidRPr="00E35BD9">
      <w:rPr>
        <w:rFonts w:ascii="Arial" w:hAnsi="Arial" w:cs="Arial"/>
        <w:b/>
        <w:sz w:val="48"/>
      </w:rPr>
      <w:t>EN</w:t>
    </w:r>
    <w:r w:rsidRPr="00E35BD9">
      <w:rPr>
        <w:rFonts w:ascii="Arial" w:hAnsi="Arial" w:cs="Arial"/>
        <w:b/>
        <w:sz w:val="48"/>
      </w:rPr>
      <w:tab/>
    </w:r>
    <w:r>
      <w:fldChar w:fldCharType="begin"/>
    </w:r>
    <w:r>
      <w:instrText xml:space="preserve"> PAGE  \* MERGEFORMAT </w:instrText>
    </w:r>
    <w:r>
      <w:fldChar w:fldCharType="separate"/>
    </w:r>
    <w:r w:rsidR="00B9782F">
      <w:rPr>
        <w:noProof/>
      </w:rPr>
      <w:t>1</w:t>
    </w:r>
    <w:r>
      <w:fldChar w:fldCharType="end"/>
    </w:r>
    <w:r>
      <w:tab/>
    </w:r>
    <w:r w:rsidRPr="00E35BD9">
      <w:tab/>
    </w:r>
    <w:r w:rsidRPr="00E35BD9">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BD9" w:rsidRPr="00E35BD9" w:rsidRDefault="00E35BD9" w:rsidP="00E35B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2FAF" w:rsidRDefault="00B62FAF" w:rsidP="007E1AE4">
      <w:pPr>
        <w:spacing w:before="0" w:after="0"/>
      </w:pPr>
      <w:r>
        <w:separator/>
      </w:r>
    </w:p>
  </w:footnote>
  <w:footnote w:type="continuationSeparator" w:id="0">
    <w:p w:rsidR="00B62FAF" w:rsidRDefault="00B62FAF" w:rsidP="007E1AE4">
      <w:pPr>
        <w:spacing w:before="0" w:after="0"/>
      </w:pPr>
      <w:r>
        <w:continuationSeparator/>
      </w:r>
    </w:p>
  </w:footnote>
  <w:footnote w:type="continuationNotice" w:id="1">
    <w:p w:rsidR="00B62FAF" w:rsidRDefault="00B62FAF">
      <w:pPr>
        <w:spacing w:before="0" w:after="0"/>
      </w:pPr>
    </w:p>
  </w:footnote>
  <w:footnote w:id="2">
    <w:p w:rsidR="007E1AE4" w:rsidRDefault="007E1AE4" w:rsidP="007E1AE4">
      <w:pPr>
        <w:pStyle w:val="FootnoteText"/>
      </w:pPr>
      <w:r>
        <w:rPr>
          <w:rStyle w:val="FootnoteReference"/>
        </w:rPr>
        <w:footnoteRef/>
      </w:r>
      <w:r>
        <w:tab/>
        <w:t xml:space="preserve">OJ L </w:t>
      </w:r>
      <w:r w:rsidRPr="00C44DAE">
        <w:t>173, 12.6.2014, p. 190</w:t>
      </w:r>
      <w:r>
        <w:t xml:space="preserve">. </w:t>
      </w:r>
    </w:p>
  </w:footnote>
  <w:footnote w:id="3">
    <w:p w:rsidR="00F0793D" w:rsidRPr="00F0793D" w:rsidRDefault="00F0793D">
      <w:pPr>
        <w:pStyle w:val="FootnoteText"/>
      </w:pPr>
      <w:r>
        <w:rPr>
          <w:rStyle w:val="FootnoteReference"/>
        </w:rPr>
        <w:footnoteRef/>
      </w:r>
      <w:r>
        <w:tab/>
      </w:r>
      <w:r w:rsidRPr="00AD6666">
        <w:rPr>
          <w:rStyle w:val="Strong"/>
          <w:b w:val="0"/>
          <w:color w:val="444444"/>
        </w:rPr>
        <w:t>Commission Implementing Regulation (EU) 2016/1066 of 17 June 2016 laying down implementing technical standards with regard to procedures, standard forms and templates for the provision of information for the purpose of resolution plans for credit institutions and investment firms pursuant to Directive 2014/59/EU of the European Parliament and of the Council (OJ L</w:t>
      </w:r>
      <w:r w:rsidRPr="00AD6666">
        <w:rPr>
          <w:rStyle w:val="Strong"/>
          <w:color w:val="444444"/>
        </w:rPr>
        <w:t xml:space="preserve"> </w:t>
      </w:r>
      <w:r w:rsidRPr="00AD6666">
        <w:rPr>
          <w:iCs/>
          <w:color w:val="444444"/>
        </w:rPr>
        <w:t>181, 6.7.2016, p. 1).</w:t>
      </w:r>
    </w:p>
  </w:footnote>
  <w:footnote w:id="4">
    <w:p w:rsidR="002A074B" w:rsidRPr="002A074B" w:rsidRDefault="002A074B">
      <w:pPr>
        <w:pStyle w:val="FootnoteText"/>
      </w:pPr>
      <w:r>
        <w:rPr>
          <w:rStyle w:val="FootnoteReference"/>
        </w:rPr>
        <w:footnoteRef/>
      </w:r>
      <w:r>
        <w:tab/>
      </w:r>
      <w:r w:rsidRPr="003F1EDA">
        <w:rPr>
          <w:rStyle w:val="Strong"/>
          <w:b w:val="0"/>
          <w:color w:val="444444"/>
        </w:rPr>
        <w:t>Regulation (EU) No 1093/2010 of the European Parliament and of the Council of 24 November 2010 establishing a European Supervisory Authority (European Banking Authority), amending Decision No 716/2009/EC and repealing Commission Decision 2009/78/EC (</w:t>
      </w:r>
      <w:r w:rsidRPr="003F1EDA">
        <w:rPr>
          <w:iCs/>
          <w:color w:val="444444"/>
        </w:rPr>
        <w:t>OJ L 331, 15.12.2010, p. 12).</w:t>
      </w:r>
    </w:p>
  </w:footnote>
  <w:footnote w:id="5">
    <w:p w:rsidR="00F80209" w:rsidRPr="0031364A" w:rsidRDefault="00F80209" w:rsidP="00F80209">
      <w:pPr>
        <w:pStyle w:val="FootnoteText"/>
      </w:pPr>
      <w:r>
        <w:rPr>
          <w:rStyle w:val="FootnoteReference"/>
        </w:rPr>
        <w:footnoteRef/>
      </w:r>
      <w:r>
        <w:tab/>
      </w:r>
      <w:r w:rsidRPr="00B42D83">
        <w:rPr>
          <w:rStyle w:val="Strong"/>
          <w:b w:val="0"/>
          <w:color w:val="444444"/>
        </w:rPr>
        <w:t>Regulation (EU) No 575/2013 of the European Parliament and of the Council of 26 June 2013 on prudential requirements for credit institutions and investment firms and amending Regulation (EU) No 648/2012</w:t>
      </w:r>
      <w:r w:rsidRPr="00B42D83">
        <w:rPr>
          <w:rStyle w:val="Strong"/>
          <w:rFonts w:ascii="Lucida Grande" w:hAnsi="Lucida Grande" w:cs="Lucida Grande"/>
          <w:color w:val="444444"/>
        </w:rPr>
        <w:t xml:space="preserve"> </w:t>
      </w:r>
      <w:r w:rsidRPr="00B42D83">
        <w:rPr>
          <w:color w:val="444444"/>
        </w:rPr>
        <w:t>(OJ L 176 27.6.2013,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67AE0BD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0B6E06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E6A02ED8"/>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790064E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6EA64A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1F03168"/>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36E91B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F2C286F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4"/>
  </w:num>
  <w:num w:numId="13">
    <w:abstractNumId w:val="3"/>
  </w:num>
  <w:num w:numId="14">
    <w:abstractNumId w:val="6"/>
  </w:num>
  <w:num w:numId="15">
    <w:abstractNumId w:val="2"/>
  </w:num>
  <w:num w:numId="16">
    <w:abstractNumId w:val="1"/>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2"/>
  </w:num>
  <w:num w:numId="23">
    <w:abstractNumId w:val="20"/>
  </w:num>
  <w:num w:numId="24">
    <w:abstractNumId w:val="11"/>
  </w:num>
  <w:num w:numId="25">
    <w:abstractNumId w:val="13"/>
  </w:num>
  <w:num w:numId="26">
    <w:abstractNumId w:val="9"/>
  </w:num>
  <w:num w:numId="27">
    <w:abstractNumId w:val="19"/>
  </w:num>
  <w:num w:numId="28">
    <w:abstractNumId w:val="8"/>
  </w:num>
  <w:num w:numId="29">
    <w:abstractNumId w:val="14"/>
  </w:num>
  <w:num w:numId="30">
    <w:abstractNumId w:val="16"/>
  </w:num>
  <w:num w:numId="31">
    <w:abstractNumId w:val="17"/>
  </w:num>
  <w:num w:numId="32">
    <w:abstractNumId w:val="10"/>
  </w:num>
  <w:num w:numId="33">
    <w:abstractNumId w:val="15"/>
  </w:num>
  <w:num w:numId="34">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
  <w:docVars>
    <w:docVar w:name="DQCDateTime" w:val="2018-09-18 10:44:08"/>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7"/>
    <w:docVar w:name="DQCResult_UnknownFonts" w:val="0;0"/>
    <w:docVar w:name="DQCResult_UnknownStyles" w:val="0;0"/>
    <w:docVar w:name="DQCStatus" w:val="Green"/>
    <w:docVar w:name="DQCVersion" w:val="3"/>
    <w:docVar w:name="DQCWithWarnings" w:val="0"/>
    <w:docVar w:name="LW_COVERPAGE_EXISTS" w:val="True"/>
    <w:docVar w:name="LW_COVERPAGE_GUID" w:val="0F8EE01C-74AF-4F88-BCE4-C317D6A8D443"/>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w:docVar w:name="LW_EMISSION_SUFFIX" w:val="&lt;EMPTY&gt;"/>
    <w:docVar w:name="LW_ID_DOCMODEL" w:val="SJ-004"/>
    <w:docVar w:name="LW_ID_DOCSIGNATURE" w:val="SJ-004"/>
    <w:docVar w:name="LW_ID_DOCSTRUCTURE" w:val="COM/AA"/>
    <w:docVar w:name="LW_ID_DOCTYPE" w:val="SJ-004"/>
    <w:docVar w:name="LW_INTERETEEE.CP" w:val="(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laying down implementing technical standards with regard to procedures and standard forms and templates for the provision of information for the purposes of resolution plans for credit institutions and investment firms pursuant to Directive 2014/59/EU of the European Parliament and of the Council, and repealing Commission Implementing Regulation (EU) 2016/1066_x000b_"/>
    <w:docVar w:name="LW_TYPE.DOC.CP" w:val="COMMISSION IMPLEMENTING REGULATION (EU) \u8230?/..."/>
  </w:docVars>
  <w:rsids>
    <w:rsidRoot w:val="007E1AE4"/>
    <w:rsid w:val="00010CE0"/>
    <w:rsid w:val="00011EF9"/>
    <w:rsid w:val="00016E3C"/>
    <w:rsid w:val="00045775"/>
    <w:rsid w:val="000652E4"/>
    <w:rsid w:val="00085B09"/>
    <w:rsid w:val="000B175A"/>
    <w:rsid w:val="000B1FCC"/>
    <w:rsid w:val="000B693A"/>
    <w:rsid w:val="000D46EE"/>
    <w:rsid w:val="000D7AF5"/>
    <w:rsid w:val="001122B8"/>
    <w:rsid w:val="001128B5"/>
    <w:rsid w:val="00114A2A"/>
    <w:rsid w:val="001150B6"/>
    <w:rsid w:val="00123A59"/>
    <w:rsid w:val="001314DF"/>
    <w:rsid w:val="00163111"/>
    <w:rsid w:val="00171BF1"/>
    <w:rsid w:val="001756CB"/>
    <w:rsid w:val="00184C87"/>
    <w:rsid w:val="00186803"/>
    <w:rsid w:val="001B3416"/>
    <w:rsid w:val="001C2CA3"/>
    <w:rsid w:val="001C3D4B"/>
    <w:rsid w:val="001D3BB3"/>
    <w:rsid w:val="0020244B"/>
    <w:rsid w:val="002122BA"/>
    <w:rsid w:val="0022274C"/>
    <w:rsid w:val="00230B23"/>
    <w:rsid w:val="00241B08"/>
    <w:rsid w:val="0024612D"/>
    <w:rsid w:val="00246AAD"/>
    <w:rsid w:val="00246D1F"/>
    <w:rsid w:val="0025331F"/>
    <w:rsid w:val="00261C44"/>
    <w:rsid w:val="00264849"/>
    <w:rsid w:val="00273108"/>
    <w:rsid w:val="00277FAF"/>
    <w:rsid w:val="00283292"/>
    <w:rsid w:val="00292D9C"/>
    <w:rsid w:val="002A074B"/>
    <w:rsid w:val="002B1D1A"/>
    <w:rsid w:val="002C00CC"/>
    <w:rsid w:val="002C0C3E"/>
    <w:rsid w:val="002C2964"/>
    <w:rsid w:val="002C3CCB"/>
    <w:rsid w:val="002E476B"/>
    <w:rsid w:val="002E5442"/>
    <w:rsid w:val="0031364A"/>
    <w:rsid w:val="00322357"/>
    <w:rsid w:val="00350CE8"/>
    <w:rsid w:val="00351D93"/>
    <w:rsid w:val="00352527"/>
    <w:rsid w:val="00363369"/>
    <w:rsid w:val="0036372D"/>
    <w:rsid w:val="003719B9"/>
    <w:rsid w:val="00381ADF"/>
    <w:rsid w:val="00384807"/>
    <w:rsid w:val="00385721"/>
    <w:rsid w:val="003B27FA"/>
    <w:rsid w:val="003B635C"/>
    <w:rsid w:val="003C2176"/>
    <w:rsid w:val="003D246B"/>
    <w:rsid w:val="003F1EDA"/>
    <w:rsid w:val="0040594A"/>
    <w:rsid w:val="00440366"/>
    <w:rsid w:val="00445226"/>
    <w:rsid w:val="00470B31"/>
    <w:rsid w:val="00474AFF"/>
    <w:rsid w:val="00475C77"/>
    <w:rsid w:val="0048647B"/>
    <w:rsid w:val="00487430"/>
    <w:rsid w:val="00496A91"/>
    <w:rsid w:val="004B7AE8"/>
    <w:rsid w:val="004C0C7E"/>
    <w:rsid w:val="004C356C"/>
    <w:rsid w:val="004F1DD1"/>
    <w:rsid w:val="004F4508"/>
    <w:rsid w:val="004F5776"/>
    <w:rsid w:val="005062D8"/>
    <w:rsid w:val="00506BAD"/>
    <w:rsid w:val="00507023"/>
    <w:rsid w:val="0051415A"/>
    <w:rsid w:val="005253B6"/>
    <w:rsid w:val="00551251"/>
    <w:rsid w:val="00553D80"/>
    <w:rsid w:val="00557A7A"/>
    <w:rsid w:val="00580F39"/>
    <w:rsid w:val="0058279A"/>
    <w:rsid w:val="00596BD8"/>
    <w:rsid w:val="005A49E0"/>
    <w:rsid w:val="005A4ED6"/>
    <w:rsid w:val="005C684A"/>
    <w:rsid w:val="005E178C"/>
    <w:rsid w:val="005E53D8"/>
    <w:rsid w:val="006057FF"/>
    <w:rsid w:val="00613CA5"/>
    <w:rsid w:val="00624BC6"/>
    <w:rsid w:val="00640780"/>
    <w:rsid w:val="0064388D"/>
    <w:rsid w:val="00647FAA"/>
    <w:rsid w:val="00662A55"/>
    <w:rsid w:val="006973C7"/>
    <w:rsid w:val="006B0993"/>
    <w:rsid w:val="006B32F4"/>
    <w:rsid w:val="006B3618"/>
    <w:rsid w:val="006C0762"/>
    <w:rsid w:val="006C351D"/>
    <w:rsid w:val="006D0EA9"/>
    <w:rsid w:val="006D572A"/>
    <w:rsid w:val="006E1E68"/>
    <w:rsid w:val="00700D72"/>
    <w:rsid w:val="00702A56"/>
    <w:rsid w:val="00703A40"/>
    <w:rsid w:val="00724C75"/>
    <w:rsid w:val="007270DA"/>
    <w:rsid w:val="00744443"/>
    <w:rsid w:val="00754A18"/>
    <w:rsid w:val="00756697"/>
    <w:rsid w:val="007653D3"/>
    <w:rsid w:val="007741FE"/>
    <w:rsid w:val="007D178B"/>
    <w:rsid w:val="007D4E40"/>
    <w:rsid w:val="007E1AE4"/>
    <w:rsid w:val="007F15B1"/>
    <w:rsid w:val="00826B02"/>
    <w:rsid w:val="008272CE"/>
    <w:rsid w:val="00827CF3"/>
    <w:rsid w:val="00851107"/>
    <w:rsid w:val="00856A5A"/>
    <w:rsid w:val="0085759F"/>
    <w:rsid w:val="0087230F"/>
    <w:rsid w:val="008743E5"/>
    <w:rsid w:val="00877878"/>
    <w:rsid w:val="00886F23"/>
    <w:rsid w:val="008A1250"/>
    <w:rsid w:val="008B2DD5"/>
    <w:rsid w:val="008D1C13"/>
    <w:rsid w:val="008E449C"/>
    <w:rsid w:val="008E5DD8"/>
    <w:rsid w:val="00971395"/>
    <w:rsid w:val="00974495"/>
    <w:rsid w:val="00982D8B"/>
    <w:rsid w:val="00985C42"/>
    <w:rsid w:val="00997B12"/>
    <w:rsid w:val="009C42AE"/>
    <w:rsid w:val="009C57E6"/>
    <w:rsid w:val="009E4EA1"/>
    <w:rsid w:val="009F137C"/>
    <w:rsid w:val="009F1954"/>
    <w:rsid w:val="009F5E9A"/>
    <w:rsid w:val="00A05A75"/>
    <w:rsid w:val="00A05B6C"/>
    <w:rsid w:val="00A17005"/>
    <w:rsid w:val="00A17425"/>
    <w:rsid w:val="00A3683E"/>
    <w:rsid w:val="00A36B4B"/>
    <w:rsid w:val="00A44881"/>
    <w:rsid w:val="00A81692"/>
    <w:rsid w:val="00A82A0A"/>
    <w:rsid w:val="00A84F53"/>
    <w:rsid w:val="00AA6701"/>
    <w:rsid w:val="00AB1830"/>
    <w:rsid w:val="00AC4037"/>
    <w:rsid w:val="00AD43FC"/>
    <w:rsid w:val="00AD470D"/>
    <w:rsid w:val="00AD6666"/>
    <w:rsid w:val="00AE1240"/>
    <w:rsid w:val="00AE3954"/>
    <w:rsid w:val="00AF4982"/>
    <w:rsid w:val="00B15CF6"/>
    <w:rsid w:val="00B21371"/>
    <w:rsid w:val="00B52FD6"/>
    <w:rsid w:val="00B60E51"/>
    <w:rsid w:val="00B62FAF"/>
    <w:rsid w:val="00B70E5B"/>
    <w:rsid w:val="00B827ED"/>
    <w:rsid w:val="00B86A50"/>
    <w:rsid w:val="00B90FAF"/>
    <w:rsid w:val="00B92E00"/>
    <w:rsid w:val="00B9782F"/>
    <w:rsid w:val="00BE55A2"/>
    <w:rsid w:val="00BF5927"/>
    <w:rsid w:val="00BF7ABD"/>
    <w:rsid w:val="00C26D26"/>
    <w:rsid w:val="00C32916"/>
    <w:rsid w:val="00C36E0D"/>
    <w:rsid w:val="00C50809"/>
    <w:rsid w:val="00C62DBD"/>
    <w:rsid w:val="00C867D6"/>
    <w:rsid w:val="00C92875"/>
    <w:rsid w:val="00C962D1"/>
    <w:rsid w:val="00CA51B8"/>
    <w:rsid w:val="00CC2DCA"/>
    <w:rsid w:val="00CD6E87"/>
    <w:rsid w:val="00D1420D"/>
    <w:rsid w:val="00D154F5"/>
    <w:rsid w:val="00D22B84"/>
    <w:rsid w:val="00D27A0D"/>
    <w:rsid w:val="00D30713"/>
    <w:rsid w:val="00D37BA1"/>
    <w:rsid w:val="00D54C52"/>
    <w:rsid w:val="00D55C73"/>
    <w:rsid w:val="00D566C6"/>
    <w:rsid w:val="00D71E52"/>
    <w:rsid w:val="00D91FE8"/>
    <w:rsid w:val="00DB1F00"/>
    <w:rsid w:val="00DB291A"/>
    <w:rsid w:val="00DC7B42"/>
    <w:rsid w:val="00DD7310"/>
    <w:rsid w:val="00DF1ABD"/>
    <w:rsid w:val="00DF7EF3"/>
    <w:rsid w:val="00E029FF"/>
    <w:rsid w:val="00E062A5"/>
    <w:rsid w:val="00E1125E"/>
    <w:rsid w:val="00E31E1B"/>
    <w:rsid w:val="00E35BD9"/>
    <w:rsid w:val="00E44B03"/>
    <w:rsid w:val="00E50675"/>
    <w:rsid w:val="00E96E2F"/>
    <w:rsid w:val="00EB1CD0"/>
    <w:rsid w:val="00EC1B80"/>
    <w:rsid w:val="00F0793D"/>
    <w:rsid w:val="00F14DE3"/>
    <w:rsid w:val="00F37AC9"/>
    <w:rsid w:val="00F53AB1"/>
    <w:rsid w:val="00F7102B"/>
    <w:rsid w:val="00F72A53"/>
    <w:rsid w:val="00F73FEB"/>
    <w:rsid w:val="00F80209"/>
    <w:rsid w:val="00F92B5B"/>
    <w:rsid w:val="00F94096"/>
    <w:rsid w:val="00F9560A"/>
    <w:rsid w:val="00FA04A0"/>
    <w:rsid w:val="00FA333B"/>
    <w:rsid w:val="00FA55FB"/>
    <w:rsid w:val="00FD3070"/>
    <w:rsid w:val="00FF18D2"/>
    <w:rsid w:val="00FF3B4E"/>
    <w:rsid w:val="00FF41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5C58C723-E3A5-4B2E-A36C-3649FD082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rsid w:val="00877878"/>
    <w:pPr>
      <w:keepNext/>
      <w:numPr>
        <w:numId w:val="2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2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27"/>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2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EI,Paragraphe de liste1,EC"/>
    <w:basedOn w:val="Normal"/>
    <w:link w:val="ListParagraphChar"/>
    <w:uiPriority w:val="34"/>
    <w:qFormat/>
    <w:rsid w:val="007E1AE4"/>
    <w:pPr>
      <w:ind w:left="720"/>
      <w:contextualSpacing/>
    </w:pPr>
  </w:style>
  <w:style w:type="character" w:customStyle="1" w:styleId="ListParagraphChar">
    <w:name w:val="List Paragraph Char"/>
    <w:aliases w:val="Paragraphe EI Char,Paragraphe de liste1 Char,EC Char"/>
    <w:basedOn w:val="DefaultParagraphFont"/>
    <w:link w:val="ListParagraph"/>
    <w:uiPriority w:val="34"/>
    <w:rsid w:val="007E1AE4"/>
    <w:rPr>
      <w:rFonts w:ascii="Times New Roman" w:hAnsi="Times New Roman" w:cs="Times New Roman"/>
      <w:sz w:val="24"/>
      <w:lang w:val="en-GB"/>
    </w:rPr>
  </w:style>
  <w:style w:type="paragraph" w:styleId="Caption">
    <w:name w:val="caption"/>
    <w:basedOn w:val="Normal"/>
    <w:next w:val="Normal"/>
    <w:uiPriority w:val="35"/>
    <w:semiHidden/>
    <w:unhideWhenUsed/>
    <w:qFormat/>
    <w:rsid w:val="00EB1CD0"/>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EB1CD0"/>
    <w:pPr>
      <w:spacing w:after="0"/>
    </w:pPr>
  </w:style>
  <w:style w:type="paragraph" w:styleId="ListBullet">
    <w:name w:val="List Bullet"/>
    <w:basedOn w:val="Normal"/>
    <w:uiPriority w:val="99"/>
    <w:semiHidden/>
    <w:unhideWhenUsed/>
    <w:rsid w:val="00EB1CD0"/>
    <w:pPr>
      <w:numPr>
        <w:numId w:val="10"/>
      </w:numPr>
      <w:contextualSpacing/>
    </w:pPr>
  </w:style>
  <w:style w:type="paragraph" w:styleId="ListBullet2">
    <w:name w:val="List Bullet 2"/>
    <w:basedOn w:val="Normal"/>
    <w:uiPriority w:val="99"/>
    <w:semiHidden/>
    <w:unhideWhenUsed/>
    <w:rsid w:val="00EB1CD0"/>
    <w:pPr>
      <w:numPr>
        <w:numId w:val="11"/>
      </w:numPr>
      <w:contextualSpacing/>
    </w:pPr>
  </w:style>
  <w:style w:type="paragraph" w:styleId="ListBullet3">
    <w:name w:val="List Bullet 3"/>
    <w:basedOn w:val="Normal"/>
    <w:uiPriority w:val="99"/>
    <w:semiHidden/>
    <w:unhideWhenUsed/>
    <w:rsid w:val="00EB1CD0"/>
    <w:pPr>
      <w:numPr>
        <w:numId w:val="12"/>
      </w:numPr>
      <w:contextualSpacing/>
    </w:pPr>
  </w:style>
  <w:style w:type="paragraph" w:styleId="ListBullet4">
    <w:name w:val="List Bullet 4"/>
    <w:basedOn w:val="Normal"/>
    <w:uiPriority w:val="99"/>
    <w:semiHidden/>
    <w:unhideWhenUsed/>
    <w:rsid w:val="00EB1CD0"/>
    <w:pPr>
      <w:numPr>
        <w:numId w:val="13"/>
      </w:numPr>
      <w:contextualSpacing/>
    </w:pPr>
  </w:style>
  <w:style w:type="paragraph" w:styleId="ListNumber">
    <w:name w:val="List Number"/>
    <w:basedOn w:val="Normal"/>
    <w:uiPriority w:val="99"/>
    <w:semiHidden/>
    <w:unhideWhenUsed/>
    <w:rsid w:val="00EB1CD0"/>
    <w:pPr>
      <w:numPr>
        <w:numId w:val="14"/>
      </w:numPr>
      <w:contextualSpacing/>
    </w:pPr>
  </w:style>
  <w:style w:type="paragraph" w:styleId="ListNumber2">
    <w:name w:val="List Number 2"/>
    <w:basedOn w:val="Normal"/>
    <w:uiPriority w:val="99"/>
    <w:semiHidden/>
    <w:unhideWhenUsed/>
    <w:rsid w:val="00EB1CD0"/>
    <w:pPr>
      <w:numPr>
        <w:numId w:val="15"/>
      </w:numPr>
      <w:contextualSpacing/>
    </w:pPr>
  </w:style>
  <w:style w:type="paragraph" w:styleId="ListNumber3">
    <w:name w:val="List Number 3"/>
    <w:basedOn w:val="Normal"/>
    <w:uiPriority w:val="99"/>
    <w:semiHidden/>
    <w:unhideWhenUsed/>
    <w:rsid w:val="003F1EDA"/>
    <w:pPr>
      <w:numPr>
        <w:numId w:val="16"/>
      </w:numPr>
      <w:tabs>
        <w:tab w:val="clear" w:pos="926"/>
        <w:tab w:val="num" w:pos="360"/>
      </w:tabs>
      <w:ind w:left="0" w:firstLine="0"/>
      <w:contextualSpacing/>
    </w:pPr>
  </w:style>
  <w:style w:type="paragraph" w:styleId="ListNumber4">
    <w:name w:val="List Number 4"/>
    <w:basedOn w:val="Normal"/>
    <w:uiPriority w:val="99"/>
    <w:semiHidden/>
    <w:unhideWhenUsed/>
    <w:rsid w:val="00EB1CD0"/>
    <w:pPr>
      <w:numPr>
        <w:numId w:val="17"/>
      </w:numPr>
      <w:contextualSpacing/>
    </w:pPr>
  </w:style>
  <w:style w:type="character" w:styleId="CommentReference">
    <w:name w:val="annotation reference"/>
    <w:basedOn w:val="DefaultParagraphFont"/>
    <w:uiPriority w:val="99"/>
    <w:semiHidden/>
    <w:unhideWhenUsed/>
    <w:rsid w:val="00D566C6"/>
    <w:rPr>
      <w:sz w:val="16"/>
      <w:szCs w:val="16"/>
    </w:rPr>
  </w:style>
  <w:style w:type="paragraph" w:styleId="CommentText">
    <w:name w:val="annotation text"/>
    <w:basedOn w:val="Normal"/>
    <w:link w:val="CommentTextChar"/>
    <w:uiPriority w:val="99"/>
    <w:semiHidden/>
    <w:unhideWhenUsed/>
    <w:rsid w:val="00D566C6"/>
    <w:rPr>
      <w:sz w:val="20"/>
      <w:szCs w:val="20"/>
    </w:rPr>
  </w:style>
  <w:style w:type="character" w:customStyle="1" w:styleId="CommentTextChar">
    <w:name w:val="Comment Text Char"/>
    <w:basedOn w:val="DefaultParagraphFont"/>
    <w:link w:val="CommentText"/>
    <w:uiPriority w:val="99"/>
    <w:semiHidden/>
    <w:rsid w:val="00D566C6"/>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D566C6"/>
    <w:rPr>
      <w:b/>
      <w:bCs/>
    </w:rPr>
  </w:style>
  <w:style w:type="character" w:customStyle="1" w:styleId="CommentSubjectChar">
    <w:name w:val="Comment Subject Char"/>
    <w:basedOn w:val="CommentTextChar"/>
    <w:link w:val="CommentSubject"/>
    <w:uiPriority w:val="99"/>
    <w:semiHidden/>
    <w:rsid w:val="00D566C6"/>
    <w:rPr>
      <w:rFonts w:ascii="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D566C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6C6"/>
    <w:rPr>
      <w:rFonts w:ascii="Segoe UI" w:hAnsi="Segoe UI" w:cs="Segoe UI"/>
      <w:sz w:val="18"/>
      <w:szCs w:val="18"/>
      <w:lang w:val="en-GB"/>
    </w:rPr>
  </w:style>
  <w:style w:type="character" w:styleId="Hyperlink">
    <w:name w:val="Hyperlink"/>
    <w:basedOn w:val="DefaultParagraphFont"/>
    <w:uiPriority w:val="99"/>
    <w:unhideWhenUsed/>
    <w:rsid w:val="00D566C6"/>
    <w:rPr>
      <w:color w:val="0000FF" w:themeColor="hyperlink"/>
      <w:u w:val="single"/>
    </w:rPr>
  </w:style>
  <w:style w:type="character" w:styleId="Strong">
    <w:name w:val="Strong"/>
    <w:basedOn w:val="DefaultParagraphFont"/>
    <w:uiPriority w:val="22"/>
    <w:qFormat/>
    <w:rsid w:val="00F0793D"/>
    <w:rPr>
      <w:b/>
      <w:bCs/>
    </w:rPr>
  </w:style>
  <w:style w:type="paragraph" w:styleId="Revision">
    <w:name w:val="Revision"/>
    <w:hidden/>
    <w:uiPriority w:val="99"/>
    <w:semiHidden/>
    <w:rsid w:val="000652E4"/>
    <w:pPr>
      <w:spacing w:after="0" w:line="240" w:lineRule="auto"/>
    </w:pPr>
    <w:rPr>
      <w:rFonts w:ascii="Times New Roman" w:hAnsi="Times New Roman" w:cs="Times New Roman"/>
      <w:sz w:val="24"/>
      <w:lang w:val="en-GB"/>
    </w:rPr>
  </w:style>
  <w:style w:type="paragraph" w:customStyle="1" w:styleId="CM1">
    <w:name w:val="CM1"/>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3">
    <w:name w:val="CM3"/>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4">
    <w:name w:val="CM4"/>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styleId="Header">
    <w:name w:val="header"/>
    <w:basedOn w:val="Normal"/>
    <w:link w:val="HeaderChar"/>
    <w:uiPriority w:val="99"/>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21"/>
      </w:numPr>
    </w:pPr>
  </w:style>
  <w:style w:type="paragraph" w:customStyle="1" w:styleId="Tiret1">
    <w:name w:val="Tiret 1"/>
    <w:basedOn w:val="Point1"/>
    <w:rsid w:val="00877878"/>
    <w:pPr>
      <w:numPr>
        <w:numId w:val="22"/>
      </w:numPr>
    </w:pPr>
  </w:style>
  <w:style w:type="paragraph" w:customStyle="1" w:styleId="Tiret2">
    <w:name w:val="Tiret 2"/>
    <w:basedOn w:val="Point2"/>
    <w:rsid w:val="00877878"/>
    <w:pPr>
      <w:numPr>
        <w:numId w:val="23"/>
      </w:numPr>
    </w:pPr>
  </w:style>
  <w:style w:type="paragraph" w:customStyle="1" w:styleId="Tiret3">
    <w:name w:val="Tiret 3"/>
    <w:basedOn w:val="Point3"/>
    <w:rsid w:val="00877878"/>
    <w:pPr>
      <w:numPr>
        <w:numId w:val="24"/>
      </w:numPr>
    </w:pPr>
  </w:style>
  <w:style w:type="paragraph" w:customStyle="1" w:styleId="Tiret4">
    <w:name w:val="Tiret 4"/>
    <w:basedOn w:val="Point4"/>
    <w:rsid w:val="00877878"/>
    <w:pPr>
      <w:numPr>
        <w:numId w:val="25"/>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26"/>
      </w:numPr>
    </w:pPr>
  </w:style>
  <w:style w:type="paragraph" w:customStyle="1" w:styleId="NumPar2">
    <w:name w:val="NumPar 2"/>
    <w:basedOn w:val="Normal"/>
    <w:next w:val="Text1"/>
    <w:rsid w:val="00877878"/>
    <w:pPr>
      <w:numPr>
        <w:ilvl w:val="1"/>
        <w:numId w:val="26"/>
      </w:numPr>
    </w:pPr>
  </w:style>
  <w:style w:type="paragraph" w:customStyle="1" w:styleId="NumPar3">
    <w:name w:val="NumPar 3"/>
    <w:basedOn w:val="Normal"/>
    <w:next w:val="Text1"/>
    <w:rsid w:val="00877878"/>
    <w:pPr>
      <w:numPr>
        <w:ilvl w:val="2"/>
        <w:numId w:val="26"/>
      </w:numPr>
    </w:pPr>
  </w:style>
  <w:style w:type="paragraph" w:customStyle="1" w:styleId="NumPar4">
    <w:name w:val="NumPar 4"/>
    <w:basedOn w:val="Normal"/>
    <w:next w:val="Text1"/>
    <w:rsid w:val="00877878"/>
    <w:pPr>
      <w:numPr>
        <w:ilvl w:val="3"/>
        <w:numId w:val="26"/>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28"/>
      </w:numPr>
    </w:pPr>
  </w:style>
  <w:style w:type="paragraph" w:customStyle="1" w:styleId="Point1number">
    <w:name w:val="Point 1 (number)"/>
    <w:basedOn w:val="Normal"/>
    <w:rsid w:val="00877878"/>
    <w:pPr>
      <w:numPr>
        <w:ilvl w:val="2"/>
        <w:numId w:val="28"/>
      </w:numPr>
    </w:pPr>
  </w:style>
  <w:style w:type="paragraph" w:customStyle="1" w:styleId="Point2number">
    <w:name w:val="Point 2 (number)"/>
    <w:basedOn w:val="Normal"/>
    <w:rsid w:val="00877878"/>
    <w:pPr>
      <w:numPr>
        <w:ilvl w:val="4"/>
        <w:numId w:val="28"/>
      </w:numPr>
    </w:pPr>
  </w:style>
  <w:style w:type="paragraph" w:customStyle="1" w:styleId="Point3number">
    <w:name w:val="Point 3 (number)"/>
    <w:basedOn w:val="Normal"/>
    <w:rsid w:val="00877878"/>
    <w:pPr>
      <w:numPr>
        <w:ilvl w:val="6"/>
        <w:numId w:val="28"/>
      </w:numPr>
    </w:pPr>
  </w:style>
  <w:style w:type="paragraph" w:customStyle="1" w:styleId="Point0letter">
    <w:name w:val="Point 0 (letter)"/>
    <w:basedOn w:val="Normal"/>
    <w:rsid w:val="00877878"/>
    <w:pPr>
      <w:numPr>
        <w:ilvl w:val="1"/>
        <w:numId w:val="28"/>
      </w:numPr>
    </w:pPr>
  </w:style>
  <w:style w:type="paragraph" w:customStyle="1" w:styleId="Point1letter">
    <w:name w:val="Point 1 (letter)"/>
    <w:basedOn w:val="Normal"/>
    <w:rsid w:val="00877878"/>
    <w:pPr>
      <w:numPr>
        <w:ilvl w:val="3"/>
        <w:numId w:val="28"/>
      </w:numPr>
    </w:pPr>
  </w:style>
  <w:style w:type="paragraph" w:customStyle="1" w:styleId="Point2letter">
    <w:name w:val="Point 2 (letter)"/>
    <w:basedOn w:val="Normal"/>
    <w:rsid w:val="00877878"/>
    <w:pPr>
      <w:numPr>
        <w:ilvl w:val="5"/>
        <w:numId w:val="28"/>
      </w:numPr>
    </w:pPr>
  </w:style>
  <w:style w:type="paragraph" w:customStyle="1" w:styleId="Point3letter">
    <w:name w:val="Point 3 (letter)"/>
    <w:basedOn w:val="Normal"/>
    <w:rsid w:val="00877878"/>
    <w:pPr>
      <w:numPr>
        <w:ilvl w:val="7"/>
        <w:numId w:val="28"/>
      </w:numPr>
    </w:pPr>
  </w:style>
  <w:style w:type="paragraph" w:customStyle="1" w:styleId="Point4letter">
    <w:name w:val="Point 4 (letter)"/>
    <w:basedOn w:val="Normal"/>
    <w:rsid w:val="00877878"/>
    <w:pPr>
      <w:numPr>
        <w:ilvl w:val="8"/>
        <w:numId w:val="28"/>
      </w:numPr>
    </w:pPr>
  </w:style>
  <w:style w:type="paragraph" w:customStyle="1" w:styleId="Bullet0">
    <w:name w:val="Bullet 0"/>
    <w:basedOn w:val="Normal"/>
    <w:rsid w:val="00877878"/>
    <w:pPr>
      <w:numPr>
        <w:numId w:val="29"/>
      </w:numPr>
    </w:pPr>
  </w:style>
  <w:style w:type="paragraph" w:customStyle="1" w:styleId="Bullet1">
    <w:name w:val="Bullet 1"/>
    <w:basedOn w:val="Normal"/>
    <w:rsid w:val="00877878"/>
    <w:pPr>
      <w:numPr>
        <w:numId w:val="30"/>
      </w:numPr>
    </w:pPr>
  </w:style>
  <w:style w:type="paragraph" w:customStyle="1" w:styleId="Bullet2">
    <w:name w:val="Bullet 2"/>
    <w:basedOn w:val="Normal"/>
    <w:rsid w:val="00877878"/>
    <w:pPr>
      <w:numPr>
        <w:numId w:val="31"/>
      </w:numPr>
    </w:pPr>
  </w:style>
  <w:style w:type="paragraph" w:customStyle="1" w:styleId="Bullet3">
    <w:name w:val="Bullet 3"/>
    <w:basedOn w:val="Normal"/>
    <w:rsid w:val="00877878"/>
    <w:pPr>
      <w:numPr>
        <w:numId w:val="32"/>
      </w:numPr>
    </w:pPr>
  </w:style>
  <w:style w:type="paragraph" w:customStyle="1" w:styleId="Bullet4">
    <w:name w:val="Bullet 4"/>
    <w:basedOn w:val="Normal"/>
    <w:rsid w:val="00877878"/>
    <w:pPr>
      <w:numPr>
        <w:numId w:val="33"/>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34"/>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85569">
      <w:bodyDiv w:val="1"/>
      <w:marLeft w:val="0"/>
      <w:marRight w:val="0"/>
      <w:marTop w:val="0"/>
      <w:marBottom w:val="0"/>
      <w:divBdr>
        <w:top w:val="none" w:sz="0" w:space="0" w:color="auto"/>
        <w:left w:val="none" w:sz="0" w:space="0" w:color="auto"/>
        <w:bottom w:val="none" w:sz="0" w:space="0" w:color="auto"/>
        <w:right w:val="none" w:sz="0" w:space="0" w:color="auto"/>
      </w:divBdr>
    </w:div>
    <w:div w:id="302665228">
      <w:bodyDiv w:val="1"/>
      <w:marLeft w:val="0"/>
      <w:marRight w:val="0"/>
      <w:marTop w:val="0"/>
      <w:marBottom w:val="0"/>
      <w:divBdr>
        <w:top w:val="none" w:sz="0" w:space="0" w:color="auto"/>
        <w:left w:val="none" w:sz="0" w:space="0" w:color="auto"/>
        <w:bottom w:val="none" w:sz="0" w:space="0" w:color="auto"/>
        <w:right w:val="none" w:sz="0" w:space="0" w:color="auto"/>
      </w:divBdr>
    </w:div>
    <w:div w:id="769157198">
      <w:bodyDiv w:val="1"/>
      <w:marLeft w:val="0"/>
      <w:marRight w:val="0"/>
      <w:marTop w:val="0"/>
      <w:marBottom w:val="0"/>
      <w:divBdr>
        <w:top w:val="none" w:sz="0" w:space="0" w:color="auto"/>
        <w:left w:val="none" w:sz="0" w:space="0" w:color="auto"/>
        <w:bottom w:val="none" w:sz="0" w:space="0" w:color="auto"/>
        <w:right w:val="none" w:sz="0" w:space="0" w:color="auto"/>
      </w:divBdr>
    </w:div>
    <w:div w:id="859782244">
      <w:bodyDiv w:val="1"/>
      <w:marLeft w:val="0"/>
      <w:marRight w:val="0"/>
      <w:marTop w:val="0"/>
      <w:marBottom w:val="0"/>
      <w:divBdr>
        <w:top w:val="none" w:sz="0" w:space="0" w:color="auto"/>
        <w:left w:val="none" w:sz="0" w:space="0" w:color="auto"/>
        <w:bottom w:val="none" w:sz="0" w:space="0" w:color="auto"/>
        <w:right w:val="none" w:sz="0" w:space="0" w:color="auto"/>
      </w:divBdr>
    </w:div>
    <w:div w:id="140571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6531A-80E4-4744-A53A-A95784399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TotalTime>
  <Pages>1</Pages>
  <Words>2723</Words>
  <Characters>14811</Characters>
  <Application>Microsoft Office Word</Application>
  <DocSecurity>0</DocSecurity>
  <Lines>274</Lines>
  <Paragraphs>103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European Commission</Company>
  <LinksUpToDate>false</LinksUpToDate>
  <CharactersWithSpaces>17446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Thalie (FISMA)</dc:creator>
  <cp:lastModifiedBy>BERNARD Thalie (FISMA)</cp:lastModifiedBy>
  <cp:revision>3</cp:revision>
  <cp:lastPrinted>2018-09-04T15:01:00Z</cp:lastPrinted>
  <dcterms:created xsi:type="dcterms:W3CDTF">2018-09-18T08:43:00Z</dcterms:created>
  <dcterms:modified xsi:type="dcterms:W3CDTF">2018-09-18T08:44:00Z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6.0.1, Build 20180503</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