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38803888" w:displacedByCustomXml="next" w:id="0"/>
    <w:bookmarkStart w:name="_Toc238803087" w:displacedByCustomXml="next" w:id="1"/>
    <w:bookmarkStart w:name="_Toc245891774" w:displacedByCustomXml="next" w:id="2"/>
    <w:bookmarkStart w:name="_Toc331517265" w:displacedByCustomXml="next" w:id="3"/>
    <w:bookmarkStart w:name="_Toc306350113" w:displacedByCustomXml="next" w:id="4"/>
    <w:bookmarkStart w:name="_Toc306350093" w:displacedByCustomXml="next" w:id="5"/>
    <w:bookmarkStart w:name="_Toc305686691" w:displacedByCustomXml="next" w:id="6"/>
    <w:bookmarkStart w:name="_Toc298788641" w:displacedByCustomXml="next" w:id="7"/>
    <w:bookmarkStart w:name="_Toc298788158" w:displacedByCustomXml="next" w:id="8"/>
    <w:bookmarkStart w:name="_Toc298787969" w:displacedByCustomXml="next" w:id="9"/>
    <w:sdt>
      <w:sdtPr>
        <w:id w:val="1024973533"/>
        <w:docPartObj>
          <w:docPartGallery w:val="Cover Pages"/>
          <w:docPartUnique/>
        </w:docPartObj>
      </w:sdtPr>
      <w:sdtEndPr/>
      <w:sdtContent>
        <w:p w:rsidRPr="00190553"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3969"/>
          </w:tblGrid>
          <w:tr w:rsidRPr="00190553" w:rsidR="005B3658" w:rsidTr="00170F70" w14:paraId="3170F2D8" w14:textId="77777777">
            <w:tc>
              <w:tcPr>
                <w:tcW w:w="3969" w:type="dxa"/>
                <w:tcBorders>
                  <w:bottom w:val="single" w:color="A6A6A6" w:themeColor="background1" w:themeShade="A6" w:sz="4" w:space="0"/>
                </w:tcBorders>
                <w:shd w:val="clear" w:color="auto" w:fill="auto"/>
              </w:tcPr>
              <w:p w:rsidRPr="00190553" w:rsidR="005B3658" w:rsidP="005B3658" w:rsidRDefault="005B3658" w14:paraId="6AAE07DF" w14:textId="2E8B88CF">
                <w:r w:rsidRPr="00190553">
                  <w:t>EBA/GL/2020/14</w:t>
                </w:r>
                <w:r w:rsidR="00170F70">
                  <w:t xml:space="preserve"> </w:t>
                </w:r>
                <w:r w:rsidRPr="00170F70" w:rsidR="00170F70">
                  <w:t>(konsolidirano besedilo)</w:t>
                </w:r>
              </w:p>
            </w:tc>
          </w:tr>
          <w:tr w:rsidRPr="00190553" w:rsidR="005B3658" w:rsidTr="00170F70" w14:paraId="70F4DBFA" w14:textId="77777777">
            <w:tc>
              <w:tcPr>
                <w:tcW w:w="3969" w:type="dxa"/>
                <w:tcBorders>
                  <w:top w:val="single" w:color="A6A6A6" w:themeColor="background1" w:themeShade="A6" w:sz="4" w:space="0"/>
                  <w:bottom w:val="single" w:color="A6A6A6" w:themeColor="background1" w:themeShade="A6" w:sz="4" w:space="0"/>
                </w:tcBorders>
                <w:shd w:val="clear" w:color="auto" w:fill="auto"/>
              </w:tcPr>
              <w:p w:rsidRPr="00190553" w:rsidR="005B3658" w:rsidP="005B3658" w:rsidRDefault="005B3658" w14:paraId="55211379" w14:textId="73FFF2EB">
                <w:r w:rsidRPr="00190553">
                  <w:rPr>
                    <w:color w:val="000000"/>
                  </w:rPr>
                  <w:t>4. november 2020</w:t>
                </w:r>
              </w:p>
            </w:tc>
          </w:tr>
        </w:tbl>
        <w:p w:rsidRPr="00190553"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190553"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814014" w:rsidP="00814014" w:rsidRDefault="00814014" w14:paraId="4A2BEAA1"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F945DB" w:rsidR="00B43E07" w:rsidP="00721D07" w:rsidRDefault="00A81586" w14:paraId="6E80AD78" w14:textId="1CA22651">
                <w:pPr>
                  <w:pStyle w:val="Contenttitle"/>
                  <w:rPr>
                    <w:lang w:val="sl-SI"/>
                  </w:rPr>
                </w:pPr>
                <w:r w:rsidRPr="00F945DB">
                  <w:rPr>
                    <w:lang w:val="sl-SI"/>
                  </w:rPr>
                  <w:t xml:space="preserve">Smernice </w:t>
                </w:r>
              </w:p>
            </w:tc>
          </w:tr>
          <w:tr w:rsidRPr="00190553" w:rsidR="00B43E07" w:rsidTr="00993B1E" w14:paraId="15A7E3AC" w14:textId="77777777">
            <w:tc>
              <w:tcPr>
                <w:tcW w:w="8781" w:type="dxa"/>
                <w:tcMar>
                  <w:left w:w="0" w:type="dxa"/>
                  <w:right w:w="0" w:type="dxa"/>
                </w:tcMar>
                <w:vAlign w:val="top"/>
              </w:tcPr>
              <w:p w:rsidRPr="004C5EFD" w:rsidR="00B43E07" w:rsidP="00E410F0" w:rsidRDefault="00B43E07" w14:paraId="0720F01B" w14:textId="502EF582">
                <w:pPr>
                  <w:pStyle w:val="Titlelevel4"/>
                  <w:rPr>
                    <w:lang w:val="sl-SI"/>
                  </w:rPr>
                </w:pPr>
                <w:r w:rsidRPr="004C5EFD">
                  <w:rPr>
                    <w:rFonts w:asciiTheme="majorHAnsi" w:hAnsiTheme="majorHAnsi"/>
                    <w:bCs/>
                    <w:color w:val="2F5773" w:themeColor="text2"/>
                    <w:sz w:val="52"/>
                    <w:szCs w:val="52"/>
                    <w:lang w:val="sl-SI"/>
                  </w:rPr>
                  <w:t>o specifikaciji in razkritju kazalnikov sistemske pomembnosti</w:t>
                </w:r>
              </w:p>
            </w:tc>
          </w:tr>
        </w:tbl>
        <w:p w:rsidRPr="00170F70" w:rsidR="00B43E07" w:rsidP="00B43E07" w:rsidRDefault="00B43E07" w14:paraId="41F2A21B" w14:textId="15A6984A">
          <w:pPr>
            <w:rPr>
              <w:sz w:val="52"/>
              <w:szCs w:val="52"/>
            </w:rPr>
          </w:pPr>
        </w:p>
        <w:p w:rsidRPr="00170F70" w:rsidR="00170F70" w:rsidP="00B43E07" w:rsidRDefault="00170F70" w14:paraId="332D1B16" w14:textId="6474EA6A">
          <w:pPr>
            <w:rPr>
              <w:sz w:val="52"/>
              <w:szCs w:val="52"/>
            </w:rPr>
          </w:pPr>
        </w:p>
        <w:p w:rsidRPr="00170F70" w:rsidR="00170F70" w:rsidP="00B43E07" w:rsidRDefault="00170F70" w14:paraId="7451D306" w14:textId="77777777">
          <w:pPr>
            <w:rPr>
              <w:sz w:val="52"/>
              <w:szCs w:val="52"/>
            </w:rPr>
          </w:pPr>
        </w:p>
        <w:p w:rsidRPr="00170F70" w:rsidR="00B43E07" w:rsidP="00B43E07" w:rsidRDefault="00B43E07" w14:paraId="1441AC18" w14:textId="02198A50">
          <w:pPr>
            <w:rPr>
              <w:sz w:val="52"/>
              <w:szCs w:val="52"/>
            </w:rPr>
          </w:pPr>
        </w:p>
        <w:p w:rsidR="00170F70" w:rsidP="00B43E07" w:rsidRDefault="00170F70" w14:paraId="28DBDFBA" w14:textId="1622B30C"/>
        <w:tbl>
          <w:tblPr>
            <w:tblStyle w:val="EBAtable"/>
            <w:tblW w:w="9125" w:type="dxa"/>
            <w:tblLook w:val="04A0" w:firstRow="1" w:lastRow="0" w:firstColumn="1" w:lastColumn="0" w:noHBand="0" w:noVBand="1"/>
          </w:tblPr>
          <w:tblGrid>
            <w:gridCol w:w="824"/>
            <w:gridCol w:w="2190"/>
            <w:gridCol w:w="6111"/>
          </w:tblGrid>
          <w:tr w:rsidRPr="00D13DB3" w:rsidR="00170F70" w:rsidTr="005D18C0" w14:paraId="1E86315F" w14:textId="77777777">
            <w:trPr>
              <w:cnfStyle w:val="100000000000" w:firstRow="1" w:lastRow="0" w:firstColumn="0" w:lastColumn="0" w:oddVBand="0" w:evenVBand="0" w:oddHBand="0" w:evenHBand="0" w:firstRowFirstColumn="0" w:firstRowLastColumn="0" w:lastRowFirstColumn="0" w:lastRowLastColumn="0"/>
              <w:trHeight w:val="300"/>
            </w:trPr>
            <w:tc>
              <w:tcPr>
                <w:tcW w:w="3014" w:type="dxa"/>
                <w:gridSpan w:val="2"/>
                <w:tcBorders>
                  <w:top w:val="single" w:color="auto" w:sz="12" w:space="0"/>
                  <w:left w:val="single" w:color="auto" w:sz="12" w:space="0"/>
                </w:tcBorders>
              </w:tcPr>
              <w:p w:rsidRPr="00D13DB3" w:rsidR="00170F70" w:rsidP="005D18C0" w:rsidRDefault="00170F70" w14:paraId="1756D113" w14:textId="77777777">
                <w:pPr>
                  <w:spacing w:before="240" w:after="120" w:line="276" w:lineRule="auto"/>
                  <w:jc w:val="both"/>
                  <w:rPr>
                    <w:rFonts w:eastAsia="MS PGothic" w:cs="Times New Roman"/>
                    <w:lang w:eastAsia="en-GB"/>
                  </w:rPr>
                </w:pPr>
              </w:p>
              <w:p w:rsidRPr="00D13DB3" w:rsidR="00170F70" w:rsidP="005D18C0" w:rsidRDefault="00170F70" w14:paraId="789F77E0" w14:textId="77777777">
                <w:pPr>
                  <w:rPr>
                    <w:rFonts w:eastAsia="MS PGothic" w:cs="Times New Roman"/>
                    <w:lang w:val="en-GB" w:eastAsia="en-GB"/>
                  </w:rPr>
                </w:pPr>
              </w:p>
            </w:tc>
            <w:tc>
              <w:tcPr>
                <w:tcW w:w="6111" w:type="dxa"/>
                <w:tcBorders>
                  <w:top w:val="single" w:color="auto" w:sz="12" w:space="0"/>
                  <w:right w:val="single" w:color="auto" w:sz="12" w:space="0"/>
                </w:tcBorders>
              </w:tcPr>
              <w:p w:rsidRPr="00170F70" w:rsidR="00170F70" w:rsidP="00170F70" w:rsidRDefault="00170F70" w14:paraId="18C6D280" w14:textId="4A2A9B05">
                <w:pPr>
                  <w:rPr>
                    <w:rFonts w:ascii="Calibri" w:hAnsi="Calibri" w:cs="Calibri"/>
                    <w:color w:val="000000"/>
                    <w:szCs w:val="22"/>
                  </w:rPr>
                </w:pPr>
                <w:r>
                  <w:rPr>
                    <w:rFonts w:ascii="Calibri" w:hAnsi="Calibri" w:cs="Calibri"/>
                    <w:color w:val="000000"/>
                    <w:szCs w:val="22"/>
                  </w:rPr>
                  <w:t>Datum začetka uporabe</w:t>
                </w:r>
              </w:p>
            </w:tc>
          </w:tr>
          <w:tr w:rsidRPr="00D13DB3" w:rsidR="00170F70" w:rsidTr="005D18C0" w14:paraId="25ABF616" w14:textId="77777777">
            <w:trPr>
              <w:trHeight w:val="300"/>
            </w:trPr>
            <w:tc>
              <w:tcPr>
                <w:tcW w:w="3014" w:type="dxa"/>
                <w:gridSpan w:val="2"/>
                <w:tcBorders>
                  <w:left w:val="single" w:color="auto" w:sz="12" w:space="0"/>
                </w:tcBorders>
              </w:tcPr>
              <w:p w:rsidRPr="00D13DB3" w:rsidR="00170F70" w:rsidP="005D18C0" w:rsidRDefault="00170F70" w14:paraId="1D20DE2F"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6111" w:type="dxa"/>
                <w:tcBorders>
                  <w:right w:val="single" w:color="auto" w:sz="12" w:space="0"/>
                </w:tcBorders>
              </w:tcPr>
              <w:p w:rsidRPr="00D13DB3" w:rsidR="00170F70" w:rsidP="005D18C0" w:rsidRDefault="00170F70" w14:paraId="10F86E4B" w14:textId="77777777">
                <w:pPr>
                  <w:rPr>
                    <w:rFonts w:eastAsia="MS PGothic" w:cs="Times New Roman"/>
                    <w:lang w:val="en-GB" w:eastAsia="en-GB"/>
                  </w:rPr>
                </w:pPr>
                <w:r>
                  <w:rPr>
                    <w:rFonts w:eastAsia="MS PGothic" w:cs="Times New Roman"/>
                    <w:lang w:val="en-GB" w:eastAsia="en-GB"/>
                  </w:rPr>
                  <w:t>04</w:t>
                </w:r>
                <w:r w:rsidRPr="00D13DB3">
                  <w:rPr>
                    <w:rFonts w:eastAsia="MS PGothic" w:cs="Times New Roman"/>
                    <w:lang w:val="en-GB" w:eastAsia="en-GB"/>
                  </w:rPr>
                  <w:t>.</w:t>
                </w:r>
                <w:r>
                  <w:rPr>
                    <w:rFonts w:eastAsia="MS PGothic" w:cs="Times New Roman"/>
                    <w:lang w:val="en-GB" w:eastAsia="en-GB"/>
                  </w:rPr>
                  <w:t>11</w:t>
                </w:r>
                <w:r w:rsidRPr="00D13DB3">
                  <w:rPr>
                    <w:rFonts w:eastAsia="MS PGothic" w:cs="Times New Roman"/>
                    <w:lang w:val="en-GB" w:eastAsia="en-GB"/>
                  </w:rPr>
                  <w:t>.</w:t>
                </w:r>
                <w:r>
                  <w:rPr>
                    <w:rFonts w:eastAsia="MS PGothic" w:cs="Times New Roman"/>
                    <w:lang w:val="en-GB" w:eastAsia="en-GB"/>
                  </w:rPr>
                  <w:t>2020</w:t>
                </w:r>
              </w:p>
            </w:tc>
          </w:tr>
          <w:tr w:rsidRPr="00D13DB3" w:rsidR="00170F70" w:rsidTr="005D18C0" w14:paraId="59607EC8" w14:textId="77777777">
            <w:trPr>
              <w:trHeight w:val="300"/>
            </w:trPr>
            <w:tc>
              <w:tcPr>
                <w:tcW w:w="3014" w:type="dxa"/>
                <w:gridSpan w:val="2"/>
                <w:tcBorders>
                  <w:left w:val="single" w:color="auto" w:sz="12" w:space="0"/>
                </w:tcBorders>
              </w:tcPr>
              <w:p w:rsidRPr="00170F70" w:rsidR="00170F70" w:rsidP="00170F70" w:rsidRDefault="00170F70" w14:paraId="510C5E5E" w14:textId="6CAC6C70">
                <w:pPr>
                  <w:rPr>
                    <w:rFonts w:ascii="Calibri" w:hAnsi="Calibri" w:cs="Calibri"/>
                    <w:color w:val="000000"/>
                    <w:szCs w:val="22"/>
                  </w:rPr>
                </w:pPr>
                <w:r>
                  <w:rPr>
                    <w:rFonts w:ascii="Calibri" w:hAnsi="Calibri" w:cs="Calibri"/>
                    <w:color w:val="000000"/>
                    <w:szCs w:val="22"/>
                  </w:rPr>
                  <w:t>Spremenjene z:</w:t>
                </w:r>
              </w:p>
            </w:tc>
            <w:tc>
              <w:tcPr>
                <w:tcW w:w="6111" w:type="dxa"/>
                <w:tcBorders>
                  <w:right w:val="single" w:color="auto" w:sz="12" w:space="0"/>
                </w:tcBorders>
              </w:tcPr>
              <w:p w:rsidRPr="00D13DB3" w:rsidR="00170F70" w:rsidP="005D18C0" w:rsidRDefault="00170F70" w14:paraId="628D14B6" w14:textId="77777777">
                <w:pPr>
                  <w:rPr>
                    <w:rFonts w:eastAsia="MS PGothic" w:cs="Times New Roman"/>
                    <w:lang w:val="en-GB" w:eastAsia="en-GB"/>
                  </w:rPr>
                </w:pPr>
              </w:p>
            </w:tc>
          </w:tr>
          <w:tr w:rsidRPr="00D13DB3" w:rsidR="00170F70" w:rsidTr="005D18C0" w14:paraId="164AAAD2" w14:textId="77777777">
            <w:trPr>
              <w:trHeight w:val="58"/>
            </w:trPr>
            <w:tc>
              <w:tcPr>
                <w:tcW w:w="824" w:type="dxa"/>
                <w:tcBorders>
                  <w:left w:val="single" w:color="auto" w:sz="12" w:space="0"/>
                  <w:bottom w:val="single" w:color="auto" w:sz="12" w:space="0"/>
                </w:tcBorders>
              </w:tcPr>
              <w:p w:rsidRPr="00D13DB3" w:rsidR="00170F70" w:rsidP="005D18C0" w:rsidRDefault="00170F70" w14:paraId="65EC9160"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2190" w:type="dxa"/>
                <w:tcBorders>
                  <w:bottom w:val="single" w:color="auto" w:sz="12" w:space="0"/>
                </w:tcBorders>
              </w:tcPr>
              <w:p w:rsidRPr="00D13DB3" w:rsidR="00170F70" w:rsidP="005D18C0" w:rsidRDefault="00170F70" w14:paraId="3F91FE18" w14:textId="77777777">
                <w:pPr>
                  <w:rPr>
                    <w:rFonts w:eastAsia="MS PGothic" w:cs="Times New Roman"/>
                  </w:rPr>
                </w:pPr>
                <w:r w:rsidRPr="00D13DB3">
                  <w:rPr>
                    <w:rFonts w:eastAsia="MS PGothic" w:cs="Times New Roman"/>
                  </w:rPr>
                  <w:t>EBA/GL</w:t>
                </w:r>
                <w:r w:rsidRPr="005261FC">
                  <w:t>/2023/10</w:t>
                </w:r>
              </w:p>
            </w:tc>
            <w:tc>
              <w:tcPr>
                <w:tcW w:w="6111" w:type="dxa"/>
                <w:tcBorders>
                  <w:bottom w:val="single" w:color="auto" w:sz="12" w:space="0"/>
                  <w:right w:val="single" w:color="auto" w:sz="12" w:space="0"/>
                </w:tcBorders>
              </w:tcPr>
              <w:p w:rsidRPr="00D13DB3" w:rsidR="00170F70" w:rsidP="005D18C0" w:rsidRDefault="00170F70" w14:paraId="5ECDBFF9" w14:textId="77777777">
                <w:pPr>
                  <w:rPr>
                    <w:rFonts w:eastAsia="MS PGothic" w:cs="Times New Roman"/>
                    <w:lang w:val="en-GB" w:eastAsia="en-GB"/>
                  </w:rPr>
                </w:pPr>
              </w:p>
            </w:tc>
          </w:tr>
        </w:tbl>
        <w:p w:rsidRPr="00190553" w:rsidR="00170F70" w:rsidP="00B43E07" w:rsidRDefault="00170F70" w14:paraId="4C3BA0FC" w14:textId="77777777"/>
        <w:p w:rsidRPr="00190553" w:rsidR="00B43E07" w:rsidP="00B43E07" w:rsidRDefault="00B43E07" w14:paraId="3673D6BB" w14:textId="77777777">
          <w:r w:rsidRPr="00190553">
            <w:br w:type="page"/>
          </w:r>
        </w:p>
      </w:sdtContent>
    </w:sdt>
    <w:p w:rsidRPr="00190553" w:rsidR="00B43E07" w:rsidP="00CE3517" w:rsidRDefault="00B43E07" w14:paraId="72D6F5BF" w14:textId="77777777">
      <w:pPr>
        <w:pStyle w:val="Numberedtilelevel1"/>
        <w:numPr>
          <w:ilvl w:val="0"/>
          <w:numId w:val="34"/>
        </w:numPr>
      </w:pPr>
      <w:r w:rsidRPr="00190553">
        <w:lastRenderedPageBreak/>
        <w:t>Obveznosti glede skladnosti in poročanja</w:t>
      </w:r>
    </w:p>
    <w:p w:rsidRPr="00190553" w:rsidR="00B43E07" w:rsidP="00B43E07" w:rsidRDefault="00B43E07" w14:paraId="3B9E826E" w14:textId="5EE3EC56">
      <w:pPr>
        <w:pStyle w:val="Titlelevel2"/>
      </w:pPr>
      <w:r w:rsidRPr="00190553">
        <w:t>Vloga teh smernic</w:t>
      </w:r>
    </w:p>
    <w:p w:rsidRPr="00190553" w:rsidR="00B43E07" w:rsidP="00B43E07" w:rsidRDefault="00B43E07" w14:paraId="4AFE96B1" w14:textId="13B187BE">
      <w:pPr>
        <w:pStyle w:val="body"/>
        <w:numPr>
          <w:ilvl w:val="0"/>
          <w:numId w:val="28"/>
        </w:numPr>
      </w:pPr>
      <w:r w:rsidRPr="00190553">
        <w:t>Dokument vsebuje smernice, izdane v skladu s členom 16 Uredbe (EU) št. 1093/2010</w:t>
      </w:r>
      <w:r w:rsidRPr="00190553">
        <w:rPr>
          <w:rStyle w:val="FootnoteReference"/>
          <w:lang w:val="en-GB"/>
        </w:rPr>
        <w:footnoteReference w:id="2"/>
      </w:r>
      <w:r w:rsidRPr="00190553">
        <w:t>. V skladu s členom 16(3) Uredbe (EU) št. 1093/2010 si morajo pristojni organi in finančne institucije na vsak način prizadevati za upoštevanje smernic.</w:t>
      </w:r>
    </w:p>
    <w:p w:rsidRPr="00190553" w:rsidR="00B43E07" w:rsidP="00B43E07" w:rsidRDefault="00B43E07" w14:paraId="23E7F140" w14:textId="591D7378">
      <w:pPr>
        <w:pStyle w:val="body"/>
        <w:numPr>
          <w:ilvl w:val="0"/>
          <w:numId w:val="28"/>
        </w:numPr>
      </w:pPr>
      <w:r w:rsidRPr="00190553">
        <w:t>V smernicah je predstavljeno stališče organa EBA glede ustreznih nadzorniških praks v okviru Evropskega sistema finančnega nadzora ali glede tega, kako bi bilo treba uporabljati zakonodajo Unije na posameznih področjih. Pristojni organi iz člena 4(2) Uredbe (EU) št. 1093/2010, za katere smernice veljajo, bi jih morali upoštevati tako, da jih ustrezno vključijo v svoje prakse (npr. s spremembo pravnega okvira ali nadzornih postopkov), tudi če so smernice namenjene predvsem institucijam.</w:t>
      </w:r>
    </w:p>
    <w:p w:rsidRPr="00190553" w:rsidR="00B43E07" w:rsidP="00B43E07" w:rsidRDefault="00B43E07" w14:paraId="141EDBC6" w14:textId="77777777">
      <w:pPr>
        <w:pStyle w:val="Titlelevel2"/>
      </w:pPr>
      <w:r w:rsidRPr="00190553">
        <w:t>Dolžnost poročanja</w:t>
      </w:r>
    </w:p>
    <w:p w:rsidRPr="00190553" w:rsidR="00B43E07" w:rsidP="00B43E07" w:rsidRDefault="00236329" w14:paraId="7EE20541" w14:textId="58C57C63">
      <w:pPr>
        <w:pStyle w:val="body"/>
        <w:numPr>
          <w:ilvl w:val="0"/>
          <w:numId w:val="28"/>
        </w:numPr>
      </w:pPr>
      <w:r w:rsidRPr="00190553">
        <w:t>Pristojni organi bi morali v skladu s členom 16(3) Uredbe (EU) št. 1093/2010 do</w:t>
      </w:r>
      <w:r w:rsidR="0055238D">
        <w:t xml:space="preserve"> 16.02.2021 </w:t>
      </w:r>
      <w:r w:rsidRPr="00190553">
        <w:t>organ EBA obvestiti, da ravnajo ali nameravajo ravnati v skladu s temi smernicami, ali pa predložiti razloge za njihovo neupoštevanje. Če pristojni organi do tega roka ne bodo poslali uradnega obvestila, bo organ EBA štel, da jih ne upoštevajo. Uradna obvestila bi bilo treba poslati na obrazcu, ki je na voljo na spletnem mestu organa EBA, z navedbo sklica „EBA/GL/2020/14“. Predložiti bi jih morale osebe, ki so pooblaščene za poročanje o skladnosti v imenu svojih pristojnih organov. Organu EBA je treba sporočiti tudi vsako spremembo stanja glede upoštevanja smernic.</w:t>
      </w:r>
    </w:p>
    <w:p w:rsidRPr="00190553" w:rsidR="00B43E07" w:rsidP="00B43E07" w:rsidRDefault="00B43E07" w14:paraId="3FF09602" w14:textId="563622BD">
      <w:pPr>
        <w:pStyle w:val="body"/>
        <w:numPr>
          <w:ilvl w:val="0"/>
          <w:numId w:val="28"/>
        </w:numPr>
      </w:pPr>
      <w:r w:rsidRPr="00190553">
        <w:t>Uradna obvestila bodo v skladu s členom 16(3) objavljena na spletnem mestu organa EBA.</w:t>
      </w:r>
    </w:p>
    <w:p w:rsidRPr="00190553" w:rsidR="00B43E07" w:rsidP="00B43E07" w:rsidRDefault="00B43E07" w14:paraId="0BB7AD43" w14:textId="77777777">
      <w:pPr>
        <w:pStyle w:val="Titlelevel2"/>
      </w:pPr>
      <w:r w:rsidRPr="00190553">
        <w:br w:type="page"/>
      </w:r>
    </w:p>
    <w:p w:rsidRPr="00190553" w:rsidR="00B43E07" w:rsidP="00CE3517" w:rsidRDefault="00B43E07" w14:paraId="207E9159" w14:textId="77777777">
      <w:pPr>
        <w:pStyle w:val="Numberedtilelevel1"/>
      </w:pPr>
      <w:r w:rsidRPr="00190553">
        <w:lastRenderedPageBreak/>
        <w:t>Vsebina, področje uporabe in opredelitev pojmov</w:t>
      </w:r>
    </w:p>
    <w:p w:rsidRPr="00190553" w:rsidR="00B43E07" w:rsidP="00B43E07" w:rsidRDefault="00B43E07" w14:paraId="329ACB0A" w14:textId="77777777">
      <w:pPr>
        <w:pStyle w:val="Titlelevel2"/>
      </w:pPr>
      <w:r w:rsidRPr="00190553">
        <w:t>Predmet urejanja</w:t>
      </w:r>
    </w:p>
    <w:p w:rsidRPr="00190553" w:rsidR="00DE0FE1" w:rsidP="00DE0FE1" w:rsidRDefault="00DE0FE1" w14:paraId="667A5E79" w14:textId="75DF9FF9">
      <w:pPr>
        <w:pStyle w:val="body"/>
        <w:numPr>
          <w:ilvl w:val="0"/>
          <w:numId w:val="28"/>
        </w:numPr>
      </w:pPr>
      <w:r w:rsidRPr="00190553">
        <w:t>Te smernice se nanašajo na:</w:t>
      </w:r>
    </w:p>
    <w:p w:rsidRPr="00190553" w:rsidR="00DE0FE1" w:rsidP="00DE0FE1" w:rsidRDefault="00DE0FE1" w14:paraId="7F872996" w14:textId="017F20C9">
      <w:pPr>
        <w:pStyle w:val="body"/>
        <w:numPr>
          <w:ilvl w:val="1"/>
          <w:numId w:val="35"/>
        </w:numPr>
      </w:pPr>
      <w:r w:rsidRPr="00190553">
        <w:t>specifikacijo kazalnikov, ki se uporabljajo za opredelitev globalnih sistemsko pomembnih institucij (G-SII), kot je določeno v Uredbi (EU) št. 1222/2014 („kazalniki“), in</w:t>
      </w:r>
    </w:p>
    <w:p w:rsidRPr="00190553" w:rsidR="00B43E07" w:rsidP="00DE0FE1" w:rsidRDefault="00DE0FE1" w14:paraId="776C11F3" w14:textId="58E74370">
      <w:pPr>
        <w:pStyle w:val="body"/>
        <w:numPr>
          <w:ilvl w:val="1"/>
          <w:numId w:val="35"/>
        </w:numPr>
      </w:pPr>
      <w:r w:rsidRPr="00190553">
        <w:t>poročanje o osnovnih podatkih (kazalnikih, dodatnih podatkih in pojasnjevalnih postavkah) ter letno razkritje dobljenih vrednosti kazalnikov, uporabljenih za določitev globalno pomembnih institucij.</w:t>
      </w:r>
    </w:p>
    <w:p w:rsidRPr="00190553" w:rsidR="00B43E07" w:rsidP="00B43E07" w:rsidRDefault="00B43E07" w14:paraId="07F996E2" w14:textId="77777777">
      <w:pPr>
        <w:pStyle w:val="Titlelevel2"/>
      </w:pPr>
      <w:r w:rsidRPr="00190553">
        <w:t>Področje uporabe</w:t>
      </w:r>
    </w:p>
    <w:p w:rsidRPr="00190553" w:rsidR="00DE0FE1" w:rsidP="00B43E07" w:rsidRDefault="00B43E07" w14:paraId="71B629CF" w14:textId="05197A71">
      <w:pPr>
        <w:pStyle w:val="body"/>
        <w:numPr>
          <w:ilvl w:val="0"/>
          <w:numId w:val="28"/>
        </w:numPr>
      </w:pPr>
      <w:r w:rsidRPr="00190553">
        <w:t>Te smernice se uporabljajo v zvezi s</w:t>
      </w:r>
    </w:p>
    <w:p w:rsidRPr="00190553" w:rsidR="00DE0FE1" w:rsidP="00DE0FE1" w:rsidRDefault="000F3C24" w14:paraId="73EAD676" w14:textId="3140197F">
      <w:pPr>
        <w:pStyle w:val="body"/>
        <w:numPr>
          <w:ilvl w:val="0"/>
          <w:numId w:val="36"/>
        </w:numPr>
      </w:pPr>
      <w:r w:rsidRPr="00190553">
        <w:t>skupinami, ki jih vodijo EU nadrejena institucija, EU nadrejeni finančni holding ali EU nadrejeni mešani finančni holding, in</w:t>
      </w:r>
    </w:p>
    <w:p w:rsidRPr="00C26FB9" w:rsidR="00B43E07" w:rsidP="00DE0FE1" w:rsidRDefault="00DE0FE1" w14:paraId="0D1E1C78" w14:textId="031EF3C2">
      <w:pPr>
        <w:pStyle w:val="body"/>
        <w:numPr>
          <w:ilvl w:val="0"/>
          <w:numId w:val="36"/>
        </w:numPr>
      </w:pPr>
      <w:r w:rsidRPr="00190553">
        <w:t xml:space="preserve">institucijami, ki niso podrejene družbe EU nadrejene institucije, EU nadrejenega </w:t>
      </w:r>
      <w:r w:rsidRPr="00C26FB9">
        <w:t>finančnega holdinga ali EU nadrejenega mešanega finančnega holdinga,</w:t>
      </w:r>
    </w:p>
    <w:p w:rsidRPr="00190553" w:rsidR="00B43E07" w:rsidP="00DE0FE1" w:rsidRDefault="003A2221" w14:paraId="5736DC31" w14:textId="54A8D23B">
      <w:pPr>
        <w:pStyle w:val="body"/>
      </w:pPr>
      <w:r w:rsidRPr="00C26FB9">
        <w:t>ki upoštevajo mero izpostavljenosti količnika finančnega vzvoda, ki presega 200 milijard EUR na konsolidirani ali individualni osnovi (in vključno s podrejeno zavarovalnico), pri čemer se uporabljajo ustrezen menjalni tečaj, ki upošteva referenčni menjalni tečaj, ki ga objavi Evropska</w:t>
      </w:r>
      <w:r w:rsidRPr="00190553">
        <w:t xml:space="preserve"> centralna banka in velja ob koncu finančnega leta, in mednarodni standardi („zadevni subjekti“).</w:t>
      </w:r>
    </w:p>
    <w:p w:rsidRPr="00190553" w:rsidR="00B43E07" w:rsidP="00B43E07" w:rsidRDefault="00B43E07" w14:paraId="6EAA3145" w14:textId="77777777">
      <w:pPr>
        <w:pStyle w:val="Titlelevel2"/>
      </w:pPr>
      <w:r w:rsidRPr="00190553">
        <w:t>Naslovniki</w:t>
      </w:r>
    </w:p>
    <w:p w:rsidRPr="00190553" w:rsidR="00B43E07" w:rsidP="00DE0FE1" w:rsidRDefault="00DE0FE1" w14:paraId="12310C5F" w14:textId="42F50B99">
      <w:pPr>
        <w:pStyle w:val="body"/>
        <w:numPr>
          <w:ilvl w:val="0"/>
          <w:numId w:val="28"/>
        </w:numPr>
      </w:pPr>
      <w:r w:rsidRPr="00190553">
        <w:t>Te smernice so namenjene pristojnim organom, kot so opredeljeni v točki (i) člena 4(2) Uredbe (EU) št. 1093/2010, in finančnim institucijam, za katere veljajo te smernice. Imenovanim organom iz člena 131(1) Direktive 2013/36/EU, razen pristojnih organov, se priporoča uporaba teh smernic. Pristojni organi in imenovani organi se v teh smernicah navajajo kot „zadevni organi“.</w:t>
      </w:r>
    </w:p>
    <w:p w:rsidRPr="00190553" w:rsidR="00DE0FE1" w:rsidP="00DE0FE1" w:rsidRDefault="00DE0FE1" w14:paraId="52A8B3D5" w14:textId="77777777">
      <w:pPr>
        <w:pStyle w:val="ListParagraph"/>
        <w:numPr>
          <w:ilvl w:val="0"/>
          <w:numId w:val="28"/>
        </w:numPr>
      </w:pPr>
      <w:r w:rsidRPr="00190553">
        <w:br w:type="page"/>
      </w:r>
    </w:p>
    <w:p w:rsidRPr="00190553" w:rsidR="00B43E07" w:rsidP="00CE3517" w:rsidRDefault="00B43E07" w14:paraId="25D099DB" w14:textId="77777777">
      <w:pPr>
        <w:pStyle w:val="Numberedtilelevel1"/>
      </w:pPr>
      <w:r w:rsidRPr="00190553">
        <w:lastRenderedPageBreak/>
        <w:t>Izvajanje</w:t>
      </w:r>
    </w:p>
    <w:p w:rsidRPr="00190553" w:rsidR="00B43E07" w:rsidP="00B43E07" w:rsidRDefault="00B43E07" w14:paraId="4EAB2FB0" w14:textId="77777777">
      <w:pPr>
        <w:pStyle w:val="Titlelevel2"/>
      </w:pPr>
      <w:r w:rsidRPr="00190553">
        <w:t>Datum začetka uporabe</w:t>
      </w:r>
    </w:p>
    <w:p w:rsidRPr="00190553" w:rsidR="00B43E07" w:rsidP="00DE0FE1" w:rsidRDefault="00DE0FE1" w14:paraId="18515792" w14:textId="72D0D93C">
      <w:pPr>
        <w:pStyle w:val="body"/>
        <w:numPr>
          <w:ilvl w:val="0"/>
          <w:numId w:val="38"/>
        </w:numPr>
      </w:pPr>
      <w:r w:rsidRPr="00190553">
        <w:t xml:space="preserve">Te smernice začnejo veljati dne </w:t>
      </w:r>
      <w:r w:rsidR="0055238D">
        <w:t>16.12.2020.</w:t>
      </w:r>
    </w:p>
    <w:p w:rsidRPr="00190553" w:rsidR="00B43E07" w:rsidP="00B43E07" w:rsidRDefault="00B43E07" w14:paraId="4AB150AF" w14:textId="64BC8239">
      <w:pPr>
        <w:pStyle w:val="Titlelevel2"/>
      </w:pPr>
      <w:r w:rsidRPr="00190553">
        <w:t>Razveljavitev</w:t>
      </w:r>
    </w:p>
    <w:p w:rsidRPr="00190553" w:rsidR="00B43E07" w:rsidP="00A41338" w:rsidRDefault="00BD1538" w14:paraId="0F71334D" w14:textId="4DCAC658">
      <w:r w:rsidRPr="00190553">
        <w:t>Revidirane smernice o nadaljnjih specifikacijah kazalnikov globalne sistemske pomembnosti in njihovem razkritju z dne 29 februarja 2016 (EBA/GL/2016/01) se razveljavijo.</w:t>
      </w:r>
    </w:p>
    <w:p w:rsidRPr="00190553" w:rsidR="00BD1538" w:rsidP="00B43E07" w:rsidRDefault="00BD1538" w14:paraId="30F30A96" w14:textId="77777777">
      <w:pPr>
        <w:pStyle w:val="body"/>
        <w:sectPr w:rsidRPr="00190553" w:rsidR="00BD1538" w:rsidSect="000F33D3">
          <w:headerReference w:type="even" r:id="rId11"/>
          <w:headerReference w:type="default" r:id="rId12"/>
          <w:footerReference w:type="even" r:id="rId13"/>
          <w:footerReference w:type="default" r:id="rId14"/>
          <w:headerReference w:type="first" r:id="rId15"/>
          <w:pgSz w:w="11900" w:h="16840"/>
          <w:pgMar w:top="2268" w:right="1418" w:bottom="1134" w:left="1701" w:header="709" w:footer="709" w:gutter="0"/>
          <w:cols w:space="708"/>
          <w:docGrid w:linePitch="299"/>
        </w:sectPr>
      </w:pPr>
    </w:p>
    <w:p w:rsidRPr="00190553" w:rsidR="00B43E07" w:rsidP="00BD1538" w:rsidRDefault="00BD1538" w14:paraId="4D344DEC" w14:textId="3CE1317D">
      <w:pPr>
        <w:pStyle w:val="Numberedtilelevel1"/>
        <w:jc w:val="both"/>
      </w:pPr>
      <w:r w:rsidRPr="00190553">
        <w:lastRenderedPageBreak/>
        <w:t>Specifikacije osnovnih podatkov in kazalniki, ki se uporabljajo za določitev globalnih sistemsko pomembnih institucij</w:t>
      </w:r>
    </w:p>
    <w:p w:rsidR="00814014" w:rsidP="00814014" w:rsidRDefault="00814014" w14:paraId="2BADC1BA" w14:textId="43EDCDF1">
      <w:pPr>
        <w:pStyle w:val="body"/>
        <w:rPr>
          <w:iCs/>
        </w:rPr>
      </w:pPr>
      <w:r w:rsidRPr="007B541C">
        <w:rPr>
          <w:spacing w:val="-1"/>
          <w:highlight w:val="green"/>
        </w:rPr>
        <w:sym w:font="Wingdings" w:char="F0DA"/>
      </w:r>
      <w:r w:rsidRPr="007B541C">
        <w:rPr>
          <w:spacing w:val="-1"/>
          <w:highlight w:val="green"/>
        </w:rPr>
        <w:t>A1</w:t>
      </w:r>
    </w:p>
    <w:p w:rsidRPr="005E16C5" w:rsidR="00B43E07" w:rsidP="00BD1538" w:rsidRDefault="005E16C5" w14:paraId="50643877" w14:textId="2D081F83">
      <w:pPr>
        <w:pStyle w:val="body"/>
        <w:numPr>
          <w:ilvl w:val="0"/>
          <w:numId w:val="38"/>
        </w:numPr>
        <w:rPr>
          <w:iCs/>
        </w:rPr>
      </w:pPr>
      <w:r w:rsidRPr="005E16C5">
        <w:rPr>
          <w:iCs/>
        </w:rPr>
        <w:t>Zadevni organi in zadevni subjekti bi morali upoštevati navodila in specifikacije za podatkovne postavke iz Priloge, kot je določeno na povezavi ‚Navodila za poročanje‘ na spletnem mestu organa EBA v oddelku Globalne sistemsko pomembne institucije (GSPI)</w:t>
      </w:r>
      <w:r w:rsidRPr="005E16C5">
        <w:rPr>
          <w:rStyle w:val="FootnoteReference"/>
          <w:iCs/>
        </w:rPr>
        <w:footnoteReference w:id="3"/>
      </w:r>
      <w:r w:rsidRPr="005E16C5" w:rsidR="00BD1538">
        <w:rPr>
          <w:iCs/>
        </w:rPr>
        <w:t>.</w:t>
      </w:r>
    </w:p>
    <w:p w:rsidR="00B43E07" w:rsidP="00BD1538" w:rsidRDefault="005E16C5" w14:paraId="2FD6FE4E" w14:textId="7E82B5ED">
      <w:pPr>
        <w:pStyle w:val="body"/>
        <w:numPr>
          <w:ilvl w:val="0"/>
          <w:numId w:val="38"/>
        </w:numPr>
      </w:pPr>
      <w:r w:rsidRPr="005E16C5">
        <w:rPr>
          <w:iCs/>
        </w:rPr>
        <w:t>Zadevni organi bi morali uporabljati dodatne podatke (oddelka 15 in 16 Priloge k tem smernicam), da bi podprli svojo nadzorno presojo v skladu s členom 131(10) Direktive 2013/36/EU in pojasnjevalnimi postavkami (oddelki 17 do 22 Priloge), da bi izboljšali kakovost podatkov in kot pomoč k nadaljnjim izboljšavam metodologije za določitev. Pojasnjevalne postavke bi bilo treba, kadar je to primerno, dopolniti s podrobnimi pripombami zadevnih subjektov v zvezi s kakovostjo in razpoložljivostjo podatkov</w:t>
      </w:r>
      <w:r w:rsidRPr="00C26FB9" w:rsidR="003A2221">
        <w:t>.</w:t>
      </w:r>
    </w:p>
    <w:p w:rsidRPr="005E16C5" w:rsidR="005E16C5" w:rsidP="00814014" w:rsidRDefault="005E16C5" w14:paraId="778A4872" w14:textId="01D2C51C">
      <w:pPr>
        <w:pStyle w:val="body"/>
        <w:ind w:left="426" w:hanging="426"/>
        <w:rPr>
          <w:iCs/>
        </w:rPr>
      </w:pPr>
      <w:r w:rsidRPr="005E16C5">
        <w:rPr>
          <w:iCs/>
        </w:rPr>
        <w:t>10a. V skladu s členom 131(2a) Direktive 2013/36/EU, ki zahteva dodatno metodologijo za</w:t>
      </w:r>
      <w:r w:rsidR="002F428B">
        <w:rPr>
          <w:iCs/>
        </w:rPr>
        <w:t xml:space="preserve"> </w:t>
      </w:r>
      <w:r w:rsidRPr="005E16C5">
        <w:rPr>
          <w:iCs/>
        </w:rPr>
        <w:t>določitev, ki izključuje čezmejne dejavnosti v okviru enotnega mehanizma za reševanje (EMR), in v skladu z mednarodnim sporazumom Baselskega odbora z dne 31. maja 2022, da se prizna napredek pri razvoju evropske bančne unije, bi bilo treba podatkovne postavke, ki so pomembne za izračun prilagojenih kazalnikov enotnega mehanizma za reševanje med jurisdikcijami v zvezi z institucijami s sedežem v državah članicah, ki sodelujejo v enotnem mehanizmu za reševanje, obravnavati kot del kazalnikov dejavnosti med jurisdikcijami in jih kot take razkriti v skladu s členom 12, ne pa kot pomožne ali pojasnjevalne postavke za določitev GSPI in metodologijo prerazporejanja GSPI v (nižje) podkategorije (angl. „buckets“)</w:t>
      </w:r>
      <w:r>
        <w:rPr>
          <w:iCs/>
        </w:rPr>
        <w:t>.</w:t>
      </w:r>
    </w:p>
    <w:p w:rsidRPr="00C26FB9" w:rsidR="00BD1538" w:rsidP="00BD1538" w:rsidRDefault="00BD1538" w14:paraId="6A6FBBAE" w14:textId="77777777">
      <w:pPr>
        <w:pStyle w:val="body"/>
      </w:pPr>
    </w:p>
    <w:p w:rsidRPr="00190553" w:rsidR="00BD1538" w:rsidP="00505C64" w:rsidRDefault="00BD1538" w14:paraId="2DFFA9BA" w14:textId="77777777">
      <w:pPr>
        <w:pStyle w:val="Titlelevel2"/>
        <w:sectPr w:rsidRPr="00190553" w:rsidR="00BD1538" w:rsidSect="000F33D3">
          <w:pgSz w:w="11900" w:h="16840"/>
          <w:pgMar w:top="2268" w:right="1418" w:bottom="1134" w:left="1701" w:header="709" w:footer="709" w:gutter="0"/>
          <w:cols w:space="708"/>
          <w:docGrid w:linePitch="299"/>
        </w:sectPr>
      </w:pPr>
    </w:p>
    <w:p w:rsidRPr="00190553" w:rsidR="00B43E07" w:rsidP="00BD1538" w:rsidRDefault="00BD1538" w14:paraId="6CDBC73A" w14:textId="63126AA5">
      <w:pPr>
        <w:pStyle w:val="Numberedtilelevel1"/>
        <w:jc w:val="both"/>
      </w:pPr>
      <w:r w:rsidRPr="00190553">
        <w:lastRenderedPageBreak/>
        <w:t>Zahteve glede poročanja in razkrivanja s strani zadevnih institucij</w:t>
      </w:r>
    </w:p>
    <w:p w:rsidRPr="00190553" w:rsidR="0007574B" w:rsidP="0007574B" w:rsidRDefault="005E16C5" w14:paraId="107B3895" w14:textId="4CE76F51">
      <w:pPr>
        <w:pStyle w:val="body"/>
        <w:numPr>
          <w:ilvl w:val="0"/>
          <w:numId w:val="38"/>
        </w:numPr>
      </w:pPr>
      <w:r w:rsidRPr="005E16C5">
        <w:rPr>
          <w:iCs/>
        </w:rPr>
        <w:t>Zadevne institucije bi morale zagotoviti zbiranje vseh podatkovnih postavk, določenih v Prilogi k tem smernicam, od zadevnih subjektov, ki izpolnjujejo merila iz odstavka 6 teh smernic, z dne 31. decembra vsakega leta</w:t>
      </w:r>
      <w:r w:rsidRPr="00190553" w:rsidR="003A2221">
        <w:t>.</w:t>
      </w:r>
    </w:p>
    <w:p w:rsidR="0007574B" w:rsidP="0007574B" w:rsidRDefault="005E16C5" w14:paraId="623657F6" w14:textId="48A6770C">
      <w:pPr>
        <w:pStyle w:val="body"/>
        <w:numPr>
          <w:ilvl w:val="0"/>
          <w:numId w:val="38"/>
        </w:numPr>
        <w:rPr>
          <w:iCs/>
        </w:rPr>
      </w:pPr>
      <w:r w:rsidRPr="005E16C5">
        <w:rPr>
          <w:iCs/>
        </w:rPr>
        <w:t>Zadevni organi bi morali zagotoviti, da zadevni subjekti na svojih spletnih mestih enkrat letno javno razkrijejo vrednosti kazalnikov iz oddelkov 1 do 14 Priloge k tem smernicam in, kadar je potrebna dodatna metodologija za določitev enotnega mehanizma za reševanje, točke (e), (f) in (g) oddelka 21, ter vse druge postavke iz oddelka 21, ki se nanašajo na dejavnosti enotnega mehanizma za reševanje v več jurisdikcijah, za katere bi lahko zadevni pristojni organ menil, da so pomembne za izračun take metodologije</w:t>
      </w:r>
      <w:r w:rsidRPr="005E16C5" w:rsidR="003A2221">
        <w:rPr>
          <w:iCs/>
        </w:rPr>
        <w:t>.</w:t>
      </w:r>
    </w:p>
    <w:p w:rsidRPr="005E16C5" w:rsidR="00814014" w:rsidP="00814014" w:rsidRDefault="00814014" w14:paraId="3531D6B6" w14:textId="088BC037">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0007574B" w:rsidP="0007574B" w:rsidRDefault="0007574B" w14:paraId="59D95C2C" w14:textId="331A565A">
      <w:pPr>
        <w:pStyle w:val="body"/>
        <w:numPr>
          <w:ilvl w:val="0"/>
          <w:numId w:val="38"/>
        </w:numPr>
      </w:pPr>
      <w:r w:rsidRPr="00190553">
        <w:t>Ko zadevni subjekti sporočajo in razkrivajo informacije iz členov 11 in 12, bi morali uporabljati elektronsko predlogo in upoštevati vsakoletna navodila, objavljena v ta namen na spletnem mestu organa EBA.</w:t>
      </w:r>
    </w:p>
    <w:p w:rsidRPr="00190553" w:rsidR="00814014" w:rsidP="00814014" w:rsidRDefault="00814014" w14:paraId="146F8C72" w14:textId="166BAB69">
      <w:pPr>
        <w:pStyle w:val="body"/>
      </w:pPr>
      <w:r w:rsidRPr="007B541C">
        <w:rPr>
          <w:spacing w:val="-1"/>
          <w:highlight w:val="green"/>
        </w:rPr>
        <w:sym w:font="Wingdings" w:char="F0DA"/>
      </w:r>
      <w:r w:rsidRPr="007B541C">
        <w:rPr>
          <w:spacing w:val="-1"/>
          <w:highlight w:val="green"/>
        </w:rPr>
        <w:t>A1</w:t>
      </w:r>
    </w:p>
    <w:p w:rsidR="006C6D8E" w:rsidP="0007574B" w:rsidRDefault="005E16C5" w14:paraId="5F511C1E" w14:textId="00D0B007">
      <w:pPr>
        <w:pStyle w:val="body"/>
        <w:numPr>
          <w:ilvl w:val="0"/>
          <w:numId w:val="38"/>
        </w:numPr>
        <w:rPr>
          <w:iCs/>
        </w:rPr>
      </w:pPr>
      <w:r w:rsidRPr="005E16C5">
        <w:rPr>
          <w:iCs/>
        </w:rPr>
        <w:t>Zadevni subjekti bi morali informacije iz odstavka 11 predložiti zadevnim organom in javno razkriti informacije iz odstavka 12 enkrat letno in najpozneje štiri mesece po zaključku vsakega proračunskega leta, začenši s koncem drugega zaporednega proračunskega leta, ko je bil presežen prag iz odstavka 6 teh smernic. Pri tem bi se morali identificirati z uporabo identifikatorja pravnih subjektov (LEI</w:t>
      </w:r>
      <w:r w:rsidRPr="005E16C5" w:rsidR="0007574B">
        <w:rPr>
          <w:iCs/>
        </w:rPr>
        <w:t>).</w:t>
      </w:r>
    </w:p>
    <w:p w:rsidRPr="005E16C5" w:rsidR="00814014" w:rsidP="00814014" w:rsidRDefault="00814014" w14:paraId="60FDB44A" w14:textId="506C006C">
      <w:pPr>
        <w:pStyle w:val="BodyText"/>
        <w:tabs>
          <w:tab w:val="left" w:pos="1802"/>
        </w:tabs>
        <w:spacing w:before="100" w:after="60" w:line="276" w:lineRule="auto"/>
        <w:ind w:right="232"/>
        <w:jc w:val="both"/>
        <w:rPr>
          <w:iCs/>
        </w:rPr>
      </w:pPr>
      <w:r w:rsidRPr="007B541C">
        <w:rPr>
          <w:spacing w:val="-1"/>
          <w:highlight w:val="yellow"/>
        </w:rPr>
        <w:sym w:font="Wingdings" w:char="F0DA"/>
      </w:r>
      <w:r w:rsidRPr="007B541C">
        <w:rPr>
          <w:spacing w:val="-1"/>
          <w:highlight w:val="yellow"/>
        </w:rPr>
        <w:t>O</w:t>
      </w:r>
    </w:p>
    <w:p w:rsidRPr="00190553" w:rsidR="0007574B" w:rsidP="0007574B" w:rsidRDefault="003A2221" w14:paraId="02B1DBBB" w14:textId="35B7F7D9">
      <w:pPr>
        <w:pStyle w:val="body"/>
        <w:numPr>
          <w:ilvl w:val="0"/>
          <w:numId w:val="38"/>
        </w:numPr>
      </w:pPr>
      <w:r w:rsidRPr="00190553">
        <w:t>Zadevni organi lahko zadevnim subjektom, katerih poslovno leto se ne zaključi 31. decembra, dovolijo sporočanje in razkrivanje navedenih informacij, ki temeljijo na njihovem stanju na dan, ki je najbližji 31. decembru. Informacije bi bilo treba v vsakem primeru razkriti najpozneje 31. julija.</w:t>
      </w:r>
    </w:p>
    <w:p w:rsidRPr="00190553" w:rsidR="00B43E07" w:rsidP="00B43E07" w:rsidRDefault="003A2221" w14:paraId="0BE8B0EA" w14:textId="3AD888C3">
      <w:pPr>
        <w:pStyle w:val="body"/>
        <w:numPr>
          <w:ilvl w:val="0"/>
          <w:numId w:val="38"/>
        </w:numPr>
      </w:pPr>
      <w:r w:rsidRPr="00C26FB9">
        <w:t>Zadevni organi bi morali zagotoviti, da so sporočeni in razkriti podatki enaki podatkom, ki so predloženi Baselskemu odboru za bančni nadzor, kadar</w:t>
      </w:r>
      <w:r w:rsidRPr="00190553">
        <w:t xml:space="preserve"> je to primerno.</w:t>
      </w:r>
    </w:p>
    <w:p w:rsidRPr="00190553" w:rsidR="006C6D8E" w:rsidP="006C6D8E" w:rsidRDefault="006C6D8E" w14:paraId="304AED26" w14:textId="0684F911">
      <w:pPr>
        <w:pStyle w:val="body"/>
      </w:pPr>
    </w:p>
    <w:p w:rsidRPr="00190553" w:rsidR="006C6D8E" w:rsidP="006C6D8E" w:rsidRDefault="006C6D8E" w14:paraId="3653C3DD" w14:textId="77777777">
      <w:pPr>
        <w:pStyle w:val="body"/>
        <w:sectPr w:rsidRPr="00190553" w:rsidR="006C6D8E" w:rsidSect="000F33D3">
          <w:pgSz w:w="11900" w:h="16840"/>
          <w:pgMar w:top="2268" w:right="1418" w:bottom="1134" w:left="1701" w:header="709" w:footer="709" w:gutter="0"/>
          <w:cols w:space="708"/>
          <w:docGrid w:linePitch="299"/>
        </w:sectPr>
      </w:pPr>
    </w:p>
    <w:p w:rsidRPr="00190553" w:rsidR="00B43E07" w:rsidP="006C6D8E" w:rsidRDefault="006C6D8E" w14:paraId="78D7CAE2" w14:textId="0D9CA5B9">
      <w:pPr>
        <w:pStyle w:val="Numberedtilelevel1"/>
        <w:jc w:val="both"/>
      </w:pPr>
      <w:r w:rsidRPr="00190553">
        <w:lastRenderedPageBreak/>
        <w:t>Informacije za EBA</w:t>
      </w:r>
    </w:p>
    <w:p w:rsidRPr="00190553" w:rsidR="006C6D8E" w:rsidP="006C6D8E" w:rsidRDefault="003A2221" w14:paraId="0966C959" w14:textId="52E7A3EF">
      <w:pPr>
        <w:pStyle w:val="body"/>
        <w:numPr>
          <w:ilvl w:val="0"/>
          <w:numId w:val="38"/>
        </w:numPr>
      </w:pPr>
      <w:r w:rsidRPr="00190553">
        <w:t xml:space="preserve">Zadevni organi bi </w:t>
      </w:r>
      <w:r w:rsidRPr="00C26FB9">
        <w:t>morali Evropskemu bančnemu organu (EBA) predložiti</w:t>
      </w:r>
      <w:r w:rsidRPr="00190553">
        <w:t xml:space="preserve"> vse podatke, vključno z dodatnimi podatki in pojasnjevalnimi postavkami, zbranimi v skladu s temi smernicami, da se lahko primerjajo na spletnem mestu organa EBA. Zadevni subjekti bi se morali identificirati z uporabo identifikatorja pravnih subjektov. Organ EBA ne bo razkril dodatnih podatkov in pojasnjevalnih postavk.</w:t>
      </w:r>
    </w:p>
    <w:p w:rsidRPr="00190553" w:rsidR="006C6D8E" w:rsidP="00B43E07" w:rsidRDefault="006C6D8E" w14:paraId="001293F4" w14:textId="77777777">
      <w:pPr>
        <w:pStyle w:val="body"/>
        <w:rPr>
          <w:lang w:eastAsia="en-GB"/>
        </w:rPr>
        <w:sectPr w:rsidRPr="00190553" w:rsidR="006C6D8E" w:rsidSect="000F33D3">
          <w:pgSz w:w="11900" w:h="16840"/>
          <w:pgMar w:top="2268" w:right="1418" w:bottom="1134" w:left="1701" w:header="709" w:footer="709" w:gutter="0"/>
          <w:cols w:space="708"/>
          <w:docGrid w:linePitch="299"/>
        </w:sectPr>
      </w:pPr>
    </w:p>
    <w:p w:rsidRPr="00190553" w:rsidR="00723921" w:rsidP="005E16C5" w:rsidRDefault="006C6D8E" w14:paraId="5A174F50" w14:textId="0E107F8A">
      <w:pPr>
        <w:pStyle w:val="Contenttitle"/>
      </w:pPr>
      <w:r w:rsidRPr="00190553">
        <w:lastRenderedPageBreak/>
        <w:t>Priloga</w:t>
      </w:r>
    </w:p>
    <w:tbl>
      <w:tblPr>
        <w:tblStyle w:val="TableGrid1"/>
        <w:tblW w:w="9639" w:type="dxa"/>
        <w:tblLook w:val="04A0" w:firstRow="1" w:lastRow="0" w:firstColumn="1" w:lastColumn="0" w:noHBand="0" w:noVBand="1"/>
      </w:tblPr>
      <w:tblGrid>
        <w:gridCol w:w="6804"/>
        <w:gridCol w:w="2745"/>
        <w:gridCol w:w="90"/>
      </w:tblGrid>
      <w:tr w:rsidRPr="002D6545" w:rsidR="005E16C5" w:rsidTr="00C90CB4" w14:paraId="70D24C64" w14:textId="77777777">
        <w:trPr>
          <w:gridAfter w:val="1"/>
          <w:wAfter w:w="90" w:type="dxa"/>
          <w:trHeight w:val="420"/>
        </w:trPr>
        <w:tc>
          <w:tcPr>
            <w:tcW w:w="9549" w:type="dxa"/>
            <w:gridSpan w:val="2"/>
            <w:tcBorders>
              <w:top w:val="nil"/>
              <w:left w:val="nil"/>
              <w:bottom w:val="nil"/>
              <w:right w:val="nil"/>
            </w:tcBorders>
            <w:noWrap/>
            <w:hideMark/>
          </w:tcPr>
          <w:p w:rsidR="00814014" w:rsidP="00C90CB4" w:rsidRDefault="00814014" w14:paraId="081A50FC" w14:textId="74A19A93">
            <w:pPr>
              <w:keepNext/>
              <w:keepLines/>
              <w:spacing w:before="47"/>
              <w:outlineLvl w:val="5"/>
              <w:rPr>
                <w:rFonts w:ascii="Arial" w:hAnsi="Arial"/>
                <w:b/>
                <w:i/>
                <w:caps/>
                <w:color w:val="172B39" w:themeColor="accent1" w:themeShade="80"/>
                <w:sz w:val="24"/>
              </w:rPr>
            </w:pPr>
            <w:r w:rsidRPr="007B541C">
              <w:rPr>
                <w:spacing w:val="-1"/>
                <w:highlight w:val="green"/>
              </w:rPr>
              <w:sym w:font="Wingdings" w:char="F0DA"/>
            </w:r>
            <w:r w:rsidRPr="007B541C">
              <w:rPr>
                <w:spacing w:val="-1"/>
                <w:highlight w:val="green"/>
              </w:rPr>
              <w:t>A1</w:t>
            </w:r>
          </w:p>
          <w:p w:rsidRPr="002D6545" w:rsidR="005E16C5" w:rsidP="00C90CB4" w:rsidRDefault="005E16C5" w14:paraId="565E0AD4" w14:textId="32FF52DA">
            <w:pPr>
              <w:keepNext/>
              <w:keepLines/>
              <w:spacing w:before="47"/>
              <w:outlineLvl w:val="5"/>
              <w:rPr>
                <w:rFonts w:ascii="Arial" w:hAnsi="Arial" w:eastAsia="Times New Roman" w:cs="Arial"/>
                <w:b/>
                <w:bCs/>
                <w:sz w:val="24"/>
                <w:szCs w:val="24"/>
              </w:rPr>
            </w:pPr>
            <w:r w:rsidRPr="002D6545">
              <w:rPr>
                <w:rFonts w:ascii="Arial" w:hAnsi="Arial"/>
                <w:b/>
                <w:i/>
                <w:caps/>
                <w:color w:val="172B39" w:themeColor="accent1" w:themeShade="80"/>
                <w:sz w:val="24"/>
              </w:rPr>
              <w:t> </w:t>
            </w:r>
            <w:r w:rsidRPr="002D6545">
              <w:rPr>
                <w:rFonts w:asciiTheme="majorHAnsi" w:hAnsiTheme="majorHAnsi"/>
                <w:b/>
                <w:i/>
                <w:caps/>
              </w:rPr>
              <w:t>Splošni bančni podatki</w:t>
            </w:r>
            <w:r w:rsidRPr="002D6545">
              <w:rPr>
                <w:rFonts w:ascii="Arial" w:hAnsi="Arial"/>
                <w:i/>
                <w:caps/>
                <w:color w:val="172B39" w:themeColor="accent1" w:themeShade="80"/>
                <w:sz w:val="20"/>
              </w:rPr>
              <w:t> </w:t>
            </w:r>
            <w:r w:rsidRPr="002D6545">
              <w:rPr>
                <w:rFonts w:ascii="Arial" w:hAnsi="Arial"/>
                <w:sz w:val="20"/>
              </w:rPr>
              <w:t> </w:t>
            </w:r>
          </w:p>
        </w:tc>
      </w:tr>
      <w:tr w:rsidRPr="002D6545" w:rsidR="005E16C5" w:rsidTr="00C90CB4" w14:paraId="015CD71C" w14:textId="77777777">
        <w:trPr>
          <w:gridAfter w:val="1"/>
          <w:wAfter w:w="90" w:type="dxa"/>
          <w:trHeight w:val="300"/>
        </w:trPr>
        <w:tc>
          <w:tcPr>
            <w:tcW w:w="6804" w:type="dxa"/>
            <w:tcBorders>
              <w:top w:val="nil"/>
              <w:left w:val="nil"/>
              <w:bottom w:val="single" w:color="auto" w:sz="4" w:space="0"/>
              <w:right w:val="nil"/>
            </w:tcBorders>
            <w:noWrap/>
          </w:tcPr>
          <w:p w:rsidRPr="002D6545" w:rsidR="005E16C5" w:rsidP="00C90CB4" w:rsidRDefault="005E16C5" w14:paraId="4EC98F50"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2D6545" w:rsidR="005E16C5" w:rsidP="00C90CB4" w:rsidRDefault="005E16C5" w14:paraId="258BDAFD" w14:textId="77777777">
            <w:pPr>
              <w:jc w:val="center"/>
              <w:rPr>
                <w:rFonts w:ascii="Arial" w:hAnsi="Arial" w:eastAsia="Times New Roman" w:cs="Arial"/>
                <w:b/>
                <w:bCs/>
                <w:sz w:val="20"/>
                <w:szCs w:val="20"/>
                <w:lang w:eastAsia="en-GB"/>
              </w:rPr>
            </w:pPr>
          </w:p>
        </w:tc>
      </w:tr>
      <w:tr w:rsidRPr="002D6545" w:rsidR="005E16C5" w:rsidTr="00C90CB4" w14:paraId="454FF0E2" w14:textId="77777777">
        <w:trPr>
          <w:gridAfter w:val="1"/>
          <w:wAfter w:w="90" w:type="dxa"/>
          <w:trHeight w:val="300"/>
        </w:trPr>
        <w:tc>
          <w:tcPr>
            <w:tcW w:w="6804" w:type="dxa"/>
            <w:tcBorders>
              <w:top w:val="single" w:color="auto" w:sz="4" w:space="0"/>
              <w:left w:val="nil"/>
              <w:bottom w:val="single" w:color="auto" w:sz="4" w:space="0"/>
              <w:right w:val="nil"/>
            </w:tcBorders>
            <w:noWrap/>
            <w:hideMark/>
          </w:tcPr>
          <w:p w:rsidRPr="002D6545" w:rsidR="005E16C5" w:rsidP="00C90CB4" w:rsidRDefault="005E16C5" w14:paraId="61B4ED50" w14:textId="77777777">
            <w:pPr>
              <w:rPr>
                <w:rFonts w:ascii="Arial" w:hAnsi="Arial" w:eastAsia="Times New Roman" w:cs="Arial"/>
                <w:b/>
                <w:bCs/>
                <w:sz w:val="20"/>
                <w:szCs w:val="20"/>
              </w:rPr>
            </w:pPr>
            <w:r w:rsidRPr="002D6545">
              <w:rPr>
                <w:rFonts w:ascii="Arial" w:hAnsi="Arial"/>
                <w:b/>
                <w:sz w:val="20"/>
              </w:rPr>
              <w:t>Oddelek 1 – Splošne informacije</w:t>
            </w:r>
          </w:p>
        </w:tc>
        <w:tc>
          <w:tcPr>
            <w:tcW w:w="2745" w:type="dxa"/>
            <w:tcBorders>
              <w:top w:val="single" w:color="auto" w:sz="4" w:space="0"/>
              <w:left w:val="nil"/>
              <w:right w:val="nil"/>
            </w:tcBorders>
            <w:noWrap/>
            <w:hideMark/>
          </w:tcPr>
          <w:p w:rsidRPr="002D6545" w:rsidR="005E16C5" w:rsidP="00C90CB4" w:rsidRDefault="005E16C5" w14:paraId="75011357" w14:textId="77777777">
            <w:pPr>
              <w:jc w:val="center"/>
              <w:rPr>
                <w:rFonts w:ascii="Arial" w:hAnsi="Arial" w:eastAsia="Times New Roman" w:cs="Arial"/>
                <w:b/>
                <w:bCs/>
                <w:sz w:val="20"/>
                <w:szCs w:val="20"/>
              </w:rPr>
            </w:pPr>
            <w:r w:rsidRPr="002D6545">
              <w:rPr>
                <w:rFonts w:ascii="Arial" w:hAnsi="Arial"/>
                <w:b/>
                <w:sz w:val="20"/>
              </w:rPr>
              <w:t>Odgovor</w:t>
            </w:r>
          </w:p>
        </w:tc>
      </w:tr>
      <w:tr w:rsidRPr="002D6545" w:rsidR="005E16C5" w:rsidTr="00C90CB4" w14:paraId="6A18DC4A" w14:textId="77777777">
        <w:trPr>
          <w:gridAfter w:val="2"/>
          <w:wAfter w:w="2835" w:type="dxa"/>
          <w:trHeight w:val="300"/>
        </w:trPr>
        <w:tc>
          <w:tcPr>
            <w:tcW w:w="6804" w:type="dxa"/>
            <w:tcBorders>
              <w:top w:val="single" w:color="auto" w:sz="4" w:space="0"/>
              <w:left w:val="nil"/>
              <w:bottom w:val="single" w:color="auto" w:sz="4" w:space="0"/>
              <w:right w:val="nil"/>
            </w:tcBorders>
            <w:noWrap/>
            <w:hideMark/>
          </w:tcPr>
          <w:p w:rsidRPr="002D6545" w:rsidR="005E16C5" w:rsidP="00C90CB4" w:rsidRDefault="005E16C5" w14:paraId="26D8E6BE" w14:textId="77777777">
            <w:pPr>
              <w:ind w:firstLine="200" w:firstLineChars="100"/>
              <w:rPr>
                <w:rFonts w:ascii="Arial" w:hAnsi="Arial" w:eastAsia="Times New Roman" w:cs="Arial"/>
                <w:sz w:val="20"/>
                <w:szCs w:val="20"/>
              </w:rPr>
            </w:pPr>
            <w:r w:rsidRPr="002D6545">
              <w:rPr>
                <w:rFonts w:ascii="Arial" w:hAnsi="Arial"/>
                <w:sz w:val="20"/>
              </w:rPr>
              <w:t>a. Splošne informacije, ki jih zagotovi zadevni nadzorni organ:</w:t>
            </w:r>
          </w:p>
        </w:tc>
      </w:tr>
      <w:tr w:rsidRPr="002D6545" w:rsidR="005E16C5" w:rsidTr="00C90CB4" w14:paraId="414E2B8C" w14:textId="77777777">
        <w:trPr>
          <w:gridAfter w:val="1"/>
          <w:wAfter w:w="90" w:type="dxa"/>
          <w:trHeight w:val="300"/>
        </w:trPr>
        <w:tc>
          <w:tcPr>
            <w:tcW w:w="6804" w:type="dxa"/>
            <w:tcBorders>
              <w:left w:val="nil"/>
              <w:right w:val="nil"/>
            </w:tcBorders>
            <w:noWrap/>
            <w:hideMark/>
          </w:tcPr>
          <w:p w:rsidRPr="002D6545" w:rsidR="005E16C5" w:rsidP="00C90CB4" w:rsidRDefault="005E16C5" w14:paraId="56C7F7D8"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Koda države</w:t>
            </w:r>
          </w:p>
        </w:tc>
        <w:tc>
          <w:tcPr>
            <w:tcW w:w="2745" w:type="dxa"/>
            <w:tcBorders>
              <w:left w:val="nil"/>
              <w:bottom w:val="single" w:color="auto" w:sz="4" w:space="0"/>
              <w:right w:val="nil"/>
            </w:tcBorders>
            <w:noWrap/>
            <w:hideMark/>
          </w:tcPr>
          <w:p w:rsidRPr="002D6545" w:rsidR="005E16C5" w:rsidP="00C90CB4" w:rsidRDefault="005E16C5" w14:paraId="507C0810" w14:textId="77777777">
            <w:pPr>
              <w:jc w:val="center"/>
              <w:rPr>
                <w:rFonts w:ascii="Arial" w:hAnsi="Arial" w:eastAsia="Times New Roman" w:cs="Arial"/>
                <w:sz w:val="20"/>
                <w:szCs w:val="20"/>
              </w:rPr>
            </w:pPr>
            <w:r w:rsidRPr="002D6545">
              <w:rPr>
                <w:rFonts w:ascii="Arial" w:hAnsi="Arial"/>
                <w:sz w:val="20"/>
              </w:rPr>
              <w:t> </w:t>
            </w:r>
          </w:p>
        </w:tc>
      </w:tr>
      <w:tr w:rsidRPr="002D6545" w:rsidR="005E16C5" w:rsidTr="00C90CB4" w14:paraId="59D3C47B" w14:textId="77777777">
        <w:trPr>
          <w:gridAfter w:val="1"/>
          <w:wAfter w:w="90" w:type="dxa"/>
          <w:trHeight w:val="300"/>
        </w:trPr>
        <w:tc>
          <w:tcPr>
            <w:tcW w:w="6804" w:type="dxa"/>
            <w:tcBorders>
              <w:left w:val="nil"/>
              <w:right w:val="nil"/>
            </w:tcBorders>
            <w:noWrap/>
            <w:hideMark/>
          </w:tcPr>
          <w:p w:rsidRPr="002D6545" w:rsidR="005E16C5" w:rsidP="00C90CB4" w:rsidRDefault="005E16C5" w14:paraId="6EE97C9D"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Ime banke</w:t>
            </w:r>
          </w:p>
        </w:tc>
        <w:tc>
          <w:tcPr>
            <w:tcW w:w="2745" w:type="dxa"/>
            <w:tcBorders>
              <w:left w:val="nil"/>
              <w:bottom w:val="single" w:color="auto" w:sz="4" w:space="0"/>
              <w:right w:val="nil"/>
            </w:tcBorders>
            <w:hideMark/>
          </w:tcPr>
          <w:p w:rsidRPr="002D6545" w:rsidR="005E16C5" w:rsidP="00C90CB4" w:rsidRDefault="005E16C5" w14:paraId="0E5E7C50" w14:textId="77777777">
            <w:pPr>
              <w:jc w:val="center"/>
              <w:rPr>
                <w:rFonts w:ascii="Arial" w:hAnsi="Arial" w:eastAsia="Times New Roman" w:cs="Arial"/>
                <w:sz w:val="20"/>
                <w:szCs w:val="20"/>
              </w:rPr>
            </w:pPr>
            <w:r w:rsidRPr="002D6545">
              <w:rPr>
                <w:rFonts w:ascii="Arial" w:hAnsi="Arial"/>
                <w:sz w:val="20"/>
              </w:rPr>
              <w:t> </w:t>
            </w:r>
          </w:p>
        </w:tc>
      </w:tr>
      <w:tr w:rsidRPr="002D6545" w:rsidR="005E16C5" w:rsidTr="00C90CB4" w14:paraId="3DF2EFCA" w14:textId="77777777">
        <w:trPr>
          <w:gridAfter w:val="1"/>
          <w:wAfter w:w="90" w:type="dxa"/>
          <w:trHeight w:val="300"/>
        </w:trPr>
        <w:tc>
          <w:tcPr>
            <w:tcW w:w="6804" w:type="dxa"/>
            <w:tcBorders>
              <w:left w:val="nil"/>
              <w:right w:val="nil"/>
            </w:tcBorders>
            <w:noWrap/>
            <w:hideMark/>
          </w:tcPr>
          <w:p w:rsidRPr="002D6545" w:rsidR="005E16C5" w:rsidP="00C90CB4" w:rsidRDefault="005E16C5" w14:paraId="2C257E19" w14:textId="77777777">
            <w:pPr>
              <w:ind w:firstLine="400" w:firstLineChars="200"/>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Datum poročanja (llll. mm. dd)</w:t>
            </w:r>
          </w:p>
        </w:tc>
        <w:tc>
          <w:tcPr>
            <w:tcW w:w="2745" w:type="dxa"/>
            <w:tcBorders>
              <w:left w:val="nil"/>
              <w:bottom w:val="single" w:color="auto" w:sz="4" w:space="0"/>
              <w:right w:val="nil"/>
            </w:tcBorders>
            <w:noWrap/>
            <w:hideMark/>
          </w:tcPr>
          <w:p w:rsidRPr="002D6545" w:rsidR="005E16C5" w:rsidP="00C90CB4" w:rsidRDefault="005E16C5" w14:paraId="35634FA3" w14:textId="77777777">
            <w:pPr>
              <w:jc w:val="center"/>
              <w:rPr>
                <w:rFonts w:ascii="Arial" w:hAnsi="Arial" w:eastAsia="Times New Roman" w:cs="Arial"/>
                <w:sz w:val="20"/>
                <w:szCs w:val="20"/>
                <w:lang w:eastAsia="en-GB"/>
              </w:rPr>
            </w:pPr>
          </w:p>
        </w:tc>
      </w:tr>
      <w:tr w:rsidRPr="002D6545" w:rsidR="005E16C5" w:rsidTr="00C90CB4" w14:paraId="5CFA2218" w14:textId="77777777">
        <w:trPr>
          <w:gridAfter w:val="1"/>
          <w:wAfter w:w="90" w:type="dxa"/>
          <w:trHeight w:val="300"/>
        </w:trPr>
        <w:tc>
          <w:tcPr>
            <w:tcW w:w="6804" w:type="dxa"/>
            <w:tcBorders>
              <w:left w:val="nil"/>
              <w:right w:val="nil"/>
            </w:tcBorders>
            <w:noWrap/>
            <w:hideMark/>
          </w:tcPr>
          <w:p w:rsidRPr="002D6545" w:rsidR="005E16C5" w:rsidP="00C90CB4" w:rsidRDefault="005E16C5" w14:paraId="2BE5EE7A" w14:textId="77777777">
            <w:pPr>
              <w:ind w:firstLine="400" w:firstLineChars="200"/>
              <w:rPr>
                <w:rFonts w:ascii="Arial" w:hAnsi="Arial" w:eastAsia="Times New Roman" w:cs="Arial"/>
                <w:sz w:val="20"/>
                <w:szCs w:val="20"/>
              </w:rPr>
            </w:pPr>
            <w:r w:rsidRPr="002D6545">
              <w:rPr>
                <w:rFonts w:ascii="Arial" w:hAnsi="Arial"/>
                <w:sz w:val="20"/>
                <w:lang w:eastAsia="en-GB"/>
              </w:rPr>
              <w:t xml:space="preserve">(4) </w:t>
            </w:r>
            <w:r w:rsidRPr="002D6545">
              <w:rPr>
                <w:rFonts w:ascii="Arial" w:hAnsi="Arial"/>
                <w:sz w:val="20"/>
              </w:rPr>
              <w:t>Valuta poročanja</w:t>
            </w:r>
          </w:p>
        </w:tc>
        <w:tc>
          <w:tcPr>
            <w:tcW w:w="2745" w:type="dxa"/>
            <w:tcBorders>
              <w:left w:val="nil"/>
              <w:bottom w:val="single" w:color="auto" w:sz="4" w:space="0"/>
              <w:right w:val="nil"/>
            </w:tcBorders>
            <w:noWrap/>
            <w:hideMark/>
          </w:tcPr>
          <w:p w:rsidRPr="002D6545" w:rsidR="005E16C5" w:rsidP="00C90CB4" w:rsidRDefault="005E16C5" w14:paraId="2EFA8CD9" w14:textId="77777777">
            <w:pPr>
              <w:jc w:val="center"/>
              <w:rPr>
                <w:rFonts w:ascii="Arial" w:hAnsi="Arial" w:eastAsia="Times New Roman" w:cs="Arial"/>
                <w:sz w:val="20"/>
                <w:szCs w:val="20"/>
                <w:lang w:eastAsia="en-GB"/>
              </w:rPr>
            </w:pPr>
          </w:p>
        </w:tc>
      </w:tr>
      <w:tr w:rsidRPr="002D6545" w:rsidR="005E16C5" w:rsidTr="00C90CB4" w14:paraId="56E3FE74" w14:textId="77777777">
        <w:trPr>
          <w:gridAfter w:val="1"/>
          <w:wAfter w:w="90" w:type="dxa"/>
          <w:trHeight w:val="300"/>
        </w:trPr>
        <w:tc>
          <w:tcPr>
            <w:tcW w:w="6804" w:type="dxa"/>
            <w:tcBorders>
              <w:left w:val="nil"/>
              <w:right w:val="nil"/>
            </w:tcBorders>
            <w:noWrap/>
            <w:hideMark/>
          </w:tcPr>
          <w:p w:rsidRPr="002D6545" w:rsidR="005E16C5" w:rsidP="00C90CB4" w:rsidRDefault="005E16C5" w14:paraId="02FAD494" w14:textId="77777777">
            <w:pPr>
              <w:ind w:firstLine="400" w:firstLineChars="200"/>
              <w:rPr>
                <w:rFonts w:ascii="Arial" w:hAnsi="Arial" w:eastAsia="Times New Roman" w:cs="Arial"/>
                <w:sz w:val="20"/>
                <w:szCs w:val="20"/>
              </w:rPr>
            </w:pPr>
            <w:r w:rsidRPr="002D6545">
              <w:rPr>
                <w:rFonts w:ascii="Arial" w:hAnsi="Arial"/>
                <w:sz w:val="20"/>
                <w:lang w:eastAsia="en-GB"/>
              </w:rPr>
              <w:t xml:space="preserve">(5) </w:t>
            </w:r>
            <w:r w:rsidRPr="002D6545">
              <w:rPr>
                <w:rFonts w:ascii="Arial" w:hAnsi="Arial"/>
                <w:sz w:val="20"/>
              </w:rPr>
              <w:t>Menjalni tečaj eura</w:t>
            </w:r>
          </w:p>
        </w:tc>
        <w:tc>
          <w:tcPr>
            <w:tcW w:w="2745" w:type="dxa"/>
            <w:tcBorders>
              <w:left w:val="nil"/>
              <w:bottom w:val="single" w:color="auto" w:sz="4" w:space="0"/>
              <w:right w:val="nil"/>
            </w:tcBorders>
            <w:noWrap/>
            <w:hideMark/>
          </w:tcPr>
          <w:p w:rsidRPr="002D6545" w:rsidR="005E16C5" w:rsidP="00C90CB4" w:rsidRDefault="005E16C5" w14:paraId="6BB9EDC8" w14:textId="77777777">
            <w:pPr>
              <w:rPr>
                <w:rFonts w:ascii="Arial" w:hAnsi="Arial" w:eastAsia="Times New Roman" w:cs="Arial"/>
                <w:sz w:val="20"/>
                <w:szCs w:val="20"/>
              </w:rPr>
            </w:pPr>
            <w:r w:rsidRPr="002D6545">
              <w:rPr>
                <w:rFonts w:ascii="Arial" w:hAnsi="Arial"/>
                <w:sz w:val="20"/>
              </w:rPr>
              <w:t> </w:t>
            </w:r>
          </w:p>
        </w:tc>
      </w:tr>
      <w:tr w:rsidRPr="002D6545" w:rsidR="005E16C5" w:rsidTr="00C90CB4" w14:paraId="156BB6B5" w14:textId="77777777">
        <w:trPr>
          <w:gridAfter w:val="1"/>
          <w:wAfter w:w="90" w:type="dxa"/>
          <w:trHeight w:val="300"/>
        </w:trPr>
        <w:tc>
          <w:tcPr>
            <w:tcW w:w="6804" w:type="dxa"/>
            <w:tcBorders>
              <w:left w:val="nil"/>
              <w:right w:val="nil"/>
            </w:tcBorders>
            <w:noWrap/>
            <w:hideMark/>
          </w:tcPr>
          <w:p w:rsidRPr="002D6545" w:rsidR="005E16C5" w:rsidP="00C90CB4" w:rsidRDefault="005E16C5" w14:paraId="03A58F2C" w14:textId="77777777">
            <w:pPr>
              <w:ind w:firstLine="400" w:firstLineChars="200"/>
              <w:rPr>
                <w:rFonts w:ascii="Arial" w:hAnsi="Arial" w:eastAsia="Times New Roman" w:cs="Arial"/>
                <w:sz w:val="20"/>
                <w:szCs w:val="20"/>
              </w:rPr>
            </w:pPr>
            <w:r w:rsidRPr="002D6545">
              <w:rPr>
                <w:rFonts w:ascii="Arial" w:hAnsi="Arial"/>
                <w:sz w:val="20"/>
                <w:lang w:eastAsia="en-GB"/>
              </w:rPr>
              <w:t xml:space="preserve">(6) </w:t>
            </w:r>
            <w:r w:rsidRPr="002D6545">
              <w:rPr>
                <w:rFonts w:ascii="Arial" w:hAnsi="Arial"/>
                <w:sz w:val="20"/>
              </w:rPr>
              <w:t>Datum predložitve (llll. mm. dd)</w:t>
            </w:r>
          </w:p>
        </w:tc>
        <w:tc>
          <w:tcPr>
            <w:tcW w:w="2745" w:type="dxa"/>
            <w:tcBorders>
              <w:left w:val="nil"/>
              <w:bottom w:val="single" w:color="auto" w:sz="4" w:space="0"/>
              <w:right w:val="nil"/>
            </w:tcBorders>
            <w:noWrap/>
            <w:hideMark/>
          </w:tcPr>
          <w:p w:rsidRPr="002D6545" w:rsidR="005E16C5" w:rsidP="00C90CB4" w:rsidRDefault="005E16C5" w14:paraId="01723519" w14:textId="77777777">
            <w:pPr>
              <w:jc w:val="center"/>
              <w:rPr>
                <w:rFonts w:ascii="Arial" w:hAnsi="Arial" w:eastAsia="Times New Roman" w:cs="Arial"/>
                <w:sz w:val="20"/>
                <w:szCs w:val="20"/>
              </w:rPr>
            </w:pPr>
            <w:r w:rsidRPr="002D6545">
              <w:rPr>
                <w:rFonts w:ascii="Arial" w:hAnsi="Arial"/>
                <w:sz w:val="20"/>
              </w:rPr>
              <w:t> </w:t>
            </w:r>
          </w:p>
        </w:tc>
      </w:tr>
      <w:tr w:rsidRPr="002D6545" w:rsidR="005E16C5" w:rsidTr="00C90CB4" w14:paraId="24AADA19" w14:textId="77777777">
        <w:trPr>
          <w:gridAfter w:val="1"/>
          <w:wAfter w:w="90" w:type="dxa"/>
          <w:trHeight w:val="300"/>
        </w:trPr>
        <w:tc>
          <w:tcPr>
            <w:tcW w:w="6804" w:type="dxa"/>
            <w:tcBorders>
              <w:left w:val="nil"/>
              <w:right w:val="nil"/>
            </w:tcBorders>
            <w:noWrap/>
            <w:hideMark/>
          </w:tcPr>
          <w:p w:rsidRPr="002D6545" w:rsidR="005E16C5" w:rsidP="00C90CB4" w:rsidRDefault="005E16C5" w14:paraId="604D0130" w14:textId="77777777">
            <w:pPr>
              <w:ind w:firstLine="200" w:firstLineChars="100"/>
              <w:rPr>
                <w:rFonts w:ascii="Arial" w:hAnsi="Arial" w:eastAsia="Times New Roman" w:cs="Arial"/>
                <w:sz w:val="20"/>
                <w:szCs w:val="20"/>
              </w:rPr>
            </w:pPr>
            <w:r w:rsidRPr="002D6545">
              <w:rPr>
                <w:rFonts w:ascii="Arial" w:hAnsi="Arial"/>
                <w:sz w:val="20"/>
              </w:rPr>
              <w:t>b. Splošne informacije, ki jih zagotovi institucija, ki poroča:</w:t>
            </w:r>
          </w:p>
        </w:tc>
        <w:tc>
          <w:tcPr>
            <w:tcW w:w="2745" w:type="dxa"/>
            <w:tcBorders>
              <w:left w:val="nil"/>
              <w:bottom w:val="single" w:color="auto" w:sz="4" w:space="0"/>
              <w:right w:val="nil"/>
            </w:tcBorders>
            <w:noWrap/>
            <w:hideMark/>
          </w:tcPr>
          <w:p w:rsidRPr="002D6545" w:rsidR="005E16C5" w:rsidP="00C90CB4" w:rsidRDefault="005E16C5" w14:paraId="05338610" w14:textId="77777777">
            <w:pPr>
              <w:ind w:firstLine="200" w:firstLineChars="100"/>
              <w:rPr>
                <w:rFonts w:ascii="Arial" w:hAnsi="Arial" w:eastAsia="Times New Roman" w:cs="Arial"/>
                <w:sz w:val="20"/>
                <w:szCs w:val="20"/>
              </w:rPr>
            </w:pPr>
            <w:r w:rsidRPr="002D6545">
              <w:rPr>
                <w:rFonts w:ascii="Arial" w:hAnsi="Arial"/>
                <w:sz w:val="20"/>
              </w:rPr>
              <w:t> </w:t>
            </w:r>
          </w:p>
        </w:tc>
      </w:tr>
      <w:tr w:rsidRPr="002D6545" w:rsidR="005E16C5" w:rsidTr="00C90CB4" w14:paraId="6F0592F0" w14:textId="77777777">
        <w:trPr>
          <w:gridAfter w:val="1"/>
          <w:wAfter w:w="90" w:type="dxa"/>
          <w:trHeight w:val="300"/>
        </w:trPr>
        <w:tc>
          <w:tcPr>
            <w:tcW w:w="6804" w:type="dxa"/>
            <w:tcBorders>
              <w:left w:val="nil"/>
              <w:right w:val="nil"/>
            </w:tcBorders>
            <w:noWrap/>
            <w:hideMark/>
          </w:tcPr>
          <w:p w:rsidRPr="002D6545" w:rsidR="005E16C5" w:rsidP="00C90CB4" w:rsidRDefault="005E16C5" w14:paraId="497DB318"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Poročevalska enota</w:t>
            </w:r>
          </w:p>
        </w:tc>
        <w:tc>
          <w:tcPr>
            <w:tcW w:w="2745" w:type="dxa"/>
            <w:tcBorders>
              <w:left w:val="nil"/>
              <w:bottom w:val="single" w:color="auto" w:sz="4" w:space="0"/>
              <w:right w:val="nil"/>
            </w:tcBorders>
            <w:noWrap/>
            <w:hideMark/>
          </w:tcPr>
          <w:p w:rsidRPr="002D6545" w:rsidR="005E16C5" w:rsidP="00C90CB4" w:rsidRDefault="005E16C5" w14:paraId="764C7A87" w14:textId="77777777">
            <w:pPr>
              <w:jc w:val="center"/>
              <w:rPr>
                <w:rFonts w:ascii="Arial" w:hAnsi="Arial" w:eastAsia="Times New Roman" w:cs="Arial"/>
                <w:sz w:val="20"/>
                <w:szCs w:val="20"/>
              </w:rPr>
            </w:pPr>
            <w:r w:rsidRPr="002D6545">
              <w:rPr>
                <w:rFonts w:ascii="Arial" w:hAnsi="Arial"/>
                <w:sz w:val="20"/>
              </w:rPr>
              <w:t> </w:t>
            </w:r>
          </w:p>
        </w:tc>
      </w:tr>
      <w:tr w:rsidRPr="002D6545" w:rsidR="005E16C5" w:rsidTr="00C90CB4" w14:paraId="1F804F01" w14:textId="77777777">
        <w:trPr>
          <w:gridAfter w:val="1"/>
          <w:wAfter w:w="90" w:type="dxa"/>
          <w:trHeight w:val="300"/>
        </w:trPr>
        <w:tc>
          <w:tcPr>
            <w:tcW w:w="6804" w:type="dxa"/>
            <w:tcBorders>
              <w:left w:val="nil"/>
              <w:right w:val="nil"/>
            </w:tcBorders>
            <w:noWrap/>
            <w:hideMark/>
          </w:tcPr>
          <w:p w:rsidRPr="002D6545" w:rsidR="005E16C5" w:rsidP="00C90CB4" w:rsidRDefault="005E16C5" w14:paraId="43E2F1CE"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Računovodski standard</w:t>
            </w:r>
          </w:p>
        </w:tc>
        <w:tc>
          <w:tcPr>
            <w:tcW w:w="2745" w:type="dxa"/>
            <w:tcBorders>
              <w:left w:val="nil"/>
              <w:bottom w:val="single" w:color="auto" w:sz="4" w:space="0"/>
              <w:right w:val="nil"/>
            </w:tcBorders>
            <w:hideMark/>
          </w:tcPr>
          <w:p w:rsidRPr="002D6545" w:rsidR="005E16C5" w:rsidP="00C90CB4" w:rsidRDefault="005E16C5" w14:paraId="746345F9" w14:textId="77777777">
            <w:pPr>
              <w:jc w:val="center"/>
              <w:rPr>
                <w:rFonts w:ascii="Arial" w:hAnsi="Arial" w:eastAsia="Times New Roman" w:cs="Arial"/>
                <w:sz w:val="20"/>
                <w:szCs w:val="20"/>
              </w:rPr>
            </w:pPr>
            <w:r w:rsidRPr="002D6545">
              <w:rPr>
                <w:rFonts w:ascii="Arial" w:hAnsi="Arial"/>
                <w:sz w:val="20"/>
              </w:rPr>
              <w:t> </w:t>
            </w:r>
          </w:p>
        </w:tc>
      </w:tr>
      <w:tr w:rsidRPr="002D6545" w:rsidR="005E16C5" w:rsidTr="00C90CB4" w14:paraId="5198FD31" w14:textId="77777777">
        <w:trPr>
          <w:gridAfter w:val="1"/>
          <w:wAfter w:w="90" w:type="dxa"/>
          <w:trHeight w:val="300"/>
        </w:trPr>
        <w:tc>
          <w:tcPr>
            <w:tcW w:w="6804" w:type="dxa"/>
            <w:tcBorders>
              <w:left w:val="nil"/>
              <w:right w:val="nil"/>
            </w:tcBorders>
            <w:noWrap/>
            <w:hideMark/>
          </w:tcPr>
          <w:p w:rsidRPr="002D6545" w:rsidR="005E16C5" w:rsidP="00C90CB4" w:rsidRDefault="005E16C5" w14:paraId="1863A26C" w14:textId="77777777">
            <w:pPr>
              <w:ind w:firstLine="400" w:firstLineChars="200"/>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Datum javnega razkritja (llll. mm. dd)</w:t>
            </w:r>
          </w:p>
        </w:tc>
        <w:tc>
          <w:tcPr>
            <w:tcW w:w="2745" w:type="dxa"/>
            <w:tcBorders>
              <w:left w:val="nil"/>
              <w:bottom w:val="single" w:color="auto" w:sz="4" w:space="0"/>
              <w:right w:val="nil"/>
            </w:tcBorders>
            <w:noWrap/>
            <w:hideMark/>
          </w:tcPr>
          <w:p w:rsidRPr="002D6545" w:rsidR="005E16C5" w:rsidP="00C90CB4" w:rsidRDefault="005E16C5" w14:paraId="415AC088" w14:textId="77777777">
            <w:pPr>
              <w:jc w:val="center"/>
              <w:rPr>
                <w:rFonts w:ascii="Arial" w:hAnsi="Arial" w:eastAsia="Times New Roman" w:cs="Arial"/>
                <w:sz w:val="20"/>
                <w:szCs w:val="20"/>
              </w:rPr>
            </w:pPr>
            <w:r w:rsidRPr="002D6545">
              <w:rPr>
                <w:rFonts w:ascii="Arial" w:hAnsi="Arial"/>
                <w:sz w:val="20"/>
              </w:rPr>
              <w:t> </w:t>
            </w:r>
          </w:p>
        </w:tc>
      </w:tr>
      <w:tr w:rsidRPr="002D6545" w:rsidR="005E16C5" w:rsidTr="00C90CB4" w14:paraId="5120812D" w14:textId="77777777">
        <w:trPr>
          <w:gridAfter w:val="1"/>
          <w:wAfter w:w="90" w:type="dxa"/>
          <w:trHeight w:val="300"/>
        </w:trPr>
        <w:tc>
          <w:tcPr>
            <w:tcW w:w="6804" w:type="dxa"/>
            <w:tcBorders>
              <w:left w:val="nil"/>
              <w:right w:val="nil"/>
            </w:tcBorders>
            <w:noWrap/>
            <w:hideMark/>
          </w:tcPr>
          <w:p w:rsidRPr="002D6545" w:rsidR="005E16C5" w:rsidP="00C90CB4" w:rsidRDefault="005E16C5" w14:paraId="75362E31" w14:textId="77777777">
            <w:pPr>
              <w:ind w:firstLine="400" w:firstLineChars="200"/>
              <w:rPr>
                <w:rFonts w:ascii="Arial" w:hAnsi="Arial" w:eastAsia="Times New Roman" w:cs="Arial"/>
                <w:sz w:val="20"/>
                <w:szCs w:val="20"/>
              </w:rPr>
            </w:pPr>
            <w:r w:rsidRPr="002D6545">
              <w:rPr>
                <w:rFonts w:ascii="Arial" w:hAnsi="Arial"/>
                <w:sz w:val="20"/>
                <w:lang w:eastAsia="en-GB"/>
              </w:rPr>
              <w:t xml:space="preserve">(4) </w:t>
            </w:r>
            <w:r w:rsidRPr="002D6545">
              <w:rPr>
                <w:rFonts w:ascii="Arial" w:hAnsi="Arial"/>
                <w:sz w:val="20"/>
              </w:rPr>
              <w:t>Jezik javnega razkritja</w:t>
            </w:r>
          </w:p>
        </w:tc>
        <w:tc>
          <w:tcPr>
            <w:tcW w:w="2745" w:type="dxa"/>
            <w:tcBorders>
              <w:left w:val="nil"/>
              <w:bottom w:val="single" w:color="auto" w:sz="4" w:space="0"/>
              <w:right w:val="nil"/>
            </w:tcBorders>
            <w:hideMark/>
          </w:tcPr>
          <w:p w:rsidRPr="002D6545" w:rsidR="005E16C5" w:rsidP="00C90CB4" w:rsidRDefault="005E16C5" w14:paraId="3A97157F" w14:textId="77777777">
            <w:pPr>
              <w:jc w:val="center"/>
              <w:rPr>
                <w:rFonts w:ascii="Arial" w:hAnsi="Arial" w:eastAsia="Times New Roman" w:cs="Arial"/>
                <w:sz w:val="20"/>
                <w:szCs w:val="20"/>
              </w:rPr>
            </w:pPr>
            <w:r w:rsidRPr="002D6545">
              <w:rPr>
                <w:rFonts w:ascii="Arial" w:hAnsi="Arial"/>
                <w:sz w:val="20"/>
              </w:rPr>
              <w:t> </w:t>
            </w:r>
          </w:p>
        </w:tc>
      </w:tr>
      <w:tr w:rsidRPr="002D6545" w:rsidR="005E16C5" w:rsidTr="00C90CB4" w14:paraId="2F09959E"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67088598" w14:textId="77777777">
            <w:pPr>
              <w:ind w:firstLine="400" w:firstLineChars="200"/>
              <w:rPr>
                <w:rFonts w:ascii="Arial" w:hAnsi="Arial" w:eastAsia="Times New Roman" w:cs="Arial"/>
                <w:sz w:val="20"/>
                <w:szCs w:val="20"/>
              </w:rPr>
            </w:pPr>
            <w:r w:rsidRPr="002D6545">
              <w:rPr>
                <w:rFonts w:ascii="Arial" w:hAnsi="Arial"/>
                <w:sz w:val="20"/>
                <w:lang w:eastAsia="en-GB"/>
              </w:rPr>
              <w:t xml:space="preserve">(5) </w:t>
            </w:r>
            <w:r w:rsidRPr="002D6545">
              <w:rPr>
                <w:rFonts w:ascii="Arial" w:hAnsi="Arial"/>
                <w:sz w:val="20"/>
              </w:rPr>
              <w:t>Spletni naslov javnega razkritja</w:t>
            </w:r>
          </w:p>
        </w:tc>
        <w:tc>
          <w:tcPr>
            <w:tcW w:w="2745" w:type="dxa"/>
            <w:tcBorders>
              <w:left w:val="nil"/>
              <w:bottom w:val="single" w:color="auto" w:sz="4" w:space="0"/>
              <w:right w:val="nil"/>
            </w:tcBorders>
            <w:noWrap/>
            <w:hideMark/>
          </w:tcPr>
          <w:p w:rsidRPr="002D6545" w:rsidR="005E16C5" w:rsidP="00C90CB4" w:rsidRDefault="005E16C5" w14:paraId="4CFA07C9" w14:textId="77777777">
            <w:pPr>
              <w:jc w:val="center"/>
              <w:rPr>
                <w:rFonts w:ascii="Arial" w:hAnsi="Arial" w:eastAsia="Times New Roman" w:cs="Arial"/>
                <w:color w:val="0000FF"/>
                <w:sz w:val="20"/>
                <w:szCs w:val="20"/>
                <w:u w:val="single"/>
                <w:lang w:eastAsia="en-GB"/>
              </w:rPr>
            </w:pPr>
          </w:p>
        </w:tc>
      </w:tr>
      <w:tr w:rsidRPr="002D6545" w:rsidR="005E16C5" w:rsidTr="00C90CB4" w14:paraId="3C5AEEF4"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1DBDA1F2" w14:textId="77777777">
            <w:pPr>
              <w:ind w:firstLine="400" w:firstLineChars="200"/>
              <w:rPr>
                <w:rFonts w:ascii="Arial" w:hAnsi="Arial" w:eastAsia="Times New Roman" w:cs="Arial"/>
                <w:sz w:val="20"/>
                <w:szCs w:val="20"/>
              </w:rPr>
            </w:pPr>
            <w:r w:rsidRPr="002D6545">
              <w:rPr>
                <w:rFonts w:ascii="Arial" w:hAnsi="Arial"/>
                <w:sz w:val="20"/>
                <w:lang w:eastAsia="en-GB"/>
              </w:rPr>
              <w:t xml:space="preserve">(6) </w:t>
            </w:r>
            <w:r w:rsidRPr="002D6545">
              <w:rPr>
                <w:rFonts w:ascii="Arial" w:hAnsi="Arial"/>
                <w:sz w:val="20"/>
              </w:rPr>
              <w:t>Koda LEI</w:t>
            </w:r>
          </w:p>
        </w:tc>
        <w:tc>
          <w:tcPr>
            <w:tcW w:w="2745" w:type="dxa"/>
            <w:tcBorders>
              <w:left w:val="nil"/>
              <w:bottom w:val="single" w:color="auto" w:sz="4" w:space="0"/>
              <w:right w:val="nil"/>
            </w:tcBorders>
            <w:hideMark/>
          </w:tcPr>
          <w:p w:rsidRPr="002D6545" w:rsidR="005E16C5" w:rsidP="00C90CB4" w:rsidRDefault="005E16C5" w14:paraId="0EFA88B3" w14:textId="77777777">
            <w:pPr>
              <w:jc w:val="center"/>
              <w:rPr>
                <w:rFonts w:ascii="Arial" w:hAnsi="Arial" w:eastAsia="Times New Roman" w:cs="Arial"/>
                <w:sz w:val="20"/>
                <w:szCs w:val="20"/>
              </w:rPr>
            </w:pPr>
            <w:r w:rsidRPr="002D6545">
              <w:rPr>
                <w:rFonts w:ascii="Arial" w:hAnsi="Arial"/>
                <w:sz w:val="20"/>
              </w:rPr>
              <w:t> </w:t>
            </w:r>
          </w:p>
        </w:tc>
      </w:tr>
      <w:tr w:rsidRPr="002D6545" w:rsidR="005E16C5" w:rsidTr="00C90CB4" w14:paraId="42658D56"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078DDBC3"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2D6545" w:rsidR="005E16C5" w:rsidP="00C90CB4" w:rsidRDefault="005E16C5" w14:paraId="68348880" w14:textId="77777777">
            <w:pPr>
              <w:jc w:val="center"/>
              <w:rPr>
                <w:rFonts w:ascii="Arial" w:hAnsi="Arial" w:eastAsia="Times New Roman" w:cs="Arial"/>
                <w:sz w:val="20"/>
                <w:szCs w:val="20"/>
                <w:lang w:eastAsia="en-GB"/>
              </w:rPr>
            </w:pPr>
          </w:p>
        </w:tc>
      </w:tr>
      <w:tr w:rsidRPr="002D6545" w:rsidR="005E16C5" w:rsidTr="00C90CB4" w14:paraId="09FEA3C6" w14:textId="77777777">
        <w:trPr>
          <w:gridAfter w:val="1"/>
          <w:wAfter w:w="90" w:type="dxa"/>
          <w:trHeight w:val="300"/>
        </w:trPr>
        <w:tc>
          <w:tcPr>
            <w:tcW w:w="6804" w:type="dxa"/>
            <w:tcBorders>
              <w:top w:val="nil"/>
              <w:left w:val="nil"/>
              <w:bottom w:val="nil"/>
              <w:right w:val="nil"/>
            </w:tcBorders>
            <w:noWrap/>
          </w:tcPr>
          <w:p w:rsidRPr="002D6545" w:rsidR="005E16C5" w:rsidP="00C90CB4" w:rsidRDefault="005E16C5" w14:paraId="4CEBF93A" w14:textId="77777777">
            <w:pPr>
              <w:keepNext/>
              <w:keepLines/>
              <w:spacing w:before="47"/>
              <w:outlineLvl w:val="5"/>
              <w:rPr>
                <w:rFonts w:ascii="Arial" w:hAnsi="Arial" w:eastAsia="Times New Roman" w:cs="Arial"/>
                <w:i/>
                <w:iCs/>
                <w:caps/>
                <w:color w:val="172B39" w:themeColor="accent1" w:themeShade="80"/>
                <w:sz w:val="20"/>
                <w:szCs w:val="20"/>
              </w:rPr>
            </w:pPr>
            <w:r w:rsidRPr="002D6545">
              <w:rPr>
                <w:rFonts w:asciiTheme="majorHAnsi" w:hAnsiTheme="majorHAnsi"/>
                <w:b/>
                <w:i/>
                <w:caps/>
              </w:rPr>
              <w:t>Kazalniki velikosti</w:t>
            </w:r>
          </w:p>
        </w:tc>
        <w:tc>
          <w:tcPr>
            <w:tcW w:w="2745" w:type="dxa"/>
            <w:tcBorders>
              <w:top w:val="nil"/>
              <w:left w:val="nil"/>
              <w:bottom w:val="nil"/>
              <w:right w:val="nil"/>
            </w:tcBorders>
          </w:tcPr>
          <w:p w:rsidRPr="002D6545" w:rsidR="005E16C5" w:rsidP="00C90CB4" w:rsidRDefault="005E16C5" w14:paraId="13C50FDF" w14:textId="77777777">
            <w:pPr>
              <w:jc w:val="center"/>
              <w:rPr>
                <w:rFonts w:ascii="Arial" w:hAnsi="Arial" w:eastAsia="Times New Roman" w:cs="Arial"/>
                <w:sz w:val="20"/>
                <w:szCs w:val="20"/>
                <w:lang w:eastAsia="en-GB"/>
              </w:rPr>
            </w:pPr>
          </w:p>
        </w:tc>
      </w:tr>
      <w:tr w:rsidRPr="002D6545" w:rsidR="005E16C5" w:rsidTr="00C90CB4" w14:paraId="54932C84" w14:textId="77777777">
        <w:trPr>
          <w:gridAfter w:val="1"/>
          <w:wAfter w:w="90" w:type="dxa"/>
          <w:trHeight w:val="300"/>
        </w:trPr>
        <w:tc>
          <w:tcPr>
            <w:tcW w:w="6804" w:type="dxa"/>
            <w:tcBorders>
              <w:top w:val="nil"/>
              <w:left w:val="nil"/>
              <w:bottom w:val="single" w:color="auto" w:sz="4" w:space="0"/>
              <w:right w:val="nil"/>
            </w:tcBorders>
            <w:noWrap/>
          </w:tcPr>
          <w:p w:rsidRPr="002D6545" w:rsidR="005E16C5" w:rsidP="00C90CB4" w:rsidRDefault="005E16C5" w14:paraId="08DD9A88"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2D6545" w:rsidR="005E16C5" w:rsidP="00C90CB4" w:rsidRDefault="005E16C5" w14:paraId="387DFE57" w14:textId="77777777">
            <w:pPr>
              <w:jc w:val="center"/>
              <w:rPr>
                <w:rFonts w:ascii="Arial" w:hAnsi="Arial" w:eastAsia="Times New Roman" w:cs="Arial"/>
                <w:sz w:val="20"/>
                <w:szCs w:val="20"/>
                <w:lang w:eastAsia="en-GB"/>
              </w:rPr>
            </w:pPr>
          </w:p>
        </w:tc>
      </w:tr>
      <w:tr w:rsidRPr="002D6545" w:rsidR="005E16C5" w:rsidTr="00C90CB4" w14:paraId="7D9CF323" w14:textId="77777777">
        <w:trPr>
          <w:gridAfter w:val="1"/>
          <w:wAfter w:w="90" w:type="dxa"/>
          <w:trHeight w:val="300"/>
        </w:trPr>
        <w:tc>
          <w:tcPr>
            <w:tcW w:w="6804" w:type="dxa"/>
            <w:tcBorders>
              <w:left w:val="nil"/>
              <w:right w:val="nil"/>
            </w:tcBorders>
            <w:noWrap/>
          </w:tcPr>
          <w:p w:rsidRPr="002D6545" w:rsidR="005E16C5" w:rsidP="00C90CB4" w:rsidRDefault="005E16C5" w14:paraId="2D1FA6C9" w14:textId="77777777">
            <w:pPr>
              <w:rPr>
                <w:rFonts w:ascii="Arial" w:hAnsi="Arial" w:eastAsia="Times New Roman" w:cs="Arial"/>
                <w:sz w:val="20"/>
                <w:szCs w:val="20"/>
              </w:rPr>
            </w:pPr>
            <w:r w:rsidRPr="002D6545">
              <w:rPr>
                <w:rFonts w:ascii="Arial" w:hAnsi="Arial"/>
                <w:b/>
                <w:sz w:val="20"/>
              </w:rPr>
              <w:t>Oddelek 2 – Skupni znesek izpostavljenosti</w:t>
            </w:r>
          </w:p>
        </w:tc>
        <w:tc>
          <w:tcPr>
            <w:tcW w:w="2745" w:type="dxa"/>
            <w:tcBorders>
              <w:left w:val="nil"/>
              <w:right w:val="nil"/>
            </w:tcBorders>
            <w:noWrap/>
          </w:tcPr>
          <w:p w:rsidRPr="002D6545" w:rsidR="005E16C5" w:rsidP="00C90CB4" w:rsidRDefault="005E16C5" w14:paraId="324E36E6" w14:textId="77777777">
            <w:pPr>
              <w:ind w:firstLine="201" w:firstLineChars="100"/>
              <w:jc w:val="center"/>
              <w:rPr>
                <w:rFonts w:ascii="Arial" w:hAnsi="Arial" w:eastAsia="Times New Roman" w:cs="Arial"/>
                <w:sz w:val="20"/>
                <w:szCs w:val="20"/>
              </w:rPr>
            </w:pPr>
            <w:r w:rsidRPr="002D6545">
              <w:rPr>
                <w:rFonts w:ascii="Arial" w:hAnsi="Arial"/>
                <w:b/>
                <w:sz w:val="20"/>
              </w:rPr>
              <w:t>Znesek</w:t>
            </w:r>
          </w:p>
        </w:tc>
      </w:tr>
      <w:tr w:rsidRPr="002D6545" w:rsidR="005E16C5" w:rsidTr="00C90CB4" w14:paraId="166B7AB7" w14:textId="77777777">
        <w:trPr>
          <w:gridAfter w:val="1"/>
          <w:wAfter w:w="90" w:type="dxa"/>
          <w:trHeight w:val="300"/>
        </w:trPr>
        <w:tc>
          <w:tcPr>
            <w:tcW w:w="6804" w:type="dxa"/>
            <w:tcBorders>
              <w:left w:val="nil"/>
              <w:right w:val="nil"/>
            </w:tcBorders>
            <w:noWrap/>
            <w:hideMark/>
          </w:tcPr>
          <w:p w:rsidRPr="002D6545" w:rsidR="005E16C5" w:rsidP="00C90CB4" w:rsidRDefault="005E16C5" w14:paraId="092880E7" w14:textId="77777777">
            <w:pPr>
              <w:ind w:firstLine="200" w:firstLineChars="100"/>
              <w:rPr>
                <w:rFonts w:ascii="Arial" w:hAnsi="Arial" w:eastAsia="Times New Roman" w:cs="Arial"/>
                <w:sz w:val="20"/>
                <w:szCs w:val="20"/>
              </w:rPr>
            </w:pPr>
            <w:r w:rsidRPr="002D6545">
              <w:rPr>
                <w:rFonts w:ascii="Arial" w:hAnsi="Arial"/>
                <w:sz w:val="20"/>
              </w:rPr>
              <w:t>a. Izvedeni finančni instrumenti</w:t>
            </w:r>
          </w:p>
        </w:tc>
        <w:tc>
          <w:tcPr>
            <w:tcW w:w="2745" w:type="dxa"/>
            <w:tcBorders>
              <w:left w:val="nil"/>
              <w:right w:val="nil"/>
            </w:tcBorders>
            <w:noWrap/>
            <w:hideMark/>
          </w:tcPr>
          <w:p w:rsidRPr="002D6545" w:rsidR="005E16C5" w:rsidP="00C90CB4" w:rsidRDefault="005E16C5" w14:paraId="71E5C2B4" w14:textId="77777777">
            <w:pPr>
              <w:ind w:firstLine="200" w:firstLineChars="100"/>
              <w:rPr>
                <w:rFonts w:ascii="Arial" w:hAnsi="Arial" w:eastAsia="Times New Roman" w:cs="Arial"/>
                <w:sz w:val="20"/>
                <w:szCs w:val="20"/>
              </w:rPr>
            </w:pPr>
            <w:r w:rsidRPr="002D6545">
              <w:rPr>
                <w:rFonts w:ascii="Arial" w:hAnsi="Arial"/>
                <w:sz w:val="20"/>
              </w:rPr>
              <w:t> </w:t>
            </w:r>
          </w:p>
        </w:tc>
      </w:tr>
      <w:tr w:rsidRPr="002D6545" w:rsidR="005E16C5" w:rsidTr="00C90CB4" w14:paraId="34BBD49D" w14:textId="77777777">
        <w:trPr>
          <w:gridAfter w:val="1"/>
          <w:wAfter w:w="90" w:type="dxa"/>
          <w:trHeight w:val="300"/>
        </w:trPr>
        <w:tc>
          <w:tcPr>
            <w:tcW w:w="6804" w:type="dxa"/>
            <w:tcBorders>
              <w:left w:val="nil"/>
              <w:right w:val="nil"/>
            </w:tcBorders>
            <w:noWrap/>
            <w:hideMark/>
          </w:tcPr>
          <w:p w:rsidRPr="002D6545" w:rsidR="005E16C5" w:rsidP="00C90CB4" w:rsidRDefault="005E16C5" w14:paraId="344F73C1"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Izpostavljenost nasprotne stranke iz naslova pogodb na izvedene finančne instrumente</w:t>
            </w:r>
          </w:p>
        </w:tc>
        <w:tc>
          <w:tcPr>
            <w:tcW w:w="2745" w:type="dxa"/>
            <w:tcBorders>
              <w:left w:val="nil"/>
              <w:right w:val="nil"/>
            </w:tcBorders>
            <w:noWrap/>
            <w:hideMark/>
          </w:tcPr>
          <w:p w:rsidRPr="002D6545" w:rsidR="005E16C5" w:rsidP="00C90CB4" w:rsidRDefault="005E16C5" w14:paraId="67189292"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5B4A694" w14:textId="77777777">
        <w:trPr>
          <w:gridAfter w:val="1"/>
          <w:wAfter w:w="90" w:type="dxa"/>
          <w:trHeight w:val="300"/>
        </w:trPr>
        <w:tc>
          <w:tcPr>
            <w:tcW w:w="6804" w:type="dxa"/>
            <w:tcBorders>
              <w:left w:val="nil"/>
              <w:right w:val="nil"/>
            </w:tcBorders>
            <w:noWrap/>
            <w:hideMark/>
          </w:tcPr>
          <w:p w:rsidRPr="002D6545" w:rsidR="005E16C5" w:rsidP="00C90CB4" w:rsidRDefault="005E16C5" w14:paraId="24D86241"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Omejeni nominalni znesek kreditnih izvedenih finančnih instrumentov</w:t>
            </w:r>
          </w:p>
        </w:tc>
        <w:tc>
          <w:tcPr>
            <w:tcW w:w="2745" w:type="dxa"/>
            <w:tcBorders>
              <w:left w:val="nil"/>
              <w:right w:val="nil"/>
            </w:tcBorders>
            <w:noWrap/>
            <w:hideMark/>
          </w:tcPr>
          <w:p w:rsidRPr="002D6545" w:rsidR="005E16C5" w:rsidP="00C90CB4" w:rsidRDefault="005E16C5" w14:paraId="1C3E1B93"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E0AB2A7" w14:textId="77777777">
        <w:trPr>
          <w:gridAfter w:val="1"/>
          <w:wAfter w:w="90" w:type="dxa"/>
          <w:trHeight w:val="300"/>
        </w:trPr>
        <w:tc>
          <w:tcPr>
            <w:tcW w:w="6804" w:type="dxa"/>
            <w:tcBorders>
              <w:left w:val="nil"/>
              <w:right w:val="nil"/>
            </w:tcBorders>
            <w:noWrap/>
            <w:hideMark/>
          </w:tcPr>
          <w:p w:rsidRPr="002D6545" w:rsidR="005E16C5" w:rsidP="00C90CB4" w:rsidRDefault="005E16C5" w14:paraId="4E673CE1" w14:textId="77777777">
            <w:pPr>
              <w:ind w:firstLine="400" w:firstLineChars="200"/>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Morebitne prihodnje izpostavljenosti iz naslova pogodb na izvedene finančne instrumente</w:t>
            </w:r>
          </w:p>
        </w:tc>
        <w:tc>
          <w:tcPr>
            <w:tcW w:w="2745" w:type="dxa"/>
            <w:tcBorders>
              <w:left w:val="nil"/>
              <w:right w:val="nil"/>
            </w:tcBorders>
            <w:noWrap/>
            <w:hideMark/>
          </w:tcPr>
          <w:p w:rsidRPr="002D6545" w:rsidR="005E16C5" w:rsidP="00C90CB4" w:rsidRDefault="005E16C5" w14:paraId="699757A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0C718A1F" w14:textId="77777777">
        <w:trPr>
          <w:gridAfter w:val="1"/>
          <w:wAfter w:w="90" w:type="dxa"/>
          <w:trHeight w:val="300"/>
        </w:trPr>
        <w:tc>
          <w:tcPr>
            <w:tcW w:w="6804" w:type="dxa"/>
            <w:tcBorders>
              <w:left w:val="nil"/>
              <w:right w:val="nil"/>
            </w:tcBorders>
            <w:noWrap/>
            <w:hideMark/>
          </w:tcPr>
          <w:p w:rsidRPr="002D6545" w:rsidR="005E16C5" w:rsidP="00C90CB4" w:rsidRDefault="005E16C5" w14:paraId="2B749CB7" w14:textId="77777777">
            <w:pPr>
              <w:ind w:firstLine="200" w:firstLineChars="100"/>
              <w:rPr>
                <w:rFonts w:ascii="Arial" w:hAnsi="Arial" w:eastAsia="Times New Roman" w:cs="Arial"/>
                <w:sz w:val="20"/>
                <w:szCs w:val="20"/>
              </w:rPr>
            </w:pPr>
            <w:r w:rsidRPr="002D6545">
              <w:rPr>
                <w:rFonts w:ascii="Arial" w:hAnsi="Arial"/>
                <w:sz w:val="20"/>
              </w:rPr>
              <w:t>b. Posli financiranja z vrednostnimi papirji</w:t>
            </w:r>
          </w:p>
        </w:tc>
        <w:tc>
          <w:tcPr>
            <w:tcW w:w="2745" w:type="dxa"/>
            <w:tcBorders>
              <w:left w:val="nil"/>
              <w:right w:val="nil"/>
            </w:tcBorders>
            <w:noWrap/>
            <w:hideMark/>
          </w:tcPr>
          <w:p w:rsidRPr="002D6545" w:rsidR="005E16C5" w:rsidP="00C90CB4" w:rsidRDefault="005E16C5" w14:paraId="33ACEFA0" w14:textId="77777777">
            <w:pPr>
              <w:ind w:firstLine="200" w:firstLineChars="100"/>
              <w:rPr>
                <w:rFonts w:ascii="Arial" w:hAnsi="Arial" w:eastAsia="Times New Roman" w:cs="Arial"/>
                <w:sz w:val="20"/>
                <w:szCs w:val="20"/>
              </w:rPr>
            </w:pPr>
            <w:r w:rsidRPr="002D6545">
              <w:rPr>
                <w:rFonts w:ascii="Arial" w:hAnsi="Arial"/>
                <w:sz w:val="20"/>
              </w:rPr>
              <w:t> </w:t>
            </w:r>
          </w:p>
        </w:tc>
      </w:tr>
      <w:tr w:rsidRPr="002D6545" w:rsidR="005E16C5" w:rsidTr="00C90CB4" w14:paraId="1AA6D85D" w14:textId="77777777">
        <w:trPr>
          <w:gridAfter w:val="1"/>
          <w:wAfter w:w="90" w:type="dxa"/>
          <w:trHeight w:val="300"/>
        </w:trPr>
        <w:tc>
          <w:tcPr>
            <w:tcW w:w="6804" w:type="dxa"/>
            <w:tcBorders>
              <w:left w:val="nil"/>
              <w:right w:val="nil"/>
            </w:tcBorders>
            <w:noWrap/>
            <w:hideMark/>
          </w:tcPr>
          <w:p w:rsidRPr="002D6545" w:rsidR="005E16C5" w:rsidP="00C90CB4" w:rsidRDefault="005E16C5" w14:paraId="7ACC7531"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Prilagojena bruto vrednost poslov financiranja z vrednostnimi papirji</w:t>
            </w:r>
          </w:p>
        </w:tc>
        <w:tc>
          <w:tcPr>
            <w:tcW w:w="2745" w:type="dxa"/>
            <w:tcBorders>
              <w:left w:val="nil"/>
              <w:right w:val="nil"/>
            </w:tcBorders>
            <w:noWrap/>
            <w:hideMark/>
          </w:tcPr>
          <w:p w:rsidRPr="002D6545" w:rsidR="005E16C5" w:rsidP="00C90CB4" w:rsidRDefault="005E16C5" w14:paraId="10B8BFE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2B30AE7" w14:textId="77777777">
        <w:trPr>
          <w:gridAfter w:val="1"/>
          <w:wAfter w:w="90" w:type="dxa"/>
          <w:trHeight w:val="300"/>
        </w:trPr>
        <w:tc>
          <w:tcPr>
            <w:tcW w:w="6804" w:type="dxa"/>
            <w:tcBorders>
              <w:left w:val="nil"/>
              <w:right w:val="nil"/>
            </w:tcBorders>
            <w:noWrap/>
            <w:hideMark/>
          </w:tcPr>
          <w:p w:rsidRPr="002D6545" w:rsidR="005E16C5" w:rsidP="00C90CB4" w:rsidRDefault="005E16C5" w14:paraId="0DC71A4A"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Izpostavljenost nasprotne stranke v poslih financiranja z vrednostnimi papirji</w:t>
            </w:r>
          </w:p>
        </w:tc>
        <w:tc>
          <w:tcPr>
            <w:tcW w:w="2745" w:type="dxa"/>
            <w:tcBorders>
              <w:left w:val="nil"/>
              <w:right w:val="nil"/>
            </w:tcBorders>
            <w:noWrap/>
            <w:hideMark/>
          </w:tcPr>
          <w:p w:rsidRPr="002D6545" w:rsidR="005E16C5" w:rsidP="00C90CB4" w:rsidRDefault="005E16C5" w14:paraId="2A484CB2"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40E0040" w14:textId="77777777">
        <w:trPr>
          <w:gridAfter w:val="1"/>
          <w:wAfter w:w="90" w:type="dxa"/>
          <w:trHeight w:val="300"/>
        </w:trPr>
        <w:tc>
          <w:tcPr>
            <w:tcW w:w="6804" w:type="dxa"/>
            <w:tcBorders>
              <w:left w:val="nil"/>
              <w:right w:val="nil"/>
            </w:tcBorders>
            <w:noWrap/>
            <w:hideMark/>
          </w:tcPr>
          <w:p w:rsidRPr="002D6545" w:rsidR="005E16C5" w:rsidP="00C90CB4" w:rsidRDefault="005E16C5" w14:paraId="19B60947" w14:textId="77777777">
            <w:pPr>
              <w:ind w:firstLine="200" w:firstLineChars="100"/>
              <w:rPr>
                <w:rFonts w:ascii="Arial" w:hAnsi="Arial" w:eastAsia="Times New Roman" w:cs="Arial"/>
                <w:sz w:val="20"/>
                <w:szCs w:val="20"/>
              </w:rPr>
            </w:pPr>
            <w:r w:rsidRPr="002D6545">
              <w:rPr>
                <w:rFonts w:ascii="Arial" w:hAnsi="Arial"/>
                <w:sz w:val="20"/>
              </w:rPr>
              <w:t>c. Druga sredstva</w:t>
            </w:r>
          </w:p>
        </w:tc>
        <w:tc>
          <w:tcPr>
            <w:tcW w:w="2745" w:type="dxa"/>
            <w:tcBorders>
              <w:left w:val="nil"/>
              <w:right w:val="nil"/>
            </w:tcBorders>
            <w:noWrap/>
            <w:hideMark/>
          </w:tcPr>
          <w:p w:rsidRPr="002D6545" w:rsidR="005E16C5" w:rsidP="00C90CB4" w:rsidRDefault="005E16C5" w14:paraId="778E959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01D3014" w14:textId="77777777">
        <w:trPr>
          <w:gridAfter w:val="1"/>
          <w:wAfter w:w="90" w:type="dxa"/>
          <w:trHeight w:val="300"/>
        </w:trPr>
        <w:tc>
          <w:tcPr>
            <w:tcW w:w="6804" w:type="dxa"/>
            <w:tcBorders>
              <w:left w:val="nil"/>
              <w:right w:val="nil"/>
            </w:tcBorders>
            <w:noWrap/>
            <w:hideMark/>
          </w:tcPr>
          <w:p w:rsidRPr="002D6545" w:rsidR="005E16C5" w:rsidP="00C90CB4" w:rsidRDefault="005E16C5" w14:paraId="182C5FDC" w14:textId="77777777">
            <w:pPr>
              <w:ind w:firstLine="200" w:firstLineChars="100"/>
              <w:rPr>
                <w:rFonts w:ascii="Arial" w:hAnsi="Arial" w:eastAsia="Times New Roman" w:cs="Arial"/>
                <w:sz w:val="20"/>
                <w:szCs w:val="20"/>
              </w:rPr>
            </w:pPr>
            <w:r w:rsidRPr="002D6545">
              <w:rPr>
                <w:rFonts w:ascii="Arial" w:hAnsi="Arial"/>
                <w:sz w:val="20"/>
              </w:rPr>
              <w:t>d. Bruto nominalni znesek zunajbilančnih postavk</w:t>
            </w:r>
          </w:p>
        </w:tc>
        <w:tc>
          <w:tcPr>
            <w:tcW w:w="2745" w:type="dxa"/>
            <w:tcBorders>
              <w:left w:val="nil"/>
              <w:right w:val="nil"/>
            </w:tcBorders>
            <w:noWrap/>
            <w:hideMark/>
          </w:tcPr>
          <w:p w:rsidRPr="002D6545" w:rsidR="005E16C5" w:rsidP="00C90CB4" w:rsidRDefault="005E16C5" w14:paraId="79662EC5" w14:textId="77777777">
            <w:pPr>
              <w:ind w:firstLine="200" w:firstLineChars="100"/>
              <w:rPr>
                <w:rFonts w:ascii="Arial" w:hAnsi="Arial" w:eastAsia="Times New Roman" w:cs="Arial"/>
                <w:sz w:val="20"/>
                <w:szCs w:val="20"/>
              </w:rPr>
            </w:pPr>
            <w:r w:rsidRPr="002D6545">
              <w:rPr>
                <w:rFonts w:ascii="Arial" w:hAnsi="Arial"/>
                <w:sz w:val="20"/>
              </w:rPr>
              <w:t> </w:t>
            </w:r>
          </w:p>
        </w:tc>
      </w:tr>
      <w:tr w:rsidRPr="002D6545" w:rsidR="005E16C5" w:rsidTr="00C90CB4" w14:paraId="7895D8B4" w14:textId="77777777">
        <w:trPr>
          <w:gridAfter w:val="1"/>
          <w:wAfter w:w="90" w:type="dxa"/>
          <w:trHeight w:val="300"/>
        </w:trPr>
        <w:tc>
          <w:tcPr>
            <w:tcW w:w="6804" w:type="dxa"/>
            <w:tcBorders>
              <w:left w:val="nil"/>
              <w:right w:val="nil"/>
            </w:tcBorders>
            <w:noWrap/>
            <w:hideMark/>
          </w:tcPr>
          <w:p w:rsidRPr="002D6545" w:rsidR="005E16C5" w:rsidP="00C90CB4" w:rsidRDefault="005E16C5" w14:paraId="5ACA5A7D"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Postavke, za katere velja 0-odstotni kreditni konverzijski faktor (CCF)</w:t>
            </w:r>
          </w:p>
        </w:tc>
        <w:tc>
          <w:tcPr>
            <w:tcW w:w="2745" w:type="dxa"/>
            <w:tcBorders>
              <w:left w:val="nil"/>
              <w:right w:val="nil"/>
            </w:tcBorders>
            <w:noWrap/>
            <w:hideMark/>
          </w:tcPr>
          <w:p w:rsidRPr="002D6545" w:rsidR="005E16C5" w:rsidP="00C90CB4" w:rsidRDefault="005E16C5" w14:paraId="1FFE447B"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058194C" w14:textId="77777777">
        <w:trPr>
          <w:gridAfter w:val="1"/>
          <w:wAfter w:w="90" w:type="dxa"/>
          <w:trHeight w:val="300"/>
        </w:trPr>
        <w:tc>
          <w:tcPr>
            <w:tcW w:w="6804" w:type="dxa"/>
            <w:tcBorders>
              <w:left w:val="nil"/>
              <w:right w:val="nil"/>
            </w:tcBorders>
            <w:noWrap/>
            <w:hideMark/>
          </w:tcPr>
          <w:p w:rsidRPr="002D6545" w:rsidR="005E16C5" w:rsidP="00C90CB4" w:rsidRDefault="005E16C5" w14:paraId="27A7702C"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Postavke, za katere velja 20-odstotni CCF</w:t>
            </w:r>
          </w:p>
        </w:tc>
        <w:tc>
          <w:tcPr>
            <w:tcW w:w="2745" w:type="dxa"/>
            <w:tcBorders>
              <w:left w:val="nil"/>
              <w:right w:val="nil"/>
            </w:tcBorders>
            <w:noWrap/>
            <w:hideMark/>
          </w:tcPr>
          <w:p w:rsidRPr="002D6545" w:rsidR="005E16C5" w:rsidP="00C90CB4" w:rsidRDefault="005E16C5" w14:paraId="5D87085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884C77F" w14:textId="77777777">
        <w:trPr>
          <w:gridAfter w:val="1"/>
          <w:wAfter w:w="90" w:type="dxa"/>
          <w:trHeight w:val="300"/>
        </w:trPr>
        <w:tc>
          <w:tcPr>
            <w:tcW w:w="6804" w:type="dxa"/>
            <w:tcBorders>
              <w:left w:val="nil"/>
              <w:right w:val="nil"/>
            </w:tcBorders>
            <w:noWrap/>
            <w:hideMark/>
          </w:tcPr>
          <w:p w:rsidRPr="002D6545" w:rsidR="005E16C5" w:rsidP="00C90CB4" w:rsidRDefault="005E16C5" w14:paraId="6ECF3FB7" w14:textId="77777777">
            <w:pPr>
              <w:ind w:firstLine="400" w:firstLineChars="200"/>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Postavke, za katere velja 50-odstotni CCF</w:t>
            </w:r>
          </w:p>
        </w:tc>
        <w:tc>
          <w:tcPr>
            <w:tcW w:w="2745" w:type="dxa"/>
            <w:tcBorders>
              <w:left w:val="nil"/>
              <w:right w:val="nil"/>
            </w:tcBorders>
            <w:noWrap/>
            <w:hideMark/>
          </w:tcPr>
          <w:p w:rsidRPr="002D6545" w:rsidR="005E16C5" w:rsidP="00C90CB4" w:rsidRDefault="005E16C5" w14:paraId="1FCC37C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D2A269A" w14:textId="77777777">
        <w:trPr>
          <w:gridAfter w:val="1"/>
          <w:wAfter w:w="90" w:type="dxa"/>
          <w:trHeight w:val="300"/>
        </w:trPr>
        <w:tc>
          <w:tcPr>
            <w:tcW w:w="6804" w:type="dxa"/>
            <w:tcBorders>
              <w:left w:val="nil"/>
              <w:right w:val="nil"/>
            </w:tcBorders>
            <w:noWrap/>
            <w:hideMark/>
          </w:tcPr>
          <w:p w:rsidRPr="002D6545" w:rsidR="005E16C5" w:rsidP="00C90CB4" w:rsidRDefault="005E16C5" w14:paraId="18E65D28" w14:textId="77777777">
            <w:pPr>
              <w:ind w:firstLine="400" w:firstLineChars="200"/>
              <w:rPr>
                <w:rFonts w:ascii="Arial" w:hAnsi="Arial" w:eastAsia="Times New Roman" w:cs="Arial"/>
                <w:sz w:val="20"/>
                <w:szCs w:val="20"/>
              </w:rPr>
            </w:pPr>
            <w:r w:rsidRPr="002D6545">
              <w:rPr>
                <w:rFonts w:ascii="Arial" w:hAnsi="Arial"/>
                <w:sz w:val="20"/>
                <w:lang w:eastAsia="en-GB"/>
              </w:rPr>
              <w:t xml:space="preserve">(4) </w:t>
            </w:r>
            <w:r w:rsidRPr="002D6545">
              <w:rPr>
                <w:rFonts w:ascii="Arial" w:hAnsi="Arial"/>
                <w:sz w:val="20"/>
              </w:rPr>
              <w:t>Postavke, za katere velja 100-odstotni CCF</w:t>
            </w:r>
          </w:p>
        </w:tc>
        <w:tc>
          <w:tcPr>
            <w:tcW w:w="2745" w:type="dxa"/>
            <w:tcBorders>
              <w:left w:val="nil"/>
              <w:right w:val="nil"/>
            </w:tcBorders>
            <w:noWrap/>
            <w:hideMark/>
          </w:tcPr>
          <w:p w:rsidRPr="002D6545" w:rsidR="005E16C5" w:rsidP="00C90CB4" w:rsidRDefault="005E16C5" w14:paraId="5890917C"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582EC07" w14:textId="77777777">
        <w:trPr>
          <w:gridAfter w:val="1"/>
          <w:wAfter w:w="90" w:type="dxa"/>
          <w:trHeight w:val="300"/>
        </w:trPr>
        <w:tc>
          <w:tcPr>
            <w:tcW w:w="6804" w:type="dxa"/>
            <w:tcBorders>
              <w:left w:val="nil"/>
              <w:right w:val="nil"/>
            </w:tcBorders>
            <w:noWrap/>
            <w:hideMark/>
          </w:tcPr>
          <w:p w:rsidRPr="002D6545" w:rsidR="005E16C5" w:rsidP="00C90CB4" w:rsidRDefault="005E16C5" w14:paraId="1517B2A5" w14:textId="77777777">
            <w:pPr>
              <w:ind w:firstLine="200" w:firstLineChars="100"/>
              <w:rPr>
                <w:rFonts w:ascii="Arial" w:hAnsi="Arial" w:eastAsia="Times New Roman" w:cs="Arial"/>
                <w:sz w:val="20"/>
                <w:szCs w:val="20"/>
              </w:rPr>
            </w:pPr>
            <w:r w:rsidRPr="002D6545">
              <w:rPr>
                <w:rFonts w:ascii="Arial" w:hAnsi="Arial"/>
                <w:sz w:val="20"/>
              </w:rPr>
              <w:lastRenderedPageBreak/>
              <w:t>e. Regulativne prilagoditve</w:t>
            </w:r>
          </w:p>
        </w:tc>
        <w:tc>
          <w:tcPr>
            <w:tcW w:w="2745" w:type="dxa"/>
            <w:tcBorders>
              <w:left w:val="nil"/>
              <w:right w:val="nil"/>
            </w:tcBorders>
            <w:noWrap/>
            <w:hideMark/>
          </w:tcPr>
          <w:p w:rsidRPr="002D6545" w:rsidR="005E16C5" w:rsidP="00C90CB4" w:rsidRDefault="005E16C5" w14:paraId="492D2F7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D1E877F" w14:textId="77777777">
        <w:trPr>
          <w:gridAfter w:val="1"/>
          <w:wAfter w:w="90" w:type="dxa"/>
          <w:trHeight w:val="300"/>
        </w:trPr>
        <w:tc>
          <w:tcPr>
            <w:tcW w:w="6804" w:type="dxa"/>
            <w:tcBorders>
              <w:left w:val="nil"/>
              <w:right w:val="nil"/>
            </w:tcBorders>
            <w:noWrap/>
          </w:tcPr>
          <w:p w:rsidRPr="002D6545" w:rsidR="005E16C5" w:rsidP="00C90CB4" w:rsidRDefault="005E16C5" w14:paraId="6AA5B5C9" w14:textId="77777777">
            <w:pPr>
              <w:ind w:left="171" w:firstLine="28" w:firstLineChars="14"/>
              <w:rPr>
                <w:rFonts w:ascii="Arial" w:hAnsi="Arial" w:eastAsia="Times New Roman" w:cs="Arial"/>
                <w:sz w:val="20"/>
                <w:szCs w:val="20"/>
              </w:rPr>
            </w:pPr>
            <w:r w:rsidRPr="002D6545">
              <w:rPr>
                <w:rFonts w:ascii="Arial" w:hAnsi="Arial"/>
                <w:sz w:val="20"/>
              </w:rPr>
              <w:t>f. Skupni znesek izpostavljenosti pred regulativnimi prilagoditvami (vsota postavk 2(a)(1) do 2(c), 0,1 krat postavka 2(d)(1), 0,2 krat postavka 2(d)(2), 0,5 krat postavka 2(d)(3) in postavka 2(d)(4))</w:t>
            </w:r>
          </w:p>
        </w:tc>
        <w:tc>
          <w:tcPr>
            <w:tcW w:w="2745" w:type="dxa"/>
            <w:tcBorders>
              <w:left w:val="nil"/>
              <w:right w:val="nil"/>
            </w:tcBorders>
            <w:noWrap/>
          </w:tcPr>
          <w:p w:rsidRPr="002D6545" w:rsidR="005E16C5" w:rsidP="00C90CB4" w:rsidRDefault="005E16C5" w14:paraId="723BD9C6" w14:textId="77777777">
            <w:pPr>
              <w:jc w:val="right"/>
              <w:rPr>
                <w:rFonts w:ascii="Arial" w:hAnsi="Arial" w:eastAsia="Times New Roman" w:cs="Arial"/>
                <w:sz w:val="20"/>
                <w:szCs w:val="20"/>
                <w:lang w:eastAsia="en-GB"/>
              </w:rPr>
            </w:pPr>
          </w:p>
        </w:tc>
      </w:tr>
      <w:tr w:rsidRPr="002D6545" w:rsidR="005E16C5" w:rsidTr="00C90CB4" w14:paraId="3C07D25F" w14:textId="77777777">
        <w:trPr>
          <w:gridAfter w:val="1"/>
          <w:wAfter w:w="90" w:type="dxa"/>
          <w:trHeight w:val="300"/>
        </w:trPr>
        <w:tc>
          <w:tcPr>
            <w:tcW w:w="6804" w:type="dxa"/>
            <w:tcBorders>
              <w:left w:val="nil"/>
              <w:right w:val="nil"/>
            </w:tcBorders>
            <w:noWrap/>
          </w:tcPr>
          <w:p w:rsidRPr="002D6545" w:rsidR="005E16C5" w:rsidP="00C90CB4" w:rsidRDefault="005E16C5" w14:paraId="17411C09" w14:textId="77777777">
            <w:pPr>
              <w:ind w:left="171" w:firstLine="28" w:firstLineChars="14"/>
              <w:rPr>
                <w:rFonts w:ascii="Arial" w:hAnsi="Arial" w:eastAsia="Times New Roman" w:cs="Arial"/>
                <w:sz w:val="20"/>
                <w:szCs w:val="20"/>
              </w:rPr>
            </w:pPr>
            <w:r w:rsidRPr="002D6545">
              <w:rPr>
                <w:rFonts w:ascii="Arial" w:hAnsi="Arial"/>
                <w:sz w:val="20"/>
              </w:rPr>
              <w:t>g. Izpostavljenosti podrejenih zavarovalnic, ki niso vključene v 2(f), neto izpostavljenosti znotraj skupine:</w:t>
            </w:r>
          </w:p>
        </w:tc>
        <w:tc>
          <w:tcPr>
            <w:tcW w:w="2745" w:type="dxa"/>
            <w:tcBorders>
              <w:left w:val="nil"/>
              <w:right w:val="nil"/>
            </w:tcBorders>
            <w:noWrap/>
          </w:tcPr>
          <w:p w:rsidRPr="002D6545" w:rsidR="005E16C5" w:rsidP="00C90CB4" w:rsidRDefault="005E16C5" w14:paraId="37DD335A" w14:textId="77777777">
            <w:pPr>
              <w:jc w:val="right"/>
              <w:rPr>
                <w:rFonts w:ascii="Arial" w:hAnsi="Arial" w:eastAsia="Times New Roman" w:cs="Arial"/>
                <w:sz w:val="20"/>
                <w:szCs w:val="20"/>
                <w:lang w:eastAsia="en-GB"/>
              </w:rPr>
            </w:pPr>
          </w:p>
        </w:tc>
      </w:tr>
      <w:tr w:rsidRPr="002D6545" w:rsidR="005E16C5" w:rsidTr="00C90CB4" w14:paraId="3FE7E910" w14:textId="77777777">
        <w:trPr>
          <w:gridAfter w:val="1"/>
          <w:wAfter w:w="90" w:type="dxa"/>
          <w:trHeight w:val="300"/>
        </w:trPr>
        <w:tc>
          <w:tcPr>
            <w:tcW w:w="6804" w:type="dxa"/>
            <w:tcBorders>
              <w:left w:val="nil"/>
              <w:right w:val="nil"/>
            </w:tcBorders>
            <w:noWrap/>
          </w:tcPr>
          <w:p w:rsidRPr="002D6545" w:rsidR="005E16C5" w:rsidP="00C90CB4" w:rsidRDefault="005E16C5" w14:paraId="131E55B7" w14:textId="77777777">
            <w:pPr>
              <w:ind w:left="720" w:firstLine="28" w:firstLineChars="14"/>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Bilančna in zunajbilančna sredstva podrejenih zavarovalnic</w:t>
            </w:r>
          </w:p>
        </w:tc>
        <w:tc>
          <w:tcPr>
            <w:tcW w:w="2745" w:type="dxa"/>
            <w:tcBorders>
              <w:left w:val="nil"/>
              <w:right w:val="nil"/>
            </w:tcBorders>
            <w:noWrap/>
          </w:tcPr>
          <w:p w:rsidRPr="002D6545" w:rsidR="005E16C5" w:rsidP="00C90CB4" w:rsidRDefault="005E16C5" w14:paraId="0DCB00BC" w14:textId="77777777">
            <w:pPr>
              <w:jc w:val="right"/>
              <w:rPr>
                <w:rFonts w:ascii="Arial" w:hAnsi="Arial" w:eastAsia="Times New Roman" w:cs="Arial"/>
                <w:sz w:val="20"/>
                <w:szCs w:val="20"/>
                <w:lang w:eastAsia="en-GB"/>
              </w:rPr>
            </w:pPr>
          </w:p>
        </w:tc>
      </w:tr>
      <w:tr w:rsidRPr="002D6545" w:rsidR="005E16C5" w:rsidTr="00C90CB4" w14:paraId="0DB0239D" w14:textId="77777777">
        <w:trPr>
          <w:gridAfter w:val="1"/>
          <w:wAfter w:w="90" w:type="dxa"/>
          <w:trHeight w:val="300"/>
        </w:trPr>
        <w:tc>
          <w:tcPr>
            <w:tcW w:w="6804" w:type="dxa"/>
            <w:tcBorders>
              <w:left w:val="nil"/>
              <w:right w:val="nil"/>
            </w:tcBorders>
            <w:noWrap/>
          </w:tcPr>
          <w:p w:rsidRPr="002D6545" w:rsidR="005E16C5" w:rsidP="00C90CB4" w:rsidRDefault="005E16C5" w14:paraId="3EE4F091" w14:textId="77777777">
            <w:pPr>
              <w:ind w:left="720" w:firstLine="28" w:firstLineChars="14"/>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Morebitna prihodnja izpostavljenost iz naslova pogodb na izvedene finančne instrumente podrejenih zavarovalnic</w:t>
            </w:r>
          </w:p>
        </w:tc>
        <w:tc>
          <w:tcPr>
            <w:tcW w:w="2745" w:type="dxa"/>
            <w:tcBorders>
              <w:left w:val="nil"/>
              <w:right w:val="nil"/>
            </w:tcBorders>
            <w:noWrap/>
          </w:tcPr>
          <w:p w:rsidRPr="002D6545" w:rsidR="005E16C5" w:rsidP="00C90CB4" w:rsidRDefault="005E16C5" w14:paraId="6FEDB7C6" w14:textId="77777777">
            <w:pPr>
              <w:jc w:val="right"/>
              <w:rPr>
                <w:rFonts w:ascii="Arial" w:hAnsi="Arial" w:eastAsia="Times New Roman" w:cs="Arial"/>
                <w:sz w:val="20"/>
                <w:szCs w:val="20"/>
                <w:lang w:eastAsia="en-GB"/>
              </w:rPr>
            </w:pPr>
          </w:p>
        </w:tc>
      </w:tr>
      <w:tr w:rsidRPr="002D6545" w:rsidR="005E16C5" w:rsidTr="00C90CB4" w14:paraId="7733D5BB" w14:textId="77777777">
        <w:trPr>
          <w:gridAfter w:val="1"/>
          <w:wAfter w:w="90" w:type="dxa"/>
          <w:trHeight w:val="300"/>
        </w:trPr>
        <w:tc>
          <w:tcPr>
            <w:tcW w:w="6804" w:type="dxa"/>
            <w:tcBorders>
              <w:left w:val="nil"/>
              <w:right w:val="nil"/>
            </w:tcBorders>
            <w:noWrap/>
          </w:tcPr>
          <w:p w:rsidRPr="002D6545" w:rsidR="005E16C5" w:rsidP="00C90CB4" w:rsidRDefault="005E16C5" w14:paraId="3952FB1A" w14:textId="77777777">
            <w:pPr>
              <w:ind w:left="720" w:firstLine="28" w:firstLineChars="14"/>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Vrednost naložb v konsolidiranih subjektih</w:t>
            </w:r>
          </w:p>
        </w:tc>
        <w:tc>
          <w:tcPr>
            <w:tcW w:w="2745" w:type="dxa"/>
            <w:tcBorders>
              <w:left w:val="nil"/>
              <w:right w:val="nil"/>
            </w:tcBorders>
            <w:noWrap/>
          </w:tcPr>
          <w:p w:rsidRPr="002D6545" w:rsidR="005E16C5" w:rsidP="00C90CB4" w:rsidRDefault="005E16C5" w14:paraId="3F77EFB5" w14:textId="77777777">
            <w:pPr>
              <w:jc w:val="right"/>
              <w:rPr>
                <w:rFonts w:ascii="Arial" w:hAnsi="Arial" w:eastAsia="Times New Roman" w:cs="Arial"/>
                <w:sz w:val="20"/>
                <w:szCs w:val="20"/>
                <w:lang w:eastAsia="en-GB"/>
              </w:rPr>
            </w:pPr>
          </w:p>
        </w:tc>
      </w:tr>
      <w:tr w:rsidRPr="002D6545" w:rsidR="005E16C5" w:rsidTr="00C90CB4" w14:paraId="75AD334E" w14:textId="77777777">
        <w:trPr>
          <w:gridAfter w:val="1"/>
          <w:wAfter w:w="90" w:type="dxa"/>
          <w:trHeight w:val="300"/>
        </w:trPr>
        <w:tc>
          <w:tcPr>
            <w:tcW w:w="6804" w:type="dxa"/>
            <w:tcBorders>
              <w:left w:val="nil"/>
              <w:right w:val="nil"/>
            </w:tcBorders>
            <w:noWrap/>
          </w:tcPr>
          <w:p w:rsidRPr="002D6545" w:rsidR="005E16C5" w:rsidP="00C90CB4" w:rsidRDefault="005E16C5" w14:paraId="1A9B651E" w14:textId="77777777">
            <w:pPr>
              <w:ind w:left="171"/>
              <w:rPr>
                <w:rFonts w:ascii="Arial" w:hAnsi="Arial" w:eastAsia="Times New Roman" w:cs="Arial"/>
                <w:sz w:val="20"/>
                <w:szCs w:val="20"/>
              </w:rPr>
            </w:pPr>
            <w:r w:rsidRPr="002D6545">
              <w:rPr>
                <w:rFonts w:ascii="Arial" w:hAnsi="Arial"/>
                <w:sz w:val="20"/>
              </w:rPr>
              <w:t>h. Izpostavljenosti znotraj skupine, vključene v postavki 2(f), do podrejenih zavarovalnic, o katerih se poroča v postavki 2(g)</w:t>
            </w:r>
          </w:p>
        </w:tc>
        <w:tc>
          <w:tcPr>
            <w:tcW w:w="2745" w:type="dxa"/>
            <w:tcBorders>
              <w:left w:val="nil"/>
              <w:right w:val="nil"/>
            </w:tcBorders>
            <w:noWrap/>
          </w:tcPr>
          <w:p w:rsidRPr="002D6545" w:rsidR="005E16C5" w:rsidP="00C90CB4" w:rsidRDefault="005E16C5" w14:paraId="5682DEE1" w14:textId="77777777">
            <w:pPr>
              <w:jc w:val="right"/>
              <w:rPr>
                <w:rFonts w:ascii="Arial" w:hAnsi="Arial" w:eastAsia="Times New Roman" w:cs="Arial"/>
                <w:sz w:val="20"/>
                <w:szCs w:val="20"/>
                <w:lang w:eastAsia="en-GB"/>
              </w:rPr>
            </w:pPr>
          </w:p>
        </w:tc>
      </w:tr>
      <w:tr w:rsidRPr="002D6545" w:rsidR="005E16C5" w:rsidTr="00C90CB4" w14:paraId="78FBF5CD"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109621D0" w14:textId="77777777">
            <w:pPr>
              <w:ind w:left="171"/>
              <w:rPr>
                <w:rFonts w:ascii="Arial" w:hAnsi="Arial" w:eastAsia="Times New Roman" w:cs="Arial"/>
                <w:sz w:val="20"/>
                <w:szCs w:val="20"/>
              </w:rPr>
            </w:pPr>
            <w:r w:rsidRPr="002D6545">
              <w:rPr>
                <w:rFonts w:ascii="Arial" w:hAnsi="Arial"/>
                <w:sz w:val="20"/>
              </w:rPr>
              <w:t>i. Kazalnik skupnega zneska izpostavljenosti, vključno s podrejenimi zavarovalnicami (vsota postavk 2(f), 2(g)(1) do 2(g)(2) minus postavke 2(g)(3) do 2(h)</w:t>
            </w:r>
          </w:p>
        </w:tc>
        <w:tc>
          <w:tcPr>
            <w:tcW w:w="2745" w:type="dxa"/>
            <w:tcBorders>
              <w:left w:val="nil"/>
              <w:bottom w:val="single" w:color="auto" w:sz="4" w:space="0"/>
              <w:right w:val="nil"/>
            </w:tcBorders>
            <w:noWrap/>
          </w:tcPr>
          <w:p w:rsidRPr="002D6545" w:rsidR="005E16C5" w:rsidP="00C90CB4" w:rsidRDefault="005E16C5" w14:paraId="6A9BE062" w14:textId="77777777">
            <w:pPr>
              <w:jc w:val="right"/>
              <w:rPr>
                <w:rFonts w:ascii="Arial" w:hAnsi="Arial" w:eastAsia="Times New Roman" w:cs="Arial"/>
                <w:sz w:val="20"/>
                <w:szCs w:val="20"/>
                <w:lang w:eastAsia="en-GB"/>
              </w:rPr>
            </w:pPr>
          </w:p>
        </w:tc>
      </w:tr>
      <w:tr w:rsidRPr="002D6545" w:rsidR="005E16C5" w:rsidTr="00C90CB4" w14:paraId="737E7498" w14:textId="77777777">
        <w:trPr>
          <w:gridAfter w:val="1"/>
          <w:wAfter w:w="90" w:type="dxa"/>
          <w:trHeight w:val="403"/>
        </w:trPr>
        <w:tc>
          <w:tcPr>
            <w:tcW w:w="9549" w:type="dxa"/>
            <w:gridSpan w:val="2"/>
            <w:tcBorders>
              <w:left w:val="nil"/>
              <w:right w:val="nil"/>
            </w:tcBorders>
            <w:noWrap/>
            <w:hideMark/>
          </w:tcPr>
          <w:p w:rsidRPr="002D6545" w:rsidR="005E16C5" w:rsidP="00C90CB4" w:rsidRDefault="005E16C5" w14:paraId="7511B062" w14:textId="77777777">
            <w:pPr>
              <w:keepNext/>
              <w:keepLines/>
              <w:spacing w:before="47"/>
              <w:outlineLvl w:val="5"/>
              <w:rPr>
                <w:rFonts w:ascii="Arial" w:hAnsi="Arial" w:eastAsia="Times New Roman" w:cs="Arial"/>
                <w:b/>
                <w:bCs/>
                <w:i/>
                <w:iCs/>
                <w:caps/>
                <w:color w:val="172B39" w:themeColor="accent1" w:themeShade="80"/>
                <w:sz w:val="20"/>
                <w:szCs w:val="20"/>
                <w:lang w:eastAsia="en-GB"/>
              </w:rPr>
            </w:pPr>
          </w:p>
          <w:p w:rsidRPr="002D6545" w:rsidR="005E16C5" w:rsidP="00C90CB4" w:rsidRDefault="005E16C5" w14:paraId="42A883A2" w14:textId="77777777">
            <w:pPr>
              <w:keepNext/>
              <w:keepLines/>
              <w:spacing w:before="47"/>
              <w:outlineLvl w:val="5"/>
              <w:rPr>
                <w:rFonts w:ascii="Arial" w:hAnsi="Arial" w:eastAsia="Times New Roman" w:cs="Arial"/>
                <w:i/>
                <w:iCs/>
                <w:caps/>
                <w:color w:val="172B39" w:themeColor="accent1" w:themeShade="80"/>
                <w:sz w:val="20"/>
                <w:szCs w:val="20"/>
              </w:rPr>
            </w:pPr>
            <w:r w:rsidRPr="002D6545">
              <w:rPr>
                <w:rFonts w:ascii="Arial" w:hAnsi="Arial"/>
                <w:b/>
                <w:i/>
                <w:caps/>
                <w:color w:val="172B39" w:themeColor="accent1" w:themeShade="80"/>
                <w:sz w:val="24"/>
              </w:rPr>
              <w:t> </w:t>
            </w:r>
            <w:r w:rsidRPr="002D6545">
              <w:rPr>
                <w:rFonts w:asciiTheme="majorHAnsi" w:hAnsiTheme="majorHAnsi"/>
                <w:b/>
                <w:i/>
                <w:caps/>
              </w:rPr>
              <w:t>Kazalniki medsebojne povezanosti</w:t>
            </w:r>
          </w:p>
          <w:p w:rsidRPr="002D6545" w:rsidR="005E16C5" w:rsidP="00C90CB4" w:rsidRDefault="005E16C5" w14:paraId="55CEA435" w14:textId="77777777">
            <w:pPr>
              <w:rPr>
                <w:rFonts w:ascii="Arial" w:hAnsi="Arial" w:eastAsia="Times New Roman" w:cs="Arial"/>
                <w:b/>
                <w:bCs/>
                <w:sz w:val="24"/>
                <w:szCs w:val="24"/>
              </w:rPr>
            </w:pPr>
            <w:r w:rsidRPr="002D6545">
              <w:rPr>
                <w:rFonts w:ascii="Arial" w:hAnsi="Arial"/>
                <w:b/>
                <w:sz w:val="24"/>
              </w:rPr>
              <w:t> </w:t>
            </w:r>
          </w:p>
        </w:tc>
      </w:tr>
      <w:tr w:rsidRPr="002D6545" w:rsidR="005E16C5" w:rsidTr="00C90CB4" w14:paraId="0548A123"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554BE846" w14:textId="77777777">
            <w:pPr>
              <w:rPr>
                <w:rFonts w:ascii="Arial" w:hAnsi="Arial" w:eastAsia="Times New Roman" w:cs="Arial"/>
                <w:b/>
                <w:bCs/>
                <w:sz w:val="20"/>
                <w:szCs w:val="20"/>
              </w:rPr>
            </w:pPr>
            <w:r w:rsidRPr="002D6545">
              <w:rPr>
                <w:rFonts w:ascii="Arial" w:hAnsi="Arial"/>
                <w:b/>
                <w:sz w:val="20"/>
              </w:rPr>
              <w:t>Oddelek 3 – Sredstva znotraj finančnega sistema</w:t>
            </w:r>
          </w:p>
        </w:tc>
        <w:tc>
          <w:tcPr>
            <w:tcW w:w="2745" w:type="dxa"/>
            <w:tcBorders>
              <w:left w:val="nil"/>
              <w:bottom w:val="single" w:color="auto" w:sz="4" w:space="0"/>
              <w:right w:val="nil"/>
            </w:tcBorders>
            <w:hideMark/>
          </w:tcPr>
          <w:p w:rsidRPr="002D6545" w:rsidR="005E16C5" w:rsidP="00C90CB4" w:rsidRDefault="005E16C5" w14:paraId="5C1AA569"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2ACA154A" w14:textId="77777777">
        <w:trPr>
          <w:gridAfter w:val="1"/>
          <w:wAfter w:w="90" w:type="dxa"/>
          <w:trHeight w:val="300"/>
        </w:trPr>
        <w:tc>
          <w:tcPr>
            <w:tcW w:w="6804" w:type="dxa"/>
            <w:tcBorders>
              <w:left w:val="nil"/>
              <w:right w:val="nil"/>
            </w:tcBorders>
            <w:noWrap/>
            <w:hideMark/>
          </w:tcPr>
          <w:p w:rsidRPr="002D6545" w:rsidR="005E16C5" w:rsidP="00C90CB4" w:rsidRDefault="005E16C5" w14:paraId="4E5A7615" w14:textId="77777777">
            <w:pPr>
              <w:ind w:firstLine="200" w:firstLineChars="100"/>
              <w:rPr>
                <w:rFonts w:ascii="Arial" w:hAnsi="Arial" w:eastAsia="Times New Roman" w:cs="Arial"/>
                <w:sz w:val="20"/>
                <w:szCs w:val="20"/>
              </w:rPr>
            </w:pPr>
            <w:r w:rsidRPr="002D6545">
              <w:rPr>
                <w:rFonts w:ascii="Arial" w:hAnsi="Arial"/>
                <w:sz w:val="20"/>
              </w:rPr>
              <w:t>a. Sredstva, deponirana pri drugih finančnih institucijah ali posojena drugim finančnim institucijam</w:t>
            </w:r>
          </w:p>
        </w:tc>
        <w:tc>
          <w:tcPr>
            <w:tcW w:w="2745" w:type="dxa"/>
            <w:tcBorders>
              <w:left w:val="nil"/>
              <w:right w:val="nil"/>
            </w:tcBorders>
            <w:noWrap/>
            <w:hideMark/>
          </w:tcPr>
          <w:p w:rsidRPr="002D6545" w:rsidR="005E16C5" w:rsidP="00C90CB4" w:rsidRDefault="005E16C5" w14:paraId="7F70F092"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81156A7"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259F824A"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 xml:space="preserve">Potrdila o vlogah </w:t>
            </w:r>
          </w:p>
        </w:tc>
        <w:tc>
          <w:tcPr>
            <w:tcW w:w="2745" w:type="dxa"/>
            <w:tcBorders>
              <w:left w:val="nil"/>
              <w:right w:val="nil"/>
            </w:tcBorders>
            <w:noWrap/>
            <w:hideMark/>
          </w:tcPr>
          <w:p w:rsidRPr="002D6545" w:rsidR="005E16C5" w:rsidP="00C90CB4" w:rsidRDefault="005E16C5" w14:paraId="73561284"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1714798" w14:textId="77777777">
        <w:trPr>
          <w:gridAfter w:val="2"/>
          <w:wAfter w:w="2835" w:type="dxa"/>
          <w:trHeight w:val="300"/>
        </w:trPr>
        <w:tc>
          <w:tcPr>
            <w:tcW w:w="6804" w:type="dxa"/>
            <w:tcBorders>
              <w:left w:val="nil"/>
              <w:right w:val="nil"/>
            </w:tcBorders>
            <w:noWrap/>
            <w:hideMark/>
          </w:tcPr>
          <w:p w:rsidRPr="002D6545" w:rsidR="005E16C5" w:rsidP="00C90CB4" w:rsidRDefault="005E16C5" w14:paraId="5C361284" w14:textId="77777777">
            <w:pPr>
              <w:ind w:left="171" w:firstLine="28" w:firstLineChars="14"/>
              <w:rPr>
                <w:rFonts w:ascii="Arial" w:hAnsi="Arial" w:eastAsia="Times New Roman" w:cs="Arial"/>
                <w:sz w:val="20"/>
                <w:szCs w:val="20"/>
              </w:rPr>
            </w:pPr>
            <w:r w:rsidRPr="002D6545">
              <w:rPr>
                <w:rFonts w:ascii="Arial" w:hAnsi="Arial"/>
                <w:sz w:val="20"/>
              </w:rPr>
              <w:t>b. Nečrpani del odobrenih kreditov, danih drugim finančnim institucijam</w:t>
            </w:r>
          </w:p>
        </w:tc>
      </w:tr>
      <w:tr w:rsidRPr="002D6545" w:rsidR="005E16C5" w:rsidTr="00C90CB4" w14:paraId="4B82E9CA" w14:textId="77777777">
        <w:trPr>
          <w:gridAfter w:val="1"/>
          <w:wAfter w:w="90" w:type="dxa"/>
          <w:trHeight w:val="300"/>
        </w:trPr>
        <w:tc>
          <w:tcPr>
            <w:tcW w:w="6804" w:type="dxa"/>
            <w:tcBorders>
              <w:left w:val="nil"/>
              <w:right w:val="nil"/>
            </w:tcBorders>
            <w:noWrap/>
            <w:hideMark/>
          </w:tcPr>
          <w:p w:rsidRPr="002D6545" w:rsidR="005E16C5" w:rsidP="00C90CB4" w:rsidRDefault="005E16C5" w14:paraId="11D44C71" w14:textId="77777777">
            <w:pPr>
              <w:ind w:firstLine="200" w:firstLineChars="100"/>
              <w:rPr>
                <w:rFonts w:ascii="Arial" w:hAnsi="Arial" w:eastAsia="Times New Roman" w:cs="Arial"/>
                <w:sz w:val="20"/>
                <w:szCs w:val="20"/>
              </w:rPr>
            </w:pPr>
            <w:r w:rsidRPr="002D6545">
              <w:rPr>
                <w:rFonts w:ascii="Arial" w:hAnsi="Arial"/>
                <w:sz w:val="20"/>
              </w:rPr>
              <w:t>c. Imetja vrednostnih papirjev, ki so jih izdale druge finančne institucije:</w:t>
            </w:r>
          </w:p>
        </w:tc>
        <w:tc>
          <w:tcPr>
            <w:tcW w:w="2745" w:type="dxa"/>
            <w:tcBorders>
              <w:left w:val="nil"/>
              <w:right w:val="nil"/>
            </w:tcBorders>
            <w:noWrap/>
            <w:hideMark/>
          </w:tcPr>
          <w:p w:rsidRPr="002D6545" w:rsidR="005E16C5" w:rsidP="00C90CB4" w:rsidRDefault="005E16C5" w14:paraId="188543B3" w14:textId="77777777">
            <w:pPr>
              <w:ind w:firstLine="200" w:firstLineChars="100"/>
              <w:rPr>
                <w:rFonts w:ascii="Arial" w:hAnsi="Arial" w:eastAsia="Times New Roman" w:cs="Arial"/>
                <w:sz w:val="20"/>
                <w:szCs w:val="20"/>
              </w:rPr>
            </w:pPr>
            <w:r w:rsidRPr="002D6545">
              <w:rPr>
                <w:rFonts w:ascii="Arial" w:hAnsi="Arial"/>
                <w:sz w:val="20"/>
              </w:rPr>
              <w:t> </w:t>
            </w:r>
          </w:p>
        </w:tc>
      </w:tr>
      <w:tr w:rsidRPr="002D6545" w:rsidR="005E16C5" w:rsidTr="00C90CB4" w14:paraId="46FEB873" w14:textId="77777777">
        <w:trPr>
          <w:gridAfter w:val="1"/>
          <w:wAfter w:w="90" w:type="dxa"/>
          <w:trHeight w:val="300"/>
        </w:trPr>
        <w:tc>
          <w:tcPr>
            <w:tcW w:w="6804" w:type="dxa"/>
            <w:tcBorders>
              <w:left w:val="nil"/>
              <w:right w:val="nil"/>
            </w:tcBorders>
            <w:noWrap/>
            <w:hideMark/>
          </w:tcPr>
          <w:p w:rsidRPr="002D6545" w:rsidR="005E16C5" w:rsidP="00C90CB4" w:rsidRDefault="005E16C5" w14:paraId="784FDA53"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Zavarovani dolžniški vrednostni papirji</w:t>
            </w:r>
          </w:p>
        </w:tc>
        <w:tc>
          <w:tcPr>
            <w:tcW w:w="2745" w:type="dxa"/>
            <w:tcBorders>
              <w:left w:val="nil"/>
              <w:right w:val="nil"/>
            </w:tcBorders>
            <w:noWrap/>
            <w:hideMark/>
          </w:tcPr>
          <w:p w:rsidRPr="002D6545" w:rsidR="005E16C5" w:rsidP="00C90CB4" w:rsidRDefault="005E16C5" w14:paraId="2A778A3B"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C2FE361" w14:textId="77777777">
        <w:trPr>
          <w:gridAfter w:val="1"/>
          <w:wAfter w:w="90" w:type="dxa"/>
          <w:trHeight w:val="300"/>
        </w:trPr>
        <w:tc>
          <w:tcPr>
            <w:tcW w:w="6804" w:type="dxa"/>
            <w:tcBorders>
              <w:left w:val="nil"/>
              <w:right w:val="nil"/>
            </w:tcBorders>
            <w:noWrap/>
            <w:hideMark/>
          </w:tcPr>
          <w:p w:rsidRPr="002D6545" w:rsidR="005E16C5" w:rsidP="00C90CB4" w:rsidRDefault="005E16C5" w14:paraId="34F6E467"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Nadrejeni nezavarovani dolžniški vrednostni papirji</w:t>
            </w:r>
          </w:p>
        </w:tc>
        <w:tc>
          <w:tcPr>
            <w:tcW w:w="2745" w:type="dxa"/>
            <w:tcBorders>
              <w:left w:val="nil"/>
              <w:right w:val="nil"/>
            </w:tcBorders>
            <w:noWrap/>
            <w:hideMark/>
          </w:tcPr>
          <w:p w:rsidRPr="002D6545" w:rsidR="005E16C5" w:rsidP="00C90CB4" w:rsidRDefault="005E16C5" w14:paraId="7EA507F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F44A6B7" w14:textId="77777777">
        <w:trPr>
          <w:gridAfter w:val="1"/>
          <w:wAfter w:w="90" w:type="dxa"/>
          <w:trHeight w:val="300"/>
        </w:trPr>
        <w:tc>
          <w:tcPr>
            <w:tcW w:w="6804" w:type="dxa"/>
            <w:tcBorders>
              <w:left w:val="nil"/>
              <w:right w:val="nil"/>
            </w:tcBorders>
            <w:noWrap/>
            <w:hideMark/>
          </w:tcPr>
          <w:p w:rsidRPr="002D6545" w:rsidR="005E16C5" w:rsidP="00C90CB4" w:rsidRDefault="005E16C5" w14:paraId="7432C6E5" w14:textId="77777777">
            <w:pPr>
              <w:ind w:firstLine="400" w:firstLineChars="200"/>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Podrejeni dolžniški vrednostni papirji</w:t>
            </w:r>
          </w:p>
        </w:tc>
        <w:tc>
          <w:tcPr>
            <w:tcW w:w="2745" w:type="dxa"/>
            <w:tcBorders>
              <w:left w:val="nil"/>
              <w:right w:val="nil"/>
            </w:tcBorders>
            <w:noWrap/>
            <w:hideMark/>
          </w:tcPr>
          <w:p w:rsidRPr="002D6545" w:rsidR="005E16C5" w:rsidP="00C90CB4" w:rsidRDefault="005E16C5" w14:paraId="5B05240B"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68A019F" w14:textId="77777777">
        <w:trPr>
          <w:gridAfter w:val="1"/>
          <w:wAfter w:w="90" w:type="dxa"/>
          <w:trHeight w:val="300"/>
        </w:trPr>
        <w:tc>
          <w:tcPr>
            <w:tcW w:w="6804" w:type="dxa"/>
            <w:tcBorders>
              <w:left w:val="nil"/>
              <w:right w:val="nil"/>
            </w:tcBorders>
            <w:noWrap/>
            <w:hideMark/>
          </w:tcPr>
          <w:p w:rsidRPr="002D6545" w:rsidR="005E16C5" w:rsidP="00C90CB4" w:rsidRDefault="005E16C5" w14:paraId="37BCA9D3" w14:textId="77777777">
            <w:pPr>
              <w:ind w:firstLine="400" w:firstLineChars="200"/>
              <w:rPr>
                <w:rFonts w:ascii="Arial" w:hAnsi="Arial" w:eastAsia="Times New Roman" w:cs="Arial"/>
                <w:sz w:val="20"/>
                <w:szCs w:val="20"/>
              </w:rPr>
            </w:pPr>
            <w:r w:rsidRPr="002D6545">
              <w:rPr>
                <w:rFonts w:ascii="Arial" w:hAnsi="Arial"/>
                <w:sz w:val="20"/>
                <w:lang w:eastAsia="en-GB"/>
              </w:rPr>
              <w:t xml:space="preserve">(4) </w:t>
            </w:r>
            <w:r w:rsidRPr="002D6545">
              <w:rPr>
                <w:rFonts w:ascii="Arial" w:hAnsi="Arial"/>
                <w:sz w:val="20"/>
              </w:rPr>
              <w:t xml:space="preserve">Komercialni zapisi </w:t>
            </w:r>
          </w:p>
        </w:tc>
        <w:tc>
          <w:tcPr>
            <w:tcW w:w="2745" w:type="dxa"/>
            <w:tcBorders>
              <w:left w:val="nil"/>
              <w:right w:val="nil"/>
            </w:tcBorders>
            <w:noWrap/>
            <w:hideMark/>
          </w:tcPr>
          <w:p w:rsidRPr="002D6545" w:rsidR="005E16C5" w:rsidP="00C90CB4" w:rsidRDefault="005E16C5" w14:paraId="5BCBDA7E"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D802DCE"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676CEF2D" w14:textId="77777777">
            <w:pPr>
              <w:ind w:firstLine="400" w:firstLineChars="200"/>
              <w:rPr>
                <w:rFonts w:ascii="Arial" w:hAnsi="Arial" w:eastAsia="Times New Roman" w:cs="Arial"/>
                <w:sz w:val="20"/>
                <w:szCs w:val="20"/>
              </w:rPr>
            </w:pPr>
            <w:r w:rsidRPr="002D6545">
              <w:rPr>
                <w:rFonts w:ascii="Arial" w:hAnsi="Arial"/>
                <w:sz w:val="20"/>
                <w:lang w:eastAsia="en-GB"/>
              </w:rPr>
              <w:t xml:space="preserve">(5) </w:t>
            </w:r>
            <w:r w:rsidRPr="002D6545">
              <w:rPr>
                <w:rFonts w:ascii="Arial" w:hAnsi="Arial"/>
                <w:sz w:val="20"/>
              </w:rPr>
              <w:t>Lastniški vrednostni papirji</w:t>
            </w:r>
          </w:p>
        </w:tc>
        <w:tc>
          <w:tcPr>
            <w:tcW w:w="2745" w:type="dxa"/>
            <w:tcBorders>
              <w:left w:val="nil"/>
              <w:right w:val="nil"/>
            </w:tcBorders>
            <w:noWrap/>
            <w:hideMark/>
          </w:tcPr>
          <w:p w:rsidRPr="002D6545" w:rsidR="005E16C5" w:rsidP="00C90CB4" w:rsidRDefault="005E16C5" w14:paraId="592076F3"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D9035D0"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496A1665" w14:textId="77777777">
            <w:pPr>
              <w:ind w:left="313" w:firstLine="86" w:firstLineChars="43"/>
              <w:rPr>
                <w:rFonts w:ascii="Arial" w:hAnsi="Arial" w:eastAsia="Times New Roman" w:cs="Arial"/>
                <w:sz w:val="20"/>
                <w:szCs w:val="20"/>
              </w:rPr>
            </w:pPr>
            <w:r w:rsidRPr="002D6545">
              <w:rPr>
                <w:rFonts w:ascii="Arial" w:hAnsi="Arial"/>
                <w:sz w:val="20"/>
                <w:lang w:eastAsia="en-GB"/>
              </w:rPr>
              <w:t xml:space="preserve">(6) </w:t>
            </w:r>
            <w:r w:rsidRPr="002D6545">
              <w:rPr>
                <w:rFonts w:ascii="Arial" w:hAnsi="Arial"/>
                <w:sz w:val="20"/>
              </w:rPr>
              <w:t>Nasprotne kratke pozicije v zvezi s posameznimi lastniškimi vrednostnimi papirji iz postavke 3(c)(5)</w:t>
            </w:r>
          </w:p>
        </w:tc>
        <w:tc>
          <w:tcPr>
            <w:tcW w:w="2745" w:type="dxa"/>
            <w:tcBorders>
              <w:left w:val="nil"/>
              <w:right w:val="nil"/>
            </w:tcBorders>
            <w:noWrap/>
          </w:tcPr>
          <w:p w:rsidRPr="002D6545" w:rsidR="005E16C5" w:rsidP="00C90CB4" w:rsidRDefault="005E16C5" w14:paraId="05EA0360" w14:textId="77777777">
            <w:pPr>
              <w:jc w:val="right"/>
              <w:rPr>
                <w:rFonts w:ascii="Arial" w:hAnsi="Arial" w:eastAsia="Times New Roman" w:cs="Arial"/>
                <w:sz w:val="20"/>
                <w:szCs w:val="20"/>
                <w:lang w:eastAsia="en-GB"/>
              </w:rPr>
            </w:pPr>
          </w:p>
        </w:tc>
      </w:tr>
      <w:tr w:rsidRPr="002D6545" w:rsidR="005E16C5" w:rsidTr="00C90CB4" w14:paraId="7B4CB523"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206D78C1" w14:textId="77777777">
            <w:pPr>
              <w:ind w:firstLine="171"/>
              <w:rPr>
                <w:rFonts w:ascii="Arial" w:hAnsi="Arial" w:eastAsia="Times New Roman" w:cs="Arial"/>
                <w:sz w:val="20"/>
                <w:szCs w:val="20"/>
              </w:rPr>
            </w:pPr>
            <w:r w:rsidRPr="002D6545">
              <w:rPr>
                <w:rFonts w:ascii="Arial" w:hAnsi="Arial"/>
                <w:sz w:val="20"/>
              </w:rPr>
              <w:t>d. Neto pozitivne tekoče izpostavljenosti poslov financiranja z vrednostnimi papirji pri drugih finančnih institucijah</w:t>
            </w:r>
          </w:p>
        </w:tc>
        <w:tc>
          <w:tcPr>
            <w:tcW w:w="2745" w:type="dxa"/>
            <w:tcBorders>
              <w:left w:val="nil"/>
              <w:right w:val="nil"/>
            </w:tcBorders>
            <w:noWrap/>
          </w:tcPr>
          <w:p w:rsidRPr="002D6545" w:rsidR="005E16C5" w:rsidP="00C90CB4" w:rsidRDefault="005E16C5" w14:paraId="22BE5843" w14:textId="77777777">
            <w:pPr>
              <w:jc w:val="right"/>
              <w:rPr>
                <w:rFonts w:ascii="Arial" w:hAnsi="Arial" w:eastAsia="Times New Roman" w:cs="Arial"/>
                <w:sz w:val="20"/>
                <w:szCs w:val="20"/>
                <w:lang w:eastAsia="en-GB"/>
              </w:rPr>
            </w:pPr>
          </w:p>
        </w:tc>
      </w:tr>
      <w:tr w:rsidRPr="002D6545" w:rsidR="005E16C5" w:rsidTr="00C90CB4" w14:paraId="364F1EBB"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48CE05C3" w14:textId="77777777">
            <w:pPr>
              <w:ind w:left="171"/>
              <w:rPr>
                <w:rFonts w:ascii="Arial" w:hAnsi="Arial" w:eastAsia="Times New Roman" w:cs="Arial"/>
                <w:sz w:val="20"/>
                <w:szCs w:val="20"/>
              </w:rPr>
            </w:pPr>
            <w:r w:rsidRPr="002D6545">
              <w:rPr>
                <w:rFonts w:ascii="Arial" w:hAnsi="Arial"/>
                <w:sz w:val="20"/>
              </w:rPr>
              <w:t>e. Izvedeni finančni instrumenti OTC z drugimi finančnimi institucijami, ki imajo neto pozitivno pošteno vrednost</w:t>
            </w:r>
          </w:p>
        </w:tc>
        <w:tc>
          <w:tcPr>
            <w:tcW w:w="2745" w:type="dxa"/>
            <w:tcBorders>
              <w:left w:val="nil"/>
              <w:right w:val="nil"/>
            </w:tcBorders>
            <w:noWrap/>
          </w:tcPr>
          <w:p w:rsidRPr="002D6545" w:rsidR="005E16C5" w:rsidP="00C90CB4" w:rsidRDefault="005E16C5" w14:paraId="22BFE208" w14:textId="77777777">
            <w:pPr>
              <w:jc w:val="right"/>
              <w:rPr>
                <w:rFonts w:ascii="Arial" w:hAnsi="Arial" w:eastAsia="Times New Roman" w:cs="Arial"/>
                <w:sz w:val="20"/>
                <w:szCs w:val="20"/>
                <w:lang w:eastAsia="en-GB"/>
              </w:rPr>
            </w:pPr>
          </w:p>
        </w:tc>
      </w:tr>
      <w:tr w:rsidRPr="002D6545" w:rsidR="005E16C5" w:rsidTr="00C90CB4" w14:paraId="3E85AFA3"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145AACE6" w14:textId="77777777">
            <w:pPr>
              <w:ind w:left="313" w:firstLine="86" w:firstLineChars="43"/>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Neto pozitivna poštena vrednost</w:t>
            </w:r>
          </w:p>
        </w:tc>
        <w:tc>
          <w:tcPr>
            <w:tcW w:w="2745" w:type="dxa"/>
            <w:tcBorders>
              <w:left w:val="nil"/>
              <w:right w:val="nil"/>
            </w:tcBorders>
            <w:noWrap/>
          </w:tcPr>
          <w:p w:rsidRPr="002D6545" w:rsidR="005E16C5" w:rsidP="00C90CB4" w:rsidRDefault="005E16C5" w14:paraId="75A7B989" w14:textId="77777777">
            <w:pPr>
              <w:jc w:val="right"/>
              <w:rPr>
                <w:rFonts w:ascii="Arial" w:hAnsi="Arial" w:eastAsia="Times New Roman" w:cs="Arial"/>
                <w:sz w:val="20"/>
                <w:szCs w:val="20"/>
                <w:lang w:eastAsia="en-GB"/>
              </w:rPr>
            </w:pPr>
          </w:p>
        </w:tc>
      </w:tr>
      <w:tr w:rsidRPr="002D6545" w:rsidR="005E16C5" w:rsidTr="00C90CB4" w14:paraId="1ADE1A44"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29AFC53A" w14:textId="77777777">
            <w:pPr>
              <w:ind w:left="313" w:firstLine="86" w:firstLineChars="43"/>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Morebitne prihodnje izpostavljenosti</w:t>
            </w:r>
          </w:p>
        </w:tc>
        <w:tc>
          <w:tcPr>
            <w:tcW w:w="2745" w:type="dxa"/>
            <w:tcBorders>
              <w:left w:val="nil"/>
              <w:right w:val="nil"/>
            </w:tcBorders>
            <w:noWrap/>
          </w:tcPr>
          <w:p w:rsidRPr="002D6545" w:rsidR="005E16C5" w:rsidP="00C90CB4" w:rsidRDefault="005E16C5" w14:paraId="572E00B6" w14:textId="77777777">
            <w:pPr>
              <w:jc w:val="right"/>
              <w:rPr>
                <w:rFonts w:ascii="Arial" w:hAnsi="Arial" w:eastAsia="Times New Roman" w:cs="Arial"/>
                <w:sz w:val="20"/>
                <w:szCs w:val="20"/>
                <w:lang w:eastAsia="en-GB"/>
              </w:rPr>
            </w:pPr>
          </w:p>
        </w:tc>
      </w:tr>
      <w:tr w:rsidRPr="002D6545" w:rsidR="005E16C5" w:rsidTr="00C90CB4" w14:paraId="4FB7158C" w14:textId="77777777">
        <w:trPr>
          <w:gridAfter w:val="2"/>
          <w:wAfter w:w="2835" w:type="dxa"/>
          <w:trHeight w:val="450"/>
        </w:trPr>
        <w:tc>
          <w:tcPr>
            <w:tcW w:w="6804" w:type="dxa"/>
            <w:vMerge w:val="restart"/>
            <w:tcBorders>
              <w:left w:val="nil"/>
              <w:right w:val="nil"/>
            </w:tcBorders>
            <w:hideMark/>
          </w:tcPr>
          <w:p w:rsidRPr="002D6545" w:rsidR="005E16C5" w:rsidP="00C90CB4" w:rsidRDefault="005E16C5" w14:paraId="55A25581" w14:textId="77777777">
            <w:pPr>
              <w:ind w:left="171" w:firstLine="28" w:firstLineChars="14"/>
              <w:rPr>
                <w:rFonts w:ascii="Arial" w:hAnsi="Arial" w:eastAsia="Times New Roman" w:cs="Arial"/>
                <w:sz w:val="20"/>
                <w:szCs w:val="20"/>
              </w:rPr>
            </w:pPr>
            <w:r w:rsidRPr="002D6545">
              <w:rPr>
                <w:rFonts w:ascii="Arial" w:hAnsi="Arial"/>
                <w:sz w:val="20"/>
              </w:rPr>
              <w:t>f. Kazalnik sredstev znotraj finančnega sistema (vsota postavk 3(a), 3(b) do 3(c)(5), 3(d), 3(e)(1) in 3(e)(2) minus postavka 3(c)(6))</w:t>
            </w:r>
          </w:p>
        </w:tc>
      </w:tr>
      <w:tr w:rsidRPr="002D6545" w:rsidR="005E16C5" w:rsidTr="00C90CB4" w14:paraId="67E808AC" w14:textId="77777777">
        <w:trPr>
          <w:gridAfter w:val="2"/>
          <w:wAfter w:w="2835" w:type="dxa"/>
          <w:trHeight w:val="450"/>
        </w:trPr>
        <w:tc>
          <w:tcPr>
            <w:tcW w:w="6804" w:type="dxa"/>
            <w:vMerge/>
            <w:tcBorders>
              <w:left w:val="nil"/>
              <w:right w:val="nil"/>
            </w:tcBorders>
            <w:hideMark/>
          </w:tcPr>
          <w:p w:rsidRPr="002D6545" w:rsidR="005E16C5" w:rsidP="00C90CB4" w:rsidRDefault="005E16C5" w14:paraId="3DC273FA" w14:textId="77777777">
            <w:pPr>
              <w:rPr>
                <w:rFonts w:ascii="Arial" w:hAnsi="Arial" w:eastAsia="Times New Roman" w:cs="Arial"/>
                <w:sz w:val="20"/>
                <w:szCs w:val="20"/>
                <w:lang w:eastAsia="en-GB"/>
              </w:rPr>
            </w:pPr>
          </w:p>
        </w:tc>
      </w:tr>
      <w:tr w:rsidRPr="002D6545" w:rsidR="005E16C5" w:rsidTr="00C90CB4" w14:paraId="08DE115A"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4BA199EE"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119B2B70" w14:textId="77777777">
            <w:pPr>
              <w:jc w:val="center"/>
              <w:rPr>
                <w:rFonts w:ascii="Arial" w:hAnsi="Arial" w:eastAsia="Times New Roman" w:cs="Arial"/>
                <w:b/>
                <w:bCs/>
                <w:sz w:val="20"/>
                <w:szCs w:val="20"/>
                <w:lang w:eastAsia="en-GB"/>
              </w:rPr>
            </w:pPr>
          </w:p>
        </w:tc>
      </w:tr>
      <w:tr w:rsidRPr="002D6545" w:rsidR="005E16C5" w:rsidTr="00C90CB4" w14:paraId="334D88DC" w14:textId="77777777">
        <w:trPr>
          <w:gridAfter w:val="1"/>
          <w:wAfter w:w="90" w:type="dxa"/>
          <w:trHeight w:val="300"/>
        </w:trPr>
        <w:tc>
          <w:tcPr>
            <w:tcW w:w="6804" w:type="dxa"/>
            <w:tcBorders>
              <w:top w:val="nil"/>
              <w:left w:val="nil"/>
              <w:bottom w:val="single" w:color="auto" w:sz="4" w:space="0"/>
              <w:right w:val="nil"/>
            </w:tcBorders>
            <w:noWrap/>
            <w:hideMark/>
          </w:tcPr>
          <w:p w:rsidRPr="002D6545" w:rsidR="005E16C5" w:rsidP="00C90CB4" w:rsidRDefault="005E16C5" w14:paraId="4A4C5CDF" w14:textId="77777777">
            <w:pPr>
              <w:rPr>
                <w:rFonts w:ascii="Arial" w:hAnsi="Arial" w:eastAsia="Times New Roman" w:cs="Arial"/>
                <w:b/>
                <w:bCs/>
                <w:sz w:val="20"/>
                <w:szCs w:val="20"/>
              </w:rPr>
            </w:pPr>
            <w:r w:rsidRPr="002D6545">
              <w:rPr>
                <w:rFonts w:ascii="Arial" w:hAnsi="Arial"/>
                <w:b/>
                <w:sz w:val="20"/>
              </w:rPr>
              <w:t>Oddelek 4 – Obveznosti znotraj finančnega sistema</w:t>
            </w:r>
          </w:p>
        </w:tc>
        <w:tc>
          <w:tcPr>
            <w:tcW w:w="2745" w:type="dxa"/>
            <w:tcBorders>
              <w:top w:val="nil"/>
              <w:left w:val="nil"/>
              <w:right w:val="nil"/>
            </w:tcBorders>
            <w:hideMark/>
          </w:tcPr>
          <w:p w:rsidRPr="002D6545" w:rsidR="005E16C5" w:rsidP="00C90CB4" w:rsidRDefault="005E16C5" w14:paraId="6E93B32C"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43289604" w14:textId="77777777">
        <w:trPr>
          <w:gridAfter w:val="2"/>
          <w:wAfter w:w="2835" w:type="dxa"/>
          <w:trHeight w:val="300"/>
        </w:trPr>
        <w:tc>
          <w:tcPr>
            <w:tcW w:w="6804" w:type="dxa"/>
            <w:tcBorders>
              <w:left w:val="nil"/>
              <w:right w:val="nil"/>
            </w:tcBorders>
            <w:noWrap/>
            <w:hideMark/>
          </w:tcPr>
          <w:p w:rsidRPr="002D6545" w:rsidR="005E16C5" w:rsidP="00C90CB4" w:rsidRDefault="005E16C5" w14:paraId="40882CB9" w14:textId="77777777">
            <w:pPr>
              <w:ind w:left="171" w:firstLine="28" w:firstLineChars="14"/>
              <w:rPr>
                <w:rFonts w:ascii="Arial" w:hAnsi="Arial" w:eastAsia="Times New Roman" w:cs="Arial"/>
                <w:sz w:val="20"/>
                <w:szCs w:val="20"/>
              </w:rPr>
            </w:pPr>
            <w:r w:rsidRPr="002D6545">
              <w:rPr>
                <w:rFonts w:ascii="Arial" w:hAnsi="Arial"/>
                <w:sz w:val="20"/>
              </w:rPr>
              <w:t>a. Sredstva, ki jih deponirajo druge finančne institucije ali so izposojena pri drugih finančnih institucijah</w:t>
            </w:r>
          </w:p>
        </w:tc>
      </w:tr>
      <w:tr w:rsidRPr="002D6545" w:rsidR="005E16C5" w:rsidTr="00C90CB4" w14:paraId="7F5689B0" w14:textId="77777777">
        <w:trPr>
          <w:gridAfter w:val="1"/>
          <w:wAfter w:w="90" w:type="dxa"/>
          <w:trHeight w:val="300"/>
        </w:trPr>
        <w:tc>
          <w:tcPr>
            <w:tcW w:w="6804" w:type="dxa"/>
            <w:tcBorders>
              <w:left w:val="nil"/>
              <w:right w:val="nil"/>
            </w:tcBorders>
            <w:noWrap/>
            <w:hideMark/>
          </w:tcPr>
          <w:p w:rsidRPr="002D6545" w:rsidR="005E16C5" w:rsidP="00C90CB4" w:rsidRDefault="005E16C5" w14:paraId="070FE502"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Vloge, ki pripadajo depotnim družbam</w:t>
            </w:r>
          </w:p>
        </w:tc>
        <w:tc>
          <w:tcPr>
            <w:tcW w:w="2745" w:type="dxa"/>
            <w:tcBorders>
              <w:left w:val="nil"/>
              <w:right w:val="nil"/>
            </w:tcBorders>
            <w:noWrap/>
            <w:hideMark/>
          </w:tcPr>
          <w:p w:rsidRPr="002D6545" w:rsidR="005E16C5" w:rsidP="00C90CB4" w:rsidRDefault="005E16C5" w14:paraId="07D13122"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6C88EC8" w14:textId="77777777">
        <w:trPr>
          <w:gridAfter w:val="1"/>
          <w:wAfter w:w="90" w:type="dxa"/>
          <w:trHeight w:val="300"/>
        </w:trPr>
        <w:tc>
          <w:tcPr>
            <w:tcW w:w="6804" w:type="dxa"/>
            <w:tcBorders>
              <w:left w:val="nil"/>
              <w:right w:val="nil"/>
            </w:tcBorders>
            <w:noWrap/>
            <w:hideMark/>
          </w:tcPr>
          <w:p w:rsidRPr="002D6545" w:rsidR="005E16C5" w:rsidP="00C90CB4" w:rsidRDefault="005E16C5" w14:paraId="35ED28D0"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Vloge, ki pripadajo nedepozitnim finančnim institucijam</w:t>
            </w:r>
          </w:p>
        </w:tc>
        <w:tc>
          <w:tcPr>
            <w:tcW w:w="2745" w:type="dxa"/>
            <w:tcBorders>
              <w:left w:val="nil"/>
              <w:right w:val="nil"/>
            </w:tcBorders>
            <w:noWrap/>
            <w:hideMark/>
          </w:tcPr>
          <w:p w:rsidRPr="002D6545" w:rsidR="005E16C5" w:rsidP="00C90CB4" w:rsidRDefault="005E16C5" w14:paraId="6643816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F3895C0" w14:textId="77777777">
        <w:trPr>
          <w:gridAfter w:val="1"/>
          <w:wAfter w:w="90" w:type="dxa"/>
          <w:trHeight w:val="300"/>
        </w:trPr>
        <w:tc>
          <w:tcPr>
            <w:tcW w:w="6804" w:type="dxa"/>
            <w:tcBorders>
              <w:left w:val="nil"/>
              <w:right w:val="nil"/>
            </w:tcBorders>
            <w:noWrap/>
            <w:hideMark/>
          </w:tcPr>
          <w:p w:rsidRPr="002D6545" w:rsidR="005E16C5" w:rsidP="00C90CB4" w:rsidRDefault="005E16C5" w14:paraId="171A6F3E" w14:textId="77777777">
            <w:pPr>
              <w:ind w:firstLine="400" w:firstLineChars="200"/>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Posojila, pridobljena pri drugih finančnih institucijah</w:t>
            </w:r>
          </w:p>
        </w:tc>
        <w:tc>
          <w:tcPr>
            <w:tcW w:w="2745" w:type="dxa"/>
            <w:tcBorders>
              <w:left w:val="nil"/>
              <w:right w:val="nil"/>
            </w:tcBorders>
            <w:noWrap/>
            <w:hideMark/>
          </w:tcPr>
          <w:p w:rsidRPr="002D6545" w:rsidR="005E16C5" w:rsidP="00C90CB4" w:rsidRDefault="005E16C5" w14:paraId="6C2A562B"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D17E60C" w14:textId="77777777">
        <w:trPr>
          <w:gridAfter w:val="1"/>
          <w:wAfter w:w="90" w:type="dxa"/>
          <w:trHeight w:val="300"/>
        </w:trPr>
        <w:tc>
          <w:tcPr>
            <w:tcW w:w="6804" w:type="dxa"/>
            <w:tcBorders>
              <w:left w:val="nil"/>
              <w:right w:val="nil"/>
            </w:tcBorders>
            <w:noWrap/>
          </w:tcPr>
          <w:p w:rsidRPr="002D6545" w:rsidR="005E16C5" w:rsidP="00C90CB4" w:rsidRDefault="005E16C5" w14:paraId="28D5B068" w14:textId="77777777">
            <w:pPr>
              <w:ind w:left="171"/>
              <w:rPr>
                <w:rFonts w:ascii="Arial" w:hAnsi="Arial" w:eastAsia="Times New Roman" w:cs="Arial"/>
                <w:sz w:val="20"/>
                <w:szCs w:val="20"/>
              </w:rPr>
            </w:pPr>
            <w:r w:rsidRPr="002D6545">
              <w:rPr>
                <w:rFonts w:ascii="Arial" w:hAnsi="Arial"/>
                <w:sz w:val="20"/>
              </w:rPr>
              <w:t>b. Nečrpani del odobrenih kreditov, pridobljenih pri drugih finančnih institucijah</w:t>
            </w:r>
          </w:p>
        </w:tc>
        <w:tc>
          <w:tcPr>
            <w:tcW w:w="2745" w:type="dxa"/>
            <w:tcBorders>
              <w:left w:val="nil"/>
              <w:right w:val="nil"/>
            </w:tcBorders>
            <w:noWrap/>
          </w:tcPr>
          <w:p w:rsidRPr="002D6545" w:rsidR="005E16C5" w:rsidP="00C90CB4" w:rsidRDefault="005E16C5" w14:paraId="28DD4E77" w14:textId="77777777">
            <w:pPr>
              <w:jc w:val="right"/>
              <w:rPr>
                <w:rFonts w:ascii="Arial" w:hAnsi="Arial" w:eastAsia="Times New Roman" w:cs="Arial"/>
                <w:sz w:val="20"/>
                <w:szCs w:val="20"/>
                <w:lang w:eastAsia="en-GB"/>
              </w:rPr>
            </w:pPr>
          </w:p>
        </w:tc>
      </w:tr>
      <w:tr w:rsidRPr="002D6545" w:rsidR="005E16C5" w:rsidTr="00C90CB4" w14:paraId="4C07B102" w14:textId="77777777">
        <w:trPr>
          <w:gridAfter w:val="1"/>
          <w:wAfter w:w="90" w:type="dxa"/>
          <w:trHeight w:val="300"/>
        </w:trPr>
        <w:tc>
          <w:tcPr>
            <w:tcW w:w="6804" w:type="dxa"/>
            <w:tcBorders>
              <w:left w:val="nil"/>
              <w:right w:val="nil"/>
            </w:tcBorders>
            <w:noWrap/>
          </w:tcPr>
          <w:p w:rsidRPr="002D6545" w:rsidR="005E16C5" w:rsidP="00C90CB4" w:rsidRDefault="005E16C5" w14:paraId="28E14AC1" w14:textId="77777777">
            <w:pPr>
              <w:ind w:left="171"/>
              <w:rPr>
                <w:rFonts w:ascii="Arial" w:hAnsi="Arial" w:eastAsia="Times New Roman" w:cs="Arial"/>
                <w:sz w:val="20"/>
                <w:szCs w:val="20"/>
              </w:rPr>
            </w:pPr>
            <w:r w:rsidRPr="002D6545">
              <w:rPr>
                <w:rFonts w:ascii="Arial" w:hAnsi="Arial"/>
                <w:sz w:val="20"/>
              </w:rPr>
              <w:lastRenderedPageBreak/>
              <w:t>c. Neto negativne tekoče izpostavljenosti poslov financiranja z vrednostnimi papirji pri drugih finančnih institucijah</w:t>
            </w:r>
          </w:p>
        </w:tc>
        <w:tc>
          <w:tcPr>
            <w:tcW w:w="2745" w:type="dxa"/>
            <w:tcBorders>
              <w:left w:val="nil"/>
              <w:right w:val="nil"/>
            </w:tcBorders>
            <w:noWrap/>
          </w:tcPr>
          <w:p w:rsidRPr="002D6545" w:rsidR="005E16C5" w:rsidP="00C90CB4" w:rsidRDefault="005E16C5" w14:paraId="65FD9345" w14:textId="77777777">
            <w:pPr>
              <w:jc w:val="right"/>
              <w:rPr>
                <w:rFonts w:ascii="Arial" w:hAnsi="Arial" w:eastAsia="Times New Roman" w:cs="Arial"/>
                <w:sz w:val="20"/>
                <w:szCs w:val="20"/>
                <w:lang w:eastAsia="en-GB"/>
              </w:rPr>
            </w:pPr>
          </w:p>
        </w:tc>
      </w:tr>
      <w:tr w:rsidRPr="002D6545" w:rsidR="005E16C5" w:rsidTr="00C90CB4" w14:paraId="2615670F"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5E1E65A1" w14:textId="77777777">
            <w:pPr>
              <w:ind w:left="171"/>
              <w:rPr>
                <w:rFonts w:ascii="Arial" w:hAnsi="Arial" w:eastAsia="Times New Roman" w:cs="Arial"/>
                <w:sz w:val="20"/>
                <w:szCs w:val="20"/>
              </w:rPr>
            </w:pPr>
            <w:r w:rsidRPr="002D6545">
              <w:rPr>
                <w:rFonts w:ascii="Arial" w:hAnsi="Arial"/>
                <w:sz w:val="20"/>
              </w:rPr>
              <w:t>d. Izvedeni finančni instrumenti OTC pri drugih finančnih institucijah, ki imajo neto negativno pošteno vrednost:</w:t>
            </w:r>
          </w:p>
        </w:tc>
        <w:tc>
          <w:tcPr>
            <w:tcW w:w="2745" w:type="dxa"/>
            <w:tcBorders>
              <w:left w:val="nil"/>
              <w:bottom w:val="single" w:color="auto" w:sz="4" w:space="0"/>
              <w:right w:val="nil"/>
            </w:tcBorders>
            <w:noWrap/>
          </w:tcPr>
          <w:p w:rsidRPr="002D6545" w:rsidR="005E16C5" w:rsidP="00C90CB4" w:rsidRDefault="005E16C5" w14:paraId="4F2DAB67" w14:textId="77777777">
            <w:pPr>
              <w:jc w:val="right"/>
              <w:rPr>
                <w:rFonts w:ascii="Arial" w:hAnsi="Arial" w:eastAsia="Times New Roman" w:cs="Arial"/>
                <w:sz w:val="20"/>
                <w:szCs w:val="20"/>
                <w:lang w:eastAsia="en-GB"/>
              </w:rPr>
            </w:pPr>
          </w:p>
        </w:tc>
      </w:tr>
      <w:tr w:rsidRPr="002D6545" w:rsidR="005E16C5" w:rsidTr="00C90CB4" w14:paraId="1FACD1A6" w14:textId="77777777">
        <w:trPr>
          <w:gridAfter w:val="1"/>
          <w:wAfter w:w="90" w:type="dxa"/>
          <w:trHeight w:val="300"/>
        </w:trPr>
        <w:tc>
          <w:tcPr>
            <w:tcW w:w="6804" w:type="dxa"/>
            <w:tcBorders>
              <w:left w:val="nil"/>
              <w:right w:val="nil"/>
            </w:tcBorders>
            <w:noWrap/>
            <w:hideMark/>
          </w:tcPr>
          <w:p w:rsidRPr="002D6545" w:rsidR="005E16C5" w:rsidP="00C90CB4" w:rsidRDefault="005E16C5" w14:paraId="1E1F7FB8"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Neto negativna poštena vrednost</w:t>
            </w:r>
          </w:p>
        </w:tc>
        <w:tc>
          <w:tcPr>
            <w:tcW w:w="2745" w:type="dxa"/>
            <w:tcBorders>
              <w:left w:val="nil"/>
              <w:right w:val="nil"/>
            </w:tcBorders>
            <w:noWrap/>
            <w:hideMark/>
          </w:tcPr>
          <w:p w:rsidRPr="002D6545" w:rsidR="005E16C5" w:rsidP="00C90CB4" w:rsidRDefault="005E16C5" w14:paraId="39738472"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99DD438" w14:textId="77777777">
        <w:trPr>
          <w:gridAfter w:val="1"/>
          <w:wAfter w:w="90" w:type="dxa"/>
          <w:trHeight w:val="300"/>
        </w:trPr>
        <w:tc>
          <w:tcPr>
            <w:tcW w:w="6804" w:type="dxa"/>
            <w:tcBorders>
              <w:left w:val="nil"/>
              <w:right w:val="nil"/>
            </w:tcBorders>
            <w:noWrap/>
            <w:hideMark/>
          </w:tcPr>
          <w:p w:rsidRPr="002D6545" w:rsidR="005E16C5" w:rsidP="00C90CB4" w:rsidRDefault="005E16C5" w14:paraId="43F384AD"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Morebitne prihodnje izpostavljenosti</w:t>
            </w:r>
          </w:p>
        </w:tc>
        <w:tc>
          <w:tcPr>
            <w:tcW w:w="2745" w:type="dxa"/>
            <w:tcBorders>
              <w:left w:val="nil"/>
              <w:right w:val="nil"/>
            </w:tcBorders>
            <w:noWrap/>
            <w:hideMark/>
          </w:tcPr>
          <w:p w:rsidRPr="002D6545" w:rsidR="005E16C5" w:rsidP="00C90CB4" w:rsidRDefault="005E16C5" w14:paraId="7035C39A"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0B590F31"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16E34A21" w14:textId="77777777">
            <w:pPr>
              <w:ind w:left="171"/>
              <w:rPr>
                <w:rFonts w:ascii="Arial" w:hAnsi="Arial" w:eastAsia="Times New Roman" w:cs="Arial"/>
                <w:sz w:val="20"/>
                <w:szCs w:val="20"/>
              </w:rPr>
            </w:pPr>
            <w:r w:rsidRPr="002D6545">
              <w:rPr>
                <w:rFonts w:ascii="Arial" w:hAnsi="Arial"/>
                <w:sz w:val="20"/>
              </w:rPr>
              <w:t>e. Kazalnik obveznosti znotraj finančnega sistema, vključno s podrejenimi zavarovalnicami (vsota postavk 4(a)(1) do 4(d)(2))</w:t>
            </w:r>
          </w:p>
        </w:tc>
        <w:tc>
          <w:tcPr>
            <w:tcW w:w="2745" w:type="dxa"/>
            <w:tcBorders>
              <w:left w:val="nil"/>
              <w:bottom w:val="single" w:color="auto" w:sz="4" w:space="0"/>
              <w:right w:val="nil"/>
            </w:tcBorders>
            <w:noWrap/>
          </w:tcPr>
          <w:p w:rsidRPr="002D6545" w:rsidR="005E16C5" w:rsidP="00C90CB4" w:rsidRDefault="005E16C5" w14:paraId="289F890A" w14:textId="77777777">
            <w:pPr>
              <w:jc w:val="right"/>
              <w:rPr>
                <w:rFonts w:ascii="Arial" w:hAnsi="Arial" w:eastAsia="Times New Roman" w:cs="Arial"/>
                <w:sz w:val="20"/>
                <w:szCs w:val="20"/>
                <w:lang w:eastAsia="en-GB"/>
              </w:rPr>
            </w:pPr>
          </w:p>
        </w:tc>
      </w:tr>
      <w:tr w:rsidRPr="002D6545" w:rsidR="005E16C5" w:rsidTr="00C90CB4" w14:paraId="57A472AC"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72A8740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43776D2F" w14:textId="77777777">
            <w:pPr>
              <w:jc w:val="center"/>
              <w:rPr>
                <w:rFonts w:ascii="Arial" w:hAnsi="Arial" w:eastAsia="Times New Roman" w:cs="Arial"/>
                <w:b/>
                <w:bCs/>
                <w:sz w:val="20"/>
                <w:szCs w:val="20"/>
                <w:lang w:eastAsia="en-GB"/>
              </w:rPr>
            </w:pPr>
          </w:p>
        </w:tc>
      </w:tr>
      <w:tr w:rsidRPr="002D6545" w:rsidR="005E16C5" w:rsidTr="00C90CB4" w14:paraId="5FE982C1" w14:textId="77777777">
        <w:trPr>
          <w:gridAfter w:val="1"/>
          <w:wAfter w:w="90" w:type="dxa"/>
          <w:trHeight w:val="300"/>
        </w:trPr>
        <w:tc>
          <w:tcPr>
            <w:tcW w:w="6804" w:type="dxa"/>
            <w:tcBorders>
              <w:top w:val="nil"/>
              <w:left w:val="nil"/>
              <w:right w:val="nil"/>
            </w:tcBorders>
            <w:noWrap/>
            <w:hideMark/>
          </w:tcPr>
          <w:p w:rsidRPr="002D6545" w:rsidR="005E16C5" w:rsidP="00C90CB4" w:rsidRDefault="005E16C5" w14:paraId="5AD01F14" w14:textId="77777777">
            <w:pPr>
              <w:rPr>
                <w:rFonts w:ascii="Arial" w:hAnsi="Arial" w:eastAsia="Times New Roman" w:cs="Arial"/>
                <w:b/>
                <w:bCs/>
                <w:sz w:val="20"/>
                <w:szCs w:val="20"/>
              </w:rPr>
            </w:pPr>
            <w:r w:rsidRPr="002D6545">
              <w:rPr>
                <w:rFonts w:ascii="Arial" w:hAnsi="Arial"/>
                <w:b/>
                <w:sz w:val="20"/>
              </w:rPr>
              <w:t>Oddelek 5 – Nedospeli vrednostni papirji</w:t>
            </w:r>
          </w:p>
        </w:tc>
        <w:tc>
          <w:tcPr>
            <w:tcW w:w="2745" w:type="dxa"/>
            <w:tcBorders>
              <w:top w:val="nil"/>
              <w:left w:val="nil"/>
              <w:right w:val="nil"/>
            </w:tcBorders>
            <w:hideMark/>
          </w:tcPr>
          <w:p w:rsidRPr="002D6545" w:rsidR="005E16C5" w:rsidP="00C90CB4" w:rsidRDefault="005E16C5" w14:paraId="7D451FFF"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0227B0B7" w14:textId="77777777">
        <w:trPr>
          <w:gridAfter w:val="1"/>
          <w:wAfter w:w="90" w:type="dxa"/>
          <w:trHeight w:val="300"/>
        </w:trPr>
        <w:tc>
          <w:tcPr>
            <w:tcW w:w="6804" w:type="dxa"/>
            <w:tcBorders>
              <w:left w:val="nil"/>
              <w:right w:val="nil"/>
            </w:tcBorders>
            <w:noWrap/>
            <w:hideMark/>
          </w:tcPr>
          <w:p w:rsidRPr="002D6545" w:rsidR="005E16C5" w:rsidP="00C90CB4" w:rsidRDefault="005E16C5" w14:paraId="1C4A0F8A" w14:textId="77777777">
            <w:pPr>
              <w:ind w:firstLine="200" w:firstLineChars="100"/>
              <w:rPr>
                <w:rFonts w:ascii="Arial" w:hAnsi="Arial" w:eastAsia="Times New Roman" w:cs="Arial"/>
                <w:sz w:val="20"/>
                <w:szCs w:val="20"/>
              </w:rPr>
            </w:pPr>
            <w:r w:rsidRPr="002D6545">
              <w:rPr>
                <w:rFonts w:ascii="Arial" w:hAnsi="Arial"/>
                <w:sz w:val="20"/>
              </w:rPr>
              <w:t>a. Zavarovani dolžniški vrednostni papirji</w:t>
            </w:r>
          </w:p>
        </w:tc>
        <w:tc>
          <w:tcPr>
            <w:tcW w:w="2745" w:type="dxa"/>
            <w:tcBorders>
              <w:left w:val="nil"/>
              <w:right w:val="nil"/>
            </w:tcBorders>
            <w:noWrap/>
            <w:hideMark/>
          </w:tcPr>
          <w:p w:rsidRPr="002D6545" w:rsidR="005E16C5" w:rsidP="00C90CB4" w:rsidRDefault="005E16C5" w14:paraId="6042EA6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4C38D71" w14:textId="77777777">
        <w:trPr>
          <w:gridAfter w:val="1"/>
          <w:wAfter w:w="90" w:type="dxa"/>
          <w:trHeight w:val="300"/>
        </w:trPr>
        <w:tc>
          <w:tcPr>
            <w:tcW w:w="6804" w:type="dxa"/>
            <w:tcBorders>
              <w:left w:val="nil"/>
              <w:right w:val="nil"/>
            </w:tcBorders>
            <w:noWrap/>
            <w:hideMark/>
          </w:tcPr>
          <w:p w:rsidRPr="002D6545" w:rsidR="005E16C5" w:rsidP="00C90CB4" w:rsidRDefault="005E16C5" w14:paraId="47B3058B" w14:textId="77777777">
            <w:pPr>
              <w:ind w:firstLine="200" w:firstLineChars="100"/>
              <w:rPr>
                <w:rFonts w:ascii="Arial" w:hAnsi="Arial" w:eastAsia="Times New Roman" w:cs="Arial"/>
                <w:sz w:val="20"/>
                <w:szCs w:val="20"/>
              </w:rPr>
            </w:pPr>
            <w:r w:rsidRPr="002D6545">
              <w:rPr>
                <w:rFonts w:ascii="Arial" w:hAnsi="Arial"/>
                <w:sz w:val="20"/>
              </w:rPr>
              <w:t>b. Nadrejeni nezavarovani dolžniški vrednostni papirji</w:t>
            </w:r>
          </w:p>
        </w:tc>
        <w:tc>
          <w:tcPr>
            <w:tcW w:w="2745" w:type="dxa"/>
            <w:tcBorders>
              <w:left w:val="nil"/>
              <w:right w:val="nil"/>
            </w:tcBorders>
            <w:noWrap/>
            <w:hideMark/>
          </w:tcPr>
          <w:p w:rsidRPr="002D6545" w:rsidR="005E16C5" w:rsidP="00C90CB4" w:rsidRDefault="005E16C5" w14:paraId="39E86DA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05D8126" w14:textId="77777777">
        <w:trPr>
          <w:gridAfter w:val="1"/>
          <w:wAfter w:w="90" w:type="dxa"/>
          <w:trHeight w:val="300"/>
        </w:trPr>
        <w:tc>
          <w:tcPr>
            <w:tcW w:w="6804" w:type="dxa"/>
            <w:tcBorders>
              <w:left w:val="nil"/>
              <w:right w:val="nil"/>
            </w:tcBorders>
            <w:noWrap/>
            <w:hideMark/>
          </w:tcPr>
          <w:p w:rsidRPr="002D6545" w:rsidR="005E16C5" w:rsidP="00C90CB4" w:rsidRDefault="005E16C5" w14:paraId="7D15DF7F" w14:textId="77777777">
            <w:pPr>
              <w:ind w:firstLine="200" w:firstLineChars="100"/>
              <w:rPr>
                <w:rFonts w:ascii="Arial" w:hAnsi="Arial" w:eastAsia="Times New Roman" w:cs="Arial"/>
                <w:sz w:val="20"/>
                <w:szCs w:val="20"/>
              </w:rPr>
            </w:pPr>
            <w:r w:rsidRPr="002D6545">
              <w:rPr>
                <w:rFonts w:ascii="Arial" w:hAnsi="Arial"/>
                <w:sz w:val="20"/>
              </w:rPr>
              <w:t>c. Podrejeni dolžniški vrednostni papirji</w:t>
            </w:r>
          </w:p>
        </w:tc>
        <w:tc>
          <w:tcPr>
            <w:tcW w:w="2745" w:type="dxa"/>
            <w:tcBorders>
              <w:left w:val="nil"/>
              <w:right w:val="nil"/>
            </w:tcBorders>
            <w:noWrap/>
            <w:hideMark/>
          </w:tcPr>
          <w:p w:rsidRPr="002D6545" w:rsidR="005E16C5" w:rsidP="00C90CB4" w:rsidRDefault="005E16C5" w14:paraId="4B2BF4DC"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50F3EF9" w14:textId="77777777">
        <w:trPr>
          <w:gridAfter w:val="1"/>
          <w:wAfter w:w="90" w:type="dxa"/>
          <w:trHeight w:val="300"/>
        </w:trPr>
        <w:tc>
          <w:tcPr>
            <w:tcW w:w="6804" w:type="dxa"/>
            <w:tcBorders>
              <w:left w:val="nil"/>
              <w:right w:val="nil"/>
            </w:tcBorders>
            <w:noWrap/>
            <w:hideMark/>
          </w:tcPr>
          <w:p w:rsidRPr="002D6545" w:rsidR="005E16C5" w:rsidP="00C90CB4" w:rsidRDefault="005E16C5" w14:paraId="4E3077DB" w14:textId="77777777">
            <w:pPr>
              <w:ind w:firstLine="200" w:firstLineChars="100"/>
              <w:rPr>
                <w:rFonts w:ascii="Arial" w:hAnsi="Arial" w:eastAsia="Times New Roman" w:cs="Arial"/>
                <w:sz w:val="20"/>
                <w:szCs w:val="20"/>
              </w:rPr>
            </w:pPr>
            <w:r w:rsidRPr="002D6545">
              <w:rPr>
                <w:rFonts w:ascii="Arial" w:hAnsi="Arial"/>
                <w:sz w:val="20"/>
              </w:rPr>
              <w:t>d. Komercialni zapisi</w:t>
            </w:r>
          </w:p>
        </w:tc>
        <w:tc>
          <w:tcPr>
            <w:tcW w:w="2745" w:type="dxa"/>
            <w:tcBorders>
              <w:left w:val="nil"/>
              <w:right w:val="nil"/>
            </w:tcBorders>
            <w:noWrap/>
            <w:hideMark/>
          </w:tcPr>
          <w:p w:rsidRPr="002D6545" w:rsidR="005E16C5" w:rsidP="00C90CB4" w:rsidRDefault="005E16C5" w14:paraId="3472D983"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884BE81" w14:textId="77777777">
        <w:trPr>
          <w:gridAfter w:val="1"/>
          <w:wAfter w:w="90" w:type="dxa"/>
          <w:trHeight w:val="300"/>
        </w:trPr>
        <w:tc>
          <w:tcPr>
            <w:tcW w:w="6804" w:type="dxa"/>
            <w:tcBorders>
              <w:left w:val="nil"/>
              <w:right w:val="nil"/>
            </w:tcBorders>
            <w:noWrap/>
            <w:hideMark/>
          </w:tcPr>
          <w:p w:rsidRPr="002D6545" w:rsidR="005E16C5" w:rsidP="00C90CB4" w:rsidRDefault="005E16C5" w14:paraId="24EF9BC5" w14:textId="77777777">
            <w:pPr>
              <w:ind w:firstLine="200" w:firstLineChars="100"/>
              <w:rPr>
                <w:rFonts w:ascii="Arial" w:hAnsi="Arial" w:eastAsia="Times New Roman" w:cs="Arial"/>
                <w:sz w:val="20"/>
                <w:szCs w:val="20"/>
              </w:rPr>
            </w:pPr>
            <w:r w:rsidRPr="002D6545">
              <w:rPr>
                <w:rFonts w:ascii="Arial" w:hAnsi="Arial"/>
                <w:sz w:val="20"/>
              </w:rPr>
              <w:t>e. Potrdila o vlogi</w:t>
            </w:r>
          </w:p>
        </w:tc>
        <w:tc>
          <w:tcPr>
            <w:tcW w:w="2745" w:type="dxa"/>
            <w:tcBorders>
              <w:left w:val="nil"/>
              <w:right w:val="nil"/>
            </w:tcBorders>
            <w:noWrap/>
            <w:hideMark/>
          </w:tcPr>
          <w:p w:rsidRPr="002D6545" w:rsidR="005E16C5" w:rsidP="00C90CB4" w:rsidRDefault="005E16C5" w14:paraId="173788B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6EE5F00" w14:textId="77777777">
        <w:trPr>
          <w:gridAfter w:val="1"/>
          <w:wAfter w:w="90" w:type="dxa"/>
          <w:trHeight w:val="300"/>
        </w:trPr>
        <w:tc>
          <w:tcPr>
            <w:tcW w:w="6804" w:type="dxa"/>
            <w:tcBorders>
              <w:left w:val="nil"/>
              <w:right w:val="nil"/>
            </w:tcBorders>
            <w:noWrap/>
            <w:hideMark/>
          </w:tcPr>
          <w:p w:rsidRPr="002D6545" w:rsidR="005E16C5" w:rsidP="00C90CB4" w:rsidRDefault="005E16C5" w14:paraId="278D3587" w14:textId="77777777">
            <w:pPr>
              <w:ind w:firstLine="200" w:firstLineChars="100"/>
              <w:rPr>
                <w:rFonts w:ascii="Arial" w:hAnsi="Arial" w:eastAsia="Times New Roman" w:cs="Arial"/>
                <w:sz w:val="20"/>
                <w:szCs w:val="20"/>
              </w:rPr>
            </w:pPr>
            <w:r w:rsidRPr="002D6545">
              <w:rPr>
                <w:rFonts w:ascii="Arial" w:hAnsi="Arial"/>
                <w:sz w:val="20"/>
              </w:rPr>
              <w:t>f. Navadni lastniški kapital</w:t>
            </w:r>
          </w:p>
        </w:tc>
        <w:tc>
          <w:tcPr>
            <w:tcW w:w="2745" w:type="dxa"/>
            <w:tcBorders>
              <w:left w:val="nil"/>
              <w:right w:val="nil"/>
            </w:tcBorders>
            <w:noWrap/>
            <w:hideMark/>
          </w:tcPr>
          <w:p w:rsidRPr="002D6545" w:rsidR="005E16C5" w:rsidP="00C90CB4" w:rsidRDefault="005E16C5" w14:paraId="6F4B4DA3"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086CFC4" w14:textId="77777777">
        <w:trPr>
          <w:gridAfter w:val="1"/>
          <w:wAfter w:w="90" w:type="dxa"/>
          <w:trHeight w:val="300"/>
        </w:trPr>
        <w:tc>
          <w:tcPr>
            <w:tcW w:w="6804" w:type="dxa"/>
            <w:tcBorders>
              <w:left w:val="nil"/>
              <w:right w:val="nil"/>
            </w:tcBorders>
            <w:noWrap/>
          </w:tcPr>
          <w:p w:rsidRPr="002D6545" w:rsidR="005E16C5" w:rsidP="00C90CB4" w:rsidRDefault="005E16C5" w14:paraId="71BF5558" w14:textId="77777777">
            <w:pPr>
              <w:ind w:left="171"/>
              <w:rPr>
                <w:rFonts w:ascii="Arial" w:hAnsi="Arial" w:eastAsia="Times New Roman" w:cs="Arial"/>
                <w:sz w:val="20"/>
                <w:szCs w:val="20"/>
              </w:rPr>
            </w:pPr>
            <w:r w:rsidRPr="002D6545">
              <w:rPr>
                <w:rFonts w:ascii="Arial" w:hAnsi="Arial"/>
                <w:sz w:val="20"/>
              </w:rPr>
              <w:t>g. Prednostne delnice in vse druge oblike podrejenega financiranja, ki niso zajete v postavki 5(c)</w:t>
            </w:r>
          </w:p>
        </w:tc>
        <w:tc>
          <w:tcPr>
            <w:tcW w:w="2745" w:type="dxa"/>
            <w:tcBorders>
              <w:left w:val="nil"/>
              <w:right w:val="nil"/>
            </w:tcBorders>
            <w:noWrap/>
          </w:tcPr>
          <w:p w:rsidRPr="002D6545" w:rsidR="005E16C5" w:rsidP="00C90CB4" w:rsidRDefault="005E16C5" w14:paraId="543A02B6" w14:textId="77777777">
            <w:pPr>
              <w:jc w:val="right"/>
              <w:rPr>
                <w:rFonts w:ascii="Arial" w:hAnsi="Arial" w:eastAsia="Times New Roman" w:cs="Arial"/>
                <w:sz w:val="20"/>
                <w:szCs w:val="20"/>
                <w:lang w:eastAsia="en-GB"/>
              </w:rPr>
            </w:pPr>
          </w:p>
        </w:tc>
      </w:tr>
      <w:tr w:rsidRPr="002D6545" w:rsidR="005E16C5" w:rsidTr="00C90CB4" w14:paraId="237B49D0"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5EDD6F43" w14:textId="77777777">
            <w:pPr>
              <w:ind w:left="171"/>
              <w:rPr>
                <w:rFonts w:ascii="Arial" w:hAnsi="Arial" w:eastAsia="Times New Roman" w:cs="Arial"/>
                <w:sz w:val="20"/>
                <w:szCs w:val="20"/>
              </w:rPr>
            </w:pPr>
            <w:r w:rsidRPr="002D6545">
              <w:rPr>
                <w:rFonts w:ascii="Arial" w:hAnsi="Arial"/>
                <w:sz w:val="20"/>
              </w:rPr>
              <w:t>h. Kazalnik nedospelih vrednostnih papirjev, vključno z vrednostnimi papirji, ki so jih izdale podrejene zavarovalnice (vsota postavk 5(a) do 5(g))</w:t>
            </w:r>
          </w:p>
        </w:tc>
        <w:tc>
          <w:tcPr>
            <w:tcW w:w="2745" w:type="dxa"/>
            <w:tcBorders>
              <w:left w:val="nil"/>
              <w:bottom w:val="single" w:color="auto" w:sz="4" w:space="0"/>
              <w:right w:val="nil"/>
            </w:tcBorders>
            <w:noWrap/>
          </w:tcPr>
          <w:p w:rsidRPr="002D6545" w:rsidR="005E16C5" w:rsidP="00C90CB4" w:rsidRDefault="005E16C5" w14:paraId="70024E1B" w14:textId="77777777">
            <w:pPr>
              <w:jc w:val="right"/>
              <w:rPr>
                <w:rFonts w:ascii="Arial" w:hAnsi="Arial" w:eastAsia="Times New Roman" w:cs="Arial"/>
                <w:sz w:val="20"/>
                <w:szCs w:val="20"/>
                <w:lang w:eastAsia="en-GB"/>
              </w:rPr>
            </w:pPr>
          </w:p>
        </w:tc>
      </w:tr>
      <w:tr w:rsidRPr="002D6545" w:rsidR="005E16C5" w:rsidTr="00C90CB4" w14:paraId="2F584C2B" w14:textId="77777777">
        <w:trPr>
          <w:gridAfter w:val="1"/>
          <w:wAfter w:w="90" w:type="dxa"/>
          <w:trHeight w:val="300"/>
        </w:trPr>
        <w:tc>
          <w:tcPr>
            <w:tcW w:w="6804" w:type="dxa"/>
            <w:tcBorders>
              <w:top w:val="single" w:color="auto" w:sz="4" w:space="0"/>
              <w:left w:val="nil"/>
              <w:bottom w:val="nil"/>
              <w:right w:val="nil"/>
            </w:tcBorders>
            <w:noWrap/>
          </w:tcPr>
          <w:p w:rsidRPr="002D6545" w:rsidR="005E16C5" w:rsidP="00C90CB4" w:rsidRDefault="005E16C5" w14:paraId="4BCB6889" w14:textId="77777777">
            <w:pPr>
              <w:keepNext/>
              <w:keepLines/>
              <w:spacing w:before="47"/>
              <w:outlineLvl w:val="5"/>
              <w:rPr>
                <w:rFonts w:ascii="Arial" w:hAnsi="Arial" w:cs="Arial" w:eastAsiaTheme="majorEastAsia"/>
                <w:b/>
                <w:bCs/>
                <w:i/>
                <w:iCs/>
                <w:caps/>
                <w:spacing w:val="-2"/>
                <w:sz w:val="20"/>
                <w:szCs w:val="20"/>
              </w:rPr>
            </w:pPr>
          </w:p>
        </w:tc>
        <w:tc>
          <w:tcPr>
            <w:tcW w:w="2745" w:type="dxa"/>
            <w:tcBorders>
              <w:top w:val="single" w:color="auto" w:sz="4" w:space="0"/>
              <w:left w:val="nil"/>
              <w:bottom w:val="nil"/>
              <w:right w:val="nil"/>
            </w:tcBorders>
            <w:noWrap/>
          </w:tcPr>
          <w:p w:rsidRPr="002D6545" w:rsidR="005E16C5" w:rsidP="00C90CB4" w:rsidRDefault="005E16C5" w14:paraId="55761D8B" w14:textId="77777777">
            <w:pPr>
              <w:jc w:val="center"/>
              <w:rPr>
                <w:rFonts w:ascii="Arial" w:hAnsi="Arial" w:eastAsia="Times New Roman" w:cs="Arial"/>
                <w:b/>
                <w:bCs/>
                <w:sz w:val="20"/>
                <w:szCs w:val="20"/>
                <w:lang w:eastAsia="en-GB"/>
              </w:rPr>
            </w:pPr>
          </w:p>
        </w:tc>
      </w:tr>
      <w:tr w:rsidRPr="002D6545" w:rsidR="005E16C5" w:rsidTr="00C90CB4" w14:paraId="1E06F67E" w14:textId="77777777">
        <w:trPr>
          <w:gridAfter w:val="1"/>
          <w:wAfter w:w="90" w:type="dxa"/>
          <w:trHeight w:val="300"/>
        </w:trPr>
        <w:tc>
          <w:tcPr>
            <w:tcW w:w="6804" w:type="dxa"/>
            <w:tcBorders>
              <w:top w:val="nil"/>
              <w:left w:val="nil"/>
              <w:bottom w:val="nil"/>
              <w:right w:val="nil"/>
            </w:tcBorders>
            <w:noWrap/>
          </w:tcPr>
          <w:p w:rsidRPr="002D6545" w:rsidR="005E16C5" w:rsidP="00C90CB4" w:rsidRDefault="005E16C5" w14:paraId="696ECBF6" w14:textId="77777777">
            <w:pPr>
              <w:keepNext/>
              <w:keepLines/>
              <w:spacing w:before="47"/>
              <w:outlineLvl w:val="5"/>
              <w:rPr>
                <w:rFonts w:asciiTheme="majorHAnsi" w:hAnsiTheme="majorHAnsi" w:eastAsiaTheme="majorEastAsia" w:cstheme="majorBidi"/>
                <w:b/>
                <w:bCs/>
                <w:i/>
                <w:iCs/>
                <w:caps/>
                <w:spacing w:val="-2"/>
              </w:rPr>
            </w:pPr>
            <w:r w:rsidRPr="002D6545">
              <w:rPr>
                <w:rFonts w:asciiTheme="majorHAnsi" w:hAnsiTheme="majorHAnsi"/>
                <w:b/>
                <w:i/>
                <w:caps/>
              </w:rPr>
              <w:t>Kazalniki nadomestljivosti/finančne infrastrukture institucije</w:t>
            </w:r>
          </w:p>
          <w:p w:rsidRPr="002D6545" w:rsidR="005E16C5" w:rsidP="00C90CB4" w:rsidRDefault="005E16C5" w14:paraId="5A937B00"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2D6545" w:rsidR="005E16C5" w:rsidP="00C90CB4" w:rsidRDefault="005E16C5" w14:paraId="66E298A6" w14:textId="77777777">
            <w:pPr>
              <w:jc w:val="center"/>
              <w:rPr>
                <w:rFonts w:ascii="Arial" w:hAnsi="Arial" w:eastAsia="Times New Roman" w:cs="Arial"/>
                <w:b/>
                <w:bCs/>
                <w:sz w:val="20"/>
                <w:szCs w:val="20"/>
                <w:lang w:eastAsia="en-GB"/>
              </w:rPr>
            </w:pPr>
          </w:p>
        </w:tc>
      </w:tr>
      <w:tr w:rsidRPr="002D6545" w:rsidR="005E16C5" w:rsidTr="00C90CB4" w14:paraId="69460A15"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0C2AFF9E" w14:textId="77777777">
            <w:pPr>
              <w:rPr>
                <w:rFonts w:ascii="Arial" w:hAnsi="Arial" w:eastAsia="Times New Roman" w:cs="Arial"/>
                <w:sz w:val="20"/>
                <w:szCs w:val="20"/>
              </w:rPr>
            </w:pPr>
            <w:r w:rsidRPr="002D6545">
              <w:rPr>
                <w:rFonts w:ascii="Arial" w:hAnsi="Arial"/>
                <w:b/>
                <w:sz w:val="20"/>
              </w:rPr>
              <w:t>Oddelek 6 – Plačila, izvedena v letu poročanja (brez plačil znotraj skupine)</w:t>
            </w:r>
          </w:p>
        </w:tc>
        <w:tc>
          <w:tcPr>
            <w:tcW w:w="2745" w:type="dxa"/>
            <w:tcBorders>
              <w:left w:val="nil"/>
              <w:bottom w:val="single" w:color="auto" w:sz="4" w:space="0"/>
              <w:right w:val="nil"/>
            </w:tcBorders>
            <w:noWrap/>
          </w:tcPr>
          <w:p w:rsidRPr="002D6545" w:rsidR="005E16C5" w:rsidP="00C90CB4" w:rsidRDefault="005E16C5" w14:paraId="689CFA95"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6B2B46D1" w14:textId="77777777">
        <w:trPr>
          <w:gridAfter w:val="1"/>
          <w:wAfter w:w="90" w:type="dxa"/>
          <w:trHeight w:val="300"/>
        </w:trPr>
        <w:tc>
          <w:tcPr>
            <w:tcW w:w="6804" w:type="dxa"/>
            <w:tcBorders>
              <w:left w:val="nil"/>
              <w:right w:val="nil"/>
            </w:tcBorders>
            <w:noWrap/>
            <w:hideMark/>
          </w:tcPr>
          <w:p w:rsidRPr="002D6545" w:rsidR="005E16C5" w:rsidP="00C90CB4" w:rsidRDefault="005E16C5" w14:paraId="3EFDAD4F" w14:textId="77777777">
            <w:pPr>
              <w:ind w:firstLine="200" w:firstLineChars="100"/>
              <w:rPr>
                <w:rFonts w:ascii="Arial" w:hAnsi="Arial" w:eastAsia="Times New Roman" w:cs="Arial"/>
                <w:sz w:val="20"/>
                <w:szCs w:val="20"/>
              </w:rPr>
            </w:pPr>
            <w:r w:rsidRPr="002D6545">
              <w:rPr>
                <w:rFonts w:ascii="Arial" w:hAnsi="Arial"/>
                <w:sz w:val="20"/>
              </w:rPr>
              <w:t xml:space="preserve"> a. Avstralski dolarji (AUD)</w:t>
            </w:r>
          </w:p>
        </w:tc>
        <w:tc>
          <w:tcPr>
            <w:tcW w:w="2745" w:type="dxa"/>
            <w:tcBorders>
              <w:left w:val="nil"/>
              <w:right w:val="nil"/>
            </w:tcBorders>
            <w:noWrap/>
            <w:hideMark/>
          </w:tcPr>
          <w:p w:rsidRPr="002D6545" w:rsidR="005E16C5" w:rsidP="00C90CB4" w:rsidRDefault="005E16C5" w14:paraId="24EE75D6"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7719C22" w14:textId="77777777">
        <w:trPr>
          <w:gridAfter w:val="1"/>
          <w:wAfter w:w="90" w:type="dxa"/>
          <w:trHeight w:val="300"/>
        </w:trPr>
        <w:tc>
          <w:tcPr>
            <w:tcW w:w="6804" w:type="dxa"/>
            <w:tcBorders>
              <w:left w:val="nil"/>
              <w:right w:val="nil"/>
            </w:tcBorders>
            <w:noWrap/>
            <w:hideMark/>
          </w:tcPr>
          <w:p w:rsidRPr="002D6545" w:rsidR="005E16C5" w:rsidP="00C90CB4" w:rsidRDefault="005E16C5" w14:paraId="7648A2FA" w14:textId="77777777">
            <w:pPr>
              <w:ind w:firstLine="200" w:firstLineChars="100"/>
              <w:rPr>
                <w:rFonts w:ascii="Arial" w:hAnsi="Arial" w:eastAsia="Times New Roman" w:cs="Arial"/>
                <w:sz w:val="20"/>
                <w:szCs w:val="20"/>
              </w:rPr>
            </w:pPr>
            <w:r w:rsidRPr="002D6545">
              <w:rPr>
                <w:rFonts w:ascii="Arial" w:hAnsi="Arial"/>
                <w:sz w:val="20"/>
              </w:rPr>
              <w:t>b. Kanadski dolarji (CAD)</w:t>
            </w:r>
          </w:p>
        </w:tc>
        <w:tc>
          <w:tcPr>
            <w:tcW w:w="2745" w:type="dxa"/>
            <w:tcBorders>
              <w:left w:val="nil"/>
              <w:right w:val="nil"/>
            </w:tcBorders>
            <w:noWrap/>
            <w:hideMark/>
          </w:tcPr>
          <w:p w:rsidRPr="002D6545" w:rsidR="005E16C5" w:rsidP="00C90CB4" w:rsidRDefault="005E16C5" w14:paraId="5BA1561E"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06663E4" w14:textId="77777777">
        <w:trPr>
          <w:gridAfter w:val="1"/>
          <w:wAfter w:w="90" w:type="dxa"/>
          <w:trHeight w:val="300"/>
        </w:trPr>
        <w:tc>
          <w:tcPr>
            <w:tcW w:w="6804" w:type="dxa"/>
            <w:tcBorders>
              <w:left w:val="nil"/>
              <w:right w:val="nil"/>
            </w:tcBorders>
            <w:noWrap/>
            <w:hideMark/>
          </w:tcPr>
          <w:p w:rsidRPr="002D6545" w:rsidR="005E16C5" w:rsidP="00C90CB4" w:rsidRDefault="005E16C5" w14:paraId="3C7F9905" w14:textId="77777777">
            <w:pPr>
              <w:ind w:firstLine="200" w:firstLineChars="100"/>
              <w:rPr>
                <w:rFonts w:ascii="Arial" w:hAnsi="Arial" w:eastAsia="Times New Roman" w:cs="Arial"/>
                <w:sz w:val="20"/>
                <w:szCs w:val="20"/>
              </w:rPr>
            </w:pPr>
            <w:r w:rsidRPr="002D6545">
              <w:rPr>
                <w:rFonts w:ascii="Arial" w:hAnsi="Arial"/>
                <w:sz w:val="20"/>
              </w:rPr>
              <w:t>c. Švicarski franki (CHF)</w:t>
            </w:r>
          </w:p>
        </w:tc>
        <w:tc>
          <w:tcPr>
            <w:tcW w:w="2745" w:type="dxa"/>
            <w:tcBorders>
              <w:left w:val="nil"/>
              <w:right w:val="nil"/>
            </w:tcBorders>
            <w:noWrap/>
            <w:hideMark/>
          </w:tcPr>
          <w:p w:rsidRPr="002D6545" w:rsidR="005E16C5" w:rsidP="00C90CB4" w:rsidRDefault="005E16C5" w14:paraId="061E3866"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0A6B5BD4" w14:textId="77777777">
        <w:trPr>
          <w:gridAfter w:val="1"/>
          <w:wAfter w:w="90" w:type="dxa"/>
          <w:trHeight w:val="300"/>
        </w:trPr>
        <w:tc>
          <w:tcPr>
            <w:tcW w:w="6804" w:type="dxa"/>
            <w:tcBorders>
              <w:left w:val="nil"/>
              <w:right w:val="nil"/>
            </w:tcBorders>
            <w:noWrap/>
            <w:hideMark/>
          </w:tcPr>
          <w:p w:rsidRPr="002D6545" w:rsidR="005E16C5" w:rsidP="00C90CB4" w:rsidRDefault="005E16C5" w14:paraId="0312FC92" w14:textId="77777777">
            <w:pPr>
              <w:ind w:firstLine="200" w:firstLineChars="100"/>
              <w:rPr>
                <w:rFonts w:ascii="Arial" w:hAnsi="Arial" w:eastAsia="Times New Roman" w:cs="Arial"/>
                <w:sz w:val="20"/>
                <w:szCs w:val="20"/>
              </w:rPr>
            </w:pPr>
            <w:r w:rsidRPr="002D6545">
              <w:rPr>
                <w:rFonts w:ascii="Arial" w:hAnsi="Arial"/>
                <w:sz w:val="20"/>
              </w:rPr>
              <w:t>d. Kitajski juani (CNY)</w:t>
            </w:r>
          </w:p>
        </w:tc>
        <w:tc>
          <w:tcPr>
            <w:tcW w:w="2745" w:type="dxa"/>
            <w:tcBorders>
              <w:left w:val="nil"/>
              <w:right w:val="nil"/>
            </w:tcBorders>
            <w:noWrap/>
            <w:hideMark/>
          </w:tcPr>
          <w:p w:rsidRPr="002D6545" w:rsidR="005E16C5" w:rsidP="00C90CB4" w:rsidRDefault="005E16C5" w14:paraId="0A701F3F"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56DD866" w14:textId="77777777">
        <w:trPr>
          <w:gridAfter w:val="1"/>
          <w:wAfter w:w="90" w:type="dxa"/>
          <w:trHeight w:val="300"/>
        </w:trPr>
        <w:tc>
          <w:tcPr>
            <w:tcW w:w="6804" w:type="dxa"/>
            <w:tcBorders>
              <w:left w:val="nil"/>
              <w:right w:val="nil"/>
            </w:tcBorders>
            <w:noWrap/>
            <w:hideMark/>
          </w:tcPr>
          <w:p w:rsidRPr="002D6545" w:rsidR="005E16C5" w:rsidP="00C90CB4" w:rsidRDefault="005E16C5" w14:paraId="53AE975E" w14:textId="77777777">
            <w:pPr>
              <w:ind w:firstLine="200" w:firstLineChars="100"/>
              <w:rPr>
                <w:rFonts w:ascii="Arial" w:hAnsi="Arial" w:eastAsia="Times New Roman" w:cs="Arial"/>
                <w:sz w:val="20"/>
                <w:szCs w:val="20"/>
              </w:rPr>
            </w:pPr>
            <w:r w:rsidRPr="002D6545">
              <w:rPr>
                <w:rFonts w:ascii="Arial" w:hAnsi="Arial"/>
                <w:sz w:val="20"/>
              </w:rPr>
              <w:t>e. Euri (EUR)</w:t>
            </w:r>
          </w:p>
        </w:tc>
        <w:tc>
          <w:tcPr>
            <w:tcW w:w="2745" w:type="dxa"/>
            <w:tcBorders>
              <w:left w:val="nil"/>
              <w:right w:val="nil"/>
            </w:tcBorders>
            <w:noWrap/>
            <w:hideMark/>
          </w:tcPr>
          <w:p w:rsidRPr="002D6545" w:rsidR="005E16C5" w:rsidP="00C90CB4" w:rsidRDefault="005E16C5" w14:paraId="6BF1C70B"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320167B" w14:textId="77777777">
        <w:trPr>
          <w:gridAfter w:val="1"/>
          <w:wAfter w:w="90" w:type="dxa"/>
          <w:trHeight w:val="300"/>
        </w:trPr>
        <w:tc>
          <w:tcPr>
            <w:tcW w:w="6804" w:type="dxa"/>
            <w:tcBorders>
              <w:left w:val="nil"/>
              <w:right w:val="nil"/>
            </w:tcBorders>
            <w:noWrap/>
            <w:hideMark/>
          </w:tcPr>
          <w:p w:rsidRPr="002D6545" w:rsidR="005E16C5" w:rsidP="00C90CB4" w:rsidRDefault="005E16C5" w14:paraId="52138E01" w14:textId="77777777">
            <w:pPr>
              <w:ind w:firstLine="200" w:firstLineChars="100"/>
              <w:rPr>
                <w:rFonts w:ascii="Arial" w:hAnsi="Arial" w:eastAsia="Times New Roman" w:cs="Arial"/>
                <w:sz w:val="20"/>
                <w:szCs w:val="20"/>
              </w:rPr>
            </w:pPr>
            <w:r w:rsidRPr="002D6545">
              <w:rPr>
                <w:rFonts w:ascii="Arial" w:hAnsi="Arial"/>
                <w:sz w:val="20"/>
              </w:rPr>
              <w:t>f. Britanski funti (GBP)</w:t>
            </w:r>
          </w:p>
        </w:tc>
        <w:tc>
          <w:tcPr>
            <w:tcW w:w="2745" w:type="dxa"/>
            <w:tcBorders>
              <w:left w:val="nil"/>
              <w:right w:val="nil"/>
            </w:tcBorders>
            <w:noWrap/>
            <w:hideMark/>
          </w:tcPr>
          <w:p w:rsidRPr="002D6545" w:rsidR="005E16C5" w:rsidP="00C90CB4" w:rsidRDefault="005E16C5" w14:paraId="533BAB1B"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0733932E" w14:textId="77777777">
        <w:trPr>
          <w:gridAfter w:val="1"/>
          <w:wAfter w:w="90" w:type="dxa"/>
          <w:trHeight w:val="300"/>
        </w:trPr>
        <w:tc>
          <w:tcPr>
            <w:tcW w:w="6804" w:type="dxa"/>
            <w:tcBorders>
              <w:left w:val="nil"/>
              <w:right w:val="nil"/>
            </w:tcBorders>
            <w:noWrap/>
            <w:hideMark/>
          </w:tcPr>
          <w:p w:rsidRPr="002D6545" w:rsidR="005E16C5" w:rsidP="00C90CB4" w:rsidRDefault="005E16C5" w14:paraId="710B4732" w14:textId="77777777">
            <w:pPr>
              <w:ind w:firstLine="200" w:firstLineChars="100"/>
              <w:rPr>
                <w:rFonts w:ascii="Arial" w:hAnsi="Arial" w:eastAsia="Times New Roman" w:cs="Arial"/>
                <w:sz w:val="20"/>
                <w:szCs w:val="20"/>
              </w:rPr>
            </w:pPr>
            <w:r w:rsidRPr="002D6545">
              <w:rPr>
                <w:rFonts w:ascii="Arial" w:hAnsi="Arial"/>
                <w:sz w:val="20"/>
              </w:rPr>
              <w:t>g. Hongkonški dolarji (HKD)</w:t>
            </w:r>
          </w:p>
        </w:tc>
        <w:tc>
          <w:tcPr>
            <w:tcW w:w="2745" w:type="dxa"/>
            <w:tcBorders>
              <w:left w:val="nil"/>
              <w:right w:val="nil"/>
            </w:tcBorders>
            <w:noWrap/>
            <w:hideMark/>
          </w:tcPr>
          <w:p w:rsidRPr="002D6545" w:rsidR="005E16C5" w:rsidP="00C90CB4" w:rsidRDefault="005E16C5" w14:paraId="58B73330"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08F516B" w14:textId="77777777">
        <w:trPr>
          <w:gridAfter w:val="1"/>
          <w:wAfter w:w="90" w:type="dxa"/>
          <w:trHeight w:val="300"/>
        </w:trPr>
        <w:tc>
          <w:tcPr>
            <w:tcW w:w="6804" w:type="dxa"/>
            <w:tcBorders>
              <w:left w:val="nil"/>
              <w:right w:val="nil"/>
            </w:tcBorders>
            <w:noWrap/>
            <w:hideMark/>
          </w:tcPr>
          <w:p w:rsidRPr="002D6545" w:rsidR="005E16C5" w:rsidP="00C90CB4" w:rsidRDefault="005E16C5" w14:paraId="60A1FDE9" w14:textId="77777777">
            <w:pPr>
              <w:ind w:firstLine="200" w:firstLineChars="100"/>
              <w:rPr>
                <w:rFonts w:ascii="Arial" w:hAnsi="Arial" w:eastAsia="Times New Roman" w:cs="Arial"/>
                <w:sz w:val="20"/>
                <w:szCs w:val="20"/>
              </w:rPr>
            </w:pPr>
            <w:r w:rsidRPr="002D6545">
              <w:rPr>
                <w:rFonts w:ascii="Arial" w:hAnsi="Arial"/>
                <w:sz w:val="20"/>
              </w:rPr>
              <w:t>h. Indijske rupije (INR)</w:t>
            </w:r>
          </w:p>
        </w:tc>
        <w:tc>
          <w:tcPr>
            <w:tcW w:w="2745" w:type="dxa"/>
            <w:tcBorders>
              <w:left w:val="nil"/>
              <w:right w:val="nil"/>
            </w:tcBorders>
            <w:noWrap/>
            <w:hideMark/>
          </w:tcPr>
          <w:p w:rsidRPr="002D6545" w:rsidR="005E16C5" w:rsidP="00C90CB4" w:rsidRDefault="005E16C5" w14:paraId="4196C84F"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E920309" w14:textId="77777777">
        <w:trPr>
          <w:gridAfter w:val="1"/>
          <w:wAfter w:w="90" w:type="dxa"/>
          <w:trHeight w:val="300"/>
        </w:trPr>
        <w:tc>
          <w:tcPr>
            <w:tcW w:w="6804" w:type="dxa"/>
            <w:tcBorders>
              <w:left w:val="nil"/>
              <w:right w:val="nil"/>
            </w:tcBorders>
            <w:noWrap/>
            <w:hideMark/>
          </w:tcPr>
          <w:p w:rsidRPr="002D6545" w:rsidR="005E16C5" w:rsidP="00C90CB4" w:rsidRDefault="005E16C5" w14:paraId="25336418" w14:textId="77777777">
            <w:pPr>
              <w:ind w:firstLine="200" w:firstLineChars="100"/>
              <w:rPr>
                <w:rFonts w:ascii="Arial" w:hAnsi="Arial" w:eastAsia="Times New Roman" w:cs="Arial"/>
                <w:sz w:val="20"/>
                <w:szCs w:val="20"/>
              </w:rPr>
            </w:pPr>
            <w:r w:rsidRPr="002D6545">
              <w:rPr>
                <w:rFonts w:ascii="Arial" w:hAnsi="Arial"/>
                <w:sz w:val="20"/>
              </w:rPr>
              <w:t>i. Japonski jeni (JPY)</w:t>
            </w:r>
          </w:p>
        </w:tc>
        <w:tc>
          <w:tcPr>
            <w:tcW w:w="2745" w:type="dxa"/>
            <w:tcBorders>
              <w:left w:val="nil"/>
              <w:right w:val="nil"/>
            </w:tcBorders>
            <w:noWrap/>
            <w:hideMark/>
          </w:tcPr>
          <w:p w:rsidRPr="002D6545" w:rsidR="005E16C5" w:rsidP="00C90CB4" w:rsidRDefault="005E16C5" w14:paraId="3F93A79D"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CC17F0C" w14:textId="77777777">
        <w:trPr>
          <w:gridAfter w:val="1"/>
          <w:wAfter w:w="90" w:type="dxa"/>
          <w:trHeight w:val="300"/>
        </w:trPr>
        <w:tc>
          <w:tcPr>
            <w:tcW w:w="6804" w:type="dxa"/>
            <w:tcBorders>
              <w:left w:val="nil"/>
              <w:right w:val="nil"/>
            </w:tcBorders>
            <w:noWrap/>
            <w:hideMark/>
          </w:tcPr>
          <w:p w:rsidRPr="002D6545" w:rsidR="005E16C5" w:rsidP="00C90CB4" w:rsidRDefault="005E16C5" w14:paraId="628B314E" w14:textId="77777777">
            <w:pPr>
              <w:ind w:firstLine="200" w:firstLineChars="100"/>
              <w:rPr>
                <w:rFonts w:ascii="Arial" w:hAnsi="Arial" w:eastAsia="Times New Roman" w:cs="Arial"/>
                <w:sz w:val="20"/>
                <w:szCs w:val="20"/>
              </w:rPr>
            </w:pPr>
            <w:r w:rsidRPr="002D6545">
              <w:rPr>
                <w:rFonts w:ascii="Arial" w:hAnsi="Arial"/>
                <w:sz w:val="20"/>
              </w:rPr>
              <w:t>j. Novozelandski dolarji (NZD)</w:t>
            </w:r>
          </w:p>
        </w:tc>
        <w:tc>
          <w:tcPr>
            <w:tcW w:w="2745" w:type="dxa"/>
            <w:tcBorders>
              <w:left w:val="nil"/>
              <w:right w:val="nil"/>
            </w:tcBorders>
            <w:noWrap/>
            <w:hideMark/>
          </w:tcPr>
          <w:p w:rsidRPr="002D6545" w:rsidR="005E16C5" w:rsidP="00C90CB4" w:rsidRDefault="005E16C5" w14:paraId="10EF70A7"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18B9EE5" w14:textId="77777777">
        <w:trPr>
          <w:gridAfter w:val="1"/>
          <w:wAfter w:w="90" w:type="dxa"/>
          <w:trHeight w:val="300"/>
        </w:trPr>
        <w:tc>
          <w:tcPr>
            <w:tcW w:w="6804" w:type="dxa"/>
            <w:tcBorders>
              <w:left w:val="nil"/>
              <w:right w:val="nil"/>
            </w:tcBorders>
            <w:noWrap/>
            <w:hideMark/>
          </w:tcPr>
          <w:p w:rsidRPr="002D6545" w:rsidR="005E16C5" w:rsidP="00C90CB4" w:rsidRDefault="005E16C5" w14:paraId="3633DB08" w14:textId="77777777">
            <w:pPr>
              <w:ind w:firstLine="200" w:firstLineChars="100"/>
              <w:rPr>
                <w:rFonts w:ascii="Arial" w:hAnsi="Arial" w:eastAsia="Times New Roman" w:cs="Arial"/>
                <w:sz w:val="20"/>
                <w:szCs w:val="20"/>
              </w:rPr>
            </w:pPr>
            <w:r w:rsidRPr="002D6545">
              <w:rPr>
                <w:rFonts w:ascii="Arial" w:hAnsi="Arial"/>
                <w:sz w:val="20"/>
              </w:rPr>
              <w:t>k. Švedske krone (SEK)</w:t>
            </w:r>
          </w:p>
        </w:tc>
        <w:tc>
          <w:tcPr>
            <w:tcW w:w="2745" w:type="dxa"/>
            <w:tcBorders>
              <w:left w:val="nil"/>
              <w:right w:val="nil"/>
            </w:tcBorders>
            <w:noWrap/>
            <w:hideMark/>
          </w:tcPr>
          <w:p w:rsidRPr="002D6545" w:rsidR="005E16C5" w:rsidP="00C90CB4" w:rsidRDefault="005E16C5" w14:paraId="7E669C6B"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04114AD9" w14:textId="77777777">
        <w:trPr>
          <w:gridAfter w:val="1"/>
          <w:wAfter w:w="90" w:type="dxa"/>
          <w:trHeight w:val="300"/>
        </w:trPr>
        <w:tc>
          <w:tcPr>
            <w:tcW w:w="6804" w:type="dxa"/>
            <w:tcBorders>
              <w:left w:val="nil"/>
              <w:right w:val="nil"/>
            </w:tcBorders>
            <w:noWrap/>
            <w:hideMark/>
          </w:tcPr>
          <w:p w:rsidRPr="002D6545" w:rsidR="005E16C5" w:rsidP="00C90CB4" w:rsidRDefault="005E16C5" w14:paraId="245B91EE" w14:textId="77777777">
            <w:pPr>
              <w:ind w:firstLine="200" w:firstLineChars="100"/>
              <w:rPr>
                <w:rFonts w:ascii="Arial" w:hAnsi="Arial" w:eastAsia="Times New Roman" w:cs="Arial"/>
                <w:sz w:val="20"/>
                <w:szCs w:val="20"/>
              </w:rPr>
            </w:pPr>
            <w:r w:rsidRPr="002D6545">
              <w:rPr>
                <w:rFonts w:ascii="Arial" w:hAnsi="Arial"/>
                <w:sz w:val="20"/>
              </w:rPr>
              <w:t>l. Ameriški dolarji (USD)</w:t>
            </w:r>
          </w:p>
        </w:tc>
        <w:tc>
          <w:tcPr>
            <w:tcW w:w="2745" w:type="dxa"/>
            <w:tcBorders>
              <w:left w:val="nil"/>
              <w:right w:val="nil"/>
            </w:tcBorders>
            <w:noWrap/>
            <w:hideMark/>
          </w:tcPr>
          <w:p w:rsidRPr="002D6545" w:rsidR="005E16C5" w:rsidP="00C90CB4" w:rsidRDefault="005E16C5" w14:paraId="67FA3006"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4DE3C4A"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26711331" w14:textId="77777777">
            <w:pPr>
              <w:ind w:firstLine="200" w:firstLineChars="100"/>
              <w:rPr>
                <w:rFonts w:ascii="Arial" w:hAnsi="Arial" w:eastAsia="Times New Roman" w:cs="Arial"/>
                <w:sz w:val="20"/>
                <w:szCs w:val="20"/>
              </w:rPr>
            </w:pPr>
            <w:r w:rsidRPr="002D6545">
              <w:rPr>
                <w:rFonts w:ascii="Arial" w:hAnsi="Arial"/>
                <w:sz w:val="20"/>
              </w:rPr>
              <w:t>m. Kazalnik plačilne dejavnosti (vsota postavk 6(a) do 6(l))</w:t>
            </w:r>
          </w:p>
        </w:tc>
        <w:tc>
          <w:tcPr>
            <w:tcW w:w="2745" w:type="dxa"/>
            <w:tcBorders>
              <w:left w:val="nil"/>
              <w:bottom w:val="single" w:color="auto" w:sz="4" w:space="0"/>
              <w:right w:val="nil"/>
            </w:tcBorders>
            <w:noWrap/>
            <w:hideMark/>
          </w:tcPr>
          <w:p w:rsidRPr="002D6545" w:rsidR="005E16C5" w:rsidP="00C90CB4" w:rsidRDefault="005E16C5" w14:paraId="5AFA06A8" w14:textId="77777777">
            <w:pPr>
              <w:jc w:val="right"/>
              <w:rPr>
                <w:rFonts w:ascii="Arial" w:hAnsi="Arial" w:eastAsia="Times New Roman" w:cs="Arial"/>
                <w:sz w:val="20"/>
                <w:szCs w:val="20"/>
              </w:rPr>
            </w:pPr>
            <w:r w:rsidRPr="002D6545">
              <w:rPr>
                <w:rFonts w:ascii="Arial" w:hAnsi="Arial"/>
                <w:sz w:val="20"/>
              </w:rPr>
              <w:t xml:space="preserve"> </w:t>
            </w:r>
          </w:p>
        </w:tc>
      </w:tr>
      <w:tr w:rsidRPr="002D6545" w:rsidR="005E16C5" w:rsidTr="00C90CB4" w14:paraId="16228008"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1CBBB3E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67F0A623" w14:textId="77777777">
            <w:pPr>
              <w:jc w:val="center"/>
              <w:rPr>
                <w:rFonts w:ascii="Arial" w:hAnsi="Arial" w:eastAsia="Times New Roman" w:cs="Arial"/>
                <w:b/>
                <w:bCs/>
                <w:sz w:val="20"/>
                <w:szCs w:val="20"/>
                <w:lang w:eastAsia="en-GB"/>
              </w:rPr>
            </w:pPr>
          </w:p>
        </w:tc>
      </w:tr>
      <w:tr w:rsidRPr="002D6545" w:rsidR="005E16C5" w:rsidTr="00C90CB4" w14:paraId="355CB151" w14:textId="77777777">
        <w:trPr>
          <w:gridAfter w:val="1"/>
          <w:wAfter w:w="90" w:type="dxa"/>
          <w:trHeight w:val="300"/>
        </w:trPr>
        <w:tc>
          <w:tcPr>
            <w:tcW w:w="6804" w:type="dxa"/>
            <w:tcBorders>
              <w:top w:val="nil"/>
              <w:left w:val="nil"/>
              <w:bottom w:val="single" w:color="auto" w:sz="4" w:space="0"/>
              <w:right w:val="nil"/>
            </w:tcBorders>
            <w:noWrap/>
            <w:hideMark/>
          </w:tcPr>
          <w:p w:rsidRPr="002D6545" w:rsidR="005E16C5" w:rsidP="00C90CB4" w:rsidRDefault="005E16C5" w14:paraId="44967B49" w14:textId="77777777">
            <w:pPr>
              <w:rPr>
                <w:rFonts w:ascii="Arial" w:hAnsi="Arial" w:eastAsia="Times New Roman" w:cs="Arial"/>
                <w:b/>
                <w:bCs/>
                <w:sz w:val="20"/>
                <w:szCs w:val="20"/>
              </w:rPr>
            </w:pPr>
            <w:r w:rsidRPr="002D6545">
              <w:rPr>
                <w:rFonts w:ascii="Arial" w:hAnsi="Arial"/>
                <w:b/>
                <w:sz w:val="20"/>
              </w:rPr>
              <w:t>Oddelek 7 – Sredstva v skrbništvu</w:t>
            </w:r>
          </w:p>
        </w:tc>
        <w:tc>
          <w:tcPr>
            <w:tcW w:w="2745" w:type="dxa"/>
            <w:tcBorders>
              <w:top w:val="nil"/>
              <w:left w:val="nil"/>
              <w:bottom w:val="single" w:color="auto" w:sz="4" w:space="0"/>
              <w:right w:val="nil"/>
            </w:tcBorders>
            <w:hideMark/>
          </w:tcPr>
          <w:p w:rsidRPr="002D6545" w:rsidR="005E16C5" w:rsidP="00C90CB4" w:rsidRDefault="005E16C5" w14:paraId="5C048B31"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2FD7A0A1"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400B3416" w14:textId="77777777">
            <w:pPr>
              <w:ind w:firstLine="200" w:firstLineChars="100"/>
              <w:rPr>
                <w:rFonts w:ascii="Arial" w:hAnsi="Arial" w:eastAsia="Times New Roman" w:cs="Arial"/>
                <w:sz w:val="20"/>
                <w:szCs w:val="20"/>
              </w:rPr>
            </w:pPr>
            <w:r w:rsidRPr="002D6545">
              <w:rPr>
                <w:rFonts w:ascii="Arial" w:hAnsi="Arial"/>
                <w:sz w:val="20"/>
              </w:rPr>
              <w:t>a. Kazalnik sredstev v skrbništvu</w:t>
            </w:r>
          </w:p>
        </w:tc>
        <w:tc>
          <w:tcPr>
            <w:tcW w:w="2745" w:type="dxa"/>
            <w:tcBorders>
              <w:left w:val="nil"/>
              <w:bottom w:val="single" w:color="auto" w:sz="4" w:space="0"/>
              <w:right w:val="nil"/>
            </w:tcBorders>
            <w:noWrap/>
            <w:hideMark/>
          </w:tcPr>
          <w:p w:rsidRPr="002D6545" w:rsidR="005E16C5" w:rsidP="00C90CB4" w:rsidRDefault="005E16C5" w14:paraId="08DA0AA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A5449B9"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7E3A12E8"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2D6545" w:rsidR="005E16C5" w:rsidP="00C90CB4" w:rsidRDefault="005E16C5" w14:paraId="14F446FE" w14:textId="77777777">
            <w:pPr>
              <w:jc w:val="center"/>
              <w:rPr>
                <w:rFonts w:ascii="Arial" w:hAnsi="Arial" w:eastAsia="Times New Roman" w:cs="Arial"/>
                <w:b/>
                <w:bCs/>
                <w:sz w:val="20"/>
                <w:szCs w:val="20"/>
                <w:lang w:eastAsia="en-GB"/>
              </w:rPr>
            </w:pPr>
          </w:p>
        </w:tc>
      </w:tr>
      <w:tr w:rsidRPr="002D6545" w:rsidR="005E16C5" w:rsidTr="00C90CB4" w14:paraId="215A34FB" w14:textId="77777777">
        <w:trPr>
          <w:gridAfter w:val="1"/>
          <w:wAfter w:w="90" w:type="dxa"/>
          <w:trHeight w:val="300"/>
        </w:trPr>
        <w:tc>
          <w:tcPr>
            <w:tcW w:w="6804" w:type="dxa"/>
            <w:tcBorders>
              <w:top w:val="nil"/>
              <w:left w:val="nil"/>
              <w:bottom w:val="single" w:color="auto" w:sz="4" w:space="0"/>
              <w:right w:val="nil"/>
            </w:tcBorders>
            <w:noWrap/>
          </w:tcPr>
          <w:p w:rsidRPr="002D6545" w:rsidR="005E16C5" w:rsidP="00C90CB4" w:rsidRDefault="005E16C5" w14:paraId="0E9D3B0A" w14:textId="77777777">
            <w:pPr>
              <w:rPr>
                <w:rFonts w:ascii="Arial" w:hAnsi="Arial" w:eastAsia="Times New Roman" w:cs="Arial"/>
                <w:sz w:val="20"/>
                <w:szCs w:val="20"/>
              </w:rPr>
            </w:pPr>
            <w:r w:rsidRPr="002D6545">
              <w:rPr>
                <w:rFonts w:ascii="Arial" w:hAnsi="Arial"/>
                <w:b/>
                <w:sz w:val="20"/>
              </w:rPr>
              <w:t>Oddelek 8 – Prevzeti posli na trgih dolžniških in lastniških finančnih instrumentov</w:t>
            </w:r>
          </w:p>
        </w:tc>
        <w:tc>
          <w:tcPr>
            <w:tcW w:w="2745" w:type="dxa"/>
            <w:tcBorders>
              <w:top w:val="nil"/>
              <w:left w:val="nil"/>
              <w:bottom w:val="single" w:color="auto" w:sz="4" w:space="0"/>
              <w:right w:val="nil"/>
            </w:tcBorders>
            <w:noWrap/>
          </w:tcPr>
          <w:p w:rsidRPr="002D6545" w:rsidR="005E16C5" w:rsidP="00C90CB4" w:rsidRDefault="005E16C5" w14:paraId="40EEB9C9"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4669C429" w14:textId="77777777">
        <w:trPr>
          <w:gridAfter w:val="1"/>
          <w:wAfter w:w="90" w:type="dxa"/>
          <w:trHeight w:val="300"/>
        </w:trPr>
        <w:tc>
          <w:tcPr>
            <w:tcW w:w="6804" w:type="dxa"/>
            <w:tcBorders>
              <w:left w:val="nil"/>
              <w:right w:val="nil"/>
            </w:tcBorders>
            <w:noWrap/>
            <w:hideMark/>
          </w:tcPr>
          <w:p w:rsidRPr="002D6545" w:rsidR="005E16C5" w:rsidP="00C90CB4" w:rsidRDefault="005E16C5" w14:paraId="1CAF364F" w14:textId="77777777">
            <w:pPr>
              <w:ind w:firstLine="200" w:firstLineChars="100"/>
              <w:rPr>
                <w:rFonts w:ascii="Arial" w:hAnsi="Arial" w:eastAsia="Times New Roman" w:cs="Arial"/>
                <w:sz w:val="20"/>
                <w:szCs w:val="20"/>
              </w:rPr>
            </w:pPr>
            <w:r w:rsidRPr="002D6545">
              <w:rPr>
                <w:rFonts w:ascii="Arial" w:hAnsi="Arial"/>
                <w:sz w:val="20"/>
              </w:rPr>
              <w:t>a. Prva prodaja lastniških finančnih instrumentov z obveznostjo odkupa</w:t>
            </w:r>
          </w:p>
        </w:tc>
        <w:tc>
          <w:tcPr>
            <w:tcW w:w="2745" w:type="dxa"/>
            <w:tcBorders>
              <w:left w:val="nil"/>
              <w:right w:val="nil"/>
            </w:tcBorders>
            <w:noWrap/>
            <w:hideMark/>
          </w:tcPr>
          <w:p w:rsidRPr="002D6545" w:rsidR="005E16C5" w:rsidP="00C90CB4" w:rsidRDefault="005E16C5" w14:paraId="08C3463A"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02E39168" w14:textId="77777777">
        <w:trPr>
          <w:gridAfter w:val="1"/>
          <w:wAfter w:w="90" w:type="dxa"/>
          <w:trHeight w:val="300"/>
        </w:trPr>
        <w:tc>
          <w:tcPr>
            <w:tcW w:w="6804" w:type="dxa"/>
            <w:tcBorders>
              <w:left w:val="nil"/>
              <w:right w:val="nil"/>
            </w:tcBorders>
            <w:noWrap/>
            <w:hideMark/>
          </w:tcPr>
          <w:p w:rsidRPr="002D6545" w:rsidR="005E16C5" w:rsidP="00C90CB4" w:rsidRDefault="005E16C5" w14:paraId="62972F5C" w14:textId="77777777">
            <w:pPr>
              <w:ind w:firstLine="200" w:firstLineChars="100"/>
              <w:rPr>
                <w:rFonts w:ascii="Arial" w:hAnsi="Arial" w:eastAsia="Times New Roman" w:cs="Arial"/>
                <w:sz w:val="20"/>
                <w:szCs w:val="20"/>
              </w:rPr>
            </w:pPr>
            <w:r w:rsidRPr="002D6545">
              <w:rPr>
                <w:rFonts w:ascii="Arial" w:hAnsi="Arial"/>
                <w:sz w:val="20"/>
              </w:rPr>
              <w:lastRenderedPageBreak/>
              <w:t>b. Prva prodaja dolžniških finančnih instrumentov z obveznostjo odkupa</w:t>
            </w:r>
          </w:p>
        </w:tc>
        <w:tc>
          <w:tcPr>
            <w:tcW w:w="2745" w:type="dxa"/>
            <w:tcBorders>
              <w:left w:val="nil"/>
              <w:right w:val="nil"/>
            </w:tcBorders>
            <w:noWrap/>
            <w:hideMark/>
          </w:tcPr>
          <w:p w:rsidRPr="002D6545" w:rsidR="005E16C5" w:rsidP="00C90CB4" w:rsidRDefault="005E16C5" w14:paraId="5D00CDC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A665157"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6F4E0025" w14:textId="77777777">
            <w:pPr>
              <w:ind w:firstLine="200" w:firstLineChars="100"/>
              <w:rPr>
                <w:rFonts w:ascii="Arial" w:hAnsi="Arial" w:eastAsia="Times New Roman" w:cs="Arial"/>
                <w:sz w:val="20"/>
                <w:szCs w:val="20"/>
              </w:rPr>
            </w:pPr>
            <w:r w:rsidRPr="002D6545">
              <w:rPr>
                <w:rFonts w:ascii="Arial" w:hAnsi="Arial"/>
                <w:sz w:val="20"/>
              </w:rPr>
              <w:t>c. Kazalnik prve prodaje finančnih instrumentov z obveznostjo odkupa (vsota postavk 8(a) in 8(b))</w:t>
            </w:r>
          </w:p>
        </w:tc>
        <w:tc>
          <w:tcPr>
            <w:tcW w:w="2745" w:type="dxa"/>
            <w:tcBorders>
              <w:left w:val="nil"/>
              <w:bottom w:val="single" w:color="auto" w:sz="4" w:space="0"/>
              <w:right w:val="nil"/>
            </w:tcBorders>
            <w:noWrap/>
            <w:hideMark/>
          </w:tcPr>
          <w:p w:rsidRPr="002D6545" w:rsidR="005E16C5" w:rsidP="00C90CB4" w:rsidRDefault="005E16C5" w14:paraId="1E688295"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8C86636"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324B4DD3"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0DF55B9E" w14:textId="77777777">
            <w:pPr>
              <w:jc w:val="center"/>
              <w:rPr>
                <w:rFonts w:ascii="Arial" w:hAnsi="Arial" w:eastAsia="Times New Roman" w:cs="Arial"/>
                <w:b/>
                <w:bCs/>
                <w:sz w:val="20"/>
                <w:szCs w:val="20"/>
                <w:lang w:eastAsia="en-GB"/>
              </w:rPr>
            </w:pPr>
          </w:p>
        </w:tc>
      </w:tr>
      <w:tr w:rsidRPr="002D6545" w:rsidR="005E16C5" w:rsidTr="00C90CB4" w14:paraId="75AA00D1" w14:textId="77777777">
        <w:trPr>
          <w:gridAfter w:val="1"/>
          <w:wAfter w:w="90" w:type="dxa"/>
          <w:trHeight w:val="300"/>
        </w:trPr>
        <w:tc>
          <w:tcPr>
            <w:tcW w:w="6804" w:type="dxa"/>
            <w:tcBorders>
              <w:top w:val="nil"/>
              <w:left w:val="nil"/>
              <w:right w:val="nil"/>
            </w:tcBorders>
            <w:noWrap/>
            <w:hideMark/>
          </w:tcPr>
          <w:p w:rsidRPr="002D6545" w:rsidR="005E16C5" w:rsidP="00C90CB4" w:rsidRDefault="005E16C5" w14:paraId="5B05E6BB" w14:textId="77777777">
            <w:pPr>
              <w:rPr>
                <w:rFonts w:ascii="Arial" w:hAnsi="Arial" w:eastAsia="Times New Roman" w:cs="Arial"/>
                <w:b/>
                <w:bCs/>
                <w:sz w:val="20"/>
                <w:szCs w:val="20"/>
              </w:rPr>
            </w:pPr>
            <w:r w:rsidRPr="002D6545">
              <w:rPr>
                <w:rFonts w:ascii="Arial" w:hAnsi="Arial"/>
                <w:b/>
                <w:sz w:val="20"/>
              </w:rPr>
              <w:t>Oddelek 9 – Obseg trgovanja</w:t>
            </w:r>
          </w:p>
        </w:tc>
        <w:tc>
          <w:tcPr>
            <w:tcW w:w="2745" w:type="dxa"/>
            <w:tcBorders>
              <w:top w:val="nil"/>
              <w:left w:val="nil"/>
              <w:right w:val="nil"/>
            </w:tcBorders>
            <w:hideMark/>
          </w:tcPr>
          <w:p w:rsidRPr="002D6545" w:rsidR="005E16C5" w:rsidP="00C90CB4" w:rsidRDefault="005E16C5" w14:paraId="0C7167DB"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0C3CE0F1" w14:textId="77777777">
        <w:trPr>
          <w:gridAfter w:val="1"/>
          <w:wAfter w:w="90" w:type="dxa"/>
          <w:trHeight w:val="300"/>
        </w:trPr>
        <w:tc>
          <w:tcPr>
            <w:tcW w:w="6804" w:type="dxa"/>
            <w:tcBorders>
              <w:left w:val="nil"/>
              <w:right w:val="nil"/>
            </w:tcBorders>
            <w:noWrap/>
          </w:tcPr>
          <w:p w:rsidRPr="002D6545" w:rsidR="005E16C5" w:rsidP="00C90CB4" w:rsidRDefault="005E16C5" w14:paraId="15EE3DFA" w14:textId="77777777">
            <w:pPr>
              <w:ind w:left="171" w:firstLine="28" w:firstLineChars="14"/>
              <w:rPr>
                <w:rFonts w:ascii="Arial" w:hAnsi="Arial" w:eastAsia="Times New Roman" w:cs="Arial"/>
                <w:sz w:val="20"/>
                <w:szCs w:val="20"/>
              </w:rPr>
            </w:pPr>
            <w:r w:rsidRPr="002D6545">
              <w:rPr>
                <w:rFonts w:ascii="Arial" w:hAnsi="Arial"/>
                <w:sz w:val="20"/>
              </w:rPr>
              <w:t>a. Obseg trgovanja z vrednostnimi papirji, ki jih izdajo drugi subjekti javnega sektorja, razen transakcij znotraj skupine</w:t>
            </w:r>
          </w:p>
        </w:tc>
        <w:tc>
          <w:tcPr>
            <w:tcW w:w="2745" w:type="dxa"/>
            <w:tcBorders>
              <w:left w:val="nil"/>
              <w:right w:val="nil"/>
            </w:tcBorders>
            <w:noWrap/>
          </w:tcPr>
          <w:p w:rsidRPr="002D6545" w:rsidR="005E16C5" w:rsidP="00C90CB4" w:rsidRDefault="005E16C5" w14:paraId="6FCC5099" w14:textId="77777777">
            <w:pPr>
              <w:jc w:val="right"/>
              <w:rPr>
                <w:rFonts w:ascii="Arial" w:hAnsi="Arial" w:eastAsia="Times New Roman" w:cs="Arial"/>
                <w:sz w:val="20"/>
                <w:szCs w:val="20"/>
                <w:lang w:eastAsia="en-GB"/>
              </w:rPr>
            </w:pPr>
          </w:p>
        </w:tc>
      </w:tr>
      <w:tr w:rsidRPr="002D6545" w:rsidR="005E16C5" w:rsidTr="00C90CB4" w14:paraId="39166E3E"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168E2BA2" w14:textId="77777777">
            <w:pPr>
              <w:ind w:left="171" w:firstLine="28" w:firstLineChars="14"/>
              <w:rPr>
                <w:rFonts w:ascii="Arial" w:hAnsi="Arial" w:eastAsia="Times New Roman" w:cs="Arial"/>
                <w:sz w:val="20"/>
                <w:szCs w:val="20"/>
              </w:rPr>
            </w:pPr>
            <w:r w:rsidRPr="002D6545">
              <w:rPr>
                <w:rFonts w:ascii="Arial" w:hAnsi="Arial"/>
                <w:sz w:val="20"/>
              </w:rPr>
              <w:t>b. Obseg trgovanja z drugimi vrednostnimi papirji s stalnim donosom, razen transakcij znotraj skupine</w:t>
            </w:r>
          </w:p>
        </w:tc>
        <w:tc>
          <w:tcPr>
            <w:tcW w:w="2745" w:type="dxa"/>
            <w:tcBorders>
              <w:left w:val="nil"/>
              <w:right w:val="nil"/>
            </w:tcBorders>
            <w:noWrap/>
            <w:hideMark/>
          </w:tcPr>
          <w:p w:rsidRPr="002D6545" w:rsidR="005E16C5" w:rsidP="00C90CB4" w:rsidRDefault="005E16C5" w14:paraId="672CB486"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F4793D9" w14:textId="77777777">
        <w:trPr>
          <w:gridAfter w:val="2"/>
          <w:wAfter w:w="2835" w:type="dxa"/>
          <w:trHeight w:val="300"/>
        </w:trPr>
        <w:tc>
          <w:tcPr>
            <w:tcW w:w="6804" w:type="dxa"/>
            <w:tcBorders>
              <w:left w:val="nil"/>
              <w:bottom w:val="single" w:color="auto" w:sz="4" w:space="0"/>
              <w:right w:val="nil"/>
            </w:tcBorders>
            <w:noWrap/>
            <w:hideMark/>
          </w:tcPr>
          <w:p w:rsidRPr="002D6545" w:rsidR="005E16C5" w:rsidP="00C90CB4" w:rsidRDefault="005E16C5" w14:paraId="2C901A24" w14:textId="77777777">
            <w:pPr>
              <w:ind w:firstLine="200" w:firstLineChars="100"/>
              <w:rPr>
                <w:rFonts w:ascii="Arial" w:hAnsi="Arial" w:eastAsia="Times New Roman" w:cs="Arial"/>
                <w:sz w:val="20"/>
                <w:szCs w:val="20"/>
              </w:rPr>
            </w:pPr>
            <w:r w:rsidRPr="002D6545">
              <w:rPr>
                <w:rFonts w:ascii="Arial" w:hAnsi="Arial"/>
                <w:sz w:val="20"/>
              </w:rPr>
              <w:t>c. Podkazalnik obsega trgovanja s stalnim donosom (vsota postavk 9(a) in 9(b))</w:t>
            </w:r>
          </w:p>
        </w:tc>
      </w:tr>
      <w:tr w:rsidRPr="002D6545" w:rsidR="005E16C5" w:rsidTr="00C90CB4" w14:paraId="1AD2B985" w14:textId="77777777">
        <w:trPr>
          <w:gridAfter w:val="1"/>
          <w:wAfter w:w="90" w:type="dxa"/>
          <w:trHeight w:val="300"/>
        </w:trPr>
        <w:tc>
          <w:tcPr>
            <w:tcW w:w="6804" w:type="dxa"/>
            <w:tcBorders>
              <w:left w:val="nil"/>
              <w:right w:val="nil"/>
            </w:tcBorders>
            <w:noWrap/>
            <w:hideMark/>
          </w:tcPr>
          <w:p w:rsidRPr="002D6545" w:rsidR="005E16C5" w:rsidP="00C90CB4" w:rsidRDefault="005E16C5" w14:paraId="67FFAB38" w14:textId="77777777">
            <w:pPr>
              <w:ind w:firstLine="200" w:firstLineChars="100"/>
              <w:rPr>
                <w:rFonts w:ascii="Arial" w:hAnsi="Arial" w:eastAsia="Times New Roman" w:cs="Arial"/>
                <w:sz w:val="20"/>
                <w:szCs w:val="20"/>
              </w:rPr>
            </w:pPr>
            <w:r w:rsidRPr="002D6545">
              <w:rPr>
                <w:rFonts w:ascii="Arial" w:hAnsi="Arial"/>
                <w:sz w:val="20"/>
              </w:rPr>
              <w:t>d. Obseg trgovanja z lastniškimi vrednostnimi papirji, ki kotirajo na borzi, razen transakcij znotraj skupine</w:t>
            </w:r>
          </w:p>
        </w:tc>
        <w:tc>
          <w:tcPr>
            <w:tcW w:w="2745" w:type="dxa"/>
            <w:tcBorders>
              <w:left w:val="nil"/>
              <w:right w:val="nil"/>
            </w:tcBorders>
            <w:noWrap/>
            <w:hideMark/>
          </w:tcPr>
          <w:p w:rsidRPr="002D6545" w:rsidR="005E16C5" w:rsidP="00C90CB4" w:rsidRDefault="005E16C5" w14:paraId="565876CF"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C360344"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2123E063" w14:textId="77777777">
            <w:pPr>
              <w:ind w:left="171"/>
              <w:rPr>
                <w:rFonts w:ascii="Arial" w:hAnsi="Arial" w:eastAsia="Times New Roman" w:cs="Arial"/>
                <w:sz w:val="20"/>
                <w:szCs w:val="20"/>
              </w:rPr>
            </w:pPr>
            <w:r w:rsidRPr="002D6545">
              <w:rPr>
                <w:rFonts w:ascii="Arial" w:hAnsi="Arial"/>
                <w:sz w:val="20"/>
              </w:rPr>
              <w:t>e. Obseg trgovanja z vsemi drugimi vrednostnimi papirji, razen transakcij znotraj skupine</w:t>
            </w:r>
          </w:p>
        </w:tc>
        <w:tc>
          <w:tcPr>
            <w:tcW w:w="2745" w:type="dxa"/>
            <w:tcBorders>
              <w:left w:val="nil"/>
              <w:right w:val="nil"/>
            </w:tcBorders>
            <w:noWrap/>
            <w:hideMark/>
          </w:tcPr>
          <w:p w:rsidRPr="002D6545" w:rsidR="005E16C5" w:rsidP="00C90CB4" w:rsidRDefault="005E16C5" w14:paraId="7863EADC"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150E688" w14:textId="77777777">
        <w:trPr>
          <w:gridAfter w:val="2"/>
          <w:wAfter w:w="2835" w:type="dxa"/>
          <w:trHeight w:val="300"/>
        </w:trPr>
        <w:tc>
          <w:tcPr>
            <w:tcW w:w="6804" w:type="dxa"/>
            <w:tcBorders>
              <w:left w:val="nil"/>
              <w:bottom w:val="single" w:color="auto" w:sz="4" w:space="0"/>
              <w:right w:val="nil"/>
            </w:tcBorders>
            <w:noWrap/>
            <w:hideMark/>
          </w:tcPr>
          <w:p w:rsidRPr="002D6545" w:rsidR="005E16C5" w:rsidP="00C90CB4" w:rsidRDefault="005E16C5" w14:paraId="2F281F98" w14:textId="77777777">
            <w:pPr>
              <w:ind w:left="171" w:firstLine="28" w:firstLineChars="14"/>
              <w:rPr>
                <w:rFonts w:ascii="Arial" w:hAnsi="Arial" w:eastAsia="Times New Roman" w:cs="Arial"/>
                <w:sz w:val="20"/>
                <w:szCs w:val="20"/>
              </w:rPr>
            </w:pPr>
            <w:r w:rsidRPr="002D6545">
              <w:rPr>
                <w:rFonts w:ascii="Arial" w:hAnsi="Arial"/>
                <w:sz w:val="20"/>
              </w:rPr>
              <w:t>f. Podkazalnik obsega trgovanja z lastniškimi vrednostnimi papirji in drugimi vrednostnimi papirji (vsota postavk 9(d) in 9(e))</w:t>
            </w:r>
          </w:p>
        </w:tc>
      </w:tr>
      <w:tr w:rsidRPr="002D6545" w:rsidR="005E16C5" w:rsidTr="00C90CB4" w14:paraId="1820BE96" w14:textId="77777777">
        <w:trPr>
          <w:gridAfter w:val="1"/>
          <w:wAfter w:w="90" w:type="dxa"/>
          <w:trHeight w:val="403"/>
        </w:trPr>
        <w:tc>
          <w:tcPr>
            <w:tcW w:w="6804" w:type="dxa"/>
            <w:tcBorders>
              <w:left w:val="nil"/>
              <w:bottom w:val="nil"/>
              <w:right w:val="nil"/>
            </w:tcBorders>
            <w:noWrap/>
          </w:tcPr>
          <w:p w:rsidRPr="002D6545" w:rsidR="005E16C5" w:rsidP="00C90CB4" w:rsidRDefault="005E16C5" w14:paraId="07A8C0DB"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left w:val="nil"/>
              <w:bottom w:val="nil"/>
              <w:right w:val="nil"/>
            </w:tcBorders>
            <w:noWrap/>
          </w:tcPr>
          <w:p w:rsidRPr="002D6545" w:rsidR="005E16C5" w:rsidP="00C90CB4" w:rsidRDefault="005E16C5" w14:paraId="6FFB560A" w14:textId="77777777">
            <w:pPr>
              <w:rPr>
                <w:rFonts w:ascii="Arial" w:hAnsi="Arial" w:eastAsia="Times New Roman" w:cs="Arial"/>
                <w:sz w:val="20"/>
                <w:szCs w:val="20"/>
                <w:lang w:eastAsia="en-GB"/>
              </w:rPr>
            </w:pPr>
          </w:p>
        </w:tc>
      </w:tr>
      <w:tr w:rsidRPr="002D6545" w:rsidR="005E16C5" w:rsidTr="00C90CB4" w14:paraId="71C3ACB2" w14:textId="77777777">
        <w:trPr>
          <w:gridAfter w:val="1"/>
          <w:wAfter w:w="90" w:type="dxa"/>
          <w:trHeight w:val="403"/>
        </w:trPr>
        <w:tc>
          <w:tcPr>
            <w:tcW w:w="6804" w:type="dxa"/>
            <w:tcBorders>
              <w:top w:val="nil"/>
              <w:left w:val="nil"/>
              <w:bottom w:val="nil"/>
              <w:right w:val="nil"/>
            </w:tcBorders>
            <w:noWrap/>
            <w:hideMark/>
          </w:tcPr>
          <w:p w:rsidRPr="002D6545" w:rsidR="005E16C5" w:rsidP="00C90CB4" w:rsidRDefault="005E16C5" w14:paraId="3B3C4B32" w14:textId="77777777">
            <w:pPr>
              <w:keepNext/>
              <w:keepLines/>
              <w:spacing w:before="47"/>
              <w:outlineLvl w:val="5"/>
              <w:rPr>
                <w:rFonts w:ascii="Arial" w:hAnsi="Arial" w:eastAsia="Times New Roman" w:cs="Arial"/>
                <w:sz w:val="20"/>
                <w:szCs w:val="20"/>
                <w:lang w:eastAsia="en-GB"/>
              </w:rPr>
            </w:pPr>
            <w:r w:rsidRPr="002D6545">
              <w:rPr>
                <w:rFonts w:ascii="Arial" w:hAnsi="Arial"/>
                <w:i/>
                <w:caps/>
                <w:color w:val="172B39" w:themeColor="accent1" w:themeShade="80"/>
                <w:sz w:val="20"/>
              </w:rPr>
              <w:t> </w:t>
            </w:r>
            <w:r w:rsidRPr="002D6545">
              <w:rPr>
                <w:rFonts w:asciiTheme="majorHAnsi" w:hAnsiTheme="majorHAnsi"/>
                <w:b/>
                <w:i/>
                <w:caps/>
              </w:rPr>
              <w:t>Kazalniki kompleksnosti</w:t>
            </w:r>
          </w:p>
        </w:tc>
        <w:tc>
          <w:tcPr>
            <w:tcW w:w="2745" w:type="dxa"/>
            <w:tcBorders>
              <w:top w:val="nil"/>
              <w:left w:val="nil"/>
              <w:bottom w:val="nil"/>
              <w:right w:val="nil"/>
            </w:tcBorders>
            <w:noWrap/>
            <w:hideMark/>
          </w:tcPr>
          <w:p w:rsidRPr="002D6545" w:rsidR="005E16C5" w:rsidP="00C90CB4" w:rsidRDefault="005E16C5" w14:paraId="131D9AAD" w14:textId="77777777">
            <w:pPr>
              <w:rPr>
                <w:rFonts w:ascii="Arial" w:hAnsi="Arial" w:eastAsia="Times New Roman" w:cs="Arial"/>
                <w:sz w:val="20"/>
                <w:szCs w:val="20"/>
              </w:rPr>
            </w:pPr>
            <w:r w:rsidRPr="002D6545">
              <w:rPr>
                <w:rFonts w:ascii="Arial" w:hAnsi="Arial"/>
                <w:sz w:val="20"/>
              </w:rPr>
              <w:t> </w:t>
            </w:r>
          </w:p>
        </w:tc>
      </w:tr>
      <w:tr w:rsidRPr="002D6545" w:rsidR="005E16C5" w:rsidTr="00C90CB4" w14:paraId="60ACF669" w14:textId="77777777">
        <w:trPr>
          <w:gridAfter w:val="1"/>
          <w:wAfter w:w="90" w:type="dxa"/>
          <w:trHeight w:val="403"/>
        </w:trPr>
        <w:tc>
          <w:tcPr>
            <w:tcW w:w="6804" w:type="dxa"/>
            <w:tcBorders>
              <w:top w:val="nil"/>
              <w:left w:val="nil"/>
              <w:bottom w:val="single" w:color="auto" w:sz="4" w:space="0"/>
              <w:right w:val="nil"/>
            </w:tcBorders>
            <w:noWrap/>
          </w:tcPr>
          <w:p w:rsidRPr="002D6545" w:rsidR="005E16C5" w:rsidP="00C90CB4" w:rsidRDefault="005E16C5" w14:paraId="7AC51E4C"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top w:val="nil"/>
              <w:left w:val="nil"/>
              <w:bottom w:val="single" w:color="auto" w:sz="4" w:space="0"/>
              <w:right w:val="nil"/>
            </w:tcBorders>
            <w:noWrap/>
          </w:tcPr>
          <w:p w:rsidRPr="002D6545" w:rsidR="005E16C5" w:rsidP="00C90CB4" w:rsidRDefault="005E16C5" w14:paraId="772850B4" w14:textId="77777777">
            <w:pPr>
              <w:rPr>
                <w:rFonts w:ascii="Arial" w:hAnsi="Arial" w:eastAsia="Times New Roman" w:cs="Arial"/>
                <w:sz w:val="20"/>
                <w:szCs w:val="20"/>
                <w:lang w:eastAsia="en-GB"/>
              </w:rPr>
            </w:pPr>
          </w:p>
        </w:tc>
      </w:tr>
      <w:tr w:rsidRPr="002D6545" w:rsidR="005E16C5" w:rsidTr="00C90CB4" w14:paraId="134B618E" w14:textId="77777777">
        <w:trPr>
          <w:gridAfter w:val="1"/>
          <w:wAfter w:w="90" w:type="dxa"/>
          <w:trHeight w:val="300"/>
        </w:trPr>
        <w:tc>
          <w:tcPr>
            <w:tcW w:w="6804" w:type="dxa"/>
            <w:tcBorders>
              <w:left w:val="nil"/>
              <w:right w:val="nil"/>
            </w:tcBorders>
            <w:noWrap/>
          </w:tcPr>
          <w:p w:rsidRPr="002D6545" w:rsidR="005E16C5" w:rsidP="00C90CB4" w:rsidRDefault="005E16C5" w14:paraId="6675FF12" w14:textId="77777777">
            <w:pPr>
              <w:ind w:firstLine="201" w:firstLineChars="100"/>
              <w:rPr>
                <w:rFonts w:ascii="Arial" w:hAnsi="Arial" w:eastAsia="Times New Roman" w:cs="Arial"/>
                <w:sz w:val="20"/>
                <w:szCs w:val="20"/>
              </w:rPr>
            </w:pPr>
            <w:r w:rsidRPr="002D6545">
              <w:rPr>
                <w:rFonts w:ascii="Arial" w:hAnsi="Arial"/>
                <w:b/>
                <w:sz w:val="20"/>
              </w:rPr>
              <w:t>Oddelek 10 – Nominalni znesek izvedenih finančnih instrumentov, s katerimi se trguje na prostem trgu (OTC)</w:t>
            </w:r>
          </w:p>
        </w:tc>
        <w:tc>
          <w:tcPr>
            <w:tcW w:w="2745" w:type="dxa"/>
            <w:tcBorders>
              <w:left w:val="nil"/>
              <w:right w:val="nil"/>
            </w:tcBorders>
            <w:noWrap/>
          </w:tcPr>
          <w:p w:rsidRPr="002D6545" w:rsidR="005E16C5" w:rsidP="00C90CB4" w:rsidRDefault="005E16C5" w14:paraId="57C74914"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04229375" w14:textId="77777777">
        <w:trPr>
          <w:gridAfter w:val="1"/>
          <w:wAfter w:w="90" w:type="dxa"/>
          <w:trHeight w:val="300"/>
        </w:trPr>
        <w:tc>
          <w:tcPr>
            <w:tcW w:w="6804" w:type="dxa"/>
            <w:tcBorders>
              <w:left w:val="nil"/>
              <w:right w:val="nil"/>
            </w:tcBorders>
            <w:noWrap/>
            <w:hideMark/>
          </w:tcPr>
          <w:p w:rsidRPr="002D6545" w:rsidR="005E16C5" w:rsidP="00C90CB4" w:rsidRDefault="005E16C5" w14:paraId="4DEA3D88" w14:textId="77777777">
            <w:pPr>
              <w:ind w:firstLine="200" w:firstLineChars="100"/>
              <w:rPr>
                <w:rFonts w:ascii="Arial" w:hAnsi="Arial" w:eastAsia="Times New Roman" w:cs="Arial"/>
                <w:sz w:val="20"/>
                <w:szCs w:val="20"/>
              </w:rPr>
            </w:pPr>
            <w:r w:rsidRPr="002D6545">
              <w:rPr>
                <w:rFonts w:ascii="Arial" w:hAnsi="Arial"/>
                <w:sz w:val="20"/>
              </w:rPr>
              <w:t>a. Izvedeni finančni instrumenti OTC, za katere kliring izvajajo centralne nasprotne stranke</w:t>
            </w:r>
          </w:p>
        </w:tc>
        <w:tc>
          <w:tcPr>
            <w:tcW w:w="2745" w:type="dxa"/>
            <w:tcBorders>
              <w:left w:val="nil"/>
              <w:right w:val="nil"/>
            </w:tcBorders>
            <w:noWrap/>
            <w:hideMark/>
          </w:tcPr>
          <w:p w:rsidRPr="002D6545" w:rsidR="005E16C5" w:rsidP="00C90CB4" w:rsidRDefault="005E16C5" w14:paraId="2E47660C"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066AFFD" w14:textId="77777777">
        <w:trPr>
          <w:gridAfter w:val="1"/>
          <w:wAfter w:w="90" w:type="dxa"/>
          <w:trHeight w:val="300"/>
        </w:trPr>
        <w:tc>
          <w:tcPr>
            <w:tcW w:w="6804" w:type="dxa"/>
            <w:tcBorders>
              <w:left w:val="nil"/>
              <w:right w:val="nil"/>
            </w:tcBorders>
            <w:noWrap/>
            <w:hideMark/>
          </w:tcPr>
          <w:p w:rsidRPr="002D6545" w:rsidR="005E16C5" w:rsidP="00C90CB4" w:rsidRDefault="005E16C5" w14:paraId="3D7FB2B7" w14:textId="77777777">
            <w:pPr>
              <w:ind w:firstLine="200" w:firstLineChars="100"/>
              <w:rPr>
                <w:rFonts w:ascii="Arial" w:hAnsi="Arial" w:eastAsia="Times New Roman" w:cs="Arial"/>
                <w:sz w:val="20"/>
                <w:szCs w:val="20"/>
              </w:rPr>
            </w:pPr>
            <w:r w:rsidRPr="002D6545">
              <w:rPr>
                <w:rFonts w:ascii="Arial" w:hAnsi="Arial"/>
                <w:sz w:val="20"/>
              </w:rPr>
              <w:t>b. Izvedeni finančni instrumenti OTC, ki se poravnajo dvostransko</w:t>
            </w:r>
          </w:p>
        </w:tc>
        <w:tc>
          <w:tcPr>
            <w:tcW w:w="2745" w:type="dxa"/>
            <w:tcBorders>
              <w:left w:val="nil"/>
              <w:right w:val="nil"/>
            </w:tcBorders>
            <w:noWrap/>
            <w:hideMark/>
          </w:tcPr>
          <w:p w:rsidRPr="002D6545" w:rsidR="005E16C5" w:rsidP="00C90CB4" w:rsidRDefault="005E16C5" w14:paraId="66F7EDB2"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DB30DBA"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0E7A4D16" w14:textId="77777777">
            <w:pPr>
              <w:ind w:left="171" w:firstLine="28" w:firstLineChars="14"/>
              <w:rPr>
                <w:rFonts w:ascii="Arial" w:hAnsi="Arial" w:eastAsia="Times New Roman" w:cs="Arial"/>
                <w:sz w:val="20"/>
                <w:szCs w:val="20"/>
              </w:rPr>
            </w:pPr>
            <w:r w:rsidRPr="002D6545">
              <w:rPr>
                <w:rFonts w:ascii="Arial" w:hAnsi="Arial"/>
                <w:sz w:val="20"/>
              </w:rPr>
              <w:t>c. Nominalni znesek kazalnika izvedenih finančnih instrumentov OTC, vključno s podrejenimi zavarovalnicami (vsota postavk 10(a) in 10(b))</w:t>
            </w:r>
          </w:p>
        </w:tc>
        <w:tc>
          <w:tcPr>
            <w:tcW w:w="2745" w:type="dxa"/>
            <w:tcBorders>
              <w:left w:val="nil"/>
              <w:bottom w:val="single" w:color="auto" w:sz="4" w:space="0"/>
              <w:right w:val="nil"/>
            </w:tcBorders>
            <w:noWrap/>
          </w:tcPr>
          <w:p w:rsidRPr="002D6545" w:rsidR="005E16C5" w:rsidP="00C90CB4" w:rsidRDefault="005E16C5" w14:paraId="04EC061C" w14:textId="77777777">
            <w:pPr>
              <w:jc w:val="right"/>
              <w:rPr>
                <w:rFonts w:ascii="Arial" w:hAnsi="Arial" w:eastAsia="Times New Roman" w:cs="Arial"/>
                <w:sz w:val="20"/>
                <w:szCs w:val="20"/>
                <w:lang w:eastAsia="en-GB"/>
              </w:rPr>
            </w:pPr>
          </w:p>
        </w:tc>
      </w:tr>
      <w:tr w:rsidRPr="002D6545" w:rsidR="005E16C5" w:rsidTr="00C90CB4" w14:paraId="574E6DB1"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0922833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0C0FDAED" w14:textId="77777777">
            <w:pPr>
              <w:jc w:val="center"/>
              <w:rPr>
                <w:rFonts w:ascii="Arial" w:hAnsi="Arial" w:eastAsia="Times New Roman" w:cs="Arial"/>
                <w:b/>
                <w:bCs/>
                <w:sz w:val="20"/>
                <w:szCs w:val="20"/>
                <w:lang w:eastAsia="en-GB"/>
              </w:rPr>
            </w:pPr>
          </w:p>
        </w:tc>
      </w:tr>
      <w:tr w:rsidRPr="002D6545" w:rsidR="005E16C5" w:rsidTr="00C90CB4" w14:paraId="6ABE5E9F" w14:textId="77777777">
        <w:trPr>
          <w:gridAfter w:val="1"/>
          <w:wAfter w:w="90" w:type="dxa"/>
          <w:trHeight w:val="300"/>
        </w:trPr>
        <w:tc>
          <w:tcPr>
            <w:tcW w:w="6804" w:type="dxa"/>
            <w:tcBorders>
              <w:top w:val="nil"/>
              <w:left w:val="nil"/>
              <w:bottom w:val="single" w:color="auto" w:sz="4" w:space="0"/>
              <w:right w:val="nil"/>
            </w:tcBorders>
            <w:noWrap/>
            <w:hideMark/>
          </w:tcPr>
          <w:p w:rsidRPr="002D6545" w:rsidR="005E16C5" w:rsidP="00C90CB4" w:rsidRDefault="005E16C5" w14:paraId="76D316F5" w14:textId="77777777">
            <w:pPr>
              <w:rPr>
                <w:rFonts w:ascii="Arial" w:hAnsi="Arial" w:eastAsia="Times New Roman" w:cs="Arial"/>
                <w:b/>
                <w:bCs/>
                <w:sz w:val="20"/>
                <w:szCs w:val="20"/>
              </w:rPr>
            </w:pPr>
            <w:r w:rsidRPr="002D6545">
              <w:rPr>
                <w:rFonts w:ascii="Arial" w:hAnsi="Arial"/>
                <w:b/>
                <w:sz w:val="20"/>
              </w:rPr>
              <w:t>Oddelek 11 – Vrednostni papirji, namenjeni trgovanju in razpoložljivi za prodajo</w:t>
            </w:r>
          </w:p>
        </w:tc>
        <w:tc>
          <w:tcPr>
            <w:tcW w:w="2745" w:type="dxa"/>
            <w:tcBorders>
              <w:top w:val="nil"/>
              <w:left w:val="nil"/>
              <w:bottom w:val="single" w:color="auto" w:sz="4" w:space="0"/>
              <w:right w:val="nil"/>
            </w:tcBorders>
            <w:hideMark/>
          </w:tcPr>
          <w:p w:rsidRPr="002D6545" w:rsidR="005E16C5" w:rsidP="00C90CB4" w:rsidRDefault="005E16C5" w14:paraId="1B24B848"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57171018" w14:textId="77777777">
        <w:trPr>
          <w:gridAfter w:val="1"/>
          <w:wAfter w:w="90" w:type="dxa"/>
          <w:trHeight w:val="300"/>
        </w:trPr>
        <w:tc>
          <w:tcPr>
            <w:tcW w:w="6804" w:type="dxa"/>
            <w:tcBorders>
              <w:left w:val="nil"/>
              <w:right w:val="nil"/>
            </w:tcBorders>
            <w:noWrap/>
            <w:hideMark/>
          </w:tcPr>
          <w:p w:rsidRPr="002D6545" w:rsidR="005E16C5" w:rsidP="00C90CB4" w:rsidRDefault="005E16C5" w14:paraId="2440EA02" w14:textId="77777777">
            <w:pPr>
              <w:ind w:firstLine="200" w:firstLineChars="100"/>
              <w:rPr>
                <w:rFonts w:ascii="Arial" w:hAnsi="Arial" w:eastAsia="Times New Roman" w:cs="Arial"/>
                <w:sz w:val="20"/>
                <w:szCs w:val="20"/>
              </w:rPr>
            </w:pPr>
            <w:r w:rsidRPr="002D6545">
              <w:rPr>
                <w:rFonts w:ascii="Arial" w:hAnsi="Arial"/>
                <w:sz w:val="20"/>
              </w:rPr>
              <w:t>a. Vrednostni papirji, namenjeni trgovanju (HFT)</w:t>
            </w:r>
          </w:p>
        </w:tc>
        <w:tc>
          <w:tcPr>
            <w:tcW w:w="2745" w:type="dxa"/>
            <w:tcBorders>
              <w:left w:val="nil"/>
              <w:right w:val="nil"/>
            </w:tcBorders>
            <w:noWrap/>
            <w:hideMark/>
          </w:tcPr>
          <w:p w:rsidRPr="002D6545" w:rsidR="005E16C5" w:rsidP="00C90CB4" w:rsidRDefault="005E16C5" w14:paraId="695E05F2"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04E1179B"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2AD15A3D" w14:textId="77777777">
            <w:pPr>
              <w:ind w:firstLine="200" w:firstLineChars="100"/>
              <w:rPr>
                <w:rFonts w:ascii="Arial" w:hAnsi="Arial" w:eastAsia="Times New Roman" w:cs="Arial"/>
                <w:sz w:val="20"/>
                <w:szCs w:val="20"/>
              </w:rPr>
            </w:pPr>
            <w:r w:rsidRPr="002D6545">
              <w:rPr>
                <w:rFonts w:ascii="Arial" w:hAnsi="Arial"/>
                <w:sz w:val="20"/>
              </w:rPr>
              <w:t>b. Vrednostni papirji, razpoložljivi za prodajo (AFS)</w:t>
            </w:r>
          </w:p>
        </w:tc>
        <w:tc>
          <w:tcPr>
            <w:tcW w:w="2745" w:type="dxa"/>
            <w:tcBorders>
              <w:left w:val="nil"/>
              <w:right w:val="nil"/>
            </w:tcBorders>
            <w:noWrap/>
            <w:hideMark/>
          </w:tcPr>
          <w:p w:rsidRPr="002D6545" w:rsidR="005E16C5" w:rsidP="00C90CB4" w:rsidRDefault="005E16C5" w14:paraId="3C7F90C1"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8642DD4"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4A534078" w14:textId="77777777">
            <w:pPr>
              <w:ind w:firstLine="200" w:firstLineChars="100"/>
              <w:rPr>
                <w:rFonts w:ascii="Arial" w:hAnsi="Arial" w:eastAsia="Times New Roman" w:cs="Arial"/>
                <w:sz w:val="20"/>
                <w:szCs w:val="20"/>
              </w:rPr>
            </w:pPr>
            <w:r w:rsidRPr="002D6545">
              <w:rPr>
                <w:rFonts w:ascii="Arial" w:hAnsi="Arial"/>
                <w:sz w:val="20"/>
              </w:rPr>
              <w:t>c. Vrednostni papirji, namenjeni trgovanju in razpoložljivi za prodajo, ki ustrezajo opredelitvi sredstev ravni 1</w:t>
            </w:r>
          </w:p>
        </w:tc>
        <w:tc>
          <w:tcPr>
            <w:tcW w:w="2745" w:type="dxa"/>
            <w:tcBorders>
              <w:left w:val="nil"/>
              <w:right w:val="nil"/>
            </w:tcBorders>
            <w:noWrap/>
          </w:tcPr>
          <w:p w:rsidRPr="002D6545" w:rsidR="005E16C5" w:rsidP="00C90CB4" w:rsidRDefault="005E16C5" w14:paraId="76DD070B" w14:textId="77777777">
            <w:pPr>
              <w:jc w:val="right"/>
              <w:rPr>
                <w:rFonts w:ascii="Arial" w:hAnsi="Arial" w:eastAsia="Times New Roman" w:cs="Arial"/>
                <w:sz w:val="20"/>
                <w:szCs w:val="20"/>
                <w:lang w:eastAsia="en-GB"/>
              </w:rPr>
            </w:pPr>
          </w:p>
        </w:tc>
      </w:tr>
      <w:tr w:rsidRPr="002D6545" w:rsidR="005E16C5" w:rsidTr="00C90CB4" w14:paraId="4FBDC441"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563EE92B" w14:textId="77777777">
            <w:pPr>
              <w:ind w:left="171" w:firstLine="28" w:firstLineChars="14"/>
              <w:rPr>
                <w:rFonts w:ascii="Arial" w:hAnsi="Arial" w:eastAsia="Times New Roman" w:cs="Arial"/>
                <w:sz w:val="20"/>
                <w:szCs w:val="20"/>
              </w:rPr>
            </w:pPr>
            <w:r w:rsidRPr="002D6545">
              <w:rPr>
                <w:rFonts w:ascii="Arial" w:hAnsi="Arial"/>
                <w:sz w:val="20"/>
              </w:rPr>
              <w:t>d. Vrednostni papirji, namenjeni trgovanju in razpoložljivi za prodajo, ki ustrezajo opredelitvi sredstev ravni 2, z odbitki</w:t>
            </w:r>
          </w:p>
        </w:tc>
        <w:tc>
          <w:tcPr>
            <w:tcW w:w="2745" w:type="dxa"/>
            <w:tcBorders>
              <w:left w:val="nil"/>
              <w:right w:val="nil"/>
            </w:tcBorders>
            <w:noWrap/>
          </w:tcPr>
          <w:p w:rsidRPr="002D6545" w:rsidR="005E16C5" w:rsidP="00C90CB4" w:rsidRDefault="005E16C5" w14:paraId="4683F794" w14:textId="77777777">
            <w:pPr>
              <w:jc w:val="right"/>
              <w:rPr>
                <w:rFonts w:ascii="Arial" w:hAnsi="Arial" w:eastAsia="Times New Roman" w:cs="Arial"/>
                <w:sz w:val="20"/>
                <w:szCs w:val="20"/>
                <w:lang w:eastAsia="en-GB"/>
              </w:rPr>
            </w:pPr>
          </w:p>
        </w:tc>
      </w:tr>
      <w:tr w:rsidRPr="002D6545" w:rsidR="005E16C5" w:rsidTr="00C90CB4" w14:paraId="173B0517"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3E1EC323" w14:textId="77777777">
            <w:pPr>
              <w:ind w:left="171" w:firstLine="28" w:firstLineChars="14"/>
              <w:rPr>
                <w:rFonts w:ascii="Arial" w:hAnsi="Arial" w:eastAsia="Times New Roman" w:cs="Arial"/>
                <w:sz w:val="20"/>
                <w:szCs w:val="20"/>
              </w:rPr>
            </w:pPr>
            <w:r w:rsidRPr="002D6545">
              <w:rPr>
                <w:rFonts w:ascii="Arial" w:hAnsi="Arial"/>
                <w:sz w:val="20"/>
              </w:rPr>
              <w:t>e. Kazalnik vrednostnih papirjev, namenjenih trgovanju in razpoložljivih za prodajo (vsota postavk 10(a) in 10(b), minus vsota postavk 10(c) in 10(d))</w:t>
            </w:r>
          </w:p>
        </w:tc>
        <w:tc>
          <w:tcPr>
            <w:tcW w:w="2745" w:type="dxa"/>
            <w:tcBorders>
              <w:left w:val="nil"/>
              <w:bottom w:val="single" w:color="auto" w:sz="4" w:space="0"/>
              <w:right w:val="nil"/>
            </w:tcBorders>
            <w:noWrap/>
          </w:tcPr>
          <w:p w:rsidRPr="002D6545" w:rsidR="005E16C5" w:rsidP="00C90CB4" w:rsidRDefault="005E16C5" w14:paraId="3D30E12B" w14:textId="77777777">
            <w:pPr>
              <w:jc w:val="right"/>
              <w:rPr>
                <w:rFonts w:ascii="Arial" w:hAnsi="Arial" w:eastAsia="Times New Roman" w:cs="Arial"/>
                <w:sz w:val="20"/>
                <w:szCs w:val="20"/>
                <w:lang w:eastAsia="en-GB"/>
              </w:rPr>
            </w:pPr>
          </w:p>
        </w:tc>
      </w:tr>
      <w:tr w:rsidRPr="002D6545" w:rsidR="005E16C5" w:rsidTr="00C90CB4" w14:paraId="55C87CC8"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4E3F0E5C"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6416B271" w14:textId="77777777">
            <w:pPr>
              <w:jc w:val="center"/>
              <w:rPr>
                <w:rFonts w:ascii="Arial" w:hAnsi="Arial" w:eastAsia="Times New Roman" w:cs="Arial"/>
                <w:b/>
                <w:bCs/>
                <w:sz w:val="20"/>
                <w:szCs w:val="20"/>
                <w:lang w:eastAsia="en-GB"/>
              </w:rPr>
            </w:pPr>
          </w:p>
        </w:tc>
      </w:tr>
      <w:tr w:rsidRPr="002D6545" w:rsidR="005E16C5" w:rsidTr="00C90CB4" w14:paraId="321EF4D2" w14:textId="77777777">
        <w:trPr>
          <w:gridAfter w:val="1"/>
          <w:wAfter w:w="90" w:type="dxa"/>
          <w:trHeight w:val="300"/>
        </w:trPr>
        <w:tc>
          <w:tcPr>
            <w:tcW w:w="6804" w:type="dxa"/>
            <w:tcBorders>
              <w:top w:val="nil"/>
              <w:left w:val="nil"/>
              <w:bottom w:val="single" w:color="auto" w:sz="4" w:space="0"/>
              <w:right w:val="nil"/>
            </w:tcBorders>
            <w:noWrap/>
            <w:hideMark/>
          </w:tcPr>
          <w:p w:rsidRPr="002D6545" w:rsidR="005E16C5" w:rsidP="00C90CB4" w:rsidRDefault="005E16C5" w14:paraId="0767D56F" w14:textId="77777777">
            <w:pPr>
              <w:rPr>
                <w:rFonts w:ascii="Arial" w:hAnsi="Arial" w:eastAsia="Times New Roman" w:cs="Arial"/>
                <w:b/>
                <w:bCs/>
                <w:sz w:val="20"/>
                <w:szCs w:val="20"/>
              </w:rPr>
            </w:pPr>
            <w:r w:rsidRPr="002D6545">
              <w:rPr>
                <w:rFonts w:ascii="Arial" w:hAnsi="Arial"/>
                <w:b/>
                <w:sz w:val="20"/>
              </w:rPr>
              <w:t>Oddelek 12 – Sredstva ravni 3</w:t>
            </w:r>
          </w:p>
        </w:tc>
        <w:tc>
          <w:tcPr>
            <w:tcW w:w="2745" w:type="dxa"/>
            <w:tcBorders>
              <w:top w:val="nil"/>
              <w:left w:val="nil"/>
              <w:bottom w:val="single" w:color="auto" w:sz="4" w:space="0"/>
              <w:right w:val="nil"/>
            </w:tcBorders>
            <w:hideMark/>
          </w:tcPr>
          <w:p w:rsidRPr="002D6545" w:rsidR="005E16C5" w:rsidP="00C90CB4" w:rsidRDefault="005E16C5" w14:paraId="3573AF75"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40E694E6"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68A2E38B" w14:textId="77777777">
            <w:pPr>
              <w:ind w:firstLine="200" w:firstLineChars="100"/>
              <w:rPr>
                <w:rFonts w:ascii="Arial" w:hAnsi="Arial" w:eastAsia="Times New Roman" w:cs="Arial"/>
                <w:sz w:val="20"/>
                <w:szCs w:val="20"/>
              </w:rPr>
            </w:pPr>
            <w:r w:rsidRPr="002D6545">
              <w:rPr>
                <w:rFonts w:ascii="Arial" w:hAnsi="Arial"/>
                <w:sz w:val="20"/>
              </w:rPr>
              <w:t xml:space="preserve">a. Kazalnik sredstev ravni 3, vključno s podrejenimi zavarovalnicami </w:t>
            </w:r>
          </w:p>
        </w:tc>
        <w:tc>
          <w:tcPr>
            <w:tcW w:w="2745" w:type="dxa"/>
            <w:tcBorders>
              <w:left w:val="nil"/>
              <w:bottom w:val="single" w:color="auto" w:sz="4" w:space="0"/>
              <w:right w:val="nil"/>
            </w:tcBorders>
            <w:noWrap/>
            <w:hideMark/>
          </w:tcPr>
          <w:p w:rsidRPr="002D6545" w:rsidR="005E16C5" w:rsidP="00C90CB4" w:rsidRDefault="005E16C5" w14:paraId="4C0041BC"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1573CC1"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68EB1FF5"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2D6545" w:rsidR="005E16C5" w:rsidP="00C90CB4" w:rsidRDefault="005E16C5" w14:paraId="1F35E321" w14:textId="77777777">
            <w:pPr>
              <w:jc w:val="right"/>
              <w:rPr>
                <w:rFonts w:ascii="Arial" w:hAnsi="Arial" w:eastAsia="Times New Roman" w:cs="Arial"/>
                <w:sz w:val="20"/>
                <w:szCs w:val="20"/>
                <w:lang w:eastAsia="en-GB"/>
              </w:rPr>
            </w:pPr>
          </w:p>
        </w:tc>
      </w:tr>
      <w:tr w:rsidRPr="002D6545" w:rsidR="005E16C5" w:rsidTr="00C90CB4" w14:paraId="32B0A930" w14:textId="77777777">
        <w:trPr>
          <w:gridAfter w:val="1"/>
          <w:wAfter w:w="90" w:type="dxa"/>
          <w:trHeight w:val="300"/>
        </w:trPr>
        <w:tc>
          <w:tcPr>
            <w:tcW w:w="6804" w:type="dxa"/>
            <w:tcBorders>
              <w:top w:val="nil"/>
              <w:left w:val="nil"/>
              <w:bottom w:val="nil"/>
              <w:right w:val="nil"/>
            </w:tcBorders>
            <w:noWrap/>
          </w:tcPr>
          <w:p w:rsidRPr="002D6545" w:rsidR="005E16C5" w:rsidP="00C90CB4" w:rsidRDefault="005E16C5" w14:paraId="3AC2BB2A" w14:textId="77777777">
            <w:pPr>
              <w:ind w:firstLine="221" w:firstLineChars="100"/>
              <w:rPr>
                <w:rFonts w:ascii="Arial" w:hAnsi="Arial" w:eastAsia="Times New Roman" w:cs="Arial"/>
                <w:sz w:val="20"/>
                <w:szCs w:val="20"/>
              </w:rPr>
            </w:pPr>
            <w:r w:rsidRPr="002D6545">
              <w:rPr>
                <w:rFonts w:asciiTheme="majorHAnsi" w:hAnsiTheme="majorHAnsi"/>
                <w:b/>
                <w:i/>
                <w:caps/>
              </w:rPr>
              <w:t>Kazalniki mednarodne dejavnosti</w:t>
            </w:r>
          </w:p>
        </w:tc>
        <w:tc>
          <w:tcPr>
            <w:tcW w:w="2745" w:type="dxa"/>
            <w:tcBorders>
              <w:top w:val="nil"/>
              <w:left w:val="nil"/>
              <w:bottom w:val="nil"/>
              <w:right w:val="nil"/>
            </w:tcBorders>
            <w:noWrap/>
          </w:tcPr>
          <w:p w:rsidRPr="002D6545" w:rsidR="005E16C5" w:rsidP="00C90CB4" w:rsidRDefault="005E16C5" w14:paraId="5B930842" w14:textId="77777777">
            <w:pPr>
              <w:jc w:val="right"/>
              <w:rPr>
                <w:rFonts w:ascii="Arial" w:hAnsi="Arial" w:eastAsia="Times New Roman" w:cs="Arial"/>
                <w:sz w:val="20"/>
                <w:szCs w:val="20"/>
                <w:lang w:eastAsia="en-GB"/>
              </w:rPr>
            </w:pPr>
          </w:p>
        </w:tc>
      </w:tr>
      <w:tr w:rsidRPr="002D6545" w:rsidR="005E16C5" w:rsidTr="00C90CB4" w14:paraId="60D8D9CE" w14:textId="77777777">
        <w:trPr>
          <w:gridAfter w:val="1"/>
          <w:wAfter w:w="90" w:type="dxa"/>
          <w:trHeight w:val="300"/>
        </w:trPr>
        <w:tc>
          <w:tcPr>
            <w:tcW w:w="6804" w:type="dxa"/>
            <w:tcBorders>
              <w:top w:val="nil"/>
              <w:left w:val="nil"/>
              <w:bottom w:val="single" w:color="auto" w:sz="4" w:space="0"/>
              <w:right w:val="nil"/>
            </w:tcBorders>
            <w:noWrap/>
          </w:tcPr>
          <w:p w:rsidRPr="002D6545" w:rsidR="005E16C5" w:rsidP="00C90CB4" w:rsidRDefault="005E16C5" w14:paraId="3E576EC7"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2D6545" w:rsidR="005E16C5" w:rsidP="00C90CB4" w:rsidRDefault="005E16C5" w14:paraId="3B41A80D" w14:textId="77777777">
            <w:pPr>
              <w:jc w:val="right"/>
              <w:rPr>
                <w:rFonts w:ascii="Arial" w:hAnsi="Arial" w:eastAsia="Times New Roman" w:cs="Arial"/>
                <w:sz w:val="20"/>
                <w:szCs w:val="20"/>
                <w:lang w:eastAsia="en-GB"/>
              </w:rPr>
            </w:pPr>
          </w:p>
        </w:tc>
      </w:tr>
      <w:tr w:rsidRPr="002D6545" w:rsidR="005E16C5" w:rsidTr="00C90CB4" w14:paraId="7A07D0AE"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7A28A0EE" w14:textId="77777777">
            <w:pPr>
              <w:rPr>
                <w:rFonts w:ascii="Arial" w:hAnsi="Arial" w:eastAsia="Times New Roman" w:cs="Arial"/>
                <w:b/>
                <w:bCs/>
                <w:sz w:val="20"/>
                <w:szCs w:val="20"/>
              </w:rPr>
            </w:pPr>
            <w:r w:rsidRPr="002D6545">
              <w:rPr>
                <w:rFonts w:ascii="Arial" w:hAnsi="Arial"/>
                <w:b/>
                <w:sz w:val="20"/>
              </w:rPr>
              <w:t>Oddelek 13 – Terjatve v sodni pristojnosti druge države</w:t>
            </w:r>
          </w:p>
        </w:tc>
        <w:tc>
          <w:tcPr>
            <w:tcW w:w="2745" w:type="dxa"/>
            <w:tcBorders>
              <w:left w:val="nil"/>
              <w:bottom w:val="single" w:color="auto" w:sz="4" w:space="0"/>
              <w:right w:val="nil"/>
            </w:tcBorders>
            <w:hideMark/>
          </w:tcPr>
          <w:p w:rsidRPr="002D6545" w:rsidR="005E16C5" w:rsidP="00C90CB4" w:rsidRDefault="005E16C5" w14:paraId="03B2B649"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27836511" w14:textId="77777777">
        <w:trPr>
          <w:gridAfter w:val="1"/>
          <w:wAfter w:w="90" w:type="dxa"/>
          <w:trHeight w:val="300"/>
        </w:trPr>
        <w:tc>
          <w:tcPr>
            <w:tcW w:w="6804" w:type="dxa"/>
            <w:tcBorders>
              <w:left w:val="nil"/>
              <w:right w:val="nil"/>
            </w:tcBorders>
            <w:noWrap/>
            <w:hideMark/>
          </w:tcPr>
          <w:p w:rsidRPr="002D6545" w:rsidR="005E16C5" w:rsidP="00C90CB4" w:rsidRDefault="005E16C5" w14:paraId="18DD8BF7" w14:textId="77777777">
            <w:pPr>
              <w:ind w:firstLine="200" w:firstLineChars="100"/>
              <w:rPr>
                <w:rFonts w:ascii="Arial" w:hAnsi="Arial" w:eastAsia="Times New Roman" w:cs="Arial"/>
                <w:sz w:val="20"/>
                <w:szCs w:val="20"/>
              </w:rPr>
            </w:pPr>
            <w:r w:rsidRPr="002D6545">
              <w:rPr>
                <w:rFonts w:ascii="Arial" w:hAnsi="Arial"/>
                <w:sz w:val="20"/>
              </w:rPr>
              <w:t>a. Skupaj tuje terjatve na podlagi končnega tveganja</w:t>
            </w:r>
          </w:p>
        </w:tc>
        <w:tc>
          <w:tcPr>
            <w:tcW w:w="2745" w:type="dxa"/>
            <w:tcBorders>
              <w:left w:val="nil"/>
              <w:right w:val="nil"/>
            </w:tcBorders>
            <w:noWrap/>
            <w:hideMark/>
          </w:tcPr>
          <w:p w:rsidRPr="002D6545" w:rsidR="005E16C5" w:rsidP="00C90CB4" w:rsidRDefault="005E16C5" w14:paraId="064F33D0"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AD3F729" w14:textId="77777777">
        <w:trPr>
          <w:gridAfter w:val="1"/>
          <w:wAfter w:w="90" w:type="dxa"/>
          <w:trHeight w:val="300"/>
        </w:trPr>
        <w:tc>
          <w:tcPr>
            <w:tcW w:w="6804" w:type="dxa"/>
            <w:tcBorders>
              <w:left w:val="nil"/>
              <w:right w:val="nil"/>
            </w:tcBorders>
            <w:noWrap/>
            <w:hideMark/>
          </w:tcPr>
          <w:p w:rsidRPr="002D6545" w:rsidR="005E16C5" w:rsidP="00C90CB4" w:rsidRDefault="005E16C5" w14:paraId="76C900FC" w14:textId="77777777">
            <w:pPr>
              <w:ind w:firstLine="200" w:firstLineChars="100"/>
              <w:rPr>
                <w:rFonts w:ascii="Arial" w:hAnsi="Arial" w:eastAsia="Times New Roman" w:cs="Arial"/>
                <w:sz w:val="20"/>
                <w:szCs w:val="20"/>
              </w:rPr>
            </w:pPr>
            <w:r w:rsidRPr="002D6545">
              <w:rPr>
                <w:rFonts w:ascii="Arial" w:hAnsi="Arial"/>
                <w:sz w:val="20"/>
              </w:rPr>
              <w:t>b. Tuje terjatve iz naslova izvedenih finančnih instrumentov na podlagi končnega tveganja</w:t>
            </w:r>
          </w:p>
        </w:tc>
        <w:tc>
          <w:tcPr>
            <w:tcW w:w="2745" w:type="dxa"/>
            <w:tcBorders>
              <w:left w:val="nil"/>
              <w:right w:val="nil"/>
            </w:tcBorders>
            <w:noWrap/>
            <w:hideMark/>
          </w:tcPr>
          <w:p w:rsidRPr="002D6545" w:rsidR="005E16C5" w:rsidP="00C90CB4" w:rsidRDefault="005E16C5" w14:paraId="1837AC26"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88B5E7B" w14:textId="77777777">
        <w:trPr>
          <w:trHeight w:val="300"/>
        </w:trPr>
        <w:tc>
          <w:tcPr>
            <w:tcW w:w="9639" w:type="dxa"/>
            <w:gridSpan w:val="3"/>
            <w:tcBorders>
              <w:left w:val="nil"/>
              <w:bottom w:val="single" w:color="auto" w:sz="4" w:space="0"/>
              <w:right w:val="nil"/>
            </w:tcBorders>
            <w:hideMark/>
          </w:tcPr>
          <w:p w:rsidRPr="002D6545" w:rsidR="005E16C5" w:rsidP="00C90CB4" w:rsidRDefault="005E16C5" w14:paraId="20BDB311" w14:textId="77777777">
            <w:pPr>
              <w:ind w:firstLine="200" w:firstLineChars="100"/>
              <w:rPr>
                <w:rFonts w:ascii="Arial" w:hAnsi="Arial" w:eastAsia="Times New Roman" w:cs="Arial"/>
                <w:sz w:val="20"/>
                <w:szCs w:val="20"/>
              </w:rPr>
            </w:pPr>
            <w:r w:rsidRPr="002D6545">
              <w:rPr>
                <w:rFonts w:ascii="Arial" w:hAnsi="Arial"/>
                <w:sz w:val="20"/>
              </w:rPr>
              <w:lastRenderedPageBreak/>
              <w:t xml:space="preserve">c. Kazalnik terjatev v sodni pristojnosti druge države </w:t>
            </w:r>
            <w:r>
              <w:rPr>
                <w:rFonts w:ascii="Arial" w:hAnsi="Arial"/>
                <w:sz w:val="20"/>
              </w:rPr>
              <w:br/>
            </w:r>
            <w:r w:rsidRPr="002D6545">
              <w:rPr>
                <w:rFonts w:ascii="Arial" w:hAnsi="Arial"/>
                <w:sz w:val="20"/>
              </w:rPr>
              <w:t>(vsota postavk 13(a) in 13(b))</w:t>
            </w:r>
          </w:p>
        </w:tc>
      </w:tr>
      <w:tr w:rsidRPr="002D6545" w:rsidR="005E16C5" w:rsidTr="00C90CB4" w14:paraId="1888B558"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05B45D38"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7368DA39" w14:textId="77777777">
            <w:pPr>
              <w:jc w:val="center"/>
              <w:rPr>
                <w:rFonts w:ascii="Arial" w:hAnsi="Arial" w:eastAsia="Times New Roman" w:cs="Arial"/>
                <w:b/>
                <w:bCs/>
                <w:sz w:val="20"/>
                <w:szCs w:val="20"/>
                <w:lang w:eastAsia="en-GB"/>
              </w:rPr>
            </w:pPr>
          </w:p>
        </w:tc>
      </w:tr>
      <w:tr w:rsidRPr="002D6545" w:rsidR="005E16C5" w:rsidTr="00C90CB4" w14:paraId="53EB2374" w14:textId="77777777">
        <w:trPr>
          <w:gridAfter w:val="1"/>
          <w:wAfter w:w="90" w:type="dxa"/>
          <w:trHeight w:val="300"/>
        </w:trPr>
        <w:tc>
          <w:tcPr>
            <w:tcW w:w="6804" w:type="dxa"/>
            <w:tcBorders>
              <w:top w:val="nil"/>
              <w:left w:val="nil"/>
              <w:bottom w:val="single" w:color="auto" w:sz="4" w:space="0"/>
              <w:right w:val="nil"/>
            </w:tcBorders>
            <w:noWrap/>
            <w:hideMark/>
          </w:tcPr>
          <w:p w:rsidRPr="002D6545" w:rsidR="005E16C5" w:rsidP="00C90CB4" w:rsidRDefault="005E16C5" w14:paraId="4FA1B587" w14:textId="77777777">
            <w:pPr>
              <w:rPr>
                <w:rFonts w:ascii="Arial" w:hAnsi="Arial" w:eastAsia="Times New Roman" w:cs="Arial"/>
                <w:b/>
                <w:bCs/>
                <w:sz w:val="20"/>
                <w:szCs w:val="20"/>
              </w:rPr>
            </w:pPr>
            <w:r w:rsidRPr="002D6545">
              <w:rPr>
                <w:rFonts w:ascii="Arial" w:hAnsi="Arial"/>
                <w:b/>
                <w:sz w:val="20"/>
              </w:rPr>
              <w:t>Oddelek 14 – Obveznosti v sodni pristojnosti druge države</w:t>
            </w:r>
          </w:p>
        </w:tc>
        <w:tc>
          <w:tcPr>
            <w:tcW w:w="2745" w:type="dxa"/>
            <w:tcBorders>
              <w:top w:val="nil"/>
              <w:left w:val="nil"/>
              <w:right w:val="nil"/>
            </w:tcBorders>
            <w:hideMark/>
          </w:tcPr>
          <w:p w:rsidRPr="002D6545" w:rsidR="005E16C5" w:rsidP="00C90CB4" w:rsidRDefault="005E16C5" w14:paraId="09BDDD9A"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0AF53DE7" w14:textId="77777777">
        <w:trPr>
          <w:gridAfter w:val="2"/>
          <w:wAfter w:w="2835" w:type="dxa"/>
          <w:trHeight w:val="300"/>
        </w:trPr>
        <w:tc>
          <w:tcPr>
            <w:tcW w:w="6804" w:type="dxa"/>
            <w:tcBorders>
              <w:left w:val="nil"/>
              <w:right w:val="nil"/>
            </w:tcBorders>
            <w:noWrap/>
            <w:hideMark/>
          </w:tcPr>
          <w:p w:rsidRPr="002D6545" w:rsidR="005E16C5" w:rsidP="00C90CB4" w:rsidRDefault="005E16C5" w14:paraId="7EBBF00E" w14:textId="77777777">
            <w:pPr>
              <w:ind w:left="171" w:firstLine="28" w:firstLineChars="14"/>
              <w:rPr>
                <w:rFonts w:ascii="Arial" w:hAnsi="Arial" w:eastAsia="Times New Roman" w:cs="Arial"/>
                <w:sz w:val="20"/>
                <w:szCs w:val="20"/>
              </w:rPr>
            </w:pPr>
            <w:r w:rsidRPr="002D6545">
              <w:rPr>
                <w:rFonts w:ascii="Arial" w:hAnsi="Arial"/>
                <w:sz w:val="20"/>
              </w:rPr>
              <w:t>a. Tuje obveznosti na podlagi neposrednega tveganja, brez izvedenih finančnih instrumentov in vključno z lokalnimi obveznostmi v lokalni valuti</w:t>
            </w:r>
          </w:p>
        </w:tc>
      </w:tr>
      <w:tr w:rsidRPr="002D6545" w:rsidR="005E16C5" w:rsidTr="00C90CB4" w14:paraId="072E4545" w14:textId="77777777">
        <w:trPr>
          <w:gridAfter w:val="1"/>
          <w:wAfter w:w="90" w:type="dxa"/>
          <w:trHeight w:val="300"/>
        </w:trPr>
        <w:tc>
          <w:tcPr>
            <w:tcW w:w="6804" w:type="dxa"/>
            <w:tcBorders>
              <w:left w:val="nil"/>
              <w:right w:val="nil"/>
            </w:tcBorders>
            <w:noWrap/>
            <w:hideMark/>
          </w:tcPr>
          <w:p w:rsidRPr="002D6545" w:rsidR="005E16C5" w:rsidP="00C90CB4" w:rsidRDefault="005E16C5" w14:paraId="7D548149" w14:textId="77777777">
            <w:pPr>
              <w:ind w:firstLine="200" w:firstLineChars="100"/>
              <w:rPr>
                <w:rFonts w:ascii="Arial" w:hAnsi="Arial" w:eastAsia="Times New Roman" w:cs="Arial"/>
                <w:sz w:val="20"/>
                <w:szCs w:val="20"/>
              </w:rPr>
            </w:pPr>
            <w:r w:rsidRPr="002D6545">
              <w:rPr>
                <w:rFonts w:ascii="Arial" w:hAnsi="Arial"/>
                <w:sz w:val="20"/>
              </w:rPr>
              <w:t>b. Tuje obveznosti iz naslova izvedenih finančnih instrumentov na podlagi neposrednega tveganja</w:t>
            </w:r>
          </w:p>
        </w:tc>
        <w:tc>
          <w:tcPr>
            <w:tcW w:w="2745" w:type="dxa"/>
            <w:tcBorders>
              <w:left w:val="nil"/>
              <w:right w:val="nil"/>
            </w:tcBorders>
            <w:noWrap/>
            <w:hideMark/>
          </w:tcPr>
          <w:p w:rsidRPr="002D6545" w:rsidR="005E16C5" w:rsidP="00C90CB4" w:rsidRDefault="005E16C5" w14:paraId="2DF0BA77"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50517E3" w14:textId="77777777">
        <w:trPr>
          <w:gridAfter w:val="2"/>
          <w:wAfter w:w="2835" w:type="dxa"/>
          <w:trHeight w:val="300"/>
        </w:trPr>
        <w:tc>
          <w:tcPr>
            <w:tcW w:w="6804" w:type="dxa"/>
            <w:tcBorders>
              <w:left w:val="nil"/>
              <w:bottom w:val="single" w:color="auto" w:sz="4" w:space="0"/>
              <w:right w:val="nil"/>
            </w:tcBorders>
            <w:hideMark/>
          </w:tcPr>
          <w:p w:rsidRPr="002D6545" w:rsidR="005E16C5" w:rsidP="00C90CB4" w:rsidRDefault="005E16C5" w14:paraId="152419F9" w14:textId="77777777">
            <w:pPr>
              <w:ind w:firstLine="200" w:firstLineChars="100"/>
              <w:rPr>
                <w:rFonts w:ascii="Arial" w:hAnsi="Arial" w:eastAsia="Times New Roman" w:cs="Arial"/>
                <w:sz w:val="20"/>
                <w:szCs w:val="20"/>
              </w:rPr>
            </w:pPr>
            <w:r w:rsidRPr="002D6545">
              <w:rPr>
                <w:rFonts w:ascii="Arial" w:hAnsi="Arial"/>
                <w:sz w:val="20"/>
              </w:rPr>
              <w:t>c. Kazalnik obveznosti v sodni pristojnosti druge države (vsota postavk 14(a) in 14(b))</w:t>
            </w:r>
          </w:p>
        </w:tc>
      </w:tr>
      <w:tr w:rsidRPr="002D6545" w:rsidR="005E16C5" w:rsidTr="00C90CB4" w14:paraId="1D920D6F"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4F721C4E"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67B4C90E" w14:textId="77777777">
            <w:pPr>
              <w:jc w:val="center"/>
              <w:rPr>
                <w:rFonts w:ascii="Arial" w:hAnsi="Arial" w:eastAsia="Times New Roman" w:cs="Arial"/>
                <w:b/>
                <w:bCs/>
                <w:sz w:val="20"/>
                <w:szCs w:val="20"/>
                <w:lang w:eastAsia="en-GB"/>
              </w:rPr>
            </w:pPr>
          </w:p>
        </w:tc>
      </w:tr>
      <w:tr w:rsidRPr="002D6545" w:rsidR="005E16C5" w:rsidTr="00C90CB4" w14:paraId="1A9D256D" w14:textId="77777777">
        <w:trPr>
          <w:gridAfter w:val="1"/>
          <w:wAfter w:w="90" w:type="dxa"/>
          <w:trHeight w:val="300"/>
        </w:trPr>
        <w:tc>
          <w:tcPr>
            <w:tcW w:w="6804" w:type="dxa"/>
            <w:tcBorders>
              <w:top w:val="nil"/>
              <w:left w:val="nil"/>
              <w:bottom w:val="nil"/>
              <w:right w:val="nil"/>
            </w:tcBorders>
            <w:noWrap/>
          </w:tcPr>
          <w:p w:rsidRPr="002D6545" w:rsidR="005E16C5" w:rsidP="00C90CB4" w:rsidRDefault="005E16C5" w14:paraId="071A0BA8" w14:textId="77777777">
            <w:pPr>
              <w:keepNext/>
              <w:keepLines/>
              <w:spacing w:before="47"/>
              <w:outlineLvl w:val="5"/>
              <w:rPr>
                <w:rFonts w:ascii="Arial" w:hAnsi="Arial" w:eastAsia="Times New Roman" w:cs="Arial"/>
                <w:b/>
                <w:bCs/>
                <w:i/>
                <w:iCs/>
                <w:caps/>
                <w:color w:val="172B39" w:themeColor="accent1" w:themeShade="80"/>
                <w:sz w:val="20"/>
                <w:szCs w:val="20"/>
              </w:rPr>
            </w:pPr>
            <w:r w:rsidRPr="002D6545">
              <w:rPr>
                <w:rFonts w:asciiTheme="majorHAnsi" w:hAnsiTheme="majorHAnsi"/>
                <w:b/>
                <w:i/>
                <w:caps/>
              </w:rPr>
              <w:t>DODATNI PODATKI</w:t>
            </w:r>
          </w:p>
        </w:tc>
        <w:tc>
          <w:tcPr>
            <w:tcW w:w="2745" w:type="dxa"/>
            <w:tcBorders>
              <w:top w:val="nil"/>
              <w:left w:val="nil"/>
              <w:bottom w:val="nil"/>
              <w:right w:val="nil"/>
            </w:tcBorders>
          </w:tcPr>
          <w:p w:rsidRPr="002D6545" w:rsidR="005E16C5" w:rsidP="00C90CB4" w:rsidRDefault="005E16C5" w14:paraId="0D3DE594" w14:textId="77777777">
            <w:pPr>
              <w:jc w:val="center"/>
              <w:rPr>
                <w:rFonts w:ascii="Arial" w:hAnsi="Arial" w:eastAsia="Times New Roman" w:cs="Arial"/>
                <w:b/>
                <w:bCs/>
                <w:sz w:val="20"/>
                <w:szCs w:val="20"/>
                <w:lang w:eastAsia="en-GB"/>
              </w:rPr>
            </w:pPr>
          </w:p>
        </w:tc>
      </w:tr>
      <w:tr w:rsidRPr="002D6545" w:rsidR="005E16C5" w:rsidTr="00C90CB4" w14:paraId="4EE93AB8" w14:textId="77777777">
        <w:trPr>
          <w:gridAfter w:val="1"/>
          <w:wAfter w:w="90" w:type="dxa"/>
          <w:trHeight w:val="300"/>
        </w:trPr>
        <w:tc>
          <w:tcPr>
            <w:tcW w:w="6804" w:type="dxa"/>
            <w:tcBorders>
              <w:top w:val="nil"/>
              <w:left w:val="nil"/>
              <w:bottom w:val="single" w:color="auto" w:sz="4" w:space="0"/>
              <w:right w:val="nil"/>
            </w:tcBorders>
            <w:noWrap/>
          </w:tcPr>
          <w:p w:rsidRPr="002D6545" w:rsidR="005E16C5" w:rsidP="00C90CB4" w:rsidRDefault="005E16C5" w14:paraId="19B18517"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2D6545" w:rsidR="005E16C5" w:rsidP="00C90CB4" w:rsidRDefault="005E16C5" w14:paraId="4A4B8990" w14:textId="77777777">
            <w:pPr>
              <w:jc w:val="center"/>
              <w:rPr>
                <w:rFonts w:ascii="Arial" w:hAnsi="Arial" w:eastAsia="Times New Roman" w:cs="Arial"/>
                <w:b/>
                <w:bCs/>
                <w:sz w:val="20"/>
                <w:szCs w:val="20"/>
                <w:lang w:eastAsia="en-GB"/>
              </w:rPr>
            </w:pPr>
          </w:p>
        </w:tc>
      </w:tr>
      <w:tr w:rsidRPr="002D6545" w:rsidR="005E16C5" w:rsidTr="00C90CB4" w14:paraId="5AF257D7"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647E83C7" w14:textId="77777777">
            <w:pPr>
              <w:rPr>
                <w:rFonts w:ascii="Arial" w:hAnsi="Arial" w:eastAsia="Times New Roman" w:cs="Arial"/>
                <w:b/>
                <w:bCs/>
                <w:sz w:val="20"/>
                <w:szCs w:val="20"/>
              </w:rPr>
            </w:pPr>
            <w:r w:rsidRPr="002D6545">
              <w:rPr>
                <w:rFonts w:ascii="Arial" w:hAnsi="Arial"/>
                <w:b/>
                <w:sz w:val="20"/>
              </w:rPr>
              <w:t>Oddelek 15 – Dodatni kazalniki</w:t>
            </w:r>
          </w:p>
        </w:tc>
        <w:tc>
          <w:tcPr>
            <w:tcW w:w="2745" w:type="dxa"/>
            <w:tcBorders>
              <w:left w:val="nil"/>
              <w:bottom w:val="single" w:color="auto" w:sz="4" w:space="0"/>
              <w:right w:val="nil"/>
            </w:tcBorders>
            <w:hideMark/>
          </w:tcPr>
          <w:p w:rsidRPr="002D6545" w:rsidR="005E16C5" w:rsidP="00C90CB4" w:rsidRDefault="005E16C5" w14:paraId="64924873"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109B86A8" w14:textId="77777777">
        <w:trPr>
          <w:gridAfter w:val="1"/>
          <w:wAfter w:w="90" w:type="dxa"/>
          <w:trHeight w:val="300"/>
        </w:trPr>
        <w:tc>
          <w:tcPr>
            <w:tcW w:w="6804" w:type="dxa"/>
            <w:tcBorders>
              <w:left w:val="nil"/>
              <w:right w:val="nil"/>
            </w:tcBorders>
            <w:noWrap/>
            <w:hideMark/>
          </w:tcPr>
          <w:p w:rsidRPr="002D6545" w:rsidR="005E16C5" w:rsidP="00C90CB4" w:rsidRDefault="005E16C5" w14:paraId="1E20BACF" w14:textId="77777777">
            <w:pPr>
              <w:ind w:firstLine="200" w:firstLineChars="100"/>
              <w:rPr>
                <w:rFonts w:ascii="Arial" w:hAnsi="Arial" w:eastAsia="Times New Roman" w:cs="Arial"/>
                <w:sz w:val="20"/>
                <w:szCs w:val="20"/>
              </w:rPr>
            </w:pPr>
            <w:r w:rsidRPr="002D6545">
              <w:rPr>
                <w:rFonts w:ascii="Arial" w:hAnsi="Arial"/>
                <w:sz w:val="20"/>
              </w:rPr>
              <w:t>a. Skupni znesek obveznosti</w:t>
            </w:r>
          </w:p>
        </w:tc>
        <w:tc>
          <w:tcPr>
            <w:tcW w:w="2745" w:type="dxa"/>
            <w:tcBorders>
              <w:left w:val="nil"/>
              <w:right w:val="nil"/>
            </w:tcBorders>
            <w:noWrap/>
            <w:hideMark/>
          </w:tcPr>
          <w:p w:rsidRPr="002D6545" w:rsidR="005E16C5" w:rsidP="00C90CB4" w:rsidRDefault="005E16C5" w14:paraId="68AB59A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10022BD" w14:textId="77777777">
        <w:trPr>
          <w:gridAfter w:val="1"/>
          <w:wAfter w:w="90" w:type="dxa"/>
          <w:trHeight w:val="300"/>
        </w:trPr>
        <w:tc>
          <w:tcPr>
            <w:tcW w:w="6804" w:type="dxa"/>
            <w:tcBorders>
              <w:left w:val="nil"/>
              <w:right w:val="nil"/>
            </w:tcBorders>
            <w:noWrap/>
            <w:hideMark/>
          </w:tcPr>
          <w:p w:rsidRPr="002D6545" w:rsidR="005E16C5" w:rsidP="00C90CB4" w:rsidRDefault="005E16C5" w14:paraId="3989A1D7" w14:textId="77777777">
            <w:pPr>
              <w:ind w:firstLine="200" w:firstLineChars="100"/>
              <w:rPr>
                <w:rFonts w:ascii="Arial" w:hAnsi="Arial" w:eastAsia="Times New Roman" w:cs="Arial"/>
                <w:sz w:val="20"/>
                <w:szCs w:val="20"/>
              </w:rPr>
            </w:pPr>
            <w:r w:rsidRPr="002D6545">
              <w:rPr>
                <w:rFonts w:ascii="Arial" w:hAnsi="Arial"/>
                <w:sz w:val="20"/>
              </w:rPr>
              <w:t>b. Financiranje na drobno</w:t>
            </w:r>
          </w:p>
        </w:tc>
        <w:tc>
          <w:tcPr>
            <w:tcW w:w="2745" w:type="dxa"/>
            <w:tcBorders>
              <w:left w:val="nil"/>
              <w:right w:val="nil"/>
            </w:tcBorders>
            <w:noWrap/>
            <w:hideMark/>
          </w:tcPr>
          <w:p w:rsidRPr="002D6545" w:rsidR="005E16C5" w:rsidP="00C90CB4" w:rsidRDefault="005E16C5" w14:paraId="7012818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153E1E7" w14:textId="77777777">
        <w:trPr>
          <w:gridAfter w:val="2"/>
          <w:wAfter w:w="2835" w:type="dxa"/>
          <w:trHeight w:val="540"/>
        </w:trPr>
        <w:tc>
          <w:tcPr>
            <w:tcW w:w="6804" w:type="dxa"/>
            <w:tcBorders>
              <w:left w:val="nil"/>
              <w:right w:val="nil"/>
            </w:tcBorders>
            <w:noWrap/>
            <w:hideMark/>
          </w:tcPr>
          <w:p w:rsidRPr="002D6545" w:rsidR="005E16C5" w:rsidP="00C90CB4" w:rsidRDefault="005E16C5" w14:paraId="4D416887" w14:textId="77777777">
            <w:pPr>
              <w:ind w:left="171"/>
              <w:rPr>
                <w:rFonts w:ascii="Arial" w:hAnsi="Arial" w:eastAsia="Times New Roman" w:cs="Arial"/>
                <w:sz w:val="20"/>
                <w:szCs w:val="20"/>
              </w:rPr>
            </w:pPr>
            <w:r w:rsidRPr="002D6545">
              <w:rPr>
                <w:rFonts w:ascii="Arial" w:hAnsi="Arial"/>
                <w:sz w:val="20"/>
              </w:rPr>
              <w:t>c. Količnik odvisnosti od grosističnega financiranja (razlika med postavkama 15(a) in 15(b), deljeno s postavko 15(a))</w:t>
            </w:r>
          </w:p>
        </w:tc>
      </w:tr>
      <w:tr w:rsidRPr="002D6545" w:rsidR="005E16C5" w:rsidTr="00C90CB4" w14:paraId="44A01999" w14:textId="77777777">
        <w:trPr>
          <w:gridAfter w:val="1"/>
          <w:wAfter w:w="90" w:type="dxa"/>
          <w:trHeight w:val="300"/>
        </w:trPr>
        <w:tc>
          <w:tcPr>
            <w:tcW w:w="6804" w:type="dxa"/>
            <w:tcBorders>
              <w:left w:val="nil"/>
              <w:right w:val="nil"/>
            </w:tcBorders>
            <w:noWrap/>
            <w:hideMark/>
          </w:tcPr>
          <w:p w:rsidRPr="002D6545" w:rsidR="005E16C5" w:rsidP="00C90CB4" w:rsidRDefault="005E16C5" w14:paraId="6A0E331B" w14:textId="77777777">
            <w:pPr>
              <w:ind w:firstLine="200" w:firstLineChars="100"/>
              <w:rPr>
                <w:rFonts w:ascii="Arial" w:hAnsi="Arial" w:eastAsia="Times New Roman" w:cs="Arial"/>
                <w:sz w:val="20"/>
                <w:szCs w:val="20"/>
              </w:rPr>
            </w:pPr>
            <w:r w:rsidRPr="002D6545">
              <w:rPr>
                <w:rFonts w:ascii="Arial" w:hAnsi="Arial"/>
                <w:sz w:val="20"/>
              </w:rPr>
              <w:t>d. Skupni bruto prihodki</w:t>
            </w:r>
          </w:p>
        </w:tc>
        <w:tc>
          <w:tcPr>
            <w:tcW w:w="2745" w:type="dxa"/>
            <w:tcBorders>
              <w:left w:val="nil"/>
              <w:right w:val="nil"/>
            </w:tcBorders>
            <w:noWrap/>
            <w:hideMark/>
          </w:tcPr>
          <w:p w:rsidRPr="002D6545" w:rsidR="005E16C5" w:rsidP="00C90CB4" w:rsidRDefault="005E16C5" w14:paraId="3DCB8AFE"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05384AA" w14:textId="77777777">
        <w:trPr>
          <w:gridAfter w:val="1"/>
          <w:wAfter w:w="90" w:type="dxa"/>
          <w:trHeight w:val="300"/>
        </w:trPr>
        <w:tc>
          <w:tcPr>
            <w:tcW w:w="6804" w:type="dxa"/>
            <w:tcBorders>
              <w:left w:val="nil"/>
              <w:right w:val="nil"/>
            </w:tcBorders>
            <w:noWrap/>
            <w:hideMark/>
          </w:tcPr>
          <w:p w:rsidRPr="002D6545" w:rsidR="005E16C5" w:rsidP="00C90CB4" w:rsidRDefault="005E16C5" w14:paraId="4D02EEEE" w14:textId="77777777">
            <w:pPr>
              <w:ind w:firstLine="200" w:firstLineChars="100"/>
              <w:rPr>
                <w:rFonts w:ascii="Arial" w:hAnsi="Arial" w:eastAsia="Times New Roman" w:cs="Arial"/>
                <w:sz w:val="20"/>
                <w:szCs w:val="20"/>
              </w:rPr>
            </w:pPr>
            <w:r w:rsidRPr="002D6545">
              <w:rPr>
                <w:rFonts w:ascii="Arial" w:hAnsi="Arial"/>
                <w:sz w:val="20"/>
              </w:rPr>
              <w:t>e. Skupni neto prihodki</w:t>
            </w:r>
          </w:p>
        </w:tc>
        <w:tc>
          <w:tcPr>
            <w:tcW w:w="2745" w:type="dxa"/>
            <w:tcBorders>
              <w:left w:val="nil"/>
              <w:right w:val="nil"/>
            </w:tcBorders>
            <w:noWrap/>
            <w:hideMark/>
          </w:tcPr>
          <w:p w:rsidRPr="002D6545" w:rsidR="005E16C5" w:rsidP="00C90CB4" w:rsidRDefault="005E16C5" w14:paraId="0494ECF7"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AF3E307" w14:textId="77777777">
        <w:trPr>
          <w:gridAfter w:val="1"/>
          <w:wAfter w:w="90" w:type="dxa"/>
          <w:trHeight w:val="300"/>
        </w:trPr>
        <w:tc>
          <w:tcPr>
            <w:tcW w:w="6804" w:type="dxa"/>
            <w:tcBorders>
              <w:left w:val="nil"/>
              <w:right w:val="nil"/>
            </w:tcBorders>
            <w:noWrap/>
            <w:hideMark/>
          </w:tcPr>
          <w:p w:rsidRPr="002D6545" w:rsidR="005E16C5" w:rsidP="00C90CB4" w:rsidRDefault="005E16C5" w14:paraId="7F154BCA" w14:textId="77777777">
            <w:pPr>
              <w:ind w:firstLine="200" w:firstLineChars="100"/>
              <w:rPr>
                <w:rFonts w:ascii="Arial" w:hAnsi="Arial" w:eastAsia="Times New Roman" w:cs="Arial"/>
                <w:sz w:val="20"/>
                <w:szCs w:val="20"/>
              </w:rPr>
            </w:pPr>
            <w:r w:rsidRPr="002D6545">
              <w:rPr>
                <w:rFonts w:ascii="Arial" w:hAnsi="Arial"/>
                <w:sz w:val="20"/>
              </w:rPr>
              <w:t>f. Tuji neto prihodki</w:t>
            </w:r>
          </w:p>
        </w:tc>
        <w:tc>
          <w:tcPr>
            <w:tcW w:w="2745" w:type="dxa"/>
            <w:tcBorders>
              <w:left w:val="nil"/>
              <w:right w:val="nil"/>
            </w:tcBorders>
            <w:noWrap/>
            <w:hideMark/>
          </w:tcPr>
          <w:p w:rsidRPr="002D6545" w:rsidR="005E16C5" w:rsidP="00C90CB4" w:rsidRDefault="005E16C5" w14:paraId="6F098302"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2DF46B4" w14:textId="77777777">
        <w:trPr>
          <w:gridAfter w:val="1"/>
          <w:wAfter w:w="90" w:type="dxa"/>
          <w:trHeight w:val="300"/>
        </w:trPr>
        <w:tc>
          <w:tcPr>
            <w:tcW w:w="6804" w:type="dxa"/>
            <w:tcBorders>
              <w:left w:val="nil"/>
              <w:right w:val="nil"/>
            </w:tcBorders>
            <w:noWrap/>
          </w:tcPr>
          <w:p w:rsidRPr="002D6545" w:rsidR="005E16C5" w:rsidP="00C90CB4" w:rsidRDefault="005E16C5" w14:paraId="595974C2" w14:textId="77777777">
            <w:pPr>
              <w:ind w:left="171"/>
              <w:rPr>
                <w:rFonts w:ascii="Arial" w:hAnsi="Arial" w:eastAsia="Times New Roman" w:cs="Arial"/>
                <w:sz w:val="20"/>
                <w:szCs w:val="20"/>
              </w:rPr>
            </w:pPr>
            <w:r w:rsidRPr="002D6545">
              <w:rPr>
                <w:rFonts w:ascii="Arial" w:hAnsi="Arial"/>
                <w:sz w:val="20"/>
              </w:rPr>
              <w:t>g. Bruto vrednost posojenih denarnih sredstev in bruto poštena vrednost vrednostnih papirjev, posojenih v poslih financiranja z vrednostnimi papirji</w:t>
            </w:r>
          </w:p>
        </w:tc>
        <w:tc>
          <w:tcPr>
            <w:tcW w:w="2745" w:type="dxa"/>
            <w:tcBorders>
              <w:left w:val="nil"/>
              <w:right w:val="nil"/>
            </w:tcBorders>
            <w:noWrap/>
          </w:tcPr>
          <w:p w:rsidRPr="002D6545" w:rsidR="005E16C5" w:rsidP="00C90CB4" w:rsidRDefault="005E16C5" w14:paraId="57E121EC" w14:textId="77777777">
            <w:pPr>
              <w:jc w:val="right"/>
              <w:rPr>
                <w:rFonts w:ascii="Arial" w:hAnsi="Arial" w:eastAsia="Times New Roman" w:cs="Arial"/>
                <w:sz w:val="20"/>
                <w:szCs w:val="20"/>
                <w:lang w:eastAsia="en-GB"/>
              </w:rPr>
            </w:pPr>
          </w:p>
        </w:tc>
      </w:tr>
      <w:tr w:rsidRPr="002D6545" w:rsidR="005E16C5" w:rsidTr="00C90CB4" w14:paraId="4CE8EB9D" w14:textId="77777777">
        <w:trPr>
          <w:gridAfter w:val="1"/>
          <w:wAfter w:w="90" w:type="dxa"/>
          <w:trHeight w:val="300"/>
        </w:trPr>
        <w:tc>
          <w:tcPr>
            <w:tcW w:w="6804" w:type="dxa"/>
            <w:tcBorders>
              <w:left w:val="nil"/>
              <w:right w:val="nil"/>
            </w:tcBorders>
            <w:noWrap/>
          </w:tcPr>
          <w:p w:rsidRPr="002D6545" w:rsidR="005E16C5" w:rsidP="00C90CB4" w:rsidRDefault="005E16C5" w14:paraId="7AA85DC6" w14:textId="77777777">
            <w:pPr>
              <w:ind w:left="171"/>
              <w:rPr>
                <w:rFonts w:ascii="Arial" w:hAnsi="Arial" w:eastAsia="Times New Roman" w:cs="Arial"/>
                <w:sz w:val="20"/>
                <w:szCs w:val="20"/>
              </w:rPr>
            </w:pPr>
            <w:r w:rsidRPr="002D6545">
              <w:rPr>
                <w:rFonts w:ascii="Arial" w:hAnsi="Arial"/>
                <w:sz w:val="20"/>
              </w:rPr>
              <w:t>h. Bruto vrednost izposojenih denarnih sredstev in bruto poštena vrednost vrednostnih papirjev, izposojenih v poslih financiranja z vrednostnimi papirji</w:t>
            </w:r>
          </w:p>
        </w:tc>
        <w:tc>
          <w:tcPr>
            <w:tcW w:w="2745" w:type="dxa"/>
            <w:tcBorders>
              <w:left w:val="nil"/>
              <w:right w:val="nil"/>
            </w:tcBorders>
            <w:noWrap/>
          </w:tcPr>
          <w:p w:rsidRPr="002D6545" w:rsidR="005E16C5" w:rsidP="00C90CB4" w:rsidRDefault="005E16C5" w14:paraId="282274D6" w14:textId="77777777">
            <w:pPr>
              <w:jc w:val="right"/>
              <w:rPr>
                <w:rFonts w:ascii="Arial" w:hAnsi="Arial" w:eastAsia="Times New Roman" w:cs="Arial"/>
                <w:sz w:val="20"/>
                <w:szCs w:val="20"/>
                <w:lang w:eastAsia="en-GB"/>
              </w:rPr>
            </w:pPr>
          </w:p>
        </w:tc>
      </w:tr>
      <w:tr w:rsidRPr="002D6545" w:rsidR="005E16C5" w:rsidTr="00C90CB4" w14:paraId="0F9F9030" w14:textId="77777777">
        <w:trPr>
          <w:gridAfter w:val="1"/>
          <w:wAfter w:w="90" w:type="dxa"/>
          <w:trHeight w:val="300"/>
        </w:trPr>
        <w:tc>
          <w:tcPr>
            <w:tcW w:w="6804" w:type="dxa"/>
            <w:tcBorders>
              <w:left w:val="nil"/>
              <w:right w:val="nil"/>
            </w:tcBorders>
            <w:noWrap/>
          </w:tcPr>
          <w:p w:rsidRPr="002D6545" w:rsidR="005E16C5" w:rsidP="00C90CB4" w:rsidRDefault="005E16C5" w14:paraId="1EA3D6E1" w14:textId="77777777">
            <w:pPr>
              <w:ind w:left="171"/>
              <w:rPr>
                <w:rFonts w:ascii="Arial" w:hAnsi="Arial" w:eastAsia="Times New Roman" w:cs="Arial"/>
                <w:sz w:val="20"/>
                <w:szCs w:val="20"/>
              </w:rPr>
            </w:pPr>
            <w:r w:rsidRPr="002D6545">
              <w:rPr>
                <w:rFonts w:ascii="Arial" w:hAnsi="Arial"/>
                <w:sz w:val="20"/>
              </w:rPr>
              <w:t>i. Bruto pozitivna poštena vrednost poslov z izvedenimi finančnimi instrumenti OTC</w:t>
            </w:r>
          </w:p>
        </w:tc>
        <w:tc>
          <w:tcPr>
            <w:tcW w:w="2745" w:type="dxa"/>
            <w:tcBorders>
              <w:left w:val="nil"/>
              <w:right w:val="nil"/>
            </w:tcBorders>
            <w:noWrap/>
          </w:tcPr>
          <w:p w:rsidRPr="002D6545" w:rsidR="005E16C5" w:rsidP="00C90CB4" w:rsidRDefault="005E16C5" w14:paraId="0E773E59" w14:textId="77777777">
            <w:pPr>
              <w:jc w:val="right"/>
              <w:rPr>
                <w:rFonts w:ascii="Arial" w:hAnsi="Arial" w:eastAsia="Times New Roman" w:cs="Arial"/>
                <w:sz w:val="20"/>
                <w:szCs w:val="20"/>
                <w:lang w:eastAsia="en-GB"/>
              </w:rPr>
            </w:pPr>
          </w:p>
        </w:tc>
      </w:tr>
      <w:tr w:rsidRPr="002D6545" w:rsidR="005E16C5" w:rsidTr="00C90CB4" w14:paraId="18BF53CF" w14:textId="77777777">
        <w:trPr>
          <w:gridAfter w:val="1"/>
          <w:wAfter w:w="90" w:type="dxa"/>
          <w:trHeight w:val="300"/>
        </w:trPr>
        <w:tc>
          <w:tcPr>
            <w:tcW w:w="6804" w:type="dxa"/>
            <w:tcBorders>
              <w:left w:val="nil"/>
              <w:bottom w:val="single" w:color="auto" w:sz="4" w:space="0"/>
              <w:right w:val="nil"/>
            </w:tcBorders>
            <w:noWrap/>
          </w:tcPr>
          <w:p w:rsidRPr="002D6545" w:rsidR="005E16C5" w:rsidP="00C90CB4" w:rsidRDefault="005E16C5" w14:paraId="776B2939" w14:textId="77777777">
            <w:pPr>
              <w:ind w:left="171"/>
              <w:rPr>
                <w:rFonts w:ascii="Arial" w:hAnsi="Arial" w:eastAsia="Times New Roman" w:cs="Arial"/>
                <w:sz w:val="20"/>
                <w:szCs w:val="20"/>
              </w:rPr>
            </w:pPr>
            <w:r w:rsidRPr="002D6545">
              <w:rPr>
                <w:rFonts w:ascii="Arial" w:hAnsi="Arial"/>
                <w:sz w:val="20"/>
              </w:rPr>
              <w:t>j. Bruto negativna poštena vrednost poslov z izvedenimi finančnimi instrumenti OTC</w:t>
            </w:r>
          </w:p>
        </w:tc>
        <w:tc>
          <w:tcPr>
            <w:tcW w:w="2745" w:type="dxa"/>
            <w:tcBorders>
              <w:left w:val="nil"/>
              <w:bottom w:val="single" w:color="auto" w:sz="4" w:space="0"/>
              <w:right w:val="nil"/>
            </w:tcBorders>
            <w:noWrap/>
          </w:tcPr>
          <w:p w:rsidRPr="002D6545" w:rsidR="005E16C5" w:rsidP="00C90CB4" w:rsidRDefault="005E16C5" w14:paraId="65195ADA" w14:textId="77777777">
            <w:pPr>
              <w:jc w:val="right"/>
              <w:rPr>
                <w:rFonts w:ascii="Arial" w:hAnsi="Arial" w:eastAsia="Times New Roman" w:cs="Arial"/>
                <w:sz w:val="20"/>
                <w:szCs w:val="20"/>
                <w:lang w:eastAsia="en-GB"/>
              </w:rPr>
            </w:pPr>
          </w:p>
        </w:tc>
      </w:tr>
      <w:tr w:rsidRPr="002D6545" w:rsidR="005E16C5" w:rsidTr="00C90CB4" w14:paraId="6FCBA4B6"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7EFEF447" w14:textId="77777777">
            <w:pPr>
              <w:rPr>
                <w:rFonts w:ascii="Arial" w:hAnsi="Arial" w:eastAsia="Times New Roman" w:cs="Arial"/>
                <w:sz w:val="20"/>
                <w:szCs w:val="20"/>
              </w:rPr>
            </w:pPr>
            <w:r w:rsidRPr="002D6545">
              <w:rPr>
                <w:rFonts w:ascii="Arial" w:hAnsi="Arial"/>
                <w:sz w:val="20"/>
              </w:rPr>
              <w:t> </w:t>
            </w:r>
          </w:p>
        </w:tc>
        <w:tc>
          <w:tcPr>
            <w:tcW w:w="2745" w:type="dxa"/>
            <w:tcBorders>
              <w:left w:val="nil"/>
              <w:bottom w:val="single" w:color="auto" w:sz="4" w:space="0"/>
              <w:right w:val="nil"/>
            </w:tcBorders>
            <w:hideMark/>
          </w:tcPr>
          <w:p w:rsidRPr="002D6545" w:rsidR="005E16C5" w:rsidP="00C90CB4" w:rsidRDefault="005E16C5" w14:paraId="15EE3DF5" w14:textId="77777777">
            <w:pPr>
              <w:jc w:val="center"/>
              <w:rPr>
                <w:rFonts w:ascii="Arial" w:hAnsi="Arial" w:eastAsia="Times New Roman" w:cs="Arial"/>
                <w:b/>
                <w:bCs/>
                <w:sz w:val="20"/>
                <w:szCs w:val="20"/>
              </w:rPr>
            </w:pPr>
            <w:r w:rsidRPr="002D6545">
              <w:rPr>
                <w:rFonts w:ascii="Arial" w:hAnsi="Arial"/>
                <w:b/>
                <w:sz w:val="20"/>
              </w:rPr>
              <w:t>Znesek v posameznih enotah</w:t>
            </w:r>
          </w:p>
        </w:tc>
      </w:tr>
      <w:tr w:rsidRPr="002D6545" w:rsidR="005E16C5" w:rsidTr="00C90CB4" w14:paraId="595043B6"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727AC99C" w14:textId="77777777">
            <w:pPr>
              <w:ind w:firstLine="200" w:firstLineChars="100"/>
              <w:rPr>
                <w:rFonts w:ascii="Arial" w:hAnsi="Arial" w:eastAsia="Times New Roman" w:cs="Arial"/>
                <w:sz w:val="20"/>
                <w:szCs w:val="20"/>
              </w:rPr>
            </w:pPr>
            <w:r w:rsidRPr="002D6545">
              <w:rPr>
                <w:rFonts w:ascii="Arial" w:hAnsi="Arial"/>
                <w:sz w:val="20"/>
              </w:rPr>
              <w:t xml:space="preserve">k. Število jurisdikcij </w:t>
            </w:r>
          </w:p>
        </w:tc>
        <w:tc>
          <w:tcPr>
            <w:tcW w:w="2745" w:type="dxa"/>
            <w:tcBorders>
              <w:left w:val="nil"/>
              <w:bottom w:val="single" w:color="auto" w:sz="4" w:space="0"/>
              <w:right w:val="nil"/>
            </w:tcBorders>
            <w:noWrap/>
            <w:hideMark/>
          </w:tcPr>
          <w:p w:rsidRPr="002D6545" w:rsidR="005E16C5" w:rsidP="00C90CB4" w:rsidRDefault="005E16C5" w14:paraId="6B954A4C"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7A6BD07" w14:textId="77777777">
        <w:trPr>
          <w:gridAfter w:val="1"/>
          <w:wAfter w:w="90" w:type="dxa"/>
          <w:trHeight w:val="300"/>
        </w:trPr>
        <w:tc>
          <w:tcPr>
            <w:tcW w:w="6804" w:type="dxa"/>
            <w:tcBorders>
              <w:left w:val="nil"/>
              <w:bottom w:val="nil"/>
              <w:right w:val="nil"/>
            </w:tcBorders>
            <w:noWrap/>
          </w:tcPr>
          <w:p w:rsidRPr="002D6545" w:rsidR="005E16C5" w:rsidP="00C90CB4" w:rsidRDefault="005E16C5" w14:paraId="774291ED"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4FE5381E" w14:textId="77777777">
            <w:pPr>
              <w:jc w:val="center"/>
              <w:rPr>
                <w:rFonts w:ascii="Arial" w:hAnsi="Arial" w:eastAsia="Times New Roman" w:cs="Arial"/>
                <w:b/>
                <w:bCs/>
                <w:sz w:val="20"/>
                <w:szCs w:val="20"/>
                <w:lang w:eastAsia="en-GB"/>
              </w:rPr>
            </w:pPr>
          </w:p>
        </w:tc>
      </w:tr>
      <w:tr w:rsidRPr="002D6545" w:rsidR="005E16C5" w:rsidTr="00C90CB4" w14:paraId="7B2CB88B" w14:textId="77777777">
        <w:trPr>
          <w:gridAfter w:val="1"/>
          <w:wAfter w:w="90" w:type="dxa"/>
          <w:trHeight w:val="300"/>
        </w:trPr>
        <w:tc>
          <w:tcPr>
            <w:tcW w:w="6804" w:type="dxa"/>
            <w:tcBorders>
              <w:top w:val="nil"/>
              <w:left w:val="nil"/>
              <w:bottom w:val="single" w:color="auto" w:sz="4" w:space="0"/>
              <w:right w:val="nil"/>
            </w:tcBorders>
            <w:noWrap/>
            <w:hideMark/>
          </w:tcPr>
          <w:p w:rsidRPr="002D6545" w:rsidR="005E16C5" w:rsidP="00C90CB4" w:rsidRDefault="005E16C5" w14:paraId="42AE7F1F" w14:textId="77777777">
            <w:pPr>
              <w:rPr>
                <w:rFonts w:ascii="Arial" w:hAnsi="Arial" w:eastAsia="Times New Roman" w:cs="Arial"/>
                <w:b/>
                <w:bCs/>
                <w:sz w:val="20"/>
                <w:szCs w:val="20"/>
              </w:rPr>
            </w:pPr>
            <w:r w:rsidRPr="002D6545">
              <w:rPr>
                <w:rFonts w:ascii="Arial" w:hAnsi="Arial"/>
                <w:b/>
                <w:sz w:val="20"/>
              </w:rPr>
              <w:t>Oddelek 16 – Dodatne postavke</w:t>
            </w:r>
          </w:p>
        </w:tc>
        <w:tc>
          <w:tcPr>
            <w:tcW w:w="2745" w:type="dxa"/>
            <w:tcBorders>
              <w:top w:val="nil"/>
              <w:left w:val="nil"/>
              <w:bottom w:val="single" w:color="auto" w:sz="4" w:space="0"/>
              <w:right w:val="nil"/>
            </w:tcBorders>
            <w:hideMark/>
          </w:tcPr>
          <w:p w:rsidRPr="002D6545" w:rsidR="005E16C5" w:rsidP="00C90CB4" w:rsidRDefault="005E16C5" w14:paraId="3B4FB056"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4232D3FB" w14:textId="77777777">
        <w:trPr>
          <w:gridAfter w:val="1"/>
          <w:wAfter w:w="90" w:type="dxa"/>
          <w:trHeight w:val="300"/>
        </w:trPr>
        <w:tc>
          <w:tcPr>
            <w:tcW w:w="6804" w:type="dxa"/>
            <w:tcBorders>
              <w:left w:val="nil"/>
              <w:right w:val="nil"/>
            </w:tcBorders>
            <w:noWrap/>
            <w:hideMark/>
          </w:tcPr>
          <w:p w:rsidRPr="002D6545" w:rsidR="005E16C5" w:rsidP="00C90CB4" w:rsidRDefault="005E16C5" w14:paraId="7DB09C83" w14:textId="77777777">
            <w:pPr>
              <w:ind w:firstLine="200" w:firstLineChars="100"/>
              <w:rPr>
                <w:rFonts w:ascii="Arial" w:hAnsi="Arial" w:eastAsia="Times New Roman" w:cs="Arial"/>
                <w:sz w:val="20"/>
                <w:szCs w:val="20"/>
              </w:rPr>
            </w:pPr>
            <w:r w:rsidRPr="002D6545">
              <w:rPr>
                <w:rFonts w:ascii="Arial" w:hAnsi="Arial"/>
                <w:sz w:val="20"/>
              </w:rPr>
              <w:t>a. Vrednostni papirji, razvrščeni med tiste, ki so v imetju do zapadlosti</w:t>
            </w:r>
          </w:p>
        </w:tc>
        <w:tc>
          <w:tcPr>
            <w:tcW w:w="2745" w:type="dxa"/>
            <w:tcBorders>
              <w:left w:val="nil"/>
              <w:right w:val="nil"/>
            </w:tcBorders>
            <w:noWrap/>
            <w:hideMark/>
          </w:tcPr>
          <w:p w:rsidRPr="002D6545" w:rsidR="005E16C5" w:rsidP="00C90CB4" w:rsidRDefault="005E16C5" w14:paraId="7B713CB5"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F546864" w14:textId="77777777">
        <w:trPr>
          <w:gridAfter w:val="1"/>
          <w:wAfter w:w="90" w:type="dxa"/>
          <w:trHeight w:val="300"/>
        </w:trPr>
        <w:tc>
          <w:tcPr>
            <w:tcW w:w="6804" w:type="dxa"/>
            <w:tcBorders>
              <w:left w:val="nil"/>
              <w:right w:val="nil"/>
            </w:tcBorders>
            <w:noWrap/>
            <w:hideMark/>
          </w:tcPr>
          <w:p w:rsidRPr="002D6545" w:rsidR="005E16C5" w:rsidP="00C90CB4" w:rsidRDefault="005E16C5" w14:paraId="32FB1123" w14:textId="77777777">
            <w:pPr>
              <w:ind w:firstLine="200" w:firstLineChars="100"/>
              <w:rPr>
                <w:rFonts w:ascii="Arial" w:hAnsi="Arial" w:eastAsia="Times New Roman" w:cs="Arial"/>
                <w:sz w:val="20"/>
                <w:szCs w:val="20"/>
              </w:rPr>
            </w:pPr>
            <w:r w:rsidRPr="002D6545">
              <w:rPr>
                <w:rFonts w:ascii="Arial" w:hAnsi="Arial"/>
                <w:sz w:val="20"/>
              </w:rPr>
              <w:t>b. Plačila, izvedena v letu poročanja</w:t>
            </w:r>
          </w:p>
        </w:tc>
        <w:tc>
          <w:tcPr>
            <w:tcW w:w="2745" w:type="dxa"/>
            <w:tcBorders>
              <w:left w:val="nil"/>
              <w:right w:val="nil"/>
            </w:tcBorders>
            <w:noWrap/>
            <w:hideMark/>
          </w:tcPr>
          <w:p w:rsidRPr="002D6545" w:rsidR="005E16C5" w:rsidP="00C90CB4" w:rsidRDefault="005E16C5" w14:paraId="64CD3418" w14:textId="77777777">
            <w:pPr>
              <w:ind w:firstLine="200" w:firstLineChars="100"/>
              <w:rPr>
                <w:rFonts w:ascii="Arial" w:hAnsi="Arial" w:eastAsia="Times New Roman" w:cs="Arial"/>
                <w:sz w:val="20"/>
                <w:szCs w:val="20"/>
              </w:rPr>
            </w:pPr>
            <w:r w:rsidRPr="002D6545">
              <w:rPr>
                <w:rFonts w:ascii="Arial" w:hAnsi="Arial"/>
                <w:sz w:val="20"/>
              </w:rPr>
              <w:t> </w:t>
            </w:r>
          </w:p>
        </w:tc>
      </w:tr>
      <w:tr w:rsidRPr="002D6545" w:rsidR="005E16C5" w:rsidTr="00C90CB4" w14:paraId="434234A7" w14:textId="77777777">
        <w:trPr>
          <w:gridAfter w:val="1"/>
          <w:wAfter w:w="90" w:type="dxa"/>
          <w:trHeight w:val="300"/>
        </w:trPr>
        <w:tc>
          <w:tcPr>
            <w:tcW w:w="6804" w:type="dxa"/>
            <w:tcBorders>
              <w:left w:val="nil"/>
              <w:right w:val="nil"/>
            </w:tcBorders>
            <w:noWrap/>
            <w:hideMark/>
          </w:tcPr>
          <w:p w:rsidRPr="002D6545" w:rsidR="005E16C5" w:rsidP="00C90CB4" w:rsidRDefault="005E16C5" w14:paraId="54359ED7" w14:textId="77777777">
            <w:pPr>
              <w:ind w:firstLine="400" w:firstLineChars="200"/>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Brazilski reali (BRL)</w:t>
            </w:r>
          </w:p>
        </w:tc>
        <w:tc>
          <w:tcPr>
            <w:tcW w:w="2745" w:type="dxa"/>
            <w:tcBorders>
              <w:left w:val="nil"/>
              <w:right w:val="nil"/>
            </w:tcBorders>
            <w:noWrap/>
            <w:hideMark/>
          </w:tcPr>
          <w:p w:rsidRPr="002D6545" w:rsidR="005E16C5" w:rsidP="00C90CB4" w:rsidRDefault="005E16C5" w14:paraId="281B8821"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AF950F9" w14:textId="77777777">
        <w:trPr>
          <w:gridAfter w:val="1"/>
          <w:wAfter w:w="90" w:type="dxa"/>
          <w:trHeight w:val="300"/>
        </w:trPr>
        <w:tc>
          <w:tcPr>
            <w:tcW w:w="6804" w:type="dxa"/>
            <w:tcBorders>
              <w:left w:val="nil"/>
              <w:right w:val="nil"/>
            </w:tcBorders>
            <w:noWrap/>
            <w:hideMark/>
          </w:tcPr>
          <w:p w:rsidRPr="002D6545" w:rsidR="005E16C5" w:rsidP="00C90CB4" w:rsidRDefault="005E16C5" w14:paraId="5DEABC43" w14:textId="77777777">
            <w:pPr>
              <w:ind w:firstLine="400" w:firstLineChars="200"/>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Mehiški pesi (MXN)</w:t>
            </w:r>
          </w:p>
        </w:tc>
        <w:tc>
          <w:tcPr>
            <w:tcW w:w="2745" w:type="dxa"/>
            <w:tcBorders>
              <w:left w:val="nil"/>
              <w:right w:val="nil"/>
            </w:tcBorders>
            <w:noWrap/>
            <w:hideMark/>
          </w:tcPr>
          <w:p w:rsidRPr="002D6545" w:rsidR="005E16C5" w:rsidP="00C90CB4" w:rsidRDefault="005E16C5" w14:paraId="11454F21"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E6E99A6" w14:textId="77777777">
        <w:trPr>
          <w:gridAfter w:val="1"/>
          <w:wAfter w:w="90" w:type="dxa"/>
          <w:trHeight w:val="300"/>
        </w:trPr>
        <w:tc>
          <w:tcPr>
            <w:tcW w:w="6804" w:type="dxa"/>
            <w:tcBorders>
              <w:left w:val="nil"/>
              <w:right w:val="nil"/>
            </w:tcBorders>
            <w:noWrap/>
            <w:hideMark/>
          </w:tcPr>
          <w:p w:rsidRPr="002D6545" w:rsidR="005E16C5" w:rsidP="00C90CB4" w:rsidRDefault="005E16C5" w14:paraId="39A42BD6" w14:textId="77777777">
            <w:pPr>
              <w:ind w:firstLine="400" w:firstLineChars="200"/>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Norveška krona (NOK)</w:t>
            </w:r>
          </w:p>
        </w:tc>
        <w:tc>
          <w:tcPr>
            <w:tcW w:w="2745" w:type="dxa"/>
            <w:tcBorders>
              <w:left w:val="nil"/>
              <w:right w:val="nil"/>
            </w:tcBorders>
            <w:noWrap/>
            <w:hideMark/>
          </w:tcPr>
          <w:p w:rsidRPr="002D6545" w:rsidR="005E16C5" w:rsidP="00C90CB4" w:rsidRDefault="005E16C5" w14:paraId="6A32803D"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BC54C6C" w14:textId="77777777">
        <w:trPr>
          <w:gridAfter w:val="1"/>
          <w:wAfter w:w="90" w:type="dxa"/>
          <w:trHeight w:val="300"/>
        </w:trPr>
        <w:tc>
          <w:tcPr>
            <w:tcW w:w="6804" w:type="dxa"/>
            <w:tcBorders>
              <w:left w:val="nil"/>
              <w:right w:val="nil"/>
            </w:tcBorders>
            <w:noWrap/>
            <w:hideMark/>
          </w:tcPr>
          <w:p w:rsidRPr="002D6545" w:rsidR="005E16C5" w:rsidP="00C90CB4" w:rsidRDefault="005E16C5" w14:paraId="640947F3" w14:textId="77777777">
            <w:pPr>
              <w:ind w:firstLine="400" w:firstLineChars="200"/>
              <w:rPr>
                <w:rFonts w:ascii="Arial" w:hAnsi="Arial" w:eastAsia="Times New Roman" w:cs="Arial"/>
                <w:sz w:val="20"/>
                <w:szCs w:val="20"/>
              </w:rPr>
            </w:pPr>
            <w:r w:rsidRPr="002D6545">
              <w:rPr>
                <w:rFonts w:ascii="Arial" w:hAnsi="Arial"/>
                <w:sz w:val="20"/>
                <w:lang w:eastAsia="en-GB"/>
              </w:rPr>
              <w:t xml:space="preserve">(4) </w:t>
            </w:r>
            <w:r w:rsidRPr="002D6545">
              <w:rPr>
                <w:rFonts w:ascii="Arial" w:hAnsi="Arial"/>
                <w:sz w:val="20"/>
              </w:rPr>
              <w:t>Ruski rublji (RUB)</w:t>
            </w:r>
          </w:p>
        </w:tc>
        <w:tc>
          <w:tcPr>
            <w:tcW w:w="2745" w:type="dxa"/>
            <w:tcBorders>
              <w:left w:val="nil"/>
              <w:right w:val="nil"/>
            </w:tcBorders>
            <w:noWrap/>
            <w:hideMark/>
          </w:tcPr>
          <w:p w:rsidRPr="002D6545" w:rsidR="005E16C5" w:rsidP="00C90CB4" w:rsidRDefault="005E16C5" w14:paraId="531A1C87"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9E64F3D" w14:textId="77777777">
        <w:trPr>
          <w:gridAfter w:val="1"/>
          <w:wAfter w:w="90" w:type="dxa"/>
          <w:trHeight w:val="300"/>
        </w:trPr>
        <w:tc>
          <w:tcPr>
            <w:tcW w:w="6804" w:type="dxa"/>
            <w:tcBorders>
              <w:left w:val="nil"/>
              <w:right w:val="nil"/>
            </w:tcBorders>
            <w:noWrap/>
            <w:hideMark/>
          </w:tcPr>
          <w:p w:rsidRPr="002D6545" w:rsidR="005E16C5" w:rsidP="00C90CB4" w:rsidRDefault="005E16C5" w14:paraId="4B119BDB" w14:textId="77777777">
            <w:pPr>
              <w:ind w:firstLine="400" w:firstLineChars="200"/>
              <w:rPr>
                <w:rFonts w:ascii="Arial" w:hAnsi="Arial" w:eastAsia="Times New Roman" w:cs="Arial"/>
                <w:sz w:val="20"/>
                <w:szCs w:val="20"/>
              </w:rPr>
            </w:pPr>
            <w:r w:rsidRPr="002D6545">
              <w:rPr>
                <w:rFonts w:ascii="Arial" w:hAnsi="Arial"/>
                <w:sz w:val="20"/>
                <w:lang w:eastAsia="en-GB"/>
              </w:rPr>
              <w:t xml:space="preserve">(5) </w:t>
            </w:r>
            <w:r w:rsidRPr="002D6545">
              <w:rPr>
                <w:rFonts w:ascii="Arial" w:hAnsi="Arial"/>
                <w:sz w:val="20"/>
              </w:rPr>
              <w:t>Singapurski dolar (SGD)</w:t>
            </w:r>
          </w:p>
        </w:tc>
        <w:tc>
          <w:tcPr>
            <w:tcW w:w="2745" w:type="dxa"/>
            <w:tcBorders>
              <w:left w:val="nil"/>
              <w:right w:val="nil"/>
            </w:tcBorders>
            <w:noWrap/>
            <w:hideMark/>
          </w:tcPr>
          <w:p w:rsidRPr="002D6545" w:rsidR="005E16C5" w:rsidP="00C90CB4" w:rsidRDefault="005E16C5" w14:paraId="7D950B7A"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B406A08" w14:textId="77777777">
        <w:trPr>
          <w:gridAfter w:val="1"/>
          <w:wAfter w:w="90" w:type="dxa"/>
          <w:trHeight w:val="300"/>
        </w:trPr>
        <w:tc>
          <w:tcPr>
            <w:tcW w:w="6804" w:type="dxa"/>
            <w:tcBorders>
              <w:left w:val="nil"/>
              <w:bottom w:val="single" w:color="auto" w:sz="4" w:space="0"/>
              <w:right w:val="nil"/>
            </w:tcBorders>
            <w:noWrap/>
            <w:hideMark/>
          </w:tcPr>
          <w:p w:rsidRPr="002D6545" w:rsidR="005E16C5" w:rsidP="00C90CB4" w:rsidRDefault="005E16C5" w14:paraId="737AC42E" w14:textId="77777777">
            <w:pPr>
              <w:ind w:firstLine="400" w:firstLineChars="200"/>
              <w:rPr>
                <w:rFonts w:ascii="Arial" w:hAnsi="Arial" w:eastAsia="Times New Roman" w:cs="Arial"/>
                <w:sz w:val="20"/>
                <w:szCs w:val="20"/>
              </w:rPr>
            </w:pPr>
            <w:r w:rsidRPr="002D6545">
              <w:rPr>
                <w:rFonts w:ascii="Arial" w:hAnsi="Arial"/>
                <w:sz w:val="20"/>
                <w:lang w:eastAsia="en-GB"/>
              </w:rPr>
              <w:t xml:space="preserve">(6) </w:t>
            </w:r>
            <w:r w:rsidRPr="002D6545">
              <w:rPr>
                <w:rFonts w:ascii="Arial" w:hAnsi="Arial"/>
                <w:sz w:val="20"/>
              </w:rPr>
              <w:t>Južnokorejski won (KRW)</w:t>
            </w:r>
          </w:p>
        </w:tc>
        <w:tc>
          <w:tcPr>
            <w:tcW w:w="2745" w:type="dxa"/>
            <w:tcBorders>
              <w:left w:val="nil"/>
              <w:bottom w:val="single" w:color="auto" w:sz="4" w:space="0"/>
              <w:right w:val="nil"/>
            </w:tcBorders>
            <w:noWrap/>
            <w:hideMark/>
          </w:tcPr>
          <w:p w:rsidRPr="002D6545" w:rsidR="005E16C5" w:rsidP="00C90CB4" w:rsidRDefault="005E16C5" w14:paraId="47C4FD90" w14:textId="77777777">
            <w:pPr>
              <w:jc w:val="right"/>
              <w:rPr>
                <w:rFonts w:ascii="Arial" w:hAnsi="Arial" w:eastAsia="Times New Roman" w:cs="Arial"/>
                <w:sz w:val="20"/>
                <w:szCs w:val="20"/>
              </w:rPr>
            </w:pPr>
            <w:r w:rsidRPr="002D6545">
              <w:rPr>
                <w:rFonts w:ascii="Arial" w:hAnsi="Arial"/>
                <w:sz w:val="20"/>
              </w:rPr>
              <w:t> </w:t>
            </w:r>
          </w:p>
        </w:tc>
      </w:tr>
    </w:tbl>
    <w:p w:rsidR="005E16C5" w:rsidP="005E16C5" w:rsidRDefault="005E16C5" w14:paraId="2130A440" w14:textId="77777777">
      <w:r>
        <w:br w:type="page"/>
      </w:r>
    </w:p>
    <w:tbl>
      <w:tblPr>
        <w:tblStyle w:val="TableGrid1"/>
        <w:tblW w:w="9549" w:type="dxa"/>
        <w:tblLook w:val="04A0" w:firstRow="1" w:lastRow="0" w:firstColumn="1" w:lastColumn="0" w:noHBand="0" w:noVBand="1"/>
      </w:tblPr>
      <w:tblGrid>
        <w:gridCol w:w="6804"/>
        <w:gridCol w:w="2745"/>
      </w:tblGrid>
      <w:tr w:rsidRPr="002D6545" w:rsidR="005E16C5" w:rsidTr="00C90CB4" w14:paraId="162CFB4F" w14:textId="77777777">
        <w:trPr>
          <w:trHeight w:val="20"/>
        </w:trPr>
        <w:tc>
          <w:tcPr>
            <w:tcW w:w="6804" w:type="dxa"/>
            <w:tcBorders>
              <w:left w:val="nil"/>
              <w:bottom w:val="nil"/>
              <w:right w:val="nil"/>
            </w:tcBorders>
            <w:noWrap/>
            <w:hideMark/>
          </w:tcPr>
          <w:p w:rsidRPr="002D6545" w:rsidR="005E16C5" w:rsidP="00C90CB4" w:rsidRDefault="005E16C5" w14:paraId="621A0217" w14:textId="77777777">
            <w:pPr>
              <w:rPr>
                <w:rFonts w:ascii="Arial" w:hAnsi="Arial" w:eastAsia="Times New Roman" w:cs="Arial"/>
                <w:sz w:val="20"/>
                <w:szCs w:val="20"/>
              </w:rPr>
            </w:pPr>
            <w:r w:rsidRPr="002D6545">
              <w:rPr>
                <w:rFonts w:ascii="Arial" w:hAnsi="Arial"/>
                <w:sz w:val="20"/>
              </w:rPr>
              <w:lastRenderedPageBreak/>
              <w:t> </w:t>
            </w:r>
          </w:p>
        </w:tc>
        <w:tc>
          <w:tcPr>
            <w:tcW w:w="2745" w:type="dxa"/>
            <w:tcBorders>
              <w:left w:val="nil"/>
              <w:bottom w:val="nil"/>
              <w:right w:val="nil"/>
            </w:tcBorders>
            <w:noWrap/>
            <w:hideMark/>
          </w:tcPr>
          <w:p w:rsidRPr="002D6545" w:rsidR="005E16C5" w:rsidP="00C90CB4" w:rsidRDefault="005E16C5" w14:paraId="1ACF1A34" w14:textId="77777777">
            <w:pPr>
              <w:rPr>
                <w:rFonts w:ascii="Arial" w:hAnsi="Arial" w:eastAsia="Times New Roman" w:cs="Arial"/>
                <w:sz w:val="20"/>
                <w:szCs w:val="20"/>
              </w:rPr>
            </w:pPr>
            <w:r w:rsidRPr="002D6545">
              <w:rPr>
                <w:rFonts w:ascii="Arial" w:hAnsi="Arial"/>
                <w:sz w:val="20"/>
              </w:rPr>
              <w:t> </w:t>
            </w:r>
          </w:p>
        </w:tc>
      </w:tr>
      <w:tr w:rsidRPr="002D6545" w:rsidR="005E16C5" w:rsidTr="00C90CB4" w14:paraId="47D71B0A" w14:textId="77777777">
        <w:trPr>
          <w:trHeight w:val="20"/>
        </w:trPr>
        <w:tc>
          <w:tcPr>
            <w:tcW w:w="6804" w:type="dxa"/>
            <w:tcBorders>
              <w:top w:val="nil"/>
              <w:left w:val="nil"/>
              <w:bottom w:val="nil"/>
              <w:right w:val="nil"/>
            </w:tcBorders>
            <w:noWrap/>
            <w:hideMark/>
          </w:tcPr>
          <w:p w:rsidRPr="002D6545" w:rsidR="005E16C5" w:rsidP="00C90CB4" w:rsidRDefault="005E16C5" w14:paraId="56B1C4F0" w14:textId="77777777">
            <w:pPr>
              <w:rPr>
                <w:rFonts w:asciiTheme="majorHAnsi" w:hAnsiTheme="majorHAnsi" w:eastAsiaTheme="majorEastAsia" w:cstheme="majorBidi"/>
                <w:b/>
                <w:bCs/>
                <w:i/>
                <w:iCs/>
                <w:caps/>
                <w:spacing w:val="-2"/>
              </w:rPr>
            </w:pPr>
            <w:r w:rsidRPr="002D6545">
              <w:rPr>
                <w:rFonts w:asciiTheme="majorHAnsi" w:hAnsiTheme="majorHAnsi"/>
                <w:b/>
                <w:i/>
                <w:caps/>
              </w:rPr>
              <w:t> Pojasnjevalne postavke</w:t>
            </w:r>
          </w:p>
        </w:tc>
        <w:tc>
          <w:tcPr>
            <w:tcW w:w="2745" w:type="dxa"/>
            <w:tcBorders>
              <w:top w:val="nil"/>
              <w:left w:val="nil"/>
              <w:bottom w:val="nil"/>
              <w:right w:val="nil"/>
            </w:tcBorders>
            <w:noWrap/>
            <w:hideMark/>
          </w:tcPr>
          <w:p w:rsidRPr="002D6545" w:rsidR="005E16C5" w:rsidP="00C90CB4" w:rsidRDefault="005E16C5" w14:paraId="7CDD10B6" w14:textId="77777777">
            <w:pPr>
              <w:rPr>
                <w:rFonts w:ascii="Arial" w:hAnsi="Arial" w:eastAsia="Times New Roman" w:cs="Arial"/>
                <w:b/>
                <w:bCs/>
                <w:sz w:val="24"/>
                <w:szCs w:val="24"/>
              </w:rPr>
            </w:pPr>
            <w:r w:rsidRPr="002D6545">
              <w:rPr>
                <w:rFonts w:ascii="Arial" w:hAnsi="Arial"/>
                <w:b/>
                <w:sz w:val="24"/>
              </w:rPr>
              <w:t> </w:t>
            </w:r>
          </w:p>
        </w:tc>
      </w:tr>
      <w:tr w:rsidRPr="002D6545" w:rsidR="005E16C5" w:rsidTr="00C90CB4" w14:paraId="30BB4BC2" w14:textId="77777777">
        <w:trPr>
          <w:trHeight w:val="20"/>
        </w:trPr>
        <w:tc>
          <w:tcPr>
            <w:tcW w:w="6804" w:type="dxa"/>
            <w:tcBorders>
              <w:top w:val="nil"/>
              <w:left w:val="nil"/>
              <w:bottom w:val="single" w:color="auto" w:sz="4" w:space="0"/>
              <w:right w:val="nil"/>
            </w:tcBorders>
            <w:noWrap/>
            <w:hideMark/>
          </w:tcPr>
          <w:p w:rsidRPr="002D6545" w:rsidR="005E16C5" w:rsidP="00C90CB4" w:rsidRDefault="005E16C5" w14:paraId="22353177" w14:textId="77777777">
            <w:pPr>
              <w:ind w:firstLine="241" w:firstLineChars="100"/>
              <w:rPr>
                <w:rFonts w:ascii="Arial" w:hAnsi="Arial" w:eastAsia="Times New Roman" w:cs="Arial"/>
                <w:b/>
                <w:bCs/>
                <w:sz w:val="24"/>
                <w:szCs w:val="24"/>
              </w:rPr>
            </w:pPr>
            <w:r w:rsidRPr="002D6545">
              <w:rPr>
                <w:rFonts w:ascii="Arial" w:hAnsi="Arial"/>
                <w:b/>
                <w:sz w:val="24"/>
              </w:rPr>
              <w:t> </w:t>
            </w:r>
          </w:p>
        </w:tc>
        <w:tc>
          <w:tcPr>
            <w:tcW w:w="2745" w:type="dxa"/>
            <w:tcBorders>
              <w:top w:val="nil"/>
              <w:left w:val="nil"/>
              <w:bottom w:val="single" w:color="auto" w:sz="4" w:space="0"/>
              <w:right w:val="nil"/>
            </w:tcBorders>
            <w:noWrap/>
            <w:hideMark/>
          </w:tcPr>
          <w:p w:rsidRPr="002D6545" w:rsidR="005E16C5" w:rsidP="00C90CB4" w:rsidRDefault="005E16C5" w14:paraId="6DB76C1B" w14:textId="77777777">
            <w:pPr>
              <w:rPr>
                <w:rFonts w:ascii="Arial" w:hAnsi="Arial" w:eastAsia="Times New Roman" w:cs="Arial"/>
                <w:b/>
                <w:bCs/>
                <w:sz w:val="24"/>
                <w:szCs w:val="24"/>
              </w:rPr>
            </w:pPr>
            <w:r w:rsidRPr="002D6545">
              <w:rPr>
                <w:rFonts w:ascii="Arial" w:hAnsi="Arial"/>
                <w:b/>
                <w:sz w:val="24"/>
              </w:rPr>
              <w:t> </w:t>
            </w:r>
          </w:p>
        </w:tc>
      </w:tr>
      <w:tr w:rsidRPr="002D6545" w:rsidR="005E16C5" w:rsidTr="00C90CB4" w14:paraId="2BBF0FB0" w14:textId="77777777">
        <w:trPr>
          <w:trHeight w:val="300"/>
        </w:trPr>
        <w:tc>
          <w:tcPr>
            <w:tcW w:w="6804" w:type="dxa"/>
            <w:tcBorders>
              <w:left w:val="nil"/>
              <w:right w:val="nil"/>
            </w:tcBorders>
            <w:noWrap/>
            <w:hideMark/>
          </w:tcPr>
          <w:p w:rsidRPr="002D6545" w:rsidR="005E16C5" w:rsidP="00C90CB4" w:rsidRDefault="005E16C5" w14:paraId="1C56265F" w14:textId="77777777">
            <w:pPr>
              <w:rPr>
                <w:rFonts w:ascii="Arial" w:hAnsi="Arial" w:eastAsia="Times New Roman" w:cs="Arial"/>
                <w:b/>
                <w:bCs/>
                <w:sz w:val="20"/>
                <w:szCs w:val="20"/>
              </w:rPr>
            </w:pPr>
            <w:r w:rsidRPr="002D6545">
              <w:rPr>
                <w:rFonts w:ascii="Arial" w:hAnsi="Arial"/>
                <w:b/>
                <w:sz w:val="20"/>
              </w:rPr>
              <w:t>Oddelek 17 – Postavke velikosti</w:t>
            </w:r>
          </w:p>
        </w:tc>
        <w:tc>
          <w:tcPr>
            <w:tcW w:w="2745" w:type="dxa"/>
            <w:tcBorders>
              <w:left w:val="nil"/>
              <w:right w:val="nil"/>
            </w:tcBorders>
            <w:hideMark/>
          </w:tcPr>
          <w:p w:rsidRPr="002D6545" w:rsidR="005E16C5" w:rsidP="00C90CB4" w:rsidRDefault="005E16C5" w14:paraId="300ADCA2"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6343BC79" w14:textId="77777777">
        <w:trPr>
          <w:gridAfter w:val="1"/>
          <w:wAfter w:w="2745" w:type="dxa"/>
          <w:trHeight w:val="300"/>
        </w:trPr>
        <w:tc>
          <w:tcPr>
            <w:tcW w:w="6804" w:type="dxa"/>
            <w:tcBorders>
              <w:left w:val="nil"/>
              <w:right w:val="nil"/>
            </w:tcBorders>
            <w:noWrap/>
            <w:hideMark/>
          </w:tcPr>
          <w:p w:rsidRPr="002D6545" w:rsidR="005E16C5" w:rsidP="00C90CB4" w:rsidRDefault="005E16C5" w14:paraId="5BC9AECC" w14:textId="77777777">
            <w:pPr>
              <w:ind w:left="171" w:firstLine="28" w:firstLineChars="14"/>
              <w:rPr>
                <w:rFonts w:ascii="Arial" w:hAnsi="Arial" w:eastAsia="Times New Roman" w:cs="Arial"/>
                <w:sz w:val="20"/>
                <w:szCs w:val="20"/>
              </w:rPr>
            </w:pPr>
            <w:r w:rsidRPr="002D6545">
              <w:rPr>
                <w:rFonts w:ascii="Arial" w:hAnsi="Arial"/>
                <w:sz w:val="20"/>
              </w:rPr>
              <w:t>a. Izpostavljenost podrejenih zavarovalnic, ki so že vključene v regulativni obseg bonitetne konsolidacije</w:t>
            </w:r>
          </w:p>
        </w:tc>
      </w:tr>
      <w:tr w:rsidRPr="002D6545" w:rsidR="005E16C5" w:rsidTr="00C90CB4" w14:paraId="0BD52521" w14:textId="77777777">
        <w:trPr>
          <w:trHeight w:val="300"/>
        </w:trPr>
        <w:tc>
          <w:tcPr>
            <w:tcW w:w="6804" w:type="dxa"/>
            <w:tcBorders>
              <w:left w:val="nil"/>
              <w:right w:val="nil"/>
            </w:tcBorders>
            <w:noWrap/>
            <w:hideMark/>
          </w:tcPr>
          <w:p w:rsidRPr="002D6545" w:rsidR="005E16C5" w:rsidP="00C90CB4" w:rsidRDefault="005E16C5" w14:paraId="38A24B2B" w14:textId="77777777">
            <w:pPr>
              <w:ind w:firstLine="200" w:firstLineChars="100"/>
              <w:rPr>
                <w:rFonts w:ascii="Arial" w:hAnsi="Arial" w:eastAsia="Times New Roman" w:cs="Arial"/>
                <w:sz w:val="20"/>
                <w:szCs w:val="20"/>
              </w:rPr>
            </w:pPr>
            <w:r w:rsidRPr="002D6545">
              <w:rPr>
                <w:rFonts w:ascii="Arial" w:hAnsi="Arial"/>
                <w:sz w:val="20"/>
              </w:rPr>
              <w:t xml:space="preserve">b. Četrtletna povprečna vrednost skupnih izpostavljenosti </w:t>
            </w:r>
          </w:p>
        </w:tc>
        <w:tc>
          <w:tcPr>
            <w:tcW w:w="2745" w:type="dxa"/>
            <w:tcBorders>
              <w:left w:val="nil"/>
              <w:right w:val="nil"/>
            </w:tcBorders>
            <w:noWrap/>
            <w:hideMark/>
          </w:tcPr>
          <w:p w:rsidRPr="002D6545" w:rsidR="005E16C5" w:rsidP="00C90CB4" w:rsidRDefault="005E16C5" w14:paraId="452A88F6"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AF3FFA7" w14:textId="77777777">
        <w:trPr>
          <w:trHeight w:val="300"/>
        </w:trPr>
        <w:tc>
          <w:tcPr>
            <w:tcW w:w="6804" w:type="dxa"/>
            <w:tcBorders>
              <w:left w:val="nil"/>
              <w:bottom w:val="single" w:color="auto" w:sz="4" w:space="0"/>
              <w:right w:val="nil"/>
            </w:tcBorders>
            <w:noWrap/>
            <w:hideMark/>
          </w:tcPr>
          <w:p w:rsidRPr="002D6545" w:rsidR="005E16C5" w:rsidP="00C90CB4" w:rsidRDefault="005E16C5" w14:paraId="0AFE1BB6" w14:textId="77777777">
            <w:pPr>
              <w:ind w:firstLine="200" w:firstLineChars="100"/>
              <w:rPr>
                <w:rFonts w:ascii="Arial" w:hAnsi="Arial" w:eastAsia="Times New Roman" w:cs="Arial"/>
                <w:sz w:val="20"/>
                <w:szCs w:val="20"/>
              </w:rPr>
            </w:pPr>
            <w:r w:rsidRPr="002D6545">
              <w:rPr>
                <w:rFonts w:ascii="Arial" w:hAnsi="Arial"/>
                <w:sz w:val="20"/>
              </w:rPr>
              <w:t xml:space="preserve">c. Mesečna povprečna vrednost skupnih izpostavljenosti </w:t>
            </w:r>
          </w:p>
        </w:tc>
        <w:tc>
          <w:tcPr>
            <w:tcW w:w="2745" w:type="dxa"/>
            <w:tcBorders>
              <w:left w:val="nil"/>
              <w:bottom w:val="single" w:color="auto" w:sz="4" w:space="0"/>
              <w:right w:val="nil"/>
            </w:tcBorders>
            <w:noWrap/>
            <w:hideMark/>
          </w:tcPr>
          <w:p w:rsidRPr="002D6545" w:rsidR="005E16C5" w:rsidP="00C90CB4" w:rsidRDefault="005E16C5" w14:paraId="5179DBD9"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AEE709F" w14:textId="77777777">
        <w:trPr>
          <w:trHeight w:val="300"/>
        </w:trPr>
        <w:tc>
          <w:tcPr>
            <w:tcW w:w="6804" w:type="dxa"/>
            <w:tcBorders>
              <w:left w:val="nil"/>
              <w:bottom w:val="nil"/>
              <w:right w:val="nil"/>
            </w:tcBorders>
            <w:noWrap/>
          </w:tcPr>
          <w:p w:rsidRPr="002D6545" w:rsidR="005E16C5" w:rsidP="00C90CB4" w:rsidRDefault="005E16C5" w14:paraId="0DA3921F"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57296AAE" w14:textId="77777777">
            <w:pPr>
              <w:jc w:val="center"/>
              <w:rPr>
                <w:rFonts w:ascii="Arial" w:hAnsi="Arial" w:eastAsia="Times New Roman" w:cs="Arial"/>
                <w:b/>
                <w:bCs/>
                <w:sz w:val="20"/>
                <w:szCs w:val="20"/>
                <w:lang w:eastAsia="en-GB"/>
              </w:rPr>
            </w:pPr>
          </w:p>
        </w:tc>
      </w:tr>
      <w:tr w:rsidRPr="002D6545" w:rsidR="005E16C5" w:rsidTr="00C90CB4" w14:paraId="1C9402FC" w14:textId="77777777">
        <w:trPr>
          <w:trHeight w:val="300"/>
        </w:trPr>
        <w:tc>
          <w:tcPr>
            <w:tcW w:w="6804" w:type="dxa"/>
            <w:tcBorders>
              <w:top w:val="nil"/>
              <w:left w:val="nil"/>
              <w:right w:val="nil"/>
            </w:tcBorders>
            <w:noWrap/>
            <w:hideMark/>
          </w:tcPr>
          <w:p w:rsidRPr="002D6545" w:rsidR="005E16C5" w:rsidP="00C90CB4" w:rsidRDefault="005E16C5" w14:paraId="586374AD" w14:textId="77777777">
            <w:pPr>
              <w:rPr>
                <w:rFonts w:ascii="Arial" w:hAnsi="Arial" w:eastAsia="Times New Roman" w:cs="Arial"/>
                <w:b/>
                <w:bCs/>
                <w:sz w:val="20"/>
                <w:szCs w:val="20"/>
              </w:rPr>
            </w:pPr>
            <w:r w:rsidRPr="002D6545">
              <w:rPr>
                <w:rFonts w:ascii="Arial" w:hAnsi="Arial"/>
                <w:b/>
                <w:sz w:val="20"/>
              </w:rPr>
              <w:t>Oddelek 18 – Postavke medsebojne povezanosti</w:t>
            </w:r>
          </w:p>
        </w:tc>
        <w:tc>
          <w:tcPr>
            <w:tcW w:w="2745" w:type="dxa"/>
            <w:tcBorders>
              <w:top w:val="nil"/>
              <w:left w:val="nil"/>
              <w:right w:val="nil"/>
            </w:tcBorders>
            <w:hideMark/>
          </w:tcPr>
          <w:p w:rsidRPr="002D6545" w:rsidR="005E16C5" w:rsidP="00C90CB4" w:rsidRDefault="005E16C5" w14:paraId="7A8006DB"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60F8DF0F" w14:textId="77777777">
        <w:trPr>
          <w:trHeight w:val="300"/>
        </w:trPr>
        <w:tc>
          <w:tcPr>
            <w:tcW w:w="6804" w:type="dxa"/>
            <w:tcBorders>
              <w:left w:val="nil"/>
              <w:right w:val="nil"/>
            </w:tcBorders>
            <w:noWrap/>
            <w:hideMark/>
          </w:tcPr>
          <w:p w:rsidRPr="002D6545" w:rsidR="005E16C5" w:rsidP="00C90CB4" w:rsidRDefault="005E16C5" w14:paraId="75434819" w14:textId="77777777">
            <w:pPr>
              <w:ind w:firstLine="200" w:firstLineChars="100"/>
              <w:rPr>
                <w:rFonts w:ascii="Arial" w:hAnsi="Arial" w:eastAsia="Times New Roman" w:cs="Arial"/>
                <w:sz w:val="20"/>
                <w:szCs w:val="20"/>
              </w:rPr>
            </w:pPr>
            <w:r w:rsidRPr="002D6545">
              <w:rPr>
                <w:rFonts w:ascii="Arial" w:hAnsi="Arial"/>
                <w:sz w:val="20"/>
              </w:rPr>
              <w:t>a. Kazalnik sredstev znotraj finančnega sistema (stari kazalnik)</w:t>
            </w:r>
          </w:p>
        </w:tc>
        <w:tc>
          <w:tcPr>
            <w:tcW w:w="2745" w:type="dxa"/>
            <w:tcBorders>
              <w:left w:val="nil"/>
              <w:right w:val="nil"/>
            </w:tcBorders>
            <w:noWrap/>
            <w:hideMark/>
          </w:tcPr>
          <w:p w:rsidRPr="002D6545" w:rsidR="005E16C5" w:rsidP="00C90CB4" w:rsidRDefault="005E16C5" w14:paraId="3131DD05"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E45DF26" w14:textId="77777777">
        <w:trPr>
          <w:trHeight w:val="300"/>
        </w:trPr>
        <w:tc>
          <w:tcPr>
            <w:tcW w:w="6804" w:type="dxa"/>
            <w:tcBorders>
              <w:left w:val="nil"/>
              <w:right w:val="nil"/>
            </w:tcBorders>
            <w:noWrap/>
            <w:hideMark/>
          </w:tcPr>
          <w:p w:rsidRPr="002D6545" w:rsidR="005E16C5" w:rsidP="00C90CB4" w:rsidRDefault="005E16C5" w14:paraId="46921EE9" w14:textId="77777777">
            <w:pPr>
              <w:ind w:firstLine="200" w:firstLineChars="100"/>
              <w:rPr>
                <w:rFonts w:ascii="Arial" w:hAnsi="Arial" w:eastAsia="Times New Roman" w:cs="Arial"/>
                <w:sz w:val="20"/>
                <w:szCs w:val="20"/>
              </w:rPr>
            </w:pPr>
            <w:r w:rsidRPr="002D6545">
              <w:rPr>
                <w:rFonts w:ascii="Arial" w:hAnsi="Arial"/>
                <w:sz w:val="20"/>
              </w:rPr>
              <w:t xml:space="preserve">b. Četrtletna povprečna vrednost sredstev znotraj finančnega sistema </w:t>
            </w:r>
          </w:p>
        </w:tc>
        <w:tc>
          <w:tcPr>
            <w:tcW w:w="2745" w:type="dxa"/>
            <w:tcBorders>
              <w:left w:val="nil"/>
              <w:right w:val="nil"/>
            </w:tcBorders>
            <w:noWrap/>
            <w:hideMark/>
          </w:tcPr>
          <w:p w:rsidRPr="002D6545" w:rsidR="005E16C5" w:rsidP="00C90CB4" w:rsidRDefault="005E16C5" w14:paraId="6EB8B007"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9ADA33C" w14:textId="77777777">
        <w:trPr>
          <w:trHeight w:val="300"/>
        </w:trPr>
        <w:tc>
          <w:tcPr>
            <w:tcW w:w="6804" w:type="dxa"/>
            <w:tcBorders>
              <w:left w:val="nil"/>
              <w:right w:val="nil"/>
            </w:tcBorders>
            <w:noWrap/>
            <w:hideMark/>
          </w:tcPr>
          <w:p w:rsidRPr="002D6545" w:rsidR="005E16C5" w:rsidP="00C90CB4" w:rsidRDefault="005E16C5" w14:paraId="198E9025" w14:textId="77777777">
            <w:pPr>
              <w:ind w:firstLine="200" w:firstLineChars="100"/>
              <w:rPr>
                <w:rFonts w:ascii="Arial" w:hAnsi="Arial" w:eastAsia="Times New Roman" w:cs="Arial"/>
                <w:sz w:val="20"/>
                <w:szCs w:val="20"/>
              </w:rPr>
            </w:pPr>
            <w:r w:rsidRPr="002D6545">
              <w:rPr>
                <w:rFonts w:ascii="Arial" w:hAnsi="Arial"/>
                <w:sz w:val="20"/>
              </w:rPr>
              <w:t xml:space="preserve">c. Mesečna povprečna vrednost sredstev znotraj finančnega sistema </w:t>
            </w:r>
          </w:p>
        </w:tc>
        <w:tc>
          <w:tcPr>
            <w:tcW w:w="2745" w:type="dxa"/>
            <w:tcBorders>
              <w:left w:val="nil"/>
              <w:right w:val="nil"/>
            </w:tcBorders>
            <w:noWrap/>
            <w:hideMark/>
          </w:tcPr>
          <w:p w:rsidRPr="002D6545" w:rsidR="005E16C5" w:rsidP="00C90CB4" w:rsidRDefault="005E16C5" w14:paraId="0D3C9F0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83A69E3" w14:textId="77777777">
        <w:trPr>
          <w:trHeight w:val="300"/>
        </w:trPr>
        <w:tc>
          <w:tcPr>
            <w:tcW w:w="6804" w:type="dxa"/>
            <w:tcBorders>
              <w:left w:val="nil"/>
              <w:right w:val="nil"/>
            </w:tcBorders>
            <w:noWrap/>
            <w:hideMark/>
          </w:tcPr>
          <w:p w:rsidRPr="002D6545" w:rsidR="005E16C5" w:rsidP="00C90CB4" w:rsidRDefault="005E16C5" w14:paraId="455C30E1" w14:textId="77777777">
            <w:pPr>
              <w:ind w:firstLine="200" w:firstLineChars="100"/>
              <w:rPr>
                <w:rFonts w:ascii="Arial" w:hAnsi="Arial" w:eastAsia="Times New Roman" w:cs="Arial"/>
                <w:sz w:val="20"/>
                <w:szCs w:val="20"/>
              </w:rPr>
            </w:pPr>
            <w:r w:rsidRPr="002D6545">
              <w:rPr>
                <w:rFonts w:ascii="Arial" w:hAnsi="Arial"/>
                <w:sz w:val="20"/>
              </w:rPr>
              <w:t>d. Kazalnik obveznosti znotraj finančnega sistema (stari kazalnik)</w:t>
            </w:r>
          </w:p>
        </w:tc>
        <w:tc>
          <w:tcPr>
            <w:tcW w:w="2745" w:type="dxa"/>
            <w:tcBorders>
              <w:left w:val="nil"/>
              <w:right w:val="nil"/>
            </w:tcBorders>
            <w:noWrap/>
            <w:hideMark/>
          </w:tcPr>
          <w:p w:rsidRPr="002D6545" w:rsidR="005E16C5" w:rsidP="00C90CB4" w:rsidRDefault="005E16C5" w14:paraId="7CCBF9C8"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F3979EF" w14:textId="77777777">
        <w:trPr>
          <w:trHeight w:val="300"/>
        </w:trPr>
        <w:tc>
          <w:tcPr>
            <w:tcW w:w="6804" w:type="dxa"/>
            <w:tcBorders>
              <w:left w:val="nil"/>
              <w:right w:val="nil"/>
            </w:tcBorders>
            <w:noWrap/>
            <w:hideMark/>
          </w:tcPr>
          <w:p w:rsidRPr="002D6545" w:rsidR="005E16C5" w:rsidP="00C90CB4" w:rsidRDefault="005E16C5" w14:paraId="33FD0999" w14:textId="77777777">
            <w:pPr>
              <w:ind w:firstLine="200" w:firstLineChars="100"/>
              <w:rPr>
                <w:rFonts w:ascii="Arial" w:hAnsi="Arial" w:eastAsia="Times New Roman" w:cs="Arial"/>
                <w:sz w:val="20"/>
                <w:szCs w:val="20"/>
              </w:rPr>
            </w:pPr>
            <w:r w:rsidRPr="002D6545">
              <w:rPr>
                <w:rFonts w:ascii="Arial" w:hAnsi="Arial"/>
                <w:sz w:val="20"/>
              </w:rPr>
              <w:t xml:space="preserve">e. Četrtletna povprečna vrednost obveznosti znotraj finančnega sistema </w:t>
            </w:r>
          </w:p>
        </w:tc>
        <w:tc>
          <w:tcPr>
            <w:tcW w:w="2745" w:type="dxa"/>
            <w:tcBorders>
              <w:left w:val="nil"/>
              <w:right w:val="nil"/>
            </w:tcBorders>
            <w:noWrap/>
            <w:hideMark/>
          </w:tcPr>
          <w:p w:rsidRPr="002D6545" w:rsidR="005E16C5" w:rsidP="00C90CB4" w:rsidRDefault="005E16C5" w14:paraId="0D660E26"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B97406F" w14:textId="77777777">
        <w:trPr>
          <w:trHeight w:val="300"/>
        </w:trPr>
        <w:tc>
          <w:tcPr>
            <w:tcW w:w="6804" w:type="dxa"/>
            <w:tcBorders>
              <w:left w:val="nil"/>
              <w:right w:val="nil"/>
            </w:tcBorders>
            <w:noWrap/>
            <w:hideMark/>
          </w:tcPr>
          <w:p w:rsidRPr="002D6545" w:rsidR="005E16C5" w:rsidP="00C90CB4" w:rsidRDefault="005E16C5" w14:paraId="7B078D27" w14:textId="77777777">
            <w:pPr>
              <w:ind w:firstLine="200" w:firstLineChars="100"/>
              <w:rPr>
                <w:rFonts w:ascii="Arial" w:hAnsi="Arial" w:eastAsia="Times New Roman" w:cs="Arial"/>
                <w:sz w:val="20"/>
                <w:szCs w:val="20"/>
              </w:rPr>
            </w:pPr>
            <w:r w:rsidRPr="002D6545">
              <w:rPr>
                <w:rFonts w:ascii="Arial" w:hAnsi="Arial"/>
                <w:sz w:val="20"/>
              </w:rPr>
              <w:t xml:space="preserve">f. Mesečna povprečna vrednost obveznosti znotraj finančnega sistema </w:t>
            </w:r>
          </w:p>
        </w:tc>
        <w:tc>
          <w:tcPr>
            <w:tcW w:w="2745" w:type="dxa"/>
            <w:tcBorders>
              <w:left w:val="nil"/>
              <w:right w:val="nil"/>
            </w:tcBorders>
            <w:noWrap/>
            <w:hideMark/>
          </w:tcPr>
          <w:p w:rsidRPr="002D6545" w:rsidR="005E16C5" w:rsidP="00C90CB4" w:rsidRDefault="005E16C5" w14:paraId="6BBF0E5F"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231FC998" w14:textId="77777777">
        <w:trPr>
          <w:trHeight w:val="300"/>
        </w:trPr>
        <w:tc>
          <w:tcPr>
            <w:tcW w:w="6804" w:type="dxa"/>
            <w:tcBorders>
              <w:left w:val="nil"/>
              <w:right w:val="nil"/>
            </w:tcBorders>
            <w:noWrap/>
            <w:hideMark/>
          </w:tcPr>
          <w:p w:rsidRPr="002D6545" w:rsidR="005E16C5" w:rsidP="00C90CB4" w:rsidRDefault="005E16C5" w14:paraId="148FA7C9" w14:textId="77777777">
            <w:pPr>
              <w:ind w:firstLine="200" w:firstLineChars="100"/>
              <w:rPr>
                <w:rFonts w:ascii="Arial" w:hAnsi="Arial" w:eastAsia="Times New Roman" w:cs="Arial"/>
                <w:sz w:val="20"/>
                <w:szCs w:val="20"/>
              </w:rPr>
            </w:pPr>
            <w:r w:rsidRPr="002D6545">
              <w:rPr>
                <w:rFonts w:ascii="Arial" w:hAnsi="Arial"/>
                <w:sz w:val="20"/>
              </w:rPr>
              <w:t>g. Kazalnik nedospelih vrednostnih papirjev (stari kazalnik)</w:t>
            </w:r>
          </w:p>
        </w:tc>
        <w:tc>
          <w:tcPr>
            <w:tcW w:w="2745" w:type="dxa"/>
            <w:tcBorders>
              <w:left w:val="nil"/>
              <w:right w:val="nil"/>
            </w:tcBorders>
            <w:noWrap/>
            <w:hideMark/>
          </w:tcPr>
          <w:p w:rsidRPr="002D6545" w:rsidR="005E16C5" w:rsidP="00C90CB4" w:rsidRDefault="005E16C5" w14:paraId="66248C1B"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1680E957" w14:textId="77777777">
        <w:trPr>
          <w:trHeight w:val="300"/>
        </w:trPr>
        <w:tc>
          <w:tcPr>
            <w:tcW w:w="6804" w:type="dxa"/>
            <w:tcBorders>
              <w:left w:val="nil"/>
              <w:right w:val="nil"/>
            </w:tcBorders>
            <w:noWrap/>
            <w:hideMark/>
          </w:tcPr>
          <w:p w:rsidRPr="002D6545" w:rsidR="005E16C5" w:rsidP="00C90CB4" w:rsidRDefault="005E16C5" w14:paraId="15858145" w14:textId="77777777">
            <w:pPr>
              <w:ind w:firstLine="200" w:firstLineChars="100"/>
              <w:rPr>
                <w:rFonts w:ascii="Arial" w:hAnsi="Arial" w:eastAsia="Times New Roman" w:cs="Arial"/>
                <w:sz w:val="20"/>
                <w:szCs w:val="20"/>
              </w:rPr>
            </w:pPr>
            <w:r w:rsidRPr="002D6545">
              <w:rPr>
                <w:rFonts w:ascii="Arial" w:hAnsi="Arial"/>
                <w:sz w:val="20"/>
              </w:rPr>
              <w:t xml:space="preserve">h. Četrtletna povprečna vrednost nedospelih vrednostnih papirjev </w:t>
            </w:r>
          </w:p>
        </w:tc>
        <w:tc>
          <w:tcPr>
            <w:tcW w:w="2745" w:type="dxa"/>
            <w:tcBorders>
              <w:left w:val="nil"/>
              <w:right w:val="nil"/>
            </w:tcBorders>
            <w:noWrap/>
            <w:hideMark/>
          </w:tcPr>
          <w:p w:rsidRPr="002D6545" w:rsidR="005E16C5" w:rsidP="00C90CB4" w:rsidRDefault="005E16C5" w14:paraId="3DBCFE9F"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411961D4" w14:textId="77777777">
        <w:trPr>
          <w:trHeight w:val="300"/>
        </w:trPr>
        <w:tc>
          <w:tcPr>
            <w:tcW w:w="6804" w:type="dxa"/>
            <w:tcBorders>
              <w:left w:val="nil"/>
              <w:bottom w:val="single" w:color="auto" w:sz="4" w:space="0"/>
              <w:right w:val="nil"/>
            </w:tcBorders>
            <w:noWrap/>
            <w:hideMark/>
          </w:tcPr>
          <w:p w:rsidRPr="002D6545" w:rsidR="005E16C5" w:rsidP="00C90CB4" w:rsidRDefault="005E16C5" w14:paraId="6A845E55" w14:textId="77777777">
            <w:pPr>
              <w:ind w:firstLine="200" w:firstLineChars="100"/>
              <w:rPr>
                <w:rFonts w:ascii="Arial" w:hAnsi="Arial" w:eastAsia="Times New Roman" w:cs="Arial"/>
                <w:sz w:val="20"/>
                <w:szCs w:val="20"/>
              </w:rPr>
            </w:pPr>
            <w:r w:rsidRPr="002D6545">
              <w:rPr>
                <w:rFonts w:ascii="Arial" w:hAnsi="Arial"/>
                <w:sz w:val="20"/>
              </w:rPr>
              <w:t xml:space="preserve">i. Mesečna povprečna vrednost nedospelih vrednostnih papirjev </w:t>
            </w:r>
          </w:p>
        </w:tc>
        <w:tc>
          <w:tcPr>
            <w:tcW w:w="2745" w:type="dxa"/>
            <w:tcBorders>
              <w:left w:val="nil"/>
              <w:bottom w:val="single" w:color="auto" w:sz="4" w:space="0"/>
              <w:right w:val="nil"/>
            </w:tcBorders>
            <w:noWrap/>
            <w:hideMark/>
          </w:tcPr>
          <w:p w:rsidRPr="002D6545" w:rsidR="005E16C5" w:rsidP="00C90CB4" w:rsidRDefault="005E16C5" w14:paraId="7323D7C4"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B858703" w14:textId="77777777">
        <w:trPr>
          <w:trHeight w:val="300"/>
        </w:trPr>
        <w:tc>
          <w:tcPr>
            <w:tcW w:w="6804" w:type="dxa"/>
            <w:tcBorders>
              <w:left w:val="nil"/>
              <w:bottom w:val="nil"/>
              <w:right w:val="nil"/>
            </w:tcBorders>
            <w:noWrap/>
          </w:tcPr>
          <w:p w:rsidRPr="002D6545" w:rsidR="005E16C5" w:rsidP="00C90CB4" w:rsidRDefault="005E16C5" w14:paraId="05CAE3F3"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5397A443" w14:textId="77777777">
            <w:pPr>
              <w:jc w:val="center"/>
              <w:rPr>
                <w:rFonts w:ascii="Arial" w:hAnsi="Arial" w:eastAsia="Times New Roman" w:cs="Arial"/>
                <w:b/>
                <w:bCs/>
                <w:sz w:val="20"/>
                <w:szCs w:val="20"/>
                <w:lang w:eastAsia="en-GB"/>
              </w:rPr>
            </w:pPr>
          </w:p>
        </w:tc>
      </w:tr>
      <w:tr w:rsidRPr="002D6545" w:rsidR="005E16C5" w:rsidTr="00C90CB4" w14:paraId="489C8CA5" w14:textId="77777777">
        <w:trPr>
          <w:trHeight w:val="300"/>
        </w:trPr>
        <w:tc>
          <w:tcPr>
            <w:tcW w:w="6804" w:type="dxa"/>
            <w:tcBorders>
              <w:top w:val="nil"/>
              <w:left w:val="nil"/>
              <w:bottom w:val="single" w:color="auto" w:sz="4" w:space="0"/>
              <w:right w:val="nil"/>
            </w:tcBorders>
            <w:noWrap/>
            <w:hideMark/>
          </w:tcPr>
          <w:p w:rsidRPr="002D6545" w:rsidR="005E16C5" w:rsidP="00C90CB4" w:rsidRDefault="005E16C5" w14:paraId="4C9974C7" w14:textId="77777777">
            <w:pPr>
              <w:rPr>
                <w:rFonts w:ascii="Arial" w:hAnsi="Arial" w:eastAsia="Times New Roman" w:cs="Arial"/>
                <w:b/>
                <w:bCs/>
                <w:sz w:val="20"/>
                <w:szCs w:val="20"/>
              </w:rPr>
            </w:pPr>
            <w:r w:rsidRPr="002D6545">
              <w:rPr>
                <w:rFonts w:ascii="Arial" w:hAnsi="Arial"/>
                <w:b/>
                <w:sz w:val="20"/>
              </w:rPr>
              <w:t>Oddelek 19 – Postavke nadomestljivosti/finančne infrastrukture</w:t>
            </w:r>
          </w:p>
        </w:tc>
        <w:tc>
          <w:tcPr>
            <w:tcW w:w="2745" w:type="dxa"/>
            <w:tcBorders>
              <w:top w:val="nil"/>
              <w:left w:val="nil"/>
              <w:right w:val="nil"/>
            </w:tcBorders>
            <w:hideMark/>
          </w:tcPr>
          <w:p w:rsidRPr="002D6545" w:rsidR="005E16C5" w:rsidP="00C90CB4" w:rsidRDefault="005E16C5" w14:paraId="3621C558"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7773C351" w14:textId="77777777">
        <w:trPr>
          <w:trHeight w:val="300"/>
        </w:trPr>
        <w:tc>
          <w:tcPr>
            <w:tcW w:w="6804" w:type="dxa"/>
            <w:tcBorders>
              <w:left w:val="nil"/>
              <w:right w:val="nil"/>
            </w:tcBorders>
            <w:noWrap/>
          </w:tcPr>
          <w:p w:rsidRPr="002D6545" w:rsidR="005E16C5" w:rsidP="00C90CB4" w:rsidRDefault="005E16C5" w14:paraId="38CC8150" w14:textId="77777777">
            <w:pPr>
              <w:ind w:left="171" w:firstLine="28" w:firstLineChars="14"/>
              <w:rPr>
                <w:rFonts w:ascii="Arial" w:hAnsi="Arial" w:eastAsia="Times New Roman" w:cs="Arial"/>
                <w:sz w:val="20"/>
                <w:szCs w:val="20"/>
              </w:rPr>
            </w:pPr>
            <w:r w:rsidRPr="002D6545">
              <w:rPr>
                <w:rFonts w:ascii="Arial" w:hAnsi="Arial"/>
                <w:sz w:val="20"/>
              </w:rPr>
              <w:t>a. Obseg trgovanja z vrednostnimi papirji, ki jih izdajo države, razen transakcij znotraj skupine</w:t>
            </w:r>
          </w:p>
        </w:tc>
        <w:tc>
          <w:tcPr>
            <w:tcW w:w="2745" w:type="dxa"/>
            <w:tcBorders>
              <w:left w:val="nil"/>
              <w:right w:val="nil"/>
            </w:tcBorders>
            <w:noWrap/>
          </w:tcPr>
          <w:p w:rsidRPr="002D6545" w:rsidR="005E16C5" w:rsidP="00C90CB4" w:rsidRDefault="005E16C5" w14:paraId="1889BF12" w14:textId="77777777">
            <w:pPr>
              <w:jc w:val="right"/>
              <w:rPr>
                <w:rFonts w:ascii="Arial" w:hAnsi="Arial" w:eastAsia="Times New Roman" w:cs="Arial"/>
                <w:sz w:val="20"/>
                <w:szCs w:val="20"/>
                <w:lang w:eastAsia="en-GB"/>
              </w:rPr>
            </w:pPr>
          </w:p>
        </w:tc>
      </w:tr>
      <w:tr w:rsidRPr="002D6545" w:rsidR="005E16C5" w:rsidTr="00C90CB4" w14:paraId="04253903" w14:textId="77777777">
        <w:trPr>
          <w:trHeight w:val="300"/>
        </w:trPr>
        <w:tc>
          <w:tcPr>
            <w:tcW w:w="6804" w:type="dxa"/>
            <w:tcBorders>
              <w:left w:val="nil"/>
              <w:right w:val="nil"/>
            </w:tcBorders>
            <w:noWrap/>
          </w:tcPr>
          <w:p w:rsidRPr="002D6545" w:rsidR="005E16C5" w:rsidP="00C90CB4" w:rsidRDefault="005E16C5" w14:paraId="2F18F9F5" w14:textId="77777777">
            <w:pPr>
              <w:ind w:left="171"/>
              <w:rPr>
                <w:rFonts w:ascii="Arial" w:hAnsi="Arial" w:eastAsia="Times New Roman" w:cs="Arial"/>
                <w:sz w:val="20"/>
                <w:szCs w:val="20"/>
              </w:rPr>
            </w:pPr>
            <w:r w:rsidRPr="002D6545">
              <w:rPr>
                <w:rFonts w:ascii="Arial" w:hAnsi="Arial"/>
                <w:sz w:val="20"/>
              </w:rPr>
              <w:t>b. Začetno kritje, ki ga stranke dajo centralnim nasprotnim strankam</w:t>
            </w:r>
          </w:p>
        </w:tc>
        <w:tc>
          <w:tcPr>
            <w:tcW w:w="2745" w:type="dxa"/>
            <w:tcBorders>
              <w:left w:val="nil"/>
              <w:right w:val="nil"/>
            </w:tcBorders>
            <w:noWrap/>
          </w:tcPr>
          <w:p w:rsidRPr="002D6545" w:rsidR="005E16C5" w:rsidP="00C90CB4" w:rsidRDefault="005E16C5" w14:paraId="6C39E579" w14:textId="77777777">
            <w:pPr>
              <w:jc w:val="right"/>
              <w:rPr>
                <w:rFonts w:ascii="Arial" w:hAnsi="Arial" w:eastAsia="Times New Roman" w:cs="Arial"/>
                <w:sz w:val="20"/>
                <w:szCs w:val="20"/>
                <w:lang w:eastAsia="en-GB"/>
              </w:rPr>
            </w:pPr>
          </w:p>
        </w:tc>
      </w:tr>
      <w:tr w:rsidRPr="002D6545" w:rsidR="005E16C5" w:rsidTr="00C90CB4" w14:paraId="682E606A" w14:textId="77777777">
        <w:trPr>
          <w:trHeight w:val="300"/>
        </w:trPr>
        <w:tc>
          <w:tcPr>
            <w:tcW w:w="6804" w:type="dxa"/>
            <w:tcBorders>
              <w:left w:val="nil"/>
              <w:right w:val="nil"/>
            </w:tcBorders>
            <w:noWrap/>
          </w:tcPr>
          <w:p w:rsidRPr="002D6545" w:rsidR="005E16C5" w:rsidP="00C90CB4" w:rsidRDefault="005E16C5" w14:paraId="2308EADA" w14:textId="77777777">
            <w:pPr>
              <w:ind w:firstLine="200" w:firstLineChars="100"/>
              <w:rPr>
                <w:rFonts w:ascii="Arial" w:hAnsi="Arial" w:eastAsia="Times New Roman" w:cs="Arial"/>
                <w:sz w:val="20"/>
                <w:szCs w:val="20"/>
              </w:rPr>
            </w:pPr>
            <w:r w:rsidRPr="002D6545">
              <w:rPr>
                <w:rFonts w:ascii="Arial" w:hAnsi="Arial"/>
                <w:sz w:val="20"/>
              </w:rPr>
              <w:t>c. Začetno kritje, ki ga centralne nasprotne stranke prejmejo za lasten račun skupine za poročanje</w:t>
            </w:r>
          </w:p>
        </w:tc>
        <w:tc>
          <w:tcPr>
            <w:tcW w:w="2745" w:type="dxa"/>
            <w:tcBorders>
              <w:left w:val="nil"/>
              <w:right w:val="nil"/>
            </w:tcBorders>
            <w:noWrap/>
          </w:tcPr>
          <w:p w:rsidRPr="002D6545" w:rsidR="005E16C5" w:rsidP="00C90CB4" w:rsidRDefault="005E16C5" w14:paraId="282680F8" w14:textId="77777777">
            <w:pPr>
              <w:jc w:val="right"/>
              <w:rPr>
                <w:rFonts w:ascii="Arial" w:hAnsi="Arial" w:eastAsia="Times New Roman" w:cs="Arial"/>
                <w:sz w:val="20"/>
                <w:szCs w:val="20"/>
                <w:lang w:eastAsia="en-GB"/>
              </w:rPr>
            </w:pPr>
          </w:p>
        </w:tc>
      </w:tr>
      <w:tr w:rsidRPr="002D6545" w:rsidR="005E16C5" w:rsidTr="00C90CB4" w14:paraId="0CD90729" w14:textId="77777777">
        <w:trPr>
          <w:trHeight w:val="300"/>
        </w:trPr>
        <w:tc>
          <w:tcPr>
            <w:tcW w:w="6804" w:type="dxa"/>
            <w:tcBorders>
              <w:left w:val="nil"/>
              <w:right w:val="nil"/>
            </w:tcBorders>
            <w:noWrap/>
            <w:hideMark/>
          </w:tcPr>
          <w:p w:rsidRPr="002D6545" w:rsidR="005E16C5" w:rsidP="00C90CB4" w:rsidRDefault="005E16C5" w14:paraId="5635B6CC" w14:textId="77777777">
            <w:pPr>
              <w:ind w:firstLine="200" w:firstLineChars="100"/>
              <w:rPr>
                <w:rFonts w:ascii="Arial" w:hAnsi="Arial" w:eastAsia="Times New Roman" w:cs="Arial"/>
                <w:sz w:val="20"/>
                <w:szCs w:val="20"/>
              </w:rPr>
            </w:pPr>
            <w:r w:rsidRPr="002D6545">
              <w:rPr>
                <w:rFonts w:ascii="Arial" w:hAnsi="Arial"/>
                <w:sz w:val="20"/>
              </w:rPr>
              <w:t>d. Prispevki v jamstveni sklad centralnih nasprotnih strank</w:t>
            </w:r>
          </w:p>
        </w:tc>
        <w:tc>
          <w:tcPr>
            <w:tcW w:w="2745" w:type="dxa"/>
            <w:tcBorders>
              <w:left w:val="nil"/>
              <w:right w:val="nil"/>
            </w:tcBorders>
            <w:noWrap/>
            <w:hideMark/>
          </w:tcPr>
          <w:p w:rsidRPr="002D6545" w:rsidR="005E16C5" w:rsidP="00C90CB4" w:rsidRDefault="005E16C5" w14:paraId="65B2865A"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3E4F5160" w14:textId="77777777">
        <w:trPr>
          <w:trHeight w:val="300"/>
        </w:trPr>
        <w:tc>
          <w:tcPr>
            <w:tcW w:w="6804" w:type="dxa"/>
            <w:tcBorders>
              <w:left w:val="nil"/>
              <w:right w:val="nil"/>
            </w:tcBorders>
            <w:noWrap/>
            <w:hideMark/>
          </w:tcPr>
          <w:p w:rsidRPr="002D6545" w:rsidR="005E16C5" w:rsidP="00C90CB4" w:rsidRDefault="005E16C5" w14:paraId="7CF468E9" w14:textId="77777777">
            <w:pPr>
              <w:ind w:firstLine="200" w:firstLineChars="100"/>
              <w:rPr>
                <w:rFonts w:ascii="Arial" w:hAnsi="Arial" w:eastAsia="Times New Roman" w:cs="Arial"/>
                <w:sz w:val="20"/>
                <w:szCs w:val="20"/>
              </w:rPr>
            </w:pPr>
            <w:r w:rsidRPr="002D6545">
              <w:rPr>
                <w:rFonts w:ascii="Arial" w:hAnsi="Arial"/>
                <w:sz w:val="20"/>
              </w:rPr>
              <w:t>e. Drugi instrumenti centralnih nasprotnih strank</w:t>
            </w:r>
          </w:p>
        </w:tc>
        <w:tc>
          <w:tcPr>
            <w:tcW w:w="2745" w:type="dxa"/>
            <w:tcBorders>
              <w:left w:val="nil"/>
              <w:right w:val="nil"/>
            </w:tcBorders>
            <w:noWrap/>
            <w:hideMark/>
          </w:tcPr>
          <w:p w:rsidRPr="002D6545" w:rsidR="005E16C5" w:rsidP="00C90CB4" w:rsidRDefault="005E16C5" w14:paraId="4769BB9D"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65B2E98F" w14:textId="77777777">
        <w:trPr>
          <w:gridAfter w:val="1"/>
          <w:wAfter w:w="2745" w:type="dxa"/>
          <w:trHeight w:val="300"/>
        </w:trPr>
        <w:tc>
          <w:tcPr>
            <w:tcW w:w="6804" w:type="dxa"/>
            <w:tcBorders>
              <w:left w:val="nil"/>
              <w:right w:val="nil"/>
            </w:tcBorders>
            <w:noWrap/>
            <w:hideMark/>
          </w:tcPr>
          <w:p w:rsidRPr="002D6545" w:rsidR="005E16C5" w:rsidP="00C90CB4" w:rsidRDefault="005E16C5" w14:paraId="03F19377" w14:textId="77777777">
            <w:pPr>
              <w:ind w:left="171"/>
              <w:rPr>
                <w:rFonts w:ascii="Arial" w:hAnsi="Arial" w:eastAsia="Times New Roman" w:cs="Arial"/>
                <w:sz w:val="20"/>
                <w:szCs w:val="20"/>
              </w:rPr>
            </w:pPr>
            <w:r w:rsidRPr="002D6545">
              <w:rPr>
                <w:rFonts w:ascii="Arial" w:hAnsi="Arial"/>
                <w:sz w:val="20"/>
              </w:rPr>
              <w:t>f. Zagotovitev storitev poravnave v povezavi s posli, za katere kliring izvajajo centralne nasprotne stranke</w:t>
            </w:r>
          </w:p>
        </w:tc>
      </w:tr>
      <w:tr w:rsidRPr="002D6545" w:rsidR="005E16C5" w:rsidTr="00C90CB4" w14:paraId="1DAEA183" w14:textId="77777777">
        <w:trPr>
          <w:trHeight w:val="300"/>
        </w:trPr>
        <w:tc>
          <w:tcPr>
            <w:tcW w:w="6804" w:type="dxa"/>
            <w:tcBorders>
              <w:left w:val="nil"/>
              <w:right w:val="nil"/>
            </w:tcBorders>
            <w:noWrap/>
            <w:hideMark/>
          </w:tcPr>
          <w:p w:rsidRPr="002D6545" w:rsidR="005E16C5" w:rsidP="00C90CB4" w:rsidRDefault="005E16C5" w14:paraId="1BB70F08" w14:textId="77777777">
            <w:pPr>
              <w:ind w:firstLine="200" w:firstLineChars="100"/>
              <w:rPr>
                <w:rFonts w:ascii="Arial" w:hAnsi="Arial" w:eastAsia="Times New Roman" w:cs="Arial"/>
                <w:sz w:val="20"/>
                <w:szCs w:val="20"/>
              </w:rPr>
            </w:pPr>
            <w:r w:rsidRPr="002D6545">
              <w:rPr>
                <w:rFonts w:ascii="Arial" w:hAnsi="Arial"/>
                <w:sz w:val="20"/>
              </w:rPr>
              <w:t xml:space="preserve">g. Četrtletna povprečna vrednost sredstev v skrbništvu </w:t>
            </w:r>
          </w:p>
        </w:tc>
        <w:tc>
          <w:tcPr>
            <w:tcW w:w="2745" w:type="dxa"/>
            <w:tcBorders>
              <w:left w:val="nil"/>
              <w:right w:val="nil"/>
            </w:tcBorders>
            <w:noWrap/>
            <w:hideMark/>
          </w:tcPr>
          <w:p w:rsidRPr="002D6545" w:rsidR="005E16C5" w:rsidP="00C90CB4" w:rsidRDefault="005E16C5" w14:paraId="58C877F4"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572F441" w14:textId="77777777">
        <w:trPr>
          <w:trHeight w:val="300"/>
        </w:trPr>
        <w:tc>
          <w:tcPr>
            <w:tcW w:w="6804" w:type="dxa"/>
            <w:tcBorders>
              <w:left w:val="nil"/>
              <w:bottom w:val="single" w:color="auto" w:sz="4" w:space="0"/>
              <w:right w:val="nil"/>
            </w:tcBorders>
            <w:noWrap/>
            <w:hideMark/>
          </w:tcPr>
          <w:p w:rsidRPr="002D6545" w:rsidR="005E16C5" w:rsidP="00C90CB4" w:rsidRDefault="005E16C5" w14:paraId="4F76D836" w14:textId="77777777">
            <w:pPr>
              <w:ind w:firstLine="200" w:firstLineChars="100"/>
              <w:rPr>
                <w:rFonts w:ascii="Arial" w:hAnsi="Arial" w:eastAsia="Times New Roman" w:cs="Arial"/>
                <w:sz w:val="20"/>
                <w:szCs w:val="20"/>
              </w:rPr>
            </w:pPr>
            <w:r w:rsidRPr="002D6545">
              <w:rPr>
                <w:rFonts w:ascii="Arial" w:hAnsi="Arial"/>
                <w:sz w:val="20"/>
              </w:rPr>
              <w:t xml:space="preserve">h. Mesečna povprečna vrednost sredstev v skrbništvu </w:t>
            </w:r>
          </w:p>
        </w:tc>
        <w:tc>
          <w:tcPr>
            <w:tcW w:w="2745" w:type="dxa"/>
            <w:tcBorders>
              <w:left w:val="nil"/>
              <w:bottom w:val="single" w:color="auto" w:sz="4" w:space="0"/>
              <w:right w:val="nil"/>
            </w:tcBorders>
            <w:noWrap/>
            <w:hideMark/>
          </w:tcPr>
          <w:p w:rsidRPr="002D6545" w:rsidR="005E16C5" w:rsidP="00C90CB4" w:rsidRDefault="005E16C5" w14:paraId="1D515D3F"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79F05911" w14:textId="77777777">
        <w:trPr>
          <w:trHeight w:val="300"/>
        </w:trPr>
        <w:tc>
          <w:tcPr>
            <w:tcW w:w="6804" w:type="dxa"/>
            <w:tcBorders>
              <w:left w:val="nil"/>
              <w:bottom w:val="nil"/>
              <w:right w:val="nil"/>
            </w:tcBorders>
            <w:noWrap/>
          </w:tcPr>
          <w:p w:rsidRPr="002D6545" w:rsidR="005E16C5" w:rsidP="00C90CB4" w:rsidRDefault="005E16C5" w14:paraId="36114E8F"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2D6545" w:rsidR="005E16C5" w:rsidP="00C90CB4" w:rsidRDefault="005E16C5" w14:paraId="50FFA1D5" w14:textId="77777777">
            <w:pPr>
              <w:jc w:val="center"/>
              <w:rPr>
                <w:rFonts w:ascii="Arial" w:hAnsi="Arial" w:eastAsia="Times New Roman" w:cs="Arial"/>
                <w:b/>
                <w:bCs/>
                <w:sz w:val="20"/>
                <w:szCs w:val="20"/>
                <w:lang w:eastAsia="en-GB"/>
              </w:rPr>
            </w:pPr>
          </w:p>
        </w:tc>
      </w:tr>
      <w:tr w:rsidRPr="002D6545" w:rsidR="005E16C5" w:rsidTr="00C90CB4" w14:paraId="0DB0B469" w14:textId="77777777">
        <w:trPr>
          <w:trHeight w:val="300"/>
        </w:trPr>
        <w:tc>
          <w:tcPr>
            <w:tcW w:w="6804" w:type="dxa"/>
            <w:tcBorders>
              <w:top w:val="nil"/>
              <w:left w:val="nil"/>
              <w:right w:val="nil"/>
            </w:tcBorders>
            <w:noWrap/>
            <w:hideMark/>
          </w:tcPr>
          <w:p w:rsidRPr="002D6545" w:rsidR="005E16C5" w:rsidP="00C90CB4" w:rsidRDefault="005E16C5" w14:paraId="1495E893" w14:textId="77777777">
            <w:pPr>
              <w:rPr>
                <w:rFonts w:ascii="Arial" w:hAnsi="Arial" w:eastAsia="Times New Roman" w:cs="Arial"/>
                <w:b/>
                <w:bCs/>
                <w:sz w:val="20"/>
                <w:szCs w:val="20"/>
              </w:rPr>
            </w:pPr>
            <w:r w:rsidRPr="002D6545">
              <w:rPr>
                <w:rFonts w:ascii="Arial" w:hAnsi="Arial"/>
                <w:b/>
                <w:sz w:val="20"/>
              </w:rPr>
              <w:t>Oddelek 20 – Postavke kompleksnosti</w:t>
            </w:r>
          </w:p>
        </w:tc>
        <w:tc>
          <w:tcPr>
            <w:tcW w:w="2745" w:type="dxa"/>
            <w:tcBorders>
              <w:top w:val="nil"/>
              <w:left w:val="nil"/>
              <w:right w:val="nil"/>
            </w:tcBorders>
            <w:hideMark/>
          </w:tcPr>
          <w:p w:rsidRPr="002D6545" w:rsidR="005E16C5" w:rsidP="00C90CB4" w:rsidRDefault="005E16C5" w14:paraId="56080B92"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7B88C630" w14:textId="77777777">
        <w:trPr>
          <w:trHeight w:val="300"/>
        </w:trPr>
        <w:tc>
          <w:tcPr>
            <w:tcW w:w="6804" w:type="dxa"/>
            <w:tcBorders>
              <w:left w:val="nil"/>
              <w:right w:val="nil"/>
            </w:tcBorders>
            <w:noWrap/>
            <w:hideMark/>
          </w:tcPr>
          <w:p w:rsidRPr="002D6545" w:rsidR="005E16C5" w:rsidP="00C90CB4" w:rsidRDefault="005E16C5" w14:paraId="4F05E7DA" w14:textId="77777777">
            <w:pPr>
              <w:ind w:firstLine="200" w:firstLineChars="100"/>
              <w:rPr>
                <w:rFonts w:ascii="Arial" w:hAnsi="Arial" w:eastAsia="Times New Roman" w:cs="Arial"/>
                <w:sz w:val="20"/>
                <w:szCs w:val="20"/>
              </w:rPr>
            </w:pPr>
            <w:r w:rsidRPr="002D6545">
              <w:rPr>
                <w:rFonts w:ascii="Arial" w:hAnsi="Arial"/>
                <w:sz w:val="20"/>
              </w:rPr>
              <w:t>a. Kazalnik izvedenih finančnih instrumentov OTC (stari kazalnik)</w:t>
            </w:r>
          </w:p>
        </w:tc>
        <w:tc>
          <w:tcPr>
            <w:tcW w:w="2745" w:type="dxa"/>
            <w:tcBorders>
              <w:left w:val="nil"/>
              <w:right w:val="nil"/>
            </w:tcBorders>
            <w:noWrap/>
            <w:hideMark/>
          </w:tcPr>
          <w:p w:rsidRPr="002D6545" w:rsidR="005E16C5" w:rsidP="00C90CB4" w:rsidRDefault="005E16C5" w14:paraId="309C6984" w14:textId="77777777">
            <w:pPr>
              <w:jc w:val="right"/>
              <w:rPr>
                <w:rFonts w:ascii="Arial" w:hAnsi="Arial" w:eastAsia="Times New Roman" w:cs="Arial"/>
                <w:sz w:val="20"/>
                <w:szCs w:val="20"/>
              </w:rPr>
            </w:pPr>
            <w:r w:rsidRPr="002D6545">
              <w:rPr>
                <w:rFonts w:ascii="Arial" w:hAnsi="Arial"/>
                <w:sz w:val="20"/>
              </w:rPr>
              <w:t> </w:t>
            </w:r>
          </w:p>
        </w:tc>
      </w:tr>
      <w:tr w:rsidRPr="002D6545" w:rsidR="005E16C5" w:rsidTr="00C90CB4" w14:paraId="5E1BF3AF" w14:textId="77777777">
        <w:trPr>
          <w:trHeight w:val="300"/>
        </w:trPr>
        <w:tc>
          <w:tcPr>
            <w:tcW w:w="6804" w:type="dxa"/>
            <w:tcBorders>
              <w:left w:val="nil"/>
              <w:right w:val="nil"/>
            </w:tcBorders>
            <w:noWrap/>
          </w:tcPr>
          <w:p w:rsidRPr="002D6545" w:rsidR="005E16C5" w:rsidP="00C90CB4" w:rsidRDefault="005E16C5" w14:paraId="49282C74" w14:textId="77777777">
            <w:pPr>
              <w:ind w:left="171" w:firstLine="28" w:firstLineChars="14"/>
              <w:rPr>
                <w:rFonts w:ascii="Arial" w:hAnsi="Arial" w:eastAsia="Times New Roman" w:cs="Arial"/>
                <w:sz w:val="20"/>
                <w:szCs w:val="20"/>
              </w:rPr>
            </w:pPr>
            <w:r w:rsidRPr="002D6545">
              <w:rPr>
                <w:rFonts w:ascii="Arial" w:hAnsi="Arial"/>
                <w:sz w:val="20"/>
              </w:rPr>
              <w:t>b. Nominalni znesek izvedenih finančnih instrumentov OTC, vključno s podrejenimi zavarovalnicami:</w:t>
            </w:r>
          </w:p>
        </w:tc>
        <w:tc>
          <w:tcPr>
            <w:tcW w:w="2745" w:type="dxa"/>
            <w:tcBorders>
              <w:left w:val="nil"/>
              <w:right w:val="nil"/>
            </w:tcBorders>
            <w:noWrap/>
          </w:tcPr>
          <w:p w:rsidRPr="002D6545" w:rsidR="005E16C5" w:rsidP="00C90CB4" w:rsidRDefault="005E16C5" w14:paraId="253E3249" w14:textId="77777777">
            <w:pPr>
              <w:jc w:val="right"/>
              <w:rPr>
                <w:rFonts w:ascii="Arial" w:hAnsi="Arial" w:eastAsia="Times New Roman" w:cs="Arial"/>
                <w:sz w:val="20"/>
                <w:szCs w:val="20"/>
                <w:lang w:eastAsia="en-GB"/>
              </w:rPr>
            </w:pPr>
          </w:p>
        </w:tc>
      </w:tr>
      <w:tr w:rsidRPr="002D6545" w:rsidR="005E16C5" w:rsidTr="00C90CB4" w14:paraId="1DC60F93" w14:textId="77777777">
        <w:trPr>
          <w:trHeight w:val="300"/>
        </w:trPr>
        <w:tc>
          <w:tcPr>
            <w:tcW w:w="6804" w:type="dxa"/>
            <w:tcBorders>
              <w:left w:val="nil"/>
              <w:right w:val="nil"/>
            </w:tcBorders>
            <w:noWrap/>
          </w:tcPr>
          <w:p w:rsidRPr="002D6545" w:rsidR="005E16C5" w:rsidP="00C90CB4" w:rsidRDefault="005E16C5" w14:paraId="71606041" w14:textId="77777777">
            <w:pPr>
              <w:ind w:left="313"/>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S kliringom prek centralne nasprotne stranke, kjer skupina (vključno s podrejenimi zavarovalnicami) deluje kot finančni posrednik (posli s centralno nasprotno stranko)</w:t>
            </w:r>
          </w:p>
        </w:tc>
        <w:tc>
          <w:tcPr>
            <w:tcW w:w="2745" w:type="dxa"/>
            <w:tcBorders>
              <w:left w:val="nil"/>
              <w:right w:val="nil"/>
            </w:tcBorders>
            <w:noWrap/>
          </w:tcPr>
          <w:p w:rsidRPr="002D6545" w:rsidR="005E16C5" w:rsidP="00C90CB4" w:rsidRDefault="005E16C5" w14:paraId="19599C18" w14:textId="77777777">
            <w:pPr>
              <w:jc w:val="right"/>
              <w:rPr>
                <w:rFonts w:ascii="Arial" w:hAnsi="Arial" w:eastAsia="Times New Roman" w:cs="Arial"/>
                <w:sz w:val="20"/>
                <w:szCs w:val="20"/>
                <w:lang w:eastAsia="en-GB"/>
              </w:rPr>
            </w:pPr>
          </w:p>
        </w:tc>
      </w:tr>
      <w:tr w:rsidRPr="002D6545" w:rsidR="005E16C5" w:rsidTr="00C90CB4" w14:paraId="0329E3D8" w14:textId="77777777">
        <w:trPr>
          <w:trHeight w:val="300"/>
        </w:trPr>
        <w:tc>
          <w:tcPr>
            <w:tcW w:w="6804" w:type="dxa"/>
            <w:tcBorders>
              <w:left w:val="nil"/>
              <w:right w:val="nil"/>
            </w:tcBorders>
            <w:noWrap/>
          </w:tcPr>
          <w:p w:rsidRPr="002D6545" w:rsidR="005E16C5" w:rsidP="00C90CB4" w:rsidRDefault="005E16C5" w14:paraId="52503F7C" w14:textId="77777777">
            <w:pPr>
              <w:ind w:left="313" w:firstLine="58" w:firstLineChars="29"/>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 xml:space="preserve">S kliringom prek centralne nasprotne stranke, kjer skupina (vključno s podrejenimi zavarovalnicami) deluje kot finančni posrednik (posli s stranko) </w:t>
            </w:r>
          </w:p>
        </w:tc>
        <w:tc>
          <w:tcPr>
            <w:tcW w:w="2745" w:type="dxa"/>
            <w:tcBorders>
              <w:left w:val="nil"/>
              <w:right w:val="nil"/>
            </w:tcBorders>
            <w:noWrap/>
          </w:tcPr>
          <w:p w:rsidRPr="002D6545" w:rsidR="005E16C5" w:rsidP="00C90CB4" w:rsidRDefault="005E16C5" w14:paraId="6BA06404" w14:textId="77777777">
            <w:pPr>
              <w:jc w:val="right"/>
              <w:rPr>
                <w:rFonts w:ascii="Arial" w:hAnsi="Arial" w:eastAsia="Times New Roman" w:cs="Arial"/>
                <w:sz w:val="20"/>
                <w:szCs w:val="20"/>
                <w:lang w:eastAsia="en-GB"/>
              </w:rPr>
            </w:pPr>
          </w:p>
        </w:tc>
      </w:tr>
      <w:tr w:rsidRPr="002D6545" w:rsidR="005E16C5" w:rsidTr="00C90CB4" w14:paraId="39152C66" w14:textId="77777777">
        <w:trPr>
          <w:trHeight w:val="300"/>
        </w:trPr>
        <w:tc>
          <w:tcPr>
            <w:tcW w:w="6804" w:type="dxa"/>
            <w:tcBorders>
              <w:left w:val="nil"/>
              <w:right w:val="nil"/>
            </w:tcBorders>
            <w:noWrap/>
          </w:tcPr>
          <w:p w:rsidRPr="002D6545" w:rsidR="005E16C5" w:rsidP="00C90CB4" w:rsidRDefault="005E16C5" w14:paraId="791688A4" w14:textId="77777777">
            <w:pPr>
              <w:ind w:left="313"/>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 xml:space="preserve">S kliringom prek centralne nasprotne stranke, kjer skupina (vključno s podrejenimi zavarovalnicami) deluje kot zastopnik </w:t>
            </w:r>
          </w:p>
        </w:tc>
        <w:tc>
          <w:tcPr>
            <w:tcW w:w="2745" w:type="dxa"/>
            <w:tcBorders>
              <w:left w:val="nil"/>
              <w:right w:val="nil"/>
            </w:tcBorders>
            <w:noWrap/>
          </w:tcPr>
          <w:p w:rsidRPr="002D6545" w:rsidR="005E16C5" w:rsidP="00C90CB4" w:rsidRDefault="005E16C5" w14:paraId="7084FE1A" w14:textId="77777777">
            <w:pPr>
              <w:jc w:val="right"/>
              <w:rPr>
                <w:rFonts w:ascii="Arial" w:hAnsi="Arial" w:eastAsia="Times New Roman" w:cs="Arial"/>
                <w:sz w:val="20"/>
                <w:szCs w:val="20"/>
                <w:lang w:eastAsia="en-GB"/>
              </w:rPr>
            </w:pPr>
          </w:p>
        </w:tc>
      </w:tr>
      <w:tr w:rsidRPr="002D6545" w:rsidR="005E16C5" w:rsidTr="00C90CB4" w14:paraId="4EC451C3" w14:textId="77777777">
        <w:trPr>
          <w:trHeight w:val="300"/>
        </w:trPr>
        <w:tc>
          <w:tcPr>
            <w:tcW w:w="6804" w:type="dxa"/>
            <w:tcBorders>
              <w:left w:val="nil"/>
              <w:right w:val="nil"/>
            </w:tcBorders>
            <w:noWrap/>
          </w:tcPr>
          <w:p w:rsidRPr="002D6545" w:rsidR="005E16C5" w:rsidP="00C90CB4" w:rsidRDefault="005E16C5" w14:paraId="7C550FC1" w14:textId="77777777">
            <w:pPr>
              <w:ind w:left="313" w:hanging="1"/>
              <w:rPr>
                <w:rFonts w:ascii="Arial" w:hAnsi="Arial" w:eastAsia="Times New Roman" w:cs="Arial"/>
                <w:sz w:val="20"/>
                <w:szCs w:val="20"/>
              </w:rPr>
            </w:pPr>
            <w:r w:rsidRPr="002D6545">
              <w:rPr>
                <w:rFonts w:ascii="Arial" w:hAnsi="Arial"/>
                <w:sz w:val="20"/>
                <w:lang w:eastAsia="en-GB"/>
              </w:rPr>
              <w:t xml:space="preserve">(4) </w:t>
            </w:r>
            <w:r w:rsidRPr="002D6545">
              <w:rPr>
                <w:rFonts w:ascii="Arial" w:hAnsi="Arial"/>
                <w:sz w:val="20"/>
              </w:rPr>
              <w:t>S kliringom prek centralne nasprotne stranke, kjer skupina (vključno s podrejenimi zavarovalnicami) trguje za svoj račun</w:t>
            </w:r>
          </w:p>
        </w:tc>
        <w:tc>
          <w:tcPr>
            <w:tcW w:w="2745" w:type="dxa"/>
            <w:tcBorders>
              <w:left w:val="nil"/>
              <w:right w:val="nil"/>
            </w:tcBorders>
            <w:noWrap/>
          </w:tcPr>
          <w:p w:rsidRPr="002D6545" w:rsidR="005E16C5" w:rsidP="00C90CB4" w:rsidRDefault="005E16C5" w14:paraId="664A62FC" w14:textId="77777777">
            <w:pPr>
              <w:jc w:val="right"/>
              <w:rPr>
                <w:rFonts w:ascii="Arial" w:hAnsi="Arial" w:eastAsia="Times New Roman" w:cs="Arial"/>
                <w:sz w:val="20"/>
                <w:szCs w:val="20"/>
                <w:lang w:eastAsia="en-GB"/>
              </w:rPr>
            </w:pPr>
          </w:p>
        </w:tc>
      </w:tr>
      <w:tr w:rsidRPr="002D6545" w:rsidR="005E16C5" w:rsidTr="00C90CB4" w14:paraId="7ECEEFE7" w14:textId="77777777">
        <w:trPr>
          <w:trHeight w:val="300"/>
        </w:trPr>
        <w:tc>
          <w:tcPr>
            <w:tcW w:w="6804" w:type="dxa"/>
            <w:tcBorders>
              <w:left w:val="nil"/>
              <w:right w:val="nil"/>
            </w:tcBorders>
            <w:noWrap/>
          </w:tcPr>
          <w:p w:rsidRPr="002D6545" w:rsidR="005E16C5" w:rsidP="00C90CB4" w:rsidRDefault="005E16C5" w14:paraId="5C81751D" w14:textId="77777777">
            <w:pPr>
              <w:ind w:left="171" w:firstLine="28" w:firstLineChars="14"/>
              <w:rPr>
                <w:rFonts w:ascii="Arial" w:hAnsi="Arial" w:eastAsia="Times New Roman" w:cs="Arial"/>
                <w:sz w:val="20"/>
                <w:szCs w:val="20"/>
              </w:rPr>
            </w:pPr>
            <w:r w:rsidRPr="002D6545">
              <w:rPr>
                <w:rFonts w:ascii="Arial" w:hAnsi="Arial"/>
                <w:sz w:val="20"/>
              </w:rPr>
              <w:t>c. Izvedeni finančni instrumenti OTC, za katere kliring izvaja centralna nasprotna stranka (izključitev umika LIBOR)</w:t>
            </w:r>
          </w:p>
        </w:tc>
        <w:tc>
          <w:tcPr>
            <w:tcW w:w="2745" w:type="dxa"/>
            <w:tcBorders>
              <w:left w:val="nil"/>
              <w:right w:val="nil"/>
            </w:tcBorders>
            <w:noWrap/>
          </w:tcPr>
          <w:p w:rsidRPr="002D6545" w:rsidR="005E16C5" w:rsidP="00C90CB4" w:rsidRDefault="005E16C5" w14:paraId="6D76BA1E" w14:textId="77777777">
            <w:pPr>
              <w:jc w:val="right"/>
              <w:rPr>
                <w:rFonts w:ascii="Arial" w:hAnsi="Arial" w:eastAsia="Times New Roman" w:cs="Arial"/>
                <w:sz w:val="20"/>
                <w:szCs w:val="20"/>
                <w:lang w:eastAsia="en-GB"/>
              </w:rPr>
            </w:pPr>
          </w:p>
        </w:tc>
      </w:tr>
      <w:tr w:rsidRPr="002D6545" w:rsidR="005E16C5" w:rsidTr="00C90CB4" w14:paraId="30F6F728" w14:textId="77777777">
        <w:trPr>
          <w:trHeight w:val="300"/>
        </w:trPr>
        <w:tc>
          <w:tcPr>
            <w:tcW w:w="6804" w:type="dxa"/>
            <w:tcBorders>
              <w:left w:val="nil"/>
              <w:right w:val="nil"/>
            </w:tcBorders>
            <w:noWrap/>
          </w:tcPr>
          <w:p w:rsidRPr="002D6545" w:rsidR="005E16C5" w:rsidP="00C90CB4" w:rsidRDefault="005E16C5" w14:paraId="63D67D68" w14:textId="77777777">
            <w:pPr>
              <w:ind w:left="171" w:firstLine="28" w:firstLineChars="14"/>
              <w:rPr>
                <w:rFonts w:ascii="Arial" w:hAnsi="Arial" w:eastAsia="Times New Roman" w:cs="Arial"/>
                <w:sz w:val="20"/>
                <w:szCs w:val="20"/>
              </w:rPr>
            </w:pPr>
            <w:r w:rsidRPr="002D6545">
              <w:rPr>
                <w:rFonts w:ascii="Arial" w:hAnsi="Arial"/>
                <w:sz w:val="20"/>
              </w:rPr>
              <w:lastRenderedPageBreak/>
              <w:t xml:space="preserve">d. Četrtletna povprečna vrednost nominalnega zneska izvedenih finančnih instrumentov, s katerimi se trguje na prostem trgu (OTC) </w:t>
            </w:r>
          </w:p>
        </w:tc>
        <w:tc>
          <w:tcPr>
            <w:tcW w:w="2745" w:type="dxa"/>
            <w:tcBorders>
              <w:left w:val="nil"/>
              <w:right w:val="nil"/>
            </w:tcBorders>
            <w:noWrap/>
          </w:tcPr>
          <w:p w:rsidRPr="002D6545" w:rsidR="005E16C5" w:rsidP="00C90CB4" w:rsidRDefault="005E16C5" w14:paraId="3695EECD" w14:textId="77777777">
            <w:pPr>
              <w:jc w:val="right"/>
              <w:rPr>
                <w:rFonts w:ascii="Arial" w:hAnsi="Arial" w:eastAsia="Times New Roman" w:cs="Arial"/>
                <w:sz w:val="20"/>
                <w:szCs w:val="20"/>
                <w:lang w:eastAsia="en-GB"/>
              </w:rPr>
            </w:pPr>
          </w:p>
        </w:tc>
      </w:tr>
      <w:tr w:rsidRPr="002D6545" w:rsidR="005E16C5" w:rsidTr="00C90CB4" w14:paraId="702B26BA" w14:textId="77777777">
        <w:trPr>
          <w:trHeight w:val="300"/>
        </w:trPr>
        <w:tc>
          <w:tcPr>
            <w:tcW w:w="6804" w:type="dxa"/>
            <w:tcBorders>
              <w:left w:val="nil"/>
              <w:right w:val="nil"/>
            </w:tcBorders>
            <w:noWrap/>
          </w:tcPr>
          <w:p w:rsidRPr="002D6545" w:rsidR="005E16C5" w:rsidP="00C90CB4" w:rsidRDefault="005E16C5" w14:paraId="0D74745A" w14:textId="77777777">
            <w:pPr>
              <w:ind w:left="171" w:firstLine="28" w:firstLineChars="14"/>
              <w:rPr>
                <w:rFonts w:ascii="Arial" w:hAnsi="Arial" w:eastAsia="Times New Roman" w:cs="Arial"/>
                <w:sz w:val="20"/>
                <w:szCs w:val="20"/>
              </w:rPr>
            </w:pPr>
            <w:r w:rsidRPr="002D6545">
              <w:rPr>
                <w:rFonts w:ascii="Arial" w:hAnsi="Arial"/>
                <w:sz w:val="20"/>
              </w:rPr>
              <w:t xml:space="preserve">e. Mesečna povprečna vrednost nominalnega zneska izvedenih finančnih instrumentov, s katerimi se trguje na prostem trgu (OTC) </w:t>
            </w:r>
          </w:p>
        </w:tc>
        <w:tc>
          <w:tcPr>
            <w:tcW w:w="2745" w:type="dxa"/>
            <w:tcBorders>
              <w:left w:val="nil"/>
              <w:right w:val="nil"/>
            </w:tcBorders>
            <w:noWrap/>
          </w:tcPr>
          <w:p w:rsidRPr="002D6545" w:rsidR="005E16C5" w:rsidP="00C90CB4" w:rsidRDefault="005E16C5" w14:paraId="47A06AB9" w14:textId="77777777">
            <w:pPr>
              <w:jc w:val="right"/>
              <w:rPr>
                <w:rFonts w:ascii="Arial" w:hAnsi="Arial" w:eastAsia="Times New Roman" w:cs="Arial"/>
                <w:sz w:val="20"/>
                <w:szCs w:val="20"/>
                <w:lang w:eastAsia="en-GB"/>
              </w:rPr>
            </w:pPr>
          </w:p>
        </w:tc>
      </w:tr>
      <w:tr w:rsidRPr="002D6545" w:rsidR="005E16C5" w:rsidTr="00C90CB4" w14:paraId="22B9B46E" w14:textId="77777777">
        <w:trPr>
          <w:trHeight w:val="300"/>
        </w:trPr>
        <w:tc>
          <w:tcPr>
            <w:tcW w:w="6804" w:type="dxa"/>
            <w:tcBorders>
              <w:left w:val="nil"/>
              <w:right w:val="nil"/>
            </w:tcBorders>
            <w:noWrap/>
          </w:tcPr>
          <w:p w:rsidRPr="002D6545" w:rsidR="005E16C5" w:rsidP="00C90CB4" w:rsidRDefault="005E16C5" w14:paraId="4279A083" w14:textId="77777777">
            <w:pPr>
              <w:ind w:firstLine="200" w:firstLineChars="100"/>
              <w:rPr>
                <w:rFonts w:ascii="Arial" w:hAnsi="Arial" w:eastAsia="Times New Roman" w:cs="Arial"/>
                <w:sz w:val="20"/>
                <w:szCs w:val="20"/>
              </w:rPr>
            </w:pPr>
            <w:r w:rsidRPr="002D6545">
              <w:rPr>
                <w:rFonts w:ascii="Arial" w:hAnsi="Arial"/>
                <w:sz w:val="20"/>
              </w:rPr>
              <w:t xml:space="preserve">f. Četrtletna povprečna vrednost vrednostnih papirjev, namenjenih trgovanju in razpoložljivih za prodajo </w:t>
            </w:r>
          </w:p>
        </w:tc>
        <w:tc>
          <w:tcPr>
            <w:tcW w:w="2745" w:type="dxa"/>
            <w:tcBorders>
              <w:left w:val="nil"/>
              <w:right w:val="nil"/>
            </w:tcBorders>
            <w:noWrap/>
          </w:tcPr>
          <w:p w:rsidRPr="002D6545" w:rsidR="005E16C5" w:rsidP="00C90CB4" w:rsidRDefault="005E16C5" w14:paraId="4F0F8DA4" w14:textId="77777777">
            <w:pPr>
              <w:jc w:val="right"/>
              <w:rPr>
                <w:rFonts w:ascii="Arial" w:hAnsi="Arial" w:eastAsia="Times New Roman" w:cs="Arial"/>
                <w:sz w:val="20"/>
                <w:szCs w:val="20"/>
                <w:lang w:eastAsia="en-GB"/>
              </w:rPr>
            </w:pPr>
          </w:p>
        </w:tc>
      </w:tr>
      <w:tr w:rsidRPr="002D6545" w:rsidR="005E16C5" w:rsidTr="00C90CB4" w14:paraId="24C0A99C" w14:textId="77777777">
        <w:trPr>
          <w:trHeight w:val="300"/>
        </w:trPr>
        <w:tc>
          <w:tcPr>
            <w:tcW w:w="6804" w:type="dxa"/>
            <w:tcBorders>
              <w:left w:val="nil"/>
              <w:right w:val="nil"/>
            </w:tcBorders>
            <w:noWrap/>
          </w:tcPr>
          <w:p w:rsidRPr="002D6545" w:rsidR="005E16C5" w:rsidP="00C90CB4" w:rsidRDefault="005E16C5" w14:paraId="494BB05C" w14:textId="77777777">
            <w:pPr>
              <w:ind w:firstLine="200" w:firstLineChars="100"/>
              <w:rPr>
                <w:rFonts w:ascii="Arial" w:hAnsi="Arial" w:eastAsia="Times New Roman" w:cs="Arial"/>
                <w:sz w:val="20"/>
                <w:szCs w:val="20"/>
              </w:rPr>
            </w:pPr>
            <w:r w:rsidRPr="002D6545">
              <w:rPr>
                <w:rFonts w:ascii="Arial" w:hAnsi="Arial"/>
                <w:sz w:val="20"/>
              </w:rPr>
              <w:t xml:space="preserve">g. Mesečna povprečna vrednost vrednostnih papirjev, namenjenih trgovanju in razpoložljivih za prodajo </w:t>
            </w:r>
          </w:p>
        </w:tc>
        <w:tc>
          <w:tcPr>
            <w:tcW w:w="2745" w:type="dxa"/>
            <w:tcBorders>
              <w:left w:val="nil"/>
              <w:right w:val="nil"/>
            </w:tcBorders>
            <w:noWrap/>
          </w:tcPr>
          <w:p w:rsidRPr="002D6545" w:rsidR="005E16C5" w:rsidP="00C90CB4" w:rsidRDefault="005E16C5" w14:paraId="77B98F70" w14:textId="77777777">
            <w:pPr>
              <w:jc w:val="right"/>
              <w:rPr>
                <w:rFonts w:ascii="Arial" w:hAnsi="Arial" w:eastAsia="Times New Roman" w:cs="Arial"/>
                <w:sz w:val="20"/>
                <w:szCs w:val="20"/>
                <w:lang w:eastAsia="en-GB"/>
              </w:rPr>
            </w:pPr>
          </w:p>
        </w:tc>
      </w:tr>
      <w:tr w:rsidRPr="002D6545" w:rsidR="005E16C5" w:rsidTr="00C90CB4" w14:paraId="7730FF77" w14:textId="77777777">
        <w:trPr>
          <w:trHeight w:val="300"/>
        </w:trPr>
        <w:tc>
          <w:tcPr>
            <w:tcW w:w="6804" w:type="dxa"/>
            <w:tcBorders>
              <w:left w:val="nil"/>
              <w:right w:val="nil"/>
            </w:tcBorders>
            <w:noWrap/>
          </w:tcPr>
          <w:p w:rsidRPr="002D6545" w:rsidR="005E16C5" w:rsidP="00C90CB4" w:rsidRDefault="005E16C5" w14:paraId="0E378B22" w14:textId="77777777">
            <w:pPr>
              <w:ind w:firstLine="200" w:firstLineChars="100"/>
              <w:rPr>
                <w:rFonts w:ascii="Arial" w:hAnsi="Arial" w:eastAsia="Times New Roman" w:cs="Arial"/>
                <w:sz w:val="20"/>
                <w:szCs w:val="20"/>
              </w:rPr>
            </w:pPr>
            <w:r w:rsidRPr="002D6545">
              <w:rPr>
                <w:rFonts w:ascii="Arial" w:hAnsi="Arial"/>
                <w:sz w:val="20"/>
              </w:rPr>
              <w:t>h. Kazalnik sredstev ravni 3 (stari kazalnik)</w:t>
            </w:r>
          </w:p>
        </w:tc>
        <w:tc>
          <w:tcPr>
            <w:tcW w:w="2745" w:type="dxa"/>
            <w:tcBorders>
              <w:left w:val="nil"/>
              <w:right w:val="nil"/>
            </w:tcBorders>
            <w:noWrap/>
          </w:tcPr>
          <w:p w:rsidRPr="002D6545" w:rsidR="005E16C5" w:rsidP="00C90CB4" w:rsidRDefault="005E16C5" w14:paraId="03E15971" w14:textId="77777777">
            <w:pPr>
              <w:jc w:val="right"/>
              <w:rPr>
                <w:rFonts w:ascii="Arial" w:hAnsi="Arial" w:eastAsia="Times New Roman" w:cs="Arial"/>
                <w:sz w:val="20"/>
                <w:szCs w:val="20"/>
                <w:lang w:eastAsia="en-GB"/>
              </w:rPr>
            </w:pPr>
          </w:p>
        </w:tc>
      </w:tr>
      <w:tr w:rsidRPr="002D6545" w:rsidR="005E16C5" w:rsidTr="00C90CB4" w14:paraId="2161BEBB" w14:textId="77777777">
        <w:trPr>
          <w:trHeight w:val="300"/>
        </w:trPr>
        <w:tc>
          <w:tcPr>
            <w:tcW w:w="6804" w:type="dxa"/>
            <w:tcBorders>
              <w:left w:val="nil"/>
              <w:right w:val="nil"/>
            </w:tcBorders>
            <w:noWrap/>
          </w:tcPr>
          <w:p w:rsidRPr="002D6545" w:rsidR="005E16C5" w:rsidP="00C90CB4" w:rsidRDefault="005E16C5" w14:paraId="2DC57A02" w14:textId="77777777">
            <w:pPr>
              <w:ind w:firstLine="200" w:firstLineChars="100"/>
              <w:rPr>
                <w:rFonts w:ascii="Arial" w:hAnsi="Arial" w:eastAsia="Times New Roman" w:cs="Arial"/>
                <w:sz w:val="20"/>
                <w:szCs w:val="20"/>
              </w:rPr>
            </w:pPr>
            <w:r w:rsidRPr="002D6545">
              <w:rPr>
                <w:rFonts w:ascii="Arial" w:hAnsi="Arial"/>
                <w:sz w:val="20"/>
              </w:rPr>
              <w:t xml:space="preserve">i. Četrtletna povprečna vrednost sredstev ravni 3 </w:t>
            </w:r>
          </w:p>
        </w:tc>
        <w:tc>
          <w:tcPr>
            <w:tcW w:w="2745" w:type="dxa"/>
            <w:tcBorders>
              <w:left w:val="nil"/>
              <w:right w:val="nil"/>
            </w:tcBorders>
            <w:noWrap/>
          </w:tcPr>
          <w:p w:rsidRPr="002D6545" w:rsidR="005E16C5" w:rsidP="00C90CB4" w:rsidRDefault="005E16C5" w14:paraId="0BE66949" w14:textId="77777777">
            <w:pPr>
              <w:jc w:val="right"/>
              <w:rPr>
                <w:rFonts w:ascii="Arial" w:hAnsi="Arial" w:eastAsia="Times New Roman" w:cs="Arial"/>
                <w:sz w:val="20"/>
                <w:szCs w:val="20"/>
                <w:lang w:eastAsia="en-GB"/>
              </w:rPr>
            </w:pPr>
          </w:p>
        </w:tc>
      </w:tr>
      <w:tr w:rsidRPr="002D6545" w:rsidR="005E16C5" w:rsidTr="00C90CB4" w14:paraId="3C7374CD" w14:textId="77777777">
        <w:trPr>
          <w:trHeight w:val="300"/>
        </w:trPr>
        <w:tc>
          <w:tcPr>
            <w:tcW w:w="6804" w:type="dxa"/>
            <w:tcBorders>
              <w:left w:val="nil"/>
              <w:right w:val="nil"/>
            </w:tcBorders>
            <w:noWrap/>
          </w:tcPr>
          <w:p w:rsidRPr="002D6545" w:rsidR="005E16C5" w:rsidP="00C90CB4" w:rsidRDefault="005E16C5" w14:paraId="3DDEE207" w14:textId="77777777">
            <w:pPr>
              <w:ind w:firstLine="200" w:firstLineChars="100"/>
              <w:rPr>
                <w:rFonts w:ascii="Arial" w:hAnsi="Arial" w:eastAsia="Times New Roman" w:cs="Arial"/>
                <w:sz w:val="20"/>
                <w:szCs w:val="20"/>
              </w:rPr>
            </w:pPr>
            <w:r w:rsidRPr="002D6545">
              <w:rPr>
                <w:rFonts w:ascii="Arial" w:hAnsi="Arial"/>
                <w:sz w:val="20"/>
              </w:rPr>
              <w:t xml:space="preserve">j. Mesečna povprečna vrednost sredstev ravni 3  </w:t>
            </w:r>
          </w:p>
        </w:tc>
        <w:tc>
          <w:tcPr>
            <w:tcW w:w="2745" w:type="dxa"/>
            <w:tcBorders>
              <w:left w:val="nil"/>
              <w:right w:val="nil"/>
            </w:tcBorders>
            <w:noWrap/>
          </w:tcPr>
          <w:p w:rsidRPr="002D6545" w:rsidR="005E16C5" w:rsidP="00C90CB4" w:rsidRDefault="005E16C5" w14:paraId="2A91F512" w14:textId="77777777">
            <w:pPr>
              <w:jc w:val="right"/>
              <w:rPr>
                <w:rFonts w:ascii="Arial" w:hAnsi="Arial" w:eastAsia="Times New Roman" w:cs="Arial"/>
                <w:sz w:val="20"/>
                <w:szCs w:val="20"/>
                <w:lang w:eastAsia="en-GB"/>
              </w:rPr>
            </w:pPr>
          </w:p>
        </w:tc>
      </w:tr>
      <w:tr w:rsidRPr="002D6545" w:rsidR="005E16C5" w:rsidTr="00C90CB4" w14:paraId="240F03FD" w14:textId="77777777">
        <w:trPr>
          <w:trHeight w:val="300"/>
        </w:trPr>
        <w:tc>
          <w:tcPr>
            <w:tcW w:w="6804" w:type="dxa"/>
            <w:tcBorders>
              <w:left w:val="nil"/>
              <w:right w:val="nil"/>
            </w:tcBorders>
            <w:noWrap/>
          </w:tcPr>
          <w:p w:rsidRPr="002D6545" w:rsidR="005E16C5" w:rsidP="00C90CB4" w:rsidRDefault="005E16C5" w14:paraId="3454BE54" w14:textId="77777777">
            <w:pPr>
              <w:ind w:firstLine="200" w:firstLineChars="100"/>
              <w:rPr>
                <w:rFonts w:ascii="Arial" w:hAnsi="Arial" w:eastAsia="Times New Roman" w:cs="Arial"/>
                <w:sz w:val="20"/>
                <w:szCs w:val="20"/>
              </w:rPr>
            </w:pPr>
            <w:r w:rsidRPr="002D6545">
              <w:rPr>
                <w:rFonts w:ascii="Arial" w:hAnsi="Arial"/>
                <w:sz w:val="20"/>
              </w:rPr>
              <w:t>k. Sredstva ravni 2, vključno s podrejenimi zavarovalnicami</w:t>
            </w:r>
          </w:p>
        </w:tc>
        <w:tc>
          <w:tcPr>
            <w:tcW w:w="2745" w:type="dxa"/>
            <w:tcBorders>
              <w:left w:val="nil"/>
              <w:right w:val="nil"/>
            </w:tcBorders>
            <w:noWrap/>
          </w:tcPr>
          <w:p w:rsidRPr="002D6545" w:rsidR="005E16C5" w:rsidP="00C90CB4" w:rsidRDefault="005E16C5" w14:paraId="32167EE6" w14:textId="77777777">
            <w:pPr>
              <w:jc w:val="right"/>
              <w:rPr>
                <w:rFonts w:ascii="Arial" w:hAnsi="Arial" w:eastAsia="Times New Roman" w:cs="Arial"/>
                <w:sz w:val="20"/>
                <w:szCs w:val="20"/>
                <w:lang w:eastAsia="en-GB"/>
              </w:rPr>
            </w:pPr>
          </w:p>
        </w:tc>
      </w:tr>
      <w:tr w:rsidRPr="002D6545" w:rsidR="005E16C5" w:rsidTr="00C90CB4" w14:paraId="02C97436" w14:textId="77777777">
        <w:trPr>
          <w:trHeight w:val="300"/>
        </w:trPr>
        <w:tc>
          <w:tcPr>
            <w:tcW w:w="6804" w:type="dxa"/>
            <w:tcBorders>
              <w:left w:val="nil"/>
              <w:right w:val="nil"/>
            </w:tcBorders>
            <w:noWrap/>
          </w:tcPr>
          <w:p w:rsidRPr="002D6545" w:rsidR="005E16C5" w:rsidP="00C90CB4" w:rsidRDefault="005E16C5" w14:paraId="6F18D0DB" w14:textId="77777777">
            <w:pPr>
              <w:ind w:left="454" w:hanging="141"/>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Sredstva ravni 2, za katere kliring izvajajo centralne nasprotne stranke, vključno s podrejenimi zavarovalnicami</w:t>
            </w:r>
          </w:p>
        </w:tc>
        <w:tc>
          <w:tcPr>
            <w:tcW w:w="2745" w:type="dxa"/>
            <w:tcBorders>
              <w:left w:val="nil"/>
              <w:right w:val="nil"/>
            </w:tcBorders>
            <w:noWrap/>
          </w:tcPr>
          <w:p w:rsidRPr="002D6545" w:rsidR="005E16C5" w:rsidP="00C90CB4" w:rsidRDefault="005E16C5" w14:paraId="26115A7F" w14:textId="77777777">
            <w:pPr>
              <w:jc w:val="right"/>
              <w:rPr>
                <w:rFonts w:ascii="Arial" w:hAnsi="Arial" w:eastAsia="Times New Roman" w:cs="Arial"/>
                <w:sz w:val="20"/>
                <w:szCs w:val="20"/>
                <w:lang w:eastAsia="en-GB"/>
              </w:rPr>
            </w:pPr>
          </w:p>
        </w:tc>
      </w:tr>
      <w:tr w:rsidRPr="002D6545" w:rsidR="005E16C5" w:rsidTr="00C90CB4" w14:paraId="1861B082" w14:textId="77777777">
        <w:trPr>
          <w:trHeight w:val="300"/>
        </w:trPr>
        <w:tc>
          <w:tcPr>
            <w:tcW w:w="6804" w:type="dxa"/>
            <w:tcBorders>
              <w:left w:val="nil"/>
              <w:right w:val="nil"/>
            </w:tcBorders>
            <w:noWrap/>
          </w:tcPr>
          <w:p w:rsidRPr="002D6545" w:rsidR="005E16C5" w:rsidP="00C90CB4" w:rsidRDefault="005E16C5" w14:paraId="057BE655" w14:textId="77777777">
            <w:pPr>
              <w:ind w:left="454" w:hanging="141"/>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Sredstva ravni 2, poravnana dvostransko, vključno s podrejenimi zavarovalnicami</w:t>
            </w:r>
          </w:p>
        </w:tc>
        <w:tc>
          <w:tcPr>
            <w:tcW w:w="2745" w:type="dxa"/>
            <w:tcBorders>
              <w:left w:val="nil"/>
              <w:right w:val="nil"/>
            </w:tcBorders>
            <w:noWrap/>
          </w:tcPr>
          <w:p w:rsidRPr="002D6545" w:rsidR="005E16C5" w:rsidP="00C90CB4" w:rsidRDefault="005E16C5" w14:paraId="7D3FEC85" w14:textId="77777777">
            <w:pPr>
              <w:jc w:val="right"/>
              <w:rPr>
                <w:rFonts w:ascii="Arial" w:hAnsi="Arial" w:eastAsia="Times New Roman" w:cs="Arial"/>
                <w:sz w:val="20"/>
                <w:szCs w:val="20"/>
                <w:lang w:eastAsia="en-GB"/>
              </w:rPr>
            </w:pPr>
          </w:p>
        </w:tc>
      </w:tr>
      <w:tr w:rsidRPr="002D6545" w:rsidR="005E16C5" w:rsidTr="00C90CB4" w14:paraId="614800B9" w14:textId="77777777">
        <w:trPr>
          <w:trHeight w:val="300"/>
        </w:trPr>
        <w:tc>
          <w:tcPr>
            <w:tcW w:w="6804" w:type="dxa"/>
            <w:tcBorders>
              <w:left w:val="nil"/>
              <w:right w:val="nil"/>
            </w:tcBorders>
            <w:noWrap/>
          </w:tcPr>
          <w:p w:rsidRPr="002D6545" w:rsidR="005E16C5" w:rsidP="00C90CB4" w:rsidRDefault="005E16C5" w14:paraId="76BD1BB4" w14:textId="77777777">
            <w:pPr>
              <w:ind w:firstLine="313"/>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Sredstva ravni 2, vključno s podrejenimi zavarovalnicami</w:t>
            </w:r>
          </w:p>
        </w:tc>
        <w:tc>
          <w:tcPr>
            <w:tcW w:w="2745" w:type="dxa"/>
            <w:tcBorders>
              <w:left w:val="nil"/>
              <w:right w:val="nil"/>
            </w:tcBorders>
            <w:noWrap/>
          </w:tcPr>
          <w:p w:rsidRPr="002D6545" w:rsidR="005E16C5" w:rsidP="00C90CB4" w:rsidRDefault="005E16C5" w14:paraId="4FDCB63C" w14:textId="77777777">
            <w:pPr>
              <w:jc w:val="right"/>
              <w:rPr>
                <w:rFonts w:ascii="Arial" w:hAnsi="Arial" w:eastAsia="Times New Roman" w:cs="Arial"/>
                <w:sz w:val="20"/>
                <w:szCs w:val="20"/>
                <w:lang w:eastAsia="en-GB"/>
              </w:rPr>
            </w:pPr>
          </w:p>
        </w:tc>
      </w:tr>
      <w:tr w:rsidRPr="002D6545" w:rsidR="005E16C5" w:rsidTr="00C90CB4" w14:paraId="75F3BDCA" w14:textId="77777777">
        <w:trPr>
          <w:trHeight w:val="300"/>
        </w:trPr>
        <w:tc>
          <w:tcPr>
            <w:tcW w:w="6804" w:type="dxa"/>
            <w:tcBorders>
              <w:left w:val="nil"/>
              <w:bottom w:val="single" w:color="auto" w:sz="4" w:space="0"/>
              <w:right w:val="nil"/>
            </w:tcBorders>
            <w:noWrap/>
          </w:tcPr>
          <w:p w:rsidRPr="002D6545" w:rsidR="005E16C5" w:rsidP="00C90CB4" w:rsidRDefault="005E16C5" w14:paraId="2250ACC0" w14:textId="77777777">
            <w:pPr>
              <w:ind w:firstLine="200" w:firstLineChars="100"/>
              <w:rPr>
                <w:rFonts w:ascii="Arial" w:hAnsi="Arial" w:eastAsia="Times New Roman" w:cs="Arial"/>
                <w:sz w:val="20"/>
                <w:szCs w:val="20"/>
              </w:rPr>
            </w:pPr>
            <w:r w:rsidRPr="002D6545">
              <w:rPr>
                <w:rFonts w:ascii="Arial" w:hAnsi="Arial"/>
                <w:sz w:val="20"/>
              </w:rPr>
              <w:t>l. Povprečna vrednost sredstev ravni 2, vključno s podrejenimi zavarovalnicami</w:t>
            </w:r>
          </w:p>
        </w:tc>
        <w:tc>
          <w:tcPr>
            <w:tcW w:w="2745" w:type="dxa"/>
            <w:tcBorders>
              <w:left w:val="nil"/>
              <w:bottom w:val="single" w:color="auto" w:sz="4" w:space="0"/>
              <w:right w:val="nil"/>
            </w:tcBorders>
            <w:noWrap/>
          </w:tcPr>
          <w:p w:rsidRPr="002D6545" w:rsidR="005E16C5" w:rsidP="00C90CB4" w:rsidRDefault="005E16C5" w14:paraId="0BFFF8AD" w14:textId="77777777">
            <w:pPr>
              <w:jc w:val="right"/>
              <w:rPr>
                <w:rFonts w:ascii="Arial" w:hAnsi="Arial" w:eastAsia="Times New Roman" w:cs="Arial"/>
                <w:sz w:val="20"/>
                <w:szCs w:val="20"/>
                <w:lang w:eastAsia="en-GB"/>
              </w:rPr>
            </w:pPr>
          </w:p>
        </w:tc>
      </w:tr>
      <w:tr w:rsidRPr="002D6545" w:rsidR="005E16C5" w:rsidTr="00C90CB4" w14:paraId="4D1F6BE5" w14:textId="77777777">
        <w:trPr>
          <w:trHeight w:val="300"/>
        </w:trPr>
        <w:tc>
          <w:tcPr>
            <w:tcW w:w="6804" w:type="dxa"/>
            <w:tcBorders>
              <w:left w:val="nil"/>
              <w:bottom w:val="nil"/>
              <w:right w:val="nil"/>
            </w:tcBorders>
            <w:noWrap/>
          </w:tcPr>
          <w:p w:rsidRPr="002D6545" w:rsidR="005E16C5" w:rsidP="00C90CB4" w:rsidRDefault="005E16C5" w14:paraId="22C4F063"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2D6545" w:rsidR="005E16C5" w:rsidP="00C90CB4" w:rsidRDefault="005E16C5" w14:paraId="7846BF22" w14:textId="77777777">
            <w:pPr>
              <w:jc w:val="center"/>
              <w:rPr>
                <w:rFonts w:ascii="Arial" w:hAnsi="Arial" w:eastAsia="Times New Roman" w:cs="Arial"/>
                <w:b/>
                <w:bCs/>
                <w:sz w:val="20"/>
                <w:szCs w:val="20"/>
                <w:lang w:eastAsia="en-GB"/>
              </w:rPr>
            </w:pPr>
          </w:p>
        </w:tc>
      </w:tr>
      <w:tr w:rsidRPr="002D6545" w:rsidR="005E16C5" w:rsidTr="00C90CB4" w14:paraId="199AEEC8" w14:textId="77777777">
        <w:trPr>
          <w:trHeight w:val="300"/>
        </w:trPr>
        <w:tc>
          <w:tcPr>
            <w:tcW w:w="6804" w:type="dxa"/>
            <w:tcBorders>
              <w:top w:val="nil"/>
              <w:left w:val="nil"/>
              <w:right w:val="nil"/>
            </w:tcBorders>
            <w:noWrap/>
          </w:tcPr>
          <w:p w:rsidRPr="002D6545" w:rsidR="005E16C5" w:rsidP="00C90CB4" w:rsidRDefault="005E16C5" w14:paraId="497B0370" w14:textId="77777777">
            <w:pPr>
              <w:rPr>
                <w:rFonts w:ascii="Arial" w:hAnsi="Arial" w:eastAsia="Times New Roman" w:cs="Arial"/>
                <w:sz w:val="20"/>
                <w:szCs w:val="20"/>
              </w:rPr>
            </w:pPr>
            <w:r w:rsidRPr="002D6545">
              <w:rPr>
                <w:rFonts w:ascii="Arial" w:hAnsi="Arial"/>
                <w:b/>
                <w:sz w:val="20"/>
              </w:rPr>
              <w:t>Oddelek 21 – Postavke mednarodne dejavnosti</w:t>
            </w:r>
          </w:p>
        </w:tc>
        <w:tc>
          <w:tcPr>
            <w:tcW w:w="2745" w:type="dxa"/>
            <w:tcBorders>
              <w:top w:val="nil"/>
              <w:left w:val="nil"/>
              <w:right w:val="nil"/>
            </w:tcBorders>
            <w:noWrap/>
          </w:tcPr>
          <w:p w:rsidRPr="002D6545" w:rsidR="005E16C5" w:rsidP="00C90CB4" w:rsidRDefault="005E16C5" w14:paraId="0F3FB1F6" w14:textId="77777777">
            <w:pPr>
              <w:jc w:val="center"/>
              <w:rPr>
                <w:rFonts w:ascii="Arial" w:hAnsi="Arial" w:eastAsia="Times New Roman" w:cs="Arial"/>
                <w:b/>
                <w:bCs/>
                <w:sz w:val="20"/>
                <w:szCs w:val="20"/>
              </w:rPr>
            </w:pPr>
            <w:r w:rsidRPr="002D6545">
              <w:rPr>
                <w:rFonts w:ascii="Arial" w:hAnsi="Arial"/>
                <w:b/>
                <w:sz w:val="20"/>
              </w:rPr>
              <w:t>Znesek</w:t>
            </w:r>
          </w:p>
        </w:tc>
      </w:tr>
      <w:tr w:rsidRPr="002D6545" w:rsidR="005E16C5" w:rsidTr="00C90CB4" w14:paraId="35EB1EA5" w14:textId="77777777">
        <w:trPr>
          <w:trHeight w:val="300"/>
        </w:trPr>
        <w:tc>
          <w:tcPr>
            <w:tcW w:w="6804" w:type="dxa"/>
            <w:tcBorders>
              <w:left w:val="nil"/>
              <w:right w:val="nil"/>
            </w:tcBorders>
            <w:noWrap/>
          </w:tcPr>
          <w:p w:rsidRPr="002D6545" w:rsidR="005E16C5" w:rsidP="00C90CB4" w:rsidRDefault="005E16C5" w14:paraId="67C71BE9" w14:textId="77777777">
            <w:pPr>
              <w:rPr>
                <w:rFonts w:ascii="Arial" w:hAnsi="Arial" w:eastAsia="Times New Roman" w:cs="Arial"/>
                <w:sz w:val="20"/>
                <w:szCs w:val="20"/>
              </w:rPr>
            </w:pPr>
            <w:r w:rsidRPr="002D6545">
              <w:rPr>
                <w:rFonts w:ascii="Arial" w:hAnsi="Arial"/>
                <w:sz w:val="20"/>
              </w:rPr>
              <w:t>a. Kazalnik obveznosti v sodni pristojnosti druge države (stari kazalnik)</w:t>
            </w:r>
          </w:p>
        </w:tc>
        <w:tc>
          <w:tcPr>
            <w:tcW w:w="2745" w:type="dxa"/>
            <w:tcBorders>
              <w:left w:val="nil"/>
              <w:right w:val="nil"/>
            </w:tcBorders>
            <w:noWrap/>
          </w:tcPr>
          <w:p w:rsidRPr="002D6545" w:rsidR="005E16C5" w:rsidP="00C90CB4" w:rsidRDefault="005E16C5" w14:paraId="5C86AEC2" w14:textId="77777777">
            <w:pPr>
              <w:jc w:val="right"/>
              <w:rPr>
                <w:rFonts w:ascii="Arial" w:hAnsi="Arial" w:eastAsia="Times New Roman" w:cs="Arial"/>
                <w:sz w:val="20"/>
                <w:szCs w:val="20"/>
                <w:lang w:eastAsia="en-GB"/>
              </w:rPr>
            </w:pPr>
          </w:p>
        </w:tc>
      </w:tr>
      <w:tr w:rsidRPr="002D6545" w:rsidR="005E16C5" w:rsidTr="00C90CB4" w14:paraId="09BBD540" w14:textId="77777777">
        <w:trPr>
          <w:trHeight w:val="300"/>
        </w:trPr>
        <w:tc>
          <w:tcPr>
            <w:tcW w:w="6804" w:type="dxa"/>
            <w:tcBorders>
              <w:left w:val="nil"/>
              <w:right w:val="nil"/>
            </w:tcBorders>
            <w:noWrap/>
          </w:tcPr>
          <w:p w:rsidRPr="002D6545" w:rsidR="005E16C5" w:rsidP="00C90CB4" w:rsidRDefault="005E16C5" w14:paraId="18037570" w14:textId="77777777">
            <w:pPr>
              <w:ind w:left="313"/>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Tuje obveznosti (brez izvedenih finančnih instrumentov in lokalnih obveznosti v lokalni valuti)</w:t>
            </w:r>
          </w:p>
        </w:tc>
        <w:tc>
          <w:tcPr>
            <w:tcW w:w="2745" w:type="dxa"/>
            <w:tcBorders>
              <w:left w:val="nil"/>
              <w:right w:val="nil"/>
            </w:tcBorders>
            <w:noWrap/>
          </w:tcPr>
          <w:p w:rsidRPr="002D6545" w:rsidR="005E16C5" w:rsidP="00C90CB4" w:rsidRDefault="005E16C5" w14:paraId="57BD06D4" w14:textId="77777777">
            <w:pPr>
              <w:jc w:val="right"/>
              <w:rPr>
                <w:rFonts w:ascii="Arial" w:hAnsi="Arial" w:eastAsia="Times New Roman" w:cs="Arial"/>
                <w:sz w:val="20"/>
                <w:szCs w:val="20"/>
                <w:lang w:eastAsia="en-GB"/>
              </w:rPr>
            </w:pPr>
          </w:p>
        </w:tc>
      </w:tr>
      <w:tr w:rsidRPr="002D6545" w:rsidR="005E16C5" w:rsidTr="00C90CB4" w14:paraId="4CC76A96" w14:textId="77777777">
        <w:trPr>
          <w:trHeight w:val="300"/>
        </w:trPr>
        <w:tc>
          <w:tcPr>
            <w:tcW w:w="6804" w:type="dxa"/>
            <w:tcBorders>
              <w:left w:val="nil"/>
              <w:right w:val="nil"/>
            </w:tcBorders>
            <w:noWrap/>
          </w:tcPr>
          <w:p w:rsidRPr="002D6545" w:rsidR="005E16C5" w:rsidP="00C90CB4" w:rsidRDefault="005E16C5" w14:paraId="05F0B0C0" w14:textId="77777777">
            <w:pPr>
              <w:ind w:left="-2" w:leftChars="-1" w:firstLine="312" w:firstLineChars="156"/>
              <w:rPr>
                <w:rFonts w:ascii="Arial" w:hAnsi="Arial" w:eastAsia="Times New Roman" w:cs="Arial"/>
                <w:sz w:val="20"/>
                <w:szCs w:val="20"/>
              </w:rPr>
            </w:pPr>
            <w:r w:rsidRPr="002D6545">
              <w:rPr>
                <w:rFonts w:ascii="Arial" w:hAnsi="Arial"/>
                <w:sz w:val="20"/>
                <w:lang w:eastAsia="en-GB"/>
              </w:rPr>
              <w:t xml:space="preserve">(2) </w:t>
            </w:r>
            <w:r w:rsidRPr="002D6545">
              <w:rPr>
                <w:rFonts w:ascii="Arial" w:hAnsi="Arial"/>
                <w:sz w:val="20"/>
              </w:rPr>
              <w:t>Vse tuje obveznosti do povezanih enot iz postavke 21(a)(1)</w:t>
            </w:r>
          </w:p>
        </w:tc>
        <w:tc>
          <w:tcPr>
            <w:tcW w:w="2745" w:type="dxa"/>
            <w:tcBorders>
              <w:left w:val="nil"/>
              <w:right w:val="nil"/>
            </w:tcBorders>
            <w:noWrap/>
          </w:tcPr>
          <w:p w:rsidRPr="002D6545" w:rsidR="005E16C5" w:rsidP="00C90CB4" w:rsidRDefault="005E16C5" w14:paraId="7DB96793" w14:textId="77777777">
            <w:pPr>
              <w:jc w:val="right"/>
              <w:rPr>
                <w:rFonts w:ascii="Arial" w:hAnsi="Arial" w:eastAsia="Times New Roman" w:cs="Arial"/>
                <w:sz w:val="20"/>
                <w:szCs w:val="20"/>
                <w:lang w:eastAsia="en-GB"/>
              </w:rPr>
            </w:pPr>
          </w:p>
        </w:tc>
      </w:tr>
      <w:tr w:rsidRPr="002D6545" w:rsidR="005E16C5" w:rsidTr="00C90CB4" w14:paraId="00770AF0" w14:textId="77777777">
        <w:trPr>
          <w:trHeight w:val="300"/>
        </w:trPr>
        <w:tc>
          <w:tcPr>
            <w:tcW w:w="6804" w:type="dxa"/>
            <w:tcBorders>
              <w:left w:val="nil"/>
              <w:right w:val="nil"/>
            </w:tcBorders>
            <w:noWrap/>
          </w:tcPr>
          <w:p w:rsidRPr="002D6545" w:rsidR="005E16C5" w:rsidP="00C90CB4" w:rsidRDefault="005E16C5" w14:paraId="1950E3D2" w14:textId="77777777">
            <w:pPr>
              <w:ind w:left="-2" w:leftChars="-1" w:firstLine="312" w:firstLineChars="156"/>
              <w:rPr>
                <w:rFonts w:ascii="Arial" w:hAnsi="Arial" w:eastAsia="Times New Roman" w:cs="Arial"/>
                <w:sz w:val="20"/>
                <w:szCs w:val="20"/>
              </w:rPr>
            </w:pPr>
            <w:r w:rsidRPr="002D6545">
              <w:rPr>
                <w:rFonts w:ascii="Arial" w:hAnsi="Arial"/>
                <w:sz w:val="20"/>
                <w:lang w:eastAsia="en-GB"/>
              </w:rPr>
              <w:t xml:space="preserve">(3) </w:t>
            </w:r>
            <w:r w:rsidRPr="002D6545">
              <w:rPr>
                <w:rFonts w:ascii="Arial" w:hAnsi="Arial"/>
                <w:sz w:val="20"/>
              </w:rPr>
              <w:t>Lokalne obveznosti v lokalni valuti (brez dejavnosti z izvedenimi finančnimi instrumenti)</w:t>
            </w:r>
          </w:p>
        </w:tc>
        <w:tc>
          <w:tcPr>
            <w:tcW w:w="2745" w:type="dxa"/>
            <w:tcBorders>
              <w:left w:val="nil"/>
              <w:right w:val="nil"/>
            </w:tcBorders>
            <w:noWrap/>
          </w:tcPr>
          <w:p w:rsidRPr="002D6545" w:rsidR="005E16C5" w:rsidP="00C90CB4" w:rsidRDefault="005E16C5" w14:paraId="4F40B545" w14:textId="77777777">
            <w:pPr>
              <w:jc w:val="right"/>
              <w:rPr>
                <w:rFonts w:ascii="Arial" w:hAnsi="Arial" w:eastAsia="Times New Roman" w:cs="Arial"/>
                <w:sz w:val="20"/>
                <w:szCs w:val="20"/>
                <w:lang w:eastAsia="en-GB"/>
              </w:rPr>
            </w:pPr>
          </w:p>
        </w:tc>
      </w:tr>
      <w:tr w:rsidRPr="002D6545" w:rsidR="005E16C5" w:rsidTr="00C90CB4" w14:paraId="5545E478" w14:textId="77777777">
        <w:trPr>
          <w:trHeight w:val="300"/>
        </w:trPr>
        <w:tc>
          <w:tcPr>
            <w:tcW w:w="6804" w:type="dxa"/>
            <w:tcBorders>
              <w:left w:val="nil"/>
              <w:right w:val="nil"/>
            </w:tcBorders>
            <w:noWrap/>
          </w:tcPr>
          <w:p w:rsidRPr="002D6545" w:rsidR="005E16C5" w:rsidP="00C90CB4" w:rsidRDefault="005E16C5" w14:paraId="71EB37C1" w14:textId="77777777">
            <w:pPr>
              <w:ind w:firstLine="200" w:firstLineChars="100"/>
              <w:rPr>
                <w:rFonts w:ascii="Arial" w:hAnsi="Arial" w:eastAsia="Times New Roman" w:cs="Arial"/>
                <w:sz w:val="20"/>
                <w:szCs w:val="20"/>
              </w:rPr>
            </w:pPr>
            <w:r w:rsidRPr="002D6545">
              <w:rPr>
                <w:rFonts w:ascii="Arial" w:hAnsi="Arial"/>
                <w:sz w:val="20"/>
              </w:rPr>
              <w:t>b. Lokalne obveznosti v lokalni valuti (vključno z dejavnostmi z izvedenimi finančnimi instrumenti)</w:t>
            </w:r>
          </w:p>
        </w:tc>
        <w:tc>
          <w:tcPr>
            <w:tcW w:w="2745" w:type="dxa"/>
            <w:tcBorders>
              <w:left w:val="nil"/>
              <w:right w:val="nil"/>
            </w:tcBorders>
            <w:noWrap/>
          </w:tcPr>
          <w:p w:rsidRPr="002D6545" w:rsidR="005E16C5" w:rsidP="00C90CB4" w:rsidRDefault="005E16C5" w14:paraId="67C6EB83" w14:textId="77777777">
            <w:pPr>
              <w:jc w:val="right"/>
              <w:rPr>
                <w:rFonts w:ascii="Arial" w:hAnsi="Arial" w:eastAsia="Times New Roman" w:cs="Arial"/>
                <w:sz w:val="20"/>
                <w:szCs w:val="20"/>
                <w:lang w:eastAsia="en-GB"/>
              </w:rPr>
            </w:pPr>
          </w:p>
        </w:tc>
      </w:tr>
      <w:tr w:rsidRPr="002D6545" w:rsidR="005E16C5" w:rsidTr="00C90CB4" w14:paraId="7DCC6AFE" w14:textId="77777777">
        <w:trPr>
          <w:trHeight w:val="300"/>
        </w:trPr>
        <w:tc>
          <w:tcPr>
            <w:tcW w:w="6804" w:type="dxa"/>
            <w:tcBorders>
              <w:left w:val="nil"/>
              <w:right w:val="nil"/>
            </w:tcBorders>
            <w:noWrap/>
          </w:tcPr>
          <w:p w:rsidRPr="002D6545" w:rsidR="005E16C5" w:rsidP="00C90CB4" w:rsidRDefault="005E16C5" w14:paraId="755AAE4D" w14:textId="77777777">
            <w:pPr>
              <w:ind w:left="171" w:firstLine="28" w:firstLineChars="14"/>
              <w:rPr>
                <w:rFonts w:ascii="Arial" w:hAnsi="Arial" w:eastAsia="Times New Roman" w:cs="Arial"/>
                <w:sz w:val="20"/>
                <w:szCs w:val="20"/>
              </w:rPr>
            </w:pPr>
            <w:r w:rsidRPr="002D6545">
              <w:rPr>
                <w:rFonts w:ascii="Arial" w:hAnsi="Arial"/>
                <w:sz w:val="20"/>
              </w:rPr>
              <w:t>c. Lokalne terjatve v lokalni valuti v sodni pristojnosti druge države (brez dejavnosti z izvedenimi finančnimi instrumenti)</w:t>
            </w:r>
          </w:p>
        </w:tc>
        <w:tc>
          <w:tcPr>
            <w:tcW w:w="2745" w:type="dxa"/>
            <w:tcBorders>
              <w:left w:val="nil"/>
              <w:right w:val="nil"/>
            </w:tcBorders>
            <w:noWrap/>
          </w:tcPr>
          <w:p w:rsidRPr="002D6545" w:rsidR="005E16C5" w:rsidP="00C90CB4" w:rsidRDefault="005E16C5" w14:paraId="32DDB097" w14:textId="77777777">
            <w:pPr>
              <w:jc w:val="right"/>
              <w:rPr>
                <w:rFonts w:ascii="Arial" w:hAnsi="Arial" w:eastAsia="Times New Roman" w:cs="Arial"/>
                <w:sz w:val="20"/>
                <w:szCs w:val="20"/>
                <w:lang w:eastAsia="en-GB"/>
              </w:rPr>
            </w:pPr>
          </w:p>
        </w:tc>
      </w:tr>
      <w:tr w:rsidRPr="002D6545" w:rsidR="005E16C5" w:rsidTr="00C90CB4" w14:paraId="547361A1" w14:textId="77777777">
        <w:trPr>
          <w:trHeight w:val="300"/>
        </w:trPr>
        <w:tc>
          <w:tcPr>
            <w:tcW w:w="6804" w:type="dxa"/>
            <w:tcBorders>
              <w:left w:val="nil"/>
              <w:right w:val="nil"/>
            </w:tcBorders>
            <w:noWrap/>
          </w:tcPr>
          <w:p w:rsidRPr="002D6545" w:rsidR="005E16C5" w:rsidP="00C90CB4" w:rsidRDefault="005E16C5" w14:paraId="26317FD2" w14:textId="77777777">
            <w:pPr>
              <w:ind w:left="171" w:firstLine="28" w:firstLineChars="14"/>
              <w:rPr>
                <w:rFonts w:ascii="Arial" w:hAnsi="Arial" w:eastAsia="Times New Roman" w:cs="Arial"/>
                <w:sz w:val="20"/>
                <w:szCs w:val="20"/>
              </w:rPr>
            </w:pPr>
            <w:r w:rsidRPr="002D6545">
              <w:rPr>
                <w:rFonts w:ascii="Arial" w:hAnsi="Arial"/>
                <w:sz w:val="20"/>
              </w:rPr>
              <w:t>d. Lokalne terjatve v lokalni valuti v sodni pristojnosti druge države (vključno z dejavnostmi z izvedenimi finančnimi instrumenti)</w:t>
            </w:r>
          </w:p>
        </w:tc>
        <w:tc>
          <w:tcPr>
            <w:tcW w:w="2745" w:type="dxa"/>
            <w:tcBorders>
              <w:left w:val="nil"/>
              <w:right w:val="nil"/>
            </w:tcBorders>
            <w:noWrap/>
          </w:tcPr>
          <w:p w:rsidRPr="002D6545" w:rsidR="005E16C5" w:rsidP="00C90CB4" w:rsidRDefault="005E16C5" w14:paraId="54016458" w14:textId="77777777">
            <w:pPr>
              <w:jc w:val="right"/>
              <w:rPr>
                <w:rFonts w:ascii="Arial" w:hAnsi="Arial" w:eastAsia="Times New Roman" w:cs="Arial"/>
                <w:sz w:val="20"/>
                <w:szCs w:val="20"/>
                <w:lang w:eastAsia="en-GB"/>
              </w:rPr>
            </w:pPr>
          </w:p>
        </w:tc>
      </w:tr>
      <w:tr w:rsidRPr="002D6545" w:rsidR="005E16C5" w:rsidTr="00C90CB4" w14:paraId="4B88C2FC" w14:textId="77777777">
        <w:trPr>
          <w:trHeight w:val="300"/>
        </w:trPr>
        <w:tc>
          <w:tcPr>
            <w:tcW w:w="6804" w:type="dxa"/>
            <w:tcBorders>
              <w:left w:val="nil"/>
              <w:right w:val="nil"/>
            </w:tcBorders>
            <w:noWrap/>
          </w:tcPr>
          <w:p w:rsidRPr="002D6545" w:rsidR="005E16C5" w:rsidP="00C90CB4" w:rsidRDefault="005E16C5" w14:paraId="69753946" w14:textId="77777777">
            <w:pPr>
              <w:ind w:left="171" w:firstLine="28" w:firstLineChars="14"/>
              <w:rPr>
                <w:rFonts w:ascii="Arial" w:hAnsi="Arial" w:eastAsia="Times New Roman" w:cs="Arial"/>
                <w:sz w:val="20"/>
                <w:szCs w:val="20"/>
              </w:rPr>
            </w:pPr>
            <w:r w:rsidRPr="002D6545">
              <w:rPr>
                <w:rFonts w:ascii="Arial" w:hAnsi="Arial"/>
                <w:sz w:val="20"/>
              </w:rPr>
              <w:t>e. Skupne tuje terjatve na podlagi končnega tveganja (ob upoštevanju EMR kot enotne jurisdikcije)</w:t>
            </w:r>
          </w:p>
        </w:tc>
        <w:tc>
          <w:tcPr>
            <w:tcW w:w="2745" w:type="dxa"/>
            <w:tcBorders>
              <w:left w:val="nil"/>
              <w:right w:val="nil"/>
            </w:tcBorders>
            <w:noWrap/>
          </w:tcPr>
          <w:p w:rsidRPr="002D6545" w:rsidR="005E16C5" w:rsidP="00C90CB4" w:rsidRDefault="005E16C5" w14:paraId="51231FD3" w14:textId="77777777">
            <w:pPr>
              <w:jc w:val="right"/>
              <w:rPr>
                <w:rFonts w:ascii="Arial" w:hAnsi="Arial" w:eastAsia="Times New Roman" w:cs="Arial"/>
                <w:sz w:val="20"/>
                <w:szCs w:val="20"/>
                <w:lang w:eastAsia="en-GB"/>
              </w:rPr>
            </w:pPr>
          </w:p>
        </w:tc>
      </w:tr>
      <w:tr w:rsidRPr="002D6545" w:rsidR="005E16C5" w:rsidTr="00C90CB4" w14:paraId="5CFCA956" w14:textId="77777777">
        <w:trPr>
          <w:trHeight w:val="300"/>
        </w:trPr>
        <w:tc>
          <w:tcPr>
            <w:tcW w:w="6804" w:type="dxa"/>
            <w:tcBorders>
              <w:left w:val="nil"/>
              <w:right w:val="nil"/>
            </w:tcBorders>
            <w:noWrap/>
          </w:tcPr>
          <w:p w:rsidRPr="002D6545" w:rsidR="005E16C5" w:rsidP="00C90CB4" w:rsidRDefault="005E16C5" w14:paraId="58AD1583" w14:textId="77777777">
            <w:pPr>
              <w:ind w:left="171" w:firstLine="28" w:firstLineChars="14"/>
              <w:rPr>
                <w:rFonts w:ascii="Arial" w:hAnsi="Arial" w:eastAsia="Times New Roman" w:cs="Arial"/>
                <w:sz w:val="20"/>
                <w:szCs w:val="20"/>
              </w:rPr>
            </w:pPr>
            <w:r w:rsidRPr="002D6545">
              <w:rPr>
                <w:rFonts w:ascii="Arial" w:hAnsi="Arial"/>
                <w:sz w:val="20"/>
              </w:rPr>
              <w:t>f. Tuje terjatve iz naslova izvedenih finančnih instrumentov na podlagi končnega tveganja (ob upoštevanju EMR kot enotne jurisdikcije)</w:t>
            </w:r>
          </w:p>
        </w:tc>
        <w:tc>
          <w:tcPr>
            <w:tcW w:w="2745" w:type="dxa"/>
            <w:tcBorders>
              <w:left w:val="nil"/>
              <w:right w:val="nil"/>
            </w:tcBorders>
            <w:noWrap/>
          </w:tcPr>
          <w:p w:rsidRPr="002D6545" w:rsidR="005E16C5" w:rsidP="00C90CB4" w:rsidRDefault="005E16C5" w14:paraId="031F25E0" w14:textId="77777777">
            <w:pPr>
              <w:jc w:val="right"/>
              <w:rPr>
                <w:rFonts w:ascii="Arial" w:hAnsi="Arial" w:eastAsia="Times New Roman" w:cs="Arial"/>
                <w:sz w:val="20"/>
                <w:szCs w:val="20"/>
                <w:lang w:eastAsia="en-GB"/>
              </w:rPr>
            </w:pPr>
          </w:p>
        </w:tc>
      </w:tr>
      <w:tr w:rsidRPr="002D6545" w:rsidR="005E16C5" w:rsidTr="00C90CB4" w14:paraId="0C873F4C" w14:textId="77777777">
        <w:trPr>
          <w:trHeight w:val="300"/>
        </w:trPr>
        <w:tc>
          <w:tcPr>
            <w:tcW w:w="6804" w:type="dxa"/>
            <w:tcBorders>
              <w:left w:val="nil"/>
              <w:right w:val="nil"/>
            </w:tcBorders>
            <w:noWrap/>
          </w:tcPr>
          <w:p w:rsidRPr="002D6545" w:rsidR="005E16C5" w:rsidP="00C90CB4" w:rsidRDefault="005E16C5" w14:paraId="63F93377" w14:textId="77777777">
            <w:pPr>
              <w:ind w:left="171" w:firstLine="28" w:firstLineChars="14"/>
              <w:rPr>
                <w:rFonts w:ascii="Arial" w:hAnsi="Arial" w:eastAsia="Times New Roman" w:cs="Arial"/>
                <w:sz w:val="20"/>
                <w:szCs w:val="20"/>
              </w:rPr>
            </w:pPr>
            <w:r w:rsidRPr="002D6545">
              <w:rPr>
                <w:rFonts w:ascii="Arial" w:hAnsi="Arial"/>
                <w:sz w:val="20"/>
              </w:rPr>
              <w:t>g. Tuje obveznosti na podlagi neposrednega tveganja, vključno z izvedenimi finančnimi instrumenti (ob upoštevanju EMR kot enotne jurisdikcije)</w:t>
            </w:r>
          </w:p>
        </w:tc>
        <w:tc>
          <w:tcPr>
            <w:tcW w:w="2745" w:type="dxa"/>
            <w:tcBorders>
              <w:left w:val="nil"/>
              <w:right w:val="nil"/>
            </w:tcBorders>
            <w:noWrap/>
          </w:tcPr>
          <w:p w:rsidRPr="002D6545" w:rsidR="005E16C5" w:rsidP="00C90CB4" w:rsidRDefault="005E16C5" w14:paraId="6A384A4C" w14:textId="77777777">
            <w:pPr>
              <w:jc w:val="right"/>
              <w:rPr>
                <w:rFonts w:ascii="Arial" w:hAnsi="Arial" w:eastAsia="Times New Roman" w:cs="Arial"/>
                <w:sz w:val="20"/>
                <w:szCs w:val="20"/>
                <w:lang w:eastAsia="en-GB"/>
              </w:rPr>
            </w:pPr>
          </w:p>
        </w:tc>
      </w:tr>
      <w:tr w:rsidRPr="002D6545" w:rsidR="005E16C5" w:rsidTr="00C90CB4" w14:paraId="6EDCD705" w14:textId="77777777">
        <w:trPr>
          <w:trHeight w:val="300"/>
        </w:trPr>
        <w:tc>
          <w:tcPr>
            <w:tcW w:w="6804" w:type="dxa"/>
            <w:tcBorders>
              <w:left w:val="nil"/>
              <w:right w:val="nil"/>
            </w:tcBorders>
            <w:noWrap/>
          </w:tcPr>
          <w:p w:rsidRPr="002D6545" w:rsidR="005E16C5" w:rsidP="00C90CB4" w:rsidRDefault="005E16C5" w14:paraId="3B93F97C" w14:textId="77777777">
            <w:pPr>
              <w:ind w:left="171" w:firstLine="28" w:firstLineChars="14"/>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Tuje obveznosti iz naslova izvedenih finančnih instrumentov na podlagi neposrednega tveganja (ob upoštevanju EMR kot enotne jurisdikcije)</w:t>
            </w:r>
          </w:p>
        </w:tc>
        <w:tc>
          <w:tcPr>
            <w:tcW w:w="2745" w:type="dxa"/>
            <w:tcBorders>
              <w:left w:val="nil"/>
              <w:right w:val="nil"/>
            </w:tcBorders>
            <w:noWrap/>
          </w:tcPr>
          <w:p w:rsidRPr="002D6545" w:rsidR="005E16C5" w:rsidP="00C90CB4" w:rsidRDefault="005E16C5" w14:paraId="36D6F0B3" w14:textId="77777777">
            <w:pPr>
              <w:jc w:val="right"/>
              <w:rPr>
                <w:rFonts w:ascii="Arial" w:hAnsi="Arial" w:eastAsia="Times New Roman" w:cs="Arial"/>
                <w:sz w:val="20"/>
                <w:szCs w:val="20"/>
                <w:lang w:eastAsia="en-GB"/>
              </w:rPr>
            </w:pPr>
          </w:p>
        </w:tc>
      </w:tr>
      <w:tr w:rsidRPr="002D6545" w:rsidR="005E16C5" w:rsidTr="00C90CB4" w14:paraId="7EC48C1E" w14:textId="77777777">
        <w:trPr>
          <w:trHeight w:val="300"/>
        </w:trPr>
        <w:tc>
          <w:tcPr>
            <w:tcW w:w="6804" w:type="dxa"/>
            <w:tcBorders>
              <w:left w:val="nil"/>
              <w:right w:val="nil"/>
            </w:tcBorders>
            <w:noWrap/>
          </w:tcPr>
          <w:p w:rsidRPr="002D6545" w:rsidR="005E16C5" w:rsidP="00C90CB4" w:rsidRDefault="005E16C5" w14:paraId="2931CC69" w14:textId="77777777">
            <w:pPr>
              <w:ind w:firstLine="200" w:firstLineChars="100"/>
              <w:rPr>
                <w:rFonts w:ascii="Arial" w:hAnsi="Arial" w:eastAsia="Times New Roman" w:cs="Arial"/>
                <w:sz w:val="20"/>
                <w:szCs w:val="20"/>
              </w:rPr>
            </w:pPr>
            <w:r w:rsidRPr="002D6545">
              <w:rPr>
                <w:rFonts w:ascii="Arial" w:hAnsi="Arial"/>
                <w:sz w:val="20"/>
              </w:rPr>
              <w:t>h. Lokalne terjatve v lokalni valuti v sodni pristojnosti druge države, brez dejavnosti z izvedenimi finančnimi instrumenti (ob upoštevanju EMR kot enotne jurisdikcije)</w:t>
            </w:r>
          </w:p>
        </w:tc>
        <w:tc>
          <w:tcPr>
            <w:tcW w:w="2745" w:type="dxa"/>
            <w:tcBorders>
              <w:left w:val="nil"/>
              <w:right w:val="nil"/>
            </w:tcBorders>
            <w:noWrap/>
          </w:tcPr>
          <w:p w:rsidRPr="002D6545" w:rsidR="005E16C5" w:rsidP="00C90CB4" w:rsidRDefault="005E16C5" w14:paraId="767B99B4" w14:textId="77777777">
            <w:pPr>
              <w:jc w:val="right"/>
              <w:rPr>
                <w:rFonts w:ascii="Arial" w:hAnsi="Arial" w:eastAsia="Times New Roman" w:cs="Arial"/>
                <w:sz w:val="20"/>
                <w:szCs w:val="20"/>
                <w:lang w:eastAsia="en-GB"/>
              </w:rPr>
            </w:pPr>
          </w:p>
        </w:tc>
      </w:tr>
      <w:tr w:rsidRPr="002D6545" w:rsidR="005E16C5" w:rsidTr="00C90CB4" w14:paraId="766C2187" w14:textId="77777777">
        <w:trPr>
          <w:trHeight w:val="300"/>
        </w:trPr>
        <w:tc>
          <w:tcPr>
            <w:tcW w:w="6804" w:type="dxa"/>
            <w:tcBorders>
              <w:left w:val="nil"/>
              <w:right w:val="nil"/>
            </w:tcBorders>
            <w:noWrap/>
          </w:tcPr>
          <w:p w:rsidRPr="002D6545" w:rsidR="005E16C5" w:rsidP="00C90CB4" w:rsidRDefault="005E16C5" w14:paraId="5540534F" w14:textId="77777777">
            <w:pPr>
              <w:ind w:left="171" w:firstLine="28" w:firstLineChars="14"/>
              <w:rPr>
                <w:rFonts w:ascii="Arial" w:hAnsi="Arial" w:eastAsia="Times New Roman" w:cs="Arial"/>
                <w:sz w:val="20"/>
                <w:szCs w:val="20"/>
              </w:rPr>
            </w:pPr>
            <w:r w:rsidRPr="002D6545">
              <w:rPr>
                <w:rFonts w:ascii="Arial" w:hAnsi="Arial"/>
                <w:sz w:val="20"/>
              </w:rPr>
              <w:t>i. Lokalne terjatve v lokalni valuti v sodni pristojnosti druge države, vključno z dejavnostjo z izvedenimi finančnimi instrumenti (ob upoštevanju EMR kot enotne jurisdikcije)</w:t>
            </w:r>
          </w:p>
        </w:tc>
        <w:tc>
          <w:tcPr>
            <w:tcW w:w="2745" w:type="dxa"/>
            <w:tcBorders>
              <w:left w:val="nil"/>
              <w:right w:val="nil"/>
            </w:tcBorders>
            <w:noWrap/>
          </w:tcPr>
          <w:p w:rsidRPr="002D6545" w:rsidR="005E16C5" w:rsidP="00C90CB4" w:rsidRDefault="005E16C5" w14:paraId="1FC8D3A5" w14:textId="77777777">
            <w:pPr>
              <w:jc w:val="right"/>
              <w:rPr>
                <w:rFonts w:ascii="Arial" w:hAnsi="Arial" w:eastAsia="Times New Roman" w:cs="Arial"/>
                <w:sz w:val="20"/>
                <w:szCs w:val="20"/>
                <w:lang w:eastAsia="en-GB"/>
              </w:rPr>
            </w:pPr>
          </w:p>
        </w:tc>
      </w:tr>
      <w:tr w:rsidRPr="002D6545" w:rsidR="005E16C5" w:rsidTr="00C90CB4" w14:paraId="2F9BED0C" w14:textId="77777777">
        <w:trPr>
          <w:trHeight w:val="300"/>
        </w:trPr>
        <w:tc>
          <w:tcPr>
            <w:tcW w:w="6804" w:type="dxa"/>
            <w:tcBorders>
              <w:left w:val="nil"/>
              <w:right w:val="nil"/>
            </w:tcBorders>
            <w:noWrap/>
          </w:tcPr>
          <w:p w:rsidRPr="002D6545" w:rsidR="005E16C5" w:rsidP="00C90CB4" w:rsidRDefault="005E16C5" w14:paraId="2D4F27EA" w14:textId="77777777">
            <w:pPr>
              <w:ind w:left="171" w:firstLine="28" w:firstLineChars="14"/>
              <w:rPr>
                <w:rFonts w:ascii="Arial" w:hAnsi="Arial" w:eastAsia="Times New Roman" w:cs="Arial"/>
                <w:sz w:val="20"/>
                <w:szCs w:val="20"/>
              </w:rPr>
            </w:pPr>
            <w:r w:rsidRPr="002D6545">
              <w:rPr>
                <w:rFonts w:ascii="Arial" w:hAnsi="Arial"/>
                <w:sz w:val="20"/>
              </w:rPr>
              <w:t>j. Tuje obveznosti brez izvedenih finančnih instrumentov in lokalnih obveznosti v lokalni valuti (ob upoštevanju EMR kot enotne jurisdikcije)</w:t>
            </w:r>
          </w:p>
        </w:tc>
        <w:tc>
          <w:tcPr>
            <w:tcW w:w="2745" w:type="dxa"/>
            <w:tcBorders>
              <w:left w:val="nil"/>
              <w:right w:val="nil"/>
            </w:tcBorders>
            <w:noWrap/>
          </w:tcPr>
          <w:p w:rsidRPr="002D6545" w:rsidR="005E16C5" w:rsidP="00C90CB4" w:rsidRDefault="005E16C5" w14:paraId="50BAF6D3" w14:textId="77777777">
            <w:pPr>
              <w:jc w:val="right"/>
              <w:rPr>
                <w:rFonts w:ascii="Arial" w:hAnsi="Arial" w:eastAsia="Times New Roman" w:cs="Arial"/>
                <w:sz w:val="20"/>
                <w:szCs w:val="20"/>
                <w:lang w:eastAsia="en-GB"/>
              </w:rPr>
            </w:pPr>
          </w:p>
        </w:tc>
      </w:tr>
      <w:tr w:rsidRPr="002D6545" w:rsidR="005E16C5" w:rsidTr="00C90CB4" w14:paraId="165F2919" w14:textId="77777777">
        <w:trPr>
          <w:trHeight w:val="300"/>
        </w:trPr>
        <w:tc>
          <w:tcPr>
            <w:tcW w:w="6804" w:type="dxa"/>
            <w:tcBorders>
              <w:left w:val="nil"/>
              <w:right w:val="nil"/>
            </w:tcBorders>
            <w:noWrap/>
          </w:tcPr>
          <w:p w:rsidRPr="002D6545" w:rsidR="005E16C5" w:rsidP="00C90CB4" w:rsidRDefault="005E16C5" w14:paraId="0BE1AA86" w14:textId="77777777">
            <w:pPr>
              <w:ind w:left="171" w:firstLine="28" w:firstLineChars="14"/>
              <w:rPr>
                <w:rFonts w:ascii="Arial" w:hAnsi="Arial" w:eastAsia="Times New Roman" w:cs="Arial"/>
                <w:sz w:val="20"/>
                <w:szCs w:val="20"/>
              </w:rPr>
            </w:pPr>
            <w:r w:rsidRPr="002D6545">
              <w:rPr>
                <w:rFonts w:ascii="Arial" w:hAnsi="Arial"/>
                <w:sz w:val="20"/>
                <w:lang w:eastAsia="en-GB"/>
              </w:rPr>
              <w:t xml:space="preserve">(1) </w:t>
            </w:r>
            <w:r w:rsidRPr="002D6545">
              <w:rPr>
                <w:rFonts w:ascii="Arial" w:hAnsi="Arial"/>
                <w:sz w:val="20"/>
              </w:rPr>
              <w:t>Vse tuje obveznosti do povezanih enot iz postavke 20(j) (ob upoštevanju EMR kot enotne jurisdikcije)</w:t>
            </w:r>
          </w:p>
        </w:tc>
        <w:tc>
          <w:tcPr>
            <w:tcW w:w="2745" w:type="dxa"/>
            <w:tcBorders>
              <w:left w:val="nil"/>
              <w:right w:val="nil"/>
            </w:tcBorders>
            <w:noWrap/>
          </w:tcPr>
          <w:p w:rsidRPr="002D6545" w:rsidR="005E16C5" w:rsidP="00C90CB4" w:rsidRDefault="005E16C5" w14:paraId="6B577CE4" w14:textId="77777777">
            <w:pPr>
              <w:jc w:val="right"/>
              <w:rPr>
                <w:rFonts w:ascii="Arial" w:hAnsi="Arial" w:eastAsia="Times New Roman" w:cs="Arial"/>
                <w:sz w:val="20"/>
                <w:szCs w:val="20"/>
                <w:lang w:eastAsia="en-GB"/>
              </w:rPr>
            </w:pPr>
          </w:p>
        </w:tc>
      </w:tr>
      <w:tr w:rsidRPr="002D6545" w:rsidR="005E16C5" w:rsidTr="00C90CB4" w14:paraId="6D73B2EE" w14:textId="77777777">
        <w:trPr>
          <w:trHeight w:val="300"/>
        </w:trPr>
        <w:tc>
          <w:tcPr>
            <w:tcW w:w="6804" w:type="dxa"/>
            <w:tcBorders>
              <w:left w:val="nil"/>
              <w:right w:val="nil"/>
            </w:tcBorders>
            <w:noWrap/>
          </w:tcPr>
          <w:p w:rsidRPr="002D6545" w:rsidR="005E16C5" w:rsidP="00C90CB4" w:rsidRDefault="005E16C5" w14:paraId="5BB857B5" w14:textId="77777777">
            <w:pPr>
              <w:ind w:left="171" w:firstLine="28" w:firstLineChars="14"/>
              <w:rPr>
                <w:rFonts w:ascii="Arial" w:hAnsi="Arial" w:eastAsia="Times New Roman" w:cs="Arial"/>
                <w:sz w:val="20"/>
                <w:szCs w:val="20"/>
              </w:rPr>
            </w:pPr>
            <w:r w:rsidRPr="002D6545">
              <w:rPr>
                <w:rFonts w:ascii="Arial" w:hAnsi="Arial"/>
                <w:sz w:val="20"/>
              </w:rPr>
              <w:lastRenderedPageBreak/>
              <w:t>k. Lokalne obveznosti v lokalni valuti, brez izvedenih finančnih instrumentov (ob upoštevanju EMR kot enotne jurisdikcije)</w:t>
            </w:r>
          </w:p>
        </w:tc>
        <w:tc>
          <w:tcPr>
            <w:tcW w:w="2745" w:type="dxa"/>
            <w:tcBorders>
              <w:left w:val="nil"/>
              <w:right w:val="nil"/>
            </w:tcBorders>
            <w:noWrap/>
          </w:tcPr>
          <w:p w:rsidRPr="002D6545" w:rsidR="005E16C5" w:rsidP="00C90CB4" w:rsidRDefault="005E16C5" w14:paraId="4A099A5D" w14:textId="77777777">
            <w:pPr>
              <w:jc w:val="right"/>
              <w:rPr>
                <w:rFonts w:ascii="Arial" w:hAnsi="Arial" w:eastAsia="Times New Roman" w:cs="Arial"/>
                <w:sz w:val="20"/>
                <w:szCs w:val="20"/>
                <w:lang w:eastAsia="en-GB"/>
              </w:rPr>
            </w:pPr>
          </w:p>
        </w:tc>
      </w:tr>
      <w:tr w:rsidRPr="002D6545" w:rsidR="005E16C5" w:rsidTr="00C90CB4" w14:paraId="0A564DF3" w14:textId="77777777">
        <w:trPr>
          <w:trHeight w:val="300"/>
        </w:trPr>
        <w:tc>
          <w:tcPr>
            <w:tcW w:w="6804" w:type="dxa"/>
            <w:tcBorders>
              <w:left w:val="nil"/>
              <w:right w:val="nil"/>
            </w:tcBorders>
            <w:noWrap/>
          </w:tcPr>
          <w:p w:rsidRPr="002D6545" w:rsidR="005E16C5" w:rsidP="00C90CB4" w:rsidRDefault="005E16C5" w14:paraId="0AA449CD" w14:textId="77777777">
            <w:pPr>
              <w:ind w:left="171" w:firstLine="28" w:firstLineChars="14"/>
              <w:rPr>
                <w:rFonts w:ascii="Arial" w:hAnsi="Arial" w:eastAsia="Times New Roman" w:cs="Arial"/>
                <w:sz w:val="20"/>
                <w:szCs w:val="20"/>
              </w:rPr>
            </w:pPr>
            <w:r w:rsidRPr="002D6545">
              <w:rPr>
                <w:rFonts w:ascii="Arial" w:hAnsi="Arial"/>
                <w:sz w:val="20"/>
              </w:rPr>
              <w:t>l. Lokalne obveznosti v lokalni valuti, vključno z izvedenimi finančnimi instrumenti (ob upoštevanju EMR kot enotne jurisdikcije)</w:t>
            </w:r>
          </w:p>
        </w:tc>
        <w:tc>
          <w:tcPr>
            <w:tcW w:w="2745" w:type="dxa"/>
            <w:tcBorders>
              <w:left w:val="nil"/>
              <w:right w:val="nil"/>
            </w:tcBorders>
            <w:noWrap/>
          </w:tcPr>
          <w:p w:rsidRPr="002D6545" w:rsidR="005E16C5" w:rsidP="00C90CB4" w:rsidRDefault="005E16C5" w14:paraId="5BB00255" w14:textId="77777777">
            <w:pPr>
              <w:jc w:val="right"/>
              <w:rPr>
                <w:rFonts w:ascii="Arial" w:hAnsi="Arial" w:eastAsia="Times New Roman" w:cs="Arial"/>
                <w:sz w:val="20"/>
                <w:szCs w:val="20"/>
                <w:lang w:eastAsia="en-GB"/>
              </w:rPr>
            </w:pPr>
          </w:p>
        </w:tc>
      </w:tr>
      <w:tr w:rsidRPr="002D6545" w:rsidR="005E16C5" w:rsidTr="00C90CB4" w14:paraId="268CF7B2" w14:textId="77777777">
        <w:trPr>
          <w:trHeight w:val="300"/>
        </w:trPr>
        <w:tc>
          <w:tcPr>
            <w:tcW w:w="6804" w:type="dxa"/>
            <w:tcBorders>
              <w:left w:val="nil"/>
              <w:right w:val="nil"/>
            </w:tcBorders>
            <w:noWrap/>
          </w:tcPr>
          <w:p w:rsidRPr="002D6545" w:rsidR="005E16C5" w:rsidP="00C90CB4" w:rsidRDefault="005E16C5" w14:paraId="2BF9194D" w14:textId="77777777">
            <w:pPr>
              <w:ind w:left="171" w:firstLine="28" w:firstLineChars="14"/>
              <w:rPr>
                <w:rFonts w:ascii="Arial" w:hAnsi="Arial" w:eastAsia="Times New Roman" w:cs="Arial"/>
                <w:sz w:val="20"/>
                <w:szCs w:val="20"/>
              </w:rPr>
            </w:pPr>
            <w:r w:rsidRPr="002D6545">
              <w:rPr>
                <w:rFonts w:ascii="Arial" w:hAnsi="Arial"/>
                <w:sz w:val="20"/>
              </w:rPr>
              <w:t>m. Skupni neto znesek lokalnih pozicij v lokalni valuti, vključno z izvedenimi finančnimi instrumenti, če je znesek neto pozitiven</w:t>
            </w:r>
          </w:p>
        </w:tc>
        <w:tc>
          <w:tcPr>
            <w:tcW w:w="2745" w:type="dxa"/>
            <w:tcBorders>
              <w:left w:val="nil"/>
              <w:right w:val="nil"/>
            </w:tcBorders>
            <w:noWrap/>
          </w:tcPr>
          <w:p w:rsidRPr="002D6545" w:rsidR="005E16C5" w:rsidP="00C90CB4" w:rsidRDefault="005E16C5" w14:paraId="0E4C7764" w14:textId="77777777">
            <w:pPr>
              <w:jc w:val="right"/>
              <w:rPr>
                <w:rFonts w:ascii="Arial" w:hAnsi="Arial" w:eastAsia="Times New Roman" w:cs="Arial"/>
                <w:sz w:val="20"/>
                <w:szCs w:val="20"/>
                <w:lang w:eastAsia="en-GB"/>
              </w:rPr>
            </w:pPr>
          </w:p>
        </w:tc>
      </w:tr>
      <w:tr w:rsidRPr="002D6545" w:rsidR="005E16C5" w:rsidTr="00C90CB4" w14:paraId="156EA481" w14:textId="77777777">
        <w:trPr>
          <w:trHeight w:val="300"/>
        </w:trPr>
        <w:tc>
          <w:tcPr>
            <w:tcW w:w="6804" w:type="dxa"/>
            <w:tcBorders>
              <w:left w:val="nil"/>
              <w:right w:val="nil"/>
            </w:tcBorders>
            <w:noWrap/>
          </w:tcPr>
          <w:p w:rsidRPr="002D6545" w:rsidR="005E16C5" w:rsidP="00C90CB4" w:rsidRDefault="005E16C5" w14:paraId="09071C44" w14:textId="77777777">
            <w:pPr>
              <w:ind w:left="171" w:firstLine="28" w:firstLineChars="14"/>
              <w:rPr>
                <w:rFonts w:ascii="Arial" w:hAnsi="Arial" w:eastAsia="Times New Roman" w:cs="Arial"/>
                <w:sz w:val="20"/>
                <w:szCs w:val="20"/>
              </w:rPr>
            </w:pPr>
            <w:r w:rsidRPr="002D6545">
              <w:rPr>
                <w:rFonts w:ascii="Arial" w:hAnsi="Arial"/>
                <w:sz w:val="20"/>
              </w:rPr>
              <w:t>n. Skupni neto znesek lokalnih pozicij v lokalni valuti, vključno z izvedenimi finančnimi instrumenti, če je znesek neto negativen</w:t>
            </w:r>
          </w:p>
        </w:tc>
        <w:tc>
          <w:tcPr>
            <w:tcW w:w="2745" w:type="dxa"/>
            <w:tcBorders>
              <w:left w:val="nil"/>
              <w:right w:val="nil"/>
            </w:tcBorders>
            <w:noWrap/>
          </w:tcPr>
          <w:p w:rsidRPr="002D6545" w:rsidR="005E16C5" w:rsidP="00C90CB4" w:rsidRDefault="005E16C5" w14:paraId="70D423CF" w14:textId="77777777">
            <w:pPr>
              <w:jc w:val="right"/>
              <w:rPr>
                <w:rFonts w:ascii="Arial" w:hAnsi="Arial" w:eastAsia="Times New Roman" w:cs="Arial"/>
                <w:sz w:val="20"/>
                <w:szCs w:val="20"/>
                <w:lang w:eastAsia="en-GB"/>
              </w:rPr>
            </w:pPr>
          </w:p>
        </w:tc>
      </w:tr>
      <w:tr w:rsidRPr="002D6545" w:rsidR="005E16C5" w:rsidTr="00C90CB4" w14:paraId="455470EE" w14:textId="77777777">
        <w:trPr>
          <w:trHeight w:val="300"/>
        </w:trPr>
        <w:tc>
          <w:tcPr>
            <w:tcW w:w="6804" w:type="dxa"/>
            <w:tcBorders>
              <w:left w:val="nil"/>
              <w:right w:val="nil"/>
            </w:tcBorders>
            <w:noWrap/>
          </w:tcPr>
          <w:p w:rsidRPr="002D6545" w:rsidR="005E16C5" w:rsidP="00C90CB4" w:rsidRDefault="005E16C5" w14:paraId="50A99658" w14:textId="77777777">
            <w:pPr>
              <w:ind w:left="171" w:firstLine="28" w:firstLineChars="14"/>
              <w:rPr>
                <w:rFonts w:ascii="Arial" w:hAnsi="Arial" w:eastAsia="Times New Roman" w:cs="Arial"/>
                <w:sz w:val="20"/>
                <w:szCs w:val="20"/>
              </w:rPr>
            </w:pPr>
            <w:r w:rsidRPr="002D6545">
              <w:rPr>
                <w:rFonts w:ascii="Arial" w:hAnsi="Arial"/>
                <w:sz w:val="20"/>
              </w:rPr>
              <w:t>o. Skupni neto znesek lokalnih pozicij v lokalni valuti v državah, ki ne sodelujejo v enotnem mehanizmu za reševanje, vključno z izvedenimi finančnimi instrumenti, če je znesek neto pozitiven (ob upoštevanju EMR kot enotne jurisdikcije)</w:t>
            </w:r>
          </w:p>
        </w:tc>
        <w:tc>
          <w:tcPr>
            <w:tcW w:w="2745" w:type="dxa"/>
            <w:tcBorders>
              <w:left w:val="nil"/>
              <w:right w:val="nil"/>
            </w:tcBorders>
            <w:noWrap/>
          </w:tcPr>
          <w:p w:rsidRPr="002D6545" w:rsidR="005E16C5" w:rsidP="00C90CB4" w:rsidRDefault="005E16C5" w14:paraId="14F991A0" w14:textId="77777777">
            <w:pPr>
              <w:jc w:val="right"/>
              <w:rPr>
                <w:rFonts w:ascii="Arial" w:hAnsi="Arial" w:eastAsia="Times New Roman" w:cs="Arial"/>
                <w:sz w:val="20"/>
                <w:szCs w:val="20"/>
                <w:lang w:eastAsia="en-GB"/>
              </w:rPr>
            </w:pPr>
          </w:p>
        </w:tc>
      </w:tr>
      <w:tr w:rsidRPr="002D6545" w:rsidR="005E16C5" w:rsidTr="00C90CB4" w14:paraId="535EAD08" w14:textId="77777777">
        <w:trPr>
          <w:trHeight w:val="300"/>
        </w:trPr>
        <w:tc>
          <w:tcPr>
            <w:tcW w:w="6804" w:type="dxa"/>
            <w:tcBorders>
              <w:left w:val="nil"/>
              <w:right w:val="nil"/>
            </w:tcBorders>
            <w:noWrap/>
          </w:tcPr>
          <w:p w:rsidRPr="002D6545" w:rsidR="005E16C5" w:rsidP="00C90CB4" w:rsidRDefault="005E16C5" w14:paraId="537D3114" w14:textId="77777777">
            <w:pPr>
              <w:ind w:left="171" w:firstLine="28" w:firstLineChars="14"/>
              <w:rPr>
                <w:rFonts w:ascii="Arial" w:hAnsi="Arial" w:eastAsia="Times New Roman" w:cs="Arial"/>
                <w:sz w:val="20"/>
                <w:szCs w:val="20"/>
              </w:rPr>
            </w:pPr>
            <w:r w:rsidRPr="002D6545">
              <w:rPr>
                <w:rFonts w:ascii="Arial" w:hAnsi="Arial"/>
                <w:sz w:val="20"/>
              </w:rPr>
              <w:t>p. Skupni neto znesek lokalnih pozicij v lokalni valuti v državah, ki ne sodelujejo v enotnem mehanizmu za reševanje, vključno z izvedenimi finančnimi instrumenti, če je znesek neto negativen (ob upoštevanju EMR kot enotne jurisdikcije)</w:t>
            </w:r>
          </w:p>
        </w:tc>
        <w:tc>
          <w:tcPr>
            <w:tcW w:w="2745" w:type="dxa"/>
            <w:tcBorders>
              <w:left w:val="nil"/>
              <w:right w:val="nil"/>
            </w:tcBorders>
            <w:noWrap/>
          </w:tcPr>
          <w:p w:rsidRPr="002D6545" w:rsidR="005E16C5" w:rsidP="00C90CB4" w:rsidRDefault="005E16C5" w14:paraId="04D0A536" w14:textId="77777777">
            <w:pPr>
              <w:jc w:val="right"/>
              <w:rPr>
                <w:rFonts w:ascii="Arial" w:hAnsi="Arial" w:eastAsia="Times New Roman" w:cs="Arial"/>
                <w:sz w:val="20"/>
                <w:szCs w:val="20"/>
                <w:lang w:eastAsia="en-GB"/>
              </w:rPr>
            </w:pPr>
          </w:p>
        </w:tc>
      </w:tr>
      <w:tr w:rsidRPr="002D6545" w:rsidR="005E16C5" w:rsidTr="00C90CB4" w14:paraId="0AD6AF51" w14:textId="77777777">
        <w:trPr>
          <w:trHeight w:val="300"/>
        </w:trPr>
        <w:tc>
          <w:tcPr>
            <w:tcW w:w="6804" w:type="dxa"/>
            <w:tcBorders>
              <w:left w:val="nil"/>
              <w:right w:val="nil"/>
            </w:tcBorders>
            <w:noWrap/>
          </w:tcPr>
          <w:p w:rsidRPr="002D6545" w:rsidR="005E16C5" w:rsidP="00C90CB4" w:rsidRDefault="005E16C5" w14:paraId="7220F062" w14:textId="77777777">
            <w:pPr>
              <w:ind w:left="171" w:firstLine="28" w:firstLineChars="14"/>
              <w:rPr>
                <w:rFonts w:ascii="Arial" w:hAnsi="Arial" w:eastAsia="Times New Roman" w:cs="Arial"/>
                <w:sz w:val="20"/>
                <w:szCs w:val="20"/>
              </w:rPr>
            </w:pPr>
            <w:r w:rsidRPr="002D6545">
              <w:rPr>
                <w:rFonts w:ascii="Arial" w:hAnsi="Arial"/>
                <w:sz w:val="20"/>
              </w:rPr>
              <w:t>q. Skupni neto znesek lokalnih pozicij v lokalni valuti v državah, ki sodelujejo v enotnem mehanizmu za reševanje, vključno z izvedenimi finančnimi instrumenti (ob upoštevanju EMR kot enotne jurisdikcije)</w:t>
            </w:r>
          </w:p>
        </w:tc>
        <w:tc>
          <w:tcPr>
            <w:tcW w:w="2745" w:type="dxa"/>
            <w:tcBorders>
              <w:left w:val="nil"/>
              <w:right w:val="nil"/>
            </w:tcBorders>
            <w:noWrap/>
          </w:tcPr>
          <w:p w:rsidRPr="002D6545" w:rsidR="005E16C5" w:rsidP="00C90CB4" w:rsidRDefault="005E16C5" w14:paraId="74B2CFB1" w14:textId="77777777">
            <w:pPr>
              <w:jc w:val="right"/>
              <w:rPr>
                <w:rFonts w:ascii="Arial" w:hAnsi="Arial" w:eastAsia="Times New Roman" w:cs="Arial"/>
                <w:sz w:val="20"/>
                <w:szCs w:val="20"/>
                <w:lang w:eastAsia="en-GB"/>
              </w:rPr>
            </w:pPr>
          </w:p>
        </w:tc>
      </w:tr>
      <w:tr w:rsidRPr="002D6545" w:rsidR="005E16C5" w:rsidTr="00C90CB4" w14:paraId="6C5A716F" w14:textId="77777777">
        <w:trPr>
          <w:trHeight w:val="300"/>
        </w:trPr>
        <w:tc>
          <w:tcPr>
            <w:tcW w:w="6804" w:type="dxa"/>
            <w:tcBorders>
              <w:left w:val="nil"/>
              <w:right w:val="nil"/>
            </w:tcBorders>
            <w:noWrap/>
          </w:tcPr>
          <w:p w:rsidRPr="002D6545" w:rsidR="005E16C5" w:rsidP="00C90CB4" w:rsidRDefault="005E16C5" w14:paraId="69106D32" w14:textId="77777777">
            <w:pPr>
              <w:ind w:firstLine="200" w:firstLineChars="100"/>
              <w:rPr>
                <w:rFonts w:ascii="Arial" w:hAnsi="Arial" w:eastAsia="Times New Roman" w:cs="Arial"/>
                <w:sz w:val="20"/>
                <w:szCs w:val="20"/>
              </w:rPr>
            </w:pPr>
            <w:r w:rsidRPr="002D6545">
              <w:rPr>
                <w:rFonts w:ascii="Arial" w:hAnsi="Arial"/>
                <w:sz w:val="20"/>
              </w:rPr>
              <w:t xml:space="preserve">r. Terjatve znotraj enote, ki jih vknjižijo tuje podrejene družbe </w:t>
            </w:r>
          </w:p>
        </w:tc>
        <w:tc>
          <w:tcPr>
            <w:tcW w:w="2745" w:type="dxa"/>
            <w:tcBorders>
              <w:left w:val="nil"/>
              <w:right w:val="nil"/>
            </w:tcBorders>
            <w:noWrap/>
          </w:tcPr>
          <w:p w:rsidRPr="002D6545" w:rsidR="005E16C5" w:rsidP="00C90CB4" w:rsidRDefault="005E16C5" w14:paraId="363A0EE7" w14:textId="77777777">
            <w:pPr>
              <w:jc w:val="right"/>
              <w:rPr>
                <w:rFonts w:ascii="Arial" w:hAnsi="Arial" w:eastAsia="Times New Roman" w:cs="Arial"/>
                <w:sz w:val="20"/>
                <w:szCs w:val="20"/>
                <w:lang w:eastAsia="en-GB"/>
              </w:rPr>
            </w:pPr>
          </w:p>
        </w:tc>
      </w:tr>
      <w:tr w:rsidRPr="002D6545" w:rsidR="005E16C5" w:rsidTr="00C90CB4" w14:paraId="42E923BE" w14:textId="77777777">
        <w:trPr>
          <w:trHeight w:val="300"/>
        </w:trPr>
        <w:tc>
          <w:tcPr>
            <w:tcW w:w="6804" w:type="dxa"/>
            <w:tcBorders>
              <w:left w:val="nil"/>
              <w:right w:val="nil"/>
            </w:tcBorders>
            <w:noWrap/>
          </w:tcPr>
          <w:p w:rsidRPr="002D6545" w:rsidR="005E16C5" w:rsidP="00C90CB4" w:rsidRDefault="005E16C5" w14:paraId="64BE8E08" w14:textId="77777777">
            <w:pPr>
              <w:ind w:firstLine="200" w:firstLineChars="100"/>
              <w:rPr>
                <w:rFonts w:ascii="Arial" w:hAnsi="Arial" w:eastAsia="Times New Roman" w:cs="Arial"/>
                <w:sz w:val="20"/>
                <w:szCs w:val="20"/>
              </w:rPr>
            </w:pPr>
            <w:r w:rsidRPr="002D6545">
              <w:rPr>
                <w:rFonts w:ascii="Arial" w:hAnsi="Arial"/>
                <w:sz w:val="20"/>
              </w:rPr>
              <w:t xml:space="preserve">s. Terjatve znotraj enote, ki jih vknjižijo tuje podružnice </w:t>
            </w:r>
          </w:p>
        </w:tc>
        <w:tc>
          <w:tcPr>
            <w:tcW w:w="2745" w:type="dxa"/>
            <w:tcBorders>
              <w:left w:val="nil"/>
              <w:right w:val="nil"/>
            </w:tcBorders>
            <w:noWrap/>
          </w:tcPr>
          <w:p w:rsidRPr="002D6545" w:rsidR="005E16C5" w:rsidP="00C90CB4" w:rsidRDefault="005E16C5" w14:paraId="7D5BB985" w14:textId="77777777">
            <w:pPr>
              <w:jc w:val="right"/>
              <w:rPr>
                <w:rFonts w:ascii="Arial" w:hAnsi="Arial" w:eastAsia="Times New Roman" w:cs="Arial"/>
                <w:sz w:val="20"/>
                <w:szCs w:val="20"/>
                <w:lang w:eastAsia="en-GB"/>
              </w:rPr>
            </w:pPr>
          </w:p>
        </w:tc>
      </w:tr>
      <w:tr w:rsidRPr="002D6545" w:rsidR="005E16C5" w:rsidTr="00C90CB4" w14:paraId="318B9997" w14:textId="77777777">
        <w:trPr>
          <w:trHeight w:val="300"/>
        </w:trPr>
        <w:tc>
          <w:tcPr>
            <w:tcW w:w="6804" w:type="dxa"/>
            <w:tcBorders>
              <w:left w:val="nil"/>
              <w:right w:val="nil"/>
            </w:tcBorders>
            <w:noWrap/>
          </w:tcPr>
          <w:p w:rsidRPr="002D6545" w:rsidR="005E16C5" w:rsidP="00C90CB4" w:rsidRDefault="005E16C5" w14:paraId="050D16C1" w14:textId="77777777">
            <w:pPr>
              <w:ind w:firstLine="200" w:firstLineChars="100"/>
              <w:rPr>
                <w:rFonts w:ascii="Arial" w:hAnsi="Arial" w:eastAsia="Times New Roman" w:cs="Arial"/>
                <w:sz w:val="20"/>
                <w:szCs w:val="20"/>
              </w:rPr>
            </w:pPr>
            <w:r w:rsidRPr="002D6545">
              <w:rPr>
                <w:rFonts w:ascii="Arial" w:hAnsi="Arial"/>
                <w:sz w:val="20"/>
              </w:rPr>
              <w:t>t. Obveznosti znotraj enote, ki jih vknjižijo tuje podrejene družbe</w:t>
            </w:r>
          </w:p>
        </w:tc>
        <w:tc>
          <w:tcPr>
            <w:tcW w:w="2745" w:type="dxa"/>
            <w:tcBorders>
              <w:left w:val="nil"/>
              <w:right w:val="nil"/>
            </w:tcBorders>
            <w:noWrap/>
          </w:tcPr>
          <w:p w:rsidRPr="002D6545" w:rsidR="005E16C5" w:rsidP="00C90CB4" w:rsidRDefault="005E16C5" w14:paraId="622E9EB6" w14:textId="77777777">
            <w:pPr>
              <w:jc w:val="right"/>
              <w:rPr>
                <w:rFonts w:ascii="Arial" w:hAnsi="Arial" w:eastAsia="Times New Roman" w:cs="Arial"/>
                <w:sz w:val="20"/>
                <w:szCs w:val="20"/>
                <w:lang w:eastAsia="en-GB"/>
              </w:rPr>
            </w:pPr>
          </w:p>
        </w:tc>
      </w:tr>
      <w:tr w:rsidRPr="002D6545" w:rsidR="005E16C5" w:rsidTr="00C90CB4" w14:paraId="13975683" w14:textId="77777777">
        <w:trPr>
          <w:trHeight w:val="300"/>
        </w:trPr>
        <w:tc>
          <w:tcPr>
            <w:tcW w:w="6804" w:type="dxa"/>
            <w:tcBorders>
              <w:left w:val="nil"/>
              <w:right w:val="nil"/>
            </w:tcBorders>
            <w:noWrap/>
          </w:tcPr>
          <w:p w:rsidRPr="002D6545" w:rsidR="005E16C5" w:rsidP="00C90CB4" w:rsidRDefault="005E16C5" w14:paraId="538FF7CB" w14:textId="77777777">
            <w:pPr>
              <w:ind w:firstLine="200" w:firstLineChars="100"/>
              <w:rPr>
                <w:rFonts w:ascii="Arial" w:hAnsi="Arial" w:eastAsia="Times New Roman" w:cs="Arial"/>
                <w:sz w:val="20"/>
                <w:szCs w:val="20"/>
              </w:rPr>
            </w:pPr>
            <w:r w:rsidRPr="002D6545">
              <w:rPr>
                <w:rFonts w:ascii="Arial" w:hAnsi="Arial"/>
                <w:sz w:val="20"/>
              </w:rPr>
              <w:t xml:space="preserve">u. Obveznosti znotraj enote, ki jih vknjižijo tuje podružnice </w:t>
            </w:r>
          </w:p>
        </w:tc>
        <w:tc>
          <w:tcPr>
            <w:tcW w:w="2745" w:type="dxa"/>
            <w:tcBorders>
              <w:left w:val="nil"/>
              <w:right w:val="nil"/>
            </w:tcBorders>
            <w:noWrap/>
          </w:tcPr>
          <w:p w:rsidRPr="002D6545" w:rsidR="005E16C5" w:rsidP="00C90CB4" w:rsidRDefault="005E16C5" w14:paraId="5521FA97" w14:textId="77777777">
            <w:pPr>
              <w:jc w:val="right"/>
              <w:rPr>
                <w:rFonts w:ascii="Arial" w:hAnsi="Arial" w:eastAsia="Times New Roman" w:cs="Arial"/>
                <w:sz w:val="20"/>
                <w:szCs w:val="20"/>
                <w:lang w:eastAsia="en-GB"/>
              </w:rPr>
            </w:pPr>
          </w:p>
        </w:tc>
      </w:tr>
      <w:tr w:rsidRPr="002D6545" w:rsidR="005E16C5" w:rsidTr="00C90CB4" w14:paraId="2ACFD5A4" w14:textId="77777777">
        <w:trPr>
          <w:trHeight w:val="300"/>
        </w:trPr>
        <w:tc>
          <w:tcPr>
            <w:tcW w:w="6804" w:type="dxa"/>
            <w:tcBorders>
              <w:left w:val="nil"/>
              <w:right w:val="nil"/>
            </w:tcBorders>
            <w:noWrap/>
          </w:tcPr>
          <w:p w:rsidRPr="002D6545" w:rsidR="005E16C5" w:rsidP="00C90CB4" w:rsidRDefault="005E16C5" w14:paraId="2FDEA965" w14:textId="77777777">
            <w:pPr>
              <w:ind w:firstLine="200" w:firstLineChars="100"/>
              <w:rPr>
                <w:rFonts w:ascii="Arial" w:hAnsi="Arial" w:eastAsia="Times New Roman" w:cs="Arial"/>
                <w:sz w:val="20"/>
                <w:szCs w:val="20"/>
              </w:rPr>
            </w:pPr>
            <w:r w:rsidRPr="002D6545">
              <w:rPr>
                <w:rFonts w:ascii="Arial" w:hAnsi="Arial"/>
                <w:sz w:val="20"/>
              </w:rPr>
              <w:t xml:space="preserve">v. Četrtletna povprečna vrednost terjatev v sodni pristojnosti druge države </w:t>
            </w:r>
          </w:p>
        </w:tc>
        <w:tc>
          <w:tcPr>
            <w:tcW w:w="2745" w:type="dxa"/>
            <w:tcBorders>
              <w:left w:val="nil"/>
              <w:right w:val="nil"/>
            </w:tcBorders>
            <w:noWrap/>
          </w:tcPr>
          <w:p w:rsidRPr="002D6545" w:rsidR="005E16C5" w:rsidP="00C90CB4" w:rsidRDefault="005E16C5" w14:paraId="0C155E50" w14:textId="77777777">
            <w:pPr>
              <w:jc w:val="right"/>
              <w:rPr>
                <w:rFonts w:ascii="Arial" w:hAnsi="Arial" w:eastAsia="Times New Roman" w:cs="Arial"/>
                <w:sz w:val="20"/>
                <w:szCs w:val="20"/>
                <w:lang w:eastAsia="en-GB"/>
              </w:rPr>
            </w:pPr>
          </w:p>
        </w:tc>
      </w:tr>
      <w:tr w:rsidRPr="002D6545" w:rsidR="005E16C5" w:rsidTr="00C90CB4" w14:paraId="300279DE" w14:textId="77777777">
        <w:trPr>
          <w:trHeight w:val="300"/>
        </w:trPr>
        <w:tc>
          <w:tcPr>
            <w:tcW w:w="6804" w:type="dxa"/>
            <w:tcBorders>
              <w:left w:val="nil"/>
              <w:right w:val="nil"/>
            </w:tcBorders>
            <w:noWrap/>
          </w:tcPr>
          <w:p w:rsidRPr="002D6545" w:rsidR="005E16C5" w:rsidP="00C90CB4" w:rsidRDefault="005E16C5" w14:paraId="0243BF5C" w14:textId="77777777">
            <w:pPr>
              <w:ind w:firstLine="200" w:firstLineChars="100"/>
              <w:rPr>
                <w:rFonts w:ascii="Arial" w:hAnsi="Arial" w:eastAsia="Times New Roman" w:cs="Arial"/>
                <w:sz w:val="20"/>
                <w:szCs w:val="20"/>
              </w:rPr>
            </w:pPr>
            <w:r w:rsidRPr="002D6545">
              <w:rPr>
                <w:rFonts w:ascii="Arial" w:hAnsi="Arial"/>
                <w:sz w:val="20"/>
              </w:rPr>
              <w:t xml:space="preserve">w. Mesečna povprečna vrednost terjatev v sodni pristojnosti druge države </w:t>
            </w:r>
          </w:p>
        </w:tc>
        <w:tc>
          <w:tcPr>
            <w:tcW w:w="2745" w:type="dxa"/>
            <w:tcBorders>
              <w:left w:val="nil"/>
              <w:right w:val="nil"/>
            </w:tcBorders>
            <w:noWrap/>
          </w:tcPr>
          <w:p w:rsidRPr="002D6545" w:rsidR="005E16C5" w:rsidP="00C90CB4" w:rsidRDefault="005E16C5" w14:paraId="7C10EA89" w14:textId="77777777">
            <w:pPr>
              <w:jc w:val="right"/>
              <w:rPr>
                <w:rFonts w:ascii="Arial" w:hAnsi="Arial" w:eastAsia="Times New Roman" w:cs="Arial"/>
                <w:sz w:val="20"/>
                <w:szCs w:val="20"/>
                <w:lang w:eastAsia="en-GB"/>
              </w:rPr>
            </w:pPr>
          </w:p>
        </w:tc>
      </w:tr>
      <w:tr w:rsidRPr="002D6545" w:rsidR="005E16C5" w:rsidTr="00C90CB4" w14:paraId="0DDF8032" w14:textId="77777777">
        <w:trPr>
          <w:trHeight w:val="300"/>
        </w:trPr>
        <w:tc>
          <w:tcPr>
            <w:tcW w:w="6804" w:type="dxa"/>
            <w:tcBorders>
              <w:left w:val="nil"/>
              <w:right w:val="nil"/>
            </w:tcBorders>
            <w:noWrap/>
          </w:tcPr>
          <w:p w:rsidRPr="002D6545" w:rsidR="005E16C5" w:rsidP="00C90CB4" w:rsidRDefault="005E16C5" w14:paraId="6A09FA02" w14:textId="77777777">
            <w:pPr>
              <w:ind w:firstLine="200" w:firstLineChars="100"/>
              <w:rPr>
                <w:rFonts w:ascii="Arial" w:hAnsi="Arial" w:eastAsia="Times New Roman" w:cs="Arial"/>
                <w:sz w:val="20"/>
                <w:szCs w:val="20"/>
              </w:rPr>
            </w:pPr>
            <w:r w:rsidRPr="002D6545">
              <w:rPr>
                <w:rFonts w:ascii="Arial" w:hAnsi="Arial"/>
                <w:sz w:val="20"/>
              </w:rPr>
              <w:t xml:space="preserve">x. Četrtletna povprečna vrednost obveznosti v sodni pristojnosti druge države </w:t>
            </w:r>
          </w:p>
        </w:tc>
        <w:tc>
          <w:tcPr>
            <w:tcW w:w="2745" w:type="dxa"/>
            <w:tcBorders>
              <w:left w:val="nil"/>
              <w:right w:val="nil"/>
            </w:tcBorders>
            <w:noWrap/>
          </w:tcPr>
          <w:p w:rsidRPr="002D6545" w:rsidR="005E16C5" w:rsidP="00C90CB4" w:rsidRDefault="005E16C5" w14:paraId="1BC9200E" w14:textId="77777777">
            <w:pPr>
              <w:jc w:val="right"/>
              <w:rPr>
                <w:rFonts w:ascii="Arial" w:hAnsi="Arial" w:eastAsia="Times New Roman" w:cs="Arial"/>
                <w:sz w:val="20"/>
                <w:szCs w:val="20"/>
                <w:lang w:eastAsia="en-GB"/>
              </w:rPr>
            </w:pPr>
          </w:p>
        </w:tc>
      </w:tr>
      <w:tr w:rsidRPr="002D6545" w:rsidR="005E16C5" w:rsidTr="00C90CB4" w14:paraId="4324EF8A" w14:textId="77777777">
        <w:trPr>
          <w:trHeight w:val="300"/>
        </w:trPr>
        <w:tc>
          <w:tcPr>
            <w:tcW w:w="6804" w:type="dxa"/>
            <w:tcBorders>
              <w:left w:val="nil"/>
              <w:bottom w:val="single" w:color="auto" w:sz="4" w:space="0"/>
              <w:right w:val="nil"/>
            </w:tcBorders>
            <w:noWrap/>
          </w:tcPr>
          <w:p w:rsidRPr="002D6545" w:rsidR="005E16C5" w:rsidP="00C90CB4" w:rsidRDefault="005E16C5" w14:paraId="5245C01A" w14:textId="77777777">
            <w:pPr>
              <w:ind w:firstLine="200" w:firstLineChars="100"/>
              <w:rPr>
                <w:rFonts w:ascii="Arial" w:hAnsi="Arial" w:eastAsia="Times New Roman" w:cs="Arial"/>
                <w:sz w:val="20"/>
                <w:szCs w:val="20"/>
              </w:rPr>
            </w:pPr>
            <w:r w:rsidRPr="002D6545">
              <w:rPr>
                <w:rFonts w:ascii="Arial" w:hAnsi="Arial"/>
                <w:sz w:val="20"/>
              </w:rPr>
              <w:t xml:space="preserve">y. Mesečna povprečna vrednost obveznosti v sodni pristojnosti druge države </w:t>
            </w:r>
          </w:p>
        </w:tc>
        <w:tc>
          <w:tcPr>
            <w:tcW w:w="2745" w:type="dxa"/>
            <w:tcBorders>
              <w:left w:val="nil"/>
              <w:bottom w:val="single" w:color="auto" w:sz="4" w:space="0"/>
              <w:right w:val="nil"/>
            </w:tcBorders>
            <w:noWrap/>
          </w:tcPr>
          <w:p w:rsidRPr="002D6545" w:rsidR="005E16C5" w:rsidP="00C90CB4" w:rsidRDefault="005E16C5" w14:paraId="58E7794A" w14:textId="77777777">
            <w:pPr>
              <w:jc w:val="right"/>
              <w:rPr>
                <w:rFonts w:ascii="Arial" w:hAnsi="Arial" w:eastAsia="Times New Roman" w:cs="Arial"/>
                <w:sz w:val="20"/>
                <w:szCs w:val="20"/>
                <w:lang w:eastAsia="en-GB"/>
              </w:rPr>
            </w:pPr>
          </w:p>
        </w:tc>
      </w:tr>
      <w:tr w:rsidRPr="002D6545" w:rsidR="005E16C5" w:rsidTr="00C90CB4" w14:paraId="2CE64AC7" w14:textId="77777777">
        <w:trPr>
          <w:trHeight w:val="300"/>
        </w:trPr>
        <w:tc>
          <w:tcPr>
            <w:tcW w:w="6804" w:type="dxa"/>
            <w:tcBorders>
              <w:left w:val="nil"/>
              <w:bottom w:val="nil"/>
              <w:right w:val="nil"/>
            </w:tcBorders>
            <w:noWrap/>
          </w:tcPr>
          <w:p w:rsidRPr="002D6545" w:rsidR="005E16C5" w:rsidP="00C90CB4" w:rsidRDefault="005E16C5" w14:paraId="7B064AEF"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2D6545" w:rsidR="005E16C5" w:rsidP="00C90CB4" w:rsidRDefault="005E16C5" w14:paraId="3B75AFCE" w14:textId="77777777">
            <w:pPr>
              <w:jc w:val="right"/>
              <w:rPr>
                <w:rFonts w:ascii="Arial" w:hAnsi="Arial" w:eastAsia="Times New Roman" w:cs="Arial"/>
                <w:sz w:val="20"/>
                <w:szCs w:val="20"/>
                <w:lang w:eastAsia="en-GB"/>
              </w:rPr>
            </w:pPr>
          </w:p>
        </w:tc>
      </w:tr>
      <w:tr w:rsidRPr="002D6545" w:rsidR="005E16C5" w:rsidTr="00C90CB4" w14:paraId="75CF1B8B" w14:textId="77777777">
        <w:trPr>
          <w:trHeight w:val="300"/>
        </w:trPr>
        <w:tc>
          <w:tcPr>
            <w:tcW w:w="6804" w:type="dxa"/>
            <w:tcBorders>
              <w:top w:val="nil"/>
              <w:left w:val="nil"/>
              <w:right w:val="nil"/>
            </w:tcBorders>
            <w:noWrap/>
          </w:tcPr>
          <w:p w:rsidRPr="002D6545" w:rsidR="005E16C5" w:rsidP="00C90CB4" w:rsidRDefault="005E16C5" w14:paraId="19CF7F13" w14:textId="77777777">
            <w:pPr>
              <w:rPr>
                <w:rFonts w:ascii="Arial" w:hAnsi="Arial" w:eastAsia="Times New Roman" w:cs="Arial"/>
                <w:sz w:val="20"/>
                <w:szCs w:val="20"/>
              </w:rPr>
            </w:pPr>
            <w:r w:rsidRPr="002D6545">
              <w:rPr>
                <w:rFonts w:ascii="Arial" w:hAnsi="Arial"/>
                <w:b/>
                <w:sz w:val="20"/>
              </w:rPr>
              <w:t>Oddelek 22 – Dodatni kazalniki</w:t>
            </w:r>
          </w:p>
        </w:tc>
        <w:tc>
          <w:tcPr>
            <w:tcW w:w="2745" w:type="dxa"/>
            <w:tcBorders>
              <w:top w:val="nil"/>
              <w:left w:val="nil"/>
              <w:right w:val="nil"/>
            </w:tcBorders>
            <w:noWrap/>
          </w:tcPr>
          <w:p w:rsidRPr="002D6545" w:rsidR="005E16C5" w:rsidP="00C90CB4" w:rsidRDefault="005E16C5" w14:paraId="484ABA05" w14:textId="77777777">
            <w:pPr>
              <w:jc w:val="right"/>
              <w:rPr>
                <w:rFonts w:ascii="Arial" w:hAnsi="Arial" w:eastAsia="Times New Roman" w:cs="Arial"/>
                <w:sz w:val="20"/>
                <w:szCs w:val="20"/>
                <w:lang w:eastAsia="en-GB"/>
              </w:rPr>
            </w:pPr>
          </w:p>
        </w:tc>
      </w:tr>
      <w:tr w:rsidRPr="002D6545" w:rsidR="005E16C5" w:rsidTr="00C90CB4" w14:paraId="13B7DA29" w14:textId="77777777">
        <w:trPr>
          <w:trHeight w:val="300"/>
        </w:trPr>
        <w:tc>
          <w:tcPr>
            <w:tcW w:w="6804" w:type="dxa"/>
            <w:tcBorders>
              <w:left w:val="nil"/>
              <w:right w:val="nil"/>
            </w:tcBorders>
            <w:noWrap/>
          </w:tcPr>
          <w:p w:rsidRPr="002D6545" w:rsidR="005E16C5" w:rsidP="00C90CB4" w:rsidRDefault="005E16C5" w14:paraId="25609983" w14:textId="77777777">
            <w:pPr>
              <w:ind w:firstLine="200" w:firstLineChars="100"/>
              <w:rPr>
                <w:rFonts w:ascii="Arial" w:hAnsi="Arial" w:eastAsia="Times New Roman" w:cs="Arial"/>
                <w:sz w:val="20"/>
                <w:szCs w:val="20"/>
              </w:rPr>
            </w:pPr>
            <w:r w:rsidRPr="002D6545">
              <w:rPr>
                <w:rFonts w:ascii="Arial" w:hAnsi="Arial"/>
                <w:sz w:val="20"/>
              </w:rPr>
              <w:t>a. Tuji neto prihodki (ob upoštevanju EMR kot enotne jurisdikcije)</w:t>
            </w:r>
          </w:p>
        </w:tc>
        <w:tc>
          <w:tcPr>
            <w:tcW w:w="2745" w:type="dxa"/>
            <w:tcBorders>
              <w:left w:val="nil"/>
              <w:right w:val="nil"/>
            </w:tcBorders>
            <w:noWrap/>
          </w:tcPr>
          <w:p w:rsidRPr="002D6545" w:rsidR="005E16C5" w:rsidP="00C90CB4" w:rsidRDefault="005E16C5" w14:paraId="05EDED5E" w14:textId="77777777">
            <w:pPr>
              <w:jc w:val="right"/>
              <w:rPr>
                <w:rFonts w:ascii="Arial" w:hAnsi="Arial" w:eastAsia="Times New Roman" w:cs="Arial"/>
                <w:sz w:val="20"/>
                <w:szCs w:val="20"/>
                <w:lang w:eastAsia="en-GB"/>
              </w:rPr>
            </w:pPr>
          </w:p>
        </w:tc>
      </w:tr>
      <w:tr w:rsidRPr="002D6545" w:rsidR="005E16C5" w:rsidTr="00C90CB4" w14:paraId="370241D0" w14:textId="77777777">
        <w:trPr>
          <w:trHeight w:val="300"/>
        </w:trPr>
        <w:tc>
          <w:tcPr>
            <w:tcW w:w="6804" w:type="dxa"/>
            <w:tcBorders>
              <w:left w:val="nil"/>
              <w:bottom w:val="single" w:color="auto" w:sz="4" w:space="0"/>
              <w:right w:val="nil"/>
            </w:tcBorders>
            <w:noWrap/>
          </w:tcPr>
          <w:p w:rsidRPr="002D6545" w:rsidR="005E16C5" w:rsidP="00C90CB4" w:rsidRDefault="005E16C5" w14:paraId="0F39146A" w14:textId="77777777">
            <w:pPr>
              <w:ind w:firstLine="200" w:firstLineChars="100"/>
              <w:rPr>
                <w:rFonts w:ascii="Arial" w:hAnsi="Arial" w:eastAsia="Times New Roman" w:cs="Arial"/>
                <w:sz w:val="20"/>
                <w:szCs w:val="20"/>
              </w:rPr>
            </w:pPr>
            <w:r w:rsidRPr="002D6545">
              <w:rPr>
                <w:rFonts w:ascii="Arial" w:hAnsi="Arial"/>
                <w:sz w:val="20"/>
              </w:rPr>
              <w:t>b. Število jurisdikcij (ob upoštevanju EMR kot enotne jurisdikcije)</w:t>
            </w:r>
          </w:p>
        </w:tc>
        <w:tc>
          <w:tcPr>
            <w:tcW w:w="2745" w:type="dxa"/>
            <w:tcBorders>
              <w:left w:val="nil"/>
              <w:right w:val="nil"/>
            </w:tcBorders>
            <w:noWrap/>
          </w:tcPr>
          <w:p w:rsidRPr="002D6545" w:rsidR="005E16C5" w:rsidP="00C90CB4" w:rsidRDefault="005E16C5" w14:paraId="1BD0DEDB" w14:textId="77777777">
            <w:pPr>
              <w:jc w:val="right"/>
              <w:rPr>
                <w:rFonts w:ascii="Arial" w:hAnsi="Arial" w:eastAsia="Times New Roman" w:cs="Arial"/>
                <w:sz w:val="20"/>
                <w:szCs w:val="20"/>
                <w:lang w:eastAsia="en-GB"/>
              </w:rPr>
            </w:pPr>
          </w:p>
        </w:tc>
      </w:tr>
      <w:tr w:rsidRPr="002D6545" w:rsidR="005E16C5" w:rsidTr="00C90CB4" w14:paraId="69E1587D" w14:textId="77777777">
        <w:trPr>
          <w:trHeight w:val="300"/>
        </w:trPr>
        <w:tc>
          <w:tcPr>
            <w:tcW w:w="6804" w:type="dxa"/>
            <w:tcBorders>
              <w:left w:val="nil"/>
              <w:bottom w:val="nil"/>
              <w:right w:val="nil"/>
            </w:tcBorders>
            <w:noWrap/>
          </w:tcPr>
          <w:p w:rsidRPr="002D6545" w:rsidR="005E16C5" w:rsidP="00C90CB4" w:rsidRDefault="005E16C5" w14:paraId="6CA3A2A0"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2D6545" w:rsidR="005E16C5" w:rsidP="00C90CB4" w:rsidRDefault="005E16C5" w14:paraId="5CA2BAB3" w14:textId="77777777">
            <w:pPr>
              <w:jc w:val="right"/>
              <w:rPr>
                <w:rFonts w:ascii="Arial" w:hAnsi="Arial" w:eastAsia="Times New Roman" w:cs="Arial"/>
                <w:sz w:val="20"/>
                <w:szCs w:val="20"/>
                <w:lang w:eastAsia="en-GB"/>
              </w:rPr>
            </w:pPr>
          </w:p>
        </w:tc>
      </w:tr>
      <w:tr w:rsidRPr="002D6545" w:rsidR="005E16C5" w:rsidTr="00C90CB4" w14:paraId="019E0B49" w14:textId="77777777">
        <w:trPr>
          <w:trHeight w:val="300"/>
        </w:trPr>
        <w:tc>
          <w:tcPr>
            <w:tcW w:w="6804" w:type="dxa"/>
            <w:tcBorders>
              <w:top w:val="nil"/>
              <w:left w:val="nil"/>
              <w:bottom w:val="nil"/>
              <w:right w:val="nil"/>
            </w:tcBorders>
            <w:noWrap/>
          </w:tcPr>
          <w:p w:rsidRPr="002D6545" w:rsidR="005E16C5" w:rsidP="00C90CB4" w:rsidRDefault="005E16C5" w14:paraId="050CB018" w14:textId="77777777">
            <w:pPr>
              <w:ind w:firstLine="221" w:firstLineChars="100"/>
              <w:rPr>
                <w:rFonts w:ascii="Arial" w:hAnsi="Arial" w:eastAsia="Times New Roman" w:cs="Arial"/>
                <w:sz w:val="20"/>
                <w:szCs w:val="20"/>
              </w:rPr>
            </w:pPr>
            <w:r w:rsidRPr="002D6545">
              <w:rPr>
                <w:rFonts w:asciiTheme="majorHAnsi" w:hAnsiTheme="majorHAnsi"/>
                <w:b/>
                <w:i/>
                <w:caps/>
              </w:rPr>
              <w:t>Povzetek pregledov</w:t>
            </w:r>
          </w:p>
        </w:tc>
        <w:tc>
          <w:tcPr>
            <w:tcW w:w="2745" w:type="dxa"/>
            <w:tcBorders>
              <w:top w:val="nil"/>
              <w:left w:val="nil"/>
              <w:bottom w:val="nil"/>
              <w:right w:val="nil"/>
            </w:tcBorders>
            <w:noWrap/>
          </w:tcPr>
          <w:p w:rsidRPr="002D6545" w:rsidR="005E16C5" w:rsidP="00C90CB4" w:rsidRDefault="005E16C5" w14:paraId="52CC45C9" w14:textId="77777777">
            <w:pPr>
              <w:jc w:val="right"/>
              <w:rPr>
                <w:rFonts w:ascii="Arial" w:hAnsi="Arial" w:eastAsia="Times New Roman" w:cs="Arial"/>
                <w:sz w:val="20"/>
                <w:szCs w:val="20"/>
                <w:lang w:eastAsia="en-GB"/>
              </w:rPr>
            </w:pPr>
          </w:p>
        </w:tc>
      </w:tr>
      <w:tr w:rsidRPr="002D6545" w:rsidR="005E16C5" w:rsidTr="00C90CB4" w14:paraId="04F54C41" w14:textId="77777777">
        <w:trPr>
          <w:trHeight w:val="300"/>
        </w:trPr>
        <w:tc>
          <w:tcPr>
            <w:tcW w:w="6804" w:type="dxa"/>
            <w:tcBorders>
              <w:top w:val="nil"/>
              <w:left w:val="nil"/>
              <w:bottom w:val="single" w:color="auto" w:sz="4" w:space="0"/>
              <w:right w:val="nil"/>
            </w:tcBorders>
            <w:noWrap/>
          </w:tcPr>
          <w:p w:rsidRPr="002D6545" w:rsidR="005E16C5" w:rsidP="00C90CB4" w:rsidRDefault="005E16C5" w14:paraId="2723AC23"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2D6545" w:rsidR="005E16C5" w:rsidP="00C90CB4" w:rsidRDefault="005E16C5" w14:paraId="1E8F9289" w14:textId="77777777">
            <w:pPr>
              <w:jc w:val="right"/>
              <w:rPr>
                <w:rFonts w:ascii="Arial" w:hAnsi="Arial" w:eastAsia="Times New Roman" w:cs="Arial"/>
                <w:sz w:val="20"/>
                <w:szCs w:val="20"/>
                <w:lang w:eastAsia="en-GB"/>
              </w:rPr>
            </w:pPr>
          </w:p>
        </w:tc>
      </w:tr>
      <w:tr w:rsidRPr="002D6545" w:rsidR="005E16C5" w:rsidTr="00C90CB4" w14:paraId="085D18D5" w14:textId="77777777">
        <w:trPr>
          <w:trHeight w:val="300"/>
        </w:trPr>
        <w:tc>
          <w:tcPr>
            <w:tcW w:w="6804" w:type="dxa"/>
            <w:tcBorders>
              <w:left w:val="nil"/>
              <w:bottom w:val="single" w:color="auto" w:sz="4" w:space="0"/>
              <w:right w:val="nil"/>
            </w:tcBorders>
            <w:noWrap/>
          </w:tcPr>
          <w:p w:rsidRPr="002D6545" w:rsidR="005E16C5" w:rsidP="00C90CB4" w:rsidRDefault="005E16C5" w14:paraId="517B1777" w14:textId="77777777">
            <w:pPr>
              <w:rPr>
                <w:rFonts w:ascii="Arial" w:hAnsi="Arial" w:eastAsia="Times New Roman" w:cs="Arial"/>
                <w:sz w:val="20"/>
                <w:szCs w:val="20"/>
              </w:rPr>
            </w:pPr>
            <w:r w:rsidRPr="002D6545">
              <w:rPr>
                <w:b/>
              </w:rPr>
              <w:t>Oddelek 23 – Vrednosti kazalnikov (revidirana metodologija)</w:t>
            </w:r>
          </w:p>
        </w:tc>
        <w:tc>
          <w:tcPr>
            <w:tcW w:w="2745" w:type="dxa"/>
            <w:tcBorders>
              <w:left w:val="nil"/>
              <w:right w:val="nil"/>
            </w:tcBorders>
            <w:noWrap/>
          </w:tcPr>
          <w:p w:rsidRPr="002D6545" w:rsidR="005E16C5" w:rsidP="00C90CB4" w:rsidRDefault="005E16C5" w14:paraId="7A401B1D" w14:textId="77777777">
            <w:pPr>
              <w:jc w:val="center"/>
              <w:rPr>
                <w:rFonts w:ascii="Arial" w:hAnsi="Arial" w:eastAsia="Times New Roman" w:cs="Arial"/>
                <w:sz w:val="20"/>
                <w:szCs w:val="20"/>
              </w:rPr>
            </w:pPr>
            <w:r w:rsidRPr="002D6545">
              <w:rPr>
                <w:b/>
              </w:rPr>
              <w:t>Vrednost kazalnika v valuti poročanja</w:t>
            </w:r>
          </w:p>
        </w:tc>
      </w:tr>
      <w:tr w:rsidRPr="002D6545" w:rsidR="005E16C5" w:rsidTr="00C90CB4" w14:paraId="537F5217" w14:textId="77777777">
        <w:trPr>
          <w:trHeight w:val="300"/>
        </w:trPr>
        <w:tc>
          <w:tcPr>
            <w:tcW w:w="6804" w:type="dxa"/>
            <w:tcBorders>
              <w:left w:val="nil"/>
              <w:bottom w:val="single" w:color="auto" w:sz="4" w:space="0"/>
              <w:right w:val="nil"/>
            </w:tcBorders>
            <w:noWrap/>
          </w:tcPr>
          <w:p w:rsidRPr="002D6545" w:rsidR="005E16C5" w:rsidP="00C90CB4" w:rsidRDefault="005E16C5" w14:paraId="768E4911" w14:textId="77777777">
            <w:pPr>
              <w:ind w:left="171" w:firstLine="48" w:firstLineChars="22"/>
              <w:rPr>
                <w:rFonts w:ascii="Arial" w:hAnsi="Arial" w:eastAsia="Times New Roman" w:cs="Arial"/>
                <w:sz w:val="20"/>
                <w:szCs w:val="20"/>
              </w:rPr>
            </w:pPr>
            <w:r w:rsidRPr="002D6545">
              <w:t>a. Oddelek 2 – Kazalnik skupnega zneska izpostavljenosti, vključno s podrejenimi zavarovalnicami</w:t>
            </w:r>
          </w:p>
        </w:tc>
        <w:tc>
          <w:tcPr>
            <w:tcW w:w="2745" w:type="dxa"/>
            <w:tcBorders>
              <w:left w:val="nil"/>
              <w:right w:val="nil"/>
            </w:tcBorders>
            <w:noWrap/>
          </w:tcPr>
          <w:p w:rsidRPr="002D6545" w:rsidR="005E16C5" w:rsidP="00C90CB4" w:rsidRDefault="005E16C5" w14:paraId="4B95F907" w14:textId="77777777">
            <w:pPr>
              <w:jc w:val="right"/>
              <w:rPr>
                <w:rFonts w:ascii="Arial" w:hAnsi="Arial" w:eastAsia="Times New Roman" w:cs="Arial"/>
                <w:sz w:val="20"/>
                <w:szCs w:val="20"/>
                <w:lang w:eastAsia="en-GB"/>
              </w:rPr>
            </w:pPr>
          </w:p>
        </w:tc>
      </w:tr>
      <w:tr w:rsidRPr="002D6545" w:rsidR="005E16C5" w:rsidTr="00C90CB4" w14:paraId="47DDBB5F" w14:textId="77777777">
        <w:trPr>
          <w:trHeight w:val="300"/>
        </w:trPr>
        <w:tc>
          <w:tcPr>
            <w:tcW w:w="6804" w:type="dxa"/>
            <w:tcBorders>
              <w:left w:val="nil"/>
              <w:bottom w:val="single" w:color="auto" w:sz="4" w:space="0"/>
              <w:right w:val="nil"/>
            </w:tcBorders>
            <w:noWrap/>
          </w:tcPr>
          <w:p w:rsidRPr="002D6545" w:rsidR="005E16C5" w:rsidP="00C90CB4" w:rsidRDefault="005E16C5" w14:paraId="567D204F" w14:textId="77777777">
            <w:pPr>
              <w:ind w:left="171" w:firstLine="48" w:firstLineChars="22"/>
              <w:rPr>
                <w:rFonts w:ascii="Arial" w:hAnsi="Arial" w:eastAsia="Times New Roman" w:cs="Arial"/>
                <w:sz w:val="20"/>
                <w:szCs w:val="20"/>
              </w:rPr>
            </w:pPr>
            <w:r w:rsidRPr="002D6545">
              <w:t>b. Oddelek 3 – Kazalnik sredstev znotraj finančnega sistema, vključno s podrejenimi zavarovalnicami</w:t>
            </w:r>
          </w:p>
        </w:tc>
        <w:tc>
          <w:tcPr>
            <w:tcW w:w="2745" w:type="dxa"/>
            <w:tcBorders>
              <w:left w:val="nil"/>
              <w:right w:val="nil"/>
            </w:tcBorders>
            <w:noWrap/>
          </w:tcPr>
          <w:p w:rsidRPr="002D6545" w:rsidR="005E16C5" w:rsidP="00C90CB4" w:rsidRDefault="005E16C5" w14:paraId="194D5C61" w14:textId="77777777">
            <w:pPr>
              <w:jc w:val="right"/>
              <w:rPr>
                <w:rFonts w:ascii="Arial" w:hAnsi="Arial" w:eastAsia="Times New Roman" w:cs="Arial"/>
                <w:sz w:val="20"/>
                <w:szCs w:val="20"/>
                <w:lang w:eastAsia="en-GB"/>
              </w:rPr>
            </w:pPr>
          </w:p>
        </w:tc>
      </w:tr>
      <w:tr w:rsidRPr="002D6545" w:rsidR="005E16C5" w:rsidTr="00C90CB4" w14:paraId="415F81AA" w14:textId="77777777">
        <w:trPr>
          <w:trHeight w:val="300"/>
        </w:trPr>
        <w:tc>
          <w:tcPr>
            <w:tcW w:w="6804" w:type="dxa"/>
            <w:tcBorders>
              <w:left w:val="nil"/>
              <w:bottom w:val="single" w:color="auto" w:sz="4" w:space="0"/>
              <w:right w:val="nil"/>
            </w:tcBorders>
            <w:noWrap/>
          </w:tcPr>
          <w:p w:rsidRPr="002D6545" w:rsidR="005E16C5" w:rsidP="00C90CB4" w:rsidRDefault="005E16C5" w14:paraId="206A05F4" w14:textId="77777777">
            <w:pPr>
              <w:ind w:left="171" w:firstLine="48" w:firstLineChars="22"/>
              <w:rPr>
                <w:rFonts w:ascii="Arial" w:hAnsi="Arial" w:eastAsia="Times New Roman" w:cs="Arial"/>
                <w:sz w:val="20"/>
                <w:szCs w:val="20"/>
              </w:rPr>
            </w:pPr>
            <w:r w:rsidRPr="002D6545">
              <w:t>c. Oddelek 4 – Kazalnik obveznosti znotraj finančnega sistema, vključno s podrejenimi zavarovalnicami</w:t>
            </w:r>
          </w:p>
        </w:tc>
        <w:tc>
          <w:tcPr>
            <w:tcW w:w="2745" w:type="dxa"/>
            <w:tcBorders>
              <w:left w:val="nil"/>
              <w:right w:val="nil"/>
            </w:tcBorders>
            <w:noWrap/>
          </w:tcPr>
          <w:p w:rsidRPr="002D6545" w:rsidR="005E16C5" w:rsidP="00C90CB4" w:rsidRDefault="005E16C5" w14:paraId="1E731E56" w14:textId="77777777">
            <w:pPr>
              <w:jc w:val="right"/>
              <w:rPr>
                <w:rFonts w:ascii="Arial" w:hAnsi="Arial" w:eastAsia="Times New Roman" w:cs="Arial"/>
                <w:sz w:val="20"/>
                <w:szCs w:val="20"/>
                <w:lang w:eastAsia="en-GB"/>
              </w:rPr>
            </w:pPr>
          </w:p>
        </w:tc>
      </w:tr>
      <w:tr w:rsidRPr="002D6545" w:rsidR="005E16C5" w:rsidTr="00C90CB4" w14:paraId="7BCF1893" w14:textId="77777777">
        <w:trPr>
          <w:trHeight w:val="300"/>
        </w:trPr>
        <w:tc>
          <w:tcPr>
            <w:tcW w:w="6804" w:type="dxa"/>
            <w:tcBorders>
              <w:left w:val="nil"/>
              <w:bottom w:val="single" w:color="auto" w:sz="4" w:space="0"/>
              <w:right w:val="nil"/>
            </w:tcBorders>
            <w:noWrap/>
          </w:tcPr>
          <w:p w:rsidRPr="002D6545" w:rsidR="005E16C5" w:rsidP="00C90CB4" w:rsidRDefault="005E16C5" w14:paraId="07FE27FC" w14:textId="77777777">
            <w:pPr>
              <w:ind w:left="171" w:firstLine="48" w:firstLineChars="22"/>
              <w:rPr>
                <w:rFonts w:ascii="Arial" w:hAnsi="Arial" w:eastAsia="Times New Roman" w:cs="Arial"/>
                <w:sz w:val="20"/>
                <w:szCs w:val="20"/>
              </w:rPr>
            </w:pPr>
            <w:r w:rsidRPr="002D6545">
              <w:t>d. Oddelek 5 – Kazalnik nedospelih vrednostnih papirjev, vključno s podrejenimi zavarovalnicami</w:t>
            </w:r>
          </w:p>
        </w:tc>
        <w:tc>
          <w:tcPr>
            <w:tcW w:w="2745" w:type="dxa"/>
            <w:tcBorders>
              <w:left w:val="nil"/>
              <w:right w:val="nil"/>
            </w:tcBorders>
            <w:noWrap/>
          </w:tcPr>
          <w:p w:rsidRPr="002D6545" w:rsidR="005E16C5" w:rsidP="00C90CB4" w:rsidRDefault="005E16C5" w14:paraId="3C509E20" w14:textId="77777777">
            <w:pPr>
              <w:jc w:val="right"/>
              <w:rPr>
                <w:rFonts w:ascii="Arial" w:hAnsi="Arial" w:eastAsia="Times New Roman" w:cs="Arial"/>
                <w:sz w:val="20"/>
                <w:szCs w:val="20"/>
                <w:lang w:eastAsia="en-GB"/>
              </w:rPr>
            </w:pPr>
          </w:p>
        </w:tc>
      </w:tr>
      <w:tr w:rsidRPr="002D6545" w:rsidR="005E16C5" w:rsidTr="00C90CB4" w14:paraId="4A702047" w14:textId="77777777">
        <w:trPr>
          <w:trHeight w:val="300"/>
        </w:trPr>
        <w:tc>
          <w:tcPr>
            <w:tcW w:w="6804" w:type="dxa"/>
            <w:tcBorders>
              <w:left w:val="nil"/>
              <w:bottom w:val="single" w:color="auto" w:sz="4" w:space="0"/>
              <w:right w:val="nil"/>
            </w:tcBorders>
            <w:noWrap/>
          </w:tcPr>
          <w:p w:rsidRPr="002D6545" w:rsidR="005E16C5" w:rsidP="00C90CB4" w:rsidRDefault="005E16C5" w14:paraId="52EEAF45" w14:textId="77777777">
            <w:pPr>
              <w:ind w:firstLine="220" w:firstLineChars="100"/>
              <w:rPr>
                <w:rFonts w:ascii="Arial" w:hAnsi="Arial" w:eastAsia="Times New Roman" w:cs="Arial"/>
                <w:sz w:val="20"/>
                <w:szCs w:val="20"/>
              </w:rPr>
            </w:pPr>
            <w:r w:rsidRPr="002D6545">
              <w:t>e. Oddelek 6 – Kazalnik plačilne dejavnosti</w:t>
            </w:r>
          </w:p>
        </w:tc>
        <w:tc>
          <w:tcPr>
            <w:tcW w:w="2745" w:type="dxa"/>
            <w:tcBorders>
              <w:left w:val="nil"/>
              <w:right w:val="nil"/>
            </w:tcBorders>
            <w:noWrap/>
          </w:tcPr>
          <w:p w:rsidRPr="002D6545" w:rsidR="005E16C5" w:rsidP="00C90CB4" w:rsidRDefault="005E16C5" w14:paraId="29C6CB40" w14:textId="77777777">
            <w:pPr>
              <w:jc w:val="right"/>
              <w:rPr>
                <w:rFonts w:ascii="Arial" w:hAnsi="Arial" w:eastAsia="Times New Roman" w:cs="Arial"/>
                <w:sz w:val="20"/>
                <w:szCs w:val="20"/>
                <w:lang w:eastAsia="en-GB"/>
              </w:rPr>
            </w:pPr>
          </w:p>
        </w:tc>
      </w:tr>
      <w:tr w:rsidRPr="002D6545" w:rsidR="005E16C5" w:rsidTr="00C90CB4" w14:paraId="6EFF0943" w14:textId="77777777">
        <w:trPr>
          <w:trHeight w:val="300"/>
        </w:trPr>
        <w:tc>
          <w:tcPr>
            <w:tcW w:w="6804" w:type="dxa"/>
            <w:tcBorders>
              <w:left w:val="nil"/>
              <w:bottom w:val="single" w:color="auto" w:sz="4" w:space="0"/>
              <w:right w:val="nil"/>
            </w:tcBorders>
            <w:noWrap/>
          </w:tcPr>
          <w:p w:rsidRPr="002D6545" w:rsidR="005E16C5" w:rsidP="00C90CB4" w:rsidRDefault="005E16C5" w14:paraId="4A932F51" w14:textId="77777777">
            <w:pPr>
              <w:ind w:firstLine="220" w:firstLineChars="100"/>
              <w:rPr>
                <w:rFonts w:ascii="Arial" w:hAnsi="Arial" w:eastAsia="Times New Roman" w:cs="Arial"/>
                <w:sz w:val="20"/>
                <w:szCs w:val="20"/>
              </w:rPr>
            </w:pPr>
            <w:r w:rsidRPr="002D6545">
              <w:t>f. Oddelek 7 – Kazalnik sredstev v skrbništvu</w:t>
            </w:r>
          </w:p>
        </w:tc>
        <w:tc>
          <w:tcPr>
            <w:tcW w:w="2745" w:type="dxa"/>
            <w:tcBorders>
              <w:left w:val="nil"/>
              <w:right w:val="nil"/>
            </w:tcBorders>
            <w:noWrap/>
          </w:tcPr>
          <w:p w:rsidRPr="002D6545" w:rsidR="005E16C5" w:rsidP="00C90CB4" w:rsidRDefault="005E16C5" w14:paraId="0B8B0302" w14:textId="77777777">
            <w:pPr>
              <w:jc w:val="right"/>
              <w:rPr>
                <w:rFonts w:ascii="Arial" w:hAnsi="Arial" w:eastAsia="Times New Roman" w:cs="Arial"/>
                <w:sz w:val="20"/>
                <w:szCs w:val="20"/>
                <w:lang w:eastAsia="en-GB"/>
              </w:rPr>
            </w:pPr>
          </w:p>
        </w:tc>
      </w:tr>
      <w:tr w:rsidRPr="002D6545" w:rsidR="005E16C5" w:rsidTr="00C90CB4" w14:paraId="75B309E6" w14:textId="77777777">
        <w:trPr>
          <w:trHeight w:val="300"/>
        </w:trPr>
        <w:tc>
          <w:tcPr>
            <w:tcW w:w="6804" w:type="dxa"/>
            <w:tcBorders>
              <w:left w:val="nil"/>
              <w:bottom w:val="single" w:color="auto" w:sz="4" w:space="0"/>
              <w:right w:val="nil"/>
            </w:tcBorders>
            <w:noWrap/>
          </w:tcPr>
          <w:p w:rsidRPr="002D6545" w:rsidR="005E16C5" w:rsidP="00C90CB4" w:rsidRDefault="005E16C5" w14:paraId="49134F9E" w14:textId="77777777">
            <w:pPr>
              <w:ind w:firstLine="220" w:firstLineChars="100"/>
              <w:rPr>
                <w:rFonts w:ascii="Arial" w:hAnsi="Arial" w:eastAsia="Times New Roman" w:cs="Arial"/>
                <w:sz w:val="20"/>
                <w:szCs w:val="20"/>
              </w:rPr>
            </w:pPr>
            <w:r w:rsidRPr="002D6545">
              <w:lastRenderedPageBreak/>
              <w:t>g. Oddelek 8 – Kazalnik prve prodaje finančnih instrumentov z obveznostjo odkupa</w:t>
            </w:r>
          </w:p>
        </w:tc>
        <w:tc>
          <w:tcPr>
            <w:tcW w:w="2745" w:type="dxa"/>
            <w:tcBorders>
              <w:left w:val="nil"/>
              <w:right w:val="nil"/>
            </w:tcBorders>
            <w:noWrap/>
          </w:tcPr>
          <w:p w:rsidRPr="002D6545" w:rsidR="005E16C5" w:rsidP="00C90CB4" w:rsidRDefault="005E16C5" w14:paraId="04E2390B" w14:textId="77777777">
            <w:pPr>
              <w:jc w:val="right"/>
              <w:rPr>
                <w:rFonts w:ascii="Arial" w:hAnsi="Arial" w:eastAsia="Times New Roman" w:cs="Arial"/>
                <w:sz w:val="20"/>
                <w:szCs w:val="20"/>
                <w:lang w:eastAsia="en-GB"/>
              </w:rPr>
            </w:pPr>
          </w:p>
        </w:tc>
      </w:tr>
      <w:tr w:rsidRPr="002D6545" w:rsidR="005E16C5" w:rsidTr="00C90CB4" w14:paraId="5689CF8A" w14:textId="77777777">
        <w:trPr>
          <w:trHeight w:val="300"/>
        </w:trPr>
        <w:tc>
          <w:tcPr>
            <w:tcW w:w="6804" w:type="dxa"/>
            <w:tcBorders>
              <w:left w:val="nil"/>
              <w:bottom w:val="single" w:color="auto" w:sz="4" w:space="0"/>
              <w:right w:val="nil"/>
            </w:tcBorders>
            <w:noWrap/>
          </w:tcPr>
          <w:p w:rsidRPr="002D6545" w:rsidR="005E16C5" w:rsidP="00C90CB4" w:rsidRDefault="005E16C5" w14:paraId="708FB184" w14:textId="77777777">
            <w:pPr>
              <w:ind w:firstLine="220" w:firstLineChars="100"/>
              <w:rPr>
                <w:rFonts w:ascii="Arial" w:hAnsi="Arial" w:eastAsia="Times New Roman" w:cs="Arial"/>
                <w:sz w:val="20"/>
                <w:szCs w:val="20"/>
              </w:rPr>
            </w:pPr>
            <w:r w:rsidRPr="002D6545">
              <w:t>h. Oddelek 9.c – Podkazalnik obsega trgovanja s stalnim donosom</w:t>
            </w:r>
          </w:p>
        </w:tc>
        <w:tc>
          <w:tcPr>
            <w:tcW w:w="2745" w:type="dxa"/>
            <w:tcBorders>
              <w:left w:val="nil"/>
              <w:right w:val="nil"/>
            </w:tcBorders>
            <w:noWrap/>
          </w:tcPr>
          <w:p w:rsidRPr="002D6545" w:rsidR="005E16C5" w:rsidP="00C90CB4" w:rsidRDefault="005E16C5" w14:paraId="539A039F" w14:textId="77777777">
            <w:pPr>
              <w:jc w:val="right"/>
              <w:rPr>
                <w:rFonts w:ascii="Arial" w:hAnsi="Arial" w:eastAsia="Times New Roman" w:cs="Arial"/>
                <w:sz w:val="20"/>
                <w:szCs w:val="20"/>
                <w:lang w:eastAsia="en-GB"/>
              </w:rPr>
            </w:pPr>
          </w:p>
        </w:tc>
      </w:tr>
      <w:tr w:rsidRPr="002D6545" w:rsidR="005E16C5" w:rsidTr="00C90CB4" w14:paraId="4CEA2049" w14:textId="77777777">
        <w:trPr>
          <w:trHeight w:val="300"/>
        </w:trPr>
        <w:tc>
          <w:tcPr>
            <w:tcW w:w="6804" w:type="dxa"/>
            <w:tcBorders>
              <w:left w:val="nil"/>
              <w:bottom w:val="single" w:color="auto" w:sz="4" w:space="0"/>
              <w:right w:val="nil"/>
            </w:tcBorders>
            <w:noWrap/>
          </w:tcPr>
          <w:p w:rsidRPr="002D6545" w:rsidR="005E16C5" w:rsidP="00C90CB4" w:rsidRDefault="005E16C5" w14:paraId="7FEBC6BB" w14:textId="77777777">
            <w:pPr>
              <w:ind w:left="171" w:firstLine="77" w:firstLineChars="35"/>
              <w:rPr>
                <w:rFonts w:ascii="Arial" w:hAnsi="Arial" w:eastAsia="Times New Roman" w:cs="Arial"/>
                <w:sz w:val="20"/>
                <w:szCs w:val="20"/>
              </w:rPr>
            </w:pPr>
            <w:r w:rsidRPr="002D6545">
              <w:t>i. Oddelek 9.f – Podkazalnik obsega trgovanja z lastniškimi vrednostnimi papirji in drugimi vrednostnimi papirji</w:t>
            </w:r>
          </w:p>
        </w:tc>
        <w:tc>
          <w:tcPr>
            <w:tcW w:w="2745" w:type="dxa"/>
            <w:tcBorders>
              <w:left w:val="nil"/>
              <w:right w:val="nil"/>
            </w:tcBorders>
            <w:noWrap/>
          </w:tcPr>
          <w:p w:rsidRPr="002D6545" w:rsidR="005E16C5" w:rsidP="00C90CB4" w:rsidRDefault="005E16C5" w14:paraId="1333FFD4" w14:textId="77777777">
            <w:pPr>
              <w:jc w:val="right"/>
              <w:rPr>
                <w:rFonts w:ascii="Arial" w:hAnsi="Arial" w:eastAsia="Times New Roman" w:cs="Arial"/>
                <w:sz w:val="20"/>
                <w:szCs w:val="20"/>
                <w:lang w:eastAsia="en-GB"/>
              </w:rPr>
            </w:pPr>
          </w:p>
        </w:tc>
      </w:tr>
      <w:tr w:rsidRPr="002D6545" w:rsidR="005E16C5" w:rsidTr="00C90CB4" w14:paraId="2028420A" w14:textId="77777777">
        <w:trPr>
          <w:trHeight w:val="300"/>
        </w:trPr>
        <w:tc>
          <w:tcPr>
            <w:tcW w:w="6804" w:type="dxa"/>
            <w:tcBorders>
              <w:left w:val="nil"/>
              <w:bottom w:val="single" w:color="auto" w:sz="4" w:space="0"/>
              <w:right w:val="nil"/>
            </w:tcBorders>
            <w:noWrap/>
          </w:tcPr>
          <w:p w:rsidRPr="002D6545" w:rsidR="005E16C5" w:rsidP="00C90CB4" w:rsidRDefault="005E16C5" w14:paraId="4CE57A2B" w14:textId="77777777">
            <w:pPr>
              <w:ind w:left="171" w:firstLine="77" w:firstLineChars="35"/>
              <w:rPr>
                <w:rFonts w:ascii="Arial" w:hAnsi="Arial" w:eastAsia="Times New Roman" w:cs="Arial"/>
                <w:sz w:val="20"/>
                <w:szCs w:val="20"/>
              </w:rPr>
            </w:pPr>
            <w:r w:rsidRPr="002D6545">
              <w:t>j. Oddelek 10 – Kazalnik izvedenih finančnih instrumentov OTC, vključno s podrejenimi zavarovalnicami</w:t>
            </w:r>
          </w:p>
        </w:tc>
        <w:tc>
          <w:tcPr>
            <w:tcW w:w="2745" w:type="dxa"/>
            <w:tcBorders>
              <w:left w:val="nil"/>
              <w:right w:val="nil"/>
            </w:tcBorders>
            <w:noWrap/>
          </w:tcPr>
          <w:p w:rsidRPr="002D6545" w:rsidR="005E16C5" w:rsidP="00C90CB4" w:rsidRDefault="005E16C5" w14:paraId="1A8CA1CF" w14:textId="77777777">
            <w:pPr>
              <w:jc w:val="right"/>
              <w:rPr>
                <w:rFonts w:ascii="Arial" w:hAnsi="Arial" w:eastAsia="Times New Roman" w:cs="Arial"/>
                <w:sz w:val="20"/>
                <w:szCs w:val="20"/>
                <w:lang w:eastAsia="en-GB"/>
              </w:rPr>
            </w:pPr>
          </w:p>
        </w:tc>
      </w:tr>
      <w:tr w:rsidRPr="002D6545" w:rsidR="005E16C5" w:rsidTr="00C90CB4" w14:paraId="5AAC216F" w14:textId="77777777">
        <w:trPr>
          <w:trHeight w:val="300"/>
        </w:trPr>
        <w:tc>
          <w:tcPr>
            <w:tcW w:w="6804" w:type="dxa"/>
            <w:tcBorders>
              <w:left w:val="nil"/>
              <w:bottom w:val="single" w:color="auto" w:sz="4" w:space="0"/>
              <w:right w:val="nil"/>
            </w:tcBorders>
            <w:noWrap/>
          </w:tcPr>
          <w:p w:rsidRPr="002D6545" w:rsidR="005E16C5" w:rsidP="00C90CB4" w:rsidRDefault="005E16C5" w14:paraId="437A4A2E" w14:textId="77777777">
            <w:pPr>
              <w:ind w:firstLine="220" w:firstLineChars="100"/>
              <w:rPr>
                <w:rFonts w:ascii="Arial" w:hAnsi="Arial" w:eastAsia="Times New Roman" w:cs="Arial"/>
                <w:sz w:val="20"/>
                <w:szCs w:val="20"/>
              </w:rPr>
            </w:pPr>
            <w:r w:rsidRPr="002D6545">
              <w:t>k. Oddelek 11 – Kazalnik vrednostnih papirjev, namenjenih trgovanju in razpoložljivih za prodajo</w:t>
            </w:r>
          </w:p>
        </w:tc>
        <w:tc>
          <w:tcPr>
            <w:tcW w:w="2745" w:type="dxa"/>
            <w:tcBorders>
              <w:left w:val="nil"/>
              <w:right w:val="nil"/>
            </w:tcBorders>
            <w:noWrap/>
          </w:tcPr>
          <w:p w:rsidRPr="002D6545" w:rsidR="005E16C5" w:rsidP="00C90CB4" w:rsidRDefault="005E16C5" w14:paraId="457CAAAA" w14:textId="77777777">
            <w:pPr>
              <w:jc w:val="right"/>
              <w:rPr>
                <w:rFonts w:ascii="Arial" w:hAnsi="Arial" w:eastAsia="Times New Roman" w:cs="Arial"/>
                <w:sz w:val="20"/>
                <w:szCs w:val="20"/>
                <w:lang w:eastAsia="en-GB"/>
              </w:rPr>
            </w:pPr>
          </w:p>
        </w:tc>
      </w:tr>
      <w:tr w:rsidRPr="002D6545" w:rsidR="005E16C5" w:rsidTr="00C90CB4" w14:paraId="0E9DAFA1" w14:textId="77777777">
        <w:trPr>
          <w:trHeight w:val="300"/>
        </w:trPr>
        <w:tc>
          <w:tcPr>
            <w:tcW w:w="6804" w:type="dxa"/>
            <w:tcBorders>
              <w:left w:val="nil"/>
              <w:bottom w:val="single" w:color="auto" w:sz="4" w:space="0"/>
              <w:right w:val="nil"/>
            </w:tcBorders>
            <w:noWrap/>
          </w:tcPr>
          <w:p w:rsidRPr="002D6545" w:rsidR="005E16C5" w:rsidP="00C90CB4" w:rsidRDefault="005E16C5" w14:paraId="188B8BD3" w14:textId="77777777">
            <w:pPr>
              <w:ind w:firstLine="220" w:firstLineChars="100"/>
              <w:rPr>
                <w:rFonts w:ascii="Arial" w:hAnsi="Arial" w:eastAsia="Times New Roman" w:cs="Arial"/>
                <w:sz w:val="20"/>
                <w:szCs w:val="20"/>
              </w:rPr>
            </w:pPr>
            <w:r w:rsidRPr="002D6545">
              <w:t>l. Oddelek 12 – Kazalnik sredstev ravni 3, vključno s podrejenimi zavarovalnicami</w:t>
            </w:r>
          </w:p>
        </w:tc>
        <w:tc>
          <w:tcPr>
            <w:tcW w:w="2745" w:type="dxa"/>
            <w:tcBorders>
              <w:left w:val="nil"/>
              <w:right w:val="nil"/>
            </w:tcBorders>
            <w:noWrap/>
          </w:tcPr>
          <w:p w:rsidRPr="002D6545" w:rsidR="005E16C5" w:rsidP="00C90CB4" w:rsidRDefault="005E16C5" w14:paraId="3C7FD1BA" w14:textId="77777777">
            <w:pPr>
              <w:jc w:val="right"/>
              <w:rPr>
                <w:rFonts w:ascii="Arial" w:hAnsi="Arial" w:eastAsia="Times New Roman" w:cs="Arial"/>
                <w:sz w:val="20"/>
                <w:szCs w:val="20"/>
                <w:lang w:eastAsia="en-GB"/>
              </w:rPr>
            </w:pPr>
          </w:p>
        </w:tc>
      </w:tr>
      <w:tr w:rsidRPr="002D6545" w:rsidR="005E16C5" w:rsidTr="00C90CB4" w14:paraId="73790C97" w14:textId="77777777">
        <w:trPr>
          <w:trHeight w:val="300"/>
        </w:trPr>
        <w:tc>
          <w:tcPr>
            <w:tcW w:w="6804" w:type="dxa"/>
            <w:tcBorders>
              <w:left w:val="nil"/>
              <w:bottom w:val="single" w:color="auto" w:sz="4" w:space="0"/>
              <w:right w:val="nil"/>
            </w:tcBorders>
            <w:noWrap/>
          </w:tcPr>
          <w:p w:rsidRPr="002D6545" w:rsidR="005E16C5" w:rsidP="00C90CB4" w:rsidRDefault="005E16C5" w14:paraId="52676BE9" w14:textId="77777777">
            <w:pPr>
              <w:ind w:firstLine="220" w:firstLineChars="100"/>
              <w:rPr>
                <w:rFonts w:ascii="Arial" w:hAnsi="Arial" w:eastAsia="Times New Roman" w:cs="Arial"/>
                <w:sz w:val="20"/>
                <w:szCs w:val="20"/>
              </w:rPr>
            </w:pPr>
            <w:r w:rsidRPr="002D6545">
              <w:t>m. Oddelek 13 – Kazalnik terjatev v sodni pristojnosti druge države</w:t>
            </w:r>
          </w:p>
        </w:tc>
        <w:tc>
          <w:tcPr>
            <w:tcW w:w="2745" w:type="dxa"/>
            <w:tcBorders>
              <w:left w:val="nil"/>
              <w:right w:val="nil"/>
            </w:tcBorders>
            <w:noWrap/>
          </w:tcPr>
          <w:p w:rsidRPr="002D6545" w:rsidR="005E16C5" w:rsidP="00C90CB4" w:rsidRDefault="005E16C5" w14:paraId="64A39ADD" w14:textId="77777777">
            <w:pPr>
              <w:jc w:val="right"/>
              <w:rPr>
                <w:rFonts w:ascii="Arial" w:hAnsi="Arial" w:eastAsia="Times New Roman" w:cs="Arial"/>
                <w:sz w:val="20"/>
                <w:szCs w:val="20"/>
                <w:lang w:eastAsia="en-GB"/>
              </w:rPr>
            </w:pPr>
          </w:p>
        </w:tc>
      </w:tr>
      <w:tr w:rsidRPr="002D6545" w:rsidR="005E16C5" w:rsidTr="00C90CB4" w14:paraId="73F8AB3C" w14:textId="77777777">
        <w:trPr>
          <w:trHeight w:val="300"/>
        </w:trPr>
        <w:tc>
          <w:tcPr>
            <w:tcW w:w="6804" w:type="dxa"/>
            <w:tcBorders>
              <w:left w:val="nil"/>
              <w:bottom w:val="single" w:color="auto" w:sz="4" w:space="0"/>
              <w:right w:val="nil"/>
            </w:tcBorders>
            <w:noWrap/>
          </w:tcPr>
          <w:p w:rsidRPr="002D6545" w:rsidR="005E16C5" w:rsidP="00C90CB4" w:rsidRDefault="005E16C5" w14:paraId="05E4E3D0" w14:textId="77777777">
            <w:pPr>
              <w:ind w:firstLine="220" w:firstLineChars="100"/>
              <w:rPr>
                <w:rFonts w:ascii="Arial" w:hAnsi="Arial" w:eastAsia="Times New Roman" w:cs="Arial"/>
                <w:sz w:val="20"/>
                <w:szCs w:val="20"/>
              </w:rPr>
            </w:pPr>
            <w:r w:rsidRPr="002D6545">
              <w:t>n. Oddelek 14 – Kazalnik obveznosti v sodni pristojnosti druge države</w:t>
            </w:r>
          </w:p>
        </w:tc>
        <w:tc>
          <w:tcPr>
            <w:tcW w:w="2745" w:type="dxa"/>
            <w:tcBorders>
              <w:left w:val="nil"/>
              <w:right w:val="nil"/>
            </w:tcBorders>
            <w:noWrap/>
          </w:tcPr>
          <w:p w:rsidRPr="002D6545" w:rsidR="005E16C5" w:rsidP="00C90CB4" w:rsidRDefault="005E16C5" w14:paraId="390445DB" w14:textId="77777777">
            <w:pPr>
              <w:jc w:val="right"/>
              <w:rPr>
                <w:rFonts w:ascii="Arial" w:hAnsi="Arial" w:eastAsia="Times New Roman" w:cs="Arial"/>
                <w:sz w:val="20"/>
                <w:szCs w:val="20"/>
                <w:lang w:eastAsia="en-GB"/>
              </w:rPr>
            </w:pPr>
          </w:p>
        </w:tc>
      </w:tr>
      <w:tr w:rsidRPr="002D6545" w:rsidR="005E16C5" w:rsidTr="00C90CB4" w14:paraId="0A09BB08" w14:textId="77777777">
        <w:trPr>
          <w:trHeight w:val="300"/>
        </w:trPr>
        <w:tc>
          <w:tcPr>
            <w:tcW w:w="6804" w:type="dxa"/>
            <w:tcBorders>
              <w:left w:val="nil"/>
              <w:bottom w:val="single" w:color="auto" w:sz="4" w:space="0"/>
              <w:right w:val="nil"/>
            </w:tcBorders>
            <w:noWrap/>
          </w:tcPr>
          <w:p w:rsidRPr="002D6545" w:rsidR="005E16C5" w:rsidP="00C90CB4" w:rsidRDefault="005E16C5" w14:paraId="25CE2458" w14:textId="77777777">
            <w:pPr>
              <w:ind w:firstLine="220" w:firstLineChars="100"/>
              <w:rPr>
                <w:rFonts w:ascii="Arial" w:hAnsi="Arial" w:eastAsia="Times New Roman" w:cs="Arial"/>
                <w:sz w:val="20"/>
                <w:szCs w:val="20"/>
              </w:rPr>
            </w:pPr>
            <w:r w:rsidRPr="002D6545">
              <w:t>o. Drugi oddelki</w:t>
            </w:r>
          </w:p>
        </w:tc>
        <w:tc>
          <w:tcPr>
            <w:tcW w:w="2745" w:type="dxa"/>
            <w:tcBorders>
              <w:left w:val="nil"/>
              <w:right w:val="nil"/>
            </w:tcBorders>
            <w:noWrap/>
          </w:tcPr>
          <w:p w:rsidRPr="002D6545" w:rsidR="005E16C5" w:rsidP="00C90CB4" w:rsidRDefault="005E16C5" w14:paraId="70550E12" w14:textId="77777777">
            <w:pPr>
              <w:jc w:val="right"/>
              <w:rPr>
                <w:rFonts w:ascii="Arial" w:hAnsi="Arial" w:eastAsia="Times New Roman" w:cs="Arial"/>
                <w:sz w:val="20"/>
                <w:szCs w:val="20"/>
                <w:lang w:eastAsia="en-GB"/>
              </w:rPr>
            </w:pPr>
          </w:p>
        </w:tc>
      </w:tr>
      <w:tr w:rsidRPr="002D6545" w:rsidR="005E16C5" w:rsidTr="00C90CB4" w14:paraId="2E3F4235" w14:textId="77777777">
        <w:trPr>
          <w:trHeight w:val="300"/>
        </w:trPr>
        <w:tc>
          <w:tcPr>
            <w:tcW w:w="6804" w:type="dxa"/>
            <w:tcBorders>
              <w:left w:val="nil"/>
              <w:bottom w:val="single" w:color="auto" w:sz="4" w:space="0"/>
              <w:right w:val="nil"/>
            </w:tcBorders>
            <w:noWrap/>
          </w:tcPr>
          <w:p w:rsidRPr="002D6545" w:rsidR="005E16C5" w:rsidP="00C90CB4" w:rsidRDefault="005E16C5" w14:paraId="3258EA5D" w14:textId="77777777">
            <w:pPr>
              <w:ind w:firstLine="220" w:firstLineChars="100"/>
              <w:rPr>
                <w:rFonts w:ascii="Arial" w:hAnsi="Arial" w:eastAsia="Times New Roman" w:cs="Arial"/>
                <w:sz w:val="20"/>
                <w:szCs w:val="20"/>
              </w:rPr>
            </w:pPr>
            <w:r w:rsidRPr="002D6545">
              <w:t>(1) Postavka 1(a) – Splošne informacije, ki jih zagotovi pristojni nadzorni organ</w:t>
            </w:r>
          </w:p>
        </w:tc>
        <w:tc>
          <w:tcPr>
            <w:tcW w:w="2745" w:type="dxa"/>
            <w:tcBorders>
              <w:left w:val="nil"/>
              <w:right w:val="nil"/>
            </w:tcBorders>
            <w:noWrap/>
          </w:tcPr>
          <w:p w:rsidRPr="002D6545" w:rsidR="005E16C5" w:rsidP="00C90CB4" w:rsidRDefault="005E16C5" w14:paraId="1823BE11" w14:textId="77777777">
            <w:pPr>
              <w:jc w:val="right"/>
              <w:rPr>
                <w:rFonts w:ascii="Arial" w:hAnsi="Arial" w:eastAsia="Times New Roman" w:cs="Arial"/>
                <w:sz w:val="20"/>
                <w:szCs w:val="20"/>
                <w:lang w:eastAsia="en-GB"/>
              </w:rPr>
            </w:pPr>
          </w:p>
        </w:tc>
      </w:tr>
      <w:tr w:rsidRPr="002D6545" w:rsidR="005E16C5" w:rsidTr="00C90CB4" w14:paraId="50C2A689" w14:textId="77777777">
        <w:trPr>
          <w:trHeight w:val="300"/>
        </w:trPr>
        <w:tc>
          <w:tcPr>
            <w:tcW w:w="6804" w:type="dxa"/>
            <w:tcBorders>
              <w:left w:val="nil"/>
              <w:bottom w:val="single" w:color="auto" w:sz="4" w:space="0"/>
              <w:right w:val="nil"/>
            </w:tcBorders>
            <w:noWrap/>
          </w:tcPr>
          <w:p w:rsidRPr="002D6545" w:rsidR="005E16C5" w:rsidP="00C90CB4" w:rsidRDefault="005E16C5" w14:paraId="4BDBAF4A" w14:textId="77777777">
            <w:pPr>
              <w:ind w:firstLine="220" w:firstLineChars="100"/>
              <w:rPr>
                <w:rFonts w:ascii="Arial" w:hAnsi="Arial" w:eastAsia="Times New Roman" w:cs="Arial"/>
                <w:sz w:val="20"/>
                <w:szCs w:val="20"/>
              </w:rPr>
            </w:pPr>
            <w:r w:rsidRPr="002D6545">
              <w:t>(2) Postavka 1(b) – Splošne informacije, ki jih zagotovi institucija, ki poroča</w:t>
            </w:r>
          </w:p>
        </w:tc>
        <w:tc>
          <w:tcPr>
            <w:tcW w:w="2745" w:type="dxa"/>
            <w:tcBorders>
              <w:left w:val="nil"/>
              <w:right w:val="nil"/>
            </w:tcBorders>
            <w:noWrap/>
          </w:tcPr>
          <w:p w:rsidRPr="002D6545" w:rsidR="005E16C5" w:rsidP="00C90CB4" w:rsidRDefault="005E16C5" w14:paraId="45E08106" w14:textId="77777777">
            <w:pPr>
              <w:jc w:val="right"/>
              <w:rPr>
                <w:rFonts w:ascii="Arial" w:hAnsi="Arial" w:eastAsia="Times New Roman" w:cs="Arial"/>
                <w:sz w:val="20"/>
                <w:szCs w:val="20"/>
                <w:lang w:eastAsia="en-GB"/>
              </w:rPr>
            </w:pPr>
          </w:p>
        </w:tc>
      </w:tr>
      <w:tr w:rsidRPr="002D6545" w:rsidR="005E16C5" w:rsidTr="00C90CB4" w14:paraId="3EA0FE73" w14:textId="77777777">
        <w:trPr>
          <w:trHeight w:val="300"/>
        </w:trPr>
        <w:tc>
          <w:tcPr>
            <w:tcW w:w="6804" w:type="dxa"/>
            <w:tcBorders>
              <w:left w:val="nil"/>
              <w:bottom w:val="single" w:color="auto" w:sz="4" w:space="0"/>
              <w:right w:val="nil"/>
            </w:tcBorders>
            <w:noWrap/>
          </w:tcPr>
          <w:p w:rsidRPr="002D6545" w:rsidR="005E16C5" w:rsidP="00C90CB4" w:rsidRDefault="005E16C5" w14:paraId="567BAA10" w14:textId="77777777">
            <w:pPr>
              <w:ind w:firstLine="220" w:firstLineChars="100"/>
              <w:rPr>
                <w:rFonts w:ascii="Arial" w:hAnsi="Arial" w:eastAsia="Times New Roman" w:cs="Arial"/>
                <w:sz w:val="20"/>
                <w:szCs w:val="20"/>
              </w:rPr>
            </w:pPr>
            <w:r w:rsidRPr="002D6545">
              <w:t>(3) Oddelek 15 – Dodatni kazalniki</w:t>
            </w:r>
          </w:p>
        </w:tc>
        <w:tc>
          <w:tcPr>
            <w:tcW w:w="2745" w:type="dxa"/>
            <w:tcBorders>
              <w:left w:val="nil"/>
              <w:right w:val="nil"/>
            </w:tcBorders>
            <w:noWrap/>
          </w:tcPr>
          <w:p w:rsidRPr="002D6545" w:rsidR="005E16C5" w:rsidP="00C90CB4" w:rsidRDefault="005E16C5" w14:paraId="61380EEA" w14:textId="77777777">
            <w:pPr>
              <w:jc w:val="right"/>
              <w:rPr>
                <w:rFonts w:ascii="Arial" w:hAnsi="Arial" w:eastAsia="Times New Roman" w:cs="Arial"/>
                <w:sz w:val="20"/>
                <w:szCs w:val="20"/>
                <w:lang w:eastAsia="en-GB"/>
              </w:rPr>
            </w:pPr>
          </w:p>
        </w:tc>
      </w:tr>
      <w:tr w:rsidRPr="002D6545" w:rsidR="005E16C5" w:rsidTr="00C90CB4" w14:paraId="4D4CC159" w14:textId="77777777">
        <w:trPr>
          <w:trHeight w:val="300"/>
        </w:trPr>
        <w:tc>
          <w:tcPr>
            <w:tcW w:w="6804" w:type="dxa"/>
            <w:tcBorders>
              <w:left w:val="nil"/>
              <w:bottom w:val="single" w:color="auto" w:sz="4" w:space="0"/>
              <w:right w:val="nil"/>
            </w:tcBorders>
            <w:noWrap/>
          </w:tcPr>
          <w:p w:rsidRPr="002D6545" w:rsidR="005E16C5" w:rsidP="00C90CB4" w:rsidRDefault="005E16C5" w14:paraId="414E5AA4" w14:textId="77777777">
            <w:pPr>
              <w:ind w:firstLine="220" w:firstLineChars="100"/>
              <w:rPr>
                <w:rFonts w:ascii="Arial" w:hAnsi="Arial" w:eastAsia="Times New Roman" w:cs="Arial"/>
                <w:sz w:val="20"/>
                <w:szCs w:val="20"/>
              </w:rPr>
            </w:pPr>
            <w:r w:rsidRPr="002D6545">
              <w:t>(4) Oddelek 16 – Dodatne postavke</w:t>
            </w:r>
          </w:p>
        </w:tc>
        <w:tc>
          <w:tcPr>
            <w:tcW w:w="2745" w:type="dxa"/>
            <w:tcBorders>
              <w:left w:val="nil"/>
              <w:right w:val="nil"/>
            </w:tcBorders>
            <w:noWrap/>
          </w:tcPr>
          <w:p w:rsidRPr="002D6545" w:rsidR="005E16C5" w:rsidP="00C90CB4" w:rsidRDefault="005E16C5" w14:paraId="75F82FC0" w14:textId="77777777">
            <w:pPr>
              <w:jc w:val="right"/>
              <w:rPr>
                <w:rFonts w:ascii="Arial" w:hAnsi="Arial" w:eastAsia="Times New Roman" w:cs="Arial"/>
                <w:sz w:val="20"/>
                <w:szCs w:val="20"/>
                <w:lang w:eastAsia="en-GB"/>
              </w:rPr>
            </w:pPr>
          </w:p>
        </w:tc>
      </w:tr>
      <w:tr w:rsidRPr="002D6545" w:rsidR="005E16C5" w:rsidTr="00C90CB4" w14:paraId="1461687F" w14:textId="77777777">
        <w:trPr>
          <w:trHeight w:val="300"/>
        </w:trPr>
        <w:tc>
          <w:tcPr>
            <w:tcW w:w="6804" w:type="dxa"/>
            <w:tcBorders>
              <w:left w:val="nil"/>
              <w:bottom w:val="single" w:color="auto" w:sz="4" w:space="0"/>
              <w:right w:val="nil"/>
            </w:tcBorders>
            <w:noWrap/>
          </w:tcPr>
          <w:p w:rsidRPr="002D6545" w:rsidR="005E16C5" w:rsidP="00C90CB4" w:rsidRDefault="005E16C5" w14:paraId="14A2630E" w14:textId="77777777">
            <w:pPr>
              <w:ind w:firstLine="220" w:firstLineChars="100"/>
              <w:rPr>
                <w:rFonts w:ascii="Arial" w:hAnsi="Arial" w:eastAsia="Times New Roman" w:cs="Arial"/>
                <w:sz w:val="20"/>
                <w:szCs w:val="20"/>
              </w:rPr>
            </w:pPr>
            <w:r w:rsidRPr="002D6545">
              <w:t>(5) Oddelek 17 – Postavke velikosti</w:t>
            </w:r>
          </w:p>
        </w:tc>
        <w:tc>
          <w:tcPr>
            <w:tcW w:w="2745" w:type="dxa"/>
            <w:tcBorders>
              <w:left w:val="nil"/>
              <w:right w:val="nil"/>
            </w:tcBorders>
            <w:noWrap/>
          </w:tcPr>
          <w:p w:rsidRPr="002D6545" w:rsidR="005E16C5" w:rsidP="00C90CB4" w:rsidRDefault="005E16C5" w14:paraId="34BEBCE5" w14:textId="77777777">
            <w:pPr>
              <w:jc w:val="right"/>
              <w:rPr>
                <w:rFonts w:ascii="Arial" w:hAnsi="Arial" w:eastAsia="Times New Roman" w:cs="Arial"/>
                <w:sz w:val="20"/>
                <w:szCs w:val="20"/>
                <w:lang w:eastAsia="en-GB"/>
              </w:rPr>
            </w:pPr>
          </w:p>
        </w:tc>
      </w:tr>
      <w:tr w:rsidRPr="002D6545" w:rsidR="005E16C5" w:rsidTr="00C90CB4" w14:paraId="5CD6077E" w14:textId="77777777">
        <w:trPr>
          <w:trHeight w:val="300"/>
        </w:trPr>
        <w:tc>
          <w:tcPr>
            <w:tcW w:w="6804" w:type="dxa"/>
            <w:tcBorders>
              <w:left w:val="nil"/>
              <w:bottom w:val="single" w:color="auto" w:sz="4" w:space="0"/>
              <w:right w:val="nil"/>
            </w:tcBorders>
            <w:noWrap/>
          </w:tcPr>
          <w:p w:rsidRPr="002D6545" w:rsidR="005E16C5" w:rsidP="00C90CB4" w:rsidRDefault="005E16C5" w14:paraId="77F298AA" w14:textId="77777777">
            <w:pPr>
              <w:ind w:firstLine="220" w:firstLineChars="100"/>
              <w:rPr>
                <w:rFonts w:ascii="Arial" w:hAnsi="Arial" w:eastAsia="Times New Roman" w:cs="Arial"/>
                <w:sz w:val="20"/>
                <w:szCs w:val="20"/>
              </w:rPr>
            </w:pPr>
            <w:r w:rsidRPr="002D6545">
              <w:t>(6) Oddelek 18 – Postavke medsebojne povezanosti</w:t>
            </w:r>
          </w:p>
        </w:tc>
        <w:tc>
          <w:tcPr>
            <w:tcW w:w="2745" w:type="dxa"/>
            <w:tcBorders>
              <w:left w:val="nil"/>
              <w:right w:val="nil"/>
            </w:tcBorders>
            <w:noWrap/>
          </w:tcPr>
          <w:p w:rsidRPr="002D6545" w:rsidR="005E16C5" w:rsidP="00C90CB4" w:rsidRDefault="005E16C5" w14:paraId="30D7AB5E" w14:textId="77777777">
            <w:pPr>
              <w:jc w:val="right"/>
              <w:rPr>
                <w:rFonts w:ascii="Arial" w:hAnsi="Arial" w:eastAsia="Times New Roman" w:cs="Arial"/>
                <w:sz w:val="20"/>
                <w:szCs w:val="20"/>
                <w:lang w:eastAsia="en-GB"/>
              </w:rPr>
            </w:pPr>
          </w:p>
        </w:tc>
      </w:tr>
      <w:tr w:rsidRPr="002D6545" w:rsidR="005E16C5" w:rsidTr="00C90CB4" w14:paraId="4EC8DA44" w14:textId="77777777">
        <w:trPr>
          <w:trHeight w:val="300"/>
        </w:trPr>
        <w:tc>
          <w:tcPr>
            <w:tcW w:w="6804" w:type="dxa"/>
            <w:tcBorders>
              <w:left w:val="nil"/>
              <w:bottom w:val="single" w:color="auto" w:sz="4" w:space="0"/>
              <w:right w:val="nil"/>
            </w:tcBorders>
            <w:noWrap/>
          </w:tcPr>
          <w:p w:rsidRPr="002D6545" w:rsidR="005E16C5" w:rsidP="00C90CB4" w:rsidRDefault="005E16C5" w14:paraId="19EA5E84" w14:textId="77777777">
            <w:pPr>
              <w:ind w:firstLine="220" w:firstLineChars="100"/>
              <w:rPr>
                <w:rFonts w:ascii="Arial" w:hAnsi="Arial" w:eastAsia="Times New Roman" w:cs="Arial"/>
                <w:sz w:val="20"/>
                <w:szCs w:val="20"/>
              </w:rPr>
            </w:pPr>
            <w:r w:rsidRPr="002D6545">
              <w:t>(7) Oddelek 19 – Postavke nadomestljivosti/finančne infrastrukture</w:t>
            </w:r>
          </w:p>
        </w:tc>
        <w:tc>
          <w:tcPr>
            <w:tcW w:w="2745" w:type="dxa"/>
            <w:tcBorders>
              <w:left w:val="nil"/>
              <w:right w:val="nil"/>
            </w:tcBorders>
            <w:noWrap/>
          </w:tcPr>
          <w:p w:rsidRPr="002D6545" w:rsidR="005E16C5" w:rsidP="00C90CB4" w:rsidRDefault="005E16C5" w14:paraId="4F38BD74" w14:textId="77777777">
            <w:pPr>
              <w:jc w:val="right"/>
              <w:rPr>
                <w:rFonts w:ascii="Arial" w:hAnsi="Arial" w:eastAsia="Times New Roman" w:cs="Arial"/>
                <w:sz w:val="20"/>
                <w:szCs w:val="20"/>
                <w:lang w:eastAsia="en-GB"/>
              </w:rPr>
            </w:pPr>
          </w:p>
        </w:tc>
      </w:tr>
      <w:tr w:rsidRPr="002D6545" w:rsidR="005E16C5" w:rsidTr="00C90CB4" w14:paraId="7A3DFF81" w14:textId="77777777">
        <w:trPr>
          <w:trHeight w:val="300"/>
        </w:trPr>
        <w:tc>
          <w:tcPr>
            <w:tcW w:w="6804" w:type="dxa"/>
            <w:tcBorders>
              <w:left w:val="nil"/>
              <w:bottom w:val="single" w:color="auto" w:sz="4" w:space="0"/>
              <w:right w:val="nil"/>
            </w:tcBorders>
            <w:noWrap/>
          </w:tcPr>
          <w:p w:rsidRPr="002D6545" w:rsidR="005E16C5" w:rsidP="00C90CB4" w:rsidRDefault="005E16C5" w14:paraId="0A6A355A" w14:textId="77777777">
            <w:pPr>
              <w:ind w:firstLine="220" w:firstLineChars="100"/>
              <w:rPr>
                <w:rFonts w:ascii="Arial" w:hAnsi="Arial" w:eastAsia="Times New Roman" w:cs="Arial"/>
                <w:sz w:val="20"/>
                <w:szCs w:val="20"/>
              </w:rPr>
            </w:pPr>
            <w:r w:rsidRPr="002D6545">
              <w:t>(8) Oddelek 20 – Postavke kompleksnosti</w:t>
            </w:r>
          </w:p>
        </w:tc>
        <w:tc>
          <w:tcPr>
            <w:tcW w:w="2745" w:type="dxa"/>
            <w:tcBorders>
              <w:left w:val="nil"/>
              <w:right w:val="nil"/>
            </w:tcBorders>
            <w:noWrap/>
          </w:tcPr>
          <w:p w:rsidRPr="002D6545" w:rsidR="005E16C5" w:rsidP="00C90CB4" w:rsidRDefault="005E16C5" w14:paraId="278D7E96" w14:textId="77777777">
            <w:pPr>
              <w:jc w:val="right"/>
              <w:rPr>
                <w:rFonts w:ascii="Arial" w:hAnsi="Arial" w:eastAsia="Times New Roman" w:cs="Arial"/>
                <w:sz w:val="20"/>
                <w:szCs w:val="20"/>
                <w:lang w:eastAsia="en-GB"/>
              </w:rPr>
            </w:pPr>
          </w:p>
        </w:tc>
      </w:tr>
      <w:tr w:rsidRPr="002D6545" w:rsidR="005E16C5" w:rsidTr="00C90CB4" w14:paraId="514CFEAB" w14:textId="77777777">
        <w:trPr>
          <w:trHeight w:val="300"/>
        </w:trPr>
        <w:tc>
          <w:tcPr>
            <w:tcW w:w="6804" w:type="dxa"/>
            <w:tcBorders>
              <w:left w:val="nil"/>
              <w:bottom w:val="single" w:color="auto" w:sz="4" w:space="0"/>
              <w:right w:val="nil"/>
            </w:tcBorders>
            <w:noWrap/>
          </w:tcPr>
          <w:p w:rsidRPr="002D6545" w:rsidR="005E16C5" w:rsidP="00C90CB4" w:rsidRDefault="005E16C5" w14:paraId="377FEEDA" w14:textId="77777777">
            <w:pPr>
              <w:ind w:firstLine="220" w:firstLineChars="100"/>
              <w:rPr>
                <w:rFonts w:ascii="Arial" w:hAnsi="Arial" w:eastAsia="Times New Roman" w:cs="Arial"/>
                <w:sz w:val="20"/>
                <w:szCs w:val="20"/>
              </w:rPr>
            </w:pPr>
            <w:r w:rsidRPr="002D6545">
              <w:t>(9) Oddelek 21 – Postavke mednarodne dejavnosti</w:t>
            </w:r>
          </w:p>
        </w:tc>
        <w:tc>
          <w:tcPr>
            <w:tcW w:w="2745" w:type="dxa"/>
            <w:tcBorders>
              <w:left w:val="nil"/>
              <w:right w:val="nil"/>
            </w:tcBorders>
            <w:noWrap/>
          </w:tcPr>
          <w:p w:rsidRPr="002D6545" w:rsidR="005E16C5" w:rsidP="00C90CB4" w:rsidRDefault="005E16C5" w14:paraId="41FAE5C1" w14:textId="77777777">
            <w:pPr>
              <w:jc w:val="right"/>
              <w:rPr>
                <w:rFonts w:ascii="Arial" w:hAnsi="Arial" w:eastAsia="Times New Roman" w:cs="Arial"/>
                <w:sz w:val="20"/>
                <w:szCs w:val="20"/>
                <w:lang w:eastAsia="en-GB"/>
              </w:rPr>
            </w:pPr>
          </w:p>
        </w:tc>
      </w:tr>
      <w:tr w:rsidRPr="002D6545" w:rsidR="005E16C5" w:rsidTr="00C90CB4" w14:paraId="5C6CF340" w14:textId="77777777">
        <w:trPr>
          <w:trHeight w:val="300"/>
        </w:trPr>
        <w:tc>
          <w:tcPr>
            <w:tcW w:w="6804" w:type="dxa"/>
            <w:tcBorders>
              <w:left w:val="nil"/>
              <w:bottom w:val="single" w:color="auto" w:sz="4" w:space="0"/>
              <w:right w:val="nil"/>
            </w:tcBorders>
            <w:noWrap/>
          </w:tcPr>
          <w:p w:rsidRPr="002D6545" w:rsidR="005E16C5" w:rsidP="00C90CB4" w:rsidRDefault="005E16C5" w14:paraId="11D2D2FF" w14:textId="77777777">
            <w:pPr>
              <w:ind w:firstLine="220" w:firstLineChars="100"/>
              <w:rPr>
                <w:rFonts w:ascii="Arial" w:hAnsi="Arial" w:eastAsia="Times New Roman" w:cs="Arial"/>
                <w:sz w:val="20"/>
                <w:szCs w:val="20"/>
              </w:rPr>
            </w:pPr>
            <w:r w:rsidRPr="002D6545">
              <w:t>(10) Oddelek 22 – Dodatni kazalniki</w:t>
            </w:r>
          </w:p>
        </w:tc>
        <w:tc>
          <w:tcPr>
            <w:tcW w:w="2745" w:type="dxa"/>
            <w:tcBorders>
              <w:left w:val="nil"/>
              <w:right w:val="nil"/>
            </w:tcBorders>
            <w:noWrap/>
          </w:tcPr>
          <w:p w:rsidRPr="002D6545" w:rsidR="005E16C5" w:rsidP="00C90CB4" w:rsidRDefault="005E16C5" w14:paraId="5FF53130" w14:textId="77777777">
            <w:pPr>
              <w:jc w:val="right"/>
              <w:rPr>
                <w:rFonts w:ascii="Arial" w:hAnsi="Arial" w:eastAsia="Times New Roman" w:cs="Arial"/>
                <w:sz w:val="20"/>
                <w:szCs w:val="20"/>
                <w:lang w:eastAsia="en-GB"/>
              </w:rPr>
            </w:pPr>
          </w:p>
        </w:tc>
      </w:tr>
      <w:tr w:rsidRPr="002D6545" w:rsidR="005E16C5" w:rsidTr="00C90CB4" w14:paraId="671AB5FB" w14:textId="77777777">
        <w:trPr>
          <w:trHeight w:val="300"/>
        </w:trPr>
        <w:tc>
          <w:tcPr>
            <w:tcW w:w="6804" w:type="dxa"/>
            <w:tcBorders>
              <w:left w:val="nil"/>
              <w:bottom w:val="single" w:color="auto" w:sz="4" w:space="0"/>
              <w:right w:val="nil"/>
            </w:tcBorders>
            <w:noWrap/>
          </w:tcPr>
          <w:p w:rsidRPr="002D6545" w:rsidR="005E16C5" w:rsidP="00C90CB4" w:rsidRDefault="005E16C5" w14:paraId="5ABCBEE8" w14:textId="77777777">
            <w:pPr>
              <w:rPr>
                <w:b/>
                <w:bCs/>
              </w:rPr>
            </w:pPr>
          </w:p>
        </w:tc>
        <w:tc>
          <w:tcPr>
            <w:tcW w:w="2745" w:type="dxa"/>
            <w:tcBorders>
              <w:left w:val="nil"/>
              <w:right w:val="nil"/>
            </w:tcBorders>
            <w:noWrap/>
          </w:tcPr>
          <w:p w:rsidRPr="002D6545" w:rsidR="005E16C5" w:rsidP="00C90CB4" w:rsidRDefault="005E16C5" w14:paraId="15F4B043" w14:textId="77777777">
            <w:pPr>
              <w:jc w:val="center"/>
              <w:rPr>
                <w:b/>
                <w:bCs/>
              </w:rPr>
            </w:pPr>
          </w:p>
        </w:tc>
      </w:tr>
      <w:tr w:rsidRPr="002D6545" w:rsidR="005E16C5" w:rsidTr="00C90CB4" w14:paraId="283F0EC9" w14:textId="77777777">
        <w:trPr>
          <w:trHeight w:val="300"/>
        </w:trPr>
        <w:tc>
          <w:tcPr>
            <w:tcW w:w="6804" w:type="dxa"/>
            <w:tcBorders>
              <w:left w:val="nil"/>
              <w:bottom w:val="single" w:color="auto" w:sz="4" w:space="0"/>
              <w:right w:val="nil"/>
            </w:tcBorders>
            <w:noWrap/>
          </w:tcPr>
          <w:p w:rsidRPr="002D6545" w:rsidR="005E16C5" w:rsidP="00C90CB4" w:rsidRDefault="005E16C5" w14:paraId="06C44E81" w14:textId="77777777">
            <w:pPr>
              <w:rPr>
                <w:rFonts w:ascii="Arial" w:hAnsi="Arial" w:eastAsia="Times New Roman" w:cs="Arial"/>
                <w:sz w:val="20"/>
                <w:szCs w:val="20"/>
              </w:rPr>
            </w:pPr>
            <w:r w:rsidRPr="002D6545">
              <w:rPr>
                <w:b/>
              </w:rPr>
              <w:t>Oddelek 24 – Vrednosti kazalnikov (stara metodologija)</w:t>
            </w:r>
          </w:p>
        </w:tc>
        <w:tc>
          <w:tcPr>
            <w:tcW w:w="2745" w:type="dxa"/>
            <w:tcBorders>
              <w:left w:val="nil"/>
              <w:right w:val="nil"/>
            </w:tcBorders>
            <w:noWrap/>
          </w:tcPr>
          <w:p w:rsidRPr="002D6545" w:rsidR="005E16C5" w:rsidP="00C90CB4" w:rsidRDefault="005E16C5" w14:paraId="3404690E" w14:textId="77777777">
            <w:pPr>
              <w:jc w:val="center"/>
              <w:rPr>
                <w:rFonts w:ascii="Arial" w:hAnsi="Arial" w:eastAsia="Times New Roman" w:cs="Arial"/>
                <w:sz w:val="20"/>
                <w:szCs w:val="20"/>
              </w:rPr>
            </w:pPr>
            <w:r w:rsidRPr="002D6545">
              <w:rPr>
                <w:b/>
              </w:rPr>
              <w:t>Vrednost kazalnika v valuti poročanja</w:t>
            </w:r>
          </w:p>
        </w:tc>
      </w:tr>
      <w:tr w:rsidRPr="002D6545" w:rsidR="005E16C5" w:rsidTr="00C90CB4" w14:paraId="2C12A27E" w14:textId="77777777">
        <w:trPr>
          <w:trHeight w:val="300"/>
        </w:trPr>
        <w:tc>
          <w:tcPr>
            <w:tcW w:w="6804" w:type="dxa"/>
            <w:tcBorders>
              <w:left w:val="nil"/>
              <w:bottom w:val="single" w:color="auto" w:sz="4" w:space="0"/>
              <w:right w:val="nil"/>
            </w:tcBorders>
            <w:noWrap/>
          </w:tcPr>
          <w:p w:rsidRPr="002D6545" w:rsidR="005E16C5" w:rsidP="00C90CB4" w:rsidRDefault="005E16C5" w14:paraId="1627008D" w14:textId="77777777">
            <w:pPr>
              <w:ind w:firstLine="220" w:firstLineChars="100"/>
              <w:rPr>
                <w:rFonts w:ascii="Arial" w:hAnsi="Arial" w:eastAsia="Times New Roman" w:cs="Arial"/>
                <w:sz w:val="20"/>
                <w:szCs w:val="20"/>
              </w:rPr>
            </w:pPr>
            <w:r w:rsidRPr="002D6545">
              <w:t>a. Oddelek 2 – Kazalnik skupnega zneska izpostavljenosti</w:t>
            </w:r>
          </w:p>
        </w:tc>
        <w:tc>
          <w:tcPr>
            <w:tcW w:w="2745" w:type="dxa"/>
            <w:tcBorders>
              <w:left w:val="nil"/>
              <w:right w:val="nil"/>
            </w:tcBorders>
            <w:noWrap/>
          </w:tcPr>
          <w:p w:rsidRPr="002D6545" w:rsidR="005E16C5" w:rsidP="00C90CB4" w:rsidRDefault="005E16C5" w14:paraId="714CD84B" w14:textId="77777777">
            <w:pPr>
              <w:jc w:val="right"/>
              <w:rPr>
                <w:rFonts w:ascii="Arial" w:hAnsi="Arial" w:eastAsia="Times New Roman" w:cs="Arial"/>
                <w:sz w:val="20"/>
                <w:szCs w:val="20"/>
                <w:lang w:eastAsia="en-GB"/>
              </w:rPr>
            </w:pPr>
          </w:p>
        </w:tc>
      </w:tr>
      <w:tr w:rsidRPr="002D6545" w:rsidR="005E16C5" w:rsidTr="00C90CB4" w14:paraId="5C372F54" w14:textId="77777777">
        <w:trPr>
          <w:trHeight w:val="300"/>
        </w:trPr>
        <w:tc>
          <w:tcPr>
            <w:tcW w:w="6804" w:type="dxa"/>
            <w:tcBorders>
              <w:left w:val="nil"/>
              <w:bottom w:val="single" w:color="auto" w:sz="4" w:space="0"/>
              <w:right w:val="nil"/>
            </w:tcBorders>
            <w:noWrap/>
          </w:tcPr>
          <w:p w:rsidRPr="002D6545" w:rsidR="005E16C5" w:rsidP="00C90CB4" w:rsidRDefault="005E16C5" w14:paraId="61F08F51" w14:textId="77777777">
            <w:pPr>
              <w:ind w:firstLine="220" w:firstLineChars="100"/>
              <w:rPr>
                <w:rFonts w:ascii="Arial" w:hAnsi="Arial" w:eastAsia="Times New Roman" w:cs="Arial"/>
                <w:sz w:val="20"/>
                <w:szCs w:val="20"/>
              </w:rPr>
            </w:pPr>
            <w:r w:rsidRPr="002D6545">
              <w:t>b. Oddelek 18 – Kazalnik sredstev znotraj finančnega sistema</w:t>
            </w:r>
          </w:p>
        </w:tc>
        <w:tc>
          <w:tcPr>
            <w:tcW w:w="2745" w:type="dxa"/>
            <w:tcBorders>
              <w:left w:val="nil"/>
              <w:right w:val="nil"/>
            </w:tcBorders>
            <w:noWrap/>
          </w:tcPr>
          <w:p w:rsidRPr="002D6545" w:rsidR="005E16C5" w:rsidP="00C90CB4" w:rsidRDefault="005E16C5" w14:paraId="64B70492" w14:textId="77777777">
            <w:pPr>
              <w:jc w:val="right"/>
              <w:rPr>
                <w:rFonts w:ascii="Arial" w:hAnsi="Arial" w:eastAsia="Times New Roman" w:cs="Arial"/>
                <w:sz w:val="20"/>
                <w:szCs w:val="20"/>
                <w:lang w:eastAsia="en-GB"/>
              </w:rPr>
            </w:pPr>
          </w:p>
        </w:tc>
      </w:tr>
      <w:tr w:rsidRPr="002D6545" w:rsidR="005E16C5" w:rsidTr="00C90CB4" w14:paraId="031DCF37" w14:textId="77777777">
        <w:trPr>
          <w:trHeight w:val="300"/>
        </w:trPr>
        <w:tc>
          <w:tcPr>
            <w:tcW w:w="6804" w:type="dxa"/>
            <w:tcBorders>
              <w:left w:val="nil"/>
              <w:bottom w:val="single" w:color="auto" w:sz="4" w:space="0"/>
              <w:right w:val="nil"/>
            </w:tcBorders>
            <w:noWrap/>
          </w:tcPr>
          <w:p w:rsidRPr="002D6545" w:rsidR="005E16C5" w:rsidP="00C90CB4" w:rsidRDefault="005E16C5" w14:paraId="4C1F7EA2" w14:textId="77777777">
            <w:pPr>
              <w:ind w:firstLine="220" w:firstLineChars="100"/>
              <w:rPr>
                <w:rFonts w:ascii="Arial" w:hAnsi="Arial" w:eastAsia="Times New Roman" w:cs="Arial"/>
                <w:sz w:val="20"/>
                <w:szCs w:val="20"/>
              </w:rPr>
            </w:pPr>
            <w:r w:rsidRPr="002D6545">
              <w:t>c. Oddelek 18 – Kazalnik obveznosti znotraj finančnega sistema</w:t>
            </w:r>
          </w:p>
        </w:tc>
        <w:tc>
          <w:tcPr>
            <w:tcW w:w="2745" w:type="dxa"/>
            <w:tcBorders>
              <w:left w:val="nil"/>
              <w:right w:val="nil"/>
            </w:tcBorders>
            <w:noWrap/>
          </w:tcPr>
          <w:p w:rsidRPr="002D6545" w:rsidR="005E16C5" w:rsidP="00C90CB4" w:rsidRDefault="005E16C5" w14:paraId="6F49F3E0" w14:textId="77777777">
            <w:pPr>
              <w:jc w:val="right"/>
              <w:rPr>
                <w:rFonts w:ascii="Arial" w:hAnsi="Arial" w:eastAsia="Times New Roman" w:cs="Arial"/>
                <w:sz w:val="20"/>
                <w:szCs w:val="20"/>
                <w:lang w:eastAsia="en-GB"/>
              </w:rPr>
            </w:pPr>
          </w:p>
        </w:tc>
      </w:tr>
      <w:tr w:rsidRPr="002D6545" w:rsidR="005E16C5" w:rsidTr="00C90CB4" w14:paraId="693BD7ED" w14:textId="77777777">
        <w:trPr>
          <w:trHeight w:val="300"/>
        </w:trPr>
        <w:tc>
          <w:tcPr>
            <w:tcW w:w="6804" w:type="dxa"/>
            <w:tcBorders>
              <w:left w:val="nil"/>
              <w:bottom w:val="single" w:color="auto" w:sz="4" w:space="0"/>
              <w:right w:val="nil"/>
            </w:tcBorders>
            <w:noWrap/>
          </w:tcPr>
          <w:p w:rsidRPr="002D6545" w:rsidR="005E16C5" w:rsidP="00C90CB4" w:rsidRDefault="005E16C5" w14:paraId="29A327C1" w14:textId="77777777">
            <w:pPr>
              <w:ind w:firstLine="220" w:firstLineChars="100"/>
              <w:rPr>
                <w:rFonts w:ascii="Arial" w:hAnsi="Arial" w:eastAsia="Times New Roman" w:cs="Arial"/>
                <w:sz w:val="20"/>
                <w:szCs w:val="20"/>
              </w:rPr>
            </w:pPr>
            <w:r w:rsidRPr="002D6545">
              <w:t>d. Oddelek 18 – Kazalnik nedospelih vrednostnih papirjev</w:t>
            </w:r>
          </w:p>
        </w:tc>
        <w:tc>
          <w:tcPr>
            <w:tcW w:w="2745" w:type="dxa"/>
            <w:tcBorders>
              <w:left w:val="nil"/>
              <w:right w:val="nil"/>
            </w:tcBorders>
            <w:noWrap/>
          </w:tcPr>
          <w:p w:rsidRPr="002D6545" w:rsidR="005E16C5" w:rsidP="00C90CB4" w:rsidRDefault="005E16C5" w14:paraId="7338E87C" w14:textId="77777777">
            <w:pPr>
              <w:jc w:val="right"/>
              <w:rPr>
                <w:rFonts w:ascii="Arial" w:hAnsi="Arial" w:eastAsia="Times New Roman" w:cs="Arial"/>
                <w:sz w:val="20"/>
                <w:szCs w:val="20"/>
                <w:lang w:eastAsia="en-GB"/>
              </w:rPr>
            </w:pPr>
          </w:p>
        </w:tc>
      </w:tr>
      <w:tr w:rsidRPr="002D6545" w:rsidR="005E16C5" w:rsidTr="00C90CB4" w14:paraId="1AC84F75" w14:textId="77777777">
        <w:trPr>
          <w:trHeight w:val="300"/>
        </w:trPr>
        <w:tc>
          <w:tcPr>
            <w:tcW w:w="6804" w:type="dxa"/>
            <w:tcBorders>
              <w:left w:val="nil"/>
              <w:bottom w:val="single" w:color="auto" w:sz="4" w:space="0"/>
              <w:right w:val="nil"/>
            </w:tcBorders>
            <w:noWrap/>
          </w:tcPr>
          <w:p w:rsidRPr="002D6545" w:rsidR="005E16C5" w:rsidP="00C90CB4" w:rsidRDefault="005E16C5" w14:paraId="37D79B1B" w14:textId="77777777">
            <w:pPr>
              <w:ind w:firstLine="220" w:firstLineChars="100"/>
              <w:rPr>
                <w:rFonts w:ascii="Arial" w:hAnsi="Arial" w:eastAsia="Times New Roman" w:cs="Arial"/>
                <w:sz w:val="20"/>
                <w:szCs w:val="20"/>
              </w:rPr>
            </w:pPr>
            <w:r w:rsidRPr="002D6545">
              <w:t>e. Oddelek 6 – Kazalnik plačilne dejavnosti</w:t>
            </w:r>
          </w:p>
        </w:tc>
        <w:tc>
          <w:tcPr>
            <w:tcW w:w="2745" w:type="dxa"/>
            <w:tcBorders>
              <w:left w:val="nil"/>
              <w:right w:val="nil"/>
            </w:tcBorders>
            <w:noWrap/>
          </w:tcPr>
          <w:p w:rsidRPr="002D6545" w:rsidR="005E16C5" w:rsidP="00C90CB4" w:rsidRDefault="005E16C5" w14:paraId="656625E3" w14:textId="77777777">
            <w:pPr>
              <w:jc w:val="right"/>
              <w:rPr>
                <w:rFonts w:ascii="Arial" w:hAnsi="Arial" w:eastAsia="Times New Roman" w:cs="Arial"/>
                <w:sz w:val="20"/>
                <w:szCs w:val="20"/>
                <w:lang w:eastAsia="en-GB"/>
              </w:rPr>
            </w:pPr>
          </w:p>
        </w:tc>
      </w:tr>
      <w:tr w:rsidRPr="002D6545" w:rsidR="005E16C5" w:rsidTr="00C90CB4" w14:paraId="65EE5887" w14:textId="77777777">
        <w:trPr>
          <w:trHeight w:val="300"/>
        </w:trPr>
        <w:tc>
          <w:tcPr>
            <w:tcW w:w="6804" w:type="dxa"/>
            <w:tcBorders>
              <w:left w:val="nil"/>
              <w:bottom w:val="single" w:color="auto" w:sz="4" w:space="0"/>
              <w:right w:val="nil"/>
            </w:tcBorders>
            <w:noWrap/>
          </w:tcPr>
          <w:p w:rsidRPr="002D6545" w:rsidR="005E16C5" w:rsidP="00C90CB4" w:rsidRDefault="005E16C5" w14:paraId="119CF4C1" w14:textId="77777777">
            <w:pPr>
              <w:ind w:firstLine="220" w:firstLineChars="100"/>
              <w:rPr>
                <w:rFonts w:ascii="Arial" w:hAnsi="Arial" w:eastAsia="Times New Roman" w:cs="Arial"/>
                <w:sz w:val="20"/>
                <w:szCs w:val="20"/>
              </w:rPr>
            </w:pPr>
            <w:r w:rsidRPr="002D6545">
              <w:t>f. Oddelek 7 – Kazalnik sredstev v skrbništvu</w:t>
            </w:r>
          </w:p>
        </w:tc>
        <w:tc>
          <w:tcPr>
            <w:tcW w:w="2745" w:type="dxa"/>
            <w:tcBorders>
              <w:left w:val="nil"/>
              <w:right w:val="nil"/>
            </w:tcBorders>
            <w:noWrap/>
          </w:tcPr>
          <w:p w:rsidRPr="002D6545" w:rsidR="005E16C5" w:rsidP="00C90CB4" w:rsidRDefault="005E16C5" w14:paraId="4D663AE6" w14:textId="77777777">
            <w:pPr>
              <w:jc w:val="right"/>
              <w:rPr>
                <w:rFonts w:ascii="Arial" w:hAnsi="Arial" w:eastAsia="Times New Roman" w:cs="Arial"/>
                <w:sz w:val="20"/>
                <w:szCs w:val="20"/>
                <w:lang w:eastAsia="en-GB"/>
              </w:rPr>
            </w:pPr>
          </w:p>
        </w:tc>
      </w:tr>
      <w:tr w:rsidRPr="002D6545" w:rsidR="005E16C5" w:rsidTr="00C90CB4" w14:paraId="5B81A72C" w14:textId="77777777">
        <w:trPr>
          <w:trHeight w:val="300"/>
        </w:trPr>
        <w:tc>
          <w:tcPr>
            <w:tcW w:w="6804" w:type="dxa"/>
            <w:tcBorders>
              <w:left w:val="nil"/>
              <w:bottom w:val="single" w:color="auto" w:sz="4" w:space="0"/>
              <w:right w:val="nil"/>
            </w:tcBorders>
            <w:noWrap/>
          </w:tcPr>
          <w:p w:rsidRPr="002D6545" w:rsidR="005E16C5" w:rsidP="00C90CB4" w:rsidRDefault="005E16C5" w14:paraId="03C71E1F" w14:textId="77777777">
            <w:pPr>
              <w:ind w:firstLine="220" w:firstLineChars="100"/>
              <w:rPr>
                <w:rFonts w:ascii="Arial" w:hAnsi="Arial" w:eastAsia="Times New Roman" w:cs="Arial"/>
                <w:sz w:val="20"/>
                <w:szCs w:val="20"/>
              </w:rPr>
            </w:pPr>
            <w:r w:rsidRPr="002D6545">
              <w:t>g. Oddelek 8 – Kazalnik prve prodaje finančnih instrumentov z obveznostjo odkupa</w:t>
            </w:r>
          </w:p>
        </w:tc>
        <w:tc>
          <w:tcPr>
            <w:tcW w:w="2745" w:type="dxa"/>
            <w:tcBorders>
              <w:left w:val="nil"/>
              <w:right w:val="nil"/>
            </w:tcBorders>
            <w:noWrap/>
          </w:tcPr>
          <w:p w:rsidRPr="002D6545" w:rsidR="005E16C5" w:rsidP="00C90CB4" w:rsidRDefault="005E16C5" w14:paraId="08DB2E08" w14:textId="77777777">
            <w:pPr>
              <w:jc w:val="right"/>
              <w:rPr>
                <w:rFonts w:ascii="Arial" w:hAnsi="Arial" w:eastAsia="Times New Roman" w:cs="Arial"/>
                <w:sz w:val="20"/>
                <w:szCs w:val="20"/>
                <w:lang w:eastAsia="en-GB"/>
              </w:rPr>
            </w:pPr>
          </w:p>
        </w:tc>
      </w:tr>
      <w:tr w:rsidRPr="002D6545" w:rsidR="005E16C5" w:rsidTr="00C90CB4" w14:paraId="3994F6B7" w14:textId="77777777">
        <w:trPr>
          <w:trHeight w:val="300"/>
        </w:trPr>
        <w:tc>
          <w:tcPr>
            <w:tcW w:w="6804" w:type="dxa"/>
            <w:tcBorders>
              <w:left w:val="nil"/>
              <w:bottom w:val="single" w:color="auto" w:sz="4" w:space="0"/>
              <w:right w:val="nil"/>
            </w:tcBorders>
            <w:noWrap/>
          </w:tcPr>
          <w:p w:rsidRPr="002D6545" w:rsidR="005E16C5" w:rsidP="00C90CB4" w:rsidRDefault="005E16C5" w14:paraId="17F71AA7" w14:textId="77777777">
            <w:pPr>
              <w:ind w:firstLine="220" w:firstLineChars="100"/>
              <w:rPr>
                <w:rFonts w:ascii="Arial" w:hAnsi="Arial" w:eastAsia="Times New Roman" w:cs="Arial"/>
                <w:sz w:val="20"/>
                <w:szCs w:val="20"/>
              </w:rPr>
            </w:pPr>
            <w:r w:rsidRPr="002D6545">
              <w:t>h. Oddelek 20 – Kazalnik izvedenih finančnih instrumentov OTC</w:t>
            </w:r>
          </w:p>
        </w:tc>
        <w:tc>
          <w:tcPr>
            <w:tcW w:w="2745" w:type="dxa"/>
            <w:tcBorders>
              <w:left w:val="nil"/>
              <w:right w:val="nil"/>
            </w:tcBorders>
            <w:noWrap/>
          </w:tcPr>
          <w:p w:rsidRPr="002D6545" w:rsidR="005E16C5" w:rsidP="00C90CB4" w:rsidRDefault="005E16C5" w14:paraId="7DC64012" w14:textId="77777777">
            <w:pPr>
              <w:jc w:val="right"/>
              <w:rPr>
                <w:rFonts w:ascii="Arial" w:hAnsi="Arial" w:eastAsia="Times New Roman" w:cs="Arial"/>
                <w:sz w:val="20"/>
                <w:szCs w:val="20"/>
                <w:lang w:eastAsia="en-GB"/>
              </w:rPr>
            </w:pPr>
          </w:p>
        </w:tc>
      </w:tr>
      <w:tr w:rsidRPr="002D6545" w:rsidR="005E16C5" w:rsidTr="00C90CB4" w14:paraId="7D21040E" w14:textId="77777777">
        <w:trPr>
          <w:trHeight w:val="300"/>
        </w:trPr>
        <w:tc>
          <w:tcPr>
            <w:tcW w:w="6804" w:type="dxa"/>
            <w:tcBorders>
              <w:left w:val="nil"/>
              <w:bottom w:val="single" w:color="auto" w:sz="4" w:space="0"/>
              <w:right w:val="nil"/>
            </w:tcBorders>
            <w:noWrap/>
          </w:tcPr>
          <w:p w:rsidRPr="002D6545" w:rsidR="005E16C5" w:rsidP="00C90CB4" w:rsidRDefault="005E16C5" w14:paraId="22C98DD8" w14:textId="77777777">
            <w:pPr>
              <w:ind w:firstLine="220" w:firstLineChars="100"/>
              <w:rPr>
                <w:rFonts w:ascii="Arial" w:hAnsi="Arial" w:eastAsia="Times New Roman" w:cs="Arial"/>
                <w:sz w:val="20"/>
                <w:szCs w:val="20"/>
              </w:rPr>
            </w:pPr>
            <w:r w:rsidRPr="002D6545">
              <w:t>i. Oddelek 11 – Kazalnik vrednostnih papirjev, namenjenih trgovanju in razpoložljivih za prodajo</w:t>
            </w:r>
          </w:p>
        </w:tc>
        <w:tc>
          <w:tcPr>
            <w:tcW w:w="2745" w:type="dxa"/>
            <w:tcBorders>
              <w:left w:val="nil"/>
              <w:right w:val="nil"/>
            </w:tcBorders>
            <w:noWrap/>
          </w:tcPr>
          <w:p w:rsidRPr="002D6545" w:rsidR="005E16C5" w:rsidP="00C90CB4" w:rsidRDefault="005E16C5" w14:paraId="29535643" w14:textId="77777777">
            <w:pPr>
              <w:jc w:val="right"/>
              <w:rPr>
                <w:rFonts w:ascii="Arial" w:hAnsi="Arial" w:eastAsia="Times New Roman" w:cs="Arial"/>
                <w:sz w:val="20"/>
                <w:szCs w:val="20"/>
                <w:lang w:eastAsia="en-GB"/>
              </w:rPr>
            </w:pPr>
          </w:p>
        </w:tc>
      </w:tr>
      <w:tr w:rsidRPr="002D6545" w:rsidR="005E16C5" w:rsidTr="00C90CB4" w14:paraId="509AE510" w14:textId="77777777">
        <w:trPr>
          <w:trHeight w:val="300"/>
        </w:trPr>
        <w:tc>
          <w:tcPr>
            <w:tcW w:w="6804" w:type="dxa"/>
            <w:tcBorders>
              <w:left w:val="nil"/>
              <w:bottom w:val="single" w:color="auto" w:sz="4" w:space="0"/>
              <w:right w:val="nil"/>
            </w:tcBorders>
            <w:noWrap/>
          </w:tcPr>
          <w:p w:rsidRPr="002D6545" w:rsidR="005E16C5" w:rsidP="00C90CB4" w:rsidRDefault="005E16C5" w14:paraId="76A5845E" w14:textId="77777777">
            <w:pPr>
              <w:ind w:firstLine="220" w:firstLineChars="100"/>
              <w:rPr>
                <w:rFonts w:ascii="Arial" w:hAnsi="Arial" w:eastAsia="Times New Roman" w:cs="Arial"/>
                <w:sz w:val="20"/>
                <w:szCs w:val="20"/>
              </w:rPr>
            </w:pPr>
            <w:r w:rsidRPr="002D6545">
              <w:t>j. Oddelek 20 – Kazalnik sredstev ravni 3</w:t>
            </w:r>
          </w:p>
        </w:tc>
        <w:tc>
          <w:tcPr>
            <w:tcW w:w="2745" w:type="dxa"/>
            <w:tcBorders>
              <w:left w:val="nil"/>
              <w:right w:val="nil"/>
            </w:tcBorders>
            <w:noWrap/>
          </w:tcPr>
          <w:p w:rsidRPr="002D6545" w:rsidR="005E16C5" w:rsidP="00C90CB4" w:rsidRDefault="005E16C5" w14:paraId="46D410F2" w14:textId="77777777">
            <w:pPr>
              <w:jc w:val="right"/>
              <w:rPr>
                <w:rFonts w:ascii="Arial" w:hAnsi="Arial" w:eastAsia="Times New Roman" w:cs="Arial"/>
                <w:sz w:val="20"/>
                <w:szCs w:val="20"/>
                <w:lang w:eastAsia="en-GB"/>
              </w:rPr>
            </w:pPr>
          </w:p>
        </w:tc>
      </w:tr>
      <w:tr w:rsidRPr="002D6545" w:rsidR="005E16C5" w:rsidTr="00C90CB4" w14:paraId="767150D9" w14:textId="77777777">
        <w:trPr>
          <w:trHeight w:val="300"/>
        </w:trPr>
        <w:tc>
          <w:tcPr>
            <w:tcW w:w="6804" w:type="dxa"/>
            <w:tcBorders>
              <w:left w:val="nil"/>
              <w:bottom w:val="single" w:color="auto" w:sz="4" w:space="0"/>
              <w:right w:val="nil"/>
            </w:tcBorders>
            <w:noWrap/>
          </w:tcPr>
          <w:p w:rsidRPr="002D6545" w:rsidR="005E16C5" w:rsidP="00C90CB4" w:rsidRDefault="005E16C5" w14:paraId="615265C9" w14:textId="77777777">
            <w:pPr>
              <w:ind w:firstLine="220" w:firstLineChars="100"/>
              <w:rPr>
                <w:rFonts w:ascii="Arial" w:hAnsi="Arial" w:eastAsia="Times New Roman" w:cs="Arial"/>
                <w:sz w:val="20"/>
                <w:szCs w:val="20"/>
              </w:rPr>
            </w:pPr>
            <w:r w:rsidRPr="002D6545">
              <w:t>k. Oddelek 13 – Kazalnik terjatev v sodni pristojnosti druge države</w:t>
            </w:r>
          </w:p>
        </w:tc>
        <w:tc>
          <w:tcPr>
            <w:tcW w:w="2745" w:type="dxa"/>
            <w:tcBorders>
              <w:left w:val="nil"/>
              <w:right w:val="nil"/>
            </w:tcBorders>
            <w:noWrap/>
          </w:tcPr>
          <w:p w:rsidRPr="002D6545" w:rsidR="005E16C5" w:rsidP="00C90CB4" w:rsidRDefault="005E16C5" w14:paraId="3117BB18" w14:textId="77777777">
            <w:pPr>
              <w:jc w:val="right"/>
              <w:rPr>
                <w:rFonts w:ascii="Arial" w:hAnsi="Arial" w:eastAsia="Times New Roman" w:cs="Arial"/>
                <w:sz w:val="20"/>
                <w:szCs w:val="20"/>
                <w:lang w:eastAsia="en-GB"/>
              </w:rPr>
            </w:pPr>
          </w:p>
        </w:tc>
      </w:tr>
      <w:tr w:rsidRPr="002D6545" w:rsidR="005E16C5" w:rsidTr="00C90CB4" w14:paraId="7801DE1E" w14:textId="77777777">
        <w:trPr>
          <w:trHeight w:val="300"/>
        </w:trPr>
        <w:tc>
          <w:tcPr>
            <w:tcW w:w="6804" w:type="dxa"/>
            <w:tcBorders>
              <w:left w:val="nil"/>
              <w:bottom w:val="single" w:color="auto" w:sz="4" w:space="0"/>
              <w:right w:val="nil"/>
            </w:tcBorders>
            <w:noWrap/>
          </w:tcPr>
          <w:p w:rsidRPr="002D6545" w:rsidR="005E16C5" w:rsidP="00C90CB4" w:rsidRDefault="005E16C5" w14:paraId="74377975" w14:textId="77777777">
            <w:pPr>
              <w:ind w:firstLine="220" w:firstLineChars="100"/>
              <w:rPr>
                <w:rFonts w:ascii="Arial" w:hAnsi="Arial" w:eastAsia="Times New Roman" w:cs="Arial"/>
                <w:sz w:val="20"/>
                <w:szCs w:val="20"/>
              </w:rPr>
            </w:pPr>
            <w:r w:rsidRPr="002D6545">
              <w:t>l. Oddelek 21 – Kazalnik obveznosti v sodni pristojnosti druge države</w:t>
            </w:r>
          </w:p>
        </w:tc>
        <w:tc>
          <w:tcPr>
            <w:tcW w:w="2745" w:type="dxa"/>
            <w:tcBorders>
              <w:left w:val="nil"/>
              <w:right w:val="nil"/>
            </w:tcBorders>
            <w:noWrap/>
          </w:tcPr>
          <w:p w:rsidRPr="002D6545" w:rsidR="005E16C5" w:rsidP="00C90CB4" w:rsidRDefault="005E16C5" w14:paraId="0F3B7B9D" w14:textId="77777777">
            <w:pPr>
              <w:jc w:val="right"/>
              <w:rPr>
                <w:rFonts w:ascii="Arial" w:hAnsi="Arial" w:eastAsia="Times New Roman" w:cs="Arial"/>
                <w:sz w:val="20"/>
                <w:szCs w:val="20"/>
                <w:lang w:eastAsia="en-GB"/>
              </w:rPr>
            </w:pPr>
          </w:p>
        </w:tc>
      </w:tr>
    </w:tbl>
    <w:p w:rsidRPr="002D6545" w:rsidR="005E16C5" w:rsidP="005E16C5" w:rsidRDefault="005E16C5" w14:paraId="7AB32BEA" w14:textId="77777777">
      <w:pPr>
        <w:widowControl w:val="0"/>
        <w:tabs>
          <w:tab w:val="left" w:pos="1116"/>
        </w:tabs>
        <w:autoSpaceDE w:val="0"/>
        <w:spacing w:before="10"/>
      </w:pPr>
    </w:p>
    <w:p w:rsidRPr="002D6545" w:rsidR="005E16C5" w:rsidP="005E16C5" w:rsidRDefault="005E16C5" w14:paraId="46A8BC80" w14:textId="77777777">
      <w:pPr>
        <w:pStyle w:val="BodyText"/>
        <w:spacing w:line="20" w:lineRule="exact"/>
        <w:rPr>
          <w:sz w:val="2"/>
        </w:rPr>
      </w:pPr>
    </w:p>
    <w:p w:rsidRPr="00190553" w:rsidR="00B43E07" w:rsidP="00AF2BCB" w:rsidRDefault="00B43E07" w14:paraId="2BAE8127" w14:textId="5FE21A2A">
      <w:pPr>
        <w:pStyle w:val="TableParagraph"/>
        <w:spacing w:before="11"/>
        <w:ind w:left="381"/>
      </w:pPr>
    </w:p>
    <w:bookmarkEnd w:id="9"/>
    <w:bookmarkEnd w:id="8"/>
    <w:bookmarkEnd w:id="7"/>
    <w:bookmarkEnd w:id="6"/>
    <w:bookmarkEnd w:id="5"/>
    <w:bookmarkEnd w:id="4"/>
    <w:bookmarkEnd w:id="3"/>
    <w:bookmarkEnd w:id="2"/>
    <w:bookmarkEnd w:id="1"/>
    <w:bookmarkEnd w:id="0"/>
    <w:p w:rsidRPr="00190553" w:rsidR="00B43E07" w:rsidP="00F9329F" w:rsidRDefault="00B43E07" w14:paraId="609D9107" w14:textId="34CF2015">
      <w:pPr>
        <w:pStyle w:val="TableParagraph"/>
        <w:spacing w:before="11"/>
      </w:pPr>
    </w:p>
    <w:sectPr w:rsidRPr="00190553" w:rsidR="00B43E07"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8E40" w14:textId="77777777" w:rsidR="00BA1D12" w:rsidRDefault="00BA1D12" w:rsidP="00A00E34">
      <w:r>
        <w:separator/>
      </w:r>
    </w:p>
    <w:p w14:paraId="72B325CF" w14:textId="77777777" w:rsidR="00BA1D12" w:rsidRDefault="00BA1D12"/>
  </w:endnote>
  <w:endnote w:type="continuationSeparator" w:id="0">
    <w:p w14:paraId="6A8FB01A" w14:textId="77777777" w:rsidR="00BA1D12" w:rsidRDefault="00BA1D12" w:rsidP="00A00E34">
      <w:r>
        <w:continuationSeparator/>
      </w:r>
    </w:p>
    <w:p w14:paraId="2563CA2F" w14:textId="77777777" w:rsidR="00BA1D12" w:rsidRDefault="00BA1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53A" w:rsidP="0017667F" w:rsidRDefault="0053553A" w14:paraId="142C28E2" w14:textId="77777777">
    <w:pPr>
      <w:pStyle w:val="Footer"/>
      <w:rPr>
        <w:rStyle w:val="PageNumber"/>
        <w:noProof/>
      </w:rPr>
    </w:pPr>
    <w:r>
      <w:rPr>
        <w:rStyle w:val="PageNumber"/>
      </w:rPr>
      <w:fldChar w:fldCharType="begin"/>
    </w:r>
    <w:r>
      <w:rPr>
        <w:rStyle w:val="PageNumber"/>
      </w:rPr>
      <w:instrText xml:space="preserve">PAGE  </w:instrText>
    </w:r>
    <w:r>
      <w:rPr>
        <w:rStyle w:val="PageNumber"/>
      </w:rPr>
      <w:fldChar w:fldCharType="end"/>
    </w:r>
  </w:p>
  <w:p w:rsidR="0053553A" w:rsidP="00610305" w:rsidRDefault="0053553A"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0553" w:rsidR="0053553A" w:rsidP="00AC4E64" w:rsidRDefault="0053553A" w14:paraId="6EEDA3DB" w14:textId="14FCE175">
    <w:pPr>
      <w:pStyle w:val="Footer"/>
      <w:jc w:val="right"/>
      <w:rPr>
        <w:noProof/>
      </w:rPr>
    </w:pPr>
    <w:r w:rsidRPr="00190553">
      <w:rPr>
        <w:rStyle w:val="PageNumber"/>
      </w:rPr>
      <w:fldChar w:fldCharType="begin"/>
    </w:r>
    <w:r w:rsidRPr="00190553">
      <w:rPr>
        <w:rStyle w:val="PageNumber"/>
      </w:rPr>
      <w:instrText xml:space="preserve">PAGE  </w:instrText>
    </w:r>
    <w:r w:rsidRPr="00190553">
      <w:rPr>
        <w:rStyle w:val="PageNumber"/>
      </w:rPr>
      <w:fldChar w:fldCharType="separate"/>
    </w:r>
    <w:r w:rsidR="0055238D">
      <w:rPr>
        <w:rStyle w:val="PageNumber"/>
        <w:noProof/>
      </w:rPr>
      <w:t>1</w:t>
    </w:r>
    <w:r w:rsidRPr="00190553">
      <w:rPr>
        <w:rStyle w:val="PageNumber"/>
      </w:rPr>
      <w:fldChar w:fldCharType="end"/>
    </w:r>
    <w:r w:rsidRPr="00190553">
      <w:rPr>
        <w:noProof/>
        <w:lang w:val="en-GB" w:eastAsia="en-GB"/>
      </w:rPr>
      <mc:AlternateContent>
        <mc:Choice Requires="wps">
          <w:drawing>
            <wp:anchor distT="4294967295" distB="4294967295" distL="114300" distR="114300" simplePos="0" relativeHeight="251657728" behindDoc="1" locked="1" layoutInCell="1" allowOverlap="1" wp14:editId="1493B97A" wp14:anchorId="127A96D1">
              <wp:simplePos x="0" y="0"/>
              <wp:positionH relativeFrom="column">
                <wp:posOffset>-57785</wp:posOffset>
              </wp:positionH>
              <wp:positionV relativeFrom="page">
                <wp:posOffset>9980295</wp:posOffset>
              </wp:positionV>
              <wp:extent cx="572389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" from="-4.55pt,785.85pt" to="446.15pt,785.85pt" w14:anchorId="38DA5B62">
              <o:lock v:ext="edit" shapetype="f"/>
              <w10:wrap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BCE1" w14:textId="77777777" w:rsidR="00BA1D12" w:rsidRPr="00DB5E8F" w:rsidRDefault="00BA1D12">
      <w:pPr>
        <w:rPr>
          <w:sz w:val="12"/>
          <w:szCs w:val="12"/>
        </w:rPr>
      </w:pPr>
      <w:r w:rsidRPr="00DB5E8F">
        <w:rPr>
          <w:sz w:val="12"/>
          <w:szCs w:val="12"/>
        </w:rPr>
        <w:separator/>
      </w:r>
    </w:p>
  </w:footnote>
  <w:footnote w:type="continuationSeparator" w:id="0">
    <w:p w14:paraId="6800467B" w14:textId="77777777" w:rsidR="00BA1D12" w:rsidRDefault="00BA1D12" w:rsidP="00A00E34">
      <w:r>
        <w:continuationSeparator/>
      </w:r>
    </w:p>
    <w:p w14:paraId="6D9CBE50" w14:textId="77777777" w:rsidR="00BA1D12" w:rsidRDefault="00BA1D12"/>
  </w:footnote>
  <w:footnote w:type="continuationNotice" w:id="1">
    <w:p w14:paraId="3135CEDD" w14:textId="77777777" w:rsidR="00BA1D12" w:rsidRDefault="00BA1D12"/>
  </w:footnote>
  <w:footnote w:id="2">
    <w:p w14:paraId="2B9C6101" w14:textId="2B4968B2" w:rsidR="0053553A" w:rsidRPr="00190553" w:rsidRDefault="0053553A" w:rsidP="00C92B4B">
      <w:pPr>
        <w:pStyle w:val="FootnoteText"/>
        <w:rPr>
          <w:rFonts w:asciiTheme="minorHAnsi" w:hAnsiTheme="minorHAnsi" w:cstheme="minorHAnsi"/>
        </w:rPr>
      </w:pPr>
      <w:r w:rsidRPr="00190553">
        <w:rPr>
          <w:rFonts w:asciiTheme="minorHAnsi" w:hAnsiTheme="minorHAnsi" w:cstheme="minorHAnsi"/>
        </w:rPr>
        <w:t>(</w:t>
      </w:r>
      <w:r w:rsidRPr="00190553">
        <w:rPr>
          <w:rStyle w:val="FootnoteReference"/>
          <w:rFonts w:cstheme="minorHAnsi"/>
          <w:sz w:val="18"/>
        </w:rPr>
        <w:footnoteRef/>
      </w:r>
      <w:r w:rsidRPr="00190553">
        <w:rPr>
          <w:rFonts w:asciiTheme="minorHAnsi" w:hAnsiTheme="minorHAnsi" w:cstheme="minorHAnsi"/>
        </w:rPr>
        <w:t>) Uredba (EU) št. 1093/2010 Evropskega parlamenta in Sveta z dne 24. novembra 2010 o ustanovitvi Evropskega nadzornega organa (Evropski bančni organ) in o spremembi Sklepa št. 716/2009/ES ter razveljavitvi Sklepa Komisije 2009/78/ES (UL L 331, 15.12.2010, str. 12).</w:t>
      </w:r>
    </w:p>
  </w:footnote>
  <w:footnote w:id="3">
    <w:p w14:paraId="5B490C1A" w14:textId="77777777" w:rsidR="005E16C5" w:rsidRPr="002D6545" w:rsidRDefault="005E16C5" w:rsidP="005E16C5">
      <w:pPr>
        <w:pStyle w:val="FootnoteText"/>
      </w:pPr>
      <w:r w:rsidRPr="002D6545">
        <w:rPr>
          <w:rStyle w:val="FootnoteReference"/>
          <w:lang w:val="en-GB"/>
        </w:rPr>
        <w:footnoteRef/>
      </w:r>
      <w:r>
        <w:t xml:space="preserve"> </w:t>
      </w:r>
      <w:r w:rsidRPr="002D6545">
        <w:t>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53A" w:rsidRDefault="0053553A" w14:paraId="41B1516F" w14:textId="12C57839">
    <w:pPr>
      <w:rPr>
        <w:noProof/>
      </w:rPr>
    </w:pPr>
    <w:r>
      <w:ptab w:alignment="center" w:relativeTo="margin" w:leader="none"/>
    </w:r>
    <w:r>
      <w:ptab w:alignment="right" w:relativeTo="margin" w:leader="none"/>
    </w:r>
  </w:p>
  <w:p w:rsidR="0053553A" w:rsidRDefault="0053553A"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0553" w:rsidR="0053553A" w:rsidP="002215B5" w:rsidRDefault="0053553A" w14:paraId="233A6472" w14:textId="42F4713B">
    <w:pPr>
      <w:pStyle w:val="Runningtitle"/>
      <w:rPr>
        <w:noProof/>
      </w:rPr>
    </w:pPr>
    <w:r w:rsidRPr="00190553">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a:ext>
                  </a:extLst>
                </pic:spPr>
              </pic:pic>
            </a:graphicData>
          </a:graphic>
        </wp:anchor>
      </w:drawing>
    </w:r>
    <w:r w:rsidRPr="00190553">
      <w:t>KONČNO poročilo za smernice EBA o specifikaciji in razkritju</w:t>
    </w:r>
  </w:p>
  <w:p w:rsidRPr="00190553" w:rsidR="0053553A" w:rsidP="002215B5" w:rsidRDefault="0053553A" w14:paraId="122C2463" w14:textId="77777777">
    <w:pPr>
      <w:pStyle w:val="Runningtitle"/>
      <w:rPr>
        <w:noProof/>
      </w:rPr>
    </w:pPr>
    <w:r w:rsidRPr="00190553">
      <w:t>kazalnikov sistemske pomembnosti</w:t>
    </w:r>
  </w:p>
  <w:p w:rsidRPr="00190553" w:rsidR="0053553A" w:rsidP="002215B5" w:rsidRDefault="0053553A"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553A" w:rsidP="00E677EF" w:rsidRDefault="0053553A" w14:paraId="6E4DF7C2" w14:textId="77777777">
    <w:pPr>
      <w:pStyle w:val="Runningtitle"/>
      <w:rPr>
        <w:noProof/>
      </w:rPr>
    </w:pPr>
    <w:r>
      <w:t>running title comes here in running title style</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1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a14="http://schemas.microsoft.com/office/drawing/2010/main"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270F"/>
    <w:multiLevelType w:val="hybridMultilevel"/>
    <w:tmpl w:val="5B16EA34"/>
    <w:lvl w:ilvl="0" w:tplc="D50E11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15453EDA"/>
    <w:multiLevelType w:val="hybridMultilevel"/>
    <w:tmpl w:val="31527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B180EB8"/>
    <w:multiLevelType w:val="singleLevel"/>
    <w:tmpl w:val="CB4A6434"/>
    <w:lvl w:ilvl="0">
      <w:start w:val="1"/>
      <w:numFmt w:val="decimal"/>
      <w:lvlRestart w:val="0"/>
      <w:lvlText w:val="(%1)"/>
      <w:lvlJc w:val="left"/>
      <w:pPr>
        <w:tabs>
          <w:tab w:val="num" w:pos="709"/>
        </w:tabs>
        <w:ind w:left="709" w:hanging="709"/>
      </w:pPr>
    </w:lvl>
  </w:abstractNum>
  <w:abstractNum w:abstractNumId="8"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1503BE3"/>
    <w:multiLevelType w:val="hybridMultilevel"/>
    <w:tmpl w:val="5DC8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F008E"/>
    <w:multiLevelType w:val="hybridMultilevel"/>
    <w:tmpl w:val="0CEAE5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A9A15F4"/>
    <w:multiLevelType w:val="hybridMultilevel"/>
    <w:tmpl w:val="44B2CE44"/>
    <w:lvl w:ilvl="0" w:tplc="67FA7E1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DEC"/>
    <w:multiLevelType w:val="hybridMultilevel"/>
    <w:tmpl w:val="BC24597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684A36"/>
    <w:multiLevelType w:val="hybridMultilevel"/>
    <w:tmpl w:val="95C2B722"/>
    <w:lvl w:ilvl="0" w:tplc="770A29D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904CD"/>
    <w:multiLevelType w:val="hybridMultilevel"/>
    <w:tmpl w:val="7842D9F2"/>
    <w:lvl w:ilvl="0" w:tplc="14AC8834">
      <w:start w:val="1"/>
      <w:numFmt w:val="decimal"/>
      <w:lvlText w:val="%1."/>
      <w:lvlJc w:val="left"/>
      <w:pPr>
        <w:ind w:left="720" w:hanging="360"/>
      </w:pPr>
      <w:rPr>
        <w:rFonts w:hint="default"/>
      </w:rPr>
    </w:lvl>
    <w:lvl w:ilvl="1" w:tplc="CE0E9A62">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5B6DB2"/>
    <w:multiLevelType w:val="hybridMultilevel"/>
    <w:tmpl w:val="38F22D3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5"/>
  </w:num>
  <w:num w:numId="5">
    <w:abstractNumId w:val="22"/>
  </w:num>
  <w:num w:numId="6">
    <w:abstractNumId w:val="1"/>
  </w:num>
  <w:num w:numId="7">
    <w:abstractNumId w:val="21"/>
  </w:num>
  <w:num w:numId="8">
    <w:abstractNumId w:val="19"/>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0"/>
  </w:num>
  <w:num w:numId="16">
    <w:abstractNumId w:val="4"/>
  </w:num>
  <w:num w:numId="17">
    <w:abstractNumId w:val="11"/>
  </w:num>
  <w:num w:numId="18">
    <w:abstractNumId w:val="23"/>
  </w:num>
  <w:num w:numId="19">
    <w:abstractNumId w:val="6"/>
  </w:num>
  <w:num w:numId="20">
    <w:abstractNumId w:val="8"/>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4"/>
  </w:num>
  <w:num w:numId="29">
    <w:abstractNumId w:val="13"/>
  </w:num>
  <w:num w:numId="30">
    <w:abstractNumId w:val="7"/>
  </w:num>
  <w:num w:numId="31">
    <w:abstractNumId w:val="9"/>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0"/>
  </w:num>
  <w:num w:numId="37">
    <w:abstractNumId w:val="5"/>
  </w:num>
  <w:num w:numId="38">
    <w:abstractNumId w:val="17"/>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3"/>
  </w:num>
  <w:num w:numId="47">
    <w:abstractNumId w:val="12"/>
  </w:num>
  <w:num w:numId="48">
    <w:abstractNumId w:val="20"/>
  </w:num>
  <w:num w:numId="49">
    <w:abstractNumId w:val="21"/>
  </w:num>
  <w:num w:numId="5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2BCF"/>
    <w:rsid w:val="00003F50"/>
    <w:rsid w:val="0001213D"/>
    <w:rsid w:val="00013281"/>
    <w:rsid w:val="00021E10"/>
    <w:rsid w:val="000231B7"/>
    <w:rsid w:val="00027CA0"/>
    <w:rsid w:val="00030D65"/>
    <w:rsid w:val="00040129"/>
    <w:rsid w:val="00051823"/>
    <w:rsid w:val="00060F40"/>
    <w:rsid w:val="00062830"/>
    <w:rsid w:val="0007574B"/>
    <w:rsid w:val="000774B3"/>
    <w:rsid w:val="000843CD"/>
    <w:rsid w:val="00087EEC"/>
    <w:rsid w:val="000968AA"/>
    <w:rsid w:val="000A1C81"/>
    <w:rsid w:val="000A3851"/>
    <w:rsid w:val="000A5345"/>
    <w:rsid w:val="000B1645"/>
    <w:rsid w:val="000B2614"/>
    <w:rsid w:val="000C2B79"/>
    <w:rsid w:val="000C5A8A"/>
    <w:rsid w:val="000C7FD8"/>
    <w:rsid w:val="000D7A44"/>
    <w:rsid w:val="000E0C27"/>
    <w:rsid w:val="000E6D15"/>
    <w:rsid w:val="000F33D3"/>
    <w:rsid w:val="000F3C24"/>
    <w:rsid w:val="000F607B"/>
    <w:rsid w:val="000F6495"/>
    <w:rsid w:val="000F6FD8"/>
    <w:rsid w:val="001061FA"/>
    <w:rsid w:val="00112BF2"/>
    <w:rsid w:val="0011517F"/>
    <w:rsid w:val="00117062"/>
    <w:rsid w:val="001212C2"/>
    <w:rsid w:val="0012173D"/>
    <w:rsid w:val="00121BB0"/>
    <w:rsid w:val="0012686C"/>
    <w:rsid w:val="0013090C"/>
    <w:rsid w:val="00131C5D"/>
    <w:rsid w:val="00132059"/>
    <w:rsid w:val="00132F74"/>
    <w:rsid w:val="0014310A"/>
    <w:rsid w:val="00143427"/>
    <w:rsid w:val="00145D24"/>
    <w:rsid w:val="00145E0A"/>
    <w:rsid w:val="00152832"/>
    <w:rsid w:val="001600FC"/>
    <w:rsid w:val="00160815"/>
    <w:rsid w:val="00170F70"/>
    <w:rsid w:val="00172007"/>
    <w:rsid w:val="0017446F"/>
    <w:rsid w:val="0017667F"/>
    <w:rsid w:val="00177CB9"/>
    <w:rsid w:val="00180642"/>
    <w:rsid w:val="001834D4"/>
    <w:rsid w:val="00190553"/>
    <w:rsid w:val="00192287"/>
    <w:rsid w:val="00197E14"/>
    <w:rsid w:val="001A016C"/>
    <w:rsid w:val="001A2A81"/>
    <w:rsid w:val="001A32D5"/>
    <w:rsid w:val="001A47D0"/>
    <w:rsid w:val="001A5BD4"/>
    <w:rsid w:val="001A70A8"/>
    <w:rsid w:val="001B2C0D"/>
    <w:rsid w:val="001B3341"/>
    <w:rsid w:val="001B6017"/>
    <w:rsid w:val="001B7A0B"/>
    <w:rsid w:val="001B7EB3"/>
    <w:rsid w:val="001C1FD9"/>
    <w:rsid w:val="001C5BC2"/>
    <w:rsid w:val="001D0179"/>
    <w:rsid w:val="001E0B2E"/>
    <w:rsid w:val="001E1188"/>
    <w:rsid w:val="001E3599"/>
    <w:rsid w:val="001F1CB9"/>
    <w:rsid w:val="001F7501"/>
    <w:rsid w:val="00205878"/>
    <w:rsid w:val="00213D7B"/>
    <w:rsid w:val="00214DEC"/>
    <w:rsid w:val="00215B80"/>
    <w:rsid w:val="002215B5"/>
    <w:rsid w:val="00224761"/>
    <w:rsid w:val="00224A3F"/>
    <w:rsid w:val="00224D96"/>
    <w:rsid w:val="002306C7"/>
    <w:rsid w:val="00231819"/>
    <w:rsid w:val="002351E9"/>
    <w:rsid w:val="00236329"/>
    <w:rsid w:val="00241BD8"/>
    <w:rsid w:val="002422FB"/>
    <w:rsid w:val="002434B0"/>
    <w:rsid w:val="00254CA9"/>
    <w:rsid w:val="0026681D"/>
    <w:rsid w:val="00267452"/>
    <w:rsid w:val="00273421"/>
    <w:rsid w:val="0027418E"/>
    <w:rsid w:val="00290DA3"/>
    <w:rsid w:val="002A3A19"/>
    <w:rsid w:val="002A6F7C"/>
    <w:rsid w:val="002B19D7"/>
    <w:rsid w:val="002C06C1"/>
    <w:rsid w:val="002C07F1"/>
    <w:rsid w:val="002C0DCF"/>
    <w:rsid w:val="002C1673"/>
    <w:rsid w:val="002C2703"/>
    <w:rsid w:val="002D1867"/>
    <w:rsid w:val="002F2009"/>
    <w:rsid w:val="002F2269"/>
    <w:rsid w:val="002F428B"/>
    <w:rsid w:val="00300924"/>
    <w:rsid w:val="003025A8"/>
    <w:rsid w:val="003129B6"/>
    <w:rsid w:val="00314D6E"/>
    <w:rsid w:val="00315AB3"/>
    <w:rsid w:val="00320E57"/>
    <w:rsid w:val="003221EF"/>
    <w:rsid w:val="00322C23"/>
    <w:rsid w:val="003248A2"/>
    <w:rsid w:val="00352A51"/>
    <w:rsid w:val="0035477B"/>
    <w:rsid w:val="00355E53"/>
    <w:rsid w:val="003604AA"/>
    <w:rsid w:val="00362309"/>
    <w:rsid w:val="00363390"/>
    <w:rsid w:val="0036783B"/>
    <w:rsid w:val="00370D44"/>
    <w:rsid w:val="00372BEC"/>
    <w:rsid w:val="00392385"/>
    <w:rsid w:val="003953B5"/>
    <w:rsid w:val="003A2221"/>
    <w:rsid w:val="003C34A3"/>
    <w:rsid w:val="003C3DE8"/>
    <w:rsid w:val="003D7A72"/>
    <w:rsid w:val="003E318D"/>
    <w:rsid w:val="003F3AA3"/>
    <w:rsid w:val="00411EF3"/>
    <w:rsid w:val="00412567"/>
    <w:rsid w:val="004172D1"/>
    <w:rsid w:val="00424530"/>
    <w:rsid w:val="0043577F"/>
    <w:rsid w:val="0043675A"/>
    <w:rsid w:val="00441F85"/>
    <w:rsid w:val="00446D76"/>
    <w:rsid w:val="00452CF3"/>
    <w:rsid w:val="0045301B"/>
    <w:rsid w:val="00454B24"/>
    <w:rsid w:val="00455E0E"/>
    <w:rsid w:val="004637D3"/>
    <w:rsid w:val="004719B4"/>
    <w:rsid w:val="00471CA1"/>
    <w:rsid w:val="00471CCE"/>
    <w:rsid w:val="00481AC4"/>
    <w:rsid w:val="00482FB6"/>
    <w:rsid w:val="00490251"/>
    <w:rsid w:val="004955E7"/>
    <w:rsid w:val="004A5D8B"/>
    <w:rsid w:val="004A76C6"/>
    <w:rsid w:val="004B2FC0"/>
    <w:rsid w:val="004B7784"/>
    <w:rsid w:val="004C1B19"/>
    <w:rsid w:val="004C5EFD"/>
    <w:rsid w:val="004C6392"/>
    <w:rsid w:val="004D3523"/>
    <w:rsid w:val="004D7668"/>
    <w:rsid w:val="004E405B"/>
    <w:rsid w:val="004F0AB6"/>
    <w:rsid w:val="004F63DB"/>
    <w:rsid w:val="005037F2"/>
    <w:rsid w:val="00505C64"/>
    <w:rsid w:val="005105EF"/>
    <w:rsid w:val="0051571A"/>
    <w:rsid w:val="00522627"/>
    <w:rsid w:val="00523895"/>
    <w:rsid w:val="00526B39"/>
    <w:rsid w:val="00532EBE"/>
    <w:rsid w:val="0053553A"/>
    <w:rsid w:val="005410AB"/>
    <w:rsid w:val="00543A44"/>
    <w:rsid w:val="0055238D"/>
    <w:rsid w:val="005574DA"/>
    <w:rsid w:val="00565691"/>
    <w:rsid w:val="005706A6"/>
    <w:rsid w:val="00571BB6"/>
    <w:rsid w:val="00574B26"/>
    <w:rsid w:val="00575BA7"/>
    <w:rsid w:val="00582AA7"/>
    <w:rsid w:val="0058477C"/>
    <w:rsid w:val="0058568F"/>
    <w:rsid w:val="005A11A7"/>
    <w:rsid w:val="005A6911"/>
    <w:rsid w:val="005B3658"/>
    <w:rsid w:val="005B5C09"/>
    <w:rsid w:val="005C3DFF"/>
    <w:rsid w:val="005C498B"/>
    <w:rsid w:val="005D033E"/>
    <w:rsid w:val="005D4005"/>
    <w:rsid w:val="005D40D1"/>
    <w:rsid w:val="005D6612"/>
    <w:rsid w:val="005E167D"/>
    <w:rsid w:val="005E16C5"/>
    <w:rsid w:val="005E7A01"/>
    <w:rsid w:val="00600024"/>
    <w:rsid w:val="00600065"/>
    <w:rsid w:val="006017FA"/>
    <w:rsid w:val="006059B2"/>
    <w:rsid w:val="00610305"/>
    <w:rsid w:val="00610419"/>
    <w:rsid w:val="00611DDB"/>
    <w:rsid w:val="00612C7B"/>
    <w:rsid w:val="006209BD"/>
    <w:rsid w:val="006224C1"/>
    <w:rsid w:val="006241B4"/>
    <w:rsid w:val="006269B7"/>
    <w:rsid w:val="00626DE6"/>
    <w:rsid w:val="006307A5"/>
    <w:rsid w:val="006336C8"/>
    <w:rsid w:val="00633DC7"/>
    <w:rsid w:val="00636E1D"/>
    <w:rsid w:val="00641A7A"/>
    <w:rsid w:val="00645495"/>
    <w:rsid w:val="00655112"/>
    <w:rsid w:val="00663B0A"/>
    <w:rsid w:val="006641F8"/>
    <w:rsid w:val="0066422C"/>
    <w:rsid w:val="00670254"/>
    <w:rsid w:val="00675E42"/>
    <w:rsid w:val="00683BFB"/>
    <w:rsid w:val="006915A4"/>
    <w:rsid w:val="00692AB7"/>
    <w:rsid w:val="00692AD8"/>
    <w:rsid w:val="006973AC"/>
    <w:rsid w:val="006C186D"/>
    <w:rsid w:val="006C6D8E"/>
    <w:rsid w:val="006D4C7C"/>
    <w:rsid w:val="006D7393"/>
    <w:rsid w:val="006E0D7A"/>
    <w:rsid w:val="006E3CE5"/>
    <w:rsid w:val="006E55E1"/>
    <w:rsid w:val="006F2E13"/>
    <w:rsid w:val="006F445D"/>
    <w:rsid w:val="006F72C6"/>
    <w:rsid w:val="006F7529"/>
    <w:rsid w:val="00703E4E"/>
    <w:rsid w:val="007071C6"/>
    <w:rsid w:val="00711E1C"/>
    <w:rsid w:val="00721D07"/>
    <w:rsid w:val="00721FBA"/>
    <w:rsid w:val="00723921"/>
    <w:rsid w:val="00730352"/>
    <w:rsid w:val="00731463"/>
    <w:rsid w:val="0073336B"/>
    <w:rsid w:val="00734CF5"/>
    <w:rsid w:val="007373D2"/>
    <w:rsid w:val="00740F65"/>
    <w:rsid w:val="00742839"/>
    <w:rsid w:val="00742949"/>
    <w:rsid w:val="00755505"/>
    <w:rsid w:val="0076316D"/>
    <w:rsid w:val="00771BCE"/>
    <w:rsid w:val="00772993"/>
    <w:rsid w:val="007815FB"/>
    <w:rsid w:val="00781A37"/>
    <w:rsid w:val="00781D80"/>
    <w:rsid w:val="007850AB"/>
    <w:rsid w:val="00791EAE"/>
    <w:rsid w:val="007A0054"/>
    <w:rsid w:val="007A44A6"/>
    <w:rsid w:val="007A5353"/>
    <w:rsid w:val="007B3D63"/>
    <w:rsid w:val="007B6077"/>
    <w:rsid w:val="007B69D6"/>
    <w:rsid w:val="007B793D"/>
    <w:rsid w:val="007C08B0"/>
    <w:rsid w:val="007C3A00"/>
    <w:rsid w:val="007C55D0"/>
    <w:rsid w:val="007D2626"/>
    <w:rsid w:val="007F5092"/>
    <w:rsid w:val="007F6B00"/>
    <w:rsid w:val="007F7895"/>
    <w:rsid w:val="00804A88"/>
    <w:rsid w:val="00813BAC"/>
    <w:rsid w:val="00813CD4"/>
    <w:rsid w:val="00814014"/>
    <w:rsid w:val="00817C42"/>
    <w:rsid w:val="00821B9D"/>
    <w:rsid w:val="0084468C"/>
    <w:rsid w:val="008552A0"/>
    <w:rsid w:val="008651AA"/>
    <w:rsid w:val="00865492"/>
    <w:rsid w:val="00865A3C"/>
    <w:rsid w:val="00867CB4"/>
    <w:rsid w:val="008708AB"/>
    <w:rsid w:val="00870A33"/>
    <w:rsid w:val="00871962"/>
    <w:rsid w:val="008725EC"/>
    <w:rsid w:val="00874ED5"/>
    <w:rsid w:val="008A4100"/>
    <w:rsid w:val="008A7288"/>
    <w:rsid w:val="008B6155"/>
    <w:rsid w:val="008B6B91"/>
    <w:rsid w:val="008C1A94"/>
    <w:rsid w:val="008C567C"/>
    <w:rsid w:val="008C5B82"/>
    <w:rsid w:val="008E297F"/>
    <w:rsid w:val="008F3908"/>
    <w:rsid w:val="009014B6"/>
    <w:rsid w:val="009041D9"/>
    <w:rsid w:val="00907439"/>
    <w:rsid w:val="00907D57"/>
    <w:rsid w:val="00911860"/>
    <w:rsid w:val="0091231C"/>
    <w:rsid w:val="00912882"/>
    <w:rsid w:val="00912895"/>
    <w:rsid w:val="00913422"/>
    <w:rsid w:val="009210DE"/>
    <w:rsid w:val="009257BE"/>
    <w:rsid w:val="00943B87"/>
    <w:rsid w:val="00944AD8"/>
    <w:rsid w:val="009549FF"/>
    <w:rsid w:val="00954FC6"/>
    <w:rsid w:val="0096160F"/>
    <w:rsid w:val="009642A9"/>
    <w:rsid w:val="00965B80"/>
    <w:rsid w:val="009730FB"/>
    <w:rsid w:val="00976A15"/>
    <w:rsid w:val="00980519"/>
    <w:rsid w:val="009846C5"/>
    <w:rsid w:val="0099008B"/>
    <w:rsid w:val="00993B1E"/>
    <w:rsid w:val="00993BAA"/>
    <w:rsid w:val="00994F87"/>
    <w:rsid w:val="009A1966"/>
    <w:rsid w:val="009A294D"/>
    <w:rsid w:val="009A5AF6"/>
    <w:rsid w:val="009B7C11"/>
    <w:rsid w:val="009C12C9"/>
    <w:rsid w:val="009C1CE7"/>
    <w:rsid w:val="009D28A6"/>
    <w:rsid w:val="009D55F7"/>
    <w:rsid w:val="009E300F"/>
    <w:rsid w:val="009E38A2"/>
    <w:rsid w:val="009E697F"/>
    <w:rsid w:val="009E76BE"/>
    <w:rsid w:val="009E79BF"/>
    <w:rsid w:val="009F12DA"/>
    <w:rsid w:val="009F3FE6"/>
    <w:rsid w:val="009F53AF"/>
    <w:rsid w:val="00A00E34"/>
    <w:rsid w:val="00A02BBA"/>
    <w:rsid w:val="00A062C7"/>
    <w:rsid w:val="00A10257"/>
    <w:rsid w:val="00A13558"/>
    <w:rsid w:val="00A14332"/>
    <w:rsid w:val="00A2290D"/>
    <w:rsid w:val="00A23608"/>
    <w:rsid w:val="00A23D22"/>
    <w:rsid w:val="00A25403"/>
    <w:rsid w:val="00A27B9D"/>
    <w:rsid w:val="00A27D88"/>
    <w:rsid w:val="00A304D0"/>
    <w:rsid w:val="00A41338"/>
    <w:rsid w:val="00A4361D"/>
    <w:rsid w:val="00A44695"/>
    <w:rsid w:val="00A4607D"/>
    <w:rsid w:val="00A53EC9"/>
    <w:rsid w:val="00A725D6"/>
    <w:rsid w:val="00A72C7D"/>
    <w:rsid w:val="00A81586"/>
    <w:rsid w:val="00A92440"/>
    <w:rsid w:val="00AA435E"/>
    <w:rsid w:val="00AA796D"/>
    <w:rsid w:val="00AB104D"/>
    <w:rsid w:val="00AB21B0"/>
    <w:rsid w:val="00AB2476"/>
    <w:rsid w:val="00AB4B80"/>
    <w:rsid w:val="00AC2312"/>
    <w:rsid w:val="00AC4E64"/>
    <w:rsid w:val="00AD0C73"/>
    <w:rsid w:val="00AD3179"/>
    <w:rsid w:val="00AE1A2D"/>
    <w:rsid w:val="00AE5347"/>
    <w:rsid w:val="00AE55F6"/>
    <w:rsid w:val="00AE56DB"/>
    <w:rsid w:val="00AF0781"/>
    <w:rsid w:val="00AF21F6"/>
    <w:rsid w:val="00AF2BCB"/>
    <w:rsid w:val="00AF4C86"/>
    <w:rsid w:val="00B025DB"/>
    <w:rsid w:val="00B13C87"/>
    <w:rsid w:val="00B1710D"/>
    <w:rsid w:val="00B2771A"/>
    <w:rsid w:val="00B32510"/>
    <w:rsid w:val="00B33222"/>
    <w:rsid w:val="00B3595C"/>
    <w:rsid w:val="00B36D5E"/>
    <w:rsid w:val="00B43E07"/>
    <w:rsid w:val="00B51926"/>
    <w:rsid w:val="00B51BB3"/>
    <w:rsid w:val="00B526A8"/>
    <w:rsid w:val="00B55FAB"/>
    <w:rsid w:val="00B56F17"/>
    <w:rsid w:val="00B6734E"/>
    <w:rsid w:val="00B76198"/>
    <w:rsid w:val="00B77DC8"/>
    <w:rsid w:val="00B77F65"/>
    <w:rsid w:val="00B82515"/>
    <w:rsid w:val="00B83D9D"/>
    <w:rsid w:val="00B84529"/>
    <w:rsid w:val="00B954E5"/>
    <w:rsid w:val="00B96F7F"/>
    <w:rsid w:val="00BA1D12"/>
    <w:rsid w:val="00BB2111"/>
    <w:rsid w:val="00BC1D4B"/>
    <w:rsid w:val="00BC3450"/>
    <w:rsid w:val="00BC7FD2"/>
    <w:rsid w:val="00BD1538"/>
    <w:rsid w:val="00BD1DD9"/>
    <w:rsid w:val="00BE2989"/>
    <w:rsid w:val="00BF4906"/>
    <w:rsid w:val="00BF4EC0"/>
    <w:rsid w:val="00BF78EE"/>
    <w:rsid w:val="00C03AE7"/>
    <w:rsid w:val="00C05D9D"/>
    <w:rsid w:val="00C12FA8"/>
    <w:rsid w:val="00C26FB9"/>
    <w:rsid w:val="00C35592"/>
    <w:rsid w:val="00C356AF"/>
    <w:rsid w:val="00C41927"/>
    <w:rsid w:val="00C439D6"/>
    <w:rsid w:val="00C43FD9"/>
    <w:rsid w:val="00C44EB2"/>
    <w:rsid w:val="00C47E8F"/>
    <w:rsid w:val="00C57BC4"/>
    <w:rsid w:val="00C60915"/>
    <w:rsid w:val="00C60EEB"/>
    <w:rsid w:val="00C64E27"/>
    <w:rsid w:val="00C84497"/>
    <w:rsid w:val="00C91A9F"/>
    <w:rsid w:val="00C92B4B"/>
    <w:rsid w:val="00C95F54"/>
    <w:rsid w:val="00C964B8"/>
    <w:rsid w:val="00CA1DF9"/>
    <w:rsid w:val="00CB6121"/>
    <w:rsid w:val="00CB6EBB"/>
    <w:rsid w:val="00CD4AF7"/>
    <w:rsid w:val="00CE3517"/>
    <w:rsid w:val="00CE3F04"/>
    <w:rsid w:val="00CF15C6"/>
    <w:rsid w:val="00D01670"/>
    <w:rsid w:val="00D0474C"/>
    <w:rsid w:val="00D05C26"/>
    <w:rsid w:val="00D062AC"/>
    <w:rsid w:val="00D152E7"/>
    <w:rsid w:val="00D21F91"/>
    <w:rsid w:val="00D251D0"/>
    <w:rsid w:val="00D3796C"/>
    <w:rsid w:val="00D43C43"/>
    <w:rsid w:val="00D44360"/>
    <w:rsid w:val="00D53948"/>
    <w:rsid w:val="00D549B9"/>
    <w:rsid w:val="00D557EE"/>
    <w:rsid w:val="00D56058"/>
    <w:rsid w:val="00D57F4B"/>
    <w:rsid w:val="00D656AD"/>
    <w:rsid w:val="00D6692C"/>
    <w:rsid w:val="00D76E91"/>
    <w:rsid w:val="00D823B5"/>
    <w:rsid w:val="00D8481C"/>
    <w:rsid w:val="00D849AA"/>
    <w:rsid w:val="00D872D1"/>
    <w:rsid w:val="00D873F3"/>
    <w:rsid w:val="00D90F63"/>
    <w:rsid w:val="00DA6122"/>
    <w:rsid w:val="00DB4809"/>
    <w:rsid w:val="00DB5E8F"/>
    <w:rsid w:val="00DC3E99"/>
    <w:rsid w:val="00DC5214"/>
    <w:rsid w:val="00DC7C3E"/>
    <w:rsid w:val="00DD247B"/>
    <w:rsid w:val="00DE0FE1"/>
    <w:rsid w:val="00DE30E0"/>
    <w:rsid w:val="00DE46D0"/>
    <w:rsid w:val="00E21FC7"/>
    <w:rsid w:val="00E22BCE"/>
    <w:rsid w:val="00E255BF"/>
    <w:rsid w:val="00E2590B"/>
    <w:rsid w:val="00E26355"/>
    <w:rsid w:val="00E326FF"/>
    <w:rsid w:val="00E337DC"/>
    <w:rsid w:val="00E35F55"/>
    <w:rsid w:val="00E361B0"/>
    <w:rsid w:val="00E410F0"/>
    <w:rsid w:val="00E5738D"/>
    <w:rsid w:val="00E5771C"/>
    <w:rsid w:val="00E62DB8"/>
    <w:rsid w:val="00E677EF"/>
    <w:rsid w:val="00E859DF"/>
    <w:rsid w:val="00E87041"/>
    <w:rsid w:val="00E90EDD"/>
    <w:rsid w:val="00E94506"/>
    <w:rsid w:val="00E95201"/>
    <w:rsid w:val="00EA13B4"/>
    <w:rsid w:val="00EA16F3"/>
    <w:rsid w:val="00EA1807"/>
    <w:rsid w:val="00EA4947"/>
    <w:rsid w:val="00EC0C41"/>
    <w:rsid w:val="00EC11F0"/>
    <w:rsid w:val="00EC1594"/>
    <w:rsid w:val="00ED2521"/>
    <w:rsid w:val="00ED2FB9"/>
    <w:rsid w:val="00ED41FD"/>
    <w:rsid w:val="00ED4A40"/>
    <w:rsid w:val="00ED675F"/>
    <w:rsid w:val="00EE456B"/>
    <w:rsid w:val="00EF35BF"/>
    <w:rsid w:val="00F00C37"/>
    <w:rsid w:val="00F00C8E"/>
    <w:rsid w:val="00F01EA6"/>
    <w:rsid w:val="00F02D51"/>
    <w:rsid w:val="00F033B6"/>
    <w:rsid w:val="00F034AC"/>
    <w:rsid w:val="00F160D2"/>
    <w:rsid w:val="00F221AB"/>
    <w:rsid w:val="00F23DC0"/>
    <w:rsid w:val="00F311CD"/>
    <w:rsid w:val="00F3669D"/>
    <w:rsid w:val="00F42F3F"/>
    <w:rsid w:val="00F4748D"/>
    <w:rsid w:val="00F56DC4"/>
    <w:rsid w:val="00F612B3"/>
    <w:rsid w:val="00F63947"/>
    <w:rsid w:val="00F647A3"/>
    <w:rsid w:val="00F653FF"/>
    <w:rsid w:val="00F7064A"/>
    <w:rsid w:val="00F720FF"/>
    <w:rsid w:val="00F747AD"/>
    <w:rsid w:val="00F764A1"/>
    <w:rsid w:val="00F76DB4"/>
    <w:rsid w:val="00F86AD4"/>
    <w:rsid w:val="00F87FF5"/>
    <w:rsid w:val="00F9329F"/>
    <w:rsid w:val="00F942CA"/>
    <w:rsid w:val="00F9452C"/>
    <w:rsid w:val="00F945DB"/>
    <w:rsid w:val="00FA0071"/>
    <w:rsid w:val="00FA459D"/>
    <w:rsid w:val="00FB28E1"/>
    <w:rsid w:val="00FB43F9"/>
    <w:rsid w:val="00FB7206"/>
    <w:rsid w:val="00FC1255"/>
    <w:rsid w:val="00FC1D72"/>
    <w:rsid w:val="00FE0C92"/>
    <w:rsid w:val="00FE0E60"/>
    <w:rsid w:val="00FE438F"/>
    <w:rsid w:val="00FE5577"/>
    <w:rsid w:val="00FF0C19"/>
    <w:rsid w:val="00FF34CA"/>
    <w:rsid w:val="00FF4C8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sl-SI"/>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29"/>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sl-SI"/>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sl-SI"/>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paragraph" w:styleId="BodyText">
    <w:name w:val="Body Text"/>
    <w:basedOn w:val="Normal"/>
    <w:link w:val="BodyTextChar"/>
    <w:uiPriority w:val="1"/>
    <w:rsid w:val="005E16C5"/>
    <w:pPr>
      <w:widowControl w:val="0"/>
      <w:autoSpaceDE w:val="0"/>
      <w:spacing w:after="160" w:line="259" w:lineRule="auto"/>
    </w:pPr>
    <w:rPr>
      <w:rFonts w:eastAsia="Calibri" w:cs="Calibri"/>
      <w:szCs w:val="22"/>
    </w:rPr>
  </w:style>
  <w:style w:type="character" w:customStyle="1" w:styleId="BodyTextChar">
    <w:name w:val="Body Text Char"/>
    <w:basedOn w:val="DefaultParagraphFont"/>
    <w:link w:val="BodyText"/>
    <w:uiPriority w:val="1"/>
    <w:rsid w:val="005E16C5"/>
    <w:rPr>
      <w:rFonts w:eastAsia="Calibri" w:cs="Calibri"/>
      <w:sz w:val="22"/>
      <w:szCs w:val="22"/>
    </w:rPr>
  </w:style>
  <w:style w:type="table" w:customStyle="1" w:styleId="TableGrid1">
    <w:name w:val="Table Grid1"/>
    <w:basedOn w:val="TableNormal"/>
    <w:next w:val="TableGrid"/>
    <w:uiPriority w:val="39"/>
    <w:rsid w:val="005E16C5"/>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86953236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869488407">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Rok_x0020_pregleda_x0020_smernic_x002f_priporo_x010d_il xmlns="d8e52120-01d3-4b1d-9301-bb460dbe5115">2020-12-03T23:00:00+00:00</Rok_x0020_pregleda_x0020_smernic_x002f_priporo_x010d_il><Obrazec_x0020_za_x0020_skladnost_x0020_posredovan xmlns="d8e52120-01d3-4b1d-9301-bb460dbe5115">false</Obrazec_x0020_za_x0020_skladnost_x0020_posredovan><EmailTo xmlns="http://schemas.microsoft.com/sharepoint/v3" xsi:nil="true"/><EmailHeaders xmlns="http://schemas.microsoft.com/sharepoint/v4" xsi:nil="true"/><Naslovnik xmlns="$ListId:Written Procedures GovC;">Marija Drenkovska</Naslovnik><EmailSender xmlns="http://schemas.microsoft.com/sharepoint/v3" xsi:nil="true"/><EmailFrom xmlns="http://schemas.microsoft.com/sharepoint/v3" xsi:nil="true"/><Pregledano xmlns="d8e52120-01d3-4b1d-9301-bb460dbe5115">false</Pregledano><Rok_x0020_za_x0020_posredovanje_x0020_obrazca_x0020_skladnosti xmlns="d8e52120-01d3-4b1d-9301-bb460dbe5115" xsi:nil="true"/><EmailSubject xmlns="http://schemas.microsoft.com/sharepoint/v3" xsi:nil="true"/><Klju_x010d_ne_x0020_besede xmlns="$ListId:Written Procedures GovC;"/><EmailCc xmlns="http://schemas.microsoft.com/sharepoint/v3" xsi:nil="true"/></documentManagement></p:properties>
</file>

<file path=customXml/item4.xml><?xml version="1.0" encoding="utf-8"?><ct:contentTypeSchema ct:_="" ma:_="" ma:contentTypeName="Dokument" ma:contentTypeID="0x0101001D0284F03EE5E249A72F6FDD8B1D6A23" ma:contentTypeVersion="4" ma:contentTypeDescription="Ustvari nov dokument." ma:contentTypeScope="" ma:versionID="1302a18ee9c3feaecba9fa82ac60a64e" xmlns:ct="http://schemas.microsoft.com/office/2006/metadata/contentType" xmlns:ma="http://schemas.microsoft.com/office/2006/metadata/properties/metaAttributes">
<xsd:schema targetNamespace="http://schemas.microsoft.com/office/2006/metadata/properties" ma:root="true" ma:fieldsID="9ad5595f16fc254239687b99a38d8210" ns1:_="" ns2:_="" ns3:_="" ns4:_="" xmlns:xsd="http://www.w3.org/2001/XMLSchema" xmlns:xs="http://www.w3.org/2001/XMLSchema" xmlns:p="http://schemas.microsoft.com/office/2006/metadata/properties" xmlns:ns1="http://schemas.microsoft.com/sharepoint/v3" xmlns:ns2="http://schemas.microsoft.com/sharepoint/v4" xmlns:ns3="$ListId:Written Procedures GovC;" xmlns:ns4="d8e52120-01d3-4b1d-9301-bb460dbe5115">
<xsd:import namespace="http://schemas.microsoft.com/sharepoint/v3"/>
<xsd:import namespace="http://schemas.microsoft.com/sharepoint/v4"/>
<xsd:import namespace="$ListId:Written Procedures GovC;"/>
<xsd:import namespace="d8e52120-01d3-4b1d-9301-bb460dbe5115"/>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Klju_x010d_ne_x0020_besede" minOccurs="0"/>
<xsd:element ref="ns3:Naslovnik"/>
<xsd:element ref="ns4:Rok_x0020_pregleda_x0020_smernic_x002f_priporo_x010d_il" minOccurs="0"/>
<xsd:element ref="ns4:Pregledano" minOccurs="0"/>
<xsd:element ref="ns4:Rok_x0020_za_x0020_posredovanje_x0020_obrazca_x0020_skladnosti" minOccurs="0"/>
<xsd:element ref="ns4:Obrazec_x0020_za_x0020_skladnost_x0020_posredovan" minOccurs="0"/>
</xsd:all>
</xsd:complexType>
</xsd:element>
</xsd:sequence>
</xsd:complexType>
</xsd:element>
</xsd:schema>
<xsd:schema targetNamespace="http://schemas.microsoft.com/sharepoint/v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mailSender" ma:index="8" nillable="true" ma:displayName="Pošiljatelj e-pošte" ma:hidden="true" ma:internalName="EmailSender">
<xsd:simpleType>
<xsd:restriction base="dms:Note">
<xsd:maxLength value="255"/>
</xsd:restriction>
</xsd:simpleType>
</xsd:element>
<xsd:element name="EmailTo" ma:index="9" nillable="true" ma:displayName="E-pošta Za" ma:hidden="true" ma:internalName="EmailTo">
<xsd:simpleType>
<xsd:restriction base="dms:Note">
<xsd:maxLength value="255"/>
</xsd:restriction>
</xsd:simpleType>
</xsd:element>
<xsd:element name="EmailCc" ma:index="10" nillable="true" ma:displayName="E-pošta Kp" ma:hidden="true" ma:internalName="EmailCc">
<xsd:simpleType>
<xsd:restriction base="dms:Note">
<xsd:maxLength value="255"/>
</xsd:restriction>
</xsd:simpleType>
</xsd:element>
<xsd:element name="EmailFrom" ma:index="11" nillable="true" ma:displayName="E-pošta Od" ma:hidden="true" ma:internalName="EmailFrom">
<xsd:simpleType>
<xsd:restriction base="dms:Text"/>
</xsd:simpleType>
</xsd:element>
<xsd:element name="EmailSubject" ma:index="12" nillable="true" ma:displayName="Zadeva e-pošte" ma:hidden="true" ma:internalName="EmailSubject">
<xsd:simpleType>
<xsd:restriction base="dms:Text"/>
</xsd:simpleType>
</xsd:element>
</xsd:schema>
<xsd:schema targetNamespace="http://schemas.microsoft.com/sharepoint/v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mailHeaders" ma:index="13" nillable="true" ma:displayName="Glave e-pošte" ma:hidden="true" ma:internalName="EmailHeaders">
<xsd:simpleType>
<xsd:restriction base="dms:Note">
<xsd:maxLength value="255"/>
</xsd:restriction>
</xsd:simpleType>
</xsd:element>
</xsd:schema>
<xsd:schema targetNamespace="$ListId:Written Procedures GovC;"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Klju_x010d_ne_x0020_besede" ma:index="14" nillable="true" ma:displayName="Ključne besede" ma:list="{D3B82D34-86DA-4130-980E-362FEA59ADEA}" ma:internalName="Klju_x010d_ne_x0020_besede" ma:showField="Title">
<xsd:complexType>
<xsd:complexContent>
<xsd:extension base="dms:MultiChoiceLookup">
<xsd:sequence>
<xsd:element name="Value" type="dms:Lookup" maxOccurs="unbounded" minOccurs="0" nillable="true"/>
</xsd:sequence>
</xsd:extension>
</xsd:complexContent>
</xsd:complexType>
</xsd:element>
<xsd:element name="Naslovnik" ma:index="15" ma:displayName="Nosilec" ma:internalName="Naslovnik">
<xsd:simpleType>
<xsd:restriction base="dms:Text">
<xsd:maxLength value="255"/>
</xsd:restriction>
</xsd:simpleType>
</xsd:element>
</xsd:schema>
<xsd:schema targetNamespace="d8e52120-01d3-4b1d-9301-bb460dbe5115"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Rok_x0020_pregleda_x0020_smernic_x002f_priporo_x010d_il" ma:index="16" nillable="true" ma:displayName="Rok pregleda smernic/priporočil" ma:format="DateOnly" ma:internalName="Rok_x0020_pregleda_x0020_smernic_x002f_priporo_x010d_il">
<xsd:simpleType>
<xsd:restriction base="dms:DateTime"/>
</xsd:simpleType>
</xsd:element>
<xsd:element name="Pregledano" ma:index="17" nillable="true" ma:displayName="Pregledano" ma:default="1" ma:internalName="Pregledano">
<xsd:simpleType>
<xsd:restriction base="dms:Boolean"/>
</xsd:simpleType>
</xsd:element>
<xsd:element name="Rok_x0020_za_x0020_posredovanje_x0020_obrazca_x0020_skladnosti" ma:index="18" nillable="true" ma:displayName="Rok za posredovanje obrazca skladnosti" ma:format="DateOnly" ma:internalName="Rok_x0020_za_x0020_posredovanje_x0020_obrazca_x0020_skladnosti">
<xsd:simpleType>
<xsd:restriction base="dms:DateTime"/>
</xsd:simpleType>
</xsd:element>
<xsd:element name="Obrazec_x0020_za_x0020_skladnost_x0020_posredovan" ma:index="19" nillable="true" ma:displayName="Obrazec za skladnost posredovan" ma:default="1" ma:internalName="Obrazec_x0020_za_x0020_skladnost_x0020_posredovan">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AFBFB624-BB4F-4EF3-BC8B-063B5F0AAD26}">
  <ds:schemaRefs>
    <ds:schemaRef ds:uri="http://schemas.openxmlformats.org/officeDocument/2006/bibliography"/>
  </ds:schemaRefs>
</ds:datastoreItem>
</file>

<file path=customXml/itemProps2.xml><?xml version="1.0" encoding="utf-8"?>
<ds:datastoreItem xmlns:ds="http://schemas.openxmlformats.org/officeDocument/2006/customXml" ds:itemID="{B4EF4688-95E3-4F49-9FF9-80AE71101D8A}">
  <ds:schemaRefs>
    <ds:schemaRef ds:uri="http://schemas.microsoft.com/sharepoint/v3/contenttype/forms"/>
  </ds:schemaRefs>
</ds:datastoreItem>
</file>

<file path=customXml/itemProps3.xml><?xml version="1.0" encoding="utf-8"?>
<ds:datastoreItem xmlns:ds="http://schemas.openxmlformats.org/officeDocument/2006/customXml" ds:itemID="{13AF1FB5-7C15-47DF-8484-2AD8819140B5}">
  <ds:schemaRefs>
    <ds:schemaRef ds:uri="http://schemas.microsoft.com/office/2006/metadata/properties"/>
    <ds:schemaRef ds:uri="http://schemas.microsoft.com/office/infopath/2007/PartnerControls"/>
    <ds:schemaRef ds:uri="d8e52120-01d3-4b1d-9301-bb460dbe5115"/>
    <ds:schemaRef ds:uri="http://schemas.microsoft.com/sharepoint/v3"/>
    <ds:schemaRef ds:uri="http://schemas.microsoft.com/sharepoint/v4"/>
    <ds:schemaRef ds:uri="$ListId:Written Procedures GovC;"/>
  </ds:schemaRefs>
</ds:datastoreItem>
</file>

<file path=customXml/itemProps4.xml><?xml version="1.0" encoding="utf-8"?>
<ds:datastoreItem xmlns:ds="http://schemas.openxmlformats.org/officeDocument/2006/customXml" ds:itemID="{D38AE08B-F4FF-4AA8-BBB9-2D873675A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ListId:Written Procedures GovC;"/>
    <ds:schemaRef ds:uri="d8e52120-01d3-4b1d-9301-bb460dbe5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18</ap:TotalTime>
  <ap:Pages>17</ap:Pages>
  <ap:Words>3629</ap:Words>
  <ap:Characters>23813</ap:Characters>
  <ap:Application>Microsoft Office Word</ap:Application>
  <ap:DocSecurity>0</ap:DocSecurity>
  <ap:Lines>198</ap:Lines>
  <ap:Paragraphs>54</ap:Paragraphs>
  <ap:ScaleCrop>false</ap:ScaleCrop>
  <ap:HeadingPairs>
    <vt:vector baseType="variant" size="4">
      <vt:variant>
        <vt:lpstr>Title</vt:lpstr>
      </vt:variant>
      <vt:variant>
        <vt:i4>1</vt:i4>
      </vt:variant>
      <vt:variant>
        <vt:lpstr>Naslov</vt:lpstr>
      </vt:variant>
      <vt:variant>
        <vt:i4>1</vt:i4>
      </vt:variant>
    </vt:vector>
  </ap:HeadingPairs>
  <ap:TitlesOfParts>
    <vt:vector baseType="lpstr" size="2">
      <vt:lpstr/>
      <vt:lpstr/>
    </vt:vector>
  </ap:TitlesOfParts>
  <ap:Company>CDT</ap:Company>
  <ap:LinksUpToDate>false</ap:LinksUpToDate>
  <ap:CharactersWithSpaces>27388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6</revision>
  <lastPrinted>2020-11-04T10:23:00.0000000Z</lastPrinted>
  <dcterms:created xsi:type="dcterms:W3CDTF">2020-12-04T11:16:00.0000000Z</dcterms:created>
  <dcterms:modified xsi:type="dcterms:W3CDTF">2024-04-22T07:22:00.0000000Z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0x0101001D0284F03EE5E249A72F6FDD8B1D6A23</vt:lpwstr>
  </property>
  <property fmtid="{D5CDD505-2E9C-101B-9397-08002B2CF9AE}" pid="3" name="JobId">
    <vt:lpwstr>5a98dbbc-2467-41d2-b0a8-ac6900effe05</vt:lpwstr>
  </property>
</Properties>
</file>