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238803888" w:displacedByCustomXml="next" w:id="0"/>
    <w:bookmarkStart w:name="_Toc238803087" w:displacedByCustomXml="next" w:id="1"/>
    <w:bookmarkStart w:name="_Toc245891774" w:displacedByCustomXml="next" w:id="2"/>
    <w:bookmarkStart w:name="_Toc331517265" w:displacedByCustomXml="next" w:id="3"/>
    <w:bookmarkStart w:name="_Toc306350113" w:displacedByCustomXml="next" w:id="4"/>
    <w:bookmarkStart w:name="_Toc306350093" w:displacedByCustomXml="next" w:id="5"/>
    <w:bookmarkStart w:name="_Toc305686691" w:displacedByCustomXml="next" w:id="6"/>
    <w:bookmarkStart w:name="_Toc298788641" w:displacedByCustomXml="next" w:id="7"/>
    <w:bookmarkStart w:name="_Toc298788158" w:displacedByCustomXml="next" w:id="8"/>
    <w:bookmarkStart w:name="_Toc298787969" w:displacedByCustomXml="next" w:id="9"/>
    <w:sdt>
      <w:sdtPr>
        <w:id w:val="1024973533"/>
        <w:docPartObj>
          <w:docPartGallery w:val="Cover Pages"/>
          <w:docPartUnique/>
        </w:docPartObj>
      </w:sdtPr>
      <w:sdtEndPr/>
      <w:sdtContent>
        <w:p w:rsidRPr="00734ED6" w:rsidR="00B43E07" w:rsidP="00B43E07" w:rsidRDefault="00B43E07" w14:paraId="05640F5D" w14:textId="77777777">
          <w:pPr>
            <w:rPr>
              <w:lang w:val="en-GB"/>
            </w:rPr>
          </w:pPr>
        </w:p>
        <w:tbl>
          <w:tblPr>
            <w:tblW w:w="0" w:type="auto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3969"/>
          </w:tblGrid>
          <w:tr w:rsidRPr="00734ED6" w:rsidR="005B3658" w:rsidTr="00A76DB8" w14:paraId="3170F2D8" w14:textId="77777777">
            <w:tc>
              <w:tcPr>
                <w:tcW w:w="3969" w:type="dxa"/>
                <w:tcBorders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734ED6" w:rsidR="005B3658" w:rsidP="005B3658" w:rsidRDefault="005B3658" w14:paraId="6AAE07DF" w14:textId="78089570">
                <w:r w:rsidRPr="00734ED6">
                  <w:t>EBA/GL/2020/14</w:t>
                </w:r>
                <w:r w:rsidRPr="00A76DB8" w:rsidR="00A76DB8">
                  <w:t xml:space="preserve"> (konsolidované znenie)</w:t>
                </w:r>
              </w:p>
            </w:tc>
          </w:tr>
          <w:tr w:rsidRPr="00734ED6" w:rsidR="005B3658" w:rsidTr="00A76DB8" w14:paraId="70F4DBFA" w14:textId="77777777">
            <w:tc>
              <w:tcPr>
                <w:tcW w:w="3969" w:type="dxa"/>
                <w:tcBorders>
                  <w:top w:val="single" w:color="A6A6A6" w:themeColor="background1" w:themeShade="A6" w:sz="4" w:space="0"/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734ED6" w:rsidR="005B3658" w:rsidP="005B3658" w:rsidRDefault="005B3658" w14:paraId="55211379" w14:textId="73FFF2EB">
                <w:r w:rsidRPr="00734ED6">
                  <w:rPr>
                    <w:color w:val="000000"/>
                  </w:rPr>
                  <w:t>4. november 2020</w:t>
                </w:r>
              </w:p>
            </w:tc>
          </w:tr>
        </w:tbl>
        <w:p w:rsidRPr="00734ED6" w:rsidR="00B43E07" w:rsidP="00B43E07" w:rsidRDefault="00B43E07" w14:paraId="2E2B6714" w14:textId="77777777">
          <w:pPr>
            <w:rPr>
              <w:lang w:val="en-GB"/>
            </w:rPr>
          </w:pPr>
        </w:p>
        <w:tbl>
          <w:tblPr>
            <w:tblStyle w:val="TableGrid"/>
            <w:tblW w:w="0" w:type="auto"/>
            <w:tblBorders>
              <w:bottom w:val="none" w:color="auto" w:sz="0" w:space="0"/>
              <w:insideH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8781"/>
          </w:tblGrid>
          <w:tr w:rsidRPr="00734ED6" w:rsidR="00B43E07" w:rsidTr="00993B1E" w14:paraId="598BC7AF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3"/>
            </w:trPr>
            <w:tc>
              <w:tcPr>
                <w:tcW w:w="8781" w:type="dxa"/>
                <w:tc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tl2br w:val="none" w:color="auto" w:sz="0" w:space="0"/>
                  <w:tr2bl w:val="none" w:color="auto" w:sz="0" w:space="0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Pr="00DC3BF4" w:rsidR="005747AE" w:rsidP="005747AE" w:rsidRDefault="005747AE" w14:paraId="5C9BE115" w14:textId="77777777">
                <w:pPr>
                  <w:pStyle w:val="BodyText"/>
                  <w:tabs>
                    <w:tab w:val="left" w:pos="1802"/>
                  </w:tabs>
                  <w:spacing w:before="100" w:after="60" w:line="276" w:lineRule="auto"/>
                  <w:ind w:left="425" w:right="232"/>
                  <w:jc w:val="both"/>
                  <w:rPr>
                    <w:color w:val="E98E31" w:themeColor="background2"/>
                    <w:spacing w:val="-1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</w:rPr>
                  <w:t>O</w:t>
                </w:r>
                <w:r w:rsidRPr="00DC3BF4">
                  <w:rPr>
                    <w:color w:val="E98E31" w:themeColor="background2"/>
                    <w:spacing w:val="-1"/>
                  </w:rPr>
                  <w:t xml:space="preserve"> </w:t>
                </w:r>
              </w:p>
              <w:p w:rsidRPr="00734ED6" w:rsidR="00B43E07" w:rsidP="00721D07" w:rsidRDefault="00A81586" w14:paraId="6E80AD78" w14:textId="1CA22651">
                <w:pPr>
                  <w:pStyle w:val="Contenttitle"/>
                </w:pPr>
                <w:r w:rsidRPr="00734ED6">
                  <w:t xml:space="preserve">Usmernenia </w:t>
                </w:r>
              </w:p>
            </w:tc>
          </w:tr>
          <w:tr w:rsidRPr="00734ED6" w:rsidR="00B43E07" w:rsidTr="00993B1E" w14:paraId="15A7E3AC" w14:textId="77777777">
            <w:tc>
              <w:tcPr>
                <w:tcW w:w="8781" w:type="dxa"/>
                <w:tcMar>
                  <w:left w:w="0" w:type="dxa"/>
                  <w:right w:w="0" w:type="dxa"/>
                </w:tcMar>
                <w:vAlign w:val="top"/>
              </w:tcPr>
              <w:p w:rsidRPr="009975EE" w:rsidR="00B43E07" w:rsidP="00E410F0" w:rsidRDefault="00B43E07" w14:paraId="0720F01B" w14:textId="502EF582">
                <w:pPr>
                  <w:pStyle w:val="Titlelevel4"/>
                  <w:rPr>
                    <w:lang w:val="sk-SK"/>
                  </w:rPr>
                </w:pPr>
                <w:r w:rsidRPr="009975EE">
                  <w:rPr>
                    <w:rFonts w:asciiTheme="majorHAnsi" w:hAnsiTheme="majorHAnsi"/>
                    <w:bCs/>
                    <w:color w:val="2F5773" w:themeColor="text2"/>
                    <w:sz w:val="52"/>
                    <w:szCs w:val="52"/>
                    <w:lang w:val="sk-SK"/>
                  </w:rPr>
                  <w:t>týkajúce sa upresnenia a zverejňovania ukazovateľov systémového významu</w:t>
                </w:r>
              </w:p>
            </w:tc>
          </w:tr>
        </w:tbl>
        <w:p w:rsidRPr="00A76DB8" w:rsidR="00B43E07" w:rsidP="00B43E07" w:rsidRDefault="00B43E07" w14:paraId="41F2A21B" w14:textId="77777777">
          <w:pPr>
            <w:rPr>
              <w:sz w:val="52"/>
              <w:szCs w:val="52"/>
            </w:rPr>
          </w:pPr>
        </w:p>
        <w:p w:rsidRPr="00A76DB8" w:rsidR="00B43E07" w:rsidP="00B43E07" w:rsidRDefault="00B43E07" w14:paraId="1441AC18" w14:textId="69983BF6">
          <w:pPr>
            <w:rPr>
              <w:sz w:val="52"/>
              <w:szCs w:val="52"/>
            </w:rPr>
          </w:pPr>
        </w:p>
        <w:p w:rsidRPr="00A76DB8" w:rsidR="00A76DB8" w:rsidP="00B43E07" w:rsidRDefault="00A76DB8" w14:paraId="10414D3F" w14:textId="343D2D8C">
          <w:pPr>
            <w:rPr>
              <w:sz w:val="52"/>
              <w:szCs w:val="52"/>
            </w:rPr>
          </w:pPr>
        </w:p>
        <w:p w:rsidRPr="00A76DB8" w:rsidR="00A76DB8" w:rsidP="00B43E07" w:rsidRDefault="00A76DB8" w14:paraId="2A092E86" w14:textId="3D4A9C47">
          <w:pPr>
            <w:rPr>
              <w:sz w:val="52"/>
              <w:szCs w:val="52"/>
            </w:rPr>
          </w:pPr>
        </w:p>
        <w:p w:rsidR="00A76DB8" w:rsidP="00B43E07" w:rsidRDefault="00A76DB8" w14:paraId="725A2236" w14:textId="06DF6A55"/>
        <w:tbl>
          <w:tblPr>
            <w:tblStyle w:val="EBAtable"/>
            <w:tblW w:w="9125" w:type="dxa"/>
            <w:tblLook w:val="04A0" w:firstRow="1" w:lastRow="0" w:firstColumn="1" w:lastColumn="0" w:noHBand="0" w:noVBand="1"/>
          </w:tblPr>
          <w:tblGrid>
            <w:gridCol w:w="824"/>
            <w:gridCol w:w="2190"/>
            <w:gridCol w:w="6111"/>
          </w:tblGrid>
          <w:tr w:rsidRPr="00D13DB3" w:rsidR="00A76DB8" w:rsidTr="005D18C0" w14:paraId="16778DD9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3014" w:type="dxa"/>
                <w:gridSpan w:val="2"/>
                <w:tcBorders>
                  <w:top w:val="single" w:color="auto" w:sz="12" w:space="0"/>
                  <w:left w:val="single" w:color="auto" w:sz="12" w:space="0"/>
                </w:tcBorders>
              </w:tcPr>
              <w:p w:rsidRPr="00D13DB3" w:rsidR="00A76DB8" w:rsidP="005D18C0" w:rsidRDefault="00A76DB8" w14:paraId="205DA093" w14:textId="77777777">
                <w:pPr>
                  <w:spacing w:before="240" w:after="120" w:line="276" w:lineRule="auto"/>
                  <w:jc w:val="both"/>
                  <w:rPr>
                    <w:rFonts w:eastAsia="MS PGothic" w:cs="Times New Roman"/>
                    <w:lang w:eastAsia="en-GB"/>
                  </w:rPr>
                </w:pPr>
              </w:p>
              <w:p w:rsidRPr="00D13DB3" w:rsidR="00A76DB8" w:rsidP="005D18C0" w:rsidRDefault="00A76DB8" w14:paraId="42E5D9FB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  <w:tc>
              <w:tcPr>
                <w:tcW w:w="6111" w:type="dxa"/>
                <w:tcBorders>
                  <w:top w:val="single" w:color="auto" w:sz="12" w:space="0"/>
                  <w:right w:val="single" w:color="auto" w:sz="12" w:space="0"/>
                </w:tcBorders>
              </w:tcPr>
              <w:p w:rsidRPr="00A76DB8" w:rsidR="00A76DB8" w:rsidP="00A76DB8" w:rsidRDefault="00A76DB8" w14:paraId="06E83CF7" w14:textId="0FE621B8">
                <w:pPr>
                  <w:rPr>
                    <w:rFonts w:ascii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hAnsi="Calibri" w:cs="Calibri"/>
                    <w:color w:val="000000"/>
                    <w:szCs w:val="22"/>
                  </w:rPr>
                  <w:t>Dátum začatia uplatňovania</w:t>
                </w:r>
              </w:p>
            </w:tc>
          </w:tr>
          <w:tr w:rsidRPr="00D13DB3" w:rsidR="00A76DB8" w:rsidTr="005D18C0" w14:paraId="1A07B06E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D13DB3" w:rsidR="00A76DB8" w:rsidP="005D18C0" w:rsidRDefault="00A76DB8" w14:paraId="03898791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  <w:lang w:val="en-GB" w:eastAsia="en-GB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  <w:lang w:val="en-GB" w:eastAsia="en-GB"/>
                  </w:rPr>
                  <w:t>O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D13DB3" w:rsidR="00A76DB8" w:rsidP="005D18C0" w:rsidRDefault="00A76DB8" w14:paraId="4E226EF6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  <w:r>
                  <w:rPr>
                    <w:rFonts w:eastAsia="MS PGothic" w:cs="Times New Roman"/>
                    <w:lang w:val="en-GB" w:eastAsia="en-GB"/>
                  </w:rPr>
                  <w:t>04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11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2020</w:t>
                </w:r>
              </w:p>
            </w:tc>
          </w:tr>
          <w:tr w:rsidRPr="00D13DB3" w:rsidR="00A76DB8" w:rsidTr="005D18C0" w14:paraId="24257E5B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A76DB8" w:rsidR="00A76DB8" w:rsidP="00A76DB8" w:rsidRDefault="00A76DB8" w14:paraId="3408365E" w14:textId="48E2493B">
                <w:pPr>
                  <w:rPr>
                    <w:rFonts w:ascii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hAnsi="Calibri" w:cs="Calibri"/>
                    <w:color w:val="000000"/>
                    <w:szCs w:val="22"/>
                  </w:rPr>
                  <w:t>Zmenené a doplnené: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D13DB3" w:rsidR="00A76DB8" w:rsidP="005D18C0" w:rsidRDefault="00A76DB8" w14:paraId="3A1A75C9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  <w:tr w:rsidRPr="00D13DB3" w:rsidR="00A76DB8" w:rsidTr="005D18C0" w14:paraId="0E26C973" w14:textId="77777777">
            <w:trPr>
              <w:trHeight w:val="58"/>
            </w:trPr>
            <w:tc>
              <w:tcPr>
                <w:tcW w:w="824" w:type="dxa"/>
                <w:tcBorders>
                  <w:left w:val="single" w:color="auto" w:sz="12" w:space="0"/>
                  <w:bottom w:val="single" w:color="auto" w:sz="12" w:space="0"/>
                </w:tcBorders>
              </w:tcPr>
              <w:p w:rsidRPr="00D13DB3" w:rsidR="00A76DB8" w:rsidP="005D18C0" w:rsidRDefault="00A76DB8" w14:paraId="4D6D36D5" w14:textId="77777777">
                <w:pPr>
                  <w:rPr>
                    <w:rFonts w:eastAsia="MS PGothic" w:cs="Times New Roman"/>
                    <w:color w:val="E98E31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green"/>
                    <w:lang w:val="en-GB" w:eastAsia="en-GB"/>
                  </w:rPr>
                  <w:t>Ø</w:t>
                </w:r>
                <w:r w:rsidRPr="007B541C">
                  <w:rPr>
                    <w:rFonts w:eastAsia="Wingdings" w:cs="Wingdings"/>
                    <w:color w:val="E98E31"/>
                    <w:highlight w:val="green"/>
                    <w:lang w:val="en-GB" w:eastAsia="en-GB"/>
                  </w:rPr>
                  <w:t>A1</w:t>
                </w:r>
              </w:p>
            </w:tc>
            <w:tc>
              <w:tcPr>
                <w:tcW w:w="2190" w:type="dxa"/>
                <w:tcBorders>
                  <w:bottom w:val="single" w:color="auto" w:sz="12" w:space="0"/>
                </w:tcBorders>
              </w:tcPr>
              <w:p w:rsidRPr="00D13DB3" w:rsidR="00A76DB8" w:rsidP="005D18C0" w:rsidRDefault="00A76DB8" w14:paraId="71DD780C" w14:textId="77777777">
                <w:pPr>
                  <w:rPr>
                    <w:rFonts w:eastAsia="MS PGothic" w:cs="Times New Roman"/>
                  </w:rPr>
                </w:pPr>
                <w:r w:rsidRPr="00D13DB3">
                  <w:rPr>
                    <w:rFonts w:eastAsia="MS PGothic" w:cs="Times New Roman"/>
                  </w:rPr>
                  <w:t>EBA/GL</w:t>
                </w:r>
                <w:r w:rsidRPr="005261FC">
                  <w:t>/2023/10</w:t>
                </w:r>
              </w:p>
            </w:tc>
            <w:tc>
              <w:tcPr>
                <w:tcW w:w="6111" w:type="dxa"/>
                <w:tcBorders>
                  <w:bottom w:val="single" w:color="auto" w:sz="12" w:space="0"/>
                  <w:right w:val="single" w:color="auto" w:sz="12" w:space="0"/>
                </w:tcBorders>
              </w:tcPr>
              <w:p w:rsidRPr="00D13DB3" w:rsidR="00A76DB8" w:rsidP="005D18C0" w:rsidRDefault="00A76DB8" w14:paraId="58534910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</w:tbl>
        <w:p w:rsidRPr="00734ED6" w:rsidR="00A76DB8" w:rsidP="00B43E07" w:rsidRDefault="00A76DB8" w14:paraId="43FEE3F8" w14:textId="77777777"/>
        <w:p w:rsidRPr="00734ED6" w:rsidR="00B43E07" w:rsidP="00B43E07" w:rsidRDefault="00B43E07" w14:paraId="3673D6BB" w14:textId="77777777">
          <w:r w:rsidRPr="00734ED6">
            <w:br w:type="page"/>
          </w:r>
        </w:p>
      </w:sdtContent>
    </w:sdt>
    <w:p w:rsidRPr="00734ED6" w:rsidR="00B43E07" w:rsidP="005747AE" w:rsidRDefault="00B43E07" w14:paraId="72D6F5BF" w14:textId="77777777">
      <w:pPr>
        <w:pStyle w:val="Numberedtilelevel1"/>
        <w:numPr>
          <w:ilvl w:val="0"/>
          <w:numId w:val="12"/>
        </w:numPr>
      </w:pPr>
      <w:r w:rsidRPr="00734ED6">
        <w:lastRenderedPageBreak/>
        <w:t>Povinnosť dodržiavania usmernení a vykazovacia povinnosť</w:t>
      </w:r>
    </w:p>
    <w:p w:rsidRPr="00734ED6" w:rsidR="00B43E07" w:rsidP="00B43E07" w:rsidRDefault="00B43E07" w14:paraId="3B9E826E" w14:textId="5EE3EC56">
      <w:pPr>
        <w:pStyle w:val="Titlelevel2"/>
      </w:pPr>
      <w:r w:rsidRPr="00734ED6">
        <w:t>Štatút týchto usmernení</w:t>
      </w:r>
    </w:p>
    <w:p w:rsidRPr="00734ED6" w:rsidR="00B43E07" w:rsidP="005747AE" w:rsidRDefault="00B43E07" w14:paraId="4AFE96B1" w14:textId="13B187BE">
      <w:pPr>
        <w:pStyle w:val="body"/>
        <w:numPr>
          <w:ilvl w:val="0"/>
          <w:numId w:val="10"/>
        </w:numPr>
      </w:pPr>
      <w:r w:rsidRPr="00734ED6">
        <w:t>Tento dokument obsahuje usmernenia vydané podľa článku 16 nariadenia (EÚ) č. 1093/2010</w:t>
      </w:r>
      <w:r w:rsidRPr="00734ED6">
        <w:rPr>
          <w:rStyle w:val="FootnoteReference"/>
          <w:lang w:val="en-GB"/>
        </w:rPr>
        <w:footnoteReference w:id="2"/>
      </w:r>
      <w:r w:rsidRPr="00734ED6">
        <w:t>. Podľa článku 16 ods. 3 nariadenia (EÚ) č. 1093/2010 príslušné orgány a finančné inštitúcie vynaložia všetko úsilie na dodržanie týchto usmernení.</w:t>
      </w:r>
    </w:p>
    <w:p w:rsidRPr="00734ED6" w:rsidR="00B43E07" w:rsidP="005747AE" w:rsidRDefault="00B43E07" w14:paraId="23E7F140" w14:textId="591D7378">
      <w:pPr>
        <w:pStyle w:val="body"/>
        <w:numPr>
          <w:ilvl w:val="0"/>
          <w:numId w:val="10"/>
        </w:numPr>
      </w:pPr>
      <w:r w:rsidRPr="00734ED6">
        <w:t>V týchto usmerneniach sa uvádza stanovisko EBA k náležitým postupom dohľadu v rámci Európskeho systému finančného dohľadu alebo k spôsobu, akým sa má uplatňovať právo Únie v konkrétnej oblasti. Príslušné orgány vymedzené v článku 4 ods. 2 nariadenia (EÚ) č. 1093/2010, na ktoré sa vzťahujú tieto usmernenia, majú uvedené usmernenia dodržiavať tak, že ich vhodným spôsobom začlenia do svojich postupov (napr. zmenou svojho právneho rámca alebo postupov dohľadu), a to aj v prípade, keď sú usmernenia určené predovšetkým inštitúciám.</w:t>
      </w:r>
    </w:p>
    <w:p w:rsidRPr="00734ED6" w:rsidR="00B43E07" w:rsidP="00B43E07" w:rsidRDefault="00B43E07" w14:paraId="141EDBC6" w14:textId="77777777">
      <w:pPr>
        <w:pStyle w:val="Titlelevel2"/>
      </w:pPr>
      <w:r w:rsidRPr="00734ED6">
        <w:t>Požiadavky na vykazovanie</w:t>
      </w:r>
    </w:p>
    <w:p w:rsidRPr="00734ED6" w:rsidR="00B43E07" w:rsidP="005747AE" w:rsidRDefault="00236329" w14:paraId="7EE20541" w14:textId="5DFCEA1C">
      <w:pPr>
        <w:pStyle w:val="body"/>
        <w:numPr>
          <w:ilvl w:val="0"/>
          <w:numId w:val="10"/>
        </w:numPr>
      </w:pPr>
      <w:r w:rsidRPr="00734ED6">
        <w:t>V súlade s článkom 16 ods. 3 nariadenia (EÚ) č. 1093/2010 musia príslušné orgány oznámiť EBA, či tieto usmernenia dodržiavajú alebo majú v úmysle dodržať, alebo v opačnom prípade musia uviesť dôvody ich nedodržania do</w:t>
      </w:r>
      <w:r w:rsidR="00E5608C">
        <w:t xml:space="preserve"> 16.02.2021</w:t>
      </w:r>
      <w:r w:rsidRPr="00734ED6">
        <w:t>. Ak do tohto dátumu nebude doručené žiadne oznámenie, EBA sa bude domnievať, že ich príslušné orgány nedodržiavajú. Oznámenia je potrebné zaslať prostredníctvom formulára dostupného na webovom sídle EBA s uvedením referenčného čísla „EBA/GL/2020/14“. Tieto oznámenia majú predkladať osoby, ktoré sú oprávnené podávať správy o dodržaní v mene svojich príslušných orgánov. Akúkoľvek zmenu stavu dodržiavania usmernení treba takisto oznámiť EBA.</w:t>
      </w:r>
    </w:p>
    <w:p w:rsidRPr="00734ED6" w:rsidR="00B43E07" w:rsidP="005747AE" w:rsidRDefault="00B43E07" w14:paraId="3FF09602" w14:textId="563622BD">
      <w:pPr>
        <w:pStyle w:val="body"/>
        <w:numPr>
          <w:ilvl w:val="0"/>
          <w:numId w:val="10"/>
        </w:numPr>
      </w:pPr>
      <w:r w:rsidRPr="00734ED6">
        <w:t>Oznámenia budú uverejnené na webovom sídle EBA v súlade s článkom 16 ods. 3.</w:t>
      </w:r>
    </w:p>
    <w:p w:rsidRPr="00734ED6" w:rsidR="00B43E07" w:rsidP="00B43E07" w:rsidRDefault="00B43E07" w14:paraId="0BB7AD43" w14:textId="77777777">
      <w:pPr>
        <w:pStyle w:val="Titlelevel2"/>
      </w:pPr>
      <w:r w:rsidRPr="00734ED6">
        <w:br w:type="page"/>
      </w:r>
    </w:p>
    <w:p w:rsidRPr="00734ED6" w:rsidR="00B43E07" w:rsidP="00CE3517" w:rsidRDefault="00B43E07" w14:paraId="207E9159" w14:textId="77777777">
      <w:pPr>
        <w:pStyle w:val="Numberedtilelevel1"/>
      </w:pPr>
      <w:r w:rsidRPr="00734ED6">
        <w:lastRenderedPageBreak/>
        <w:t>Predmet úpravy, rozsah pôsobnosti a vymedzenie pojmov</w:t>
      </w:r>
    </w:p>
    <w:p w:rsidRPr="00734ED6" w:rsidR="00B43E07" w:rsidP="00B43E07" w:rsidRDefault="00B43E07" w14:paraId="329ACB0A" w14:textId="77777777">
      <w:pPr>
        <w:pStyle w:val="Titlelevel2"/>
      </w:pPr>
      <w:r w:rsidRPr="00734ED6">
        <w:t>Predmet úpravy</w:t>
      </w:r>
    </w:p>
    <w:p w:rsidRPr="00734ED6" w:rsidR="00DE0FE1" w:rsidP="005747AE" w:rsidRDefault="00DE0FE1" w14:paraId="667A5E79" w14:textId="75DF9FF9">
      <w:pPr>
        <w:pStyle w:val="body"/>
        <w:numPr>
          <w:ilvl w:val="0"/>
          <w:numId w:val="10"/>
        </w:numPr>
      </w:pPr>
      <w:r w:rsidRPr="00734ED6">
        <w:t>Tieto usmernenia sa týkajú:</w:t>
      </w:r>
    </w:p>
    <w:p w:rsidRPr="00734ED6" w:rsidR="00DE0FE1" w:rsidP="005747AE" w:rsidRDefault="00DE0FE1" w14:paraId="7F872996" w14:textId="017F20C9">
      <w:pPr>
        <w:pStyle w:val="body"/>
        <w:numPr>
          <w:ilvl w:val="1"/>
          <w:numId w:val="13"/>
        </w:numPr>
      </w:pPr>
      <w:r w:rsidRPr="00734ED6">
        <w:t>upresnenia ukazovateľov používaných na identifikáciu globálnych systémovo významných inštitúcií (G-SII), ako sa stanovuje v nariadení (EÚ) č. 1222/2014 (ďalej len „ukazovatele“) a</w:t>
      </w:r>
    </w:p>
    <w:p w:rsidRPr="00734ED6" w:rsidR="00B43E07" w:rsidP="005747AE" w:rsidRDefault="00DE0FE1" w14:paraId="776C11F3" w14:textId="58E74370">
      <w:pPr>
        <w:pStyle w:val="body"/>
        <w:numPr>
          <w:ilvl w:val="1"/>
          <w:numId w:val="13"/>
        </w:numPr>
      </w:pPr>
      <w:r w:rsidRPr="00734ED6">
        <w:t>vykazovania podkladových údajov (ukazovatele, pomocné údaje a doplnkové položky) a ročného zverejňovania výsledných ukazovateľov použitých na identifikáciu G-SII.</w:t>
      </w:r>
    </w:p>
    <w:p w:rsidRPr="00734ED6" w:rsidR="00B43E07" w:rsidP="00B43E07" w:rsidRDefault="00B43E07" w14:paraId="07F996E2" w14:textId="77777777">
      <w:pPr>
        <w:pStyle w:val="Titlelevel2"/>
      </w:pPr>
      <w:r w:rsidRPr="00734ED6">
        <w:t>Rozsah uplatňovania</w:t>
      </w:r>
    </w:p>
    <w:p w:rsidRPr="00734ED6" w:rsidR="00DE0FE1" w:rsidP="005747AE" w:rsidRDefault="00B43E07" w14:paraId="71B629CF" w14:textId="05197A71">
      <w:pPr>
        <w:pStyle w:val="body"/>
        <w:numPr>
          <w:ilvl w:val="0"/>
          <w:numId w:val="10"/>
        </w:numPr>
      </w:pPr>
      <w:r w:rsidRPr="00734ED6">
        <w:t>Tieto usmernenia sa uplatňujú vo vzťahu k</w:t>
      </w:r>
    </w:p>
    <w:p w:rsidRPr="00734ED6" w:rsidR="00DE0FE1" w:rsidP="005747AE" w:rsidRDefault="000F3C24" w14:paraId="73EAD676" w14:textId="3140197F">
      <w:pPr>
        <w:pStyle w:val="body"/>
        <w:numPr>
          <w:ilvl w:val="0"/>
          <w:numId w:val="14"/>
        </w:numPr>
      </w:pPr>
      <w:r w:rsidRPr="00734ED6">
        <w:t>skupinám, ktoré vedie materská inštitúcia v EÚ, materská finančná holdingová spoločnosť v EÚ alebo materská zmiešaná finančná holdingová spoločnosti v EÚ a</w:t>
      </w:r>
    </w:p>
    <w:p w:rsidRPr="00734ED6" w:rsidR="00B43E07" w:rsidP="005747AE" w:rsidRDefault="00DE0FE1" w14:paraId="0D1E1C78" w14:textId="031EF3C2">
      <w:pPr>
        <w:pStyle w:val="body"/>
        <w:numPr>
          <w:ilvl w:val="0"/>
          <w:numId w:val="14"/>
        </w:numPr>
      </w:pPr>
      <w:r w:rsidRPr="00734ED6">
        <w:t>inštitúciám, ktoré nie sú dcérskymi spoločnosťami materskej inštitúcie v EÚ, materskej finančnej holdingovej spoločnosti v EÚ alebo materskej zmiešanej finančnej holdingovej spoločnosti v EÚ,</w:t>
      </w:r>
    </w:p>
    <w:p w:rsidRPr="00734ED6" w:rsidR="00B43E07" w:rsidP="00DE0FE1" w:rsidRDefault="003A2221" w14:paraId="5736DC31" w14:textId="54A8D23B">
      <w:pPr>
        <w:pStyle w:val="body"/>
      </w:pPr>
      <w:r w:rsidRPr="00734ED6">
        <w:t>v ktorých sa pozoruje veľkosť celkovej expozície vyššia ako 200 miliárd EUR na konsolidovanom alebo individuálnom základe a vrátane poisťovacích dcérskych spoločností s použitím primeraného výmenného kurzu, ktorý zohľadňuje referenčný výmenný kurz uverejnený Európskou centrálnou bankou platný na konci finančného roka a medzinárodné normy (ďalej len „príslušné subjekty“).</w:t>
      </w:r>
    </w:p>
    <w:p w:rsidRPr="00734ED6" w:rsidR="00B43E07" w:rsidP="00B43E07" w:rsidRDefault="00B43E07" w14:paraId="6EAA3145" w14:textId="77777777">
      <w:pPr>
        <w:pStyle w:val="Titlelevel2"/>
      </w:pPr>
      <w:r w:rsidRPr="00734ED6">
        <w:t>Adresáti</w:t>
      </w:r>
    </w:p>
    <w:p w:rsidRPr="00734ED6" w:rsidR="00B43E07" w:rsidP="005747AE" w:rsidRDefault="00DE0FE1" w14:paraId="12310C5F" w14:textId="42F50B99">
      <w:pPr>
        <w:pStyle w:val="body"/>
        <w:numPr>
          <w:ilvl w:val="0"/>
          <w:numId w:val="10"/>
        </w:numPr>
      </w:pPr>
      <w:r w:rsidRPr="00734ED6">
        <w:t>Tieto usmernenia sú určené príslušným orgánom vymedzeným v článku 4 ods. 2 písm. i) nariadenia (EÚ) č. 1093/2010 a finančným inštitúciám, na ktoré sa vzťahujú tieto usmernenia. Určené orgány uvedené v článku 131 ods. 1 smernice 2013/36/EÚ okrem príslušných orgánov sa vyzývajú, aby uplatňovali tieto usmernenia. Príslušné aj určené orgány sa v týchto usmerneniach označujú ako „príslušné orgány“.</w:t>
      </w:r>
    </w:p>
    <w:p w:rsidRPr="00734ED6" w:rsidR="00DE0FE1" w:rsidP="005747AE" w:rsidRDefault="00DE0FE1" w14:paraId="52A8B3D5" w14:textId="77777777">
      <w:pPr>
        <w:pStyle w:val="ListParagraph"/>
        <w:numPr>
          <w:ilvl w:val="0"/>
          <w:numId w:val="10"/>
        </w:numPr>
      </w:pPr>
      <w:r w:rsidRPr="00734ED6">
        <w:br w:type="page"/>
      </w:r>
    </w:p>
    <w:p w:rsidRPr="00734ED6" w:rsidR="00B43E07" w:rsidP="00CE3517" w:rsidRDefault="00B43E07" w14:paraId="25D099DB" w14:textId="77777777">
      <w:pPr>
        <w:pStyle w:val="Numberedtilelevel1"/>
      </w:pPr>
      <w:r w:rsidRPr="00734ED6">
        <w:lastRenderedPageBreak/>
        <w:t>Vykonávanie</w:t>
      </w:r>
    </w:p>
    <w:p w:rsidRPr="00734ED6" w:rsidR="00B43E07" w:rsidP="00B43E07" w:rsidRDefault="00B43E07" w14:paraId="4EAB2FB0" w14:textId="77777777">
      <w:pPr>
        <w:pStyle w:val="Titlelevel2"/>
      </w:pPr>
      <w:r w:rsidRPr="00734ED6">
        <w:t>Dátum začatia uplatňovania</w:t>
      </w:r>
    </w:p>
    <w:p w:rsidRPr="00734ED6" w:rsidR="00B43E07" w:rsidP="005747AE" w:rsidRDefault="00DE0FE1" w14:paraId="18515792" w14:textId="30BEB636">
      <w:pPr>
        <w:pStyle w:val="body"/>
        <w:numPr>
          <w:ilvl w:val="0"/>
          <w:numId w:val="15"/>
        </w:numPr>
      </w:pPr>
      <w:r w:rsidRPr="00734ED6">
        <w:t>Tieto usmernenia sa uplatňujú od</w:t>
      </w:r>
      <w:r w:rsidR="00E5608C">
        <w:t xml:space="preserve"> 16.12.2020.</w:t>
      </w:r>
    </w:p>
    <w:p w:rsidRPr="00734ED6" w:rsidR="00B43E07" w:rsidP="00B43E07" w:rsidRDefault="00B43E07" w14:paraId="4AB150AF" w14:textId="64BC8239">
      <w:pPr>
        <w:pStyle w:val="Titlelevel2"/>
      </w:pPr>
      <w:r w:rsidRPr="00734ED6">
        <w:t>Zrušenie</w:t>
      </w:r>
    </w:p>
    <w:p w:rsidRPr="00734ED6" w:rsidR="00B43E07" w:rsidP="00A41338" w:rsidRDefault="00BD1538" w14:paraId="0F71334D" w14:textId="4DCAC658">
      <w:r w:rsidRPr="00734ED6">
        <w:t>Týmto sa zrušujú revidované usmernenia týkajúce sa ďalšieho upresnenia ukazovateľov globálneho systémového významu a ich zverejňovania z 29. februára 2016 (EBA/GL/2016/01).</w:t>
      </w:r>
    </w:p>
    <w:p w:rsidRPr="00734ED6" w:rsidR="00BD1538" w:rsidP="00B43E07" w:rsidRDefault="00BD1538" w14:paraId="30F30A96" w14:textId="77777777">
      <w:pPr>
        <w:pStyle w:val="body"/>
        <w:sectPr w:rsidRPr="00734ED6" w:rsidR="00BD1538" w:rsidSect="000F3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734ED6" w:rsidR="00B43E07" w:rsidP="00BD1538" w:rsidRDefault="00BD1538" w14:paraId="4D344DEC" w14:textId="3CE1317D">
      <w:pPr>
        <w:pStyle w:val="Numberedtilelevel1"/>
        <w:jc w:val="both"/>
      </w:pPr>
      <w:r w:rsidRPr="00734ED6">
        <w:lastRenderedPageBreak/>
        <w:t>Upresnenie podkladových údajov a ukazovateľov použitých pre identifikáciu G-SII</w:t>
      </w:r>
    </w:p>
    <w:p w:rsidR="005747AE" w:rsidP="005747AE" w:rsidRDefault="005747AE" w14:paraId="51C951D7" w14:textId="33558B89">
      <w:pPr>
        <w:pStyle w:val="body"/>
        <w:rPr>
          <w:iCs/>
        </w:rPr>
      </w:pPr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Pr="009975EE" w:rsidR="00B43E07" w:rsidP="005747AE" w:rsidRDefault="009975EE" w14:paraId="50643877" w14:textId="772E99A5">
      <w:pPr>
        <w:pStyle w:val="body"/>
        <w:numPr>
          <w:ilvl w:val="0"/>
          <w:numId w:val="15"/>
        </w:numPr>
        <w:rPr>
          <w:iCs/>
        </w:rPr>
      </w:pPr>
      <w:r w:rsidRPr="009975EE">
        <w:rPr>
          <w:iCs/>
        </w:rPr>
        <w:t>Príslušné orgány a príslušné subjekty by sa mali riadiť pokynmi a špecifikáciami pre údajové položky uvedené v prílohe, ako sa uvádza v odkaze s názvom ,Pokyny na vykazovanie‘ na webovom sídle orgánu EBA v časti s názvom Globálne systémovo významné inštitúcie (G-SII)</w:t>
      </w:r>
      <w:r w:rsidRPr="009975EE">
        <w:rPr>
          <w:rStyle w:val="FootnoteReference"/>
          <w:iCs/>
        </w:rPr>
        <w:footnoteReference w:id="3"/>
      </w:r>
      <w:r w:rsidRPr="009975EE">
        <w:rPr>
          <w:iCs/>
        </w:rPr>
        <w:t>.</w:t>
      </w:r>
    </w:p>
    <w:p w:rsidR="00B43E07" w:rsidP="005747AE" w:rsidRDefault="0068079B" w14:paraId="2FD6FE4E" w14:textId="3628945E">
      <w:pPr>
        <w:pStyle w:val="body"/>
        <w:numPr>
          <w:ilvl w:val="0"/>
          <w:numId w:val="15"/>
        </w:numPr>
        <w:rPr>
          <w:iCs/>
        </w:rPr>
      </w:pPr>
      <w:r w:rsidRPr="0068079B">
        <w:rPr>
          <w:iCs/>
        </w:rPr>
        <w:t>Príslušné orgány by mali používať pomocné údaje (oddiely 15 a 16 prílohy k týmto usmerneniam) ako východisko pre svoj úsudok pri výkone dohľadu v súlade s článkom 131 ods. 10 smernice 2013/36/EÚ a doplnkové položky (oddiely 17 až 22 prílohy) s cieľom zlepšiť kvalitu údajov a prispieť k vývoju ďalších vylepšení metodiky identifikácie. Doplnkové položky by sa mali v prípade potreby doplniť podrobnými pripomienkami od príslušných subjektov, pokiaľ ide o kvalitu a dostupnosť údajov</w:t>
      </w:r>
      <w:r>
        <w:rPr>
          <w:iCs/>
        </w:rPr>
        <w:t>.</w:t>
      </w:r>
    </w:p>
    <w:p w:rsidRPr="00B31B4A" w:rsidR="00B31B4A" w:rsidP="005747AE" w:rsidRDefault="005747AE" w14:paraId="4DD0B9FB" w14:textId="655720AD">
      <w:pPr>
        <w:pStyle w:val="body"/>
        <w:numPr>
          <w:ilvl w:val="0"/>
          <w:numId w:val="16"/>
        </w:numPr>
        <w:rPr>
          <w:iCs/>
        </w:rPr>
      </w:pPr>
      <w:r>
        <w:rPr>
          <w:iCs/>
        </w:rPr>
        <w:t xml:space="preserve">a. </w:t>
      </w:r>
      <w:r w:rsidRPr="00B31B4A" w:rsidR="00B31B4A">
        <w:rPr>
          <w:iCs/>
        </w:rPr>
        <w:t>Podľa článku 131 ods. 2a smernice 2013/36/EÚ, v ktorom sa vyžaduje metodika dodatočnej identifikácie, ktorou sa vylučujú cezhraničné činnosti v rámci jednotného mechanizmu na riešenie krízových situácií, a v súlade s medzinárodnou dohodou Bazilejského výboru z 31. mája 2022 o uznaní pokroku dosiahnutom v rámci vývoja európskej bankovej únie, údajové položky relevantné pre výpočet upravených ukazovateľov vo viacerých jurisdikciách v rámci SRM, pokiaľ ide o inštitúcie so sídlom v členských štátoch, ktoré sú súčasťou jednotného mechanizmu na riešenie krízových situácií, by sa mali považovať za súčasť ukazovateľov činnosti vo viacerých jurisdikciách a ako také by sa mali zverejniť v súlade s odsekom 12, a nie za pomocné alebo doplnkové položky pre identifikáciu G-SII a metodiku priraďovania do podkategórií.</w:t>
      </w:r>
    </w:p>
    <w:p w:rsidRPr="00734ED6" w:rsidR="00BD1538" w:rsidP="00BD1538" w:rsidRDefault="00BD1538" w14:paraId="6A6FBBAE" w14:textId="77777777">
      <w:pPr>
        <w:pStyle w:val="body"/>
        <w:rPr>
          <w:highlight w:val="yellow"/>
        </w:rPr>
      </w:pPr>
    </w:p>
    <w:p w:rsidRPr="00734ED6" w:rsidR="00BD1538" w:rsidP="00505C64" w:rsidRDefault="00BD1538" w14:paraId="2DFFA9BA" w14:textId="77777777">
      <w:pPr>
        <w:pStyle w:val="Titlelevel2"/>
        <w:sectPr w:rsidRPr="00734ED6" w:rsidR="00BD1538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734ED6" w:rsidR="00B43E07" w:rsidP="00BD1538" w:rsidRDefault="00BD1538" w14:paraId="6CDBC73A" w14:textId="63126AA5">
      <w:pPr>
        <w:pStyle w:val="Numberedtilelevel1"/>
        <w:jc w:val="both"/>
      </w:pPr>
      <w:r w:rsidRPr="00734ED6">
        <w:lastRenderedPageBreak/>
        <w:t>Požiadavky na vykazovanie a zverejňovanie informácií príslušnými inštitúciami</w:t>
      </w:r>
    </w:p>
    <w:p w:rsidRPr="000405C9" w:rsidR="0007574B" w:rsidP="005747AE" w:rsidRDefault="000405C9" w14:paraId="107B3895" w14:textId="1040E76E">
      <w:pPr>
        <w:pStyle w:val="body"/>
        <w:numPr>
          <w:ilvl w:val="0"/>
          <w:numId w:val="16"/>
        </w:numPr>
        <w:rPr>
          <w:iCs/>
        </w:rPr>
      </w:pPr>
      <w:r w:rsidRPr="000405C9">
        <w:rPr>
          <w:iCs/>
        </w:rPr>
        <w:t>Príslušné orgány by mali zabezpečiť, aby príslušné subjekty každoročne na svojich webových sídlach zverejňovali hodnoty ukazovateľov uvedené v oddieloch 1 až 14 prílohy k týmto usmerneniam a v prípade, že je potrebná metodika dodatočnej identifikácie v rámci SRM, aj položky e), f) a g) oddielu 21, ako aj všetky ďalšie položky oddielu 21 týkajúce sa činnosti vo viacerých jurisdikciách v rámci SRM, ktoré by sa mohli považovať za relevantné pre výpočet takejto metodiky príslušným orgánom</w:t>
      </w:r>
      <w:r w:rsidRPr="000405C9" w:rsidR="003A2221">
        <w:rPr>
          <w:iCs/>
        </w:rPr>
        <w:t>.</w:t>
      </w:r>
    </w:p>
    <w:p w:rsidR="0007574B" w:rsidP="005747AE" w:rsidRDefault="003A2221" w14:paraId="623657F6" w14:textId="6FAADFC5">
      <w:pPr>
        <w:pStyle w:val="body"/>
        <w:numPr>
          <w:ilvl w:val="0"/>
          <w:numId w:val="16"/>
        </w:numPr>
      </w:pPr>
      <w:r w:rsidRPr="00734ED6">
        <w:t>Príslušné orgány by mali zabezpečiť, aby príslušné subjekty každoročne zverejňovali na svojich webových sídlach podkladové údaje a hodnoty ukazovateľov uvedené v oddieloch 1 až 13 prílohy k týmto usmerneniam.</w:t>
      </w:r>
    </w:p>
    <w:p w:rsidRPr="00734ED6" w:rsidR="000A5A3F" w:rsidP="000A5A3F" w:rsidRDefault="000A5A3F" w14:paraId="09577165" w14:textId="03472DC2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="0007574B" w:rsidP="005747AE" w:rsidRDefault="0007574B" w14:paraId="59D95C2C" w14:textId="4D4AFB91">
      <w:pPr>
        <w:pStyle w:val="body"/>
        <w:numPr>
          <w:ilvl w:val="0"/>
          <w:numId w:val="16"/>
        </w:numPr>
      </w:pPr>
      <w:r w:rsidRPr="00734ED6">
        <w:t>Pri vykazovaní a zverejňovaní informácií uvedených v odsekoch 11 a 12 by príslušné subjekty mali používať elektronický vzor a dodržiavať ročné pokyny uverejnené na tento účel na webovom sídle EBA.</w:t>
      </w:r>
    </w:p>
    <w:p w:rsidRPr="00734ED6" w:rsidR="000A5A3F" w:rsidP="000A5A3F" w:rsidRDefault="000A5A3F" w14:paraId="50A1BB59" w14:textId="679D1EB8">
      <w:pPr>
        <w:pStyle w:val="body"/>
      </w:pPr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="006C6D8E" w:rsidP="005747AE" w:rsidRDefault="00255B32" w14:paraId="5F511C1E" w14:textId="52DE529D">
      <w:pPr>
        <w:pStyle w:val="body"/>
        <w:numPr>
          <w:ilvl w:val="0"/>
          <w:numId w:val="16"/>
        </w:numPr>
        <w:rPr>
          <w:iCs/>
        </w:rPr>
      </w:pPr>
      <w:r w:rsidRPr="00255B32">
        <w:rPr>
          <w:iCs/>
        </w:rPr>
        <w:t>Príslušné subjekty by mali predkladať informácie uvedené v odseku 11 príslušným orgánom a zverejňovať informácie uvedené v odseku 12 každoročne, a to najneskôr štyri mesiace po dátume ukončenia každého finančného roka, počnúc druhým po sebe nasledujúcim dátumom ukončenia finančného roka, keď bola prekročená prahová hodnota stanovená v odseku 6 týchto usmernení. Príslušné subjekty by sa v rámci toho mali identifikovať pomocou svojich identifikátorov právnickej osoby (LEI)</w:t>
      </w:r>
      <w:r w:rsidRPr="00255B32" w:rsidR="0007574B">
        <w:rPr>
          <w:iCs/>
        </w:rPr>
        <w:t>.</w:t>
      </w:r>
    </w:p>
    <w:p w:rsidRPr="00255B32" w:rsidR="000A5A3F" w:rsidP="000A5A3F" w:rsidRDefault="000A5A3F" w14:paraId="3614427A" w14:textId="21A688DC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  <w:rPr>
          <w:iCs/>
        </w:rPr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Pr="00734ED6" w:rsidR="0007574B" w:rsidP="005747AE" w:rsidRDefault="003A2221" w14:paraId="02B1DBBB" w14:textId="35B7F7D9">
      <w:pPr>
        <w:pStyle w:val="body"/>
        <w:numPr>
          <w:ilvl w:val="0"/>
          <w:numId w:val="16"/>
        </w:numPr>
      </w:pPr>
      <w:r w:rsidRPr="00734ED6">
        <w:t>Príslušné orgány môžu umožniť príslušným subjektom, ktorých rozpočtový rok sa nekončí 31. decembra, aby na základe svojho postavenia vykázali a zverejnili informácie čo najbližšie k 31. decembru. Zverejnenie informácií by sa v každom prípade malo uskutočniť najneskôr do 31. júla.</w:t>
      </w:r>
    </w:p>
    <w:p w:rsidRPr="00734ED6" w:rsidR="00B43E07" w:rsidP="005747AE" w:rsidRDefault="003A2221" w14:paraId="0BE8B0EA" w14:textId="3AD888C3">
      <w:pPr>
        <w:pStyle w:val="body"/>
        <w:numPr>
          <w:ilvl w:val="0"/>
          <w:numId w:val="16"/>
        </w:numPr>
      </w:pPr>
      <w:r w:rsidRPr="00734ED6">
        <w:t>Príslušné orgány by mali v prípade potreby zabezpečiť, aby boli vykázané a zverejnené údaje totožné s údajmi predloženými Bazilejskému výboru pre bankový dohľad.</w:t>
      </w:r>
    </w:p>
    <w:p w:rsidRPr="00734ED6" w:rsidR="006C6D8E" w:rsidP="006C6D8E" w:rsidRDefault="006C6D8E" w14:paraId="304AED26" w14:textId="0684F911">
      <w:pPr>
        <w:pStyle w:val="body"/>
      </w:pPr>
    </w:p>
    <w:p w:rsidRPr="00734ED6" w:rsidR="006C6D8E" w:rsidP="006C6D8E" w:rsidRDefault="006C6D8E" w14:paraId="3653C3DD" w14:textId="77777777">
      <w:pPr>
        <w:pStyle w:val="body"/>
        <w:sectPr w:rsidRPr="00734ED6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734ED6" w:rsidR="00B43E07" w:rsidP="006C6D8E" w:rsidRDefault="006C6D8E" w14:paraId="78D7CAE2" w14:textId="0D9CA5B9">
      <w:pPr>
        <w:pStyle w:val="Numberedtilelevel1"/>
        <w:jc w:val="both"/>
      </w:pPr>
      <w:r w:rsidRPr="00734ED6">
        <w:lastRenderedPageBreak/>
        <w:t>Informácie pre EBA</w:t>
      </w:r>
    </w:p>
    <w:p w:rsidRPr="00734ED6" w:rsidR="006C6D8E" w:rsidP="005747AE" w:rsidRDefault="003A2221" w14:paraId="0966C959" w14:textId="52E7A3EF">
      <w:pPr>
        <w:pStyle w:val="body"/>
        <w:numPr>
          <w:ilvl w:val="0"/>
          <w:numId w:val="16"/>
        </w:numPr>
      </w:pPr>
      <w:r w:rsidRPr="00734ED6">
        <w:t>Príslušné orgány by mali EBA poskytnúť všetky údaje vrátane pomocných údajov a doplnkových položiek zozbieraných v súlade s týmito usmerneniami, aby sa mohli zhromaždiť na webovom sídle EBA. Príslušné subjekty by sa mali identifikovať prostredníctvom svojich identifikátorov právnickej osoby. EBA nezverejňuje pomocné údaje a doplnkové položky.</w:t>
      </w:r>
    </w:p>
    <w:p w:rsidRPr="00734ED6" w:rsidR="006C6D8E" w:rsidP="00B43E07" w:rsidRDefault="006C6D8E" w14:paraId="001293F4" w14:textId="77777777">
      <w:pPr>
        <w:pStyle w:val="body"/>
        <w:rPr>
          <w:lang w:val="en-GB" w:eastAsia="en-GB"/>
        </w:rPr>
        <w:sectPr w:rsidRPr="00734ED6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734ED6" w:rsidR="006C6D8E" w:rsidP="006C6D8E" w:rsidRDefault="006C6D8E" w14:paraId="6FBD395E" w14:textId="77777777">
      <w:pPr>
        <w:pStyle w:val="Contenttitle"/>
      </w:pPr>
      <w:r w:rsidRPr="00734ED6">
        <w:lastRenderedPageBreak/>
        <w:t>Príloha</w:t>
      </w:r>
    </w:p>
    <w:tbl>
      <w:tblPr>
        <w:tblStyle w:val="TableGrid1"/>
        <w:tblW w:w="10224" w:type="dxa"/>
        <w:tblLook w:val="04A0" w:firstRow="1" w:lastRow="0" w:firstColumn="1" w:lastColumn="0" w:noHBand="0" w:noVBand="1"/>
      </w:tblPr>
      <w:tblGrid>
        <w:gridCol w:w="3023"/>
        <w:gridCol w:w="4454"/>
        <w:gridCol w:w="2747"/>
      </w:tblGrid>
      <w:tr w:rsidRPr="00033744" w:rsidR="00537C18" w:rsidTr="001623E6" w14:paraId="576516DB" w14:textId="77777777">
        <w:trPr>
          <w:trHeight w:val="42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5A3F" w:rsidP="001623E6" w:rsidRDefault="000A5A3F" w14:paraId="4C100A54" w14:textId="1E691E1F">
            <w:pPr>
              <w:keepNext/>
              <w:keepLines/>
              <w:spacing w:before="47"/>
              <w:outlineLvl w:val="5"/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</w:pPr>
            <w:r w:rsidRPr="007B541C">
              <w:rPr>
                <w:spacing w:val="-1"/>
                <w:highlight w:val="green"/>
              </w:rPr>
              <w:sym w:font="Wingdings" w:char="F0DA"/>
            </w:r>
            <w:r w:rsidRPr="007B541C">
              <w:rPr>
                <w:spacing w:val="-1"/>
                <w:highlight w:val="green"/>
              </w:rPr>
              <w:t>A1</w:t>
            </w:r>
          </w:p>
          <w:p w:rsidRPr="00033744" w:rsidR="00537C18" w:rsidP="001623E6" w:rsidRDefault="00537C18" w14:paraId="388FA462" w14:textId="575AA8F1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color w:val="172B39" w:themeColor="accent1" w:themeShade="80"/>
              </w:rPr>
            </w:pPr>
            <w:r w:rsidRPr="00033744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  <w:r w:rsidRPr="00033744">
              <w:rPr>
                <w:rFonts w:asciiTheme="majorHAnsi" w:hAnsiTheme="majorHAnsi"/>
                <w:b/>
                <w:i/>
                <w:caps/>
              </w:rPr>
              <w:t>Všeobecné bankové údaje</w:t>
            </w:r>
            <w:r w:rsidRPr="00033744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33744" w:rsidR="00537C18" w:rsidP="001623E6" w:rsidRDefault="00537C18" w14:paraId="79A2034A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B279D11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C2ABBD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E749FE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F206550" w14:textId="77777777">
        <w:trPr>
          <w:trHeight w:val="300"/>
        </w:trPr>
        <w:tc>
          <w:tcPr>
            <w:tcW w:w="7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9C14C8D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 – Všeobecné informácie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7A2799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Odpoveď</w:t>
            </w:r>
          </w:p>
        </w:tc>
      </w:tr>
      <w:tr w:rsidRPr="00033744" w:rsidR="00537C18" w:rsidTr="001623E6" w14:paraId="44678F3A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8DB696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Všeobecné informácie, ktoré poskytuje príslušný orgán dohľadu:</w:t>
            </w:r>
          </w:p>
        </w:tc>
      </w:tr>
      <w:tr w:rsidRPr="00033744" w:rsidR="00537C18" w:rsidTr="001623E6" w14:paraId="1DE5CC1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3EE72B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Kód krajiny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DB4D895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F76B0A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D40AF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Názov banky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48B47EF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033CC1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763CCF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Dátum vykazovania (rrrr-mm-dd)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ABBC2F9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1792CC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E29249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>Mena vykazovania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2B6E4C7D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DE265B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0B6BDA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033744">
              <w:rPr>
                <w:rFonts w:ascii="Arial" w:hAnsi="Arial"/>
                <w:sz w:val="20"/>
              </w:rPr>
              <w:t>Výmenný kurz eura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D97A6A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60FCE3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63C9D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033744">
              <w:rPr>
                <w:rFonts w:ascii="Arial" w:hAnsi="Arial"/>
                <w:sz w:val="20"/>
              </w:rPr>
              <w:t>Dátum predloženia (rrrr-mm-dd)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3C41DEDE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1C5746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767704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Všeobecné informácie, ktoré poskytuje vykazujúca inštitúcia: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64AE1C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47D738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F0F61B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Vykazujúca jednotka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C24A29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EBC81C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BC626F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Účtovný štandard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5BD17D3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6E05D8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0CB022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Dátum zverejnenia (rrrr-mm-dd)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371FB7F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57A7F4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8721BF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>Jazyk zverejnenia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4CA733C9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D67194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770EDA2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033744">
              <w:rPr>
                <w:rFonts w:ascii="Arial" w:hAnsi="Arial"/>
                <w:sz w:val="20"/>
              </w:rPr>
              <w:t>Webová adresa zverejnených údajov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2590D7C" w14:textId="77777777">
            <w:pPr>
              <w:jc w:val="center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Pr="00033744" w:rsidR="00537C18" w:rsidTr="001623E6" w14:paraId="6155237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7417A5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033744">
              <w:rPr>
                <w:rFonts w:ascii="Arial" w:hAnsi="Arial"/>
                <w:sz w:val="20"/>
              </w:rPr>
              <w:t>Kód LEI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25FFCC8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15C26D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1A3D70D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421E597F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AE442E3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74BE24C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Ukazovatele veľkosti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Pr="00033744" w:rsidR="00537C18" w:rsidP="001623E6" w:rsidRDefault="00537C18" w14:paraId="65355AA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3F42574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1E6E677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33744" w:rsidR="00537C18" w:rsidP="001623E6" w:rsidRDefault="00537C18" w14:paraId="02244192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0E15AD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84D9B7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2 – Celkové expozície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451601F" w14:textId="77777777">
            <w:pPr>
              <w:ind w:firstLine="201" w:firstLineChars="10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2B508B8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066617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Deriváty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2B6D68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7FDA8F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C0674E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Expozícia voči protistrane zmlúv o finančných derivátoch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EBF326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4518D2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9487FEC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Maximálna predpokladaná pomyselná hodnota kredit</w:t>
            </w:r>
            <w:r>
              <w:rPr>
                <w:rFonts w:ascii="Arial" w:hAnsi="Arial"/>
                <w:sz w:val="20"/>
              </w:rPr>
              <w:t>n</w:t>
            </w:r>
            <w:r w:rsidRPr="00033744">
              <w:rPr>
                <w:rFonts w:ascii="Arial" w:hAnsi="Arial"/>
                <w:sz w:val="20"/>
              </w:rPr>
              <w:t>ých derivátov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D60596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A41EFC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7A0930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Potenciálna budúca expozícia zmlúv o finančných derivátoch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635D53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096939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E9994A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Transakcie financovania prostredníctvom cenných papierov (SFT)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4E92E0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09AB87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BA8B65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Upravená hrubá hodnota SFT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266E63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5D96B7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AA28AD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 xml:space="preserve">Expozícia </w:t>
            </w:r>
            <w:r>
              <w:rPr>
                <w:rFonts w:ascii="Arial" w:hAnsi="Arial"/>
                <w:sz w:val="20"/>
              </w:rPr>
              <w:t>protistrany</w:t>
            </w:r>
            <w:r w:rsidRPr="00033744">
              <w:rPr>
                <w:rFonts w:ascii="Arial" w:hAnsi="Arial"/>
                <w:sz w:val="20"/>
              </w:rPr>
              <w:t xml:space="preserve"> SFT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8B4A98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8F83AB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0FC03D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Ostatné aktíva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F2BA8D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8BC814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5F20BD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Hrubá pomyselná hodnota podsúvahových položiek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1BD5D9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17D24D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2B8AB07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Položky podliehajúce konverznému faktoru úverov (CCF) v hodnote 0 %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1861FC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89D9F4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8FA9A3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Položky podliehajúce CCF v hodnote 20 %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0FA97C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38F8CB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1F38B62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Položky podliehajúce CCF v hodnote 50 %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736FCD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8DBD78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517226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>Položky podliehajúce CCF v hodnote 100%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3907B6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F2900D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4E8CC4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 Regulačné úpravy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F0D50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00361B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1365F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Celkové expozície pred regulačnými úpravami [suma položiek 2.a.(1) až 2.c, 0,1-násobok 2.d.(1), 0,2-násobok 2.d.(2), 0,5-násobok 2.d.(3) a 2.d.(4)]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A3BB7B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37E4F7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CC85D7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lastRenderedPageBreak/>
              <w:t>g. Expozície poisťovacích dcérskych spoločností nezahrnuté v bode 2.f. po odpočítaní expozícií v rámci skupiny: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DB713C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56FC42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FBBA5CE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Súvahové a podsúvahové aktíva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CD4A94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D333B2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BC56D40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Potenciálna budúca expozícia zmlúv o finančných derivátoch pre poisťovacie dcérske spoločnosti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FFD22F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F422AE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171A781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Hodnota investície do konsolidovaných subjektov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033D36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7869F9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875A088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h. Expozície v rámci skupiny zahrnuté v položke 2.f. voči poisťovacím dcérskym spoločnostiam vykázaným v položke 2.g.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39C8A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29FFDD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2A51CA7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i. Ukazovateľ celkových expozícií vrátane poisťovacích dcérskych spoločností [súčet položiek 2.f, 2.g.(1) až 2.g.(2) mínus položky 2.g.(3) až 2.h.]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349005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ED1AA83" w14:textId="77777777">
        <w:trPr>
          <w:trHeight w:val="403"/>
        </w:trPr>
        <w:tc>
          <w:tcPr>
            <w:tcW w:w="10224" w:type="dxa"/>
            <w:gridSpan w:val="3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EDA56A8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  <w:p w:rsidRPr="00033744" w:rsidR="00537C18" w:rsidP="001623E6" w:rsidRDefault="00537C18" w14:paraId="593B494A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  <w:r w:rsidRPr="00033744">
              <w:rPr>
                <w:rFonts w:asciiTheme="majorHAnsi" w:hAnsiTheme="majorHAnsi"/>
                <w:b/>
                <w:i/>
                <w:caps/>
              </w:rPr>
              <w:t>Ukazovatele prepojenia</w:t>
            </w:r>
          </w:p>
          <w:p w:rsidRPr="00033744" w:rsidR="00537C18" w:rsidP="001623E6" w:rsidRDefault="00537C18" w14:paraId="5277890D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033744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033744" w:rsidR="00537C18" w:rsidTr="001623E6" w14:paraId="1DF1E6F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C8747E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3 – Aktíva v rámci finančného systému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4CDEE487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1E5D32B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4353B2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Finančné prostriedky uložené v 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 xml:space="preserve">ných finančných inštitúciách alebo požičané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 finančným inštitúciám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92A7F2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AF8E24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8707D9C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 xml:space="preserve">Vkladové listy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E8FBAA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ACF93D0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90E75F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b. Nevyužitá časť viazaných liniek poskytnutých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 finančným inštitúciám</w:t>
            </w:r>
          </w:p>
        </w:tc>
      </w:tr>
      <w:tr w:rsidRPr="00033744" w:rsidR="00537C18" w:rsidTr="001623E6" w14:paraId="2215C9A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86676B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c. Držba cenných papierov vydaných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finančnými inštitúciami: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DE62B3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7EC057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8E60D9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Zabezpečené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CA458B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CD1992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499E39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Nadriadené nezabezpečené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EBE12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93CE06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FEE0E7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Podriadené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AADD12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8E3E2C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F792A6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 xml:space="preserve">Obchodné cenné papiere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65C959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9DDA68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980B29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033744">
              <w:rPr>
                <w:rFonts w:ascii="Arial" w:hAnsi="Arial"/>
                <w:sz w:val="20"/>
              </w:rPr>
              <w:t>Majetkové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950BF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17F42F3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7496A32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033744">
              <w:rPr>
                <w:rFonts w:ascii="Arial" w:hAnsi="Arial"/>
                <w:sz w:val="20"/>
              </w:rPr>
              <w:t>Započítanie krátkych pozícií v súvislosti s osobitnými majetkovými cennými papiermi uvedenými v položke 3.c.(5)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67BD7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FA609C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DC3E909" w14:textId="77777777">
            <w:pPr>
              <w:ind w:firstLine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d. Čistá kladná aktuálna expozícia SFT s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finančnými inštitúciami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FCFBD8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96C599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FD10FAD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e. OTC deriváty s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finančnými inštitúciami, ktoré majú čistú kladnú reálnu hodnotu: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2531C2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063384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CB4CF24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Čistá kladná reálna hodnota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F7B83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E535B6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973A03D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Potenciálna budúca expozícia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D71BD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32BBBB9" w14:textId="77777777">
        <w:trPr>
          <w:gridAfter w:val="1"/>
          <w:wAfter w:w="2747" w:type="dxa"/>
          <w:trHeight w:val="450"/>
        </w:trPr>
        <w:tc>
          <w:tcPr>
            <w:tcW w:w="7477" w:type="dxa"/>
            <w:gridSpan w:val="2"/>
            <w:vMerge w:val="restart"/>
            <w:tcBorders>
              <w:left w:val="nil"/>
              <w:right w:val="nil"/>
            </w:tcBorders>
            <w:hideMark/>
          </w:tcPr>
          <w:p w:rsidRPr="00033744" w:rsidR="00537C18" w:rsidP="001623E6" w:rsidRDefault="00537C18" w14:paraId="4EE71C0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Ukazovateľ aktív v rámci finančného systému vrátane poisťovacích dcérskych spoločností [suma položiek 3.a, 3.b. až 3.c.(5), 3.d, 3.e.(1), a 3.e.(2), mínus 3.c.(6)]</w:t>
            </w:r>
          </w:p>
        </w:tc>
      </w:tr>
      <w:tr w:rsidRPr="00033744" w:rsidR="00537C18" w:rsidTr="001623E6" w14:paraId="55F526B8" w14:textId="77777777">
        <w:trPr>
          <w:gridAfter w:val="1"/>
          <w:wAfter w:w="2747" w:type="dxa"/>
          <w:trHeight w:val="450"/>
        </w:trPr>
        <w:tc>
          <w:tcPr>
            <w:tcW w:w="7477" w:type="dxa"/>
            <w:gridSpan w:val="2"/>
            <w:vMerge/>
            <w:tcBorders>
              <w:left w:val="nil"/>
              <w:right w:val="nil"/>
            </w:tcBorders>
            <w:hideMark/>
          </w:tcPr>
          <w:p w:rsidRPr="00033744" w:rsidR="00537C18" w:rsidP="001623E6" w:rsidRDefault="00537C18" w14:paraId="0FCD6700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51E9A4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38DB31C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4C110CA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9D2B327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211D0E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4 – Záväzky v rámci finančného systému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408783A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253E9CEA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2FA0F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a. Finančné prostriedky uložené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 xml:space="preserve">nými finančnými inštitúciami alebo požičané od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ných finančných inštitúcií</w:t>
            </w:r>
          </w:p>
        </w:tc>
      </w:tr>
      <w:tr w:rsidRPr="00033744" w:rsidR="00537C18" w:rsidTr="001623E6" w14:paraId="7F4C19F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E16828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Vklady splatné depozitným inštitúciám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09AD78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CDFBE3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58CAED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Vklady splatné nedepozitným finančným inštitúciám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11C11B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1BC521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E913B0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 xml:space="preserve">Pôžičky získané od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ných finančných inštitúcií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492E08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E2675A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0A70FC7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b. Nevyužitá časť viazaných liniek získaných od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ných finančných inštitúcií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4153F3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F41796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47D21C5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Čistá záporná aktuálna expozícia SFT s 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finančnými inštitúciami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F857E0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57C545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DDA9B6F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OTC deriváty s 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finančnými inštitúciami, ktoré majú čistú zápornú reálnu hodnotu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689F4A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D2F74B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DBD1A2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Čistá záporná reálna hodnota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AA0FDA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642D55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09C644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Potenciálna budúca expozícia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AC081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F4155D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CFF9DE9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lastRenderedPageBreak/>
              <w:t>e. Ukazovateľ záväzkov v rámci finančného systému vrátane poisťovacích dcérskych spoločností [suma položiek 4.a.(1) až 4.d.(2)]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559C0A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06218D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4886B3E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72B18C5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73ECAE0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E5F8FC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 xml:space="preserve">Oddiel 5 – </w:t>
            </w:r>
            <w:r>
              <w:rPr>
                <w:rFonts w:ascii="Arial" w:hAnsi="Arial"/>
                <w:b/>
                <w:sz w:val="20"/>
              </w:rPr>
              <w:t>Zostatok</w:t>
            </w:r>
            <w:r w:rsidRPr="00033744">
              <w:rPr>
                <w:rFonts w:ascii="Arial" w:hAnsi="Arial"/>
                <w:b/>
                <w:sz w:val="20"/>
              </w:rPr>
              <w:t xml:space="preserve"> cenn</w:t>
            </w:r>
            <w:r>
              <w:rPr>
                <w:rFonts w:ascii="Arial" w:hAnsi="Arial"/>
                <w:b/>
                <w:sz w:val="20"/>
              </w:rPr>
              <w:t>ých</w:t>
            </w:r>
            <w:r w:rsidRPr="00033744">
              <w:rPr>
                <w:rFonts w:ascii="Arial" w:hAnsi="Arial"/>
                <w:b/>
                <w:sz w:val="20"/>
              </w:rPr>
              <w:t xml:space="preserve"> papier</w:t>
            </w:r>
            <w:r>
              <w:rPr>
                <w:rFonts w:ascii="Arial" w:hAnsi="Arial"/>
                <w:b/>
                <w:sz w:val="20"/>
              </w:rPr>
              <w:t>ov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631C7EF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2971730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EF9DFB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Zabezpečené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30888B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A5FE2D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05797C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Nadriadené nezabezpečené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B65C5B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5DB5F1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B8D372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Podriadené dlhové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389BB1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7B484B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BDBA0E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Obchodné cenné papiere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3B812C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321FA1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53BA4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 Vkladové listy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E1DAA7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03983D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98504A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Vlastný kapitál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F11280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7908D9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9829248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g. Prioritné akcie a všetky ostatné formy podriadeného financovania, ktoré nie sú uvedené v položke 5.c.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132DE8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0836C3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F94561C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h. Ukazovateľ </w:t>
            </w:r>
            <w:r>
              <w:rPr>
                <w:rFonts w:ascii="Arial" w:hAnsi="Arial"/>
                <w:sz w:val="20"/>
              </w:rPr>
              <w:t>zostatku</w:t>
            </w:r>
            <w:r w:rsidRPr="00033744">
              <w:rPr>
                <w:rFonts w:ascii="Arial" w:hAnsi="Arial"/>
                <w:sz w:val="20"/>
              </w:rPr>
              <w:t xml:space="preserve"> cenných papierov vrátane cenných papierov vydaných poisťovacími dcérskymi spoločnosťami (súčet položiek 5.a. až 5.g.)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8B846D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80C9AA7" w14:textId="77777777">
        <w:trPr>
          <w:trHeight w:val="300"/>
        </w:trPr>
        <w:tc>
          <w:tcPr>
            <w:tcW w:w="74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1CDA80D3" w14:textId="77777777">
            <w:pPr>
              <w:keepNext/>
              <w:keepLines/>
              <w:spacing w:before="47"/>
              <w:outlineLvl w:val="5"/>
              <w:rPr>
                <w:rFonts w:ascii="Arial" w:hAnsi="Arial" w:cs="Arial" w:eastAsiaTheme="majorEastAsia"/>
                <w:b/>
                <w:bCs/>
                <w:i/>
                <w:iCs/>
                <w:caps/>
                <w:spacing w:val="-2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58CDD2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13124CE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695B3B6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Ukazovatele zastupiteľnosti/infraštruktúry finančných inštitúcií</w:t>
            </w:r>
          </w:p>
          <w:p w:rsidRPr="00033744" w:rsidR="00537C18" w:rsidP="001623E6" w:rsidRDefault="00537C18" w14:paraId="181C2C0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BD2CDE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6B7B77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55DB42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6 – Platby realizované vo vykazovanom roku (okrem platieb v rámci skupiny)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6D5E4C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077806C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05F0A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 a. austrálsky dolár (AUD)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BEEE94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F35ED5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2A822A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kanadský dolár (CAD)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74578B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EB4D09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2DECDB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švajčiarsky frank (CHF)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885C3C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3AEB6D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9B3BB6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čínsky jüan (CNY)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F282F6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18DFD92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0A83F3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 euro (EUR)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18D681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63955A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E9B9FD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libra šterlingov (GBP)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4FC4B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C17F73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097A69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g. hongkonský dolár (HKD)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4DF785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CE9BEF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E731A5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h. indická rupia (INR)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0C6925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2ACE5C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E4F167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i. japonský jen (JPY)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B1EABA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A5B886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DF7427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j. novozélandský dolár (NZD)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BE3DF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F71D6F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48C3A7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k. švédska koruna (SEK)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2ACEFA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4F2C0B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D51B08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l. americký dolár (USD)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ED3AB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9BF6FC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FD73F4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m. Ukazovateľ platobnej činnosti (suma položiek 6.a. až 6.l.)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FA4A0F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 </w:t>
            </w:r>
          </w:p>
        </w:tc>
      </w:tr>
      <w:tr w:rsidRPr="00033744" w:rsidR="00537C18" w:rsidTr="001623E6" w14:paraId="4AA2E9D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7031107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2551B53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C162A95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6F26AB2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7 – Aktíva v úschove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7CF41D5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6E45079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396C74C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Ukazovateľ aktív v úschove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0C8467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51A779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941386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61E57C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627E275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36B815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8 – Upísané transakcie na dlhových a akciových trhoch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E4E1FD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6191A86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275F4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Činnosť upísania akcií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87EBFD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90D4AC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BF5DAA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Činnosť upísania dlhov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1D1CF6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095EE3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DFA70E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 Ukazovateľ činnosti upísania (suma položiek 8.a. a 8.b.)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BCA727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00494F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52E0632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0549EC8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AD6D084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AD3CD5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9 – Objem obchodovania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3A78E43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7C9A580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E0A31F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a. Objem obchodovania s cennými papiermi vydanými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subjektmi verejného sektora, okrem transakcií v rámci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82ACA2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D29677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8306CF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b. Objem obchodovania s </w:t>
            </w:r>
            <w:r>
              <w:rPr>
                <w:rFonts w:ascii="Arial" w:hAnsi="Arial"/>
                <w:sz w:val="20"/>
              </w:rPr>
              <w:t>ostat</w:t>
            </w:r>
            <w:r w:rsidRPr="00033744">
              <w:rPr>
                <w:rFonts w:ascii="Arial" w:hAnsi="Arial"/>
                <w:sz w:val="20"/>
              </w:rPr>
              <w:t>nými cennými papiermi s pevným výnosom, okrem transakcií v rámci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4D151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B5BE262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874292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lastRenderedPageBreak/>
              <w:t>c. Čiastkový ukazovateľ objemu obchodovania s pevným výnosom (suma položiek 9.a. a 9.b.)</w:t>
            </w:r>
          </w:p>
        </w:tc>
      </w:tr>
      <w:tr w:rsidRPr="00033744" w:rsidR="00537C18" w:rsidTr="001623E6" w14:paraId="6179EA9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F08B74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 Objem obchodovania s</w:t>
            </w:r>
            <w:r>
              <w:rPr>
                <w:rFonts w:ascii="Arial" w:hAnsi="Arial"/>
                <w:sz w:val="20"/>
              </w:rPr>
              <w:t> </w:t>
            </w:r>
            <w:r w:rsidRPr="00033744">
              <w:rPr>
                <w:rFonts w:ascii="Arial" w:hAnsi="Arial"/>
                <w:sz w:val="20"/>
              </w:rPr>
              <w:t>kótovaným</w:t>
            </w:r>
            <w:r>
              <w:rPr>
                <w:rFonts w:ascii="Arial" w:hAnsi="Arial"/>
                <w:sz w:val="20"/>
              </w:rPr>
              <w:t>i nástrojmi</w:t>
            </w:r>
            <w:r w:rsidRPr="00033744">
              <w:rPr>
                <w:rFonts w:ascii="Arial" w:hAnsi="Arial"/>
                <w:sz w:val="20"/>
              </w:rPr>
              <w:t xml:space="preserve"> vlastn</w:t>
            </w:r>
            <w:r>
              <w:rPr>
                <w:rFonts w:ascii="Arial" w:hAnsi="Arial"/>
                <w:sz w:val="20"/>
              </w:rPr>
              <w:t>ého</w:t>
            </w:r>
            <w:r w:rsidRPr="0003374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imania</w:t>
            </w:r>
            <w:r w:rsidRPr="00033744">
              <w:rPr>
                <w:rFonts w:ascii="Arial" w:hAnsi="Arial"/>
                <w:sz w:val="20"/>
              </w:rPr>
              <w:t>, okrem transakcií v rámci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C6CB57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A0B82D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D2ABA8B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 Objem obchodovania so všetkými ostatnými cennými papiermi, okrem transakcií v rámci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B4325B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14CF754D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6A6B73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 Čiastkový ukazovateľ objemu obchodovania s</w:t>
            </w:r>
            <w:r>
              <w:rPr>
                <w:rFonts w:ascii="Arial" w:hAnsi="Arial"/>
                <w:sz w:val="20"/>
              </w:rPr>
              <w:t xml:space="preserve"> nástrojmi </w:t>
            </w:r>
            <w:r w:rsidRPr="00033744">
              <w:rPr>
                <w:rFonts w:ascii="Arial" w:hAnsi="Arial"/>
                <w:sz w:val="20"/>
              </w:rPr>
              <w:t>vlastn</w:t>
            </w:r>
            <w:r>
              <w:rPr>
                <w:rFonts w:ascii="Arial" w:hAnsi="Arial"/>
                <w:sz w:val="20"/>
              </w:rPr>
              <w:t>ého</w:t>
            </w:r>
            <w:r w:rsidRPr="0003374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imania</w:t>
            </w:r>
            <w:r w:rsidRPr="00033744">
              <w:rPr>
                <w:rFonts w:ascii="Arial" w:hAnsi="Arial"/>
                <w:sz w:val="20"/>
              </w:rPr>
              <w:t xml:space="preserve"> a ostatnými cennými papiermi (súčet položiek 9.d. a 9.e.)</w:t>
            </w:r>
          </w:p>
        </w:tc>
      </w:tr>
      <w:tr w:rsidRPr="00033744" w:rsidR="00537C18" w:rsidTr="001623E6" w14:paraId="3091B9E3" w14:textId="77777777">
        <w:trPr>
          <w:trHeight w:val="403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75D3C6EA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5882E4D6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8C6BA4D" w14:textId="77777777">
        <w:trPr>
          <w:trHeight w:val="403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619512A1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033744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  <w:r w:rsidRPr="00033744">
              <w:rPr>
                <w:rFonts w:asciiTheme="majorHAnsi" w:hAnsiTheme="majorHAnsi"/>
                <w:b/>
                <w:i/>
                <w:caps/>
              </w:rPr>
              <w:t>Ukazovatele zložitosti</w:t>
            </w:r>
          </w:p>
          <w:p w:rsidRPr="00033744" w:rsidR="00537C18" w:rsidP="001623E6" w:rsidRDefault="00537C18" w14:paraId="2EF88A2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0FD9921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EDC898D" w14:textId="77777777">
        <w:trPr>
          <w:trHeight w:val="403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AE5E10E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FF7C210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4CB31B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D95A05E" w14:textId="77777777">
            <w:pPr>
              <w:ind w:firstLine="20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10 – Pomyselná hodnota mimoburzových (OTC) derivátov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0360E3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73F1F66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23DF62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OTC deriváty zaúčtované prostredníctvom centrálnej protistrany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E18AEA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175C19C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486487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OTC deriváty vyrovnané dvojstranne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E97246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DA6573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354932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Pomyselná hodnota ukazovateľa mimoburzových (OTC) derivátov vrátane poisťovacích dcérskych spoločností (súčet položiek 10.a. a 10.b.)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E9ED03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ADF788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16C001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274D486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D9053B5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A1FA19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11 – Cenné papiere na obchodovanie a na predaj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3A878F4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1673108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4E83A7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Cenné papiere držané na obchodovanie (HFT)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C16EC4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DDEC03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74CB4A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 Cenné papiere na predaj (AFS)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4BC10D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25DBA1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5814CC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 Cenné papiere na obchodovanie a na predaj, ktoré spĺňajú vymedzenie aktív 1. úrovne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C6B7B1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E6BF36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0B88F3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Cenné papiere na obchodovanie a na predaj, ktoré spĺňajú vymedzenie aktív 2. úrovne, so zrážkami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5B3E2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6B8332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E64785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 Ukazovateľ cenných papierov na obchodovanie a na predaj [suma položiek 11.a. a 11.b. mínus suma položiek 11.c. a 11.d.]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F68E8C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1CE8FB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7390275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7C42980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86D4B56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C6C5D97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12 – Aktíva 3. úrovne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344F11DE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00B7BCB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73F00C5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a. Ukazovateľ aktív 3. úrovne vrátane poisťovacích dcérskych spoločností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B16473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CE8D2D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23CF6BE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76A87C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7EF31D6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AEDAB4C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Ukazovatele činnosti zahŕňajúce</w:t>
            </w:r>
            <w:r>
              <w:rPr>
                <w:rFonts w:asciiTheme="majorHAnsi" w:hAnsiTheme="majorHAnsi"/>
                <w:b/>
                <w:i/>
                <w:caps/>
              </w:rPr>
              <w:t>j</w:t>
            </w:r>
            <w:r w:rsidRPr="00033744">
              <w:rPr>
                <w:rFonts w:asciiTheme="majorHAnsi" w:hAnsiTheme="majorHAnsi"/>
                <w:b/>
                <w:i/>
                <w:caps/>
              </w:rPr>
              <w:t xml:space="preserve"> viaceré jurisdikcie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5AD13BC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76440B4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E57B1D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54E49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671BD7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C130C42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13 – Pohľadávky zahŕňajúce viaceré jurisdikcie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31CA3C2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3064188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47D70C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 Celkové zahraničné pohľadávky na základe konečného rizika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B5BEB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41BE97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B0DE20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Zahraničné derivátové pohľadávky na základe konečného rizika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EA4674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E74BF6A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6DD9253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 Ukazovateľ pohľadávok zahŕňajúcich viaceré jurisdikcie (suma položiek 13.a. a 13.b.)</w:t>
            </w:r>
          </w:p>
        </w:tc>
      </w:tr>
      <w:tr w:rsidRPr="00033744" w:rsidR="00537C18" w:rsidTr="001623E6" w14:paraId="4B6F408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1FE00DA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7179098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E5D1260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60C709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14 – Záväzky zahŕňajúce viaceré jurisdikcie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26470A2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62ACA439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39693B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 Zahraničné záväzky na základe okamžitého rizika, okrem derivátov a vrátane miestnych záväzkov v miestnej mene</w:t>
            </w:r>
          </w:p>
        </w:tc>
      </w:tr>
      <w:tr w:rsidRPr="00033744" w:rsidR="00537C18" w:rsidTr="001623E6" w14:paraId="10E340D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424FE0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Zahraničné derivátové záväzky na základe okamžitého rizika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A31BB1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DE0F6EE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793A552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 Ukazovateľ záväzkov zahŕňajúcich viaceré jurisdikcie (suma položiek 14.a. a 14.b.)</w:t>
            </w:r>
          </w:p>
        </w:tc>
      </w:tr>
      <w:tr w:rsidRPr="00033744" w:rsidR="00537C18" w:rsidTr="001623E6" w14:paraId="0324144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4A6DF2C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7707D93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AC50299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1A2ABBCA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POMOCNÉ ÚDAJE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Pr="00033744" w:rsidR="00537C18" w:rsidP="001623E6" w:rsidRDefault="00537C18" w14:paraId="7472FF9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D2BAF40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3019C6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33744" w:rsidR="00537C18" w:rsidP="001623E6" w:rsidRDefault="00537C18" w14:paraId="1FD9AF6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DF5139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FEF357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lastRenderedPageBreak/>
              <w:t>Oddiel 15 – Pomocné ukazovatele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66E302F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2FC58C6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DFE917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a. </w:t>
            </w:r>
            <w:r>
              <w:rPr>
                <w:rFonts w:ascii="Arial" w:hAnsi="Arial"/>
                <w:sz w:val="20"/>
              </w:rPr>
              <w:t>Celkové záväzky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A1EEF0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111A58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8A74A1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Retailové financovanie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4D240E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61B8544" w14:textId="77777777">
        <w:trPr>
          <w:gridAfter w:val="1"/>
          <w:wAfter w:w="2747" w:type="dxa"/>
          <w:trHeight w:val="54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D0724CC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c. Miera závislosti od </w:t>
            </w:r>
            <w:r>
              <w:rPr>
                <w:rFonts w:ascii="Arial" w:hAnsi="Arial"/>
                <w:sz w:val="20"/>
              </w:rPr>
              <w:t>veľkoobchodn</w:t>
            </w:r>
            <w:r w:rsidRPr="00033744">
              <w:rPr>
                <w:rFonts w:ascii="Arial" w:hAnsi="Arial"/>
                <w:sz w:val="20"/>
              </w:rPr>
              <w:t>ého financovania (rozdiel medzi položkami 15.a. a 15.b., delený 15.a.)</w:t>
            </w:r>
          </w:p>
        </w:tc>
      </w:tr>
      <w:tr w:rsidRPr="00033744" w:rsidR="00537C18" w:rsidTr="001623E6" w14:paraId="441FD1B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8D475C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Hrubý príjem spolu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9B6C7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C7841F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BE444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 Čistý príjem spolu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54E6B5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102ACC1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C869EE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Čistý zahraničný príjem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389FFE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117C66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4E41E04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g. Hrubá hodnota poskytnutej hotovosti a hrubá reálna hodnota cenných papierov poskytnutých v rámci SFT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E6057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9DA65E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8222BD6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h. Hrubá hodnota vypožičanej hotovosti a hrubá reálna hodnota cenných papierov vypožičaných v rámci SFT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1F89E3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D2E485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A84BC39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i. Hrubá kladná reálna hodnota transakcií s OTC derivátmi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13584A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284C6C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39922DF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j. Hrubá záporná reálna hodnota transakcií s OTC derivátmi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4DB778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33771D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5ACA0F8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14C20B47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  <w:r w:rsidRPr="00033744">
              <w:rPr>
                <w:rFonts w:ascii="Arial" w:hAnsi="Arial"/>
                <w:b/>
                <w:sz w:val="20"/>
              </w:rPr>
              <w:t xml:space="preserve"> v jednotlivých jednotkách</w:t>
            </w:r>
          </w:p>
        </w:tc>
      </w:tr>
      <w:tr w:rsidRPr="00033744" w:rsidR="00537C18" w:rsidTr="001623E6" w14:paraId="663FDD4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3117372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k. Počet jurisdikcií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62AB71F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B416C9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3B19EB9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6C704CD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16F1F0F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7EEA5A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16 – Pomocné položky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033744" w:rsidR="00537C18" w:rsidP="001623E6" w:rsidRDefault="00537C18" w14:paraId="6955F39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0FCE70B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F073A3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Cenné papiere držané do splatnosti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506F6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57DD31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DC74CC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Platby realizované vo vykazovanom roku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1D9A43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062D90C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717A53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brazílsky real (BRL)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1293D9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BD4BFA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D179C27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mexické peso (MXN)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DCE3BB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3208D5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BC8648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nórska koruna (NOK)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1C524C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3D522C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2DAC1B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>ruský rubeľ (RUB)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D460FB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6D682D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2A47447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033744">
              <w:rPr>
                <w:rFonts w:ascii="Arial" w:hAnsi="Arial"/>
                <w:sz w:val="20"/>
              </w:rPr>
              <w:t>singapurský dolár (SGD)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A0D99E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C06CAF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E66745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033744">
              <w:rPr>
                <w:rFonts w:ascii="Arial" w:hAnsi="Arial"/>
                <w:sz w:val="20"/>
              </w:rPr>
              <w:t>juhokórejský won (KRW)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B89AEE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1A0DAC4" w14:textId="77777777">
        <w:trPr>
          <w:trHeight w:val="403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6BA4A49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264C2129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53C72D0E" w14:textId="77777777">
        <w:trPr>
          <w:trHeight w:val="403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22F565E0" w14:textId="77777777">
            <w:pPr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 Doplnkové položky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033744" w:rsidR="00537C18" w:rsidP="001623E6" w:rsidRDefault="00537C18" w14:paraId="3B51FF98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033744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033744" w:rsidR="00537C18" w:rsidTr="001623E6" w14:paraId="7E1619A4" w14:textId="77777777">
        <w:trPr>
          <w:trHeight w:val="403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B184CD4" w14:textId="77777777">
            <w:pPr>
              <w:ind w:firstLine="241" w:firstLineChars="10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033744">
              <w:rPr>
                <w:rFonts w:ascii="Arial" w:hAnsi="Arial"/>
                <w:b/>
                <w:sz w:val="24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E481339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033744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033744" w:rsidR="00537C18" w:rsidTr="001623E6" w14:paraId="777D6E4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0E2A1A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17 – Položky týkajúce sa veľkosti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hideMark/>
          </w:tcPr>
          <w:p w:rsidRPr="00033744" w:rsidR="00537C18" w:rsidP="001623E6" w:rsidRDefault="00537C18" w14:paraId="0160BE9E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0298B18B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1FD043F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Expozícia poisťovacích dcérskych spoločností, ktoré sú už zahrnuté v rozsahu pôsobnosti prudenciálnej konsolidácie</w:t>
            </w:r>
          </w:p>
        </w:tc>
      </w:tr>
      <w:tr w:rsidRPr="00033744" w:rsidR="00537C18" w:rsidTr="001623E6" w14:paraId="5F01388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6DFCE0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b. Štvrťročná priemerná hodnota celkových expozícií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2EED22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C96DB7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CE341E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c. Mesačná priemerná hodnota celkových expozícií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5641C1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E35C13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326E9C7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5875E74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C8DF1C9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F43417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18 – Položky týkajúce sa prepojenosti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42323E5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553C070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C817A9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Ukazovateľ aktív v rámci finančného systému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E49EDF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B2F3DC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AE5BA7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b. Štvrťročná priemerná hodnota aktív v rámci finančného systému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A2FE9F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ECB3E4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E62236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c. Mesačná priemerná hodnota aktív v rámci finančného systému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5F623E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B8E0E5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5622594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Ukazovateľ záväzkov v rámci finančného systému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EC8E1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36B9A5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3C9E46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e. Štvrťročná priemerná hodnota záväzkov v rámci finančného systému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34CC69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E6DED6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20E109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f. Mesačná priemerná hodnota záväzkov v rámci finančného systému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09F683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68F0C5B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A38ACA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g. Ukazovateľ </w:t>
            </w:r>
            <w:r>
              <w:rPr>
                <w:rFonts w:ascii="Arial" w:hAnsi="Arial"/>
                <w:sz w:val="20"/>
              </w:rPr>
              <w:t>zostatku</w:t>
            </w:r>
            <w:r w:rsidRPr="00033744">
              <w:rPr>
                <w:rFonts w:ascii="Arial" w:hAnsi="Arial"/>
                <w:sz w:val="20"/>
              </w:rPr>
              <w:t xml:space="preserve"> cenných papierov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B43892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297D48C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77DE4B7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lastRenderedPageBreak/>
              <w:t xml:space="preserve">h. Štvrťročná priemerná hodnota </w:t>
            </w:r>
            <w:r>
              <w:rPr>
                <w:rFonts w:ascii="Arial" w:hAnsi="Arial"/>
                <w:sz w:val="20"/>
              </w:rPr>
              <w:t>zostatku</w:t>
            </w:r>
            <w:r w:rsidRPr="00033744">
              <w:rPr>
                <w:rFonts w:ascii="Arial" w:hAnsi="Arial"/>
                <w:sz w:val="20"/>
              </w:rPr>
              <w:t xml:space="preserve"> cenných papierov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601AE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6C19CE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465E1A7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i. Mesačná priemerná hodnota </w:t>
            </w:r>
            <w:r>
              <w:rPr>
                <w:rFonts w:ascii="Arial" w:hAnsi="Arial"/>
                <w:sz w:val="20"/>
              </w:rPr>
              <w:t>zostatku</w:t>
            </w:r>
            <w:r w:rsidRPr="00033744">
              <w:rPr>
                <w:rFonts w:ascii="Arial" w:hAnsi="Arial"/>
                <w:sz w:val="20"/>
              </w:rPr>
              <w:t xml:space="preserve"> cenných papierov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232B149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A35B9A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0CAD1EA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687E23F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49AC1F9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0A1F309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19 – Nahraditeľnosť/ položky finančnej infraštruktúry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699858F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70DEE72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0101BB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Objem obchodovania s cennými papiermi vydanými štátmi, okrem transakcií v rámci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5030B8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9FB6A8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257AA13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Úvodná marža poskytnutá centrálnym protistranám (CCP) v mene klientov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824772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BEAFB9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D33B88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Úvodná marža poskytnutá CCP na vlastný účet vykazujúcej skupiny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43BF9C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3EFC04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0C3EDE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Príspevky do fondu pre prípad zlyhania pre CCP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78AD3E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4E455B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2FB00D3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 Ostatné facility pre CCP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FF8551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73635595" w14:textId="77777777">
        <w:trPr>
          <w:gridAfter w:val="1"/>
          <w:wAfter w:w="2747" w:type="dxa"/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6B89CC8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 Poskytovanie služieb vyrovnania v súvislosti s centrálne zúčtovanými transakciami</w:t>
            </w:r>
          </w:p>
        </w:tc>
      </w:tr>
      <w:tr w:rsidRPr="00033744" w:rsidR="00537C18" w:rsidTr="001623E6" w14:paraId="7FDBDD5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44D7266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g. Štvrťročná priemerná hodnota aktív v úschove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0CE9C94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10D9E3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30C855E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h. Mesačná priemerná hodnota aktív v úschove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033744" w:rsidR="00537C18" w:rsidP="001623E6" w:rsidRDefault="00537C18" w14:paraId="1094A1B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3A5A3CA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727A58B3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Pr="00033744" w:rsidR="00537C18" w:rsidP="001623E6" w:rsidRDefault="00537C18" w14:paraId="5AA9ACE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CBBDED5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32D4E73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t>Oddiel 20 – Položky týkajúce sa zložitosti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hideMark/>
          </w:tcPr>
          <w:p w:rsidRPr="00033744" w:rsidR="00537C18" w:rsidP="001623E6" w:rsidRDefault="00537C18" w14:paraId="2CB73D6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7671FCB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1E60444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Ukazovateľ OTC derivátov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  <w:hideMark/>
          </w:tcPr>
          <w:p w:rsidRPr="00033744" w:rsidR="00537C18" w:rsidP="001623E6" w:rsidRDefault="00537C18" w14:paraId="6E27584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 </w:t>
            </w:r>
          </w:p>
        </w:tc>
      </w:tr>
      <w:tr w:rsidRPr="00033744" w:rsidR="00537C18" w:rsidTr="001623E6" w14:paraId="41FDBA4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DF82A5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 Pomyselná hodnota OTC derivátov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47CC77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3F1C60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DDF6A7E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Zúčtované prostredníctvom centrálnej protistrany, kde skupina (vrátane poisťovacích dcérskych spoločností) pôsobí ako finančný sprostredkovateľ (časť centrálnej protistrany)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F05288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2F9603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D479ADE" w14:textId="77777777">
            <w:pPr>
              <w:ind w:left="313" w:firstLine="58" w:firstLineChars="29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 xml:space="preserve">Zúčtované prostredníctvom centrálnej protistrany, kde skupina (vrátane poisťovacích dcérskych spoločností) pôsobí ako finančný sprostredkovateľ (časť klienta)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F0D0EB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2ACDEE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3EBDAA4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 xml:space="preserve">Zúčtované prostredníctvom centrálnej protistrany, kde skupina (vrátane poisťovacích dcérskych spoločností) pôsobí ako zástupca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A2FB12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820E48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CEFBEF9" w14:textId="77777777">
            <w:pPr>
              <w:ind w:left="313" w:hang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033744">
              <w:rPr>
                <w:rFonts w:ascii="Arial" w:hAnsi="Arial"/>
                <w:sz w:val="20"/>
              </w:rPr>
              <w:t>Zúčtované prostredníctvom centrálnej protistrany, kde skupina (vrátane poisťovacích dcérskych spoločností) obchoduje na vlastný účet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47E30C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8103CD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0EB0FE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OTC deriváty zaúčtované prostredníctvom centrálnej protistrany (vylúčenie z prechodu na LIBOR)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4CD6E6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0BD507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1FA76D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d. Štvrťročná priemerná hodnota pomyselnej hodnoty mimoburzových (OTC) derivátov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0AE108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B06273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9C54A10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e. Mesačná priemerná hodnota pomyselnej hodnoty mimoburzových (OTC) derivátov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0B7175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20CE01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61A2F1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f. Štvrťročná priemerná hodnota cenných papierov na obchodovanie a na predaj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58D1FE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6ABAB9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2FEAF9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g. Mesačná priemerná hodnota cenných papierov na obchodovanie a na predaj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FA34C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E02E1D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2E35D8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h. Ukazovateľ aktív 3. úrovne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789014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F33E3F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F9E3E1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i. Štvrťročná priemerná hodnota aktív 3. úrovne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4C185B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EF1BFA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4BD922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j. Mesačná priemerná hodnota aktív 3. úrovne 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79D0C6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0554D4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B51792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k. Aktíva 2. úrovne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FA0A13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784020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81E978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Aktíva 2. úrovne vrátane poisťovacích dcérskych spoločností, zúčtované prostredníctvom CCP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9E66A2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FCA5D4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E4FDEC1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Aktíva 2. úrovne vrátane poisťovacích dcérskych spoločností, vyrovnané dvojstranne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9215BC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7D6E53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1681B12" w14:textId="77777777">
            <w:pPr>
              <w:ind w:firstLine="31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Ďalšie aktíva 2. úrovne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1E34B9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636895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A23A21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l. Priemerná hodnota aktív 2. úrovne vrátane poisťovacích dcérskych spoločností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40EC8B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72FA1E0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553EBFC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350A0A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8291E0B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033744" w:rsidR="00537C18" w:rsidP="001623E6" w:rsidRDefault="00537C18" w14:paraId="6961D03C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lastRenderedPageBreak/>
              <w:t>Oddiel 21 – Položky týkajúce sa činností zahŕňajúcich viaceré jurisdikcie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noWrap/>
          </w:tcPr>
          <w:p w:rsidRPr="00033744" w:rsidR="00537C18" w:rsidP="001623E6" w:rsidRDefault="00537C18" w14:paraId="687E810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Hodnota</w:t>
            </w:r>
          </w:p>
        </w:tc>
      </w:tr>
      <w:tr w:rsidRPr="00033744" w:rsidR="00537C18" w:rsidTr="001623E6" w14:paraId="2016B1D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C727BC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 Ukazovateľ záväzkov zahŕňajúcich viaceré jurisdikcie (starý ukazovateľ)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F03CE8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08BF7B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1B23431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Zahraničné záväzky (okrem derivátov a miestnych záväzkov v miestnej mene)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C890B8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BA262C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4AAC766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033744">
              <w:rPr>
                <w:rFonts w:ascii="Arial" w:hAnsi="Arial"/>
                <w:sz w:val="20"/>
              </w:rPr>
              <w:t>Všetky zahraničné záväzky voči príslušným úradom zahrnutým v položke 21.a. (1)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6B07C6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F985F3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FB42577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033744">
              <w:rPr>
                <w:rFonts w:ascii="Arial" w:hAnsi="Arial"/>
                <w:sz w:val="20"/>
              </w:rPr>
              <w:t>Miestne záväzky v miestnej mene (okrem činnosti týkajúcej sa derivátov)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D0E106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9B3E74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8A91D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Miestne záväzky v miestnej mene (vrátane činnosti týkajúcej sa derivátov)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60A719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B322FF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5BC3E3A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c. Miestne pohľadávky zahŕňajúce viaceré jurisdikcie v miestnej mene (okrem činnosti týkajúcej sa derivátov)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1ABE9B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5ED27C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F66841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d. Miestne pohľadávky zahŕňajúce viaceré jurisdikcie v miestnej mene (vrátane činnosti týkajúcej sa derivátov)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AE59E0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5185AF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61BA29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e. Celkové zahraničné pohľadávky na základe konečného rizika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D39FFD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F7790C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26634E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f. Zahraničné derivátové pohľadávky na základe konečného rizika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608823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9E8444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8FB042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g. Zahraničné záväzky na základe okamžitého rizika vrátane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0DC2E4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479970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E8FC2D0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Zahraničné derivátové záväzky na základe okamžitého rizika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C31904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1465AB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7A435F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h. Miestne pohľadávky zahŕňajúce viaceré jurisdikcie v miestnej mene, okrem činnosti týkajúcej sa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1B7550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2249F3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3120E0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i. Miestne pohľadávky zahŕňajúce viaceré jurisdikcie v miestnej mene vrátane činnosti týkajúcej sa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6B0A7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83520A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1FD5B0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j. Zahraničné záväzky okrem derivátov a miestnych záväzkov v miestnej mene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F99BEB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559EE5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9339CA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033744">
              <w:rPr>
                <w:rFonts w:ascii="Arial" w:hAnsi="Arial"/>
                <w:sz w:val="20"/>
              </w:rPr>
              <w:t>Všetky zahraničné záväzky voči príslušným úradom zahrnutým v položke 20.j.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C0CE27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C97729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6194F0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k. Miestne záväzky v miestnej mene, okrem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3F9AE0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E7C076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9137EA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l. Miestne záväzky v miestnej mene vrátane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BEE428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A46469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73578C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m. Celkové čisté miestne pozície v miestnej mene vrátane derivátov, ak sú čisté kladné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9681DA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936DCA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50EEE2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n. Celkové čisté miestne pozície v miestnej mene vrátane derivátov, ak sú čisté negatívne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8D39CE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F340DD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8BBB5E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o. Celkové čisté miestne pozície v miestnej mene v krajinách mimo SRM vrátane derivátov, ak sú čisté kladné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43D500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DC1AAF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B0396C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p. Celkové čisté miestne pozície v miestnej mene v krajinách mimo SRM vrátane derivátov, ak sú čisté negatívne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3BCD1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55EA82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9C9353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q. Celkové čisté miestne pozície v miestnej mene v krajinách SRM vrátane derivátov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70AD37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E3AD35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B660E6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r. Pohľadávky v rámci podniku rezervované zahraničnými dcérskymi spoločnosťami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5425EC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048E98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1CA31F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s. Pohľadávky v rámci podniku rezervované zahraničnými pobočkami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4EB41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F43300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833005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t. Záväzky v rámci podniku rezervované zahraničnými dcérskymi spoločnosťami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7A1A4F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C9450C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F96B70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u. Záväzky v rámci podniku rezervované zahraničnými pobočkami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3F8D8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D2974E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0EBA12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v. Štvrťročná priemerná hodnota pohľadávok zahŕňajúcich viaceré jurisdikcie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A92649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5566C0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A77AF5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w. Mesačná priemerná hodnota pohľadávok zahŕňajúcich viaceré jurisdikcie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C8E977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2E44B6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F7C203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x. Štvrťročná priemerná hodnota záväzkov zahŕňajúcich viaceré jurisdikcie 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7EDA51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99438D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B2CE67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 xml:space="preserve">y. Mesačná priemerná hodnota záväzkov zahŕňajúcich viaceré jurisdikcie </w:t>
            </w:r>
          </w:p>
        </w:tc>
        <w:tc>
          <w:tcPr>
            <w:tcW w:w="2747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49314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24D9F4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654EEF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63612EC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135E093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033744" w:rsidR="00537C18" w:rsidP="001623E6" w:rsidRDefault="00537C18" w14:paraId="16E5409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b/>
                <w:sz w:val="20"/>
              </w:rPr>
              <w:lastRenderedPageBreak/>
              <w:t>Oddiel 22 – Pomocné ukazovatele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noWrap/>
          </w:tcPr>
          <w:p w:rsidRPr="00033744" w:rsidR="00537C18" w:rsidP="001623E6" w:rsidRDefault="00537C18" w14:paraId="73EB9EB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111F54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AF5437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a. Čistý zahraničný príjem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E2AF55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072BA98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8FB57E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="Arial" w:hAnsi="Arial"/>
                <w:sz w:val="20"/>
              </w:rPr>
              <w:t>b. Počet jurisdikcií (SRM sa považuje za jedinú jurisdikciu)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D67C16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CC60A5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2C6D4BE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7806ED2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60A6CB9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1487F64A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rFonts w:asciiTheme="majorHAnsi" w:hAnsiTheme="majorHAnsi"/>
                <w:b/>
                <w:i/>
                <w:caps/>
              </w:rPr>
              <w:t>Kontrolný súhrnný prehľad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033744" w:rsidR="00537C18" w:rsidP="001623E6" w:rsidRDefault="00537C18" w14:paraId="3F0035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3E3D0A4" w14:textId="77777777">
        <w:trPr>
          <w:trHeight w:val="300"/>
        </w:trPr>
        <w:tc>
          <w:tcPr>
            <w:tcW w:w="74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8F9B83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noWrap/>
          </w:tcPr>
          <w:p w:rsidRPr="00033744" w:rsidR="00537C18" w:rsidP="001623E6" w:rsidRDefault="00537C18" w14:paraId="7F1C187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5029C8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5C818FF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b/>
              </w:rPr>
              <w:t>Oddiel 23 – Hodnoty ukazovateľov (revidovaná metodika)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8739406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b/>
              </w:rPr>
              <w:t>Hodnota ukazovateľa vo vykazovanej mene</w:t>
            </w:r>
          </w:p>
        </w:tc>
      </w:tr>
      <w:tr w:rsidRPr="00033744" w:rsidR="00537C18" w:rsidTr="001623E6" w14:paraId="18F72A0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03B7B33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a. Oddiel 2 – Ukazovateľ celkových expozícií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4F2280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E706F3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D133371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b. Oddiel 3 – Ukazovateľ aktív v rámci finančného systému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4A9500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974F29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A686EAC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c. Oddiel 4 – Ukazovateľ záväzkov v rámci finančného systému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36A8B7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79A70F4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68AE0E6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 xml:space="preserve">d. Oddiel 5 – Ukazovateľ </w:t>
            </w:r>
            <w:r>
              <w:t>zostatku</w:t>
            </w:r>
            <w:r w:rsidRPr="00033744">
              <w:t xml:space="preserve"> cenných papierov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8E295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6B12D5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AEC2E6A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e. Oddiel 6 – Ukazovateľ platobnej činnosti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1BD4FF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24411B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6262DF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f. Oddiel 7 – Ukazovateľ aktív v úschove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1BD326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DDD210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8690B2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g. Oddiel 8 – Ukazovateľ činnosti upísania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0DCB37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AAD968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749437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h. Oddiel 9.c – Čiastkový ukazovateľ objemu obchodovania s pevným výnosom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0AD128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82A542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00744A5B" w14:textId="77777777">
            <w:pPr>
              <w:ind w:left="171" w:firstLine="77" w:firstLineChars="35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i. Oddiel 9.f – Čiastkový ukazovateľ objemu obchodovania s</w:t>
            </w:r>
            <w:r>
              <w:t xml:space="preserve"> nástrojmi </w:t>
            </w:r>
            <w:r w:rsidRPr="00033744">
              <w:t>vlastn</w:t>
            </w:r>
            <w:r>
              <w:t>ého</w:t>
            </w:r>
            <w:r w:rsidRPr="00033744">
              <w:t xml:space="preserve"> </w:t>
            </w:r>
            <w:r>
              <w:t>imania</w:t>
            </w:r>
            <w:r w:rsidRPr="00033744">
              <w:t xml:space="preserve"> a ostatnými cennými papiermi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85536F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794BF91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AEB713E" w14:textId="77777777">
            <w:pPr>
              <w:ind w:left="171" w:firstLine="77" w:firstLineChars="35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j. Oddiel 10 – Ukazovateľ OTC derivátov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564062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8979AC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29F4CFA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k. Oddiel 11 – Ukazovateľ cenných papierov na obchodovanie a na predaj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459156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EDB7CA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B1A06F4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l. Oddiel 12 – Ukazovateľ aktív 3. úrovne vrátane poisťovacích dcérskych spoločností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089BB1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B7444C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54B0DC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m. Oddiel 13 – Ukazovateľ pohľadávok zahŕňajúcich viaceré jurisdikcie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B5D759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D2956F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680090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n. Oddiel 14 – Ukazovateľ záväzkov zahŕňajúcich viaceré jurisdikcie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8E6E6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FFEDAF8" w14:textId="77777777">
        <w:trPr>
          <w:trHeight w:val="413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5FB3F3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o. Ostatné oddiely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2B40A6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413E30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F232A9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(1) Položka 1.a – Všeobecné informácie, ktoré poskytuje orgán dohľadu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326D70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C3DC45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9F9B2C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(2) Položka 1.b – Všeobecné informácie, ktoré poskytuje vykazujúca inštitúcia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B4D36D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0A85C5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8A1857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(3) Oddiel 15 – Pomocné ukazovatele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78ABE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A40ADB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5EC75E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(4) Oddiel 16 – Pomocné položky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B745DD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9E757E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E5415B2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(5) Oddiel 17 – Položky týkajúce sa veľkosti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AD148E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41DFCDE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B25294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(6) Oddiel 18 – Položky týkajúce sa prepojenosti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BACED7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5798E0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D7A8AF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(7) Oddiel 19 – Nahraditeľnosť/ položky finančnej infraštruktúry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131258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AE98F45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734B52A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(8) Oddiel 20 – Položky týkajúce sa zložitosti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BAF9B6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16512C8F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D29FD2B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(9) Oddiel 21 – Položky týkajúce sa činností zahŕňajúcich viaceré jurisdikcie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0EE22FD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8E87429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327364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(10) Oddiel 22 – Pomocné ukazovatele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25B055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53E303DA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8BCFA0C" w14:textId="77777777">
            <w:pPr>
              <w:rPr>
                <w:b/>
                <w:bCs/>
              </w:rPr>
            </w:pP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64D17E31" w14:textId="77777777">
            <w:pPr>
              <w:jc w:val="center"/>
              <w:rPr>
                <w:b/>
                <w:bCs/>
              </w:rPr>
            </w:pPr>
          </w:p>
        </w:tc>
      </w:tr>
      <w:tr w:rsidRPr="00033744" w:rsidR="00537C18" w:rsidTr="001623E6" w14:paraId="30D742D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717AB2B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b/>
              </w:rPr>
              <w:t>Oddiel 24 – Hodnoty ukazovateľov (stará metodika)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20E7CD1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rPr>
                <w:b/>
              </w:rPr>
              <w:t>Hodnota ukazovateľa vo vykazovanej mene</w:t>
            </w:r>
          </w:p>
        </w:tc>
      </w:tr>
      <w:tr w:rsidRPr="00033744" w:rsidR="00537C18" w:rsidTr="001623E6" w14:paraId="6AE33A5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4D2C98C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a. Oddiel 2 – Ukazovateľ celkových expozícií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2EF217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7601426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A418487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lastRenderedPageBreak/>
              <w:t>b. Oddiel 18 – Ukazovateľ aktív v rámci finančného systému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E860AF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002C0B8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BF1F54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c. Oddiel 18 – Ukazovateľ záväzkov v rámci finančného systému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C5ABDB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0639E2D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4C3779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 xml:space="preserve">d. Oddiel 18 – Ukazovateľ </w:t>
            </w:r>
            <w:r>
              <w:t>zostatku</w:t>
            </w:r>
            <w:r w:rsidRPr="00033744">
              <w:t xml:space="preserve"> cenných papierov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49D08AA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31558A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68B81410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e. Oddiel 6 – Ukazovateľ platobnej činnosti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8E6A3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65E84203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24F62DD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f. Oddiel 7 – Ukazovateľ aktív v úschove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348AB8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946807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A39583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g. Oddiel 8 – Ukazovateľ činnosti upísania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24FAEC4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C83C6BB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0BBED17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h. Oddiel 20 – Ukazovateľ OTC derivátov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4834F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367A8B67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566BB92B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i. Oddiel 11 – Ukazovateľ cenných papierov na obchodovanie a na predaj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7DAB7A2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438DD1D2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642C8D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j. Oddiel 20 – Ukazovateľ aktív 3. úrovne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1B205C9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64DE95C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32B7368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k. Oddiel 13 – Ukazovateľ pohľadávok zahŕňajúcich viaceré jurisdikcie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39B3158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033744" w:rsidR="00537C18" w:rsidTr="001623E6" w14:paraId="26DB9451" w14:textId="77777777">
        <w:trPr>
          <w:trHeight w:val="300"/>
        </w:trPr>
        <w:tc>
          <w:tcPr>
            <w:tcW w:w="7477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033744" w:rsidR="00537C18" w:rsidP="001623E6" w:rsidRDefault="00537C18" w14:paraId="15FE37E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033744">
              <w:t>l. Oddiel 21 – Ukazovateľ záväzkov zahŕňajúcich viaceré jurisdikcie</w:t>
            </w:r>
          </w:p>
        </w:tc>
        <w:tc>
          <w:tcPr>
            <w:tcW w:w="2747" w:type="dxa"/>
            <w:tcBorders>
              <w:left w:val="nil"/>
              <w:right w:val="nil"/>
            </w:tcBorders>
            <w:noWrap/>
          </w:tcPr>
          <w:p w:rsidRPr="00033744" w:rsidR="00537C18" w:rsidP="001623E6" w:rsidRDefault="00537C18" w14:paraId="54B4603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Pr="00033744" w:rsidR="00537C18" w:rsidP="00537C18" w:rsidRDefault="00537C18" w14:paraId="50D5B0B4" w14:textId="77777777">
      <w:pPr>
        <w:widowControl w:val="0"/>
        <w:tabs>
          <w:tab w:val="left" w:pos="1116"/>
        </w:tabs>
        <w:autoSpaceDE w:val="0"/>
        <w:spacing w:before="10"/>
      </w:pPr>
    </w:p>
    <w:p w:rsidRPr="00033744" w:rsidR="00537C18" w:rsidP="00537C18" w:rsidRDefault="00537C18" w14:paraId="30E8DBF5" w14:textId="77777777">
      <w:pPr>
        <w:pStyle w:val="BodyText"/>
        <w:spacing w:line="20" w:lineRule="exact"/>
        <w:rPr>
          <w:sz w:val="2"/>
        </w:rPr>
      </w:pPr>
    </w:p>
    <w:p w:rsidR="00537C18" w:rsidP="00723921" w:rsidRDefault="00537C18" w14:paraId="44DEF5FC" w14:textId="77777777">
      <w:pPr>
        <w:widowControl w:val="0"/>
        <w:tabs>
          <w:tab w:val="left" w:pos="525"/>
        </w:tabs>
        <w:autoSpaceDE w:val="0"/>
        <w:autoSpaceDN w:val="0"/>
        <w:spacing w:before="240" w:after="120" w:line="276" w:lineRule="auto"/>
        <w:jc w:val="both"/>
        <w:rPr>
          <w:b/>
          <w:sz w:val="28"/>
        </w:rPr>
      </w:pPr>
    </w:p>
    <w:bookmarkEnd w:id="9"/>
    <w:bookmarkEnd w:id="8"/>
    <w:bookmarkEnd w:id="7"/>
    <w:bookmarkEnd w:id="6"/>
    <w:bookmarkEnd w:id="5"/>
    <w:bookmarkEnd w:id="4"/>
    <w:bookmarkEnd w:id="3"/>
    <w:bookmarkEnd w:id="2"/>
    <w:bookmarkEnd w:id="1"/>
    <w:bookmarkEnd w:id="0"/>
    <w:sectPr w:rsidR="00537C18" w:rsidSect="000F33D3">
      <w:pgSz w:w="11900" w:h="16840"/>
      <w:pgMar w:top="2268" w:right="1418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037E" w14:textId="77777777" w:rsidR="008C1A7E" w:rsidRDefault="008C1A7E" w:rsidP="00A00E34">
      <w:r>
        <w:separator/>
      </w:r>
    </w:p>
    <w:p w14:paraId="003DE5B9" w14:textId="77777777" w:rsidR="008C1A7E" w:rsidRDefault="008C1A7E"/>
  </w:endnote>
  <w:endnote w:type="continuationSeparator" w:id="0">
    <w:p w14:paraId="38DDF959" w14:textId="77777777" w:rsidR="008C1A7E" w:rsidRDefault="008C1A7E" w:rsidP="00A00E34">
      <w:r>
        <w:continuationSeparator/>
      </w:r>
    </w:p>
    <w:p w14:paraId="36B3A5EC" w14:textId="77777777" w:rsidR="008C1A7E" w:rsidRDefault="008C1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P="0017667F" w:rsidRDefault="002215B5" w14:paraId="142C28E2" w14:textId="77777777">
    <w:pPr>
      <w:pStyle w:val="Footer"/>
      <w:rPr>
        <w:rStyle w:val="PageNumber"/>
        <w:noProof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5B5" w:rsidP="00610305" w:rsidRDefault="002215B5" w14:paraId="7D2916CD" w14:textId="77777777">
    <w:pPr>
      <w:pStyle w:val="Footer"/>
      <w:ind w:right="360"/>
      <w:rPr>
        <w:noProof/>
      </w:rPr>
    </w:pPr>
  </w:p>
</w:ftr>
</file>

<file path=word/footer2.xml><?xml version="1.0" encoding="utf-8"?>
<w:ftr xmlns:a="http://schemas.openxmlformats.org/drawingml/2006/main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4ED6" w:rsidR="002215B5" w:rsidP="0017667F" w:rsidRDefault="002215B5" w14:paraId="7C3A9832" w14:textId="46EC4227">
    <w:pPr>
      <w:pStyle w:val="Footer"/>
      <w:rPr>
        <w:rStyle w:val="PageNumber"/>
        <w:noProof/>
      </w:rPr>
    </w:pPr>
    <w:r w:rsidRPr="00734ED6">
      <w:rPr>
        <w:rStyle w:val="PageNumber"/>
      </w:rPr>
      <w:fldChar w:fldCharType="begin"/>
    </w:r>
    <w:r w:rsidRPr="00734ED6">
      <w:rPr>
        <w:rStyle w:val="PageNumber"/>
      </w:rPr>
      <w:instrText xml:space="preserve">PAGE  </w:instrText>
    </w:r>
    <w:r w:rsidRPr="00734ED6">
      <w:rPr>
        <w:rStyle w:val="PageNumber"/>
      </w:rPr>
      <w:fldChar w:fldCharType="separate"/>
    </w:r>
    <w:r w:rsidR="00E5608C">
      <w:rPr>
        <w:rStyle w:val="PageNumber"/>
        <w:noProof/>
      </w:rPr>
      <w:t>16</w:t>
    </w:r>
    <w:r w:rsidRPr="00734ED6">
      <w:rPr>
        <w:rStyle w:val="PageNumber"/>
      </w:rPr>
      <w:fldChar w:fldCharType="end"/>
    </w:r>
  </w:p>
  <w:p w:rsidRPr="00734ED6" w:rsidR="002215B5" w:rsidP="00610305" w:rsidRDefault="002215B5" w14:paraId="6EEDA3DB" w14:textId="77777777">
    <w:pPr>
      <w:pStyle w:val="Footer"/>
      <w:ind w:right="360"/>
      <w:rPr>
        <w:noProof/>
      </w:rPr>
    </w:pPr>
    <w:r w:rsidRPr="00734ED6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1" layoutInCell="1" allowOverlap="1" wp14:editId="03F879D1" wp14:anchorId="127A96D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>
            <v:line id="Straight Connector 10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o:spid="_x0000_s1026" strokecolor="#2f5773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from="-5.6pt,785.3pt" to="445.1pt,785.3pt" w14:anchorId="18EAF944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4ED6" w:rsidRDefault="00734ED6" w14:paraId="7E87E26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9D00" w14:textId="77777777" w:rsidR="008C1A7E" w:rsidRPr="00DB5E8F" w:rsidRDefault="008C1A7E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14:paraId="2289B099" w14:textId="77777777" w:rsidR="008C1A7E" w:rsidRDefault="008C1A7E" w:rsidP="00A00E34">
      <w:r>
        <w:continuationSeparator/>
      </w:r>
    </w:p>
    <w:p w14:paraId="1748AFA2" w14:textId="77777777" w:rsidR="008C1A7E" w:rsidRDefault="008C1A7E"/>
  </w:footnote>
  <w:footnote w:type="continuationNotice" w:id="1">
    <w:p w14:paraId="7650480A" w14:textId="77777777" w:rsidR="008C1A7E" w:rsidRDefault="008C1A7E"/>
  </w:footnote>
  <w:footnote w:id="2">
    <w:p w14:paraId="2B9C6101" w14:textId="2B4968B2" w:rsidR="002215B5" w:rsidRPr="00734ED6" w:rsidRDefault="002215B5" w:rsidP="00C92B4B">
      <w:pPr>
        <w:pStyle w:val="FootnoteText"/>
        <w:rPr>
          <w:rFonts w:ascii="Calibri" w:hAnsi="Calibri" w:cs="Calibri"/>
        </w:rPr>
      </w:pPr>
      <w:r w:rsidRPr="00734ED6">
        <w:rPr>
          <w:rStyle w:val="FootnoteReference"/>
          <w:rFonts w:ascii="Calibri" w:hAnsi="Calibri" w:cs="Calibri"/>
          <w:sz w:val="18"/>
        </w:rPr>
        <w:footnoteRef/>
      </w:r>
      <w:r w:rsidRPr="00734ED6">
        <w:rPr>
          <w:rFonts w:ascii="Calibri" w:hAnsi="Calibri"/>
        </w:rPr>
        <w:t xml:space="preserve"> Nariadenie Európskeho parlamentu a Rady (EÚ) č. 1093/2010 z 24. novembra 2010, ktorým sa zriaďuje Európsky orgán dohľadu (Európsky orgán pre bankovníctvo) a ktorým sa mení a dopĺňa rozhodnutie č. 716/2009/ES a zrušuje rozhodnutie Komisie č. 78/2009/ES (Ú. v. EÚ L 331, 15. 12. 2010, s. 12).</w:t>
      </w:r>
    </w:p>
  </w:footnote>
  <w:footnote w:id="3">
    <w:p w14:paraId="4EBB920C" w14:textId="77777777" w:rsidR="009975EE" w:rsidRPr="00033744" w:rsidRDefault="009975EE" w:rsidP="009975EE">
      <w:pPr>
        <w:pStyle w:val="FootnoteText"/>
      </w:pPr>
      <w:r w:rsidRPr="00033744">
        <w:rPr>
          <w:rStyle w:val="FootnoteReference"/>
          <w:lang w:val="en-GB"/>
        </w:rPr>
        <w:footnoteRef/>
      </w:r>
      <w:r w:rsidRPr="00033744">
        <w:t>https://www.eba.europa.eu/risk-analysis-and-data/global-systemically-important-institutions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RDefault="002215B5" w14:paraId="41B1516F" w14:textId="12C57839">
    <w:pPr>
      <w:rPr>
        <w:noProof/>
      </w:rPr>
    </w:pPr>
    <w:r>
      <w:ptab w:alignment="center" w:relativeTo="margin" w:leader="none"/>
    </w:r>
    <w:r>
      <w:ptab w:alignment="right" w:relativeTo="margin" w:leader="none"/>
    </w:r>
  </w:p>
  <w:p w:rsidR="002215B5" w:rsidRDefault="002215B5" w14:paraId="4A8DE438" w14:textId="77777777">
    <w:pPr>
      <w:rPr>
        <w:noProof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34ED6" w:rsidR="002215B5" w:rsidP="002215B5" w:rsidRDefault="002215B5" w14:paraId="233A6472" w14:textId="42F4713B">
    <w:pPr>
      <w:pStyle w:val="Runningtitle"/>
      <w:rPr>
        <w:noProof/>
      </w:rPr>
    </w:pPr>
    <w:r w:rsidRPr="00734ED6"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editId="234C082C" wp14:anchorId="427C9B91">
          <wp:simplePos x="0" y="0"/>
          <wp:positionH relativeFrom="column">
            <wp:posOffset>4739392</wp:posOffset>
          </wp:positionH>
          <wp:positionV relativeFrom="page">
            <wp:posOffset>450215</wp:posOffset>
          </wp:positionV>
          <wp:extent cx="1207770" cy="447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 w:rsidRPr="00734ED6">
      <w:t>ZÁVEREČNÁ správa o usmerneniach EBA týkajúcich sa upresnenia a zverejňovania</w:t>
    </w:r>
  </w:p>
  <w:p w:rsidRPr="00734ED6" w:rsidR="002215B5" w:rsidP="002215B5" w:rsidRDefault="002215B5" w14:paraId="122C2463" w14:textId="77777777">
    <w:pPr>
      <w:pStyle w:val="Runningtitle"/>
      <w:rPr>
        <w:noProof/>
      </w:rPr>
    </w:pPr>
    <w:r w:rsidRPr="00734ED6">
      <w:t>ukazovateľov systémového významu</w:t>
    </w:r>
  </w:p>
  <w:p w:rsidRPr="00734ED6" w:rsidR="002215B5" w:rsidP="002215B5" w:rsidRDefault="002215B5" w14:paraId="750CEC09" w14:textId="5D2D20C5">
    <w:pPr>
      <w:pStyle w:val="Header"/>
      <w:rPr>
        <w:noProof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P="00E677EF" w:rsidRDefault="002215B5" w14:paraId="6E4DF7C2" w14:textId="77777777">
    <w:pPr>
      <w:pStyle w:val="Runningtitle"/>
      <w:rPr>
        <w:noProof/>
      </w:rPr>
    </w:pPr>
    <w:r>
      <w:t>tu sa uvedie skrátený názov v štýle skráteného názvu</w:t>
    </w:r>
    <w:r>
      <w:rPr>
        <w:noProof/>
        <w:lang w:val="en-GB" w:eastAsia="en-GB"/>
      </w:rPr>
      <w:drawing>
        <wp:anchor distT="0" distB="0" distL="114300" distR="114300" simplePos="0" relativeHeight="251653632" behindDoc="1" locked="1" layoutInCell="1" allowOverlap="0" wp14:editId="569AD1BD" wp14:anchorId="6E65E8A4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008E"/>
    <w:multiLevelType w:val="hybridMultilevel"/>
    <w:tmpl w:val="0CEAE5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A3982"/>
    <w:multiLevelType w:val="hybridMultilevel"/>
    <w:tmpl w:val="F7B4638A"/>
    <w:lvl w:ilvl="0" w:tplc="22EAE94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3A92"/>
    <w:multiLevelType w:val="singleLevel"/>
    <w:tmpl w:val="73D64A0E"/>
    <w:name w:val="Considérant__1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35DEC"/>
    <w:multiLevelType w:val="hybridMultilevel"/>
    <w:tmpl w:val="BC245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84A36"/>
    <w:multiLevelType w:val="hybridMultilevel"/>
    <w:tmpl w:val="95C2B722"/>
    <w:lvl w:ilvl="0" w:tplc="770A29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01419E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380"/>
    <w:multiLevelType w:val="hybridMultilevel"/>
    <w:tmpl w:val="9D64A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9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EBA GL-REC 20XX XX (FINAL GLS-REC ON"/>
  </w:docVars>
  <w:rsids>
    <w:rsidRoot w:val="006307A5"/>
    <w:rsid w:val="00001873"/>
    <w:rsid w:val="00002BCF"/>
    <w:rsid w:val="00003F50"/>
    <w:rsid w:val="0001213D"/>
    <w:rsid w:val="00013281"/>
    <w:rsid w:val="00021E10"/>
    <w:rsid w:val="000231B7"/>
    <w:rsid w:val="00027CA0"/>
    <w:rsid w:val="00030D65"/>
    <w:rsid w:val="00040129"/>
    <w:rsid w:val="000405C9"/>
    <w:rsid w:val="00051823"/>
    <w:rsid w:val="00060F40"/>
    <w:rsid w:val="00062830"/>
    <w:rsid w:val="0007574B"/>
    <w:rsid w:val="000774B3"/>
    <w:rsid w:val="000843CD"/>
    <w:rsid w:val="00087EEC"/>
    <w:rsid w:val="000A1C81"/>
    <w:rsid w:val="000A3851"/>
    <w:rsid w:val="000A5345"/>
    <w:rsid w:val="000A5A3F"/>
    <w:rsid w:val="000B1645"/>
    <w:rsid w:val="000B2614"/>
    <w:rsid w:val="000C2B79"/>
    <w:rsid w:val="000C5A8A"/>
    <w:rsid w:val="000C7FD8"/>
    <w:rsid w:val="000D7A44"/>
    <w:rsid w:val="000E0C27"/>
    <w:rsid w:val="000E6D15"/>
    <w:rsid w:val="000F33D3"/>
    <w:rsid w:val="000F3C24"/>
    <w:rsid w:val="000F607B"/>
    <w:rsid w:val="000F6495"/>
    <w:rsid w:val="000F6FD8"/>
    <w:rsid w:val="001061FA"/>
    <w:rsid w:val="00112BF2"/>
    <w:rsid w:val="0011517F"/>
    <w:rsid w:val="00117062"/>
    <w:rsid w:val="0012173D"/>
    <w:rsid w:val="00121BB0"/>
    <w:rsid w:val="0012686C"/>
    <w:rsid w:val="0013090C"/>
    <w:rsid w:val="00131C5D"/>
    <w:rsid w:val="00132059"/>
    <w:rsid w:val="00132F74"/>
    <w:rsid w:val="0014310A"/>
    <w:rsid w:val="00143427"/>
    <w:rsid w:val="00145D24"/>
    <w:rsid w:val="00145E0A"/>
    <w:rsid w:val="00152832"/>
    <w:rsid w:val="001600FC"/>
    <w:rsid w:val="00160815"/>
    <w:rsid w:val="00172007"/>
    <w:rsid w:val="0017446F"/>
    <w:rsid w:val="0017667F"/>
    <w:rsid w:val="00177CB9"/>
    <w:rsid w:val="001834D4"/>
    <w:rsid w:val="00192287"/>
    <w:rsid w:val="00197E14"/>
    <w:rsid w:val="001A016C"/>
    <w:rsid w:val="001A2A81"/>
    <w:rsid w:val="001A32D5"/>
    <w:rsid w:val="001A47D0"/>
    <w:rsid w:val="001A5BD4"/>
    <w:rsid w:val="001A70A8"/>
    <w:rsid w:val="001B2C0D"/>
    <w:rsid w:val="001B3341"/>
    <w:rsid w:val="001B6017"/>
    <w:rsid w:val="001B7A0B"/>
    <w:rsid w:val="001B7EB3"/>
    <w:rsid w:val="001C1FD9"/>
    <w:rsid w:val="001C5BC2"/>
    <w:rsid w:val="001D0179"/>
    <w:rsid w:val="001E0B2E"/>
    <w:rsid w:val="001E1188"/>
    <w:rsid w:val="001E3599"/>
    <w:rsid w:val="001F1CB9"/>
    <w:rsid w:val="001F7501"/>
    <w:rsid w:val="00205878"/>
    <w:rsid w:val="00213D7B"/>
    <w:rsid w:val="00214DEC"/>
    <w:rsid w:val="00215B80"/>
    <w:rsid w:val="002215B5"/>
    <w:rsid w:val="00224761"/>
    <w:rsid w:val="00224A3F"/>
    <w:rsid w:val="00224D96"/>
    <w:rsid w:val="002306C7"/>
    <w:rsid w:val="00231819"/>
    <w:rsid w:val="002351E9"/>
    <w:rsid w:val="00236329"/>
    <w:rsid w:val="00241BD8"/>
    <w:rsid w:val="002422FB"/>
    <w:rsid w:val="002434B0"/>
    <w:rsid w:val="00254CA9"/>
    <w:rsid w:val="00255B32"/>
    <w:rsid w:val="0026681D"/>
    <w:rsid w:val="00267452"/>
    <w:rsid w:val="00273421"/>
    <w:rsid w:val="0027418E"/>
    <w:rsid w:val="00290DA3"/>
    <w:rsid w:val="002A3A19"/>
    <w:rsid w:val="002A6F7C"/>
    <w:rsid w:val="002B19D7"/>
    <w:rsid w:val="002C06C1"/>
    <w:rsid w:val="002C0DCF"/>
    <w:rsid w:val="002C1673"/>
    <w:rsid w:val="002C2703"/>
    <w:rsid w:val="002D1867"/>
    <w:rsid w:val="002F2009"/>
    <w:rsid w:val="002F2269"/>
    <w:rsid w:val="00300924"/>
    <w:rsid w:val="003025A8"/>
    <w:rsid w:val="003129B6"/>
    <w:rsid w:val="00314D6E"/>
    <w:rsid w:val="00315AB3"/>
    <w:rsid w:val="00320E57"/>
    <w:rsid w:val="003221EF"/>
    <w:rsid w:val="00322C23"/>
    <w:rsid w:val="003248A2"/>
    <w:rsid w:val="00352A51"/>
    <w:rsid w:val="0035477B"/>
    <w:rsid w:val="00355E53"/>
    <w:rsid w:val="003604AA"/>
    <w:rsid w:val="00362309"/>
    <w:rsid w:val="00363390"/>
    <w:rsid w:val="0036783B"/>
    <w:rsid w:val="00370D44"/>
    <w:rsid w:val="00372BEC"/>
    <w:rsid w:val="00392385"/>
    <w:rsid w:val="003953B5"/>
    <w:rsid w:val="003A2221"/>
    <w:rsid w:val="003B6904"/>
    <w:rsid w:val="003C34A3"/>
    <w:rsid w:val="003C3DE8"/>
    <w:rsid w:val="003D7A72"/>
    <w:rsid w:val="003E318D"/>
    <w:rsid w:val="003F3AA3"/>
    <w:rsid w:val="00412567"/>
    <w:rsid w:val="004172D1"/>
    <w:rsid w:val="00424530"/>
    <w:rsid w:val="0043577F"/>
    <w:rsid w:val="0043675A"/>
    <w:rsid w:val="00441F85"/>
    <w:rsid w:val="00446D76"/>
    <w:rsid w:val="00452CF3"/>
    <w:rsid w:val="0045301B"/>
    <w:rsid w:val="00454B24"/>
    <w:rsid w:val="00455E0E"/>
    <w:rsid w:val="004637D3"/>
    <w:rsid w:val="004719B4"/>
    <w:rsid w:val="00471CA1"/>
    <w:rsid w:val="00471CCE"/>
    <w:rsid w:val="00481AC4"/>
    <w:rsid w:val="00482FB6"/>
    <w:rsid w:val="00490251"/>
    <w:rsid w:val="004955E7"/>
    <w:rsid w:val="004A5D8B"/>
    <w:rsid w:val="004A76C6"/>
    <w:rsid w:val="004B2FC0"/>
    <w:rsid w:val="004B7784"/>
    <w:rsid w:val="004C1B19"/>
    <w:rsid w:val="004C6392"/>
    <w:rsid w:val="004D3523"/>
    <w:rsid w:val="004D7668"/>
    <w:rsid w:val="004E405B"/>
    <w:rsid w:val="004F0AB6"/>
    <w:rsid w:val="004F63DB"/>
    <w:rsid w:val="005037F2"/>
    <w:rsid w:val="00505C64"/>
    <w:rsid w:val="005105EF"/>
    <w:rsid w:val="0051571A"/>
    <w:rsid w:val="00522627"/>
    <w:rsid w:val="00523895"/>
    <w:rsid w:val="00526B39"/>
    <w:rsid w:val="00532EBE"/>
    <w:rsid w:val="00537C18"/>
    <w:rsid w:val="005410AB"/>
    <w:rsid w:val="00543A44"/>
    <w:rsid w:val="005574DA"/>
    <w:rsid w:val="00565691"/>
    <w:rsid w:val="005706A6"/>
    <w:rsid w:val="00571BB6"/>
    <w:rsid w:val="005747AE"/>
    <w:rsid w:val="00574B26"/>
    <w:rsid w:val="00575BA7"/>
    <w:rsid w:val="00582AA7"/>
    <w:rsid w:val="0058477C"/>
    <w:rsid w:val="0058568F"/>
    <w:rsid w:val="005A11A7"/>
    <w:rsid w:val="005A6911"/>
    <w:rsid w:val="005B3658"/>
    <w:rsid w:val="005B5C09"/>
    <w:rsid w:val="005C3DFF"/>
    <w:rsid w:val="005C498B"/>
    <w:rsid w:val="005D033E"/>
    <w:rsid w:val="005D4005"/>
    <w:rsid w:val="005D40D1"/>
    <w:rsid w:val="005D6612"/>
    <w:rsid w:val="005E167D"/>
    <w:rsid w:val="005E1BFF"/>
    <w:rsid w:val="00600024"/>
    <w:rsid w:val="00600065"/>
    <w:rsid w:val="006017FA"/>
    <w:rsid w:val="006059B2"/>
    <w:rsid w:val="00610305"/>
    <w:rsid w:val="00610419"/>
    <w:rsid w:val="00611DDB"/>
    <w:rsid w:val="00612C7B"/>
    <w:rsid w:val="006209BD"/>
    <w:rsid w:val="006224C1"/>
    <w:rsid w:val="006241B4"/>
    <w:rsid w:val="006269B7"/>
    <w:rsid w:val="006307A5"/>
    <w:rsid w:val="006336C8"/>
    <w:rsid w:val="00633DC7"/>
    <w:rsid w:val="00636E1D"/>
    <w:rsid w:val="00641A7A"/>
    <w:rsid w:val="00645495"/>
    <w:rsid w:val="00655112"/>
    <w:rsid w:val="00663B0A"/>
    <w:rsid w:val="006641F8"/>
    <w:rsid w:val="0066422C"/>
    <w:rsid w:val="00670254"/>
    <w:rsid w:val="00675E42"/>
    <w:rsid w:val="0068079B"/>
    <w:rsid w:val="00683BFB"/>
    <w:rsid w:val="006915A4"/>
    <w:rsid w:val="00692AB7"/>
    <w:rsid w:val="00692AD8"/>
    <w:rsid w:val="006973AC"/>
    <w:rsid w:val="006C186D"/>
    <w:rsid w:val="006C6D8E"/>
    <w:rsid w:val="006D4C7C"/>
    <w:rsid w:val="006D7393"/>
    <w:rsid w:val="006E0D7A"/>
    <w:rsid w:val="006E3CE5"/>
    <w:rsid w:val="006E55E1"/>
    <w:rsid w:val="006F2E13"/>
    <w:rsid w:val="006F445D"/>
    <w:rsid w:val="006F72C6"/>
    <w:rsid w:val="006F7529"/>
    <w:rsid w:val="00703E4E"/>
    <w:rsid w:val="007071C6"/>
    <w:rsid w:val="00711E1C"/>
    <w:rsid w:val="00721D07"/>
    <w:rsid w:val="00721FBA"/>
    <w:rsid w:val="00723921"/>
    <w:rsid w:val="00730352"/>
    <w:rsid w:val="00731463"/>
    <w:rsid w:val="0073336B"/>
    <w:rsid w:val="00734CF5"/>
    <w:rsid w:val="00734ED6"/>
    <w:rsid w:val="007373D2"/>
    <w:rsid w:val="00740F65"/>
    <w:rsid w:val="00742839"/>
    <w:rsid w:val="00755505"/>
    <w:rsid w:val="0076316D"/>
    <w:rsid w:val="00771BCE"/>
    <w:rsid w:val="00772993"/>
    <w:rsid w:val="007815FB"/>
    <w:rsid w:val="00781A37"/>
    <w:rsid w:val="00781D80"/>
    <w:rsid w:val="007850AB"/>
    <w:rsid w:val="00791EAE"/>
    <w:rsid w:val="007A0054"/>
    <w:rsid w:val="007A44A6"/>
    <w:rsid w:val="007A5353"/>
    <w:rsid w:val="007B3D63"/>
    <w:rsid w:val="007B6077"/>
    <w:rsid w:val="007B69D6"/>
    <w:rsid w:val="007B793D"/>
    <w:rsid w:val="007C08B0"/>
    <w:rsid w:val="007C3A00"/>
    <w:rsid w:val="007C55D0"/>
    <w:rsid w:val="007D2626"/>
    <w:rsid w:val="007F5092"/>
    <w:rsid w:val="007F6B00"/>
    <w:rsid w:val="007F7895"/>
    <w:rsid w:val="00804A88"/>
    <w:rsid w:val="00813BAC"/>
    <w:rsid w:val="00813CD4"/>
    <w:rsid w:val="00817C42"/>
    <w:rsid w:val="00821B9D"/>
    <w:rsid w:val="0084468C"/>
    <w:rsid w:val="008552A0"/>
    <w:rsid w:val="008651AA"/>
    <w:rsid w:val="00865492"/>
    <w:rsid w:val="00865A3C"/>
    <w:rsid w:val="00867CB4"/>
    <w:rsid w:val="008708AB"/>
    <w:rsid w:val="00870A33"/>
    <w:rsid w:val="00871962"/>
    <w:rsid w:val="008725EC"/>
    <w:rsid w:val="00874ED5"/>
    <w:rsid w:val="008A4100"/>
    <w:rsid w:val="008A7288"/>
    <w:rsid w:val="008B6155"/>
    <w:rsid w:val="008C1A7E"/>
    <w:rsid w:val="008C1A94"/>
    <w:rsid w:val="008C567C"/>
    <w:rsid w:val="008C5B82"/>
    <w:rsid w:val="008E297F"/>
    <w:rsid w:val="008F3908"/>
    <w:rsid w:val="009014B6"/>
    <w:rsid w:val="009041D9"/>
    <w:rsid w:val="00907439"/>
    <w:rsid w:val="00907D57"/>
    <w:rsid w:val="00911860"/>
    <w:rsid w:val="0091231C"/>
    <w:rsid w:val="00912882"/>
    <w:rsid w:val="00912895"/>
    <w:rsid w:val="00913422"/>
    <w:rsid w:val="009210DE"/>
    <w:rsid w:val="009257BE"/>
    <w:rsid w:val="00943B87"/>
    <w:rsid w:val="00944AD8"/>
    <w:rsid w:val="009549FF"/>
    <w:rsid w:val="00954FC6"/>
    <w:rsid w:val="0096160F"/>
    <w:rsid w:val="009642A9"/>
    <w:rsid w:val="00965B80"/>
    <w:rsid w:val="009730FB"/>
    <w:rsid w:val="00976A15"/>
    <w:rsid w:val="00980519"/>
    <w:rsid w:val="009846C5"/>
    <w:rsid w:val="0099008B"/>
    <w:rsid w:val="00993B1E"/>
    <w:rsid w:val="00993BAA"/>
    <w:rsid w:val="00994F87"/>
    <w:rsid w:val="009975EE"/>
    <w:rsid w:val="009A1966"/>
    <w:rsid w:val="009A294D"/>
    <w:rsid w:val="009A5AF6"/>
    <w:rsid w:val="009B7C11"/>
    <w:rsid w:val="009C12C9"/>
    <w:rsid w:val="009C1CE7"/>
    <w:rsid w:val="009D55F7"/>
    <w:rsid w:val="009E300F"/>
    <w:rsid w:val="009E38A2"/>
    <w:rsid w:val="009E697F"/>
    <w:rsid w:val="009E76BE"/>
    <w:rsid w:val="009E79BF"/>
    <w:rsid w:val="009F12DA"/>
    <w:rsid w:val="009F3FE6"/>
    <w:rsid w:val="009F53AF"/>
    <w:rsid w:val="00A00E34"/>
    <w:rsid w:val="00A02BBA"/>
    <w:rsid w:val="00A062C7"/>
    <w:rsid w:val="00A10257"/>
    <w:rsid w:val="00A13558"/>
    <w:rsid w:val="00A14332"/>
    <w:rsid w:val="00A2290D"/>
    <w:rsid w:val="00A23608"/>
    <w:rsid w:val="00A23D22"/>
    <w:rsid w:val="00A25403"/>
    <w:rsid w:val="00A27B9D"/>
    <w:rsid w:val="00A27D88"/>
    <w:rsid w:val="00A304D0"/>
    <w:rsid w:val="00A41338"/>
    <w:rsid w:val="00A4361D"/>
    <w:rsid w:val="00A44695"/>
    <w:rsid w:val="00A4607D"/>
    <w:rsid w:val="00A53EC9"/>
    <w:rsid w:val="00A725D6"/>
    <w:rsid w:val="00A72C7D"/>
    <w:rsid w:val="00A76DB8"/>
    <w:rsid w:val="00A81586"/>
    <w:rsid w:val="00A92440"/>
    <w:rsid w:val="00AA435E"/>
    <w:rsid w:val="00AA796D"/>
    <w:rsid w:val="00AB104D"/>
    <w:rsid w:val="00AB21B0"/>
    <w:rsid w:val="00AB2476"/>
    <w:rsid w:val="00AB4B80"/>
    <w:rsid w:val="00AC2312"/>
    <w:rsid w:val="00AD0C73"/>
    <w:rsid w:val="00AD3179"/>
    <w:rsid w:val="00AE1A2D"/>
    <w:rsid w:val="00AE5347"/>
    <w:rsid w:val="00AE55F6"/>
    <w:rsid w:val="00AE56DB"/>
    <w:rsid w:val="00AF0781"/>
    <w:rsid w:val="00AF21F6"/>
    <w:rsid w:val="00AF2BCB"/>
    <w:rsid w:val="00AF4C86"/>
    <w:rsid w:val="00B025DB"/>
    <w:rsid w:val="00B13C87"/>
    <w:rsid w:val="00B1710D"/>
    <w:rsid w:val="00B2771A"/>
    <w:rsid w:val="00B31B4A"/>
    <w:rsid w:val="00B32510"/>
    <w:rsid w:val="00B33222"/>
    <w:rsid w:val="00B3595C"/>
    <w:rsid w:val="00B36D5E"/>
    <w:rsid w:val="00B43E07"/>
    <w:rsid w:val="00B51926"/>
    <w:rsid w:val="00B51BB3"/>
    <w:rsid w:val="00B526A8"/>
    <w:rsid w:val="00B55FAB"/>
    <w:rsid w:val="00B56F17"/>
    <w:rsid w:val="00B6734E"/>
    <w:rsid w:val="00B76198"/>
    <w:rsid w:val="00B77DC8"/>
    <w:rsid w:val="00B77F65"/>
    <w:rsid w:val="00B82515"/>
    <w:rsid w:val="00B83D9D"/>
    <w:rsid w:val="00B84529"/>
    <w:rsid w:val="00B954E5"/>
    <w:rsid w:val="00B96F7F"/>
    <w:rsid w:val="00BB2111"/>
    <w:rsid w:val="00BC1D4B"/>
    <w:rsid w:val="00BC3450"/>
    <w:rsid w:val="00BC7FD2"/>
    <w:rsid w:val="00BD1538"/>
    <w:rsid w:val="00BD1DD9"/>
    <w:rsid w:val="00BE2989"/>
    <w:rsid w:val="00BF4906"/>
    <w:rsid w:val="00BF4EC0"/>
    <w:rsid w:val="00BF78EE"/>
    <w:rsid w:val="00C03AE7"/>
    <w:rsid w:val="00C05D9D"/>
    <w:rsid w:val="00C12FA8"/>
    <w:rsid w:val="00C35592"/>
    <w:rsid w:val="00C356AF"/>
    <w:rsid w:val="00C41927"/>
    <w:rsid w:val="00C439D6"/>
    <w:rsid w:val="00C43FD9"/>
    <w:rsid w:val="00C44EB2"/>
    <w:rsid w:val="00C47E8F"/>
    <w:rsid w:val="00C57BC4"/>
    <w:rsid w:val="00C60915"/>
    <w:rsid w:val="00C60EEB"/>
    <w:rsid w:val="00C64E27"/>
    <w:rsid w:val="00C75C4C"/>
    <w:rsid w:val="00C84497"/>
    <w:rsid w:val="00C91A9F"/>
    <w:rsid w:val="00C92B4B"/>
    <w:rsid w:val="00C95F54"/>
    <w:rsid w:val="00C964B8"/>
    <w:rsid w:val="00CA1DF9"/>
    <w:rsid w:val="00CB6121"/>
    <w:rsid w:val="00CB6EBB"/>
    <w:rsid w:val="00CD4AF7"/>
    <w:rsid w:val="00CE3517"/>
    <w:rsid w:val="00CE3F04"/>
    <w:rsid w:val="00CF15C6"/>
    <w:rsid w:val="00D01670"/>
    <w:rsid w:val="00D0474C"/>
    <w:rsid w:val="00D05C26"/>
    <w:rsid w:val="00D062AC"/>
    <w:rsid w:val="00D152E7"/>
    <w:rsid w:val="00D21F91"/>
    <w:rsid w:val="00D251D0"/>
    <w:rsid w:val="00D3796C"/>
    <w:rsid w:val="00D43C43"/>
    <w:rsid w:val="00D44360"/>
    <w:rsid w:val="00D53948"/>
    <w:rsid w:val="00D549B9"/>
    <w:rsid w:val="00D557EE"/>
    <w:rsid w:val="00D56058"/>
    <w:rsid w:val="00D57F4B"/>
    <w:rsid w:val="00D656AD"/>
    <w:rsid w:val="00D6692C"/>
    <w:rsid w:val="00D76E91"/>
    <w:rsid w:val="00D823B5"/>
    <w:rsid w:val="00D849AA"/>
    <w:rsid w:val="00D872D1"/>
    <w:rsid w:val="00D873F3"/>
    <w:rsid w:val="00D90F63"/>
    <w:rsid w:val="00DA6122"/>
    <w:rsid w:val="00DB4809"/>
    <w:rsid w:val="00DB5E8F"/>
    <w:rsid w:val="00DC3E99"/>
    <w:rsid w:val="00DC5214"/>
    <w:rsid w:val="00DC7C3E"/>
    <w:rsid w:val="00DD247B"/>
    <w:rsid w:val="00DE0FE1"/>
    <w:rsid w:val="00DE30E0"/>
    <w:rsid w:val="00DE46D0"/>
    <w:rsid w:val="00E21FC7"/>
    <w:rsid w:val="00E22BCE"/>
    <w:rsid w:val="00E255BF"/>
    <w:rsid w:val="00E2590B"/>
    <w:rsid w:val="00E26355"/>
    <w:rsid w:val="00E326FF"/>
    <w:rsid w:val="00E337DC"/>
    <w:rsid w:val="00E35F55"/>
    <w:rsid w:val="00E361B0"/>
    <w:rsid w:val="00E410F0"/>
    <w:rsid w:val="00E5608C"/>
    <w:rsid w:val="00E5738D"/>
    <w:rsid w:val="00E5771C"/>
    <w:rsid w:val="00E62DB8"/>
    <w:rsid w:val="00E677EF"/>
    <w:rsid w:val="00E859DF"/>
    <w:rsid w:val="00E87041"/>
    <w:rsid w:val="00E90EDD"/>
    <w:rsid w:val="00E94506"/>
    <w:rsid w:val="00E95201"/>
    <w:rsid w:val="00EA13B4"/>
    <w:rsid w:val="00EA16F3"/>
    <w:rsid w:val="00EA1807"/>
    <w:rsid w:val="00EA4947"/>
    <w:rsid w:val="00EC0C41"/>
    <w:rsid w:val="00EC11F0"/>
    <w:rsid w:val="00EC1594"/>
    <w:rsid w:val="00ED2521"/>
    <w:rsid w:val="00ED2FB9"/>
    <w:rsid w:val="00ED41FD"/>
    <w:rsid w:val="00ED4A40"/>
    <w:rsid w:val="00ED675F"/>
    <w:rsid w:val="00EE456B"/>
    <w:rsid w:val="00EF35BF"/>
    <w:rsid w:val="00F00C37"/>
    <w:rsid w:val="00F00C8E"/>
    <w:rsid w:val="00F01EA6"/>
    <w:rsid w:val="00F02D51"/>
    <w:rsid w:val="00F033B6"/>
    <w:rsid w:val="00F034AC"/>
    <w:rsid w:val="00F160D2"/>
    <w:rsid w:val="00F221AB"/>
    <w:rsid w:val="00F23DC0"/>
    <w:rsid w:val="00F311CD"/>
    <w:rsid w:val="00F3669D"/>
    <w:rsid w:val="00F42F3F"/>
    <w:rsid w:val="00F4748D"/>
    <w:rsid w:val="00F56DC4"/>
    <w:rsid w:val="00F612B3"/>
    <w:rsid w:val="00F647A3"/>
    <w:rsid w:val="00F653FF"/>
    <w:rsid w:val="00F7064A"/>
    <w:rsid w:val="00F720FF"/>
    <w:rsid w:val="00F747AD"/>
    <w:rsid w:val="00F764A1"/>
    <w:rsid w:val="00F86AD4"/>
    <w:rsid w:val="00F87FF5"/>
    <w:rsid w:val="00F9329F"/>
    <w:rsid w:val="00F942CA"/>
    <w:rsid w:val="00F9452C"/>
    <w:rsid w:val="00FA459D"/>
    <w:rsid w:val="00FB28E1"/>
    <w:rsid w:val="00FB43F9"/>
    <w:rsid w:val="00FB7206"/>
    <w:rsid w:val="00FC1255"/>
    <w:rsid w:val="00FC1D72"/>
    <w:rsid w:val="00FE0C92"/>
    <w:rsid w:val="00FE0E60"/>
    <w:rsid w:val="00FE438F"/>
    <w:rsid w:val="00FE5577"/>
    <w:rsid w:val="00FF0C19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184604"/>
  <w15:docId w15:val="{5360B0C9-EE82-4159-9B6F-36D4F77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A3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215B80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qFormat/>
    <w:rsid w:val="00C92B4B"/>
    <w:pPr>
      <w:spacing w:before="80" w:after="0" w:line="200" w:lineRule="exact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92B4B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sk-SK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customStyle="1" w:styleId="Default">
    <w:name w:val="Default"/>
    <w:rsid w:val="000C7FD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semiHidden/>
    <w:qFormat/>
    <w:rsid w:val="00B43E07"/>
    <w:pPr>
      <w:spacing w:before="480"/>
      <w:outlineLvl w:val="9"/>
    </w:pPr>
    <w:rPr>
      <w:caps w:val="0"/>
      <w:color w:val="234156" w:themeColor="accent1" w:themeShade="BF"/>
      <w:sz w:val="28"/>
      <w:szCs w:val="28"/>
    </w:rPr>
  </w:style>
  <w:style w:type="character" w:customStyle="1" w:styleId="Marker">
    <w:name w:val="Marker"/>
    <w:rsid w:val="00B43E07"/>
    <w:rPr>
      <w:color w:val="0000FF"/>
      <w:shd w:val="clear" w:color="auto" w:fill="auto"/>
    </w:rPr>
  </w:style>
  <w:style w:type="character" w:customStyle="1" w:styleId="Marker2">
    <w:name w:val="Marker2"/>
    <w:rsid w:val="00B43E07"/>
    <w:rPr>
      <w:color w:val="FF0000"/>
      <w:shd w:val="clear" w:color="auto" w:fill="auto"/>
    </w:rPr>
  </w:style>
  <w:style w:type="paragraph" w:customStyle="1" w:styleId="Annexetitre">
    <w:name w:val="Annexe titre"/>
    <w:basedOn w:val="Normal"/>
    <w:next w:val="Normal"/>
    <w:rsid w:val="00B43E07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pplicationdirecte">
    <w:name w:val="Application directe"/>
    <w:basedOn w:val="Normal"/>
    <w:next w:val="Fait"/>
    <w:rsid w:val="00B43E07"/>
    <w:pPr>
      <w:spacing w:before="48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idrant">
    <w:name w:val="Considérant"/>
    <w:basedOn w:val="Normal"/>
    <w:rsid w:val="00B43E07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Fait">
    <w:name w:val="Fait à"/>
    <w:basedOn w:val="Normal"/>
    <w:next w:val="Institutionquisigne"/>
    <w:rsid w:val="00B43E07"/>
    <w:pPr>
      <w:keepNext/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rmuledadoption">
    <w:name w:val="Formule d'adoption"/>
    <w:basedOn w:val="Normal"/>
    <w:next w:val="Titrearticle"/>
    <w:rsid w:val="00B43E07"/>
    <w:pPr>
      <w:keepNext/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rsid w:val="00B43E07"/>
    <w:pPr>
      <w:keepNext/>
      <w:tabs>
        <w:tab w:val="left" w:pos="4252"/>
      </w:tabs>
      <w:spacing w:before="720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rsid w:val="00B43E07"/>
    <w:pPr>
      <w:tabs>
        <w:tab w:val="left" w:pos="4252"/>
      </w:tabs>
    </w:pPr>
    <w:rPr>
      <w:rFonts w:ascii="Times New Roman" w:eastAsia="Times New Roman" w:hAnsi="Times New Roman" w:cs="Times New Roman"/>
      <w:i/>
      <w:sz w:val="24"/>
    </w:rPr>
  </w:style>
  <w:style w:type="paragraph" w:customStyle="1" w:styleId="Titrearticle">
    <w:name w:val="Titre article"/>
    <w:basedOn w:val="Normal"/>
    <w:next w:val="Normal"/>
    <w:rsid w:val="00B43E07"/>
    <w:pPr>
      <w:keepNext/>
      <w:spacing w:before="360" w:after="120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Titreobjet">
    <w:name w:val="Titre objet"/>
    <w:basedOn w:val="Normal"/>
    <w:next w:val="Normal"/>
    <w:rsid w:val="00B43E07"/>
    <w:pPr>
      <w:spacing w:before="360" w:after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agedecouverture">
    <w:name w:val="Page de couverture"/>
    <w:basedOn w:val="Normal"/>
    <w:next w:val="Normal"/>
    <w:rsid w:val="00B43E07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rsid w:val="00B43E07"/>
    <w:pPr>
      <w:keepNext/>
      <w:spacing w:before="600" w:after="120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  <w:rsid w:val="009F12DA"/>
    <w:pPr>
      <w:ind w:left="720"/>
    </w:pPr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6C8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D8"/>
    <w:rPr>
      <w:b/>
      <w:bCs/>
      <w:sz w:val="20"/>
      <w:szCs w:val="20"/>
      <w:lang w:val="sk-SK"/>
    </w:rPr>
  </w:style>
  <w:style w:type="paragraph" w:styleId="Revision">
    <w:name w:val="Revision"/>
    <w:hidden/>
    <w:uiPriority w:val="99"/>
    <w:semiHidden/>
    <w:rsid w:val="00944AD8"/>
    <w:rPr>
      <w:sz w:val="22"/>
    </w:rPr>
  </w:style>
  <w:style w:type="paragraph" w:customStyle="1" w:styleId="Text1">
    <w:name w:val="Text 1"/>
    <w:basedOn w:val="Normal"/>
    <w:rsid w:val="00454B24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2392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paragraph" w:styleId="BodyText">
    <w:name w:val="Body Text"/>
    <w:basedOn w:val="Normal"/>
    <w:link w:val="BodyTextChar"/>
    <w:uiPriority w:val="1"/>
    <w:rsid w:val="00537C18"/>
    <w:pPr>
      <w:widowControl w:val="0"/>
      <w:autoSpaceDE w:val="0"/>
      <w:spacing w:after="160" w:line="259" w:lineRule="auto"/>
    </w:pPr>
    <w:rPr>
      <w:rFonts w:eastAsia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37C18"/>
    <w:rPr>
      <w:rFonts w:eastAsia="Calibri" w:cs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37C18"/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B679A-FDAD-4C0A-A8DA-8352D620FBC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43</ap:TotalTime>
  <ap:Pages>16</ap:Pages>
  <ap:Words>3370</ap:Words>
  <ap:Characters>22015</ap:Characters>
  <ap:Application>Microsoft Office Word</ap:Application>
  <ap:DocSecurity>0</ap:DocSecurity>
  <ap:Lines>183</ap:Lines>
  <ap:Paragraphs>50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CDT</ap:Company>
  <ap:LinksUpToDate>false</ap:LinksUpToDate>
  <ap:CharactersWithSpaces>25335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CDT</dc:creator>
  <lastModifiedBy>CDT</lastModifiedBy>
  <revision>34</revision>
  <lastPrinted>2020-11-04T10:23:00.0000000Z</lastPrinted>
  <dcterms:created xsi:type="dcterms:W3CDTF">2020-11-04T10:04:00.0000000Z</dcterms:created>
  <dcterms:modified xsi:type="dcterms:W3CDTF">2024-04-22T07:23:00.0000000Z</dcterms:modified>
</coreProperties>
</file>